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0" w:type="dxa"/>
        <w:tblInd w:w="108" w:type="dxa"/>
        <w:tblLayout w:type="fixed"/>
        <w:tblLook w:val="01E0" w:firstRow="1" w:lastRow="1" w:firstColumn="1" w:lastColumn="1" w:noHBand="0" w:noVBand="0"/>
      </w:tblPr>
      <w:tblGrid>
        <w:gridCol w:w="4515"/>
        <w:gridCol w:w="4339"/>
        <w:gridCol w:w="506"/>
      </w:tblGrid>
      <w:tr w:rsidR="00534265" w:rsidTr="00534265">
        <w:tc>
          <w:tcPr>
            <w:tcW w:w="4513" w:type="dxa"/>
            <w:tcBorders>
              <w:top w:val="nil"/>
              <w:left w:val="nil"/>
              <w:bottom w:val="single" w:sz="4" w:space="0" w:color="auto"/>
              <w:right w:val="nil"/>
            </w:tcBorders>
            <w:tcMar>
              <w:top w:w="0" w:type="dxa"/>
              <w:left w:w="108" w:type="dxa"/>
              <w:bottom w:w="170" w:type="dxa"/>
              <w:right w:w="108" w:type="dxa"/>
            </w:tcMar>
          </w:tcPr>
          <w:p w:rsidR="00534265" w:rsidRDefault="00534265">
            <w:pPr>
              <w:rPr>
                <w:sz w:val="22"/>
                <w:lang w:val="en-US"/>
              </w:rPr>
            </w:pPr>
          </w:p>
        </w:tc>
        <w:tc>
          <w:tcPr>
            <w:tcW w:w="4337" w:type="dxa"/>
            <w:tcBorders>
              <w:top w:val="nil"/>
              <w:left w:val="nil"/>
              <w:bottom w:val="single" w:sz="4" w:space="0" w:color="auto"/>
              <w:right w:val="nil"/>
            </w:tcBorders>
            <w:tcMar>
              <w:top w:w="0" w:type="dxa"/>
              <w:left w:w="0" w:type="dxa"/>
              <w:bottom w:w="0" w:type="dxa"/>
              <w:right w:w="0" w:type="dxa"/>
            </w:tcMar>
            <w:hideMark/>
          </w:tcPr>
          <w:p w:rsidR="00534265" w:rsidRDefault="00534265">
            <w:pPr>
              <w:rPr>
                <w:sz w:val="22"/>
                <w:lang w:val="en-US"/>
              </w:rPr>
            </w:pPr>
            <w:r>
              <w:rPr>
                <w:noProof/>
                <w:lang w:val="en-US"/>
              </w:rPr>
              <w:drawing>
                <wp:inline distT="0" distB="0" distL="0" distR="0">
                  <wp:extent cx="1854835" cy="1326515"/>
                  <wp:effectExtent l="0" t="0" r="0" b="6985"/>
                  <wp:docPr id="898" name="Picture 898"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WIPO-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54835" cy="1326515"/>
                          </a:xfrm>
                          <a:prstGeom prst="rect">
                            <a:avLst/>
                          </a:prstGeom>
                          <a:noFill/>
                          <a:ln>
                            <a:noFill/>
                          </a:ln>
                        </pic:spPr>
                      </pic:pic>
                    </a:graphicData>
                  </a:graphic>
                </wp:inline>
              </w:drawing>
            </w:r>
          </w:p>
        </w:tc>
        <w:tc>
          <w:tcPr>
            <w:tcW w:w="506" w:type="dxa"/>
            <w:tcBorders>
              <w:top w:val="nil"/>
              <w:left w:val="nil"/>
              <w:bottom w:val="single" w:sz="4" w:space="0" w:color="auto"/>
              <w:right w:val="nil"/>
            </w:tcBorders>
            <w:tcMar>
              <w:top w:w="0" w:type="dxa"/>
              <w:left w:w="0" w:type="dxa"/>
              <w:bottom w:w="0" w:type="dxa"/>
              <w:right w:w="0" w:type="dxa"/>
            </w:tcMar>
            <w:hideMark/>
          </w:tcPr>
          <w:p w:rsidR="00534265" w:rsidRDefault="00534265">
            <w:pPr>
              <w:jc w:val="right"/>
              <w:rPr>
                <w:sz w:val="22"/>
                <w:lang w:val="en-US"/>
              </w:rPr>
            </w:pPr>
            <w:r>
              <w:rPr>
                <w:b/>
                <w:sz w:val="40"/>
                <w:szCs w:val="40"/>
                <w:lang w:val="en-US"/>
              </w:rPr>
              <w:t>F</w:t>
            </w:r>
          </w:p>
        </w:tc>
      </w:tr>
      <w:tr w:rsidR="00534265" w:rsidTr="00534265">
        <w:trPr>
          <w:trHeight w:val="340"/>
        </w:trPr>
        <w:tc>
          <w:tcPr>
            <w:tcW w:w="9356" w:type="dxa"/>
            <w:gridSpan w:val="3"/>
            <w:tcBorders>
              <w:top w:val="single" w:sz="4" w:space="0" w:color="auto"/>
              <w:left w:val="nil"/>
              <w:bottom w:val="nil"/>
              <w:right w:val="nil"/>
            </w:tcBorders>
            <w:tcMar>
              <w:top w:w="170" w:type="dxa"/>
              <w:left w:w="0" w:type="dxa"/>
              <w:bottom w:w="0" w:type="dxa"/>
              <w:right w:w="0" w:type="dxa"/>
            </w:tcMar>
            <w:vAlign w:val="bottom"/>
            <w:hideMark/>
          </w:tcPr>
          <w:p w:rsidR="00534265" w:rsidRDefault="00534265">
            <w:pPr>
              <w:jc w:val="right"/>
              <w:rPr>
                <w:rFonts w:ascii="Arial Black" w:hAnsi="Arial Black"/>
                <w:caps/>
                <w:sz w:val="15"/>
                <w:lang w:val="en-US"/>
              </w:rPr>
            </w:pPr>
            <w:r>
              <w:rPr>
                <w:rFonts w:ascii="Arial Black" w:hAnsi="Arial Black"/>
                <w:caps/>
                <w:sz w:val="15"/>
                <w:lang w:val="en-US"/>
              </w:rPr>
              <w:t xml:space="preserve">A/56/5 </w:t>
            </w:r>
          </w:p>
        </w:tc>
      </w:tr>
      <w:tr w:rsidR="00534265" w:rsidTr="00534265">
        <w:trPr>
          <w:trHeight w:val="170"/>
        </w:trPr>
        <w:tc>
          <w:tcPr>
            <w:tcW w:w="9356" w:type="dxa"/>
            <w:gridSpan w:val="3"/>
            <w:noWrap/>
            <w:tcMar>
              <w:top w:w="0" w:type="dxa"/>
              <w:left w:w="0" w:type="dxa"/>
              <w:bottom w:w="0" w:type="dxa"/>
              <w:right w:w="0" w:type="dxa"/>
            </w:tcMar>
            <w:vAlign w:val="bottom"/>
            <w:hideMark/>
          </w:tcPr>
          <w:p w:rsidR="00534265" w:rsidRDefault="00534265">
            <w:pPr>
              <w:jc w:val="right"/>
              <w:rPr>
                <w:rFonts w:ascii="Arial Black" w:hAnsi="Arial Black"/>
                <w:caps/>
                <w:sz w:val="15"/>
                <w:lang w:val="en-US"/>
              </w:rPr>
            </w:pPr>
            <w:r>
              <w:rPr>
                <w:rFonts w:ascii="Arial Black" w:hAnsi="Arial Black"/>
                <w:caps/>
                <w:sz w:val="15"/>
                <w:lang w:val="en-US"/>
              </w:rPr>
              <w:t>ORIGINAL : anglais</w:t>
            </w:r>
          </w:p>
        </w:tc>
      </w:tr>
      <w:tr w:rsidR="00534265" w:rsidTr="00534265">
        <w:trPr>
          <w:trHeight w:val="198"/>
        </w:trPr>
        <w:tc>
          <w:tcPr>
            <w:tcW w:w="9356" w:type="dxa"/>
            <w:gridSpan w:val="3"/>
            <w:tcMar>
              <w:top w:w="0" w:type="dxa"/>
              <w:left w:w="0" w:type="dxa"/>
              <w:bottom w:w="0" w:type="dxa"/>
              <w:right w:w="0" w:type="dxa"/>
            </w:tcMar>
            <w:vAlign w:val="bottom"/>
            <w:hideMark/>
          </w:tcPr>
          <w:p w:rsidR="00534265" w:rsidRDefault="00534265">
            <w:pPr>
              <w:jc w:val="right"/>
              <w:rPr>
                <w:rFonts w:ascii="Arial Black" w:hAnsi="Arial Black"/>
                <w:caps/>
                <w:sz w:val="15"/>
                <w:lang w:val="en-US"/>
              </w:rPr>
            </w:pPr>
            <w:r>
              <w:rPr>
                <w:rFonts w:ascii="Arial Black" w:hAnsi="Arial Black"/>
                <w:caps/>
                <w:sz w:val="15"/>
                <w:lang w:val="en-US"/>
              </w:rPr>
              <w:t>DATE : 2 août 2016</w:t>
            </w:r>
          </w:p>
        </w:tc>
      </w:tr>
    </w:tbl>
    <w:p w:rsidR="00534265" w:rsidRDefault="00534265" w:rsidP="00534265">
      <w:pPr>
        <w:rPr>
          <w:sz w:val="22"/>
          <w:szCs w:val="20"/>
        </w:rPr>
      </w:pPr>
    </w:p>
    <w:p w:rsidR="00534265" w:rsidRDefault="00534265" w:rsidP="00534265"/>
    <w:p w:rsidR="00534265" w:rsidRDefault="00534265" w:rsidP="00534265"/>
    <w:p w:rsidR="00534265" w:rsidRDefault="00534265" w:rsidP="00534265"/>
    <w:p w:rsidR="00534265" w:rsidRDefault="00534265" w:rsidP="00534265"/>
    <w:p w:rsidR="00534265" w:rsidRDefault="00534265" w:rsidP="00534265">
      <w:pPr>
        <w:rPr>
          <w:b/>
          <w:sz w:val="28"/>
          <w:szCs w:val="28"/>
        </w:rPr>
      </w:pPr>
      <w:r>
        <w:rPr>
          <w:rFonts w:eastAsia="Arial"/>
          <w:b/>
          <w:bCs/>
          <w:sz w:val="28"/>
          <w:szCs w:val="28"/>
        </w:rPr>
        <w:t>Assemblées des États membres de l’OMPI</w:t>
      </w:r>
    </w:p>
    <w:p w:rsidR="00534265" w:rsidRPr="00AC62DA" w:rsidRDefault="00534265" w:rsidP="00534265">
      <w:pPr>
        <w:rPr>
          <w:sz w:val="22"/>
          <w:szCs w:val="22"/>
        </w:rPr>
      </w:pPr>
    </w:p>
    <w:p w:rsidR="00534265" w:rsidRPr="00AC62DA" w:rsidRDefault="00534265" w:rsidP="00534265">
      <w:pPr>
        <w:rPr>
          <w:sz w:val="22"/>
          <w:szCs w:val="22"/>
        </w:rPr>
      </w:pPr>
    </w:p>
    <w:p w:rsidR="00534265" w:rsidRDefault="00534265" w:rsidP="00534265">
      <w:pPr>
        <w:rPr>
          <w:b/>
          <w:sz w:val="24"/>
        </w:rPr>
      </w:pPr>
      <w:r>
        <w:rPr>
          <w:rFonts w:eastAsia="Arial"/>
          <w:b/>
          <w:bCs/>
          <w:sz w:val="24"/>
        </w:rPr>
        <w:t>Cinquante-sixième</w:t>
      </w:r>
      <w:r>
        <w:rPr>
          <w:rFonts w:eastAsia="Arial"/>
          <w:b/>
          <w:bCs/>
          <w:spacing w:val="62"/>
          <w:sz w:val="24"/>
        </w:rPr>
        <w:t xml:space="preserve"> </w:t>
      </w:r>
      <w:r>
        <w:rPr>
          <w:rFonts w:eastAsia="Arial"/>
          <w:b/>
          <w:bCs/>
          <w:sz w:val="24"/>
        </w:rPr>
        <w:t>série</w:t>
      </w:r>
      <w:r>
        <w:rPr>
          <w:rFonts w:eastAsia="Arial"/>
          <w:b/>
          <w:bCs/>
          <w:spacing w:val="18"/>
          <w:sz w:val="24"/>
        </w:rPr>
        <w:t xml:space="preserve"> </w:t>
      </w:r>
      <w:r>
        <w:rPr>
          <w:rFonts w:eastAsia="Arial"/>
          <w:b/>
          <w:bCs/>
          <w:sz w:val="24"/>
        </w:rPr>
        <w:t>de</w:t>
      </w:r>
      <w:r>
        <w:rPr>
          <w:rFonts w:eastAsia="Arial"/>
          <w:b/>
          <w:bCs/>
          <w:spacing w:val="19"/>
          <w:sz w:val="24"/>
        </w:rPr>
        <w:t xml:space="preserve"> </w:t>
      </w:r>
      <w:r>
        <w:rPr>
          <w:rFonts w:eastAsia="Arial"/>
          <w:b/>
          <w:bCs/>
          <w:w w:val="103"/>
          <w:sz w:val="24"/>
        </w:rPr>
        <w:t>réunions</w:t>
      </w:r>
    </w:p>
    <w:p w:rsidR="00534265" w:rsidRDefault="00534265" w:rsidP="00534265">
      <w:pPr>
        <w:rPr>
          <w:b/>
          <w:sz w:val="24"/>
        </w:rPr>
      </w:pPr>
      <w:r>
        <w:rPr>
          <w:rFonts w:eastAsia="Arial"/>
          <w:b/>
          <w:bCs/>
          <w:sz w:val="24"/>
        </w:rPr>
        <w:t>Genève,</w:t>
      </w:r>
      <w:r>
        <w:rPr>
          <w:rFonts w:eastAsia="Arial"/>
          <w:b/>
          <w:bCs/>
          <w:spacing w:val="11"/>
          <w:sz w:val="24"/>
        </w:rPr>
        <w:t xml:space="preserve"> 3</w:t>
      </w:r>
      <w:r>
        <w:rPr>
          <w:rFonts w:eastAsia="Arial"/>
          <w:b/>
          <w:bCs/>
          <w:sz w:val="24"/>
        </w:rPr>
        <w:t xml:space="preserve"> – 11 octobre </w:t>
      </w:r>
      <w:r>
        <w:rPr>
          <w:rFonts w:eastAsia="Arial"/>
          <w:b/>
          <w:bCs/>
          <w:w w:val="104"/>
          <w:sz w:val="24"/>
        </w:rPr>
        <w:t>2016</w:t>
      </w:r>
    </w:p>
    <w:p w:rsidR="00534265" w:rsidRPr="00AC62DA" w:rsidRDefault="00534265" w:rsidP="00534265">
      <w:pPr>
        <w:rPr>
          <w:sz w:val="22"/>
          <w:szCs w:val="22"/>
        </w:rPr>
      </w:pPr>
    </w:p>
    <w:p w:rsidR="00534265" w:rsidRPr="00AC62DA" w:rsidRDefault="00534265" w:rsidP="00534265">
      <w:pPr>
        <w:rPr>
          <w:sz w:val="22"/>
          <w:szCs w:val="22"/>
        </w:rPr>
      </w:pPr>
    </w:p>
    <w:p w:rsidR="00534265" w:rsidRPr="00AC62DA" w:rsidRDefault="00534265" w:rsidP="00534265">
      <w:pPr>
        <w:rPr>
          <w:sz w:val="22"/>
          <w:szCs w:val="22"/>
        </w:rPr>
      </w:pPr>
    </w:p>
    <w:p w:rsidR="00534265" w:rsidRDefault="00534265" w:rsidP="00534265">
      <w:pPr>
        <w:rPr>
          <w:rFonts w:eastAsia="SimSun"/>
          <w:caps/>
          <w:sz w:val="24"/>
          <w:lang w:eastAsia="zh-CN"/>
        </w:rPr>
      </w:pPr>
      <w:r>
        <w:rPr>
          <w:rFonts w:eastAsia="SimSun"/>
          <w:caps/>
          <w:sz w:val="24"/>
          <w:lang w:eastAsia="zh-CN"/>
        </w:rPr>
        <w:t>Rapport sur l’exécution du programme en 2014</w:t>
      </w:r>
      <w:r>
        <w:rPr>
          <w:rFonts w:eastAsia="SimSun"/>
          <w:caps/>
          <w:sz w:val="24"/>
          <w:lang w:eastAsia="zh-CN"/>
        </w:rPr>
        <w:noBreakHyphen/>
        <w:t>2015</w:t>
      </w:r>
    </w:p>
    <w:p w:rsidR="00534265" w:rsidRDefault="00534265" w:rsidP="00534265">
      <w:pPr>
        <w:rPr>
          <w:rFonts w:eastAsia="SimSun" w:cs="Arial"/>
          <w:sz w:val="22"/>
          <w:lang w:eastAsia="zh-CN"/>
        </w:rPr>
      </w:pPr>
    </w:p>
    <w:p w:rsidR="00534265" w:rsidRPr="00AC62DA" w:rsidRDefault="00534265" w:rsidP="00534265">
      <w:pPr>
        <w:rPr>
          <w:rFonts w:eastAsia="SimSun" w:cs="Arial"/>
          <w:i/>
          <w:sz w:val="22"/>
          <w:szCs w:val="22"/>
          <w:lang w:eastAsia="zh-CN"/>
        </w:rPr>
      </w:pPr>
      <w:proofErr w:type="gramStart"/>
      <w:r w:rsidRPr="00AC62DA">
        <w:rPr>
          <w:rFonts w:eastAsia="SimSun" w:cs="Arial"/>
          <w:i/>
          <w:sz w:val="22"/>
          <w:szCs w:val="22"/>
          <w:lang w:eastAsia="zh-CN"/>
        </w:rPr>
        <w:t>établi</w:t>
      </w:r>
      <w:proofErr w:type="gramEnd"/>
      <w:r w:rsidRPr="00AC62DA">
        <w:rPr>
          <w:rFonts w:eastAsia="SimSun" w:cs="Arial"/>
          <w:i/>
          <w:sz w:val="22"/>
          <w:szCs w:val="22"/>
          <w:lang w:eastAsia="zh-CN"/>
        </w:rPr>
        <w:t xml:space="preserve"> par le Directeur général</w:t>
      </w:r>
    </w:p>
    <w:p w:rsidR="00534265" w:rsidRPr="00AC62DA" w:rsidRDefault="00534265" w:rsidP="00534265">
      <w:pPr>
        <w:rPr>
          <w:rFonts w:eastAsia="SimSun" w:cs="Arial"/>
          <w:sz w:val="22"/>
          <w:szCs w:val="22"/>
          <w:lang w:eastAsia="zh-CN"/>
        </w:rPr>
      </w:pPr>
    </w:p>
    <w:p w:rsidR="00534265" w:rsidRPr="00AC62DA" w:rsidRDefault="00534265" w:rsidP="00534265">
      <w:pPr>
        <w:rPr>
          <w:rFonts w:eastAsia="SimSun" w:cs="Arial"/>
          <w:sz w:val="22"/>
          <w:szCs w:val="22"/>
          <w:lang w:eastAsia="zh-CN"/>
        </w:rPr>
      </w:pPr>
    </w:p>
    <w:p w:rsidR="00534265" w:rsidRPr="00AC62DA" w:rsidRDefault="00534265" w:rsidP="00534265">
      <w:pPr>
        <w:rPr>
          <w:rFonts w:eastAsia="SimSun" w:cs="Arial"/>
          <w:sz w:val="22"/>
          <w:szCs w:val="22"/>
          <w:lang w:eastAsia="zh-CN"/>
        </w:rPr>
      </w:pPr>
    </w:p>
    <w:p w:rsidR="00534265" w:rsidRPr="00AC62DA" w:rsidRDefault="00534265" w:rsidP="00534265">
      <w:pPr>
        <w:rPr>
          <w:rFonts w:eastAsia="SimSun" w:cs="Arial"/>
          <w:sz w:val="22"/>
          <w:szCs w:val="22"/>
          <w:lang w:eastAsia="zh-CN"/>
        </w:rPr>
      </w:pPr>
    </w:p>
    <w:p w:rsidR="00534265" w:rsidRPr="00AC62DA" w:rsidRDefault="00534265" w:rsidP="00534265">
      <w:pPr>
        <w:pStyle w:val="ONUMFS"/>
        <w:numPr>
          <w:ilvl w:val="0"/>
          <w:numId w:val="132"/>
        </w:numPr>
        <w:rPr>
          <w:rFonts w:eastAsia="SimSun"/>
          <w:sz w:val="22"/>
          <w:szCs w:val="22"/>
        </w:rPr>
      </w:pPr>
      <w:r w:rsidRPr="00AC62DA">
        <w:rPr>
          <w:rFonts w:eastAsia="SimSun"/>
          <w:sz w:val="22"/>
          <w:szCs w:val="22"/>
        </w:rPr>
        <w:t>Le présent document contient le rapport sur l’exécution du programme en 2014</w:t>
      </w:r>
      <w:r w:rsidRPr="00AC62DA">
        <w:rPr>
          <w:rFonts w:eastAsia="SimSun"/>
          <w:sz w:val="22"/>
          <w:szCs w:val="22"/>
        </w:rPr>
        <w:noBreakHyphen/>
        <w:t>2015 (document WO/PBC/25/7), qui a été soumis au Comité du programme et budget (PBC) de l’OMPI à sa vingt</w:t>
      </w:r>
      <w:r w:rsidRPr="00AC62DA">
        <w:rPr>
          <w:rFonts w:eastAsia="SimSun"/>
          <w:sz w:val="22"/>
          <w:szCs w:val="22"/>
        </w:rPr>
        <w:noBreakHyphen/>
        <w:t>cinquième session (29 août – 2 septembre 2016).</w:t>
      </w:r>
    </w:p>
    <w:p w:rsidR="00534265" w:rsidRPr="00AC62DA" w:rsidRDefault="00534265" w:rsidP="00534265">
      <w:pPr>
        <w:pStyle w:val="ONUMFS"/>
        <w:numPr>
          <w:ilvl w:val="0"/>
          <w:numId w:val="132"/>
        </w:numPr>
        <w:rPr>
          <w:rFonts w:eastAsia="SimSun"/>
          <w:sz w:val="22"/>
          <w:szCs w:val="22"/>
        </w:rPr>
      </w:pPr>
      <w:r w:rsidRPr="00AC62DA">
        <w:rPr>
          <w:rFonts w:eastAsia="SimSun"/>
          <w:sz w:val="22"/>
          <w:szCs w:val="22"/>
        </w:rPr>
        <w:t>Les décisions du PBC à l’égard de ce document figurent dans les décisions prises par le Comité du programme et budget (document A/56/12).</w:t>
      </w:r>
    </w:p>
    <w:p w:rsidR="00534265" w:rsidRPr="00AC62DA" w:rsidRDefault="00534265" w:rsidP="00534265">
      <w:pPr>
        <w:rPr>
          <w:rFonts w:eastAsia="SimSun" w:cs="Arial"/>
          <w:sz w:val="22"/>
          <w:szCs w:val="22"/>
          <w:lang w:eastAsia="zh-CN"/>
        </w:rPr>
      </w:pPr>
    </w:p>
    <w:p w:rsidR="00534265" w:rsidRPr="00AC62DA" w:rsidRDefault="00534265" w:rsidP="00534265">
      <w:pPr>
        <w:rPr>
          <w:rFonts w:eastAsia="SimSun" w:cs="Arial"/>
          <w:sz w:val="22"/>
          <w:szCs w:val="22"/>
          <w:lang w:eastAsia="zh-CN"/>
        </w:rPr>
      </w:pPr>
    </w:p>
    <w:p w:rsidR="00534265" w:rsidRPr="006B4497" w:rsidRDefault="00534265" w:rsidP="00534265">
      <w:pPr>
        <w:pStyle w:val="Endofdocument-Annex"/>
        <w:rPr>
          <w:rFonts w:eastAsia="SimSun" w:cs="Arial"/>
          <w:sz w:val="22"/>
          <w:szCs w:val="22"/>
          <w:lang w:val="fr-CH" w:eastAsia="zh-CN"/>
        </w:rPr>
      </w:pPr>
      <w:r w:rsidRPr="006B4497">
        <w:rPr>
          <w:sz w:val="22"/>
          <w:szCs w:val="22"/>
          <w:lang w:val="fr-CH"/>
        </w:rPr>
        <w:t>[Le document WO/PBC/25/7 suit]</w:t>
      </w:r>
    </w:p>
    <w:p w:rsidR="00534265" w:rsidRPr="006B4497" w:rsidRDefault="00534265" w:rsidP="00534265">
      <w:pPr>
        <w:rPr>
          <w:rFonts w:eastAsia="SimSun" w:cs="Arial"/>
          <w:sz w:val="22"/>
          <w:szCs w:val="22"/>
          <w:lang w:val="fr-CH" w:eastAsia="zh-CN"/>
        </w:rPr>
        <w:sectPr w:rsidR="00534265" w:rsidRPr="006B4497">
          <w:endnotePr>
            <w:numFmt w:val="decimal"/>
          </w:endnotePr>
          <w:pgSz w:w="11907" w:h="16840"/>
          <w:pgMar w:top="567" w:right="1134" w:bottom="1418" w:left="1418" w:header="510" w:footer="1021" w:gutter="0"/>
          <w:cols w:space="720"/>
        </w:sectPr>
      </w:pPr>
    </w:p>
    <w:tbl>
      <w:tblPr>
        <w:tblW w:w="9356" w:type="dxa"/>
        <w:tblInd w:w="108" w:type="dxa"/>
        <w:tblLayout w:type="fixed"/>
        <w:tblLook w:val="01E0" w:firstRow="1" w:lastRow="1" w:firstColumn="1" w:lastColumn="1" w:noHBand="0" w:noVBand="0"/>
      </w:tblPr>
      <w:tblGrid>
        <w:gridCol w:w="4513"/>
        <w:gridCol w:w="4337"/>
        <w:gridCol w:w="506"/>
      </w:tblGrid>
      <w:tr w:rsidR="00DF5E1D" w:rsidRPr="00C258AD" w:rsidTr="00AC62DA">
        <w:tc>
          <w:tcPr>
            <w:tcW w:w="4513" w:type="dxa"/>
            <w:tcBorders>
              <w:bottom w:val="single" w:sz="4" w:space="0" w:color="auto"/>
            </w:tcBorders>
            <w:tcMar>
              <w:bottom w:w="170" w:type="dxa"/>
            </w:tcMar>
          </w:tcPr>
          <w:p w:rsidR="00DF5E1D" w:rsidRPr="007A287B" w:rsidRDefault="00DF5E1D" w:rsidP="001A4D6C"/>
        </w:tc>
        <w:tc>
          <w:tcPr>
            <w:tcW w:w="4337" w:type="dxa"/>
            <w:tcBorders>
              <w:bottom w:val="single" w:sz="4" w:space="0" w:color="auto"/>
            </w:tcBorders>
            <w:tcMar>
              <w:left w:w="0" w:type="dxa"/>
              <w:right w:w="0" w:type="dxa"/>
            </w:tcMar>
          </w:tcPr>
          <w:p w:rsidR="00DF5E1D" w:rsidRPr="00C258AD" w:rsidRDefault="00DF5E1D" w:rsidP="001A4D6C">
            <w:r w:rsidRPr="00C258AD">
              <w:rPr>
                <w:noProof/>
                <w:lang w:val="en-US"/>
              </w:rPr>
              <w:drawing>
                <wp:inline distT="0" distB="0" distL="0" distR="0" wp14:anchorId="15EB55B9" wp14:editId="00445A0D">
                  <wp:extent cx="1858010" cy="1323975"/>
                  <wp:effectExtent l="0" t="0" r="8890" b="9525"/>
                  <wp:docPr id="12" name="Picture 12" descr="WIP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rsidR="00DF5E1D" w:rsidRPr="00C258AD" w:rsidRDefault="00DF5E1D" w:rsidP="001A4D6C">
            <w:pPr>
              <w:jc w:val="right"/>
            </w:pPr>
            <w:r w:rsidRPr="00C258AD">
              <w:rPr>
                <w:b/>
                <w:sz w:val="40"/>
                <w:szCs w:val="40"/>
              </w:rPr>
              <w:t>F</w:t>
            </w:r>
          </w:p>
        </w:tc>
      </w:tr>
      <w:tr w:rsidR="00DF5E1D" w:rsidRPr="00C258AD" w:rsidTr="001A4D6C">
        <w:trPr>
          <w:trHeight w:hRule="exact" w:val="340"/>
        </w:trPr>
        <w:tc>
          <w:tcPr>
            <w:tcW w:w="9356" w:type="dxa"/>
            <w:gridSpan w:val="3"/>
            <w:tcBorders>
              <w:top w:val="single" w:sz="4" w:space="0" w:color="auto"/>
            </w:tcBorders>
            <w:tcMar>
              <w:top w:w="170" w:type="dxa"/>
              <w:left w:w="0" w:type="dxa"/>
              <w:right w:w="0" w:type="dxa"/>
            </w:tcMar>
            <w:vAlign w:val="bottom"/>
          </w:tcPr>
          <w:p w:rsidR="00DF5E1D" w:rsidRPr="00C258AD" w:rsidRDefault="00DF5E1D" w:rsidP="00DF5E1D">
            <w:pPr>
              <w:jc w:val="right"/>
              <w:rPr>
                <w:rFonts w:ascii="Arial Black" w:hAnsi="Arial Black"/>
                <w:caps/>
                <w:sz w:val="15"/>
              </w:rPr>
            </w:pPr>
            <w:r w:rsidRPr="00C258AD">
              <w:rPr>
                <w:rFonts w:ascii="Arial Black" w:hAnsi="Arial Black"/>
                <w:caps/>
                <w:sz w:val="15"/>
              </w:rPr>
              <w:t>WO/PBC/25/</w:t>
            </w:r>
            <w:bookmarkStart w:id="0" w:name="Code"/>
            <w:bookmarkEnd w:id="0"/>
            <w:r w:rsidRPr="00C258AD">
              <w:rPr>
                <w:rFonts w:ascii="Arial Black" w:hAnsi="Arial Black"/>
                <w:caps/>
                <w:sz w:val="15"/>
              </w:rPr>
              <w:t>7</w:t>
            </w:r>
          </w:p>
        </w:tc>
      </w:tr>
      <w:tr w:rsidR="00DF5E1D" w:rsidRPr="00C258AD" w:rsidTr="001A4D6C">
        <w:trPr>
          <w:trHeight w:hRule="exact" w:val="170"/>
        </w:trPr>
        <w:tc>
          <w:tcPr>
            <w:tcW w:w="9356" w:type="dxa"/>
            <w:gridSpan w:val="3"/>
            <w:noWrap/>
            <w:tcMar>
              <w:left w:w="0" w:type="dxa"/>
              <w:right w:w="0" w:type="dxa"/>
            </w:tcMar>
            <w:vAlign w:val="bottom"/>
          </w:tcPr>
          <w:p w:rsidR="00DF5E1D" w:rsidRPr="00C258AD" w:rsidRDefault="00DF5E1D" w:rsidP="00AA7A91">
            <w:pPr>
              <w:jc w:val="right"/>
              <w:rPr>
                <w:rFonts w:ascii="Arial Black" w:hAnsi="Arial Black"/>
                <w:caps/>
                <w:sz w:val="15"/>
              </w:rPr>
            </w:pPr>
            <w:r w:rsidRPr="00C258AD">
              <w:rPr>
                <w:rFonts w:ascii="Arial Black" w:hAnsi="Arial Black"/>
                <w:caps/>
                <w:sz w:val="15"/>
              </w:rPr>
              <w:t>ORIGINAL</w:t>
            </w:r>
            <w:r w:rsidR="00AA7A91">
              <w:rPr>
                <w:rFonts w:ascii="Arial Black" w:hAnsi="Arial Black"/>
                <w:caps/>
                <w:sz w:val="15"/>
              </w:rPr>
              <w:t> </w:t>
            </w:r>
            <w:r w:rsidRPr="00C258AD">
              <w:rPr>
                <w:rFonts w:ascii="Arial Black" w:hAnsi="Arial Black"/>
                <w:caps/>
                <w:sz w:val="15"/>
              </w:rPr>
              <w:t xml:space="preserve">: </w:t>
            </w:r>
            <w:bookmarkStart w:id="1" w:name="Original"/>
            <w:bookmarkEnd w:id="1"/>
            <w:r w:rsidRPr="00C258AD">
              <w:rPr>
                <w:rFonts w:ascii="Arial Black" w:hAnsi="Arial Black"/>
                <w:caps/>
                <w:sz w:val="15"/>
              </w:rPr>
              <w:t>anglais</w:t>
            </w:r>
          </w:p>
        </w:tc>
      </w:tr>
      <w:tr w:rsidR="00DF5E1D" w:rsidRPr="00C258AD" w:rsidTr="001A4D6C">
        <w:trPr>
          <w:trHeight w:hRule="exact" w:val="198"/>
        </w:trPr>
        <w:tc>
          <w:tcPr>
            <w:tcW w:w="9356" w:type="dxa"/>
            <w:gridSpan w:val="3"/>
            <w:tcMar>
              <w:left w:w="0" w:type="dxa"/>
              <w:right w:w="0" w:type="dxa"/>
            </w:tcMar>
            <w:vAlign w:val="bottom"/>
          </w:tcPr>
          <w:p w:rsidR="00DF5E1D" w:rsidRPr="00C258AD" w:rsidRDefault="00AA7A91" w:rsidP="00DF5E1D">
            <w:pPr>
              <w:jc w:val="right"/>
              <w:rPr>
                <w:rFonts w:ascii="Arial Black" w:hAnsi="Arial Black"/>
                <w:caps/>
                <w:sz w:val="15"/>
              </w:rPr>
            </w:pPr>
            <w:r>
              <w:rPr>
                <w:rFonts w:ascii="Arial Black" w:hAnsi="Arial Black"/>
                <w:caps/>
                <w:sz w:val="15"/>
              </w:rPr>
              <w:t>DATE </w:t>
            </w:r>
            <w:r w:rsidR="00DF5E1D" w:rsidRPr="00C258AD">
              <w:rPr>
                <w:rFonts w:ascii="Arial Black" w:hAnsi="Arial Black"/>
                <w:caps/>
                <w:sz w:val="15"/>
              </w:rPr>
              <w:t xml:space="preserve">: </w:t>
            </w:r>
            <w:bookmarkStart w:id="2" w:name="Date"/>
            <w:bookmarkEnd w:id="2"/>
            <w:r>
              <w:rPr>
                <w:rFonts w:ascii="Arial Black" w:hAnsi="Arial Black"/>
                <w:caps/>
                <w:sz w:val="15"/>
              </w:rPr>
              <w:t>27 juin </w:t>
            </w:r>
            <w:r w:rsidR="00DF5E1D" w:rsidRPr="00C258AD">
              <w:rPr>
                <w:rFonts w:ascii="Arial Black" w:hAnsi="Arial Black"/>
                <w:caps/>
                <w:sz w:val="15"/>
              </w:rPr>
              <w:t>2016</w:t>
            </w:r>
          </w:p>
        </w:tc>
      </w:tr>
    </w:tbl>
    <w:p w:rsidR="006E2BB1" w:rsidRPr="00C258AD" w:rsidRDefault="006E2BB1" w:rsidP="001A4D6C"/>
    <w:p w:rsidR="006E2BB1" w:rsidRPr="00C258AD" w:rsidRDefault="006E2BB1" w:rsidP="001A4D6C"/>
    <w:p w:rsidR="006E2BB1" w:rsidRPr="00C258AD" w:rsidRDefault="006E2BB1" w:rsidP="001A4D6C"/>
    <w:p w:rsidR="006E2BB1" w:rsidRPr="00C258AD" w:rsidRDefault="006E2BB1" w:rsidP="001A4D6C"/>
    <w:p w:rsidR="006E2BB1" w:rsidRPr="00C258AD" w:rsidRDefault="006E2BB1" w:rsidP="001A4D6C"/>
    <w:p w:rsidR="006E2BB1" w:rsidRPr="00C258AD" w:rsidRDefault="00DF5E1D" w:rsidP="001A4D6C">
      <w:pPr>
        <w:rPr>
          <w:b/>
          <w:sz w:val="28"/>
          <w:szCs w:val="28"/>
        </w:rPr>
      </w:pPr>
      <w:r w:rsidRPr="00C258AD">
        <w:rPr>
          <w:b/>
          <w:sz w:val="28"/>
          <w:szCs w:val="28"/>
        </w:rPr>
        <w:t>Comité du programme et budget</w:t>
      </w:r>
    </w:p>
    <w:p w:rsidR="006E2BB1" w:rsidRPr="00C258AD" w:rsidRDefault="006E2BB1" w:rsidP="001A4D6C"/>
    <w:p w:rsidR="006E2BB1" w:rsidRPr="00C258AD" w:rsidRDefault="006E2BB1" w:rsidP="001A4D6C"/>
    <w:p w:rsidR="006E2BB1" w:rsidRPr="00C258AD" w:rsidRDefault="00DF5E1D" w:rsidP="001A4D6C">
      <w:pPr>
        <w:rPr>
          <w:b/>
          <w:sz w:val="24"/>
        </w:rPr>
      </w:pPr>
      <w:r w:rsidRPr="00C258AD">
        <w:rPr>
          <w:b/>
          <w:sz w:val="24"/>
        </w:rPr>
        <w:t>Vingt-cinquième session</w:t>
      </w:r>
    </w:p>
    <w:p w:rsidR="006E2BB1" w:rsidRPr="00C258AD" w:rsidRDefault="00DF5E1D" w:rsidP="001A4D6C">
      <w:pPr>
        <w:rPr>
          <w:b/>
          <w:sz w:val="24"/>
        </w:rPr>
      </w:pPr>
      <w:r w:rsidRPr="00C258AD">
        <w:rPr>
          <w:b/>
          <w:sz w:val="24"/>
        </w:rPr>
        <w:t>Genève, 29 août – 2 septembre 2016</w:t>
      </w:r>
    </w:p>
    <w:p w:rsidR="006E2BB1" w:rsidRPr="00C258AD" w:rsidRDefault="006E2BB1" w:rsidP="001A4D6C"/>
    <w:p w:rsidR="006E2BB1" w:rsidRPr="00C258AD" w:rsidRDefault="006E2BB1" w:rsidP="001A4D6C"/>
    <w:p w:rsidR="006E2BB1" w:rsidRPr="00C258AD" w:rsidRDefault="006E2BB1" w:rsidP="001A4D6C"/>
    <w:p w:rsidR="006E2BB1" w:rsidRPr="00C258AD" w:rsidRDefault="001A4D6C" w:rsidP="001A4D6C">
      <w:pPr>
        <w:rPr>
          <w:caps/>
          <w:sz w:val="24"/>
        </w:rPr>
      </w:pPr>
      <w:bookmarkStart w:id="3" w:name="TitleOfDoc"/>
      <w:bookmarkEnd w:id="3"/>
      <w:r w:rsidRPr="00C258AD">
        <w:rPr>
          <w:caps/>
          <w:sz w:val="24"/>
        </w:rPr>
        <w:t>Rapport sur l’exécution du programme en 2014-2015</w:t>
      </w:r>
    </w:p>
    <w:p w:rsidR="006E2BB1" w:rsidRPr="00C258AD" w:rsidRDefault="006E2BB1" w:rsidP="001A4D6C"/>
    <w:p w:rsidR="006E2BB1" w:rsidRPr="00C258AD" w:rsidRDefault="001A4D6C" w:rsidP="001A4D6C">
      <w:pPr>
        <w:rPr>
          <w:i/>
        </w:rPr>
      </w:pPr>
      <w:bookmarkStart w:id="4" w:name="Prepared"/>
      <w:bookmarkEnd w:id="4"/>
      <w:proofErr w:type="gramStart"/>
      <w:r w:rsidRPr="00C258AD">
        <w:rPr>
          <w:i/>
        </w:rPr>
        <w:t>présenté</w:t>
      </w:r>
      <w:proofErr w:type="gramEnd"/>
      <w:r w:rsidRPr="00C258AD">
        <w:rPr>
          <w:i/>
        </w:rPr>
        <w:t xml:space="preserve"> par le Directeur général</w:t>
      </w:r>
    </w:p>
    <w:p w:rsidR="006E2BB1" w:rsidRPr="00C258AD" w:rsidRDefault="006E2BB1" w:rsidP="001A4D6C"/>
    <w:p w:rsidR="006E2BB1" w:rsidRPr="00C258AD" w:rsidRDefault="006E2BB1" w:rsidP="001A4D6C"/>
    <w:p w:rsidR="006E2BB1" w:rsidRPr="00C258AD" w:rsidRDefault="006E2BB1" w:rsidP="001A4D6C"/>
    <w:p w:rsidR="006E2BB1" w:rsidRPr="00C258AD" w:rsidRDefault="006E2BB1" w:rsidP="001A4D6C"/>
    <w:p w:rsidR="006E2BB1" w:rsidRPr="00C258AD" w:rsidRDefault="006E2BB1"/>
    <w:p w:rsidR="006E2BB1" w:rsidRPr="00C258AD" w:rsidRDefault="001A4D6C" w:rsidP="001A4D6C">
      <w:r w:rsidRPr="00C258AD">
        <w:t>1.</w:t>
      </w:r>
      <w:r w:rsidRPr="00C258AD">
        <w:tab/>
        <w:t>Le Rapport sur l’exécution du programme en 2014-2015 a été établi conformément au cadre de gestion de l’OMPI axée sur les résultats.</w:t>
      </w:r>
      <w:r w:rsidR="00DF5E1D" w:rsidRPr="00C258AD">
        <w:t xml:space="preserve">  </w:t>
      </w:r>
      <w:r w:rsidRPr="00C258AD">
        <w:t>Il repose sur les critères d’exécution établis dans le programme et budg</w:t>
      </w:r>
      <w:r w:rsidR="00AA7A91">
        <w:t>et pour l’exercice biennal 2014 </w:t>
      </w:r>
      <w:r w:rsidRPr="00C258AD">
        <w:t>2015 approuvé par les assemblées des États membres de l’OMPI en décembre 2013 (publication n° 360F/PB14/15).</w:t>
      </w:r>
      <w:r w:rsidR="00DF5E1D" w:rsidRPr="00C258AD">
        <w:t xml:space="preserve">  </w:t>
      </w:r>
    </w:p>
    <w:p w:rsidR="006E2BB1" w:rsidRPr="00C258AD" w:rsidRDefault="006E2BB1" w:rsidP="00DF5E1D"/>
    <w:p w:rsidR="006E2BB1" w:rsidRPr="00C258AD" w:rsidRDefault="00AA7A91" w:rsidP="001A4D6C">
      <w:r>
        <w:t>2.</w:t>
      </w:r>
      <w:r>
        <w:tab/>
        <w:t>Le paragraphe de décision ci</w:t>
      </w:r>
      <w:r>
        <w:noBreakHyphen/>
      </w:r>
      <w:r w:rsidR="001A4D6C" w:rsidRPr="00C258AD">
        <w:t>après est proposé.</w:t>
      </w:r>
    </w:p>
    <w:p w:rsidR="006E2BB1" w:rsidRPr="00C258AD" w:rsidRDefault="006E2BB1" w:rsidP="00DF5E1D"/>
    <w:p w:rsidR="00C258AD" w:rsidRPr="00C258AD" w:rsidRDefault="001A4D6C" w:rsidP="001A4D6C">
      <w:pPr>
        <w:ind w:left="5533"/>
        <w:rPr>
          <w:rFonts w:cs="Arial"/>
          <w:i/>
        </w:rPr>
      </w:pPr>
      <w:r w:rsidRPr="00C258AD">
        <w:rPr>
          <w:rFonts w:cs="Arial"/>
          <w:i/>
        </w:rPr>
        <w:t>3.</w:t>
      </w:r>
      <w:r w:rsidRPr="00C258AD">
        <w:rPr>
          <w:rFonts w:cs="Arial"/>
          <w:i/>
        </w:rPr>
        <w:tab/>
        <w:t>Le Comité du programme et budget (PBC), après avoir examiné le rapport sur l</w:t>
      </w:r>
      <w:r w:rsidR="00AA7A91">
        <w:rPr>
          <w:rFonts w:cs="Arial"/>
          <w:i/>
        </w:rPr>
        <w:t>’exécution du programme en 2014</w:t>
      </w:r>
      <w:r w:rsidR="00AA7A91">
        <w:rPr>
          <w:rFonts w:cs="Arial"/>
          <w:i/>
        </w:rPr>
        <w:noBreakHyphen/>
      </w:r>
      <w:r w:rsidRPr="00C258AD">
        <w:rPr>
          <w:rFonts w:cs="Arial"/>
          <w:i/>
        </w:rPr>
        <w:t xml:space="preserve">2015 (document WO/PBC/25/7) et tenant compte de son caractère d’autoévaluation du Secrétariat, a recommandé que les assemblées des États membres de </w:t>
      </w:r>
      <w:r w:rsidR="00C258AD" w:rsidRPr="00C258AD">
        <w:rPr>
          <w:rFonts w:cs="Arial"/>
          <w:i/>
        </w:rPr>
        <w:t>l’OMPI prennent acte de la contribution apportée par le</w:t>
      </w:r>
      <w:r w:rsidR="00AA7A91">
        <w:rPr>
          <w:rFonts w:cs="Arial"/>
          <w:i/>
        </w:rPr>
        <w:t>s différents programmes en 2014</w:t>
      </w:r>
      <w:r w:rsidR="00AA7A91">
        <w:rPr>
          <w:rFonts w:cs="Arial"/>
          <w:i/>
        </w:rPr>
        <w:noBreakHyphen/>
      </w:r>
      <w:r w:rsidR="00C258AD" w:rsidRPr="00C258AD">
        <w:rPr>
          <w:rFonts w:cs="Arial"/>
          <w:i/>
        </w:rPr>
        <w:t>2015 à la réalisation des résultats escomptés.</w:t>
      </w:r>
    </w:p>
    <w:p w:rsidR="006E2BB1" w:rsidRPr="00C258AD" w:rsidRDefault="006E2BB1" w:rsidP="001A4D6C">
      <w:pPr>
        <w:ind w:left="5533"/>
        <w:rPr>
          <w:i/>
        </w:rPr>
      </w:pPr>
    </w:p>
    <w:p w:rsidR="006E2BB1" w:rsidRPr="00C258AD" w:rsidRDefault="006E2BB1" w:rsidP="00DF5E1D"/>
    <w:p w:rsidR="006E2BB1" w:rsidRPr="00C258AD" w:rsidRDefault="006E2BB1" w:rsidP="00DF5E1D"/>
    <w:p w:rsidR="006E2BB1" w:rsidRPr="00C258AD" w:rsidRDefault="001A4D6C" w:rsidP="001A4D6C">
      <w:pPr>
        <w:pStyle w:val="Endofdocument-Annex"/>
        <w:rPr>
          <w:lang w:val="fr-FR"/>
        </w:rPr>
      </w:pPr>
      <w:r w:rsidRPr="00C258AD">
        <w:rPr>
          <w:lang w:val="fr-FR"/>
        </w:rPr>
        <w:t>[Le rapport sur l</w:t>
      </w:r>
      <w:r w:rsidR="00AA7A91">
        <w:rPr>
          <w:lang w:val="fr-FR"/>
        </w:rPr>
        <w:t>’exécution du programme en 2014</w:t>
      </w:r>
      <w:r w:rsidR="00AA7A91">
        <w:rPr>
          <w:lang w:val="fr-FR"/>
        </w:rPr>
        <w:noBreakHyphen/>
      </w:r>
      <w:r w:rsidRPr="00C258AD">
        <w:rPr>
          <w:lang w:val="fr-FR"/>
        </w:rPr>
        <w:t>2015 suit]</w:t>
      </w:r>
    </w:p>
    <w:p w:rsidR="006E2BB1" w:rsidRPr="00C258AD" w:rsidRDefault="00CA6084">
      <w:pPr>
        <w:spacing w:after="200" w:line="276" w:lineRule="auto"/>
      </w:pPr>
      <w:r w:rsidRPr="00C258AD">
        <w:br w:type="page"/>
      </w:r>
    </w:p>
    <w:p w:rsidR="006E2BB1" w:rsidRPr="00C258AD" w:rsidRDefault="006E2BB1" w:rsidP="00DF5E1D"/>
    <w:p w:rsidR="006E2BB1" w:rsidRPr="00C258AD" w:rsidRDefault="006E2BB1" w:rsidP="00DF5E1D">
      <w:pPr>
        <w:spacing w:after="200" w:line="276" w:lineRule="auto"/>
        <w:rPr>
          <w:rFonts w:cs="Arial"/>
          <w:b/>
          <w:bCs/>
          <w:iCs/>
          <w:caps/>
          <w:sz w:val="22"/>
          <w:szCs w:val="28"/>
        </w:rPr>
      </w:pPr>
    </w:p>
    <w:p w:rsidR="00DF5E1D" w:rsidRPr="00C258AD" w:rsidRDefault="00DF5E1D" w:rsidP="00305CE5">
      <w:pPr>
        <w:pStyle w:val="Heading3"/>
        <w:sectPr w:rsidR="00DF5E1D" w:rsidRPr="00C258AD" w:rsidSect="008F201B">
          <w:headerReference w:type="even" r:id="rId11"/>
          <w:footerReference w:type="default" r:id="rId12"/>
          <w:headerReference w:type="first" r:id="rId13"/>
          <w:footerReference w:type="first" r:id="rId14"/>
          <w:pgSz w:w="11907" w:h="16839" w:code="9"/>
          <w:pgMar w:top="567" w:right="1134" w:bottom="1418" w:left="1418" w:header="510" w:footer="1021" w:gutter="0"/>
          <w:cols w:space="720"/>
          <w:docGrid w:linePitch="360"/>
        </w:sectPr>
      </w:pPr>
    </w:p>
    <w:p w:rsidR="006E2BB1" w:rsidRPr="00C258AD" w:rsidRDefault="00CA6084" w:rsidP="00CA6084">
      <w:pPr>
        <w:jc w:val="center"/>
        <w:rPr>
          <w:b/>
          <w:caps/>
          <w:sz w:val="22"/>
        </w:rPr>
      </w:pPr>
      <w:r w:rsidRPr="00C258AD">
        <w:rPr>
          <w:b/>
          <w:caps/>
          <w:sz w:val="22"/>
        </w:rPr>
        <w:lastRenderedPageBreak/>
        <w:t>Rapport sur l’exécution du programme en 2014-2015</w:t>
      </w:r>
    </w:p>
    <w:p w:rsidR="006E2BB1" w:rsidRPr="00C258AD" w:rsidRDefault="006E2BB1" w:rsidP="00CA6084">
      <w:pPr>
        <w:rPr>
          <w:caps/>
          <w:sz w:val="22"/>
        </w:rPr>
      </w:pPr>
    </w:p>
    <w:p w:rsidR="006E2BB1" w:rsidRPr="00C258AD" w:rsidRDefault="00CA6084" w:rsidP="00CA6084">
      <w:pPr>
        <w:jc w:val="center"/>
        <w:rPr>
          <w:caps/>
          <w:sz w:val="22"/>
        </w:rPr>
      </w:pPr>
      <w:r w:rsidRPr="00C258AD">
        <w:rPr>
          <w:caps/>
          <w:sz w:val="22"/>
        </w:rPr>
        <w:t>Table des matières</w:t>
      </w:r>
    </w:p>
    <w:p w:rsidR="006E2BB1" w:rsidRPr="00C258AD" w:rsidRDefault="006E2BB1" w:rsidP="00CA6084">
      <w:pPr>
        <w:rPr>
          <w:sz w:val="22"/>
        </w:rPr>
      </w:pPr>
    </w:p>
    <w:p w:rsidR="00343D9F" w:rsidRDefault="009479C5">
      <w:pPr>
        <w:pStyle w:val="TOC1"/>
        <w:rPr>
          <w:rFonts w:asciiTheme="minorHAnsi" w:eastAsiaTheme="minorEastAsia" w:hAnsiTheme="minorHAnsi" w:cstheme="minorBidi"/>
          <w:b w:val="0"/>
          <w:caps w:val="0"/>
          <w:noProof/>
          <w:sz w:val="22"/>
          <w:szCs w:val="22"/>
          <w:lang w:val="fr-FR" w:eastAsia="fr-FR"/>
        </w:rPr>
      </w:pPr>
      <w:r>
        <w:rPr>
          <w:bCs/>
          <w:szCs w:val="20"/>
        </w:rPr>
        <w:fldChar w:fldCharType="begin"/>
      </w:r>
      <w:r w:rsidRPr="006B4497">
        <w:rPr>
          <w:bCs/>
          <w:szCs w:val="20"/>
          <w:lang w:val="fr-CH"/>
        </w:rPr>
        <w:instrText xml:space="preserve"> TOC \o "1-3" \u \t "Heading 8;4" </w:instrText>
      </w:r>
      <w:r>
        <w:rPr>
          <w:bCs/>
          <w:szCs w:val="20"/>
        </w:rPr>
        <w:fldChar w:fldCharType="separate"/>
      </w:r>
      <w:r w:rsidR="00343D9F" w:rsidRPr="006B4497">
        <w:rPr>
          <w:noProof/>
          <w:lang w:val="fr-CH"/>
        </w:rPr>
        <w:t>I.</w:t>
      </w:r>
      <w:r w:rsidR="00343D9F">
        <w:rPr>
          <w:rFonts w:asciiTheme="minorHAnsi" w:eastAsiaTheme="minorEastAsia" w:hAnsiTheme="minorHAnsi" w:cstheme="minorBidi"/>
          <w:b w:val="0"/>
          <w:caps w:val="0"/>
          <w:noProof/>
          <w:sz w:val="22"/>
          <w:szCs w:val="22"/>
          <w:lang w:val="fr-FR" w:eastAsia="fr-FR"/>
        </w:rPr>
        <w:tab/>
      </w:r>
      <w:r w:rsidR="00343D9F" w:rsidRPr="006B4497">
        <w:rPr>
          <w:noProof/>
          <w:lang w:val="fr-CH"/>
        </w:rPr>
        <w:t>INTRODUCTION</w:t>
      </w:r>
      <w:r w:rsidR="00343D9F" w:rsidRPr="006B4497">
        <w:rPr>
          <w:noProof/>
          <w:lang w:val="fr-CH"/>
        </w:rPr>
        <w:tab/>
      </w:r>
      <w:r w:rsidR="00343D9F">
        <w:rPr>
          <w:noProof/>
        </w:rPr>
        <w:fldChar w:fldCharType="begin"/>
      </w:r>
      <w:r w:rsidR="00343D9F" w:rsidRPr="006B4497">
        <w:rPr>
          <w:noProof/>
          <w:lang w:val="fr-CH"/>
        </w:rPr>
        <w:instrText xml:space="preserve"> PAGEREF _Toc455394170 \h </w:instrText>
      </w:r>
      <w:r w:rsidR="00343D9F">
        <w:rPr>
          <w:noProof/>
        </w:rPr>
      </w:r>
      <w:r w:rsidR="00343D9F">
        <w:rPr>
          <w:noProof/>
        </w:rPr>
        <w:fldChar w:fldCharType="separate"/>
      </w:r>
      <w:r w:rsidR="00D054D4" w:rsidRPr="006B4497">
        <w:rPr>
          <w:noProof/>
          <w:lang w:val="fr-CH"/>
        </w:rPr>
        <w:t>3</w:t>
      </w:r>
      <w:r w:rsidR="00343D9F">
        <w:rPr>
          <w:noProof/>
        </w:rPr>
        <w:fldChar w:fldCharType="end"/>
      </w:r>
    </w:p>
    <w:p w:rsidR="00343D9F" w:rsidRDefault="00343D9F">
      <w:pPr>
        <w:pStyle w:val="TOC1"/>
        <w:rPr>
          <w:rFonts w:asciiTheme="minorHAnsi" w:eastAsiaTheme="minorEastAsia" w:hAnsiTheme="minorHAnsi" w:cstheme="minorBidi"/>
          <w:b w:val="0"/>
          <w:caps w:val="0"/>
          <w:noProof/>
          <w:sz w:val="22"/>
          <w:szCs w:val="22"/>
          <w:lang w:val="fr-FR" w:eastAsia="fr-FR"/>
        </w:rPr>
      </w:pPr>
      <w:r w:rsidRPr="00931538">
        <w:rPr>
          <w:noProof/>
          <w:lang w:val="fr-FR"/>
        </w:rPr>
        <w:t>II.</w:t>
      </w:r>
      <w:r>
        <w:rPr>
          <w:rFonts w:asciiTheme="minorHAnsi" w:eastAsiaTheme="minorEastAsia" w:hAnsiTheme="minorHAnsi" w:cstheme="minorBidi"/>
          <w:b w:val="0"/>
          <w:caps w:val="0"/>
          <w:noProof/>
          <w:sz w:val="22"/>
          <w:szCs w:val="22"/>
          <w:lang w:val="fr-FR" w:eastAsia="fr-FR"/>
        </w:rPr>
        <w:tab/>
      </w:r>
      <w:r w:rsidRPr="00931538">
        <w:rPr>
          <w:noProof/>
          <w:lang w:val="fr-FR"/>
        </w:rPr>
        <w:t>RÉsumÉ des rÉalisations en 2014</w:t>
      </w:r>
      <w:r w:rsidRPr="00931538">
        <w:rPr>
          <w:noProof/>
          <w:lang w:val="fr-FR"/>
        </w:rPr>
        <w:noBreakHyphen/>
        <w:t>2015</w:t>
      </w:r>
      <w:r w:rsidRPr="006B4497">
        <w:rPr>
          <w:noProof/>
          <w:lang w:val="fr-CH"/>
        </w:rPr>
        <w:tab/>
      </w:r>
      <w:r>
        <w:rPr>
          <w:noProof/>
        </w:rPr>
        <w:fldChar w:fldCharType="begin"/>
      </w:r>
      <w:r w:rsidRPr="006B4497">
        <w:rPr>
          <w:noProof/>
          <w:lang w:val="fr-CH"/>
        </w:rPr>
        <w:instrText xml:space="preserve"> PAGEREF _Toc455394171 \h </w:instrText>
      </w:r>
      <w:r>
        <w:rPr>
          <w:noProof/>
        </w:rPr>
      </w:r>
      <w:r>
        <w:rPr>
          <w:noProof/>
        </w:rPr>
        <w:fldChar w:fldCharType="separate"/>
      </w:r>
      <w:r w:rsidR="00D054D4" w:rsidRPr="006B4497">
        <w:rPr>
          <w:noProof/>
          <w:lang w:val="fr-CH"/>
        </w:rPr>
        <w:t>4</w:t>
      </w:r>
      <w:r>
        <w:rPr>
          <w:noProof/>
        </w:rPr>
        <w:fldChar w:fldCharType="end"/>
      </w:r>
    </w:p>
    <w:p w:rsidR="00343D9F" w:rsidRDefault="00343D9F">
      <w:pPr>
        <w:pStyle w:val="TOC1"/>
        <w:rPr>
          <w:rFonts w:asciiTheme="minorHAnsi" w:eastAsiaTheme="minorEastAsia" w:hAnsiTheme="minorHAnsi" w:cstheme="minorBidi"/>
          <w:b w:val="0"/>
          <w:caps w:val="0"/>
          <w:noProof/>
          <w:sz w:val="22"/>
          <w:szCs w:val="22"/>
          <w:lang w:val="fr-FR" w:eastAsia="fr-FR"/>
        </w:rPr>
      </w:pPr>
      <w:r w:rsidRPr="00931538">
        <w:rPr>
          <w:noProof/>
          <w:lang w:val="fr-FR"/>
        </w:rPr>
        <w:t>III.</w:t>
      </w:r>
      <w:r>
        <w:rPr>
          <w:rFonts w:asciiTheme="minorHAnsi" w:eastAsiaTheme="minorEastAsia" w:hAnsiTheme="minorHAnsi" w:cstheme="minorBidi"/>
          <w:b w:val="0"/>
          <w:caps w:val="0"/>
          <w:noProof/>
          <w:sz w:val="22"/>
          <w:szCs w:val="22"/>
          <w:lang w:val="fr-FR" w:eastAsia="fr-FR"/>
        </w:rPr>
        <w:tab/>
      </w:r>
      <w:r w:rsidRPr="00931538">
        <w:rPr>
          <w:noProof/>
          <w:lang w:val="fr-FR"/>
        </w:rPr>
        <w:t>BUDGET CONSOLIDÉ ET DÉPENSES RÉELLES POUR 2014</w:t>
      </w:r>
      <w:r w:rsidRPr="00931538">
        <w:rPr>
          <w:noProof/>
          <w:lang w:val="fr-FR"/>
        </w:rPr>
        <w:noBreakHyphen/>
        <w:t>2015</w:t>
      </w:r>
      <w:r w:rsidRPr="006B4497">
        <w:rPr>
          <w:noProof/>
          <w:lang w:val="fr-CH"/>
        </w:rPr>
        <w:tab/>
      </w:r>
      <w:r>
        <w:rPr>
          <w:noProof/>
        </w:rPr>
        <w:fldChar w:fldCharType="begin"/>
      </w:r>
      <w:r w:rsidRPr="006B4497">
        <w:rPr>
          <w:noProof/>
          <w:lang w:val="fr-CH"/>
        </w:rPr>
        <w:instrText xml:space="preserve"> PAGEREF _Toc455394172 \h </w:instrText>
      </w:r>
      <w:r>
        <w:rPr>
          <w:noProof/>
        </w:rPr>
      </w:r>
      <w:r>
        <w:rPr>
          <w:noProof/>
        </w:rPr>
        <w:fldChar w:fldCharType="separate"/>
      </w:r>
      <w:r w:rsidR="00D054D4" w:rsidRPr="006B4497">
        <w:rPr>
          <w:noProof/>
          <w:lang w:val="fr-CH"/>
        </w:rPr>
        <w:t>25</w:t>
      </w:r>
      <w:r>
        <w:rPr>
          <w:noProof/>
        </w:rPr>
        <w:fldChar w:fldCharType="end"/>
      </w:r>
    </w:p>
    <w:p w:rsidR="00343D9F" w:rsidRDefault="00343D9F">
      <w:pPr>
        <w:pStyle w:val="TOC1"/>
        <w:rPr>
          <w:rFonts w:asciiTheme="minorHAnsi" w:eastAsiaTheme="minorEastAsia" w:hAnsiTheme="minorHAnsi" w:cstheme="minorBidi"/>
          <w:b w:val="0"/>
          <w:caps w:val="0"/>
          <w:noProof/>
          <w:sz w:val="22"/>
          <w:szCs w:val="22"/>
          <w:lang w:val="fr-FR" w:eastAsia="fr-FR"/>
        </w:rPr>
      </w:pPr>
      <w:r w:rsidRPr="00931538">
        <w:rPr>
          <w:noProof/>
          <w:lang w:val="fr-FR"/>
        </w:rPr>
        <w:t>IV.</w:t>
      </w:r>
      <w:r>
        <w:rPr>
          <w:rFonts w:asciiTheme="minorHAnsi" w:eastAsiaTheme="minorEastAsia" w:hAnsiTheme="minorHAnsi" w:cstheme="minorBidi"/>
          <w:b w:val="0"/>
          <w:caps w:val="0"/>
          <w:noProof/>
          <w:sz w:val="22"/>
          <w:szCs w:val="22"/>
          <w:lang w:val="fr-FR" w:eastAsia="fr-FR"/>
        </w:rPr>
        <w:tab/>
      </w:r>
      <w:r w:rsidRPr="00931538">
        <w:rPr>
          <w:noProof/>
          <w:lang w:val="fr-FR"/>
        </w:rPr>
        <w:t>RAPPORT SUR LES DÉPENSES de DÉVELOPPEMENT en 2014</w:t>
      </w:r>
      <w:r w:rsidRPr="00931538">
        <w:rPr>
          <w:noProof/>
          <w:lang w:val="fr-FR"/>
        </w:rPr>
        <w:noBreakHyphen/>
        <w:t>2015</w:t>
      </w:r>
      <w:r w:rsidRPr="006B4497">
        <w:rPr>
          <w:noProof/>
          <w:lang w:val="fr-CH"/>
        </w:rPr>
        <w:tab/>
      </w:r>
      <w:r>
        <w:rPr>
          <w:noProof/>
        </w:rPr>
        <w:fldChar w:fldCharType="begin"/>
      </w:r>
      <w:r w:rsidRPr="006B4497">
        <w:rPr>
          <w:noProof/>
          <w:lang w:val="fr-CH"/>
        </w:rPr>
        <w:instrText xml:space="preserve"> PAGEREF _Toc455394173 \h </w:instrText>
      </w:r>
      <w:r>
        <w:rPr>
          <w:noProof/>
        </w:rPr>
      </w:r>
      <w:r>
        <w:rPr>
          <w:noProof/>
        </w:rPr>
        <w:fldChar w:fldCharType="separate"/>
      </w:r>
      <w:r w:rsidR="00D054D4" w:rsidRPr="006B4497">
        <w:rPr>
          <w:noProof/>
          <w:lang w:val="fr-CH"/>
        </w:rPr>
        <w:t>29</w:t>
      </w:r>
      <w:r>
        <w:rPr>
          <w:noProof/>
        </w:rPr>
        <w:fldChar w:fldCharType="end"/>
      </w:r>
    </w:p>
    <w:p w:rsidR="00343D9F" w:rsidRDefault="00343D9F">
      <w:pPr>
        <w:pStyle w:val="TOC1"/>
        <w:rPr>
          <w:rFonts w:asciiTheme="minorHAnsi" w:eastAsiaTheme="minorEastAsia" w:hAnsiTheme="minorHAnsi" w:cstheme="minorBidi"/>
          <w:b w:val="0"/>
          <w:caps w:val="0"/>
          <w:noProof/>
          <w:sz w:val="22"/>
          <w:szCs w:val="22"/>
          <w:lang w:val="fr-FR" w:eastAsia="fr-FR"/>
        </w:rPr>
      </w:pPr>
      <w:r w:rsidRPr="00931538">
        <w:rPr>
          <w:noProof/>
          <w:lang w:val="fr-FR"/>
        </w:rPr>
        <w:t>V.</w:t>
      </w:r>
      <w:r>
        <w:rPr>
          <w:rFonts w:asciiTheme="minorHAnsi" w:eastAsiaTheme="minorEastAsia" w:hAnsiTheme="minorHAnsi" w:cstheme="minorBidi"/>
          <w:b w:val="0"/>
          <w:caps w:val="0"/>
          <w:noProof/>
          <w:sz w:val="22"/>
          <w:szCs w:val="22"/>
          <w:lang w:val="fr-FR" w:eastAsia="fr-FR"/>
        </w:rPr>
        <w:tab/>
      </w:r>
      <w:r w:rsidRPr="00931538">
        <w:rPr>
          <w:rFonts w:eastAsiaTheme="minorHAnsi"/>
          <w:noProof/>
          <w:lang w:val="fr-FR"/>
        </w:rPr>
        <w:t>RAPPORT SUR LA MISE EN ŒUVRE DE MESURES DE MAÎTRISE DES COÛTS POUR L’EXERCICE BIENNAL 2014</w:t>
      </w:r>
      <w:r w:rsidRPr="00931538">
        <w:rPr>
          <w:rFonts w:eastAsiaTheme="minorHAnsi"/>
          <w:noProof/>
          <w:lang w:val="fr-FR"/>
        </w:rPr>
        <w:noBreakHyphen/>
        <w:t>2015</w:t>
      </w:r>
      <w:r w:rsidRPr="006B4497">
        <w:rPr>
          <w:noProof/>
          <w:lang w:val="fr-CH"/>
        </w:rPr>
        <w:tab/>
      </w:r>
      <w:r>
        <w:rPr>
          <w:noProof/>
        </w:rPr>
        <w:fldChar w:fldCharType="begin"/>
      </w:r>
      <w:r w:rsidRPr="006B4497">
        <w:rPr>
          <w:noProof/>
          <w:lang w:val="fr-CH"/>
        </w:rPr>
        <w:instrText xml:space="preserve"> PAGEREF _Toc455394174 \h </w:instrText>
      </w:r>
      <w:r>
        <w:rPr>
          <w:noProof/>
        </w:rPr>
      </w:r>
      <w:r>
        <w:rPr>
          <w:noProof/>
        </w:rPr>
        <w:fldChar w:fldCharType="separate"/>
      </w:r>
      <w:r w:rsidR="00D054D4" w:rsidRPr="006B4497">
        <w:rPr>
          <w:noProof/>
          <w:lang w:val="fr-CH"/>
        </w:rPr>
        <w:t>33</w:t>
      </w:r>
      <w:r>
        <w:rPr>
          <w:noProof/>
        </w:rPr>
        <w:fldChar w:fldCharType="end"/>
      </w:r>
    </w:p>
    <w:p w:rsidR="00343D9F" w:rsidRDefault="00343D9F">
      <w:pPr>
        <w:pStyle w:val="TOC1"/>
        <w:rPr>
          <w:rFonts w:asciiTheme="minorHAnsi" w:eastAsiaTheme="minorEastAsia" w:hAnsiTheme="minorHAnsi" w:cstheme="minorBidi"/>
          <w:b w:val="0"/>
          <w:caps w:val="0"/>
          <w:noProof/>
          <w:sz w:val="22"/>
          <w:szCs w:val="22"/>
          <w:lang w:val="fr-FR" w:eastAsia="fr-FR"/>
        </w:rPr>
      </w:pPr>
      <w:r w:rsidRPr="00931538">
        <w:rPr>
          <w:noProof/>
          <w:lang w:val="fr-FR"/>
        </w:rPr>
        <w:t>VI.</w:t>
      </w:r>
      <w:r>
        <w:rPr>
          <w:rFonts w:asciiTheme="minorHAnsi" w:eastAsiaTheme="minorEastAsia" w:hAnsiTheme="minorHAnsi" w:cstheme="minorBidi"/>
          <w:b w:val="0"/>
          <w:caps w:val="0"/>
          <w:noProof/>
          <w:sz w:val="22"/>
          <w:szCs w:val="22"/>
          <w:lang w:val="fr-FR" w:eastAsia="fr-FR"/>
        </w:rPr>
        <w:tab/>
      </w:r>
      <w:r w:rsidRPr="00931538">
        <w:rPr>
          <w:noProof/>
          <w:lang w:val="fr-FR"/>
        </w:rPr>
        <w:t>Aperçu des progrès réalisé en 2014-2015 par objectif stratégique</w:t>
      </w:r>
      <w:r w:rsidRPr="006B4497">
        <w:rPr>
          <w:noProof/>
          <w:lang w:val="fr-CH"/>
        </w:rPr>
        <w:tab/>
      </w:r>
      <w:r>
        <w:rPr>
          <w:noProof/>
        </w:rPr>
        <w:fldChar w:fldCharType="begin"/>
      </w:r>
      <w:r w:rsidRPr="006B4497">
        <w:rPr>
          <w:noProof/>
          <w:lang w:val="fr-CH"/>
        </w:rPr>
        <w:instrText xml:space="preserve"> PAGEREF _Toc455394175 \h </w:instrText>
      </w:r>
      <w:r>
        <w:rPr>
          <w:noProof/>
        </w:rPr>
      </w:r>
      <w:r>
        <w:rPr>
          <w:noProof/>
        </w:rPr>
        <w:fldChar w:fldCharType="separate"/>
      </w:r>
      <w:r w:rsidR="00D054D4" w:rsidRPr="006B4497">
        <w:rPr>
          <w:noProof/>
          <w:lang w:val="fr-CH"/>
        </w:rPr>
        <w:t>42</w:t>
      </w:r>
      <w:r>
        <w:rPr>
          <w:noProof/>
        </w:rPr>
        <w:fldChar w:fldCharType="end"/>
      </w:r>
    </w:p>
    <w:p w:rsidR="00343D9F" w:rsidRDefault="00343D9F">
      <w:pPr>
        <w:pStyle w:val="TOC2"/>
        <w:rPr>
          <w:rFonts w:asciiTheme="minorHAnsi" w:eastAsiaTheme="minorEastAsia" w:hAnsiTheme="minorHAnsi" w:cstheme="minorBidi"/>
          <w:caps w:val="0"/>
          <w:noProof/>
          <w:sz w:val="22"/>
          <w:szCs w:val="22"/>
          <w:lang w:val="fr-FR" w:eastAsia="fr-FR"/>
        </w:rPr>
      </w:pPr>
      <w:r w:rsidRPr="006B4497">
        <w:rPr>
          <w:noProof/>
          <w:lang w:val="fr-CH"/>
        </w:rPr>
        <w:t>OBJECTIF STRATÉGIQUE I</w:t>
      </w:r>
      <w:r w:rsidRPr="006B4497">
        <w:rPr>
          <w:noProof/>
          <w:lang w:val="fr-CH"/>
        </w:rPr>
        <w:tab/>
      </w:r>
      <w:r>
        <w:rPr>
          <w:noProof/>
        </w:rPr>
        <w:fldChar w:fldCharType="begin"/>
      </w:r>
      <w:r w:rsidRPr="006B4497">
        <w:rPr>
          <w:noProof/>
          <w:lang w:val="fr-CH"/>
        </w:rPr>
        <w:instrText xml:space="preserve"> PAGEREF _Toc455394176 \h </w:instrText>
      </w:r>
      <w:r>
        <w:rPr>
          <w:noProof/>
        </w:rPr>
      </w:r>
      <w:r>
        <w:rPr>
          <w:noProof/>
        </w:rPr>
        <w:fldChar w:fldCharType="separate"/>
      </w:r>
      <w:r w:rsidR="00D054D4" w:rsidRPr="006B4497">
        <w:rPr>
          <w:noProof/>
          <w:lang w:val="fr-CH"/>
        </w:rPr>
        <w:t>42</w:t>
      </w:r>
      <w:r>
        <w:rPr>
          <w:noProof/>
        </w:rP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1</w:t>
      </w:r>
      <w:r>
        <w:rPr>
          <w:rFonts w:asciiTheme="minorHAnsi" w:eastAsiaTheme="minorEastAsia" w:hAnsiTheme="minorHAnsi" w:cstheme="minorBidi"/>
          <w:caps w:val="0"/>
          <w:sz w:val="22"/>
          <w:szCs w:val="22"/>
          <w:lang w:eastAsia="fr-FR"/>
        </w:rPr>
        <w:tab/>
      </w:r>
      <w:r>
        <w:t>‏Droit des brevets</w:t>
      </w:r>
      <w:r>
        <w:tab/>
      </w:r>
      <w:r>
        <w:fldChar w:fldCharType="begin"/>
      </w:r>
      <w:r>
        <w:instrText xml:space="preserve"> PAGEREF _Toc455394177 \h </w:instrText>
      </w:r>
      <w:r>
        <w:fldChar w:fldCharType="separate"/>
      </w:r>
      <w:r w:rsidR="00D054D4">
        <w:t>44</w:t>
      </w:r>
      <w: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2</w:t>
      </w:r>
      <w:r>
        <w:rPr>
          <w:rFonts w:asciiTheme="minorHAnsi" w:eastAsiaTheme="minorEastAsia" w:hAnsiTheme="minorHAnsi" w:cstheme="minorBidi"/>
          <w:caps w:val="0"/>
          <w:sz w:val="22"/>
          <w:szCs w:val="22"/>
          <w:lang w:eastAsia="fr-FR"/>
        </w:rPr>
        <w:tab/>
      </w:r>
      <w:r>
        <w:t>Marques, dessins et modèles industriels et indications géographiques</w:t>
      </w:r>
      <w:r>
        <w:tab/>
      </w:r>
      <w:r>
        <w:fldChar w:fldCharType="begin"/>
      </w:r>
      <w:r>
        <w:instrText xml:space="preserve"> PAGEREF _Toc455394178 \h </w:instrText>
      </w:r>
      <w:r>
        <w:fldChar w:fldCharType="separate"/>
      </w:r>
      <w:r w:rsidR="00D054D4">
        <w:t>48</w:t>
      </w:r>
      <w: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3</w:t>
      </w:r>
      <w:r>
        <w:rPr>
          <w:rFonts w:asciiTheme="minorHAnsi" w:eastAsiaTheme="minorEastAsia" w:hAnsiTheme="minorHAnsi" w:cstheme="minorBidi"/>
          <w:caps w:val="0"/>
          <w:sz w:val="22"/>
          <w:szCs w:val="22"/>
          <w:lang w:eastAsia="fr-FR"/>
        </w:rPr>
        <w:tab/>
      </w:r>
      <w:r>
        <w:t>Droit d’auteur et droits connexes</w:t>
      </w:r>
      <w:r>
        <w:tab/>
      </w:r>
      <w:r>
        <w:fldChar w:fldCharType="begin"/>
      </w:r>
      <w:r>
        <w:instrText xml:space="preserve"> PAGEREF _Toc455394179 \h </w:instrText>
      </w:r>
      <w:r>
        <w:fldChar w:fldCharType="separate"/>
      </w:r>
      <w:r w:rsidR="00D054D4">
        <w:t>53</w:t>
      </w:r>
      <w: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4</w:t>
      </w:r>
      <w:r>
        <w:rPr>
          <w:rFonts w:asciiTheme="minorHAnsi" w:eastAsiaTheme="minorEastAsia" w:hAnsiTheme="minorHAnsi" w:cstheme="minorBidi"/>
          <w:caps w:val="0"/>
          <w:sz w:val="22"/>
          <w:szCs w:val="22"/>
          <w:lang w:eastAsia="fr-FR"/>
        </w:rPr>
        <w:tab/>
      </w:r>
      <w:r>
        <w:t>‎savoirs traditionnels, expressions culturelles traditionnelles et ressources génétiques</w:t>
      </w:r>
      <w:r>
        <w:tab/>
      </w:r>
      <w:r>
        <w:fldChar w:fldCharType="begin"/>
      </w:r>
      <w:r>
        <w:instrText xml:space="preserve"> PAGEREF _Toc455394180 \h </w:instrText>
      </w:r>
      <w:r>
        <w:fldChar w:fldCharType="separate"/>
      </w:r>
      <w:r w:rsidR="00D054D4">
        <w:t>63</w:t>
      </w:r>
      <w:r>
        <w:fldChar w:fldCharType="end"/>
      </w:r>
    </w:p>
    <w:p w:rsidR="00343D9F" w:rsidRDefault="00343D9F">
      <w:pPr>
        <w:pStyle w:val="TOC2"/>
        <w:rPr>
          <w:rFonts w:asciiTheme="minorHAnsi" w:eastAsiaTheme="minorEastAsia" w:hAnsiTheme="minorHAnsi" w:cstheme="minorBidi"/>
          <w:caps w:val="0"/>
          <w:noProof/>
          <w:sz w:val="22"/>
          <w:szCs w:val="22"/>
          <w:lang w:val="fr-FR" w:eastAsia="fr-FR"/>
        </w:rPr>
      </w:pPr>
      <w:r w:rsidRPr="006B4497">
        <w:rPr>
          <w:noProof/>
          <w:lang w:val="fr-CH"/>
        </w:rPr>
        <w:t>OBJECTIF STRATÉGIQUE II</w:t>
      </w:r>
      <w:r w:rsidRPr="006B4497">
        <w:rPr>
          <w:noProof/>
          <w:lang w:val="fr-CH"/>
        </w:rPr>
        <w:tab/>
      </w:r>
      <w:r>
        <w:rPr>
          <w:noProof/>
        </w:rPr>
        <w:fldChar w:fldCharType="begin"/>
      </w:r>
      <w:r w:rsidRPr="006B4497">
        <w:rPr>
          <w:noProof/>
          <w:lang w:val="fr-CH"/>
        </w:rPr>
        <w:instrText xml:space="preserve"> PAGEREF _Toc455394181 \h </w:instrText>
      </w:r>
      <w:r>
        <w:rPr>
          <w:noProof/>
        </w:rPr>
      </w:r>
      <w:r>
        <w:rPr>
          <w:noProof/>
        </w:rPr>
        <w:fldChar w:fldCharType="separate"/>
      </w:r>
      <w:r w:rsidR="00D054D4" w:rsidRPr="006B4497">
        <w:rPr>
          <w:noProof/>
          <w:lang w:val="fr-CH"/>
        </w:rPr>
        <w:t>67</w:t>
      </w:r>
      <w:r>
        <w:rPr>
          <w:noProof/>
        </w:rP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5</w:t>
      </w:r>
      <w:r>
        <w:rPr>
          <w:rFonts w:asciiTheme="minorHAnsi" w:eastAsiaTheme="minorEastAsia" w:hAnsiTheme="minorHAnsi" w:cstheme="minorBidi"/>
          <w:caps w:val="0"/>
          <w:sz w:val="22"/>
          <w:szCs w:val="22"/>
          <w:lang w:eastAsia="fr-FR"/>
        </w:rPr>
        <w:tab/>
      </w:r>
      <w:r>
        <w:t>Système du PCT</w:t>
      </w:r>
      <w:r>
        <w:tab/>
      </w:r>
      <w:r>
        <w:fldChar w:fldCharType="begin"/>
      </w:r>
      <w:r>
        <w:instrText xml:space="preserve"> PAGEREF _Toc455394182 \h </w:instrText>
      </w:r>
      <w:r>
        <w:fldChar w:fldCharType="separate"/>
      </w:r>
      <w:r w:rsidR="00D054D4">
        <w:t>71</w:t>
      </w:r>
      <w: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6</w:t>
      </w:r>
      <w:r>
        <w:rPr>
          <w:rFonts w:asciiTheme="minorHAnsi" w:eastAsiaTheme="minorEastAsia" w:hAnsiTheme="minorHAnsi" w:cstheme="minorBidi"/>
          <w:caps w:val="0"/>
          <w:sz w:val="22"/>
          <w:szCs w:val="22"/>
          <w:lang w:eastAsia="fr-FR"/>
        </w:rPr>
        <w:tab/>
      </w:r>
      <w:r>
        <w:t>Systèmes de Madrid et de Lisbonne</w:t>
      </w:r>
      <w:r>
        <w:tab/>
      </w:r>
      <w:r>
        <w:fldChar w:fldCharType="begin"/>
      </w:r>
      <w:r>
        <w:instrText xml:space="preserve"> PAGEREF _Toc455394183 \h </w:instrText>
      </w:r>
      <w:r>
        <w:fldChar w:fldCharType="separate"/>
      </w:r>
      <w:r w:rsidR="00D054D4">
        <w:t>90</w:t>
      </w:r>
      <w: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31</w:t>
      </w:r>
      <w:r>
        <w:rPr>
          <w:rFonts w:asciiTheme="minorHAnsi" w:eastAsiaTheme="minorEastAsia" w:hAnsiTheme="minorHAnsi" w:cstheme="minorBidi"/>
          <w:caps w:val="0"/>
          <w:sz w:val="22"/>
          <w:szCs w:val="22"/>
          <w:lang w:eastAsia="fr-FR"/>
        </w:rPr>
        <w:tab/>
      </w:r>
      <w:r>
        <w:t>Système de La Haye</w:t>
      </w:r>
      <w:r>
        <w:tab/>
      </w:r>
      <w:r>
        <w:fldChar w:fldCharType="begin"/>
      </w:r>
      <w:r>
        <w:instrText xml:space="preserve"> PAGEREF _Toc455394184 \h </w:instrText>
      </w:r>
      <w:r>
        <w:fldChar w:fldCharType="separate"/>
      </w:r>
      <w:r w:rsidR="00D054D4">
        <w:t>116</w:t>
      </w:r>
      <w: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7</w:t>
      </w:r>
      <w:r>
        <w:rPr>
          <w:rFonts w:asciiTheme="minorHAnsi" w:eastAsiaTheme="minorEastAsia" w:hAnsiTheme="minorHAnsi" w:cstheme="minorBidi"/>
          <w:caps w:val="0"/>
          <w:sz w:val="22"/>
          <w:szCs w:val="22"/>
          <w:lang w:eastAsia="fr-FR"/>
        </w:rPr>
        <w:tab/>
      </w:r>
      <w:r>
        <w:t>‎Arbitrage, médiation et noms de domaine</w:t>
      </w:r>
      <w:r>
        <w:tab/>
      </w:r>
      <w:r>
        <w:fldChar w:fldCharType="begin"/>
      </w:r>
      <w:r>
        <w:instrText xml:space="preserve"> PAGEREF _Toc455394185 \h </w:instrText>
      </w:r>
      <w:r>
        <w:fldChar w:fldCharType="separate"/>
      </w:r>
      <w:r w:rsidR="00D054D4">
        <w:t>130</w:t>
      </w:r>
      <w:r>
        <w:fldChar w:fldCharType="end"/>
      </w:r>
    </w:p>
    <w:p w:rsidR="00343D9F" w:rsidRDefault="00343D9F">
      <w:pPr>
        <w:pStyle w:val="TOC2"/>
        <w:rPr>
          <w:rFonts w:asciiTheme="minorHAnsi" w:eastAsiaTheme="minorEastAsia" w:hAnsiTheme="minorHAnsi" w:cstheme="minorBidi"/>
          <w:caps w:val="0"/>
          <w:noProof/>
          <w:sz w:val="22"/>
          <w:szCs w:val="22"/>
          <w:lang w:val="fr-FR" w:eastAsia="fr-FR"/>
        </w:rPr>
      </w:pPr>
      <w:r w:rsidRPr="00931538">
        <w:rPr>
          <w:noProof/>
          <w:lang w:val="fr-FR"/>
        </w:rPr>
        <w:t>Objectif stratégique III</w:t>
      </w:r>
      <w:r w:rsidRPr="006B4497">
        <w:rPr>
          <w:noProof/>
          <w:lang w:val="fr-CH"/>
        </w:rPr>
        <w:tab/>
      </w:r>
      <w:r>
        <w:rPr>
          <w:noProof/>
        </w:rPr>
        <w:fldChar w:fldCharType="begin"/>
      </w:r>
      <w:r w:rsidRPr="006B4497">
        <w:rPr>
          <w:noProof/>
          <w:lang w:val="fr-CH"/>
        </w:rPr>
        <w:instrText xml:space="preserve"> PAGEREF _Toc455394186 \h </w:instrText>
      </w:r>
      <w:r>
        <w:rPr>
          <w:noProof/>
        </w:rPr>
      </w:r>
      <w:r>
        <w:rPr>
          <w:noProof/>
        </w:rPr>
        <w:fldChar w:fldCharType="separate"/>
      </w:r>
      <w:r w:rsidR="00D054D4" w:rsidRPr="006B4497">
        <w:rPr>
          <w:noProof/>
          <w:lang w:val="fr-CH"/>
        </w:rPr>
        <w:t>136</w:t>
      </w:r>
      <w:r>
        <w:rPr>
          <w:noProof/>
        </w:rP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8 ‏</w:t>
      </w:r>
      <w:r>
        <w:rPr>
          <w:rFonts w:asciiTheme="minorHAnsi" w:eastAsiaTheme="minorEastAsia" w:hAnsiTheme="minorHAnsi" w:cstheme="minorBidi"/>
          <w:caps w:val="0"/>
          <w:sz w:val="22"/>
          <w:szCs w:val="22"/>
          <w:lang w:eastAsia="fr-FR"/>
        </w:rPr>
        <w:tab/>
      </w:r>
      <w:r>
        <w:t>‎Coordination du Plan d‏’‎action pour le développement</w:t>
      </w:r>
      <w:r>
        <w:tab/>
      </w:r>
      <w:r>
        <w:fldChar w:fldCharType="begin"/>
      </w:r>
      <w:r>
        <w:instrText xml:space="preserve"> PAGEREF _Toc455394187 \h </w:instrText>
      </w:r>
      <w:r>
        <w:fldChar w:fldCharType="separate"/>
      </w:r>
      <w:r w:rsidR="00D054D4">
        <w:t>140</w:t>
      </w:r>
      <w: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9</w:t>
      </w:r>
      <w:r>
        <w:rPr>
          <w:rFonts w:asciiTheme="minorHAnsi" w:eastAsiaTheme="minorEastAsia" w:hAnsiTheme="minorHAnsi" w:cstheme="minorBidi"/>
          <w:caps w:val="0"/>
          <w:sz w:val="22"/>
          <w:szCs w:val="22"/>
          <w:lang w:eastAsia="fr-FR"/>
        </w:rPr>
        <w:tab/>
      </w:r>
      <w:r>
        <w:t>Afrique, pays arabes, Asie et pacifIque, pays d’Amérique latine et des Caraïbes, pays les moins avancés</w:t>
      </w:r>
      <w:r>
        <w:tab/>
      </w:r>
      <w:r>
        <w:fldChar w:fldCharType="begin"/>
      </w:r>
      <w:r>
        <w:instrText xml:space="preserve"> PAGEREF _Toc455394188 \h </w:instrText>
      </w:r>
      <w:r>
        <w:fldChar w:fldCharType="separate"/>
      </w:r>
      <w:r w:rsidR="00D054D4">
        <w:t>145</w:t>
      </w:r>
      <w: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10</w:t>
      </w:r>
      <w:r>
        <w:rPr>
          <w:rFonts w:asciiTheme="minorHAnsi" w:eastAsiaTheme="minorEastAsia" w:hAnsiTheme="minorHAnsi" w:cstheme="minorBidi"/>
          <w:caps w:val="0"/>
          <w:sz w:val="22"/>
          <w:szCs w:val="22"/>
          <w:lang w:eastAsia="fr-FR"/>
        </w:rPr>
        <w:tab/>
      </w:r>
      <w:r>
        <w:t>Coopération avec certains pays d’Europe et d’Asie</w:t>
      </w:r>
      <w:r>
        <w:tab/>
      </w:r>
      <w:r>
        <w:fldChar w:fldCharType="begin"/>
      </w:r>
      <w:r>
        <w:instrText xml:space="preserve"> PAGEREF _Toc455394189 \h </w:instrText>
      </w:r>
      <w:r>
        <w:fldChar w:fldCharType="separate"/>
      </w:r>
      <w:r w:rsidR="00D054D4">
        <w:t>157</w:t>
      </w:r>
      <w: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11</w:t>
      </w:r>
      <w:r>
        <w:rPr>
          <w:rFonts w:asciiTheme="minorHAnsi" w:eastAsiaTheme="minorEastAsia" w:hAnsiTheme="minorHAnsi" w:cstheme="minorBidi"/>
          <w:caps w:val="0"/>
          <w:sz w:val="22"/>
          <w:szCs w:val="22"/>
          <w:lang w:eastAsia="fr-FR"/>
        </w:rPr>
        <w:tab/>
      </w:r>
      <w:r>
        <w:t>Académie de l’OMPI</w:t>
      </w:r>
      <w:r>
        <w:tab/>
      </w:r>
      <w:r>
        <w:fldChar w:fldCharType="begin"/>
      </w:r>
      <w:r>
        <w:instrText xml:space="preserve"> PAGEREF _Toc455394190 \h </w:instrText>
      </w:r>
      <w:r>
        <w:fldChar w:fldCharType="separate"/>
      </w:r>
      <w:r w:rsidR="00D054D4">
        <w:t>166</w:t>
      </w:r>
      <w: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30</w:t>
      </w:r>
      <w:r>
        <w:rPr>
          <w:rFonts w:asciiTheme="minorHAnsi" w:eastAsiaTheme="minorEastAsia" w:hAnsiTheme="minorHAnsi" w:cstheme="minorBidi"/>
          <w:caps w:val="0"/>
          <w:sz w:val="22"/>
          <w:szCs w:val="22"/>
          <w:lang w:eastAsia="fr-FR"/>
        </w:rPr>
        <w:tab/>
      </w:r>
      <w:r>
        <w:t>Petites et moyennes entreprises (PME) et innovation</w:t>
      </w:r>
      <w:r>
        <w:tab/>
      </w:r>
      <w:r>
        <w:fldChar w:fldCharType="begin"/>
      </w:r>
      <w:r>
        <w:instrText xml:space="preserve"> PAGEREF _Toc455394191 \h </w:instrText>
      </w:r>
      <w:r>
        <w:fldChar w:fldCharType="separate"/>
      </w:r>
      <w:r w:rsidR="00D054D4">
        <w:t>175</w:t>
      </w:r>
      <w:r>
        <w:fldChar w:fldCharType="end"/>
      </w:r>
    </w:p>
    <w:p w:rsidR="00343D9F" w:rsidRDefault="00343D9F">
      <w:pPr>
        <w:pStyle w:val="TOC2"/>
        <w:rPr>
          <w:rFonts w:asciiTheme="minorHAnsi" w:eastAsiaTheme="minorEastAsia" w:hAnsiTheme="minorHAnsi" w:cstheme="minorBidi"/>
          <w:caps w:val="0"/>
          <w:noProof/>
          <w:sz w:val="22"/>
          <w:szCs w:val="22"/>
          <w:lang w:val="fr-FR" w:eastAsia="fr-FR"/>
        </w:rPr>
      </w:pPr>
      <w:r w:rsidRPr="00931538">
        <w:rPr>
          <w:noProof/>
          <w:lang w:val="fr-FR"/>
        </w:rPr>
        <w:t>OBJECTIF STRATÉGIQUE IV</w:t>
      </w:r>
      <w:r w:rsidRPr="006B4497">
        <w:rPr>
          <w:noProof/>
          <w:lang w:val="fr-CH"/>
        </w:rPr>
        <w:tab/>
      </w:r>
      <w:r>
        <w:rPr>
          <w:noProof/>
        </w:rPr>
        <w:fldChar w:fldCharType="begin"/>
      </w:r>
      <w:r w:rsidRPr="006B4497">
        <w:rPr>
          <w:noProof/>
          <w:lang w:val="fr-CH"/>
        </w:rPr>
        <w:instrText xml:space="preserve"> PAGEREF _Toc455394192 \h </w:instrText>
      </w:r>
      <w:r>
        <w:rPr>
          <w:noProof/>
        </w:rPr>
      </w:r>
      <w:r>
        <w:rPr>
          <w:noProof/>
        </w:rPr>
        <w:fldChar w:fldCharType="separate"/>
      </w:r>
      <w:r w:rsidR="00D054D4" w:rsidRPr="006B4497">
        <w:rPr>
          <w:noProof/>
          <w:lang w:val="fr-CH"/>
        </w:rPr>
        <w:t>183</w:t>
      </w:r>
      <w:r>
        <w:rPr>
          <w:noProof/>
        </w:rP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12‏</w:t>
      </w:r>
      <w:r>
        <w:rPr>
          <w:rFonts w:asciiTheme="minorHAnsi" w:eastAsiaTheme="minorEastAsia" w:hAnsiTheme="minorHAnsi" w:cstheme="minorBidi"/>
          <w:caps w:val="0"/>
          <w:sz w:val="22"/>
          <w:szCs w:val="22"/>
          <w:lang w:eastAsia="fr-FR"/>
        </w:rPr>
        <w:tab/>
      </w:r>
      <w:r>
        <w:t>‎Classifications internationales et normes</w:t>
      </w:r>
      <w:r>
        <w:tab/>
      </w:r>
      <w:r>
        <w:fldChar w:fldCharType="begin"/>
      </w:r>
      <w:r>
        <w:instrText xml:space="preserve"> PAGEREF _Toc455394193 \h </w:instrText>
      </w:r>
      <w:r>
        <w:fldChar w:fldCharType="separate"/>
      </w:r>
      <w:r w:rsidR="00D054D4">
        <w:t>186</w:t>
      </w:r>
      <w: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13</w:t>
      </w:r>
      <w:r>
        <w:rPr>
          <w:rFonts w:asciiTheme="minorHAnsi" w:eastAsiaTheme="minorEastAsia" w:hAnsiTheme="minorHAnsi" w:cstheme="minorBidi"/>
          <w:caps w:val="0"/>
          <w:sz w:val="22"/>
          <w:szCs w:val="22"/>
          <w:lang w:eastAsia="fr-FR"/>
        </w:rPr>
        <w:tab/>
      </w:r>
      <w:r>
        <w:t>Bases de données mondiales</w:t>
      </w:r>
      <w:r>
        <w:tab/>
      </w:r>
      <w:r>
        <w:fldChar w:fldCharType="begin"/>
      </w:r>
      <w:r>
        <w:instrText xml:space="preserve"> PAGEREF _Toc455394194 \h </w:instrText>
      </w:r>
      <w:r>
        <w:fldChar w:fldCharType="separate"/>
      </w:r>
      <w:r w:rsidR="00D054D4">
        <w:t>190</w:t>
      </w:r>
      <w: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14</w:t>
      </w:r>
      <w:r>
        <w:rPr>
          <w:rFonts w:asciiTheme="minorHAnsi" w:eastAsiaTheme="minorEastAsia" w:hAnsiTheme="minorHAnsi" w:cstheme="minorBidi"/>
          <w:caps w:val="0"/>
          <w:sz w:val="22"/>
          <w:szCs w:val="22"/>
          <w:lang w:eastAsia="fr-FR"/>
        </w:rPr>
        <w:tab/>
      </w:r>
      <w:r>
        <w:t>Services d‏’‎accès à l’‎information et aux savoirs</w:t>
      </w:r>
      <w:r>
        <w:tab/>
      </w:r>
      <w:r>
        <w:fldChar w:fldCharType="begin"/>
      </w:r>
      <w:r>
        <w:instrText xml:space="preserve"> PAGEREF _Toc455394195 \h </w:instrText>
      </w:r>
      <w:r>
        <w:fldChar w:fldCharType="separate"/>
      </w:r>
      <w:r w:rsidR="00D054D4">
        <w:t>195</w:t>
      </w:r>
      <w:r>
        <w:fldChar w:fldCharType="end"/>
      </w:r>
    </w:p>
    <w:p w:rsidR="00343D9F" w:rsidRDefault="00343D9F">
      <w:pPr>
        <w:pStyle w:val="TOC3"/>
        <w:rPr>
          <w:rFonts w:asciiTheme="minorHAnsi" w:eastAsiaTheme="minorEastAsia" w:hAnsiTheme="minorHAnsi" w:cstheme="minorBidi"/>
          <w:caps w:val="0"/>
          <w:sz w:val="22"/>
          <w:szCs w:val="22"/>
          <w:lang w:eastAsia="fr-FR"/>
        </w:rPr>
      </w:pPr>
      <w:r>
        <w:t>Données relatives à l’exécution</w:t>
      </w:r>
      <w:r>
        <w:tab/>
      </w:r>
      <w:r>
        <w:fldChar w:fldCharType="begin"/>
      </w:r>
      <w:r>
        <w:instrText xml:space="preserve"> PAGEREF _Toc455394196 \h </w:instrText>
      </w:r>
      <w:r>
        <w:fldChar w:fldCharType="separate"/>
      </w:r>
      <w:r w:rsidR="00D054D4">
        <w:t>196</w:t>
      </w:r>
      <w: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15</w:t>
      </w:r>
      <w:r>
        <w:rPr>
          <w:rFonts w:asciiTheme="minorHAnsi" w:eastAsiaTheme="minorEastAsia" w:hAnsiTheme="minorHAnsi" w:cstheme="minorBidi"/>
          <w:caps w:val="0"/>
          <w:sz w:val="22"/>
          <w:szCs w:val="22"/>
          <w:lang w:eastAsia="fr-FR"/>
        </w:rPr>
        <w:tab/>
      </w:r>
      <w:r>
        <w:t>Solutions opérationnelles pour les offices de propriété intellectuelle</w:t>
      </w:r>
      <w:r>
        <w:tab/>
      </w:r>
      <w:r>
        <w:fldChar w:fldCharType="begin"/>
      </w:r>
      <w:r>
        <w:instrText xml:space="preserve"> PAGEREF _Toc455394197 \h </w:instrText>
      </w:r>
      <w:r>
        <w:fldChar w:fldCharType="separate"/>
      </w:r>
      <w:r w:rsidR="00D054D4">
        <w:t>200</w:t>
      </w:r>
      <w:r>
        <w:fldChar w:fldCharType="end"/>
      </w:r>
    </w:p>
    <w:p w:rsidR="00343D9F" w:rsidRDefault="00343D9F">
      <w:pPr>
        <w:pStyle w:val="TOC2"/>
        <w:rPr>
          <w:rFonts w:asciiTheme="minorHAnsi" w:eastAsiaTheme="minorEastAsia" w:hAnsiTheme="minorHAnsi" w:cstheme="minorBidi"/>
          <w:caps w:val="0"/>
          <w:noProof/>
          <w:sz w:val="22"/>
          <w:szCs w:val="22"/>
          <w:lang w:val="fr-FR" w:eastAsia="fr-FR"/>
        </w:rPr>
      </w:pPr>
      <w:r w:rsidRPr="00931538">
        <w:rPr>
          <w:noProof/>
          <w:lang w:val="fr-FR"/>
        </w:rPr>
        <w:t>Objectif stratégique V</w:t>
      </w:r>
      <w:r w:rsidRPr="006B4497">
        <w:rPr>
          <w:noProof/>
          <w:lang w:val="fr-CH"/>
        </w:rPr>
        <w:tab/>
      </w:r>
      <w:r>
        <w:rPr>
          <w:noProof/>
        </w:rPr>
        <w:fldChar w:fldCharType="begin"/>
      </w:r>
      <w:r w:rsidRPr="006B4497">
        <w:rPr>
          <w:noProof/>
          <w:lang w:val="fr-CH"/>
        </w:rPr>
        <w:instrText xml:space="preserve"> PAGEREF _Toc455394198 \h </w:instrText>
      </w:r>
      <w:r>
        <w:rPr>
          <w:noProof/>
        </w:rPr>
      </w:r>
      <w:r>
        <w:rPr>
          <w:noProof/>
        </w:rPr>
        <w:fldChar w:fldCharType="separate"/>
      </w:r>
      <w:r w:rsidR="00D054D4" w:rsidRPr="006B4497">
        <w:rPr>
          <w:noProof/>
          <w:lang w:val="fr-CH"/>
        </w:rPr>
        <w:t>205</w:t>
      </w:r>
      <w:r>
        <w:rPr>
          <w:noProof/>
        </w:rP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16‏</w:t>
      </w:r>
      <w:r>
        <w:rPr>
          <w:rFonts w:asciiTheme="minorHAnsi" w:eastAsiaTheme="minorEastAsia" w:hAnsiTheme="minorHAnsi" w:cstheme="minorBidi"/>
          <w:caps w:val="0"/>
          <w:sz w:val="22"/>
          <w:szCs w:val="22"/>
          <w:lang w:eastAsia="fr-FR"/>
        </w:rPr>
        <w:tab/>
      </w:r>
      <w:r>
        <w:t>‎Économie et statistiques</w:t>
      </w:r>
      <w:r>
        <w:tab/>
      </w:r>
      <w:r>
        <w:fldChar w:fldCharType="begin"/>
      </w:r>
      <w:r>
        <w:instrText xml:space="preserve"> PAGEREF _Toc455394199 \h </w:instrText>
      </w:r>
      <w:r>
        <w:fldChar w:fldCharType="separate"/>
      </w:r>
      <w:r w:rsidR="00D054D4">
        <w:t>206</w:t>
      </w:r>
      <w:r>
        <w:fldChar w:fldCharType="end"/>
      </w:r>
    </w:p>
    <w:p w:rsidR="00343D9F" w:rsidRDefault="00343D9F">
      <w:pPr>
        <w:pStyle w:val="TOC2"/>
        <w:rPr>
          <w:rFonts w:asciiTheme="minorHAnsi" w:eastAsiaTheme="minorEastAsia" w:hAnsiTheme="minorHAnsi" w:cstheme="minorBidi"/>
          <w:caps w:val="0"/>
          <w:noProof/>
          <w:sz w:val="22"/>
          <w:szCs w:val="22"/>
          <w:lang w:val="fr-FR" w:eastAsia="fr-FR"/>
        </w:rPr>
      </w:pPr>
      <w:r w:rsidRPr="00931538">
        <w:rPr>
          <w:noProof/>
          <w:lang w:val="fr-FR"/>
        </w:rPr>
        <w:t>OBJECTIF STRATÉGIQUE VI</w:t>
      </w:r>
      <w:r w:rsidRPr="006B4497">
        <w:rPr>
          <w:noProof/>
          <w:lang w:val="fr-CH"/>
        </w:rPr>
        <w:tab/>
      </w:r>
      <w:r>
        <w:rPr>
          <w:noProof/>
        </w:rPr>
        <w:fldChar w:fldCharType="begin"/>
      </w:r>
      <w:r w:rsidRPr="006B4497">
        <w:rPr>
          <w:noProof/>
          <w:lang w:val="fr-CH"/>
        </w:rPr>
        <w:instrText xml:space="preserve"> PAGEREF _Toc455394200 \h </w:instrText>
      </w:r>
      <w:r>
        <w:rPr>
          <w:noProof/>
        </w:rPr>
      </w:r>
      <w:r>
        <w:rPr>
          <w:noProof/>
        </w:rPr>
        <w:fldChar w:fldCharType="separate"/>
      </w:r>
      <w:r w:rsidR="00D054D4" w:rsidRPr="006B4497">
        <w:rPr>
          <w:noProof/>
          <w:lang w:val="fr-CH"/>
        </w:rPr>
        <w:t>211</w:t>
      </w:r>
      <w:r>
        <w:rPr>
          <w:noProof/>
        </w:rP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17</w:t>
      </w:r>
      <w:r>
        <w:rPr>
          <w:rFonts w:asciiTheme="minorHAnsi" w:eastAsiaTheme="minorEastAsia" w:hAnsiTheme="minorHAnsi" w:cstheme="minorBidi"/>
          <w:caps w:val="0"/>
          <w:sz w:val="22"/>
          <w:szCs w:val="22"/>
          <w:lang w:eastAsia="fr-FR"/>
        </w:rPr>
        <w:tab/>
      </w:r>
      <w:r>
        <w:t>‎Promouvoir le respect de la propriété intellectuelle</w:t>
      </w:r>
      <w:r>
        <w:tab/>
      </w:r>
      <w:r>
        <w:fldChar w:fldCharType="begin"/>
      </w:r>
      <w:r>
        <w:instrText xml:space="preserve"> PAGEREF _Toc455394201 \h </w:instrText>
      </w:r>
      <w:r>
        <w:fldChar w:fldCharType="separate"/>
      </w:r>
      <w:r w:rsidR="00D054D4">
        <w:t>212</w:t>
      </w:r>
      <w:r>
        <w:fldChar w:fldCharType="end"/>
      </w:r>
    </w:p>
    <w:p w:rsidR="00343D9F" w:rsidRDefault="00343D9F">
      <w:pPr>
        <w:pStyle w:val="TOC2"/>
        <w:rPr>
          <w:rFonts w:asciiTheme="minorHAnsi" w:eastAsiaTheme="minorEastAsia" w:hAnsiTheme="minorHAnsi" w:cstheme="minorBidi"/>
          <w:caps w:val="0"/>
          <w:noProof/>
          <w:sz w:val="22"/>
          <w:szCs w:val="22"/>
          <w:lang w:val="fr-FR" w:eastAsia="fr-FR"/>
        </w:rPr>
      </w:pPr>
      <w:r w:rsidRPr="00931538">
        <w:rPr>
          <w:noProof/>
          <w:lang w:val="fr-FR"/>
        </w:rPr>
        <w:t>Objectif stratégique VII</w:t>
      </w:r>
      <w:r w:rsidRPr="006B4497">
        <w:rPr>
          <w:noProof/>
          <w:lang w:val="fr-CH"/>
        </w:rPr>
        <w:tab/>
      </w:r>
      <w:r>
        <w:rPr>
          <w:noProof/>
        </w:rPr>
        <w:fldChar w:fldCharType="begin"/>
      </w:r>
      <w:r w:rsidRPr="006B4497">
        <w:rPr>
          <w:noProof/>
          <w:lang w:val="fr-CH"/>
        </w:rPr>
        <w:instrText xml:space="preserve"> PAGEREF _Toc455394202 \h </w:instrText>
      </w:r>
      <w:r>
        <w:rPr>
          <w:noProof/>
        </w:rPr>
      </w:r>
      <w:r>
        <w:rPr>
          <w:noProof/>
        </w:rPr>
        <w:fldChar w:fldCharType="separate"/>
      </w:r>
      <w:r w:rsidR="00D054D4" w:rsidRPr="006B4497">
        <w:rPr>
          <w:noProof/>
          <w:lang w:val="fr-CH"/>
        </w:rPr>
        <w:t>218</w:t>
      </w:r>
      <w:r>
        <w:rPr>
          <w:noProof/>
        </w:rP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18</w:t>
      </w:r>
      <w:r>
        <w:rPr>
          <w:rFonts w:asciiTheme="minorHAnsi" w:eastAsiaTheme="minorEastAsia" w:hAnsiTheme="minorHAnsi" w:cstheme="minorBidi"/>
          <w:caps w:val="0"/>
          <w:sz w:val="22"/>
          <w:szCs w:val="22"/>
          <w:lang w:eastAsia="fr-FR"/>
        </w:rPr>
        <w:tab/>
      </w:r>
      <w:r>
        <w:t>Propriété intellectuelle et défis mondiaux</w:t>
      </w:r>
      <w:r>
        <w:tab/>
      </w:r>
      <w:r>
        <w:fldChar w:fldCharType="begin"/>
      </w:r>
      <w:r>
        <w:instrText xml:space="preserve"> PAGEREF _Toc455394203 \h </w:instrText>
      </w:r>
      <w:r>
        <w:fldChar w:fldCharType="separate"/>
      </w:r>
      <w:r w:rsidR="00D054D4">
        <w:t>220</w:t>
      </w:r>
      <w:r>
        <w:fldChar w:fldCharType="end"/>
      </w:r>
    </w:p>
    <w:p w:rsidR="00343D9F" w:rsidRDefault="00343D9F">
      <w:pPr>
        <w:pStyle w:val="TOC2"/>
        <w:rPr>
          <w:rFonts w:asciiTheme="minorHAnsi" w:eastAsiaTheme="minorEastAsia" w:hAnsiTheme="minorHAnsi" w:cstheme="minorBidi"/>
          <w:caps w:val="0"/>
          <w:noProof/>
          <w:sz w:val="22"/>
          <w:szCs w:val="22"/>
          <w:lang w:val="fr-FR" w:eastAsia="fr-FR"/>
        </w:rPr>
      </w:pPr>
      <w:r w:rsidRPr="00931538">
        <w:rPr>
          <w:noProof/>
          <w:lang w:val="fr-FR"/>
        </w:rPr>
        <w:t>OBJECTIF STRATÉGIQUE VIII</w:t>
      </w:r>
      <w:r w:rsidRPr="006B4497">
        <w:rPr>
          <w:noProof/>
          <w:lang w:val="fr-CH"/>
        </w:rPr>
        <w:tab/>
      </w:r>
      <w:r>
        <w:rPr>
          <w:noProof/>
        </w:rPr>
        <w:fldChar w:fldCharType="begin"/>
      </w:r>
      <w:r w:rsidRPr="006B4497">
        <w:rPr>
          <w:noProof/>
          <w:lang w:val="fr-CH"/>
        </w:rPr>
        <w:instrText xml:space="preserve"> PAGEREF _Toc455394204 \h </w:instrText>
      </w:r>
      <w:r>
        <w:rPr>
          <w:noProof/>
        </w:rPr>
      </w:r>
      <w:r>
        <w:rPr>
          <w:noProof/>
        </w:rPr>
        <w:fldChar w:fldCharType="separate"/>
      </w:r>
      <w:r w:rsidR="00D054D4" w:rsidRPr="006B4497">
        <w:rPr>
          <w:noProof/>
          <w:lang w:val="fr-CH"/>
        </w:rPr>
        <w:t>228</w:t>
      </w:r>
      <w:r>
        <w:rPr>
          <w:noProof/>
        </w:rP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19‏</w:t>
      </w:r>
      <w:r>
        <w:rPr>
          <w:rFonts w:asciiTheme="minorHAnsi" w:eastAsiaTheme="minorEastAsia" w:hAnsiTheme="minorHAnsi" w:cstheme="minorBidi"/>
          <w:caps w:val="0"/>
          <w:sz w:val="22"/>
          <w:szCs w:val="22"/>
          <w:lang w:eastAsia="fr-FR"/>
        </w:rPr>
        <w:tab/>
      </w:r>
      <w:r>
        <w:t>Communications</w:t>
      </w:r>
      <w:r>
        <w:tab/>
      </w:r>
      <w:r>
        <w:fldChar w:fldCharType="begin"/>
      </w:r>
      <w:r>
        <w:instrText xml:space="preserve"> PAGEREF _Toc455394205 \h </w:instrText>
      </w:r>
      <w:r>
        <w:fldChar w:fldCharType="separate"/>
      </w:r>
      <w:r w:rsidR="00D054D4">
        <w:t>230</w:t>
      </w:r>
      <w: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20</w:t>
      </w:r>
      <w:r>
        <w:rPr>
          <w:rFonts w:asciiTheme="minorHAnsi" w:eastAsiaTheme="minorEastAsia" w:hAnsiTheme="minorHAnsi" w:cstheme="minorBidi"/>
          <w:caps w:val="0"/>
          <w:sz w:val="22"/>
          <w:szCs w:val="22"/>
          <w:lang w:eastAsia="fr-FR"/>
        </w:rPr>
        <w:tab/>
      </w:r>
      <w:r>
        <w:t>Relations extérieures, partenariats et bureaux extérieurs</w:t>
      </w:r>
      <w:r>
        <w:tab/>
      </w:r>
      <w:r>
        <w:fldChar w:fldCharType="begin"/>
      </w:r>
      <w:r>
        <w:instrText xml:space="preserve"> PAGEREF _Toc455394206 \h </w:instrText>
      </w:r>
      <w:r>
        <w:fldChar w:fldCharType="separate"/>
      </w:r>
      <w:r w:rsidR="00D054D4">
        <w:t>238</w:t>
      </w:r>
      <w:r>
        <w:fldChar w:fldCharType="end"/>
      </w:r>
    </w:p>
    <w:p w:rsidR="00343D9F" w:rsidRDefault="00343D9F">
      <w:pPr>
        <w:pStyle w:val="TOC2"/>
        <w:rPr>
          <w:rFonts w:asciiTheme="minorHAnsi" w:eastAsiaTheme="minorEastAsia" w:hAnsiTheme="minorHAnsi" w:cstheme="minorBidi"/>
          <w:caps w:val="0"/>
          <w:noProof/>
          <w:sz w:val="22"/>
          <w:szCs w:val="22"/>
          <w:lang w:val="fr-FR" w:eastAsia="fr-FR"/>
        </w:rPr>
      </w:pPr>
      <w:r w:rsidRPr="00931538">
        <w:rPr>
          <w:noProof/>
          <w:lang w:val="fr-FR"/>
        </w:rPr>
        <w:t>OBJECTIF STRATÉGIQUE IX</w:t>
      </w:r>
      <w:r w:rsidRPr="006B4497">
        <w:rPr>
          <w:noProof/>
          <w:lang w:val="fr-CH"/>
        </w:rPr>
        <w:tab/>
      </w:r>
      <w:r>
        <w:rPr>
          <w:noProof/>
        </w:rPr>
        <w:fldChar w:fldCharType="begin"/>
      </w:r>
      <w:r w:rsidRPr="006B4497">
        <w:rPr>
          <w:noProof/>
          <w:lang w:val="fr-CH"/>
        </w:rPr>
        <w:instrText xml:space="preserve"> PAGEREF _Toc455394207 \h </w:instrText>
      </w:r>
      <w:r>
        <w:rPr>
          <w:noProof/>
        </w:rPr>
      </w:r>
      <w:r>
        <w:rPr>
          <w:noProof/>
        </w:rPr>
        <w:fldChar w:fldCharType="separate"/>
      </w:r>
      <w:r w:rsidR="00D054D4" w:rsidRPr="006B4497">
        <w:rPr>
          <w:noProof/>
          <w:lang w:val="fr-CH"/>
        </w:rPr>
        <w:t>259</w:t>
      </w:r>
      <w:r>
        <w:rPr>
          <w:noProof/>
        </w:rPr>
        <w:fldChar w:fldCharType="end"/>
      </w:r>
    </w:p>
    <w:p w:rsidR="00343D9F" w:rsidRDefault="00343D9F">
      <w:pPr>
        <w:pStyle w:val="TOC3"/>
        <w:tabs>
          <w:tab w:val="left" w:pos="2287"/>
        </w:tabs>
        <w:rPr>
          <w:rFonts w:asciiTheme="minorHAnsi" w:eastAsiaTheme="minorEastAsia" w:hAnsiTheme="minorHAnsi" w:cstheme="minorBidi"/>
          <w:caps w:val="0"/>
          <w:sz w:val="22"/>
          <w:szCs w:val="22"/>
          <w:lang w:eastAsia="fr-FR"/>
        </w:rPr>
      </w:pPr>
      <w:r>
        <w:lastRenderedPageBreak/>
        <w:t xml:space="preserve">Programme 21 </w:t>
      </w:r>
      <w:r>
        <w:rPr>
          <w:rFonts w:asciiTheme="minorHAnsi" w:eastAsiaTheme="minorEastAsia" w:hAnsiTheme="minorHAnsi" w:cstheme="minorBidi"/>
          <w:caps w:val="0"/>
          <w:sz w:val="22"/>
          <w:szCs w:val="22"/>
          <w:lang w:eastAsia="fr-FR"/>
        </w:rPr>
        <w:tab/>
      </w:r>
      <w:r>
        <w:t>Direction générale</w:t>
      </w:r>
      <w:r>
        <w:tab/>
      </w:r>
      <w:r>
        <w:fldChar w:fldCharType="begin"/>
      </w:r>
      <w:r>
        <w:instrText xml:space="preserve"> PAGEREF _Toc455394208 \h </w:instrText>
      </w:r>
      <w:r>
        <w:fldChar w:fldCharType="separate"/>
      </w:r>
      <w:r w:rsidR="00D054D4">
        <w:t>264</w:t>
      </w:r>
      <w:r>
        <w:fldChar w:fldCharType="end"/>
      </w:r>
    </w:p>
    <w:p w:rsidR="00343D9F" w:rsidRDefault="00343D9F">
      <w:pPr>
        <w:pStyle w:val="TOC3"/>
        <w:tabs>
          <w:tab w:val="left" w:pos="2287"/>
        </w:tabs>
        <w:rPr>
          <w:rFonts w:asciiTheme="minorHAnsi" w:eastAsiaTheme="minorEastAsia" w:hAnsiTheme="minorHAnsi" w:cstheme="minorBidi"/>
          <w:caps w:val="0"/>
          <w:sz w:val="22"/>
          <w:szCs w:val="22"/>
          <w:lang w:eastAsia="fr-FR"/>
        </w:rPr>
      </w:pPr>
      <w:r>
        <w:t xml:space="preserve">Programme 22‏ </w:t>
      </w:r>
      <w:r>
        <w:rPr>
          <w:rFonts w:asciiTheme="minorHAnsi" w:eastAsiaTheme="minorEastAsia" w:hAnsiTheme="minorHAnsi" w:cstheme="minorBidi"/>
          <w:caps w:val="0"/>
          <w:sz w:val="22"/>
          <w:szCs w:val="22"/>
          <w:lang w:eastAsia="fr-FR"/>
        </w:rPr>
        <w:tab/>
      </w:r>
      <w:r>
        <w:t>Gestion du programme et des ressources</w:t>
      </w:r>
      <w:r>
        <w:tab/>
      </w:r>
      <w:r>
        <w:fldChar w:fldCharType="begin"/>
      </w:r>
      <w:r>
        <w:instrText xml:space="preserve"> PAGEREF _Toc455394209 \h </w:instrText>
      </w:r>
      <w:r>
        <w:fldChar w:fldCharType="separate"/>
      </w:r>
      <w:r w:rsidR="00D054D4">
        <w:t>271</w:t>
      </w:r>
      <w:r>
        <w:fldChar w:fldCharType="end"/>
      </w:r>
    </w:p>
    <w:p w:rsidR="00343D9F" w:rsidRDefault="00343D9F">
      <w:pPr>
        <w:pStyle w:val="TOC3"/>
        <w:tabs>
          <w:tab w:val="left" w:pos="2287"/>
        </w:tabs>
        <w:rPr>
          <w:rFonts w:asciiTheme="minorHAnsi" w:eastAsiaTheme="minorEastAsia" w:hAnsiTheme="minorHAnsi" w:cstheme="minorBidi"/>
          <w:caps w:val="0"/>
          <w:sz w:val="22"/>
          <w:szCs w:val="22"/>
          <w:lang w:eastAsia="fr-FR"/>
        </w:rPr>
      </w:pPr>
      <w:r>
        <w:t xml:space="preserve">Programme 23 </w:t>
      </w:r>
      <w:r>
        <w:rPr>
          <w:rFonts w:asciiTheme="minorHAnsi" w:eastAsiaTheme="minorEastAsia" w:hAnsiTheme="minorHAnsi" w:cstheme="minorBidi"/>
          <w:caps w:val="0"/>
          <w:sz w:val="22"/>
          <w:szCs w:val="22"/>
          <w:lang w:eastAsia="fr-FR"/>
        </w:rPr>
        <w:tab/>
      </w:r>
      <w:r>
        <w:t>Gestion et mise en valeur des ressources humaines</w:t>
      </w:r>
      <w:r>
        <w:tab/>
      </w:r>
      <w:r>
        <w:fldChar w:fldCharType="begin"/>
      </w:r>
      <w:r>
        <w:instrText xml:space="preserve"> PAGEREF _Toc455394210 \h </w:instrText>
      </w:r>
      <w:r>
        <w:fldChar w:fldCharType="separate"/>
      </w:r>
      <w:r w:rsidR="00D054D4">
        <w:t>278</w:t>
      </w:r>
      <w: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24</w:t>
      </w:r>
      <w:r>
        <w:rPr>
          <w:rFonts w:asciiTheme="minorHAnsi" w:eastAsiaTheme="minorEastAsia" w:hAnsiTheme="minorHAnsi" w:cstheme="minorBidi"/>
          <w:caps w:val="0"/>
          <w:sz w:val="22"/>
          <w:szCs w:val="22"/>
          <w:lang w:eastAsia="fr-FR"/>
        </w:rPr>
        <w:tab/>
      </w:r>
      <w:r>
        <w:t>Services d’appui généraux</w:t>
      </w:r>
      <w:r>
        <w:tab/>
      </w:r>
      <w:r>
        <w:fldChar w:fldCharType="begin"/>
      </w:r>
      <w:r>
        <w:instrText xml:space="preserve"> PAGEREF _Toc455394211 \h </w:instrText>
      </w:r>
      <w:r>
        <w:fldChar w:fldCharType="separate"/>
      </w:r>
      <w:r w:rsidR="00D054D4">
        <w:t>286</w:t>
      </w:r>
      <w:r>
        <w:fldChar w:fldCharType="end"/>
      </w:r>
    </w:p>
    <w:p w:rsidR="00343D9F" w:rsidRDefault="00343D9F">
      <w:pPr>
        <w:pStyle w:val="TOC3"/>
        <w:tabs>
          <w:tab w:val="left" w:pos="2287"/>
        </w:tabs>
        <w:rPr>
          <w:rFonts w:asciiTheme="minorHAnsi" w:eastAsiaTheme="minorEastAsia" w:hAnsiTheme="minorHAnsi" w:cstheme="minorBidi"/>
          <w:caps w:val="0"/>
          <w:sz w:val="22"/>
          <w:szCs w:val="22"/>
          <w:lang w:eastAsia="fr-FR"/>
        </w:rPr>
      </w:pPr>
      <w:r>
        <w:t>Programme 25 ‏</w:t>
      </w:r>
      <w:r>
        <w:rPr>
          <w:rFonts w:asciiTheme="minorHAnsi" w:eastAsiaTheme="minorEastAsia" w:hAnsiTheme="minorHAnsi" w:cstheme="minorBidi"/>
          <w:caps w:val="0"/>
          <w:sz w:val="22"/>
          <w:szCs w:val="22"/>
          <w:lang w:eastAsia="fr-FR"/>
        </w:rPr>
        <w:tab/>
      </w:r>
      <w:r>
        <w:t>Technologies de l’‎information et de la communication</w:t>
      </w:r>
      <w:r>
        <w:tab/>
      </w:r>
      <w:r>
        <w:fldChar w:fldCharType="begin"/>
      </w:r>
      <w:r>
        <w:instrText xml:space="preserve"> PAGEREF _Toc455394212 \h </w:instrText>
      </w:r>
      <w:r>
        <w:fldChar w:fldCharType="separate"/>
      </w:r>
      <w:r w:rsidR="00D054D4">
        <w:t>297</w:t>
      </w:r>
      <w: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26</w:t>
      </w:r>
      <w:r>
        <w:rPr>
          <w:rFonts w:asciiTheme="minorHAnsi" w:eastAsiaTheme="minorEastAsia" w:hAnsiTheme="minorHAnsi" w:cstheme="minorBidi"/>
          <w:caps w:val="0"/>
          <w:sz w:val="22"/>
          <w:szCs w:val="22"/>
          <w:lang w:eastAsia="fr-FR"/>
        </w:rPr>
        <w:tab/>
      </w:r>
      <w:r>
        <w:t>Supervision interne</w:t>
      </w:r>
      <w:r>
        <w:tab/>
      </w:r>
      <w:r>
        <w:fldChar w:fldCharType="begin"/>
      </w:r>
      <w:r>
        <w:instrText xml:space="preserve"> PAGEREF _Toc455394213 \h </w:instrText>
      </w:r>
      <w:r>
        <w:fldChar w:fldCharType="separate"/>
      </w:r>
      <w:r w:rsidR="00D054D4">
        <w:t>304</w:t>
      </w:r>
      <w: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27</w:t>
      </w:r>
      <w:r>
        <w:rPr>
          <w:rFonts w:asciiTheme="minorHAnsi" w:eastAsiaTheme="minorEastAsia" w:hAnsiTheme="minorHAnsi" w:cstheme="minorBidi"/>
          <w:caps w:val="0"/>
          <w:sz w:val="22"/>
          <w:szCs w:val="22"/>
          <w:lang w:eastAsia="fr-FR"/>
        </w:rPr>
        <w:tab/>
      </w:r>
      <w:r>
        <w:t>Services de conférences et services linguistiques</w:t>
      </w:r>
      <w:r>
        <w:tab/>
      </w:r>
      <w:r>
        <w:fldChar w:fldCharType="begin"/>
      </w:r>
      <w:r>
        <w:instrText xml:space="preserve"> PAGEREF _Toc455394214 \h </w:instrText>
      </w:r>
      <w:r>
        <w:fldChar w:fldCharType="separate"/>
      </w:r>
      <w:r w:rsidR="00D054D4">
        <w:t>309</w:t>
      </w:r>
      <w: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28</w:t>
      </w:r>
      <w:r>
        <w:rPr>
          <w:rFonts w:asciiTheme="minorHAnsi" w:eastAsiaTheme="minorEastAsia" w:hAnsiTheme="minorHAnsi" w:cstheme="minorBidi"/>
          <w:caps w:val="0"/>
          <w:sz w:val="22"/>
          <w:szCs w:val="22"/>
          <w:lang w:eastAsia="fr-FR"/>
        </w:rPr>
        <w:tab/>
      </w:r>
      <w:r>
        <w:t>Sûreté et sécurité</w:t>
      </w:r>
      <w:r>
        <w:tab/>
      </w:r>
      <w:r>
        <w:fldChar w:fldCharType="begin"/>
      </w:r>
      <w:r>
        <w:instrText xml:space="preserve"> PAGEREF _Toc455394215 \h </w:instrText>
      </w:r>
      <w:r>
        <w:fldChar w:fldCharType="separate"/>
      </w:r>
      <w:r w:rsidR="00D054D4">
        <w:t>315</w:t>
      </w:r>
      <w:r>
        <w:fldChar w:fldCharType="end"/>
      </w:r>
    </w:p>
    <w:p w:rsidR="00343D9F" w:rsidRDefault="00343D9F">
      <w:pPr>
        <w:pStyle w:val="TOC3"/>
        <w:tabs>
          <w:tab w:val="left" w:pos="2268"/>
        </w:tabs>
        <w:rPr>
          <w:rFonts w:asciiTheme="minorHAnsi" w:eastAsiaTheme="minorEastAsia" w:hAnsiTheme="minorHAnsi" w:cstheme="minorBidi"/>
          <w:caps w:val="0"/>
          <w:sz w:val="22"/>
          <w:szCs w:val="22"/>
          <w:lang w:eastAsia="fr-FR"/>
        </w:rPr>
      </w:pPr>
      <w:r>
        <w:t>Programme 29</w:t>
      </w:r>
      <w:r>
        <w:rPr>
          <w:rFonts w:asciiTheme="minorHAnsi" w:eastAsiaTheme="minorEastAsia" w:hAnsiTheme="minorHAnsi" w:cstheme="minorBidi"/>
          <w:caps w:val="0"/>
          <w:sz w:val="22"/>
          <w:szCs w:val="22"/>
          <w:lang w:eastAsia="fr-FR"/>
        </w:rPr>
        <w:tab/>
      </w:r>
      <w:r>
        <w:t>Projets de constructions</w:t>
      </w:r>
      <w:r>
        <w:tab/>
      </w:r>
      <w:r>
        <w:fldChar w:fldCharType="begin"/>
      </w:r>
      <w:r>
        <w:instrText xml:space="preserve"> PAGEREF _Toc455394216 \h </w:instrText>
      </w:r>
      <w:r>
        <w:fldChar w:fldCharType="separate"/>
      </w:r>
      <w:r w:rsidR="00D054D4">
        <w:t>319</w:t>
      </w:r>
      <w:r>
        <w:fldChar w:fldCharType="end"/>
      </w:r>
    </w:p>
    <w:p w:rsidR="00343D9F" w:rsidRDefault="00343D9F">
      <w:pPr>
        <w:pStyle w:val="TOC1"/>
        <w:rPr>
          <w:rFonts w:asciiTheme="minorHAnsi" w:eastAsiaTheme="minorEastAsia" w:hAnsiTheme="minorHAnsi" w:cstheme="minorBidi"/>
          <w:b w:val="0"/>
          <w:caps w:val="0"/>
          <w:noProof/>
          <w:sz w:val="22"/>
          <w:szCs w:val="22"/>
          <w:lang w:val="fr-FR" w:eastAsia="fr-FR"/>
        </w:rPr>
      </w:pPr>
      <w:r w:rsidRPr="00931538">
        <w:rPr>
          <w:noProof/>
          <w:lang w:val="fr-FR"/>
        </w:rPr>
        <w:t>VII.</w:t>
      </w:r>
      <w:r>
        <w:rPr>
          <w:rFonts w:asciiTheme="minorHAnsi" w:eastAsiaTheme="minorEastAsia" w:hAnsiTheme="minorHAnsi" w:cstheme="minorBidi"/>
          <w:b w:val="0"/>
          <w:caps w:val="0"/>
          <w:noProof/>
          <w:sz w:val="22"/>
          <w:szCs w:val="22"/>
          <w:lang w:val="fr-FR" w:eastAsia="fr-FR"/>
        </w:rPr>
        <w:tab/>
      </w:r>
      <w:r w:rsidRPr="00931538">
        <w:rPr>
          <w:noProof/>
          <w:lang w:val="fr-FR"/>
        </w:rPr>
        <w:t>Annexes</w:t>
      </w:r>
      <w:r w:rsidRPr="006B4497">
        <w:rPr>
          <w:noProof/>
          <w:lang w:val="fr-CH"/>
        </w:rPr>
        <w:tab/>
      </w:r>
      <w:r>
        <w:rPr>
          <w:noProof/>
        </w:rPr>
        <w:fldChar w:fldCharType="begin"/>
      </w:r>
      <w:r w:rsidRPr="006B4497">
        <w:rPr>
          <w:noProof/>
          <w:lang w:val="fr-CH"/>
        </w:rPr>
        <w:instrText xml:space="preserve"> PAGEREF _Toc455394217 \h </w:instrText>
      </w:r>
      <w:r>
        <w:rPr>
          <w:noProof/>
        </w:rPr>
      </w:r>
      <w:r>
        <w:rPr>
          <w:noProof/>
        </w:rPr>
        <w:fldChar w:fldCharType="separate"/>
      </w:r>
      <w:r w:rsidR="00D054D4" w:rsidRPr="006B4497">
        <w:rPr>
          <w:noProof/>
          <w:lang w:val="fr-CH"/>
        </w:rPr>
        <w:t>324</w:t>
      </w:r>
      <w:r>
        <w:rPr>
          <w:noProof/>
        </w:rPr>
        <w:fldChar w:fldCharType="end"/>
      </w:r>
    </w:p>
    <w:p w:rsidR="00343D9F" w:rsidRDefault="00343D9F">
      <w:pPr>
        <w:pStyle w:val="TOC3"/>
        <w:rPr>
          <w:rFonts w:asciiTheme="minorHAnsi" w:eastAsiaTheme="minorEastAsia" w:hAnsiTheme="minorHAnsi" w:cstheme="minorBidi"/>
          <w:caps w:val="0"/>
          <w:sz w:val="22"/>
          <w:szCs w:val="22"/>
          <w:lang w:eastAsia="fr-FR"/>
        </w:rPr>
      </w:pPr>
      <w:r>
        <w:t xml:space="preserve">ANNEXE I  </w:t>
      </w:r>
      <w:r>
        <w:rPr>
          <w:rFonts w:asciiTheme="minorHAnsi" w:eastAsiaTheme="minorEastAsia" w:hAnsiTheme="minorHAnsi" w:cstheme="minorBidi"/>
          <w:caps w:val="0"/>
          <w:sz w:val="22"/>
          <w:szCs w:val="22"/>
          <w:lang w:eastAsia="fr-FR"/>
        </w:rPr>
        <w:tab/>
      </w:r>
      <w:r>
        <w:t>RÉPARTITION DES ÉVALUATIONS DE L’EXÉCUTION PAR PROGRAMME</w:t>
      </w:r>
      <w:r>
        <w:tab/>
      </w:r>
      <w:r>
        <w:fldChar w:fldCharType="begin"/>
      </w:r>
      <w:r>
        <w:instrText xml:space="preserve"> PAGEREF _Toc455394218 \h </w:instrText>
      </w:r>
      <w:r>
        <w:fldChar w:fldCharType="separate"/>
      </w:r>
      <w:r w:rsidR="00D054D4">
        <w:t>324</w:t>
      </w:r>
      <w:r>
        <w:fldChar w:fldCharType="end"/>
      </w:r>
    </w:p>
    <w:p w:rsidR="00343D9F" w:rsidRDefault="00343D9F">
      <w:pPr>
        <w:pStyle w:val="TOC3"/>
        <w:rPr>
          <w:rFonts w:asciiTheme="minorHAnsi" w:eastAsiaTheme="minorEastAsia" w:hAnsiTheme="minorHAnsi" w:cstheme="minorBidi"/>
          <w:caps w:val="0"/>
          <w:sz w:val="22"/>
          <w:szCs w:val="22"/>
          <w:lang w:eastAsia="fr-FR"/>
        </w:rPr>
      </w:pPr>
      <w:r>
        <w:t xml:space="preserve">Annexe II  </w:t>
      </w:r>
      <w:r>
        <w:rPr>
          <w:rFonts w:asciiTheme="minorHAnsi" w:eastAsiaTheme="minorEastAsia" w:hAnsiTheme="minorHAnsi" w:cstheme="minorBidi"/>
          <w:caps w:val="0"/>
          <w:sz w:val="22"/>
          <w:szCs w:val="22"/>
          <w:lang w:eastAsia="fr-FR"/>
        </w:rPr>
        <w:tab/>
      </w:r>
      <w:r>
        <w:t>MISE EN ŒUVRE DES FONDS FIDUCIAIRES 2014</w:t>
      </w:r>
      <w:r>
        <w:noBreakHyphen/>
        <w:t>2015</w:t>
      </w:r>
      <w:r>
        <w:tab/>
      </w:r>
      <w:r>
        <w:fldChar w:fldCharType="begin"/>
      </w:r>
      <w:r>
        <w:instrText xml:space="preserve"> PAGEREF _Toc455394219 \h </w:instrText>
      </w:r>
      <w:r>
        <w:fldChar w:fldCharType="separate"/>
      </w:r>
      <w:r w:rsidR="00D054D4">
        <w:t>326</w:t>
      </w:r>
      <w:r>
        <w:fldChar w:fldCharType="end"/>
      </w:r>
    </w:p>
    <w:p w:rsidR="00343D9F" w:rsidRDefault="00343D9F">
      <w:pPr>
        <w:pStyle w:val="TOC3"/>
        <w:rPr>
          <w:rFonts w:asciiTheme="minorHAnsi" w:eastAsiaTheme="minorEastAsia" w:hAnsiTheme="minorHAnsi" w:cstheme="minorBidi"/>
          <w:caps w:val="0"/>
          <w:sz w:val="22"/>
          <w:szCs w:val="22"/>
          <w:lang w:eastAsia="fr-FR"/>
        </w:rPr>
      </w:pPr>
      <w:r>
        <w:t xml:space="preserve">Annexe III  </w:t>
      </w:r>
      <w:r>
        <w:rPr>
          <w:rFonts w:asciiTheme="minorHAnsi" w:eastAsiaTheme="minorEastAsia" w:hAnsiTheme="minorHAnsi" w:cstheme="minorBidi"/>
          <w:caps w:val="0"/>
          <w:sz w:val="22"/>
          <w:szCs w:val="22"/>
          <w:lang w:eastAsia="fr-FR"/>
        </w:rPr>
        <w:tab/>
      </w:r>
      <w:r>
        <w:t>Rapport sur l’état d’avancement du plan</w:t>
      </w:r>
      <w:r>
        <w:noBreakHyphen/>
        <w:t>cadre d’équipement en 2014</w:t>
      </w:r>
      <w:r>
        <w:noBreakHyphen/>
        <w:t>2015</w:t>
      </w:r>
      <w:r>
        <w:tab/>
      </w:r>
      <w:r>
        <w:fldChar w:fldCharType="begin"/>
      </w:r>
      <w:r>
        <w:instrText xml:space="preserve"> PAGEREF _Toc455394220 \h </w:instrText>
      </w:r>
      <w:r>
        <w:fldChar w:fldCharType="separate"/>
      </w:r>
      <w:r w:rsidR="00D054D4">
        <w:t>357</w:t>
      </w:r>
      <w:r>
        <w:fldChar w:fldCharType="end"/>
      </w:r>
    </w:p>
    <w:p w:rsidR="00343D9F" w:rsidRDefault="00343D9F">
      <w:pPr>
        <w:pStyle w:val="TOC4"/>
        <w:tabs>
          <w:tab w:val="left" w:pos="2268"/>
        </w:tabs>
        <w:rPr>
          <w:rFonts w:asciiTheme="minorHAnsi" w:eastAsiaTheme="minorEastAsia" w:hAnsiTheme="minorHAnsi" w:cstheme="minorBidi"/>
          <w:i w:val="0"/>
          <w:noProof/>
          <w:sz w:val="22"/>
          <w:szCs w:val="22"/>
          <w:lang w:eastAsia="fr-FR"/>
        </w:rPr>
      </w:pPr>
      <w:r>
        <w:rPr>
          <w:noProof/>
        </w:rPr>
        <w:t xml:space="preserve">PROJET 1 </w:t>
      </w:r>
      <w:r>
        <w:rPr>
          <w:rFonts w:asciiTheme="minorHAnsi" w:eastAsiaTheme="minorEastAsia" w:hAnsiTheme="minorHAnsi" w:cstheme="minorBidi"/>
          <w:i w:val="0"/>
          <w:noProof/>
          <w:sz w:val="22"/>
          <w:szCs w:val="22"/>
          <w:lang w:eastAsia="fr-FR"/>
        </w:rPr>
        <w:tab/>
      </w:r>
      <w:r>
        <w:rPr>
          <w:noProof/>
        </w:rPr>
        <w:t>RENFORCEMENT DE LA SÉCURITÉ : CRYPTAGE DES DONNÉES ET GESTION DES UTILISATEURS</w:t>
      </w:r>
      <w:r>
        <w:rPr>
          <w:noProof/>
        </w:rPr>
        <w:tab/>
      </w:r>
      <w:r>
        <w:rPr>
          <w:noProof/>
        </w:rPr>
        <w:fldChar w:fldCharType="begin"/>
      </w:r>
      <w:r>
        <w:rPr>
          <w:noProof/>
        </w:rPr>
        <w:instrText xml:space="preserve"> PAGEREF _Toc455394221 \h </w:instrText>
      </w:r>
      <w:r>
        <w:rPr>
          <w:noProof/>
        </w:rPr>
      </w:r>
      <w:r>
        <w:rPr>
          <w:noProof/>
        </w:rPr>
        <w:fldChar w:fldCharType="separate"/>
      </w:r>
      <w:r w:rsidR="00D054D4">
        <w:rPr>
          <w:noProof/>
        </w:rPr>
        <w:t>358</w:t>
      </w:r>
      <w:r>
        <w:rPr>
          <w:noProof/>
        </w:rPr>
        <w:fldChar w:fldCharType="end"/>
      </w:r>
    </w:p>
    <w:p w:rsidR="00343D9F" w:rsidRDefault="00343D9F">
      <w:pPr>
        <w:pStyle w:val="TOC4"/>
        <w:tabs>
          <w:tab w:val="left" w:pos="2268"/>
        </w:tabs>
        <w:rPr>
          <w:rFonts w:asciiTheme="minorHAnsi" w:eastAsiaTheme="minorEastAsia" w:hAnsiTheme="minorHAnsi" w:cstheme="minorBidi"/>
          <w:i w:val="0"/>
          <w:noProof/>
          <w:sz w:val="22"/>
          <w:szCs w:val="22"/>
          <w:lang w:eastAsia="fr-FR"/>
        </w:rPr>
      </w:pPr>
      <w:r>
        <w:rPr>
          <w:noProof/>
        </w:rPr>
        <w:t>PROJET 2</w:t>
      </w:r>
      <w:r>
        <w:rPr>
          <w:rFonts w:asciiTheme="minorHAnsi" w:eastAsiaTheme="minorEastAsia" w:hAnsiTheme="minorHAnsi" w:cstheme="minorBidi"/>
          <w:i w:val="0"/>
          <w:noProof/>
          <w:sz w:val="22"/>
          <w:szCs w:val="22"/>
          <w:lang w:eastAsia="fr-FR"/>
        </w:rPr>
        <w:tab/>
      </w:r>
      <w:r>
        <w:rPr>
          <w:noProof/>
        </w:rPr>
        <w:t>MISE EN ŒUVRE DU SYSTÈME DE GESTION DES CONTENUS DE L’ORGANISATION</w:t>
      </w:r>
      <w:r>
        <w:rPr>
          <w:noProof/>
        </w:rPr>
        <w:tab/>
      </w:r>
      <w:r>
        <w:rPr>
          <w:noProof/>
        </w:rPr>
        <w:fldChar w:fldCharType="begin"/>
      </w:r>
      <w:r>
        <w:rPr>
          <w:noProof/>
        </w:rPr>
        <w:instrText xml:space="preserve"> PAGEREF _Toc455394222 \h </w:instrText>
      </w:r>
      <w:r>
        <w:rPr>
          <w:noProof/>
        </w:rPr>
      </w:r>
      <w:r>
        <w:rPr>
          <w:noProof/>
        </w:rPr>
        <w:fldChar w:fldCharType="separate"/>
      </w:r>
      <w:r w:rsidR="00D054D4">
        <w:rPr>
          <w:noProof/>
        </w:rPr>
        <w:t>361</w:t>
      </w:r>
      <w:r>
        <w:rPr>
          <w:noProof/>
        </w:rPr>
        <w:fldChar w:fldCharType="end"/>
      </w:r>
    </w:p>
    <w:p w:rsidR="00343D9F" w:rsidRDefault="00343D9F">
      <w:pPr>
        <w:pStyle w:val="TOC4"/>
        <w:tabs>
          <w:tab w:val="left" w:pos="2268"/>
        </w:tabs>
        <w:rPr>
          <w:rFonts w:asciiTheme="minorHAnsi" w:eastAsiaTheme="minorEastAsia" w:hAnsiTheme="minorHAnsi" w:cstheme="minorBidi"/>
          <w:i w:val="0"/>
          <w:noProof/>
          <w:sz w:val="22"/>
          <w:szCs w:val="22"/>
          <w:lang w:eastAsia="fr-FR"/>
        </w:rPr>
      </w:pPr>
      <w:r>
        <w:rPr>
          <w:noProof/>
        </w:rPr>
        <w:t>PROJET3</w:t>
      </w:r>
      <w:r>
        <w:rPr>
          <w:rFonts w:asciiTheme="minorHAnsi" w:eastAsiaTheme="minorEastAsia" w:hAnsiTheme="minorHAnsi" w:cstheme="minorBidi"/>
          <w:i w:val="0"/>
          <w:noProof/>
          <w:sz w:val="22"/>
          <w:szCs w:val="22"/>
          <w:lang w:eastAsia="fr-FR"/>
        </w:rPr>
        <w:tab/>
      </w:r>
      <w:r>
        <w:rPr>
          <w:noProof/>
        </w:rPr>
        <w:t>RÉNOVATION DES FAÇADES ET DE LA CLIMATISATION DU BÂTIMENT DU PCT</w:t>
      </w:r>
      <w:r>
        <w:rPr>
          <w:noProof/>
        </w:rPr>
        <w:tab/>
      </w:r>
      <w:r>
        <w:rPr>
          <w:noProof/>
        </w:rPr>
        <w:tab/>
      </w:r>
      <w:r>
        <w:rPr>
          <w:noProof/>
        </w:rPr>
        <w:fldChar w:fldCharType="begin"/>
      </w:r>
      <w:r>
        <w:rPr>
          <w:noProof/>
        </w:rPr>
        <w:instrText xml:space="preserve"> PAGEREF _Toc455394223 \h </w:instrText>
      </w:r>
      <w:r>
        <w:rPr>
          <w:noProof/>
        </w:rPr>
      </w:r>
      <w:r>
        <w:rPr>
          <w:noProof/>
        </w:rPr>
        <w:fldChar w:fldCharType="separate"/>
      </w:r>
      <w:r w:rsidR="00D054D4">
        <w:rPr>
          <w:noProof/>
        </w:rPr>
        <w:t>368</w:t>
      </w:r>
      <w:r>
        <w:rPr>
          <w:noProof/>
        </w:rPr>
        <w:fldChar w:fldCharType="end"/>
      </w:r>
    </w:p>
    <w:p w:rsidR="00343D9F" w:rsidRDefault="00343D9F">
      <w:pPr>
        <w:pStyle w:val="TOC4"/>
        <w:tabs>
          <w:tab w:val="left" w:pos="2268"/>
        </w:tabs>
        <w:rPr>
          <w:rFonts w:asciiTheme="minorHAnsi" w:eastAsiaTheme="minorEastAsia" w:hAnsiTheme="minorHAnsi" w:cstheme="minorBidi"/>
          <w:i w:val="0"/>
          <w:noProof/>
          <w:sz w:val="22"/>
          <w:szCs w:val="22"/>
          <w:lang w:eastAsia="fr-FR"/>
        </w:rPr>
      </w:pPr>
      <w:r>
        <w:rPr>
          <w:noProof/>
        </w:rPr>
        <w:t>PROJET 4</w:t>
      </w:r>
      <w:r>
        <w:rPr>
          <w:rFonts w:asciiTheme="minorHAnsi" w:eastAsiaTheme="minorEastAsia" w:hAnsiTheme="minorHAnsi" w:cstheme="minorBidi"/>
          <w:i w:val="0"/>
          <w:noProof/>
          <w:sz w:val="22"/>
          <w:szCs w:val="22"/>
          <w:lang w:eastAsia="fr-FR"/>
        </w:rPr>
        <w:tab/>
      </w:r>
      <w:r>
        <w:rPr>
          <w:noProof/>
        </w:rPr>
        <w:t>INSTALLATION DU SYSTÈME DE REFROIDISSEMENT AU MOYEN DE L’EAU DU LAC LÉMAN (PROJET RÉSEAU DU LAC) POUR LES BÂTIMENTS AB ET PCT</w:t>
      </w:r>
      <w:r>
        <w:rPr>
          <w:noProof/>
        </w:rPr>
        <w:tab/>
      </w:r>
      <w:r>
        <w:rPr>
          <w:noProof/>
        </w:rPr>
        <w:fldChar w:fldCharType="begin"/>
      </w:r>
      <w:r>
        <w:rPr>
          <w:noProof/>
        </w:rPr>
        <w:instrText xml:space="preserve"> PAGEREF _Toc455394224 \h </w:instrText>
      </w:r>
      <w:r>
        <w:rPr>
          <w:noProof/>
        </w:rPr>
      </w:r>
      <w:r>
        <w:rPr>
          <w:noProof/>
        </w:rPr>
        <w:fldChar w:fldCharType="separate"/>
      </w:r>
      <w:r w:rsidR="00D054D4">
        <w:rPr>
          <w:noProof/>
        </w:rPr>
        <w:t>372</w:t>
      </w:r>
      <w:r>
        <w:rPr>
          <w:noProof/>
        </w:rPr>
        <w:fldChar w:fldCharType="end"/>
      </w:r>
    </w:p>
    <w:p w:rsidR="00343D9F" w:rsidRDefault="00343D9F">
      <w:pPr>
        <w:pStyle w:val="TOC4"/>
        <w:tabs>
          <w:tab w:val="left" w:pos="2268"/>
        </w:tabs>
        <w:rPr>
          <w:rFonts w:asciiTheme="minorHAnsi" w:eastAsiaTheme="minorEastAsia" w:hAnsiTheme="minorHAnsi" w:cstheme="minorBidi"/>
          <w:i w:val="0"/>
          <w:noProof/>
          <w:sz w:val="22"/>
          <w:szCs w:val="22"/>
          <w:lang w:eastAsia="fr-FR"/>
        </w:rPr>
      </w:pPr>
      <w:r>
        <w:rPr>
          <w:noProof/>
        </w:rPr>
        <w:t>PROJET 5</w:t>
      </w:r>
      <w:r>
        <w:rPr>
          <w:rFonts w:asciiTheme="minorHAnsi" w:eastAsiaTheme="minorEastAsia" w:hAnsiTheme="minorHAnsi" w:cstheme="minorBidi"/>
          <w:i w:val="0"/>
          <w:noProof/>
          <w:sz w:val="22"/>
          <w:szCs w:val="22"/>
          <w:lang w:eastAsia="fr-FR"/>
        </w:rPr>
        <w:tab/>
      </w:r>
      <w:r>
        <w:rPr>
          <w:noProof/>
        </w:rPr>
        <w:t>PHASE 1 DE LA RÉNOVATION DU SOUS</w:t>
      </w:r>
      <w:r>
        <w:rPr>
          <w:noProof/>
        </w:rPr>
        <w:noBreakHyphen/>
        <w:t>SOL DU BÂTIMENT ARPAD BOGSCH (REDIMENSIONNEMENT DU CENTRE INFORMATIQUE ET RÉNOVATION DE L’IMPRIMERIE)</w:t>
      </w:r>
      <w:r>
        <w:rPr>
          <w:noProof/>
        </w:rPr>
        <w:tab/>
      </w:r>
      <w:r>
        <w:rPr>
          <w:noProof/>
        </w:rPr>
        <w:tab/>
      </w:r>
      <w:r>
        <w:rPr>
          <w:noProof/>
        </w:rPr>
        <w:fldChar w:fldCharType="begin"/>
      </w:r>
      <w:r>
        <w:rPr>
          <w:noProof/>
        </w:rPr>
        <w:instrText xml:space="preserve"> PAGEREF _Toc455394225 \h </w:instrText>
      </w:r>
      <w:r>
        <w:rPr>
          <w:noProof/>
        </w:rPr>
      </w:r>
      <w:r>
        <w:rPr>
          <w:noProof/>
        </w:rPr>
        <w:fldChar w:fldCharType="separate"/>
      </w:r>
      <w:r w:rsidR="00D054D4">
        <w:rPr>
          <w:noProof/>
        </w:rPr>
        <w:t>376</w:t>
      </w:r>
      <w:r>
        <w:rPr>
          <w:noProof/>
        </w:rPr>
        <w:fldChar w:fldCharType="end"/>
      </w:r>
    </w:p>
    <w:p w:rsidR="00343D9F" w:rsidRDefault="00343D9F">
      <w:pPr>
        <w:pStyle w:val="TOC4"/>
        <w:tabs>
          <w:tab w:val="left" w:pos="2268"/>
        </w:tabs>
        <w:rPr>
          <w:rFonts w:asciiTheme="minorHAnsi" w:eastAsiaTheme="minorEastAsia" w:hAnsiTheme="minorHAnsi" w:cstheme="minorBidi"/>
          <w:i w:val="0"/>
          <w:noProof/>
          <w:sz w:val="22"/>
          <w:szCs w:val="22"/>
          <w:lang w:eastAsia="fr-FR"/>
        </w:rPr>
      </w:pPr>
      <w:r>
        <w:rPr>
          <w:noProof/>
        </w:rPr>
        <w:t>PROJET 6</w:t>
      </w:r>
      <w:r>
        <w:rPr>
          <w:rFonts w:asciiTheme="minorHAnsi" w:eastAsiaTheme="minorEastAsia" w:hAnsiTheme="minorHAnsi" w:cstheme="minorBidi"/>
          <w:i w:val="0"/>
          <w:noProof/>
          <w:sz w:val="22"/>
          <w:szCs w:val="22"/>
          <w:lang w:eastAsia="fr-FR"/>
        </w:rPr>
        <w:tab/>
      </w:r>
      <w:r>
        <w:rPr>
          <w:noProof/>
        </w:rPr>
        <w:t>BÂTIMENT ARPAD BOGSCH – REMPLACEMENT DE CERTAINES FENÊTRES</w:t>
      </w:r>
      <w:r>
        <w:rPr>
          <w:noProof/>
        </w:rPr>
        <w:tab/>
      </w:r>
      <w:r>
        <w:rPr>
          <w:noProof/>
        </w:rPr>
        <w:fldChar w:fldCharType="begin"/>
      </w:r>
      <w:r>
        <w:rPr>
          <w:noProof/>
        </w:rPr>
        <w:instrText xml:space="preserve"> PAGEREF _Toc455394226 \h </w:instrText>
      </w:r>
      <w:r>
        <w:rPr>
          <w:noProof/>
        </w:rPr>
      </w:r>
      <w:r>
        <w:rPr>
          <w:noProof/>
        </w:rPr>
        <w:fldChar w:fldCharType="separate"/>
      </w:r>
      <w:r w:rsidR="00D054D4">
        <w:rPr>
          <w:noProof/>
        </w:rPr>
        <w:t>379</w:t>
      </w:r>
      <w:r>
        <w:rPr>
          <w:noProof/>
        </w:rPr>
        <w:fldChar w:fldCharType="end"/>
      </w:r>
    </w:p>
    <w:p w:rsidR="00343D9F" w:rsidRDefault="00343D9F">
      <w:pPr>
        <w:pStyle w:val="TOC4"/>
        <w:tabs>
          <w:tab w:val="left" w:pos="2268"/>
        </w:tabs>
        <w:rPr>
          <w:rFonts w:asciiTheme="minorHAnsi" w:eastAsiaTheme="minorEastAsia" w:hAnsiTheme="minorHAnsi" w:cstheme="minorBidi"/>
          <w:i w:val="0"/>
          <w:noProof/>
          <w:sz w:val="22"/>
          <w:szCs w:val="22"/>
          <w:lang w:eastAsia="fr-FR"/>
        </w:rPr>
      </w:pPr>
      <w:r>
        <w:rPr>
          <w:noProof/>
        </w:rPr>
        <w:t>PROJET 7</w:t>
      </w:r>
      <w:r>
        <w:rPr>
          <w:rFonts w:asciiTheme="minorHAnsi" w:eastAsiaTheme="minorEastAsia" w:hAnsiTheme="minorHAnsi" w:cstheme="minorBidi"/>
          <w:i w:val="0"/>
          <w:noProof/>
          <w:sz w:val="22"/>
          <w:szCs w:val="22"/>
          <w:lang w:eastAsia="fr-FR"/>
        </w:rPr>
        <w:tab/>
      </w:r>
      <w:r>
        <w:rPr>
          <w:noProof/>
        </w:rPr>
        <w:t>MESURES DE SÉCURITÉ ET DE PROTECTION ANTI</w:t>
      </w:r>
      <w:r>
        <w:rPr>
          <w:noProof/>
        </w:rPr>
        <w:noBreakHyphen/>
        <w:t>INCENDIE</w:t>
      </w:r>
      <w:r>
        <w:rPr>
          <w:noProof/>
        </w:rPr>
        <w:tab/>
      </w:r>
      <w:r>
        <w:rPr>
          <w:noProof/>
        </w:rPr>
        <w:fldChar w:fldCharType="begin"/>
      </w:r>
      <w:r>
        <w:rPr>
          <w:noProof/>
        </w:rPr>
        <w:instrText xml:space="preserve"> PAGEREF _Toc455394227 \h </w:instrText>
      </w:r>
      <w:r>
        <w:rPr>
          <w:noProof/>
        </w:rPr>
      </w:r>
      <w:r>
        <w:rPr>
          <w:noProof/>
        </w:rPr>
        <w:fldChar w:fldCharType="separate"/>
      </w:r>
      <w:r w:rsidR="00D054D4">
        <w:rPr>
          <w:noProof/>
        </w:rPr>
        <w:t>382</w:t>
      </w:r>
      <w:r>
        <w:rPr>
          <w:noProof/>
        </w:rPr>
        <w:fldChar w:fldCharType="end"/>
      </w:r>
    </w:p>
    <w:p w:rsidR="00343D9F" w:rsidRDefault="00343D9F">
      <w:pPr>
        <w:pStyle w:val="TOC3"/>
        <w:rPr>
          <w:rFonts w:asciiTheme="minorHAnsi" w:eastAsiaTheme="minorEastAsia" w:hAnsiTheme="minorHAnsi" w:cstheme="minorBidi"/>
          <w:caps w:val="0"/>
          <w:sz w:val="22"/>
          <w:szCs w:val="22"/>
          <w:lang w:eastAsia="fr-FR"/>
        </w:rPr>
      </w:pPr>
      <w:r>
        <w:t xml:space="preserve">Annexe IV  </w:t>
      </w:r>
      <w:r>
        <w:rPr>
          <w:rFonts w:asciiTheme="minorHAnsi" w:eastAsiaTheme="minorEastAsia" w:hAnsiTheme="minorHAnsi" w:cstheme="minorBidi"/>
          <w:caps w:val="0"/>
          <w:sz w:val="22"/>
          <w:szCs w:val="22"/>
          <w:lang w:eastAsia="fr-FR"/>
        </w:rPr>
        <w:tab/>
      </w:r>
      <w:r>
        <w:t>Sigles utilisés dans le présent document</w:t>
      </w:r>
      <w:r>
        <w:tab/>
      </w:r>
      <w:r>
        <w:fldChar w:fldCharType="begin"/>
      </w:r>
      <w:r>
        <w:instrText xml:space="preserve"> PAGEREF _Toc455394228 \h </w:instrText>
      </w:r>
      <w:r>
        <w:fldChar w:fldCharType="separate"/>
      </w:r>
      <w:r w:rsidR="00D054D4">
        <w:t>386</w:t>
      </w:r>
      <w:r>
        <w:fldChar w:fldCharType="end"/>
      </w:r>
    </w:p>
    <w:p w:rsidR="006E2BB1" w:rsidRPr="00C258AD" w:rsidRDefault="009479C5" w:rsidP="00CA6084">
      <w:r>
        <w:rPr>
          <w:bCs/>
          <w:szCs w:val="20"/>
        </w:rPr>
        <w:fldChar w:fldCharType="end"/>
      </w:r>
    </w:p>
    <w:p w:rsidR="006E2BB1" w:rsidRPr="00C258AD" w:rsidRDefault="00CA6084">
      <w:pPr>
        <w:spacing w:after="200" w:line="276" w:lineRule="auto"/>
      </w:pPr>
      <w:r w:rsidRPr="00C258AD">
        <w:br w:type="page"/>
      </w:r>
    </w:p>
    <w:p w:rsidR="00BA5B2A" w:rsidRPr="00153B24" w:rsidRDefault="00BA5B2A" w:rsidP="00153B24">
      <w:pPr>
        <w:pStyle w:val="Heading1"/>
        <w:jc w:val="left"/>
      </w:pPr>
      <w:bookmarkStart w:id="5" w:name="_Toc327875005"/>
      <w:bookmarkStart w:id="6" w:name="_Toc358366917"/>
      <w:bookmarkStart w:id="7" w:name="_Toc454544455"/>
      <w:bookmarkStart w:id="8" w:name="_Toc454891212"/>
      <w:bookmarkStart w:id="9" w:name="_Toc455394170"/>
      <w:r w:rsidRPr="00153B24">
        <w:lastRenderedPageBreak/>
        <w:t>INTRODUCTION</w:t>
      </w:r>
      <w:bookmarkEnd w:id="5"/>
      <w:bookmarkEnd w:id="6"/>
      <w:bookmarkEnd w:id="7"/>
      <w:bookmarkEnd w:id="8"/>
      <w:bookmarkEnd w:id="9"/>
    </w:p>
    <w:p w:rsidR="00BA5B2A" w:rsidRPr="00C258AD" w:rsidRDefault="00BA5B2A" w:rsidP="00BA5B2A">
      <w:pPr>
        <w:jc w:val="both"/>
      </w:pPr>
    </w:p>
    <w:p w:rsidR="00BA5B2A" w:rsidRPr="00C258AD" w:rsidRDefault="00BA5B2A" w:rsidP="00BA5B2A">
      <w:pPr>
        <w:pStyle w:val="ONUME"/>
        <w:numPr>
          <w:ilvl w:val="0"/>
          <w:numId w:val="60"/>
        </w:numPr>
        <w:jc w:val="both"/>
      </w:pPr>
      <w:r w:rsidRPr="00C258AD">
        <w:t>Le Rapport sur l’exécution du programme est le principal outil qui permet de rendre compte aux États membres de l’exécution du programme de l’Organisation et il fait partie intégrante du cadre de gestion axée sur les résultats mis en œuvre par l’OMPI.  Il constitue également un moyen de référence important, car il permet de tirer des enseignements des résultats précédents et d’en tenir dûment compte dans la mise en œuvre future des activités de l’OMPI.  Le rapport sur l’exécution du programme est une auto</w:t>
      </w:r>
      <w:r w:rsidRPr="00C258AD">
        <w:noBreakHyphen/>
        <w:t xml:space="preserve">évaluation par les chefs de programme sur la base du cadre de résultats approuvé par les États membres.  En 2014, l’évaluation de la mise en œuvre du Plan d’action pour le développement a été </w:t>
      </w:r>
      <w:proofErr w:type="gramStart"/>
      <w:r w:rsidRPr="00C258AD">
        <w:t>rationalisée</w:t>
      </w:r>
      <w:proofErr w:type="gramEnd"/>
      <w:r w:rsidRPr="00C258AD">
        <w:t xml:space="preserve"> et, par conséquent, intégrée dans les réalisations de l’exercice biennal 2014</w:t>
      </w:r>
      <w:r w:rsidRPr="00C258AD">
        <w:noBreakHyphen/>
        <w:t>2015, au lieu d’être traitée dans une section distincte.  Dans le cadre de l’engagement de l’OMPI à renforcer sa gestion des risques, le rapport sur l’exécution du programme en 2014</w:t>
      </w:r>
      <w:r w:rsidRPr="00C258AD">
        <w:noBreakHyphen/>
        <w:t>2015 a été amélioré et comprend, pour la première fois, une section dédiée à l’établissement de rapports sur les risques durant l’exercice biennal.  Pour renforcer la validité de ce rapport, la Division de la supervision interne (DSI) procède à une validation des données relatives à l’exécution sur une base biennale.  La validation du rapport sur l’exécution du programme en 2014</w:t>
      </w:r>
      <w:r w:rsidRPr="00C258AD">
        <w:noBreakHyphen/>
        <w:t>2015 figure dans le document WO/PBC/25/8.</w:t>
      </w:r>
    </w:p>
    <w:p w:rsidR="00BA5B2A" w:rsidRPr="00C258AD" w:rsidRDefault="00BA5B2A" w:rsidP="00BA5B2A">
      <w:pPr>
        <w:pStyle w:val="ONUME"/>
        <w:numPr>
          <w:ilvl w:val="0"/>
          <w:numId w:val="60"/>
        </w:numPr>
        <w:jc w:val="both"/>
      </w:pPr>
      <w:r w:rsidRPr="00C258AD">
        <w:t>Le rapport sur l’exécution du programme en 2014</w:t>
      </w:r>
      <w:r w:rsidRPr="00C258AD">
        <w:noBreakHyphen/>
        <w:t>2015 est un rapport de fin d’exercice biennal qui évalue les progrès accomplis et/ou la réalisation des résultats escomptés, mesurés au moyen des indicateurs d’exécution et avec les ressources approuvées dans le programme et budget 2014</w:t>
      </w:r>
      <w:r w:rsidRPr="00C258AD">
        <w:noBreakHyphen/>
        <w:t>2015</w:t>
      </w:r>
      <w:r w:rsidRPr="00C258AD">
        <w:rPr>
          <w:rStyle w:val="FootnoteReference"/>
        </w:rPr>
        <w:footnoteReference w:id="2"/>
      </w:r>
      <w:r w:rsidRPr="00C258AD">
        <w:t>.  Un indicateur d’exécution a pu être mesuré au regard de plusieurs cibles.  Dans ce cas, la notation pour chaque cible est indiquée, ce qui donne lieu à plusieurs notations.  Les critères d’évaluation ci</w:t>
      </w:r>
      <w:r w:rsidRPr="00C258AD">
        <w:noBreakHyphen/>
        <w:t>après ont été utilisés pour le Rapport sur l’exécution du programme en 2014</w:t>
      </w:r>
      <w:r w:rsidRPr="00C258AD">
        <w:noBreakHyphen/>
        <w:t>2015 :</w:t>
      </w:r>
    </w:p>
    <w:p w:rsidR="00BA5B2A" w:rsidRPr="00C258AD" w:rsidRDefault="00BA5B2A" w:rsidP="00BA5B2A">
      <w:pPr>
        <w:pStyle w:val="ONUME"/>
        <w:numPr>
          <w:ilvl w:val="0"/>
          <w:numId w:val="60"/>
        </w:numPr>
        <w:jc w:val="both"/>
      </w:pPr>
      <w:r w:rsidRPr="00C258AD">
        <w:t>Code de couleurs :</w:t>
      </w:r>
    </w:p>
    <w:p w:rsidR="00BA5B2A" w:rsidRPr="00C258AD" w:rsidRDefault="00BA5B2A" w:rsidP="00BA5B2A">
      <w:pPr>
        <w:numPr>
          <w:ilvl w:val="0"/>
          <w:numId w:val="61"/>
        </w:numPr>
        <w:ind w:left="806" w:hanging="403"/>
        <w:jc w:val="both"/>
        <w:rPr>
          <w:szCs w:val="20"/>
        </w:rPr>
      </w:pPr>
      <w:r w:rsidRPr="00C258AD">
        <w:rPr>
          <w:rFonts w:cs="Arial"/>
          <w:b/>
          <w:bCs/>
          <w:color w:val="00B050"/>
          <w:szCs w:val="20"/>
        </w:rPr>
        <w:t>Objectif pleinement atteint</w:t>
      </w:r>
      <w:r w:rsidRPr="00C258AD">
        <w:rPr>
          <w:szCs w:val="20"/>
        </w:rPr>
        <w:t xml:space="preserve"> est utilisé lorsque les données relatives à l’exécution laissent entendre que l’objectif de l’indicateur d’exécution a été atteint à 80% ou plus.</w:t>
      </w:r>
    </w:p>
    <w:p w:rsidR="00BA5B2A" w:rsidRPr="00C258AD" w:rsidRDefault="00BA5B2A" w:rsidP="00BA5B2A">
      <w:pPr>
        <w:numPr>
          <w:ilvl w:val="0"/>
          <w:numId w:val="61"/>
        </w:numPr>
        <w:spacing w:before="120"/>
        <w:ind w:left="806" w:hanging="403"/>
        <w:jc w:val="both"/>
        <w:rPr>
          <w:szCs w:val="20"/>
        </w:rPr>
      </w:pPr>
      <w:r w:rsidRPr="00C258AD">
        <w:rPr>
          <w:b/>
          <w:bCs/>
          <w:color w:val="E26B0A"/>
          <w:szCs w:val="20"/>
        </w:rPr>
        <w:t>Objectif partiellement atteint</w:t>
      </w:r>
      <w:r w:rsidRPr="00C258AD">
        <w:rPr>
          <w:szCs w:val="20"/>
        </w:rPr>
        <w:t xml:space="preserve"> est utilisé lorsque les données relatives à l’exécution indiquent que l’objectif de l’indicateur d’exécution a été atteint pour 30 à 80%.</w:t>
      </w:r>
    </w:p>
    <w:p w:rsidR="00BA5B2A" w:rsidRPr="00C258AD" w:rsidRDefault="00BA5B2A" w:rsidP="00BA5B2A">
      <w:pPr>
        <w:numPr>
          <w:ilvl w:val="0"/>
          <w:numId w:val="61"/>
        </w:numPr>
        <w:spacing w:before="120"/>
        <w:ind w:left="806" w:hanging="403"/>
        <w:jc w:val="both"/>
        <w:rPr>
          <w:szCs w:val="20"/>
        </w:rPr>
      </w:pPr>
      <w:r w:rsidRPr="00C258AD">
        <w:rPr>
          <w:rFonts w:cs="Arial"/>
          <w:b/>
          <w:color w:val="FF0000"/>
          <w:szCs w:val="20"/>
        </w:rPr>
        <w:t>Objectif pas atteint</w:t>
      </w:r>
      <w:r w:rsidRPr="00C258AD">
        <w:rPr>
          <w:szCs w:val="20"/>
        </w:rPr>
        <w:t xml:space="preserve"> est utilisé lorsque les données relatives à l’exécution indiquent que l’objectif de l’indicateur d’exécution a été atteint à moins de 30%.</w:t>
      </w:r>
    </w:p>
    <w:p w:rsidR="00BA5B2A" w:rsidRPr="00C258AD" w:rsidRDefault="00BA5B2A" w:rsidP="00BA5B2A">
      <w:pPr>
        <w:numPr>
          <w:ilvl w:val="0"/>
          <w:numId w:val="61"/>
        </w:numPr>
        <w:spacing w:before="120"/>
        <w:ind w:left="806" w:hanging="403"/>
        <w:jc w:val="both"/>
        <w:rPr>
          <w:szCs w:val="20"/>
        </w:rPr>
      </w:pPr>
      <w:r w:rsidRPr="00C258AD">
        <w:rPr>
          <w:b/>
          <w:bCs/>
          <w:color w:val="808080"/>
          <w:szCs w:val="20"/>
        </w:rPr>
        <w:t>Non évaluable</w:t>
      </w:r>
      <w:r w:rsidRPr="00C258AD">
        <w:rPr>
          <w:rStyle w:val="FootnoteReference"/>
          <w:b/>
          <w:bCs/>
          <w:color w:val="7F7F7F" w:themeColor="text1" w:themeTint="80"/>
          <w:szCs w:val="20"/>
        </w:rPr>
        <w:footnoteReference w:id="3"/>
      </w:r>
      <w:r w:rsidRPr="00C258AD">
        <w:rPr>
          <w:szCs w:val="20"/>
        </w:rPr>
        <w:t xml:space="preserve"> est utilisé lorsque l’évaluation de l’exécution n’est pas faisable parce que la cible n’a pas été correctement définie, ou lorsque le niveau de référence n’est pas disponible ou encore lorsque les données relatives à l’exécution sont insuffisantes pour déterminer le code de couleurs, et;</w:t>
      </w:r>
    </w:p>
    <w:p w:rsidR="00BA5B2A" w:rsidRPr="00C258AD" w:rsidRDefault="00BA5B2A" w:rsidP="00BA5B2A">
      <w:pPr>
        <w:numPr>
          <w:ilvl w:val="0"/>
          <w:numId w:val="61"/>
        </w:numPr>
        <w:spacing w:before="120"/>
        <w:ind w:left="806" w:hanging="403"/>
        <w:jc w:val="both"/>
        <w:rPr>
          <w:szCs w:val="20"/>
        </w:rPr>
      </w:pPr>
      <w:r w:rsidRPr="00C258AD">
        <w:rPr>
          <w:b/>
          <w:szCs w:val="20"/>
        </w:rPr>
        <w:t xml:space="preserve">Objectif abandonné </w:t>
      </w:r>
      <w:r w:rsidRPr="00C258AD">
        <w:rPr>
          <w:szCs w:val="20"/>
        </w:rPr>
        <w:t>est utilisé lorsque l’indicateur est considéré comme n’étant plus approprié pour mesurer l’exécution du programme.</w:t>
      </w:r>
    </w:p>
    <w:p w:rsidR="00BA5B2A" w:rsidRPr="00C258AD" w:rsidRDefault="00BA5B2A" w:rsidP="00BA5B2A">
      <w:pPr>
        <w:jc w:val="both"/>
      </w:pPr>
    </w:p>
    <w:p w:rsidR="00BA5B2A" w:rsidRPr="00C258AD" w:rsidRDefault="00BA5B2A" w:rsidP="00BA5B2A">
      <w:pPr>
        <w:pStyle w:val="ONUME"/>
        <w:numPr>
          <w:ilvl w:val="0"/>
          <w:numId w:val="60"/>
        </w:numPr>
        <w:jc w:val="both"/>
      </w:pPr>
      <w:r w:rsidRPr="00C258AD">
        <w:t>Sur un total de 394 indicateurs d’exécution que contient le programme et budget 2014</w:t>
      </w:r>
      <w:r w:rsidRPr="00C258AD">
        <w:noBreakHyphen/>
        <w:t>2015, 286 indicateurs ont été évalués et jugés “Pleinement atteint”, soit 72%.  L’exécution, sur un total de 19 indicateurs, soit 5%, a été notée comme “partiellement atteinte” et 46 indicateurs, soit 12%, ont été jugés comme n’étant “pas atteints”.  Quelque 35 indicateurs, soit 9%, étaient “non évaluables” et huit indicateurs, soit 2%, ont été “abandonnés”.</w:t>
      </w:r>
    </w:p>
    <w:p w:rsidR="00BA5B2A" w:rsidRPr="00C258AD" w:rsidRDefault="00BA5B2A" w:rsidP="00BA5B2A">
      <w:pPr>
        <w:jc w:val="center"/>
      </w:pPr>
      <w:r w:rsidRPr="00C258AD">
        <w:rPr>
          <w:noProof/>
          <w:lang w:val="en-US"/>
        </w:rPr>
        <w:lastRenderedPageBreak/>
        <w:drawing>
          <wp:inline distT="0" distB="0" distL="0" distR="0" wp14:anchorId="40C19DFF" wp14:editId="5ED71E7F">
            <wp:extent cx="4639270" cy="2664000"/>
            <wp:effectExtent l="0" t="0" r="9525" b="31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639270" cy="2664000"/>
                    </a:xfrm>
                    <a:prstGeom prst="rect">
                      <a:avLst/>
                    </a:prstGeom>
                    <a:noFill/>
                    <a:ln>
                      <a:noFill/>
                    </a:ln>
                  </pic:spPr>
                </pic:pic>
              </a:graphicData>
            </a:graphic>
          </wp:inline>
        </w:drawing>
      </w:r>
    </w:p>
    <w:p w:rsidR="00BA5B2A" w:rsidRPr="00C258AD" w:rsidRDefault="00BA5B2A" w:rsidP="00BA5B2A">
      <w:pPr>
        <w:jc w:val="center"/>
      </w:pPr>
    </w:p>
    <w:p w:rsidR="00BA5B2A" w:rsidRPr="00C258AD" w:rsidRDefault="00BA5B2A" w:rsidP="00BA5B2A">
      <w:pPr>
        <w:jc w:val="center"/>
      </w:pPr>
    </w:p>
    <w:p w:rsidR="00BA5B2A" w:rsidRPr="00C258AD" w:rsidRDefault="00BA5B2A" w:rsidP="005163A7">
      <w:pPr>
        <w:pStyle w:val="Heading1"/>
        <w:tabs>
          <w:tab w:val="left" w:pos="284"/>
        </w:tabs>
        <w:spacing w:before="0"/>
        <w:jc w:val="left"/>
        <w:rPr>
          <w:lang w:val="fr-FR"/>
        </w:rPr>
      </w:pPr>
      <w:bookmarkStart w:id="10" w:name="_Toc455394171"/>
      <w:r w:rsidRPr="00C258AD">
        <w:rPr>
          <w:lang w:val="fr-FR"/>
        </w:rPr>
        <w:t>RÉsumÉ des rÉalisations en 2014</w:t>
      </w:r>
      <w:r w:rsidRPr="00C258AD">
        <w:rPr>
          <w:lang w:val="fr-FR"/>
        </w:rPr>
        <w:noBreakHyphen/>
        <w:t>2015</w:t>
      </w:r>
      <w:bookmarkEnd w:id="10"/>
    </w:p>
    <w:p w:rsidR="00BA5B2A" w:rsidRPr="00C258AD" w:rsidRDefault="00BA5B2A" w:rsidP="00BA5B2A"/>
    <w:p w:rsidR="00BA5B2A" w:rsidRPr="00C258AD" w:rsidRDefault="00BA5B2A" w:rsidP="00BA5B2A">
      <w:pPr>
        <w:pStyle w:val="ONUME"/>
        <w:numPr>
          <w:ilvl w:val="0"/>
          <w:numId w:val="60"/>
        </w:numPr>
        <w:jc w:val="both"/>
      </w:pPr>
      <w:r w:rsidRPr="00C258AD">
        <w:t>Le rapport sur l’exécution du programme pour 2014</w:t>
      </w:r>
      <w:r w:rsidRPr="00C258AD">
        <w:noBreakHyphen/>
        <w:t>2015 inclut des tableaux de bord de l’exécution du programme pour chacun des neuf objectifs stratégiques fournissant une synthèse graphique des réalisations accomplies en 2014</w:t>
      </w:r>
      <w:r w:rsidRPr="00C258AD">
        <w:noBreakHyphen/>
        <w:t>2015 sur la base des indicateurs d’exécution au titre des programmes contribuant aux objectifs respectifs.  Lors de l’évaluation de l’exécution, pour la première fois, une analyse approfondie des risques recensés dans le programme et budget 2014</w:t>
      </w:r>
      <w:r w:rsidRPr="00C258AD">
        <w:noBreakHyphen/>
        <w:t>2015 a été menée au niveau de chaque programme.  Cette analyse comprenait une évaluation de l’évolution des risques au cours de l’exercice biennal, notamment concernant la concrétisation ou non d’un risque;  la mise en œuvre de stratégies d’atténuation;  et l’incidence sur l’exécution du programme en termes d’atteinte des résultats escomptés.  Un aperçu des processus renforcés de gestion des risques de l’Organisation figure dans l’objectif stratégique IX</w:t>
      </w:r>
      <w:r w:rsidRPr="00C258AD">
        <w:rPr>
          <w:color w:val="FF0000"/>
        </w:rPr>
        <w:t xml:space="preserve"> </w:t>
      </w:r>
      <w:r w:rsidRPr="00C258AD">
        <w:t>et dans le programme 22.</w:t>
      </w:r>
    </w:p>
    <w:p w:rsidR="00BA5B2A" w:rsidRPr="00C258AD" w:rsidRDefault="00BA5B2A" w:rsidP="00BA5B2A">
      <w:pPr>
        <w:pStyle w:val="ONUME"/>
        <w:numPr>
          <w:ilvl w:val="0"/>
          <w:numId w:val="60"/>
        </w:numPr>
        <w:jc w:val="both"/>
      </w:pPr>
      <w:r w:rsidRPr="00C258AD">
        <w:t>On trouvera ci</w:t>
      </w:r>
      <w:r w:rsidRPr="00C258AD">
        <w:noBreakHyphen/>
        <w:t>dessous une synthèse de l’essentiel des progrès accomplis pendant l’exercice biennal 2014</w:t>
      </w:r>
      <w:r w:rsidRPr="00C258AD">
        <w:noBreakHyphen/>
        <w:t>2015 quant à la réalisation des neuf objectifs stratégiques.</w:t>
      </w:r>
    </w:p>
    <w:p w:rsidR="00BA5B2A" w:rsidRPr="00C258AD" w:rsidRDefault="00BA5B2A" w:rsidP="00BA5B2A">
      <w:pPr>
        <w:jc w:val="both"/>
      </w:pPr>
    </w:p>
    <w:p w:rsidR="00BA5B2A" w:rsidRPr="00C258AD" w:rsidRDefault="00BA5B2A" w:rsidP="00BA5B2A">
      <w:pPr>
        <w:jc w:val="center"/>
        <w:rPr>
          <w:b/>
          <w:sz w:val="18"/>
          <w:szCs w:val="18"/>
        </w:rPr>
      </w:pPr>
      <w:r w:rsidRPr="00C258AD">
        <w:rPr>
          <w:b/>
          <w:sz w:val="18"/>
          <w:szCs w:val="18"/>
        </w:rPr>
        <w:t>Aperçu consolidé de l’atteinte des résultats escomptés durant l’exercice biennal 2014</w:t>
      </w:r>
      <w:r w:rsidRPr="00C258AD">
        <w:rPr>
          <w:b/>
          <w:sz w:val="18"/>
          <w:szCs w:val="18"/>
        </w:rPr>
        <w:noBreakHyphen/>
        <w:t>2015 par objectif stratégique</w:t>
      </w:r>
    </w:p>
    <w:p w:rsidR="00BA5B2A" w:rsidRPr="00C258AD" w:rsidRDefault="00BA5B2A" w:rsidP="00BA5B2A">
      <w:pPr>
        <w:jc w:val="center"/>
        <w:rPr>
          <w:b/>
          <w:sz w:val="18"/>
          <w:szCs w:val="18"/>
        </w:rPr>
      </w:pPr>
    </w:p>
    <w:p w:rsidR="00BA5B2A" w:rsidRPr="00C258AD" w:rsidRDefault="00BA5B2A" w:rsidP="00BA5B2A">
      <w:pPr>
        <w:jc w:val="center"/>
        <w:rPr>
          <w:b/>
          <w:iCs/>
        </w:rPr>
      </w:pPr>
      <w:r w:rsidRPr="00C258AD">
        <w:rPr>
          <w:b/>
          <w:iCs/>
          <w:noProof/>
          <w:lang w:val="en-US"/>
        </w:rPr>
        <w:drawing>
          <wp:inline distT="0" distB="0" distL="0" distR="0" wp14:anchorId="7DB9C653" wp14:editId="5AFA5656">
            <wp:extent cx="5292000" cy="3187181"/>
            <wp:effectExtent l="0" t="0" r="4445" b="0"/>
            <wp:docPr id="966" name="Picture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92000" cy="3187181"/>
                    </a:xfrm>
                    <a:prstGeom prst="rect">
                      <a:avLst/>
                    </a:prstGeom>
                    <a:noFill/>
                  </pic:spPr>
                </pic:pic>
              </a:graphicData>
            </a:graphic>
          </wp:inline>
        </w:drawing>
      </w:r>
      <w:r w:rsidRPr="00C258AD">
        <w:rPr>
          <w:b/>
          <w:iCs/>
        </w:rPr>
        <w:br w:type="page"/>
      </w:r>
    </w:p>
    <w:p w:rsidR="00BA5B2A" w:rsidRPr="00C258AD" w:rsidRDefault="00BA5B2A" w:rsidP="00BA5B2A">
      <w:pPr>
        <w:keepNext/>
        <w:keepLines/>
        <w:jc w:val="center"/>
        <w:rPr>
          <w:b/>
          <w:iCs/>
        </w:rPr>
      </w:pPr>
      <w:r w:rsidRPr="00C258AD">
        <w:rPr>
          <w:b/>
          <w:iCs/>
        </w:rPr>
        <w:lastRenderedPageBreak/>
        <w:t>Objectif stratégique I</w:t>
      </w:r>
      <w:r w:rsidRPr="00C258AD">
        <w:rPr>
          <w:iCs/>
        </w:rPr>
        <w:t> </w:t>
      </w:r>
      <w:r w:rsidRPr="00C258AD">
        <w:t>:</w:t>
      </w:r>
      <w:r w:rsidRPr="00C258AD">
        <w:rPr>
          <w:b/>
          <w:iCs/>
        </w:rPr>
        <w:t xml:space="preserve"> Évolution équilibrée du cadre normatif international de la propriété intellectuelle</w:t>
      </w:r>
    </w:p>
    <w:p w:rsidR="00BA5B2A" w:rsidRPr="00C258AD" w:rsidRDefault="00BA5B2A" w:rsidP="00BA5B2A">
      <w:pPr>
        <w:keepNext/>
        <w:keepLines/>
        <w:jc w:val="center"/>
        <w:rPr>
          <w:b/>
          <w:iCs/>
        </w:rPr>
      </w:pPr>
      <w:r w:rsidRPr="00C258AD">
        <w:rPr>
          <w:noProof/>
          <w:lang w:val="en-US"/>
        </w:rPr>
        <w:drawing>
          <wp:inline distT="0" distB="0" distL="0" distR="0" wp14:anchorId="50CF0891" wp14:editId="31888F06">
            <wp:extent cx="5583508" cy="2700000"/>
            <wp:effectExtent l="0" t="0" r="0" b="571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583508" cy="2700000"/>
                    </a:xfrm>
                    <a:prstGeom prst="rect">
                      <a:avLst/>
                    </a:prstGeom>
                    <a:noFill/>
                    <a:ln>
                      <a:noFill/>
                    </a:ln>
                  </pic:spPr>
                </pic:pic>
              </a:graphicData>
            </a:graphic>
          </wp:inline>
        </w:drawing>
      </w:r>
    </w:p>
    <w:p w:rsidR="00BA5B2A" w:rsidRPr="00C258AD" w:rsidRDefault="00BA5B2A" w:rsidP="00BA5B2A">
      <w:pPr>
        <w:rPr>
          <w:b/>
          <w:iCs/>
        </w:rPr>
      </w:pPr>
    </w:p>
    <w:p w:rsidR="00BA5B2A" w:rsidRPr="00C258AD" w:rsidRDefault="00BA5B2A" w:rsidP="00BA5B2A">
      <w:pPr>
        <w:rPr>
          <w:b/>
          <w:iCs/>
        </w:rPr>
      </w:pPr>
    </w:p>
    <w:p w:rsidR="00BA5B2A" w:rsidRPr="00C258AD" w:rsidRDefault="00BA5B2A" w:rsidP="00BA5B2A">
      <w:pPr>
        <w:spacing w:after="120"/>
        <w:jc w:val="center"/>
        <w:rPr>
          <w:b/>
          <w:sz w:val="18"/>
          <w:szCs w:val="18"/>
        </w:rPr>
      </w:pPr>
      <w:r w:rsidRPr="00C258AD">
        <w:rPr>
          <w:b/>
          <w:sz w:val="18"/>
          <w:szCs w:val="18"/>
        </w:rPr>
        <w:t>Résumé des réalisations par résultat escompté</w:t>
      </w:r>
    </w:p>
    <w:p w:rsidR="00BA5B2A" w:rsidRPr="00C258AD" w:rsidRDefault="00BA5B2A" w:rsidP="00BA5B2A">
      <w:pPr>
        <w:jc w:val="center"/>
      </w:pPr>
      <w:r w:rsidRPr="00C258AD">
        <w:rPr>
          <w:noProof/>
          <w:lang w:val="en-US"/>
        </w:rPr>
        <w:drawing>
          <wp:inline distT="0" distB="0" distL="0" distR="0" wp14:anchorId="5EE3A5AE" wp14:editId="5E57EF82">
            <wp:extent cx="5940425" cy="1952371"/>
            <wp:effectExtent l="0" t="0" r="3175"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1952371"/>
                    </a:xfrm>
                    <a:prstGeom prst="rect">
                      <a:avLst/>
                    </a:prstGeom>
                    <a:noFill/>
                    <a:ln>
                      <a:noFill/>
                    </a:ln>
                  </pic:spPr>
                </pic:pic>
              </a:graphicData>
            </a:graphic>
          </wp:inline>
        </w:drawing>
      </w:r>
    </w:p>
    <w:p w:rsidR="00BA5B2A" w:rsidRPr="00C258AD" w:rsidRDefault="00BA5B2A" w:rsidP="00BA5B2A">
      <w:pPr>
        <w:ind w:hanging="90"/>
        <w:jc w:val="center"/>
        <w:rPr>
          <w:iCs/>
        </w:rPr>
      </w:pPr>
    </w:p>
    <w:p w:rsidR="00BA5B2A" w:rsidRPr="00C258AD" w:rsidRDefault="00BA5B2A" w:rsidP="00BA5B2A">
      <w:pPr>
        <w:pStyle w:val="ONUME"/>
        <w:numPr>
          <w:ilvl w:val="0"/>
          <w:numId w:val="60"/>
        </w:numPr>
        <w:jc w:val="both"/>
      </w:pPr>
      <w:r w:rsidRPr="00C258AD">
        <w:t>Les progrès se sont poursuivis en 2014</w:t>
      </w:r>
      <w:r w:rsidRPr="00C258AD">
        <w:noBreakHyphen/>
        <w:t xml:space="preserve">2015 au titre de cet objectif stratégique, bien que légèrement moins vite que prévu.  </w:t>
      </w:r>
      <w:r w:rsidRPr="00C258AD">
        <w:rPr>
          <w:rFonts w:cs="Arial"/>
        </w:rPr>
        <w:t>À</w:t>
      </w:r>
      <w:r w:rsidRPr="00C258AD">
        <w:t xml:space="preserve"> la fin de l’exercice biennal, plusieurs questions demeuraient en suspens au sein des comités permanents.</w:t>
      </w:r>
    </w:p>
    <w:p w:rsidR="00BA5B2A" w:rsidRPr="00C258AD" w:rsidRDefault="00BA5B2A" w:rsidP="00BA5B2A">
      <w:pPr>
        <w:pStyle w:val="ONUME"/>
        <w:numPr>
          <w:ilvl w:val="0"/>
          <w:numId w:val="60"/>
        </w:numPr>
        <w:jc w:val="both"/>
      </w:pPr>
      <w:r w:rsidRPr="00C258AD">
        <w:t>Les progrès en vue de l’entrée en vigueur des deux nouveaux traités sur le droit d’auteur se sont poursuivis en 2014 et 2015.  Le Traité de Beijing sur les interprétations et exécutions audiovisuelles (Traité de Beijing) a obtenu huit nouvelles ratifications et adhésions (Chili, Chine, Émirats arabes unis, Fédération de Russie, Japon, Qatar, République de Moldova et Slovaquie), portant le total à 10 sur les 30 nécessaires pour son entrée en vigueur.  Le Traité de Marrakech visant à faciliter l’accès des aveugles, des déficients visuels et des personnes ayant d’autres difficultés de lecture des textes imprimés aux œuvres publiées (Traité de Marrakech) a obtenu au total 80 signatures à l’échéance de juin 2014.  Il a obtenu 13 ratifications et adhésions (Argentine, Australie, Brésil, El Salvador, Émirats arabes unis, Inde, Mali, Mexique, Mongolie, Paraguay, République de Corée, Singapour et Uruguay) sur les 20 nécessaires à son entrée en vigueur.  Si les objectifs visés concernant le nombre de pays devant ratifier ces traités ou y adhérer au cours de l’exercice biennal 2014</w:t>
      </w:r>
      <w:r w:rsidRPr="00C258AD">
        <w:noBreakHyphen/>
        <w:t>2015, fixés lors de la vingtième session du Comité du programme et budget, étaient relativement ambitieux compte tenu de la nécessité de faire en sorte que les ressources allouées ne dépassent pas les niveaux proposés, les objectifs ont été partiellement atteints en faisant de la fourniture d’une assistance aux États membres en vue d’adhérer aux traités une priorité.  Cette approche sera poursuivie au cours de l’exercice biennal 2016</w:t>
      </w:r>
      <w:r w:rsidRPr="00C258AD">
        <w:noBreakHyphen/>
        <w:t>2017.</w:t>
      </w:r>
    </w:p>
    <w:p w:rsidR="00BA5B2A" w:rsidRPr="00C258AD" w:rsidRDefault="00BA5B2A" w:rsidP="00BA5B2A">
      <w:pPr>
        <w:pStyle w:val="ONUME"/>
        <w:numPr>
          <w:ilvl w:val="0"/>
          <w:numId w:val="60"/>
        </w:numPr>
        <w:jc w:val="both"/>
      </w:pPr>
      <w:r w:rsidRPr="00C258AD">
        <w:t xml:space="preserve">De nouvelles discussions ont été menées sur les sujets inscrits à l’ordre du jour du SCCR au cours des cinq réunions tenues en avril/mai 2014, juin/juillet 2014, décembre 2014, juin/juillet 2015 et </w:t>
      </w:r>
      <w:r w:rsidRPr="00C258AD">
        <w:lastRenderedPageBreak/>
        <w:t xml:space="preserve">décembre 2015.  Dans le cadre de ses discussions, le SCCR a examiné une proposition de traité pour les organisations de radiodiffusion ainsi que des limitations et exceptions en faveur des bibliothèques et des services d’archives, des établissements d’enseignement et des instituts de recherche et des personnes présentant d’autres handicaps (que ceux couverts par le Traité de Marrakech).  En outre, à la session tenue en décembre 2015, le SCCR a également reçu deux propositions relatives à de nouveaux points de l’ordre du jour – l’un concernant l’analyse du droit d’auteur dans l’environnement numérique, l’autre portant sur le droit de suite.  L’objectif de convoquer une conférence diplomatique et d’avoir un nouveau traité n’a pas été atteint;  les </w:t>
      </w:r>
      <w:r w:rsidRPr="00C258AD">
        <w:rPr>
          <w:rFonts w:cs="Arial"/>
        </w:rPr>
        <w:t>É</w:t>
      </w:r>
      <w:r w:rsidRPr="00C258AD">
        <w:t>tats membres ont demandé de supprimer cet objectif pour l’exercice biennal 2016</w:t>
      </w:r>
      <w:r w:rsidRPr="00C258AD">
        <w:noBreakHyphen/>
        <w:t>2017.</w:t>
      </w:r>
    </w:p>
    <w:p w:rsidR="00BA5B2A" w:rsidRPr="00C258AD" w:rsidRDefault="00BA5B2A" w:rsidP="00BA5B2A">
      <w:pPr>
        <w:pStyle w:val="ONUME"/>
        <w:numPr>
          <w:ilvl w:val="0"/>
          <w:numId w:val="60"/>
        </w:numPr>
        <w:jc w:val="both"/>
      </w:pPr>
      <w:r w:rsidRPr="00C258AD">
        <w:t>Au cours de l’exercice biennal, le Comité permanent du droit des marques, des dessins et modèles industriels et des indications géographiques (SCT) a continué ses travaux, de sa trente et unième à sa trente</w:t>
      </w:r>
      <w:r w:rsidRPr="00C258AD">
        <w:noBreakHyphen/>
        <w:t>quatrième session, sur le projet d’un traité sur le droit des dessins et modèles devant être adopté lors d’une conférence diplomatique.  La question de la convocation d’une telle conférence diplomatique a été abordée par l’Assemblée générale de l’OMPI à sa quarante</w:t>
      </w:r>
      <w:r w:rsidRPr="00C258AD">
        <w:noBreakHyphen/>
        <w:t>septième session (vingt</w:t>
      </w:r>
      <w:r w:rsidRPr="00C258AD">
        <w:noBreakHyphen/>
        <w:t>deuxième session ordinaire) en octobre 2015, dans le cadre de laquelle l’Assemblée générale de l’OMPI est convenue “de convoquer une conférence diplomatique pour l’adoption d’un traité sur le droit des dessins et modèles à la fin du premier semestre de 2017, uniquement si les discussions sur l’assistance technique et l’exigence de divulgation ont été achevées durant les trente</w:t>
      </w:r>
      <w:r w:rsidRPr="00C258AD">
        <w:noBreakHyphen/>
        <w:t>quatrième et trente</w:t>
      </w:r>
      <w:r w:rsidRPr="00C258AD">
        <w:noBreakHyphen/>
        <w:t>cinquième sessions du SCT”.  Le SCT a continué ses travaux sur la protection des noms de pays et a adopté un document de référence sur la protection des noms d’États contre leur enregistrement et leur utilisation en tant que marques (document WIPO/</w:t>
      </w:r>
      <w:proofErr w:type="spellStart"/>
      <w:r w:rsidRPr="00C258AD">
        <w:t>Strad</w:t>
      </w:r>
      <w:proofErr w:type="spellEnd"/>
      <w:r w:rsidRPr="00C258AD">
        <w:t>/INF/7).  Par ailleurs, un certain nombre de délégations ont présenté des propositions concernant les travaux du SCT sur les indications géographiques.</w:t>
      </w:r>
    </w:p>
    <w:p w:rsidR="00BA5B2A" w:rsidRPr="00C258AD" w:rsidRDefault="00BA5B2A" w:rsidP="00BA5B2A">
      <w:pPr>
        <w:pStyle w:val="ONUME"/>
        <w:numPr>
          <w:ilvl w:val="0"/>
          <w:numId w:val="60"/>
        </w:numPr>
        <w:jc w:val="both"/>
      </w:pPr>
      <w:r w:rsidRPr="00C258AD">
        <w:t>Le Comité intergouvernemental de la propriété intellectuelle relative aux ressources génétiques, aux savoirs traditionnels et au folklore de l’OMPI (IGC) s’est réuni trois fois en 2014 (vingt</w:t>
      </w:r>
      <w:r w:rsidRPr="00C258AD">
        <w:noBreakHyphen/>
        <w:t>sixième, vingt</w:t>
      </w:r>
      <w:r w:rsidRPr="00C258AD">
        <w:noBreakHyphen/>
        <w:t>septième et vingt</w:t>
      </w:r>
      <w:r w:rsidRPr="00C258AD">
        <w:rPr>
          <w:rFonts w:eastAsia="MS Gothic" w:cs="Arial"/>
        </w:rPr>
        <w:noBreakHyphen/>
      </w:r>
      <w:r w:rsidRPr="00C258AD">
        <w:rPr>
          <w:rFonts w:ascii="MS Gothic" w:eastAsia="MS Gothic" w:hAnsi="MS Gothic" w:cs="MS Gothic"/>
        </w:rPr>
        <w:t>h</w:t>
      </w:r>
      <w:r w:rsidRPr="00C258AD">
        <w:t>uiti</w:t>
      </w:r>
      <w:r w:rsidRPr="00C258AD">
        <w:rPr>
          <w:rFonts w:cs="Arial"/>
        </w:rPr>
        <w:t>è</w:t>
      </w:r>
      <w:r w:rsidRPr="00C258AD">
        <w:t>me</w:t>
      </w:r>
      <w:r w:rsidRPr="00C258AD">
        <w:rPr>
          <w:rFonts w:cs="Arial"/>
        </w:rPr>
        <w:t> </w:t>
      </w:r>
      <w:r w:rsidRPr="00C258AD">
        <w:t>sessions de l’IGC), conformément au mandat renouvelé de l’IGC pour l’exercice biennal, adopté par l’Assemblée générale de l’OMPI en octobre 2013, et au programme de travail convenu pour 2014.  La vingt</w:t>
      </w:r>
      <w:r w:rsidRPr="00C258AD">
        <w:noBreakHyphen/>
        <w:t>sixième session de l’IGC a compris une réunion à l’intention des ambassadeurs et des hauts fonctionnaires des différents pays.  D’ici la fin de sa vingt</w:t>
      </w:r>
      <w:r w:rsidRPr="00C258AD">
        <w:noBreakHyphen/>
        <w:t>huitième session, l’IGC avait encore rationalisé un texte unifié consacré aux ressources génétiques et accompli d’autres progrès sur les textes relatifs aux savoirs traditionnels et aux expressions culturelles traditionnelles.  Une réunion intersessions organisée à l’initiative des États membres en dehors de Genève en 2014 a donné un nouvel élan au processus.  Le Secrétariat a poursuivi ses efforts pour jouer un rôle d’intermédiaire neutre, professionnel et efficace afin d’appuyer le processus et d’améliorer les services fournis aux participants à l’IGC suite à l’évaluation menée par la Division de la supervision interne (DSI) de l’OMPI en 2013, qui avait constaté un taux de satisfaction élevé (96%) parmi lesdits participants à l’IGC.  Bien que le Secrétariat se soit efforcé de continuer à faciliter la participation des peuples autochtones et des communautés locales au processus de l’IGC, le Fonds de contributions volontaires de l’OMPI pour les communautés autochtones et locales accréditées n’en est pas moins demeuré épuisé.  En octobre 2014, l’Assemblée générale de l’OMPI, tout en examinant les textes et les progrès accomplis, n’a pas pu convenir d’un programme de travail pour l’IGC en 2015.  En octobre 2015, l’Assemblée générale de l’OMPI est convenue de renouveler le mandat de l’IGC pour l’exercice biennal 2016</w:t>
      </w:r>
      <w:r w:rsidRPr="00C258AD">
        <w:noBreakHyphen/>
        <w:t>2017.</w:t>
      </w:r>
    </w:p>
    <w:p w:rsidR="00BA5B2A" w:rsidRPr="00C258AD" w:rsidRDefault="00BA5B2A" w:rsidP="00BA5B2A">
      <w:pPr>
        <w:pStyle w:val="ONUME"/>
        <w:numPr>
          <w:ilvl w:val="0"/>
          <w:numId w:val="60"/>
        </w:numPr>
        <w:jc w:val="both"/>
      </w:pPr>
      <w:r w:rsidRPr="00C258AD">
        <w:t>En vue de renforcer la coopération entre les États membres en faveur de la poursuite de l’élaboration d’une politique équilibrée et de cadres normatifs pour le système international des brevets, la vingtième, la vingt et unième, la vingt</w:t>
      </w:r>
      <w:r w:rsidRPr="00C258AD">
        <w:noBreakHyphen/>
        <w:t>deuxième et la vingt</w:t>
      </w:r>
      <w:r w:rsidRPr="00C258AD">
        <w:noBreakHyphen/>
        <w:t>troisième sessions du Comité permanent du droit des brevets (SCP) se sont tenues respectivement en janvier et en novembre 2014 et en juillet et décembre 2015.  Le SCP a poursuivi l’examen de cinq points inscrits à son ordre du jour, à savoir : i) les exceptions et limitations relatives aux droits des brevets;  ii) la qualité des brevets, y compris les systèmes d’opposition;  iii) les brevets et la santé;  iv) la confidentialité de la communication entre les conseils en brevets et leurs clients;  et v) le transfert de technologie.</w:t>
      </w:r>
    </w:p>
    <w:p w:rsidR="00BA5B2A" w:rsidRPr="00C258AD" w:rsidRDefault="00BA5B2A" w:rsidP="00BA5B2A">
      <w:pPr>
        <w:rPr>
          <w:rFonts w:eastAsia="SimSun" w:cs="Arial"/>
          <w:bCs/>
          <w:lang w:eastAsia="zh-CN"/>
        </w:rPr>
      </w:pPr>
    </w:p>
    <w:p w:rsidR="00BA5B2A" w:rsidRPr="00C258AD" w:rsidRDefault="00BA5B2A" w:rsidP="00BA5B2A">
      <w:pPr>
        <w:rPr>
          <w:b/>
          <w:iCs/>
        </w:rPr>
      </w:pPr>
    </w:p>
    <w:p w:rsidR="00BA5B2A" w:rsidRPr="00C258AD" w:rsidRDefault="00BA5B2A">
      <w:pPr>
        <w:spacing w:after="200" w:line="276" w:lineRule="auto"/>
        <w:rPr>
          <w:b/>
          <w:iCs/>
        </w:rPr>
      </w:pPr>
      <w:r w:rsidRPr="00C258AD">
        <w:rPr>
          <w:b/>
          <w:iCs/>
        </w:rPr>
        <w:br w:type="page"/>
      </w:r>
    </w:p>
    <w:p w:rsidR="00BA5B2A" w:rsidRPr="00C258AD" w:rsidRDefault="00BA5B2A" w:rsidP="00BA5B2A">
      <w:pPr>
        <w:jc w:val="center"/>
        <w:rPr>
          <w:b/>
          <w:iCs/>
        </w:rPr>
      </w:pPr>
      <w:r w:rsidRPr="00C258AD">
        <w:rPr>
          <w:b/>
          <w:iCs/>
        </w:rPr>
        <w:lastRenderedPageBreak/>
        <w:t>Objectif stratégique</w:t>
      </w:r>
      <w:r w:rsidRPr="00C258AD">
        <w:rPr>
          <w:iCs/>
        </w:rPr>
        <w:t xml:space="preserve"> </w:t>
      </w:r>
      <w:r w:rsidRPr="00C258AD">
        <w:rPr>
          <w:b/>
          <w:iCs/>
        </w:rPr>
        <w:t>II</w:t>
      </w:r>
      <w:r w:rsidRPr="00C258AD">
        <w:rPr>
          <w:iCs/>
        </w:rPr>
        <w:t> </w:t>
      </w:r>
      <w:r w:rsidRPr="00C258AD">
        <w:t>:</w:t>
      </w:r>
      <w:r w:rsidRPr="00C258AD">
        <w:rPr>
          <w:b/>
          <w:iCs/>
        </w:rPr>
        <w:t xml:space="preserve"> Prestation de services mondiaux de propriété intellectuelle de premier ordre</w:t>
      </w:r>
    </w:p>
    <w:p w:rsidR="00BA5B2A" w:rsidRPr="00C258AD" w:rsidRDefault="00BA5B2A" w:rsidP="00BA5B2A">
      <w:pPr>
        <w:jc w:val="center"/>
        <w:rPr>
          <w:b/>
          <w:iCs/>
        </w:rPr>
      </w:pPr>
      <w:r w:rsidRPr="00C258AD">
        <w:rPr>
          <w:noProof/>
          <w:lang w:val="en-US"/>
        </w:rPr>
        <w:drawing>
          <wp:inline distT="0" distB="0" distL="0" distR="0" wp14:anchorId="6E8C2C42" wp14:editId="128ADE9C">
            <wp:extent cx="5426063" cy="2700000"/>
            <wp:effectExtent l="0" t="0" r="3810" b="571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26063" cy="2700000"/>
                    </a:xfrm>
                    <a:prstGeom prst="rect">
                      <a:avLst/>
                    </a:prstGeom>
                    <a:noFill/>
                    <a:ln>
                      <a:noFill/>
                    </a:ln>
                  </pic:spPr>
                </pic:pic>
              </a:graphicData>
            </a:graphic>
          </wp:inline>
        </w:drawing>
      </w:r>
    </w:p>
    <w:p w:rsidR="00BA5B2A" w:rsidRPr="00C258AD" w:rsidRDefault="00BA5B2A" w:rsidP="00BA5B2A">
      <w:pPr>
        <w:rPr>
          <w:b/>
          <w:sz w:val="18"/>
          <w:szCs w:val="18"/>
        </w:rPr>
      </w:pPr>
    </w:p>
    <w:p w:rsidR="00BA5B2A" w:rsidRPr="00C258AD" w:rsidRDefault="00BA5B2A" w:rsidP="00BA5B2A">
      <w:pPr>
        <w:jc w:val="center"/>
        <w:rPr>
          <w:b/>
          <w:sz w:val="18"/>
          <w:szCs w:val="18"/>
        </w:rPr>
      </w:pPr>
    </w:p>
    <w:p w:rsidR="00BA5B2A" w:rsidRPr="00C258AD" w:rsidRDefault="00BA5B2A" w:rsidP="00BA5B2A">
      <w:pPr>
        <w:jc w:val="center"/>
        <w:rPr>
          <w:b/>
          <w:sz w:val="18"/>
          <w:szCs w:val="18"/>
        </w:rPr>
      </w:pPr>
    </w:p>
    <w:p w:rsidR="00BA5B2A" w:rsidRPr="00C258AD" w:rsidRDefault="00BA5B2A" w:rsidP="00BA5B2A">
      <w:pPr>
        <w:jc w:val="center"/>
        <w:rPr>
          <w:b/>
          <w:sz w:val="18"/>
          <w:szCs w:val="18"/>
        </w:rPr>
      </w:pPr>
    </w:p>
    <w:p w:rsidR="00BA5B2A" w:rsidRPr="00C258AD" w:rsidRDefault="00BA5B2A" w:rsidP="00BA5B2A">
      <w:pPr>
        <w:spacing w:after="120"/>
        <w:jc w:val="center"/>
        <w:rPr>
          <w:b/>
          <w:iCs/>
        </w:rPr>
      </w:pPr>
      <w:r w:rsidRPr="00C258AD">
        <w:rPr>
          <w:b/>
          <w:sz w:val="18"/>
          <w:szCs w:val="18"/>
        </w:rPr>
        <w:t>Résumé des réalisations par résultat escompté</w:t>
      </w:r>
    </w:p>
    <w:p w:rsidR="00BA5B2A" w:rsidRPr="00C258AD" w:rsidRDefault="00BA5B2A" w:rsidP="00BA5B2A">
      <w:pPr>
        <w:jc w:val="center"/>
        <w:rPr>
          <w:b/>
          <w:sz w:val="18"/>
          <w:szCs w:val="18"/>
        </w:rPr>
      </w:pPr>
      <w:r w:rsidRPr="00C258AD">
        <w:rPr>
          <w:noProof/>
          <w:lang w:val="en-US"/>
        </w:rPr>
        <w:drawing>
          <wp:inline distT="0" distB="0" distL="0" distR="0" wp14:anchorId="748AB919" wp14:editId="08EBD74A">
            <wp:extent cx="5940425" cy="4057171"/>
            <wp:effectExtent l="0" t="0" r="3175" b="63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0425" cy="4057171"/>
                    </a:xfrm>
                    <a:prstGeom prst="rect">
                      <a:avLst/>
                    </a:prstGeom>
                    <a:noFill/>
                    <a:ln>
                      <a:noFill/>
                    </a:ln>
                  </pic:spPr>
                </pic:pic>
              </a:graphicData>
            </a:graphic>
          </wp:inline>
        </w:drawing>
      </w:r>
    </w:p>
    <w:p w:rsidR="00BA5B2A" w:rsidRPr="00C258AD" w:rsidRDefault="00BA5B2A" w:rsidP="00BA5B2A">
      <w:pPr>
        <w:jc w:val="center"/>
        <w:rPr>
          <w:b/>
          <w:sz w:val="18"/>
          <w:szCs w:val="18"/>
        </w:rPr>
      </w:pPr>
    </w:p>
    <w:p w:rsidR="00BA5B2A" w:rsidRPr="00C258AD" w:rsidRDefault="00BA5B2A" w:rsidP="00BA5B2A">
      <w:pPr>
        <w:pStyle w:val="ONUME"/>
        <w:numPr>
          <w:ilvl w:val="0"/>
          <w:numId w:val="60"/>
        </w:numPr>
        <w:jc w:val="both"/>
      </w:pPr>
      <w:r w:rsidRPr="00C258AD">
        <w:t>En dépit d’une économie mondiale toujours fragile, l’exercice biennal a enregistré une croissance considérable des systèmes d’enregistrement internationaux pour la cinquième et la sixième année consécutive.</w:t>
      </w:r>
    </w:p>
    <w:p w:rsidR="00BA5B2A" w:rsidRPr="00C258AD" w:rsidRDefault="00BA5B2A" w:rsidP="00BA5B2A">
      <w:pPr>
        <w:pStyle w:val="ONUME"/>
        <w:numPr>
          <w:ilvl w:val="0"/>
          <w:numId w:val="60"/>
        </w:numPr>
        <w:jc w:val="both"/>
      </w:pPr>
      <w:r w:rsidRPr="00C258AD">
        <w:t xml:space="preserve">La croissance des dépôts internationaux de demandes de brevet en vertu du Traité de coopération en matière de brevets (PCT) est restée solide aussi bien en 2014, avec au total 214 500 demandes, soit une progression de 4,5% par rapport à 2013, qu’en 2015, avec 218 000 demandes, représentant une </w:t>
      </w:r>
      <w:r w:rsidRPr="00C258AD">
        <w:lastRenderedPageBreak/>
        <w:t>progression de 1,7% par rapport à 2014.  En 2015, un nouveau record annuel a été atteint en termes de dépôts de demandes de brevet.  Trois géants des télécommunications de Chine et des États</w:t>
      </w:r>
      <w:r w:rsidRPr="00C258AD">
        <w:noBreakHyphen/>
        <w:t>Unis d’Amérique étaient en tête des activités de dépôt international de demandes de brevet pour les deux années de l’exercice biennal.</w:t>
      </w:r>
    </w:p>
    <w:p w:rsidR="00BA5B2A" w:rsidRPr="00C258AD" w:rsidRDefault="00BA5B2A" w:rsidP="00BA5B2A">
      <w:pPr>
        <w:pStyle w:val="ONUME"/>
        <w:numPr>
          <w:ilvl w:val="0"/>
          <w:numId w:val="60"/>
        </w:numPr>
        <w:jc w:val="both"/>
      </w:pPr>
      <w:r w:rsidRPr="00C258AD">
        <w:t>Lors de ses septième et huitième sessions, tenues en 2014 et 2015, le Groupe de travail du PCT a continué à débattre d’un certain nombre de propositions visant à améliorer le fonctionnement du système du PCT.  Les discussions se sont déroulées conformément aux recommandations adoptées par le groupe de travail à sa troisième session, qui comprenaient des recommandations concernant la manière dont l’évolution du PCT pourra se conformer aux recommandations concernées du Plan d’action pour le développement, notamment des groupes A et C.  Parmi les résultats obtenus en 2014, il convient de souligner : i) l’accord sur de nouveaux critères à remplir pour bénéficier d’une réduction des taxes du PCT pour les déposants de certains pays, qui a élargi le nombre de pays en développement et de PMA bénéficiant de ces réductions de taxes;  et ii) une procédure révisée pour la nomination de nouvelles administrations chargées de la recherche internationale et de l’examen préliminaire international, de manière à faire en sorte que les futures administrations disposent des infrastructures et des ressources nécessaires pour s’acquitter de cette tâche.  Au nombre des réalisations remarquables de 2015 figuraient : i) un accord en vue de transmettre les résultats de recherche et de classement relatifs à des demandes antérieures aux administrations chargées de la recherche internationale, afin de réaliser des gains d’efficacité et de contribuer à accroître la qualité de la recherche internationale;  et ii) un accord visant à faire obligation aux offices désignés de transmettre au Bureau international des informations opportunes sur les demandes dans la phase nationale, ce qui améliorera sensiblement les informations sur les droits de brevet nationaux octroyés ou en instance.  Le Bureau international a par ailleurs présenté des estimations sur le lien entre le nombre de demandes déposées selon le PCT et la taxe internationale de dépôt, produisant des simulations sur l’effet d’éventuelles réductions des taxes pour les universités et les organismes de recherche publics dans les pays développés et en développement.</w:t>
      </w:r>
    </w:p>
    <w:p w:rsidR="00BA5B2A" w:rsidRPr="00C258AD" w:rsidRDefault="00BA5B2A" w:rsidP="00BA5B2A">
      <w:pPr>
        <w:pStyle w:val="ONUME"/>
        <w:numPr>
          <w:ilvl w:val="0"/>
          <w:numId w:val="60"/>
        </w:numPr>
        <w:jc w:val="both"/>
      </w:pPr>
      <w:r w:rsidRPr="00C258AD">
        <w:t>L’utilisation du système de Madrid a augmenté de 2,3% en 2014 par rapport à 2013, avec un total de 47 885 demandes reçues.  Les États</w:t>
      </w:r>
      <w:r w:rsidRPr="00C258AD">
        <w:noBreakHyphen/>
        <w:t xml:space="preserve">Unis d’Amérique ont dépassé l’Allemagne en tant que principal utilisateur du système de Madrid en 2014, ce qui illustre la transformation géographique du système.  En 2015, 49 273 demandes ont été reçues au total, représentant une hausse de 2,9% par rapport à 2014.  La croissance a donc été vigoureuse durant l’exercice biennal, notamment compte tenu du fait que le système de Madrid est devenu plus cher pour les déposants d’un certain nombre de pays importants en termes de dépôts suite à la forte appréciation du franc suisse en 2015.  L’expansion géographique du système a également connu d’importantes évolutions positives durant l’exercice biennal.  En 2014, le Zimbabwe et l’Organisation africaine de la propriété intellectuelle (OAPI) ont adhéré au Protocole de Madrid.  L’OAPI étant une organisation intergouvernementale regroupant 17 pays, ces deux adhésions ont, à elles seules, fait </w:t>
      </w:r>
      <w:proofErr w:type="gramStart"/>
      <w:r w:rsidRPr="00C258AD">
        <w:t>passer</w:t>
      </w:r>
      <w:proofErr w:type="gramEnd"/>
      <w:r w:rsidRPr="00C258AD">
        <w:t xml:space="preserve"> de 94 à 110 le nombre de pays au sein desquels les utilisateurs sont en mesure de protéger leurs marques de manière centralisée par l’intermédiaire du système de Madrid pour la seule année 2014.  En 2015, l’Algérie, le Cambodge, la Gambie et la République démocratique populaire lao ont également adhéré au Protocole, portant à 97 le nombre total de parties contractantes à la fin de l’exercice biennal, couvrant 113 pays.  L’Algérie étant le dernier membre de l’Union de Madrid à être partie à l’Arrangement uniquement, le système de Madrid est devenu, pour des raisons pratiques, un système à un seul traité.</w:t>
      </w:r>
    </w:p>
    <w:p w:rsidR="00BA5B2A" w:rsidRPr="00C258AD" w:rsidRDefault="00BA5B2A" w:rsidP="00BA5B2A">
      <w:pPr>
        <w:pStyle w:val="ONUME"/>
        <w:numPr>
          <w:ilvl w:val="0"/>
          <w:numId w:val="60"/>
        </w:numPr>
        <w:jc w:val="both"/>
      </w:pPr>
      <w:r w:rsidRPr="00C258AD">
        <w:t>Le système de La Haye a affiché une bonne croissance en 2014</w:t>
      </w:r>
      <w:r w:rsidRPr="00C258AD">
        <w:noBreakHyphen/>
        <w:t>2015.  En 2014, la République de Corée et, en 2015, le Japon, le Turkménistan et les États</w:t>
      </w:r>
      <w:r w:rsidRPr="00C258AD">
        <w:noBreakHyphen/>
        <w:t>Unis d’Amérique sont devenus parties à l’Acte de Genève (1999) de l’Arrangement de La Haye concernant l’enregistrement international des dessins et modèles industriels (ci</w:t>
      </w:r>
      <w:r w:rsidRPr="00C258AD">
        <w:noBreakHyphen/>
        <w:t>après désigné par l’“Acte de 1999”).  Ces adhésions ont porté le nombre de parties contractantes à cet Acte à 50.  Si ce nombre est resté inférieur à l’objectif visé, les adhésions en particulier de la République de Corée, des États</w:t>
      </w:r>
      <w:r w:rsidRPr="00C258AD">
        <w:noBreakHyphen/>
        <w:t xml:space="preserve">Unis d’Amérique et du Japon, qui se classent respectivement au troisième, quatrième et cinquième rang du classement mondial en termes de dépôts de dessins et modèles, ont sensiblement renforcé l’attrait du système de La Haye.  Les demandes internationales ont ainsi progressé de plus de 40% en 2015, un chiffre nettement supérieur à la hausse escomptée par rapport à 2014.  Autre conséquence de cette expansion, à la fin de l’exercice biennal, d’autres parties contractantes potentielles avaient déjà manifesté clairement leur volonté d’adhérer, notamment des pays qui étaient liés par les actes plus anciens.  </w:t>
      </w:r>
      <w:r w:rsidRPr="00C258AD">
        <w:rPr>
          <w:rFonts w:cs="Arial"/>
        </w:rPr>
        <w:t>À cet égard, fin</w:t>
      </w:r>
      <w:r w:rsidRPr="00C258AD">
        <w:t> 2015, il ne fallait plus que deux consentements pour l’extinction de l’Acte de 1934, alors que quatre parties contractantes en dehors de l’Union européenne (UE) et l’Organisation africaine de la propriété intellectuelle (OAPI) restaient liées uniquement par l’Acte de 1960.</w:t>
      </w:r>
    </w:p>
    <w:p w:rsidR="00BA5B2A" w:rsidRPr="00C258AD" w:rsidRDefault="00BA5B2A" w:rsidP="00BA5B2A">
      <w:pPr>
        <w:pStyle w:val="ONUME"/>
        <w:numPr>
          <w:ilvl w:val="0"/>
          <w:numId w:val="60"/>
        </w:numPr>
        <w:jc w:val="both"/>
      </w:pPr>
      <w:r w:rsidRPr="00C258AD">
        <w:lastRenderedPageBreak/>
        <w:t>L’Assemblée de l’Union de Lisbonne a mandaté le Groupe de travail sur le développement du système de Lisbonne, en 2009, pour entreprendre un examen de ce système de Lisbonne afin de le rendre plus attractif pour les utilisateurs et les nouveaux Membres potentiels, tout en conservant ses principes et ses objectifs.  Compte tenu des progrès accomplis par le groupe de travail, l’Assemblée de l’Union de Lisbonne a approuvé en 2013 la convocation d’une conférence diplomatique pour l’adoption d’un Arrangement de Lisbonne révisé sur les appellations d’origine et les indications géographiques en 2015.  En octobre 2014, le groupe de travail a terminé son travail préparatoire.  Du 11 au 21 mai 2015, la conférence diplomatique pour l’adoption d’un nouvel Acte de l’Arrangement de Lisbonne s’est tenue à Genève et a adopté, le 20 mai 2015, l’Acte de Genève de l’Arrangement de Lisbonne sur les appellations d’origine et les indications géographiques.</w:t>
      </w:r>
    </w:p>
    <w:p w:rsidR="00BA5B2A" w:rsidRPr="00C258AD" w:rsidRDefault="00BA5B2A" w:rsidP="00BA5B2A">
      <w:pPr>
        <w:pStyle w:val="ONUME"/>
        <w:numPr>
          <w:ilvl w:val="0"/>
          <w:numId w:val="60"/>
        </w:numPr>
        <w:jc w:val="both"/>
      </w:pPr>
      <w:r w:rsidRPr="00C258AD">
        <w:t>Partant des conclusions de l’enquête internationale sur le règlement des litiges dans les transactions internationales en matière de technologie qu’il avait menée en 2013, le Centre de l’OMPI a poursuivi ses travaux en 2014</w:t>
      </w:r>
      <w:r w:rsidRPr="00C258AD">
        <w:noBreakHyphen/>
        <w:t>2015 visant à optimiser le potentiel de ses procédures afin de mieux répondre aux besoins des utilisateurs et des titulaires de droits de propriété intellectuelle.  L’année 2014 a marqué le quinzième anniversaire des Principes directeurs concernant le règlement uniforme des litiges relatifs aux noms de domaine (principes UDRP) élaborés par l’OMPI.  Depuis que le Centre a administré le premier litige en vertu des principes UDRP en 1999, plus de 33 000</w:t>
      </w:r>
      <w:r w:rsidRPr="00C258AD">
        <w:rPr>
          <w:vertAlign w:val="superscript"/>
        </w:rPr>
        <w:footnoteReference w:id="4"/>
      </w:r>
      <w:r w:rsidRPr="00C258AD">
        <w:t xml:space="preserve"> plaintes ont été soumises à l’OMPI concernant plus de 61 000 noms de domaine.  Le nombre de plaintes pour </w:t>
      </w:r>
      <w:proofErr w:type="spellStart"/>
      <w:r w:rsidRPr="00C258AD">
        <w:t>cybersquattage</w:t>
      </w:r>
      <w:proofErr w:type="spellEnd"/>
      <w:r w:rsidRPr="00C258AD">
        <w:t xml:space="preserve">, déposées auprès de l’OMPI par des propriétaires de marques de commerce pour atteinte à leur marque, a augmenté de 1,9% en 2014 par rapport à 2013, enregistrant une nouvelle progression de 4,6% en 2015 par rapport à 2014.  Ces chiffres comprennent les premiers litiges administrés en vertu des principes UDRP en relation avec des enregistrements dans des nouveaux </w:t>
      </w:r>
      <w:proofErr w:type="spellStart"/>
      <w:r w:rsidRPr="00C258AD">
        <w:t>gTLD</w:t>
      </w:r>
      <w:proofErr w:type="spellEnd"/>
      <w:r w:rsidRPr="00C258AD">
        <w:t>, qui ont représenté 6,8% des litiges concernant des noms de domaine en 2014</w:t>
      </w:r>
      <w:r w:rsidRPr="00C258AD">
        <w:noBreakHyphen/>
        <w:t>2015.  Les litiges administrés par l’OMPI en vertu des principes UDRP ont impliqué des parties issues de 108 pays en 2014 et de 113 pays en 2015.  Parmi les cinq principaux utilisateurs au cours de l’exercice biennal, les États</w:t>
      </w:r>
      <w:r w:rsidRPr="00C258AD">
        <w:noBreakHyphen/>
        <w:t>Unis d’Amérique ont enregistré le nombre d’affaires le plus élevé (14,3%) en 2014 et l’Allemagne (43,6%) en 2015.  Les trois principaux secteurs d’activité des requérants étaient : le commerce de détail (13%), la banque et la finance (11%) ainsi que la mode (10%) en 2014;  et la mode (10%), la banque et la finance (9%) ainsi que l’Internet et l’informatique (9%) en 2015.</w:t>
      </w:r>
    </w:p>
    <w:p w:rsidR="00BA5B2A" w:rsidRPr="00C258AD" w:rsidRDefault="00BA5B2A" w:rsidP="00BA5B2A">
      <w:pPr>
        <w:rPr>
          <w:b/>
          <w:iCs/>
        </w:rPr>
      </w:pPr>
    </w:p>
    <w:p w:rsidR="00BA5B2A" w:rsidRPr="00C258AD" w:rsidRDefault="00BA5B2A" w:rsidP="00BA5B2A">
      <w:pPr>
        <w:rPr>
          <w:b/>
          <w:iCs/>
        </w:rPr>
      </w:pPr>
    </w:p>
    <w:p w:rsidR="00BA5B2A" w:rsidRPr="00C258AD" w:rsidRDefault="00BA5B2A">
      <w:pPr>
        <w:spacing w:after="200" w:line="276" w:lineRule="auto"/>
        <w:rPr>
          <w:b/>
          <w:iCs/>
        </w:rPr>
      </w:pPr>
      <w:r w:rsidRPr="00C258AD">
        <w:rPr>
          <w:b/>
          <w:iCs/>
        </w:rPr>
        <w:br w:type="page"/>
      </w:r>
    </w:p>
    <w:p w:rsidR="00BA5B2A" w:rsidRPr="00C258AD" w:rsidRDefault="00BA5B2A" w:rsidP="00BA5B2A">
      <w:pPr>
        <w:jc w:val="center"/>
        <w:rPr>
          <w:b/>
          <w:iCs/>
        </w:rPr>
      </w:pPr>
      <w:r w:rsidRPr="00C258AD">
        <w:rPr>
          <w:b/>
          <w:iCs/>
        </w:rPr>
        <w:lastRenderedPageBreak/>
        <w:t>Objectif stratégique III</w:t>
      </w:r>
      <w:r w:rsidRPr="00C258AD">
        <w:rPr>
          <w:iCs/>
        </w:rPr>
        <w:t> </w:t>
      </w:r>
      <w:r w:rsidRPr="00C258AD">
        <w:t>:</w:t>
      </w:r>
      <w:r w:rsidRPr="00C258AD">
        <w:rPr>
          <w:b/>
          <w:iCs/>
        </w:rPr>
        <w:t xml:space="preserve"> Favoriser l’utilisation de la propriété intellectuelle au service du développement</w:t>
      </w:r>
    </w:p>
    <w:p w:rsidR="00BA5B2A" w:rsidRPr="00C258AD" w:rsidRDefault="00BA5B2A" w:rsidP="00BA5B2A">
      <w:pPr>
        <w:jc w:val="center"/>
        <w:rPr>
          <w:b/>
          <w:iCs/>
        </w:rPr>
      </w:pPr>
      <w:r w:rsidRPr="00C258AD">
        <w:rPr>
          <w:noProof/>
          <w:lang w:val="en-US"/>
        </w:rPr>
        <w:drawing>
          <wp:inline distT="0" distB="0" distL="0" distR="0" wp14:anchorId="5AAEF83D" wp14:editId="05762B82">
            <wp:extent cx="5393500" cy="2700000"/>
            <wp:effectExtent l="0" t="0" r="0" b="571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93500" cy="2700000"/>
                    </a:xfrm>
                    <a:prstGeom prst="rect">
                      <a:avLst/>
                    </a:prstGeom>
                    <a:noFill/>
                    <a:ln>
                      <a:noFill/>
                    </a:ln>
                  </pic:spPr>
                </pic:pic>
              </a:graphicData>
            </a:graphic>
          </wp:inline>
        </w:drawing>
      </w:r>
    </w:p>
    <w:p w:rsidR="00BA5B2A" w:rsidRPr="00C258AD" w:rsidRDefault="00BA5B2A" w:rsidP="00BA5B2A">
      <w:pPr>
        <w:jc w:val="center"/>
        <w:rPr>
          <w:b/>
          <w:iCs/>
        </w:rPr>
      </w:pPr>
    </w:p>
    <w:p w:rsidR="00BA5B2A" w:rsidRPr="00C258AD" w:rsidRDefault="00BA5B2A" w:rsidP="00BA5B2A">
      <w:pPr>
        <w:spacing w:after="120"/>
        <w:jc w:val="center"/>
        <w:rPr>
          <w:b/>
          <w:iCs/>
        </w:rPr>
      </w:pPr>
      <w:r w:rsidRPr="00C258AD">
        <w:rPr>
          <w:b/>
          <w:sz w:val="18"/>
          <w:szCs w:val="18"/>
        </w:rPr>
        <w:t>Résumé des réalisations par résultat escompté</w:t>
      </w:r>
    </w:p>
    <w:p w:rsidR="00BA5B2A" w:rsidRPr="00C258AD" w:rsidRDefault="00BA5B2A" w:rsidP="00BA5B2A">
      <w:pPr>
        <w:jc w:val="center"/>
      </w:pPr>
      <w:r w:rsidRPr="00C258AD">
        <w:rPr>
          <w:noProof/>
          <w:lang w:val="en-US"/>
        </w:rPr>
        <w:drawing>
          <wp:inline distT="0" distB="0" distL="0" distR="0" wp14:anchorId="216FCA8F" wp14:editId="58BA897E">
            <wp:extent cx="5940425" cy="3915534"/>
            <wp:effectExtent l="0" t="0" r="3175" b="889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0425" cy="3915534"/>
                    </a:xfrm>
                    <a:prstGeom prst="rect">
                      <a:avLst/>
                    </a:prstGeom>
                    <a:noFill/>
                    <a:ln>
                      <a:noFill/>
                    </a:ln>
                  </pic:spPr>
                </pic:pic>
              </a:graphicData>
            </a:graphic>
          </wp:inline>
        </w:drawing>
      </w:r>
    </w:p>
    <w:p w:rsidR="00BA5B2A" w:rsidRPr="00C258AD" w:rsidRDefault="00BA5B2A" w:rsidP="00BA5B2A"/>
    <w:p w:rsidR="00BA5B2A" w:rsidRPr="00C258AD" w:rsidRDefault="00BA5B2A" w:rsidP="00BA5B2A">
      <w:pPr>
        <w:pStyle w:val="ONUME"/>
        <w:numPr>
          <w:ilvl w:val="0"/>
          <w:numId w:val="60"/>
        </w:numPr>
        <w:jc w:val="both"/>
      </w:pPr>
      <w:r w:rsidRPr="00C258AD">
        <w:t>Favoriser l’utilisation de la propriété intellectuelle au service du développement et donner aux pays en développement, aux PMA et aux pays en transition les moyens de maîtriser la propriété intellectuelle pour renforcer leur potentiel et leurs capacités en matière d’innovation est resté une priorité au cours de l’exercice biennal.</w:t>
      </w:r>
    </w:p>
    <w:p w:rsidR="00BA5B2A" w:rsidRPr="00C258AD" w:rsidRDefault="00BA5B2A" w:rsidP="00BA5B2A">
      <w:pPr>
        <w:pStyle w:val="ONUME"/>
        <w:numPr>
          <w:ilvl w:val="0"/>
          <w:numId w:val="60"/>
        </w:numPr>
        <w:jc w:val="both"/>
      </w:pPr>
      <w:r w:rsidRPr="00C258AD">
        <w:t xml:space="preserve">L’OMPI a continué d’apporter son assistance aux pays en développement et aux PMA pour la conception, l’élaboration et la mise en œuvre de stratégies nationales de propriété intellectuelle qui sont à la fois cohérentes avec leurs plans de développement généraux et capables de stimuler l’innovation et la créativité.  L’application d’une méthodologie à la fois normalisée et souple et une panoplie d’outils de formulation de plans et stratégies de propriété intellectuelle à l’échelle nationale, élaborés dans le cadre du projet du Plan d’action pour le développement relatif au renforcement des capacités des institutions et </w:t>
      </w:r>
      <w:r w:rsidRPr="00C258AD">
        <w:lastRenderedPageBreak/>
        <w:t xml:space="preserve">des utilisateurs aux niveaux national, </w:t>
      </w:r>
      <w:proofErr w:type="spellStart"/>
      <w:r w:rsidRPr="00C258AD">
        <w:t>sous</w:t>
      </w:r>
      <w:r w:rsidRPr="00C258AD">
        <w:noBreakHyphen/>
        <w:t>régional</w:t>
      </w:r>
      <w:proofErr w:type="spellEnd"/>
      <w:r w:rsidRPr="00C258AD">
        <w:t xml:space="preserve"> et régional en 2012, ont continué à guider la procédure.  De ce fait, 15 pays (six en Afrique, cinq dans la région Asie et Pacifique et quatre dans la région Amérique latine et Caraïbes) ont lancé la procédure visant à formuler des plans et stratégies de propriété intellectuelle à l’échelle nationale, et 13 pays (quatre en Afrique, deux dans les pays arabes, trois dans la région Asie et Pacifique et quatre dans la région Amérique latine et Caraïbes) étaient encore à la phase de formulation ou d’adoption fin 2014.  Fin 2014</w:t>
      </w:r>
      <w:r w:rsidRPr="00C258AD">
        <w:noBreakHyphen/>
        <w:t>2015, les plans et stratégies de propriété intellectuelle à l’échelle nationale avaient été adoptés ou étaient en cours de mise en œuvre dans 44 pays au total (26 en Afrique, deux dans les pays arabes, huit dans la région Asie et Pacifique et huit dans la région Amérique latine et Caraïbes), 19 d’entre eux étant des PMA.</w:t>
      </w:r>
    </w:p>
    <w:p w:rsidR="00BA5B2A" w:rsidRPr="00C258AD" w:rsidRDefault="00BA5B2A" w:rsidP="00BA5B2A">
      <w:pPr>
        <w:pStyle w:val="ONUME"/>
        <w:numPr>
          <w:ilvl w:val="0"/>
          <w:numId w:val="60"/>
        </w:numPr>
        <w:jc w:val="both"/>
      </w:pPr>
      <w:r w:rsidRPr="00C258AD">
        <w:t>Conformément à leurs plans de coopération et stratégies nationales en la matière, à l’issue notamment d’activités de sensibilisation menées dans le cadre de l’assistance fournie par l’OMPI, les neuf pays suivants ont modifié leur législation nationale relative à la propriété intellectuelle ou ont adhéré à des traités administrés par l’OMPI : Fédération de Russie, Kazakhstan, Kirghizistan, Lettonie, Lituanie, Monténégro, République de Moldova, Tadjikistan et Turkménistan.  La promotion de l’importance de stratégies nationales exhaustives à long terme en matière de propriété intellectuelle, et de l’aide à l’élaboration et à la mise en œuvre de celles</w:t>
      </w:r>
      <w:r w:rsidRPr="00C258AD">
        <w:noBreakHyphen/>
        <w:t>ci de manière à répondre aux besoins des États membres, est restée une priorité en 2014</w:t>
      </w:r>
      <w:r w:rsidRPr="00C258AD">
        <w:noBreakHyphen/>
        <w:t>2015.  Six pays (Bulgarie, Slovénie, Tadjikistan, Turquie, Turkménistan et Ukraine) ont adopté des stratégies nationales en matière de propriété intellectuelle et quatre pays (Albanie, Géorgie, Lettonie et Pologne) ont commencé à en élaborer une nouvelle.</w:t>
      </w:r>
    </w:p>
    <w:p w:rsidR="00BA5B2A" w:rsidRPr="00C258AD" w:rsidRDefault="00BA5B2A" w:rsidP="00BA5B2A">
      <w:pPr>
        <w:pStyle w:val="ONUME"/>
        <w:numPr>
          <w:ilvl w:val="0"/>
          <w:numId w:val="60"/>
        </w:numPr>
        <w:jc w:val="both"/>
      </w:pPr>
      <w:r w:rsidRPr="00C258AD">
        <w:t>En 2014</w:t>
      </w:r>
      <w:r w:rsidRPr="00C258AD">
        <w:noBreakHyphen/>
        <w:t>2015, l’Académie de l’OMPI a lancé la mise en œuvre d’un processus de réforme et son repositionnement en tant que vecteur central de l’Organisation en matière de formation professionnelle, d’éducation et d’activités de renforcement des capacités en matière de propriété intellectuelle pour les fonctionnaires gouvernementaux et autres parties prenantes.  Tout au long de ce processus, l’Académie de l’OMPI s’est efforcée de maintenir la quantité, la qualité et la fréquence des programmes de formation régulièrement dispensés afin de répondre avec ses partenaires aux obligations de formation continue;  de répondre aux demandes de formation urgente des États membres et des autres parties prenantes et de préserver la continuité de la formation dispensée.  Au cours de l’exercice biennal, quelque 80 000 personnes ont bénéficié de ses programmes et activités.</w:t>
      </w:r>
    </w:p>
    <w:p w:rsidR="00BA5B2A" w:rsidRPr="00C258AD" w:rsidRDefault="00BA5B2A" w:rsidP="00BA5B2A">
      <w:pPr>
        <w:pStyle w:val="ONUME"/>
        <w:numPr>
          <w:ilvl w:val="0"/>
          <w:numId w:val="60"/>
        </w:numPr>
        <w:jc w:val="both"/>
      </w:pPr>
      <w:r w:rsidRPr="00C258AD">
        <w:t>Dans le cadre du programme de perfectionnement professionnel, quelque 35 formations ont été offertes conjointement avec 22 institutions partenaires en Algérie, en Allemagne, en Autriche, au Brésil, au Cameroun, au Canada, au Costa Rica, en Espagne, en Finlande, en France, en Indonésie, en Israël, en Malaisie, au Mexique, au Maroc, en Norvège, au Paraguay, au Pérou, au Royaume</w:t>
      </w:r>
      <w:r w:rsidRPr="00C258AD">
        <w:noBreakHyphen/>
        <w:t>Uni et en Suisse, mais aussi à l’Organisation mondiale du commerce (OMC) et au Centre d’études internationales de la propriété intellectuelle (CEIPI) de Strasbourg (France).  Le programme d’enseignement à distance a continué à attirer des participants d’un grand nombre de parties prenantes.  En 2014</w:t>
      </w:r>
      <w:r w:rsidRPr="00C258AD">
        <w:noBreakHyphen/>
        <w:t>2015, quelque 78 551 participants de 193 pays (67 809 dans le cadre des cours généraux et 10 742 au titre des cours avancés), soit une diminution de 3,6% par rapport à l’exercice biennal 2012</w:t>
      </w:r>
      <w:r w:rsidRPr="00C258AD">
        <w:noBreakHyphen/>
        <w:t>2013, ont bénéficié de la plateforme d’enseignement en ligne améliorée (</w:t>
      </w:r>
      <w:proofErr w:type="spellStart"/>
      <w:r w:rsidRPr="00C258AD">
        <w:t>WeLC</w:t>
      </w:r>
      <w:proofErr w:type="spellEnd"/>
      <w:r w:rsidRPr="00C258AD">
        <w:t>).  On relèvera en particulier que la demande pour les cours avancés de la part des offices de propriété intellectuelle, d’autres organismes gouvernementaux, des nouvelles académies et des CATI, dans les pays en développement et les PMA, a augmenté de 138%</w:t>
      </w:r>
      <w:r w:rsidRPr="00C258AD">
        <w:rPr>
          <w:vertAlign w:val="superscript"/>
        </w:rPr>
        <w:footnoteReference w:id="5"/>
      </w:r>
      <w:r w:rsidRPr="00C258AD">
        <w:t xml:space="preserve"> pour atteindre le chiffre record de 6926 contre 2907 au cours de l’exercice biennal précédent.</w:t>
      </w:r>
    </w:p>
    <w:p w:rsidR="00BA5B2A" w:rsidRPr="00C258AD" w:rsidRDefault="00BA5B2A" w:rsidP="00BA5B2A">
      <w:pPr>
        <w:pStyle w:val="ONUME"/>
        <w:numPr>
          <w:ilvl w:val="0"/>
          <w:numId w:val="60"/>
        </w:numPr>
        <w:jc w:val="both"/>
      </w:pPr>
      <w:r w:rsidRPr="00C258AD">
        <w:t xml:space="preserve">En 2014, le projet de nouvelles académies a été intégré aux programmes ordinaires de l’Académie de l’OMPI après que le CDIP a approuvé, à sa quatorzième session, une évaluation indépendante du projet.  La coopération s’est poursuivie, tout au long de l’exercice biennal avec les six nouvelles académies qui ont été créées durant la phase de projet du CDIP (Colombie, </w:t>
      </w:r>
      <w:r w:rsidRPr="00C258AD">
        <w:rPr>
          <w:rFonts w:cs="Arial"/>
        </w:rPr>
        <w:t>É</w:t>
      </w:r>
      <w:r w:rsidRPr="00C258AD">
        <w:t xml:space="preserve">gypte, </w:t>
      </w:r>
      <w:r w:rsidRPr="00C258AD">
        <w:rPr>
          <w:rFonts w:cs="Arial"/>
        </w:rPr>
        <w:t>É</w:t>
      </w:r>
      <w:r w:rsidRPr="00C258AD">
        <w:t>thiopie, Pérou, République dominicaine et Tunisie).  De nouveaux accords pour la création de centres de formation nationaux à la propriété intellectuelle (nouvelles académies) ont été signés avec les gouvernements de l’Azerbaïdjan, du Cambodge, du Costa Rica, d’El Salvador, de l’</w:t>
      </w:r>
      <w:r w:rsidRPr="00C258AD">
        <w:rPr>
          <w:rFonts w:cs="Arial"/>
        </w:rPr>
        <w:t>É</w:t>
      </w:r>
      <w:r w:rsidRPr="00C258AD">
        <w:t>quateur, de la Géorgie et de la Turquie.  D’autres demandes de la part d’</w:t>
      </w:r>
      <w:r w:rsidRPr="00C258AD">
        <w:rPr>
          <w:rFonts w:cs="Arial"/>
        </w:rPr>
        <w:t>É</w:t>
      </w:r>
      <w:r w:rsidRPr="00C258AD">
        <w:t>tats membres sollicitant une assistance pour mettre en place des centres de formation nationaux à la propriété intellectuelle ont été reçues en 2014</w:t>
      </w:r>
      <w:r w:rsidRPr="00C258AD">
        <w:noBreakHyphen/>
        <w:t>2015 et seront traitées en 2016</w:t>
      </w:r>
      <w:r w:rsidRPr="00C258AD">
        <w:noBreakHyphen/>
        <w:t>2017.</w:t>
      </w:r>
    </w:p>
    <w:p w:rsidR="00BA5B2A" w:rsidRPr="00C258AD" w:rsidRDefault="00BA5B2A" w:rsidP="00BA5B2A">
      <w:pPr>
        <w:pStyle w:val="ONUME"/>
        <w:numPr>
          <w:ilvl w:val="0"/>
          <w:numId w:val="60"/>
        </w:numPr>
        <w:jc w:val="both"/>
      </w:pPr>
      <w:r w:rsidRPr="00C258AD">
        <w:lastRenderedPageBreak/>
        <w:t xml:space="preserve">Renforcer les capacités en matière de ressources humaines pour pouvoir répondre aux nombreuses exigences en ce qui concerne l’utilisation efficace de la propriété intellectuelle au service du développement et promouvoir l’innovation et la créativité restaient des priorités tout au long de l’exercice biennal.  Des programmes de renforcement des capacités et de développement des compétences adaptés ont été fournis à des groupes cibles spécifiques tels que des fonctionnaires d’État, des décideurs, des spécialistes de la propriété intellectuelle, des agents chargés de l’application des droits, des chercheurs et universitaires ou des chefs d’entreprise et des industriels, ainsi que des PME, et ce, à l’échelle nationale, </w:t>
      </w:r>
      <w:proofErr w:type="spellStart"/>
      <w:r w:rsidRPr="00C258AD">
        <w:t>sous</w:t>
      </w:r>
      <w:r w:rsidRPr="00C258AD">
        <w:noBreakHyphen/>
        <w:t>régionale</w:t>
      </w:r>
      <w:proofErr w:type="spellEnd"/>
      <w:r w:rsidRPr="00C258AD">
        <w:t xml:space="preserve"> et régionale.  Quelque 33 programmes sur la gestion efficace des actifs de propriété intellectuelle par les PME ont été organisés, dont l’objectif premier est de constituer dans un pays déterminé un réseau national suffisant de formateurs ayant les savoirs, les compétences et l’expérience nécessaires pour fournir une assistance initiale aux PME en matière de gestion des actifs de propriété intellectuelle.</w:t>
      </w:r>
    </w:p>
    <w:p w:rsidR="00BA5B2A" w:rsidRPr="00C258AD" w:rsidRDefault="00BA5B2A" w:rsidP="00BA5B2A">
      <w:pPr>
        <w:pStyle w:val="ONUME"/>
        <w:numPr>
          <w:ilvl w:val="0"/>
          <w:numId w:val="60"/>
        </w:numPr>
        <w:jc w:val="both"/>
      </w:pPr>
      <w:r w:rsidRPr="00C258AD">
        <w:t>L’OMPI a également renforcé sa coopération avec les PMA en vue d’élaborer un cadre pour les politiques nationales en matière d’innovation;  d’évaluer les besoins en compétences techniques;  de faciliter l’accès aux plateformes mondiales d’information scientifique et technologique;  de mettre en place une infrastructure d’appui à l’innovation;  de favoriser l’inventaire et le renforcement des capacités en ce qui concerne les savoirs traditionnels.  Dans le cadre de la phase II du projet du Plan d’action pour le développement relatif au renforcement des capacités d’utilisation de l’information technique et scientifique axée sur les technologies appropriées pour répondre à certains enjeux de développement, des mémorandums d’accord ont été signés avec quatre PMA (</w:t>
      </w:r>
      <w:r w:rsidRPr="00C258AD">
        <w:rPr>
          <w:rFonts w:cs="Arial"/>
        </w:rPr>
        <w:t>É</w:t>
      </w:r>
      <w:r w:rsidRPr="00C258AD">
        <w:t>thiopie, Ouganda, République</w:t>
      </w:r>
      <w:r w:rsidRPr="00C258AD">
        <w:noBreakHyphen/>
        <w:t>Unie de Tanzanie et Rwanda) et, à la fin de 2015, la mise en œuvre du projet avait débuté dans trois PMA (</w:t>
      </w:r>
      <w:r w:rsidRPr="00C258AD">
        <w:rPr>
          <w:rFonts w:cs="Arial"/>
        </w:rPr>
        <w:t>É</w:t>
      </w:r>
      <w:r w:rsidRPr="00C258AD">
        <w:t>thiopie, République</w:t>
      </w:r>
      <w:r w:rsidRPr="00C258AD">
        <w:noBreakHyphen/>
        <w:t>Unie de Tanzanie et Rwanda).</w:t>
      </w:r>
    </w:p>
    <w:p w:rsidR="00BA5B2A" w:rsidRPr="00C258AD" w:rsidRDefault="00BA5B2A" w:rsidP="00BA5B2A">
      <w:pPr>
        <w:pStyle w:val="ONUME"/>
        <w:numPr>
          <w:ilvl w:val="0"/>
          <w:numId w:val="60"/>
        </w:numPr>
        <w:jc w:val="both"/>
      </w:pPr>
      <w:r w:rsidRPr="00C258AD">
        <w:t>Dans le même esprit, l’OMPI a collaboré étroitement avec le Bureau du Haut</w:t>
      </w:r>
      <w:r w:rsidRPr="00C258AD">
        <w:noBreakHyphen/>
        <w:t>Représentant des Nations Unies pour les pays les moins avancés, les pays en développement sans littoral et les petits États insulaires en développement dans le cadre de la mise en œuvre du Programme d’action d’Istanbul.  En 2014, à l’occasion de la Conférence ministérielle des PMA tenue au Bénin, l’OMPI a mis en œuvre un programme de partenariat interrégional en coopération avec l’Union internationale des télécommunications (UIT), le Fonds d’équipement des Nations Unies (FENU) et l’Organisation des Nations Unies pour le développement industriel (ONUDI).  En 2015, deux nouveaux forums de coopération en partenariat ont été créés, avec la Commission économique et sociale des Nations Unies pour l’Asie et le Pacifique (CESAP) et la Commission économique des Nations Unies pour l’Afrique (CEA).  Le partenariat avec la CESAP a abouti à une proposition pour la signature d’un mémorandum d’accord entre les deux organisations.  L’accent était mis sur le renforcement des capacités et des institutions des PMA en Afrique et en Asie.</w:t>
      </w:r>
    </w:p>
    <w:p w:rsidR="00BA5B2A" w:rsidRPr="00C258AD" w:rsidRDefault="00BA5B2A" w:rsidP="00BA5B2A">
      <w:pPr>
        <w:pStyle w:val="ONUME"/>
        <w:numPr>
          <w:ilvl w:val="0"/>
          <w:numId w:val="60"/>
        </w:numPr>
        <w:jc w:val="both"/>
      </w:pPr>
      <w:r w:rsidRPr="00C258AD">
        <w:t>Au cours de l’exercice biennal, le CDIP a considéré et examiné divers documents et études.  En outre, le comité a approuvé des propositions concernant la seconde phase de deux projets achevés et évalués, trois nouvelles propositions de projets et de nouvelles activités relatives à l’utilisation du droit d’auteur pour promouvoir l’accès à l’information et aux contenus créatifs.  Par ailleurs, le comité a approuvé le mandat de l’étude indépendante de la mise en œuvre des recommandations du Plan d’action pour le développement et a pris une décision concernant la convocation de la conférence internationale sur la propriété intellectuelle et le développement.</w:t>
      </w:r>
    </w:p>
    <w:p w:rsidR="006E2BB1" w:rsidRPr="00C258AD" w:rsidRDefault="006E2BB1" w:rsidP="00CA6084">
      <w:pPr>
        <w:jc w:val="both"/>
        <w:rPr>
          <w:b/>
          <w:iCs/>
        </w:rPr>
      </w:pPr>
    </w:p>
    <w:p w:rsidR="00BA5B2A" w:rsidRPr="00C258AD" w:rsidRDefault="00BA5B2A">
      <w:pPr>
        <w:spacing w:after="200" w:line="276" w:lineRule="auto"/>
        <w:rPr>
          <w:b/>
          <w:iCs/>
        </w:rPr>
      </w:pPr>
      <w:r w:rsidRPr="00C258AD">
        <w:rPr>
          <w:b/>
          <w:iCs/>
        </w:rPr>
        <w:br w:type="page"/>
      </w:r>
    </w:p>
    <w:p w:rsidR="00435839" w:rsidRPr="00C258AD" w:rsidRDefault="00435839" w:rsidP="00435839">
      <w:pPr>
        <w:jc w:val="center"/>
        <w:rPr>
          <w:b/>
          <w:iCs/>
          <w:color w:val="000000" w:themeColor="text1"/>
        </w:rPr>
      </w:pPr>
      <w:r w:rsidRPr="00C258AD">
        <w:rPr>
          <w:b/>
          <w:iCs/>
          <w:color w:val="000000" w:themeColor="text1"/>
        </w:rPr>
        <w:lastRenderedPageBreak/>
        <w:t>Objectif stratégique IV</w:t>
      </w:r>
      <w:r w:rsidRPr="00C258AD">
        <w:rPr>
          <w:iCs/>
          <w:color w:val="000000" w:themeColor="text1"/>
        </w:rPr>
        <w:t> </w:t>
      </w:r>
      <w:r w:rsidRPr="00C258AD">
        <w:rPr>
          <w:color w:val="000000" w:themeColor="text1"/>
        </w:rPr>
        <w:t>:</w:t>
      </w:r>
      <w:r w:rsidRPr="00C258AD">
        <w:rPr>
          <w:b/>
          <w:iCs/>
          <w:color w:val="000000" w:themeColor="text1"/>
        </w:rPr>
        <w:t xml:space="preserve"> Coordination et développement de l’infrastructure mondiale en matière de propriété intellectuelle</w:t>
      </w:r>
    </w:p>
    <w:p w:rsidR="00435839" w:rsidRPr="00C258AD" w:rsidRDefault="00435839" w:rsidP="00435839">
      <w:pPr>
        <w:jc w:val="center"/>
        <w:rPr>
          <w:b/>
          <w:color w:val="000000" w:themeColor="text1"/>
          <w:sz w:val="18"/>
          <w:szCs w:val="18"/>
        </w:rPr>
      </w:pPr>
    </w:p>
    <w:p w:rsidR="00435839" w:rsidRPr="00C258AD" w:rsidRDefault="00435839" w:rsidP="00435839">
      <w:pPr>
        <w:jc w:val="center"/>
        <w:rPr>
          <w:b/>
          <w:color w:val="000000" w:themeColor="text1"/>
          <w:sz w:val="18"/>
          <w:szCs w:val="18"/>
        </w:rPr>
      </w:pPr>
      <w:r w:rsidRPr="00C258AD">
        <w:rPr>
          <w:noProof/>
          <w:color w:val="000000" w:themeColor="text1"/>
          <w:lang w:val="en-US"/>
        </w:rPr>
        <w:drawing>
          <wp:inline distT="0" distB="0" distL="0" distR="0" wp14:anchorId="073993CC" wp14:editId="46E7B799">
            <wp:extent cx="4920314" cy="2700000"/>
            <wp:effectExtent l="0" t="0" r="0" b="5715"/>
            <wp:docPr id="960" name="Picture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920314" cy="2700000"/>
                    </a:xfrm>
                    <a:prstGeom prst="rect">
                      <a:avLst/>
                    </a:prstGeom>
                    <a:noFill/>
                    <a:ln>
                      <a:noFill/>
                    </a:ln>
                  </pic:spPr>
                </pic:pic>
              </a:graphicData>
            </a:graphic>
          </wp:inline>
        </w:drawing>
      </w:r>
    </w:p>
    <w:p w:rsidR="00435839" w:rsidRPr="00C258AD" w:rsidRDefault="00435839" w:rsidP="00435839">
      <w:pPr>
        <w:jc w:val="center"/>
        <w:rPr>
          <w:b/>
          <w:color w:val="000000" w:themeColor="text1"/>
          <w:sz w:val="18"/>
          <w:szCs w:val="18"/>
        </w:rPr>
      </w:pPr>
    </w:p>
    <w:p w:rsidR="00435839" w:rsidRPr="00C258AD" w:rsidRDefault="00435839" w:rsidP="00435839">
      <w:pPr>
        <w:spacing w:after="120"/>
        <w:jc w:val="center"/>
        <w:rPr>
          <w:b/>
          <w:iCs/>
          <w:color w:val="000000" w:themeColor="text1"/>
        </w:rPr>
      </w:pPr>
      <w:r w:rsidRPr="00C258AD">
        <w:rPr>
          <w:b/>
          <w:color w:val="000000" w:themeColor="text1"/>
          <w:sz w:val="18"/>
          <w:szCs w:val="18"/>
        </w:rPr>
        <w:t>Résumé des réalisations par résultat escompté</w:t>
      </w:r>
    </w:p>
    <w:p w:rsidR="00435839" w:rsidRPr="00C258AD" w:rsidRDefault="00435839" w:rsidP="00435839">
      <w:pPr>
        <w:rPr>
          <w:b/>
          <w:color w:val="000000" w:themeColor="text1"/>
          <w:sz w:val="18"/>
          <w:szCs w:val="18"/>
        </w:rPr>
      </w:pPr>
      <w:r w:rsidRPr="00C258AD">
        <w:rPr>
          <w:noProof/>
          <w:lang w:val="en-US"/>
        </w:rPr>
        <w:drawing>
          <wp:inline distT="0" distB="0" distL="0" distR="0" wp14:anchorId="427B5527" wp14:editId="107E9A94">
            <wp:extent cx="5940425" cy="2488795"/>
            <wp:effectExtent l="0" t="0" r="3175" b="698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940425" cy="2488795"/>
                    </a:xfrm>
                    <a:prstGeom prst="rect">
                      <a:avLst/>
                    </a:prstGeom>
                    <a:noFill/>
                    <a:ln>
                      <a:noFill/>
                    </a:ln>
                  </pic:spPr>
                </pic:pic>
              </a:graphicData>
            </a:graphic>
          </wp:inline>
        </w:drawing>
      </w:r>
    </w:p>
    <w:p w:rsidR="00435839" w:rsidRPr="00C258AD" w:rsidRDefault="00435839" w:rsidP="00435839">
      <w:pPr>
        <w:jc w:val="center"/>
        <w:rPr>
          <w:b/>
          <w:color w:val="000000" w:themeColor="text1"/>
          <w:sz w:val="18"/>
          <w:szCs w:val="18"/>
        </w:rPr>
      </w:pPr>
    </w:p>
    <w:p w:rsidR="00435839" w:rsidRPr="00C258AD" w:rsidRDefault="00435839" w:rsidP="00435839">
      <w:pPr>
        <w:pStyle w:val="ONUME"/>
        <w:numPr>
          <w:ilvl w:val="0"/>
          <w:numId w:val="60"/>
        </w:numPr>
        <w:jc w:val="both"/>
        <w:rPr>
          <w:color w:val="000000" w:themeColor="text1"/>
        </w:rPr>
      </w:pPr>
      <w:r w:rsidRPr="00C258AD">
        <w:rPr>
          <w:rFonts w:cs="Arial"/>
          <w:color w:val="000000" w:themeColor="text1"/>
        </w:rPr>
        <w:t>Les travaux ont visé en priorité à améliorer l’infrastructure mondiale en matière de propriété intellectuelle afin de répondre à la demande mondiale croissante pesant sur le système de propriété intellectuelle et à favoriser la participation des pays en développement et des PMA à ce système, et des progrès ont été accomplis en ce qui concerne les bases de données mondiales relatives à la propriété intellectuelle, les classifications, la modernisation des offices de propriété intellectuelle et les centres d’appui à la technologie et à l’innovation (CATI) en </w:t>
      </w:r>
      <w:r w:rsidRPr="00C258AD">
        <w:rPr>
          <w:color w:val="000000" w:themeColor="text1"/>
        </w:rPr>
        <w:t>2014</w:t>
      </w:r>
      <w:r w:rsidRPr="00C258AD">
        <w:rPr>
          <w:color w:val="000000" w:themeColor="text1"/>
        </w:rPr>
        <w:noBreakHyphen/>
        <w:t>2015.</w:t>
      </w:r>
    </w:p>
    <w:p w:rsidR="00435839" w:rsidRPr="00C258AD" w:rsidRDefault="00435839" w:rsidP="00435839">
      <w:pPr>
        <w:pStyle w:val="ONUME"/>
        <w:numPr>
          <w:ilvl w:val="0"/>
          <w:numId w:val="60"/>
        </w:numPr>
        <w:jc w:val="both"/>
        <w:rPr>
          <w:color w:val="000000" w:themeColor="text1"/>
        </w:rPr>
      </w:pPr>
      <w:r w:rsidRPr="00C258AD">
        <w:rPr>
          <w:color w:val="000000" w:themeColor="text1"/>
        </w:rPr>
        <w:t>Le système PATENTSCOPE a encore été renforcé en 2014</w:t>
      </w:r>
      <w:r w:rsidRPr="00C258AD">
        <w:rPr>
          <w:color w:val="000000" w:themeColor="text1"/>
        </w:rPr>
        <w:noBreakHyphen/>
        <w:t xml:space="preserve">2015, en accordant une attention toute particulière à l’amélioration de l’accès au système dans les régions connaissant un faible taux de latence.  Des </w:t>
      </w:r>
      <w:r w:rsidRPr="00C258AD">
        <w:rPr>
          <w:rFonts w:cs="Arial"/>
          <w:color w:val="000000" w:themeColor="text1"/>
        </w:rPr>
        <w:t xml:space="preserve">améliorations tangibles ont également été obtenues pour les utilisateurs situés en Asie.  </w:t>
      </w:r>
      <w:r w:rsidRPr="00C258AD">
        <w:rPr>
          <w:color w:val="000000" w:themeColor="text1"/>
        </w:rPr>
        <w:t>Deux </w:t>
      </w:r>
      <w:r w:rsidRPr="00C258AD">
        <w:rPr>
          <w:rFonts w:cs="Arial"/>
          <w:color w:val="000000" w:themeColor="text1"/>
        </w:rPr>
        <w:t>langues supplémentaires sont désormais prises en charge par le système de recherche multilingue CLIR (</w:t>
      </w:r>
      <w:r w:rsidRPr="00C258AD">
        <w:rPr>
          <w:rFonts w:cs="Arial"/>
          <w:i/>
          <w:color w:val="000000" w:themeColor="text1"/>
        </w:rPr>
        <w:t>Cross</w:t>
      </w:r>
      <w:r w:rsidRPr="00C258AD">
        <w:rPr>
          <w:rFonts w:cs="Arial"/>
          <w:i/>
          <w:color w:val="000000" w:themeColor="text1"/>
        </w:rPr>
        <w:noBreakHyphen/>
        <w:t xml:space="preserve">Lingual Information </w:t>
      </w:r>
      <w:proofErr w:type="spellStart"/>
      <w:r w:rsidRPr="00C258AD">
        <w:rPr>
          <w:rFonts w:cs="Arial"/>
          <w:i/>
          <w:color w:val="000000" w:themeColor="text1"/>
        </w:rPr>
        <w:t>Retrieval</w:t>
      </w:r>
      <w:proofErr w:type="spellEnd"/>
      <w:r w:rsidRPr="00C258AD">
        <w:rPr>
          <w:rFonts w:cs="Arial"/>
          <w:color w:val="000000" w:themeColor="text1"/>
        </w:rPr>
        <w:t xml:space="preserve">), portant à 14 le nombre total de langues prises en charge à la fin de l’exercice </w:t>
      </w:r>
      <w:r w:rsidRPr="00C258AD">
        <w:rPr>
          <w:color w:val="000000" w:themeColor="text1"/>
        </w:rPr>
        <w:t>2014</w:t>
      </w:r>
      <w:r w:rsidRPr="00C258AD">
        <w:rPr>
          <w:color w:val="000000" w:themeColor="text1"/>
        </w:rPr>
        <w:noBreakHyphen/>
        <w:t>2015.  WIPO Translate</w:t>
      </w:r>
      <w:r w:rsidRPr="00C258AD">
        <w:rPr>
          <w:color w:val="000000" w:themeColor="text1"/>
          <w:vertAlign w:val="superscript"/>
        </w:rPr>
        <w:footnoteReference w:id="6"/>
      </w:r>
      <w:r w:rsidRPr="00C258AD">
        <w:rPr>
          <w:color w:val="000000" w:themeColor="text1"/>
        </w:rPr>
        <w:t xml:space="preserve">, </w:t>
      </w:r>
      <w:r w:rsidRPr="00C258AD">
        <w:rPr>
          <w:rFonts w:cs="Arial"/>
          <w:color w:val="000000" w:themeColor="text1"/>
        </w:rPr>
        <w:t>un système de traduction automatique statistique créé en interne, a été étendu à trois nouveaux couples de langues difficiles à la fin de l’exercice 2014</w:t>
      </w:r>
      <w:r w:rsidRPr="00C258AD">
        <w:rPr>
          <w:rFonts w:cs="Arial"/>
          <w:color w:val="000000" w:themeColor="text1"/>
        </w:rPr>
        <w:noBreakHyphen/>
        <w:t>2015</w:t>
      </w:r>
      <w:r w:rsidRPr="00C258AD">
        <w:rPr>
          <w:color w:val="000000" w:themeColor="text1"/>
        </w:rPr>
        <w:t> :</w:t>
      </w:r>
      <w:r w:rsidRPr="00C258AD">
        <w:rPr>
          <w:rFonts w:cs="Arial"/>
          <w:color w:val="000000" w:themeColor="text1"/>
        </w:rPr>
        <w:t xml:space="preserve"> anglais</w:t>
      </w:r>
      <w:r w:rsidRPr="00C258AD">
        <w:rPr>
          <w:rFonts w:cs="Arial"/>
          <w:color w:val="000000" w:themeColor="text1"/>
        </w:rPr>
        <w:noBreakHyphen/>
        <w:t>coréen, anglais</w:t>
      </w:r>
      <w:r w:rsidRPr="00C258AD">
        <w:rPr>
          <w:rFonts w:cs="Arial"/>
          <w:color w:val="000000" w:themeColor="text1"/>
        </w:rPr>
        <w:noBreakHyphen/>
        <w:t>russe et anglais</w:t>
      </w:r>
      <w:r w:rsidRPr="00C258AD">
        <w:rPr>
          <w:rFonts w:cs="Arial"/>
          <w:color w:val="000000" w:themeColor="text1"/>
        </w:rPr>
        <w:noBreakHyphen/>
        <w:t xml:space="preserve">espagnol.  Ainsi, le nombre total de </w:t>
      </w:r>
      <w:r w:rsidR="000278D9" w:rsidRPr="00C258AD">
        <w:rPr>
          <w:rFonts w:cs="Arial"/>
          <w:color w:val="000000" w:themeColor="text1"/>
        </w:rPr>
        <w:t>couples</w:t>
      </w:r>
      <w:r w:rsidRPr="00C258AD">
        <w:rPr>
          <w:rFonts w:cs="Arial"/>
          <w:color w:val="000000" w:themeColor="text1"/>
        </w:rPr>
        <w:t xml:space="preserve"> de langues pris en charge a été porté à sept, et le champ couvert par l’anglais et le chinois a été étendu aux descriptions et aux revendications</w:t>
      </w:r>
      <w:r w:rsidRPr="00C258AD">
        <w:rPr>
          <w:color w:val="000000" w:themeColor="text1"/>
        </w:rPr>
        <w:t>.</w:t>
      </w:r>
    </w:p>
    <w:p w:rsidR="00435839" w:rsidRPr="00C258AD" w:rsidRDefault="00435839" w:rsidP="00435839">
      <w:pPr>
        <w:pStyle w:val="ONUME"/>
        <w:numPr>
          <w:ilvl w:val="0"/>
          <w:numId w:val="60"/>
        </w:numPr>
        <w:jc w:val="both"/>
        <w:rPr>
          <w:color w:val="000000" w:themeColor="text1"/>
        </w:rPr>
      </w:pPr>
      <w:r w:rsidRPr="00C258AD">
        <w:rPr>
          <w:rFonts w:cs="Arial"/>
          <w:color w:val="000000" w:themeColor="text1"/>
        </w:rPr>
        <w:lastRenderedPageBreak/>
        <w:t xml:space="preserve">Le service PATENTSCOPE a continué d’afficher des niveaux d’utilisation élevés, avec une moyenne de </w:t>
      </w:r>
      <w:r w:rsidR="000278D9" w:rsidRPr="00C258AD">
        <w:rPr>
          <w:rFonts w:cs="Arial"/>
          <w:color w:val="000000" w:themeColor="text1"/>
        </w:rPr>
        <w:t>500 000 </w:t>
      </w:r>
      <w:r w:rsidRPr="00C258AD">
        <w:rPr>
          <w:rFonts w:cs="Arial"/>
          <w:color w:val="000000" w:themeColor="text1"/>
        </w:rPr>
        <w:t xml:space="preserve">pages vues par jour.  L’utilisation de PATENTSCOPE est restée stable avec plus de </w:t>
      </w:r>
      <w:r w:rsidR="000278D9" w:rsidRPr="00C258AD">
        <w:rPr>
          <w:rFonts w:cs="Arial"/>
          <w:color w:val="000000" w:themeColor="text1"/>
        </w:rPr>
        <w:t>221 000 </w:t>
      </w:r>
      <w:r w:rsidRPr="00C258AD">
        <w:rPr>
          <w:rFonts w:cs="Arial"/>
          <w:color w:val="000000" w:themeColor="text1"/>
        </w:rPr>
        <w:t>visites par trimestre à la fin de l’exercice 2014</w:t>
      </w:r>
      <w:r w:rsidRPr="00C258AD">
        <w:rPr>
          <w:rFonts w:cs="Arial"/>
          <w:color w:val="000000" w:themeColor="text1"/>
        </w:rPr>
        <w:noBreakHyphen/>
        <w:t>2015, ce qui montre que les niveaux de service du moteur de recherche PATENTSCOPE sont désormais suffisamment matures pour en arriver à des rendements décroissants.  Le nombre de collections figurant dans PATENTSCOPE a également connu une hausse de 19% à partir de 2013, portant le nombre total de collections nationales et régionales à 43 (contre 36 à la fin de 2013) et le nombre total d’enregistrements à plus de 50 millions (contre 34 millions à la fin de 2013), soit une hausse de 47% par rapport à 2013</w:t>
      </w:r>
      <w:r w:rsidRPr="00C258AD">
        <w:rPr>
          <w:color w:val="000000" w:themeColor="text1"/>
        </w:rPr>
        <w:t>.</w:t>
      </w:r>
    </w:p>
    <w:p w:rsidR="00435839" w:rsidRPr="00C258AD" w:rsidRDefault="00435839" w:rsidP="00435839">
      <w:pPr>
        <w:pStyle w:val="ONUME"/>
        <w:numPr>
          <w:ilvl w:val="0"/>
          <w:numId w:val="60"/>
        </w:numPr>
        <w:jc w:val="both"/>
        <w:rPr>
          <w:color w:val="000000" w:themeColor="text1"/>
        </w:rPr>
      </w:pPr>
      <w:r w:rsidRPr="00C258AD">
        <w:rPr>
          <w:rFonts w:cs="Arial"/>
          <w:color w:val="000000" w:themeColor="text1"/>
        </w:rPr>
        <w:t>L’introduction d’une puissante fonction de recherche de similarité des images a permis de dépasser les attentes quant à l’utilisation de la base de données mondiale sur les marques en 2014</w:t>
      </w:r>
      <w:r w:rsidRPr="00C258AD">
        <w:rPr>
          <w:rFonts w:cs="Arial"/>
          <w:color w:val="000000" w:themeColor="text1"/>
        </w:rPr>
        <w:noBreakHyphen/>
        <w:t>2015</w:t>
      </w:r>
      <w:r w:rsidRPr="00C258AD">
        <w:rPr>
          <w:color w:val="000000" w:themeColor="text1"/>
        </w:rPr>
        <w:t xml:space="preserve">;  </w:t>
      </w:r>
      <w:r w:rsidRPr="00C258AD">
        <w:rPr>
          <w:rFonts w:cs="Arial"/>
          <w:color w:val="000000" w:themeColor="text1"/>
        </w:rPr>
        <w:t>en effet, le nombre de visites par trimestre a été multiplié par quatre, passant de 23 000 à la fin de 2013 à plus de 80 000 au cours de l’exercice 2014</w:t>
      </w:r>
      <w:r w:rsidRPr="00C258AD">
        <w:rPr>
          <w:rFonts w:cs="Arial"/>
          <w:color w:val="000000" w:themeColor="text1"/>
        </w:rPr>
        <w:noBreakHyphen/>
        <w:t>2015</w:t>
      </w:r>
      <w:r w:rsidRPr="00C258AD">
        <w:rPr>
          <w:color w:val="000000" w:themeColor="text1"/>
        </w:rPr>
        <w:t xml:space="preserve">.  </w:t>
      </w:r>
      <w:r w:rsidRPr="00C258AD">
        <w:rPr>
          <w:rFonts w:cs="Arial"/>
          <w:color w:val="000000" w:themeColor="text1"/>
        </w:rPr>
        <w:t>En outre, le nombre de collections nationales a plus que doublé, passant de 12 à la fin de 2013 à 26 à la fin de 2015</w:t>
      </w:r>
      <w:r w:rsidRPr="00C258AD">
        <w:rPr>
          <w:color w:val="000000" w:themeColor="text1"/>
        </w:rPr>
        <w:t xml:space="preserve">.  </w:t>
      </w:r>
      <w:r w:rsidRPr="00C258AD">
        <w:rPr>
          <w:rFonts w:cs="Arial"/>
          <w:color w:val="000000" w:themeColor="text1"/>
        </w:rPr>
        <w:t>De même, le nombre total d’enregistrements figurant dans le système a plus que doublé, passant de 12 millions en 2013 à plus de 24 millions au cours de l’exercice 2014</w:t>
      </w:r>
      <w:r w:rsidRPr="00C258AD">
        <w:rPr>
          <w:rFonts w:cs="Arial"/>
          <w:color w:val="000000" w:themeColor="text1"/>
        </w:rPr>
        <w:noBreakHyphen/>
        <w:t>2015</w:t>
      </w:r>
      <w:r w:rsidRPr="00C258AD">
        <w:rPr>
          <w:color w:val="000000" w:themeColor="text1"/>
        </w:rPr>
        <w:t>.</w:t>
      </w:r>
    </w:p>
    <w:p w:rsidR="00435839" w:rsidRPr="00C258AD" w:rsidRDefault="00435839" w:rsidP="00435839">
      <w:pPr>
        <w:pStyle w:val="ONUME"/>
        <w:numPr>
          <w:ilvl w:val="0"/>
          <w:numId w:val="60"/>
        </w:numPr>
        <w:jc w:val="both"/>
        <w:rPr>
          <w:color w:val="000000" w:themeColor="text1"/>
        </w:rPr>
      </w:pPr>
      <w:r w:rsidRPr="00C258AD">
        <w:rPr>
          <w:rFonts w:cs="Arial"/>
          <w:color w:val="000000" w:themeColor="text1"/>
        </w:rPr>
        <w:t xml:space="preserve">Il importe de souligner qu’un nouveau service a été lancé en janvier 2015, à savoir la base de données mondiale sur les dessins et modèles.  À la fin de 2015, un an seulement après son introduction, cette nouvelle base de données avait déjà atteint le nombre impressionnant de </w:t>
      </w:r>
      <w:r w:rsidR="000278D9" w:rsidRPr="00C258AD">
        <w:rPr>
          <w:rFonts w:cs="Arial"/>
          <w:color w:val="000000" w:themeColor="text1"/>
        </w:rPr>
        <w:t>14 000 </w:t>
      </w:r>
      <w:r w:rsidRPr="00C258AD">
        <w:rPr>
          <w:rFonts w:cs="Arial"/>
          <w:color w:val="000000" w:themeColor="text1"/>
        </w:rPr>
        <w:t>visites par trimestre.  En outre, les collections nationales étaient au nombre de cinq et contenaient plus de 1,5 million de documents relatifs aux dessins et modèles industriels</w:t>
      </w:r>
      <w:r w:rsidRPr="00C258AD">
        <w:rPr>
          <w:color w:val="000000" w:themeColor="text1"/>
        </w:rPr>
        <w:t>.</w:t>
      </w:r>
    </w:p>
    <w:p w:rsidR="00435839" w:rsidRPr="00C258AD" w:rsidRDefault="00435839" w:rsidP="00435839">
      <w:pPr>
        <w:pStyle w:val="ONUME"/>
        <w:numPr>
          <w:ilvl w:val="0"/>
          <w:numId w:val="60"/>
        </w:numPr>
        <w:jc w:val="both"/>
        <w:rPr>
          <w:color w:val="000000" w:themeColor="text1"/>
        </w:rPr>
      </w:pPr>
      <w:r w:rsidRPr="00C258AD">
        <w:rPr>
          <w:rFonts w:cs="Arial"/>
          <w:color w:val="000000" w:themeColor="text1"/>
        </w:rPr>
        <w:t>Malgré une progression inégale en 2014, la situation s’est sensiblement améliorée en 2015 en ce qui concerne les classifications internationales et les normes de l’OMPI en matière de propriété intellectuelle, les résultats étant au</w:t>
      </w:r>
      <w:r w:rsidRPr="00C258AD">
        <w:rPr>
          <w:rFonts w:cs="Arial"/>
          <w:color w:val="000000" w:themeColor="text1"/>
        </w:rPr>
        <w:noBreakHyphen/>
        <w:t xml:space="preserve">dessus ou </w:t>
      </w:r>
      <w:r w:rsidR="000278D9" w:rsidRPr="00C258AD">
        <w:rPr>
          <w:rFonts w:cs="Arial"/>
          <w:color w:val="000000" w:themeColor="text1"/>
        </w:rPr>
        <w:t>en deçà</w:t>
      </w:r>
      <w:r w:rsidRPr="00C258AD">
        <w:rPr>
          <w:rFonts w:cs="Arial"/>
          <w:color w:val="000000" w:themeColor="text1"/>
        </w:rPr>
        <w:t xml:space="preserve"> des attentes selon les domaines.  S’agissant de la classification de Nice, 1480 modifications ont été apportées et 25 dossiers ont été introduits au cours de l’exercice 2014</w:t>
      </w:r>
      <w:r w:rsidRPr="00C258AD">
        <w:rPr>
          <w:rFonts w:cs="Arial"/>
          <w:color w:val="000000" w:themeColor="text1"/>
        </w:rPr>
        <w:noBreakHyphen/>
        <w:t>2015</w:t>
      </w:r>
      <w:r w:rsidRPr="00C258AD">
        <w:rPr>
          <w:color w:val="000000" w:themeColor="text1"/>
        </w:rPr>
        <w:t xml:space="preserve">.  </w:t>
      </w:r>
      <w:r w:rsidRPr="00C258AD">
        <w:rPr>
          <w:rFonts w:cs="Arial"/>
          <w:color w:val="000000" w:themeColor="text1"/>
        </w:rPr>
        <w:t>Ainsi, le nombre de modifications a augmenté de 94% par rapport à l’exercice 2012</w:t>
      </w:r>
      <w:r w:rsidRPr="00C258AD">
        <w:rPr>
          <w:rFonts w:cs="Arial"/>
          <w:color w:val="000000" w:themeColor="text1"/>
        </w:rPr>
        <w:noBreakHyphen/>
        <w:t>2013</w:t>
      </w:r>
      <w:r w:rsidRPr="00C258AD">
        <w:rPr>
          <w:color w:val="000000" w:themeColor="text1"/>
        </w:rPr>
        <w:t xml:space="preserve">.  </w:t>
      </w:r>
      <w:r w:rsidRPr="00C258AD">
        <w:rPr>
          <w:rFonts w:cs="Arial"/>
          <w:color w:val="000000" w:themeColor="text1"/>
        </w:rPr>
        <w:t>En avril 2014 a été lancée la version modifiée de la plateforme de publication visant à faciliter l’utilisation de la CIB</w:t>
      </w:r>
      <w:r w:rsidRPr="00C258AD">
        <w:rPr>
          <w:color w:val="000000" w:themeColor="text1"/>
        </w:rPr>
        <w:t xml:space="preserve">;  </w:t>
      </w:r>
      <w:r w:rsidRPr="00C258AD">
        <w:rPr>
          <w:rFonts w:cs="Arial"/>
          <w:color w:val="000000" w:themeColor="text1"/>
        </w:rPr>
        <w:t xml:space="preserve">un nouvel outil de recherche ainsi que la plateforme parallèle CIB/CPC/FI ont également été introduits dans le système.  En raison de l’augmentation des nouveaux projets de révision émanant des offices de l’IP5 et de la communauté de la CIB, le nombre de nouvelles subdivisions introduites en 2015 (1031) a dépassé l’objectif annuel de 28%, avec un rebond à partir de 2014 permettant d’atteindre l’objectif visé.  </w:t>
      </w:r>
      <w:r w:rsidRPr="00C258AD">
        <w:t xml:space="preserve">À sa quatrième session, le Comité des normes de l’OMPI (CWS) n’a pas été en mesure d’adopter un ordre du jour, ce qui a engendré l’impossibilité de formaliser les décisions informelles.  Malgré ce retard, une nouvelle norme a été adoptée et une autre révisée de manière informelle en 2014.  </w:t>
      </w:r>
      <w:r w:rsidRPr="00C258AD">
        <w:rPr>
          <w:rFonts w:cs="Arial"/>
          <w:color w:val="000000" w:themeColor="text1"/>
        </w:rPr>
        <w:t>Cet immobilisme a perduré en 2015, engendrant l’absence d’adoption officielle de nouvelles normes.  Néanmoins, les équipes d’experts désignés par les membres et les observateurs du CWS pour mener à bien certaines tâches spécifiques ont poursuivi leurs travaux de manière informelle.  Plusieurs normes devraient être adoptées lors de la reprise du CWS en 2016</w:t>
      </w:r>
      <w:r w:rsidRPr="00C258AD">
        <w:rPr>
          <w:color w:val="000000" w:themeColor="text1"/>
        </w:rPr>
        <w:t xml:space="preserve">.  </w:t>
      </w:r>
      <w:r w:rsidRPr="00C258AD">
        <w:t>L’utilisation des outils Internet pour accéder aux publications des classifications et des normes a affiché une croissance stable avec des visites des publications de la CIB nettement supérieures (une hausse de 107% par rapport à 2013) en raison de l’inclusion des classifications révisées et de nouveaux outils</w:t>
      </w:r>
      <w:r w:rsidRPr="00C258AD">
        <w:rPr>
          <w:color w:val="000000" w:themeColor="text1"/>
        </w:rPr>
        <w:t>.</w:t>
      </w:r>
    </w:p>
    <w:p w:rsidR="00435839" w:rsidRPr="00C258AD" w:rsidRDefault="00435839" w:rsidP="00435839">
      <w:pPr>
        <w:pStyle w:val="ONUME"/>
        <w:numPr>
          <w:ilvl w:val="0"/>
          <w:numId w:val="60"/>
        </w:numPr>
        <w:jc w:val="both"/>
        <w:rPr>
          <w:color w:val="000000" w:themeColor="text1"/>
        </w:rPr>
      </w:pPr>
      <w:r w:rsidRPr="00C258AD">
        <w:rPr>
          <w:rFonts w:cs="Arial"/>
          <w:color w:val="000000" w:themeColor="text1"/>
        </w:rPr>
        <w:t>Au cours de l’exercice 2014</w:t>
      </w:r>
      <w:r w:rsidRPr="00C258AD">
        <w:rPr>
          <w:rFonts w:cs="Arial"/>
          <w:color w:val="000000" w:themeColor="text1"/>
        </w:rPr>
        <w:noBreakHyphen/>
        <w:t>2015, le nombre total d’États membres ayant mis en place des centres d’appui à la technologie et à l’innovation (CATI) sur leur territoire a été porté à 50, avec la création de 11 réseaux supplémentaires, soit une augmentation de 28% par rapport à l’exercice 2012</w:t>
      </w:r>
      <w:r w:rsidRPr="00C258AD">
        <w:rPr>
          <w:rFonts w:cs="Arial"/>
          <w:color w:val="000000" w:themeColor="text1"/>
        </w:rPr>
        <w:noBreakHyphen/>
        <w:t>2013</w:t>
      </w:r>
      <w:r w:rsidRPr="00C258AD">
        <w:rPr>
          <w:color w:val="000000" w:themeColor="text1"/>
        </w:rPr>
        <w:t xml:space="preserve">.  </w:t>
      </w:r>
      <w:r w:rsidRPr="00C258AD">
        <w:rPr>
          <w:rFonts w:cs="Arial"/>
          <w:color w:val="000000" w:themeColor="text1"/>
        </w:rPr>
        <w:t>Le renforcement de la viabilité des réseaux sur le long terme est resté un objectif prioritaire, et à la fin de 2015, 25 réseaux de CATI étaient considérés comme viables.  La plateforme de gestion des connaissances “</w:t>
      </w:r>
      <w:proofErr w:type="spellStart"/>
      <w:r w:rsidRPr="00C258AD">
        <w:rPr>
          <w:rFonts w:cs="Arial"/>
          <w:color w:val="000000" w:themeColor="text1"/>
        </w:rPr>
        <w:t>eTISC</w:t>
      </w:r>
      <w:proofErr w:type="spellEnd"/>
      <w:r w:rsidRPr="00C258AD">
        <w:rPr>
          <w:rFonts w:cs="Arial"/>
          <w:color w:val="000000" w:themeColor="text1"/>
        </w:rPr>
        <w:t>” a continué d’enregistrer une forte croissance, le nombre de membres passant de 700 au cours de l’exercice 2012</w:t>
      </w:r>
      <w:r w:rsidRPr="00C258AD">
        <w:rPr>
          <w:rFonts w:cs="Arial"/>
          <w:color w:val="000000" w:themeColor="text1"/>
        </w:rPr>
        <w:noBreakHyphen/>
        <w:t>2013 à près de 1500 membres originaires de plus de 115 pays à la fin de 2015, soit une augmentation de 100%</w:t>
      </w:r>
      <w:r w:rsidRPr="00C258AD">
        <w:rPr>
          <w:color w:val="000000" w:themeColor="text1"/>
        </w:rPr>
        <w:t xml:space="preserve">.  </w:t>
      </w:r>
      <w:r w:rsidRPr="00C258AD">
        <w:rPr>
          <w:rFonts w:cs="Arial"/>
          <w:color w:val="000000" w:themeColor="text1"/>
        </w:rPr>
        <w:t xml:space="preserve">La plateforme </w:t>
      </w:r>
      <w:proofErr w:type="spellStart"/>
      <w:r w:rsidRPr="00C258AD">
        <w:rPr>
          <w:rFonts w:cs="Arial"/>
          <w:color w:val="000000" w:themeColor="text1"/>
        </w:rPr>
        <w:t>eTISC</w:t>
      </w:r>
      <w:proofErr w:type="spellEnd"/>
      <w:r w:rsidRPr="00C258AD">
        <w:rPr>
          <w:rFonts w:cs="Arial"/>
          <w:color w:val="000000" w:themeColor="text1"/>
        </w:rPr>
        <w:t xml:space="preserve"> a ajouté 16 séminaires de formation en ligne et hébergé 10 séances de questions</w:t>
      </w:r>
      <w:r w:rsidRPr="00C258AD">
        <w:rPr>
          <w:rFonts w:cs="Arial"/>
          <w:color w:val="000000" w:themeColor="text1"/>
        </w:rPr>
        <w:noBreakHyphen/>
        <w:t>réponses en direct avec des experts en matière d’appui à l’innovation</w:t>
      </w:r>
      <w:r w:rsidRPr="00C258AD">
        <w:rPr>
          <w:color w:val="000000" w:themeColor="text1"/>
        </w:rPr>
        <w:t>.</w:t>
      </w:r>
    </w:p>
    <w:p w:rsidR="00435839" w:rsidRPr="00C258AD" w:rsidRDefault="00435839" w:rsidP="00435839">
      <w:pPr>
        <w:pStyle w:val="ONUME"/>
        <w:numPr>
          <w:ilvl w:val="0"/>
          <w:numId w:val="60"/>
        </w:numPr>
        <w:jc w:val="both"/>
        <w:rPr>
          <w:color w:val="000000" w:themeColor="text1"/>
        </w:rPr>
      </w:pPr>
      <w:r w:rsidRPr="00C258AD">
        <w:rPr>
          <w:rFonts w:cs="Arial"/>
          <w:color w:val="000000" w:themeColor="text1"/>
        </w:rPr>
        <w:t>Pour répondre à la demande, le Bureau international a continué d’élaborer des produits ayant vocation à appuyer les processus opérationnels des offices de propriété intellectuelle, notamment le système d’administration de la propriété industrielle (IPAS) et des modules d’assistance.  De nouvelles fonctionnalités importantes ont été déployées au cours de l’exercice 2014</w:t>
      </w:r>
      <w:r w:rsidRPr="00C258AD">
        <w:rPr>
          <w:rFonts w:cs="Arial"/>
          <w:color w:val="000000" w:themeColor="text1"/>
        </w:rPr>
        <w:noBreakHyphen/>
        <w:t xml:space="preserve">2015, notamment une meilleure assistance en matière de gestion électronique des documents et une assistance fournie pour les opérations bilingues, destinée notamment aux offices travaillant en langue arabe.  </w:t>
      </w:r>
      <w:r w:rsidRPr="00C258AD">
        <w:rPr>
          <w:color w:val="000000" w:themeColor="text1"/>
        </w:rPr>
        <w:t>Deux </w:t>
      </w:r>
      <w:r w:rsidRPr="00C258AD">
        <w:rPr>
          <w:rFonts w:cs="Arial"/>
          <w:color w:val="000000" w:themeColor="text1"/>
        </w:rPr>
        <w:t>nouveaux modules ont été élaborés et mis à l’essai dans plusieurs offices de propriété intellectuelle</w:t>
      </w:r>
      <w:r w:rsidRPr="00C258AD">
        <w:rPr>
          <w:color w:val="000000" w:themeColor="text1"/>
        </w:rPr>
        <w:t> :</w:t>
      </w:r>
    </w:p>
    <w:p w:rsidR="00435839" w:rsidRPr="00C258AD" w:rsidRDefault="00435839" w:rsidP="00435839">
      <w:pPr>
        <w:pStyle w:val="ListParagraph"/>
        <w:numPr>
          <w:ilvl w:val="0"/>
          <w:numId w:val="17"/>
        </w:numPr>
        <w:ind w:left="1134" w:hanging="425"/>
        <w:jc w:val="both"/>
        <w:rPr>
          <w:rFonts w:cs="Arial"/>
          <w:color w:val="000000" w:themeColor="text1"/>
        </w:rPr>
      </w:pPr>
      <w:r w:rsidRPr="00C258AD">
        <w:rPr>
          <w:rFonts w:cs="Arial"/>
          <w:color w:val="000000" w:themeColor="text1"/>
        </w:rPr>
        <w:lastRenderedPageBreak/>
        <w:t xml:space="preserve">WIPO </w:t>
      </w:r>
      <w:proofErr w:type="spellStart"/>
      <w:r w:rsidRPr="00C258AD">
        <w:rPr>
          <w:rFonts w:cs="Arial"/>
          <w:color w:val="000000" w:themeColor="text1"/>
        </w:rPr>
        <w:t>Publish</w:t>
      </w:r>
      <w:proofErr w:type="spellEnd"/>
      <w:r w:rsidRPr="00C258AD">
        <w:rPr>
          <w:rFonts w:cs="Arial"/>
          <w:color w:val="000000" w:themeColor="text1"/>
        </w:rPr>
        <w:t xml:space="preserve"> a été conçu pour répondre aux besoins des offices en matière de publication en ligne de données, de documents, de statut juridique et d’informations relatives aux dossiers en matière de propriété intellectuelle, ainsi que pour l’échange de données (y compris l’échange de données pour les bases de données mondiales de l’OMPI). </w:t>
      </w:r>
      <w:r w:rsidRPr="00C258AD">
        <w:rPr>
          <w:color w:val="000000" w:themeColor="text1"/>
        </w:rPr>
        <w:t xml:space="preserve"> </w:t>
      </w:r>
      <w:r w:rsidRPr="00C258AD">
        <w:rPr>
          <w:rFonts w:cs="Arial"/>
          <w:color w:val="000000" w:themeColor="text1"/>
        </w:rPr>
        <w:t>Il a été déployé à des fins d’usage interne dans plus de 10 offices et à des fins de diffusion en ligne d’informations en matière de propriété intellectuelle dans plusieurs autres offices.</w:t>
      </w:r>
    </w:p>
    <w:p w:rsidR="00435839" w:rsidRPr="00C258AD" w:rsidRDefault="00435839" w:rsidP="00435839">
      <w:pPr>
        <w:rPr>
          <w:color w:val="000000" w:themeColor="text1"/>
        </w:rPr>
      </w:pPr>
    </w:p>
    <w:p w:rsidR="00435839" w:rsidRPr="00C258AD" w:rsidRDefault="00435839" w:rsidP="00435839">
      <w:pPr>
        <w:pStyle w:val="ListParagraph"/>
        <w:numPr>
          <w:ilvl w:val="0"/>
          <w:numId w:val="17"/>
        </w:numPr>
        <w:ind w:left="1134" w:hanging="425"/>
        <w:jc w:val="both"/>
        <w:rPr>
          <w:rFonts w:cs="Arial"/>
          <w:color w:val="000000" w:themeColor="text1"/>
        </w:rPr>
      </w:pPr>
      <w:r w:rsidRPr="00C258AD">
        <w:rPr>
          <w:rFonts w:cs="Arial"/>
          <w:color w:val="000000" w:themeColor="text1"/>
        </w:rPr>
        <w:t>WIPO File a été conçu pour fournir une solution de dépôt en ligne aux offices de petite et moyenne tailles, notamment une certaine souplesse pour être personnalisé de manière étendue en fonction des conditions locales (par exemple pour les systèmes de paiement locaux).  WIPO File a été mis à l’essai avec succès dans un office de propriété intellectuelle, et ce dernier le met à disposition pour les dépôts en ligne.</w:t>
      </w:r>
    </w:p>
    <w:p w:rsidR="00435839" w:rsidRPr="00C258AD" w:rsidRDefault="00435839" w:rsidP="00435839">
      <w:pPr>
        <w:shd w:val="clear" w:color="auto" w:fill="FFFFFF"/>
        <w:jc w:val="both"/>
        <w:rPr>
          <w:bCs/>
          <w:color w:val="000000" w:themeColor="text1"/>
          <w:szCs w:val="20"/>
        </w:rPr>
      </w:pPr>
    </w:p>
    <w:p w:rsidR="00435839" w:rsidRPr="00C258AD" w:rsidRDefault="00435839" w:rsidP="00435839">
      <w:pPr>
        <w:pStyle w:val="ONUME"/>
        <w:numPr>
          <w:ilvl w:val="0"/>
          <w:numId w:val="60"/>
        </w:numPr>
        <w:jc w:val="both"/>
        <w:rPr>
          <w:color w:val="000000" w:themeColor="text1"/>
        </w:rPr>
      </w:pPr>
      <w:r w:rsidRPr="00C258AD">
        <w:rPr>
          <w:color w:val="000000" w:themeColor="text1"/>
        </w:rPr>
        <w:t xml:space="preserve">Le projet relatif au réseau du droit d’auteur de l’OMPI (successeur de WIPOCOS) a également été lancé en 2014 dans le but de créer un système interconnecté destiné à la gestion du droit d’auteur et des droits voisins.  </w:t>
      </w:r>
      <w:r w:rsidRPr="00C258AD">
        <w:rPr>
          <w:rFonts w:cs="Arial"/>
          <w:color w:val="000000" w:themeColor="text1"/>
        </w:rPr>
        <w:t>Le système en était à la phase finale de développement à la fin de l’exercice 2014</w:t>
      </w:r>
      <w:r w:rsidRPr="00C258AD">
        <w:rPr>
          <w:rFonts w:cs="Arial"/>
          <w:color w:val="000000" w:themeColor="text1"/>
        </w:rPr>
        <w:noBreakHyphen/>
        <w:t>2015</w:t>
      </w:r>
      <w:r w:rsidRPr="00C258AD">
        <w:rPr>
          <w:color w:val="000000" w:themeColor="text1"/>
        </w:rPr>
        <w:t xml:space="preserve">;  </w:t>
      </w:r>
      <w:r w:rsidRPr="00C258AD">
        <w:rPr>
          <w:rFonts w:cs="Arial"/>
          <w:color w:val="000000" w:themeColor="text1"/>
        </w:rPr>
        <w:t>il sera déployé dans les organismes de gestion collective des pays en développement et des PMA à partir de 2016</w:t>
      </w:r>
      <w:r w:rsidRPr="00C258AD">
        <w:rPr>
          <w:color w:val="000000" w:themeColor="text1"/>
        </w:rPr>
        <w:t>.</w:t>
      </w:r>
    </w:p>
    <w:p w:rsidR="00435839" w:rsidRPr="00C258AD" w:rsidRDefault="00435839" w:rsidP="00435839">
      <w:pPr>
        <w:pStyle w:val="ONUME"/>
        <w:numPr>
          <w:ilvl w:val="0"/>
          <w:numId w:val="60"/>
        </w:numPr>
        <w:jc w:val="both"/>
        <w:rPr>
          <w:color w:val="000000" w:themeColor="text1"/>
        </w:rPr>
      </w:pPr>
      <w:r w:rsidRPr="00C258AD">
        <w:rPr>
          <w:color w:val="000000" w:themeColor="text1"/>
        </w:rPr>
        <w:t xml:space="preserve">Sur la base des prescriptions et d’un processus de révision établis avec les offices participants, une nouvelle version du portail du Service d’accès numérique aux documents de priorité (DAS) a été lancée pour prendre en charge le cadre révisé de DAS 2.0 en décembre 2014.  </w:t>
      </w:r>
      <w:r w:rsidRPr="00C258AD">
        <w:rPr>
          <w:rFonts w:cs="Arial"/>
          <w:color w:val="000000" w:themeColor="text1"/>
        </w:rPr>
        <w:t>Le nombre d’offices participants est resté stable (11)</w:t>
      </w:r>
      <w:r w:rsidRPr="00C258AD">
        <w:rPr>
          <w:color w:val="000000" w:themeColor="text1"/>
        </w:rPr>
        <w:t xml:space="preserve">.  </w:t>
      </w:r>
      <w:r w:rsidRPr="00C258AD">
        <w:rPr>
          <w:rFonts w:cs="Arial"/>
          <w:color w:val="000000" w:themeColor="text1"/>
        </w:rPr>
        <w:t>En avril 2014, le système WIPO CASE (Accès centralisé aux résultats de la recherche et de l’examen) a été relié au portail unique de l’IP5, permettant l’échange des informations figurant dans les dossiers entre les deux systèmes.  Plusieurs nouveaux offices se sont inscrits à WIPO CASE durant l’exercice 2014</w:t>
      </w:r>
      <w:r w:rsidRPr="00C258AD">
        <w:rPr>
          <w:rFonts w:cs="Arial"/>
          <w:color w:val="000000" w:themeColor="text1"/>
        </w:rPr>
        <w:noBreakHyphen/>
        <w:t>2015, le nombre total d’offices participants passant ainsi à 21, dont 10 ont accepté de transmettre à d’autres offices les informations figurant dans leurs dossiers</w:t>
      </w:r>
      <w:r w:rsidRPr="00C258AD">
        <w:rPr>
          <w:color w:val="000000" w:themeColor="text1"/>
        </w:rPr>
        <w:t>.</w:t>
      </w:r>
    </w:p>
    <w:p w:rsidR="00435839" w:rsidRPr="00C258AD" w:rsidRDefault="00435839" w:rsidP="00435839">
      <w:pPr>
        <w:pStyle w:val="ONUME"/>
        <w:numPr>
          <w:ilvl w:val="0"/>
          <w:numId w:val="60"/>
        </w:numPr>
        <w:jc w:val="both"/>
        <w:rPr>
          <w:color w:val="000000" w:themeColor="text1"/>
        </w:rPr>
      </w:pPr>
      <w:r w:rsidRPr="00C258AD">
        <w:rPr>
          <w:rFonts w:cs="Arial"/>
          <w:color w:val="000000" w:themeColor="text1"/>
        </w:rPr>
        <w:t>En juin 2014, une nouvelle entité multipartite, à savoir l</w:t>
      </w:r>
      <w:r w:rsidR="000278D9" w:rsidRPr="00C258AD">
        <w:rPr>
          <w:rFonts w:cs="Arial"/>
          <w:color w:val="000000" w:themeColor="text1"/>
        </w:rPr>
        <w:t xml:space="preserve">e </w:t>
      </w:r>
      <w:r w:rsidRPr="00C258AD">
        <w:rPr>
          <w:rFonts w:cs="Arial"/>
          <w:i/>
          <w:color w:val="000000" w:themeColor="text1"/>
        </w:rPr>
        <w:t>Consortium ABC</w:t>
      </w:r>
      <w:r w:rsidRPr="00C258AD">
        <w:rPr>
          <w:rFonts w:cs="Arial"/>
          <w:color w:val="000000" w:themeColor="text1"/>
        </w:rPr>
        <w:t>, a été créée, l’objectif étant d’accroître le nombre de livres disponibles dans des formats accessibles aux personnes ayant des difficultés de lecture des textes imprimés</w:t>
      </w:r>
      <w:r w:rsidRPr="00C258AD">
        <w:rPr>
          <w:color w:val="000000" w:themeColor="text1"/>
        </w:rPr>
        <w:t xml:space="preserve">.  </w:t>
      </w:r>
      <w:r w:rsidRPr="00C258AD">
        <w:rPr>
          <w:rFonts w:cs="Arial"/>
          <w:color w:val="000000" w:themeColor="text1"/>
        </w:rPr>
        <w:t>L</w:t>
      </w:r>
      <w:r w:rsidR="000278D9" w:rsidRPr="00C258AD">
        <w:rPr>
          <w:rFonts w:cs="Arial"/>
          <w:color w:val="000000" w:themeColor="text1"/>
        </w:rPr>
        <w:t xml:space="preserve">e Consortium </w:t>
      </w:r>
      <w:r w:rsidRPr="00C258AD">
        <w:rPr>
          <w:rFonts w:cs="Arial"/>
          <w:color w:val="000000" w:themeColor="text1"/>
        </w:rPr>
        <w:t>ABC a mené trois activités principales</w:t>
      </w:r>
      <w:r w:rsidRPr="00C258AD">
        <w:rPr>
          <w:color w:val="000000" w:themeColor="text1"/>
        </w:rPr>
        <w:t> :</w:t>
      </w:r>
      <w:r w:rsidRPr="00C258AD">
        <w:rPr>
          <w:rFonts w:cs="Arial"/>
          <w:color w:val="000000" w:themeColor="text1"/>
        </w:rPr>
        <w:t xml:space="preserve"> i) l’assistance technique à la production de livres dans des formats accessibles (financée par les gouvernements de l’Australie et de la République de Corée)</w:t>
      </w:r>
      <w:r w:rsidRPr="00C258AD">
        <w:rPr>
          <w:color w:val="000000" w:themeColor="text1"/>
        </w:rPr>
        <w:t xml:space="preserve">;  </w:t>
      </w:r>
      <w:r w:rsidRPr="00C258AD">
        <w:rPr>
          <w:rFonts w:cs="Arial"/>
          <w:color w:val="000000" w:themeColor="text1"/>
        </w:rPr>
        <w:t>ii) la publication ouverte, qui encourage le recours à des technologies permettant de proposer des publications en format accessible natif, de sorte que les nouveaux livres soient accessibles d’emblée à la fois aux personnes voyantes et aux personnes ayant des difficultés de lecture des textes imprimés</w:t>
      </w:r>
      <w:r w:rsidRPr="00C258AD">
        <w:rPr>
          <w:color w:val="000000" w:themeColor="text1"/>
        </w:rPr>
        <w:t xml:space="preserve">;  </w:t>
      </w:r>
      <w:r w:rsidRPr="00C258AD">
        <w:rPr>
          <w:rFonts w:cs="Arial"/>
          <w:color w:val="000000" w:themeColor="text1"/>
        </w:rPr>
        <w:t>iii) </w:t>
      </w:r>
      <w:r w:rsidRPr="00C258AD">
        <w:rPr>
          <w:rFonts w:cs="Arial"/>
          <w:i/>
          <w:color w:val="000000" w:themeColor="text1"/>
        </w:rPr>
        <w:t>ABC International Book Exchange</w:t>
      </w:r>
      <w:r w:rsidRPr="00C258AD">
        <w:rPr>
          <w:rFonts w:cs="Arial"/>
          <w:color w:val="000000" w:themeColor="text1"/>
        </w:rPr>
        <w:t xml:space="preserve"> (un système d’échange international de livres connu sous le nom de TIGAR), une base de données internationale contenant des titres disponibles dans 55 langues.  Dans le cadre de sa première activité, l</w:t>
      </w:r>
      <w:r w:rsidR="000278D9" w:rsidRPr="00C258AD">
        <w:rPr>
          <w:rFonts w:cs="Arial"/>
          <w:color w:val="000000" w:themeColor="text1"/>
        </w:rPr>
        <w:t xml:space="preserve">e Consortium </w:t>
      </w:r>
      <w:r w:rsidRPr="00C258AD">
        <w:rPr>
          <w:rFonts w:cs="Arial"/>
          <w:color w:val="000000" w:themeColor="text1"/>
        </w:rPr>
        <w:t>ABC a produit 1580 ouvrages pédagogiques au profit de 23 500 étudiants ayant des difficultés de lecture des textes imprimés au Bangladesh, en Inde, au Népal et à</w:t>
      </w:r>
      <w:r w:rsidRPr="00C258AD">
        <w:rPr>
          <w:color w:val="000000" w:themeColor="text1"/>
        </w:rPr>
        <w:t xml:space="preserve"> Sri</w:t>
      </w:r>
      <w:r w:rsidRPr="00C258AD">
        <w:rPr>
          <w:rFonts w:cs="Arial"/>
          <w:color w:val="000000" w:themeColor="text1"/>
        </w:rPr>
        <w:t> </w:t>
      </w:r>
      <w:r w:rsidRPr="00C258AD">
        <w:rPr>
          <w:color w:val="000000" w:themeColor="text1"/>
        </w:rPr>
        <w:t xml:space="preserve">Lanka.  </w:t>
      </w:r>
      <w:r w:rsidRPr="00C258AD">
        <w:rPr>
          <w:rFonts w:cs="Arial"/>
          <w:color w:val="000000" w:themeColor="text1"/>
        </w:rPr>
        <w:t xml:space="preserve">Dans le cadre de sa deuxième activité, </w:t>
      </w:r>
      <w:r w:rsidR="000278D9" w:rsidRPr="00C258AD">
        <w:rPr>
          <w:rFonts w:cs="Arial"/>
          <w:color w:val="000000" w:themeColor="text1"/>
        </w:rPr>
        <w:t>le Consortium ABC</w:t>
      </w:r>
      <w:r w:rsidRPr="00C258AD">
        <w:rPr>
          <w:rFonts w:cs="Arial"/>
          <w:color w:val="000000" w:themeColor="text1"/>
        </w:rPr>
        <w:t xml:space="preserve"> a parrainé la Charte de l’édition en format accessible et le Prix international d’excellence en matière d’édition accessible.  À la fin de 2015, on dénombrait 4208 téléchargements de titres accessibles par 15 bibliothèques participantes et plus de </w:t>
      </w:r>
      <w:r w:rsidR="000278D9" w:rsidRPr="00C258AD">
        <w:rPr>
          <w:rFonts w:cs="Arial"/>
          <w:color w:val="000000" w:themeColor="text1"/>
        </w:rPr>
        <w:t>58 000 </w:t>
      </w:r>
      <w:r w:rsidRPr="00C258AD">
        <w:rPr>
          <w:rFonts w:cs="Arial"/>
          <w:color w:val="000000" w:themeColor="text1"/>
        </w:rPr>
        <w:t>prêts de livres accessibles à des personnes ayant des difficultés de lecture des textes imprimés au cours de la période considérée</w:t>
      </w:r>
      <w:r w:rsidRPr="00C258AD">
        <w:rPr>
          <w:color w:val="000000" w:themeColor="text1"/>
        </w:rPr>
        <w:t>.</w:t>
      </w:r>
    </w:p>
    <w:p w:rsidR="006E2BB1" w:rsidRPr="00C258AD" w:rsidRDefault="006E2BB1" w:rsidP="00CA6084">
      <w:pPr>
        <w:rPr>
          <w:b/>
          <w:iCs/>
        </w:rPr>
      </w:pPr>
    </w:p>
    <w:p w:rsidR="00435839" w:rsidRPr="00C258AD" w:rsidRDefault="00435839">
      <w:pPr>
        <w:spacing w:after="200" w:line="276" w:lineRule="auto"/>
        <w:rPr>
          <w:b/>
          <w:iCs/>
        </w:rPr>
      </w:pPr>
      <w:r w:rsidRPr="00C258AD">
        <w:rPr>
          <w:b/>
          <w:iCs/>
        </w:rPr>
        <w:br w:type="page"/>
      </w:r>
    </w:p>
    <w:p w:rsidR="00D03DE2" w:rsidRPr="00C258AD" w:rsidRDefault="00D03DE2" w:rsidP="00D03DE2">
      <w:pPr>
        <w:jc w:val="center"/>
        <w:rPr>
          <w:b/>
          <w:iCs/>
        </w:rPr>
      </w:pPr>
      <w:r w:rsidRPr="00C258AD">
        <w:rPr>
          <w:b/>
          <w:iCs/>
        </w:rPr>
        <w:lastRenderedPageBreak/>
        <w:t>Objectif stratégique V</w:t>
      </w:r>
      <w:r w:rsidRPr="00C258AD">
        <w:rPr>
          <w:iCs/>
        </w:rPr>
        <w:t> </w:t>
      </w:r>
      <w:r w:rsidRPr="00C258AD">
        <w:t>:</w:t>
      </w:r>
      <w:r w:rsidRPr="00C258AD">
        <w:rPr>
          <w:b/>
          <w:iCs/>
        </w:rPr>
        <w:t xml:space="preserve"> Source de références mondiale pour l’information et l’analyse en matière de propriété intellectuelle</w:t>
      </w:r>
    </w:p>
    <w:p w:rsidR="00D03DE2" w:rsidRPr="00C258AD" w:rsidRDefault="00D03DE2" w:rsidP="00D03DE2">
      <w:pPr>
        <w:jc w:val="center"/>
        <w:rPr>
          <w:rFonts w:cs="Arial"/>
        </w:rPr>
      </w:pPr>
      <w:r w:rsidRPr="00C258AD">
        <w:rPr>
          <w:noProof/>
          <w:lang w:val="en-US"/>
        </w:rPr>
        <w:drawing>
          <wp:inline distT="0" distB="0" distL="0" distR="0" wp14:anchorId="63FCD856" wp14:editId="76043A66">
            <wp:extent cx="5626623" cy="2700000"/>
            <wp:effectExtent l="0" t="0" r="0" b="5715"/>
            <wp:docPr id="961" name="Picture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626623" cy="2700000"/>
                    </a:xfrm>
                    <a:prstGeom prst="rect">
                      <a:avLst/>
                    </a:prstGeom>
                    <a:noFill/>
                    <a:ln>
                      <a:noFill/>
                    </a:ln>
                  </pic:spPr>
                </pic:pic>
              </a:graphicData>
            </a:graphic>
          </wp:inline>
        </w:drawing>
      </w:r>
    </w:p>
    <w:p w:rsidR="00D03DE2" w:rsidRPr="00C258AD" w:rsidRDefault="00D03DE2" w:rsidP="00D03DE2">
      <w:pPr>
        <w:jc w:val="center"/>
        <w:rPr>
          <w:b/>
          <w:sz w:val="18"/>
          <w:szCs w:val="18"/>
        </w:rPr>
      </w:pPr>
    </w:p>
    <w:p w:rsidR="00D03DE2" w:rsidRPr="00C258AD" w:rsidRDefault="00D03DE2" w:rsidP="00D03DE2">
      <w:pPr>
        <w:keepNext/>
        <w:keepLines/>
        <w:spacing w:after="120"/>
        <w:jc w:val="center"/>
        <w:rPr>
          <w:b/>
          <w:iCs/>
        </w:rPr>
      </w:pPr>
      <w:r w:rsidRPr="00C258AD">
        <w:rPr>
          <w:b/>
          <w:sz w:val="18"/>
          <w:szCs w:val="18"/>
        </w:rPr>
        <w:t>Résumé des réalisations par résultats escomptés</w:t>
      </w:r>
    </w:p>
    <w:p w:rsidR="00D03DE2" w:rsidRPr="00C258AD" w:rsidRDefault="00D03DE2" w:rsidP="00D03DE2">
      <w:pPr>
        <w:keepNext/>
        <w:keepLines/>
        <w:rPr>
          <w:iCs/>
        </w:rPr>
      </w:pPr>
      <w:r w:rsidRPr="00C258AD">
        <w:rPr>
          <w:noProof/>
          <w:lang w:val="en-US"/>
        </w:rPr>
        <w:drawing>
          <wp:inline distT="0" distB="0" distL="0" distR="0" wp14:anchorId="1B414F1F" wp14:editId="338519AD">
            <wp:extent cx="5940425" cy="1249788"/>
            <wp:effectExtent l="0" t="0" r="3175" b="76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940425" cy="1249788"/>
                    </a:xfrm>
                    <a:prstGeom prst="rect">
                      <a:avLst/>
                    </a:prstGeom>
                    <a:noFill/>
                    <a:ln>
                      <a:noFill/>
                    </a:ln>
                  </pic:spPr>
                </pic:pic>
              </a:graphicData>
            </a:graphic>
          </wp:inline>
        </w:drawing>
      </w:r>
    </w:p>
    <w:p w:rsidR="00D03DE2" w:rsidRPr="00C258AD" w:rsidRDefault="00D03DE2" w:rsidP="00D03DE2">
      <w:pPr>
        <w:jc w:val="both"/>
        <w:rPr>
          <w:bCs/>
        </w:rPr>
      </w:pPr>
    </w:p>
    <w:p w:rsidR="00D03DE2" w:rsidRPr="00C258AD" w:rsidRDefault="00D03DE2" w:rsidP="00D03DE2">
      <w:pPr>
        <w:pStyle w:val="ONUME"/>
        <w:numPr>
          <w:ilvl w:val="0"/>
          <w:numId w:val="60"/>
        </w:numPr>
        <w:jc w:val="both"/>
      </w:pPr>
      <w:r w:rsidRPr="00C258AD">
        <w:t>Durant l’exercice biennal, le travail d’analyse économique de l’OMPI a réalisé des progrès significatifs en vue de la promotion d’une analyse de haute qualité permettant de relever les défis économiques du système international de la propriété intellectuelle et d’évaluer les effets économiques des choix de politique générale en matière de propriété intellectuelle.  La publication du troisième rapport sur la propriété intellectuelle dans le monde intitulé “Innovation et croissance économique”, qui a donné lieu à plus de 200 d’articles dans les médias et suscité l’intérêt des responsables politiques et des milieux universitaires dans le monde entier, constitue une réalisation majeure.  Par ailleurs, l’OMPI a continué de publier l’Indice mondial de l’innovation conjointement avec l’Université Cornell et l’INSEAD.  En 2014</w:t>
      </w:r>
      <w:r w:rsidRPr="00C258AD">
        <w:noBreakHyphen/>
        <w:t>2015, les lancements du GII, qui ont eu lieu pour la première fois en dehors de Genève, ont été accueillis par le Gouvernement de l’Australie en 2014 et par le Gouvernement du Royaume</w:t>
      </w:r>
      <w:r w:rsidRPr="00C258AD">
        <w:noBreakHyphen/>
        <w:t>Uni en 2015.  Là encore, la couverture de l’événement dans les médias et sur les réseaux sociaux a atteint de nouveaux sommets par rapport à l’exercice biennal précédent.</w:t>
      </w:r>
    </w:p>
    <w:p w:rsidR="00D03DE2" w:rsidRPr="00C258AD" w:rsidRDefault="00D03DE2" w:rsidP="00D03DE2">
      <w:pPr>
        <w:pStyle w:val="ONUME"/>
        <w:numPr>
          <w:ilvl w:val="0"/>
          <w:numId w:val="60"/>
        </w:numPr>
        <w:jc w:val="both"/>
      </w:pPr>
      <w:r w:rsidRPr="00C258AD">
        <w:t>Durant l’exercice biennal 2014</w:t>
      </w:r>
      <w:r w:rsidRPr="00C258AD">
        <w:noBreakHyphen/>
        <w:t>2015, des progrès importants ont également été accomplis en ce qui concerne les études économiques ciblées afin de soutenir les travaux des comités de l’OMPI.  Et surtout, trois projets du Plan d’action pour le développement ont été conclus sur la propriété intellectuelle et le développement socioéconomique, la propriété intellectuelle et l’économie informelle ainsi que la propriété intellectuelle et la fuite des cerveaux.  Une seconde phase du projet sur la propriété intellectuelle et le développement socioéconomique, qui applique les études menées à de nouveaux pays en développement, a aussi été lancée en 2015.</w:t>
      </w:r>
    </w:p>
    <w:p w:rsidR="00D03DE2" w:rsidRPr="00C258AD" w:rsidRDefault="00D03DE2" w:rsidP="00D03DE2">
      <w:pPr>
        <w:pStyle w:val="ONUME"/>
        <w:numPr>
          <w:ilvl w:val="0"/>
          <w:numId w:val="60"/>
        </w:numPr>
        <w:jc w:val="both"/>
      </w:pPr>
      <w:r w:rsidRPr="00C258AD">
        <w:t>Enfin, les travaux statistiques réalisés durant l’exercice biennal 2014</w:t>
      </w:r>
      <w:r w:rsidRPr="00C258AD">
        <w:noBreakHyphen/>
        <w:t>2015 ont également atteint l’objectif de fournir en temps opportun des données statistiques précises et complètes sur la performance du système de propriété intellectuelle à l’échelle mondiale.  Mais il est surtout important de relever que des enquêtes statistiques annuelles sur les offices nationaux et régionaux de propriété intellectuelle ont été menées et que le nombre moyen de réponses a été de 127 en comparaison avec les 112 réponses reçues lors de l’exercice biennal précédent.</w:t>
      </w:r>
    </w:p>
    <w:p w:rsidR="00D03DE2" w:rsidRPr="00C258AD" w:rsidRDefault="00D03DE2" w:rsidP="00D03DE2">
      <w:pPr>
        <w:spacing w:after="200" w:line="276" w:lineRule="auto"/>
        <w:rPr>
          <w:b/>
          <w:iCs/>
        </w:rPr>
      </w:pPr>
      <w:r w:rsidRPr="00C258AD">
        <w:rPr>
          <w:b/>
          <w:iCs/>
        </w:rPr>
        <w:br w:type="page"/>
      </w:r>
    </w:p>
    <w:p w:rsidR="00D03DE2" w:rsidRPr="00C258AD" w:rsidRDefault="00D03DE2" w:rsidP="00D03DE2">
      <w:pPr>
        <w:jc w:val="center"/>
        <w:rPr>
          <w:b/>
          <w:iCs/>
        </w:rPr>
      </w:pPr>
      <w:r w:rsidRPr="00C258AD">
        <w:rPr>
          <w:b/>
          <w:iCs/>
        </w:rPr>
        <w:lastRenderedPageBreak/>
        <w:t>Objectif stratégique VI</w:t>
      </w:r>
      <w:r w:rsidRPr="00C258AD">
        <w:rPr>
          <w:iCs/>
        </w:rPr>
        <w:t> </w:t>
      </w:r>
      <w:r w:rsidRPr="00C258AD">
        <w:t>:</w:t>
      </w:r>
      <w:r w:rsidRPr="00C258AD">
        <w:rPr>
          <w:b/>
          <w:iCs/>
        </w:rPr>
        <w:t xml:space="preserve"> Coopération internationale pour le respect de la propriété intellectuelle</w:t>
      </w:r>
    </w:p>
    <w:p w:rsidR="00D03DE2" w:rsidRPr="00C258AD" w:rsidRDefault="00D03DE2" w:rsidP="00D03DE2">
      <w:pPr>
        <w:jc w:val="center"/>
        <w:rPr>
          <w:b/>
          <w:sz w:val="18"/>
          <w:szCs w:val="18"/>
        </w:rPr>
      </w:pPr>
      <w:r w:rsidRPr="00C258AD">
        <w:rPr>
          <w:noProof/>
          <w:lang w:val="en-US"/>
        </w:rPr>
        <w:drawing>
          <wp:inline distT="0" distB="0" distL="0" distR="0" wp14:anchorId="1436CB48" wp14:editId="15213CEF">
            <wp:extent cx="5637195" cy="2700000"/>
            <wp:effectExtent l="0" t="0" r="1905" b="5715"/>
            <wp:docPr id="962" name="Picture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637195" cy="2700000"/>
                    </a:xfrm>
                    <a:prstGeom prst="rect">
                      <a:avLst/>
                    </a:prstGeom>
                    <a:noFill/>
                    <a:ln>
                      <a:noFill/>
                    </a:ln>
                  </pic:spPr>
                </pic:pic>
              </a:graphicData>
            </a:graphic>
          </wp:inline>
        </w:drawing>
      </w:r>
    </w:p>
    <w:p w:rsidR="00D03DE2" w:rsidRPr="00C258AD" w:rsidRDefault="00D03DE2" w:rsidP="00D03DE2">
      <w:pPr>
        <w:rPr>
          <w:b/>
          <w:sz w:val="18"/>
          <w:szCs w:val="18"/>
        </w:rPr>
      </w:pPr>
    </w:p>
    <w:p w:rsidR="00D03DE2" w:rsidRPr="00C258AD" w:rsidRDefault="00D03DE2" w:rsidP="00D03DE2">
      <w:pPr>
        <w:spacing w:after="120"/>
        <w:jc w:val="center"/>
        <w:rPr>
          <w:b/>
          <w:iCs/>
        </w:rPr>
      </w:pPr>
      <w:r w:rsidRPr="00C258AD">
        <w:rPr>
          <w:b/>
          <w:sz w:val="18"/>
          <w:szCs w:val="18"/>
        </w:rPr>
        <w:t>Résumé des réalisations par résultats escomptés</w:t>
      </w:r>
    </w:p>
    <w:p w:rsidR="00D03DE2" w:rsidRPr="00C258AD" w:rsidRDefault="00D03DE2" w:rsidP="00D03DE2">
      <w:pPr>
        <w:rPr>
          <w:b/>
          <w:sz w:val="18"/>
          <w:szCs w:val="18"/>
        </w:rPr>
      </w:pPr>
      <w:r w:rsidRPr="00C258AD">
        <w:rPr>
          <w:noProof/>
          <w:lang w:val="en-US"/>
        </w:rPr>
        <w:drawing>
          <wp:inline distT="0" distB="0" distL="0" distR="0" wp14:anchorId="372B6402" wp14:editId="16A869A2">
            <wp:extent cx="5940425" cy="1264590"/>
            <wp:effectExtent l="0" t="0" r="3175"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40425" cy="1264590"/>
                    </a:xfrm>
                    <a:prstGeom prst="rect">
                      <a:avLst/>
                    </a:prstGeom>
                    <a:noFill/>
                    <a:ln>
                      <a:noFill/>
                    </a:ln>
                  </pic:spPr>
                </pic:pic>
              </a:graphicData>
            </a:graphic>
          </wp:inline>
        </w:drawing>
      </w:r>
    </w:p>
    <w:p w:rsidR="00D03DE2" w:rsidRPr="00C258AD" w:rsidRDefault="00D03DE2" w:rsidP="00D03DE2">
      <w:pPr>
        <w:pStyle w:val="ONUME"/>
        <w:numPr>
          <w:ilvl w:val="0"/>
          <w:numId w:val="60"/>
        </w:numPr>
        <w:jc w:val="both"/>
      </w:pPr>
      <w:r w:rsidRPr="00C258AD">
        <w:t>Afin de faire avancer le dialogue international entre les États membres de l’OMPI sur la promotion du respect de la propriété intellectuelle, les neuvième et dixième sessions du Comité consultatif de l’OMPI sur l’application des droits (ACE) (qui se sont tenues du 3 au 5 mars 2014 et du 23 au 25 novembre 2015) ont fait office de “bourse aux idées”, facilitant l’échange de pratiques et de données d’expérience nationales.  Les trois jours de réunion ont affiché un intérêt croissant pour des stratégies préventives efficaces, allant de thèmes comme la sensibilisation, les nouveaux modèles commerciaux et la sécurité de la chaîne d’approvisionnement, à des mécanismes alternatifs pour régler les litiges de propriété intellectuelle.  Les deux sessions ont été accompagnées d’expositions audiovisuelles présentant des campagnes publiques de communication sur le respect de la propriété intellectuelle et des outils de sensibilisation à l’intention des jeunes.  Lors de la onzième session de l’ACE, les États membres sont convenus d’échanger des informations sur les données d’expérience nationales relatives à quatre thèmes : i) activités de sensibilisation et campagnes stratégiques menées pour promouvoir le respect de la propriété intellectuelle auprès du grand public, notamment les jeunes, conformément aux priorités des États membres dans le domaine éducatif, entre autres;  ii) mécanismes institutionnels associés aux politiques et systèmes d’application des droits de propriété intellectuelle, notamment les mécanismes permettant de régler les litiges de propriété intellectuelle d’une manière équilibrée, globale et efficace;  iii) assistance fournie par l’OMPI dans le domaine législatif, notamment dans l’élaboration de lois nationales sur l’application des droits tenant compte des éléments de flexibilité, du niveau de développement, des différences entre les traditions juridiques et de l’usage abusif des procédures d’application de la loi;  et iv) le renforcement des capacités et l’appui de l’OMPI en faveur des activités de formation conformément aux recommandations pertinentes du Plan d’action pour le développement et au mandat de l’ACE.</w:t>
      </w:r>
    </w:p>
    <w:p w:rsidR="00D03DE2" w:rsidRPr="00C258AD" w:rsidRDefault="00D03DE2" w:rsidP="00D03DE2">
      <w:pPr>
        <w:rPr>
          <w:b/>
          <w:iCs/>
        </w:rPr>
      </w:pPr>
    </w:p>
    <w:p w:rsidR="00D03DE2" w:rsidRPr="00C258AD" w:rsidRDefault="00D03DE2" w:rsidP="00D03DE2">
      <w:pPr>
        <w:spacing w:after="200" w:line="276" w:lineRule="auto"/>
        <w:rPr>
          <w:b/>
          <w:iCs/>
        </w:rPr>
      </w:pPr>
      <w:r w:rsidRPr="00C258AD">
        <w:rPr>
          <w:b/>
          <w:iCs/>
        </w:rPr>
        <w:br w:type="page"/>
      </w:r>
    </w:p>
    <w:p w:rsidR="00D03DE2" w:rsidRPr="00C258AD" w:rsidRDefault="00D03DE2" w:rsidP="00D03DE2">
      <w:pPr>
        <w:jc w:val="center"/>
        <w:rPr>
          <w:b/>
          <w:iCs/>
        </w:rPr>
      </w:pPr>
      <w:r w:rsidRPr="00C258AD">
        <w:rPr>
          <w:b/>
          <w:iCs/>
        </w:rPr>
        <w:lastRenderedPageBreak/>
        <w:t>Objectif stratégique VII : Propriété intellectuelle et enjeux mondiaux</w:t>
      </w:r>
    </w:p>
    <w:p w:rsidR="00D03DE2" w:rsidRPr="00C258AD" w:rsidRDefault="00D03DE2" w:rsidP="00D03DE2">
      <w:pPr>
        <w:jc w:val="center"/>
        <w:rPr>
          <w:rFonts w:cs="Arial"/>
        </w:rPr>
      </w:pPr>
      <w:r w:rsidRPr="00C258AD">
        <w:rPr>
          <w:noProof/>
          <w:lang w:val="en-US"/>
        </w:rPr>
        <w:drawing>
          <wp:inline distT="0" distB="0" distL="0" distR="0" wp14:anchorId="55E93B93" wp14:editId="6F9F5A6E">
            <wp:extent cx="5336108" cy="2700000"/>
            <wp:effectExtent l="0" t="0" r="0" b="5715"/>
            <wp:docPr id="963" name="Picture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336108" cy="2700000"/>
                    </a:xfrm>
                    <a:prstGeom prst="rect">
                      <a:avLst/>
                    </a:prstGeom>
                    <a:noFill/>
                    <a:ln>
                      <a:noFill/>
                    </a:ln>
                  </pic:spPr>
                </pic:pic>
              </a:graphicData>
            </a:graphic>
          </wp:inline>
        </w:drawing>
      </w:r>
    </w:p>
    <w:p w:rsidR="00D03DE2" w:rsidRPr="00C258AD" w:rsidRDefault="00D03DE2" w:rsidP="00D03DE2">
      <w:pPr>
        <w:jc w:val="center"/>
        <w:rPr>
          <w:rFonts w:cs="Arial"/>
        </w:rPr>
      </w:pPr>
    </w:p>
    <w:p w:rsidR="00D03DE2" w:rsidRPr="00C258AD" w:rsidRDefault="00D03DE2" w:rsidP="00D03DE2">
      <w:pPr>
        <w:spacing w:after="120"/>
        <w:jc w:val="center"/>
        <w:rPr>
          <w:b/>
          <w:iCs/>
        </w:rPr>
      </w:pPr>
      <w:r w:rsidRPr="00C258AD">
        <w:rPr>
          <w:b/>
          <w:sz w:val="18"/>
          <w:szCs w:val="18"/>
        </w:rPr>
        <w:t>Résumé des réalisations par résultats escomptés</w:t>
      </w:r>
    </w:p>
    <w:p w:rsidR="00D03DE2" w:rsidRPr="00C258AD" w:rsidRDefault="00D03DE2" w:rsidP="00D03DE2">
      <w:pPr>
        <w:rPr>
          <w:rFonts w:cs="Arial"/>
        </w:rPr>
      </w:pPr>
      <w:r w:rsidRPr="00C258AD">
        <w:rPr>
          <w:noProof/>
          <w:lang w:val="en-US"/>
        </w:rPr>
        <w:drawing>
          <wp:inline distT="0" distB="0" distL="0" distR="0" wp14:anchorId="4F5D1A9B" wp14:editId="41D294AF">
            <wp:extent cx="5940425" cy="1385208"/>
            <wp:effectExtent l="0" t="0" r="3175" b="571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940425" cy="1385208"/>
                    </a:xfrm>
                    <a:prstGeom prst="rect">
                      <a:avLst/>
                    </a:prstGeom>
                    <a:noFill/>
                    <a:ln>
                      <a:noFill/>
                    </a:ln>
                  </pic:spPr>
                </pic:pic>
              </a:graphicData>
            </a:graphic>
          </wp:inline>
        </w:drawing>
      </w:r>
    </w:p>
    <w:p w:rsidR="00D03DE2" w:rsidRPr="00C258AD" w:rsidRDefault="00D03DE2" w:rsidP="00D03DE2">
      <w:pPr>
        <w:rPr>
          <w:rFonts w:cs="Arial"/>
        </w:rPr>
      </w:pPr>
    </w:p>
    <w:p w:rsidR="00D03DE2" w:rsidRPr="00C258AD" w:rsidRDefault="00D03DE2" w:rsidP="00D03DE2">
      <w:pPr>
        <w:pStyle w:val="ONUME"/>
        <w:numPr>
          <w:ilvl w:val="0"/>
          <w:numId w:val="60"/>
        </w:numPr>
        <w:jc w:val="both"/>
      </w:pPr>
      <w:r w:rsidRPr="00C258AD">
        <w:t>Il convient également de noter les progrès significatifs accomplis sur des questions urgentes et interdépendantes qui se posent au niveau mondial, comme la santé publique, le changement climatique et la sécurité alimentaire.  Ces progrès ont permis aux décideurs en la matière de mieux comprendre le rapport entre ces défis à relever à l’échelle mondiale, d’une part, et l’innovation et la propriété intellectuelle, d’autre part.  Lors de l’exercice biennal, l’OMPI a pu asseoir sa position en tant que source fiable d’appui, de collaboration et de référence en matière d’information sur les questions de politique publique et de propriété intellectuelle, suscitant des demandes continues de contribution et de participation de l’OMPI à des instances établies par d’autres organisations internationales et non gouvernementales, dont l’OMS, l’OMC, des ONG, le secteur privé et des universités.  Après son lancement en novembre 2013, l’année 2014 a marqué la première année complète d’exploitation de WIPO GREEN.  Grâce à une campagne de sensibilisation ciblée, la visibilité du profil de WIPO GREEN s’est trouvée considérablement accrue.  Le réseau de partenaires est passé de 36 à 54 en 2014 et à 65 en 2015 et le nombre d’utilisateurs enregistrés a triplé, passant de 160 en 2013 à 490 à la fin de 2015.  La base de données de WIPO GREEN a plus que doublé, passant de 830 entrées en 2013 à 2181 en 2015, suite à une combinaison d’accords d’intégration de base de données et de téléchargements individuels.</w:t>
      </w:r>
    </w:p>
    <w:p w:rsidR="00D03DE2" w:rsidRPr="00C258AD" w:rsidRDefault="00D03DE2" w:rsidP="00D03DE2">
      <w:pPr>
        <w:pStyle w:val="ONUME"/>
        <w:numPr>
          <w:ilvl w:val="0"/>
          <w:numId w:val="60"/>
        </w:numPr>
        <w:jc w:val="both"/>
      </w:pPr>
      <w:r w:rsidRPr="00C258AD">
        <w:t xml:space="preserve">Le volet “Mettre les innovations en commun pour lutter contre les maladies tropicales négligées” de WIPO </w:t>
      </w:r>
      <w:proofErr w:type="spellStart"/>
      <w:r w:rsidRPr="00C258AD">
        <w:t>Re:Search</w:t>
      </w:r>
      <w:proofErr w:type="spellEnd"/>
      <w:r w:rsidRPr="00C258AD">
        <w:t xml:space="preserve"> a gagné en reconnaissance en tant que plateforme d’appui à l’innovation, au transfert de connaissances et de technologies et au renforcement des capacités dans le domaine de la recherche sur les maladies tropicales négligées, la tuberculose et le paludisme.  Au cours de l’exercice biennal, 52 collaborations supplémentaires entre des membres de WIPO </w:t>
      </w:r>
      <w:proofErr w:type="spellStart"/>
      <w:r w:rsidRPr="00C258AD">
        <w:t>Re:Search</w:t>
      </w:r>
      <w:proofErr w:type="spellEnd"/>
      <w:r w:rsidRPr="00C258AD">
        <w:t xml:space="preserve"> et 20 nouveaux membres ont été enregistrées, dont six de pays en développement, portant respectivement leur nombre total à 96 collaborations et 100 membres, dont 22 de pays en développement.  En outre, le potentiel de la plateforme en matière de transfert de technologie des pays développés vers les pays en développement, des actifs de propriété intellectuelle, y compris le savoir</w:t>
      </w:r>
      <w:r w:rsidRPr="00C258AD">
        <w:noBreakHyphen/>
        <w:t xml:space="preserve">faire et l’expertise, a encore été démontré en permettant à six chercheurs africains de prendre un congé sabbatique pour effectuer des recherches dans des institutions de recherche à l’étranger.  Ces congés sabbatiques, qui ont commencé lors du </w:t>
      </w:r>
      <w:r w:rsidRPr="00C258AD">
        <w:lastRenderedPageBreak/>
        <w:t>dernier exercice biennal, ont été rendus possibles grâce à un fonds fiduciaire fourni par le Gouvernement australien, quatre s’étant terminés à la fin de 2014.</w:t>
      </w:r>
    </w:p>
    <w:p w:rsidR="00D03DE2" w:rsidRPr="00C258AD" w:rsidRDefault="00D03DE2" w:rsidP="00D03DE2">
      <w:pPr>
        <w:pStyle w:val="ONUME"/>
        <w:numPr>
          <w:ilvl w:val="0"/>
          <w:numId w:val="60"/>
        </w:numPr>
        <w:jc w:val="both"/>
      </w:pPr>
      <w:r w:rsidRPr="00C258AD">
        <w:t>Offrant aux participants un centre d’échange d’idées, leur expertise et des informations se rapportant aux trois principaux domaines, en 2014</w:t>
      </w:r>
      <w:r w:rsidRPr="00C258AD">
        <w:noBreakHyphen/>
        <w:t>2015, trois séminaires sur les enjeux mondiaux de l’OMPI ont été organisés et quatre notes d’information sur les enjeux mondiaux ainsi que trois rapports sur les enjeux mondiaux ont été publiés.</w:t>
      </w:r>
    </w:p>
    <w:p w:rsidR="00D03DE2" w:rsidRPr="00C258AD" w:rsidRDefault="00D03DE2" w:rsidP="00D03DE2">
      <w:pPr>
        <w:pStyle w:val="ONUME"/>
        <w:numPr>
          <w:ilvl w:val="0"/>
          <w:numId w:val="60"/>
        </w:numPr>
        <w:jc w:val="both"/>
      </w:pPr>
      <w:r w:rsidRPr="00C258AD">
        <w:t>La coopération trilatérale avec l’OMS et l’OMC a continué à se concentrer sur une meilleure compréhension par les décideurs de l’interaction entre santé, propriété intellectuelle et commerce.  En novembre 2014 et en octobre 2015, les quatrième et cinquième colloques trilatéraux se sont tenus à Genève, explorant les enjeux et les opportunités dans le domaine de l’innovation en matière de santé des pays à revenu intermédiaire ainsi que les politiques publiques nécessaires pour garantir qu’une croissance économique rapide contribue à l’accès à une couverture de santé universelle.</w:t>
      </w:r>
    </w:p>
    <w:p w:rsidR="00D03DE2" w:rsidRPr="00C258AD" w:rsidRDefault="00D03DE2" w:rsidP="00D03DE2">
      <w:pPr>
        <w:rPr>
          <w:b/>
          <w:iCs/>
        </w:rPr>
      </w:pPr>
    </w:p>
    <w:p w:rsidR="00D03DE2" w:rsidRPr="00C258AD" w:rsidRDefault="00D03DE2" w:rsidP="00D03DE2">
      <w:pPr>
        <w:jc w:val="center"/>
        <w:rPr>
          <w:b/>
          <w:iCs/>
        </w:rPr>
      </w:pPr>
      <w:r w:rsidRPr="00C258AD">
        <w:rPr>
          <w:b/>
          <w:iCs/>
        </w:rPr>
        <w:t>Objectif stratégique VIII</w:t>
      </w:r>
      <w:r w:rsidRPr="00C258AD">
        <w:rPr>
          <w:iCs/>
        </w:rPr>
        <w:t> </w:t>
      </w:r>
      <w:r w:rsidRPr="00C258AD">
        <w:t>:</w:t>
      </w:r>
      <w:r w:rsidRPr="00C258AD">
        <w:rPr>
          <w:b/>
          <w:iCs/>
        </w:rPr>
        <w:t xml:space="preserve"> Interface de communication dynamique entre l’OMPI, ses États membres et l’ensemble des parties prenantes</w:t>
      </w:r>
    </w:p>
    <w:p w:rsidR="00D03DE2" w:rsidRPr="00C258AD" w:rsidRDefault="00D03DE2" w:rsidP="00D03DE2">
      <w:pPr>
        <w:jc w:val="center"/>
        <w:rPr>
          <w:b/>
          <w:sz w:val="18"/>
          <w:szCs w:val="18"/>
        </w:rPr>
      </w:pPr>
      <w:r w:rsidRPr="00C258AD">
        <w:rPr>
          <w:noProof/>
          <w:lang w:val="en-US"/>
        </w:rPr>
        <w:drawing>
          <wp:inline distT="0" distB="0" distL="0" distR="0" wp14:anchorId="469ED863" wp14:editId="56E02D7F">
            <wp:extent cx="5340338" cy="2700000"/>
            <wp:effectExtent l="0" t="0" r="0" b="5715"/>
            <wp:docPr id="964" name="Picture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340338" cy="2700000"/>
                    </a:xfrm>
                    <a:prstGeom prst="rect">
                      <a:avLst/>
                    </a:prstGeom>
                    <a:noFill/>
                    <a:ln>
                      <a:noFill/>
                    </a:ln>
                  </pic:spPr>
                </pic:pic>
              </a:graphicData>
            </a:graphic>
          </wp:inline>
        </w:drawing>
      </w:r>
    </w:p>
    <w:p w:rsidR="00D03DE2" w:rsidRPr="00C258AD" w:rsidRDefault="00D03DE2" w:rsidP="00D03DE2">
      <w:pPr>
        <w:jc w:val="center"/>
        <w:rPr>
          <w:b/>
          <w:sz w:val="18"/>
          <w:szCs w:val="18"/>
        </w:rPr>
      </w:pPr>
    </w:p>
    <w:p w:rsidR="00D03DE2" w:rsidRPr="00C258AD" w:rsidRDefault="00D03DE2" w:rsidP="00D03DE2">
      <w:pPr>
        <w:rPr>
          <w:b/>
          <w:sz w:val="18"/>
          <w:szCs w:val="18"/>
        </w:rPr>
      </w:pPr>
    </w:p>
    <w:p w:rsidR="00D03DE2" w:rsidRPr="00C258AD" w:rsidRDefault="00D03DE2" w:rsidP="00D03DE2">
      <w:pPr>
        <w:spacing w:after="120"/>
        <w:jc w:val="center"/>
        <w:rPr>
          <w:b/>
          <w:iCs/>
        </w:rPr>
      </w:pPr>
      <w:r w:rsidRPr="00C258AD">
        <w:rPr>
          <w:b/>
          <w:sz w:val="18"/>
          <w:szCs w:val="18"/>
        </w:rPr>
        <w:t>Résumé des réalisations par résultats escomptés</w:t>
      </w:r>
    </w:p>
    <w:p w:rsidR="00D03DE2" w:rsidRPr="00C258AD" w:rsidRDefault="00D03DE2" w:rsidP="00D03DE2">
      <w:pPr>
        <w:keepNext/>
        <w:keepLines/>
        <w:rPr>
          <w:iCs/>
        </w:rPr>
      </w:pPr>
      <w:r w:rsidRPr="00C258AD">
        <w:rPr>
          <w:noProof/>
          <w:lang w:val="en-US"/>
        </w:rPr>
        <w:drawing>
          <wp:inline distT="0" distB="0" distL="0" distR="0" wp14:anchorId="713E51AD" wp14:editId="7ED0534E">
            <wp:extent cx="5940425" cy="2471501"/>
            <wp:effectExtent l="0" t="0" r="3175"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0425" cy="2471501"/>
                    </a:xfrm>
                    <a:prstGeom prst="rect">
                      <a:avLst/>
                    </a:prstGeom>
                    <a:noFill/>
                    <a:ln>
                      <a:noFill/>
                    </a:ln>
                  </pic:spPr>
                </pic:pic>
              </a:graphicData>
            </a:graphic>
          </wp:inline>
        </w:drawing>
      </w:r>
    </w:p>
    <w:p w:rsidR="00D03DE2" w:rsidRPr="00C258AD" w:rsidRDefault="00D03DE2" w:rsidP="00D03DE2">
      <w:pPr>
        <w:keepNext/>
        <w:keepLines/>
        <w:rPr>
          <w:iCs/>
        </w:rPr>
      </w:pPr>
    </w:p>
    <w:p w:rsidR="00D03DE2" w:rsidRPr="00C258AD" w:rsidRDefault="00D03DE2" w:rsidP="00D03DE2">
      <w:pPr>
        <w:pStyle w:val="ONUME"/>
        <w:numPr>
          <w:ilvl w:val="0"/>
          <w:numId w:val="60"/>
        </w:numPr>
        <w:jc w:val="both"/>
      </w:pPr>
      <w:r w:rsidRPr="00C258AD">
        <w:t>Les priorités de cet objectif ont continué de porter sur la création et la production de contenus pertinents de haute qualité, sur l’amélioration de la visibilité des travaux de l’OMPI et de leur compréhension par le public et sur le renforcement de la culture du service dans l’Organisation.</w:t>
      </w:r>
    </w:p>
    <w:p w:rsidR="00D03DE2" w:rsidRPr="00C258AD" w:rsidRDefault="00D03DE2" w:rsidP="00D03DE2">
      <w:pPr>
        <w:pStyle w:val="ONUME"/>
        <w:numPr>
          <w:ilvl w:val="0"/>
          <w:numId w:val="60"/>
        </w:numPr>
        <w:jc w:val="both"/>
      </w:pPr>
      <w:r w:rsidRPr="00C258AD">
        <w:lastRenderedPageBreak/>
        <w:t>Une stratégie plus intégrée en matière de contenus et de médias s’est traduite, pour les manifestations majeures et les lancements de produits de l’OMPI, par un impact plus important en matière de communications.  L’Indice mondial de l’innovation (GII) est apparu dans les tendances de Twitter à Londres le jour de son lancement au Royaume</w:t>
      </w:r>
      <w:r w:rsidRPr="00C258AD">
        <w:noBreakHyphen/>
        <w:t>Uni en 2015.  Grâce à un écho dans certains des médias les plus influents du monde, les rapports emblématiques de l’OMPI sur la propriété intellectuelle (le GII, le Rapport sur la propriété intellectuelle dans le monde (WIPR), les Revues annuelles du PCT, du système de La Haye et du système de Madrid et les Indicateurs mondiaux relatifs à la propriété intellectuelle) sont des sources de données en matière de propriété intellectuelle et d’innovation qui sont devenues des références mondiales.  La promotion du WIPR a donné lieu à quelque 200 articles de presse durant la semaine ayant suivi sa publication.  Des campagnes concertées de sensibilisation dans la presse et les réseaux sociaux en vue de promouvoir la Conférence ministérielle de Dakar en 2014 ont bénéficié d’une large couverture dans les médias audiovisuels et en ligne africains, stimulant l’intérêt du public pour la propriété intellectuelle et les questions relatives au développement.  Pour toutes les manifestations importantes, des pages Web ont été publiées dans les six langues officielles.  Les activités de sensibilisation déployées à l’appui du Consortium pour des livres accessibles (ABC) ont été renforcées par la production d’une vidéo passionnante sur le travail de renforcement des capacités mené par le Consortium en Inde.</w:t>
      </w:r>
    </w:p>
    <w:p w:rsidR="00D03DE2" w:rsidRPr="00C258AD" w:rsidRDefault="00D03DE2" w:rsidP="00D03DE2">
      <w:pPr>
        <w:pStyle w:val="ONUME"/>
        <w:numPr>
          <w:ilvl w:val="0"/>
          <w:numId w:val="60"/>
        </w:numPr>
        <w:jc w:val="both"/>
      </w:pPr>
      <w:r w:rsidRPr="00C258AD">
        <w:t>L’implication des États membres et du public dans la campagne annuelle autour de la Journée mondiale de la propriété intellectuelle a atteint un niveau record.  Le thème “Le cinéma : une passion universelle” a fait l’objet de plus de 350 manifestations signalées dans 105 pays (au regard de 236 manifestations dans 93 pays</w:t>
      </w:r>
      <w:r w:rsidRPr="00C258AD">
        <w:rPr>
          <w:rStyle w:val="FootnoteReference"/>
        </w:rPr>
        <w:footnoteReference w:id="7"/>
      </w:r>
      <w:r w:rsidRPr="00C258AD">
        <w:t xml:space="preserve"> en 2013).  En 2015, les tweets de #</w:t>
      </w:r>
      <w:proofErr w:type="spellStart"/>
      <w:r w:rsidRPr="00C258AD">
        <w:t>WorldIPDay</w:t>
      </w:r>
      <w:proofErr w:type="spellEnd"/>
      <w:r w:rsidRPr="00C258AD">
        <w:t xml:space="preserve"> ont obtenu 5,2 millions d’impressions potentielles (par rapport à 1,55 million en 2013) et quelque 900 retweets.  La participation a vraiment été mondiale, les consultations de la version chinoise de la page Web ayant dépassé le nombre de consultations de la version anglaise en 2014, les plus grands nombres de “</w:t>
      </w:r>
      <w:proofErr w:type="spellStart"/>
      <w:r w:rsidRPr="00C258AD">
        <w:t>likes</w:t>
      </w:r>
      <w:proofErr w:type="spellEnd"/>
      <w:r w:rsidRPr="00C258AD">
        <w:t>” de la page Facebook venaient de l’Inde, des États</w:t>
      </w:r>
      <w:r w:rsidRPr="00C258AD">
        <w:noBreakHyphen/>
        <w:t>Unis d’Amérique, du Mexique, de l’Égypte et du Brésil.</w:t>
      </w:r>
    </w:p>
    <w:p w:rsidR="00D03DE2" w:rsidRPr="00C258AD" w:rsidRDefault="00D03DE2" w:rsidP="00D03DE2">
      <w:pPr>
        <w:pStyle w:val="ONUME"/>
        <w:numPr>
          <w:ilvl w:val="0"/>
          <w:numId w:val="60"/>
        </w:numPr>
        <w:jc w:val="both"/>
      </w:pPr>
      <w:r w:rsidRPr="00C258AD">
        <w:t>En ce qui concerne les relations extérieures, l’ONU et ses États membres ont mené à bien un certain nombre de processus de négociations majeurs présentant une importance pour les travaux de l’OMPI en 2014</w:t>
      </w:r>
      <w:r w:rsidRPr="00C258AD">
        <w:noBreakHyphen/>
        <w:t>2015, y compris l’adoption du Programme d’action d’Addis</w:t>
      </w:r>
      <w:r w:rsidRPr="00C258AD">
        <w:noBreakHyphen/>
        <w:t>Abeba (AAAA) durant la troisième Conférence internationale sur le financement du développement (FFD3), l’adoption du document intitulé “Transformer notre monde : le Programme de développement durable à l’horizon 2030” et l’adoption de l’Accord de Paris dans le cadre de la Convention</w:t>
      </w:r>
      <w:r w:rsidRPr="00C258AD">
        <w:noBreakHyphen/>
        <w:t>cadre des Nations Unies sur le changement climatique (CCNUCC).  En tant qu’institution spécialisée des Nations Unies et conformément à son mandat ainsi qu’aux recommandations n</w:t>
      </w:r>
      <w:r w:rsidRPr="00C258AD">
        <w:rPr>
          <w:vertAlign w:val="superscript"/>
        </w:rPr>
        <w:t>os</w:t>
      </w:r>
      <w:r w:rsidRPr="00C258AD">
        <w:t> 30 et 40 de son Plan d’action pour le développement, l’OMPI a continué de jouer son rôle en appuyant certains processus grâce à son engagement stratégique et à la fourniture d’informations objectives, basées sur des données avérées et en réagissant dans les meilleurs délais à des demandes spécifiques de contribution et de coopération.</w:t>
      </w:r>
    </w:p>
    <w:p w:rsidR="00D03DE2" w:rsidRPr="00C258AD" w:rsidRDefault="00D03DE2" w:rsidP="00D03DE2">
      <w:pPr>
        <w:pStyle w:val="ONUME"/>
        <w:numPr>
          <w:ilvl w:val="0"/>
          <w:numId w:val="60"/>
        </w:numPr>
        <w:jc w:val="both"/>
      </w:pPr>
      <w:r w:rsidRPr="00C258AD">
        <w:t>Le réseau de bureaux extérieurs de l’OMPI fait partie intégrante de l’Organisation et est conçu pour apporter les services et la coopération de l’OMPI au plus près des États membres, des parties prenantes et des partenaires afin d’accroître l’efficience et l’efficacité de l’exécution du programme, tout en répondant aux besoins et priorités spécifiques des pays ou des régions qu’ils servent.  En 2014, le réseau des bureaux est passé à cinq, avec l’ouverture des bureaux de l’OMPI en Chine et en Fédération de Russie.  L’année 2015 a marqué le dixième anniversaire de la création du Bureau de l’OMPI à Singapour.  Les résultats obtenus lors de l’exercice biennal 2014</w:t>
      </w:r>
      <w:r w:rsidRPr="00C258AD">
        <w:noBreakHyphen/>
        <w:t>2015 ont continué de souligner l’importance de la contribution que les bureaux extérieurs apportent à la mise en œuvre du mandat de l’Organisation.</w:t>
      </w:r>
    </w:p>
    <w:p w:rsidR="00D03DE2" w:rsidRPr="00C258AD" w:rsidRDefault="00D03DE2" w:rsidP="00D03DE2">
      <w:pPr>
        <w:spacing w:after="200" w:line="276" w:lineRule="auto"/>
        <w:rPr>
          <w:b/>
          <w:iCs/>
        </w:rPr>
      </w:pPr>
      <w:r w:rsidRPr="00C258AD">
        <w:rPr>
          <w:b/>
          <w:iCs/>
        </w:rPr>
        <w:br w:type="page"/>
      </w:r>
    </w:p>
    <w:p w:rsidR="00D03DE2" w:rsidRPr="00C258AD" w:rsidRDefault="00D03DE2" w:rsidP="00D03DE2">
      <w:pPr>
        <w:keepNext/>
        <w:keepLines/>
        <w:jc w:val="center"/>
        <w:rPr>
          <w:b/>
          <w:iCs/>
        </w:rPr>
      </w:pPr>
      <w:r w:rsidRPr="00C258AD">
        <w:rPr>
          <w:b/>
          <w:iCs/>
        </w:rPr>
        <w:lastRenderedPageBreak/>
        <w:t>Objectif stratégique IX</w:t>
      </w:r>
      <w:r w:rsidRPr="00C258AD">
        <w:rPr>
          <w:iCs/>
        </w:rPr>
        <w:t> </w:t>
      </w:r>
      <w:r w:rsidRPr="00C258AD">
        <w:t>:</w:t>
      </w:r>
      <w:r w:rsidRPr="00C258AD">
        <w:rPr>
          <w:b/>
          <w:iCs/>
        </w:rPr>
        <w:t xml:space="preserve"> Structure d’appui administratif et financier efficace afin de permettre à</w:t>
      </w:r>
      <w:r w:rsidRPr="00C258AD">
        <w:rPr>
          <w:iCs/>
        </w:rPr>
        <w:t xml:space="preserve"> </w:t>
      </w:r>
      <w:r w:rsidRPr="00C258AD">
        <w:rPr>
          <w:b/>
          <w:iCs/>
        </w:rPr>
        <w:t>l’OMPI d’exécuter ses programmes</w:t>
      </w:r>
    </w:p>
    <w:p w:rsidR="00D03DE2" w:rsidRPr="00C258AD" w:rsidRDefault="00D03DE2" w:rsidP="00D03DE2">
      <w:pPr>
        <w:keepNext/>
        <w:keepLines/>
        <w:jc w:val="center"/>
      </w:pPr>
      <w:r w:rsidRPr="00C258AD">
        <w:rPr>
          <w:noProof/>
          <w:lang w:val="en-US"/>
        </w:rPr>
        <w:drawing>
          <wp:inline distT="0" distB="0" distL="0" distR="0" wp14:anchorId="1918C21D" wp14:editId="65DB7FDD">
            <wp:extent cx="5078563" cy="2700000"/>
            <wp:effectExtent l="0" t="0" r="8255" b="5715"/>
            <wp:docPr id="965" name="Picture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078563" cy="2700000"/>
                    </a:xfrm>
                    <a:prstGeom prst="rect">
                      <a:avLst/>
                    </a:prstGeom>
                    <a:noFill/>
                    <a:ln>
                      <a:noFill/>
                    </a:ln>
                  </pic:spPr>
                </pic:pic>
              </a:graphicData>
            </a:graphic>
          </wp:inline>
        </w:drawing>
      </w:r>
    </w:p>
    <w:p w:rsidR="00D03DE2" w:rsidRPr="00C258AD" w:rsidRDefault="00D03DE2" w:rsidP="00D03DE2"/>
    <w:p w:rsidR="00D03DE2" w:rsidRPr="00C258AD" w:rsidRDefault="00D03DE2" w:rsidP="00D03DE2">
      <w:pPr>
        <w:spacing w:after="120"/>
        <w:jc w:val="center"/>
        <w:rPr>
          <w:b/>
          <w:iCs/>
        </w:rPr>
      </w:pPr>
      <w:r w:rsidRPr="00C258AD">
        <w:rPr>
          <w:b/>
          <w:sz w:val="18"/>
          <w:szCs w:val="18"/>
        </w:rPr>
        <w:t>Résumé des réalisations par résultats escomptés</w:t>
      </w:r>
    </w:p>
    <w:p w:rsidR="00D03DE2" w:rsidRPr="00C258AD" w:rsidRDefault="00D03DE2" w:rsidP="00D03DE2">
      <w:r w:rsidRPr="00C258AD">
        <w:rPr>
          <w:noProof/>
          <w:lang w:val="en-US"/>
        </w:rPr>
        <w:drawing>
          <wp:inline distT="0" distB="0" distL="0" distR="0" wp14:anchorId="30C53D5E" wp14:editId="19D01133">
            <wp:extent cx="5940425" cy="2512631"/>
            <wp:effectExtent l="0" t="0" r="3175" b="254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940425" cy="2512631"/>
                    </a:xfrm>
                    <a:prstGeom prst="rect">
                      <a:avLst/>
                    </a:prstGeom>
                    <a:noFill/>
                    <a:ln>
                      <a:noFill/>
                    </a:ln>
                  </pic:spPr>
                </pic:pic>
              </a:graphicData>
            </a:graphic>
          </wp:inline>
        </w:drawing>
      </w:r>
    </w:p>
    <w:p w:rsidR="00D03DE2" w:rsidRPr="00C258AD" w:rsidRDefault="00D03DE2" w:rsidP="00D03DE2"/>
    <w:p w:rsidR="00D03DE2" w:rsidRPr="00C258AD" w:rsidRDefault="00D03DE2" w:rsidP="00D03DE2">
      <w:pPr>
        <w:pStyle w:val="ONUME"/>
        <w:numPr>
          <w:ilvl w:val="0"/>
          <w:numId w:val="60"/>
        </w:numPr>
        <w:jc w:val="both"/>
      </w:pPr>
      <w:r w:rsidRPr="00C258AD">
        <w:t>La gestion des programmes et des finances de l’OMPI a continué d’être renforcée tout au long de l’exercice biennal afin que les ressources soient utilisées plus efficacement et que des pratiques optimales soient établies dans un secteur de l’administration ayant trait à la planification, à la gestion des performances et à l’appui à diverses activités opérationnelles dans l’ensemble de l’Organisation.</w:t>
      </w:r>
    </w:p>
    <w:p w:rsidR="00D03DE2" w:rsidRPr="00C258AD" w:rsidRDefault="00D03DE2" w:rsidP="00D03DE2">
      <w:pPr>
        <w:pStyle w:val="ONUME"/>
        <w:numPr>
          <w:ilvl w:val="0"/>
          <w:numId w:val="60"/>
        </w:numPr>
        <w:jc w:val="both"/>
      </w:pPr>
      <w:r w:rsidRPr="00C258AD">
        <w:t xml:space="preserve">En dépit d’une incertitude économique persistante, l’OMPI a terminé l’année avec un résultat global positif de 70,3 millions de francs suisses sur la base des normes IPSAS.  Les recettes </w:t>
      </w:r>
      <w:r w:rsidR="00957C2D">
        <w:t>avant</w:t>
      </w:r>
      <w:r w:rsidRPr="00C258AD">
        <w:t xml:space="preserve"> les ajustements IPSAS en 2014</w:t>
      </w:r>
      <w:r w:rsidRPr="00C258AD">
        <w:noBreakHyphen/>
        <w:t>2015 se sont élevées à 775,7 millions de francs suisses, soit 62,4 millions de francs suisses ou 8,8% de plus que les recettes prévues pour l’exercice 2014</w:t>
      </w:r>
      <w:r w:rsidRPr="00C258AD">
        <w:noBreakHyphen/>
        <w:t>2015.  Les dépenses biennales pour l’exercice 2014</w:t>
      </w:r>
      <w:r w:rsidRPr="00C258AD">
        <w:noBreakHyphen/>
        <w:t>2015 se sont élevées à 642,6 millions de francs suisses, soit 31,4 millions de francs suisses ou 4,7% de moins que le budget approuvé pour 2014</w:t>
      </w:r>
      <w:r w:rsidRPr="00C258AD">
        <w:noBreakHyphen/>
        <w:t>2015.</w:t>
      </w:r>
    </w:p>
    <w:p w:rsidR="00D03DE2" w:rsidRPr="00C258AD" w:rsidRDefault="00D03DE2" w:rsidP="00D03DE2">
      <w:pPr>
        <w:pStyle w:val="ONUME"/>
        <w:numPr>
          <w:ilvl w:val="0"/>
          <w:numId w:val="60"/>
        </w:numPr>
        <w:jc w:val="both"/>
      </w:pPr>
      <w:r w:rsidRPr="00C258AD">
        <w:t>La vaste étude des pratiques de trésorerie et des risques de l’OMPI, initiée en 2013, a été achevée au printemps 2014, qui a abouti à un ensemble de recommandations portant notamment sur l’utilisation d’instruments de couverture pour réduire l’exposition aux fluctuations de change au sein du PCT.  À l’issue d’une analyse approfondie de la stratégie de couverture proposée, qui a été réalisée en 2015, une décision finale a été prise en vue d’établir un modèle de couverture des risques de change, qui simulera les effets de la couverture sur les résultats de l’exercice biennal 2014</w:t>
      </w:r>
      <w:r w:rsidRPr="00C258AD">
        <w:noBreakHyphen/>
        <w:t xml:space="preserve">2015 et ceux de 2016.  À la suite des recherches approfondies menées auprès de diverses banques et institutions financières et d’une étude des nombreuses politiques de placement en vigueur dans l’ensemble du système des </w:t>
      </w:r>
      <w:r w:rsidRPr="00C258AD">
        <w:lastRenderedPageBreak/>
        <w:t>Nations Unies, une nouvelle politique de placement a été élaborée pour l’Organisation et approuvée par les États membres en 2015.</w:t>
      </w:r>
    </w:p>
    <w:p w:rsidR="00D03DE2" w:rsidRPr="00C258AD" w:rsidRDefault="00D03DE2" w:rsidP="00D03DE2">
      <w:pPr>
        <w:pStyle w:val="ONUME"/>
        <w:numPr>
          <w:ilvl w:val="0"/>
          <w:numId w:val="60"/>
        </w:numPr>
        <w:jc w:val="both"/>
      </w:pPr>
      <w:r w:rsidRPr="00C258AD">
        <w:t>Des progrès significatifs ont été accomplis durant l’exercice biennal en ce qui concerne la poursuite de l’intégration d’une culture de la gestion axée sur les résultats et le renforcement du cycle de gestion des résultats de l’OMPI.  Les processus de planification biennaux et annuels ont continué d’être améliorés.  En 2014, la planification du niveau des postes a été introduite, rapprochant les résultats escomptés du programme et les objectifs individuels des membres du personnel, et renforçant la transparence et la précision en ce qui concerne l’affectation et l’utilisation des ressources en personnel.</w:t>
      </w:r>
    </w:p>
    <w:p w:rsidR="00D03DE2" w:rsidRPr="00C258AD" w:rsidRDefault="00D03DE2" w:rsidP="00D03DE2">
      <w:pPr>
        <w:pStyle w:val="ONUME"/>
        <w:numPr>
          <w:ilvl w:val="0"/>
          <w:numId w:val="60"/>
        </w:numPr>
        <w:jc w:val="both"/>
      </w:pPr>
      <w:r w:rsidRPr="00C258AD">
        <w:t>La poursuite de l’intégration des composants ERP en 2014</w:t>
      </w:r>
      <w:r w:rsidRPr="00C258AD">
        <w:noBreakHyphen/>
        <w:t>2015 a également permis d’améliorer les capacités en matière d’établissement de rapports et d’outils analytiques.  Pour la première fois en 2014, le système AIMS de gestion de l’information administrative et le système de planification de la gestion des résultats (EPM) ont été intégrés, ce qui a permis d’améliorer les informations sur les dépenses réelles par rapport aux dépenses inscrites au budget tirées du système EPM.  En outre, l’élément Gestion de la paie du module Ressources humaines de l’ERP a été lancé en janvier 2014, et l’intégration avec le système de planification EPM a été achevée en avril, améliorant considérablement les capacités en matière de gestion des postes.  Le module Analyse décisionnelle a évolué au cours de l’exercice biennal, les premiers tableaux de bord ayant été élaborés et mis en service au sein des principaux secteurs administratifs (DGRH, Achats et voyages, Finances et planification des programmes) en 2014 et installés à l’échelle de l’Organisation en 2015.  Un tableau de bord en matière de gestion des risques a également été élaboré et mis en service en 2015.</w:t>
      </w:r>
    </w:p>
    <w:p w:rsidR="00D03DE2" w:rsidRPr="00C258AD" w:rsidRDefault="00D03DE2" w:rsidP="00D03DE2">
      <w:pPr>
        <w:pStyle w:val="ONUME"/>
        <w:numPr>
          <w:ilvl w:val="0"/>
          <w:numId w:val="60"/>
        </w:numPr>
        <w:jc w:val="both"/>
      </w:pPr>
      <w:r w:rsidRPr="00C258AD">
        <w:t>Conformément à la feuille de route pour la gestion des risques, un cadre formel et cohérent pour la gestion des risques et les contrôles internes au sein de l’Organisation a été élaboré, dont le dispositif de responsabilisation de l’OMPI, la déclaration relative au risque accepté, la création du Groupe de gestion des risques, l’élaboration de la politique de gestion des risques et le Manuel de la gestion des risques et de contrôles internes.</w:t>
      </w:r>
    </w:p>
    <w:p w:rsidR="00D03DE2" w:rsidRPr="00C258AD" w:rsidRDefault="00D03DE2" w:rsidP="00D03DE2">
      <w:pPr>
        <w:pStyle w:val="ONUME"/>
        <w:numPr>
          <w:ilvl w:val="0"/>
          <w:numId w:val="60"/>
        </w:numPr>
        <w:jc w:val="both"/>
      </w:pPr>
      <w:r w:rsidRPr="00C258AD">
        <w:t>Pour faciliter l’accès en temps réel à l’information sur les risques et les mécanismes de contrôle, appuyer une gestion anticipée des risques et des mécanismes de contrôle et apporter des réponses efficaces aux organismes d’audit, un outil de gestion globale des risques (ERM) a été mis en œuvre au second semestre 2014 et utilisé pour faciliter le processus de planification pour 2015 ainsi que le processus du programme et budget pour 2016</w:t>
      </w:r>
      <w:r w:rsidRPr="00C258AD">
        <w:noBreakHyphen/>
        <w:t>2017.</w:t>
      </w:r>
    </w:p>
    <w:p w:rsidR="00D03DE2" w:rsidRPr="00C258AD" w:rsidRDefault="00D03DE2" w:rsidP="00D03DE2">
      <w:pPr>
        <w:pStyle w:val="ONUME"/>
        <w:numPr>
          <w:ilvl w:val="0"/>
          <w:numId w:val="60"/>
        </w:numPr>
        <w:jc w:val="both"/>
      </w:pPr>
      <w:r w:rsidRPr="00C258AD">
        <w:t>L’exercice biennal 2014</w:t>
      </w:r>
      <w:r w:rsidRPr="00C258AD">
        <w:noBreakHyphen/>
        <w:t>2015 a été le premier exercice biennal de mise en œuvre de la stratégie en matière de ressources humaines approuvée par les États membres en 2013.  Des progrès ont continué d’être faits quant à la prise en considération de la structure de l’Organisation et de la planification des effectifs en tant qu’activités opérationnelles essentielles et pleinement intégrées.  L’exercice biennal a notamment été marqué par les réalisations suivantes : i) participation accrue des chefs de programme à la planification des ressources humaines par l’organisation d’ateliers d’introduction et par la mise au point de principes directeurs connexes;  ii) élaboration de plans d’action concernant les effectifs pour l’exercice 2014</w:t>
      </w:r>
      <w:r w:rsidRPr="00C258AD">
        <w:noBreakHyphen/>
        <w:t>2015, afin que chaque unité administrative puisse consigner les principales mesures relatives aux ressources humaines pour répondre aux besoins opérationnels;  iii) mise à jour des descriptions de poste à l’échelle de l’Organisation afin qu’elles traduisent avec exactitude les priorités opérationnelles;  et iv) adéquation améliorée et plus systématique entre les descriptions de poste et les plans de travail annuel.  Dans le cadre de l’exercice de planification des effectifs, les responsables ont été invités à étudier la composition optimale des ressources afin de répondre efficacement à leurs besoins opérationnels.</w:t>
      </w:r>
    </w:p>
    <w:p w:rsidR="00D03DE2" w:rsidRPr="00C258AD" w:rsidRDefault="00D03DE2" w:rsidP="00D03DE2">
      <w:pPr>
        <w:pStyle w:val="ONUME"/>
        <w:numPr>
          <w:ilvl w:val="0"/>
          <w:numId w:val="60"/>
        </w:numPr>
        <w:jc w:val="both"/>
      </w:pPr>
      <w:r w:rsidRPr="00C258AD">
        <w:t xml:space="preserve">En 2014, l’OMPI a établi sa première politique en matière d’égalité des sexes, avec le double objectif d’intégrer la dimension paritaire dans les activités de l’OMPI et de respecter un calendrier précis pour assurer l’équilibre entre les sexes au sein de son personnel à tous les niveaux.  Si la proportion de femmes au niveau P4 (46,1%) a représenté une hausse de 2,7 points par rapport au niveau de référence de 2013, atteignant pleinement l’objectif, les objectifs de parité des sexes parmi les postes supérieurs ont continué de représenter un défi.  Bien que de nouvelles nominations de femmes aux niveaux P5 et D1 aient permis d’éviter tout élargissement de l’écart entre hommes et femmes à la suite du départ de femmes à ces niveaux, le nombre de femmes au niveau D2 a diminué de 11,1 points par rapport à 2013.  Néanmoins, ces pourcentages sont les plus élevés jamais enregistrés dans l’histoire de l’OMPI.  Par conséquent, un réseau de coordonnateurs pour les questions d’égalité des sexes couvrant l’ensemble des programmes de l’OMPI a été créé et l’Organisation a rejoint le réseau Geneva </w:t>
      </w:r>
      <w:proofErr w:type="spellStart"/>
      <w:r w:rsidRPr="00C258AD">
        <w:t>Gender</w:t>
      </w:r>
      <w:proofErr w:type="spellEnd"/>
      <w:r w:rsidRPr="00C258AD">
        <w:t xml:space="preserve"> Champions dans son engagement collectif en vue de promouvoir les femmes sur le lieu de travail.</w:t>
      </w:r>
    </w:p>
    <w:p w:rsidR="00D03DE2" w:rsidRPr="00C258AD" w:rsidRDefault="00D03DE2" w:rsidP="00D03DE2">
      <w:pPr>
        <w:pStyle w:val="ONUME"/>
        <w:numPr>
          <w:ilvl w:val="0"/>
          <w:numId w:val="60"/>
        </w:numPr>
        <w:jc w:val="both"/>
      </w:pPr>
      <w:r w:rsidRPr="00C258AD">
        <w:lastRenderedPageBreak/>
        <w:t>Le processus de régularisation des agents temporaires de longue durée a été achevé en 2014, et 31 de ces agents ont été régularisés en 2014 à l’issue d’une mise au concours.  En outre, 40 postes fixes ont été mis au concours pour la régularisation des fonctions continues au cours de l’exercice biennal (17 en 2014 et 23 en 2015), dont 30 ont été attribués à la fin de 2015.  Pendant l’exercice biennal, l’activité de recrutement s’est maintenue à un niveau considérable, ce qui a occasionné une réduction de la durée des recrutements, qui est passée à 19,77 semaines par rapport à 16,03 semaines pour l’exercice 2012</w:t>
      </w:r>
      <w:r w:rsidRPr="00C258AD">
        <w:noBreakHyphen/>
        <w:t>2013.  Pour l’exercice biennal, un total de 255 postes ont été mis au concours (183 postes fixes, soit une hausse de 29% par rapport à 2012</w:t>
      </w:r>
      <w:r w:rsidRPr="00C258AD">
        <w:noBreakHyphen/>
        <w:t xml:space="preserve">2013, et 72 postes temporaires).  Au total, quelque 30 320 candidatures ont été reçues.  Par ailleurs, la modernisation des systèmes et des processus des DGRH s’est poursuivie.  L’élaboration d’une nouvelle plateforme de recrutement intégrée (utilisant </w:t>
      </w:r>
      <w:proofErr w:type="spellStart"/>
      <w:r w:rsidRPr="00C258AD">
        <w:t>Taleo</w:t>
      </w:r>
      <w:proofErr w:type="spellEnd"/>
      <w:r w:rsidRPr="00C258AD">
        <w:t>) a commencé en 2015.  Cette plateforme est censée réaliser des gains d’efficacité en matière de recrutement.</w:t>
      </w:r>
    </w:p>
    <w:p w:rsidR="00D03DE2" w:rsidRPr="00C258AD" w:rsidRDefault="00D03DE2" w:rsidP="00D03DE2">
      <w:pPr>
        <w:pStyle w:val="ONUME"/>
        <w:numPr>
          <w:ilvl w:val="0"/>
          <w:numId w:val="60"/>
        </w:numPr>
        <w:jc w:val="both"/>
      </w:pPr>
      <w:r w:rsidRPr="00C258AD">
        <w:t>En 2014</w:t>
      </w:r>
      <w:r w:rsidRPr="00C258AD">
        <w:noBreakHyphen/>
        <w:t>2015, les achats et les voyages ont enregistré une belle progression dans la réalisation des objectifs grâce à plusieurs mesures visant à optimiser le coût des biens et services achetés par l’OMPI et à rationaliser ses processus, ce qui a permis de réaliser une économie globale de 3,8 millions de francs suisses en 2015 et de 2,6 millions de francs suisses en 2014.  S’agissant des dépenses de voyage, le prix moyen du billet a baissé de 14% en 2015, passant de 1728 à 1484 francs suisses en 2013, ce qui représente des économies considérables au cours de l’exercice biennal.  Depuis la mise en œuvre du nouvel outil de réservation en ligne (OBT) en décembre 2014, la valeur moyenne totale des frais par transaction a baissé de 20%, malgré la hausse de la commission de gestion due à un changement de fournisseur.  Il convient également de noter que, pendant l’exercice biennal, un effort substantiel a été fourni pour réduire les dépenses liées aux voyages, ce qui s’est traduit par une réduction de la quantité de billets émis et de réservations tardives.  Grâce à une supervision étroite des procédures administratives, le délai de traitement moyen des demandes d’achat a été réduit de moitié en cinq ans, entraînant des gains d’efficacité et une réactivité accrue pour l’achat des biens et services.  En outre, le pourcentage des biens et services d’origine locale pour les activités de développement est passé à 57% en 2015, soit une hausse de 9% en 2013 et de 12% en 2014.</w:t>
      </w:r>
    </w:p>
    <w:p w:rsidR="00D03DE2" w:rsidRPr="00C258AD" w:rsidRDefault="00D03DE2" w:rsidP="00D03DE2">
      <w:pPr>
        <w:pStyle w:val="ONUME"/>
        <w:numPr>
          <w:ilvl w:val="0"/>
          <w:numId w:val="60"/>
        </w:numPr>
        <w:jc w:val="both"/>
      </w:pPr>
      <w:r w:rsidRPr="00C258AD">
        <w:t>S’agissant des technologies de l’information et de la communication, l’exercice biennal 2014</w:t>
      </w:r>
      <w:r w:rsidRPr="00C258AD">
        <w:noBreakHyphen/>
        <w:t>2015 a été marqué par les améliorations suivantes : un réexamen des contrats de services et des procédures opérationnelles afin de garantir des procédures plus économes, ce qui a permis d’économiser environ 460 000 francs suisses par rapport à 2013;  la mise en place et l’essai d’une fonction de reprise des opérations TIC après un sinistre de haut niveau afin de soutenir le système du PCT;  la mise en place dans les délais de l’infrastructure des TIC dans la nouvelle salle de conférence de l’OMPI, en vue de son ouverture à l’occasion de la vingt</w:t>
      </w:r>
      <w:r w:rsidRPr="00C258AD">
        <w:noBreakHyphen/>
        <w:t>deuxième session du PBC et de la cinquante</w:t>
      </w:r>
      <w:r w:rsidRPr="00C258AD">
        <w:noBreakHyphen/>
        <w:t>quatrième série de réunions des assemblées des États membres de l’OMPI;  un nouveau projet d’architecture mondiale des bureaux visant à permettre aux bureaux extérieurs de l’OMPI de se connecter en toute sécurité à l’ensemble des systèmes informatiques administratifs de l’OMPI hébergés au siège, et à leur fournir des services informatiques centralisés et harmonisés;  la conclusion d’accords de fourniture de services tenant compte des besoins informatiques particuliers des divers secteurs administratifs et permettant un suivi et un contrôle plus systématiques;  et la mise en œuvre d’un système perfectionné de télécopieur destiné à s’intégrer harmonieusement aux systèmes informatiques du système de Madrid ainsi qu’aux systèmes administratifs internes, entraînant des gains d’efficacité et réduisant sensiblement les taux d’erreur de télécopie.</w:t>
      </w:r>
    </w:p>
    <w:p w:rsidR="007A287B" w:rsidRPr="00C258AD" w:rsidRDefault="007A287B" w:rsidP="007A287B">
      <w:pPr>
        <w:pStyle w:val="ONUME"/>
        <w:numPr>
          <w:ilvl w:val="0"/>
          <w:numId w:val="60"/>
        </w:numPr>
        <w:jc w:val="both"/>
      </w:pPr>
      <w:r w:rsidRPr="00C258AD">
        <w:t>S’agissant de la sécurité des informations, le PCT a été soumis, en octobre 2014, dans le cadre du processus d’amélioration continue fondé sur la norme ISO 27001, au deuxième cycle d’audits externes relatifs à la certification ISO 27001.  Parallèlement, il est passé de la version 2005 à la version la plus récente de la norme (ISO 27001:2013).  En octobre 2015, la certification a été étendue pour inclure les opérations des systèmes de Madrid et de La Haye, en sus du PCT.  L’organisation de campagnes d’hameçonnage simulé, lancées pour la première fois en 2014, a permis de continuer à sensibiliser les utilisateurs aux menaces à la sécurité de l’information.  En effet, on a constaté une augmentation nette du nombre d’utilisateurs signalant des problèmes d’hameçonnage (1% en 2014 contre 59%) ainsi qu’une baisse de 10% du nombre d’utilisateurs qui se sont laissés prendre par les campagnes d’hameçonnage (en moyenne, 17% en 2014 et 7% en 2015).</w:t>
      </w:r>
    </w:p>
    <w:p w:rsidR="007A287B" w:rsidRPr="00C258AD" w:rsidRDefault="007A287B" w:rsidP="007A287B">
      <w:pPr>
        <w:pStyle w:val="ONUME"/>
        <w:numPr>
          <w:ilvl w:val="0"/>
          <w:numId w:val="60"/>
        </w:numPr>
        <w:autoSpaceDE w:val="0"/>
        <w:autoSpaceDN w:val="0"/>
        <w:adjustRightInd w:val="0"/>
        <w:jc w:val="both"/>
        <w:rPr>
          <w:rFonts w:eastAsiaTheme="minorHAnsi" w:cs="Arial"/>
          <w:szCs w:val="20"/>
        </w:rPr>
      </w:pPr>
      <w:r w:rsidRPr="00C258AD">
        <w:t xml:space="preserve">La </w:t>
      </w:r>
      <w:r w:rsidRPr="00C258AD">
        <w:rPr>
          <w:rFonts w:eastAsiaTheme="minorHAnsi" w:cs="Arial"/>
          <w:szCs w:val="20"/>
        </w:rPr>
        <w:t>politique linguistique de l’OMPI a continué d’être mise en œuvre de manière efficace avec l’extension de la couverture en six langues aux groupes de travail, de manière échelonnée et dans un souci d’efficacité.  Selon le calendrier indiqué par les États membres, la couverture a été étendue en 2014</w:t>
      </w:r>
      <w:r w:rsidRPr="00C258AD">
        <w:rPr>
          <w:rFonts w:eastAsiaTheme="minorHAnsi" w:cs="Arial"/>
          <w:szCs w:val="20"/>
        </w:rPr>
        <w:noBreakHyphen/>
        <w:t xml:space="preserve">2015 au i) Groupe de travail du PCT;  ii) au Groupe de travail sur le développement juridique du système de La Haye concernant l’enregistrement international des dessins et modèles industriels;  iii) au </w:t>
      </w:r>
      <w:r w:rsidRPr="00C258AD">
        <w:rPr>
          <w:rFonts w:eastAsiaTheme="minorHAnsi" w:cs="Arial"/>
          <w:szCs w:val="20"/>
        </w:rPr>
        <w:lastRenderedPageBreak/>
        <w:t>Groupe de travail sur le développement juridique du système de Madrid concernant l’enregistrement international des marques et iv) au Groupe de travail sur la révision de la CIB.</w:t>
      </w:r>
    </w:p>
    <w:p w:rsidR="007A287B" w:rsidRPr="00C258AD" w:rsidRDefault="007A287B" w:rsidP="007A287B">
      <w:pPr>
        <w:pStyle w:val="ONUME"/>
        <w:numPr>
          <w:ilvl w:val="0"/>
          <w:numId w:val="60"/>
        </w:numPr>
        <w:jc w:val="both"/>
      </w:pPr>
      <w:r w:rsidRPr="00C258AD">
        <w:t>Parmi les principales réalisations de 2014</w:t>
      </w:r>
      <w:r w:rsidRPr="00C258AD">
        <w:noBreakHyphen/>
        <w:t>2015 figure l’inauguration de la nouvelle salle de conférence de l’OMPI.  Le projet de nouvelle salle de conférence a été livré en plusieurs étapes, avec la réalisation de divers essais techniques menés en parallèle, secteur par secteur.  Le nouveau centre d’accès a été achevé en juillet 2014;  l’aménagement extérieur entre le Nouveau Bâtiment, la nouvelle salle de conférence et le bâtiment AB a été achevé à la fin du mois d’août 2014.  La nouvelle salle de conférence de l’OMPI a quant à elle été achevée à la fin du mois d’août et était prête pour la session du Comité du programme et budget tenue du 1</w:t>
      </w:r>
      <w:r w:rsidRPr="00C258AD">
        <w:rPr>
          <w:vertAlign w:val="superscript"/>
        </w:rPr>
        <w:t>er</w:t>
      </w:r>
      <w:r w:rsidRPr="00C258AD">
        <w:t> au 5 septembre 2014.  Les nouvelles constructions et les rénovations ont été achevées dans leur intégralité en septembre 2014, dans la nouvelle salle de conférence et à trois étages du bâtiment AB, en vue de la session des assemblées du 22 au 30 septembre 2014.  Il convient notamment de mentionner l’inauguration de la nouvelle salle de conférence de l’OMPI le jour de l’ouverture des assemblées, en présence des États membres et observateurs de l’OMPI, de fonctionnaires du pays hôte (aux niveaux fédéral, cantonal et municipal), de représentants d’autres organisations du système des Nations Unies et des quelque 70 sociétés ou entreprises ayant contribué à la construction et à l’achèvement du projet.  Un certain nombre d’éléments de l’aménagement extérieur ont été abordés dans le courant de l’année 2015.  Le projet s’est achevé dans les délais pour les assemblées de l’OMPI, même s’il a été retardé d’avril à septembre 2014, compte tenu de la complexité du travail, en particulier lors des derniers mois.</w:t>
      </w:r>
    </w:p>
    <w:p w:rsidR="007A287B" w:rsidRPr="00C258AD" w:rsidRDefault="007A287B" w:rsidP="007A287B">
      <w:pPr>
        <w:pStyle w:val="ONUME"/>
        <w:numPr>
          <w:ilvl w:val="0"/>
          <w:numId w:val="60"/>
        </w:numPr>
        <w:autoSpaceDE w:val="0"/>
        <w:autoSpaceDN w:val="0"/>
        <w:adjustRightInd w:val="0"/>
        <w:jc w:val="both"/>
        <w:rPr>
          <w:bCs/>
        </w:rPr>
      </w:pPr>
      <w:r w:rsidRPr="00C258AD">
        <w:rPr>
          <w:bCs/>
        </w:rPr>
        <w:t>Au cours de l’exercice biennal 2014</w:t>
      </w:r>
      <w:r w:rsidRPr="00C258AD">
        <w:rPr>
          <w:bCs/>
        </w:rPr>
        <w:noBreakHyphen/>
        <w:t>2015, d’</w:t>
      </w:r>
      <w:r w:rsidRPr="00C258AD">
        <w:rPr>
          <w:rFonts w:eastAsiaTheme="minorHAnsi" w:cs="Arial"/>
          <w:szCs w:val="20"/>
        </w:rPr>
        <w:t>autres réalisations ont abouti ou ont progressé dans le domaine de la sûreté et de la sécurité, notamment l’ouverture du nouveau centre d’accès de l’OMPI (réception du bâtiment AB) et du Centre des opérations de coordination de sécurité, en temps utile pour appuyer efficacement la vingt</w:t>
      </w:r>
      <w:r w:rsidRPr="00C258AD">
        <w:rPr>
          <w:rFonts w:eastAsiaTheme="minorHAnsi" w:cs="Arial"/>
          <w:szCs w:val="20"/>
        </w:rPr>
        <w:noBreakHyphen/>
        <w:t>deuxième session du PBC et les Assemblées de l’OMPI en 2014, ainsi que plus de 200 conférences et manifestations en 2015, auxquelles ont pris part le personnel, des délégués, des visiteurs et le public.  Par ailleurs, le projet H</w:t>
      </w:r>
      <w:r w:rsidRPr="00C258AD">
        <w:rPr>
          <w:rFonts w:eastAsiaTheme="minorHAnsi" w:cs="Arial"/>
          <w:szCs w:val="20"/>
        </w:rPr>
        <w:noBreakHyphen/>
        <w:t>MOSS (</w:t>
      </w:r>
      <w:r w:rsidRPr="00C258AD">
        <w:t>Normes minimales de sécurité opérationnelle pour les villes sièges)</w:t>
      </w:r>
      <w:r w:rsidRPr="00C258AD">
        <w:rPr>
          <w:rFonts w:eastAsiaTheme="minorHAnsi" w:cs="Arial"/>
          <w:szCs w:val="20"/>
        </w:rPr>
        <w:t xml:space="preserve"> a été achevé en 2015, aboutissant à des améliorations qui ont sensiblement renforcé la sûreté et la sécurité sur le campus de l’OMPI.</w:t>
      </w:r>
    </w:p>
    <w:p w:rsidR="007A287B" w:rsidRPr="00C258AD" w:rsidRDefault="007A287B" w:rsidP="007A287B">
      <w:pPr>
        <w:jc w:val="both"/>
      </w:pPr>
    </w:p>
    <w:p w:rsidR="007A287B" w:rsidRPr="00C258AD" w:rsidRDefault="007A287B" w:rsidP="00153B24">
      <w:pPr>
        <w:pStyle w:val="Heading1"/>
        <w:tabs>
          <w:tab w:val="left" w:pos="567"/>
        </w:tabs>
        <w:spacing w:before="0" w:after="0"/>
        <w:jc w:val="left"/>
        <w:rPr>
          <w:lang w:val="fr-FR"/>
        </w:rPr>
      </w:pPr>
      <w:bookmarkStart w:id="11" w:name="_Toc455394172"/>
      <w:r w:rsidRPr="00C258AD">
        <w:rPr>
          <w:lang w:val="fr-FR"/>
        </w:rPr>
        <w:lastRenderedPageBreak/>
        <w:t>BUDGET CONSOLIDÉ ET DÉPENSES RÉELLES POUR 2014</w:t>
      </w:r>
      <w:r w:rsidRPr="00C258AD">
        <w:rPr>
          <w:lang w:val="fr-FR"/>
        </w:rPr>
        <w:noBreakHyphen/>
        <w:t>2015</w:t>
      </w:r>
      <w:bookmarkEnd w:id="11"/>
    </w:p>
    <w:p w:rsidR="007A287B" w:rsidRPr="00C258AD" w:rsidRDefault="007A287B" w:rsidP="007A287B">
      <w:pPr>
        <w:keepNext/>
        <w:widowControl w:val="0"/>
        <w:rPr>
          <w:rFonts w:cs="Arial"/>
          <w:u w:val="single"/>
        </w:rPr>
      </w:pPr>
    </w:p>
    <w:p w:rsidR="007A287B" w:rsidRPr="00C258AD" w:rsidRDefault="007A287B" w:rsidP="007A287B">
      <w:pPr>
        <w:keepNext/>
        <w:widowControl w:val="0"/>
        <w:rPr>
          <w:rFonts w:cs="Arial"/>
          <w:u w:val="single"/>
        </w:rPr>
      </w:pPr>
    </w:p>
    <w:p w:rsidR="007A287B" w:rsidRPr="00C258AD" w:rsidRDefault="007A287B" w:rsidP="007A287B">
      <w:pPr>
        <w:keepNext/>
        <w:jc w:val="center"/>
        <w:rPr>
          <w:rFonts w:cs="Arial"/>
          <w:b/>
          <w:sz w:val="16"/>
          <w:szCs w:val="16"/>
        </w:rPr>
      </w:pPr>
      <w:r w:rsidRPr="00C258AD">
        <w:rPr>
          <w:rFonts w:cs="Arial"/>
          <w:b/>
          <w:sz w:val="16"/>
          <w:szCs w:val="16"/>
        </w:rPr>
        <w:t>Tableau 1 : Résumé par programme pour 2014</w:t>
      </w:r>
      <w:r w:rsidRPr="00C258AD">
        <w:rPr>
          <w:rFonts w:cs="Arial"/>
          <w:b/>
          <w:sz w:val="16"/>
          <w:szCs w:val="16"/>
        </w:rPr>
        <w:noBreakHyphen/>
        <w:t>2015</w:t>
      </w:r>
    </w:p>
    <w:p w:rsidR="007A287B" w:rsidRPr="00C258AD" w:rsidRDefault="007A287B" w:rsidP="007A287B">
      <w:pPr>
        <w:keepNext/>
        <w:jc w:val="center"/>
        <w:rPr>
          <w:rFonts w:cs="Arial"/>
          <w:i/>
          <w:sz w:val="16"/>
          <w:szCs w:val="16"/>
        </w:rPr>
      </w:pPr>
      <w:r w:rsidRPr="00C258AD">
        <w:rPr>
          <w:rFonts w:cs="Arial"/>
          <w:i/>
          <w:sz w:val="16"/>
          <w:szCs w:val="16"/>
        </w:rPr>
        <w:t>(</w:t>
      </w:r>
      <w:proofErr w:type="gramStart"/>
      <w:r w:rsidRPr="00C258AD">
        <w:rPr>
          <w:rFonts w:cs="Arial"/>
          <w:i/>
          <w:sz w:val="16"/>
          <w:szCs w:val="16"/>
        </w:rPr>
        <w:t>en</w:t>
      </w:r>
      <w:proofErr w:type="gramEnd"/>
      <w:r w:rsidRPr="00C258AD">
        <w:rPr>
          <w:rFonts w:cs="Arial"/>
          <w:i/>
          <w:sz w:val="16"/>
          <w:szCs w:val="16"/>
        </w:rPr>
        <w:t xml:space="preserve"> milliers de francs suisses)</w:t>
      </w:r>
    </w:p>
    <w:p w:rsidR="007A287B" w:rsidRPr="00C258AD" w:rsidRDefault="007A287B" w:rsidP="007A287B">
      <w:pPr>
        <w:keepNext/>
        <w:jc w:val="center"/>
        <w:rPr>
          <w:rFonts w:cs="Arial"/>
          <w:i/>
          <w:sz w:val="18"/>
          <w:szCs w:val="18"/>
        </w:rPr>
      </w:pPr>
    </w:p>
    <w:p w:rsidR="007A287B" w:rsidRPr="00C258AD" w:rsidRDefault="007A287B" w:rsidP="007A287B">
      <w:pPr>
        <w:jc w:val="center"/>
      </w:pPr>
      <w:r w:rsidRPr="00C258AD">
        <w:rPr>
          <w:noProof/>
          <w:lang w:val="en-US"/>
        </w:rPr>
        <w:drawing>
          <wp:inline distT="0" distB="0" distL="0" distR="0" wp14:anchorId="5E308108" wp14:editId="05D2EFE5">
            <wp:extent cx="5940425" cy="5957126"/>
            <wp:effectExtent l="0" t="0" r="3175" b="571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0425" cy="5957126"/>
                    </a:xfrm>
                    <a:prstGeom prst="rect">
                      <a:avLst/>
                    </a:prstGeom>
                    <a:noFill/>
                    <a:ln>
                      <a:noFill/>
                    </a:ln>
                  </pic:spPr>
                </pic:pic>
              </a:graphicData>
            </a:graphic>
          </wp:inline>
        </w:drawing>
      </w:r>
    </w:p>
    <w:p w:rsidR="007A287B" w:rsidRPr="00C258AD" w:rsidRDefault="007A287B" w:rsidP="007A287B">
      <w:pPr>
        <w:rPr>
          <w:rFonts w:cs="Arial"/>
          <w:b/>
          <w:sz w:val="18"/>
          <w:szCs w:val="18"/>
        </w:rPr>
      </w:pPr>
    </w:p>
    <w:p w:rsidR="007A287B" w:rsidRPr="00C258AD" w:rsidRDefault="007A287B" w:rsidP="007A287B"/>
    <w:p w:rsidR="007A287B" w:rsidRPr="00C258AD" w:rsidRDefault="007A287B" w:rsidP="007A287B"/>
    <w:p w:rsidR="007A287B" w:rsidRPr="00C258AD" w:rsidRDefault="007A287B" w:rsidP="007A287B">
      <w:pPr>
        <w:jc w:val="center"/>
        <w:rPr>
          <w:rFonts w:cs="Arial"/>
          <w:b/>
          <w:sz w:val="18"/>
          <w:szCs w:val="18"/>
        </w:rPr>
      </w:pPr>
      <w:r w:rsidRPr="00C258AD">
        <w:rPr>
          <w:rFonts w:cs="Arial"/>
          <w:b/>
          <w:sz w:val="18"/>
          <w:szCs w:val="18"/>
        </w:rPr>
        <w:br w:type="page"/>
      </w:r>
    </w:p>
    <w:p w:rsidR="007A287B" w:rsidRPr="00C258AD" w:rsidRDefault="007A287B" w:rsidP="007A287B">
      <w:pPr>
        <w:jc w:val="center"/>
        <w:rPr>
          <w:rFonts w:cs="Arial"/>
          <w:b/>
          <w:sz w:val="18"/>
          <w:szCs w:val="16"/>
        </w:rPr>
      </w:pPr>
      <w:r w:rsidRPr="00C258AD">
        <w:rPr>
          <w:rFonts w:cs="Arial"/>
          <w:b/>
          <w:sz w:val="18"/>
          <w:szCs w:val="16"/>
        </w:rPr>
        <w:lastRenderedPageBreak/>
        <w:t>Tableau 2 : Résumé par résultat escompté pour 2014</w:t>
      </w:r>
      <w:r w:rsidRPr="00C258AD">
        <w:rPr>
          <w:rFonts w:cs="Arial"/>
          <w:b/>
          <w:sz w:val="18"/>
          <w:szCs w:val="16"/>
        </w:rPr>
        <w:noBreakHyphen/>
        <w:t>2015</w:t>
      </w:r>
    </w:p>
    <w:p w:rsidR="007A287B" w:rsidRPr="00C258AD" w:rsidRDefault="007A287B" w:rsidP="007A287B">
      <w:pPr>
        <w:jc w:val="center"/>
        <w:rPr>
          <w:rFonts w:cs="Arial"/>
          <w:i/>
          <w:sz w:val="18"/>
          <w:szCs w:val="16"/>
        </w:rPr>
      </w:pPr>
      <w:r w:rsidRPr="00C258AD">
        <w:rPr>
          <w:rFonts w:cs="Arial"/>
          <w:i/>
          <w:sz w:val="18"/>
          <w:szCs w:val="16"/>
        </w:rPr>
        <w:t>(</w:t>
      </w:r>
      <w:proofErr w:type="gramStart"/>
      <w:r w:rsidRPr="00C258AD">
        <w:rPr>
          <w:rFonts w:cs="Arial"/>
          <w:i/>
          <w:sz w:val="18"/>
          <w:szCs w:val="16"/>
        </w:rPr>
        <w:t>en</w:t>
      </w:r>
      <w:proofErr w:type="gramEnd"/>
      <w:r w:rsidRPr="00C258AD">
        <w:rPr>
          <w:rFonts w:cs="Arial"/>
          <w:i/>
          <w:sz w:val="18"/>
          <w:szCs w:val="16"/>
        </w:rPr>
        <w:t xml:space="preserve"> milliers de francs suisses)</w:t>
      </w:r>
    </w:p>
    <w:p w:rsidR="007A287B" w:rsidRPr="00C258AD" w:rsidRDefault="007A287B" w:rsidP="007A287B">
      <w:pPr>
        <w:jc w:val="center"/>
        <w:rPr>
          <w:rFonts w:cs="Arial"/>
          <w:i/>
          <w:sz w:val="16"/>
          <w:szCs w:val="16"/>
        </w:rPr>
      </w:pPr>
    </w:p>
    <w:tbl>
      <w:tblPr>
        <w:tblW w:w="5000" w:type="pct"/>
        <w:tblInd w:w="55" w:type="dxa"/>
        <w:tblBorders>
          <w:top w:val="single" w:sz="4" w:space="0" w:color="auto"/>
          <w:left w:val="single" w:sz="4" w:space="0" w:color="auto"/>
          <w:bottom w:val="single" w:sz="4" w:space="0" w:color="auto"/>
          <w:right w:val="single" w:sz="4" w:space="0" w:color="auto"/>
        </w:tblBorders>
        <w:tblCellMar>
          <w:top w:w="113" w:type="dxa"/>
          <w:left w:w="70" w:type="dxa"/>
          <w:bottom w:w="113" w:type="dxa"/>
          <w:right w:w="70" w:type="dxa"/>
        </w:tblCellMar>
        <w:tblLook w:val="04A0" w:firstRow="1" w:lastRow="0" w:firstColumn="1" w:lastColumn="0" w:noHBand="0" w:noVBand="1"/>
      </w:tblPr>
      <w:tblGrid>
        <w:gridCol w:w="600"/>
        <w:gridCol w:w="4290"/>
        <w:gridCol w:w="1535"/>
        <w:gridCol w:w="1535"/>
        <w:gridCol w:w="1535"/>
      </w:tblGrid>
      <w:tr w:rsidR="007A287B" w:rsidRPr="00C258AD" w:rsidTr="00927E1F">
        <w:trPr>
          <w:cantSplit/>
          <w:tblHeader/>
        </w:trPr>
        <w:tc>
          <w:tcPr>
            <w:tcW w:w="4840" w:type="dxa"/>
            <w:gridSpan w:val="2"/>
            <w:tcBorders>
              <w:top w:val="single" w:sz="4" w:space="0" w:color="auto"/>
              <w:bottom w:val="single" w:sz="4" w:space="0" w:color="auto"/>
              <w:right w:val="single" w:sz="4" w:space="0" w:color="auto"/>
            </w:tcBorders>
            <w:shd w:val="clear" w:color="000000" w:fill="C5D9F1"/>
            <w:noWrap/>
            <w:hideMark/>
          </w:tcPr>
          <w:p w:rsidR="007A287B" w:rsidRPr="00C258AD" w:rsidRDefault="007A287B" w:rsidP="00927E1F">
            <w:pPr>
              <w:jc w:val="center"/>
              <w:rPr>
                <w:rFonts w:cs="Arial"/>
                <w:i/>
                <w:iCs/>
                <w:sz w:val="16"/>
                <w:szCs w:val="16"/>
                <w:lang w:eastAsia="fr-FR"/>
              </w:rPr>
            </w:pPr>
            <w:r w:rsidRPr="00C258AD">
              <w:rPr>
                <w:rFonts w:cs="Arial"/>
                <w:i/>
                <w:iCs/>
                <w:sz w:val="16"/>
                <w:szCs w:val="16"/>
                <w:lang w:eastAsia="fr-FR"/>
              </w:rPr>
              <w:t xml:space="preserve">Numéro et description du résultat escompté </w:t>
            </w:r>
          </w:p>
        </w:tc>
        <w:tc>
          <w:tcPr>
            <w:tcW w:w="152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7A287B" w:rsidRPr="00C258AD" w:rsidRDefault="007A287B" w:rsidP="00927E1F">
            <w:pPr>
              <w:jc w:val="center"/>
              <w:rPr>
                <w:rFonts w:cs="Arial"/>
                <w:i/>
                <w:iCs/>
                <w:sz w:val="16"/>
                <w:szCs w:val="16"/>
                <w:lang w:eastAsia="fr-FR"/>
              </w:rPr>
            </w:pPr>
            <w:r w:rsidRPr="00C258AD">
              <w:rPr>
                <w:rFonts w:cs="Arial"/>
                <w:i/>
                <w:iCs/>
                <w:sz w:val="16"/>
                <w:szCs w:val="16"/>
                <w:lang w:eastAsia="fr-FR"/>
              </w:rPr>
              <w:t>Budget</w:t>
            </w:r>
            <w:r w:rsidRPr="00C258AD">
              <w:rPr>
                <w:rFonts w:cs="Arial"/>
                <w:i/>
                <w:iCs/>
                <w:sz w:val="16"/>
                <w:szCs w:val="16"/>
                <w:lang w:eastAsia="fr-FR"/>
              </w:rPr>
              <w:br/>
              <w:t>2014</w:t>
            </w:r>
            <w:r w:rsidRPr="00C258AD">
              <w:rPr>
                <w:rFonts w:cs="Arial"/>
                <w:i/>
                <w:iCs/>
                <w:sz w:val="16"/>
                <w:szCs w:val="16"/>
                <w:lang w:eastAsia="fr-FR"/>
              </w:rPr>
              <w:noBreakHyphen/>
              <w:t>2015</w:t>
            </w:r>
            <w:r w:rsidRPr="00C258AD">
              <w:rPr>
                <w:rFonts w:cs="Arial"/>
                <w:i/>
                <w:iCs/>
                <w:sz w:val="16"/>
                <w:szCs w:val="16"/>
                <w:lang w:eastAsia="fr-FR"/>
              </w:rPr>
              <w:br/>
              <w:t>approuvé</w:t>
            </w:r>
          </w:p>
        </w:tc>
        <w:tc>
          <w:tcPr>
            <w:tcW w:w="1520" w:type="dxa"/>
            <w:tcBorders>
              <w:top w:val="single" w:sz="4" w:space="0" w:color="auto"/>
              <w:left w:val="single" w:sz="4" w:space="0" w:color="auto"/>
              <w:bottom w:val="single" w:sz="4" w:space="0" w:color="auto"/>
              <w:right w:val="single" w:sz="4" w:space="0" w:color="auto"/>
            </w:tcBorders>
            <w:shd w:val="clear" w:color="000000" w:fill="C5D9F1"/>
            <w:vAlign w:val="center"/>
            <w:hideMark/>
          </w:tcPr>
          <w:p w:rsidR="007A287B" w:rsidRPr="00C258AD" w:rsidRDefault="007A287B" w:rsidP="00927E1F">
            <w:pPr>
              <w:jc w:val="center"/>
              <w:rPr>
                <w:rFonts w:cs="Arial"/>
                <w:i/>
                <w:iCs/>
                <w:sz w:val="16"/>
                <w:szCs w:val="16"/>
                <w:lang w:eastAsia="fr-FR"/>
              </w:rPr>
            </w:pPr>
            <w:r w:rsidRPr="00C258AD">
              <w:rPr>
                <w:rFonts w:cs="Arial"/>
                <w:i/>
                <w:iCs/>
                <w:sz w:val="16"/>
                <w:szCs w:val="16"/>
                <w:lang w:eastAsia="fr-FR"/>
              </w:rPr>
              <w:t>Budget final</w:t>
            </w:r>
            <w:r w:rsidRPr="00C258AD">
              <w:rPr>
                <w:rFonts w:cs="Arial"/>
                <w:i/>
                <w:iCs/>
                <w:sz w:val="16"/>
                <w:szCs w:val="16"/>
                <w:lang w:eastAsia="fr-FR"/>
              </w:rPr>
              <w:br/>
              <w:t>2014</w:t>
            </w:r>
            <w:r w:rsidRPr="00C258AD">
              <w:rPr>
                <w:rFonts w:cs="Arial"/>
                <w:i/>
                <w:iCs/>
                <w:sz w:val="16"/>
                <w:szCs w:val="16"/>
                <w:lang w:eastAsia="fr-FR"/>
              </w:rPr>
              <w:noBreakHyphen/>
              <w:t xml:space="preserve">2015 </w:t>
            </w:r>
            <w:r w:rsidRPr="00C258AD">
              <w:rPr>
                <w:rFonts w:cs="Arial"/>
                <w:i/>
                <w:iCs/>
                <w:sz w:val="16"/>
                <w:szCs w:val="16"/>
                <w:lang w:eastAsia="fr-FR"/>
              </w:rPr>
              <w:br/>
              <w:t>après virements</w:t>
            </w:r>
          </w:p>
        </w:tc>
        <w:tc>
          <w:tcPr>
            <w:tcW w:w="1520" w:type="dxa"/>
            <w:tcBorders>
              <w:top w:val="single" w:sz="4" w:space="0" w:color="auto"/>
              <w:left w:val="single" w:sz="4" w:space="0" w:color="auto"/>
              <w:bottom w:val="single" w:sz="4" w:space="0" w:color="auto"/>
            </w:tcBorders>
            <w:shd w:val="clear" w:color="000000" w:fill="C5D9F1"/>
            <w:vAlign w:val="center"/>
            <w:hideMark/>
          </w:tcPr>
          <w:p w:rsidR="007A287B" w:rsidRPr="00C258AD" w:rsidRDefault="007A287B" w:rsidP="00927E1F">
            <w:pPr>
              <w:jc w:val="center"/>
              <w:rPr>
                <w:rFonts w:cs="Arial"/>
                <w:i/>
                <w:iCs/>
                <w:sz w:val="16"/>
                <w:szCs w:val="16"/>
                <w:lang w:eastAsia="fr-FR"/>
              </w:rPr>
            </w:pPr>
            <w:r w:rsidRPr="00C258AD">
              <w:rPr>
                <w:rFonts w:cs="Arial"/>
                <w:i/>
                <w:iCs/>
                <w:sz w:val="16"/>
                <w:szCs w:val="16"/>
                <w:lang w:eastAsia="fr-FR"/>
              </w:rPr>
              <w:t>Dépenses</w:t>
            </w:r>
            <w:r w:rsidRPr="00C258AD">
              <w:rPr>
                <w:rFonts w:cs="Arial"/>
                <w:i/>
                <w:iCs/>
                <w:sz w:val="16"/>
                <w:szCs w:val="16"/>
                <w:lang w:eastAsia="fr-FR"/>
              </w:rPr>
              <w:br/>
              <w:t>2014</w:t>
            </w:r>
            <w:r w:rsidRPr="00C258AD">
              <w:rPr>
                <w:rFonts w:cs="Arial"/>
                <w:i/>
                <w:iCs/>
                <w:sz w:val="16"/>
                <w:szCs w:val="16"/>
                <w:lang w:eastAsia="fr-FR"/>
              </w:rPr>
              <w:noBreakHyphen/>
              <w:t>2015</w:t>
            </w:r>
          </w:p>
        </w:tc>
      </w:tr>
      <w:tr w:rsidR="007A287B" w:rsidRPr="00C258AD" w:rsidTr="00927E1F">
        <w:trPr>
          <w:cantSplit/>
        </w:trPr>
        <w:tc>
          <w:tcPr>
            <w:tcW w:w="593" w:type="dxa"/>
            <w:tcBorders>
              <w:top w:val="single" w:sz="4" w:space="0" w:color="auto"/>
            </w:tcBorders>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I.1</w:t>
            </w:r>
          </w:p>
        </w:tc>
        <w:tc>
          <w:tcPr>
            <w:tcW w:w="4247" w:type="dxa"/>
            <w:tcBorders>
              <w:top w:val="single" w:sz="4" w:space="0" w:color="auto"/>
            </w:tcBorders>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Renforcement de la coopération entre les États membres en ce qui concerne l’élaboration de cadres normatifs internationaux équilibrés dans le domaine de la propriété intellectuelle et d’un accord sur des questions concrètes donnant lieu à des instruments internationaux</w:t>
            </w:r>
          </w:p>
        </w:tc>
        <w:tc>
          <w:tcPr>
            <w:tcW w:w="1520" w:type="dxa"/>
            <w:tcBorders>
              <w:top w:val="single" w:sz="4" w:space="0" w:color="auto"/>
            </w:tcBorders>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15 734 </w:t>
            </w:r>
          </w:p>
        </w:tc>
        <w:tc>
          <w:tcPr>
            <w:tcW w:w="1520" w:type="dxa"/>
            <w:tcBorders>
              <w:top w:val="single" w:sz="4" w:space="0" w:color="auto"/>
            </w:tcBorders>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12 498 </w:t>
            </w:r>
          </w:p>
        </w:tc>
        <w:tc>
          <w:tcPr>
            <w:tcW w:w="1520" w:type="dxa"/>
            <w:tcBorders>
              <w:top w:val="single" w:sz="4" w:space="0" w:color="auto"/>
            </w:tcBorders>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11 624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I.2</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Cadres législatifs, réglementaires et politiques de propriété intellectuelle adaptés et équilibrés</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7 899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12 038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10 949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I.3</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Protection renforcée des emblèmes d’États et des noms et emblèmes d’organisations internationales intergouvernementales</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439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763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750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II.1</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Utilisation accrue de la voie PCT pour le dépôt des demandes internationales de brevet</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24 062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22 412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20 597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II.2</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Amélioration du système du PCT</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3 106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3 862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4 004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II.3</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Amélioration de la productivité et de la qualité de service des opérations du PCT</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172 856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171 056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163 181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II.4</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Utilisation élargie et améliorée du système de La Haye, notamment par les pays en développement et les PMA</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5 953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5 844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5 364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II.5</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Amélioration de la productivité et de la qualité de service des opérations de La Haye</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2 351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2 400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2 399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II.6</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Utilisation élargie et améliorée des systèmes de Madrid et de Lisbonne, notamment par les pays en développement et les PMA</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15 658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18 220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17 244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II.7</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Amélioration de la productivité et de la qualité de service des opérations des systèmes de Madrid et de Lisbonne</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40 932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40 885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39 925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II.8</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De plus en plus de litiges internationaux ou nationaux de propriété intellectuelle sont évités ou réglés par la médiation, l’arbitrage et les autres modes extrajudiciaires de règlement des litiges de l’OMPI</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3 557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4 163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3 646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II.9</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 xml:space="preserve">Protection efficace de la propriété intellectuelle dans les </w:t>
            </w:r>
            <w:proofErr w:type="spellStart"/>
            <w:r w:rsidRPr="00C258AD">
              <w:rPr>
                <w:rFonts w:cs="Arial"/>
                <w:sz w:val="16"/>
                <w:szCs w:val="16"/>
                <w:lang w:eastAsia="fr-FR"/>
              </w:rPr>
              <w:t>gTLD</w:t>
            </w:r>
            <w:proofErr w:type="spellEnd"/>
            <w:r w:rsidRPr="00C258AD">
              <w:rPr>
                <w:rFonts w:cs="Arial"/>
                <w:sz w:val="16"/>
                <w:szCs w:val="16"/>
                <w:lang w:eastAsia="fr-FR"/>
              </w:rPr>
              <w:t xml:space="preserve"> et les </w:t>
            </w:r>
            <w:proofErr w:type="spellStart"/>
            <w:r w:rsidRPr="00C258AD">
              <w:rPr>
                <w:rFonts w:cs="Arial"/>
                <w:sz w:val="16"/>
                <w:szCs w:val="16"/>
                <w:lang w:eastAsia="fr-FR"/>
              </w:rPr>
              <w:t>ccTLD</w:t>
            </w:r>
            <w:proofErr w:type="spellEnd"/>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7 889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7 531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6 928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III.1</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Stratégies et plans nationaux en matière d’innovation et de propriété intellectuelle conformes aux objectifs de développement nationaux</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13 616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10 522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9 486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III.2</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Mise en valeur des ressources humaines pour répondre aux diverses exigences en matière d’utilisation efficace de la propriété intellectuelle au service du développement dans les pays en développement, les PMA et les pays en transition</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36 956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32 734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31 459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III.3</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Intégration des recommandations du Plan d’action pour le développement dans les travaux de l’OMPI</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4 199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3 381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2 972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III.4</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Mécanismes et programmes de coopération renforcés, adaptés aux besoins des pays en développement et des PMA</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5 398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5 144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5 055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III.5</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Meilleure connaissance du Plan d’action pour le développement de la part des États membres, des organisations intergouvernementales, de la société civile et d’autres parties prenantes</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509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450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408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lastRenderedPageBreak/>
              <w:t>III.6</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Renforcement des capacités des PME s’agissant de mettre la propriété intellectuelle au service de l’innovation</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4 419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4 066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4 065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IV.1</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Système actualisé et mondialement accepté des classifications internationales et des normes de l’OMPI pour faciliter l’accès des parties prenantes du monde entier à l’information en matière de propriété intellectuelle, ainsi que son utilisation et sa diffusion</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7 317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7 298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7 507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IV.2</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Amélioration de l’accessibilité et de l’utilisation de l’information en matière de propriété intellectuelle par les institutions compétentes et le public afin de promouvoir l’innovation et la créativité</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18 046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21 217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20 748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IV.3</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Élargissement de la portée géographique du contenu et de l’utilisation des bases de données mondiales de l’OMPI en matière de propriété intellectuelle</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2 810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1 296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1 080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IV.4</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Amélioration de l’infrastructure technique et du savoir pour les offices de propriété intellectuelle et les autres institutions de propriété intellectuelle, leur permettant de fournir à leurs parties prenantes des services améliorés (moins chers, plus rapides, de meilleure qualité)</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17 284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18 037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17 557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V.1</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Utilisation élargie et améliorée de l’information statistique de l’OMPI relative à la propriété intellectuelle</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2 141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2 209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2 109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V.2</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Utilisation élargie et améliorée des analyses économiques de l’OMPI aux fins de l’élaboration des politiques</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4 261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3 918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3 800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VI.1</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Progrès du dialogue international de politique générale entre les États membres de l’OMPI en ce qui concerne la promotion du respect de la propriété intellectuelle, compte tenu de la recommandation n° 45 du Plan d’action pour le développement</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429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1 119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1 054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VI.2</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Coopération et coordination systématiques, efficaces et transparentes entre les travaux de l’OMPI et ceux d’autres organisations internationales dans le domaine de la promotion du respect de la propriété intellectuelle</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1 124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732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695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VII.2</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Des plateformes et instruments fondés sur la propriété intellectuelle sont utilisés pour le transfert de connaissances et l’adaptation et la diffusion de la technologie entre les pays développés et les pays en développement, notamment les PMA, pour relever des défis mondiaux</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4 401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3 503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3 348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VII.3</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Crédibilité croissante de l’OMPI en tant qu’instance d’analyse des questions relatives à la propriété intellectuelle et à la politique en matière de concurrence</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2 032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1 959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1 754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VIII.1</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Communication plus efficace avec le grand public concernant la propriété intellectuelle et le rôle de l’OMPI</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12 882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12 923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12 335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VIII.2</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Amélioration de l’orientation vers les services et de la réactivité à la demande</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5 536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5 805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5 590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VIII.3</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Engagement réel auprès des États membres</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6 747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8 100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7 273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VIII.4</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Échanges ouverts, transparents et dynamiques avec les parties prenantes non gouvernementales</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1 771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1 317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1 388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VIII.5</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L’OMPI collabore efficacement avec d’autres processus et instances de négociation de l’ONU et d’autres organisations intergouvernementales</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5 949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9 112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8 176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lastRenderedPageBreak/>
              <w:t>IX.1</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Services d’appui efficaces, efficients, de qualité et tournés vers la clientèle, à l’intention à la fois des clients internes et des parties prenantes externes</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150 797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156 682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151 129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IX.2</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Un Secrétariat réactif, fonctionnant harmonieusement et doté de ressources humaines bien gérées et compétentes, à même d’obtenir des résultats concrets</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36 603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33 654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32 204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IX.3</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Un environnement de travail stimulant étayé par un cadre réglementaire efficace et des voies appropriées pour répondre aux préoccupations du personnel</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2 971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2 238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1 837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IX.4</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Une Organisation écologiquement et socialement responsable assurant la sûreté et la sécurité du personnel, des délégués, des visiteurs, de l’information et des biens</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13 992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16 607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15 866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IX.8</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Renforcement de l’obligation redditionnelle, de l’apprentissage institutionnel, de l’optimisation des ressources financières, de l’administration, du contrôle interne et de la gestion institutionnelle avec le concours d’une supervision indépendante efficace</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6 641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7 594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7 092 </w:t>
            </w:r>
          </w:p>
        </w:tc>
      </w:tr>
      <w:tr w:rsidR="007A287B" w:rsidRPr="00C258AD" w:rsidTr="00927E1F">
        <w:trPr>
          <w:cantSplit/>
        </w:trPr>
        <w:tc>
          <w:tcPr>
            <w:tcW w:w="593" w:type="dxa"/>
            <w:tcBorders>
              <w:bottom w:val="single" w:sz="4" w:space="0" w:color="auto"/>
            </w:tcBorders>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 </w:t>
            </w:r>
          </w:p>
        </w:tc>
        <w:tc>
          <w:tcPr>
            <w:tcW w:w="4247" w:type="dxa"/>
            <w:tcBorders>
              <w:bottom w:val="single" w:sz="4" w:space="0" w:color="auto"/>
            </w:tcBorders>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 xml:space="preserve">Non affecté </w:t>
            </w:r>
          </w:p>
        </w:tc>
        <w:tc>
          <w:tcPr>
            <w:tcW w:w="1520" w:type="dxa"/>
            <w:tcBorders>
              <w:bottom w:val="single" w:sz="4" w:space="0" w:color="auto"/>
            </w:tcBorders>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4 727 </w:t>
            </w:r>
          </w:p>
        </w:tc>
        <w:tc>
          <w:tcPr>
            <w:tcW w:w="1520" w:type="dxa"/>
            <w:tcBorders>
              <w:bottom w:val="single" w:sz="4" w:space="0" w:color="auto"/>
            </w:tcBorders>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701 </w:t>
            </w:r>
          </w:p>
        </w:tc>
        <w:tc>
          <w:tcPr>
            <w:tcW w:w="1520" w:type="dxa"/>
            <w:tcBorders>
              <w:bottom w:val="single" w:sz="4" w:space="0" w:color="auto"/>
            </w:tcBorders>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r>
      <w:tr w:rsidR="007A287B" w:rsidRPr="00C258AD" w:rsidTr="00927E1F">
        <w:trPr>
          <w:cantSplit/>
        </w:trPr>
        <w:tc>
          <w:tcPr>
            <w:tcW w:w="593" w:type="dxa"/>
            <w:tcBorders>
              <w:top w:val="single" w:sz="4" w:space="0" w:color="auto"/>
              <w:left w:val="single" w:sz="4" w:space="0" w:color="auto"/>
              <w:bottom w:val="single" w:sz="4" w:space="0" w:color="auto"/>
              <w:right w:val="nil"/>
            </w:tcBorders>
            <w:shd w:val="clear" w:color="000000" w:fill="C5D9F1"/>
            <w:noWrap/>
            <w:hideMark/>
          </w:tcPr>
          <w:p w:rsidR="007A287B" w:rsidRPr="00C258AD" w:rsidRDefault="007A287B" w:rsidP="00927E1F">
            <w:pPr>
              <w:rPr>
                <w:rFonts w:cs="Arial"/>
                <w:sz w:val="16"/>
                <w:szCs w:val="16"/>
                <w:lang w:eastAsia="fr-FR"/>
              </w:rPr>
            </w:pPr>
            <w:r w:rsidRPr="00C258AD">
              <w:rPr>
                <w:rFonts w:cs="Arial"/>
                <w:sz w:val="16"/>
                <w:szCs w:val="16"/>
                <w:lang w:eastAsia="fr-FR"/>
              </w:rPr>
              <w:t> </w:t>
            </w:r>
          </w:p>
        </w:tc>
        <w:tc>
          <w:tcPr>
            <w:tcW w:w="4247" w:type="dxa"/>
            <w:tcBorders>
              <w:top w:val="single" w:sz="4" w:space="0" w:color="auto"/>
              <w:left w:val="nil"/>
              <w:bottom w:val="single" w:sz="4" w:space="0" w:color="auto"/>
              <w:right w:val="single" w:sz="4" w:space="0" w:color="auto"/>
            </w:tcBorders>
            <w:shd w:val="clear" w:color="000000" w:fill="C5D9F1"/>
            <w:hideMark/>
          </w:tcPr>
          <w:p w:rsidR="007A287B" w:rsidRPr="00C258AD" w:rsidRDefault="007A287B" w:rsidP="00927E1F">
            <w:pPr>
              <w:rPr>
                <w:rFonts w:cs="Arial"/>
                <w:sz w:val="16"/>
                <w:szCs w:val="16"/>
                <w:lang w:eastAsia="fr-FR"/>
              </w:rPr>
            </w:pPr>
            <w:r w:rsidRPr="00C258AD">
              <w:rPr>
                <w:rFonts w:cs="Arial"/>
                <w:sz w:val="16"/>
                <w:szCs w:val="16"/>
                <w:lang w:eastAsia="fr-FR"/>
              </w:rPr>
              <w:t> </w:t>
            </w:r>
          </w:p>
        </w:tc>
        <w:tc>
          <w:tcPr>
            <w:tcW w:w="1520" w:type="dxa"/>
            <w:tcBorders>
              <w:top w:val="single" w:sz="4" w:space="0" w:color="auto"/>
              <w:left w:val="single" w:sz="4" w:space="0" w:color="auto"/>
              <w:bottom w:val="single" w:sz="4" w:space="0" w:color="auto"/>
              <w:right w:val="single" w:sz="4" w:space="0" w:color="auto"/>
            </w:tcBorders>
            <w:shd w:val="clear" w:color="000000" w:fill="C5D9F1"/>
            <w:noWrap/>
            <w:hideMark/>
          </w:tcPr>
          <w:p w:rsidR="007A287B" w:rsidRPr="00C258AD" w:rsidRDefault="007A287B" w:rsidP="00927E1F">
            <w:pPr>
              <w:jc w:val="right"/>
              <w:rPr>
                <w:rFonts w:cs="Arial"/>
                <w:b/>
                <w:bCs/>
                <w:sz w:val="16"/>
                <w:szCs w:val="16"/>
                <w:lang w:eastAsia="fr-FR"/>
              </w:rPr>
            </w:pPr>
            <w:r w:rsidRPr="00C258AD">
              <w:rPr>
                <w:rFonts w:cs="Arial"/>
                <w:b/>
                <w:bCs/>
                <w:sz w:val="16"/>
                <w:szCs w:val="16"/>
                <w:lang w:eastAsia="fr-FR"/>
              </w:rPr>
              <w:t xml:space="preserve">673 993 </w:t>
            </w:r>
          </w:p>
        </w:tc>
        <w:tc>
          <w:tcPr>
            <w:tcW w:w="1520" w:type="dxa"/>
            <w:tcBorders>
              <w:top w:val="single" w:sz="4" w:space="0" w:color="auto"/>
              <w:left w:val="single" w:sz="4" w:space="0" w:color="auto"/>
              <w:bottom w:val="single" w:sz="4" w:space="0" w:color="auto"/>
              <w:right w:val="single" w:sz="4" w:space="0" w:color="auto"/>
            </w:tcBorders>
            <w:shd w:val="clear" w:color="000000" w:fill="C5D9F1"/>
            <w:noWrap/>
            <w:hideMark/>
          </w:tcPr>
          <w:p w:rsidR="007A287B" w:rsidRPr="00C258AD" w:rsidRDefault="007A287B" w:rsidP="00927E1F">
            <w:pPr>
              <w:jc w:val="right"/>
              <w:rPr>
                <w:rFonts w:cs="Arial"/>
                <w:b/>
                <w:bCs/>
                <w:sz w:val="16"/>
                <w:szCs w:val="16"/>
                <w:lang w:eastAsia="fr-FR"/>
              </w:rPr>
            </w:pPr>
            <w:r w:rsidRPr="00C258AD">
              <w:rPr>
                <w:rFonts w:cs="Arial"/>
                <w:b/>
                <w:bCs/>
                <w:sz w:val="16"/>
                <w:szCs w:val="16"/>
                <w:lang w:eastAsia="fr-FR"/>
              </w:rPr>
              <w:t xml:space="preserve">673 993 </w:t>
            </w:r>
          </w:p>
        </w:tc>
        <w:tc>
          <w:tcPr>
            <w:tcW w:w="1520" w:type="dxa"/>
            <w:tcBorders>
              <w:top w:val="single" w:sz="4" w:space="0" w:color="auto"/>
              <w:left w:val="single" w:sz="4" w:space="0" w:color="auto"/>
              <w:bottom w:val="single" w:sz="4" w:space="0" w:color="auto"/>
            </w:tcBorders>
            <w:shd w:val="clear" w:color="000000" w:fill="C5D9F1"/>
            <w:noWrap/>
            <w:hideMark/>
          </w:tcPr>
          <w:p w:rsidR="007A287B" w:rsidRPr="00C258AD" w:rsidRDefault="007A287B" w:rsidP="00927E1F">
            <w:pPr>
              <w:jc w:val="right"/>
              <w:rPr>
                <w:rFonts w:cs="Arial"/>
                <w:b/>
                <w:bCs/>
                <w:sz w:val="16"/>
                <w:szCs w:val="16"/>
                <w:lang w:eastAsia="fr-FR"/>
              </w:rPr>
            </w:pPr>
            <w:r w:rsidRPr="00C258AD">
              <w:rPr>
                <w:rFonts w:cs="Arial"/>
                <w:b/>
                <w:bCs/>
                <w:sz w:val="16"/>
                <w:szCs w:val="16"/>
                <w:lang w:eastAsia="fr-FR"/>
              </w:rPr>
              <w:t xml:space="preserve">642 597 </w:t>
            </w:r>
          </w:p>
        </w:tc>
      </w:tr>
    </w:tbl>
    <w:p w:rsidR="007A287B" w:rsidRPr="00C258AD" w:rsidRDefault="007A287B" w:rsidP="007A287B">
      <w:pPr>
        <w:jc w:val="center"/>
        <w:rPr>
          <w:rFonts w:cs="Arial"/>
          <w:i/>
          <w:sz w:val="18"/>
          <w:szCs w:val="18"/>
        </w:rPr>
      </w:pPr>
    </w:p>
    <w:p w:rsidR="007A287B" w:rsidRPr="00C258AD" w:rsidRDefault="007A287B" w:rsidP="007A287B">
      <w:pPr>
        <w:jc w:val="center"/>
        <w:rPr>
          <w:rFonts w:cs="Arial"/>
          <w:i/>
          <w:sz w:val="18"/>
          <w:szCs w:val="18"/>
        </w:rPr>
      </w:pPr>
      <w:r w:rsidRPr="00C258AD">
        <w:rPr>
          <w:rFonts w:cs="Arial"/>
          <w:i/>
          <w:sz w:val="18"/>
          <w:szCs w:val="18"/>
        </w:rPr>
        <w:br w:type="page"/>
      </w:r>
    </w:p>
    <w:p w:rsidR="007A287B" w:rsidRPr="00C258AD" w:rsidRDefault="007A287B" w:rsidP="00153B24">
      <w:pPr>
        <w:pStyle w:val="Heading1"/>
        <w:tabs>
          <w:tab w:val="left" w:pos="709"/>
        </w:tabs>
        <w:spacing w:before="0"/>
        <w:ind w:left="142" w:hanging="142"/>
        <w:jc w:val="left"/>
        <w:rPr>
          <w:lang w:val="fr-FR"/>
        </w:rPr>
      </w:pPr>
      <w:bookmarkStart w:id="12" w:name="_Toc392610023"/>
      <w:bookmarkStart w:id="13" w:name="_Toc454544458"/>
      <w:bookmarkStart w:id="14" w:name="_Toc454891215"/>
      <w:bookmarkStart w:id="15" w:name="_Toc455394173"/>
      <w:r w:rsidRPr="00C258AD">
        <w:rPr>
          <w:lang w:val="fr-FR"/>
        </w:rPr>
        <w:lastRenderedPageBreak/>
        <w:t>RAPPORT SUR LES DÉPENSES de DÉVELOPPEMENT en 2014</w:t>
      </w:r>
      <w:r w:rsidRPr="00C258AD">
        <w:rPr>
          <w:lang w:val="fr-FR"/>
        </w:rPr>
        <w:noBreakHyphen/>
        <w:t>2015</w:t>
      </w:r>
      <w:bookmarkEnd w:id="12"/>
      <w:bookmarkEnd w:id="13"/>
      <w:bookmarkEnd w:id="14"/>
      <w:bookmarkEnd w:id="15"/>
    </w:p>
    <w:p w:rsidR="007A287B" w:rsidRPr="00C258AD" w:rsidRDefault="007A287B" w:rsidP="007A287B">
      <w:pPr>
        <w:jc w:val="both"/>
      </w:pPr>
    </w:p>
    <w:p w:rsidR="007A287B" w:rsidRPr="00C258AD" w:rsidRDefault="007A287B" w:rsidP="007A287B">
      <w:pPr>
        <w:jc w:val="both"/>
      </w:pPr>
    </w:p>
    <w:p w:rsidR="007A287B" w:rsidRPr="00C258AD" w:rsidRDefault="007A287B" w:rsidP="007A287B">
      <w:pPr>
        <w:pStyle w:val="ONUME"/>
        <w:numPr>
          <w:ilvl w:val="0"/>
          <w:numId w:val="60"/>
        </w:numPr>
        <w:jc w:val="both"/>
      </w:pPr>
      <w:r w:rsidRPr="00C258AD">
        <w:rPr>
          <w:rFonts w:eastAsia="MS Mincho"/>
          <w:lang w:eastAsia="ja-JP" w:bidi="th-TH"/>
        </w:rPr>
        <w:t>Le programme et budget pour 2014</w:t>
      </w:r>
      <w:r w:rsidRPr="00C258AD">
        <w:rPr>
          <w:rFonts w:eastAsia="MS Mincho"/>
          <w:lang w:eastAsia="ja-JP" w:bidi="th-TH"/>
        </w:rPr>
        <w:noBreakHyphen/>
        <w:t>2015 (tableau 6) propose une estimation des dépenses de développement pour cet exercice biennal par programme (tableau 6 du programme et budget 2014</w:t>
      </w:r>
      <w:r w:rsidRPr="00C258AD">
        <w:rPr>
          <w:rFonts w:eastAsia="MS Mincho"/>
          <w:lang w:eastAsia="ja-JP" w:bidi="th-TH"/>
        </w:rPr>
        <w:noBreakHyphen/>
        <w:t>2015) et par résultat escompté (tableau du cadre de résultats, page 14 (version anglaise) dans le programme et budget 2014</w:t>
      </w:r>
      <w:r w:rsidRPr="00C258AD">
        <w:rPr>
          <w:rFonts w:eastAsia="MS Mincho"/>
          <w:lang w:eastAsia="ja-JP" w:bidi="th-TH"/>
        </w:rPr>
        <w:noBreakHyphen/>
        <w:t>2015).  Pour 2014</w:t>
      </w:r>
      <w:r w:rsidRPr="00C258AD">
        <w:rPr>
          <w:rFonts w:eastAsia="MS Mincho"/>
          <w:lang w:eastAsia="ja-JP" w:bidi="th-TH"/>
        </w:rPr>
        <w:noBreakHyphen/>
        <w:t>2015, ces ressources sont qualifiées de dépenses de développement uniquement lorsque le bénéficiaire est un pays en développement et que des ressources équivalentes ne sont pas prévues pour des pays développés.  Les montants indiqués ne tiennent pas compte des réductions de taxes accordées aux déposants de pays en développement</w:t>
      </w:r>
      <w:r w:rsidRPr="00C258AD">
        <w:rPr>
          <w:rStyle w:val="FootnoteReference"/>
          <w:rFonts w:eastAsia="MS Mincho"/>
          <w:lang w:eastAsia="ja-JP" w:bidi="th-TH"/>
        </w:rPr>
        <w:footnoteReference w:id="8"/>
      </w:r>
      <w:r w:rsidRPr="00C258AD">
        <w:rPr>
          <w:rFonts w:eastAsia="MS Mincho"/>
          <w:lang w:eastAsia="ja-JP" w:bidi="th-TH"/>
        </w:rPr>
        <w:t xml:space="preserve"> dans le cadre des systèmes d’enregistrement international.  Le présent rapport fournit un aperçu des dépenses réelles de développement au cours de l’exercice biennal 2014</w:t>
      </w:r>
      <w:r w:rsidRPr="00C258AD">
        <w:rPr>
          <w:rFonts w:eastAsia="MS Mincho"/>
          <w:lang w:eastAsia="ja-JP" w:bidi="th-TH"/>
        </w:rPr>
        <w:noBreakHyphen/>
        <w:t>2015.</w:t>
      </w:r>
    </w:p>
    <w:p w:rsidR="007A287B" w:rsidRPr="00C258AD" w:rsidRDefault="007A287B" w:rsidP="007A287B">
      <w:pPr>
        <w:pStyle w:val="ONUME"/>
        <w:numPr>
          <w:ilvl w:val="0"/>
          <w:numId w:val="60"/>
        </w:numPr>
        <w:jc w:val="both"/>
      </w:pPr>
      <w:r w:rsidRPr="00C258AD">
        <w:t>Il convient de rappeler qu’une estimation détaillée des dépenses de développement a été introduite pour la première fois dans le programme et le budget révisés de l’exercice 2008</w:t>
      </w:r>
      <w:r w:rsidRPr="00C258AD">
        <w:noBreakHyphen/>
        <w:t>2009.  La méthodologie élaborée pour 2010</w:t>
      </w:r>
      <w:r w:rsidRPr="00C258AD">
        <w:noBreakHyphen/>
        <w:t>2011 était, comme pour l’exercice 2008</w:t>
      </w:r>
      <w:r w:rsidRPr="00C258AD">
        <w:noBreakHyphen/>
        <w:t>2009, basée sur des estimations élevées au titre du programme.  En 2012</w:t>
      </w:r>
      <w:r w:rsidRPr="00C258AD">
        <w:noBreakHyphen/>
        <w:t>2013, la méthode a été considérablement améliorée au moyen d’une stratégie ascendante détaillée par niveau d’activité.  Cette démarche révisée</w:t>
      </w:r>
      <w:r w:rsidRPr="00C258AD">
        <w:rPr>
          <w:rFonts w:cs="Arial"/>
        </w:rPr>
        <w:t xml:space="preserve">, complétée par la mise au point de mécanismes de suivi des dépenses de développement via la procédure ERP, a permis </w:t>
      </w:r>
      <w:r w:rsidRPr="00C258AD">
        <w:t>de rendre compte de manière plus fine des dépenses de développement.  La méthode utilisée pour estimer la part consacrée au développement dans le budget 2014</w:t>
      </w:r>
      <w:r w:rsidRPr="00C258AD">
        <w:noBreakHyphen/>
        <w:t>2015 suit parfaitement la méthode adoptée en 2012</w:t>
      </w:r>
      <w:r w:rsidRPr="00C258AD">
        <w:noBreakHyphen/>
        <w:t>2013.  Ce mécanisme a été encore amélioré pour l’exercice 2014</w:t>
      </w:r>
      <w:r w:rsidRPr="00C258AD">
        <w:noBreakHyphen/>
        <w:t>2015 avec la mise en place d’une méthode plus précise pour l’affectation de ressources en personnel par niveau d’activité.  Les dépenses estimées de développement en 2014</w:t>
      </w:r>
      <w:r w:rsidRPr="00C258AD">
        <w:noBreakHyphen/>
        <w:t>2015, par programme, ont donc été établies par application de la définition des ressources consacrées au développement susmentionnée aux activités de programme en étroite concertation avec les chefs de programme.</w:t>
      </w:r>
    </w:p>
    <w:p w:rsidR="007A287B" w:rsidRPr="00C258AD" w:rsidRDefault="007A287B" w:rsidP="007A287B">
      <w:pPr>
        <w:pStyle w:val="ONUME"/>
        <w:numPr>
          <w:ilvl w:val="0"/>
          <w:numId w:val="60"/>
        </w:numPr>
        <w:jc w:val="both"/>
      </w:pPr>
      <w:r w:rsidRPr="00C258AD">
        <w:t>Les tableaux 3 et 4 ci</w:t>
      </w:r>
      <w:r w:rsidRPr="00C258AD">
        <w:noBreakHyphen/>
        <w:t>dessous donnent un aperçu des dépenses de développement estimées par programme et par résultat escompté, sur la base du budget final après virements et des dépenses réelles en 2014</w:t>
      </w:r>
      <w:r w:rsidRPr="00C258AD">
        <w:noBreakHyphen/>
        <w:t xml:space="preserve">2015.  Pour de plus amples informations sur les résultats obtenus liés au développement et sur l’utilisation du budget au cours de l’exercice biennal, </w:t>
      </w:r>
      <w:proofErr w:type="spellStart"/>
      <w:r w:rsidRPr="00C258AD">
        <w:t>veuillez vous</w:t>
      </w:r>
      <w:proofErr w:type="spellEnd"/>
      <w:r w:rsidRPr="00C258AD">
        <w:t xml:space="preserve"> référer aux évaluations individuelles de l’exécution des programmes figurant dans le présent rapport.</w:t>
      </w:r>
    </w:p>
    <w:p w:rsidR="007A287B" w:rsidRPr="00C258AD" w:rsidRDefault="007A287B" w:rsidP="007A287B">
      <w:pPr>
        <w:pStyle w:val="ONUME"/>
        <w:numPr>
          <w:ilvl w:val="0"/>
          <w:numId w:val="60"/>
        </w:numPr>
        <w:jc w:val="both"/>
      </w:pPr>
      <w:r w:rsidRPr="00C258AD">
        <w:t>Les explications des différences entre le budget approuvé, le budget final après virements et les dépenses réelles de l’exercice biennal 2014</w:t>
      </w:r>
      <w:r w:rsidRPr="00C258AD">
        <w:noBreakHyphen/>
        <w:t>2015 figurent dans les commentaires sur l’utilisation des ressources réelles sous chaque programme.</w:t>
      </w:r>
    </w:p>
    <w:p w:rsidR="007A287B" w:rsidRPr="00C258AD" w:rsidRDefault="007A287B" w:rsidP="007A287B">
      <w:pPr>
        <w:keepNext/>
        <w:jc w:val="center"/>
        <w:rPr>
          <w:rFonts w:cs="Arial"/>
          <w:b/>
          <w:sz w:val="18"/>
          <w:szCs w:val="18"/>
        </w:rPr>
      </w:pPr>
      <w:r w:rsidRPr="00C258AD">
        <w:rPr>
          <w:rFonts w:cs="Arial"/>
          <w:b/>
          <w:sz w:val="18"/>
          <w:szCs w:val="18"/>
        </w:rPr>
        <w:lastRenderedPageBreak/>
        <w:t>Tableau 3 : Dépenses de développement par programme en 2014</w:t>
      </w:r>
      <w:r w:rsidRPr="00C258AD">
        <w:rPr>
          <w:rFonts w:cs="Arial"/>
          <w:b/>
          <w:sz w:val="18"/>
          <w:szCs w:val="18"/>
        </w:rPr>
        <w:noBreakHyphen/>
        <w:t>2015</w:t>
      </w:r>
    </w:p>
    <w:p w:rsidR="007A287B" w:rsidRPr="00C258AD" w:rsidRDefault="007A287B" w:rsidP="007A287B">
      <w:pPr>
        <w:keepNext/>
        <w:jc w:val="center"/>
        <w:rPr>
          <w:rFonts w:cs="Arial"/>
          <w:i/>
          <w:sz w:val="18"/>
          <w:szCs w:val="18"/>
        </w:rPr>
      </w:pPr>
      <w:r w:rsidRPr="00C258AD">
        <w:rPr>
          <w:rFonts w:cs="Arial"/>
          <w:i/>
          <w:sz w:val="18"/>
          <w:szCs w:val="18"/>
        </w:rPr>
        <w:t>(</w:t>
      </w:r>
      <w:proofErr w:type="gramStart"/>
      <w:r w:rsidRPr="00C258AD">
        <w:rPr>
          <w:rFonts w:cs="Arial"/>
          <w:i/>
          <w:sz w:val="18"/>
          <w:szCs w:val="18"/>
        </w:rPr>
        <w:t>en</w:t>
      </w:r>
      <w:proofErr w:type="gramEnd"/>
      <w:r w:rsidRPr="00C258AD">
        <w:rPr>
          <w:rFonts w:cs="Arial"/>
          <w:i/>
          <w:sz w:val="18"/>
          <w:szCs w:val="18"/>
        </w:rPr>
        <w:t xml:space="preserve"> milliers de francs suisses)</w:t>
      </w:r>
    </w:p>
    <w:p w:rsidR="007A287B" w:rsidRPr="00C258AD" w:rsidRDefault="007A287B" w:rsidP="007A287B">
      <w:pPr>
        <w:keepNext/>
      </w:pPr>
    </w:p>
    <w:p w:rsidR="007A287B" w:rsidRPr="00C258AD" w:rsidRDefault="007A287B" w:rsidP="007A287B">
      <w:pPr>
        <w:rPr>
          <w:rFonts w:cs="Arial"/>
          <w:b/>
          <w:sz w:val="18"/>
          <w:szCs w:val="18"/>
        </w:rPr>
      </w:pPr>
      <w:r w:rsidRPr="00C258AD">
        <w:rPr>
          <w:noProof/>
          <w:lang w:val="en-US"/>
        </w:rPr>
        <w:drawing>
          <wp:inline distT="0" distB="0" distL="0" distR="0" wp14:anchorId="0849CB75" wp14:editId="120F01E0">
            <wp:extent cx="5940425" cy="3444722"/>
            <wp:effectExtent l="0" t="0" r="3175" b="3810"/>
            <wp:docPr id="900" name="Picture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40425" cy="3444722"/>
                    </a:xfrm>
                    <a:prstGeom prst="rect">
                      <a:avLst/>
                    </a:prstGeom>
                    <a:noFill/>
                    <a:ln>
                      <a:noFill/>
                    </a:ln>
                  </pic:spPr>
                </pic:pic>
              </a:graphicData>
            </a:graphic>
          </wp:inline>
        </w:drawing>
      </w:r>
    </w:p>
    <w:p w:rsidR="007A287B" w:rsidRPr="00C258AD" w:rsidRDefault="007A287B" w:rsidP="007A287B">
      <w:pPr>
        <w:rPr>
          <w:rFonts w:cs="Arial"/>
          <w:b/>
          <w:sz w:val="18"/>
          <w:szCs w:val="18"/>
        </w:rPr>
      </w:pPr>
    </w:p>
    <w:p w:rsidR="007A287B" w:rsidRPr="00C258AD" w:rsidRDefault="007A287B" w:rsidP="007A287B"/>
    <w:p w:rsidR="007A287B" w:rsidRPr="00C258AD" w:rsidRDefault="007A287B" w:rsidP="007A287B">
      <w:pPr>
        <w:keepNext/>
        <w:keepLines/>
        <w:jc w:val="center"/>
        <w:rPr>
          <w:rFonts w:cs="Arial"/>
          <w:b/>
          <w:sz w:val="18"/>
          <w:szCs w:val="18"/>
        </w:rPr>
      </w:pPr>
      <w:r w:rsidRPr="00C258AD">
        <w:rPr>
          <w:rFonts w:cs="Arial"/>
          <w:b/>
          <w:sz w:val="18"/>
          <w:szCs w:val="18"/>
        </w:rPr>
        <w:t>Tableau 4 : Dépenses de développement par résultat escompté en 2014</w:t>
      </w:r>
      <w:r w:rsidRPr="00C258AD">
        <w:rPr>
          <w:rFonts w:cs="Arial"/>
          <w:b/>
          <w:sz w:val="18"/>
          <w:szCs w:val="18"/>
        </w:rPr>
        <w:noBreakHyphen/>
        <w:t>2015*</w:t>
      </w:r>
    </w:p>
    <w:p w:rsidR="007A287B" w:rsidRPr="00C258AD" w:rsidRDefault="007A287B" w:rsidP="007A287B">
      <w:pPr>
        <w:keepNext/>
        <w:keepLines/>
        <w:jc w:val="center"/>
        <w:rPr>
          <w:rFonts w:cs="Arial"/>
          <w:i/>
          <w:sz w:val="18"/>
          <w:szCs w:val="18"/>
        </w:rPr>
      </w:pPr>
      <w:r w:rsidRPr="00C258AD">
        <w:rPr>
          <w:rFonts w:cs="Arial"/>
          <w:i/>
          <w:sz w:val="18"/>
          <w:szCs w:val="18"/>
        </w:rPr>
        <w:t>(</w:t>
      </w:r>
      <w:proofErr w:type="gramStart"/>
      <w:r w:rsidRPr="00C258AD">
        <w:rPr>
          <w:rFonts w:cs="Arial"/>
          <w:i/>
          <w:sz w:val="18"/>
          <w:szCs w:val="18"/>
        </w:rPr>
        <w:t>en</w:t>
      </w:r>
      <w:proofErr w:type="gramEnd"/>
      <w:r w:rsidRPr="00C258AD">
        <w:rPr>
          <w:rFonts w:cs="Arial"/>
          <w:i/>
          <w:sz w:val="18"/>
          <w:szCs w:val="18"/>
        </w:rPr>
        <w:t xml:space="preserve"> milliers de francs suisses)</w:t>
      </w:r>
    </w:p>
    <w:p w:rsidR="007A287B" w:rsidRPr="00C258AD" w:rsidRDefault="007A287B" w:rsidP="007A287B">
      <w:pPr>
        <w:jc w:val="center"/>
      </w:pPr>
    </w:p>
    <w:tbl>
      <w:tblPr>
        <w:tblW w:w="5000" w:type="pct"/>
        <w:tblInd w:w="55" w:type="dxa"/>
        <w:tblBorders>
          <w:top w:val="single" w:sz="4" w:space="0" w:color="auto"/>
          <w:left w:val="single" w:sz="4" w:space="0" w:color="auto"/>
          <w:bottom w:val="single" w:sz="4" w:space="0" w:color="auto"/>
          <w:right w:val="single" w:sz="4" w:space="0" w:color="auto"/>
        </w:tblBorders>
        <w:tblCellMar>
          <w:top w:w="113" w:type="dxa"/>
          <w:left w:w="70" w:type="dxa"/>
          <w:bottom w:w="113" w:type="dxa"/>
          <w:right w:w="70" w:type="dxa"/>
        </w:tblCellMar>
        <w:tblLook w:val="04A0" w:firstRow="1" w:lastRow="0" w:firstColumn="1" w:lastColumn="0" w:noHBand="0" w:noVBand="1"/>
      </w:tblPr>
      <w:tblGrid>
        <w:gridCol w:w="600"/>
        <w:gridCol w:w="4290"/>
        <w:gridCol w:w="1535"/>
        <w:gridCol w:w="1535"/>
        <w:gridCol w:w="1535"/>
      </w:tblGrid>
      <w:tr w:rsidR="007A287B" w:rsidRPr="00C258AD" w:rsidTr="00927E1F">
        <w:trPr>
          <w:cantSplit/>
          <w:tblHeader/>
        </w:trPr>
        <w:tc>
          <w:tcPr>
            <w:tcW w:w="4840" w:type="dxa"/>
            <w:gridSpan w:val="2"/>
            <w:tcBorders>
              <w:top w:val="single" w:sz="4" w:space="0" w:color="auto"/>
              <w:bottom w:val="single" w:sz="4" w:space="0" w:color="auto"/>
            </w:tcBorders>
            <w:shd w:val="clear" w:color="000000" w:fill="C5D9F1"/>
            <w:noWrap/>
            <w:hideMark/>
          </w:tcPr>
          <w:p w:rsidR="007A287B" w:rsidRPr="00C258AD" w:rsidRDefault="007A287B" w:rsidP="00927E1F">
            <w:pPr>
              <w:jc w:val="center"/>
              <w:rPr>
                <w:rFonts w:cs="Arial"/>
                <w:i/>
                <w:iCs/>
                <w:sz w:val="16"/>
                <w:szCs w:val="16"/>
                <w:lang w:eastAsia="fr-FR"/>
              </w:rPr>
            </w:pPr>
            <w:r w:rsidRPr="00C258AD">
              <w:rPr>
                <w:rFonts w:cs="Arial"/>
                <w:i/>
                <w:iCs/>
                <w:sz w:val="16"/>
                <w:szCs w:val="16"/>
                <w:lang w:eastAsia="fr-FR"/>
              </w:rPr>
              <w:t>Numéro et description du résultat escompté</w:t>
            </w:r>
          </w:p>
        </w:tc>
        <w:tc>
          <w:tcPr>
            <w:tcW w:w="1520" w:type="dxa"/>
            <w:tcBorders>
              <w:top w:val="single" w:sz="4" w:space="0" w:color="auto"/>
              <w:bottom w:val="single" w:sz="4" w:space="0" w:color="auto"/>
            </w:tcBorders>
            <w:shd w:val="clear" w:color="auto" w:fill="C6D9F1" w:themeFill="text2" w:themeFillTint="33"/>
            <w:vAlign w:val="center"/>
            <w:hideMark/>
          </w:tcPr>
          <w:p w:rsidR="007A287B" w:rsidRPr="00C258AD" w:rsidRDefault="007A287B" w:rsidP="00927E1F">
            <w:pPr>
              <w:jc w:val="center"/>
              <w:rPr>
                <w:rFonts w:cs="Arial"/>
                <w:i/>
                <w:iCs/>
                <w:sz w:val="16"/>
                <w:szCs w:val="16"/>
                <w:lang w:eastAsia="fr-FR"/>
              </w:rPr>
            </w:pPr>
            <w:r w:rsidRPr="00C258AD">
              <w:rPr>
                <w:rFonts w:cs="Arial"/>
                <w:i/>
                <w:iCs/>
                <w:sz w:val="16"/>
                <w:szCs w:val="16"/>
                <w:lang w:eastAsia="fr-FR"/>
              </w:rPr>
              <w:t>Budget 2014</w:t>
            </w:r>
            <w:r w:rsidRPr="00C258AD">
              <w:rPr>
                <w:rFonts w:cs="Arial"/>
                <w:i/>
                <w:iCs/>
                <w:sz w:val="16"/>
                <w:szCs w:val="16"/>
                <w:lang w:eastAsia="fr-FR"/>
              </w:rPr>
              <w:noBreakHyphen/>
              <w:t xml:space="preserve">2015 approuvé pour les dépenses de développement </w:t>
            </w:r>
          </w:p>
        </w:tc>
        <w:tc>
          <w:tcPr>
            <w:tcW w:w="1520" w:type="dxa"/>
            <w:tcBorders>
              <w:top w:val="single" w:sz="4" w:space="0" w:color="auto"/>
              <w:bottom w:val="single" w:sz="4" w:space="0" w:color="auto"/>
            </w:tcBorders>
            <w:shd w:val="clear" w:color="auto" w:fill="C6D9F1" w:themeFill="text2" w:themeFillTint="33"/>
            <w:vAlign w:val="center"/>
            <w:hideMark/>
          </w:tcPr>
          <w:p w:rsidR="007A287B" w:rsidRPr="00C258AD" w:rsidRDefault="007A287B" w:rsidP="00927E1F">
            <w:pPr>
              <w:jc w:val="center"/>
              <w:rPr>
                <w:rFonts w:cs="Arial"/>
                <w:i/>
                <w:iCs/>
                <w:sz w:val="16"/>
                <w:szCs w:val="16"/>
                <w:lang w:eastAsia="fr-FR"/>
              </w:rPr>
            </w:pPr>
            <w:r w:rsidRPr="00C258AD">
              <w:rPr>
                <w:rFonts w:cs="Arial"/>
                <w:i/>
                <w:iCs/>
                <w:sz w:val="16"/>
                <w:szCs w:val="16"/>
                <w:lang w:eastAsia="fr-FR"/>
              </w:rPr>
              <w:t>Budget final 2014</w:t>
            </w:r>
            <w:r w:rsidRPr="00C258AD">
              <w:rPr>
                <w:rFonts w:cs="Arial"/>
                <w:i/>
                <w:iCs/>
                <w:sz w:val="16"/>
                <w:szCs w:val="16"/>
                <w:lang w:eastAsia="fr-FR"/>
              </w:rPr>
              <w:noBreakHyphen/>
              <w:t xml:space="preserve">2015 après virements pour les dépenses de développement </w:t>
            </w:r>
          </w:p>
        </w:tc>
        <w:tc>
          <w:tcPr>
            <w:tcW w:w="1520" w:type="dxa"/>
            <w:tcBorders>
              <w:top w:val="single" w:sz="4" w:space="0" w:color="auto"/>
              <w:bottom w:val="single" w:sz="4" w:space="0" w:color="auto"/>
            </w:tcBorders>
            <w:shd w:val="clear" w:color="auto" w:fill="C6D9F1" w:themeFill="text2" w:themeFillTint="33"/>
            <w:vAlign w:val="center"/>
            <w:hideMark/>
          </w:tcPr>
          <w:p w:rsidR="007A287B" w:rsidRPr="00C258AD" w:rsidRDefault="007A287B" w:rsidP="00927E1F">
            <w:pPr>
              <w:jc w:val="center"/>
              <w:rPr>
                <w:rFonts w:cs="Arial"/>
                <w:i/>
                <w:iCs/>
                <w:sz w:val="16"/>
                <w:szCs w:val="16"/>
                <w:lang w:eastAsia="fr-FR"/>
              </w:rPr>
            </w:pPr>
            <w:r w:rsidRPr="00C258AD">
              <w:rPr>
                <w:rFonts w:cs="Arial"/>
                <w:i/>
                <w:iCs/>
                <w:sz w:val="16"/>
                <w:szCs w:val="16"/>
                <w:lang w:eastAsia="fr-FR"/>
              </w:rPr>
              <w:t>Dépenses 2014</w:t>
            </w:r>
            <w:r w:rsidRPr="00C258AD">
              <w:rPr>
                <w:rFonts w:cs="Arial"/>
                <w:i/>
                <w:iCs/>
                <w:sz w:val="16"/>
                <w:szCs w:val="16"/>
                <w:lang w:eastAsia="fr-FR"/>
              </w:rPr>
              <w:noBreakHyphen/>
              <w:t>2015 au titre du développement</w:t>
            </w:r>
          </w:p>
        </w:tc>
      </w:tr>
      <w:tr w:rsidR="007A287B" w:rsidRPr="00C258AD" w:rsidTr="00927E1F">
        <w:trPr>
          <w:cantSplit/>
        </w:trPr>
        <w:tc>
          <w:tcPr>
            <w:tcW w:w="593" w:type="dxa"/>
            <w:tcBorders>
              <w:top w:val="single" w:sz="4" w:space="0" w:color="auto"/>
            </w:tcBorders>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I.1</w:t>
            </w:r>
          </w:p>
        </w:tc>
        <w:tc>
          <w:tcPr>
            <w:tcW w:w="4247" w:type="dxa"/>
            <w:tcBorders>
              <w:top w:val="single" w:sz="4" w:space="0" w:color="auto"/>
            </w:tcBorders>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Renforcement de la coopération entre les États membres en ce qui concerne l’élaboration de cadres normatifs internationaux équilibrés dans le domaine de la propriété intellectuelle et d’un accord sur des questions concrètes donnant lieu à des instruments internationaux</w:t>
            </w:r>
          </w:p>
        </w:tc>
        <w:tc>
          <w:tcPr>
            <w:tcW w:w="1520" w:type="dxa"/>
            <w:tcBorders>
              <w:top w:val="single" w:sz="4" w:space="0" w:color="auto"/>
            </w:tcBorders>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8 772 </w:t>
            </w:r>
          </w:p>
        </w:tc>
        <w:tc>
          <w:tcPr>
            <w:tcW w:w="1520" w:type="dxa"/>
            <w:tcBorders>
              <w:top w:val="single" w:sz="4" w:space="0" w:color="auto"/>
            </w:tcBorders>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7 740 </w:t>
            </w:r>
          </w:p>
        </w:tc>
        <w:tc>
          <w:tcPr>
            <w:tcW w:w="1520" w:type="dxa"/>
            <w:tcBorders>
              <w:top w:val="single" w:sz="4" w:space="0" w:color="auto"/>
            </w:tcBorders>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7 248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I.2</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Cadres législatifs, réglementaires et politiques de propriété intellectuelle adaptés et équilibrés</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7 899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11 884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10 829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I.3</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Protection renforcée des emblèmes d’États et des noms et emblèmes d’organisations internationales intergouvernementales</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II.1</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Utilisation accrue de la voie PCT pour le dépôt des demandes internationales de brevet</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5 022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6 379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5 476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II.2</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Amélioration du système du PCT</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206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296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304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II.3</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Amélioration de la productivité et de la qualité de service des opérations du PCT</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II.4</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Utilisation élargie et améliorée du système de La Haye, notamment par les pays en développement et les PMA</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354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252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234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II.5</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Amélioration de la productivité et de la qualité de service des opérations de La Haye</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lastRenderedPageBreak/>
              <w:t>II.6</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Utilisation élargie et améliorée des systèmes de Madrid et de Lisbonne, notamment par les pays en développement et les PMA</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6 549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6 415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6 031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II.7</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Amélioration de la productivité et de la qualité de service des opérations des systèmes de Madrid et de Lisbonne</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958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956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909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II.8</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De plus en plus de litiges internationaux ou nationaux de propriété intellectuelle sont évités ou réglés par la médiation, l’arbitrage et les autres modes extrajudiciaires de règlement des litiges de l’OMPI</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291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400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344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II.9</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 xml:space="preserve">Protection efficace de la propriété intellectuelle dans les </w:t>
            </w:r>
            <w:proofErr w:type="spellStart"/>
            <w:r w:rsidRPr="00C258AD">
              <w:rPr>
                <w:rFonts w:cs="Arial"/>
                <w:sz w:val="16"/>
                <w:szCs w:val="16"/>
                <w:lang w:eastAsia="fr-FR"/>
              </w:rPr>
              <w:t>gTLD</w:t>
            </w:r>
            <w:proofErr w:type="spellEnd"/>
            <w:r w:rsidRPr="00C258AD">
              <w:rPr>
                <w:rFonts w:cs="Arial"/>
                <w:sz w:val="16"/>
                <w:szCs w:val="16"/>
                <w:lang w:eastAsia="fr-FR"/>
              </w:rPr>
              <w:t xml:space="preserve"> et les </w:t>
            </w:r>
            <w:proofErr w:type="spellStart"/>
            <w:r w:rsidRPr="00C258AD">
              <w:rPr>
                <w:rFonts w:cs="Arial"/>
                <w:sz w:val="16"/>
                <w:szCs w:val="16"/>
                <w:lang w:eastAsia="fr-FR"/>
              </w:rPr>
              <w:t>ccTLD</w:t>
            </w:r>
            <w:proofErr w:type="spellEnd"/>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169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121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111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III.1</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Stratégies et plans nationaux en matière d’innovation et de propriété intellectuelle conformes aux objectifs de développement nationaux</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13 616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10 522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9 486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III.2</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Mise en valeur des ressources humaines pour répondre aux diverses exigences en matière d’utilisation efficace de la propriété intellectuelle au service du développement dans les pays en développement, les PMA et les pays en transition</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36 716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32 579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31 312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III.3</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Intégration des recommandations du Plan d’action pour le développement dans les travaux de l’OMPI</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4 199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3 381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2 972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III.4</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Mécanismes et programmes de coopération renforcés, adaptés aux besoins des pays en développement et des PMA</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5 398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5 144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5 055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III.5</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Meilleure connaissance du Plan d’action pour le développement de la part des États membres, des organisations intergouvernementales, de la société civile et d’autres parties prenantes</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509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450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408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III.6</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Renforcement des capacités des PME s’agissant de mettre la propriété intellectuelle au service de l’innovation</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4 231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4 066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4 065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IV.1</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Système actualisé et mondialement accepté des classifications internationales et des normes de l’OMPI pour faciliter l’accès des parties prenantes du monde entier à l’information en matière de propriété intellectuelle, ainsi que son utilisation et sa diffusion</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1 181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1 480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1 381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IV.2</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Amélioration de l’accessibilité et de l’utilisation de l’information en matière de propriété intellectuelle par les institutions compétentes et le public afin de promouvoir l’innovation et la créativité</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14 991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16 168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15 741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IV.3</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Élargissement de la portée géographique du contenu et de l’utilisation des bases de données mondiales de l’OMPI en matière de propriété intellectuelle</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702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324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270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IV.4</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Amélioration de l’infrastructure technique et du savoir pour les offices de propriété intellectuelle et les autres institutions de propriété intellectuelle, leur permettant de fournir à leurs parties prenantes des services améliorés (moins chers, plus rapides, de meilleure qualité)</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14 704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15 387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15 277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V.1</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Utilisation élargie et améliorée de l’information statistique de l’OMPI relative à la propriété intellectuelle</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V.2</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Utilisation élargie et améliorée des analyses économiques de l’OMPI aux fins de l’élaboration des politiques</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2 270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1 944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1 679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lastRenderedPageBreak/>
              <w:t>VI.1</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Progrès du dialogue international de politique générale entre les États membres de l’OMPI en ce qui concerne la promotion du respect de la propriété intellectuelle, compte tenu de la recommandation n° 45 du Plan d’action pour le développement</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305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637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585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VI.2</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Coopération et coordination systématiques, efficaces et transparentes entre les travaux de l’OMPI et ceux d’autres organisations internationales dans le domaine de la promotion du respect de la propriété intellectuelle</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843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382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348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VII.2</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Des plateformes et instruments fondés sur la propriété intellectuelle sont utilisés pour le transfert de connaissances et l’adaptation et la diffusion de la technologie entre les pays développés et les pays en développement, notamment les PMA, pour relever des défis mondiaux</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3 081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2 528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2 400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VII.3</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Crédibilité croissante de l’OMPI en tant qu’instance d’analyse des questions relatives à la propriété intellectuelle et à la politique en matière de concurrence</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2 032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1 959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1 754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VIII.1</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Communication plus efficace avec le grand public concernant la propriété intellectuelle et le rôle de l’OMPI</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4 963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3 940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3 557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VIII.2</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Amélioration de l’orientation vers les services et de la réactivité à la demande</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2 024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2 675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2 551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VIII.3</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Engagement réel auprès des États membres</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VIII.4</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Échanges ouverts, transparents et dynamiques avec les parties prenantes non gouvernementales</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VIII.5</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L’OMPI collabore efficacement avec d’autres processus et instances de négociation de l’ONU et d’autres organisations intergouvernementales</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2 778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3 571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3 240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IX.1</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Services d’appui efficaces, efficients, de qualité et tournés vers la clientèle, à l’intention à la fois des clients internes et des parties prenantes externes</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IX.2</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Un Secrétariat réactif, fonctionnant harmonieusement et doté de ressources humaines bien gérées et compétentes, à même d’obtenir des résultats concrets</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IX.3</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Un environnement de travail stimulant étayé par un cadre réglementaire efficace et des voies appropriées pour répondre aux préoccupations du personnel</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r>
      <w:tr w:rsidR="007A287B" w:rsidRPr="00C258AD" w:rsidTr="00927E1F">
        <w:trPr>
          <w:cantSplit/>
        </w:trPr>
        <w:tc>
          <w:tcPr>
            <w:tcW w:w="593" w:type="dxa"/>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IX.4</w:t>
            </w:r>
          </w:p>
        </w:tc>
        <w:tc>
          <w:tcPr>
            <w:tcW w:w="4247" w:type="dxa"/>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Une Organisation écologiquement et socialement responsable assurant la sûreté et la sécurité du personnel, des délégués, des visiteurs, de l’information et des biens</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c>
          <w:tcPr>
            <w:tcW w:w="1520" w:type="dxa"/>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 </w:t>
            </w:r>
          </w:p>
        </w:tc>
      </w:tr>
      <w:tr w:rsidR="007A287B" w:rsidRPr="00C258AD" w:rsidTr="00927E1F">
        <w:trPr>
          <w:cantSplit/>
        </w:trPr>
        <w:tc>
          <w:tcPr>
            <w:tcW w:w="593" w:type="dxa"/>
            <w:tcBorders>
              <w:bottom w:val="single" w:sz="4" w:space="0" w:color="auto"/>
            </w:tcBorders>
            <w:shd w:val="clear" w:color="auto" w:fill="auto"/>
            <w:noWrap/>
            <w:hideMark/>
          </w:tcPr>
          <w:p w:rsidR="007A287B" w:rsidRPr="00C258AD" w:rsidRDefault="007A287B" w:rsidP="00927E1F">
            <w:pPr>
              <w:rPr>
                <w:rFonts w:cs="Arial"/>
                <w:sz w:val="16"/>
                <w:szCs w:val="16"/>
                <w:lang w:eastAsia="fr-FR"/>
              </w:rPr>
            </w:pPr>
            <w:r w:rsidRPr="00C258AD">
              <w:rPr>
                <w:rFonts w:cs="Arial"/>
                <w:sz w:val="16"/>
                <w:szCs w:val="16"/>
                <w:lang w:eastAsia="fr-FR"/>
              </w:rPr>
              <w:t>IX.8</w:t>
            </w:r>
          </w:p>
        </w:tc>
        <w:tc>
          <w:tcPr>
            <w:tcW w:w="4247" w:type="dxa"/>
            <w:tcBorders>
              <w:bottom w:val="single" w:sz="4" w:space="0" w:color="auto"/>
            </w:tcBorders>
            <w:shd w:val="clear" w:color="auto" w:fill="auto"/>
            <w:hideMark/>
          </w:tcPr>
          <w:p w:rsidR="007A287B" w:rsidRPr="00C258AD" w:rsidRDefault="007A287B" w:rsidP="00927E1F">
            <w:pPr>
              <w:rPr>
                <w:rFonts w:cs="Arial"/>
                <w:sz w:val="16"/>
                <w:szCs w:val="16"/>
                <w:lang w:eastAsia="fr-FR"/>
              </w:rPr>
            </w:pPr>
            <w:r w:rsidRPr="00C258AD">
              <w:rPr>
                <w:rFonts w:cs="Arial"/>
                <w:sz w:val="16"/>
                <w:szCs w:val="16"/>
                <w:lang w:eastAsia="fr-FR"/>
              </w:rPr>
              <w:t>Renforcement de l’obligation redditionnelle, de l’apprentissage institutionnel, de l’optimisation des ressources financières, de l’administration, du contrôle interne et de la gestion institutionnelle avec le concours d’une supervision indépendante efficace</w:t>
            </w:r>
          </w:p>
        </w:tc>
        <w:tc>
          <w:tcPr>
            <w:tcW w:w="1520" w:type="dxa"/>
            <w:tcBorders>
              <w:bottom w:val="single" w:sz="4" w:space="0" w:color="auto"/>
            </w:tcBorders>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937 </w:t>
            </w:r>
          </w:p>
        </w:tc>
        <w:tc>
          <w:tcPr>
            <w:tcW w:w="1520" w:type="dxa"/>
            <w:tcBorders>
              <w:bottom w:val="single" w:sz="4" w:space="0" w:color="auto"/>
            </w:tcBorders>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525 </w:t>
            </w:r>
          </w:p>
        </w:tc>
        <w:tc>
          <w:tcPr>
            <w:tcW w:w="1520" w:type="dxa"/>
            <w:tcBorders>
              <w:bottom w:val="single" w:sz="4" w:space="0" w:color="auto"/>
            </w:tcBorders>
            <w:shd w:val="clear" w:color="auto" w:fill="auto"/>
            <w:hideMark/>
          </w:tcPr>
          <w:p w:rsidR="007A287B" w:rsidRPr="00C258AD" w:rsidRDefault="007A287B" w:rsidP="00927E1F">
            <w:pPr>
              <w:jc w:val="right"/>
              <w:rPr>
                <w:rFonts w:cs="Arial"/>
                <w:sz w:val="16"/>
                <w:szCs w:val="16"/>
                <w:lang w:eastAsia="fr-FR"/>
              </w:rPr>
            </w:pPr>
            <w:r w:rsidRPr="00C258AD">
              <w:rPr>
                <w:rFonts w:cs="Arial"/>
                <w:sz w:val="16"/>
                <w:szCs w:val="16"/>
                <w:lang w:eastAsia="fr-FR"/>
              </w:rPr>
              <w:t xml:space="preserve"> 458 </w:t>
            </w:r>
          </w:p>
        </w:tc>
      </w:tr>
      <w:tr w:rsidR="007A287B" w:rsidRPr="00C258AD" w:rsidTr="00927E1F">
        <w:trPr>
          <w:cantSplit/>
        </w:trPr>
        <w:tc>
          <w:tcPr>
            <w:tcW w:w="593" w:type="dxa"/>
            <w:tcBorders>
              <w:top w:val="single" w:sz="4" w:space="0" w:color="auto"/>
              <w:bottom w:val="single" w:sz="4" w:space="0" w:color="auto"/>
              <w:right w:val="nil"/>
            </w:tcBorders>
            <w:shd w:val="clear" w:color="000000" w:fill="C5D9F1"/>
            <w:noWrap/>
            <w:hideMark/>
          </w:tcPr>
          <w:p w:rsidR="007A287B" w:rsidRPr="00C258AD" w:rsidRDefault="007A287B" w:rsidP="00927E1F">
            <w:pPr>
              <w:rPr>
                <w:rFonts w:cs="Arial"/>
                <w:sz w:val="16"/>
                <w:szCs w:val="16"/>
                <w:lang w:eastAsia="fr-FR"/>
              </w:rPr>
            </w:pPr>
            <w:r w:rsidRPr="00C258AD">
              <w:rPr>
                <w:rFonts w:cs="Arial"/>
                <w:sz w:val="16"/>
                <w:szCs w:val="16"/>
                <w:lang w:eastAsia="fr-FR"/>
              </w:rPr>
              <w:t> </w:t>
            </w:r>
          </w:p>
        </w:tc>
        <w:tc>
          <w:tcPr>
            <w:tcW w:w="4247" w:type="dxa"/>
            <w:tcBorders>
              <w:top w:val="single" w:sz="4" w:space="0" w:color="auto"/>
              <w:left w:val="nil"/>
              <w:bottom w:val="single" w:sz="4" w:space="0" w:color="auto"/>
              <w:right w:val="single" w:sz="4" w:space="0" w:color="auto"/>
            </w:tcBorders>
            <w:shd w:val="clear" w:color="000000" w:fill="C5D9F1"/>
            <w:hideMark/>
          </w:tcPr>
          <w:p w:rsidR="007A287B" w:rsidRPr="00C258AD" w:rsidRDefault="007A287B" w:rsidP="00927E1F">
            <w:pPr>
              <w:rPr>
                <w:rFonts w:cs="Arial"/>
                <w:sz w:val="16"/>
                <w:szCs w:val="16"/>
                <w:lang w:eastAsia="fr-FR"/>
              </w:rPr>
            </w:pPr>
            <w:r w:rsidRPr="00C258AD">
              <w:rPr>
                <w:rFonts w:cs="Arial"/>
                <w:sz w:val="16"/>
                <w:szCs w:val="16"/>
                <w:lang w:eastAsia="fr-FR"/>
              </w:rPr>
              <w:t> </w:t>
            </w:r>
          </w:p>
        </w:tc>
        <w:tc>
          <w:tcPr>
            <w:tcW w:w="1520" w:type="dxa"/>
            <w:tcBorders>
              <w:top w:val="single" w:sz="4" w:space="0" w:color="auto"/>
              <w:left w:val="single" w:sz="4" w:space="0" w:color="auto"/>
              <w:bottom w:val="single" w:sz="4" w:space="0" w:color="auto"/>
              <w:right w:val="single" w:sz="4" w:space="0" w:color="auto"/>
            </w:tcBorders>
            <w:shd w:val="clear" w:color="000000" w:fill="C5D9F1"/>
            <w:noWrap/>
            <w:hideMark/>
          </w:tcPr>
          <w:p w:rsidR="007A287B" w:rsidRPr="00C258AD" w:rsidRDefault="007A287B" w:rsidP="00927E1F">
            <w:pPr>
              <w:jc w:val="right"/>
              <w:rPr>
                <w:rFonts w:cs="Arial"/>
                <w:b/>
                <w:bCs/>
                <w:sz w:val="16"/>
                <w:szCs w:val="16"/>
                <w:lang w:eastAsia="fr-FR"/>
              </w:rPr>
            </w:pPr>
            <w:r w:rsidRPr="00C258AD">
              <w:rPr>
                <w:rFonts w:cs="Arial"/>
                <w:b/>
                <w:bCs/>
                <w:sz w:val="16"/>
                <w:szCs w:val="16"/>
                <w:lang w:eastAsia="fr-FR"/>
              </w:rPr>
              <w:t xml:space="preserve">145 699 </w:t>
            </w:r>
          </w:p>
        </w:tc>
        <w:tc>
          <w:tcPr>
            <w:tcW w:w="1520" w:type="dxa"/>
            <w:tcBorders>
              <w:top w:val="single" w:sz="4" w:space="0" w:color="auto"/>
              <w:left w:val="single" w:sz="4" w:space="0" w:color="auto"/>
              <w:bottom w:val="single" w:sz="4" w:space="0" w:color="auto"/>
              <w:right w:val="single" w:sz="4" w:space="0" w:color="auto"/>
            </w:tcBorders>
            <w:shd w:val="clear" w:color="000000" w:fill="C5D9F1"/>
            <w:noWrap/>
            <w:hideMark/>
          </w:tcPr>
          <w:p w:rsidR="007A287B" w:rsidRPr="00C258AD" w:rsidRDefault="007A287B" w:rsidP="00927E1F">
            <w:pPr>
              <w:jc w:val="right"/>
              <w:rPr>
                <w:rFonts w:cs="Arial"/>
                <w:b/>
                <w:bCs/>
                <w:sz w:val="16"/>
                <w:szCs w:val="16"/>
                <w:lang w:eastAsia="fr-FR"/>
              </w:rPr>
            </w:pPr>
            <w:r w:rsidRPr="00C258AD">
              <w:rPr>
                <w:rFonts w:cs="Arial"/>
                <w:b/>
                <w:bCs/>
                <w:sz w:val="16"/>
                <w:szCs w:val="16"/>
                <w:lang w:eastAsia="fr-FR"/>
              </w:rPr>
              <w:t xml:space="preserve">142 105 </w:t>
            </w:r>
          </w:p>
        </w:tc>
        <w:tc>
          <w:tcPr>
            <w:tcW w:w="1520" w:type="dxa"/>
            <w:tcBorders>
              <w:top w:val="single" w:sz="4" w:space="0" w:color="auto"/>
              <w:left w:val="single" w:sz="4" w:space="0" w:color="auto"/>
              <w:bottom w:val="single" w:sz="4" w:space="0" w:color="auto"/>
            </w:tcBorders>
            <w:shd w:val="clear" w:color="000000" w:fill="C5D9F1"/>
            <w:noWrap/>
            <w:hideMark/>
          </w:tcPr>
          <w:p w:rsidR="007A287B" w:rsidRPr="00C258AD" w:rsidRDefault="007A287B" w:rsidP="00927E1F">
            <w:pPr>
              <w:jc w:val="right"/>
              <w:rPr>
                <w:rFonts w:cs="Arial"/>
                <w:b/>
                <w:bCs/>
                <w:sz w:val="16"/>
                <w:szCs w:val="16"/>
                <w:lang w:eastAsia="fr-FR"/>
              </w:rPr>
            </w:pPr>
            <w:r w:rsidRPr="00C258AD">
              <w:rPr>
                <w:rFonts w:cs="Arial"/>
                <w:b/>
                <w:bCs/>
                <w:sz w:val="16"/>
                <w:szCs w:val="16"/>
                <w:lang w:eastAsia="fr-FR"/>
              </w:rPr>
              <w:t xml:space="preserve">134 023 </w:t>
            </w:r>
          </w:p>
        </w:tc>
      </w:tr>
    </w:tbl>
    <w:p w:rsidR="007A287B" w:rsidRPr="00C258AD" w:rsidRDefault="007A287B" w:rsidP="007A287B">
      <w:pPr>
        <w:jc w:val="center"/>
      </w:pPr>
    </w:p>
    <w:p w:rsidR="007A287B" w:rsidRPr="00C258AD" w:rsidRDefault="007A287B" w:rsidP="007A287B">
      <w:pPr>
        <w:jc w:val="center"/>
      </w:pPr>
      <w:r w:rsidRPr="00C258AD">
        <w:br w:type="page"/>
      </w:r>
    </w:p>
    <w:p w:rsidR="007A287B" w:rsidRPr="00C258AD" w:rsidRDefault="007A287B" w:rsidP="00153B24">
      <w:pPr>
        <w:pStyle w:val="Heading1"/>
        <w:tabs>
          <w:tab w:val="clear" w:pos="284"/>
          <w:tab w:val="left" w:pos="709"/>
        </w:tabs>
        <w:spacing w:before="0"/>
        <w:ind w:left="709" w:hanging="709"/>
        <w:jc w:val="left"/>
        <w:rPr>
          <w:lang w:val="fr-FR"/>
        </w:rPr>
      </w:pPr>
      <w:bookmarkStart w:id="16" w:name="_Toc454544459"/>
      <w:bookmarkStart w:id="17" w:name="_Toc454891216"/>
      <w:bookmarkStart w:id="18" w:name="_Toc455394174"/>
      <w:r w:rsidRPr="00C258AD">
        <w:rPr>
          <w:rFonts w:eastAsiaTheme="minorHAnsi"/>
          <w:lang w:val="fr-FR"/>
        </w:rPr>
        <w:lastRenderedPageBreak/>
        <w:t>RAPPORT SUR LA MISE EN ŒUVRE DE MESURES DE MAÎTRISE DES COÛTS POUR L’EXERCICE BIENNAL 2014</w:t>
      </w:r>
      <w:r w:rsidRPr="00C258AD">
        <w:rPr>
          <w:rFonts w:eastAsiaTheme="minorHAnsi"/>
          <w:lang w:val="fr-FR"/>
        </w:rPr>
        <w:noBreakHyphen/>
        <w:t>2015</w:t>
      </w:r>
      <w:bookmarkEnd w:id="16"/>
      <w:bookmarkEnd w:id="17"/>
      <w:bookmarkEnd w:id="18"/>
    </w:p>
    <w:p w:rsidR="007A287B" w:rsidRPr="00C258AD" w:rsidRDefault="007A287B" w:rsidP="007A287B"/>
    <w:p w:rsidR="007A287B" w:rsidRPr="00C258AD" w:rsidRDefault="007A287B" w:rsidP="007A287B">
      <w:pPr>
        <w:jc w:val="center"/>
      </w:pPr>
      <w:r w:rsidRPr="00C258AD">
        <w:t>MESURES DE MAÎTRISE DES COÛTS MISES EN ŒUVRE EN 2014</w:t>
      </w:r>
      <w:r w:rsidRPr="00C258AD">
        <w:noBreakHyphen/>
        <w:t>2015</w:t>
      </w:r>
    </w:p>
    <w:p w:rsidR="007A287B" w:rsidRPr="00C258AD" w:rsidRDefault="007A287B" w:rsidP="007A287B"/>
    <w:tbl>
      <w:tblPr>
        <w:tblW w:w="5000" w:type="pct"/>
        <w:tblInd w:w="-176" w:type="dxa"/>
        <w:tblCellMar>
          <w:top w:w="113" w:type="dxa"/>
          <w:left w:w="68" w:type="dxa"/>
          <w:bottom w:w="113" w:type="dxa"/>
          <w:right w:w="68" w:type="dxa"/>
        </w:tblCellMar>
        <w:tblLook w:val="04A0" w:firstRow="1" w:lastRow="0" w:firstColumn="1" w:lastColumn="0" w:noHBand="0" w:noVBand="1"/>
      </w:tblPr>
      <w:tblGrid>
        <w:gridCol w:w="1796"/>
        <w:gridCol w:w="1243"/>
        <w:gridCol w:w="1241"/>
        <w:gridCol w:w="1346"/>
        <w:gridCol w:w="1650"/>
        <w:gridCol w:w="2215"/>
      </w:tblGrid>
      <w:tr w:rsidR="007A287B" w:rsidRPr="00C258AD" w:rsidTr="007A287B">
        <w:trPr>
          <w:cantSplit/>
          <w:tblHeader/>
        </w:trPr>
        <w:tc>
          <w:tcPr>
            <w:tcW w:w="946" w:type="pct"/>
            <w:tcBorders>
              <w:top w:val="single" w:sz="4" w:space="0" w:color="auto"/>
              <w:left w:val="single" w:sz="4" w:space="0" w:color="auto"/>
              <w:right w:val="single" w:sz="4" w:space="0" w:color="auto"/>
            </w:tcBorders>
            <w:shd w:val="clear" w:color="000000" w:fill="8DB4E2"/>
            <w:hideMark/>
          </w:tcPr>
          <w:p w:rsidR="007A287B" w:rsidRPr="00153B24" w:rsidRDefault="007A287B" w:rsidP="00927E1F">
            <w:pPr>
              <w:jc w:val="center"/>
              <w:rPr>
                <w:b/>
                <w:bCs/>
                <w:sz w:val="16"/>
                <w:szCs w:val="16"/>
              </w:rPr>
            </w:pPr>
            <w:r w:rsidRPr="00153B24">
              <w:rPr>
                <w:b/>
                <w:bCs/>
                <w:i/>
                <w:sz w:val="16"/>
                <w:szCs w:val="16"/>
              </w:rPr>
              <w:t>Rapport coût</w:t>
            </w:r>
            <w:r w:rsidRPr="00153B24">
              <w:rPr>
                <w:b/>
                <w:bCs/>
                <w:i/>
                <w:sz w:val="16"/>
                <w:szCs w:val="16"/>
              </w:rPr>
              <w:noBreakHyphen/>
              <w:t>efficacité</w:t>
            </w:r>
          </w:p>
          <w:p w:rsidR="007A287B" w:rsidRPr="00C258AD" w:rsidRDefault="007A287B" w:rsidP="00927E1F">
            <w:pPr>
              <w:jc w:val="center"/>
              <w:rPr>
                <w:b/>
                <w:bCs/>
                <w:sz w:val="16"/>
                <w:szCs w:val="16"/>
              </w:rPr>
            </w:pPr>
          </w:p>
          <w:p w:rsidR="007A287B" w:rsidRPr="00C258AD" w:rsidRDefault="007A287B" w:rsidP="00927E1F">
            <w:pPr>
              <w:jc w:val="center"/>
              <w:rPr>
                <w:b/>
                <w:bCs/>
                <w:sz w:val="16"/>
                <w:szCs w:val="16"/>
              </w:rPr>
            </w:pPr>
          </w:p>
          <w:p w:rsidR="007A287B" w:rsidRPr="00C258AD" w:rsidRDefault="007A287B" w:rsidP="00927E1F">
            <w:pPr>
              <w:jc w:val="center"/>
              <w:rPr>
                <w:b/>
                <w:bCs/>
                <w:color w:val="000000"/>
                <w:sz w:val="16"/>
                <w:szCs w:val="16"/>
              </w:rPr>
            </w:pPr>
          </w:p>
        </w:tc>
        <w:tc>
          <w:tcPr>
            <w:tcW w:w="655" w:type="pct"/>
            <w:tcBorders>
              <w:top w:val="single" w:sz="4" w:space="0" w:color="auto"/>
              <w:left w:val="single" w:sz="4" w:space="0" w:color="auto"/>
              <w:right w:val="single" w:sz="4" w:space="0" w:color="auto"/>
            </w:tcBorders>
            <w:shd w:val="clear" w:color="000000" w:fill="8DB4E2"/>
            <w:hideMark/>
          </w:tcPr>
          <w:p w:rsidR="007A287B" w:rsidRPr="00C258AD" w:rsidRDefault="007A287B" w:rsidP="00927E1F">
            <w:pPr>
              <w:jc w:val="center"/>
              <w:rPr>
                <w:b/>
                <w:bCs/>
                <w:color w:val="000000"/>
                <w:sz w:val="16"/>
                <w:szCs w:val="16"/>
              </w:rPr>
            </w:pPr>
            <w:r w:rsidRPr="00C258AD">
              <w:rPr>
                <w:b/>
                <w:bCs/>
                <w:color w:val="000000"/>
                <w:sz w:val="16"/>
                <w:szCs w:val="16"/>
              </w:rPr>
              <w:t>Économies annuelles en 2014</w:t>
            </w:r>
          </w:p>
          <w:p w:rsidR="007A287B" w:rsidRPr="00C258AD" w:rsidRDefault="007A287B" w:rsidP="00927E1F">
            <w:pPr>
              <w:jc w:val="center"/>
              <w:rPr>
                <w:b/>
                <w:bCs/>
                <w:color w:val="000000"/>
                <w:sz w:val="16"/>
                <w:szCs w:val="16"/>
              </w:rPr>
            </w:pPr>
            <w:r w:rsidRPr="00C258AD">
              <w:rPr>
                <w:b/>
                <w:bCs/>
                <w:color w:val="000000"/>
                <w:sz w:val="14"/>
                <w:szCs w:val="16"/>
              </w:rPr>
              <w:t>(en francs suisses)</w:t>
            </w:r>
          </w:p>
        </w:tc>
        <w:tc>
          <w:tcPr>
            <w:tcW w:w="654" w:type="pct"/>
            <w:tcBorders>
              <w:top w:val="single" w:sz="4" w:space="0" w:color="auto"/>
              <w:left w:val="single" w:sz="4" w:space="0" w:color="auto"/>
              <w:right w:val="single" w:sz="4" w:space="0" w:color="auto"/>
            </w:tcBorders>
            <w:shd w:val="clear" w:color="000000" w:fill="8DB4E2"/>
            <w:hideMark/>
          </w:tcPr>
          <w:p w:rsidR="007A287B" w:rsidRPr="00C258AD" w:rsidRDefault="007A287B" w:rsidP="00927E1F">
            <w:pPr>
              <w:jc w:val="center"/>
              <w:rPr>
                <w:b/>
                <w:bCs/>
                <w:color w:val="000000"/>
                <w:sz w:val="16"/>
                <w:szCs w:val="16"/>
              </w:rPr>
            </w:pPr>
            <w:r w:rsidRPr="00C258AD">
              <w:rPr>
                <w:b/>
                <w:bCs/>
                <w:color w:val="000000"/>
                <w:sz w:val="16"/>
                <w:szCs w:val="16"/>
              </w:rPr>
              <w:t>Économies annuelles en 2015</w:t>
            </w:r>
          </w:p>
          <w:p w:rsidR="007A287B" w:rsidRPr="00C258AD" w:rsidRDefault="007A287B" w:rsidP="00927E1F">
            <w:pPr>
              <w:jc w:val="center"/>
              <w:rPr>
                <w:b/>
                <w:bCs/>
                <w:color w:val="000000"/>
                <w:sz w:val="16"/>
                <w:szCs w:val="16"/>
              </w:rPr>
            </w:pPr>
            <w:r w:rsidRPr="00C258AD">
              <w:rPr>
                <w:b/>
                <w:bCs/>
                <w:color w:val="000000"/>
                <w:sz w:val="14"/>
                <w:szCs w:val="16"/>
              </w:rPr>
              <w:t>(en francs suisses)</w:t>
            </w:r>
          </w:p>
        </w:tc>
        <w:tc>
          <w:tcPr>
            <w:tcW w:w="709" w:type="pct"/>
            <w:tcBorders>
              <w:top w:val="single" w:sz="4" w:space="0" w:color="auto"/>
              <w:left w:val="single" w:sz="4" w:space="0" w:color="auto"/>
              <w:right w:val="single" w:sz="4" w:space="0" w:color="auto"/>
            </w:tcBorders>
            <w:shd w:val="clear" w:color="000000" w:fill="8DB4E2"/>
            <w:hideMark/>
          </w:tcPr>
          <w:p w:rsidR="007A287B" w:rsidRPr="00C258AD" w:rsidRDefault="007A287B" w:rsidP="00927E1F">
            <w:pPr>
              <w:jc w:val="center"/>
              <w:rPr>
                <w:b/>
                <w:bCs/>
                <w:color w:val="000000"/>
                <w:sz w:val="16"/>
                <w:szCs w:val="16"/>
              </w:rPr>
            </w:pPr>
            <w:r w:rsidRPr="00C258AD">
              <w:rPr>
                <w:b/>
                <w:bCs/>
                <w:color w:val="000000"/>
                <w:sz w:val="16"/>
                <w:szCs w:val="16"/>
              </w:rPr>
              <w:t>Baisse du coût unitaire pour 2014*</w:t>
            </w:r>
          </w:p>
          <w:p w:rsidR="007A287B" w:rsidRPr="00C258AD" w:rsidRDefault="007A287B" w:rsidP="00927E1F">
            <w:pPr>
              <w:jc w:val="center"/>
              <w:rPr>
                <w:b/>
                <w:bCs/>
                <w:color w:val="000000"/>
                <w:sz w:val="16"/>
                <w:szCs w:val="16"/>
              </w:rPr>
            </w:pPr>
            <w:r w:rsidRPr="00C258AD">
              <w:rPr>
                <w:b/>
                <w:bCs/>
                <w:color w:val="000000"/>
                <w:sz w:val="14"/>
                <w:szCs w:val="16"/>
              </w:rPr>
              <w:t>(en francs suisses)</w:t>
            </w:r>
          </w:p>
        </w:tc>
        <w:tc>
          <w:tcPr>
            <w:tcW w:w="869" w:type="pct"/>
            <w:tcBorders>
              <w:top w:val="single" w:sz="4" w:space="0" w:color="auto"/>
              <w:left w:val="single" w:sz="4" w:space="0" w:color="auto"/>
              <w:right w:val="single" w:sz="4" w:space="0" w:color="auto"/>
            </w:tcBorders>
            <w:shd w:val="clear" w:color="000000" w:fill="8DB4E2"/>
            <w:hideMark/>
          </w:tcPr>
          <w:p w:rsidR="007A287B" w:rsidRPr="00C258AD" w:rsidRDefault="007A287B" w:rsidP="00927E1F">
            <w:pPr>
              <w:jc w:val="center"/>
              <w:rPr>
                <w:b/>
                <w:bCs/>
                <w:color w:val="000000"/>
                <w:sz w:val="16"/>
                <w:szCs w:val="16"/>
              </w:rPr>
            </w:pPr>
            <w:r w:rsidRPr="00C258AD">
              <w:rPr>
                <w:b/>
                <w:bCs/>
                <w:color w:val="000000"/>
                <w:sz w:val="16"/>
                <w:szCs w:val="16"/>
              </w:rPr>
              <w:t>Baisse du coût unitaire pour 2015</w:t>
            </w:r>
          </w:p>
          <w:p w:rsidR="007A287B" w:rsidRPr="00C258AD" w:rsidRDefault="007A287B" w:rsidP="00927E1F">
            <w:pPr>
              <w:jc w:val="center"/>
              <w:rPr>
                <w:b/>
                <w:bCs/>
                <w:color w:val="000000"/>
                <w:sz w:val="14"/>
                <w:szCs w:val="16"/>
              </w:rPr>
            </w:pPr>
            <w:r w:rsidRPr="00C258AD">
              <w:rPr>
                <w:b/>
                <w:bCs/>
                <w:color w:val="000000"/>
                <w:sz w:val="14"/>
                <w:szCs w:val="16"/>
              </w:rPr>
              <w:t>(en francs suisses)</w:t>
            </w:r>
          </w:p>
          <w:p w:rsidR="007A287B" w:rsidRPr="00C258AD" w:rsidRDefault="007A287B" w:rsidP="00927E1F">
            <w:pPr>
              <w:jc w:val="center"/>
              <w:rPr>
                <w:b/>
                <w:bCs/>
                <w:color w:val="000000"/>
                <w:sz w:val="16"/>
                <w:szCs w:val="16"/>
              </w:rPr>
            </w:pPr>
          </w:p>
        </w:tc>
        <w:tc>
          <w:tcPr>
            <w:tcW w:w="1167" w:type="pct"/>
            <w:tcBorders>
              <w:top w:val="single" w:sz="4" w:space="0" w:color="auto"/>
              <w:left w:val="single" w:sz="4" w:space="0" w:color="auto"/>
              <w:right w:val="single" w:sz="4" w:space="0" w:color="auto"/>
            </w:tcBorders>
            <w:shd w:val="clear" w:color="000000" w:fill="8DB4E2"/>
            <w:hideMark/>
          </w:tcPr>
          <w:p w:rsidR="007A287B" w:rsidRPr="00C258AD" w:rsidRDefault="007A287B" w:rsidP="00927E1F">
            <w:pPr>
              <w:jc w:val="center"/>
              <w:rPr>
                <w:b/>
                <w:bCs/>
                <w:color w:val="000000"/>
                <w:sz w:val="16"/>
                <w:szCs w:val="16"/>
              </w:rPr>
            </w:pPr>
            <w:r w:rsidRPr="00C258AD">
              <w:rPr>
                <w:b/>
                <w:bCs/>
                <w:color w:val="000000"/>
                <w:sz w:val="16"/>
                <w:szCs w:val="16"/>
              </w:rPr>
              <w:t>Remarques</w:t>
            </w:r>
          </w:p>
          <w:p w:rsidR="007A287B" w:rsidRPr="00C258AD" w:rsidRDefault="007A287B" w:rsidP="00927E1F">
            <w:pPr>
              <w:jc w:val="center"/>
              <w:rPr>
                <w:b/>
                <w:bCs/>
                <w:color w:val="000000"/>
                <w:sz w:val="16"/>
                <w:szCs w:val="16"/>
              </w:rPr>
            </w:pPr>
          </w:p>
        </w:tc>
      </w:tr>
      <w:tr w:rsidR="007A287B" w:rsidRPr="00C258AD" w:rsidTr="007A287B">
        <w:trPr>
          <w:cantSplit/>
          <w:tblHeader/>
        </w:trPr>
        <w:tc>
          <w:tcPr>
            <w:tcW w:w="946" w:type="pct"/>
            <w:tcBorders>
              <w:left w:val="single" w:sz="4" w:space="0" w:color="auto"/>
              <w:bottom w:val="single" w:sz="4" w:space="0" w:color="auto"/>
              <w:right w:val="single" w:sz="4" w:space="0" w:color="auto"/>
            </w:tcBorders>
            <w:shd w:val="clear" w:color="000000" w:fill="8DB4E2"/>
          </w:tcPr>
          <w:p w:rsidR="007A287B" w:rsidRPr="00C258AD" w:rsidRDefault="007A287B" w:rsidP="00927E1F">
            <w:pPr>
              <w:jc w:val="center"/>
              <w:rPr>
                <w:b/>
                <w:bCs/>
                <w:color w:val="000000"/>
                <w:sz w:val="16"/>
                <w:szCs w:val="16"/>
              </w:rPr>
            </w:pPr>
            <w:r w:rsidRPr="00C258AD">
              <w:rPr>
                <w:b/>
                <w:bCs/>
                <w:color w:val="000000"/>
                <w:sz w:val="16"/>
                <w:szCs w:val="16"/>
              </w:rPr>
              <w:t>A</w:t>
            </w:r>
          </w:p>
        </w:tc>
        <w:tc>
          <w:tcPr>
            <w:tcW w:w="655" w:type="pct"/>
            <w:tcBorders>
              <w:left w:val="single" w:sz="4" w:space="0" w:color="auto"/>
              <w:bottom w:val="single" w:sz="4" w:space="0" w:color="auto"/>
              <w:right w:val="single" w:sz="4" w:space="0" w:color="auto"/>
            </w:tcBorders>
            <w:shd w:val="clear" w:color="000000" w:fill="8DB4E2"/>
          </w:tcPr>
          <w:p w:rsidR="007A287B" w:rsidRPr="00C258AD" w:rsidRDefault="007A287B" w:rsidP="00927E1F">
            <w:pPr>
              <w:jc w:val="center"/>
              <w:rPr>
                <w:b/>
                <w:bCs/>
                <w:color w:val="000000"/>
                <w:sz w:val="16"/>
                <w:szCs w:val="16"/>
              </w:rPr>
            </w:pPr>
            <w:r w:rsidRPr="00C258AD">
              <w:rPr>
                <w:b/>
                <w:bCs/>
                <w:color w:val="000000"/>
                <w:sz w:val="16"/>
                <w:szCs w:val="16"/>
              </w:rPr>
              <w:t>B</w:t>
            </w:r>
          </w:p>
        </w:tc>
        <w:tc>
          <w:tcPr>
            <w:tcW w:w="654" w:type="pct"/>
            <w:tcBorders>
              <w:left w:val="single" w:sz="4" w:space="0" w:color="auto"/>
              <w:bottom w:val="single" w:sz="4" w:space="0" w:color="auto"/>
              <w:right w:val="single" w:sz="4" w:space="0" w:color="auto"/>
            </w:tcBorders>
            <w:shd w:val="clear" w:color="000000" w:fill="8DB4E2"/>
          </w:tcPr>
          <w:p w:rsidR="007A287B" w:rsidRPr="00C258AD" w:rsidRDefault="007A287B" w:rsidP="00927E1F">
            <w:pPr>
              <w:jc w:val="center"/>
              <w:rPr>
                <w:b/>
                <w:bCs/>
                <w:color w:val="000000"/>
                <w:sz w:val="16"/>
                <w:szCs w:val="16"/>
              </w:rPr>
            </w:pPr>
            <w:r w:rsidRPr="00C258AD">
              <w:rPr>
                <w:b/>
                <w:bCs/>
                <w:color w:val="000000"/>
                <w:sz w:val="16"/>
                <w:szCs w:val="16"/>
              </w:rPr>
              <w:t>C</w:t>
            </w:r>
          </w:p>
        </w:tc>
        <w:tc>
          <w:tcPr>
            <w:tcW w:w="709" w:type="pct"/>
            <w:tcBorders>
              <w:left w:val="single" w:sz="4" w:space="0" w:color="auto"/>
              <w:bottom w:val="single" w:sz="4" w:space="0" w:color="auto"/>
              <w:right w:val="single" w:sz="4" w:space="0" w:color="auto"/>
            </w:tcBorders>
            <w:shd w:val="clear" w:color="000000" w:fill="8DB4E2"/>
          </w:tcPr>
          <w:p w:rsidR="007A287B" w:rsidRPr="00C258AD" w:rsidRDefault="007A287B" w:rsidP="00927E1F">
            <w:pPr>
              <w:jc w:val="center"/>
              <w:rPr>
                <w:b/>
                <w:bCs/>
                <w:color w:val="000000"/>
                <w:sz w:val="16"/>
                <w:szCs w:val="16"/>
              </w:rPr>
            </w:pPr>
            <w:r w:rsidRPr="00C258AD">
              <w:rPr>
                <w:b/>
                <w:bCs/>
                <w:color w:val="000000"/>
                <w:sz w:val="16"/>
                <w:szCs w:val="16"/>
              </w:rPr>
              <w:t>D</w:t>
            </w:r>
          </w:p>
        </w:tc>
        <w:tc>
          <w:tcPr>
            <w:tcW w:w="869" w:type="pct"/>
            <w:tcBorders>
              <w:left w:val="single" w:sz="4" w:space="0" w:color="auto"/>
              <w:bottom w:val="single" w:sz="4" w:space="0" w:color="auto"/>
              <w:right w:val="single" w:sz="4" w:space="0" w:color="auto"/>
            </w:tcBorders>
            <w:shd w:val="clear" w:color="000000" w:fill="8DB4E2"/>
          </w:tcPr>
          <w:p w:rsidR="007A287B" w:rsidRPr="00C258AD" w:rsidRDefault="007A287B" w:rsidP="00927E1F">
            <w:pPr>
              <w:jc w:val="center"/>
              <w:rPr>
                <w:b/>
                <w:bCs/>
                <w:color w:val="000000"/>
                <w:sz w:val="16"/>
                <w:szCs w:val="16"/>
              </w:rPr>
            </w:pPr>
            <w:r w:rsidRPr="00C258AD">
              <w:rPr>
                <w:b/>
                <w:bCs/>
                <w:color w:val="000000"/>
                <w:sz w:val="16"/>
                <w:szCs w:val="16"/>
              </w:rPr>
              <w:t>E</w:t>
            </w:r>
          </w:p>
        </w:tc>
        <w:tc>
          <w:tcPr>
            <w:tcW w:w="1167" w:type="pct"/>
            <w:tcBorders>
              <w:left w:val="single" w:sz="4" w:space="0" w:color="auto"/>
              <w:bottom w:val="single" w:sz="4" w:space="0" w:color="auto"/>
              <w:right w:val="single" w:sz="4" w:space="0" w:color="auto"/>
            </w:tcBorders>
            <w:shd w:val="clear" w:color="000000" w:fill="8DB4E2"/>
          </w:tcPr>
          <w:p w:rsidR="007A287B" w:rsidRPr="00C258AD" w:rsidRDefault="007A287B" w:rsidP="00927E1F">
            <w:pPr>
              <w:jc w:val="center"/>
              <w:rPr>
                <w:b/>
                <w:bCs/>
                <w:color w:val="000000"/>
                <w:sz w:val="16"/>
                <w:szCs w:val="16"/>
              </w:rPr>
            </w:pPr>
            <w:r w:rsidRPr="00C258AD">
              <w:rPr>
                <w:b/>
                <w:bCs/>
                <w:color w:val="000000"/>
                <w:sz w:val="16"/>
                <w:szCs w:val="16"/>
              </w:rPr>
              <w:t>F</w:t>
            </w:r>
          </w:p>
        </w:tc>
      </w:tr>
      <w:tr w:rsidR="007A287B" w:rsidRPr="00C258AD" w:rsidTr="007A287B">
        <w:trPr>
          <w:cantSplit/>
        </w:trPr>
        <w:tc>
          <w:tcPr>
            <w:tcW w:w="946" w:type="pct"/>
            <w:tcBorders>
              <w:top w:val="single" w:sz="4" w:space="0" w:color="auto"/>
              <w:left w:val="single" w:sz="4" w:space="0" w:color="auto"/>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Baisse des coûts généraux du traitement des demandes internationales selon le PCT publiées, résultant de l’amélioration de la gestion des engagements financiers relatifs à la sous</w:t>
            </w:r>
            <w:r w:rsidRPr="00C258AD">
              <w:rPr>
                <w:color w:val="000000"/>
                <w:sz w:val="17"/>
                <w:szCs w:val="17"/>
              </w:rPr>
              <w:noBreakHyphen/>
              <w:t>traitance de services de traduction et d’une augmentation de la productivité</w:t>
            </w:r>
          </w:p>
        </w:tc>
        <w:tc>
          <w:tcPr>
            <w:tcW w:w="655"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spacing w:after="240"/>
              <w:rPr>
                <w:color w:val="000000"/>
                <w:sz w:val="17"/>
                <w:szCs w:val="17"/>
              </w:rPr>
            </w:pPr>
          </w:p>
        </w:tc>
        <w:tc>
          <w:tcPr>
            <w:tcW w:w="654"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w:t>
            </w:r>
          </w:p>
        </w:tc>
        <w:tc>
          <w:tcPr>
            <w:tcW w:w="709"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722 francs suisses en 2013 contre 662 francs suisses en 2014, soit une baisse de 60 francs suisses (8,3%)</w:t>
            </w:r>
          </w:p>
          <w:p w:rsidR="007A287B" w:rsidRPr="00C258AD" w:rsidRDefault="007A287B" w:rsidP="00927E1F">
            <w:pPr>
              <w:rPr>
                <w:color w:val="000000"/>
                <w:sz w:val="17"/>
                <w:szCs w:val="17"/>
              </w:rPr>
            </w:pPr>
          </w:p>
        </w:tc>
        <w:tc>
          <w:tcPr>
            <w:tcW w:w="869"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662 francs suisses en 2014 contre 735 francs suisses en 2015, soit une augmentation de 73 francs suisses (11%) </w:t>
            </w:r>
          </w:p>
        </w:tc>
        <w:tc>
          <w:tcPr>
            <w:tcW w:w="1167"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7A287B">
            <w:pPr>
              <w:rPr>
                <w:color w:val="000000"/>
                <w:sz w:val="17"/>
                <w:szCs w:val="17"/>
              </w:rPr>
            </w:pPr>
            <w:r w:rsidRPr="00C258AD">
              <w:rPr>
                <w:sz w:val="17"/>
                <w:szCs w:val="17"/>
              </w:rPr>
              <w:t>Le coût unitaire s’entend du coût moyen d’une unité produite.  Le calcul du coût unitaire tient compte du coût total de production, qui comprend les dépenses concernant exclusivement le système du PCT et les dépenses pour les activités d’appui au système (pour plus de détails, voir le rapport sur l’exécution du programme en 2014</w:t>
            </w:r>
            <w:r w:rsidRPr="00C258AD">
              <w:rPr>
                <w:sz w:val="17"/>
                <w:szCs w:val="17"/>
              </w:rPr>
              <w:noBreakHyphen/>
              <w:t>2015).</w:t>
            </w:r>
          </w:p>
        </w:tc>
      </w:tr>
      <w:tr w:rsidR="007A287B" w:rsidRPr="00C258AD" w:rsidTr="007A287B">
        <w:trPr>
          <w:cantSplit/>
        </w:trPr>
        <w:tc>
          <w:tcPr>
            <w:tcW w:w="946" w:type="pct"/>
            <w:tcBorders>
              <w:top w:val="nil"/>
              <w:left w:val="single" w:sz="4" w:space="0" w:color="auto"/>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 xml:space="preserve">Baisse du coût du traitement d’un enregistrement international ou d’un renouvellement en vertu du système de Madrid </w:t>
            </w:r>
          </w:p>
        </w:tc>
        <w:tc>
          <w:tcPr>
            <w:tcW w:w="655"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p>
        </w:tc>
        <w:tc>
          <w:tcPr>
            <w:tcW w:w="654"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p>
        </w:tc>
        <w:tc>
          <w:tcPr>
            <w:tcW w:w="709"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p>
        </w:tc>
        <w:tc>
          <w:tcPr>
            <w:tcW w:w="869"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837 francs suisses en 2014 contre 743 francs suisses en 2015, soit une baisse de 94 francs suisses (11%)</w:t>
            </w:r>
          </w:p>
          <w:p w:rsidR="007A287B" w:rsidRPr="00C258AD" w:rsidRDefault="007A287B" w:rsidP="00927E1F">
            <w:pPr>
              <w:rPr>
                <w:color w:val="000000"/>
                <w:sz w:val="17"/>
                <w:szCs w:val="17"/>
              </w:rPr>
            </w:pPr>
          </w:p>
        </w:tc>
        <w:tc>
          <w:tcPr>
            <w:tcW w:w="1167"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Voir le rapport sur l’exécution du programme en 2014</w:t>
            </w:r>
            <w:r w:rsidRPr="00C258AD">
              <w:rPr>
                <w:color w:val="000000"/>
                <w:sz w:val="17"/>
                <w:szCs w:val="17"/>
              </w:rPr>
              <w:noBreakHyphen/>
              <w:t xml:space="preserve">2015 pour plus d’informations sur les indicateurs relatifs aux opérations du système de Madrid.  </w:t>
            </w:r>
          </w:p>
        </w:tc>
      </w:tr>
      <w:tr w:rsidR="007A287B" w:rsidRPr="00C258AD" w:rsidTr="007A287B">
        <w:trPr>
          <w:cantSplit/>
        </w:trPr>
        <w:tc>
          <w:tcPr>
            <w:tcW w:w="946" w:type="pct"/>
            <w:tcBorders>
              <w:top w:val="single" w:sz="4" w:space="0" w:color="auto"/>
              <w:left w:val="single" w:sz="4" w:space="0" w:color="auto"/>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Baisse du coût des voyages au titre du congé dans les foyers résultant de la mise en œuvre de la nouvelle politique en matière de voyages au titre du congé dans les foyers (OI 22/2014)</w:t>
            </w:r>
          </w:p>
        </w:tc>
        <w:tc>
          <w:tcPr>
            <w:tcW w:w="655"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sans objet</w:t>
            </w:r>
          </w:p>
        </w:tc>
        <w:tc>
          <w:tcPr>
            <w:tcW w:w="654"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267 000</w:t>
            </w:r>
          </w:p>
        </w:tc>
        <w:tc>
          <w:tcPr>
            <w:tcW w:w="709"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p>
        </w:tc>
        <w:tc>
          <w:tcPr>
            <w:tcW w:w="869"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p>
        </w:tc>
        <w:tc>
          <w:tcPr>
            <w:tcW w:w="1167"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7A287B">
            <w:pPr>
              <w:rPr>
                <w:color w:val="000000"/>
                <w:sz w:val="17"/>
                <w:szCs w:val="17"/>
              </w:rPr>
            </w:pPr>
            <w:r w:rsidRPr="00C258AD">
              <w:rPr>
                <w:color w:val="000000"/>
                <w:sz w:val="17"/>
                <w:szCs w:val="17"/>
              </w:rPr>
              <w:t>La nouvelle politique en matière de voyages au titre du congé dans les foyers a commencé à être mise en œuvre en 2015.</w:t>
            </w:r>
          </w:p>
        </w:tc>
      </w:tr>
      <w:tr w:rsidR="007A287B" w:rsidRPr="00C258AD" w:rsidTr="007A287B">
        <w:trPr>
          <w:cantSplit/>
        </w:trPr>
        <w:tc>
          <w:tcPr>
            <w:tcW w:w="946" w:type="pct"/>
            <w:tcBorders>
              <w:top w:val="nil"/>
              <w:left w:val="single" w:sz="4" w:space="0" w:color="auto"/>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lastRenderedPageBreak/>
              <w:t>Baisse du prix moyen des billets d’avion résultant de la mise en œuvre de nouveaux moyens technologiques offrant des tarifs plus économiques (billets restrictifs ou non remboursables).  Ces outils sont configurés en pleine conformité avec la politique de l’OMPI en matière de voyages et encourag</w:t>
            </w:r>
            <w:r w:rsidR="00153B24">
              <w:rPr>
                <w:color w:val="000000"/>
                <w:sz w:val="17"/>
                <w:szCs w:val="17"/>
              </w:rPr>
              <w:t>ent les réservations anticipées</w:t>
            </w:r>
          </w:p>
        </w:tc>
        <w:tc>
          <w:tcPr>
            <w:tcW w:w="655"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p>
        </w:tc>
        <w:tc>
          <w:tcPr>
            <w:tcW w:w="654"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 </w:t>
            </w:r>
          </w:p>
        </w:tc>
        <w:tc>
          <w:tcPr>
            <w:tcW w:w="709"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1 728 francs suisses en 2013 contre 1 598 francs suisses en 2014 (soit une baisse de 7,5%)</w:t>
            </w:r>
          </w:p>
          <w:p w:rsidR="007A287B" w:rsidRPr="00C258AD" w:rsidRDefault="007A287B" w:rsidP="00927E1F">
            <w:pPr>
              <w:rPr>
                <w:color w:val="000000"/>
                <w:sz w:val="17"/>
                <w:szCs w:val="17"/>
              </w:rPr>
            </w:pPr>
          </w:p>
          <w:p w:rsidR="007A287B" w:rsidRPr="00C258AD" w:rsidRDefault="007A287B" w:rsidP="00927E1F">
            <w:pPr>
              <w:rPr>
                <w:color w:val="000000"/>
                <w:sz w:val="17"/>
                <w:szCs w:val="17"/>
              </w:rPr>
            </w:pPr>
          </w:p>
        </w:tc>
        <w:tc>
          <w:tcPr>
            <w:tcW w:w="869"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 xml:space="preserve">1 481 francs suisses en 2015 (soit une baisse supplémentaire de 7,3% par rapport à 2014) </w:t>
            </w:r>
          </w:p>
        </w:tc>
        <w:tc>
          <w:tcPr>
            <w:tcW w:w="1167"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2014 : un effort substantiel a été fourni pour réduire les dépenses liées aux voyages, ce qui s’est traduit par une réduction de la quantité de billets émis et de la quantité de réservations tardives.</w:t>
            </w:r>
          </w:p>
          <w:p w:rsidR="007A287B" w:rsidRPr="00C258AD" w:rsidRDefault="007A287B" w:rsidP="00927E1F">
            <w:pPr>
              <w:rPr>
                <w:color w:val="000000"/>
                <w:sz w:val="17"/>
                <w:szCs w:val="17"/>
              </w:rPr>
            </w:pPr>
          </w:p>
          <w:p w:rsidR="007A287B" w:rsidRPr="00C258AD" w:rsidRDefault="007A287B" w:rsidP="00927E1F">
            <w:pPr>
              <w:rPr>
                <w:color w:val="000000"/>
                <w:sz w:val="17"/>
                <w:szCs w:val="17"/>
              </w:rPr>
            </w:pPr>
            <w:r w:rsidRPr="00C258AD">
              <w:rPr>
                <w:color w:val="000000"/>
                <w:sz w:val="17"/>
                <w:szCs w:val="17"/>
              </w:rPr>
              <w:t xml:space="preserve">2015 : la mise en place d’un outil de réservation en ligne et de rapports sur les demandes d’autorisation de voyage soumises tardivement (16 jours avant le départ) ont permis d’améliorer les tarifs des réservations anticipées, ce qui s’est traduit par la mise à disposition de billets moins chers sur le marché (ces billets s’entendent des billets émis par l’agent de voyages, le PNUD ou achetés directement).  </w:t>
            </w:r>
          </w:p>
        </w:tc>
      </w:tr>
      <w:tr w:rsidR="007A287B" w:rsidRPr="00C258AD" w:rsidTr="007A287B">
        <w:trPr>
          <w:cantSplit/>
        </w:trPr>
        <w:tc>
          <w:tcPr>
            <w:tcW w:w="946" w:type="pct"/>
            <w:tcBorders>
              <w:top w:val="nil"/>
              <w:left w:val="single" w:sz="4" w:space="0" w:color="auto"/>
              <w:bottom w:val="single" w:sz="4" w:space="0" w:color="auto"/>
              <w:right w:val="single" w:sz="4" w:space="0" w:color="auto"/>
            </w:tcBorders>
            <w:shd w:val="clear" w:color="auto" w:fill="auto"/>
          </w:tcPr>
          <w:p w:rsidR="007A287B" w:rsidRPr="00C258AD" w:rsidRDefault="007A287B" w:rsidP="00153B24">
            <w:pPr>
              <w:rPr>
                <w:color w:val="000000"/>
                <w:sz w:val="17"/>
                <w:szCs w:val="17"/>
              </w:rPr>
            </w:pPr>
            <w:r w:rsidRPr="00C258AD">
              <w:rPr>
                <w:color w:val="000000"/>
                <w:sz w:val="17"/>
                <w:szCs w:val="17"/>
              </w:rPr>
              <w:t>Baisse du montant moyen des frais généraux de transaction payés à l’agent de voyages, au PNUD et via l’outil de réservation en ligne</w:t>
            </w:r>
          </w:p>
        </w:tc>
        <w:tc>
          <w:tcPr>
            <w:tcW w:w="655"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p>
        </w:tc>
        <w:tc>
          <w:tcPr>
            <w:tcW w:w="654"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p>
        </w:tc>
        <w:tc>
          <w:tcPr>
            <w:tcW w:w="709"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119</w:t>
            </w:r>
          </w:p>
        </w:tc>
        <w:tc>
          <w:tcPr>
            <w:tcW w:w="869"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95</w:t>
            </w:r>
          </w:p>
        </w:tc>
        <w:tc>
          <w:tcPr>
            <w:tcW w:w="1167"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 xml:space="preserve">Les mesures visant à assurer l’utilisation de l’outil de réservation en ligne pour tous les voyages simples (une destination) a permis d’émettre 69% du nombre total de billets émis par l’agent de voyages et de faire baisser le montant moyen des frais de transaction.  </w:t>
            </w:r>
          </w:p>
        </w:tc>
      </w:tr>
      <w:tr w:rsidR="007A287B" w:rsidRPr="00C258AD" w:rsidTr="007A287B">
        <w:trPr>
          <w:cantSplit/>
        </w:trPr>
        <w:tc>
          <w:tcPr>
            <w:tcW w:w="946" w:type="pct"/>
            <w:tcBorders>
              <w:top w:val="nil"/>
              <w:left w:val="single" w:sz="4" w:space="0" w:color="auto"/>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Économies sur les achats de biens et de services effectués par l’OMPI</w:t>
            </w:r>
          </w:p>
        </w:tc>
        <w:tc>
          <w:tcPr>
            <w:tcW w:w="655"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2 663 000</w:t>
            </w:r>
          </w:p>
        </w:tc>
        <w:tc>
          <w:tcPr>
            <w:tcW w:w="654"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 xml:space="preserve">3 826 361 </w:t>
            </w:r>
          </w:p>
        </w:tc>
        <w:tc>
          <w:tcPr>
            <w:tcW w:w="709"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p>
        </w:tc>
        <w:tc>
          <w:tcPr>
            <w:tcW w:w="869"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p>
        </w:tc>
        <w:tc>
          <w:tcPr>
            <w:tcW w:w="1167" w:type="pct"/>
            <w:tcBorders>
              <w:top w:val="nil"/>
              <w:left w:val="nil"/>
              <w:bottom w:val="single" w:sz="4" w:space="0" w:color="auto"/>
              <w:right w:val="single" w:sz="4" w:space="0" w:color="auto"/>
            </w:tcBorders>
            <w:shd w:val="clear" w:color="auto" w:fill="auto"/>
          </w:tcPr>
          <w:p w:rsidR="007A287B" w:rsidRPr="00C258AD" w:rsidRDefault="007A287B" w:rsidP="00927E1F">
            <w:pPr>
              <w:rPr>
                <w:bCs/>
                <w:sz w:val="17"/>
                <w:szCs w:val="17"/>
              </w:rPr>
            </w:pPr>
            <w:r w:rsidRPr="00C258AD">
              <w:rPr>
                <w:bCs/>
                <w:sz w:val="17"/>
                <w:szCs w:val="17"/>
              </w:rPr>
              <w:t>2014 : des économies de 1 598 000 francs suisses ont été réalisées par le biais du</w:t>
            </w:r>
            <w:r w:rsidRPr="00C258AD">
              <w:t xml:space="preserve"> </w:t>
            </w:r>
            <w:r w:rsidRPr="00C258AD">
              <w:rPr>
                <w:bCs/>
                <w:sz w:val="17"/>
                <w:szCs w:val="17"/>
              </w:rPr>
              <w:t>Groupe des activités communes d’achat (groupe ACA) et 1 064 000 francs suisses ont été économisés du fait des négociations menées par l’OMPI à l’issue d’appels d’offres ou des négociations menées avec des fournisseurs exclusifs.</w:t>
            </w:r>
          </w:p>
          <w:p w:rsidR="007A287B" w:rsidRPr="00C258AD" w:rsidRDefault="007A287B" w:rsidP="00927E1F">
            <w:pPr>
              <w:rPr>
                <w:color w:val="000000"/>
                <w:sz w:val="17"/>
                <w:szCs w:val="17"/>
              </w:rPr>
            </w:pPr>
          </w:p>
          <w:p w:rsidR="007A287B" w:rsidRPr="00C258AD" w:rsidRDefault="007A287B" w:rsidP="00927E1F">
            <w:pPr>
              <w:rPr>
                <w:color w:val="000000"/>
                <w:sz w:val="17"/>
                <w:szCs w:val="17"/>
              </w:rPr>
            </w:pPr>
            <w:r w:rsidRPr="00C258AD">
              <w:rPr>
                <w:color w:val="000000"/>
                <w:sz w:val="17"/>
                <w:szCs w:val="17"/>
              </w:rPr>
              <w:t xml:space="preserve">2015 : </w:t>
            </w:r>
            <w:r w:rsidRPr="00C258AD">
              <w:rPr>
                <w:bCs/>
                <w:sz w:val="17"/>
                <w:szCs w:val="17"/>
              </w:rPr>
              <w:t>des économies de 1 316 919 francs suisses ont été réalisées par le biais du groupe ACA et 2 509 442 francs suisses ont été économisés du fait des négociations menées par l’OMPI à l’issue d’appels d’offres ou des négociations menées avec des fournisseurs exclusifs.</w:t>
            </w:r>
          </w:p>
        </w:tc>
      </w:tr>
      <w:tr w:rsidR="007A287B" w:rsidRPr="00C258AD" w:rsidTr="007A287B">
        <w:trPr>
          <w:cantSplit/>
        </w:trPr>
        <w:tc>
          <w:tcPr>
            <w:tcW w:w="946" w:type="pct"/>
            <w:tcBorders>
              <w:top w:val="nil"/>
              <w:left w:val="single" w:sz="4" w:space="0" w:color="auto"/>
              <w:bottom w:val="single" w:sz="4" w:space="0" w:color="auto"/>
              <w:right w:val="single" w:sz="4" w:space="0" w:color="auto"/>
            </w:tcBorders>
            <w:shd w:val="clear" w:color="auto" w:fill="auto"/>
            <w:hideMark/>
          </w:tcPr>
          <w:p w:rsidR="007A287B" w:rsidRPr="00C258AD" w:rsidRDefault="007A287B" w:rsidP="00153B24">
            <w:pPr>
              <w:rPr>
                <w:color w:val="000000"/>
                <w:sz w:val="17"/>
                <w:szCs w:val="17"/>
              </w:rPr>
            </w:pPr>
            <w:r w:rsidRPr="00C258AD">
              <w:rPr>
                <w:color w:val="000000"/>
                <w:sz w:val="17"/>
                <w:szCs w:val="17"/>
              </w:rPr>
              <w:lastRenderedPageBreak/>
              <w:t>Réduction de la consommation énergétique nécessaire au système de refroidissement grâce à l’utilisation des eaux du lac Léman plutôt que des eaux de la ville.  Il n’est ainsi pas nécessaire d’utiliser des machines pour faire baisser la température de l’eau, ce qui permet de réduire la consommation d’électricité et d’eau utile au fonctionnement du système de refroidissement</w:t>
            </w:r>
          </w:p>
        </w:tc>
        <w:tc>
          <w:tcPr>
            <w:tcW w:w="655"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35 000</w:t>
            </w:r>
          </w:p>
        </w:tc>
        <w:tc>
          <w:tcPr>
            <w:tcW w:w="654"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75 000</w:t>
            </w:r>
          </w:p>
        </w:tc>
        <w:tc>
          <w:tcPr>
            <w:tcW w:w="709"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w:t>
            </w:r>
          </w:p>
        </w:tc>
        <w:tc>
          <w:tcPr>
            <w:tcW w:w="869"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w:t>
            </w:r>
          </w:p>
        </w:tc>
        <w:tc>
          <w:tcPr>
            <w:tcW w:w="1167"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2014.  Bâtiment AB : réduction de la consommation d’électricité et d’eau du fait du raccordement du bâtiment au système de refroidissement.  Le raccordement a été achevé vers le milieu de l’année.  Des économies n’ont donc été réalisées qu’au second semestre.</w:t>
            </w:r>
          </w:p>
          <w:p w:rsidR="007A287B" w:rsidRPr="00C258AD" w:rsidRDefault="007A287B" w:rsidP="00927E1F">
            <w:pPr>
              <w:rPr>
                <w:color w:val="000000"/>
                <w:sz w:val="17"/>
                <w:szCs w:val="17"/>
              </w:rPr>
            </w:pPr>
          </w:p>
          <w:p w:rsidR="007A287B" w:rsidRPr="00C258AD" w:rsidRDefault="007A287B" w:rsidP="00927E1F">
            <w:pPr>
              <w:rPr>
                <w:color w:val="000000"/>
                <w:sz w:val="17"/>
                <w:szCs w:val="17"/>
              </w:rPr>
            </w:pPr>
          </w:p>
          <w:p w:rsidR="007A287B" w:rsidRPr="00C258AD" w:rsidRDefault="007A287B" w:rsidP="00927E1F">
            <w:pPr>
              <w:rPr>
                <w:color w:val="000000"/>
                <w:sz w:val="17"/>
                <w:szCs w:val="17"/>
              </w:rPr>
            </w:pPr>
            <w:r w:rsidRPr="00C258AD">
              <w:rPr>
                <w:color w:val="000000"/>
                <w:sz w:val="17"/>
                <w:szCs w:val="17"/>
              </w:rPr>
              <w:t>2015.  Bâtiment AB : économies pour l’année entière</w:t>
            </w:r>
          </w:p>
          <w:p w:rsidR="007A287B" w:rsidRPr="00C258AD" w:rsidRDefault="007A287B" w:rsidP="00927E1F">
            <w:pPr>
              <w:rPr>
                <w:color w:val="000000"/>
                <w:sz w:val="17"/>
                <w:szCs w:val="17"/>
              </w:rPr>
            </w:pPr>
            <w:r w:rsidRPr="00C258AD">
              <w:rPr>
                <w:color w:val="000000"/>
                <w:sz w:val="17"/>
                <w:szCs w:val="17"/>
              </w:rPr>
              <w:t>(70 000 francs suisses).</w:t>
            </w:r>
          </w:p>
          <w:p w:rsidR="007A287B" w:rsidRPr="00C258AD" w:rsidRDefault="007A287B" w:rsidP="00927E1F">
            <w:pPr>
              <w:rPr>
                <w:color w:val="000000"/>
                <w:sz w:val="17"/>
                <w:szCs w:val="17"/>
              </w:rPr>
            </w:pPr>
          </w:p>
          <w:p w:rsidR="007A287B" w:rsidRPr="00C258AD" w:rsidRDefault="007A287B" w:rsidP="00927E1F">
            <w:pPr>
              <w:rPr>
                <w:color w:val="000000"/>
                <w:sz w:val="17"/>
                <w:szCs w:val="17"/>
              </w:rPr>
            </w:pPr>
            <w:r w:rsidRPr="00C258AD">
              <w:rPr>
                <w:color w:val="000000"/>
                <w:sz w:val="17"/>
                <w:szCs w:val="17"/>
              </w:rPr>
              <w:t xml:space="preserve">2015.  Bâtiment du PCT : le raccordement du système de refroidissement utilisant les eaux du lac Léman a été opérationnel à partir de novembre 2015 (d’où une économie de 5 000 francs suisses pour deux mois).  </w:t>
            </w:r>
          </w:p>
        </w:tc>
      </w:tr>
      <w:tr w:rsidR="007A287B" w:rsidRPr="00C258AD" w:rsidTr="007A287B">
        <w:trPr>
          <w:cantSplit/>
        </w:trPr>
        <w:tc>
          <w:tcPr>
            <w:tcW w:w="946" w:type="pct"/>
            <w:tcBorders>
              <w:top w:val="nil"/>
              <w:left w:val="single" w:sz="4" w:space="0" w:color="auto"/>
              <w:bottom w:val="single" w:sz="4" w:space="0" w:color="auto"/>
              <w:right w:val="single" w:sz="4" w:space="0" w:color="auto"/>
            </w:tcBorders>
            <w:shd w:val="clear" w:color="auto" w:fill="auto"/>
            <w:hideMark/>
          </w:tcPr>
          <w:p w:rsidR="007A287B" w:rsidRPr="00C258AD" w:rsidRDefault="007A287B" w:rsidP="00153B24">
            <w:pPr>
              <w:rPr>
                <w:color w:val="000000"/>
                <w:sz w:val="17"/>
                <w:szCs w:val="17"/>
              </w:rPr>
            </w:pPr>
            <w:r w:rsidRPr="00C258AD">
              <w:rPr>
                <w:color w:val="000000"/>
                <w:sz w:val="17"/>
                <w:szCs w:val="17"/>
              </w:rPr>
              <w:t>Réduction de la consommation d’électricité dans tous les bâtiments de l’OMPI résultant de l’installation de luminaires avec détecteur de présence, d’ampoules à économie d’énergie, de dispositifs de synchronisation de l’éclairage dans les parkings et de nouvelles armoires électriques plus efficaces pour le fonctionnement des installations électriques à tous les étages des bâtiments.</w:t>
            </w:r>
          </w:p>
        </w:tc>
        <w:tc>
          <w:tcPr>
            <w:tcW w:w="655"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15 000</w:t>
            </w:r>
          </w:p>
        </w:tc>
        <w:tc>
          <w:tcPr>
            <w:tcW w:w="654"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45 000</w:t>
            </w:r>
          </w:p>
        </w:tc>
        <w:tc>
          <w:tcPr>
            <w:tcW w:w="709"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w:t>
            </w:r>
          </w:p>
        </w:tc>
        <w:tc>
          <w:tcPr>
            <w:tcW w:w="869"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w:t>
            </w:r>
          </w:p>
        </w:tc>
        <w:tc>
          <w:tcPr>
            <w:tcW w:w="1167" w:type="pct"/>
            <w:tcBorders>
              <w:top w:val="nil"/>
              <w:left w:val="nil"/>
              <w:bottom w:val="single" w:sz="4" w:space="0" w:color="auto"/>
              <w:right w:val="single" w:sz="4" w:space="0" w:color="auto"/>
            </w:tcBorders>
            <w:shd w:val="clear" w:color="auto" w:fill="auto"/>
            <w:hideMark/>
          </w:tcPr>
          <w:p w:rsidR="007A287B" w:rsidRPr="00C258AD" w:rsidRDefault="007A287B" w:rsidP="00927E1F">
            <w:pPr>
              <w:rPr>
                <w:sz w:val="17"/>
                <w:szCs w:val="17"/>
              </w:rPr>
            </w:pPr>
            <w:r w:rsidRPr="00C258AD">
              <w:rPr>
                <w:sz w:val="17"/>
                <w:szCs w:val="17"/>
              </w:rPr>
              <w:t>Les mesures appliquées en 2014 ont permis de réaliser des économies de 15 000 francs suisses en 2014 et de 30 000 francs suisses en 2015.</w:t>
            </w:r>
          </w:p>
          <w:p w:rsidR="007A287B" w:rsidRPr="00C258AD" w:rsidRDefault="007A287B" w:rsidP="00927E1F">
            <w:pPr>
              <w:rPr>
                <w:sz w:val="17"/>
                <w:szCs w:val="17"/>
              </w:rPr>
            </w:pPr>
          </w:p>
          <w:p w:rsidR="007A287B" w:rsidRPr="00C258AD" w:rsidRDefault="007A287B" w:rsidP="00927E1F">
            <w:pPr>
              <w:rPr>
                <w:color w:val="000000"/>
                <w:sz w:val="17"/>
                <w:szCs w:val="17"/>
              </w:rPr>
            </w:pPr>
            <w:r w:rsidRPr="00C258AD">
              <w:rPr>
                <w:sz w:val="17"/>
                <w:szCs w:val="17"/>
              </w:rPr>
              <w:t>Des mesures ont continué d’être appliquées à d’autres étages et dans d’autres zones des bâtiments sur le campus de l’OMPI, ce qui a permis de réaliser des économies supplémentaires de 15 000 francs suisses en 2015.</w:t>
            </w:r>
          </w:p>
          <w:p w:rsidR="007A287B" w:rsidRPr="00C258AD" w:rsidRDefault="007A287B" w:rsidP="00927E1F">
            <w:pPr>
              <w:rPr>
                <w:color w:val="000000"/>
                <w:sz w:val="17"/>
                <w:szCs w:val="17"/>
              </w:rPr>
            </w:pPr>
          </w:p>
        </w:tc>
      </w:tr>
      <w:tr w:rsidR="007A287B" w:rsidRPr="00C258AD" w:rsidTr="007A287B">
        <w:trPr>
          <w:cantSplit/>
        </w:trPr>
        <w:tc>
          <w:tcPr>
            <w:tcW w:w="946" w:type="pct"/>
            <w:tcBorders>
              <w:top w:val="nil"/>
              <w:left w:val="single" w:sz="4" w:space="0" w:color="auto"/>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Réduction de la consommation d’eau résultant, entre autres, de l’utilisation des eaux du lac au lieu des eaux de la ville</w:t>
            </w:r>
          </w:p>
        </w:tc>
        <w:tc>
          <w:tcPr>
            <w:tcW w:w="655"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19 500</w:t>
            </w:r>
          </w:p>
        </w:tc>
        <w:tc>
          <w:tcPr>
            <w:tcW w:w="654"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125 500</w:t>
            </w:r>
          </w:p>
        </w:tc>
        <w:tc>
          <w:tcPr>
            <w:tcW w:w="709"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w:t>
            </w:r>
          </w:p>
        </w:tc>
        <w:tc>
          <w:tcPr>
            <w:tcW w:w="869"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w:t>
            </w:r>
          </w:p>
        </w:tc>
        <w:tc>
          <w:tcPr>
            <w:tcW w:w="1167"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p>
        </w:tc>
      </w:tr>
      <w:tr w:rsidR="007A287B" w:rsidRPr="00C258AD" w:rsidTr="007A287B">
        <w:trPr>
          <w:cantSplit/>
        </w:trPr>
        <w:tc>
          <w:tcPr>
            <w:tcW w:w="946" w:type="pct"/>
            <w:tcBorders>
              <w:top w:val="single" w:sz="4" w:space="0" w:color="auto"/>
              <w:left w:val="single" w:sz="4" w:space="0" w:color="auto"/>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lastRenderedPageBreak/>
              <w:t>Réduction du tarif de l’électricité du fait de l’engagement d’un nouveau fournisseur à l’issue d’un appel d’offres avec d’autres organismes des Nations Unies basés à Genève</w:t>
            </w:r>
          </w:p>
          <w:p w:rsidR="007A287B" w:rsidRPr="00C258AD" w:rsidRDefault="007A287B" w:rsidP="00927E1F">
            <w:pPr>
              <w:rPr>
                <w:color w:val="000000"/>
                <w:sz w:val="17"/>
                <w:szCs w:val="17"/>
              </w:rPr>
            </w:pPr>
          </w:p>
        </w:tc>
        <w:tc>
          <w:tcPr>
            <w:tcW w:w="655" w:type="pct"/>
            <w:tcBorders>
              <w:top w:val="single" w:sz="4" w:space="0" w:color="auto"/>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sans objet</w:t>
            </w:r>
          </w:p>
        </w:tc>
        <w:tc>
          <w:tcPr>
            <w:tcW w:w="654" w:type="pct"/>
            <w:tcBorders>
              <w:top w:val="single" w:sz="4" w:space="0" w:color="auto"/>
              <w:left w:val="nil"/>
              <w:bottom w:val="single" w:sz="4" w:space="0" w:color="auto"/>
              <w:right w:val="single" w:sz="4" w:space="0" w:color="auto"/>
            </w:tcBorders>
            <w:shd w:val="clear" w:color="auto" w:fill="auto"/>
          </w:tcPr>
          <w:p w:rsidR="007A287B" w:rsidRPr="00C258AD" w:rsidRDefault="007A287B" w:rsidP="00927E1F">
            <w:pPr>
              <w:rPr>
                <w:sz w:val="17"/>
                <w:szCs w:val="17"/>
              </w:rPr>
            </w:pPr>
            <w:r w:rsidRPr="00C258AD">
              <w:rPr>
                <w:color w:val="000000"/>
                <w:sz w:val="17"/>
                <w:szCs w:val="17"/>
              </w:rPr>
              <w:t> </w:t>
            </w:r>
            <w:r w:rsidRPr="00C258AD">
              <w:rPr>
                <w:sz w:val="17"/>
                <w:szCs w:val="17"/>
              </w:rPr>
              <w:t>164 000</w:t>
            </w:r>
          </w:p>
          <w:p w:rsidR="007A287B" w:rsidRPr="00C258AD" w:rsidRDefault="007A287B" w:rsidP="00927E1F">
            <w:pPr>
              <w:rPr>
                <w:color w:val="000000"/>
                <w:sz w:val="17"/>
                <w:szCs w:val="17"/>
              </w:rPr>
            </w:pPr>
          </w:p>
        </w:tc>
        <w:tc>
          <w:tcPr>
            <w:tcW w:w="709" w:type="pct"/>
            <w:tcBorders>
              <w:top w:val="single" w:sz="4" w:space="0" w:color="auto"/>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p>
        </w:tc>
        <w:tc>
          <w:tcPr>
            <w:tcW w:w="869" w:type="pct"/>
            <w:tcBorders>
              <w:top w:val="single" w:sz="4" w:space="0" w:color="auto"/>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p>
        </w:tc>
        <w:tc>
          <w:tcPr>
            <w:tcW w:w="1167" w:type="pct"/>
            <w:tcBorders>
              <w:top w:val="single" w:sz="4" w:space="0" w:color="auto"/>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Le contrat avec le nouveau fournisseur est entré en vigueur le 1</w:t>
            </w:r>
            <w:r w:rsidRPr="00C258AD">
              <w:rPr>
                <w:color w:val="000000"/>
                <w:sz w:val="17"/>
                <w:szCs w:val="17"/>
                <w:vertAlign w:val="superscript"/>
              </w:rPr>
              <w:t>er</w:t>
            </w:r>
            <w:r w:rsidRPr="00C258AD">
              <w:rPr>
                <w:color w:val="000000"/>
                <w:sz w:val="17"/>
                <w:szCs w:val="17"/>
              </w:rPr>
              <w:t> janvier 2015.</w:t>
            </w:r>
          </w:p>
          <w:p w:rsidR="007A287B" w:rsidRPr="00C258AD" w:rsidRDefault="007A287B" w:rsidP="00927E1F">
            <w:pPr>
              <w:rPr>
                <w:color w:val="000000"/>
                <w:sz w:val="17"/>
                <w:szCs w:val="17"/>
              </w:rPr>
            </w:pPr>
          </w:p>
        </w:tc>
      </w:tr>
      <w:tr w:rsidR="007A287B" w:rsidRPr="00C258AD" w:rsidTr="007A287B">
        <w:trPr>
          <w:cantSplit/>
        </w:trPr>
        <w:tc>
          <w:tcPr>
            <w:tcW w:w="946" w:type="pct"/>
            <w:tcBorders>
              <w:top w:val="single" w:sz="4" w:space="0" w:color="auto"/>
              <w:left w:val="single" w:sz="4" w:space="0" w:color="auto"/>
              <w:bottom w:val="single" w:sz="4" w:space="0" w:color="auto"/>
              <w:right w:val="single" w:sz="4" w:space="0" w:color="auto"/>
            </w:tcBorders>
            <w:shd w:val="clear" w:color="auto" w:fill="auto"/>
            <w:hideMark/>
          </w:tcPr>
          <w:p w:rsidR="007A287B" w:rsidRPr="00C258AD" w:rsidRDefault="007A287B" w:rsidP="00153B24">
            <w:pPr>
              <w:rPr>
                <w:color w:val="000000"/>
                <w:sz w:val="17"/>
                <w:szCs w:val="17"/>
              </w:rPr>
            </w:pPr>
            <w:r w:rsidRPr="00C258AD">
              <w:rPr>
                <w:color w:val="000000"/>
                <w:sz w:val="17"/>
                <w:szCs w:val="17"/>
              </w:rPr>
              <w:t>Résiliation des baux de location des sites de stockage</w:t>
            </w:r>
          </w:p>
        </w:tc>
        <w:tc>
          <w:tcPr>
            <w:tcW w:w="655"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12 178</w:t>
            </w:r>
          </w:p>
          <w:p w:rsidR="007A287B" w:rsidRPr="00C258AD" w:rsidRDefault="007A287B" w:rsidP="00927E1F">
            <w:pPr>
              <w:rPr>
                <w:color w:val="000000"/>
                <w:sz w:val="17"/>
                <w:szCs w:val="17"/>
              </w:rPr>
            </w:pPr>
            <w:r w:rsidRPr="00C258AD">
              <w:rPr>
                <w:color w:val="000000"/>
                <w:sz w:val="17"/>
                <w:szCs w:val="17"/>
              </w:rPr>
              <w:t>(7 845 francs suisses pour Meyrin IV et</w:t>
            </w:r>
          </w:p>
          <w:p w:rsidR="007A287B" w:rsidRPr="00C258AD" w:rsidRDefault="007A287B" w:rsidP="00927E1F">
            <w:pPr>
              <w:rPr>
                <w:sz w:val="17"/>
                <w:szCs w:val="17"/>
              </w:rPr>
            </w:pPr>
            <w:r w:rsidRPr="00C258AD">
              <w:rPr>
                <w:color w:val="000000"/>
                <w:sz w:val="17"/>
                <w:szCs w:val="17"/>
              </w:rPr>
              <w:t xml:space="preserve">4 333 francs suisses pour La </w:t>
            </w:r>
            <w:proofErr w:type="spellStart"/>
            <w:r w:rsidRPr="00C258AD">
              <w:rPr>
                <w:color w:val="000000"/>
                <w:sz w:val="17"/>
                <w:szCs w:val="17"/>
              </w:rPr>
              <w:t>Praille</w:t>
            </w:r>
            <w:proofErr w:type="spellEnd"/>
            <w:r w:rsidRPr="00C258AD">
              <w:rPr>
                <w:color w:val="000000"/>
                <w:sz w:val="17"/>
                <w:szCs w:val="17"/>
              </w:rPr>
              <w:t>)</w:t>
            </w:r>
          </w:p>
          <w:p w:rsidR="007A287B" w:rsidRPr="00C258AD" w:rsidRDefault="007A287B" w:rsidP="00927E1F">
            <w:pPr>
              <w:rPr>
                <w:color w:val="000000"/>
                <w:sz w:val="17"/>
                <w:szCs w:val="17"/>
              </w:rPr>
            </w:pPr>
          </w:p>
        </w:tc>
        <w:tc>
          <w:tcPr>
            <w:tcW w:w="654"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54 150</w:t>
            </w:r>
          </w:p>
          <w:p w:rsidR="007A287B" w:rsidRPr="00C258AD" w:rsidRDefault="007A287B" w:rsidP="00927E1F">
            <w:pPr>
              <w:rPr>
                <w:color w:val="000000"/>
                <w:sz w:val="17"/>
                <w:szCs w:val="17"/>
              </w:rPr>
            </w:pPr>
            <w:r w:rsidRPr="00C258AD">
              <w:rPr>
                <w:color w:val="000000"/>
                <w:sz w:val="17"/>
                <w:szCs w:val="17"/>
              </w:rPr>
              <w:t>(31 380 francs suisses pour Meyrin IV</w:t>
            </w:r>
          </w:p>
          <w:p w:rsidR="007A287B" w:rsidRPr="00C258AD" w:rsidRDefault="007A287B" w:rsidP="00927E1F">
            <w:pPr>
              <w:rPr>
                <w:color w:val="000000"/>
                <w:sz w:val="17"/>
                <w:szCs w:val="17"/>
              </w:rPr>
            </w:pPr>
            <w:r w:rsidRPr="00C258AD">
              <w:rPr>
                <w:color w:val="000000"/>
                <w:sz w:val="17"/>
                <w:szCs w:val="17"/>
              </w:rPr>
              <w:t xml:space="preserve">15 000 francs suisses pour La </w:t>
            </w:r>
            <w:proofErr w:type="spellStart"/>
            <w:r w:rsidRPr="00C258AD">
              <w:rPr>
                <w:color w:val="000000"/>
                <w:sz w:val="17"/>
                <w:szCs w:val="17"/>
              </w:rPr>
              <w:t>Praille</w:t>
            </w:r>
            <w:proofErr w:type="spellEnd"/>
            <w:r w:rsidRPr="00C258AD">
              <w:rPr>
                <w:color w:val="000000"/>
                <w:sz w:val="17"/>
                <w:szCs w:val="17"/>
              </w:rPr>
              <w:t xml:space="preserve"> et</w:t>
            </w:r>
          </w:p>
          <w:p w:rsidR="007A287B" w:rsidRPr="00C258AD" w:rsidRDefault="007A287B" w:rsidP="00927E1F">
            <w:pPr>
              <w:rPr>
                <w:sz w:val="17"/>
                <w:szCs w:val="17"/>
              </w:rPr>
            </w:pPr>
            <w:r w:rsidRPr="00C258AD">
              <w:rPr>
                <w:color w:val="000000"/>
                <w:sz w:val="17"/>
                <w:szCs w:val="17"/>
              </w:rPr>
              <w:t>7 770 francs suisses pour Meyrin II)</w:t>
            </w:r>
          </w:p>
          <w:p w:rsidR="007A287B" w:rsidRPr="00C258AD" w:rsidRDefault="007A287B" w:rsidP="00927E1F">
            <w:pPr>
              <w:rPr>
                <w:sz w:val="17"/>
                <w:szCs w:val="17"/>
              </w:rPr>
            </w:pPr>
          </w:p>
          <w:p w:rsidR="007A287B" w:rsidRPr="00C258AD" w:rsidRDefault="007A287B" w:rsidP="00927E1F">
            <w:pPr>
              <w:rPr>
                <w:color w:val="000000"/>
                <w:sz w:val="17"/>
                <w:szCs w:val="17"/>
              </w:rPr>
            </w:pPr>
          </w:p>
        </w:tc>
        <w:tc>
          <w:tcPr>
            <w:tcW w:w="709"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p>
        </w:tc>
        <w:tc>
          <w:tcPr>
            <w:tcW w:w="869"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p>
        </w:tc>
        <w:tc>
          <w:tcPr>
            <w:tcW w:w="1167"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xml:space="preserve">Le bail de location du site de stockage Meyrin IV a été résilié le 30 septembre 2014;  celui de La </w:t>
            </w:r>
            <w:proofErr w:type="spellStart"/>
            <w:r w:rsidRPr="00C258AD">
              <w:rPr>
                <w:color w:val="000000"/>
                <w:sz w:val="17"/>
                <w:szCs w:val="17"/>
              </w:rPr>
              <w:t>Praille</w:t>
            </w:r>
            <w:proofErr w:type="spellEnd"/>
            <w:r w:rsidRPr="00C258AD">
              <w:rPr>
                <w:color w:val="000000"/>
                <w:sz w:val="17"/>
                <w:szCs w:val="17"/>
              </w:rPr>
              <w:t>, en novembre 2014.</w:t>
            </w:r>
          </w:p>
          <w:p w:rsidR="007A287B" w:rsidRPr="00C258AD" w:rsidRDefault="007A287B" w:rsidP="00927E1F">
            <w:pPr>
              <w:rPr>
                <w:color w:val="000000"/>
                <w:sz w:val="17"/>
                <w:szCs w:val="17"/>
              </w:rPr>
            </w:pPr>
          </w:p>
          <w:p w:rsidR="007A287B" w:rsidRPr="00C258AD" w:rsidRDefault="007A287B" w:rsidP="00927E1F">
            <w:pPr>
              <w:rPr>
                <w:sz w:val="17"/>
                <w:szCs w:val="17"/>
              </w:rPr>
            </w:pPr>
            <w:r w:rsidRPr="00C258AD">
              <w:rPr>
                <w:color w:val="000000"/>
                <w:sz w:val="17"/>
                <w:szCs w:val="17"/>
              </w:rPr>
              <w:t>En 2015, le bail de location du site de Meyrin II a été résilié par anticipation (avant la date fixée par le contrat, à la fin janvier 2016, et en accord avec le locataire suivant).</w:t>
            </w:r>
          </w:p>
        </w:tc>
      </w:tr>
      <w:tr w:rsidR="007A287B" w:rsidRPr="00C258AD" w:rsidTr="007A287B">
        <w:trPr>
          <w:cantSplit/>
        </w:trPr>
        <w:tc>
          <w:tcPr>
            <w:tcW w:w="946" w:type="pct"/>
            <w:tcBorders>
              <w:top w:val="nil"/>
              <w:left w:val="single" w:sz="4" w:space="0" w:color="auto"/>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Résiliation, en plusieurs fois, de 32 abonnements au Parking des Nations, entre août et décembre 2014</w:t>
            </w:r>
          </w:p>
        </w:tc>
        <w:tc>
          <w:tcPr>
            <w:tcW w:w="655"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3 404</w:t>
            </w:r>
          </w:p>
        </w:tc>
        <w:tc>
          <w:tcPr>
            <w:tcW w:w="654" w:type="pct"/>
            <w:tcBorders>
              <w:top w:val="nil"/>
              <w:left w:val="nil"/>
              <w:bottom w:val="single" w:sz="4" w:space="0" w:color="auto"/>
              <w:right w:val="single" w:sz="4" w:space="0" w:color="auto"/>
            </w:tcBorders>
            <w:shd w:val="clear" w:color="auto" w:fill="auto"/>
            <w:hideMark/>
          </w:tcPr>
          <w:p w:rsidR="007A287B" w:rsidRPr="00C258AD" w:rsidRDefault="007A287B" w:rsidP="00927E1F">
            <w:pPr>
              <w:rPr>
                <w:sz w:val="17"/>
                <w:szCs w:val="17"/>
              </w:rPr>
            </w:pPr>
            <w:r w:rsidRPr="00C258AD">
              <w:rPr>
                <w:color w:val="000000"/>
                <w:sz w:val="17"/>
                <w:szCs w:val="17"/>
              </w:rPr>
              <w:t>61 440</w:t>
            </w:r>
          </w:p>
          <w:p w:rsidR="007A287B" w:rsidRPr="00C258AD" w:rsidRDefault="007A287B" w:rsidP="00927E1F">
            <w:pPr>
              <w:rPr>
                <w:color w:val="000000"/>
                <w:sz w:val="17"/>
                <w:szCs w:val="17"/>
              </w:rPr>
            </w:pPr>
          </w:p>
        </w:tc>
        <w:tc>
          <w:tcPr>
            <w:tcW w:w="709"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w:t>
            </w:r>
          </w:p>
        </w:tc>
        <w:tc>
          <w:tcPr>
            <w:tcW w:w="869"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w:t>
            </w:r>
          </w:p>
        </w:tc>
        <w:tc>
          <w:tcPr>
            <w:tcW w:w="1167" w:type="pct"/>
            <w:tcBorders>
              <w:top w:val="nil"/>
              <w:left w:val="nil"/>
              <w:bottom w:val="single" w:sz="4" w:space="0" w:color="auto"/>
              <w:right w:val="single" w:sz="4" w:space="0" w:color="auto"/>
            </w:tcBorders>
            <w:shd w:val="clear" w:color="auto" w:fill="auto"/>
            <w:hideMark/>
          </w:tcPr>
          <w:p w:rsidR="007A287B" w:rsidRPr="00C258AD" w:rsidRDefault="007A287B" w:rsidP="00927E1F">
            <w:pPr>
              <w:rPr>
                <w:sz w:val="17"/>
                <w:szCs w:val="17"/>
              </w:rPr>
            </w:pPr>
          </w:p>
          <w:p w:rsidR="007A287B" w:rsidRPr="00C258AD" w:rsidRDefault="007A287B" w:rsidP="00927E1F">
            <w:pPr>
              <w:rPr>
                <w:color w:val="000000"/>
                <w:sz w:val="17"/>
                <w:szCs w:val="17"/>
              </w:rPr>
            </w:pPr>
          </w:p>
        </w:tc>
      </w:tr>
      <w:tr w:rsidR="007A287B" w:rsidRPr="00C258AD" w:rsidTr="007A287B">
        <w:trPr>
          <w:cantSplit/>
        </w:trPr>
        <w:tc>
          <w:tcPr>
            <w:tcW w:w="946" w:type="pct"/>
            <w:tcBorders>
              <w:top w:val="nil"/>
              <w:left w:val="single" w:sz="4" w:space="0" w:color="auto"/>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Résiliation, en plusieurs fois, de 20 abonnements supplémentaires au Parking des Nations en 2015</w:t>
            </w:r>
          </w:p>
        </w:tc>
        <w:tc>
          <w:tcPr>
            <w:tcW w:w="655"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 xml:space="preserve">sans objet </w:t>
            </w:r>
          </w:p>
        </w:tc>
        <w:tc>
          <w:tcPr>
            <w:tcW w:w="654" w:type="pct"/>
            <w:tcBorders>
              <w:top w:val="nil"/>
              <w:left w:val="nil"/>
              <w:bottom w:val="single" w:sz="4" w:space="0" w:color="auto"/>
              <w:right w:val="single" w:sz="4" w:space="0" w:color="auto"/>
            </w:tcBorders>
            <w:shd w:val="clear" w:color="auto" w:fill="auto"/>
          </w:tcPr>
          <w:p w:rsidR="007A287B" w:rsidRPr="00C258AD" w:rsidRDefault="007A287B" w:rsidP="00927E1F">
            <w:pPr>
              <w:rPr>
                <w:sz w:val="17"/>
                <w:szCs w:val="17"/>
              </w:rPr>
            </w:pPr>
            <w:r w:rsidRPr="00C258AD">
              <w:rPr>
                <w:color w:val="000000"/>
                <w:sz w:val="17"/>
                <w:szCs w:val="17"/>
              </w:rPr>
              <w:t>62 052</w:t>
            </w:r>
          </w:p>
          <w:p w:rsidR="007A287B" w:rsidRPr="00C258AD" w:rsidRDefault="007A287B" w:rsidP="00927E1F">
            <w:pPr>
              <w:rPr>
                <w:color w:val="000000"/>
                <w:sz w:val="17"/>
                <w:szCs w:val="17"/>
              </w:rPr>
            </w:pPr>
          </w:p>
          <w:p w:rsidR="007A287B" w:rsidRPr="00C258AD" w:rsidRDefault="007A287B" w:rsidP="00927E1F">
            <w:pPr>
              <w:jc w:val="center"/>
              <w:rPr>
                <w:sz w:val="17"/>
                <w:szCs w:val="17"/>
              </w:rPr>
            </w:pPr>
          </w:p>
        </w:tc>
        <w:tc>
          <w:tcPr>
            <w:tcW w:w="709"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p>
        </w:tc>
        <w:tc>
          <w:tcPr>
            <w:tcW w:w="869"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p>
        </w:tc>
        <w:tc>
          <w:tcPr>
            <w:tcW w:w="1167"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p>
        </w:tc>
      </w:tr>
      <w:tr w:rsidR="007A287B" w:rsidRPr="00C258AD" w:rsidTr="007A287B">
        <w:trPr>
          <w:cantSplit/>
        </w:trPr>
        <w:tc>
          <w:tcPr>
            <w:tcW w:w="946" w:type="pct"/>
            <w:tcBorders>
              <w:top w:val="nil"/>
              <w:left w:val="single" w:sz="4" w:space="0" w:color="auto"/>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Résiliation de 5 abonnements dans le parking du bâtiment CAM en 2015</w:t>
            </w:r>
          </w:p>
        </w:tc>
        <w:tc>
          <w:tcPr>
            <w:tcW w:w="655"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 xml:space="preserve">sans objet </w:t>
            </w:r>
          </w:p>
        </w:tc>
        <w:tc>
          <w:tcPr>
            <w:tcW w:w="654" w:type="pct"/>
            <w:tcBorders>
              <w:top w:val="nil"/>
              <w:left w:val="nil"/>
              <w:bottom w:val="single" w:sz="4" w:space="0" w:color="auto"/>
              <w:right w:val="single" w:sz="4" w:space="0" w:color="auto"/>
            </w:tcBorders>
            <w:shd w:val="clear" w:color="auto" w:fill="auto"/>
          </w:tcPr>
          <w:p w:rsidR="007A287B" w:rsidRPr="00C258AD" w:rsidRDefault="007A287B" w:rsidP="00927E1F">
            <w:pPr>
              <w:rPr>
                <w:sz w:val="17"/>
                <w:szCs w:val="17"/>
              </w:rPr>
            </w:pPr>
            <w:r w:rsidRPr="00C258AD">
              <w:rPr>
                <w:color w:val="000000"/>
                <w:sz w:val="17"/>
                <w:szCs w:val="17"/>
              </w:rPr>
              <w:t>8 340</w:t>
            </w:r>
          </w:p>
          <w:p w:rsidR="007A287B" w:rsidRPr="00C258AD" w:rsidRDefault="007A287B" w:rsidP="00927E1F">
            <w:pPr>
              <w:rPr>
                <w:color w:val="000000"/>
                <w:sz w:val="17"/>
                <w:szCs w:val="17"/>
              </w:rPr>
            </w:pPr>
          </w:p>
        </w:tc>
        <w:tc>
          <w:tcPr>
            <w:tcW w:w="709"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p>
        </w:tc>
        <w:tc>
          <w:tcPr>
            <w:tcW w:w="869"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p>
        </w:tc>
        <w:tc>
          <w:tcPr>
            <w:tcW w:w="1167" w:type="pct"/>
            <w:tcBorders>
              <w:top w:val="nil"/>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p>
        </w:tc>
      </w:tr>
      <w:tr w:rsidR="007A287B" w:rsidRPr="00C258AD" w:rsidTr="007A287B">
        <w:trPr>
          <w:cantSplit/>
        </w:trPr>
        <w:tc>
          <w:tcPr>
            <w:tcW w:w="946" w:type="pct"/>
            <w:tcBorders>
              <w:top w:val="nil"/>
              <w:left w:val="single" w:sz="4" w:space="0" w:color="auto"/>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Réduction de l’utilisation des fournitures de bureau</w:t>
            </w:r>
          </w:p>
        </w:tc>
        <w:tc>
          <w:tcPr>
            <w:tcW w:w="655"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8 193</w:t>
            </w:r>
          </w:p>
        </w:tc>
        <w:tc>
          <w:tcPr>
            <w:tcW w:w="654" w:type="pct"/>
            <w:tcBorders>
              <w:top w:val="nil"/>
              <w:left w:val="nil"/>
              <w:bottom w:val="single" w:sz="4" w:space="0" w:color="auto"/>
              <w:right w:val="single" w:sz="4" w:space="0" w:color="auto"/>
            </w:tcBorders>
            <w:shd w:val="clear" w:color="auto" w:fill="auto"/>
            <w:hideMark/>
          </w:tcPr>
          <w:p w:rsidR="007A287B" w:rsidRPr="00C258AD" w:rsidRDefault="007A287B" w:rsidP="00927E1F">
            <w:pPr>
              <w:rPr>
                <w:sz w:val="17"/>
                <w:szCs w:val="17"/>
              </w:rPr>
            </w:pPr>
            <w:r w:rsidRPr="00C258AD">
              <w:rPr>
                <w:color w:val="000000"/>
                <w:sz w:val="17"/>
                <w:szCs w:val="17"/>
              </w:rPr>
              <w:t> 9 269</w:t>
            </w:r>
          </w:p>
          <w:p w:rsidR="007A287B" w:rsidRPr="00C258AD" w:rsidRDefault="007A287B" w:rsidP="00927E1F">
            <w:pPr>
              <w:rPr>
                <w:color w:val="000000"/>
                <w:sz w:val="17"/>
                <w:szCs w:val="17"/>
              </w:rPr>
            </w:pPr>
          </w:p>
        </w:tc>
        <w:tc>
          <w:tcPr>
            <w:tcW w:w="709"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w:t>
            </w:r>
          </w:p>
        </w:tc>
        <w:tc>
          <w:tcPr>
            <w:tcW w:w="869"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w:t>
            </w:r>
          </w:p>
        </w:tc>
        <w:tc>
          <w:tcPr>
            <w:tcW w:w="1167"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xml:space="preserve">Les économies réalisées en 2014 ont légèrement augmenté en 2015.  </w:t>
            </w:r>
          </w:p>
        </w:tc>
      </w:tr>
      <w:tr w:rsidR="007A287B" w:rsidRPr="00C258AD" w:rsidTr="007A287B">
        <w:trPr>
          <w:cantSplit/>
        </w:trPr>
        <w:tc>
          <w:tcPr>
            <w:tcW w:w="946" w:type="pct"/>
            <w:tcBorders>
              <w:top w:val="nil"/>
              <w:left w:val="single" w:sz="4" w:space="0" w:color="auto"/>
              <w:bottom w:val="single" w:sz="4" w:space="0" w:color="auto"/>
              <w:right w:val="single" w:sz="4" w:space="0" w:color="auto"/>
            </w:tcBorders>
            <w:shd w:val="clear" w:color="auto" w:fill="auto"/>
            <w:hideMark/>
          </w:tcPr>
          <w:p w:rsidR="007A287B" w:rsidRPr="00C258AD" w:rsidRDefault="007A287B" w:rsidP="00153B24">
            <w:pPr>
              <w:rPr>
                <w:color w:val="000000"/>
                <w:sz w:val="17"/>
                <w:szCs w:val="17"/>
              </w:rPr>
            </w:pPr>
            <w:r w:rsidRPr="00C258AD">
              <w:rPr>
                <w:color w:val="000000"/>
                <w:sz w:val="17"/>
                <w:szCs w:val="17"/>
              </w:rPr>
              <w:lastRenderedPageBreak/>
              <w:t>Mise en place d’un système de gestion des appareils mobiles (MDM) comprenant des services plus intégrés à un coût plus faible (OI 17/2014)</w:t>
            </w:r>
          </w:p>
        </w:tc>
        <w:tc>
          <w:tcPr>
            <w:tcW w:w="655"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112 691</w:t>
            </w:r>
          </w:p>
        </w:tc>
        <w:tc>
          <w:tcPr>
            <w:tcW w:w="654"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277 540</w:t>
            </w:r>
          </w:p>
        </w:tc>
        <w:tc>
          <w:tcPr>
            <w:tcW w:w="709" w:type="pct"/>
            <w:tcBorders>
              <w:top w:val="nil"/>
              <w:left w:val="nil"/>
              <w:bottom w:val="single" w:sz="4" w:space="0" w:color="auto"/>
              <w:right w:val="single" w:sz="4" w:space="0" w:color="auto"/>
            </w:tcBorders>
            <w:shd w:val="clear" w:color="auto" w:fill="auto"/>
            <w:hideMark/>
          </w:tcPr>
          <w:p w:rsidR="007A287B" w:rsidRPr="00C258AD" w:rsidRDefault="007A287B" w:rsidP="00153B24">
            <w:pPr>
              <w:rPr>
                <w:color w:val="000000"/>
                <w:sz w:val="17"/>
                <w:szCs w:val="17"/>
              </w:rPr>
            </w:pPr>
            <w:r w:rsidRPr="00C258AD">
              <w:rPr>
                <w:color w:val="000000"/>
                <w:sz w:val="17"/>
                <w:szCs w:val="17"/>
              </w:rPr>
              <w:t xml:space="preserve">177 francs suisses en 2013 contre 111 francs suisses </w:t>
            </w:r>
            <w:proofErr w:type="spellStart"/>
            <w:r w:rsidRPr="00C258AD">
              <w:rPr>
                <w:color w:val="000000"/>
                <w:sz w:val="17"/>
                <w:szCs w:val="17"/>
              </w:rPr>
              <w:t>in</w:t>
            </w:r>
            <w:proofErr w:type="spellEnd"/>
            <w:r w:rsidRPr="00C258AD">
              <w:rPr>
                <w:color w:val="000000"/>
                <w:sz w:val="17"/>
                <w:szCs w:val="17"/>
              </w:rPr>
              <w:t xml:space="preserve"> 2014, soit une baisse de 37% du coût mensuel moyen d’un appareil</w:t>
            </w:r>
          </w:p>
        </w:tc>
        <w:tc>
          <w:tcPr>
            <w:tcW w:w="869" w:type="pct"/>
            <w:tcBorders>
              <w:top w:val="nil"/>
              <w:left w:val="nil"/>
              <w:bottom w:val="single" w:sz="4" w:space="0" w:color="auto"/>
              <w:right w:val="single" w:sz="4" w:space="0" w:color="auto"/>
            </w:tcBorders>
            <w:shd w:val="clear" w:color="auto" w:fill="auto"/>
            <w:hideMark/>
          </w:tcPr>
          <w:p w:rsidR="007A287B" w:rsidRPr="00C258AD" w:rsidRDefault="007A287B" w:rsidP="00153B24">
            <w:pPr>
              <w:rPr>
                <w:color w:val="000000"/>
                <w:sz w:val="17"/>
                <w:szCs w:val="17"/>
              </w:rPr>
            </w:pPr>
            <w:r w:rsidRPr="00C258AD">
              <w:rPr>
                <w:color w:val="000000"/>
                <w:sz w:val="17"/>
                <w:szCs w:val="17"/>
              </w:rPr>
              <w:t>111 francs suisses en 2014 contre 115 francs suisses en 2015, soit une augmentation de 3,6% du coût mensuel moyen d’un appareil.  Le coût moyen en 2015 reste très inférieur au coût de 2013.</w:t>
            </w:r>
          </w:p>
        </w:tc>
        <w:tc>
          <w:tcPr>
            <w:tcW w:w="1167" w:type="pct"/>
            <w:tcBorders>
              <w:top w:val="nil"/>
              <w:left w:val="nil"/>
              <w:bottom w:val="single" w:sz="4" w:space="0" w:color="auto"/>
              <w:right w:val="single" w:sz="4" w:space="0" w:color="auto"/>
            </w:tcBorders>
            <w:shd w:val="clear" w:color="auto" w:fill="auto"/>
            <w:hideMark/>
          </w:tcPr>
          <w:p w:rsidR="007A287B" w:rsidRPr="00C258AD" w:rsidRDefault="007A287B" w:rsidP="007A287B">
            <w:pPr>
              <w:rPr>
                <w:color w:val="000000"/>
                <w:sz w:val="17"/>
                <w:szCs w:val="17"/>
              </w:rPr>
            </w:pPr>
            <w:r w:rsidRPr="00C258AD">
              <w:rPr>
                <w:color w:val="000000"/>
                <w:sz w:val="17"/>
                <w:szCs w:val="17"/>
              </w:rPr>
              <w:t>Les dépenses totales relatives à l’abonnement Swisscom ont baissé pour passer de 799 815 francs suisses en 2013 (374 appareils à la fin de l’année) à 520 430 francs suisses en 2014 (404 appareils à la fin de l’année).  Des coûts ponctuels ont été supportés en 2014 (166 784 francs suisses) afin de couvrir le renouvellement d’un appareil, une note de crédit Swisscom correspondant à l’achat d’appareils, des licences MDM et l’installation des infrastructures MDM.  En 2015, le total des dépenses s’est établi à 522 276 francs suisses (364 appareils à la fin de l’année).</w:t>
            </w:r>
          </w:p>
        </w:tc>
      </w:tr>
      <w:tr w:rsidR="007A287B" w:rsidRPr="00C258AD" w:rsidTr="007A287B">
        <w:trPr>
          <w:cantSplit/>
        </w:trPr>
        <w:tc>
          <w:tcPr>
            <w:tcW w:w="946" w:type="pct"/>
            <w:tcBorders>
              <w:top w:val="single" w:sz="4" w:space="0" w:color="auto"/>
              <w:left w:val="single" w:sz="4" w:space="0" w:color="auto"/>
              <w:bottom w:val="single" w:sz="4" w:space="0" w:color="auto"/>
              <w:right w:val="single" w:sz="4" w:space="0" w:color="auto"/>
            </w:tcBorders>
            <w:shd w:val="clear" w:color="auto" w:fill="auto"/>
          </w:tcPr>
          <w:p w:rsidR="007A287B" w:rsidRPr="00C258AD" w:rsidRDefault="007A287B" w:rsidP="00153B24">
            <w:pPr>
              <w:rPr>
                <w:color w:val="000000"/>
                <w:sz w:val="17"/>
                <w:szCs w:val="17"/>
              </w:rPr>
            </w:pPr>
            <w:r w:rsidRPr="00C258AD">
              <w:rPr>
                <w:color w:val="000000"/>
                <w:sz w:val="17"/>
                <w:szCs w:val="17"/>
              </w:rPr>
              <w:t>Mise en œuvre d’une nouvelle politique de gestion des boîtes aux lettres électroniques à partir de mars 2015.</w:t>
            </w:r>
          </w:p>
        </w:tc>
        <w:tc>
          <w:tcPr>
            <w:tcW w:w="655" w:type="pct"/>
            <w:tcBorders>
              <w:top w:val="single" w:sz="4" w:space="0" w:color="auto"/>
              <w:left w:val="nil"/>
              <w:bottom w:val="single" w:sz="4" w:space="0" w:color="auto"/>
              <w:right w:val="single" w:sz="4" w:space="0" w:color="auto"/>
            </w:tcBorders>
            <w:shd w:val="clear" w:color="auto" w:fill="auto"/>
          </w:tcPr>
          <w:p w:rsidR="007A287B" w:rsidRPr="00C258AD" w:rsidRDefault="007A287B" w:rsidP="00153B24">
            <w:pPr>
              <w:rPr>
                <w:color w:val="000000"/>
                <w:sz w:val="17"/>
                <w:szCs w:val="17"/>
              </w:rPr>
            </w:pPr>
            <w:r w:rsidRPr="00C258AD">
              <w:rPr>
                <w:color w:val="000000"/>
                <w:sz w:val="17"/>
                <w:szCs w:val="17"/>
              </w:rPr>
              <w:t>sans objet</w:t>
            </w:r>
          </w:p>
        </w:tc>
        <w:tc>
          <w:tcPr>
            <w:tcW w:w="654" w:type="pct"/>
            <w:tcBorders>
              <w:top w:val="single" w:sz="4" w:space="0" w:color="auto"/>
              <w:left w:val="nil"/>
              <w:bottom w:val="single" w:sz="4" w:space="0" w:color="auto"/>
              <w:right w:val="nil"/>
            </w:tcBorders>
            <w:shd w:val="clear" w:color="auto" w:fill="auto"/>
          </w:tcPr>
          <w:p w:rsidR="007A287B" w:rsidRPr="00C258AD" w:rsidRDefault="007A287B" w:rsidP="00927E1F">
            <w:pPr>
              <w:rPr>
                <w:color w:val="000000"/>
                <w:sz w:val="17"/>
                <w:szCs w:val="17"/>
              </w:rPr>
            </w:pPr>
            <w:r w:rsidRPr="00C258AD">
              <w:rPr>
                <w:color w:val="000000"/>
                <w:sz w:val="17"/>
                <w:szCs w:val="17"/>
              </w:rPr>
              <w:t>70 000</w:t>
            </w:r>
          </w:p>
        </w:tc>
        <w:tc>
          <w:tcPr>
            <w:tcW w:w="709" w:type="pct"/>
            <w:tcBorders>
              <w:top w:val="single" w:sz="4" w:space="0" w:color="auto"/>
              <w:left w:val="single" w:sz="4" w:space="0" w:color="auto"/>
              <w:bottom w:val="single" w:sz="4" w:space="0" w:color="auto"/>
              <w:right w:val="single" w:sz="4" w:space="0" w:color="auto"/>
            </w:tcBorders>
            <w:shd w:val="clear" w:color="auto" w:fill="auto"/>
          </w:tcPr>
          <w:p w:rsidR="007A287B" w:rsidRPr="00C258AD" w:rsidRDefault="007A287B" w:rsidP="00927E1F">
            <w:pPr>
              <w:rPr>
                <w:color w:val="000000"/>
                <w:sz w:val="17"/>
                <w:szCs w:val="17"/>
              </w:rPr>
            </w:pPr>
          </w:p>
        </w:tc>
        <w:tc>
          <w:tcPr>
            <w:tcW w:w="869" w:type="pct"/>
            <w:tcBorders>
              <w:top w:val="single" w:sz="4" w:space="0" w:color="auto"/>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p>
        </w:tc>
        <w:tc>
          <w:tcPr>
            <w:tcW w:w="1167" w:type="pct"/>
            <w:tcBorders>
              <w:top w:val="single" w:sz="4" w:space="0" w:color="auto"/>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Cette nouvelle politique a permis d’archiver et de nettoyer progressivement plus de 1480 anciennes boîtes aux lettres électroniques au cours de l’année 2015, ce qui constitue une réduction nette d’environ 113 000 francs suisses par an.  D’autres coûts continueront ainsi d’être évités au cours de l’exercice biennal 2016</w:t>
            </w:r>
            <w:r w:rsidRPr="00C258AD">
              <w:rPr>
                <w:color w:val="000000"/>
                <w:sz w:val="17"/>
                <w:szCs w:val="17"/>
              </w:rPr>
              <w:noBreakHyphen/>
              <w:t>2017.</w:t>
            </w:r>
          </w:p>
        </w:tc>
      </w:tr>
      <w:tr w:rsidR="007A287B" w:rsidRPr="00C258AD" w:rsidTr="007A287B">
        <w:trPr>
          <w:cantSplit/>
        </w:trPr>
        <w:tc>
          <w:tcPr>
            <w:tcW w:w="946" w:type="pct"/>
            <w:tcBorders>
              <w:top w:val="single" w:sz="4" w:space="0" w:color="auto"/>
              <w:left w:val="single" w:sz="4" w:space="0" w:color="auto"/>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lastRenderedPageBreak/>
              <w:t>Réduction des coûts de traduction résultant de la renégociation des contrats avec les traducteurs externes, du lancement d’autres appels d’offres internationaux afin de répondre aux besoins de traduction en arabe, en chinois et en russe, compte tenu des enseignements tirés en matière de sous</w:t>
            </w:r>
            <w:r w:rsidRPr="00C258AD">
              <w:rPr>
                <w:color w:val="000000"/>
                <w:sz w:val="17"/>
                <w:szCs w:val="17"/>
              </w:rPr>
              <w:noBreakHyphen/>
              <w:t xml:space="preserve">traitance de traductions vers le français et l’espagnol, et de l’utilisation d’outils de traduction et de terminologie assistées par ordinateur </w:t>
            </w:r>
          </w:p>
        </w:tc>
        <w:tc>
          <w:tcPr>
            <w:tcW w:w="655"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153B24">
            <w:pPr>
              <w:rPr>
                <w:color w:val="000000"/>
                <w:sz w:val="17"/>
                <w:szCs w:val="17"/>
              </w:rPr>
            </w:pPr>
            <w:r w:rsidRPr="00C258AD">
              <w:rPr>
                <w:color w:val="000000"/>
                <w:sz w:val="17"/>
                <w:szCs w:val="17"/>
              </w:rPr>
              <w:t>306 375</w:t>
            </w:r>
          </w:p>
        </w:tc>
        <w:tc>
          <w:tcPr>
            <w:tcW w:w="654" w:type="pct"/>
            <w:tcBorders>
              <w:top w:val="single" w:sz="4" w:space="0" w:color="auto"/>
              <w:left w:val="nil"/>
              <w:bottom w:val="single" w:sz="4" w:space="0" w:color="auto"/>
              <w:right w:val="nil"/>
            </w:tcBorders>
            <w:shd w:val="clear" w:color="auto" w:fill="auto"/>
            <w:hideMark/>
          </w:tcPr>
          <w:p w:rsidR="007A287B" w:rsidRPr="00C258AD" w:rsidRDefault="007A287B" w:rsidP="00927E1F">
            <w:pPr>
              <w:rPr>
                <w:color w:val="000000"/>
                <w:sz w:val="17"/>
                <w:szCs w:val="17"/>
              </w:rPr>
            </w:pPr>
            <w:r w:rsidRPr="00C258AD">
              <w:rPr>
                <w:color w:val="000000"/>
                <w:sz w:val="17"/>
                <w:szCs w:val="17"/>
              </w:rPr>
              <w:t>601 084</w:t>
            </w:r>
          </w:p>
        </w:tc>
        <w:tc>
          <w:tcPr>
            <w:tcW w:w="709" w:type="pct"/>
            <w:tcBorders>
              <w:top w:val="single" w:sz="4" w:space="0" w:color="auto"/>
              <w:left w:val="single" w:sz="4" w:space="0" w:color="auto"/>
              <w:bottom w:val="single" w:sz="4" w:space="0" w:color="auto"/>
              <w:right w:val="single" w:sz="4" w:space="0" w:color="auto"/>
            </w:tcBorders>
            <w:shd w:val="clear" w:color="auto" w:fill="auto"/>
            <w:hideMark/>
          </w:tcPr>
          <w:p w:rsidR="007A287B" w:rsidRPr="00C258AD" w:rsidRDefault="007A287B" w:rsidP="00153B24">
            <w:pPr>
              <w:rPr>
                <w:color w:val="000000"/>
                <w:sz w:val="17"/>
                <w:szCs w:val="17"/>
              </w:rPr>
            </w:pPr>
            <w:r w:rsidRPr="00C258AD">
              <w:rPr>
                <w:color w:val="000000"/>
                <w:sz w:val="17"/>
                <w:szCs w:val="17"/>
              </w:rPr>
              <w:t>0,63 francs suisses en 2013 contre 0,59 franc suisse en 2014 (soit une réduction du coût de la traduction au mot de 0,04 franc suisse)</w:t>
            </w:r>
          </w:p>
        </w:tc>
        <w:tc>
          <w:tcPr>
            <w:tcW w:w="869"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xml:space="preserve">Coût au mot encore réduit à 0,57 franc suisse en 2015 (soit une baisse supplémentaire de 0,02 franc suisse).  </w:t>
            </w:r>
          </w:p>
        </w:tc>
        <w:tc>
          <w:tcPr>
            <w:tcW w:w="1167"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w:t>
            </w:r>
          </w:p>
        </w:tc>
      </w:tr>
      <w:tr w:rsidR="007A287B" w:rsidRPr="00C258AD" w:rsidTr="007A287B">
        <w:trPr>
          <w:cantSplit/>
        </w:trPr>
        <w:tc>
          <w:tcPr>
            <w:tcW w:w="946" w:type="pct"/>
            <w:tcBorders>
              <w:top w:val="single" w:sz="4" w:space="0" w:color="auto"/>
              <w:left w:val="single" w:sz="4" w:space="0" w:color="auto"/>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Réduction des coûts d’impression résultant de la renégociation du contrat de base pour les imprimeurs</w:t>
            </w:r>
          </w:p>
        </w:tc>
        <w:tc>
          <w:tcPr>
            <w:tcW w:w="655"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153B24">
            <w:pPr>
              <w:rPr>
                <w:color w:val="000000"/>
                <w:sz w:val="17"/>
                <w:szCs w:val="17"/>
              </w:rPr>
            </w:pPr>
            <w:r w:rsidRPr="00C258AD">
              <w:rPr>
                <w:color w:val="000000"/>
                <w:sz w:val="17"/>
                <w:szCs w:val="17"/>
              </w:rPr>
              <w:t>243 000***</w:t>
            </w:r>
          </w:p>
        </w:tc>
        <w:tc>
          <w:tcPr>
            <w:tcW w:w="654"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399 000</w:t>
            </w:r>
          </w:p>
        </w:tc>
        <w:tc>
          <w:tcPr>
            <w:tcW w:w="709"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xml:space="preserve">Baisse du coût par page qui passe de 0,20 franc suisse en 2013 à 0,15 franc suisse en 2014, soit une baisse de 26%*** </w:t>
            </w:r>
          </w:p>
        </w:tc>
        <w:tc>
          <w:tcPr>
            <w:tcW w:w="869"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xml:space="preserve">Le coût par page en 2015 est resté le même qu’en 2014, soit 0,15 franc suisse </w:t>
            </w:r>
          </w:p>
        </w:tc>
        <w:tc>
          <w:tcPr>
            <w:tcW w:w="1167"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w:t>
            </w:r>
          </w:p>
        </w:tc>
      </w:tr>
      <w:tr w:rsidR="007A287B" w:rsidRPr="00C258AD" w:rsidTr="007A287B">
        <w:trPr>
          <w:cantSplit/>
        </w:trPr>
        <w:tc>
          <w:tcPr>
            <w:tcW w:w="946" w:type="pct"/>
            <w:tcBorders>
              <w:top w:val="nil"/>
              <w:left w:val="single" w:sz="4" w:space="0" w:color="auto"/>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Réduction des coûts postaux résultant de la négociation de tarifs plus bas avec des prestataires de services postaux externes et du groupement d’adresses</w:t>
            </w:r>
          </w:p>
        </w:tc>
        <w:tc>
          <w:tcPr>
            <w:tcW w:w="655" w:type="pct"/>
            <w:tcBorders>
              <w:top w:val="nil"/>
              <w:left w:val="nil"/>
              <w:bottom w:val="single" w:sz="4" w:space="0" w:color="auto"/>
              <w:right w:val="single" w:sz="4" w:space="0" w:color="auto"/>
            </w:tcBorders>
            <w:shd w:val="clear" w:color="auto" w:fill="auto"/>
            <w:hideMark/>
          </w:tcPr>
          <w:p w:rsidR="007A287B" w:rsidRPr="00C258AD" w:rsidRDefault="007A287B" w:rsidP="00153B24">
            <w:pPr>
              <w:rPr>
                <w:color w:val="000000"/>
                <w:sz w:val="17"/>
                <w:szCs w:val="17"/>
              </w:rPr>
            </w:pPr>
            <w:r w:rsidRPr="00C258AD">
              <w:rPr>
                <w:color w:val="000000"/>
                <w:sz w:val="17"/>
                <w:szCs w:val="17"/>
              </w:rPr>
              <w:t>71 662***</w:t>
            </w:r>
          </w:p>
        </w:tc>
        <w:tc>
          <w:tcPr>
            <w:tcW w:w="654"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189 367</w:t>
            </w:r>
          </w:p>
        </w:tc>
        <w:tc>
          <w:tcPr>
            <w:tcW w:w="709"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w:t>
            </w:r>
          </w:p>
        </w:tc>
        <w:tc>
          <w:tcPr>
            <w:tcW w:w="869"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w:t>
            </w:r>
          </w:p>
        </w:tc>
        <w:tc>
          <w:tcPr>
            <w:tcW w:w="1167" w:type="pct"/>
            <w:tcBorders>
              <w:top w:val="nil"/>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2014 : les renégociations des contrats avec les services postaux ont permis de réduire globalement les coûts d’expédition de 4% par rapport à 2013.</w:t>
            </w:r>
          </w:p>
          <w:p w:rsidR="007A287B" w:rsidRPr="00C258AD" w:rsidRDefault="007A287B" w:rsidP="00927E1F">
            <w:pPr>
              <w:rPr>
                <w:color w:val="000000"/>
                <w:sz w:val="17"/>
                <w:szCs w:val="17"/>
              </w:rPr>
            </w:pPr>
          </w:p>
          <w:p w:rsidR="007A287B" w:rsidRPr="00C258AD" w:rsidRDefault="007A287B" w:rsidP="007A287B">
            <w:pPr>
              <w:rPr>
                <w:color w:val="000000"/>
                <w:sz w:val="17"/>
                <w:szCs w:val="17"/>
              </w:rPr>
            </w:pPr>
            <w:r w:rsidRPr="00C258AD">
              <w:rPr>
                <w:color w:val="000000"/>
                <w:sz w:val="17"/>
                <w:szCs w:val="17"/>
              </w:rPr>
              <w:t>2015 : réduction de 11% en 2015 par rapport à 2013.</w:t>
            </w:r>
          </w:p>
        </w:tc>
      </w:tr>
      <w:tr w:rsidR="007A287B" w:rsidRPr="00C258AD" w:rsidTr="007A287B">
        <w:trPr>
          <w:cantSplit/>
        </w:trPr>
        <w:tc>
          <w:tcPr>
            <w:tcW w:w="946" w:type="pct"/>
            <w:tcBorders>
              <w:top w:val="single" w:sz="4" w:space="0" w:color="auto"/>
              <w:left w:val="single" w:sz="4" w:space="0" w:color="auto"/>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lastRenderedPageBreak/>
              <w:t>Réduction du nombre d’agents de sécurité externes et de leur quantité d’heures de travail.</w:t>
            </w:r>
          </w:p>
        </w:tc>
        <w:tc>
          <w:tcPr>
            <w:tcW w:w="655"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331 882***</w:t>
            </w:r>
          </w:p>
          <w:p w:rsidR="007A287B" w:rsidRPr="00C258AD" w:rsidRDefault="007A287B" w:rsidP="00927E1F">
            <w:pPr>
              <w:rPr>
                <w:color w:val="000000"/>
                <w:sz w:val="17"/>
                <w:szCs w:val="17"/>
              </w:rPr>
            </w:pPr>
          </w:p>
          <w:p w:rsidR="007A287B" w:rsidRPr="00C258AD" w:rsidRDefault="007A287B" w:rsidP="00927E1F">
            <w:pPr>
              <w:rPr>
                <w:color w:val="000000"/>
                <w:sz w:val="17"/>
                <w:szCs w:val="17"/>
              </w:rPr>
            </w:pPr>
          </w:p>
        </w:tc>
        <w:tc>
          <w:tcPr>
            <w:tcW w:w="654"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708 739</w:t>
            </w:r>
          </w:p>
        </w:tc>
        <w:tc>
          <w:tcPr>
            <w:tcW w:w="709"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w:t>
            </w:r>
          </w:p>
        </w:tc>
        <w:tc>
          <w:tcPr>
            <w:tcW w:w="869"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w:t>
            </w:r>
          </w:p>
        </w:tc>
        <w:tc>
          <w:tcPr>
            <w:tcW w:w="1167"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contextualSpacing/>
              <w:rPr>
                <w:sz w:val="17"/>
                <w:szCs w:val="17"/>
              </w:rPr>
            </w:pPr>
            <w:r w:rsidRPr="00C258AD">
              <w:rPr>
                <w:sz w:val="17"/>
                <w:szCs w:val="17"/>
              </w:rPr>
              <w:t>2014 : une réduction globale de 8,4% (331 882 francs suisses) a été observée par rapport à 2013 (3 943 837 francs suisses) – 3 611 955 francs suisses en 2014 – résultant de la diminution du nombre d’agents de sécurité ARNDT en 2014 et d’une réduction de 25% des exigences en matière de capacité d’intensification</w:t>
            </w:r>
          </w:p>
          <w:p w:rsidR="007A287B" w:rsidRPr="00C258AD" w:rsidRDefault="007A287B" w:rsidP="00927E1F">
            <w:pPr>
              <w:contextualSpacing/>
              <w:rPr>
                <w:sz w:val="17"/>
                <w:szCs w:val="17"/>
              </w:rPr>
            </w:pPr>
          </w:p>
          <w:p w:rsidR="007A287B" w:rsidRPr="00C258AD" w:rsidRDefault="007A287B" w:rsidP="007A287B">
            <w:pPr>
              <w:contextualSpacing/>
              <w:rPr>
                <w:color w:val="000000"/>
                <w:sz w:val="17"/>
                <w:szCs w:val="17"/>
              </w:rPr>
            </w:pPr>
            <w:r w:rsidRPr="00C258AD">
              <w:rPr>
                <w:sz w:val="17"/>
                <w:szCs w:val="17"/>
              </w:rPr>
              <w:t>2015 : une réduction globale de 17,9% (708 739 francs suisses) a été observée par rapport à 2013 – 3 235 098 francs suisses en 2015 – résultant du redéploiement intelligent d’agents de sécurité ARNDT après la mise en place de portillons d’accès automatiques et du Centre des opérations de coordination de sécurité dans le cadre du projet H</w:t>
            </w:r>
            <w:r w:rsidRPr="00C258AD">
              <w:rPr>
                <w:sz w:val="17"/>
                <w:szCs w:val="17"/>
              </w:rPr>
              <w:noBreakHyphen/>
              <w:t>MOSS.  Ces mesures ont permis de réduire la quantité totale d’heures de travail effectuées par les agents de sécurité et de réduire de 29% les exigences en matière de capacité d’intensification</w:t>
            </w:r>
          </w:p>
        </w:tc>
      </w:tr>
      <w:tr w:rsidR="007A287B" w:rsidRPr="00C258AD" w:rsidTr="007A287B">
        <w:trPr>
          <w:cantSplit/>
        </w:trPr>
        <w:tc>
          <w:tcPr>
            <w:tcW w:w="946" w:type="pct"/>
            <w:tcBorders>
              <w:top w:val="single" w:sz="4" w:space="0" w:color="auto"/>
              <w:left w:val="single" w:sz="4" w:space="0" w:color="auto"/>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lastRenderedPageBreak/>
              <w:t>Baisse des coûts généraux pour le traitement des demandes internationales dans le cadre du système de La Haye</w:t>
            </w:r>
          </w:p>
        </w:tc>
        <w:tc>
          <w:tcPr>
            <w:tcW w:w="655"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w:t>
            </w:r>
          </w:p>
        </w:tc>
        <w:tc>
          <w:tcPr>
            <w:tcW w:w="654"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 </w:t>
            </w:r>
          </w:p>
        </w:tc>
        <w:tc>
          <w:tcPr>
            <w:tcW w:w="709"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7A287B">
            <w:pPr>
              <w:rPr>
                <w:color w:val="000000"/>
                <w:sz w:val="17"/>
                <w:szCs w:val="17"/>
              </w:rPr>
            </w:pPr>
            <w:r w:rsidRPr="00C258AD">
              <w:rPr>
                <w:color w:val="000000"/>
                <w:sz w:val="17"/>
                <w:szCs w:val="17"/>
              </w:rPr>
              <w:t>Baisse du coût unitaire par dessin ou modèle nouveau ou renouvelé, qui passe de 420 francs suisses en 2013 à 366 francs suisses en 2014 (soit une baisse de 54 francs suisses ou 13%).  Baisse du coût unitaire par document enregistré, qui passe de 1 570 francs suisses en 2013 à 1 483 francs suisses en 2014 (soit une baisse de 87 francs suisses ou 5,5%).</w:t>
            </w:r>
          </w:p>
        </w:tc>
        <w:tc>
          <w:tcPr>
            <w:tcW w:w="869"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Réduction supplémentaire du coût unitaire par dessin ou modèle nouveau ou renouvelé, qui passe de 366 francs suisses en 2014 à 337 francs suisses en 2015 (soit une baisse de 29 francs suisses ou 7,9%).  Réduction supplémentaire du coût unitaire par document enregistré, qui passe de 1 483 francs suisses en 2014 à 1 153 francs suisses en 2015 (soit une baisse de 330 francs suisses ou 22,3%)</w:t>
            </w:r>
          </w:p>
        </w:tc>
        <w:tc>
          <w:tcPr>
            <w:tcW w:w="1167"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Voir le rapport sur l’exécution du programme en 2014</w:t>
            </w:r>
            <w:r w:rsidRPr="00C258AD">
              <w:rPr>
                <w:color w:val="000000"/>
                <w:sz w:val="17"/>
                <w:szCs w:val="17"/>
              </w:rPr>
              <w:noBreakHyphen/>
              <w:t>2015 pour plus d’informations sur les indicateurs relatifs aux opérations du système de La Haye.</w:t>
            </w:r>
          </w:p>
        </w:tc>
      </w:tr>
      <w:tr w:rsidR="007A287B" w:rsidRPr="00C258AD" w:rsidTr="007A287B">
        <w:trPr>
          <w:cantSplit/>
        </w:trPr>
        <w:tc>
          <w:tcPr>
            <w:tcW w:w="946" w:type="pct"/>
            <w:tcBorders>
              <w:top w:val="single" w:sz="4" w:space="0" w:color="auto"/>
              <w:left w:val="single" w:sz="4" w:space="0" w:color="auto"/>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 xml:space="preserve">Baisse </w:t>
            </w:r>
            <w:proofErr w:type="gramStart"/>
            <w:r w:rsidRPr="00C258AD">
              <w:rPr>
                <w:color w:val="000000"/>
                <w:sz w:val="17"/>
                <w:szCs w:val="17"/>
              </w:rPr>
              <w:t>des primes résultant</w:t>
            </w:r>
            <w:proofErr w:type="gramEnd"/>
            <w:r w:rsidRPr="00C258AD">
              <w:rPr>
                <w:color w:val="000000"/>
                <w:sz w:val="17"/>
                <w:szCs w:val="17"/>
              </w:rPr>
              <w:t xml:space="preserve"> de la renégociation du contrat d’assurance pour les accidents professionnels </w:t>
            </w:r>
          </w:p>
        </w:tc>
        <w:tc>
          <w:tcPr>
            <w:tcW w:w="655" w:type="pct"/>
            <w:tcBorders>
              <w:top w:val="single" w:sz="4" w:space="0" w:color="auto"/>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sans objet</w:t>
            </w:r>
          </w:p>
        </w:tc>
        <w:tc>
          <w:tcPr>
            <w:tcW w:w="654" w:type="pct"/>
            <w:tcBorders>
              <w:top w:val="single" w:sz="4" w:space="0" w:color="auto"/>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200 000</w:t>
            </w:r>
          </w:p>
        </w:tc>
        <w:tc>
          <w:tcPr>
            <w:tcW w:w="709" w:type="pct"/>
            <w:tcBorders>
              <w:top w:val="single" w:sz="4" w:space="0" w:color="auto"/>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p>
        </w:tc>
        <w:tc>
          <w:tcPr>
            <w:tcW w:w="869" w:type="pct"/>
            <w:tcBorders>
              <w:top w:val="single" w:sz="4" w:space="0" w:color="auto"/>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p>
        </w:tc>
        <w:tc>
          <w:tcPr>
            <w:tcW w:w="1167" w:type="pct"/>
            <w:tcBorders>
              <w:top w:val="single" w:sz="4" w:space="0" w:color="auto"/>
              <w:left w:val="nil"/>
              <w:bottom w:val="single" w:sz="4" w:space="0" w:color="auto"/>
              <w:right w:val="single" w:sz="4" w:space="0" w:color="auto"/>
            </w:tcBorders>
            <w:shd w:val="clear" w:color="auto" w:fill="auto"/>
          </w:tcPr>
          <w:p w:rsidR="007A287B" w:rsidRPr="00C258AD" w:rsidRDefault="007A287B" w:rsidP="00927E1F">
            <w:pPr>
              <w:rPr>
                <w:color w:val="000000"/>
                <w:sz w:val="17"/>
                <w:szCs w:val="17"/>
              </w:rPr>
            </w:pPr>
            <w:r w:rsidRPr="00C258AD">
              <w:rPr>
                <w:color w:val="000000"/>
                <w:sz w:val="17"/>
                <w:szCs w:val="17"/>
              </w:rPr>
              <w:t>La renégociation de l’assurance accidents professionnels a permis d’économiser quelque 200 000 francs suisses en 2015.</w:t>
            </w:r>
          </w:p>
        </w:tc>
      </w:tr>
    </w:tbl>
    <w:p w:rsidR="007A287B" w:rsidRPr="00C258AD" w:rsidRDefault="007A287B" w:rsidP="007A287B">
      <w:pPr>
        <w:rPr>
          <w:i/>
          <w:sz w:val="18"/>
          <w:szCs w:val="18"/>
        </w:rPr>
      </w:pPr>
    </w:p>
    <w:p w:rsidR="007A287B" w:rsidRPr="00C258AD" w:rsidRDefault="007A287B" w:rsidP="007A287B">
      <w:pPr>
        <w:rPr>
          <w:i/>
          <w:sz w:val="18"/>
          <w:szCs w:val="18"/>
        </w:rPr>
      </w:pPr>
      <w:r w:rsidRPr="00C258AD">
        <w:rPr>
          <w:i/>
          <w:sz w:val="18"/>
          <w:szCs w:val="18"/>
        </w:rPr>
        <w:t>Il se peut que les chiffres ne s’additionnent pas en raison de l’arrondi.</w:t>
      </w:r>
    </w:p>
    <w:p w:rsidR="007A287B" w:rsidRPr="00C258AD" w:rsidRDefault="007A287B" w:rsidP="007A287B">
      <w:pPr>
        <w:rPr>
          <w:i/>
          <w:sz w:val="18"/>
          <w:szCs w:val="18"/>
        </w:rPr>
      </w:pPr>
      <w:r w:rsidRPr="00C258AD">
        <w:rPr>
          <w:i/>
          <w:sz w:val="18"/>
          <w:szCs w:val="18"/>
        </w:rPr>
        <w:t>*Informations telles que figurant dans le document WO/PBC/23/COST EFFICIENCIES REALIZED IN 2014, sauf indication contraire</w:t>
      </w:r>
    </w:p>
    <w:p w:rsidR="007A287B" w:rsidRPr="00C258AD" w:rsidRDefault="007A287B" w:rsidP="007A287B">
      <w:pPr>
        <w:rPr>
          <w:i/>
          <w:sz w:val="18"/>
          <w:szCs w:val="18"/>
        </w:rPr>
      </w:pPr>
      <w:r w:rsidRPr="00C258AD">
        <w:rPr>
          <w:i/>
          <w:sz w:val="18"/>
          <w:szCs w:val="18"/>
        </w:rPr>
        <w:t>**Économies annuelles en 2015 par rapport à 2013</w:t>
      </w:r>
    </w:p>
    <w:p w:rsidR="007A287B" w:rsidRPr="00C258AD" w:rsidRDefault="007A287B" w:rsidP="007A287B">
      <w:pPr>
        <w:rPr>
          <w:i/>
          <w:sz w:val="18"/>
          <w:szCs w:val="18"/>
        </w:rPr>
      </w:pPr>
      <w:r w:rsidRPr="00C258AD">
        <w:rPr>
          <w:i/>
          <w:sz w:val="18"/>
          <w:szCs w:val="18"/>
        </w:rPr>
        <w:t>***Chiffres révisés en avril 2016</w:t>
      </w:r>
    </w:p>
    <w:p w:rsidR="007A287B" w:rsidRPr="00C258AD" w:rsidRDefault="007A287B" w:rsidP="007A287B">
      <w:pPr>
        <w:jc w:val="center"/>
        <w:rPr>
          <w:b/>
          <w:sz w:val="18"/>
          <w:szCs w:val="18"/>
        </w:rPr>
      </w:pPr>
    </w:p>
    <w:p w:rsidR="007A287B" w:rsidRPr="00C258AD" w:rsidRDefault="007A287B" w:rsidP="007A287B">
      <w:pPr>
        <w:jc w:val="center"/>
        <w:rPr>
          <w:b/>
          <w:sz w:val="18"/>
          <w:szCs w:val="18"/>
        </w:rPr>
      </w:pPr>
    </w:p>
    <w:p w:rsidR="007A287B" w:rsidRPr="00C258AD" w:rsidRDefault="007A287B" w:rsidP="007A287B">
      <w:pPr>
        <w:keepNext/>
        <w:keepLines/>
        <w:jc w:val="center"/>
        <w:rPr>
          <w:szCs w:val="18"/>
        </w:rPr>
      </w:pPr>
      <w:r w:rsidRPr="00C258AD">
        <w:rPr>
          <w:szCs w:val="18"/>
        </w:rPr>
        <w:lastRenderedPageBreak/>
        <w:t>RECOUVREMENTS DE COÛTS EN 2014</w:t>
      </w:r>
      <w:r w:rsidRPr="00C258AD">
        <w:rPr>
          <w:szCs w:val="18"/>
        </w:rPr>
        <w:noBreakHyphen/>
        <w:t>2015</w:t>
      </w:r>
    </w:p>
    <w:p w:rsidR="007A287B" w:rsidRPr="00C258AD" w:rsidRDefault="007A287B" w:rsidP="007A287B">
      <w:pPr>
        <w:keepNext/>
        <w:keepLines/>
        <w:jc w:val="center"/>
        <w:rPr>
          <w:sz w:val="18"/>
          <w:szCs w:val="18"/>
        </w:rPr>
      </w:pPr>
    </w:p>
    <w:p w:rsidR="007A287B" w:rsidRPr="00C258AD" w:rsidRDefault="007A287B" w:rsidP="007A287B">
      <w:pPr>
        <w:keepNext/>
        <w:keepLines/>
        <w:jc w:val="center"/>
        <w:rPr>
          <w:b/>
          <w:sz w:val="18"/>
          <w:szCs w:val="18"/>
        </w:rPr>
      </w:pPr>
    </w:p>
    <w:tbl>
      <w:tblPr>
        <w:tblW w:w="5000" w:type="pct"/>
        <w:tblInd w:w="-176" w:type="dxa"/>
        <w:tblCellMar>
          <w:top w:w="113" w:type="dxa"/>
          <w:left w:w="68" w:type="dxa"/>
          <w:bottom w:w="113" w:type="dxa"/>
          <w:right w:w="68" w:type="dxa"/>
        </w:tblCellMar>
        <w:tblLook w:val="04A0" w:firstRow="1" w:lastRow="0" w:firstColumn="1" w:lastColumn="0" w:noHBand="0" w:noVBand="1"/>
      </w:tblPr>
      <w:tblGrid>
        <w:gridCol w:w="1637"/>
        <w:gridCol w:w="1097"/>
        <w:gridCol w:w="1097"/>
        <w:gridCol w:w="1358"/>
        <w:gridCol w:w="1366"/>
        <w:gridCol w:w="1697"/>
        <w:gridCol w:w="1239"/>
      </w:tblGrid>
      <w:tr w:rsidR="007A287B" w:rsidRPr="00C258AD" w:rsidTr="007A287B">
        <w:trPr>
          <w:cantSplit/>
        </w:trPr>
        <w:tc>
          <w:tcPr>
            <w:tcW w:w="867" w:type="pct"/>
            <w:tcBorders>
              <w:top w:val="single" w:sz="4" w:space="0" w:color="auto"/>
              <w:left w:val="single" w:sz="4" w:space="0" w:color="auto"/>
              <w:bottom w:val="nil"/>
              <w:right w:val="single" w:sz="4" w:space="0" w:color="auto"/>
            </w:tcBorders>
            <w:shd w:val="clear" w:color="000000" w:fill="8DB4E2"/>
            <w:vAlign w:val="center"/>
            <w:hideMark/>
          </w:tcPr>
          <w:p w:rsidR="007A287B" w:rsidRPr="00C258AD" w:rsidRDefault="007A287B" w:rsidP="00927E1F">
            <w:pPr>
              <w:keepNext/>
              <w:keepLines/>
              <w:jc w:val="center"/>
              <w:rPr>
                <w:b/>
                <w:bCs/>
                <w:color w:val="000000"/>
                <w:sz w:val="18"/>
                <w:szCs w:val="18"/>
              </w:rPr>
            </w:pPr>
            <w:r w:rsidRPr="00C258AD">
              <w:rPr>
                <w:b/>
                <w:bCs/>
                <w:color w:val="000000"/>
                <w:sz w:val="18"/>
                <w:szCs w:val="18"/>
              </w:rPr>
              <w:t>Recouvrement des coûts</w:t>
            </w:r>
          </w:p>
          <w:p w:rsidR="007A287B" w:rsidRPr="00C258AD" w:rsidRDefault="007A287B" w:rsidP="00927E1F">
            <w:pPr>
              <w:keepNext/>
              <w:keepLines/>
              <w:jc w:val="center"/>
              <w:rPr>
                <w:b/>
                <w:bCs/>
                <w:color w:val="000000"/>
                <w:sz w:val="18"/>
                <w:szCs w:val="18"/>
              </w:rPr>
            </w:pPr>
          </w:p>
          <w:p w:rsidR="007A287B" w:rsidRPr="00C258AD" w:rsidRDefault="007A287B" w:rsidP="00927E1F">
            <w:pPr>
              <w:keepNext/>
              <w:keepLines/>
              <w:jc w:val="center"/>
              <w:rPr>
                <w:b/>
                <w:bCs/>
                <w:color w:val="000000"/>
                <w:sz w:val="18"/>
                <w:szCs w:val="18"/>
              </w:rPr>
            </w:pPr>
          </w:p>
          <w:p w:rsidR="007A287B" w:rsidRPr="00C258AD" w:rsidRDefault="007A287B" w:rsidP="00927E1F">
            <w:pPr>
              <w:keepNext/>
              <w:keepLines/>
              <w:jc w:val="center"/>
              <w:rPr>
                <w:b/>
                <w:bCs/>
                <w:color w:val="000000"/>
                <w:sz w:val="18"/>
                <w:szCs w:val="18"/>
              </w:rPr>
            </w:pPr>
          </w:p>
          <w:p w:rsidR="007A287B" w:rsidRPr="00C258AD" w:rsidRDefault="007A287B" w:rsidP="00927E1F">
            <w:pPr>
              <w:keepNext/>
              <w:keepLines/>
              <w:jc w:val="center"/>
              <w:rPr>
                <w:b/>
                <w:bCs/>
                <w:color w:val="000000"/>
                <w:sz w:val="18"/>
                <w:szCs w:val="18"/>
              </w:rPr>
            </w:pPr>
          </w:p>
          <w:p w:rsidR="007A287B" w:rsidRPr="00C258AD" w:rsidRDefault="007A287B" w:rsidP="00927E1F">
            <w:pPr>
              <w:keepNext/>
              <w:keepLines/>
              <w:jc w:val="center"/>
              <w:rPr>
                <w:b/>
                <w:bCs/>
                <w:color w:val="000000"/>
                <w:sz w:val="18"/>
                <w:szCs w:val="18"/>
              </w:rPr>
            </w:pPr>
            <w:r w:rsidRPr="00C258AD">
              <w:rPr>
                <w:b/>
                <w:bCs/>
                <w:color w:val="000000"/>
                <w:sz w:val="18"/>
                <w:szCs w:val="18"/>
              </w:rPr>
              <w:t>A</w:t>
            </w:r>
          </w:p>
        </w:tc>
        <w:tc>
          <w:tcPr>
            <w:tcW w:w="550" w:type="pct"/>
            <w:tcBorders>
              <w:top w:val="single" w:sz="4" w:space="0" w:color="auto"/>
              <w:left w:val="nil"/>
              <w:bottom w:val="nil"/>
              <w:right w:val="single" w:sz="4" w:space="0" w:color="auto"/>
            </w:tcBorders>
            <w:shd w:val="clear" w:color="000000" w:fill="8DB4E2"/>
            <w:vAlign w:val="center"/>
            <w:hideMark/>
          </w:tcPr>
          <w:p w:rsidR="007A287B" w:rsidRPr="00C258AD" w:rsidRDefault="007A287B" w:rsidP="00927E1F">
            <w:pPr>
              <w:keepNext/>
              <w:keepLines/>
              <w:jc w:val="center"/>
              <w:rPr>
                <w:b/>
                <w:bCs/>
                <w:color w:val="000000"/>
                <w:sz w:val="18"/>
                <w:szCs w:val="18"/>
              </w:rPr>
            </w:pPr>
            <w:r w:rsidRPr="00C258AD">
              <w:rPr>
                <w:b/>
                <w:bCs/>
                <w:color w:val="000000"/>
                <w:sz w:val="18"/>
                <w:szCs w:val="18"/>
              </w:rPr>
              <w:t>Économies annuelles en 2014 *</w:t>
            </w:r>
            <w:r w:rsidRPr="00C258AD">
              <w:rPr>
                <w:b/>
                <w:bCs/>
                <w:color w:val="000000"/>
                <w:sz w:val="18"/>
                <w:szCs w:val="18"/>
              </w:rPr>
              <w:br/>
              <w:t>(en francs suisses)</w:t>
            </w:r>
          </w:p>
          <w:p w:rsidR="007A287B" w:rsidRPr="00C258AD" w:rsidRDefault="007A287B" w:rsidP="00927E1F">
            <w:pPr>
              <w:keepNext/>
              <w:keepLines/>
              <w:jc w:val="center"/>
              <w:rPr>
                <w:b/>
                <w:bCs/>
                <w:color w:val="000000"/>
                <w:sz w:val="18"/>
                <w:szCs w:val="18"/>
              </w:rPr>
            </w:pPr>
          </w:p>
          <w:p w:rsidR="007A287B" w:rsidRPr="00C258AD" w:rsidRDefault="007A287B" w:rsidP="00927E1F">
            <w:pPr>
              <w:keepNext/>
              <w:keepLines/>
              <w:jc w:val="center"/>
              <w:rPr>
                <w:b/>
                <w:bCs/>
                <w:color w:val="000000"/>
                <w:sz w:val="18"/>
                <w:szCs w:val="18"/>
              </w:rPr>
            </w:pPr>
            <w:r w:rsidRPr="00C258AD">
              <w:rPr>
                <w:b/>
                <w:bCs/>
                <w:color w:val="000000"/>
                <w:sz w:val="18"/>
                <w:szCs w:val="18"/>
              </w:rPr>
              <w:t>B</w:t>
            </w:r>
          </w:p>
        </w:tc>
        <w:tc>
          <w:tcPr>
            <w:tcW w:w="580" w:type="pct"/>
            <w:tcBorders>
              <w:top w:val="single" w:sz="4" w:space="0" w:color="auto"/>
              <w:left w:val="nil"/>
              <w:bottom w:val="nil"/>
              <w:right w:val="single" w:sz="4" w:space="0" w:color="auto"/>
            </w:tcBorders>
            <w:shd w:val="clear" w:color="000000" w:fill="8DB4E2"/>
            <w:vAlign w:val="center"/>
            <w:hideMark/>
          </w:tcPr>
          <w:p w:rsidR="007A287B" w:rsidRPr="00C258AD" w:rsidRDefault="007A287B" w:rsidP="00927E1F">
            <w:pPr>
              <w:keepNext/>
              <w:keepLines/>
              <w:jc w:val="center"/>
              <w:rPr>
                <w:b/>
                <w:bCs/>
                <w:color w:val="000000"/>
                <w:sz w:val="18"/>
                <w:szCs w:val="18"/>
              </w:rPr>
            </w:pPr>
            <w:r w:rsidRPr="00C258AD">
              <w:rPr>
                <w:b/>
                <w:bCs/>
                <w:color w:val="000000"/>
                <w:sz w:val="18"/>
                <w:szCs w:val="18"/>
              </w:rPr>
              <w:t>Économies annuelles en 2015</w:t>
            </w:r>
            <w:r w:rsidRPr="00C258AD">
              <w:rPr>
                <w:b/>
                <w:bCs/>
                <w:color w:val="000000"/>
                <w:sz w:val="18"/>
                <w:szCs w:val="18"/>
              </w:rPr>
              <w:br/>
              <w:t>(en francs suisses)</w:t>
            </w:r>
          </w:p>
          <w:p w:rsidR="007A287B" w:rsidRPr="00C258AD" w:rsidRDefault="007A287B" w:rsidP="00927E1F">
            <w:pPr>
              <w:keepNext/>
              <w:keepLines/>
              <w:jc w:val="center"/>
              <w:rPr>
                <w:b/>
                <w:bCs/>
                <w:color w:val="000000"/>
                <w:sz w:val="18"/>
                <w:szCs w:val="18"/>
              </w:rPr>
            </w:pPr>
          </w:p>
          <w:p w:rsidR="007A287B" w:rsidRPr="00C258AD" w:rsidRDefault="007A287B" w:rsidP="00927E1F">
            <w:pPr>
              <w:keepNext/>
              <w:keepLines/>
              <w:jc w:val="center"/>
              <w:rPr>
                <w:b/>
                <w:bCs/>
                <w:color w:val="000000"/>
                <w:sz w:val="18"/>
                <w:szCs w:val="18"/>
              </w:rPr>
            </w:pPr>
            <w:r w:rsidRPr="00C258AD">
              <w:rPr>
                <w:b/>
                <w:bCs/>
                <w:color w:val="000000"/>
                <w:sz w:val="18"/>
                <w:szCs w:val="18"/>
              </w:rPr>
              <w:t>C</w:t>
            </w:r>
          </w:p>
        </w:tc>
        <w:tc>
          <w:tcPr>
            <w:tcW w:w="723" w:type="pct"/>
            <w:tcBorders>
              <w:top w:val="single" w:sz="4" w:space="0" w:color="auto"/>
              <w:left w:val="nil"/>
              <w:bottom w:val="nil"/>
              <w:right w:val="single" w:sz="4" w:space="0" w:color="auto"/>
            </w:tcBorders>
            <w:shd w:val="clear" w:color="000000" w:fill="8DB4E2"/>
            <w:vAlign w:val="center"/>
            <w:hideMark/>
          </w:tcPr>
          <w:p w:rsidR="007A287B" w:rsidRPr="00C258AD" w:rsidRDefault="007A287B" w:rsidP="00927E1F">
            <w:pPr>
              <w:keepNext/>
              <w:keepLines/>
              <w:jc w:val="center"/>
              <w:rPr>
                <w:b/>
                <w:bCs/>
                <w:color w:val="000000"/>
                <w:sz w:val="18"/>
                <w:szCs w:val="18"/>
              </w:rPr>
            </w:pPr>
            <w:r w:rsidRPr="00C258AD">
              <w:rPr>
                <w:b/>
                <w:bCs/>
                <w:color w:val="000000"/>
                <w:sz w:val="18"/>
                <w:szCs w:val="18"/>
              </w:rPr>
              <w:t>Ventilation des coûts pour 2014*</w:t>
            </w:r>
            <w:r w:rsidRPr="00C258AD">
              <w:rPr>
                <w:b/>
                <w:bCs/>
                <w:color w:val="000000"/>
                <w:sz w:val="18"/>
                <w:szCs w:val="18"/>
              </w:rPr>
              <w:br/>
              <w:t>(en francs suisses)</w:t>
            </w:r>
          </w:p>
          <w:p w:rsidR="007A287B" w:rsidRPr="00C258AD" w:rsidRDefault="007A287B" w:rsidP="00927E1F">
            <w:pPr>
              <w:keepNext/>
              <w:keepLines/>
              <w:jc w:val="center"/>
              <w:rPr>
                <w:b/>
                <w:bCs/>
                <w:color w:val="000000"/>
                <w:sz w:val="18"/>
                <w:szCs w:val="18"/>
              </w:rPr>
            </w:pPr>
          </w:p>
          <w:p w:rsidR="007A287B" w:rsidRPr="00C258AD" w:rsidRDefault="007A287B" w:rsidP="00927E1F">
            <w:pPr>
              <w:keepNext/>
              <w:keepLines/>
              <w:jc w:val="center"/>
              <w:rPr>
                <w:b/>
                <w:bCs/>
                <w:color w:val="000000"/>
                <w:sz w:val="18"/>
                <w:szCs w:val="18"/>
              </w:rPr>
            </w:pPr>
            <w:r w:rsidRPr="00C258AD">
              <w:rPr>
                <w:b/>
                <w:bCs/>
                <w:color w:val="000000"/>
                <w:sz w:val="18"/>
                <w:szCs w:val="18"/>
              </w:rPr>
              <w:t>D</w:t>
            </w:r>
          </w:p>
        </w:tc>
        <w:tc>
          <w:tcPr>
            <w:tcW w:w="724" w:type="pct"/>
            <w:tcBorders>
              <w:top w:val="single" w:sz="4" w:space="0" w:color="auto"/>
              <w:left w:val="nil"/>
              <w:bottom w:val="nil"/>
              <w:right w:val="single" w:sz="4" w:space="0" w:color="auto"/>
            </w:tcBorders>
            <w:shd w:val="clear" w:color="000000" w:fill="8DB4E2"/>
            <w:vAlign w:val="center"/>
            <w:hideMark/>
          </w:tcPr>
          <w:p w:rsidR="007A287B" w:rsidRPr="00C258AD" w:rsidRDefault="007A287B" w:rsidP="00927E1F">
            <w:pPr>
              <w:keepNext/>
              <w:keepLines/>
              <w:jc w:val="center"/>
              <w:rPr>
                <w:b/>
                <w:bCs/>
                <w:color w:val="000000"/>
                <w:sz w:val="18"/>
                <w:szCs w:val="18"/>
              </w:rPr>
            </w:pPr>
            <w:r w:rsidRPr="00C258AD">
              <w:rPr>
                <w:b/>
                <w:bCs/>
                <w:color w:val="000000"/>
                <w:sz w:val="18"/>
                <w:szCs w:val="18"/>
              </w:rPr>
              <w:t>Ventilation des coûts pour 2015</w:t>
            </w:r>
            <w:r w:rsidRPr="00C258AD">
              <w:rPr>
                <w:b/>
                <w:bCs/>
                <w:color w:val="000000"/>
                <w:sz w:val="18"/>
                <w:szCs w:val="18"/>
              </w:rPr>
              <w:br/>
              <w:t>(en francs suisses)</w:t>
            </w:r>
          </w:p>
          <w:p w:rsidR="007A287B" w:rsidRPr="00C258AD" w:rsidRDefault="007A287B" w:rsidP="00927E1F">
            <w:pPr>
              <w:keepNext/>
              <w:keepLines/>
              <w:jc w:val="center"/>
              <w:rPr>
                <w:b/>
                <w:bCs/>
                <w:color w:val="000000"/>
                <w:sz w:val="18"/>
                <w:szCs w:val="18"/>
              </w:rPr>
            </w:pPr>
          </w:p>
          <w:p w:rsidR="007A287B" w:rsidRPr="00C258AD" w:rsidRDefault="007A287B" w:rsidP="00927E1F">
            <w:pPr>
              <w:keepNext/>
              <w:keepLines/>
              <w:jc w:val="center"/>
              <w:rPr>
                <w:b/>
                <w:bCs/>
                <w:color w:val="000000"/>
                <w:sz w:val="18"/>
                <w:szCs w:val="18"/>
              </w:rPr>
            </w:pPr>
            <w:r w:rsidRPr="00C258AD">
              <w:rPr>
                <w:b/>
                <w:bCs/>
                <w:color w:val="000000"/>
                <w:sz w:val="18"/>
                <w:szCs w:val="18"/>
              </w:rPr>
              <w:t>E</w:t>
            </w:r>
          </w:p>
        </w:tc>
        <w:tc>
          <w:tcPr>
            <w:tcW w:w="898" w:type="pct"/>
            <w:tcBorders>
              <w:top w:val="single" w:sz="4" w:space="0" w:color="auto"/>
              <w:left w:val="nil"/>
              <w:bottom w:val="nil"/>
              <w:right w:val="single" w:sz="4" w:space="0" w:color="auto"/>
            </w:tcBorders>
            <w:shd w:val="clear" w:color="000000" w:fill="8DB4E2"/>
            <w:vAlign w:val="center"/>
            <w:hideMark/>
          </w:tcPr>
          <w:p w:rsidR="007A287B" w:rsidRPr="00C258AD" w:rsidRDefault="007A287B" w:rsidP="00927E1F">
            <w:pPr>
              <w:keepNext/>
              <w:keepLines/>
              <w:jc w:val="center"/>
              <w:rPr>
                <w:b/>
                <w:bCs/>
                <w:color w:val="000000"/>
                <w:sz w:val="18"/>
                <w:szCs w:val="18"/>
              </w:rPr>
            </w:pPr>
            <w:r w:rsidRPr="00C258AD">
              <w:rPr>
                <w:b/>
                <w:bCs/>
                <w:color w:val="000000"/>
                <w:sz w:val="18"/>
                <w:szCs w:val="18"/>
              </w:rPr>
              <w:t>Remarques</w:t>
            </w:r>
          </w:p>
          <w:p w:rsidR="007A287B" w:rsidRPr="00C258AD" w:rsidRDefault="007A287B" w:rsidP="00927E1F">
            <w:pPr>
              <w:keepNext/>
              <w:keepLines/>
              <w:jc w:val="center"/>
              <w:rPr>
                <w:b/>
                <w:bCs/>
                <w:color w:val="000000"/>
                <w:sz w:val="18"/>
                <w:szCs w:val="18"/>
              </w:rPr>
            </w:pPr>
          </w:p>
          <w:p w:rsidR="007A287B" w:rsidRPr="00C258AD" w:rsidRDefault="007A287B" w:rsidP="00927E1F">
            <w:pPr>
              <w:keepNext/>
              <w:keepLines/>
              <w:jc w:val="center"/>
              <w:rPr>
                <w:b/>
                <w:bCs/>
                <w:color w:val="000000"/>
                <w:sz w:val="18"/>
                <w:szCs w:val="18"/>
              </w:rPr>
            </w:pPr>
          </w:p>
          <w:p w:rsidR="007A287B" w:rsidRPr="00C258AD" w:rsidRDefault="007A287B" w:rsidP="00927E1F">
            <w:pPr>
              <w:keepNext/>
              <w:keepLines/>
              <w:jc w:val="center"/>
              <w:rPr>
                <w:b/>
                <w:bCs/>
                <w:color w:val="000000"/>
                <w:sz w:val="18"/>
                <w:szCs w:val="18"/>
              </w:rPr>
            </w:pPr>
          </w:p>
          <w:p w:rsidR="007A287B" w:rsidRPr="00C258AD" w:rsidRDefault="007A287B" w:rsidP="00927E1F">
            <w:pPr>
              <w:keepNext/>
              <w:keepLines/>
              <w:jc w:val="center"/>
              <w:rPr>
                <w:b/>
                <w:bCs/>
                <w:color w:val="000000"/>
                <w:sz w:val="18"/>
                <w:szCs w:val="18"/>
              </w:rPr>
            </w:pPr>
          </w:p>
          <w:p w:rsidR="007A287B" w:rsidRPr="00C258AD" w:rsidRDefault="007A287B" w:rsidP="00927E1F">
            <w:pPr>
              <w:keepNext/>
              <w:keepLines/>
              <w:jc w:val="center"/>
              <w:rPr>
                <w:b/>
                <w:bCs/>
                <w:color w:val="000000"/>
                <w:sz w:val="18"/>
                <w:szCs w:val="18"/>
              </w:rPr>
            </w:pPr>
          </w:p>
          <w:p w:rsidR="007A287B" w:rsidRPr="00C258AD" w:rsidRDefault="007A287B" w:rsidP="00927E1F">
            <w:pPr>
              <w:keepNext/>
              <w:keepLines/>
              <w:jc w:val="center"/>
              <w:rPr>
                <w:b/>
                <w:bCs/>
                <w:color w:val="000000"/>
                <w:sz w:val="18"/>
                <w:szCs w:val="18"/>
              </w:rPr>
            </w:pPr>
            <w:r w:rsidRPr="00C258AD">
              <w:rPr>
                <w:b/>
                <w:bCs/>
                <w:color w:val="000000"/>
                <w:sz w:val="18"/>
                <w:szCs w:val="18"/>
              </w:rPr>
              <w:t>F</w:t>
            </w:r>
          </w:p>
        </w:tc>
        <w:tc>
          <w:tcPr>
            <w:tcW w:w="657" w:type="pct"/>
            <w:tcBorders>
              <w:top w:val="single" w:sz="4" w:space="0" w:color="auto"/>
              <w:left w:val="nil"/>
              <w:bottom w:val="nil"/>
              <w:right w:val="single" w:sz="4" w:space="0" w:color="auto"/>
            </w:tcBorders>
            <w:shd w:val="clear" w:color="000000" w:fill="8DB4E2"/>
            <w:vAlign w:val="center"/>
            <w:hideMark/>
          </w:tcPr>
          <w:p w:rsidR="007A287B" w:rsidRPr="00C258AD" w:rsidRDefault="007A287B" w:rsidP="00927E1F">
            <w:pPr>
              <w:keepNext/>
              <w:keepLines/>
              <w:jc w:val="center"/>
              <w:rPr>
                <w:b/>
                <w:bCs/>
                <w:color w:val="000000"/>
                <w:sz w:val="18"/>
                <w:szCs w:val="18"/>
              </w:rPr>
            </w:pPr>
            <w:r w:rsidRPr="00C258AD">
              <w:rPr>
                <w:b/>
                <w:bCs/>
                <w:color w:val="000000"/>
                <w:sz w:val="18"/>
                <w:szCs w:val="18"/>
              </w:rPr>
              <w:t>Service responsable</w:t>
            </w:r>
          </w:p>
          <w:p w:rsidR="007A287B" w:rsidRPr="00C258AD" w:rsidRDefault="007A287B" w:rsidP="00927E1F">
            <w:pPr>
              <w:keepNext/>
              <w:keepLines/>
              <w:jc w:val="center"/>
              <w:rPr>
                <w:b/>
                <w:bCs/>
                <w:color w:val="000000"/>
                <w:sz w:val="18"/>
                <w:szCs w:val="18"/>
              </w:rPr>
            </w:pPr>
          </w:p>
          <w:p w:rsidR="007A287B" w:rsidRPr="00C258AD" w:rsidRDefault="007A287B" w:rsidP="00927E1F">
            <w:pPr>
              <w:keepNext/>
              <w:keepLines/>
              <w:jc w:val="center"/>
              <w:rPr>
                <w:b/>
                <w:bCs/>
                <w:color w:val="000000"/>
                <w:sz w:val="18"/>
                <w:szCs w:val="18"/>
              </w:rPr>
            </w:pPr>
          </w:p>
          <w:p w:rsidR="007A287B" w:rsidRPr="00C258AD" w:rsidRDefault="007A287B" w:rsidP="00927E1F">
            <w:pPr>
              <w:keepNext/>
              <w:keepLines/>
              <w:jc w:val="center"/>
              <w:rPr>
                <w:b/>
                <w:bCs/>
                <w:color w:val="000000"/>
                <w:sz w:val="18"/>
                <w:szCs w:val="18"/>
              </w:rPr>
            </w:pPr>
          </w:p>
          <w:p w:rsidR="007A287B" w:rsidRPr="00C258AD" w:rsidRDefault="007A287B" w:rsidP="00927E1F">
            <w:pPr>
              <w:keepNext/>
              <w:keepLines/>
              <w:jc w:val="center"/>
              <w:rPr>
                <w:b/>
                <w:bCs/>
                <w:color w:val="000000"/>
                <w:sz w:val="18"/>
                <w:szCs w:val="18"/>
              </w:rPr>
            </w:pPr>
          </w:p>
          <w:p w:rsidR="007A287B" w:rsidRPr="00C258AD" w:rsidRDefault="007A287B" w:rsidP="00927E1F">
            <w:pPr>
              <w:keepNext/>
              <w:keepLines/>
              <w:jc w:val="center"/>
              <w:rPr>
                <w:b/>
                <w:bCs/>
                <w:color w:val="000000"/>
                <w:sz w:val="18"/>
                <w:szCs w:val="18"/>
              </w:rPr>
            </w:pPr>
            <w:r w:rsidRPr="00C258AD">
              <w:rPr>
                <w:b/>
                <w:bCs/>
                <w:color w:val="000000"/>
                <w:sz w:val="18"/>
                <w:szCs w:val="18"/>
              </w:rPr>
              <w:t>G</w:t>
            </w:r>
          </w:p>
        </w:tc>
      </w:tr>
      <w:tr w:rsidR="007A287B" w:rsidRPr="00C258AD" w:rsidTr="007A287B">
        <w:trPr>
          <w:cantSplit/>
        </w:trPr>
        <w:tc>
          <w:tcPr>
            <w:tcW w:w="867" w:type="pct"/>
            <w:tcBorders>
              <w:top w:val="single" w:sz="4" w:space="0" w:color="auto"/>
              <w:left w:val="single" w:sz="4" w:space="0" w:color="auto"/>
              <w:bottom w:val="single" w:sz="4" w:space="0" w:color="auto"/>
              <w:right w:val="single" w:sz="4" w:space="0" w:color="auto"/>
            </w:tcBorders>
            <w:shd w:val="clear" w:color="auto" w:fill="auto"/>
            <w:hideMark/>
          </w:tcPr>
          <w:p w:rsidR="007A287B" w:rsidRPr="00C258AD" w:rsidRDefault="007A287B" w:rsidP="00927E1F">
            <w:pPr>
              <w:keepNext/>
              <w:keepLines/>
              <w:rPr>
                <w:color w:val="000000"/>
                <w:sz w:val="17"/>
                <w:szCs w:val="17"/>
              </w:rPr>
            </w:pPr>
            <w:r w:rsidRPr="00C258AD">
              <w:rPr>
                <w:color w:val="000000"/>
                <w:sz w:val="17"/>
                <w:szCs w:val="17"/>
              </w:rPr>
              <w:t>Recettes générées par la location des locaux de l’OMPI à d’autres entités**</w:t>
            </w:r>
          </w:p>
        </w:tc>
        <w:tc>
          <w:tcPr>
            <w:tcW w:w="550"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keepNext/>
              <w:keepLines/>
              <w:rPr>
                <w:color w:val="000000"/>
                <w:sz w:val="17"/>
                <w:szCs w:val="17"/>
              </w:rPr>
            </w:pPr>
            <w:r w:rsidRPr="00C258AD">
              <w:rPr>
                <w:color w:val="000000"/>
                <w:sz w:val="17"/>
                <w:szCs w:val="17"/>
              </w:rPr>
              <w:t>195 000</w:t>
            </w:r>
          </w:p>
        </w:tc>
        <w:tc>
          <w:tcPr>
            <w:tcW w:w="580"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keepNext/>
              <w:keepLines/>
              <w:rPr>
                <w:sz w:val="17"/>
                <w:szCs w:val="17"/>
              </w:rPr>
            </w:pPr>
            <w:r w:rsidRPr="00C258AD">
              <w:rPr>
                <w:color w:val="000000"/>
                <w:sz w:val="17"/>
                <w:szCs w:val="17"/>
              </w:rPr>
              <w:t> 195 000</w:t>
            </w:r>
          </w:p>
          <w:p w:rsidR="007A287B" w:rsidRPr="00C258AD" w:rsidRDefault="007A287B" w:rsidP="00927E1F">
            <w:pPr>
              <w:keepNext/>
              <w:keepLines/>
              <w:rPr>
                <w:color w:val="000000"/>
                <w:sz w:val="17"/>
                <w:szCs w:val="17"/>
              </w:rPr>
            </w:pPr>
          </w:p>
        </w:tc>
        <w:tc>
          <w:tcPr>
            <w:tcW w:w="723"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keepNext/>
              <w:keepLines/>
              <w:rPr>
                <w:color w:val="000000"/>
                <w:sz w:val="17"/>
                <w:szCs w:val="17"/>
              </w:rPr>
            </w:pPr>
            <w:r w:rsidRPr="00C258AD">
              <w:rPr>
                <w:color w:val="000000"/>
                <w:sz w:val="17"/>
                <w:szCs w:val="17"/>
              </w:rPr>
              <w:t>124 766 CIC</w:t>
            </w:r>
            <w:r w:rsidRPr="00C258AD">
              <w:rPr>
                <w:color w:val="000000"/>
                <w:sz w:val="17"/>
                <w:szCs w:val="17"/>
              </w:rPr>
              <w:br/>
              <w:t>17 500 antenne Swisscom</w:t>
            </w:r>
            <w:r w:rsidRPr="00C258AD">
              <w:rPr>
                <w:color w:val="000000"/>
                <w:sz w:val="17"/>
                <w:szCs w:val="17"/>
              </w:rPr>
              <w:br/>
              <w:t>32 500 antenne Orange</w:t>
            </w:r>
            <w:r w:rsidRPr="00C258AD">
              <w:rPr>
                <w:color w:val="000000"/>
                <w:sz w:val="17"/>
                <w:szCs w:val="17"/>
              </w:rPr>
              <w:br/>
              <w:t>9 504 AMFIE (un bureau dans le bâtiment CAM</w:t>
            </w:r>
            <w:proofErr w:type="gramStart"/>
            <w:r w:rsidRPr="00C258AD">
              <w:rPr>
                <w:color w:val="000000"/>
                <w:sz w:val="17"/>
                <w:szCs w:val="17"/>
              </w:rPr>
              <w:t>)</w:t>
            </w:r>
            <w:proofErr w:type="gramEnd"/>
            <w:r w:rsidRPr="00C258AD">
              <w:rPr>
                <w:color w:val="000000"/>
                <w:sz w:val="17"/>
                <w:szCs w:val="17"/>
              </w:rPr>
              <w:br/>
              <w:t>9 298 guichet de banque UBS dans le bâtiment GBI</w:t>
            </w:r>
          </w:p>
        </w:tc>
        <w:tc>
          <w:tcPr>
            <w:tcW w:w="724"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keepNext/>
              <w:keepLines/>
              <w:rPr>
                <w:sz w:val="17"/>
                <w:szCs w:val="17"/>
              </w:rPr>
            </w:pPr>
            <w:r w:rsidRPr="00C258AD">
              <w:rPr>
                <w:color w:val="000000"/>
                <w:sz w:val="17"/>
                <w:szCs w:val="17"/>
              </w:rPr>
              <w:t>124 766 CIC</w:t>
            </w:r>
            <w:r w:rsidRPr="00C258AD">
              <w:rPr>
                <w:color w:val="000000"/>
                <w:sz w:val="17"/>
                <w:szCs w:val="17"/>
              </w:rPr>
              <w:br/>
              <w:t>17 500 antenne Swisscom</w:t>
            </w:r>
            <w:r w:rsidRPr="00C258AD">
              <w:rPr>
                <w:color w:val="000000"/>
                <w:sz w:val="17"/>
                <w:szCs w:val="17"/>
              </w:rPr>
              <w:br/>
              <w:t>32 500 antenne Orange</w:t>
            </w:r>
            <w:r w:rsidRPr="00C258AD">
              <w:rPr>
                <w:color w:val="000000"/>
                <w:sz w:val="17"/>
                <w:szCs w:val="17"/>
              </w:rPr>
              <w:br/>
              <w:t>9 504 AMFIE (un bureau dans le bâtiment CAM</w:t>
            </w:r>
            <w:proofErr w:type="gramStart"/>
            <w:r w:rsidRPr="00C258AD">
              <w:rPr>
                <w:color w:val="000000"/>
                <w:sz w:val="17"/>
                <w:szCs w:val="17"/>
              </w:rPr>
              <w:t>)</w:t>
            </w:r>
            <w:proofErr w:type="gramEnd"/>
            <w:r w:rsidRPr="00C258AD">
              <w:rPr>
                <w:color w:val="000000"/>
                <w:sz w:val="17"/>
                <w:szCs w:val="17"/>
              </w:rPr>
              <w:br/>
              <w:t>9 298 guichet de banque UBS dans le bâtiment GBI</w:t>
            </w:r>
          </w:p>
          <w:p w:rsidR="007A287B" w:rsidRPr="00C258AD" w:rsidRDefault="007A287B" w:rsidP="00927E1F">
            <w:pPr>
              <w:keepNext/>
              <w:keepLines/>
              <w:rPr>
                <w:color w:val="000000"/>
                <w:sz w:val="17"/>
                <w:szCs w:val="17"/>
              </w:rPr>
            </w:pPr>
          </w:p>
        </w:tc>
        <w:tc>
          <w:tcPr>
            <w:tcW w:w="898"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keepNext/>
              <w:keepLines/>
              <w:rPr>
                <w:color w:val="000000"/>
                <w:sz w:val="17"/>
                <w:szCs w:val="17"/>
              </w:rPr>
            </w:pPr>
            <w:r w:rsidRPr="00C258AD">
              <w:rPr>
                <w:color w:val="000000"/>
                <w:sz w:val="17"/>
                <w:szCs w:val="17"/>
              </w:rPr>
              <w:t> </w:t>
            </w:r>
          </w:p>
        </w:tc>
        <w:tc>
          <w:tcPr>
            <w:tcW w:w="657"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keepNext/>
              <w:keepLines/>
              <w:rPr>
                <w:color w:val="000000"/>
                <w:sz w:val="17"/>
                <w:szCs w:val="17"/>
              </w:rPr>
            </w:pPr>
            <w:r w:rsidRPr="00C258AD">
              <w:rPr>
                <w:color w:val="000000"/>
                <w:sz w:val="17"/>
                <w:szCs w:val="17"/>
              </w:rPr>
              <w:t>Division de l’infrastructure des locaux</w:t>
            </w:r>
          </w:p>
        </w:tc>
      </w:tr>
      <w:tr w:rsidR="007A287B" w:rsidRPr="00C258AD" w:rsidTr="007A287B">
        <w:trPr>
          <w:cantSplit/>
        </w:trPr>
        <w:tc>
          <w:tcPr>
            <w:tcW w:w="867" w:type="pct"/>
            <w:tcBorders>
              <w:top w:val="single" w:sz="4" w:space="0" w:color="auto"/>
              <w:left w:val="single" w:sz="4" w:space="0" w:color="auto"/>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Recettes liées au</w:t>
            </w:r>
          </w:p>
          <w:p w:rsidR="007A287B" w:rsidRPr="00C258AD" w:rsidRDefault="007A287B" w:rsidP="00927E1F">
            <w:pPr>
              <w:rPr>
                <w:color w:val="000000"/>
                <w:sz w:val="17"/>
                <w:szCs w:val="17"/>
              </w:rPr>
            </w:pPr>
            <w:r w:rsidRPr="00C258AD">
              <w:rPr>
                <w:color w:val="000000"/>
                <w:sz w:val="17"/>
                <w:szCs w:val="17"/>
              </w:rPr>
              <w:t>remboursement par le fournisseur d’électricité de la différence payée entre 2013 et 2014, pour avoir atteint l’objectif annuel d’économie d’électricité, grâce aux mesures d’économie d’électricité mises en œuvre et en tant qu’incitation à réduire davantage la consommation d’électricité</w:t>
            </w:r>
          </w:p>
        </w:tc>
        <w:tc>
          <w:tcPr>
            <w:tcW w:w="550"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21 300</w:t>
            </w:r>
          </w:p>
        </w:tc>
        <w:tc>
          <w:tcPr>
            <w:tcW w:w="580"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sz w:val="17"/>
                <w:szCs w:val="17"/>
              </w:rPr>
            </w:pPr>
            <w:r w:rsidRPr="00C258AD">
              <w:rPr>
                <w:color w:val="000000"/>
                <w:sz w:val="17"/>
                <w:szCs w:val="17"/>
              </w:rPr>
              <w:t>sans objet</w:t>
            </w:r>
          </w:p>
          <w:p w:rsidR="007A287B" w:rsidRPr="00C258AD" w:rsidRDefault="007A287B" w:rsidP="00927E1F">
            <w:pPr>
              <w:rPr>
                <w:color w:val="000000"/>
                <w:sz w:val="17"/>
                <w:szCs w:val="17"/>
              </w:rPr>
            </w:pPr>
          </w:p>
        </w:tc>
        <w:tc>
          <w:tcPr>
            <w:tcW w:w="723"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Versement unique effectué par le fournisseur d’électricité à la fin de l’année</w:t>
            </w:r>
          </w:p>
        </w:tc>
        <w:tc>
          <w:tcPr>
            <w:tcW w:w="724"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sz w:val="17"/>
                <w:szCs w:val="17"/>
              </w:rPr>
            </w:pPr>
            <w:r w:rsidRPr="00C258AD">
              <w:rPr>
                <w:color w:val="000000"/>
                <w:sz w:val="17"/>
                <w:szCs w:val="17"/>
              </w:rPr>
              <w:t>sans objet</w:t>
            </w:r>
          </w:p>
          <w:p w:rsidR="007A287B" w:rsidRPr="00C258AD" w:rsidRDefault="007A287B" w:rsidP="00927E1F">
            <w:pPr>
              <w:rPr>
                <w:color w:val="000000"/>
                <w:sz w:val="17"/>
                <w:szCs w:val="17"/>
              </w:rPr>
            </w:pPr>
          </w:p>
        </w:tc>
        <w:tc>
          <w:tcPr>
            <w:tcW w:w="898"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sz w:val="17"/>
                <w:szCs w:val="17"/>
              </w:rPr>
            </w:pPr>
            <w:r w:rsidRPr="00C258AD">
              <w:rPr>
                <w:color w:val="000000"/>
                <w:sz w:val="17"/>
                <w:szCs w:val="17"/>
              </w:rPr>
              <w:t>Sans objet en 2015 étant donné que le nouveau fournisseur d’électricité, sélectionné par le biais d’un appel d’offres des organismes des Nations Unies basés à Genève, n’offre pas ce type d’incitation.</w:t>
            </w:r>
          </w:p>
          <w:p w:rsidR="007A287B" w:rsidRPr="00C258AD" w:rsidRDefault="007A287B" w:rsidP="00927E1F">
            <w:pPr>
              <w:rPr>
                <w:sz w:val="17"/>
                <w:szCs w:val="17"/>
              </w:rPr>
            </w:pPr>
          </w:p>
          <w:p w:rsidR="007A287B" w:rsidRPr="00C258AD" w:rsidRDefault="007A287B" w:rsidP="00927E1F">
            <w:pPr>
              <w:rPr>
                <w:color w:val="000000"/>
                <w:sz w:val="17"/>
                <w:szCs w:val="17"/>
              </w:rPr>
            </w:pPr>
          </w:p>
          <w:p w:rsidR="007A287B" w:rsidRPr="00C258AD" w:rsidRDefault="007A287B" w:rsidP="00927E1F">
            <w:pPr>
              <w:tabs>
                <w:tab w:val="left" w:pos="1543"/>
              </w:tabs>
              <w:rPr>
                <w:sz w:val="17"/>
                <w:szCs w:val="17"/>
              </w:rPr>
            </w:pPr>
            <w:r w:rsidRPr="00C258AD">
              <w:rPr>
                <w:sz w:val="17"/>
                <w:szCs w:val="17"/>
              </w:rPr>
              <w:tab/>
            </w:r>
          </w:p>
        </w:tc>
        <w:tc>
          <w:tcPr>
            <w:tcW w:w="657" w:type="pct"/>
            <w:tcBorders>
              <w:top w:val="single" w:sz="4" w:space="0" w:color="auto"/>
              <w:left w:val="nil"/>
              <w:bottom w:val="single" w:sz="4" w:space="0" w:color="auto"/>
              <w:right w:val="single" w:sz="4" w:space="0" w:color="auto"/>
            </w:tcBorders>
            <w:shd w:val="clear" w:color="auto" w:fill="auto"/>
            <w:hideMark/>
          </w:tcPr>
          <w:p w:rsidR="007A287B" w:rsidRPr="00C258AD" w:rsidRDefault="007A287B" w:rsidP="00927E1F">
            <w:pPr>
              <w:rPr>
                <w:color w:val="000000"/>
                <w:sz w:val="17"/>
                <w:szCs w:val="17"/>
              </w:rPr>
            </w:pPr>
            <w:r w:rsidRPr="00C258AD">
              <w:rPr>
                <w:color w:val="000000"/>
                <w:sz w:val="17"/>
                <w:szCs w:val="17"/>
              </w:rPr>
              <w:t>Division de l’infrastructure des locaux</w:t>
            </w:r>
          </w:p>
        </w:tc>
      </w:tr>
    </w:tbl>
    <w:p w:rsidR="007A287B" w:rsidRPr="00C258AD" w:rsidRDefault="007A287B" w:rsidP="007A287B">
      <w:pPr>
        <w:rPr>
          <w:i/>
          <w:sz w:val="18"/>
          <w:szCs w:val="18"/>
        </w:rPr>
      </w:pPr>
    </w:p>
    <w:p w:rsidR="007A287B" w:rsidRPr="00C258AD" w:rsidRDefault="007A287B" w:rsidP="007A287B">
      <w:pPr>
        <w:rPr>
          <w:i/>
          <w:sz w:val="18"/>
          <w:szCs w:val="18"/>
        </w:rPr>
      </w:pPr>
      <w:r w:rsidRPr="00C258AD">
        <w:rPr>
          <w:i/>
          <w:sz w:val="18"/>
          <w:szCs w:val="18"/>
        </w:rPr>
        <w:t>* Informations telles que figurant dans le document WO/PBC/23/COST EFFICIENCIES REALIZED IN 2014</w:t>
      </w:r>
    </w:p>
    <w:p w:rsidR="007A287B" w:rsidRPr="00C258AD" w:rsidRDefault="007A287B" w:rsidP="007A287B">
      <w:pPr>
        <w:rPr>
          <w:i/>
          <w:sz w:val="18"/>
          <w:szCs w:val="18"/>
        </w:rPr>
      </w:pPr>
      <w:r w:rsidRPr="00C258AD">
        <w:rPr>
          <w:i/>
          <w:sz w:val="18"/>
          <w:szCs w:val="18"/>
        </w:rPr>
        <w:t>**Les recettes annuelles provenant du CIC correspondent à des chiffres bruts, déduction non faite des réductions liées aux travaux d’amélioration mis en œuvre au cours de l’exercice 2014</w:t>
      </w:r>
      <w:r w:rsidRPr="00C258AD">
        <w:rPr>
          <w:i/>
          <w:sz w:val="18"/>
          <w:szCs w:val="18"/>
        </w:rPr>
        <w:noBreakHyphen/>
        <w:t>2015.</w:t>
      </w:r>
    </w:p>
    <w:p w:rsidR="007A287B" w:rsidRPr="00C258AD" w:rsidRDefault="007A287B" w:rsidP="007A287B"/>
    <w:p w:rsidR="007A287B" w:rsidRPr="00C258AD" w:rsidRDefault="007A287B" w:rsidP="007A287B"/>
    <w:p w:rsidR="006E2BB1" w:rsidRPr="00C258AD" w:rsidRDefault="00CA6084" w:rsidP="00CA6084">
      <w:pPr>
        <w:rPr>
          <w:rFonts w:ascii="Arial Bold" w:hAnsi="Arial Bold"/>
          <w:b/>
          <w:bCs/>
          <w:caps/>
          <w:szCs w:val="28"/>
        </w:rPr>
      </w:pPr>
      <w:r w:rsidRPr="00C258AD">
        <w:rPr>
          <w:rFonts w:ascii="Arial Bold" w:hAnsi="Arial Bold"/>
          <w:b/>
          <w:bCs/>
          <w:caps/>
          <w:szCs w:val="28"/>
        </w:rPr>
        <w:br w:type="page"/>
      </w:r>
    </w:p>
    <w:p w:rsidR="00E5009E" w:rsidRPr="00C258AD" w:rsidRDefault="00E5009E" w:rsidP="00153B24">
      <w:pPr>
        <w:pStyle w:val="Heading1"/>
        <w:jc w:val="left"/>
        <w:rPr>
          <w:lang w:val="fr-FR"/>
        </w:rPr>
      </w:pPr>
      <w:bookmarkStart w:id="19" w:name="_Toc421867752"/>
      <w:bookmarkStart w:id="20" w:name="_Toc421868019"/>
      <w:bookmarkStart w:id="21" w:name="_Toc421868069"/>
      <w:bookmarkStart w:id="22" w:name="_Toc422127323"/>
      <w:bookmarkStart w:id="23" w:name="_Toc422134318"/>
      <w:bookmarkStart w:id="24" w:name="_Toc421867753"/>
      <w:bookmarkStart w:id="25" w:name="_Toc421868020"/>
      <w:bookmarkStart w:id="26" w:name="_Toc421868070"/>
      <w:bookmarkStart w:id="27" w:name="_Toc422127324"/>
      <w:bookmarkStart w:id="28" w:name="_Toc422134319"/>
      <w:bookmarkStart w:id="29" w:name="_Toc421867754"/>
      <w:bookmarkStart w:id="30" w:name="_Toc421868021"/>
      <w:bookmarkStart w:id="31" w:name="_Toc421868071"/>
      <w:bookmarkStart w:id="32" w:name="_Toc422127325"/>
      <w:bookmarkStart w:id="33" w:name="_Toc422134320"/>
      <w:bookmarkStart w:id="34" w:name="_Toc421867755"/>
      <w:bookmarkStart w:id="35" w:name="_Toc421868022"/>
      <w:bookmarkStart w:id="36" w:name="_Toc421868072"/>
      <w:bookmarkStart w:id="37" w:name="_Toc422127326"/>
      <w:bookmarkStart w:id="38" w:name="_Toc422134321"/>
      <w:bookmarkStart w:id="39" w:name="_Toc421867756"/>
      <w:bookmarkStart w:id="40" w:name="_Toc421868023"/>
      <w:bookmarkStart w:id="41" w:name="_Toc421868073"/>
      <w:bookmarkStart w:id="42" w:name="_Toc422127327"/>
      <w:bookmarkStart w:id="43" w:name="_Toc422134322"/>
      <w:bookmarkStart w:id="44" w:name="_Toc421867757"/>
      <w:bookmarkStart w:id="45" w:name="_Toc421868024"/>
      <w:bookmarkStart w:id="46" w:name="_Toc421868074"/>
      <w:bookmarkStart w:id="47" w:name="_Toc422127328"/>
      <w:bookmarkStart w:id="48" w:name="_Toc422134323"/>
      <w:bookmarkStart w:id="49" w:name="_Toc294535814"/>
      <w:bookmarkStart w:id="50" w:name="_Toc327875006"/>
      <w:bookmarkStart w:id="51" w:name="_Toc358366918"/>
      <w:bookmarkStart w:id="52" w:name="_Toc454544460"/>
      <w:bookmarkStart w:id="53" w:name="_Toc454891217"/>
      <w:bookmarkStart w:id="54" w:name="_Toc455394175"/>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C258AD">
        <w:rPr>
          <w:lang w:val="fr-FR"/>
        </w:rPr>
        <w:lastRenderedPageBreak/>
        <w:t>Aperçu des progrès réalisé en 2014-2015 par objectif stratégique</w:t>
      </w:r>
      <w:bookmarkEnd w:id="49"/>
      <w:bookmarkEnd w:id="50"/>
      <w:bookmarkEnd w:id="51"/>
      <w:bookmarkEnd w:id="52"/>
      <w:bookmarkEnd w:id="53"/>
      <w:bookmarkEnd w:id="54"/>
    </w:p>
    <w:p w:rsidR="00E5009E" w:rsidRPr="00C258AD" w:rsidRDefault="00E5009E" w:rsidP="00E5009E">
      <w:pPr>
        <w:jc w:val="both"/>
      </w:pPr>
    </w:p>
    <w:p w:rsidR="00E5009E" w:rsidRPr="00C258AD" w:rsidRDefault="00E5009E" w:rsidP="00E5009E">
      <w:pPr>
        <w:pStyle w:val="Heading2"/>
        <w:jc w:val="center"/>
      </w:pPr>
      <w:bookmarkStart w:id="55" w:name="_Toc455394176"/>
      <w:r w:rsidRPr="00C258AD">
        <w:t>OBJECTIF STRATÉGIQUE I</w:t>
      </w:r>
      <w:bookmarkEnd w:id="55"/>
    </w:p>
    <w:p w:rsidR="00E5009E" w:rsidRPr="00C258AD" w:rsidRDefault="00E5009E" w:rsidP="00E5009E">
      <w:pPr>
        <w:jc w:val="center"/>
      </w:pPr>
    </w:p>
    <w:p w:rsidR="00E5009E" w:rsidRPr="00C258AD" w:rsidRDefault="00E5009E" w:rsidP="00E5009E">
      <w:pPr>
        <w:jc w:val="center"/>
        <w:rPr>
          <w:b/>
          <w:caps/>
        </w:rPr>
      </w:pPr>
      <w:r w:rsidRPr="00C258AD">
        <w:rPr>
          <w:b/>
          <w:caps/>
        </w:rPr>
        <w:t>Évolution équilibrée du cadre normatif international de la propriété intellectuelle</w:t>
      </w:r>
    </w:p>
    <w:p w:rsidR="00E5009E" w:rsidRPr="00C258AD" w:rsidRDefault="00E5009E" w:rsidP="00E5009E"/>
    <w:p w:rsidR="00E5009E" w:rsidRPr="00C258AD" w:rsidRDefault="00E5009E" w:rsidP="00E5009E">
      <w:pPr>
        <w:jc w:val="center"/>
        <w:rPr>
          <w:b/>
        </w:rPr>
      </w:pPr>
    </w:p>
    <w:p w:rsidR="00E5009E" w:rsidRPr="00C258AD" w:rsidRDefault="00E5009E" w:rsidP="00E5009E">
      <w:pPr>
        <w:jc w:val="center"/>
        <w:rPr>
          <w:b/>
        </w:rPr>
      </w:pPr>
      <w:r w:rsidRPr="00C258AD">
        <w:rPr>
          <w:b/>
        </w:rPr>
        <w:t>Tableau de bord de l’exécution du programme biennal</w:t>
      </w:r>
    </w:p>
    <w:p w:rsidR="00E5009E" w:rsidRPr="00C258AD" w:rsidRDefault="00E5009E" w:rsidP="00E5009E">
      <w:pPr>
        <w:jc w:val="both"/>
      </w:pPr>
    </w:p>
    <w:p w:rsidR="00E5009E" w:rsidRPr="00C258AD" w:rsidRDefault="00E5009E" w:rsidP="00E5009E">
      <w:pPr>
        <w:autoSpaceDE w:val="0"/>
        <w:autoSpaceDN w:val="0"/>
        <w:adjustRightInd w:val="0"/>
        <w:jc w:val="both"/>
        <w:rPr>
          <w:rFonts w:cs="Arial"/>
        </w:rPr>
      </w:pPr>
      <w:r w:rsidRPr="00C258AD">
        <w:rPr>
          <w:rFonts w:cs="Arial"/>
        </w:rPr>
        <w:t>Le tableau de bord ci</w:t>
      </w:r>
      <w:r w:rsidRPr="00C258AD">
        <w:rPr>
          <w:rFonts w:cs="Arial"/>
        </w:rPr>
        <w:noBreakHyphen/>
        <w:t>dessous présente un résumé de la réalisation des résultats escomptés pour l’exercice biennal 2014</w:t>
      </w:r>
      <w:r w:rsidRPr="00C258AD">
        <w:rPr>
          <w:rFonts w:cs="Arial"/>
        </w:rPr>
        <w:noBreakHyphen/>
        <w:t>2015, telle que mesurée par les indicateurs au titre des programmes contribuant à cet objectif stratégique.</w:t>
      </w:r>
    </w:p>
    <w:p w:rsidR="00E5009E" w:rsidRPr="00C258AD" w:rsidRDefault="00E5009E" w:rsidP="00E5009E">
      <w:pPr>
        <w:jc w:val="center"/>
        <w:rPr>
          <w:rFonts w:cs="Arial"/>
        </w:rPr>
      </w:pPr>
      <w:r w:rsidRPr="00C258AD">
        <w:rPr>
          <w:noProof/>
          <w:lang w:val="en-US"/>
        </w:rPr>
        <w:drawing>
          <wp:inline distT="0" distB="0" distL="0" distR="0" wp14:anchorId="64C7B4F5" wp14:editId="5C75F8E3">
            <wp:extent cx="5940425" cy="2873472"/>
            <wp:effectExtent l="0" t="0" r="3175" b="317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40425" cy="2873472"/>
                    </a:xfrm>
                    <a:prstGeom prst="rect">
                      <a:avLst/>
                    </a:prstGeom>
                    <a:noFill/>
                    <a:ln>
                      <a:noFill/>
                    </a:ln>
                  </pic:spPr>
                </pic:pic>
              </a:graphicData>
            </a:graphic>
          </wp:inline>
        </w:drawing>
      </w:r>
    </w:p>
    <w:p w:rsidR="00E5009E" w:rsidRPr="00C258AD" w:rsidRDefault="00E5009E" w:rsidP="00E5009E">
      <w:pPr>
        <w:jc w:val="center"/>
        <w:rPr>
          <w:rFonts w:cs="Arial"/>
        </w:rPr>
      </w:pPr>
    </w:p>
    <w:tbl>
      <w:tblPr>
        <w:tblW w:w="5000" w:type="pct"/>
        <w:tblInd w:w="108" w:type="dxa"/>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3013"/>
        <w:gridCol w:w="4064"/>
        <w:gridCol w:w="1442"/>
        <w:gridCol w:w="972"/>
      </w:tblGrid>
      <w:tr w:rsidR="00E5009E" w:rsidRPr="00C258AD" w:rsidTr="00BB716F">
        <w:trPr>
          <w:cantSplit/>
          <w:tblHeader/>
        </w:trPr>
        <w:tc>
          <w:tcPr>
            <w:tcW w:w="1618"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E5009E" w:rsidRPr="00C258AD" w:rsidRDefault="00E5009E" w:rsidP="00BB716F">
            <w:pPr>
              <w:spacing w:after="120"/>
              <w:jc w:val="center"/>
              <w:rPr>
                <w:rFonts w:cs="Arial"/>
                <w:b/>
                <w:bCs/>
                <w:sz w:val="18"/>
                <w:szCs w:val="18"/>
              </w:rPr>
            </w:pPr>
            <w:r w:rsidRPr="00C258AD">
              <w:rPr>
                <w:rFonts w:cs="Arial"/>
                <w:b/>
                <w:bCs/>
                <w:sz w:val="18"/>
                <w:szCs w:val="18"/>
              </w:rPr>
              <w:t>Résultats escomptés</w:t>
            </w:r>
          </w:p>
        </w:tc>
        <w:tc>
          <w:tcPr>
            <w:tcW w:w="2171"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E5009E" w:rsidRPr="00C258AD" w:rsidRDefault="00E5009E" w:rsidP="00BB716F">
            <w:pPr>
              <w:spacing w:after="120"/>
              <w:jc w:val="center"/>
              <w:rPr>
                <w:rFonts w:cs="Arial"/>
                <w:b/>
                <w:sz w:val="18"/>
                <w:szCs w:val="18"/>
              </w:rPr>
            </w:pPr>
            <w:r w:rsidRPr="00C258AD">
              <w:rPr>
                <w:rFonts w:cs="Arial"/>
                <w:b/>
                <w:sz w:val="18"/>
                <w:szCs w:val="18"/>
              </w:rPr>
              <w:t>Indicateurs d’exécution</w:t>
            </w:r>
          </w:p>
        </w:tc>
        <w:tc>
          <w:tcPr>
            <w:tcW w:w="757"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E5009E" w:rsidRPr="00C258AD" w:rsidRDefault="00E5009E" w:rsidP="00BB716F">
            <w:pPr>
              <w:spacing w:after="120"/>
              <w:ind w:left="85"/>
              <w:jc w:val="center"/>
              <w:rPr>
                <w:rFonts w:cs="Arial"/>
                <w:sz w:val="18"/>
                <w:szCs w:val="18"/>
              </w:rPr>
            </w:pPr>
            <w:r w:rsidRPr="00C258AD">
              <w:rPr>
                <w:rFonts w:cs="Arial"/>
                <w:b/>
                <w:sz w:val="18"/>
                <w:szCs w:val="18"/>
              </w:rPr>
              <w:t>Programme(s) concerné(s)</w:t>
            </w:r>
          </w:p>
        </w:tc>
        <w:tc>
          <w:tcPr>
            <w:tcW w:w="454" w:type="pct"/>
            <w:tcBorders>
              <w:top w:val="single" w:sz="4" w:space="0" w:color="auto"/>
              <w:bottom w:val="single" w:sz="4" w:space="0" w:color="auto"/>
            </w:tcBorders>
            <w:shd w:val="clear" w:color="auto" w:fill="DAEEF3" w:themeFill="accent5" w:themeFillTint="33"/>
            <w:vAlign w:val="center"/>
          </w:tcPr>
          <w:p w:rsidR="00E5009E" w:rsidRPr="00C258AD" w:rsidRDefault="00E5009E" w:rsidP="00BB716F">
            <w:pPr>
              <w:spacing w:after="120"/>
              <w:ind w:left="85"/>
              <w:jc w:val="center"/>
              <w:rPr>
                <w:rFonts w:cs="Arial"/>
                <w:b/>
                <w:bCs/>
                <w:sz w:val="18"/>
                <w:szCs w:val="18"/>
              </w:rPr>
            </w:pPr>
            <w:r w:rsidRPr="00C258AD">
              <w:rPr>
                <w:rFonts w:cs="Arial"/>
                <w:b/>
                <w:bCs/>
                <w:sz w:val="18"/>
                <w:szCs w:val="18"/>
              </w:rPr>
              <w:t>Code de couleurs</w:t>
            </w:r>
          </w:p>
        </w:tc>
      </w:tr>
      <w:tr w:rsidR="00E5009E" w:rsidRPr="00C258AD" w:rsidTr="00BB716F">
        <w:trPr>
          <w:cantSplit/>
        </w:trPr>
        <w:tc>
          <w:tcPr>
            <w:tcW w:w="1618" w:type="pct"/>
            <w:vMerge w:val="restart"/>
            <w:tcBorders>
              <w:top w:val="single" w:sz="4" w:space="0" w:color="auto"/>
            </w:tcBorders>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I.1  Renforcement de la coopération entre les États membres en ce qui concerne l’élaboration de cadres normatifs internationaux équilibrés dans le domaine de la propriété intellectuelle et d’un accord sur des questions concrètes donnant lieu à des instruments internationaux</w:t>
            </w:r>
          </w:p>
        </w:tc>
        <w:tc>
          <w:tcPr>
            <w:tcW w:w="2171" w:type="pct"/>
            <w:tcBorders>
              <w:top w:val="single" w:sz="4" w:space="0" w:color="auto"/>
            </w:tcBorders>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Avancement des travaux concernant la mise en œuvre des mesures et des programmes convenus par le SCP</w:t>
            </w:r>
          </w:p>
        </w:tc>
        <w:tc>
          <w:tcPr>
            <w:tcW w:w="757" w:type="pct"/>
            <w:tcBorders>
              <w:top w:val="single" w:sz="4" w:space="0" w:color="auto"/>
            </w:tcBorders>
            <w:shd w:val="clear" w:color="auto" w:fill="FFFFFF"/>
            <w:tcMar>
              <w:top w:w="113" w:type="dxa"/>
              <w:bottom w:w="113" w:type="dxa"/>
            </w:tcMar>
          </w:tcPr>
          <w:p w:rsidR="00E5009E" w:rsidRPr="00C258AD" w:rsidRDefault="00E5009E" w:rsidP="00BB716F">
            <w:pPr>
              <w:jc w:val="center"/>
              <w:rPr>
                <w:rFonts w:cs="Arial"/>
                <w:sz w:val="16"/>
                <w:szCs w:val="16"/>
              </w:rPr>
            </w:pPr>
            <w:r w:rsidRPr="00C258AD">
              <w:rPr>
                <w:rFonts w:cs="Arial"/>
                <w:sz w:val="16"/>
                <w:szCs w:val="16"/>
              </w:rPr>
              <w:t>Programme 1</w:t>
            </w:r>
          </w:p>
        </w:tc>
        <w:tc>
          <w:tcPr>
            <w:tcW w:w="454" w:type="pct"/>
            <w:tcBorders>
              <w:top w:val="single" w:sz="4" w:space="0" w:color="auto"/>
            </w:tcBorders>
            <w:shd w:val="clear" w:color="auto" w:fill="FFFFFF"/>
          </w:tcPr>
          <w:p w:rsidR="00E5009E" w:rsidRPr="00C258AD" w:rsidRDefault="00E5009E" w:rsidP="00BB716F">
            <w:pPr>
              <w:spacing w:before="40"/>
              <w:jc w:val="center"/>
              <w:rPr>
                <w:rFonts w:cs="Arial"/>
                <w:color w:val="008000"/>
                <w:sz w:val="22"/>
                <w:szCs w:val="22"/>
              </w:rPr>
            </w:pPr>
            <w:r w:rsidRPr="00C258AD">
              <w:rPr>
                <w:rFonts w:cs="Arial"/>
                <w:color w:val="008000"/>
                <w:sz w:val="22"/>
                <w:szCs w:val="22"/>
              </w:rPr>
              <w:sym w:font="Wingdings" w:char="F06C"/>
            </w:r>
          </w:p>
        </w:tc>
      </w:tr>
      <w:tr w:rsidR="00E5009E" w:rsidRPr="00C258AD" w:rsidTr="00BB716F">
        <w:trPr>
          <w:cantSplit/>
        </w:trPr>
        <w:tc>
          <w:tcPr>
            <w:tcW w:w="1618" w:type="pct"/>
            <w:vMerge/>
            <w:shd w:val="clear" w:color="auto" w:fill="auto"/>
            <w:tcMar>
              <w:top w:w="113" w:type="dxa"/>
              <w:bottom w:w="113" w:type="dxa"/>
            </w:tcMar>
          </w:tcPr>
          <w:p w:rsidR="00E5009E" w:rsidRPr="00C258AD" w:rsidRDefault="00E5009E" w:rsidP="00BB716F">
            <w:pPr>
              <w:rPr>
                <w:rFonts w:cs="Arial"/>
                <w:sz w:val="16"/>
                <w:szCs w:val="16"/>
              </w:rPr>
            </w:pPr>
          </w:p>
        </w:tc>
        <w:tc>
          <w:tcPr>
            <w:tcW w:w="2171"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Pourcentage de participants aux ateliers, séminaires ou conférences sélectifs organisés sur des questions précises relatives aux brevets qui se sont déclarés satisfaits</w:t>
            </w:r>
          </w:p>
        </w:tc>
        <w:tc>
          <w:tcPr>
            <w:tcW w:w="757" w:type="pct"/>
            <w:shd w:val="clear" w:color="auto" w:fill="FFFFFF"/>
            <w:tcMar>
              <w:top w:w="113" w:type="dxa"/>
              <w:bottom w:w="113"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1</w:t>
            </w:r>
          </w:p>
        </w:tc>
        <w:tc>
          <w:tcPr>
            <w:tcW w:w="454" w:type="pct"/>
            <w:shd w:val="clear" w:color="auto" w:fill="FFFFFF"/>
          </w:tcPr>
          <w:p w:rsidR="00E5009E" w:rsidRPr="00C258AD" w:rsidRDefault="00E5009E" w:rsidP="00BB716F">
            <w:pPr>
              <w:spacing w:before="40"/>
              <w:jc w:val="center"/>
            </w:pPr>
            <w:r w:rsidRPr="00C258AD">
              <w:rPr>
                <w:rFonts w:cs="Arial"/>
                <w:color w:val="008000"/>
                <w:sz w:val="22"/>
                <w:szCs w:val="22"/>
              </w:rPr>
              <w:sym w:font="Wingdings" w:char="F06C"/>
            </w:r>
          </w:p>
        </w:tc>
      </w:tr>
      <w:tr w:rsidR="00E5009E" w:rsidRPr="00C258AD" w:rsidTr="00BB716F">
        <w:trPr>
          <w:cantSplit/>
        </w:trPr>
        <w:tc>
          <w:tcPr>
            <w:tcW w:w="1618" w:type="pct"/>
            <w:shd w:val="clear" w:color="auto" w:fill="auto"/>
            <w:tcMar>
              <w:top w:w="113" w:type="dxa"/>
              <w:bottom w:w="113" w:type="dxa"/>
            </w:tcMar>
          </w:tcPr>
          <w:p w:rsidR="00E5009E" w:rsidRPr="00C258AD" w:rsidRDefault="00E5009E" w:rsidP="00BB716F">
            <w:pPr>
              <w:rPr>
                <w:rFonts w:cs="Arial"/>
                <w:sz w:val="16"/>
                <w:szCs w:val="16"/>
              </w:rPr>
            </w:pPr>
          </w:p>
        </w:tc>
        <w:tc>
          <w:tcPr>
            <w:tcW w:w="2171"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Conclusion d’un accord sur le cadre normatif relatif aux procédures d’enregistrement et de mise à jour des dessins et modèles industriels</w:t>
            </w:r>
          </w:p>
        </w:tc>
        <w:tc>
          <w:tcPr>
            <w:tcW w:w="757" w:type="pct"/>
            <w:shd w:val="clear" w:color="auto" w:fill="FFFFFF"/>
            <w:tcMar>
              <w:top w:w="113" w:type="dxa"/>
              <w:bottom w:w="113"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2</w:t>
            </w:r>
          </w:p>
        </w:tc>
        <w:tc>
          <w:tcPr>
            <w:tcW w:w="454" w:type="pct"/>
            <w:shd w:val="clear" w:color="auto" w:fill="FFFFFF"/>
          </w:tcPr>
          <w:p w:rsidR="00E5009E" w:rsidRPr="00C258AD" w:rsidRDefault="00E5009E" w:rsidP="00BB716F">
            <w:pPr>
              <w:jc w:val="center"/>
            </w:pPr>
            <w:r w:rsidRPr="00C258AD">
              <w:rPr>
                <w:bCs/>
                <w:color w:val="FF0000"/>
                <w:sz w:val="22"/>
                <w:szCs w:val="22"/>
              </w:rPr>
              <w:sym w:font="Wingdings" w:char="F06C"/>
            </w:r>
          </w:p>
        </w:tc>
      </w:tr>
      <w:tr w:rsidR="00E5009E" w:rsidRPr="00C258AD" w:rsidTr="00BB716F">
        <w:trPr>
          <w:cantSplit/>
        </w:trPr>
        <w:tc>
          <w:tcPr>
            <w:tcW w:w="1618" w:type="pct"/>
            <w:shd w:val="clear" w:color="auto" w:fill="auto"/>
            <w:tcMar>
              <w:top w:w="113" w:type="dxa"/>
              <w:bottom w:w="113" w:type="dxa"/>
            </w:tcMar>
          </w:tcPr>
          <w:p w:rsidR="00E5009E" w:rsidRPr="00C258AD" w:rsidRDefault="00E5009E" w:rsidP="00BB716F">
            <w:pPr>
              <w:rPr>
                <w:rFonts w:cs="Arial"/>
                <w:sz w:val="16"/>
                <w:szCs w:val="16"/>
              </w:rPr>
            </w:pPr>
          </w:p>
        </w:tc>
        <w:tc>
          <w:tcPr>
            <w:tcW w:w="2171" w:type="pct"/>
            <w:shd w:val="clear" w:color="auto" w:fill="auto"/>
            <w:tcMar>
              <w:top w:w="113" w:type="dxa"/>
              <w:bottom w:w="113" w:type="dxa"/>
            </w:tcMar>
          </w:tcPr>
          <w:p w:rsidR="00E5009E" w:rsidRPr="00C258AD" w:rsidRDefault="00E5009E" w:rsidP="00BB716F">
            <w:pPr>
              <w:rPr>
                <w:rFonts w:cs="Arial"/>
                <w:sz w:val="16"/>
                <w:szCs w:val="16"/>
                <w:lang w:bidi="th-TH"/>
              </w:rPr>
            </w:pPr>
            <w:r w:rsidRPr="00C258AD">
              <w:rPr>
                <w:rFonts w:cs="Arial"/>
                <w:sz w:val="16"/>
                <w:szCs w:val="16"/>
                <w:lang w:bidi="th-TH"/>
              </w:rPr>
              <w:t>Progrès visant à parvenir à un accord sur les points en cours de l’ordre du jour du SCT</w:t>
            </w:r>
          </w:p>
        </w:tc>
        <w:tc>
          <w:tcPr>
            <w:tcW w:w="757" w:type="pct"/>
            <w:shd w:val="clear" w:color="auto" w:fill="FFFFFF"/>
            <w:tcMar>
              <w:top w:w="113" w:type="dxa"/>
              <w:bottom w:w="113"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2</w:t>
            </w:r>
          </w:p>
        </w:tc>
        <w:tc>
          <w:tcPr>
            <w:tcW w:w="454" w:type="pct"/>
            <w:shd w:val="clear" w:color="auto" w:fill="FFFFFF"/>
          </w:tcPr>
          <w:p w:rsidR="00E5009E" w:rsidRPr="00C258AD" w:rsidRDefault="00E5009E" w:rsidP="00BB716F">
            <w:pPr>
              <w:spacing w:before="40"/>
              <w:jc w:val="center"/>
            </w:pPr>
            <w:r w:rsidRPr="00C258AD">
              <w:rPr>
                <w:rFonts w:cs="Arial"/>
                <w:color w:val="008000"/>
                <w:sz w:val="22"/>
                <w:szCs w:val="22"/>
              </w:rPr>
              <w:sym w:font="Wingdings" w:char="F06C"/>
            </w:r>
          </w:p>
        </w:tc>
      </w:tr>
      <w:tr w:rsidR="00E5009E" w:rsidRPr="00C258AD" w:rsidTr="00BB716F">
        <w:trPr>
          <w:cantSplit/>
        </w:trPr>
        <w:tc>
          <w:tcPr>
            <w:tcW w:w="1618" w:type="pct"/>
            <w:shd w:val="clear" w:color="auto" w:fill="auto"/>
            <w:tcMar>
              <w:top w:w="113" w:type="dxa"/>
              <w:bottom w:w="113" w:type="dxa"/>
            </w:tcMar>
          </w:tcPr>
          <w:p w:rsidR="00E5009E" w:rsidRPr="00C258AD" w:rsidRDefault="00E5009E" w:rsidP="00BB716F">
            <w:pPr>
              <w:rPr>
                <w:rFonts w:cs="Arial"/>
                <w:sz w:val="16"/>
                <w:szCs w:val="16"/>
              </w:rPr>
            </w:pPr>
          </w:p>
        </w:tc>
        <w:tc>
          <w:tcPr>
            <w:tcW w:w="2171"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de ratifications du Traité de Singapour ou d’adhésions à ce traité</w:t>
            </w:r>
          </w:p>
        </w:tc>
        <w:tc>
          <w:tcPr>
            <w:tcW w:w="757" w:type="pct"/>
            <w:shd w:val="clear" w:color="auto" w:fill="FFFFFF"/>
            <w:tcMar>
              <w:top w:w="113" w:type="dxa"/>
              <w:bottom w:w="113"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2</w:t>
            </w:r>
          </w:p>
        </w:tc>
        <w:tc>
          <w:tcPr>
            <w:tcW w:w="454" w:type="pct"/>
            <w:shd w:val="clear" w:color="auto" w:fill="FFFFFF"/>
          </w:tcPr>
          <w:p w:rsidR="00E5009E" w:rsidRPr="00C258AD" w:rsidRDefault="00E5009E" w:rsidP="00BB716F">
            <w:pPr>
              <w:spacing w:before="40"/>
              <w:jc w:val="center"/>
            </w:pPr>
            <w:r w:rsidRPr="00C258AD">
              <w:rPr>
                <w:rFonts w:cs="Arial"/>
                <w:color w:val="008000"/>
                <w:sz w:val="22"/>
                <w:szCs w:val="22"/>
              </w:rPr>
              <w:sym w:font="Wingdings" w:char="F06C"/>
            </w:r>
          </w:p>
        </w:tc>
      </w:tr>
      <w:tr w:rsidR="00E5009E" w:rsidRPr="00C258AD" w:rsidTr="00BB716F">
        <w:trPr>
          <w:cantSplit/>
        </w:trPr>
        <w:tc>
          <w:tcPr>
            <w:tcW w:w="1618" w:type="pct"/>
            <w:shd w:val="clear" w:color="auto" w:fill="auto"/>
            <w:tcMar>
              <w:top w:w="113" w:type="dxa"/>
              <w:bottom w:w="113" w:type="dxa"/>
            </w:tcMar>
          </w:tcPr>
          <w:p w:rsidR="00E5009E" w:rsidRPr="00C258AD" w:rsidRDefault="00E5009E" w:rsidP="00BB716F">
            <w:pPr>
              <w:rPr>
                <w:rFonts w:cs="Arial"/>
                <w:sz w:val="16"/>
                <w:szCs w:val="16"/>
              </w:rPr>
            </w:pPr>
          </w:p>
        </w:tc>
        <w:tc>
          <w:tcPr>
            <w:tcW w:w="2171"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Progrès accomplis dans la conclusion d’accords sur les questions actuellement inscrites à l’ordre du jour des travaux du SCCR</w:t>
            </w:r>
          </w:p>
        </w:tc>
        <w:tc>
          <w:tcPr>
            <w:tcW w:w="757" w:type="pct"/>
            <w:shd w:val="clear" w:color="auto" w:fill="FFFFFF"/>
            <w:tcMar>
              <w:top w:w="113" w:type="dxa"/>
              <w:bottom w:w="113"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3</w:t>
            </w:r>
          </w:p>
        </w:tc>
        <w:tc>
          <w:tcPr>
            <w:tcW w:w="454" w:type="pct"/>
            <w:shd w:val="clear" w:color="auto" w:fill="FFFFFF"/>
          </w:tcPr>
          <w:p w:rsidR="00E5009E" w:rsidRPr="00C258AD" w:rsidRDefault="00E5009E" w:rsidP="00BB716F">
            <w:pPr>
              <w:jc w:val="center"/>
            </w:pPr>
            <w:r w:rsidRPr="00C258AD">
              <w:rPr>
                <w:bCs/>
                <w:color w:val="FF0000"/>
                <w:sz w:val="22"/>
                <w:szCs w:val="22"/>
              </w:rPr>
              <w:sym w:font="Wingdings" w:char="F06C"/>
            </w:r>
          </w:p>
        </w:tc>
      </w:tr>
      <w:tr w:rsidR="00E5009E" w:rsidRPr="00C258AD" w:rsidTr="00BB716F">
        <w:trPr>
          <w:cantSplit/>
        </w:trPr>
        <w:tc>
          <w:tcPr>
            <w:tcW w:w="1618" w:type="pct"/>
            <w:shd w:val="clear" w:color="auto" w:fill="auto"/>
            <w:tcMar>
              <w:top w:w="113" w:type="dxa"/>
              <w:bottom w:w="113" w:type="dxa"/>
            </w:tcMar>
          </w:tcPr>
          <w:p w:rsidR="00E5009E" w:rsidRPr="00C258AD" w:rsidRDefault="00E5009E" w:rsidP="00BB716F">
            <w:pPr>
              <w:rPr>
                <w:rFonts w:cs="Arial"/>
                <w:sz w:val="16"/>
                <w:szCs w:val="16"/>
              </w:rPr>
            </w:pPr>
          </w:p>
        </w:tc>
        <w:tc>
          <w:tcPr>
            <w:tcW w:w="2171"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Accord dans les négociations au sein de l’IGC en vue de l’élaboration d’un ou plusieurs instruments juridiques internationaux portant sur les savoirs traditionnels, les expressions culturelles traditionnelles et les ressources génétiques</w:t>
            </w:r>
          </w:p>
        </w:tc>
        <w:tc>
          <w:tcPr>
            <w:tcW w:w="757" w:type="pct"/>
            <w:shd w:val="clear" w:color="auto" w:fill="FFFFFF"/>
            <w:tcMar>
              <w:top w:w="113" w:type="dxa"/>
              <w:bottom w:w="113"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4</w:t>
            </w:r>
          </w:p>
        </w:tc>
        <w:tc>
          <w:tcPr>
            <w:tcW w:w="454" w:type="pct"/>
            <w:shd w:val="clear" w:color="auto" w:fill="FFFFFF"/>
          </w:tcPr>
          <w:p w:rsidR="00E5009E" w:rsidRPr="00C258AD" w:rsidRDefault="00E5009E" w:rsidP="00BB716F">
            <w:pPr>
              <w:jc w:val="center"/>
            </w:pPr>
            <w:r w:rsidRPr="00C258AD">
              <w:rPr>
                <w:rFonts w:cs="Arial"/>
                <w:color w:val="FF0000"/>
                <w:sz w:val="22"/>
                <w:szCs w:val="22"/>
              </w:rPr>
              <w:sym w:font="Wingdings" w:char="F06C"/>
            </w:r>
          </w:p>
        </w:tc>
      </w:tr>
      <w:tr w:rsidR="00E5009E" w:rsidRPr="00C258AD" w:rsidTr="00BB716F">
        <w:trPr>
          <w:cantSplit/>
        </w:trPr>
        <w:tc>
          <w:tcPr>
            <w:tcW w:w="1618"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lastRenderedPageBreak/>
              <w:t>I.2 Cadres législatifs, réglementaires et politiques de propriété intellectuelle adaptés et équilibrés</w:t>
            </w:r>
          </w:p>
        </w:tc>
        <w:tc>
          <w:tcPr>
            <w:tcW w:w="2171"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et pourcentage d’États membres ayant trouvé utiles les informations fournies concernant les principes et les pratiques juridiques du système des brevets, y compris les éléments de flexibilité existant dans le système et ses enjeux</w:t>
            </w:r>
          </w:p>
        </w:tc>
        <w:tc>
          <w:tcPr>
            <w:tcW w:w="757" w:type="pct"/>
            <w:shd w:val="clear" w:color="auto" w:fill="FFFFFF"/>
            <w:tcMar>
              <w:top w:w="113" w:type="dxa"/>
              <w:bottom w:w="113"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1</w:t>
            </w:r>
          </w:p>
        </w:tc>
        <w:tc>
          <w:tcPr>
            <w:tcW w:w="454" w:type="pct"/>
            <w:shd w:val="clear" w:color="auto" w:fill="FFFFFF"/>
          </w:tcPr>
          <w:p w:rsidR="00E5009E" w:rsidRPr="00C258AD" w:rsidRDefault="00E5009E" w:rsidP="00BB716F">
            <w:pPr>
              <w:spacing w:before="40"/>
              <w:jc w:val="center"/>
            </w:pPr>
            <w:r w:rsidRPr="00C258AD">
              <w:rPr>
                <w:rFonts w:cs="Arial"/>
                <w:color w:val="008000"/>
                <w:sz w:val="22"/>
                <w:szCs w:val="22"/>
              </w:rPr>
              <w:sym w:font="Wingdings" w:char="F06C"/>
            </w:r>
          </w:p>
        </w:tc>
      </w:tr>
      <w:tr w:rsidR="00E5009E" w:rsidRPr="00C258AD" w:rsidTr="00BB716F">
        <w:trPr>
          <w:cantSplit/>
        </w:trPr>
        <w:tc>
          <w:tcPr>
            <w:tcW w:w="1618" w:type="pct"/>
            <w:vMerge w:val="restart"/>
            <w:shd w:val="clear" w:color="auto" w:fill="auto"/>
            <w:tcMar>
              <w:top w:w="113" w:type="dxa"/>
              <w:bottom w:w="113" w:type="dxa"/>
            </w:tcMar>
          </w:tcPr>
          <w:p w:rsidR="00E5009E" w:rsidRPr="00C258AD" w:rsidRDefault="00E5009E" w:rsidP="00BB716F">
            <w:pPr>
              <w:keepNext/>
              <w:rPr>
                <w:rFonts w:cs="Arial"/>
                <w:sz w:val="16"/>
                <w:szCs w:val="16"/>
              </w:rPr>
            </w:pPr>
          </w:p>
        </w:tc>
        <w:tc>
          <w:tcPr>
            <w:tcW w:w="2171" w:type="pct"/>
            <w:vMerge w:val="restart"/>
            <w:shd w:val="clear" w:color="auto" w:fill="auto"/>
            <w:tcMar>
              <w:top w:w="113" w:type="dxa"/>
              <w:bottom w:w="113" w:type="dxa"/>
            </w:tcMar>
          </w:tcPr>
          <w:p w:rsidR="00E5009E" w:rsidRPr="00C258AD" w:rsidRDefault="00E5009E" w:rsidP="00BB716F">
            <w:pPr>
              <w:keepNext/>
              <w:rPr>
                <w:rFonts w:cs="Arial"/>
                <w:sz w:val="16"/>
                <w:szCs w:val="16"/>
              </w:rPr>
            </w:pPr>
            <w:r w:rsidRPr="00C258AD">
              <w:rPr>
                <w:rFonts w:cs="Arial"/>
                <w:sz w:val="16"/>
                <w:szCs w:val="16"/>
              </w:rPr>
              <w:t>Nombre et pourcentage d’États membres satisfaits de la qualité des conseils juridiques fournis concernant les brevets, les modèles d’utilité, les secrets d’affaires et les circuits intégrés</w:t>
            </w:r>
          </w:p>
        </w:tc>
        <w:tc>
          <w:tcPr>
            <w:tcW w:w="757" w:type="pct"/>
            <w:shd w:val="clear" w:color="auto" w:fill="FFFFFF"/>
            <w:tcMar>
              <w:top w:w="113" w:type="dxa"/>
              <w:bottom w:w="113" w:type="dxa"/>
            </w:tcMar>
          </w:tcPr>
          <w:p w:rsidR="00E5009E" w:rsidRPr="00C258AD" w:rsidRDefault="00E5009E" w:rsidP="00BB716F">
            <w:pPr>
              <w:keepNext/>
              <w:jc w:val="center"/>
              <w:rPr>
                <w:rFonts w:cs="Arial"/>
                <w:sz w:val="16"/>
                <w:szCs w:val="16"/>
                <w:lang w:bidi="th-TH"/>
              </w:rPr>
            </w:pPr>
            <w:r w:rsidRPr="00C258AD">
              <w:rPr>
                <w:rFonts w:cs="Arial"/>
                <w:sz w:val="16"/>
                <w:szCs w:val="16"/>
                <w:lang w:bidi="th-TH"/>
              </w:rPr>
              <w:t>Programme 1</w:t>
            </w:r>
          </w:p>
        </w:tc>
        <w:tc>
          <w:tcPr>
            <w:tcW w:w="454" w:type="pct"/>
            <w:shd w:val="clear" w:color="auto" w:fill="FFFFFF"/>
          </w:tcPr>
          <w:p w:rsidR="00E5009E" w:rsidRPr="00C258AD" w:rsidRDefault="00E5009E" w:rsidP="00BB716F">
            <w:pPr>
              <w:keepNext/>
              <w:spacing w:before="40"/>
              <w:jc w:val="center"/>
              <w:rPr>
                <w:rFonts w:cs="Arial"/>
                <w:color w:val="008000"/>
                <w:sz w:val="22"/>
                <w:szCs w:val="22"/>
              </w:rPr>
            </w:pPr>
            <w:r w:rsidRPr="00C258AD">
              <w:rPr>
                <w:rFonts w:cs="Arial"/>
                <w:color w:val="008000"/>
                <w:sz w:val="22"/>
                <w:szCs w:val="22"/>
              </w:rPr>
              <w:sym w:font="Wingdings" w:char="F06C"/>
            </w:r>
          </w:p>
        </w:tc>
      </w:tr>
      <w:tr w:rsidR="00E5009E" w:rsidRPr="00C258AD" w:rsidTr="00BB716F">
        <w:trPr>
          <w:cantSplit/>
        </w:trPr>
        <w:tc>
          <w:tcPr>
            <w:tcW w:w="1618" w:type="pct"/>
            <w:vMerge/>
            <w:shd w:val="clear" w:color="auto" w:fill="auto"/>
            <w:tcMar>
              <w:top w:w="113" w:type="dxa"/>
              <w:bottom w:w="113" w:type="dxa"/>
            </w:tcMar>
          </w:tcPr>
          <w:p w:rsidR="00E5009E" w:rsidRPr="00C258AD" w:rsidRDefault="00E5009E" w:rsidP="00BB716F">
            <w:pPr>
              <w:rPr>
                <w:rFonts w:cs="Arial"/>
                <w:sz w:val="16"/>
                <w:szCs w:val="16"/>
              </w:rPr>
            </w:pPr>
          </w:p>
        </w:tc>
        <w:tc>
          <w:tcPr>
            <w:tcW w:w="2171" w:type="pct"/>
            <w:vMerge/>
            <w:shd w:val="clear" w:color="auto" w:fill="auto"/>
            <w:tcMar>
              <w:top w:w="113" w:type="dxa"/>
              <w:bottom w:w="113" w:type="dxa"/>
            </w:tcMar>
          </w:tcPr>
          <w:p w:rsidR="00E5009E" w:rsidRPr="00C258AD" w:rsidRDefault="00E5009E" w:rsidP="00BB716F">
            <w:pPr>
              <w:rPr>
                <w:rFonts w:cs="Arial"/>
                <w:sz w:val="16"/>
                <w:szCs w:val="16"/>
              </w:rPr>
            </w:pPr>
          </w:p>
        </w:tc>
        <w:tc>
          <w:tcPr>
            <w:tcW w:w="757" w:type="pct"/>
            <w:shd w:val="clear" w:color="auto" w:fill="FFFFFF"/>
            <w:tcMar>
              <w:top w:w="113" w:type="dxa"/>
              <w:bottom w:w="113"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9</w:t>
            </w:r>
          </w:p>
        </w:tc>
        <w:tc>
          <w:tcPr>
            <w:tcW w:w="454" w:type="pct"/>
            <w:shd w:val="clear" w:color="auto" w:fill="FFFFFF"/>
          </w:tcPr>
          <w:p w:rsidR="00E5009E" w:rsidRPr="00C258AD" w:rsidRDefault="00E5009E" w:rsidP="00BB716F">
            <w:pPr>
              <w:spacing w:before="40"/>
              <w:jc w:val="center"/>
              <w:rPr>
                <w:rFonts w:cs="Arial"/>
                <w:color w:val="008000"/>
                <w:sz w:val="22"/>
                <w:szCs w:val="22"/>
              </w:rPr>
            </w:pPr>
            <w:r w:rsidRPr="00C258AD">
              <w:rPr>
                <w:rFonts w:cs="Arial"/>
                <w:color w:val="008000"/>
                <w:sz w:val="22"/>
                <w:szCs w:val="22"/>
              </w:rPr>
              <w:sym w:font="Wingdings" w:char="F06C"/>
            </w:r>
          </w:p>
        </w:tc>
      </w:tr>
      <w:tr w:rsidR="00E5009E" w:rsidRPr="00C258AD" w:rsidTr="00BB716F">
        <w:trPr>
          <w:cantSplit/>
        </w:trPr>
        <w:tc>
          <w:tcPr>
            <w:tcW w:w="1618" w:type="pct"/>
            <w:shd w:val="clear" w:color="auto" w:fill="auto"/>
            <w:tcMar>
              <w:top w:w="113" w:type="dxa"/>
              <w:bottom w:w="113" w:type="dxa"/>
            </w:tcMar>
          </w:tcPr>
          <w:p w:rsidR="00E5009E" w:rsidRPr="00C258AD" w:rsidRDefault="00E5009E" w:rsidP="00BB716F">
            <w:pPr>
              <w:rPr>
                <w:rFonts w:cs="Arial"/>
                <w:sz w:val="16"/>
                <w:szCs w:val="16"/>
              </w:rPr>
            </w:pPr>
          </w:p>
        </w:tc>
        <w:tc>
          <w:tcPr>
            <w:tcW w:w="2171"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Sous réserve de l’approbation des États membres, progrès accomplis en ce qui concerne la révision de la législation sur les brevets et les modèles d’utilité pour les pays en développement et les PMA</w:t>
            </w:r>
          </w:p>
        </w:tc>
        <w:tc>
          <w:tcPr>
            <w:tcW w:w="757" w:type="pct"/>
            <w:shd w:val="clear" w:color="auto" w:fill="FFFFFF"/>
            <w:tcMar>
              <w:top w:w="113" w:type="dxa"/>
              <w:bottom w:w="113"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1</w:t>
            </w:r>
          </w:p>
        </w:tc>
        <w:tc>
          <w:tcPr>
            <w:tcW w:w="454" w:type="pct"/>
            <w:shd w:val="clear" w:color="auto" w:fill="FFFFFF"/>
          </w:tcPr>
          <w:p w:rsidR="00E5009E" w:rsidRPr="00C258AD" w:rsidRDefault="00E5009E" w:rsidP="00BB716F">
            <w:pPr>
              <w:jc w:val="center"/>
              <w:rPr>
                <w:sz w:val="22"/>
                <w:szCs w:val="22"/>
              </w:rPr>
            </w:pPr>
            <w:r w:rsidRPr="00C258AD">
              <w:rPr>
                <w:bCs/>
                <w:color w:val="FF0000"/>
                <w:sz w:val="22"/>
                <w:szCs w:val="22"/>
              </w:rPr>
              <w:sym w:font="Wingdings" w:char="F06C"/>
            </w:r>
          </w:p>
        </w:tc>
      </w:tr>
      <w:tr w:rsidR="00E5009E" w:rsidRPr="00C258AD" w:rsidTr="00BB716F">
        <w:trPr>
          <w:cantSplit/>
        </w:trPr>
        <w:tc>
          <w:tcPr>
            <w:tcW w:w="1618" w:type="pct"/>
            <w:vMerge w:val="restart"/>
            <w:shd w:val="clear" w:color="auto" w:fill="auto"/>
            <w:tcMar>
              <w:top w:w="113" w:type="dxa"/>
              <w:bottom w:w="113" w:type="dxa"/>
            </w:tcMar>
          </w:tcPr>
          <w:p w:rsidR="00E5009E" w:rsidRPr="00C258AD" w:rsidRDefault="00E5009E" w:rsidP="00BB716F">
            <w:pPr>
              <w:rPr>
                <w:rFonts w:cs="Arial"/>
                <w:sz w:val="16"/>
                <w:szCs w:val="16"/>
              </w:rPr>
            </w:pPr>
          </w:p>
        </w:tc>
        <w:tc>
          <w:tcPr>
            <w:tcW w:w="2171" w:type="pct"/>
            <w:vMerge w:val="restar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et pourcentage d’États membres et d’organisations régionales ayant donné un retour d’information positif sur les conseils législatifs fournis dans le domaine des marques, des dessins et modèles industriels et des indications géographiques</w:t>
            </w:r>
          </w:p>
        </w:tc>
        <w:tc>
          <w:tcPr>
            <w:tcW w:w="757" w:type="pct"/>
            <w:shd w:val="clear" w:color="auto" w:fill="FFFFFF"/>
            <w:tcMar>
              <w:top w:w="113" w:type="dxa"/>
              <w:bottom w:w="113"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2</w:t>
            </w:r>
          </w:p>
        </w:tc>
        <w:tc>
          <w:tcPr>
            <w:tcW w:w="454" w:type="pct"/>
            <w:shd w:val="clear" w:color="auto" w:fill="FFFFFF"/>
          </w:tcPr>
          <w:p w:rsidR="00E5009E" w:rsidRPr="00C258AD" w:rsidRDefault="00E5009E" w:rsidP="00BB716F">
            <w:pPr>
              <w:spacing w:before="40"/>
              <w:jc w:val="center"/>
              <w:rPr>
                <w:rFonts w:cs="Arial"/>
                <w:color w:val="008000"/>
                <w:sz w:val="22"/>
                <w:szCs w:val="22"/>
              </w:rPr>
            </w:pPr>
            <w:r w:rsidRPr="00C258AD">
              <w:rPr>
                <w:rFonts w:cs="Arial"/>
                <w:color w:val="008000"/>
                <w:sz w:val="22"/>
                <w:szCs w:val="22"/>
              </w:rPr>
              <w:sym w:font="Wingdings" w:char="F06C"/>
            </w:r>
            <w:r w:rsidRPr="00C258AD">
              <w:rPr>
                <w:rFonts w:cs="Arial"/>
                <w:color w:val="008000"/>
                <w:sz w:val="22"/>
                <w:szCs w:val="22"/>
              </w:rPr>
              <w:sym w:font="Wingdings" w:char="F06C"/>
            </w:r>
          </w:p>
        </w:tc>
      </w:tr>
      <w:tr w:rsidR="00E5009E" w:rsidRPr="00C258AD" w:rsidTr="00BB716F">
        <w:trPr>
          <w:cantSplit/>
        </w:trPr>
        <w:tc>
          <w:tcPr>
            <w:tcW w:w="1618" w:type="pct"/>
            <w:vMerge/>
            <w:shd w:val="clear" w:color="auto" w:fill="auto"/>
            <w:tcMar>
              <w:top w:w="113" w:type="dxa"/>
              <w:bottom w:w="113" w:type="dxa"/>
            </w:tcMar>
          </w:tcPr>
          <w:p w:rsidR="00E5009E" w:rsidRPr="00C258AD" w:rsidRDefault="00E5009E" w:rsidP="00BB716F">
            <w:pPr>
              <w:rPr>
                <w:rFonts w:cs="Arial"/>
                <w:sz w:val="16"/>
                <w:szCs w:val="16"/>
              </w:rPr>
            </w:pPr>
          </w:p>
        </w:tc>
        <w:tc>
          <w:tcPr>
            <w:tcW w:w="2171" w:type="pct"/>
            <w:vMerge/>
            <w:shd w:val="clear" w:color="auto" w:fill="auto"/>
            <w:tcMar>
              <w:top w:w="113" w:type="dxa"/>
              <w:bottom w:w="113" w:type="dxa"/>
            </w:tcMar>
          </w:tcPr>
          <w:p w:rsidR="00E5009E" w:rsidRPr="00C258AD" w:rsidRDefault="00E5009E" w:rsidP="00BB716F">
            <w:pPr>
              <w:rPr>
                <w:rFonts w:cs="Arial"/>
                <w:sz w:val="16"/>
                <w:szCs w:val="16"/>
              </w:rPr>
            </w:pPr>
          </w:p>
        </w:tc>
        <w:tc>
          <w:tcPr>
            <w:tcW w:w="757" w:type="pct"/>
            <w:shd w:val="clear" w:color="auto" w:fill="FFFFFF"/>
            <w:tcMar>
              <w:top w:w="113" w:type="dxa"/>
              <w:bottom w:w="113"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9</w:t>
            </w:r>
          </w:p>
        </w:tc>
        <w:tc>
          <w:tcPr>
            <w:tcW w:w="454" w:type="pct"/>
            <w:shd w:val="clear" w:color="auto" w:fill="FFFFFF"/>
          </w:tcPr>
          <w:p w:rsidR="00E5009E" w:rsidRPr="00C258AD" w:rsidRDefault="00E5009E" w:rsidP="00BB716F">
            <w:pPr>
              <w:spacing w:before="40"/>
              <w:jc w:val="center"/>
              <w:rPr>
                <w:rFonts w:cs="Arial"/>
                <w:color w:val="008000"/>
                <w:sz w:val="22"/>
                <w:szCs w:val="22"/>
              </w:rPr>
            </w:pPr>
            <w:r w:rsidRPr="00C258AD">
              <w:rPr>
                <w:rFonts w:cs="Arial"/>
                <w:color w:val="008000"/>
                <w:sz w:val="22"/>
                <w:szCs w:val="22"/>
              </w:rPr>
              <w:sym w:font="Wingdings" w:char="F06C"/>
            </w:r>
          </w:p>
        </w:tc>
      </w:tr>
      <w:tr w:rsidR="00E5009E" w:rsidRPr="00C258AD" w:rsidTr="00BB716F">
        <w:trPr>
          <w:cantSplit/>
        </w:trPr>
        <w:tc>
          <w:tcPr>
            <w:tcW w:w="1618" w:type="pct"/>
            <w:shd w:val="clear" w:color="auto" w:fill="auto"/>
            <w:tcMar>
              <w:top w:w="113" w:type="dxa"/>
              <w:bottom w:w="113" w:type="dxa"/>
            </w:tcMar>
          </w:tcPr>
          <w:p w:rsidR="00E5009E" w:rsidRPr="00C258AD" w:rsidRDefault="00E5009E" w:rsidP="00BB716F">
            <w:pPr>
              <w:rPr>
                <w:rFonts w:cs="Arial"/>
                <w:sz w:val="16"/>
                <w:szCs w:val="16"/>
              </w:rPr>
            </w:pPr>
          </w:p>
        </w:tc>
        <w:tc>
          <w:tcPr>
            <w:tcW w:w="2171"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de pays ayant ratifié le Traité de Beijing</w:t>
            </w:r>
          </w:p>
        </w:tc>
        <w:tc>
          <w:tcPr>
            <w:tcW w:w="757" w:type="pct"/>
            <w:shd w:val="clear" w:color="auto" w:fill="FFFFFF"/>
            <w:tcMar>
              <w:top w:w="113" w:type="dxa"/>
              <w:bottom w:w="113"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3</w:t>
            </w:r>
          </w:p>
        </w:tc>
        <w:tc>
          <w:tcPr>
            <w:tcW w:w="454" w:type="pct"/>
            <w:shd w:val="clear" w:color="auto" w:fill="FFFFFF"/>
          </w:tcPr>
          <w:p w:rsidR="00E5009E" w:rsidRPr="00C258AD" w:rsidRDefault="00E5009E" w:rsidP="00BB716F">
            <w:pPr>
              <w:jc w:val="center"/>
              <w:rPr>
                <w:color w:val="E26B0A"/>
              </w:rPr>
            </w:pPr>
            <w:r w:rsidRPr="00C258AD">
              <w:rPr>
                <w:bCs/>
                <w:color w:val="FF0000"/>
                <w:sz w:val="22"/>
                <w:szCs w:val="22"/>
              </w:rPr>
              <w:sym w:font="Wingdings" w:char="F06C"/>
            </w:r>
          </w:p>
        </w:tc>
      </w:tr>
      <w:tr w:rsidR="00E5009E" w:rsidRPr="00C258AD" w:rsidTr="00BB716F">
        <w:trPr>
          <w:cantSplit/>
        </w:trPr>
        <w:tc>
          <w:tcPr>
            <w:tcW w:w="1618" w:type="pct"/>
            <w:vMerge w:val="restart"/>
            <w:shd w:val="clear" w:color="auto" w:fill="auto"/>
            <w:tcMar>
              <w:top w:w="113" w:type="dxa"/>
              <w:bottom w:w="113" w:type="dxa"/>
            </w:tcMar>
          </w:tcPr>
          <w:p w:rsidR="00E5009E" w:rsidRPr="00C258AD" w:rsidRDefault="00E5009E" w:rsidP="00BB716F">
            <w:pPr>
              <w:rPr>
                <w:rFonts w:cs="Arial"/>
                <w:sz w:val="16"/>
                <w:szCs w:val="16"/>
              </w:rPr>
            </w:pPr>
          </w:p>
        </w:tc>
        <w:tc>
          <w:tcPr>
            <w:tcW w:w="2171" w:type="pct"/>
            <w:vMerge w:val="restar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et pourcentage de pays ayant donné un retour d’information positif sur les conseils législatifs fournis par l’OMPI</w:t>
            </w:r>
          </w:p>
        </w:tc>
        <w:tc>
          <w:tcPr>
            <w:tcW w:w="757" w:type="pct"/>
            <w:shd w:val="clear" w:color="auto" w:fill="FFFFFF"/>
            <w:tcMar>
              <w:top w:w="113" w:type="dxa"/>
              <w:bottom w:w="113"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3</w:t>
            </w:r>
          </w:p>
        </w:tc>
        <w:tc>
          <w:tcPr>
            <w:tcW w:w="454" w:type="pct"/>
            <w:shd w:val="clear" w:color="auto" w:fill="FFFFFF"/>
          </w:tcPr>
          <w:p w:rsidR="00E5009E" w:rsidRPr="00C258AD" w:rsidRDefault="00E5009E" w:rsidP="00BB716F">
            <w:pPr>
              <w:spacing w:before="40"/>
              <w:jc w:val="center"/>
              <w:rPr>
                <w:rFonts w:cs="Arial"/>
                <w:color w:val="008000"/>
                <w:sz w:val="22"/>
                <w:szCs w:val="22"/>
              </w:rPr>
            </w:pPr>
            <w:r w:rsidRPr="00C258AD">
              <w:rPr>
                <w:rFonts w:cs="Arial"/>
                <w:color w:val="008000"/>
                <w:sz w:val="22"/>
                <w:szCs w:val="22"/>
              </w:rPr>
              <w:sym w:font="Wingdings" w:char="F06C"/>
            </w:r>
          </w:p>
        </w:tc>
      </w:tr>
      <w:tr w:rsidR="00E5009E" w:rsidRPr="00C258AD" w:rsidTr="00BB716F">
        <w:trPr>
          <w:cantSplit/>
        </w:trPr>
        <w:tc>
          <w:tcPr>
            <w:tcW w:w="1618" w:type="pct"/>
            <w:vMerge/>
            <w:shd w:val="clear" w:color="auto" w:fill="auto"/>
            <w:tcMar>
              <w:top w:w="113" w:type="dxa"/>
              <w:bottom w:w="113" w:type="dxa"/>
            </w:tcMar>
          </w:tcPr>
          <w:p w:rsidR="00E5009E" w:rsidRPr="00C258AD" w:rsidRDefault="00E5009E" w:rsidP="00BB716F">
            <w:pPr>
              <w:rPr>
                <w:rFonts w:cs="Arial"/>
                <w:sz w:val="16"/>
                <w:szCs w:val="16"/>
              </w:rPr>
            </w:pPr>
          </w:p>
        </w:tc>
        <w:tc>
          <w:tcPr>
            <w:tcW w:w="2171" w:type="pct"/>
            <w:vMerge/>
            <w:shd w:val="clear" w:color="auto" w:fill="auto"/>
            <w:tcMar>
              <w:top w:w="113" w:type="dxa"/>
              <w:bottom w:w="113" w:type="dxa"/>
            </w:tcMar>
          </w:tcPr>
          <w:p w:rsidR="00E5009E" w:rsidRPr="00C258AD" w:rsidRDefault="00E5009E" w:rsidP="00BB716F">
            <w:pPr>
              <w:jc w:val="center"/>
              <w:rPr>
                <w:rFonts w:cs="Arial"/>
                <w:sz w:val="16"/>
                <w:szCs w:val="16"/>
              </w:rPr>
            </w:pPr>
          </w:p>
        </w:tc>
        <w:tc>
          <w:tcPr>
            <w:tcW w:w="757" w:type="pct"/>
            <w:shd w:val="clear" w:color="auto" w:fill="FFFFFF"/>
            <w:tcMar>
              <w:top w:w="113" w:type="dxa"/>
              <w:bottom w:w="113"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9</w:t>
            </w:r>
          </w:p>
        </w:tc>
        <w:tc>
          <w:tcPr>
            <w:tcW w:w="454" w:type="pct"/>
            <w:shd w:val="clear" w:color="auto" w:fill="FFFFFF"/>
          </w:tcPr>
          <w:p w:rsidR="00E5009E" w:rsidRPr="00C258AD" w:rsidRDefault="00E5009E" w:rsidP="00BB716F">
            <w:pPr>
              <w:spacing w:before="40"/>
              <w:jc w:val="center"/>
              <w:rPr>
                <w:rFonts w:cs="Arial"/>
                <w:color w:val="008000"/>
                <w:sz w:val="22"/>
                <w:szCs w:val="22"/>
              </w:rPr>
            </w:pPr>
            <w:r w:rsidRPr="00C258AD">
              <w:rPr>
                <w:rFonts w:cs="Arial"/>
                <w:color w:val="008000"/>
                <w:sz w:val="22"/>
                <w:szCs w:val="22"/>
              </w:rPr>
              <w:sym w:font="Wingdings" w:char="F06C"/>
            </w:r>
          </w:p>
        </w:tc>
      </w:tr>
      <w:tr w:rsidR="00E5009E" w:rsidRPr="00C258AD" w:rsidTr="00BB716F">
        <w:trPr>
          <w:cantSplit/>
        </w:trPr>
        <w:tc>
          <w:tcPr>
            <w:tcW w:w="1618" w:type="pct"/>
            <w:shd w:val="clear" w:color="auto" w:fill="auto"/>
            <w:tcMar>
              <w:top w:w="113" w:type="dxa"/>
              <w:bottom w:w="113" w:type="dxa"/>
            </w:tcMar>
          </w:tcPr>
          <w:p w:rsidR="00E5009E" w:rsidRPr="00C258AD" w:rsidRDefault="00E5009E" w:rsidP="00BB716F">
            <w:pPr>
              <w:rPr>
                <w:rFonts w:cs="Arial"/>
                <w:sz w:val="16"/>
                <w:szCs w:val="16"/>
              </w:rPr>
            </w:pPr>
          </w:p>
        </w:tc>
        <w:tc>
          <w:tcPr>
            <w:tcW w:w="2171"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de ratifications des traités Internet de l’OMPI</w:t>
            </w:r>
          </w:p>
        </w:tc>
        <w:tc>
          <w:tcPr>
            <w:tcW w:w="757" w:type="pct"/>
            <w:shd w:val="clear" w:color="auto" w:fill="FFFFFF"/>
            <w:tcMar>
              <w:top w:w="113" w:type="dxa"/>
              <w:bottom w:w="113"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3</w:t>
            </w:r>
          </w:p>
          <w:p w:rsidR="00E5009E" w:rsidRPr="00C258AD" w:rsidRDefault="00E5009E" w:rsidP="00BB716F">
            <w:pPr>
              <w:jc w:val="center"/>
              <w:rPr>
                <w:rFonts w:cs="Arial"/>
                <w:sz w:val="16"/>
                <w:szCs w:val="16"/>
                <w:lang w:bidi="th-TH"/>
              </w:rPr>
            </w:pPr>
          </w:p>
        </w:tc>
        <w:tc>
          <w:tcPr>
            <w:tcW w:w="454" w:type="pct"/>
            <w:shd w:val="clear" w:color="auto" w:fill="FFFFFF"/>
          </w:tcPr>
          <w:p w:rsidR="00E5009E" w:rsidRPr="00C258AD" w:rsidRDefault="00E5009E" w:rsidP="00BB716F">
            <w:pPr>
              <w:spacing w:before="40"/>
              <w:jc w:val="center"/>
            </w:pPr>
            <w:r w:rsidRPr="00C258AD">
              <w:rPr>
                <w:rFonts w:cs="Arial"/>
                <w:color w:val="008000"/>
                <w:sz w:val="22"/>
                <w:szCs w:val="22"/>
              </w:rPr>
              <w:sym w:font="Wingdings" w:char="F06C"/>
            </w:r>
          </w:p>
        </w:tc>
      </w:tr>
      <w:tr w:rsidR="00E5009E" w:rsidRPr="00C258AD" w:rsidTr="00BB716F">
        <w:trPr>
          <w:cantSplit/>
        </w:trPr>
        <w:tc>
          <w:tcPr>
            <w:tcW w:w="1618" w:type="pct"/>
            <w:shd w:val="clear" w:color="auto" w:fill="auto"/>
            <w:tcMar>
              <w:top w:w="113" w:type="dxa"/>
              <w:bottom w:w="113" w:type="dxa"/>
            </w:tcMar>
          </w:tcPr>
          <w:p w:rsidR="00E5009E" w:rsidRPr="00C258AD" w:rsidRDefault="00E5009E" w:rsidP="00BB716F">
            <w:pPr>
              <w:rPr>
                <w:rFonts w:cs="Arial"/>
                <w:sz w:val="16"/>
                <w:szCs w:val="16"/>
              </w:rPr>
            </w:pPr>
          </w:p>
        </w:tc>
        <w:tc>
          <w:tcPr>
            <w:tcW w:w="2171"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de pays ayant ratifié le Traité de Marrakech sur les déficients visuels</w:t>
            </w:r>
          </w:p>
        </w:tc>
        <w:tc>
          <w:tcPr>
            <w:tcW w:w="757" w:type="pct"/>
            <w:shd w:val="clear" w:color="auto" w:fill="FFFFFF"/>
            <w:tcMar>
              <w:top w:w="113" w:type="dxa"/>
              <w:bottom w:w="113"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3</w:t>
            </w:r>
          </w:p>
          <w:p w:rsidR="00E5009E" w:rsidRPr="00C258AD" w:rsidRDefault="00E5009E" w:rsidP="00BB716F">
            <w:pPr>
              <w:jc w:val="center"/>
              <w:rPr>
                <w:rFonts w:cs="Arial"/>
                <w:sz w:val="16"/>
                <w:szCs w:val="16"/>
                <w:lang w:bidi="th-TH"/>
              </w:rPr>
            </w:pPr>
          </w:p>
        </w:tc>
        <w:tc>
          <w:tcPr>
            <w:tcW w:w="454" w:type="pct"/>
            <w:shd w:val="clear" w:color="auto" w:fill="FFFFFF"/>
          </w:tcPr>
          <w:p w:rsidR="00E5009E" w:rsidRPr="00C258AD" w:rsidRDefault="00E5009E" w:rsidP="00BB716F">
            <w:pPr>
              <w:jc w:val="center"/>
              <w:rPr>
                <w:color w:val="E26B0A"/>
              </w:rPr>
            </w:pPr>
            <w:r w:rsidRPr="00C258AD">
              <w:rPr>
                <w:rFonts w:cs="Arial"/>
                <w:color w:val="E26B0A"/>
                <w:sz w:val="22"/>
                <w:szCs w:val="22"/>
              </w:rPr>
              <w:sym w:font="Wingdings" w:char="F06C"/>
            </w:r>
          </w:p>
        </w:tc>
      </w:tr>
      <w:tr w:rsidR="00E5009E" w:rsidRPr="00C258AD" w:rsidTr="00BB716F">
        <w:trPr>
          <w:cantSplit/>
        </w:trPr>
        <w:tc>
          <w:tcPr>
            <w:tcW w:w="1618" w:type="pct"/>
            <w:shd w:val="clear" w:color="auto" w:fill="auto"/>
            <w:tcMar>
              <w:top w:w="113" w:type="dxa"/>
              <w:bottom w:w="113" w:type="dxa"/>
            </w:tcMar>
          </w:tcPr>
          <w:p w:rsidR="00E5009E" w:rsidRPr="00C258AD" w:rsidRDefault="00E5009E" w:rsidP="00BB716F">
            <w:pPr>
              <w:rPr>
                <w:rFonts w:cs="Arial"/>
                <w:sz w:val="16"/>
                <w:szCs w:val="16"/>
              </w:rPr>
            </w:pPr>
          </w:p>
        </w:tc>
        <w:tc>
          <w:tcPr>
            <w:tcW w:w="2171"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de pays ayant actualisé leur législation ou leur réglementation</w:t>
            </w:r>
          </w:p>
        </w:tc>
        <w:tc>
          <w:tcPr>
            <w:tcW w:w="757" w:type="pct"/>
            <w:shd w:val="clear" w:color="auto" w:fill="FFFFFF"/>
            <w:tcMar>
              <w:top w:w="113" w:type="dxa"/>
              <w:bottom w:w="113"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10</w:t>
            </w:r>
          </w:p>
        </w:tc>
        <w:tc>
          <w:tcPr>
            <w:tcW w:w="454"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618" w:type="pct"/>
            <w:shd w:val="clear" w:color="auto" w:fill="auto"/>
            <w:tcMar>
              <w:top w:w="113" w:type="dxa"/>
              <w:bottom w:w="113" w:type="dxa"/>
            </w:tcMar>
          </w:tcPr>
          <w:p w:rsidR="00E5009E" w:rsidRPr="00C258AD" w:rsidRDefault="00E5009E" w:rsidP="00BB716F">
            <w:pPr>
              <w:rPr>
                <w:rFonts w:cs="Arial"/>
                <w:sz w:val="16"/>
                <w:szCs w:val="16"/>
              </w:rPr>
            </w:pPr>
          </w:p>
        </w:tc>
        <w:tc>
          <w:tcPr>
            <w:tcW w:w="2171"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de pays ayant adopté ou modifié leurs cadres de référence (ou s’apprêtant à le faire) suite à l’assistance fournie par l’OMPI</w:t>
            </w:r>
          </w:p>
        </w:tc>
        <w:tc>
          <w:tcPr>
            <w:tcW w:w="757" w:type="pct"/>
            <w:shd w:val="clear" w:color="auto" w:fill="FFFFFF"/>
            <w:tcMar>
              <w:top w:w="113" w:type="dxa"/>
              <w:bottom w:w="113"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17</w:t>
            </w:r>
          </w:p>
        </w:tc>
        <w:tc>
          <w:tcPr>
            <w:tcW w:w="454"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618"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I.3 Protection renforcée des emblèmes d’États et des noms et emblèmes d’organisations internationales intergouvernementales</w:t>
            </w:r>
          </w:p>
        </w:tc>
        <w:tc>
          <w:tcPr>
            <w:tcW w:w="2171"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de demandes de communication traitées selon l’article 6</w:t>
            </w:r>
            <w:r w:rsidRPr="00C258AD">
              <w:rPr>
                <w:rFonts w:cs="Arial"/>
                <w:i/>
                <w:sz w:val="16"/>
                <w:szCs w:val="16"/>
              </w:rPr>
              <w:t>ter</w:t>
            </w:r>
          </w:p>
        </w:tc>
        <w:tc>
          <w:tcPr>
            <w:tcW w:w="757" w:type="pct"/>
            <w:shd w:val="clear" w:color="auto" w:fill="FFFFFF"/>
            <w:tcMar>
              <w:top w:w="113" w:type="dxa"/>
              <w:bottom w:w="113"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2</w:t>
            </w:r>
          </w:p>
        </w:tc>
        <w:tc>
          <w:tcPr>
            <w:tcW w:w="454" w:type="pct"/>
            <w:shd w:val="clear" w:color="auto" w:fill="FFFFFF"/>
          </w:tcPr>
          <w:p w:rsidR="00E5009E" w:rsidRPr="00C258AD" w:rsidRDefault="00E5009E" w:rsidP="00BB716F">
            <w:pPr>
              <w:jc w:val="center"/>
              <w:rPr>
                <w:color w:val="E26B0A"/>
              </w:rPr>
            </w:pPr>
            <w:r w:rsidRPr="00C258AD">
              <w:rPr>
                <w:rFonts w:cs="Arial"/>
                <w:color w:val="E26B0A"/>
                <w:sz w:val="22"/>
                <w:szCs w:val="22"/>
              </w:rPr>
              <w:sym w:font="Wingdings" w:char="F06C"/>
            </w:r>
          </w:p>
        </w:tc>
      </w:tr>
      <w:tr w:rsidR="00E5009E" w:rsidRPr="00C258AD" w:rsidTr="00BB716F">
        <w:trPr>
          <w:cantSplit/>
        </w:trPr>
        <w:tc>
          <w:tcPr>
            <w:tcW w:w="1618" w:type="pct"/>
            <w:tcBorders>
              <w:bottom w:val="single" w:sz="4" w:space="0" w:color="auto"/>
            </w:tcBorders>
            <w:shd w:val="clear" w:color="auto" w:fill="auto"/>
            <w:tcMar>
              <w:top w:w="113" w:type="dxa"/>
              <w:bottom w:w="113" w:type="dxa"/>
            </w:tcMar>
          </w:tcPr>
          <w:p w:rsidR="00E5009E" w:rsidRPr="00C258AD" w:rsidRDefault="00E5009E" w:rsidP="00BB716F">
            <w:pPr>
              <w:rPr>
                <w:rFonts w:cs="Arial"/>
                <w:sz w:val="16"/>
                <w:szCs w:val="16"/>
              </w:rPr>
            </w:pPr>
          </w:p>
        </w:tc>
        <w:tc>
          <w:tcPr>
            <w:tcW w:w="2171" w:type="pct"/>
            <w:tcBorders>
              <w:bottom w:val="single" w:sz="4" w:space="0" w:color="auto"/>
            </w:tcBorders>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de signes publiés dans la base de données relative à l’article 6</w:t>
            </w:r>
            <w:r w:rsidRPr="00C258AD">
              <w:rPr>
                <w:rFonts w:cs="Arial"/>
                <w:i/>
                <w:sz w:val="16"/>
                <w:szCs w:val="16"/>
              </w:rPr>
              <w:t>ter</w:t>
            </w:r>
          </w:p>
        </w:tc>
        <w:tc>
          <w:tcPr>
            <w:tcW w:w="757" w:type="pct"/>
            <w:tcBorders>
              <w:bottom w:val="single" w:sz="4" w:space="0" w:color="auto"/>
            </w:tcBorders>
            <w:shd w:val="clear" w:color="auto" w:fill="FFFFFF"/>
            <w:tcMar>
              <w:top w:w="113" w:type="dxa"/>
              <w:bottom w:w="113"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2</w:t>
            </w:r>
          </w:p>
        </w:tc>
        <w:tc>
          <w:tcPr>
            <w:tcW w:w="454" w:type="pct"/>
            <w:tcBorders>
              <w:bottom w:val="single" w:sz="4" w:space="0" w:color="auto"/>
            </w:tcBorders>
            <w:shd w:val="clear" w:color="auto" w:fill="FFFFFF"/>
          </w:tcPr>
          <w:p w:rsidR="00E5009E" w:rsidRPr="00C258AD" w:rsidRDefault="00E5009E" w:rsidP="00BB716F">
            <w:pPr>
              <w:jc w:val="center"/>
            </w:pPr>
            <w:r w:rsidRPr="00C258AD">
              <w:rPr>
                <w:rFonts w:cs="Arial"/>
                <w:color w:val="008000"/>
                <w:sz w:val="22"/>
                <w:szCs w:val="22"/>
              </w:rPr>
              <w:sym w:font="Wingdings" w:char="F06C"/>
            </w:r>
          </w:p>
        </w:tc>
      </w:tr>
    </w:tbl>
    <w:p w:rsidR="00E5009E" w:rsidRPr="00C258AD" w:rsidRDefault="00E5009E" w:rsidP="00E5009E">
      <w:pPr>
        <w:jc w:val="both"/>
      </w:pPr>
    </w:p>
    <w:p w:rsidR="006E2BB1" w:rsidRPr="00C258AD" w:rsidRDefault="006E2BB1" w:rsidP="00CA6084"/>
    <w:p w:rsidR="006E2BB1" w:rsidRPr="00C258AD" w:rsidRDefault="00CA6084">
      <w:pPr>
        <w:spacing w:after="200" w:line="276" w:lineRule="auto"/>
        <w:rPr>
          <w:rFonts w:cs="Arial"/>
          <w:b/>
          <w:bCs/>
          <w:iCs/>
          <w:caps/>
          <w:sz w:val="22"/>
          <w:szCs w:val="28"/>
        </w:rPr>
      </w:pPr>
      <w:r w:rsidRPr="00C258AD">
        <w:br w:type="page"/>
      </w:r>
    </w:p>
    <w:p w:rsidR="006E2BB1" w:rsidRPr="00C258AD" w:rsidRDefault="005F6BE0" w:rsidP="00305CE5">
      <w:pPr>
        <w:pStyle w:val="Heading3"/>
      </w:pPr>
      <w:bookmarkStart w:id="56" w:name="_Toc455394177"/>
      <w:r w:rsidRPr="00C258AD">
        <w:lastRenderedPageBreak/>
        <w:t>Programme 1</w:t>
      </w:r>
      <w:r w:rsidRPr="00C258AD">
        <w:tab/>
        <w:t>‏Droit des brevets</w:t>
      </w:r>
      <w:bookmarkEnd w:id="56"/>
    </w:p>
    <w:p w:rsidR="006E2BB1" w:rsidRPr="00C258AD" w:rsidRDefault="006E2BB1" w:rsidP="008F201B"/>
    <w:p w:rsidR="006E2BB1" w:rsidRPr="00C258AD" w:rsidRDefault="005F6BE0" w:rsidP="008F201B">
      <w:pPr>
        <w:rPr>
          <w:b/>
        </w:rPr>
      </w:pPr>
      <w:r w:rsidRPr="00C258AD">
        <w:rPr>
          <w:b/>
        </w:rPr>
        <w:t>Chef de programme</w:t>
      </w:r>
      <w:r w:rsidRPr="00C258AD">
        <w:rPr>
          <w:b/>
        </w:rPr>
        <w:tab/>
        <w:t>M.</w:t>
      </w:r>
      <w:r w:rsidR="002C57EB" w:rsidRPr="00C258AD">
        <w:rPr>
          <w:b/>
        </w:rPr>
        <w:t> </w:t>
      </w:r>
      <w:r w:rsidRPr="00C258AD">
        <w:rPr>
          <w:b/>
        </w:rPr>
        <w:t>J.</w:t>
      </w:r>
      <w:r w:rsidR="002C57EB" w:rsidRPr="00C258AD">
        <w:rPr>
          <w:b/>
        </w:rPr>
        <w:t> </w:t>
      </w:r>
      <w:r w:rsidRPr="00C258AD">
        <w:rPr>
          <w:b/>
        </w:rPr>
        <w:t>Sandage</w:t>
      </w:r>
    </w:p>
    <w:p w:rsidR="006E2BB1" w:rsidRPr="00C258AD" w:rsidRDefault="006E2BB1" w:rsidP="008F201B"/>
    <w:p w:rsidR="006E2BB1" w:rsidRPr="00C258AD" w:rsidRDefault="006E2BB1" w:rsidP="008F201B">
      <w:pPr>
        <w:rPr>
          <w:szCs w:val="20"/>
        </w:rPr>
      </w:pPr>
    </w:p>
    <w:p w:rsidR="006E2BB1" w:rsidRPr="00C258AD" w:rsidRDefault="00B76703" w:rsidP="00305CE5">
      <w:pPr>
        <w:keepNext/>
        <w:rPr>
          <w:rFonts w:cs="Arial"/>
          <w:caps/>
          <w:sz w:val="22"/>
          <w:szCs w:val="22"/>
        </w:rPr>
      </w:pPr>
      <w:r w:rsidRPr="00C258AD">
        <w:rPr>
          <w:rFonts w:cs="Arial"/>
          <w:caps/>
          <w:sz w:val="22"/>
          <w:szCs w:val="22"/>
        </w:rPr>
        <w:t>Réalisations au cours de l’exercice biennal 2014-2015</w:t>
      </w:r>
    </w:p>
    <w:p w:rsidR="006E2BB1" w:rsidRPr="00C258AD" w:rsidRDefault="006E2BB1" w:rsidP="00B60163">
      <w:pPr>
        <w:rPr>
          <w:bCs/>
          <w:sz w:val="22"/>
          <w:szCs w:val="22"/>
        </w:rPr>
      </w:pPr>
    </w:p>
    <w:p w:rsidR="006E2BB1" w:rsidRPr="00C258AD" w:rsidRDefault="005F6BE0" w:rsidP="008F201B">
      <w:pPr>
        <w:pStyle w:val="ListParagraph"/>
        <w:ind w:left="0" w:firstLine="0"/>
        <w:rPr>
          <w:lang w:eastAsia="zh-CN"/>
        </w:rPr>
      </w:pPr>
      <w:r w:rsidRPr="00C258AD">
        <w:rPr>
          <w:lang w:eastAsia="zh-CN"/>
        </w:rPr>
        <w:t>En vue de renforcer la coopération entre les États membres en faveur de la poursuite de l</w:t>
      </w:r>
      <w:r w:rsidR="00721905" w:rsidRPr="00C258AD">
        <w:rPr>
          <w:lang w:eastAsia="zh-CN"/>
        </w:rPr>
        <w:t>’</w:t>
      </w:r>
      <w:r w:rsidRPr="00C258AD">
        <w:rPr>
          <w:lang w:eastAsia="zh-CN"/>
        </w:rPr>
        <w:t>élaboration d</w:t>
      </w:r>
      <w:r w:rsidR="00721905" w:rsidRPr="00C258AD">
        <w:rPr>
          <w:lang w:eastAsia="zh-CN"/>
        </w:rPr>
        <w:t>’</w:t>
      </w:r>
      <w:r w:rsidRPr="00C258AD">
        <w:rPr>
          <w:lang w:eastAsia="zh-CN"/>
        </w:rPr>
        <w:t>une politique équilibrée et de cadres normatifs pour le système international des brevets, les vingtième, vingt</w:t>
      </w:r>
      <w:r w:rsidR="002C57EB" w:rsidRPr="00C258AD">
        <w:rPr>
          <w:lang w:eastAsia="zh-CN"/>
        </w:rPr>
        <w:t> </w:t>
      </w:r>
      <w:r w:rsidRPr="00C258AD">
        <w:rPr>
          <w:lang w:eastAsia="zh-CN"/>
        </w:rPr>
        <w:t>et</w:t>
      </w:r>
      <w:r w:rsidR="002C57EB" w:rsidRPr="00C258AD">
        <w:rPr>
          <w:lang w:eastAsia="zh-CN"/>
        </w:rPr>
        <w:t> </w:t>
      </w:r>
      <w:r w:rsidRPr="00C258AD">
        <w:rPr>
          <w:lang w:eastAsia="zh-CN"/>
        </w:rPr>
        <w:t>unième, vingt</w:t>
      </w:r>
      <w:r w:rsidR="0000169D" w:rsidRPr="00C258AD">
        <w:rPr>
          <w:lang w:eastAsia="zh-CN"/>
        </w:rPr>
        <w:noBreakHyphen/>
      </w:r>
      <w:r w:rsidRPr="00C258AD">
        <w:rPr>
          <w:lang w:eastAsia="zh-CN"/>
        </w:rPr>
        <w:t>deuxième et vingt</w:t>
      </w:r>
      <w:r w:rsidR="0000169D" w:rsidRPr="00C258AD">
        <w:rPr>
          <w:lang w:eastAsia="zh-CN"/>
        </w:rPr>
        <w:noBreakHyphen/>
      </w:r>
      <w:r w:rsidRPr="00C258AD">
        <w:rPr>
          <w:lang w:eastAsia="zh-CN"/>
        </w:rPr>
        <w:t>troisième</w:t>
      </w:r>
      <w:r w:rsidR="002C57EB" w:rsidRPr="00C258AD">
        <w:rPr>
          <w:lang w:eastAsia="zh-CN"/>
        </w:rPr>
        <w:t> </w:t>
      </w:r>
      <w:r w:rsidRPr="00C258AD">
        <w:rPr>
          <w:lang w:eastAsia="zh-CN"/>
        </w:rPr>
        <w:t xml:space="preserve">sessions du Comité permanent du droit des brevets (SCP) se sont tenues respectivement en </w:t>
      </w:r>
      <w:r w:rsidR="00721905" w:rsidRPr="00C258AD">
        <w:rPr>
          <w:lang w:eastAsia="zh-CN"/>
        </w:rPr>
        <w:t>janvier 20</w:t>
      </w:r>
      <w:r w:rsidRPr="00C258AD">
        <w:rPr>
          <w:lang w:eastAsia="zh-CN"/>
        </w:rPr>
        <w:t xml:space="preserve">14, </w:t>
      </w:r>
      <w:r w:rsidR="00721905" w:rsidRPr="00C258AD">
        <w:rPr>
          <w:lang w:eastAsia="zh-CN"/>
        </w:rPr>
        <w:t>novembre 20</w:t>
      </w:r>
      <w:r w:rsidRPr="00C258AD">
        <w:rPr>
          <w:lang w:eastAsia="zh-CN"/>
        </w:rPr>
        <w:t xml:space="preserve">14, </w:t>
      </w:r>
      <w:r w:rsidR="00721905" w:rsidRPr="00C258AD">
        <w:rPr>
          <w:lang w:eastAsia="zh-CN"/>
        </w:rPr>
        <w:t>juillet 20</w:t>
      </w:r>
      <w:r w:rsidRPr="00C258AD">
        <w:rPr>
          <w:lang w:eastAsia="zh-CN"/>
        </w:rPr>
        <w:t xml:space="preserve">15 et </w:t>
      </w:r>
      <w:r w:rsidR="00721905" w:rsidRPr="00C258AD">
        <w:rPr>
          <w:lang w:eastAsia="zh-CN"/>
        </w:rPr>
        <w:t>décembre 20</w:t>
      </w:r>
      <w:r w:rsidRPr="00C258AD">
        <w:rPr>
          <w:lang w:eastAsia="zh-CN"/>
        </w:rPr>
        <w:t>15.</w:t>
      </w:r>
      <w:r w:rsidR="008D683C" w:rsidRPr="00C258AD">
        <w:rPr>
          <w:lang w:eastAsia="zh-CN"/>
        </w:rPr>
        <w:t xml:space="preserve"> </w:t>
      </w:r>
      <w:r w:rsidR="00785CE1" w:rsidRPr="00C258AD">
        <w:rPr>
          <w:lang w:eastAsia="zh-CN"/>
        </w:rPr>
        <w:t xml:space="preserve"> </w:t>
      </w:r>
      <w:r w:rsidRPr="00C258AD">
        <w:rPr>
          <w:lang w:eastAsia="zh-CN"/>
        </w:rPr>
        <w:t>Ce Comité a poursuivi l</w:t>
      </w:r>
      <w:r w:rsidR="00721905" w:rsidRPr="00C258AD">
        <w:rPr>
          <w:lang w:eastAsia="zh-CN"/>
        </w:rPr>
        <w:t>’</w:t>
      </w:r>
      <w:r w:rsidRPr="00C258AD">
        <w:rPr>
          <w:lang w:eastAsia="zh-CN"/>
        </w:rPr>
        <w:t>examen de cinq</w:t>
      </w:r>
      <w:r w:rsidR="002C57EB" w:rsidRPr="00C258AD">
        <w:rPr>
          <w:lang w:eastAsia="zh-CN"/>
        </w:rPr>
        <w:t> </w:t>
      </w:r>
      <w:r w:rsidRPr="00C258AD">
        <w:rPr>
          <w:lang w:eastAsia="zh-CN"/>
        </w:rPr>
        <w:t>points inscrits à son ordre du jour, notamment</w:t>
      </w:r>
      <w:r w:rsidR="002C57EB" w:rsidRPr="00C258AD">
        <w:rPr>
          <w:lang w:eastAsia="zh-CN"/>
        </w:rPr>
        <w:t> </w:t>
      </w:r>
      <w:r w:rsidRPr="00C258AD">
        <w:rPr>
          <w:lang w:eastAsia="zh-CN"/>
        </w:rPr>
        <w:t>: i)</w:t>
      </w:r>
      <w:r w:rsidR="002C57EB" w:rsidRPr="00C258AD">
        <w:rPr>
          <w:lang w:eastAsia="zh-CN"/>
        </w:rPr>
        <w:t> </w:t>
      </w:r>
      <w:r w:rsidRPr="00C258AD">
        <w:rPr>
          <w:lang w:eastAsia="zh-CN"/>
        </w:rPr>
        <w:t>les exceptions et limitations aux droits des brevets;  ii)</w:t>
      </w:r>
      <w:r w:rsidR="002C57EB" w:rsidRPr="00C258AD">
        <w:rPr>
          <w:lang w:eastAsia="zh-CN"/>
        </w:rPr>
        <w:t> </w:t>
      </w:r>
      <w:r w:rsidRPr="00C258AD">
        <w:rPr>
          <w:lang w:eastAsia="zh-CN"/>
        </w:rPr>
        <w:t xml:space="preserve">la qualité des brevets, </w:t>
      </w:r>
      <w:r w:rsidR="00721905" w:rsidRPr="00C258AD">
        <w:rPr>
          <w:lang w:eastAsia="zh-CN"/>
        </w:rPr>
        <w:t>y compris</w:t>
      </w:r>
      <w:r w:rsidRPr="00C258AD">
        <w:rPr>
          <w:lang w:eastAsia="zh-CN"/>
        </w:rPr>
        <w:t xml:space="preserve"> des systèmes d</w:t>
      </w:r>
      <w:r w:rsidR="00721905" w:rsidRPr="00C258AD">
        <w:rPr>
          <w:lang w:eastAsia="zh-CN"/>
        </w:rPr>
        <w:t>’</w:t>
      </w:r>
      <w:r w:rsidRPr="00C258AD">
        <w:rPr>
          <w:lang w:eastAsia="zh-CN"/>
        </w:rPr>
        <w:t>opposition;  iii)</w:t>
      </w:r>
      <w:r w:rsidR="002C57EB" w:rsidRPr="00C258AD">
        <w:rPr>
          <w:lang w:eastAsia="zh-CN"/>
        </w:rPr>
        <w:t> </w:t>
      </w:r>
      <w:r w:rsidRPr="00C258AD">
        <w:rPr>
          <w:lang w:eastAsia="zh-CN"/>
        </w:rPr>
        <w:t>les brevets et la santé;  iv)</w:t>
      </w:r>
      <w:r w:rsidR="002C57EB" w:rsidRPr="00C258AD">
        <w:rPr>
          <w:lang w:eastAsia="zh-CN"/>
        </w:rPr>
        <w:t> </w:t>
      </w:r>
      <w:r w:rsidRPr="00C258AD">
        <w:rPr>
          <w:lang w:eastAsia="zh-CN"/>
        </w:rPr>
        <w:t>la confidentialité de la communication entre les clients et les mandataires de brevets;  et v)</w:t>
      </w:r>
      <w:r w:rsidR="002C57EB" w:rsidRPr="00C258AD">
        <w:rPr>
          <w:lang w:eastAsia="zh-CN"/>
        </w:rPr>
        <w:t> </w:t>
      </w:r>
      <w:r w:rsidRPr="00C258AD">
        <w:rPr>
          <w:lang w:eastAsia="zh-CN"/>
        </w:rPr>
        <w:t>le transfert de la technologie.</w:t>
      </w:r>
    </w:p>
    <w:p w:rsidR="006E2BB1" w:rsidRPr="00C258AD" w:rsidRDefault="006E2BB1" w:rsidP="008F201B">
      <w:pPr>
        <w:rPr>
          <w:lang w:eastAsia="zh-CN"/>
        </w:rPr>
      </w:pPr>
    </w:p>
    <w:p w:rsidR="006E2BB1" w:rsidRPr="00C258AD" w:rsidRDefault="00C35429" w:rsidP="008F201B">
      <w:pPr>
        <w:pStyle w:val="ListParagraph"/>
        <w:ind w:left="0" w:firstLine="0"/>
        <w:rPr>
          <w:lang w:eastAsia="zh-CN"/>
        </w:rPr>
      </w:pPr>
      <w:r w:rsidRPr="00C258AD">
        <w:rPr>
          <w:lang w:eastAsia="zh-CN"/>
        </w:rPr>
        <w:t>L</w:t>
      </w:r>
      <w:r w:rsidR="00721905" w:rsidRPr="00C258AD">
        <w:rPr>
          <w:lang w:eastAsia="zh-CN"/>
        </w:rPr>
        <w:t>’</w:t>
      </w:r>
      <w:r w:rsidRPr="00C258AD">
        <w:rPr>
          <w:lang w:eastAsia="zh-CN"/>
        </w:rPr>
        <w:t>examen des études de fond a permis au SCP d</w:t>
      </w:r>
      <w:r w:rsidR="00721905" w:rsidRPr="00C258AD">
        <w:rPr>
          <w:lang w:eastAsia="zh-CN"/>
        </w:rPr>
        <w:t>’</w:t>
      </w:r>
      <w:r w:rsidRPr="00C258AD">
        <w:rPr>
          <w:lang w:eastAsia="zh-CN"/>
        </w:rPr>
        <w:t>analyser le système international des brevets actuel en adoptant une approche globale prenant en considération les différents besoins et intérêts des États membres et des parties prenant</w:t>
      </w:r>
      <w:r w:rsidR="0000169D" w:rsidRPr="00C258AD">
        <w:rPr>
          <w:lang w:eastAsia="zh-CN"/>
        </w:rPr>
        <w:t>es.  Un</w:t>
      </w:r>
      <w:r w:rsidRPr="00C258AD">
        <w:rPr>
          <w:lang w:eastAsia="zh-CN"/>
        </w:rPr>
        <w:t>e approche progressive a élargi la base commune à partir de laquelle le comité pourrait faire avancer ses déba</w:t>
      </w:r>
      <w:r w:rsidR="0000169D" w:rsidRPr="00C258AD">
        <w:rPr>
          <w:lang w:eastAsia="zh-CN"/>
        </w:rPr>
        <w:t>ts.  En</w:t>
      </w:r>
      <w:r w:rsidR="00936EE0" w:rsidRPr="00C258AD">
        <w:rPr>
          <w:lang w:eastAsia="zh-CN"/>
        </w:rPr>
        <w:t xml:space="preserve"> outre, diverses méthodes utilisées par le comité, notamment la préparation des études de fond, des séminaires et des réunions de partage de données sur la mise en œuvre d</w:t>
      </w:r>
      <w:r w:rsidR="00721905" w:rsidRPr="00C258AD">
        <w:rPr>
          <w:lang w:eastAsia="zh-CN"/>
        </w:rPr>
        <w:t>’</w:t>
      </w:r>
      <w:r w:rsidR="00936EE0" w:rsidRPr="00C258AD">
        <w:rPr>
          <w:lang w:eastAsia="zh-CN"/>
        </w:rPr>
        <w:t>une législation sur les brevets au niveau national, ainsi que l</w:t>
      </w:r>
      <w:r w:rsidR="00721905" w:rsidRPr="00C258AD">
        <w:rPr>
          <w:lang w:eastAsia="zh-CN"/>
        </w:rPr>
        <w:t>’</w:t>
      </w:r>
      <w:r w:rsidR="00936EE0" w:rsidRPr="00C258AD">
        <w:rPr>
          <w:lang w:eastAsia="zh-CN"/>
        </w:rPr>
        <w:t>échange d</w:t>
      </w:r>
      <w:r w:rsidR="00721905" w:rsidRPr="00C258AD">
        <w:rPr>
          <w:lang w:eastAsia="zh-CN"/>
        </w:rPr>
        <w:t>’</w:t>
      </w:r>
      <w:r w:rsidR="00936EE0" w:rsidRPr="00C258AD">
        <w:rPr>
          <w:lang w:eastAsia="zh-CN"/>
        </w:rPr>
        <w:t>expériences et d</w:t>
      </w:r>
      <w:r w:rsidR="00721905" w:rsidRPr="00C258AD">
        <w:rPr>
          <w:lang w:eastAsia="zh-CN"/>
        </w:rPr>
        <w:t>’</w:t>
      </w:r>
      <w:r w:rsidR="00936EE0" w:rsidRPr="00C258AD">
        <w:rPr>
          <w:lang w:eastAsia="zh-CN"/>
        </w:rPr>
        <w:t>enjeux nationaux, ont contribué à faire progresser les débats sur les questions d</w:t>
      </w:r>
      <w:r w:rsidR="00721905" w:rsidRPr="00C258AD">
        <w:rPr>
          <w:lang w:eastAsia="zh-CN"/>
        </w:rPr>
        <w:t>’</w:t>
      </w:r>
      <w:r w:rsidR="00936EE0" w:rsidRPr="00C258AD">
        <w:rPr>
          <w:lang w:eastAsia="zh-CN"/>
        </w:rPr>
        <w:t>intérêt commun au sein du </w:t>
      </w:r>
      <w:r w:rsidR="0000169D" w:rsidRPr="00C258AD">
        <w:rPr>
          <w:lang w:eastAsia="zh-CN"/>
        </w:rPr>
        <w:t>SCP.  Au</w:t>
      </w:r>
      <w:r w:rsidR="00936EE0" w:rsidRPr="00C258AD">
        <w:rPr>
          <w:lang w:eastAsia="zh-CN"/>
        </w:rPr>
        <w:t xml:space="preserve"> cours de l</w:t>
      </w:r>
      <w:r w:rsidR="00721905" w:rsidRPr="00C258AD">
        <w:rPr>
          <w:lang w:eastAsia="zh-CN"/>
        </w:rPr>
        <w:t>’</w:t>
      </w:r>
      <w:r w:rsidR="00936EE0" w:rsidRPr="00C258AD">
        <w:rPr>
          <w:lang w:eastAsia="zh-CN"/>
        </w:rPr>
        <w:t>exercice biennal</w:t>
      </w:r>
      <w:r w:rsidR="002C57EB" w:rsidRPr="00C258AD">
        <w:rPr>
          <w:lang w:eastAsia="zh-CN"/>
        </w:rPr>
        <w:t> </w:t>
      </w:r>
      <w:r w:rsidR="00936EE0" w:rsidRPr="00C258AD">
        <w:rPr>
          <w:lang w:eastAsia="zh-CN"/>
        </w:rPr>
        <w:t>2014</w:t>
      </w:r>
      <w:r w:rsidR="0000169D" w:rsidRPr="00C258AD">
        <w:rPr>
          <w:lang w:eastAsia="zh-CN"/>
        </w:rPr>
        <w:noBreakHyphen/>
      </w:r>
      <w:r w:rsidR="00936EE0" w:rsidRPr="00C258AD">
        <w:rPr>
          <w:lang w:eastAsia="zh-CN"/>
        </w:rPr>
        <w:t>2015, un certain nombre de propositions ont été présentées par des États membres sur les thèmes précités, démontrant leur engagement dans les travaux du SCP.</w:t>
      </w:r>
    </w:p>
    <w:p w:rsidR="006E2BB1" w:rsidRPr="00C258AD" w:rsidRDefault="006E2BB1" w:rsidP="008F201B">
      <w:pPr>
        <w:rPr>
          <w:lang w:eastAsia="zh-CN"/>
        </w:rPr>
      </w:pPr>
    </w:p>
    <w:p w:rsidR="006E2BB1" w:rsidRPr="00C258AD" w:rsidRDefault="00B547A1" w:rsidP="008F201B">
      <w:pPr>
        <w:pStyle w:val="ListParagraph"/>
        <w:ind w:left="0" w:firstLine="0"/>
        <w:rPr>
          <w:lang w:eastAsia="zh-CN"/>
        </w:rPr>
      </w:pPr>
      <w:r w:rsidRPr="00C258AD">
        <w:rPr>
          <w:lang w:eastAsia="zh-CN"/>
        </w:rPr>
        <w:t>En ce qui concerne les traités administrés par l</w:t>
      </w:r>
      <w:r w:rsidR="00721905" w:rsidRPr="00C258AD">
        <w:rPr>
          <w:lang w:eastAsia="zh-CN"/>
        </w:rPr>
        <w:t>’</w:t>
      </w:r>
      <w:r w:rsidRPr="00C258AD">
        <w:rPr>
          <w:lang w:eastAsia="zh-CN"/>
        </w:rPr>
        <w:t>OMPI dans le domaine des brevets, un État (Koweït) a adhéré à la Convention de Paris au cours de l</w:t>
      </w:r>
      <w:r w:rsidR="00721905" w:rsidRPr="00C258AD">
        <w:rPr>
          <w:lang w:eastAsia="zh-CN"/>
        </w:rPr>
        <w:t>’</w:t>
      </w:r>
      <w:r w:rsidRPr="00C258AD">
        <w:rPr>
          <w:lang w:eastAsia="zh-CN"/>
        </w:rPr>
        <w:t>exercice biennal.</w:t>
      </w:r>
    </w:p>
    <w:p w:rsidR="006E2BB1" w:rsidRPr="00C258AD" w:rsidRDefault="006E2BB1" w:rsidP="008F201B">
      <w:pPr>
        <w:rPr>
          <w:lang w:eastAsia="zh-CN"/>
        </w:rPr>
      </w:pPr>
    </w:p>
    <w:p w:rsidR="006E2BB1" w:rsidRPr="00C258AD" w:rsidRDefault="00B547A1" w:rsidP="008F201B">
      <w:pPr>
        <w:pStyle w:val="ListParagraph"/>
        <w:ind w:left="0" w:firstLine="0"/>
        <w:rPr>
          <w:lang w:eastAsia="zh-CN"/>
        </w:rPr>
      </w:pPr>
      <w:r w:rsidRPr="00C258AD">
        <w:rPr>
          <w:lang w:eastAsia="zh-CN"/>
        </w:rPr>
        <w:t>Dans les domaines législatif et politique, l</w:t>
      </w:r>
      <w:r w:rsidR="00721905" w:rsidRPr="00C258AD">
        <w:rPr>
          <w:lang w:eastAsia="zh-CN"/>
        </w:rPr>
        <w:t>’</w:t>
      </w:r>
      <w:r w:rsidRPr="00C258AD">
        <w:rPr>
          <w:lang w:eastAsia="zh-CN"/>
        </w:rPr>
        <w:t>assistance de l</w:t>
      </w:r>
      <w:r w:rsidR="00721905" w:rsidRPr="00C258AD">
        <w:rPr>
          <w:lang w:eastAsia="zh-CN"/>
        </w:rPr>
        <w:t>’</w:t>
      </w:r>
      <w:r w:rsidRPr="00C258AD">
        <w:rPr>
          <w:lang w:eastAsia="zh-CN"/>
        </w:rPr>
        <w:t>OMPI s</w:t>
      </w:r>
      <w:r w:rsidR="00721905" w:rsidRPr="00C258AD">
        <w:rPr>
          <w:lang w:eastAsia="zh-CN"/>
        </w:rPr>
        <w:t>’</w:t>
      </w:r>
      <w:r w:rsidRPr="00C258AD">
        <w:rPr>
          <w:lang w:eastAsia="zh-CN"/>
        </w:rPr>
        <w:t>est toujours fondée sur le cadre juridique multilatér</w:t>
      </w:r>
      <w:r w:rsidR="0000169D" w:rsidRPr="00C258AD">
        <w:rPr>
          <w:lang w:eastAsia="zh-CN"/>
        </w:rPr>
        <w:t>al.  Le</w:t>
      </w:r>
      <w:r w:rsidRPr="00C258AD">
        <w:rPr>
          <w:lang w:eastAsia="zh-CN"/>
        </w:rPr>
        <w:t>s activités législatives des États membres ont évolué, en particulier grâce à leur participation aux processus régionaux d</w:t>
      </w:r>
      <w:r w:rsidR="00721905" w:rsidRPr="00C258AD">
        <w:rPr>
          <w:lang w:eastAsia="zh-CN"/>
        </w:rPr>
        <w:t>’</w:t>
      </w:r>
      <w:r w:rsidRPr="00C258AD">
        <w:rPr>
          <w:lang w:eastAsia="zh-CN"/>
        </w:rPr>
        <w:t>intégration économique et à des accords bilatéraux de libre</w:t>
      </w:r>
      <w:r w:rsidR="0000169D" w:rsidRPr="00C258AD">
        <w:rPr>
          <w:lang w:eastAsia="zh-CN"/>
        </w:rPr>
        <w:noBreakHyphen/>
      </w:r>
      <w:r w:rsidRPr="00C258AD">
        <w:rPr>
          <w:lang w:eastAsia="zh-CN"/>
        </w:rPr>
        <w:t>échan</w:t>
      </w:r>
      <w:r w:rsidR="0000169D" w:rsidRPr="00C258AD">
        <w:rPr>
          <w:lang w:eastAsia="zh-CN"/>
        </w:rPr>
        <w:t>ge.  En</w:t>
      </w:r>
      <w:r w:rsidR="00947F24" w:rsidRPr="00C258AD">
        <w:rPr>
          <w:lang w:eastAsia="zh-CN"/>
        </w:rPr>
        <w:t xml:space="preserve"> outre, un certain nombre d</w:t>
      </w:r>
      <w:r w:rsidR="00721905" w:rsidRPr="00C258AD">
        <w:rPr>
          <w:lang w:eastAsia="zh-CN"/>
        </w:rPr>
        <w:t>’</w:t>
      </w:r>
      <w:r w:rsidR="00947F24" w:rsidRPr="00C258AD">
        <w:rPr>
          <w:lang w:eastAsia="zh-CN"/>
        </w:rPr>
        <w:t xml:space="preserve">États membres révisent leur droit des brevets en fonction de leurs politiques publiques locales ou de leur adhésion aux traités multilatéraux relatifs aux brevets – </w:t>
      </w:r>
      <w:r w:rsidR="00721905" w:rsidRPr="00C258AD">
        <w:rPr>
          <w:lang w:eastAsia="zh-CN"/>
        </w:rPr>
        <w:t>à savoir</w:t>
      </w:r>
      <w:r w:rsidR="00947F24" w:rsidRPr="00C258AD">
        <w:rPr>
          <w:lang w:eastAsia="zh-CN"/>
        </w:rPr>
        <w:t xml:space="preserve"> le Traité de coopération en matière de brevets (PCT), le traité de Budapest et le Traité sur le droit des brevets (PLT) – ou les mettent en œuvre pour la première fois par l</w:t>
      </w:r>
      <w:r w:rsidR="00721905" w:rsidRPr="00C258AD">
        <w:rPr>
          <w:lang w:eastAsia="zh-CN"/>
        </w:rPr>
        <w:t>’</w:t>
      </w:r>
      <w:r w:rsidR="00947F24" w:rsidRPr="00C258AD">
        <w:rPr>
          <w:lang w:eastAsia="zh-CN"/>
        </w:rPr>
        <w:t>adoption de règlemen</w:t>
      </w:r>
      <w:r w:rsidR="0000169D" w:rsidRPr="00C258AD">
        <w:rPr>
          <w:lang w:eastAsia="zh-CN"/>
        </w:rPr>
        <w:t>ts.  Pa</w:t>
      </w:r>
      <w:r w:rsidRPr="00C258AD">
        <w:rPr>
          <w:lang w:eastAsia="zh-CN"/>
        </w:rPr>
        <w:t>r ailleurs, les pays qui intègrent l</w:t>
      </w:r>
      <w:r w:rsidR="00721905" w:rsidRPr="00C258AD">
        <w:rPr>
          <w:lang w:eastAsia="zh-CN"/>
        </w:rPr>
        <w:t>’</w:t>
      </w:r>
      <w:r w:rsidRPr="00C258AD">
        <w:rPr>
          <w:lang w:eastAsia="zh-CN"/>
        </w:rPr>
        <w:t>Organisation mondiale du commerce (OMC) révisent systématiquement leurs cadres juridiqu</w:t>
      </w:r>
      <w:r w:rsidR="0000169D" w:rsidRPr="00C258AD">
        <w:rPr>
          <w:lang w:eastAsia="zh-CN"/>
        </w:rPr>
        <w:t>es.  Le</w:t>
      </w:r>
      <w:r w:rsidRPr="00C258AD">
        <w:rPr>
          <w:lang w:eastAsia="zh-CN"/>
        </w:rPr>
        <w:t>s demandes de conseils en matière de législation suivent donc la même tendance.</w:t>
      </w:r>
    </w:p>
    <w:p w:rsidR="006E2BB1" w:rsidRPr="00C258AD" w:rsidRDefault="006E2BB1" w:rsidP="008F201B">
      <w:pPr>
        <w:rPr>
          <w:lang w:eastAsia="zh-CN"/>
        </w:rPr>
      </w:pPr>
    </w:p>
    <w:p w:rsidR="006E2BB1" w:rsidRPr="00C258AD" w:rsidRDefault="00B547A1" w:rsidP="008F201B">
      <w:pPr>
        <w:pStyle w:val="ListParagraph"/>
        <w:ind w:left="0" w:firstLine="0"/>
        <w:rPr>
          <w:lang w:eastAsia="zh-CN"/>
        </w:rPr>
      </w:pPr>
      <w:r w:rsidRPr="00C258AD">
        <w:rPr>
          <w:lang w:eastAsia="zh-CN"/>
        </w:rPr>
        <w:t>Par ailleurs, lors de l</w:t>
      </w:r>
      <w:r w:rsidR="00721905" w:rsidRPr="00C258AD">
        <w:rPr>
          <w:lang w:eastAsia="zh-CN"/>
        </w:rPr>
        <w:t>’</w:t>
      </w:r>
      <w:r w:rsidRPr="00C258AD">
        <w:rPr>
          <w:lang w:eastAsia="zh-CN"/>
        </w:rPr>
        <w:t>exercice biennal</w:t>
      </w:r>
      <w:r w:rsidR="002C57EB" w:rsidRPr="00C258AD">
        <w:rPr>
          <w:lang w:eastAsia="zh-CN"/>
        </w:rPr>
        <w:t> </w:t>
      </w:r>
      <w:r w:rsidRPr="00C258AD">
        <w:rPr>
          <w:lang w:eastAsia="zh-CN"/>
        </w:rPr>
        <w:t>2014</w:t>
      </w:r>
      <w:r w:rsidR="0000169D" w:rsidRPr="00C258AD">
        <w:rPr>
          <w:lang w:eastAsia="zh-CN"/>
        </w:rPr>
        <w:noBreakHyphen/>
      </w:r>
      <w:r w:rsidRPr="00C258AD">
        <w:rPr>
          <w:lang w:eastAsia="zh-CN"/>
        </w:rPr>
        <w:t>2015, le Secrétariat a poursuivi sa contribution afin de promouvoir la sensibilisation aux principes et pratiques juridiques du système des brevets, et ce par le biais d</w:t>
      </w:r>
      <w:r w:rsidR="00721905" w:rsidRPr="00C258AD">
        <w:rPr>
          <w:lang w:eastAsia="zh-CN"/>
        </w:rPr>
        <w:t>’</w:t>
      </w:r>
      <w:r w:rsidRPr="00C258AD">
        <w:rPr>
          <w:lang w:eastAsia="zh-CN"/>
        </w:rPr>
        <w:t>apport d</w:t>
      </w:r>
      <w:r w:rsidR="00721905" w:rsidRPr="00C258AD">
        <w:rPr>
          <w:lang w:eastAsia="zh-CN"/>
        </w:rPr>
        <w:t>’</w:t>
      </w:r>
      <w:r w:rsidRPr="00C258AD">
        <w:rPr>
          <w:lang w:eastAsia="zh-CN"/>
        </w:rPr>
        <w:t xml:space="preserve">informations pertinentes aux organisations intergouvernementales, aux organes des </w:t>
      </w:r>
      <w:r w:rsidR="00721905" w:rsidRPr="00C258AD">
        <w:rPr>
          <w:lang w:eastAsia="zh-CN"/>
        </w:rPr>
        <w:t>Nations Unies</w:t>
      </w:r>
      <w:r w:rsidRPr="00C258AD">
        <w:rPr>
          <w:lang w:eastAsia="zh-CN"/>
        </w:rPr>
        <w:t>, aux organisations non gouvernementales et aux autres parties sur des sujets couverts par ce programme.</w:t>
      </w:r>
    </w:p>
    <w:p w:rsidR="006E2BB1" w:rsidRPr="00C258AD" w:rsidRDefault="006E2BB1" w:rsidP="008F201B">
      <w:pPr>
        <w:rPr>
          <w:lang w:eastAsia="zh-CN"/>
        </w:rPr>
      </w:pPr>
    </w:p>
    <w:p w:rsidR="006E2BB1" w:rsidRPr="00C258AD" w:rsidRDefault="00B547A1" w:rsidP="008F201B">
      <w:pPr>
        <w:pStyle w:val="ListParagraph"/>
        <w:ind w:left="0" w:firstLine="0"/>
        <w:rPr>
          <w:lang w:eastAsia="zh-CN"/>
        </w:rPr>
      </w:pPr>
      <w:r w:rsidRPr="00C258AD">
        <w:rPr>
          <w:lang w:eastAsia="zh-CN"/>
        </w:rPr>
        <w:t>La conception, la préparation et la mise en œuvre des activités ont été guidées et structurées par les recommandations pertinentes du Plan d</w:t>
      </w:r>
      <w:r w:rsidR="00721905" w:rsidRPr="00C258AD">
        <w:rPr>
          <w:lang w:eastAsia="zh-CN"/>
        </w:rPr>
        <w:t>’</w:t>
      </w:r>
      <w:r w:rsidRPr="00C258AD">
        <w:rPr>
          <w:lang w:eastAsia="zh-CN"/>
        </w:rPr>
        <w:t>action pour le développeme</w:t>
      </w:r>
      <w:r w:rsidR="0000169D" w:rsidRPr="00C258AD">
        <w:rPr>
          <w:lang w:eastAsia="zh-CN"/>
        </w:rPr>
        <w:t>nt.  Le</w:t>
      </w:r>
      <w:r w:rsidRPr="00C258AD">
        <w:rPr>
          <w:lang w:eastAsia="zh-CN"/>
        </w:rPr>
        <w:t>s débats relatifs à l</w:t>
      </w:r>
      <w:r w:rsidR="00721905" w:rsidRPr="00C258AD">
        <w:rPr>
          <w:lang w:eastAsia="zh-CN"/>
        </w:rPr>
        <w:t>’</w:t>
      </w:r>
      <w:r w:rsidRPr="00C258AD">
        <w:rPr>
          <w:lang w:eastAsia="zh-CN"/>
        </w:rPr>
        <w:t>évolution progressive du système international des brevets au sein</w:t>
      </w:r>
      <w:r w:rsidR="00721905" w:rsidRPr="00C258AD">
        <w:rPr>
          <w:lang w:eastAsia="zh-CN"/>
        </w:rPr>
        <w:t xml:space="preserve"> du SCP</w:t>
      </w:r>
      <w:r w:rsidRPr="00C258AD">
        <w:rPr>
          <w:lang w:eastAsia="zh-CN"/>
        </w:rPr>
        <w:t xml:space="preserve"> ont continué d</w:t>
      </w:r>
      <w:r w:rsidR="00721905" w:rsidRPr="00C258AD">
        <w:rPr>
          <w:lang w:eastAsia="zh-CN"/>
        </w:rPr>
        <w:t>’</w:t>
      </w:r>
      <w:r w:rsidRPr="00C258AD">
        <w:rPr>
          <w:lang w:eastAsia="zh-CN"/>
        </w:rPr>
        <w:t>être exhaustifs et réalisés à l</w:t>
      </w:r>
      <w:r w:rsidR="00721905" w:rsidRPr="00C258AD">
        <w:rPr>
          <w:lang w:eastAsia="zh-CN"/>
        </w:rPr>
        <w:t>’</w:t>
      </w:r>
      <w:r w:rsidRPr="00C258AD">
        <w:rPr>
          <w:lang w:eastAsia="zh-CN"/>
        </w:rPr>
        <w:t>initiative des membr</w:t>
      </w:r>
      <w:r w:rsidR="0000169D" w:rsidRPr="00C258AD">
        <w:rPr>
          <w:lang w:eastAsia="zh-CN"/>
        </w:rPr>
        <w:t>es.  Il</w:t>
      </w:r>
      <w:r w:rsidRPr="00C258AD">
        <w:rPr>
          <w:lang w:eastAsia="zh-CN"/>
        </w:rPr>
        <w:t>s ont pris en compte les différents niveaux de développement, se fondant ainsi sur une approche participative qui s</w:t>
      </w:r>
      <w:r w:rsidR="00721905" w:rsidRPr="00C258AD">
        <w:rPr>
          <w:lang w:eastAsia="zh-CN"/>
        </w:rPr>
        <w:t>’</w:t>
      </w:r>
      <w:r w:rsidRPr="00C258AD">
        <w:rPr>
          <w:lang w:eastAsia="zh-CN"/>
        </w:rPr>
        <w:t>inscrit dans le principe de neutralité du Secrétariat de l</w:t>
      </w:r>
      <w:r w:rsidR="00721905" w:rsidRPr="00C258AD">
        <w:rPr>
          <w:lang w:eastAsia="zh-CN"/>
        </w:rPr>
        <w:t>’</w:t>
      </w:r>
      <w:r w:rsidRPr="00C258AD">
        <w:rPr>
          <w:lang w:eastAsia="zh-CN"/>
        </w:rPr>
        <w:t>OMPI (recommandation n°</w:t>
      </w:r>
      <w:r w:rsidR="002C57EB" w:rsidRPr="00C258AD">
        <w:rPr>
          <w:lang w:eastAsia="zh-CN"/>
        </w:rPr>
        <w:t> </w:t>
      </w:r>
      <w:r w:rsidRPr="00C258AD">
        <w:rPr>
          <w:lang w:eastAsia="zh-CN"/>
        </w:rPr>
        <w:t>15).  Les discussions ont aussi pris en compte les éléments de flexibilité prévus dans les instruments internationaux relatifs à la propriété intellectuelle (recommandation n°</w:t>
      </w:r>
      <w:r w:rsidR="002C57EB" w:rsidRPr="00C258AD">
        <w:rPr>
          <w:lang w:eastAsia="zh-CN"/>
        </w:rPr>
        <w:t> </w:t>
      </w:r>
      <w:r w:rsidRPr="00C258AD">
        <w:rPr>
          <w:lang w:eastAsia="zh-CN"/>
        </w:rPr>
        <w:t>17).  Les activités</w:t>
      </w:r>
      <w:r w:rsidR="00721905" w:rsidRPr="00C258AD">
        <w:rPr>
          <w:lang w:eastAsia="zh-CN"/>
        </w:rPr>
        <w:t xml:space="preserve"> du SCP</w:t>
      </w:r>
      <w:r w:rsidRPr="00C258AD">
        <w:rPr>
          <w:lang w:eastAsia="zh-CN"/>
        </w:rPr>
        <w:t xml:space="preserve"> se sont fondées sur des consultations ouvertes et équilibrées (recommandations nos 21 et 42) tout en soutenant les objectifs de développement des </w:t>
      </w:r>
      <w:r w:rsidR="00721905" w:rsidRPr="00C258AD">
        <w:rPr>
          <w:lang w:eastAsia="zh-CN"/>
        </w:rPr>
        <w:t>Nations Unies</w:t>
      </w:r>
      <w:r w:rsidRPr="00C258AD">
        <w:rPr>
          <w:lang w:eastAsia="zh-CN"/>
        </w:rPr>
        <w:t xml:space="preserve"> (recommandation n°</w:t>
      </w:r>
      <w:r w:rsidR="002C57EB" w:rsidRPr="00C258AD">
        <w:rPr>
          <w:lang w:eastAsia="zh-CN"/>
        </w:rPr>
        <w:t> </w:t>
      </w:r>
      <w:r w:rsidRPr="00C258AD">
        <w:rPr>
          <w:lang w:eastAsia="zh-CN"/>
        </w:rPr>
        <w:t>22).  En particulier, conformément à la recommandation n°</w:t>
      </w:r>
      <w:r w:rsidR="002C57EB" w:rsidRPr="00C258AD">
        <w:rPr>
          <w:lang w:eastAsia="zh-CN"/>
        </w:rPr>
        <w:t> </w:t>
      </w:r>
      <w:r w:rsidRPr="00C258AD">
        <w:rPr>
          <w:lang w:eastAsia="zh-CN"/>
        </w:rPr>
        <w:t>22, les documents de travail</w:t>
      </w:r>
      <w:r w:rsidR="00721905" w:rsidRPr="00C258AD">
        <w:rPr>
          <w:lang w:eastAsia="zh-CN"/>
        </w:rPr>
        <w:t xml:space="preserve"> du SCP</w:t>
      </w:r>
      <w:r w:rsidRPr="00C258AD">
        <w:rPr>
          <w:lang w:eastAsia="zh-CN"/>
        </w:rPr>
        <w:t xml:space="preserve"> ont abordé des questions telles que</w:t>
      </w:r>
      <w:r w:rsidR="002C57EB" w:rsidRPr="00C258AD">
        <w:rPr>
          <w:lang w:eastAsia="zh-CN"/>
        </w:rPr>
        <w:t> </w:t>
      </w:r>
      <w:r w:rsidRPr="00C258AD">
        <w:rPr>
          <w:lang w:eastAsia="zh-CN"/>
        </w:rPr>
        <w:t>: i)</w:t>
      </w:r>
      <w:r w:rsidR="002C57EB" w:rsidRPr="00C258AD">
        <w:rPr>
          <w:lang w:eastAsia="zh-CN"/>
        </w:rPr>
        <w:t> </w:t>
      </w:r>
      <w:r w:rsidRPr="00C258AD">
        <w:rPr>
          <w:lang w:eastAsia="zh-CN"/>
        </w:rPr>
        <w:t>le transfert de technologie en rapport avec la propriété intellectuelle;  et ii)</w:t>
      </w:r>
      <w:r w:rsidR="002C57EB" w:rsidRPr="00C258AD">
        <w:rPr>
          <w:lang w:eastAsia="zh-CN"/>
        </w:rPr>
        <w:t> </w:t>
      </w:r>
      <w:r w:rsidRPr="00C258AD">
        <w:rPr>
          <w:lang w:eastAsia="zh-CN"/>
        </w:rPr>
        <w:t>les éléments de flexibilité potentiels, les exceptions et les limitations pour les États membres.</w:t>
      </w:r>
    </w:p>
    <w:p w:rsidR="006E2BB1" w:rsidRPr="00C258AD" w:rsidRDefault="006E2BB1" w:rsidP="008F201B">
      <w:pPr>
        <w:rPr>
          <w:lang w:eastAsia="zh-CN"/>
        </w:rPr>
      </w:pPr>
    </w:p>
    <w:p w:rsidR="006E2BB1" w:rsidRPr="00C258AD" w:rsidRDefault="00B547A1" w:rsidP="008F201B">
      <w:pPr>
        <w:pStyle w:val="ListParagraph"/>
        <w:ind w:left="0" w:firstLine="0"/>
        <w:rPr>
          <w:lang w:eastAsia="zh-CN"/>
        </w:rPr>
      </w:pPr>
      <w:r w:rsidRPr="00C258AD">
        <w:rPr>
          <w:lang w:eastAsia="zh-CN"/>
        </w:rPr>
        <w:lastRenderedPageBreak/>
        <w:t>Les activités d</w:t>
      </w:r>
      <w:r w:rsidR="00721905" w:rsidRPr="00C258AD">
        <w:rPr>
          <w:lang w:eastAsia="zh-CN"/>
        </w:rPr>
        <w:t>’</w:t>
      </w:r>
      <w:r w:rsidRPr="00C258AD">
        <w:rPr>
          <w:lang w:eastAsia="zh-CN"/>
        </w:rPr>
        <w:t>assistance dans les domaines législatif et politique et en matière de renforcement des capacités menées au titre du programme ont été axées sur le développement, fondées sur la demande et mises en œuvre dans les délais prévus (recommandations n</w:t>
      </w:r>
      <w:r w:rsidRPr="00C258AD">
        <w:rPr>
          <w:vertAlign w:val="superscript"/>
          <w:lang w:eastAsia="zh-CN"/>
        </w:rPr>
        <w:t>os</w:t>
      </w:r>
      <w:r w:rsidRPr="00C258AD">
        <w:rPr>
          <w:lang w:eastAsia="zh-CN"/>
        </w:rPr>
        <w:t xml:space="preserve"> 1, 13 et</w:t>
      </w:r>
      <w:r w:rsidR="00DF5569" w:rsidRPr="00C258AD">
        <w:rPr>
          <w:lang w:eastAsia="zh-CN"/>
        </w:rPr>
        <w:t> </w:t>
      </w:r>
      <w:r w:rsidRPr="00C258AD">
        <w:rPr>
          <w:lang w:eastAsia="zh-CN"/>
        </w:rPr>
        <w:t>14).</w:t>
      </w:r>
      <w:r w:rsidR="00785CE1" w:rsidRPr="00C258AD">
        <w:rPr>
          <w:lang w:eastAsia="zh-CN"/>
        </w:rPr>
        <w:t xml:space="preserve">  </w:t>
      </w:r>
      <w:r w:rsidR="004E0DDF" w:rsidRPr="00C258AD">
        <w:rPr>
          <w:lang w:eastAsia="zh-CN"/>
        </w:rPr>
        <w:t>Depuis mars </w:t>
      </w:r>
      <w:r w:rsidR="00785CE1" w:rsidRPr="00C258AD">
        <w:rPr>
          <w:lang w:eastAsia="zh-CN"/>
        </w:rPr>
        <w:t xml:space="preserve">2015, </w:t>
      </w:r>
      <w:r w:rsidR="004E0DDF" w:rsidRPr="00C258AD">
        <w:rPr>
          <w:lang w:eastAsia="zh-CN"/>
        </w:rPr>
        <w:t>les activités en matière de renforcement des capacités dans le domaine de la réd</w:t>
      </w:r>
      <w:r w:rsidR="0061462F" w:rsidRPr="00C258AD">
        <w:rPr>
          <w:lang w:eastAsia="zh-CN"/>
        </w:rPr>
        <w:t>a</w:t>
      </w:r>
      <w:r w:rsidR="004E0DDF" w:rsidRPr="00C258AD">
        <w:rPr>
          <w:lang w:eastAsia="zh-CN"/>
        </w:rPr>
        <w:t xml:space="preserve">ction </w:t>
      </w:r>
      <w:r w:rsidR="0061462F" w:rsidRPr="00C258AD">
        <w:rPr>
          <w:lang w:eastAsia="zh-CN"/>
        </w:rPr>
        <w:t xml:space="preserve">de demandes </w:t>
      </w:r>
      <w:r w:rsidR="004E0DDF" w:rsidRPr="00C258AD">
        <w:rPr>
          <w:lang w:eastAsia="zh-CN"/>
        </w:rPr>
        <w:t xml:space="preserve">de brevet </w:t>
      </w:r>
      <w:r w:rsidR="002214C1" w:rsidRPr="00C258AD">
        <w:rPr>
          <w:lang w:eastAsia="zh-CN"/>
        </w:rPr>
        <w:t>ont été mises en œuvre grâce à l</w:t>
      </w:r>
      <w:r w:rsidR="00721905" w:rsidRPr="00C258AD">
        <w:rPr>
          <w:lang w:eastAsia="zh-CN"/>
        </w:rPr>
        <w:t>’</w:t>
      </w:r>
      <w:r w:rsidR="002214C1" w:rsidRPr="00C258AD">
        <w:rPr>
          <w:lang w:eastAsia="zh-CN"/>
        </w:rPr>
        <w:t xml:space="preserve">élaboration de programmes de formation </w:t>
      </w:r>
      <w:r w:rsidR="00081392" w:rsidRPr="00C258AD">
        <w:rPr>
          <w:lang w:eastAsia="zh-CN"/>
        </w:rPr>
        <w:t>efficaces et rationnels qui créent une synergie entre les différentes parties prenantes</w:t>
      </w:r>
      <w:r w:rsidR="00785CE1" w:rsidRPr="00C258AD">
        <w:rPr>
          <w:lang w:eastAsia="zh-CN"/>
        </w:rPr>
        <w:t>.</w:t>
      </w:r>
    </w:p>
    <w:p w:rsidR="006E2BB1" w:rsidRPr="00C258AD" w:rsidRDefault="006E2BB1" w:rsidP="008F201B">
      <w:pPr>
        <w:rPr>
          <w:lang w:eastAsia="zh-CN"/>
        </w:rPr>
      </w:pPr>
    </w:p>
    <w:p w:rsidR="006E2BB1" w:rsidRPr="00C258AD" w:rsidRDefault="00B547A1" w:rsidP="008F201B">
      <w:pPr>
        <w:pStyle w:val="ListParagraph"/>
        <w:ind w:left="0" w:firstLine="0"/>
        <w:rPr>
          <w:lang w:eastAsia="zh-CN"/>
        </w:rPr>
      </w:pPr>
      <w:r w:rsidRPr="00C258AD">
        <w:rPr>
          <w:lang w:eastAsia="zh-CN"/>
        </w:rPr>
        <w:t>En outre, conformément aux recommandations nos 16 et 20, une évaluation finale des résultats obtenus dans le cadre du projet du Plan d</w:t>
      </w:r>
      <w:r w:rsidR="00721905" w:rsidRPr="00C258AD">
        <w:rPr>
          <w:lang w:eastAsia="zh-CN"/>
        </w:rPr>
        <w:t>’</w:t>
      </w:r>
      <w:r w:rsidRPr="00C258AD">
        <w:rPr>
          <w:lang w:eastAsia="zh-CN"/>
        </w:rPr>
        <w:t>action pour le développement relatif aux brevets et au domaine public a été réalisée au titre de ce programme, puis présentée et examinée à la treizième</w:t>
      </w:r>
      <w:r w:rsidR="002C57EB" w:rsidRPr="00C258AD">
        <w:rPr>
          <w:lang w:eastAsia="zh-CN"/>
        </w:rPr>
        <w:t> </w:t>
      </w:r>
      <w:r w:rsidRPr="00C258AD">
        <w:rPr>
          <w:lang w:eastAsia="zh-CN"/>
        </w:rPr>
        <w:t xml:space="preserve">session du Comité du développement et de la propriété intellectuelle (CDIP), tenue en </w:t>
      </w:r>
      <w:r w:rsidR="00721905" w:rsidRPr="00C258AD">
        <w:rPr>
          <w:lang w:eastAsia="zh-CN"/>
        </w:rPr>
        <w:t>mai 20</w:t>
      </w:r>
      <w:r w:rsidRPr="00C258AD">
        <w:rPr>
          <w:lang w:eastAsia="zh-CN"/>
        </w:rPr>
        <w:t>14.</w:t>
      </w:r>
    </w:p>
    <w:p w:rsidR="006E2BB1" w:rsidRPr="00C258AD" w:rsidRDefault="006E2BB1" w:rsidP="008F201B">
      <w:pPr>
        <w:rPr>
          <w:lang w:eastAsia="zh-CN"/>
        </w:rPr>
      </w:pPr>
    </w:p>
    <w:p w:rsidR="006E2BB1" w:rsidRPr="00C258AD" w:rsidRDefault="00873CC9" w:rsidP="008F201B">
      <w:pPr>
        <w:pStyle w:val="ListParagraph"/>
        <w:ind w:left="0" w:firstLine="0"/>
        <w:rPr>
          <w:lang w:eastAsia="zh-CN"/>
        </w:rPr>
      </w:pPr>
      <w:r w:rsidRPr="00C258AD">
        <w:rPr>
          <w:lang w:eastAsia="zh-CN"/>
        </w:rPr>
        <w:t>L</w:t>
      </w:r>
      <w:r w:rsidR="00721905" w:rsidRPr="00C258AD">
        <w:rPr>
          <w:lang w:eastAsia="zh-CN"/>
        </w:rPr>
        <w:t>’</w:t>
      </w:r>
      <w:r w:rsidRPr="00C258AD">
        <w:rPr>
          <w:lang w:eastAsia="zh-CN"/>
        </w:rPr>
        <w:t>équipe chargée du programme a également établi les documents</w:t>
      </w:r>
      <w:r w:rsidR="00785CE1" w:rsidRPr="00C258AD">
        <w:rPr>
          <w:lang w:eastAsia="zh-CN"/>
        </w:rPr>
        <w:t xml:space="preserve"> CDIP/13/10 </w:t>
      </w:r>
      <w:r w:rsidRPr="00C258AD">
        <w:rPr>
          <w:lang w:eastAsia="zh-CN"/>
        </w:rPr>
        <w:t>et</w:t>
      </w:r>
      <w:r w:rsidR="00785CE1" w:rsidRPr="00C258AD">
        <w:rPr>
          <w:lang w:eastAsia="zh-CN"/>
        </w:rPr>
        <w:t xml:space="preserve"> CDIP/15/6, </w:t>
      </w:r>
      <w:r w:rsidRPr="00C258AD">
        <w:rPr>
          <w:lang w:eastAsia="zh-CN"/>
        </w:rPr>
        <w:t>portant sur quatre</w:t>
      </w:r>
      <w:r w:rsidR="002C57EB" w:rsidRPr="00C258AD">
        <w:rPr>
          <w:lang w:eastAsia="zh-CN"/>
        </w:rPr>
        <w:t> </w:t>
      </w:r>
      <w:r w:rsidRPr="00C258AD">
        <w:rPr>
          <w:lang w:eastAsia="zh-CN"/>
        </w:rPr>
        <w:t xml:space="preserve">nouveaux éléments de flexibilité relatifs aux brevets qui ont été examinés lors </w:t>
      </w:r>
      <w:proofErr w:type="gramStart"/>
      <w:r w:rsidRPr="00C258AD">
        <w:rPr>
          <w:lang w:eastAsia="zh-CN"/>
        </w:rPr>
        <w:t>des treizième</w:t>
      </w:r>
      <w:proofErr w:type="gramEnd"/>
      <w:r w:rsidRPr="00C258AD">
        <w:rPr>
          <w:lang w:eastAsia="zh-CN"/>
        </w:rPr>
        <w:t xml:space="preserve"> et quinzième</w:t>
      </w:r>
      <w:r w:rsidR="002C57EB" w:rsidRPr="00C258AD">
        <w:rPr>
          <w:lang w:eastAsia="zh-CN"/>
        </w:rPr>
        <w:t> </w:t>
      </w:r>
      <w:r w:rsidRPr="00C258AD">
        <w:rPr>
          <w:lang w:eastAsia="zh-CN"/>
        </w:rPr>
        <w:t>sessions</w:t>
      </w:r>
      <w:r w:rsidR="00721905" w:rsidRPr="00C258AD">
        <w:rPr>
          <w:lang w:eastAsia="zh-CN"/>
        </w:rPr>
        <w:t xml:space="preserve"> du CDI</w:t>
      </w:r>
      <w:r w:rsidRPr="00C258AD">
        <w:rPr>
          <w:lang w:eastAsia="zh-CN"/>
        </w:rPr>
        <w:t>P</w:t>
      </w:r>
      <w:r w:rsidR="00B448FF" w:rsidRPr="00C258AD">
        <w:rPr>
          <w:lang w:eastAsia="zh-CN"/>
        </w:rPr>
        <w:t>,</w:t>
      </w:r>
      <w:r w:rsidRPr="00C258AD">
        <w:rPr>
          <w:lang w:eastAsia="zh-CN"/>
        </w:rPr>
        <w:t xml:space="preserve"> respectiveme</w:t>
      </w:r>
      <w:r w:rsidR="0000169D" w:rsidRPr="00C258AD">
        <w:rPr>
          <w:lang w:eastAsia="zh-CN"/>
        </w:rPr>
        <w:t>nt.  En</w:t>
      </w:r>
      <w:r w:rsidRPr="00C258AD">
        <w:rPr>
          <w:lang w:eastAsia="zh-CN"/>
        </w:rPr>
        <w:t xml:space="preserve"> outre</w:t>
      </w:r>
      <w:r w:rsidR="00496223" w:rsidRPr="00C258AD">
        <w:rPr>
          <w:lang w:eastAsia="zh-CN"/>
        </w:rPr>
        <w:t xml:space="preserve">, </w:t>
      </w:r>
      <w:r w:rsidR="00BE07AF" w:rsidRPr="00C258AD">
        <w:rPr>
          <w:lang w:eastAsia="zh-CN"/>
        </w:rPr>
        <w:t>des activités visant à faire mieux comprendre la mise en œuvre pratique des éléments de flexibilité à l</w:t>
      </w:r>
      <w:r w:rsidR="00721905" w:rsidRPr="00C258AD">
        <w:rPr>
          <w:lang w:eastAsia="zh-CN"/>
        </w:rPr>
        <w:t>’</w:t>
      </w:r>
      <w:r w:rsidR="00BE07AF" w:rsidRPr="00C258AD">
        <w:rPr>
          <w:lang w:eastAsia="zh-CN"/>
        </w:rPr>
        <w:t xml:space="preserve">échelle nationale ont été menées, </w:t>
      </w:r>
      <w:r w:rsidR="00721905" w:rsidRPr="00C258AD">
        <w:rPr>
          <w:lang w:eastAsia="zh-CN"/>
        </w:rPr>
        <w:t>y compris</w:t>
      </w:r>
      <w:r w:rsidR="00BE07AF" w:rsidRPr="00C258AD">
        <w:rPr>
          <w:lang w:eastAsia="zh-CN"/>
        </w:rPr>
        <w:t xml:space="preserve"> </w:t>
      </w:r>
      <w:r w:rsidR="00FB247F" w:rsidRPr="00C258AD">
        <w:rPr>
          <w:lang w:eastAsia="zh-CN"/>
        </w:rPr>
        <w:t>14 </w:t>
      </w:r>
      <w:r w:rsidR="00BE07AF" w:rsidRPr="00C258AD">
        <w:rPr>
          <w:lang w:eastAsia="zh-CN"/>
        </w:rPr>
        <w:t xml:space="preserve">séminaires </w:t>
      </w:r>
      <w:r w:rsidR="009B3381" w:rsidRPr="00C258AD">
        <w:rPr>
          <w:lang w:eastAsia="zh-CN"/>
        </w:rPr>
        <w:t xml:space="preserve">ou ateliers de travail </w:t>
      </w:r>
      <w:r w:rsidR="00B448FF" w:rsidRPr="00C258AD">
        <w:rPr>
          <w:lang w:eastAsia="zh-CN"/>
        </w:rPr>
        <w:t>à l</w:t>
      </w:r>
      <w:r w:rsidR="00721905" w:rsidRPr="00C258AD">
        <w:rPr>
          <w:lang w:eastAsia="zh-CN"/>
        </w:rPr>
        <w:t>’</w:t>
      </w:r>
      <w:r w:rsidR="00B448FF" w:rsidRPr="00C258AD">
        <w:rPr>
          <w:lang w:eastAsia="zh-CN"/>
        </w:rPr>
        <w:t xml:space="preserve">échelle nationale et </w:t>
      </w:r>
      <w:r w:rsidR="009B3381" w:rsidRPr="00C258AD">
        <w:rPr>
          <w:lang w:eastAsia="zh-CN"/>
        </w:rPr>
        <w:t>régional</w:t>
      </w:r>
      <w:r w:rsidR="00B448FF" w:rsidRPr="00C258AD">
        <w:rPr>
          <w:lang w:eastAsia="zh-CN"/>
        </w:rPr>
        <w:t>e</w:t>
      </w:r>
      <w:r w:rsidR="009B3381" w:rsidRPr="00C258AD">
        <w:rPr>
          <w:lang w:eastAsia="zh-CN"/>
        </w:rPr>
        <w:t xml:space="preserve"> sur le cadre juridique multilatéral relatif aux brevets </w:t>
      </w:r>
      <w:r w:rsidR="00B448FF" w:rsidRPr="00C258AD">
        <w:rPr>
          <w:lang w:eastAsia="zh-CN"/>
        </w:rPr>
        <w:t>et</w:t>
      </w:r>
      <w:r w:rsidR="00785CE1" w:rsidRPr="00C258AD">
        <w:rPr>
          <w:lang w:eastAsia="zh-CN"/>
        </w:rPr>
        <w:t xml:space="preserve"> </w:t>
      </w:r>
      <w:r w:rsidR="009B3381" w:rsidRPr="00C258AD">
        <w:rPr>
          <w:lang w:eastAsia="zh-CN"/>
        </w:rPr>
        <w:t>les questions de politique publique</w:t>
      </w:r>
      <w:r w:rsidR="00785CE1" w:rsidRPr="00C258AD">
        <w:rPr>
          <w:lang w:eastAsia="zh-CN"/>
        </w:rPr>
        <w:t xml:space="preserve">, </w:t>
      </w:r>
      <w:r w:rsidR="00721905" w:rsidRPr="00C258AD">
        <w:rPr>
          <w:lang w:eastAsia="zh-CN"/>
        </w:rPr>
        <w:t>y compris</w:t>
      </w:r>
      <w:r w:rsidR="00B448FF" w:rsidRPr="00C258AD">
        <w:rPr>
          <w:lang w:eastAsia="zh-CN"/>
        </w:rPr>
        <w:t xml:space="preserve"> les </w:t>
      </w:r>
      <w:r w:rsidR="009B3381" w:rsidRPr="00C258AD">
        <w:rPr>
          <w:lang w:eastAsia="zh-CN"/>
        </w:rPr>
        <w:t>éléments de flexibilité disponibles</w:t>
      </w:r>
      <w:r w:rsidR="00785CE1" w:rsidRPr="00C258AD">
        <w:rPr>
          <w:lang w:eastAsia="zh-CN"/>
        </w:rPr>
        <w:t>.</w:t>
      </w:r>
    </w:p>
    <w:p w:rsidR="006E2BB1" w:rsidRPr="00C258AD" w:rsidRDefault="006E2BB1" w:rsidP="00785CE1">
      <w:pPr>
        <w:rPr>
          <w:rFonts w:cs="Arial"/>
          <w:lang w:eastAsia="zh-CN"/>
        </w:rPr>
      </w:pPr>
    </w:p>
    <w:p w:rsidR="006E2BB1" w:rsidRPr="00C258AD" w:rsidRDefault="006E2BB1" w:rsidP="00B60163">
      <w:pPr>
        <w:rPr>
          <w:rFonts w:cs="Arial"/>
        </w:rPr>
      </w:pPr>
    </w:p>
    <w:p w:rsidR="006E2BB1" w:rsidRPr="00C258AD" w:rsidRDefault="008F201B" w:rsidP="00305CE5">
      <w:pPr>
        <w:keepNext/>
        <w:rPr>
          <w:rFonts w:cs="Arial"/>
          <w:caps/>
          <w:sz w:val="22"/>
          <w:szCs w:val="22"/>
        </w:rPr>
      </w:pPr>
      <w:r w:rsidRPr="00C258AD">
        <w:rPr>
          <w:rFonts w:cs="Arial"/>
          <w:caps/>
          <w:sz w:val="22"/>
          <w:szCs w:val="22"/>
        </w:rPr>
        <w:t>Données relatives à l</w:t>
      </w:r>
      <w:r w:rsidR="00721905" w:rsidRPr="00C258AD">
        <w:rPr>
          <w:rFonts w:cs="Arial"/>
          <w:caps/>
          <w:sz w:val="22"/>
          <w:szCs w:val="22"/>
        </w:rPr>
        <w:t>’</w:t>
      </w:r>
      <w:r w:rsidRPr="00C258AD">
        <w:rPr>
          <w:rFonts w:cs="Arial"/>
          <w:caps/>
          <w:sz w:val="22"/>
          <w:szCs w:val="22"/>
        </w:rPr>
        <w:t>exécution</w:t>
      </w:r>
    </w:p>
    <w:p w:rsidR="00B60163" w:rsidRPr="00C258AD" w:rsidRDefault="00B60163" w:rsidP="00B60163">
      <w:pPr>
        <w:rPr>
          <w:b/>
          <w:szCs w:val="20"/>
        </w:rPr>
      </w:pPr>
    </w:p>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1899"/>
        <w:gridCol w:w="2422"/>
        <w:gridCol w:w="1374"/>
        <w:gridCol w:w="2737"/>
        <w:gridCol w:w="1059"/>
      </w:tblGrid>
      <w:tr w:rsidR="00631864" w:rsidRPr="00C258AD" w:rsidTr="006A7E84">
        <w:trPr>
          <w:cantSplit/>
        </w:trPr>
        <w:tc>
          <w:tcPr>
            <w:tcW w:w="5000" w:type="pct"/>
            <w:gridSpan w:val="5"/>
            <w:tcBorders>
              <w:top w:val="single" w:sz="4" w:space="0" w:color="auto"/>
              <w:bottom w:val="single" w:sz="4" w:space="0" w:color="auto"/>
            </w:tcBorders>
            <w:shd w:val="clear" w:color="auto" w:fill="C5D9F1"/>
            <w:vAlign w:val="center"/>
          </w:tcPr>
          <w:p w:rsidR="00B60163" w:rsidRPr="00C258AD" w:rsidRDefault="00B547A1" w:rsidP="00CF0D38">
            <w:pPr>
              <w:keepNext/>
              <w:keepLines/>
              <w:tabs>
                <w:tab w:val="left" w:pos="1452"/>
              </w:tabs>
              <w:rPr>
                <w:rFonts w:cs="Arial"/>
                <w:b/>
                <w:bCs/>
                <w:sz w:val="16"/>
                <w:szCs w:val="16"/>
              </w:rPr>
            </w:pPr>
            <w:r w:rsidRPr="00C258AD">
              <w:rPr>
                <w:rFonts w:cs="Arial"/>
                <w:b/>
                <w:bCs/>
                <w:sz w:val="16"/>
                <w:szCs w:val="16"/>
              </w:rPr>
              <w:t>Résultat escompté</w:t>
            </w:r>
            <w:r w:rsidR="002C57EB" w:rsidRPr="00C258AD">
              <w:rPr>
                <w:rFonts w:cs="Arial"/>
                <w:b/>
                <w:bCs/>
                <w:sz w:val="16"/>
                <w:szCs w:val="16"/>
              </w:rPr>
              <w:t> </w:t>
            </w:r>
            <w:r w:rsidRPr="00C258AD">
              <w:rPr>
                <w:rFonts w:cs="Arial"/>
                <w:b/>
                <w:bCs/>
                <w:sz w:val="16"/>
                <w:szCs w:val="16"/>
              </w:rPr>
              <w:t xml:space="preserve">: </w:t>
            </w:r>
            <w:r w:rsidRPr="00C258AD">
              <w:rPr>
                <w:rFonts w:cs="Arial"/>
                <w:bCs/>
                <w:sz w:val="16"/>
                <w:szCs w:val="16"/>
              </w:rPr>
              <w:t>I.1 Renforcement de la coopération entre les États membres en ce qui concerne l</w:t>
            </w:r>
            <w:r w:rsidR="00721905" w:rsidRPr="00C258AD">
              <w:rPr>
                <w:rFonts w:cs="Arial"/>
                <w:bCs/>
                <w:sz w:val="16"/>
                <w:szCs w:val="16"/>
              </w:rPr>
              <w:t>’</w:t>
            </w:r>
            <w:r w:rsidRPr="00C258AD">
              <w:rPr>
                <w:rFonts w:cs="Arial"/>
                <w:bCs/>
                <w:sz w:val="16"/>
                <w:szCs w:val="16"/>
              </w:rPr>
              <w:t>élaboration de cadres normatifs internationaux équilibrés dans le domaine de la propriété intellectuelle et d</w:t>
            </w:r>
            <w:r w:rsidR="00721905" w:rsidRPr="00C258AD">
              <w:rPr>
                <w:rFonts w:cs="Arial"/>
                <w:bCs/>
                <w:sz w:val="16"/>
                <w:szCs w:val="16"/>
              </w:rPr>
              <w:t>’</w:t>
            </w:r>
            <w:r w:rsidRPr="00C258AD">
              <w:rPr>
                <w:rFonts w:cs="Arial"/>
                <w:bCs/>
                <w:sz w:val="16"/>
                <w:szCs w:val="16"/>
              </w:rPr>
              <w:t>un accord sur des questions concrètes donnant lieu à des instruments internationaux</w:t>
            </w:r>
          </w:p>
        </w:tc>
      </w:tr>
      <w:tr w:rsidR="006A7E84" w:rsidRPr="00C258AD" w:rsidTr="006A7E84">
        <w:trPr>
          <w:cantSplit/>
        </w:trPr>
        <w:tc>
          <w:tcPr>
            <w:tcW w:w="1000" w:type="pct"/>
            <w:tcBorders>
              <w:top w:val="single" w:sz="4" w:space="0" w:color="auto"/>
            </w:tcBorders>
            <w:shd w:val="clear" w:color="auto" w:fill="auto"/>
            <w:vAlign w:val="center"/>
          </w:tcPr>
          <w:p w:rsidR="00B60163" w:rsidRPr="00C258AD" w:rsidRDefault="00B547A1" w:rsidP="00CF0D38">
            <w:pPr>
              <w:jc w:val="center"/>
              <w:rPr>
                <w:rFonts w:cs="Arial"/>
                <w:sz w:val="16"/>
                <w:szCs w:val="16"/>
              </w:rPr>
            </w:pPr>
            <w:r w:rsidRPr="00C258AD">
              <w:rPr>
                <w:rFonts w:cs="Arial"/>
                <w:b/>
                <w:sz w:val="16"/>
                <w:szCs w:val="16"/>
              </w:rPr>
              <w:t>Indicateurs d</w:t>
            </w:r>
            <w:r w:rsidR="00721905" w:rsidRPr="00C258AD">
              <w:rPr>
                <w:rFonts w:cs="Arial"/>
                <w:b/>
                <w:sz w:val="16"/>
                <w:szCs w:val="16"/>
              </w:rPr>
              <w:t>’</w:t>
            </w:r>
            <w:r w:rsidRPr="00C258AD">
              <w:rPr>
                <w:rFonts w:cs="Arial"/>
                <w:b/>
                <w:sz w:val="16"/>
                <w:szCs w:val="16"/>
              </w:rPr>
              <w:t>exécution</w:t>
            </w:r>
          </w:p>
        </w:tc>
        <w:tc>
          <w:tcPr>
            <w:tcW w:w="1276" w:type="pct"/>
            <w:tcBorders>
              <w:top w:val="single" w:sz="4" w:space="0" w:color="auto"/>
            </w:tcBorders>
            <w:shd w:val="clear" w:color="auto" w:fill="auto"/>
            <w:vAlign w:val="center"/>
          </w:tcPr>
          <w:p w:rsidR="00B60163" w:rsidRPr="00C258AD" w:rsidRDefault="00B547A1" w:rsidP="00CF0D38">
            <w:pPr>
              <w:jc w:val="center"/>
              <w:rPr>
                <w:rFonts w:cs="Arial"/>
                <w:b/>
                <w:bCs/>
                <w:sz w:val="16"/>
                <w:szCs w:val="16"/>
              </w:rPr>
            </w:pPr>
            <w:r w:rsidRPr="00C258AD">
              <w:rPr>
                <w:rFonts w:cs="Arial"/>
                <w:b/>
                <w:bCs/>
                <w:sz w:val="16"/>
                <w:szCs w:val="16"/>
              </w:rPr>
              <w:t>Niveaux de référence</w:t>
            </w:r>
          </w:p>
        </w:tc>
        <w:tc>
          <w:tcPr>
            <w:tcW w:w="724" w:type="pct"/>
            <w:tcBorders>
              <w:top w:val="single" w:sz="4" w:space="0" w:color="auto"/>
            </w:tcBorders>
            <w:shd w:val="clear" w:color="auto" w:fill="auto"/>
            <w:tcMar>
              <w:top w:w="110" w:type="dxa"/>
            </w:tcMar>
            <w:vAlign w:val="center"/>
          </w:tcPr>
          <w:p w:rsidR="00B60163" w:rsidRPr="00C258AD" w:rsidRDefault="00B547A1" w:rsidP="00CF0D38">
            <w:pPr>
              <w:jc w:val="center"/>
              <w:rPr>
                <w:rFonts w:cs="Arial"/>
                <w:b/>
                <w:sz w:val="16"/>
                <w:szCs w:val="16"/>
              </w:rPr>
            </w:pPr>
            <w:r w:rsidRPr="00C258AD">
              <w:rPr>
                <w:rFonts w:cs="Arial"/>
                <w:b/>
                <w:sz w:val="16"/>
                <w:szCs w:val="16"/>
              </w:rPr>
              <w:t>Objectifs visés</w:t>
            </w:r>
          </w:p>
        </w:tc>
        <w:tc>
          <w:tcPr>
            <w:tcW w:w="1442" w:type="pct"/>
            <w:tcBorders>
              <w:top w:val="single" w:sz="4" w:space="0" w:color="auto"/>
            </w:tcBorders>
            <w:shd w:val="clear" w:color="auto" w:fill="FFFFFF"/>
            <w:tcMar>
              <w:top w:w="110" w:type="dxa"/>
            </w:tcMar>
            <w:vAlign w:val="center"/>
          </w:tcPr>
          <w:p w:rsidR="00B60163" w:rsidRPr="00C258AD" w:rsidRDefault="00B547A1" w:rsidP="00CF0D38">
            <w:pPr>
              <w:jc w:val="center"/>
              <w:rPr>
                <w:rFonts w:cs="Arial"/>
                <w:sz w:val="16"/>
                <w:szCs w:val="16"/>
              </w:rPr>
            </w:pPr>
            <w:r w:rsidRPr="00C258AD">
              <w:rPr>
                <w:rFonts w:cs="Arial"/>
                <w:b/>
                <w:sz w:val="16"/>
                <w:szCs w:val="16"/>
              </w:rPr>
              <w:t>Données relatives à l</w:t>
            </w:r>
            <w:r w:rsidR="00721905" w:rsidRPr="00C258AD">
              <w:rPr>
                <w:rFonts w:cs="Arial"/>
                <w:b/>
                <w:sz w:val="16"/>
                <w:szCs w:val="16"/>
              </w:rPr>
              <w:t>’</w:t>
            </w:r>
            <w:r w:rsidRPr="00C258AD">
              <w:rPr>
                <w:rFonts w:cs="Arial"/>
                <w:b/>
                <w:sz w:val="16"/>
                <w:szCs w:val="16"/>
              </w:rPr>
              <w:t>exécution</w:t>
            </w:r>
          </w:p>
        </w:tc>
        <w:tc>
          <w:tcPr>
            <w:tcW w:w="558" w:type="pct"/>
            <w:tcBorders>
              <w:top w:val="single" w:sz="4" w:space="0" w:color="auto"/>
            </w:tcBorders>
            <w:shd w:val="clear" w:color="auto" w:fill="auto"/>
            <w:tcMar>
              <w:top w:w="110" w:type="dxa"/>
            </w:tcMar>
            <w:vAlign w:val="center"/>
          </w:tcPr>
          <w:p w:rsidR="00B60163" w:rsidRPr="00C258AD" w:rsidRDefault="00B547A1" w:rsidP="00CF0D38">
            <w:pPr>
              <w:keepNext/>
              <w:keepLines/>
              <w:jc w:val="center"/>
              <w:rPr>
                <w:rFonts w:cs="Arial"/>
                <w:b/>
                <w:sz w:val="16"/>
                <w:szCs w:val="16"/>
              </w:rPr>
            </w:pPr>
            <w:r w:rsidRPr="00C258AD">
              <w:rPr>
                <w:rFonts w:cs="Arial"/>
                <w:b/>
                <w:sz w:val="16"/>
                <w:szCs w:val="16"/>
              </w:rPr>
              <w:t>Code de couleurs</w:t>
            </w:r>
          </w:p>
        </w:tc>
      </w:tr>
      <w:tr w:rsidR="006A7E84" w:rsidRPr="00C258AD" w:rsidTr="006A7E84">
        <w:trPr>
          <w:cantSplit/>
        </w:trPr>
        <w:tc>
          <w:tcPr>
            <w:tcW w:w="1000" w:type="pct"/>
            <w:shd w:val="clear" w:color="auto" w:fill="auto"/>
          </w:tcPr>
          <w:p w:rsidR="00B60163" w:rsidRPr="00C258AD" w:rsidRDefault="00B547A1" w:rsidP="00B547A1">
            <w:pPr>
              <w:rPr>
                <w:rFonts w:cs="Arial"/>
                <w:sz w:val="16"/>
                <w:szCs w:val="16"/>
              </w:rPr>
            </w:pPr>
            <w:r w:rsidRPr="00C258AD">
              <w:rPr>
                <w:rFonts w:cs="Arial"/>
                <w:sz w:val="16"/>
                <w:szCs w:val="16"/>
              </w:rPr>
              <w:t>Avancement des travaux concernant la mise en œuvre des mesures et des programmes convenus par</w:t>
            </w:r>
            <w:r w:rsidR="00721905" w:rsidRPr="00C258AD">
              <w:rPr>
                <w:rFonts w:cs="Arial"/>
                <w:sz w:val="16"/>
                <w:szCs w:val="16"/>
              </w:rPr>
              <w:t xml:space="preserve"> le SCP</w:t>
            </w:r>
          </w:p>
        </w:tc>
        <w:tc>
          <w:tcPr>
            <w:tcW w:w="1276" w:type="pct"/>
            <w:shd w:val="clear" w:color="auto" w:fill="auto"/>
          </w:tcPr>
          <w:p w:rsidR="006E2BB1" w:rsidRPr="00153B24" w:rsidRDefault="00B547A1" w:rsidP="00B547A1">
            <w:pPr>
              <w:rPr>
                <w:rFonts w:cs="Arial"/>
                <w:i/>
                <w:color w:val="002060"/>
                <w:sz w:val="16"/>
                <w:szCs w:val="16"/>
              </w:rPr>
            </w:pPr>
            <w:r w:rsidRPr="00153B24">
              <w:rPr>
                <w:rFonts w:cs="Arial"/>
                <w:i/>
                <w:color w:val="002060"/>
                <w:sz w:val="16"/>
                <w:szCs w:val="16"/>
              </w:rPr>
              <w:t>Niveau de référence actualisé à fin 2013</w:t>
            </w:r>
            <w:r w:rsidR="002C57EB" w:rsidRPr="00153B24">
              <w:rPr>
                <w:rFonts w:cs="Arial"/>
                <w:i/>
                <w:color w:val="002060"/>
                <w:sz w:val="16"/>
                <w:szCs w:val="16"/>
              </w:rPr>
              <w:t> </w:t>
            </w:r>
            <w:r w:rsidRPr="00153B24">
              <w:rPr>
                <w:rFonts w:cs="Arial"/>
                <w:i/>
                <w:color w:val="002060"/>
                <w:sz w:val="16"/>
                <w:szCs w:val="16"/>
              </w:rPr>
              <w:t>:</w:t>
            </w:r>
            <w:r w:rsidR="00721905" w:rsidRPr="00153B24">
              <w:rPr>
                <w:rFonts w:cs="Arial"/>
                <w:color w:val="002060"/>
                <w:sz w:val="16"/>
                <w:szCs w:val="16"/>
              </w:rPr>
              <w:t xml:space="preserve"> le SCP</w:t>
            </w:r>
            <w:r w:rsidRPr="00153B24">
              <w:rPr>
                <w:rFonts w:cs="Arial"/>
                <w:color w:val="002060"/>
                <w:sz w:val="16"/>
                <w:szCs w:val="16"/>
              </w:rPr>
              <w:t xml:space="preserve"> a concentré ses efforts sur les progrès relatifs aux cinq</w:t>
            </w:r>
            <w:r w:rsidR="002C57EB" w:rsidRPr="00153B24">
              <w:rPr>
                <w:rFonts w:cs="Arial"/>
                <w:color w:val="002060"/>
                <w:sz w:val="16"/>
                <w:szCs w:val="16"/>
              </w:rPr>
              <w:t> </w:t>
            </w:r>
            <w:r w:rsidRPr="00153B24">
              <w:rPr>
                <w:rFonts w:cs="Arial"/>
                <w:color w:val="002060"/>
                <w:sz w:val="16"/>
                <w:szCs w:val="16"/>
              </w:rPr>
              <w:t>points inscrits à l</w:t>
            </w:r>
            <w:r w:rsidR="00721905" w:rsidRPr="00153B24">
              <w:rPr>
                <w:rFonts w:cs="Arial"/>
                <w:color w:val="002060"/>
                <w:sz w:val="16"/>
                <w:szCs w:val="16"/>
              </w:rPr>
              <w:t>’</w:t>
            </w:r>
            <w:r w:rsidRPr="00153B24">
              <w:rPr>
                <w:rFonts w:cs="Arial"/>
                <w:color w:val="002060"/>
                <w:sz w:val="16"/>
                <w:szCs w:val="16"/>
              </w:rPr>
              <w:t>ordre du jour de ses sessions et a fait progresser ses débats, par exemple en collectant des informations au moyen d</w:t>
            </w:r>
            <w:r w:rsidR="00721905" w:rsidRPr="00153B24">
              <w:rPr>
                <w:rFonts w:cs="Arial"/>
                <w:color w:val="002060"/>
                <w:sz w:val="16"/>
                <w:szCs w:val="16"/>
              </w:rPr>
              <w:t>’</w:t>
            </w:r>
            <w:r w:rsidRPr="00153B24">
              <w:rPr>
                <w:rFonts w:cs="Arial"/>
                <w:color w:val="002060"/>
                <w:sz w:val="16"/>
                <w:szCs w:val="16"/>
              </w:rPr>
              <w:t>un questionnaire, en préparant des études et en favorisant les échanges sur les pratiques et les données d</w:t>
            </w:r>
            <w:r w:rsidR="00721905" w:rsidRPr="00153B24">
              <w:rPr>
                <w:rFonts w:cs="Arial"/>
                <w:color w:val="002060"/>
                <w:sz w:val="16"/>
                <w:szCs w:val="16"/>
              </w:rPr>
              <w:t>’</w:t>
            </w:r>
            <w:r w:rsidRPr="00153B24">
              <w:rPr>
                <w:rFonts w:cs="Arial"/>
                <w:color w:val="002060"/>
                <w:sz w:val="16"/>
                <w:szCs w:val="16"/>
              </w:rPr>
              <w:t>expérience nationales entre les États membres.</w:t>
            </w:r>
          </w:p>
          <w:p w:rsidR="006E2BB1" w:rsidRPr="00C258AD" w:rsidRDefault="006E2BB1" w:rsidP="00722651">
            <w:pPr>
              <w:rPr>
                <w:rFonts w:cs="Arial"/>
                <w:i/>
                <w:sz w:val="16"/>
                <w:szCs w:val="16"/>
              </w:rPr>
            </w:pPr>
          </w:p>
          <w:p w:rsidR="00B60163" w:rsidRPr="00C258AD" w:rsidRDefault="00B547A1" w:rsidP="00B547A1">
            <w:pPr>
              <w:rPr>
                <w:rFonts w:cs="Arial"/>
                <w:sz w:val="16"/>
                <w:szCs w:val="16"/>
              </w:rPr>
            </w:pPr>
            <w:r w:rsidRPr="00C258AD">
              <w:rPr>
                <w:rFonts w:cs="Arial"/>
                <w:i/>
                <w:sz w:val="16"/>
                <w:szCs w:val="16"/>
              </w:rPr>
              <w:t xml:space="preserve">Niveau de référence initial </w:t>
            </w:r>
            <w:r w:rsidRPr="00C258AD">
              <w:rPr>
                <w:rFonts w:cs="Arial"/>
                <w:sz w:val="16"/>
                <w:szCs w:val="16"/>
              </w:rPr>
              <w:t xml:space="preserve">dans le </w:t>
            </w:r>
            <w:r w:rsidRPr="00C258AD">
              <w:rPr>
                <w:rFonts w:cs="Arial"/>
                <w:i/>
                <w:sz w:val="16"/>
                <w:szCs w:val="16"/>
              </w:rPr>
              <w:t>programme et budget 2014</w:t>
            </w:r>
            <w:r w:rsidR="0000169D" w:rsidRPr="00C258AD">
              <w:rPr>
                <w:rFonts w:cs="Arial"/>
                <w:i/>
                <w:sz w:val="16"/>
                <w:szCs w:val="16"/>
              </w:rPr>
              <w:noBreakHyphen/>
            </w:r>
            <w:r w:rsidRPr="00C258AD">
              <w:rPr>
                <w:rFonts w:cs="Arial"/>
                <w:i/>
                <w:sz w:val="16"/>
                <w:szCs w:val="16"/>
              </w:rPr>
              <w:t>2015</w:t>
            </w:r>
            <w:r w:rsidR="002C57EB" w:rsidRPr="00C258AD">
              <w:rPr>
                <w:rFonts w:cs="Arial"/>
                <w:sz w:val="16"/>
                <w:szCs w:val="16"/>
              </w:rPr>
              <w:t> </w:t>
            </w:r>
            <w:r w:rsidRPr="00C258AD">
              <w:rPr>
                <w:rFonts w:cs="Arial"/>
                <w:sz w:val="16"/>
                <w:szCs w:val="16"/>
              </w:rPr>
              <w:t>: à déterminer</w:t>
            </w:r>
          </w:p>
        </w:tc>
        <w:tc>
          <w:tcPr>
            <w:tcW w:w="724" w:type="pct"/>
            <w:shd w:val="clear" w:color="auto" w:fill="auto"/>
            <w:tcMar>
              <w:top w:w="110" w:type="dxa"/>
            </w:tcMar>
          </w:tcPr>
          <w:p w:rsidR="00B60163" w:rsidRPr="00C258AD" w:rsidRDefault="00B547A1" w:rsidP="00B547A1">
            <w:pPr>
              <w:rPr>
                <w:rFonts w:cs="Arial"/>
                <w:sz w:val="16"/>
                <w:szCs w:val="16"/>
              </w:rPr>
            </w:pPr>
            <w:r w:rsidRPr="00C258AD">
              <w:rPr>
                <w:rFonts w:cs="Arial"/>
                <w:sz w:val="16"/>
                <w:szCs w:val="16"/>
              </w:rPr>
              <w:t>Avancement sur les questions d</w:t>
            </w:r>
            <w:r w:rsidR="00721905" w:rsidRPr="00C258AD">
              <w:rPr>
                <w:rFonts w:cs="Arial"/>
                <w:sz w:val="16"/>
                <w:szCs w:val="16"/>
              </w:rPr>
              <w:t>’</w:t>
            </w:r>
            <w:r w:rsidRPr="00C258AD">
              <w:rPr>
                <w:rFonts w:cs="Arial"/>
                <w:sz w:val="16"/>
                <w:szCs w:val="16"/>
              </w:rPr>
              <w:t>intérêt général au sein</w:t>
            </w:r>
            <w:r w:rsidR="00721905" w:rsidRPr="00C258AD">
              <w:rPr>
                <w:rFonts w:cs="Arial"/>
                <w:sz w:val="16"/>
                <w:szCs w:val="16"/>
              </w:rPr>
              <w:t xml:space="preserve"> du SCP</w:t>
            </w:r>
          </w:p>
        </w:tc>
        <w:tc>
          <w:tcPr>
            <w:tcW w:w="1442" w:type="pct"/>
            <w:shd w:val="clear" w:color="auto" w:fill="FFFFFF"/>
            <w:tcMar>
              <w:top w:w="110" w:type="dxa"/>
            </w:tcMar>
          </w:tcPr>
          <w:p w:rsidR="00B60163" w:rsidRPr="00C258AD" w:rsidRDefault="009E79FA" w:rsidP="00DE2E18">
            <w:pPr>
              <w:rPr>
                <w:rFonts w:cs="Arial"/>
                <w:sz w:val="16"/>
                <w:szCs w:val="16"/>
              </w:rPr>
            </w:pPr>
            <w:r w:rsidRPr="00C258AD">
              <w:rPr>
                <w:rFonts w:cs="Arial"/>
                <w:sz w:val="16"/>
                <w:szCs w:val="16"/>
              </w:rPr>
              <w:t xml:space="preserve">Le </w:t>
            </w:r>
            <w:r w:rsidR="00DE2E18" w:rsidRPr="00C258AD">
              <w:rPr>
                <w:rFonts w:cs="Arial"/>
                <w:sz w:val="16"/>
                <w:szCs w:val="16"/>
              </w:rPr>
              <w:t>SCP a concentré ses efforts sur les progrès relatifs aux cinq</w:t>
            </w:r>
            <w:r w:rsidR="002C57EB" w:rsidRPr="00C258AD">
              <w:rPr>
                <w:rFonts w:cs="Arial"/>
                <w:sz w:val="16"/>
                <w:szCs w:val="16"/>
              </w:rPr>
              <w:t> </w:t>
            </w:r>
            <w:r w:rsidR="00DE2E18" w:rsidRPr="00C258AD">
              <w:rPr>
                <w:rFonts w:cs="Arial"/>
                <w:sz w:val="16"/>
                <w:szCs w:val="16"/>
              </w:rPr>
              <w:t>points inscrits à l</w:t>
            </w:r>
            <w:r w:rsidR="00721905" w:rsidRPr="00C258AD">
              <w:rPr>
                <w:rFonts w:cs="Arial"/>
                <w:sz w:val="16"/>
                <w:szCs w:val="16"/>
              </w:rPr>
              <w:t>’</w:t>
            </w:r>
            <w:r w:rsidR="00DE2E18" w:rsidRPr="00C258AD">
              <w:rPr>
                <w:rFonts w:cs="Arial"/>
                <w:sz w:val="16"/>
                <w:szCs w:val="16"/>
              </w:rPr>
              <w:t>ordre du jour de ses sessions et a fait progresser ses débats, par exemple</w:t>
            </w:r>
            <w:r w:rsidR="00785CE1" w:rsidRPr="00C258AD">
              <w:rPr>
                <w:rFonts w:cs="Arial"/>
                <w:sz w:val="16"/>
                <w:szCs w:val="16"/>
              </w:rPr>
              <w:t xml:space="preserve">, </w:t>
            </w:r>
            <w:r w:rsidR="00DE2E18" w:rsidRPr="00C258AD">
              <w:rPr>
                <w:rFonts w:cs="Arial"/>
                <w:sz w:val="16"/>
                <w:szCs w:val="16"/>
              </w:rPr>
              <w:t>en préparant des études</w:t>
            </w:r>
            <w:r w:rsidR="00785CE1" w:rsidRPr="00C258AD">
              <w:rPr>
                <w:rFonts w:cs="Arial"/>
                <w:sz w:val="16"/>
                <w:szCs w:val="16"/>
              </w:rPr>
              <w:t xml:space="preserve">, </w:t>
            </w:r>
            <w:r w:rsidR="00DE2E18" w:rsidRPr="00C258AD">
              <w:rPr>
                <w:rFonts w:cs="Arial"/>
                <w:sz w:val="16"/>
                <w:szCs w:val="16"/>
              </w:rPr>
              <w:t>en collectant des informations sur les législations et les pratiques nationales et en favorisant les échanges sur les données d</w:t>
            </w:r>
            <w:r w:rsidR="00721905" w:rsidRPr="00C258AD">
              <w:rPr>
                <w:rFonts w:cs="Arial"/>
                <w:sz w:val="16"/>
                <w:szCs w:val="16"/>
              </w:rPr>
              <w:t>’</w:t>
            </w:r>
            <w:r w:rsidR="00DE2E18" w:rsidRPr="00C258AD">
              <w:rPr>
                <w:rFonts w:cs="Arial"/>
                <w:sz w:val="16"/>
                <w:szCs w:val="16"/>
              </w:rPr>
              <w:t>expérience nationales entre les États membr</w:t>
            </w:r>
            <w:r w:rsidR="0000169D" w:rsidRPr="00C258AD">
              <w:rPr>
                <w:rFonts w:cs="Arial"/>
                <w:sz w:val="16"/>
                <w:szCs w:val="16"/>
              </w:rPr>
              <w:t>es.  Le</w:t>
            </w:r>
            <w:r w:rsidR="00B547A1" w:rsidRPr="00C258AD">
              <w:rPr>
                <w:rFonts w:cs="Arial"/>
                <w:sz w:val="16"/>
                <w:szCs w:val="16"/>
              </w:rPr>
              <w:t>s délibérations ont eu lieu sur la base des propositions présentées par les délégations (12) et des documents établis par le Secrétariat (27) au cours de l</w:t>
            </w:r>
            <w:r w:rsidR="00721905" w:rsidRPr="00C258AD">
              <w:rPr>
                <w:rFonts w:cs="Arial"/>
                <w:sz w:val="16"/>
                <w:szCs w:val="16"/>
              </w:rPr>
              <w:t>’</w:t>
            </w:r>
            <w:r w:rsidR="00B547A1" w:rsidRPr="00C258AD">
              <w:rPr>
                <w:rFonts w:cs="Arial"/>
                <w:sz w:val="16"/>
                <w:szCs w:val="16"/>
              </w:rPr>
              <w:t>exercice biennal</w:t>
            </w:r>
          </w:p>
        </w:tc>
        <w:tc>
          <w:tcPr>
            <w:tcW w:w="558" w:type="pct"/>
            <w:shd w:val="clear" w:color="auto" w:fill="auto"/>
            <w:tcMar>
              <w:top w:w="110" w:type="dxa"/>
            </w:tcMar>
          </w:tcPr>
          <w:p w:rsidR="00B60163" w:rsidRPr="00C258AD" w:rsidRDefault="00C5135D" w:rsidP="00B547A1">
            <w:pPr>
              <w:keepNext/>
              <w:keepLines/>
              <w:jc w:val="center"/>
              <w:rPr>
                <w:rFonts w:cs="Arial"/>
                <w:sz w:val="16"/>
                <w:szCs w:val="16"/>
              </w:rPr>
            </w:pPr>
            <w:r w:rsidRPr="00C258AD">
              <w:rPr>
                <w:rFonts w:cs="Arial"/>
                <w:b/>
                <w:bCs/>
                <w:color w:val="00B050"/>
                <w:sz w:val="16"/>
                <w:szCs w:val="16"/>
              </w:rPr>
              <w:t>Objectif pleinement atteint</w:t>
            </w:r>
          </w:p>
        </w:tc>
      </w:tr>
      <w:tr w:rsidR="006A7E84" w:rsidRPr="00C258AD" w:rsidTr="006A7E84">
        <w:trPr>
          <w:cantSplit/>
        </w:trPr>
        <w:tc>
          <w:tcPr>
            <w:tcW w:w="1000" w:type="pct"/>
            <w:tcBorders>
              <w:bottom w:val="single" w:sz="4" w:space="0" w:color="auto"/>
            </w:tcBorders>
            <w:shd w:val="clear" w:color="auto" w:fill="auto"/>
          </w:tcPr>
          <w:p w:rsidR="00B60163" w:rsidRPr="00C258AD" w:rsidRDefault="00B547A1" w:rsidP="00B547A1">
            <w:pPr>
              <w:rPr>
                <w:rFonts w:cs="Arial"/>
                <w:sz w:val="16"/>
                <w:szCs w:val="16"/>
              </w:rPr>
            </w:pPr>
            <w:r w:rsidRPr="00C258AD">
              <w:rPr>
                <w:rFonts w:cs="Arial"/>
                <w:sz w:val="16"/>
                <w:szCs w:val="16"/>
              </w:rPr>
              <w:t>Pourcentage de participants de certains ateliers, séminaires ou conférences organisés sur des questions précises relatives aux brevets qui se sont déclarés satisfaits</w:t>
            </w:r>
          </w:p>
        </w:tc>
        <w:tc>
          <w:tcPr>
            <w:tcW w:w="1276" w:type="pct"/>
            <w:tcBorders>
              <w:bottom w:val="single" w:sz="4" w:space="0" w:color="auto"/>
            </w:tcBorders>
            <w:shd w:val="clear" w:color="auto" w:fill="auto"/>
          </w:tcPr>
          <w:p w:rsidR="006E2BB1" w:rsidRPr="00153B24" w:rsidRDefault="00B547A1" w:rsidP="00B547A1">
            <w:pPr>
              <w:rPr>
                <w:rFonts w:cs="Arial"/>
                <w:color w:val="002060"/>
                <w:sz w:val="16"/>
                <w:szCs w:val="16"/>
                <w:lang w:bidi="th-TH"/>
              </w:rPr>
            </w:pPr>
            <w:r w:rsidRPr="00153B24">
              <w:rPr>
                <w:rFonts w:cs="Arial"/>
                <w:i/>
                <w:color w:val="002060"/>
                <w:sz w:val="16"/>
                <w:szCs w:val="16"/>
                <w:lang w:bidi="th-TH"/>
              </w:rPr>
              <w:t>Niveau de référence actualisé à fin 2013</w:t>
            </w:r>
            <w:r w:rsidR="002C57EB" w:rsidRPr="00153B24">
              <w:rPr>
                <w:rFonts w:cs="Arial"/>
                <w:i/>
                <w:color w:val="002060"/>
                <w:sz w:val="16"/>
                <w:szCs w:val="16"/>
                <w:lang w:bidi="th-TH"/>
              </w:rPr>
              <w:t> </w:t>
            </w:r>
            <w:r w:rsidRPr="00153B24">
              <w:rPr>
                <w:rFonts w:cs="Arial"/>
                <w:i/>
                <w:color w:val="002060"/>
                <w:sz w:val="16"/>
                <w:szCs w:val="16"/>
                <w:lang w:bidi="th-TH"/>
              </w:rPr>
              <w:t>:</w:t>
            </w:r>
            <w:r w:rsidRPr="00153B24">
              <w:rPr>
                <w:rFonts w:cs="Arial"/>
                <w:color w:val="002060"/>
                <w:sz w:val="16"/>
                <w:szCs w:val="16"/>
                <w:lang w:bidi="th-TH"/>
              </w:rPr>
              <w:t xml:space="preserve"> 92,5%, sur la base de l</w:t>
            </w:r>
            <w:r w:rsidR="00721905" w:rsidRPr="00153B24">
              <w:rPr>
                <w:rFonts w:cs="Arial"/>
                <w:color w:val="002060"/>
                <w:sz w:val="16"/>
                <w:szCs w:val="16"/>
                <w:lang w:bidi="th-TH"/>
              </w:rPr>
              <w:t>’</w:t>
            </w:r>
            <w:r w:rsidRPr="00153B24">
              <w:rPr>
                <w:rFonts w:cs="Arial"/>
                <w:color w:val="002060"/>
                <w:sz w:val="16"/>
                <w:szCs w:val="16"/>
                <w:lang w:bidi="th-TH"/>
              </w:rPr>
              <w:t>enquête 2012</w:t>
            </w:r>
            <w:r w:rsidR="0000169D" w:rsidRPr="00153B24">
              <w:rPr>
                <w:rFonts w:cs="Arial"/>
                <w:color w:val="002060"/>
                <w:sz w:val="16"/>
                <w:szCs w:val="16"/>
                <w:lang w:bidi="th-TH"/>
              </w:rPr>
              <w:noBreakHyphen/>
            </w:r>
            <w:r w:rsidRPr="00153B24">
              <w:rPr>
                <w:rFonts w:cs="Arial"/>
                <w:color w:val="002060"/>
                <w:sz w:val="16"/>
                <w:szCs w:val="16"/>
                <w:lang w:bidi="th-TH"/>
              </w:rPr>
              <w:t>2013</w:t>
            </w:r>
          </w:p>
          <w:p w:rsidR="006E2BB1" w:rsidRPr="00C258AD" w:rsidRDefault="006E2BB1" w:rsidP="00722651">
            <w:pPr>
              <w:rPr>
                <w:rFonts w:cs="Arial"/>
                <w:i/>
                <w:sz w:val="16"/>
                <w:szCs w:val="16"/>
              </w:rPr>
            </w:pPr>
          </w:p>
          <w:p w:rsidR="00B60163" w:rsidRPr="00C258AD" w:rsidRDefault="00B547A1" w:rsidP="007E29E6">
            <w:pPr>
              <w:rPr>
                <w:rFonts w:cs="Arial"/>
                <w:sz w:val="16"/>
                <w:szCs w:val="16"/>
              </w:rPr>
            </w:pPr>
            <w:r w:rsidRPr="00C258AD">
              <w:rPr>
                <w:rFonts w:cs="Arial"/>
                <w:i/>
                <w:sz w:val="16"/>
                <w:szCs w:val="16"/>
                <w:lang w:bidi="th-TH"/>
              </w:rPr>
              <w:t>Niveau de référence initial dans le programme et budget 2014</w:t>
            </w:r>
            <w:r w:rsidR="0000169D" w:rsidRPr="00C258AD">
              <w:rPr>
                <w:rFonts w:cs="Arial"/>
                <w:i/>
                <w:sz w:val="16"/>
                <w:szCs w:val="16"/>
                <w:lang w:bidi="th-TH"/>
              </w:rPr>
              <w:noBreakHyphen/>
            </w:r>
            <w:r w:rsidRPr="00C258AD">
              <w:rPr>
                <w:rFonts w:cs="Arial"/>
                <w:i/>
                <w:sz w:val="16"/>
                <w:szCs w:val="16"/>
                <w:lang w:bidi="th-TH"/>
              </w:rPr>
              <w:t>2015</w:t>
            </w:r>
            <w:r w:rsidR="002C57EB" w:rsidRPr="00C258AD">
              <w:rPr>
                <w:rFonts w:cs="Arial"/>
                <w:sz w:val="16"/>
                <w:szCs w:val="16"/>
                <w:lang w:bidi="th-TH"/>
              </w:rPr>
              <w:t> </w:t>
            </w:r>
            <w:r w:rsidRPr="00C258AD">
              <w:rPr>
                <w:rFonts w:cs="Arial"/>
                <w:sz w:val="16"/>
                <w:szCs w:val="16"/>
              </w:rPr>
              <w:t>:</w:t>
            </w:r>
            <w:r w:rsidRPr="00C258AD">
              <w:rPr>
                <w:rFonts w:cs="Arial"/>
                <w:sz w:val="16"/>
                <w:szCs w:val="16"/>
                <w:lang w:bidi="th-TH"/>
              </w:rPr>
              <w:t xml:space="preserve"> enquêtes 2012</w:t>
            </w:r>
          </w:p>
        </w:tc>
        <w:tc>
          <w:tcPr>
            <w:tcW w:w="724" w:type="pct"/>
            <w:tcBorders>
              <w:bottom w:val="single" w:sz="4" w:space="0" w:color="auto"/>
            </w:tcBorders>
            <w:shd w:val="clear" w:color="auto" w:fill="auto"/>
            <w:tcMar>
              <w:top w:w="110" w:type="dxa"/>
            </w:tcMar>
          </w:tcPr>
          <w:p w:rsidR="00B60163" w:rsidRPr="00C258AD" w:rsidRDefault="00B60163" w:rsidP="00722651">
            <w:pPr>
              <w:rPr>
                <w:rFonts w:cs="Arial"/>
                <w:sz w:val="16"/>
                <w:szCs w:val="16"/>
              </w:rPr>
            </w:pPr>
            <w:r w:rsidRPr="00C258AD">
              <w:rPr>
                <w:rFonts w:cs="Arial"/>
                <w:sz w:val="16"/>
                <w:szCs w:val="16"/>
              </w:rPr>
              <w:t>90%</w:t>
            </w:r>
          </w:p>
        </w:tc>
        <w:tc>
          <w:tcPr>
            <w:tcW w:w="1442" w:type="pct"/>
            <w:tcBorders>
              <w:bottom w:val="single" w:sz="4" w:space="0" w:color="auto"/>
            </w:tcBorders>
            <w:shd w:val="clear" w:color="auto" w:fill="FFFFFF"/>
            <w:tcMar>
              <w:top w:w="110" w:type="dxa"/>
            </w:tcMar>
          </w:tcPr>
          <w:p w:rsidR="00B60163" w:rsidRPr="00C258AD" w:rsidRDefault="00785CE1" w:rsidP="00AE58DB">
            <w:pPr>
              <w:rPr>
                <w:rFonts w:cs="Arial"/>
                <w:sz w:val="16"/>
                <w:szCs w:val="16"/>
              </w:rPr>
            </w:pPr>
            <w:r w:rsidRPr="00C258AD">
              <w:rPr>
                <w:rFonts w:cs="Arial"/>
                <w:sz w:val="16"/>
                <w:szCs w:val="16"/>
              </w:rPr>
              <w:t>96</w:t>
            </w:r>
            <w:r w:rsidR="00DE2E18" w:rsidRPr="00C258AD">
              <w:rPr>
                <w:rFonts w:cs="Arial"/>
                <w:sz w:val="16"/>
                <w:szCs w:val="16"/>
              </w:rPr>
              <w:t>,</w:t>
            </w:r>
            <w:r w:rsidRPr="00C258AD">
              <w:rPr>
                <w:rFonts w:cs="Arial"/>
                <w:sz w:val="16"/>
                <w:szCs w:val="16"/>
              </w:rPr>
              <w:t xml:space="preserve">85% </w:t>
            </w:r>
            <w:r w:rsidR="00DE2E18" w:rsidRPr="00C258AD">
              <w:rPr>
                <w:rFonts w:cs="Arial"/>
                <w:sz w:val="16"/>
                <w:szCs w:val="16"/>
              </w:rPr>
              <w:t xml:space="preserve">sur la base de questionnaires remplis par les participants </w:t>
            </w:r>
          </w:p>
        </w:tc>
        <w:tc>
          <w:tcPr>
            <w:tcW w:w="558" w:type="pct"/>
            <w:tcBorders>
              <w:bottom w:val="single" w:sz="4" w:space="0" w:color="auto"/>
            </w:tcBorders>
            <w:shd w:val="clear" w:color="auto" w:fill="auto"/>
            <w:tcMar>
              <w:top w:w="110" w:type="dxa"/>
            </w:tcMar>
          </w:tcPr>
          <w:p w:rsidR="00B60163" w:rsidRPr="00C258AD" w:rsidRDefault="00C5135D" w:rsidP="00B547A1">
            <w:pPr>
              <w:keepNext/>
              <w:keepLines/>
              <w:jc w:val="center"/>
              <w:rPr>
                <w:rFonts w:cs="Arial"/>
                <w:sz w:val="16"/>
                <w:szCs w:val="16"/>
              </w:rPr>
            </w:pPr>
            <w:r w:rsidRPr="00C258AD">
              <w:rPr>
                <w:rFonts w:cs="Arial"/>
                <w:b/>
                <w:bCs/>
                <w:color w:val="00B050"/>
                <w:sz w:val="16"/>
                <w:szCs w:val="16"/>
              </w:rPr>
              <w:t>Objectif pleinement atteint</w:t>
            </w:r>
          </w:p>
        </w:tc>
      </w:tr>
      <w:tr w:rsidR="00631864" w:rsidRPr="00C258AD" w:rsidTr="006A7E84">
        <w:trPr>
          <w:cantSplit/>
        </w:trPr>
        <w:tc>
          <w:tcPr>
            <w:tcW w:w="5000" w:type="pct"/>
            <w:gridSpan w:val="5"/>
            <w:tcBorders>
              <w:top w:val="single" w:sz="4" w:space="0" w:color="auto"/>
              <w:bottom w:val="single" w:sz="4" w:space="0" w:color="auto"/>
            </w:tcBorders>
            <w:shd w:val="clear" w:color="auto" w:fill="C5D9F1"/>
            <w:vAlign w:val="center"/>
          </w:tcPr>
          <w:p w:rsidR="00B60163" w:rsidRPr="00C258AD" w:rsidRDefault="00B547A1" w:rsidP="00B243D9">
            <w:pPr>
              <w:keepNext/>
              <w:keepLines/>
              <w:tabs>
                <w:tab w:val="left" w:pos="1452"/>
              </w:tabs>
              <w:ind w:left="1452" w:hanging="1452"/>
              <w:rPr>
                <w:rFonts w:cs="Arial"/>
                <w:b/>
                <w:bCs/>
                <w:sz w:val="16"/>
                <w:szCs w:val="16"/>
              </w:rPr>
            </w:pPr>
            <w:r w:rsidRPr="00C258AD">
              <w:rPr>
                <w:rFonts w:cs="Arial"/>
                <w:b/>
                <w:bCs/>
                <w:sz w:val="16"/>
                <w:szCs w:val="16"/>
              </w:rPr>
              <w:lastRenderedPageBreak/>
              <w:t>Résultat escompté</w:t>
            </w:r>
            <w:r w:rsidR="002C57EB" w:rsidRPr="00C258AD">
              <w:rPr>
                <w:rFonts w:cs="Arial"/>
                <w:b/>
                <w:bCs/>
                <w:sz w:val="16"/>
                <w:szCs w:val="16"/>
              </w:rPr>
              <w:t> </w:t>
            </w:r>
            <w:r w:rsidRPr="00C258AD">
              <w:rPr>
                <w:rFonts w:cs="Arial"/>
                <w:b/>
                <w:bCs/>
                <w:sz w:val="16"/>
                <w:szCs w:val="16"/>
              </w:rPr>
              <w:t xml:space="preserve">: </w:t>
            </w:r>
            <w:r w:rsidRPr="00C258AD">
              <w:rPr>
                <w:rFonts w:cs="Arial"/>
                <w:bCs/>
                <w:sz w:val="16"/>
                <w:szCs w:val="16"/>
              </w:rPr>
              <w:t>I.2 Cadres législatifs, réglementaires et politiques de propriété intellectuelle adaptés et équilibrés</w:t>
            </w:r>
          </w:p>
        </w:tc>
      </w:tr>
      <w:tr w:rsidR="006A7E84" w:rsidRPr="00C258AD" w:rsidTr="006A7E84">
        <w:trPr>
          <w:cantSplit/>
        </w:trPr>
        <w:tc>
          <w:tcPr>
            <w:tcW w:w="1000" w:type="pct"/>
            <w:tcBorders>
              <w:top w:val="single" w:sz="4" w:space="0" w:color="auto"/>
            </w:tcBorders>
            <w:shd w:val="clear" w:color="auto" w:fill="auto"/>
            <w:vAlign w:val="center"/>
          </w:tcPr>
          <w:p w:rsidR="00B60163" w:rsidRPr="00C258AD" w:rsidRDefault="00B547A1" w:rsidP="00B243D9">
            <w:pPr>
              <w:keepNext/>
              <w:jc w:val="center"/>
              <w:rPr>
                <w:rFonts w:cs="Arial"/>
                <w:b/>
                <w:sz w:val="16"/>
                <w:szCs w:val="16"/>
              </w:rPr>
            </w:pPr>
            <w:r w:rsidRPr="00C258AD">
              <w:rPr>
                <w:rFonts w:cs="Arial"/>
                <w:b/>
                <w:sz w:val="16"/>
                <w:szCs w:val="16"/>
              </w:rPr>
              <w:t>Indicateurs d</w:t>
            </w:r>
            <w:r w:rsidR="00721905" w:rsidRPr="00C258AD">
              <w:rPr>
                <w:rFonts w:cs="Arial"/>
                <w:b/>
                <w:sz w:val="16"/>
                <w:szCs w:val="16"/>
              </w:rPr>
              <w:t>’</w:t>
            </w:r>
            <w:r w:rsidRPr="00C258AD">
              <w:rPr>
                <w:rFonts w:cs="Arial"/>
                <w:b/>
                <w:sz w:val="16"/>
                <w:szCs w:val="16"/>
              </w:rPr>
              <w:t>exécution</w:t>
            </w:r>
          </w:p>
        </w:tc>
        <w:tc>
          <w:tcPr>
            <w:tcW w:w="1276" w:type="pct"/>
            <w:tcBorders>
              <w:top w:val="single" w:sz="4" w:space="0" w:color="auto"/>
            </w:tcBorders>
            <w:shd w:val="clear" w:color="auto" w:fill="auto"/>
            <w:vAlign w:val="center"/>
          </w:tcPr>
          <w:p w:rsidR="00B60163" w:rsidRPr="00C258AD" w:rsidRDefault="00B547A1" w:rsidP="00B243D9">
            <w:pPr>
              <w:keepNext/>
              <w:jc w:val="center"/>
              <w:rPr>
                <w:rFonts w:cs="Arial"/>
                <w:b/>
                <w:bCs/>
                <w:sz w:val="16"/>
                <w:szCs w:val="16"/>
              </w:rPr>
            </w:pPr>
            <w:r w:rsidRPr="00C258AD">
              <w:rPr>
                <w:rFonts w:cs="Arial"/>
                <w:b/>
                <w:bCs/>
                <w:sz w:val="16"/>
                <w:szCs w:val="16"/>
              </w:rPr>
              <w:t>Niveaux de référence</w:t>
            </w:r>
          </w:p>
        </w:tc>
        <w:tc>
          <w:tcPr>
            <w:tcW w:w="724" w:type="pct"/>
            <w:tcBorders>
              <w:top w:val="single" w:sz="4" w:space="0" w:color="auto"/>
            </w:tcBorders>
            <w:shd w:val="clear" w:color="auto" w:fill="auto"/>
            <w:tcMar>
              <w:top w:w="110" w:type="dxa"/>
            </w:tcMar>
            <w:vAlign w:val="center"/>
          </w:tcPr>
          <w:p w:rsidR="00B60163" w:rsidRPr="00C258AD" w:rsidRDefault="00B547A1" w:rsidP="00B243D9">
            <w:pPr>
              <w:keepNext/>
              <w:jc w:val="center"/>
              <w:rPr>
                <w:rFonts w:cs="Arial"/>
                <w:b/>
                <w:sz w:val="16"/>
                <w:szCs w:val="16"/>
              </w:rPr>
            </w:pPr>
            <w:r w:rsidRPr="00C258AD">
              <w:rPr>
                <w:rFonts w:cs="Arial"/>
                <w:b/>
                <w:sz w:val="16"/>
                <w:szCs w:val="16"/>
              </w:rPr>
              <w:t>Objectifs visés</w:t>
            </w:r>
          </w:p>
        </w:tc>
        <w:tc>
          <w:tcPr>
            <w:tcW w:w="1442" w:type="pct"/>
            <w:tcBorders>
              <w:top w:val="single" w:sz="4" w:space="0" w:color="auto"/>
            </w:tcBorders>
            <w:shd w:val="clear" w:color="auto" w:fill="auto"/>
            <w:tcMar>
              <w:top w:w="110" w:type="dxa"/>
            </w:tcMar>
            <w:vAlign w:val="center"/>
          </w:tcPr>
          <w:p w:rsidR="00B60163" w:rsidRPr="00C258AD" w:rsidRDefault="00B547A1" w:rsidP="00B243D9">
            <w:pPr>
              <w:keepNext/>
              <w:jc w:val="center"/>
              <w:rPr>
                <w:rFonts w:cs="Arial"/>
                <w:b/>
                <w:sz w:val="16"/>
                <w:szCs w:val="16"/>
              </w:rPr>
            </w:pPr>
            <w:r w:rsidRPr="00C258AD">
              <w:rPr>
                <w:rFonts w:cs="Arial"/>
                <w:b/>
                <w:sz w:val="16"/>
                <w:szCs w:val="16"/>
              </w:rPr>
              <w:t>Données relatives à l</w:t>
            </w:r>
            <w:r w:rsidR="00721905" w:rsidRPr="00C258AD">
              <w:rPr>
                <w:rFonts w:cs="Arial"/>
                <w:b/>
                <w:sz w:val="16"/>
                <w:szCs w:val="16"/>
              </w:rPr>
              <w:t>’</w:t>
            </w:r>
            <w:r w:rsidRPr="00C258AD">
              <w:rPr>
                <w:rFonts w:cs="Arial"/>
                <w:b/>
                <w:sz w:val="16"/>
                <w:szCs w:val="16"/>
              </w:rPr>
              <w:t>exécution</w:t>
            </w:r>
          </w:p>
        </w:tc>
        <w:tc>
          <w:tcPr>
            <w:tcW w:w="558" w:type="pct"/>
            <w:tcBorders>
              <w:top w:val="single" w:sz="4" w:space="0" w:color="auto"/>
            </w:tcBorders>
            <w:shd w:val="clear" w:color="auto" w:fill="auto"/>
            <w:tcMar>
              <w:top w:w="110" w:type="dxa"/>
            </w:tcMar>
            <w:vAlign w:val="center"/>
          </w:tcPr>
          <w:p w:rsidR="00B60163" w:rsidRPr="00C258AD" w:rsidRDefault="00B547A1" w:rsidP="00B243D9">
            <w:pPr>
              <w:keepNext/>
              <w:keepLines/>
              <w:jc w:val="center"/>
              <w:rPr>
                <w:rFonts w:cs="Arial"/>
                <w:b/>
                <w:sz w:val="16"/>
                <w:szCs w:val="16"/>
              </w:rPr>
            </w:pPr>
            <w:r w:rsidRPr="00C258AD">
              <w:rPr>
                <w:rFonts w:cs="Arial"/>
                <w:b/>
                <w:sz w:val="16"/>
                <w:szCs w:val="16"/>
              </w:rPr>
              <w:t>Code de couleurs</w:t>
            </w:r>
          </w:p>
        </w:tc>
      </w:tr>
      <w:tr w:rsidR="006A7E84" w:rsidRPr="00C258AD" w:rsidTr="006A7E84">
        <w:trPr>
          <w:cantSplit/>
        </w:trPr>
        <w:tc>
          <w:tcPr>
            <w:tcW w:w="1000" w:type="pct"/>
            <w:shd w:val="clear" w:color="auto" w:fill="FFFFFF"/>
          </w:tcPr>
          <w:p w:rsidR="00B60163" w:rsidRPr="00C258AD" w:rsidRDefault="00B547A1" w:rsidP="00B547A1">
            <w:pPr>
              <w:rPr>
                <w:rFonts w:cs="Arial"/>
                <w:sz w:val="16"/>
                <w:szCs w:val="16"/>
                <w:lang w:bidi="th-TH"/>
              </w:rPr>
            </w:pPr>
            <w:r w:rsidRPr="00C258AD">
              <w:rPr>
                <w:rFonts w:cs="Arial"/>
                <w:sz w:val="16"/>
                <w:szCs w:val="16"/>
                <w:lang w:bidi="th-TH"/>
              </w:rPr>
              <w:t>Nombre et pourcentage d</w:t>
            </w:r>
            <w:r w:rsidR="00721905" w:rsidRPr="00C258AD">
              <w:rPr>
                <w:rFonts w:cs="Arial"/>
                <w:sz w:val="16"/>
                <w:szCs w:val="16"/>
                <w:lang w:bidi="th-TH"/>
              </w:rPr>
              <w:t>’</w:t>
            </w:r>
            <w:r w:rsidRPr="00C258AD">
              <w:rPr>
                <w:rFonts w:cs="Arial"/>
                <w:sz w:val="16"/>
                <w:szCs w:val="16"/>
                <w:lang w:bidi="th-TH"/>
              </w:rPr>
              <w:t xml:space="preserve">États membres ayant trouvé utiles les informations fournies concernant les principes et les pratiques juridiques du système des brevets, </w:t>
            </w:r>
            <w:r w:rsidR="00721905" w:rsidRPr="00C258AD">
              <w:rPr>
                <w:rFonts w:cs="Arial"/>
                <w:sz w:val="16"/>
                <w:szCs w:val="16"/>
                <w:lang w:bidi="th-TH"/>
              </w:rPr>
              <w:t>y compris</w:t>
            </w:r>
            <w:r w:rsidRPr="00C258AD">
              <w:rPr>
                <w:rFonts w:cs="Arial"/>
                <w:sz w:val="16"/>
                <w:szCs w:val="16"/>
                <w:lang w:bidi="th-TH"/>
              </w:rPr>
              <w:t xml:space="preserve"> les éléments de flexibilité existant dans le système et ses enjeux</w:t>
            </w:r>
          </w:p>
        </w:tc>
        <w:tc>
          <w:tcPr>
            <w:tcW w:w="1276" w:type="pct"/>
            <w:shd w:val="clear" w:color="auto" w:fill="auto"/>
          </w:tcPr>
          <w:p w:rsidR="006E2BB1" w:rsidRPr="00153B24" w:rsidRDefault="001D3731" w:rsidP="001D3731">
            <w:pPr>
              <w:rPr>
                <w:rFonts w:cs="Arial"/>
                <w:color w:val="002060"/>
                <w:sz w:val="16"/>
                <w:szCs w:val="16"/>
                <w:lang w:bidi="th-TH"/>
              </w:rPr>
            </w:pPr>
            <w:r w:rsidRPr="00153B24">
              <w:rPr>
                <w:rFonts w:cs="Arial"/>
                <w:i/>
                <w:color w:val="002060"/>
                <w:sz w:val="16"/>
                <w:szCs w:val="16"/>
                <w:lang w:bidi="th-TH"/>
              </w:rPr>
              <w:t>Niveau de référence actualisé à fin 2013</w:t>
            </w:r>
            <w:r w:rsidR="002C57EB" w:rsidRPr="00153B24">
              <w:rPr>
                <w:rFonts w:cs="Arial"/>
                <w:i/>
                <w:color w:val="002060"/>
                <w:sz w:val="16"/>
                <w:szCs w:val="16"/>
                <w:lang w:bidi="th-TH"/>
              </w:rPr>
              <w:t> </w:t>
            </w:r>
            <w:r w:rsidRPr="00153B24">
              <w:rPr>
                <w:rFonts w:cs="Arial"/>
                <w:i/>
                <w:color w:val="002060"/>
                <w:sz w:val="16"/>
                <w:szCs w:val="16"/>
                <w:lang w:bidi="th-TH"/>
              </w:rPr>
              <w:t>:</w:t>
            </w:r>
            <w:r w:rsidRPr="00153B24">
              <w:rPr>
                <w:rFonts w:cs="Arial"/>
                <w:color w:val="002060"/>
                <w:sz w:val="16"/>
                <w:szCs w:val="16"/>
                <w:lang w:bidi="th-TH"/>
              </w:rPr>
              <w:t xml:space="preserve"> 90% sur la base de l</w:t>
            </w:r>
            <w:r w:rsidR="00721905" w:rsidRPr="00153B24">
              <w:rPr>
                <w:rFonts w:cs="Arial"/>
                <w:color w:val="002060"/>
                <w:sz w:val="16"/>
                <w:szCs w:val="16"/>
                <w:lang w:bidi="th-TH"/>
              </w:rPr>
              <w:t>’</w:t>
            </w:r>
            <w:r w:rsidRPr="00153B24">
              <w:rPr>
                <w:rFonts w:cs="Arial"/>
                <w:color w:val="002060"/>
                <w:sz w:val="16"/>
                <w:szCs w:val="16"/>
                <w:lang w:bidi="th-TH"/>
              </w:rPr>
              <w:t>enquête menée par la Division de la supervision interne en</w:t>
            </w:r>
            <w:r w:rsidR="002C57EB" w:rsidRPr="00153B24">
              <w:rPr>
                <w:rFonts w:cs="Arial"/>
                <w:color w:val="002060"/>
                <w:sz w:val="16"/>
                <w:szCs w:val="16"/>
                <w:lang w:bidi="th-TH"/>
              </w:rPr>
              <w:t> </w:t>
            </w:r>
            <w:r w:rsidRPr="00153B24">
              <w:rPr>
                <w:rFonts w:cs="Arial"/>
                <w:color w:val="002060"/>
                <w:sz w:val="16"/>
                <w:szCs w:val="16"/>
                <w:lang w:bidi="th-TH"/>
              </w:rPr>
              <w:t xml:space="preserve">2013 auprès de </w:t>
            </w:r>
            <w:r w:rsidR="00FB247F" w:rsidRPr="00153B24">
              <w:rPr>
                <w:rFonts w:cs="Arial"/>
                <w:color w:val="002060"/>
                <w:sz w:val="16"/>
                <w:szCs w:val="16"/>
                <w:lang w:bidi="th-TH"/>
              </w:rPr>
              <w:t>47 </w:t>
            </w:r>
            <w:r w:rsidRPr="00153B24">
              <w:rPr>
                <w:rFonts w:cs="Arial"/>
                <w:color w:val="002060"/>
                <w:sz w:val="16"/>
                <w:szCs w:val="16"/>
                <w:lang w:bidi="th-TH"/>
              </w:rPr>
              <w:t>États membres</w:t>
            </w:r>
          </w:p>
          <w:p w:rsidR="006E2BB1" w:rsidRPr="00C258AD" w:rsidRDefault="006E2BB1" w:rsidP="00722651">
            <w:pPr>
              <w:rPr>
                <w:rFonts w:cs="Arial"/>
                <w:i/>
                <w:sz w:val="16"/>
                <w:szCs w:val="16"/>
                <w:lang w:bidi="th-TH"/>
              </w:rPr>
            </w:pPr>
          </w:p>
          <w:p w:rsidR="00B60163" w:rsidRPr="00C258AD" w:rsidRDefault="001D3731" w:rsidP="007E29E6">
            <w:pPr>
              <w:rPr>
                <w:rFonts w:cs="Arial"/>
                <w:i/>
                <w:sz w:val="16"/>
                <w:szCs w:val="16"/>
              </w:rPr>
            </w:pPr>
            <w:r w:rsidRPr="00C258AD">
              <w:rPr>
                <w:rFonts w:cs="Arial"/>
                <w:i/>
                <w:sz w:val="16"/>
                <w:szCs w:val="16"/>
                <w:lang w:bidi="th-TH"/>
              </w:rPr>
              <w:t>Niveau de référence initial</w:t>
            </w:r>
            <w:r w:rsidRPr="00C258AD">
              <w:rPr>
                <w:rFonts w:cs="Arial"/>
                <w:sz w:val="16"/>
                <w:szCs w:val="16"/>
                <w:lang w:bidi="th-TH"/>
              </w:rPr>
              <w:t xml:space="preserve"> dans le </w:t>
            </w:r>
            <w:r w:rsidRPr="00C258AD">
              <w:rPr>
                <w:rFonts w:cs="Arial"/>
                <w:i/>
                <w:sz w:val="16"/>
                <w:szCs w:val="16"/>
                <w:lang w:bidi="th-TH"/>
              </w:rPr>
              <w:t>programme et budget 2014</w:t>
            </w:r>
            <w:r w:rsidR="0000169D" w:rsidRPr="00C258AD">
              <w:rPr>
                <w:rFonts w:cs="Arial"/>
                <w:i/>
                <w:sz w:val="16"/>
                <w:szCs w:val="16"/>
                <w:lang w:bidi="th-TH"/>
              </w:rPr>
              <w:noBreakHyphen/>
            </w:r>
            <w:r w:rsidRPr="00C258AD">
              <w:rPr>
                <w:rFonts w:cs="Arial"/>
                <w:i/>
                <w:sz w:val="16"/>
                <w:szCs w:val="16"/>
                <w:lang w:bidi="th-TH"/>
              </w:rPr>
              <w:t>2015</w:t>
            </w:r>
            <w:r w:rsidR="002C57EB" w:rsidRPr="00C258AD">
              <w:rPr>
                <w:rFonts w:cs="Arial"/>
                <w:i/>
                <w:sz w:val="16"/>
                <w:szCs w:val="16"/>
                <w:lang w:bidi="th-TH"/>
              </w:rPr>
              <w:t> </w:t>
            </w:r>
            <w:r w:rsidRPr="00C258AD">
              <w:rPr>
                <w:rFonts w:cs="Arial"/>
                <w:i/>
                <w:sz w:val="16"/>
                <w:szCs w:val="16"/>
                <w:lang w:bidi="th-TH"/>
              </w:rPr>
              <w:t>:</w:t>
            </w:r>
            <w:r w:rsidRPr="00C258AD">
              <w:rPr>
                <w:rFonts w:cs="Arial"/>
                <w:sz w:val="16"/>
                <w:szCs w:val="16"/>
                <w:lang w:bidi="th-TH"/>
              </w:rPr>
              <w:t xml:space="preserve"> à déterminer</w:t>
            </w:r>
          </w:p>
        </w:tc>
        <w:tc>
          <w:tcPr>
            <w:tcW w:w="724" w:type="pct"/>
            <w:shd w:val="clear" w:color="auto" w:fill="auto"/>
            <w:tcMar>
              <w:top w:w="110" w:type="dxa"/>
            </w:tcMar>
          </w:tcPr>
          <w:p w:rsidR="00B60163" w:rsidRPr="00C258AD" w:rsidRDefault="00B60163" w:rsidP="00722651">
            <w:pPr>
              <w:autoSpaceDE w:val="0"/>
              <w:autoSpaceDN w:val="0"/>
              <w:adjustRightInd w:val="0"/>
              <w:rPr>
                <w:rFonts w:cs="Arial"/>
                <w:sz w:val="16"/>
                <w:szCs w:val="16"/>
              </w:rPr>
            </w:pPr>
            <w:r w:rsidRPr="00C258AD">
              <w:rPr>
                <w:rFonts w:cs="Arial"/>
                <w:sz w:val="16"/>
                <w:szCs w:val="16"/>
              </w:rPr>
              <w:t>90%</w:t>
            </w:r>
          </w:p>
        </w:tc>
        <w:tc>
          <w:tcPr>
            <w:tcW w:w="1442" w:type="pct"/>
            <w:shd w:val="clear" w:color="auto" w:fill="FFFFFF"/>
            <w:tcMar>
              <w:top w:w="110" w:type="dxa"/>
            </w:tcMar>
          </w:tcPr>
          <w:p w:rsidR="00B60163" w:rsidRPr="00C258AD" w:rsidRDefault="00785CE1" w:rsidP="002F48CB">
            <w:pPr>
              <w:rPr>
                <w:rFonts w:cs="Arial"/>
                <w:sz w:val="16"/>
                <w:szCs w:val="16"/>
                <w:lang w:bidi="th-TH"/>
              </w:rPr>
            </w:pPr>
            <w:r w:rsidRPr="00C258AD">
              <w:rPr>
                <w:rFonts w:cs="Arial"/>
                <w:sz w:val="16"/>
                <w:szCs w:val="16"/>
                <w:lang w:bidi="th-TH"/>
              </w:rPr>
              <w:t>95</w:t>
            </w:r>
            <w:r w:rsidR="00FB247F" w:rsidRPr="00C258AD">
              <w:rPr>
                <w:rFonts w:cs="Arial"/>
                <w:sz w:val="16"/>
                <w:szCs w:val="16"/>
                <w:lang w:bidi="th-TH"/>
              </w:rPr>
              <w:t>,</w:t>
            </w:r>
            <w:r w:rsidRPr="00C258AD">
              <w:rPr>
                <w:rFonts w:cs="Arial"/>
                <w:sz w:val="16"/>
                <w:szCs w:val="16"/>
                <w:lang w:bidi="th-TH"/>
              </w:rPr>
              <w:t xml:space="preserve">24% </w:t>
            </w:r>
            <w:r w:rsidR="002F48CB" w:rsidRPr="00C258AD">
              <w:rPr>
                <w:rFonts w:cs="Arial"/>
                <w:sz w:val="16"/>
                <w:szCs w:val="16"/>
                <w:lang w:bidi="th-TH"/>
              </w:rPr>
              <w:t xml:space="preserve">sur la base de </w:t>
            </w:r>
            <w:r w:rsidR="00FB247F" w:rsidRPr="00C258AD">
              <w:rPr>
                <w:rFonts w:cs="Arial"/>
                <w:sz w:val="16"/>
                <w:szCs w:val="16"/>
                <w:lang w:bidi="th-TH"/>
              </w:rPr>
              <w:t>24 </w:t>
            </w:r>
            <w:r w:rsidRPr="00C258AD">
              <w:rPr>
                <w:rFonts w:cs="Arial"/>
                <w:sz w:val="16"/>
                <w:szCs w:val="16"/>
                <w:lang w:bidi="th-TH"/>
              </w:rPr>
              <w:t>r</w:t>
            </w:r>
            <w:r w:rsidR="002F48CB" w:rsidRPr="00C258AD">
              <w:rPr>
                <w:rFonts w:cs="Arial"/>
                <w:sz w:val="16"/>
                <w:szCs w:val="16"/>
                <w:lang w:bidi="th-TH"/>
              </w:rPr>
              <w:t>é</w:t>
            </w:r>
            <w:r w:rsidRPr="00C258AD">
              <w:rPr>
                <w:rFonts w:cs="Arial"/>
                <w:sz w:val="16"/>
                <w:szCs w:val="16"/>
                <w:lang w:bidi="th-TH"/>
              </w:rPr>
              <w:t xml:space="preserve">ponses </w:t>
            </w:r>
            <w:r w:rsidR="002F48CB" w:rsidRPr="00C258AD">
              <w:rPr>
                <w:rFonts w:cs="Arial"/>
                <w:sz w:val="16"/>
                <w:szCs w:val="16"/>
                <w:lang w:bidi="th-TH"/>
              </w:rPr>
              <w:t>à une enquête</w:t>
            </w:r>
          </w:p>
        </w:tc>
        <w:tc>
          <w:tcPr>
            <w:tcW w:w="558" w:type="pct"/>
            <w:shd w:val="clear" w:color="auto" w:fill="auto"/>
            <w:tcMar>
              <w:top w:w="110" w:type="dxa"/>
            </w:tcMar>
          </w:tcPr>
          <w:p w:rsidR="00B60163" w:rsidRPr="00C258AD" w:rsidRDefault="00C5135D" w:rsidP="001D3731">
            <w:pPr>
              <w:keepNext/>
              <w:keepLines/>
              <w:jc w:val="center"/>
              <w:rPr>
                <w:rFonts w:cs="Arial"/>
                <w:b/>
                <w:bCs/>
                <w:sz w:val="16"/>
                <w:szCs w:val="16"/>
              </w:rPr>
            </w:pPr>
            <w:r w:rsidRPr="00C258AD">
              <w:rPr>
                <w:rFonts w:cs="Arial"/>
                <w:b/>
                <w:bCs/>
                <w:color w:val="00B050"/>
                <w:sz w:val="16"/>
                <w:szCs w:val="16"/>
              </w:rPr>
              <w:t>Objectif pleinement atteint</w:t>
            </w:r>
          </w:p>
        </w:tc>
      </w:tr>
      <w:tr w:rsidR="0083763A" w:rsidRPr="00C258AD" w:rsidTr="006A7E84">
        <w:trPr>
          <w:cantSplit/>
        </w:trPr>
        <w:tc>
          <w:tcPr>
            <w:tcW w:w="1000" w:type="pct"/>
            <w:shd w:val="clear" w:color="auto" w:fill="FFFFFF"/>
          </w:tcPr>
          <w:p w:rsidR="00B60163" w:rsidRPr="00C258AD" w:rsidRDefault="001D3731" w:rsidP="001D3731">
            <w:pPr>
              <w:rPr>
                <w:rFonts w:cs="Arial"/>
                <w:sz w:val="16"/>
                <w:szCs w:val="16"/>
                <w:lang w:bidi="th-TH"/>
              </w:rPr>
            </w:pPr>
            <w:r w:rsidRPr="00C258AD">
              <w:rPr>
                <w:rFonts w:cs="Arial"/>
                <w:sz w:val="16"/>
                <w:szCs w:val="16"/>
                <w:lang w:bidi="th-TH"/>
              </w:rPr>
              <w:t>Nombre et pourcentage d</w:t>
            </w:r>
            <w:r w:rsidR="00721905" w:rsidRPr="00C258AD">
              <w:rPr>
                <w:rFonts w:cs="Arial"/>
                <w:sz w:val="16"/>
                <w:szCs w:val="16"/>
                <w:lang w:bidi="th-TH"/>
              </w:rPr>
              <w:t>’</w:t>
            </w:r>
            <w:r w:rsidRPr="00C258AD">
              <w:rPr>
                <w:rFonts w:cs="Arial"/>
                <w:sz w:val="16"/>
                <w:szCs w:val="16"/>
                <w:lang w:bidi="th-TH"/>
              </w:rPr>
              <w:t>États membres satisfaits de la qualité des conseils juridiques fournis concernant les brevets, les modèles d</w:t>
            </w:r>
            <w:r w:rsidR="00721905" w:rsidRPr="00C258AD">
              <w:rPr>
                <w:rFonts w:cs="Arial"/>
                <w:sz w:val="16"/>
                <w:szCs w:val="16"/>
                <w:lang w:bidi="th-TH"/>
              </w:rPr>
              <w:t>’</w:t>
            </w:r>
            <w:r w:rsidRPr="00C258AD">
              <w:rPr>
                <w:rFonts w:cs="Arial"/>
                <w:sz w:val="16"/>
                <w:szCs w:val="16"/>
                <w:lang w:bidi="th-TH"/>
              </w:rPr>
              <w:t>utilité, les secrets d</w:t>
            </w:r>
            <w:r w:rsidR="00721905" w:rsidRPr="00C258AD">
              <w:rPr>
                <w:rFonts w:cs="Arial"/>
                <w:sz w:val="16"/>
                <w:szCs w:val="16"/>
                <w:lang w:bidi="th-TH"/>
              </w:rPr>
              <w:t>’</w:t>
            </w:r>
            <w:r w:rsidRPr="00C258AD">
              <w:rPr>
                <w:rFonts w:cs="Arial"/>
                <w:sz w:val="16"/>
                <w:szCs w:val="16"/>
                <w:lang w:bidi="th-TH"/>
              </w:rPr>
              <w:t>affaires et les circuits intégrés</w:t>
            </w:r>
          </w:p>
        </w:tc>
        <w:tc>
          <w:tcPr>
            <w:tcW w:w="1276" w:type="pct"/>
            <w:shd w:val="clear" w:color="auto" w:fill="auto"/>
          </w:tcPr>
          <w:p w:rsidR="006E2BB1" w:rsidRPr="00153B24" w:rsidRDefault="001D3731" w:rsidP="001D3731">
            <w:pPr>
              <w:rPr>
                <w:rFonts w:cs="Arial"/>
                <w:color w:val="002060"/>
                <w:sz w:val="16"/>
                <w:szCs w:val="16"/>
                <w:lang w:bidi="th-TH"/>
              </w:rPr>
            </w:pPr>
            <w:r w:rsidRPr="00153B24">
              <w:rPr>
                <w:rFonts w:cs="Arial"/>
                <w:i/>
                <w:color w:val="002060"/>
                <w:sz w:val="16"/>
                <w:szCs w:val="16"/>
                <w:lang w:bidi="th-TH"/>
              </w:rPr>
              <w:t>Niveau de référence actualisé à fin 2013</w:t>
            </w:r>
            <w:r w:rsidR="002C57EB" w:rsidRPr="00153B24">
              <w:rPr>
                <w:rFonts w:cs="Arial"/>
                <w:i/>
                <w:color w:val="002060"/>
                <w:sz w:val="16"/>
                <w:szCs w:val="16"/>
                <w:lang w:bidi="th-TH"/>
              </w:rPr>
              <w:t> </w:t>
            </w:r>
            <w:r w:rsidRPr="00153B24">
              <w:rPr>
                <w:rFonts w:cs="Arial"/>
                <w:i/>
                <w:color w:val="002060"/>
                <w:sz w:val="16"/>
                <w:szCs w:val="16"/>
                <w:lang w:bidi="th-TH"/>
              </w:rPr>
              <w:t>:</w:t>
            </w:r>
            <w:r w:rsidRPr="00153B24">
              <w:rPr>
                <w:rFonts w:cs="Arial"/>
                <w:color w:val="002060"/>
                <w:sz w:val="16"/>
                <w:szCs w:val="16"/>
                <w:lang w:bidi="th-TH"/>
              </w:rPr>
              <w:t xml:space="preserve"> neuf</w:t>
            </w:r>
            <w:r w:rsidR="002C57EB" w:rsidRPr="00153B24">
              <w:rPr>
                <w:rFonts w:cs="Arial"/>
                <w:color w:val="002060"/>
                <w:sz w:val="16"/>
                <w:szCs w:val="16"/>
                <w:lang w:bidi="th-TH"/>
              </w:rPr>
              <w:t> </w:t>
            </w:r>
            <w:r w:rsidRPr="00153B24">
              <w:rPr>
                <w:rFonts w:cs="Arial"/>
                <w:color w:val="002060"/>
                <w:sz w:val="16"/>
                <w:szCs w:val="16"/>
                <w:lang w:bidi="th-TH"/>
              </w:rPr>
              <w:t>personnes ayant répondu (90%), sur la base de l</w:t>
            </w:r>
            <w:r w:rsidR="00721905" w:rsidRPr="00153B24">
              <w:rPr>
                <w:rFonts w:cs="Arial"/>
                <w:color w:val="002060"/>
                <w:sz w:val="16"/>
                <w:szCs w:val="16"/>
                <w:lang w:bidi="th-TH"/>
              </w:rPr>
              <w:t>’</w:t>
            </w:r>
            <w:r w:rsidRPr="00153B24">
              <w:rPr>
                <w:rFonts w:cs="Arial"/>
                <w:color w:val="002060"/>
                <w:sz w:val="16"/>
                <w:szCs w:val="16"/>
                <w:lang w:bidi="th-TH"/>
              </w:rPr>
              <w:t>enquête menée par la Division de la supervision interne en</w:t>
            </w:r>
            <w:r w:rsidR="002C57EB" w:rsidRPr="00153B24">
              <w:rPr>
                <w:rFonts w:cs="Arial"/>
                <w:color w:val="002060"/>
                <w:sz w:val="16"/>
                <w:szCs w:val="16"/>
                <w:lang w:bidi="th-TH"/>
              </w:rPr>
              <w:t> </w:t>
            </w:r>
            <w:r w:rsidRPr="00153B24">
              <w:rPr>
                <w:rFonts w:cs="Arial"/>
                <w:color w:val="002060"/>
                <w:sz w:val="16"/>
                <w:szCs w:val="16"/>
                <w:lang w:bidi="th-TH"/>
              </w:rPr>
              <w:t>2013</w:t>
            </w:r>
          </w:p>
          <w:p w:rsidR="006E2BB1" w:rsidRPr="00C258AD" w:rsidRDefault="006E2BB1" w:rsidP="00722651">
            <w:pPr>
              <w:rPr>
                <w:rFonts w:cs="Arial"/>
                <w:i/>
                <w:sz w:val="16"/>
                <w:szCs w:val="16"/>
                <w:lang w:bidi="th-TH"/>
              </w:rPr>
            </w:pPr>
          </w:p>
          <w:p w:rsidR="00B60163" w:rsidRPr="00C258AD" w:rsidRDefault="001D3731" w:rsidP="007E29E6">
            <w:pPr>
              <w:rPr>
                <w:rFonts w:cs="Arial"/>
                <w:sz w:val="16"/>
                <w:szCs w:val="16"/>
                <w:lang w:bidi="th-TH"/>
              </w:rPr>
            </w:pPr>
            <w:r w:rsidRPr="00C258AD">
              <w:rPr>
                <w:rFonts w:cs="Arial"/>
                <w:i/>
                <w:sz w:val="16"/>
                <w:szCs w:val="16"/>
                <w:lang w:bidi="th-TH"/>
              </w:rPr>
              <w:t>Niveau de référence initial dans le programme et budget 2014</w:t>
            </w:r>
            <w:r w:rsidR="0000169D" w:rsidRPr="00C258AD">
              <w:rPr>
                <w:rFonts w:cs="Arial"/>
                <w:i/>
                <w:sz w:val="16"/>
                <w:szCs w:val="16"/>
                <w:lang w:bidi="th-TH"/>
              </w:rPr>
              <w:noBreakHyphen/>
            </w:r>
            <w:r w:rsidRPr="00C258AD">
              <w:rPr>
                <w:rFonts w:cs="Arial"/>
                <w:i/>
                <w:sz w:val="16"/>
                <w:szCs w:val="16"/>
                <w:lang w:bidi="th-TH"/>
              </w:rPr>
              <w:t>2015</w:t>
            </w:r>
            <w:r w:rsidR="002C57EB" w:rsidRPr="00C258AD">
              <w:rPr>
                <w:rFonts w:cs="Arial"/>
                <w:sz w:val="16"/>
                <w:szCs w:val="16"/>
                <w:lang w:bidi="th-TH"/>
              </w:rPr>
              <w:t> </w:t>
            </w:r>
            <w:r w:rsidRPr="00C258AD">
              <w:rPr>
                <w:rFonts w:cs="Arial"/>
                <w:sz w:val="16"/>
                <w:szCs w:val="16"/>
              </w:rPr>
              <w:t>:</w:t>
            </w:r>
            <w:r w:rsidRPr="00C258AD">
              <w:rPr>
                <w:rFonts w:cs="Arial"/>
                <w:sz w:val="16"/>
                <w:szCs w:val="16"/>
                <w:lang w:bidi="th-TH"/>
              </w:rPr>
              <w:t xml:space="preserve"> enquêtes 2012</w:t>
            </w:r>
          </w:p>
        </w:tc>
        <w:tc>
          <w:tcPr>
            <w:tcW w:w="724" w:type="pct"/>
            <w:shd w:val="clear" w:color="auto" w:fill="auto"/>
            <w:tcMar>
              <w:top w:w="110" w:type="dxa"/>
            </w:tcMar>
          </w:tcPr>
          <w:p w:rsidR="00B60163" w:rsidRPr="00C258AD" w:rsidRDefault="00B60163" w:rsidP="00722651">
            <w:pPr>
              <w:autoSpaceDE w:val="0"/>
              <w:autoSpaceDN w:val="0"/>
              <w:adjustRightInd w:val="0"/>
              <w:rPr>
                <w:rFonts w:cs="Arial"/>
                <w:sz w:val="16"/>
                <w:szCs w:val="16"/>
              </w:rPr>
            </w:pPr>
            <w:r w:rsidRPr="00C258AD">
              <w:rPr>
                <w:rFonts w:cs="Arial"/>
                <w:sz w:val="16"/>
                <w:szCs w:val="16"/>
              </w:rPr>
              <w:t>90%</w:t>
            </w:r>
          </w:p>
        </w:tc>
        <w:tc>
          <w:tcPr>
            <w:tcW w:w="1442" w:type="pct"/>
            <w:shd w:val="clear" w:color="auto" w:fill="FFFFFF"/>
            <w:tcMar>
              <w:top w:w="110" w:type="dxa"/>
            </w:tcMar>
          </w:tcPr>
          <w:p w:rsidR="00B60163" w:rsidRPr="00C258AD" w:rsidRDefault="00097C4D" w:rsidP="00097C4D">
            <w:pPr>
              <w:rPr>
                <w:rFonts w:cs="Arial"/>
                <w:sz w:val="16"/>
                <w:szCs w:val="16"/>
                <w:lang w:bidi="th-TH"/>
              </w:rPr>
            </w:pPr>
            <w:r>
              <w:rPr>
                <w:rFonts w:cs="Arial"/>
                <w:sz w:val="16"/>
                <w:szCs w:val="16"/>
                <w:lang w:bidi="th-TH"/>
              </w:rPr>
              <w:t>En 2014</w:t>
            </w:r>
            <w:r>
              <w:rPr>
                <w:rFonts w:cs="Arial"/>
                <w:sz w:val="16"/>
                <w:szCs w:val="16"/>
                <w:lang w:bidi="th-TH"/>
              </w:rPr>
              <w:noBreakHyphen/>
              <w:t xml:space="preserve">2015, </w:t>
            </w:r>
            <w:r w:rsidR="001D3731" w:rsidRPr="00C258AD">
              <w:rPr>
                <w:rFonts w:cs="Arial"/>
                <w:sz w:val="16"/>
                <w:szCs w:val="16"/>
                <w:lang w:bidi="th-TH"/>
              </w:rPr>
              <w:t>16 personnes ont indiqué en moyen</w:t>
            </w:r>
            <w:r>
              <w:rPr>
                <w:rFonts w:cs="Arial"/>
                <w:sz w:val="16"/>
                <w:szCs w:val="16"/>
                <w:lang w:bidi="th-TH"/>
              </w:rPr>
              <w:t>ne un taux de satisfaction de 94</w:t>
            </w:r>
            <w:r w:rsidR="001D3731" w:rsidRPr="00C258AD">
              <w:rPr>
                <w:rFonts w:cs="Arial"/>
                <w:sz w:val="16"/>
                <w:szCs w:val="16"/>
                <w:lang w:bidi="th-TH"/>
              </w:rPr>
              <w:t xml:space="preserve">% (Afrique </w:t>
            </w:r>
            <w:r>
              <w:rPr>
                <w:rFonts w:cs="Arial"/>
                <w:sz w:val="16"/>
                <w:szCs w:val="16"/>
                <w:lang w:bidi="th-TH"/>
              </w:rPr>
              <w:t>3</w:t>
            </w:r>
            <w:r w:rsidR="001D3731" w:rsidRPr="00C258AD">
              <w:rPr>
                <w:rFonts w:cs="Arial"/>
                <w:sz w:val="16"/>
                <w:szCs w:val="16"/>
                <w:lang w:bidi="th-TH"/>
              </w:rPr>
              <w:t xml:space="preserve">;  pays </w:t>
            </w:r>
            <w:r w:rsidR="00FB247F" w:rsidRPr="00C258AD">
              <w:rPr>
                <w:rFonts w:cs="Arial"/>
                <w:sz w:val="16"/>
                <w:szCs w:val="16"/>
                <w:lang w:bidi="th-TH"/>
              </w:rPr>
              <w:t>arabes </w:t>
            </w:r>
            <w:r>
              <w:rPr>
                <w:rFonts w:cs="Arial"/>
                <w:sz w:val="16"/>
                <w:szCs w:val="16"/>
                <w:lang w:bidi="th-TH"/>
              </w:rPr>
              <w:t>1</w:t>
            </w:r>
            <w:r w:rsidR="001D3731" w:rsidRPr="00C258AD">
              <w:rPr>
                <w:rFonts w:cs="Arial"/>
                <w:sz w:val="16"/>
                <w:szCs w:val="16"/>
                <w:lang w:bidi="th-TH"/>
              </w:rPr>
              <w:t xml:space="preserve">;  Asie et </w:t>
            </w:r>
            <w:r w:rsidR="00FB247F" w:rsidRPr="00C258AD">
              <w:rPr>
                <w:rFonts w:cs="Arial"/>
                <w:sz w:val="16"/>
                <w:szCs w:val="16"/>
                <w:lang w:bidi="th-TH"/>
              </w:rPr>
              <w:t>Pacifique </w:t>
            </w:r>
            <w:r>
              <w:rPr>
                <w:rFonts w:cs="Arial"/>
                <w:sz w:val="16"/>
                <w:szCs w:val="16"/>
                <w:lang w:bidi="th-TH"/>
              </w:rPr>
              <w:t>2</w:t>
            </w:r>
            <w:r w:rsidR="001D3731" w:rsidRPr="00C258AD">
              <w:rPr>
                <w:rFonts w:cs="Arial"/>
                <w:sz w:val="16"/>
                <w:szCs w:val="16"/>
                <w:lang w:bidi="th-TH"/>
              </w:rPr>
              <w:t>, certains pays d</w:t>
            </w:r>
            <w:r w:rsidR="00721905" w:rsidRPr="00C258AD">
              <w:rPr>
                <w:rFonts w:cs="Arial"/>
                <w:sz w:val="16"/>
                <w:szCs w:val="16"/>
                <w:lang w:bidi="th-TH"/>
              </w:rPr>
              <w:t>’</w:t>
            </w:r>
            <w:r w:rsidR="001D3731" w:rsidRPr="00C258AD">
              <w:rPr>
                <w:rFonts w:cs="Arial"/>
                <w:sz w:val="16"/>
                <w:szCs w:val="16"/>
                <w:lang w:bidi="th-TH"/>
              </w:rPr>
              <w:t>Europe et d</w:t>
            </w:r>
            <w:r w:rsidR="00721905" w:rsidRPr="00C258AD">
              <w:rPr>
                <w:rFonts w:cs="Arial"/>
                <w:sz w:val="16"/>
                <w:szCs w:val="16"/>
                <w:lang w:bidi="th-TH"/>
              </w:rPr>
              <w:t>’</w:t>
            </w:r>
            <w:r w:rsidR="00FB247F" w:rsidRPr="00C258AD">
              <w:rPr>
                <w:rFonts w:cs="Arial"/>
                <w:sz w:val="16"/>
                <w:szCs w:val="16"/>
                <w:lang w:bidi="th-TH"/>
              </w:rPr>
              <w:t>Asie </w:t>
            </w:r>
            <w:r>
              <w:rPr>
                <w:rFonts w:cs="Arial"/>
                <w:sz w:val="16"/>
                <w:szCs w:val="16"/>
                <w:lang w:bidi="th-TH"/>
              </w:rPr>
              <w:t>2</w:t>
            </w:r>
            <w:r w:rsidR="001D3731" w:rsidRPr="00C258AD">
              <w:rPr>
                <w:rFonts w:cs="Arial"/>
                <w:sz w:val="16"/>
                <w:szCs w:val="16"/>
                <w:lang w:bidi="th-TH"/>
              </w:rPr>
              <w:t xml:space="preserve">;  Amérique latine et </w:t>
            </w:r>
            <w:r w:rsidR="00FB247F" w:rsidRPr="00C258AD">
              <w:rPr>
                <w:rFonts w:cs="Arial"/>
                <w:sz w:val="16"/>
                <w:szCs w:val="16"/>
                <w:lang w:bidi="th-TH"/>
              </w:rPr>
              <w:t>Caraïbes </w:t>
            </w:r>
            <w:r w:rsidR="001D3731" w:rsidRPr="00C258AD">
              <w:rPr>
                <w:rFonts w:cs="Arial"/>
                <w:sz w:val="16"/>
                <w:szCs w:val="16"/>
                <w:lang w:bidi="th-TH"/>
              </w:rPr>
              <w:t>1</w:t>
            </w:r>
            <w:r>
              <w:rPr>
                <w:rStyle w:val="FootnoteReference"/>
                <w:rFonts w:cs="Arial"/>
                <w:sz w:val="16"/>
                <w:szCs w:val="16"/>
                <w:lang w:bidi="th-TH"/>
              </w:rPr>
              <w:footnoteReference w:id="9"/>
            </w:r>
            <w:r w:rsidR="001D3731" w:rsidRPr="00C258AD">
              <w:rPr>
                <w:rFonts w:cs="Arial"/>
                <w:sz w:val="16"/>
                <w:szCs w:val="16"/>
                <w:lang w:bidi="th-TH"/>
              </w:rPr>
              <w:t>)</w:t>
            </w:r>
          </w:p>
        </w:tc>
        <w:tc>
          <w:tcPr>
            <w:tcW w:w="558" w:type="pct"/>
            <w:shd w:val="clear" w:color="auto" w:fill="auto"/>
            <w:tcMar>
              <w:top w:w="110" w:type="dxa"/>
            </w:tcMar>
          </w:tcPr>
          <w:p w:rsidR="00B60163" w:rsidRPr="00C258AD" w:rsidRDefault="00C5135D" w:rsidP="001D3731">
            <w:pPr>
              <w:keepNext/>
              <w:keepLines/>
              <w:jc w:val="center"/>
              <w:rPr>
                <w:rFonts w:cs="Arial"/>
                <w:b/>
                <w:bCs/>
                <w:sz w:val="16"/>
                <w:szCs w:val="16"/>
              </w:rPr>
            </w:pPr>
            <w:r w:rsidRPr="00C258AD">
              <w:rPr>
                <w:rFonts w:cs="Arial"/>
                <w:b/>
                <w:bCs/>
                <w:color w:val="00B050"/>
                <w:sz w:val="16"/>
                <w:szCs w:val="16"/>
              </w:rPr>
              <w:t>Objectif pleinement atteint</w:t>
            </w:r>
          </w:p>
        </w:tc>
      </w:tr>
      <w:tr w:rsidR="0083763A" w:rsidRPr="00C258AD" w:rsidTr="006A7E84">
        <w:trPr>
          <w:cantSplit/>
        </w:trPr>
        <w:tc>
          <w:tcPr>
            <w:tcW w:w="1000" w:type="pct"/>
            <w:shd w:val="clear" w:color="auto" w:fill="FFFFFF"/>
          </w:tcPr>
          <w:p w:rsidR="00B60163" w:rsidRPr="00C258AD" w:rsidRDefault="001D3731" w:rsidP="001D3731">
            <w:pPr>
              <w:rPr>
                <w:rFonts w:cs="Arial"/>
                <w:sz w:val="16"/>
                <w:szCs w:val="16"/>
                <w:lang w:bidi="th-TH"/>
              </w:rPr>
            </w:pPr>
            <w:r w:rsidRPr="00C258AD">
              <w:rPr>
                <w:rFonts w:cs="Arial"/>
                <w:sz w:val="16"/>
                <w:szCs w:val="16"/>
                <w:lang w:bidi="th-TH"/>
              </w:rPr>
              <w:t>Sous réserve de l</w:t>
            </w:r>
            <w:r w:rsidR="00721905" w:rsidRPr="00C258AD">
              <w:rPr>
                <w:rFonts w:cs="Arial"/>
                <w:sz w:val="16"/>
                <w:szCs w:val="16"/>
                <w:lang w:bidi="th-TH"/>
              </w:rPr>
              <w:t>’</w:t>
            </w:r>
            <w:r w:rsidRPr="00C258AD">
              <w:rPr>
                <w:rFonts w:cs="Arial"/>
                <w:sz w:val="16"/>
                <w:szCs w:val="16"/>
                <w:lang w:bidi="th-TH"/>
              </w:rPr>
              <w:t>approbation des États membres, progrès accomplis en ce qui concerne la révision de la législation sur les brevets et les modèles d</w:t>
            </w:r>
            <w:r w:rsidR="00721905" w:rsidRPr="00C258AD">
              <w:rPr>
                <w:rFonts w:cs="Arial"/>
                <w:sz w:val="16"/>
                <w:szCs w:val="16"/>
                <w:lang w:bidi="th-TH"/>
              </w:rPr>
              <w:t>’</w:t>
            </w:r>
            <w:r w:rsidRPr="00C258AD">
              <w:rPr>
                <w:rFonts w:cs="Arial"/>
                <w:sz w:val="16"/>
                <w:szCs w:val="16"/>
                <w:lang w:bidi="th-TH"/>
              </w:rPr>
              <w:t>utilité pour les pays en développement et</w:t>
            </w:r>
            <w:r w:rsidR="00721905" w:rsidRPr="00C258AD">
              <w:rPr>
                <w:rFonts w:cs="Arial"/>
                <w:sz w:val="16"/>
                <w:szCs w:val="16"/>
                <w:lang w:bidi="th-TH"/>
              </w:rPr>
              <w:t xml:space="preserve"> les PMA</w:t>
            </w:r>
          </w:p>
        </w:tc>
        <w:tc>
          <w:tcPr>
            <w:tcW w:w="1276" w:type="pct"/>
            <w:shd w:val="clear" w:color="auto" w:fill="auto"/>
          </w:tcPr>
          <w:p w:rsidR="006E2BB1" w:rsidRPr="00153B24" w:rsidRDefault="001D3731" w:rsidP="001D3731">
            <w:pPr>
              <w:rPr>
                <w:rFonts w:cs="Arial"/>
                <w:color w:val="002060"/>
                <w:sz w:val="16"/>
                <w:szCs w:val="16"/>
                <w:lang w:bidi="th-TH"/>
              </w:rPr>
            </w:pPr>
            <w:r w:rsidRPr="00153B24">
              <w:rPr>
                <w:rFonts w:cs="Arial"/>
                <w:i/>
                <w:color w:val="002060"/>
                <w:sz w:val="16"/>
                <w:szCs w:val="16"/>
                <w:lang w:bidi="th-TH"/>
              </w:rPr>
              <w:t>Niveau de référence actualisé à fin 2013</w:t>
            </w:r>
            <w:r w:rsidR="002C57EB" w:rsidRPr="00153B24">
              <w:rPr>
                <w:rFonts w:cs="Arial"/>
                <w:i/>
                <w:color w:val="002060"/>
                <w:sz w:val="16"/>
                <w:szCs w:val="16"/>
                <w:lang w:bidi="th-TH"/>
              </w:rPr>
              <w:t> </w:t>
            </w:r>
            <w:r w:rsidRPr="00153B24">
              <w:rPr>
                <w:rFonts w:cs="Arial"/>
                <w:i/>
                <w:color w:val="002060"/>
                <w:sz w:val="16"/>
                <w:szCs w:val="16"/>
                <w:lang w:bidi="th-TH"/>
              </w:rPr>
              <w:t>:</w:t>
            </w:r>
            <w:r w:rsidRPr="00153B24">
              <w:rPr>
                <w:rFonts w:cs="Arial"/>
                <w:color w:val="002060"/>
                <w:sz w:val="16"/>
                <w:szCs w:val="16"/>
                <w:lang w:bidi="th-TH"/>
              </w:rPr>
              <w:t xml:space="preserve"> une réunion d</w:t>
            </w:r>
            <w:r w:rsidR="00721905" w:rsidRPr="00153B24">
              <w:rPr>
                <w:rFonts w:cs="Arial"/>
                <w:color w:val="002060"/>
                <w:sz w:val="16"/>
                <w:szCs w:val="16"/>
                <w:lang w:bidi="th-TH"/>
              </w:rPr>
              <w:t>’</w:t>
            </w:r>
            <w:r w:rsidRPr="00153B24">
              <w:rPr>
                <w:rFonts w:cs="Arial"/>
                <w:color w:val="002060"/>
                <w:sz w:val="16"/>
                <w:szCs w:val="16"/>
                <w:lang w:bidi="th-TH"/>
              </w:rPr>
              <w:t>experts</w:t>
            </w:r>
          </w:p>
          <w:p w:rsidR="006E2BB1" w:rsidRPr="00C258AD" w:rsidRDefault="006E2BB1" w:rsidP="00722651">
            <w:pPr>
              <w:rPr>
                <w:rFonts w:cs="Arial"/>
                <w:i/>
                <w:sz w:val="16"/>
                <w:szCs w:val="16"/>
                <w:lang w:bidi="th-TH"/>
              </w:rPr>
            </w:pPr>
          </w:p>
          <w:p w:rsidR="00B60163" w:rsidRPr="00C258AD" w:rsidRDefault="001D3731" w:rsidP="007E29E6">
            <w:pPr>
              <w:rPr>
                <w:rFonts w:cs="Arial"/>
                <w:i/>
                <w:sz w:val="16"/>
                <w:szCs w:val="16"/>
                <w:lang w:bidi="th-TH"/>
              </w:rPr>
            </w:pPr>
            <w:r w:rsidRPr="00C258AD">
              <w:rPr>
                <w:rFonts w:cs="Arial"/>
                <w:i/>
                <w:sz w:val="16"/>
                <w:szCs w:val="16"/>
                <w:lang w:bidi="th-TH"/>
              </w:rPr>
              <w:t>Niveau de référence initial</w:t>
            </w:r>
            <w:r w:rsidRPr="00C258AD">
              <w:rPr>
                <w:rFonts w:cs="Arial"/>
                <w:sz w:val="16"/>
                <w:szCs w:val="16"/>
                <w:lang w:bidi="th-TH"/>
              </w:rPr>
              <w:t xml:space="preserve"> dans le </w:t>
            </w:r>
            <w:r w:rsidRPr="00C258AD">
              <w:rPr>
                <w:rFonts w:cs="Arial"/>
                <w:i/>
                <w:sz w:val="16"/>
                <w:szCs w:val="16"/>
                <w:lang w:bidi="th-TH"/>
              </w:rPr>
              <w:t>programme et budget 2014</w:t>
            </w:r>
            <w:r w:rsidR="0000169D" w:rsidRPr="00C258AD">
              <w:rPr>
                <w:rFonts w:cs="Arial"/>
                <w:i/>
                <w:sz w:val="16"/>
                <w:szCs w:val="16"/>
                <w:lang w:bidi="th-TH"/>
              </w:rPr>
              <w:noBreakHyphen/>
            </w:r>
            <w:r w:rsidRPr="00C258AD">
              <w:rPr>
                <w:rFonts w:cs="Arial"/>
                <w:i/>
                <w:sz w:val="16"/>
                <w:szCs w:val="16"/>
                <w:lang w:bidi="th-TH"/>
              </w:rPr>
              <w:t>2015</w:t>
            </w:r>
            <w:r w:rsidR="002C57EB" w:rsidRPr="00C258AD">
              <w:rPr>
                <w:rFonts w:cs="Arial"/>
                <w:i/>
                <w:sz w:val="16"/>
                <w:szCs w:val="16"/>
                <w:lang w:bidi="th-TH"/>
              </w:rPr>
              <w:t> </w:t>
            </w:r>
            <w:r w:rsidRPr="00C258AD">
              <w:rPr>
                <w:rFonts w:cs="Arial"/>
                <w:i/>
                <w:sz w:val="16"/>
                <w:szCs w:val="16"/>
                <w:lang w:bidi="th-TH"/>
              </w:rPr>
              <w:t>:</w:t>
            </w:r>
            <w:r w:rsidRPr="00C258AD">
              <w:rPr>
                <w:rFonts w:cs="Arial"/>
                <w:sz w:val="16"/>
                <w:szCs w:val="16"/>
                <w:lang w:bidi="th-TH"/>
              </w:rPr>
              <w:t xml:space="preserve"> à déterminer</w:t>
            </w:r>
          </w:p>
        </w:tc>
        <w:tc>
          <w:tcPr>
            <w:tcW w:w="724" w:type="pct"/>
            <w:shd w:val="clear" w:color="auto" w:fill="auto"/>
            <w:tcMar>
              <w:top w:w="110" w:type="dxa"/>
            </w:tcMar>
          </w:tcPr>
          <w:p w:rsidR="00B60163" w:rsidRPr="00C258AD" w:rsidRDefault="001D3731" w:rsidP="001D3731">
            <w:pPr>
              <w:autoSpaceDE w:val="0"/>
              <w:autoSpaceDN w:val="0"/>
              <w:adjustRightInd w:val="0"/>
              <w:rPr>
                <w:rFonts w:cs="Arial"/>
                <w:sz w:val="16"/>
                <w:szCs w:val="16"/>
              </w:rPr>
            </w:pPr>
            <w:r w:rsidRPr="00C258AD">
              <w:rPr>
                <w:rFonts w:cs="Arial"/>
                <w:sz w:val="16"/>
                <w:szCs w:val="16"/>
              </w:rPr>
              <w:t>Avancement des travaux préparatoires pour l</w:t>
            </w:r>
            <w:r w:rsidR="00721905" w:rsidRPr="00C258AD">
              <w:rPr>
                <w:rFonts w:cs="Arial"/>
                <w:sz w:val="16"/>
                <w:szCs w:val="16"/>
              </w:rPr>
              <w:t>’</w:t>
            </w:r>
            <w:r w:rsidRPr="00C258AD">
              <w:rPr>
                <w:rFonts w:cs="Arial"/>
                <w:sz w:val="16"/>
                <w:szCs w:val="16"/>
              </w:rPr>
              <w:t>actualisation de la loi type sur les brevets</w:t>
            </w:r>
          </w:p>
        </w:tc>
        <w:tc>
          <w:tcPr>
            <w:tcW w:w="1442" w:type="pct"/>
            <w:shd w:val="clear" w:color="auto" w:fill="FFFFFF"/>
            <w:tcMar>
              <w:top w:w="110" w:type="dxa"/>
            </w:tcMar>
          </w:tcPr>
          <w:p w:rsidR="00B60163" w:rsidRPr="00C258AD" w:rsidRDefault="00747EB3" w:rsidP="00747EB3">
            <w:pPr>
              <w:rPr>
                <w:rFonts w:cs="Arial"/>
                <w:sz w:val="16"/>
                <w:szCs w:val="16"/>
                <w:lang w:bidi="th-TH"/>
              </w:rPr>
            </w:pPr>
            <w:r w:rsidRPr="00C258AD">
              <w:rPr>
                <w:rFonts w:cs="Arial"/>
                <w:sz w:val="16"/>
                <w:szCs w:val="16"/>
                <w:lang w:bidi="th-TH"/>
              </w:rPr>
              <w:t>L</w:t>
            </w:r>
            <w:r w:rsidR="00785CE1" w:rsidRPr="00C258AD">
              <w:rPr>
                <w:rFonts w:cs="Arial"/>
                <w:sz w:val="16"/>
                <w:szCs w:val="16"/>
                <w:lang w:bidi="th-TH"/>
              </w:rPr>
              <w:t xml:space="preserve">e SCP </w:t>
            </w:r>
            <w:r w:rsidRPr="00C258AD">
              <w:rPr>
                <w:rFonts w:cs="Arial"/>
                <w:sz w:val="16"/>
                <w:szCs w:val="16"/>
                <w:lang w:bidi="th-TH"/>
              </w:rPr>
              <w:t>a poursuivi l</w:t>
            </w:r>
            <w:r w:rsidR="00721905" w:rsidRPr="00C258AD">
              <w:rPr>
                <w:rFonts w:cs="Arial"/>
                <w:sz w:val="16"/>
                <w:szCs w:val="16"/>
                <w:lang w:bidi="th-TH"/>
              </w:rPr>
              <w:t>’</w:t>
            </w:r>
            <w:r w:rsidRPr="00C258AD">
              <w:rPr>
                <w:rFonts w:cs="Arial"/>
                <w:sz w:val="16"/>
                <w:szCs w:val="16"/>
                <w:lang w:bidi="th-TH"/>
              </w:rPr>
              <w:t>examen d</w:t>
            </w:r>
            <w:r w:rsidR="00721905" w:rsidRPr="00C258AD">
              <w:rPr>
                <w:rFonts w:cs="Arial"/>
                <w:sz w:val="16"/>
                <w:szCs w:val="16"/>
                <w:lang w:bidi="th-TH"/>
              </w:rPr>
              <w:t>’</w:t>
            </w:r>
            <w:r w:rsidRPr="00C258AD">
              <w:rPr>
                <w:rFonts w:cs="Arial"/>
                <w:sz w:val="16"/>
                <w:szCs w:val="16"/>
                <w:lang w:bidi="th-TH"/>
              </w:rPr>
              <w:t>une proposition</w:t>
            </w:r>
            <w:r w:rsidR="00721905" w:rsidRPr="00C258AD">
              <w:rPr>
                <w:rFonts w:cs="Arial"/>
                <w:sz w:val="16"/>
                <w:szCs w:val="16"/>
                <w:lang w:bidi="th-TH"/>
              </w:rPr>
              <w:t xml:space="preserve"> du GRU</w:t>
            </w:r>
            <w:r w:rsidR="00785CE1" w:rsidRPr="00C258AD">
              <w:rPr>
                <w:rFonts w:cs="Arial"/>
                <w:sz w:val="16"/>
                <w:szCs w:val="16"/>
                <w:lang w:bidi="th-TH"/>
              </w:rPr>
              <w:t>LAC.</w:t>
            </w:r>
          </w:p>
        </w:tc>
        <w:tc>
          <w:tcPr>
            <w:tcW w:w="558" w:type="pct"/>
            <w:shd w:val="clear" w:color="auto" w:fill="auto"/>
            <w:tcMar>
              <w:top w:w="110" w:type="dxa"/>
            </w:tcMar>
          </w:tcPr>
          <w:p w:rsidR="00B60163" w:rsidRPr="00C258AD" w:rsidRDefault="001D3731" w:rsidP="001D3731">
            <w:pPr>
              <w:keepNext/>
              <w:keepLines/>
              <w:jc w:val="center"/>
              <w:rPr>
                <w:rFonts w:cs="Arial"/>
                <w:b/>
                <w:sz w:val="16"/>
                <w:szCs w:val="16"/>
              </w:rPr>
            </w:pPr>
            <w:r w:rsidRPr="00C258AD">
              <w:rPr>
                <w:rFonts w:cs="Arial"/>
                <w:b/>
                <w:color w:val="FF0000"/>
                <w:sz w:val="16"/>
                <w:szCs w:val="16"/>
              </w:rPr>
              <w:t>Objectif pas atteint</w:t>
            </w:r>
          </w:p>
        </w:tc>
      </w:tr>
    </w:tbl>
    <w:p w:rsidR="006E2BB1" w:rsidRPr="00C258AD" w:rsidRDefault="006E2BB1" w:rsidP="00B60163">
      <w:pPr>
        <w:rPr>
          <w:rFonts w:cs="Arial"/>
        </w:rPr>
      </w:pPr>
    </w:p>
    <w:p w:rsidR="006E2BB1" w:rsidRPr="00C258AD" w:rsidRDefault="006E2BB1" w:rsidP="00B60163">
      <w:pPr>
        <w:rPr>
          <w:rFonts w:cs="Arial"/>
        </w:rPr>
      </w:pPr>
    </w:p>
    <w:p w:rsidR="006E2BB1" w:rsidRPr="00C258AD" w:rsidRDefault="008F201B" w:rsidP="00305CE5">
      <w:pPr>
        <w:keepNext/>
        <w:rPr>
          <w:rFonts w:cs="Arial"/>
          <w:caps/>
          <w:sz w:val="22"/>
          <w:szCs w:val="22"/>
        </w:rPr>
      </w:pPr>
      <w:r w:rsidRPr="00C258AD">
        <w:rPr>
          <w:rFonts w:cs="Arial"/>
          <w:caps/>
          <w:sz w:val="22"/>
          <w:szCs w:val="22"/>
        </w:rPr>
        <w:t>Rapport d</w:t>
      </w:r>
      <w:r w:rsidR="00721905" w:rsidRPr="00C258AD">
        <w:rPr>
          <w:rFonts w:cs="Arial"/>
          <w:caps/>
          <w:sz w:val="22"/>
          <w:szCs w:val="22"/>
        </w:rPr>
        <w:t>’</w:t>
      </w:r>
      <w:r w:rsidRPr="00C258AD">
        <w:rPr>
          <w:rFonts w:cs="Arial"/>
          <w:caps/>
          <w:sz w:val="22"/>
          <w:szCs w:val="22"/>
        </w:rPr>
        <w:t>évaluation des risques pour l</w:t>
      </w:r>
      <w:r w:rsidR="00721905" w:rsidRPr="00C258AD">
        <w:rPr>
          <w:rFonts w:cs="Arial"/>
          <w:caps/>
          <w:sz w:val="22"/>
          <w:szCs w:val="22"/>
        </w:rPr>
        <w:t>’</w:t>
      </w:r>
      <w:r w:rsidRPr="00C258AD">
        <w:rPr>
          <w:rFonts w:cs="Arial"/>
          <w:caps/>
          <w:sz w:val="22"/>
          <w:szCs w:val="22"/>
        </w:rPr>
        <w:t>exercice biennal</w:t>
      </w:r>
    </w:p>
    <w:p w:rsidR="00B60163" w:rsidRPr="00C258AD" w:rsidRDefault="00B60163" w:rsidP="00B60163">
      <w:pPr>
        <w:keepNext/>
        <w:keepLines/>
        <w:rPr>
          <w:rFonts w:cs="Arial"/>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6720F4" w:rsidRPr="00C258AD" w:rsidTr="004A0BE0">
        <w:trPr>
          <w:cantSplit/>
        </w:trPr>
        <w:tc>
          <w:tcPr>
            <w:tcW w:w="2372" w:type="dxa"/>
            <w:tcBorders>
              <w:top w:val="single" w:sz="4" w:space="0" w:color="auto"/>
              <w:left w:val="single" w:sz="4" w:space="0" w:color="auto"/>
              <w:bottom w:val="single" w:sz="4" w:space="0" w:color="auto"/>
            </w:tcBorders>
            <w:shd w:val="clear" w:color="auto" w:fill="C5D9F1"/>
            <w:vAlign w:val="center"/>
          </w:tcPr>
          <w:p w:rsidR="006720F4" w:rsidRPr="00C258AD" w:rsidRDefault="006720F4" w:rsidP="006A7E84">
            <w:pPr>
              <w:autoSpaceDE w:val="0"/>
              <w:autoSpaceDN w:val="0"/>
              <w:adjustRightInd w:val="0"/>
              <w:ind w:right="-59"/>
              <w:jc w:val="center"/>
              <w:rPr>
                <w:b/>
                <w:bCs/>
                <w:iCs/>
                <w:sz w:val="16"/>
                <w:szCs w:val="16"/>
              </w:rPr>
            </w:pPr>
            <w:r w:rsidRPr="00C258AD">
              <w:rPr>
                <w:b/>
                <w:bCs/>
                <w:iCs/>
                <w:sz w:val="16"/>
                <w:szCs w:val="16"/>
              </w:rPr>
              <w:t>Risque(s) susceptible(s) d</w:t>
            </w:r>
            <w:r w:rsidR="00721905" w:rsidRPr="00C258AD">
              <w:rPr>
                <w:b/>
                <w:bCs/>
                <w:iCs/>
                <w:sz w:val="16"/>
                <w:szCs w:val="16"/>
              </w:rPr>
              <w:t>’</w:t>
            </w:r>
            <w:r w:rsidRPr="00C258AD">
              <w:rPr>
                <w:b/>
                <w:bCs/>
                <w:iCs/>
                <w:sz w:val="16"/>
                <w:szCs w:val="16"/>
              </w:rPr>
              <w:t>empêcher le programme d</w:t>
            </w:r>
            <w:r w:rsidR="00721905" w:rsidRPr="00C258AD">
              <w:rPr>
                <w:b/>
                <w:bCs/>
                <w:iCs/>
                <w:sz w:val="16"/>
                <w:szCs w:val="16"/>
              </w:rPr>
              <w:t>’</w:t>
            </w:r>
            <w:r w:rsidRPr="00C258AD">
              <w:rPr>
                <w:b/>
                <w:bCs/>
                <w:iCs/>
                <w:sz w:val="16"/>
                <w:szCs w:val="16"/>
              </w:rPr>
              <w:t>atteindre ses résultats</w:t>
            </w:r>
          </w:p>
        </w:tc>
        <w:tc>
          <w:tcPr>
            <w:tcW w:w="2373" w:type="dxa"/>
            <w:tcBorders>
              <w:top w:val="single" w:sz="4" w:space="0" w:color="auto"/>
              <w:bottom w:val="single" w:sz="4" w:space="0" w:color="auto"/>
            </w:tcBorders>
            <w:shd w:val="clear" w:color="auto" w:fill="C5D9F1"/>
            <w:vAlign w:val="center"/>
          </w:tcPr>
          <w:p w:rsidR="006720F4" w:rsidRPr="00C258AD" w:rsidRDefault="006720F4" w:rsidP="006A7E84">
            <w:pPr>
              <w:autoSpaceDE w:val="0"/>
              <w:autoSpaceDN w:val="0"/>
              <w:adjustRightInd w:val="0"/>
              <w:ind w:right="-59"/>
              <w:jc w:val="center"/>
              <w:rPr>
                <w:b/>
                <w:bCs/>
                <w:iCs/>
                <w:sz w:val="16"/>
                <w:szCs w:val="16"/>
              </w:rPr>
            </w:pPr>
            <w:r w:rsidRPr="00C258AD">
              <w:rPr>
                <w:b/>
                <w:bCs/>
                <w:iCs/>
                <w:sz w:val="16"/>
                <w:szCs w:val="16"/>
              </w:rPr>
              <w:t>Plans d</w:t>
            </w:r>
            <w:r w:rsidR="00721905" w:rsidRPr="00C258AD">
              <w:rPr>
                <w:b/>
                <w:bCs/>
                <w:iCs/>
                <w:sz w:val="16"/>
                <w:szCs w:val="16"/>
              </w:rPr>
              <w:t>’</w:t>
            </w:r>
            <w:r w:rsidRPr="00C258AD">
              <w:rPr>
                <w:b/>
                <w:bCs/>
                <w:iCs/>
                <w:sz w:val="16"/>
                <w:szCs w:val="16"/>
              </w:rPr>
              <w:t>atténuation en place ou en cours de mise en œuvre</w:t>
            </w:r>
          </w:p>
        </w:tc>
        <w:tc>
          <w:tcPr>
            <w:tcW w:w="2373" w:type="dxa"/>
            <w:tcBorders>
              <w:top w:val="single" w:sz="4" w:space="0" w:color="auto"/>
              <w:bottom w:val="single" w:sz="4" w:space="0" w:color="auto"/>
            </w:tcBorders>
            <w:shd w:val="clear" w:color="auto" w:fill="C5D9F1"/>
            <w:vAlign w:val="center"/>
          </w:tcPr>
          <w:p w:rsidR="006720F4" w:rsidRPr="00C258AD" w:rsidRDefault="00DE3EAF" w:rsidP="006A7E84">
            <w:pPr>
              <w:autoSpaceDE w:val="0"/>
              <w:autoSpaceDN w:val="0"/>
              <w:adjustRightInd w:val="0"/>
              <w:ind w:right="-59"/>
              <w:jc w:val="center"/>
              <w:rPr>
                <w:b/>
                <w:bCs/>
                <w:iCs/>
                <w:sz w:val="16"/>
                <w:szCs w:val="16"/>
              </w:rPr>
            </w:pPr>
            <w:r w:rsidRPr="00C258AD">
              <w:rPr>
                <w:b/>
                <w:bCs/>
                <w:iCs/>
                <w:sz w:val="16"/>
                <w:szCs w:val="16"/>
              </w:rPr>
              <w:t>É</w:t>
            </w:r>
            <w:r w:rsidR="006720F4" w:rsidRPr="00C258AD">
              <w:rPr>
                <w:b/>
                <w:bCs/>
                <w:iCs/>
                <w:sz w:val="16"/>
                <w:szCs w:val="16"/>
              </w:rPr>
              <w:t xml:space="preserve">volution </w:t>
            </w:r>
            <w:r w:rsidRPr="00C258AD">
              <w:rPr>
                <w:b/>
                <w:bCs/>
                <w:iCs/>
                <w:sz w:val="16"/>
                <w:szCs w:val="16"/>
              </w:rPr>
              <w:t>des</w:t>
            </w:r>
            <w:r w:rsidR="006720F4" w:rsidRPr="00C258AD">
              <w:rPr>
                <w:b/>
                <w:bCs/>
                <w:iCs/>
                <w:sz w:val="16"/>
                <w:szCs w:val="16"/>
              </w:rPr>
              <w:t xml:space="preserve"> </w:t>
            </w:r>
            <w:r w:rsidRPr="00C258AD">
              <w:rPr>
                <w:b/>
                <w:bCs/>
                <w:iCs/>
                <w:sz w:val="16"/>
                <w:szCs w:val="16"/>
              </w:rPr>
              <w:t>risques</w:t>
            </w:r>
            <w:r w:rsidR="006720F4" w:rsidRPr="00C258AD">
              <w:rPr>
                <w:b/>
                <w:bCs/>
                <w:iCs/>
                <w:sz w:val="16"/>
                <w:szCs w:val="16"/>
              </w:rPr>
              <w:t xml:space="preserve"> </w:t>
            </w:r>
            <w:r w:rsidRPr="00C258AD">
              <w:rPr>
                <w:b/>
                <w:bCs/>
                <w:iCs/>
                <w:sz w:val="16"/>
                <w:szCs w:val="16"/>
              </w:rPr>
              <w:t>et des s</w:t>
            </w:r>
            <w:r w:rsidR="006720F4" w:rsidRPr="00C258AD">
              <w:rPr>
                <w:b/>
                <w:bCs/>
                <w:iCs/>
                <w:sz w:val="16"/>
                <w:szCs w:val="16"/>
              </w:rPr>
              <w:t>trat</w:t>
            </w:r>
            <w:r w:rsidRPr="00C258AD">
              <w:rPr>
                <w:b/>
                <w:bCs/>
                <w:iCs/>
                <w:sz w:val="16"/>
                <w:szCs w:val="16"/>
              </w:rPr>
              <w:t>é</w:t>
            </w:r>
            <w:r w:rsidR="006720F4" w:rsidRPr="00C258AD">
              <w:rPr>
                <w:b/>
                <w:bCs/>
                <w:iCs/>
                <w:sz w:val="16"/>
                <w:szCs w:val="16"/>
              </w:rPr>
              <w:t xml:space="preserve">gies </w:t>
            </w:r>
            <w:r w:rsidRPr="00C258AD">
              <w:rPr>
                <w:b/>
                <w:bCs/>
                <w:iCs/>
                <w:sz w:val="16"/>
                <w:szCs w:val="16"/>
              </w:rPr>
              <w:t>d</w:t>
            </w:r>
            <w:r w:rsidR="00721905" w:rsidRPr="00C258AD">
              <w:rPr>
                <w:b/>
                <w:bCs/>
                <w:iCs/>
                <w:sz w:val="16"/>
                <w:szCs w:val="16"/>
              </w:rPr>
              <w:t>’</w:t>
            </w:r>
            <w:r w:rsidRPr="00C258AD">
              <w:rPr>
                <w:b/>
                <w:bCs/>
                <w:iCs/>
                <w:sz w:val="16"/>
                <w:szCs w:val="16"/>
              </w:rPr>
              <w:t>atténuation</w:t>
            </w:r>
            <w:r w:rsidR="006720F4" w:rsidRPr="00C258AD">
              <w:rPr>
                <w:b/>
                <w:bCs/>
                <w:iCs/>
                <w:sz w:val="16"/>
                <w:szCs w:val="16"/>
              </w:rPr>
              <w:t xml:space="preserve"> </w:t>
            </w:r>
            <w:r w:rsidRPr="00C258AD">
              <w:rPr>
                <w:b/>
                <w:bCs/>
                <w:iCs/>
                <w:sz w:val="16"/>
                <w:szCs w:val="16"/>
              </w:rPr>
              <w:t>durant l</w:t>
            </w:r>
            <w:r w:rsidR="00721905" w:rsidRPr="00C258AD">
              <w:rPr>
                <w:b/>
                <w:bCs/>
                <w:iCs/>
                <w:sz w:val="16"/>
                <w:szCs w:val="16"/>
              </w:rPr>
              <w:t>’</w:t>
            </w:r>
            <w:r w:rsidRPr="00C258AD">
              <w:rPr>
                <w:b/>
                <w:bCs/>
                <w:iCs/>
                <w:sz w:val="16"/>
                <w:szCs w:val="16"/>
              </w:rPr>
              <w:t>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6720F4" w:rsidRPr="00C258AD" w:rsidRDefault="006720F4" w:rsidP="004A0BE0">
            <w:pPr>
              <w:autoSpaceDE w:val="0"/>
              <w:autoSpaceDN w:val="0"/>
              <w:adjustRightInd w:val="0"/>
              <w:jc w:val="center"/>
              <w:rPr>
                <w:b/>
                <w:bCs/>
                <w:iCs/>
                <w:sz w:val="16"/>
                <w:szCs w:val="16"/>
              </w:rPr>
            </w:pPr>
            <w:r w:rsidRPr="00C258AD">
              <w:rPr>
                <w:b/>
                <w:bCs/>
                <w:iCs/>
                <w:sz w:val="16"/>
                <w:szCs w:val="16"/>
              </w:rPr>
              <w:t>I</w:t>
            </w:r>
            <w:r w:rsidR="001276B5" w:rsidRPr="00C258AD">
              <w:rPr>
                <w:b/>
                <w:bCs/>
                <w:iCs/>
                <w:sz w:val="16"/>
                <w:szCs w:val="16"/>
              </w:rPr>
              <w:t>ncidence sur les résultats du</w:t>
            </w:r>
            <w:r w:rsidR="004A0BE0" w:rsidRPr="00C258AD">
              <w:rPr>
                <w:b/>
                <w:bCs/>
                <w:iCs/>
                <w:sz w:val="16"/>
                <w:szCs w:val="16"/>
              </w:rPr>
              <w:t xml:space="preserve"> </w:t>
            </w:r>
            <w:r w:rsidR="001276B5" w:rsidRPr="00C258AD">
              <w:rPr>
                <w:b/>
                <w:bCs/>
                <w:iCs/>
                <w:sz w:val="16"/>
                <w:szCs w:val="16"/>
              </w:rPr>
              <w:t>p</w:t>
            </w:r>
            <w:r w:rsidRPr="00C258AD">
              <w:rPr>
                <w:b/>
                <w:bCs/>
                <w:iCs/>
                <w:sz w:val="16"/>
                <w:szCs w:val="16"/>
              </w:rPr>
              <w:t>rogram</w:t>
            </w:r>
            <w:r w:rsidR="001276B5" w:rsidRPr="00C258AD">
              <w:rPr>
                <w:b/>
                <w:bCs/>
                <w:iCs/>
                <w:sz w:val="16"/>
                <w:szCs w:val="16"/>
              </w:rPr>
              <w:t>me</w:t>
            </w:r>
          </w:p>
        </w:tc>
      </w:tr>
      <w:tr w:rsidR="00B60163" w:rsidRPr="00C258AD" w:rsidTr="004A0BE0">
        <w:trPr>
          <w:cantSplit/>
        </w:trPr>
        <w:tc>
          <w:tcPr>
            <w:tcW w:w="2372" w:type="dxa"/>
            <w:tcBorders>
              <w:top w:val="single" w:sz="4" w:space="0" w:color="auto"/>
              <w:left w:val="single" w:sz="4" w:space="0" w:color="auto"/>
              <w:bottom w:val="single" w:sz="4" w:space="0" w:color="auto"/>
            </w:tcBorders>
            <w:shd w:val="clear" w:color="auto" w:fill="auto"/>
            <w:tcMar>
              <w:top w:w="113" w:type="dxa"/>
              <w:bottom w:w="113" w:type="dxa"/>
            </w:tcMar>
          </w:tcPr>
          <w:p w:rsidR="00B60163" w:rsidRPr="00C258AD" w:rsidRDefault="001D3731" w:rsidP="0083763A">
            <w:pPr>
              <w:rPr>
                <w:sz w:val="16"/>
                <w:szCs w:val="16"/>
              </w:rPr>
            </w:pPr>
            <w:r w:rsidRPr="00C258AD">
              <w:rPr>
                <w:sz w:val="16"/>
                <w:szCs w:val="16"/>
                <w:lang w:eastAsia="zh-CN"/>
              </w:rPr>
              <w:t>Amoindrissement du rôle</w:t>
            </w:r>
            <w:r w:rsidR="00721905" w:rsidRPr="00C258AD">
              <w:rPr>
                <w:sz w:val="16"/>
                <w:szCs w:val="16"/>
                <w:lang w:eastAsia="zh-CN"/>
              </w:rPr>
              <w:t xml:space="preserve"> du SCP</w:t>
            </w:r>
            <w:r w:rsidRPr="00C258AD">
              <w:rPr>
                <w:sz w:val="16"/>
                <w:szCs w:val="16"/>
                <w:lang w:eastAsia="zh-CN"/>
              </w:rPr>
              <w:t xml:space="preserve"> en tant que tribune multilatérale.</w:t>
            </w:r>
          </w:p>
        </w:tc>
        <w:tc>
          <w:tcPr>
            <w:tcW w:w="2373" w:type="dxa"/>
            <w:tcBorders>
              <w:top w:val="single" w:sz="4" w:space="0" w:color="auto"/>
              <w:bottom w:val="single" w:sz="4" w:space="0" w:color="auto"/>
            </w:tcBorders>
            <w:shd w:val="clear" w:color="auto" w:fill="auto"/>
            <w:tcMar>
              <w:top w:w="113" w:type="dxa"/>
              <w:bottom w:w="113" w:type="dxa"/>
            </w:tcMar>
          </w:tcPr>
          <w:p w:rsidR="006E2BB1" w:rsidRPr="00C258AD" w:rsidRDefault="001D3731" w:rsidP="001D3731">
            <w:pPr>
              <w:rPr>
                <w:sz w:val="16"/>
                <w:szCs w:val="16"/>
                <w:lang w:eastAsia="zh-CN"/>
              </w:rPr>
            </w:pPr>
            <w:r w:rsidRPr="00C258AD">
              <w:rPr>
                <w:sz w:val="16"/>
                <w:szCs w:val="16"/>
                <w:lang w:eastAsia="zh-CN"/>
              </w:rPr>
              <w:t>Fourniture de conseils professionnels et impartiaux</w:t>
            </w:r>
          </w:p>
          <w:p w:rsidR="006E2BB1" w:rsidRPr="00C258AD" w:rsidRDefault="006E2BB1" w:rsidP="0083763A">
            <w:pPr>
              <w:rPr>
                <w:sz w:val="16"/>
                <w:szCs w:val="16"/>
                <w:lang w:eastAsia="zh-CN"/>
              </w:rPr>
            </w:pPr>
          </w:p>
          <w:p w:rsidR="006E2BB1" w:rsidRPr="00C258AD" w:rsidRDefault="001D3731" w:rsidP="001D3731">
            <w:pPr>
              <w:rPr>
                <w:sz w:val="16"/>
                <w:szCs w:val="16"/>
                <w:lang w:eastAsia="zh-CN"/>
              </w:rPr>
            </w:pPr>
            <w:r w:rsidRPr="00C258AD">
              <w:rPr>
                <w:sz w:val="16"/>
                <w:szCs w:val="16"/>
                <w:lang w:eastAsia="zh-CN"/>
              </w:rPr>
              <w:t>Mise à disposition d</w:t>
            </w:r>
            <w:r w:rsidR="00721905" w:rsidRPr="00C258AD">
              <w:rPr>
                <w:sz w:val="16"/>
                <w:szCs w:val="16"/>
                <w:lang w:eastAsia="zh-CN"/>
              </w:rPr>
              <w:t>’</w:t>
            </w:r>
            <w:r w:rsidRPr="00C258AD">
              <w:rPr>
                <w:sz w:val="16"/>
                <w:szCs w:val="16"/>
                <w:lang w:eastAsia="zh-CN"/>
              </w:rPr>
              <w:t>un environnement ouvert à tous et neutre, favorisant le dialogue entre les États membres</w:t>
            </w:r>
          </w:p>
          <w:p w:rsidR="006E2BB1" w:rsidRPr="00C258AD" w:rsidRDefault="006E2BB1" w:rsidP="0083763A">
            <w:pPr>
              <w:rPr>
                <w:sz w:val="16"/>
                <w:szCs w:val="16"/>
                <w:lang w:eastAsia="zh-CN"/>
              </w:rPr>
            </w:pPr>
          </w:p>
          <w:p w:rsidR="00B60163" w:rsidRPr="00C258AD" w:rsidRDefault="001D3731" w:rsidP="001D3731">
            <w:pPr>
              <w:autoSpaceDE w:val="0"/>
              <w:autoSpaceDN w:val="0"/>
              <w:adjustRightInd w:val="0"/>
              <w:ind w:right="-59"/>
              <w:rPr>
                <w:sz w:val="16"/>
                <w:szCs w:val="16"/>
              </w:rPr>
            </w:pPr>
            <w:r w:rsidRPr="00C258AD">
              <w:rPr>
                <w:sz w:val="16"/>
                <w:szCs w:val="16"/>
              </w:rPr>
              <w:t>Fourniture des informations actualisées, précises et pertinentes dont les États membres ont besoin</w:t>
            </w:r>
          </w:p>
        </w:tc>
        <w:tc>
          <w:tcPr>
            <w:tcW w:w="2373" w:type="dxa"/>
            <w:tcBorders>
              <w:top w:val="single" w:sz="4" w:space="0" w:color="auto"/>
              <w:bottom w:val="single" w:sz="4" w:space="0" w:color="auto"/>
            </w:tcBorders>
          </w:tcPr>
          <w:p w:rsidR="00B60163" w:rsidRPr="00C258AD" w:rsidRDefault="003A42E0" w:rsidP="0083763A">
            <w:pPr>
              <w:rPr>
                <w:sz w:val="16"/>
                <w:szCs w:val="16"/>
                <w:lang w:eastAsia="zh-CN"/>
              </w:rPr>
            </w:pPr>
            <w:r w:rsidRPr="00C258AD">
              <w:rPr>
                <w:sz w:val="16"/>
                <w:szCs w:val="16"/>
                <w:lang w:eastAsia="zh-CN"/>
              </w:rPr>
              <w:t>Il s</w:t>
            </w:r>
            <w:r w:rsidR="00721905" w:rsidRPr="00C258AD">
              <w:rPr>
                <w:sz w:val="16"/>
                <w:szCs w:val="16"/>
                <w:lang w:eastAsia="zh-CN"/>
              </w:rPr>
              <w:t>’</w:t>
            </w:r>
            <w:r w:rsidRPr="00C258AD">
              <w:rPr>
                <w:sz w:val="16"/>
                <w:szCs w:val="16"/>
                <w:lang w:eastAsia="zh-CN"/>
              </w:rPr>
              <w:t>agit</w:t>
            </w:r>
            <w:r w:rsidR="009E79FA" w:rsidRPr="00C258AD">
              <w:rPr>
                <w:sz w:val="16"/>
                <w:szCs w:val="16"/>
                <w:lang w:eastAsia="zh-CN"/>
              </w:rPr>
              <w:t>,</w:t>
            </w:r>
            <w:r w:rsidRPr="00C258AD">
              <w:rPr>
                <w:sz w:val="16"/>
                <w:szCs w:val="16"/>
                <w:lang w:eastAsia="zh-CN"/>
              </w:rPr>
              <w:t xml:space="preserve"> pour le programme</w:t>
            </w:r>
            <w:r w:rsidR="009E79FA" w:rsidRPr="00C258AD">
              <w:rPr>
                <w:sz w:val="16"/>
                <w:szCs w:val="16"/>
                <w:lang w:eastAsia="zh-CN"/>
              </w:rPr>
              <w:t>,</w:t>
            </w:r>
            <w:r w:rsidRPr="00C258AD">
              <w:rPr>
                <w:sz w:val="16"/>
                <w:szCs w:val="16"/>
                <w:lang w:eastAsia="zh-CN"/>
              </w:rPr>
              <w:t xml:space="preserve"> d</w:t>
            </w:r>
            <w:r w:rsidR="00721905" w:rsidRPr="00C258AD">
              <w:rPr>
                <w:sz w:val="16"/>
                <w:szCs w:val="16"/>
                <w:lang w:eastAsia="zh-CN"/>
              </w:rPr>
              <w:t>’</w:t>
            </w:r>
            <w:r w:rsidRPr="00C258AD">
              <w:rPr>
                <w:sz w:val="16"/>
                <w:szCs w:val="16"/>
                <w:lang w:eastAsia="zh-CN"/>
              </w:rPr>
              <w:t xml:space="preserve">un risque permanent qui </w:t>
            </w:r>
            <w:r w:rsidR="0074382E" w:rsidRPr="00C258AD">
              <w:rPr>
                <w:sz w:val="16"/>
                <w:szCs w:val="16"/>
                <w:lang w:eastAsia="zh-CN"/>
              </w:rPr>
              <w:t>est resté présent tout au long de l</w:t>
            </w:r>
            <w:r w:rsidR="00721905" w:rsidRPr="00C258AD">
              <w:rPr>
                <w:sz w:val="16"/>
                <w:szCs w:val="16"/>
                <w:lang w:eastAsia="zh-CN"/>
              </w:rPr>
              <w:t>’</w:t>
            </w:r>
            <w:r w:rsidR="0074382E" w:rsidRPr="00C258AD">
              <w:rPr>
                <w:sz w:val="16"/>
                <w:szCs w:val="16"/>
                <w:lang w:eastAsia="zh-CN"/>
              </w:rPr>
              <w:t>exercice biennal</w:t>
            </w:r>
            <w:r w:rsidR="00096BD8" w:rsidRPr="00C258AD">
              <w:rPr>
                <w:sz w:val="16"/>
                <w:szCs w:val="16"/>
                <w:lang w:eastAsia="zh-CN"/>
              </w:rPr>
              <w:t xml:space="preserve">, </w:t>
            </w:r>
            <w:r w:rsidR="0074382E" w:rsidRPr="00C258AD">
              <w:rPr>
                <w:sz w:val="16"/>
                <w:szCs w:val="16"/>
                <w:lang w:eastAsia="zh-CN"/>
              </w:rPr>
              <w:t>et qui a aussi été considéré comme un risque majeur pour les résultats escomptés du programme pour l</w:t>
            </w:r>
            <w:r w:rsidR="00721905" w:rsidRPr="00C258AD">
              <w:rPr>
                <w:sz w:val="16"/>
                <w:szCs w:val="16"/>
                <w:lang w:eastAsia="zh-CN"/>
              </w:rPr>
              <w:t>’</w:t>
            </w:r>
            <w:r w:rsidR="0074382E" w:rsidRPr="00C258AD">
              <w:rPr>
                <w:sz w:val="16"/>
                <w:szCs w:val="16"/>
                <w:lang w:eastAsia="zh-CN"/>
              </w:rPr>
              <w:t>exercice biennal suivant</w:t>
            </w:r>
            <w:r w:rsidR="00AA11F9" w:rsidRPr="00C258AD">
              <w:rPr>
                <w:sz w:val="16"/>
                <w:szCs w:val="16"/>
                <w:lang w:eastAsia="zh-CN"/>
              </w:rPr>
              <w:t>.</w:t>
            </w:r>
          </w:p>
        </w:tc>
        <w:tc>
          <w:tcPr>
            <w:tcW w:w="2373" w:type="dxa"/>
            <w:tcBorders>
              <w:top w:val="single" w:sz="4" w:space="0" w:color="auto"/>
              <w:bottom w:val="single" w:sz="4" w:space="0" w:color="auto"/>
              <w:right w:val="single" w:sz="4" w:space="0" w:color="auto"/>
            </w:tcBorders>
          </w:tcPr>
          <w:p w:rsidR="00B60163" w:rsidRPr="00C258AD" w:rsidRDefault="00A00617" w:rsidP="005157AB">
            <w:pPr>
              <w:rPr>
                <w:sz w:val="16"/>
                <w:szCs w:val="16"/>
                <w:lang w:eastAsia="zh-CN"/>
              </w:rPr>
            </w:pPr>
            <w:r w:rsidRPr="00C258AD">
              <w:rPr>
                <w:sz w:val="16"/>
                <w:szCs w:val="16"/>
                <w:lang w:eastAsia="zh-CN"/>
              </w:rPr>
              <w:t>L</w:t>
            </w:r>
            <w:r w:rsidR="005157AB" w:rsidRPr="00C258AD">
              <w:rPr>
                <w:sz w:val="16"/>
                <w:szCs w:val="16"/>
                <w:lang w:eastAsia="zh-CN"/>
              </w:rPr>
              <w:t>e</w:t>
            </w:r>
            <w:r w:rsidRPr="00C258AD">
              <w:rPr>
                <w:sz w:val="16"/>
                <w:szCs w:val="16"/>
                <w:lang w:eastAsia="zh-CN"/>
              </w:rPr>
              <w:t xml:space="preserve"> risque a été </w:t>
            </w:r>
            <w:r w:rsidR="005157AB" w:rsidRPr="00C258AD">
              <w:rPr>
                <w:sz w:val="16"/>
                <w:szCs w:val="16"/>
                <w:lang w:eastAsia="zh-CN"/>
              </w:rPr>
              <w:t xml:space="preserve">en majeure partie imputé à </w:t>
            </w:r>
            <w:r w:rsidRPr="00C258AD">
              <w:rPr>
                <w:sz w:val="16"/>
                <w:szCs w:val="16"/>
                <w:lang w:eastAsia="zh-CN"/>
              </w:rPr>
              <w:t>l</w:t>
            </w:r>
            <w:r w:rsidR="00C92C74" w:rsidRPr="00C258AD">
              <w:rPr>
                <w:sz w:val="16"/>
                <w:szCs w:val="16"/>
                <w:lang w:eastAsia="zh-CN"/>
              </w:rPr>
              <w:t xml:space="preserve">a </w:t>
            </w:r>
            <w:r w:rsidRPr="00C258AD">
              <w:rPr>
                <w:sz w:val="16"/>
                <w:szCs w:val="16"/>
                <w:lang w:eastAsia="zh-CN"/>
              </w:rPr>
              <w:t xml:space="preserve">différence </w:t>
            </w:r>
            <w:r w:rsidR="00C92C74" w:rsidRPr="00C258AD">
              <w:rPr>
                <w:sz w:val="16"/>
                <w:szCs w:val="16"/>
                <w:lang w:eastAsia="zh-CN"/>
              </w:rPr>
              <w:t xml:space="preserve">entre les </w:t>
            </w:r>
            <w:r w:rsidR="005157AB" w:rsidRPr="00C258AD">
              <w:rPr>
                <w:sz w:val="16"/>
                <w:szCs w:val="16"/>
                <w:lang w:eastAsia="zh-CN"/>
              </w:rPr>
              <w:t>points de vue</w:t>
            </w:r>
            <w:r w:rsidRPr="00C258AD">
              <w:rPr>
                <w:sz w:val="16"/>
                <w:szCs w:val="16"/>
                <w:lang w:eastAsia="zh-CN"/>
              </w:rPr>
              <w:t xml:space="preserve"> </w:t>
            </w:r>
            <w:r w:rsidR="00C92C74" w:rsidRPr="00C258AD">
              <w:rPr>
                <w:sz w:val="16"/>
                <w:szCs w:val="16"/>
                <w:lang w:eastAsia="zh-CN"/>
              </w:rPr>
              <w:t>des États membres concernant la marche à suivre pour les débats au sein</w:t>
            </w:r>
            <w:r w:rsidR="00721905" w:rsidRPr="00C258AD">
              <w:rPr>
                <w:sz w:val="16"/>
                <w:szCs w:val="16"/>
                <w:lang w:eastAsia="zh-CN"/>
              </w:rPr>
              <w:t xml:space="preserve"> du SCP</w:t>
            </w:r>
            <w:r w:rsidR="00C92C74" w:rsidRPr="00C258AD">
              <w:rPr>
                <w:sz w:val="16"/>
                <w:szCs w:val="16"/>
                <w:lang w:eastAsia="zh-CN"/>
              </w:rPr>
              <w:t xml:space="preserve">, </w:t>
            </w:r>
            <w:r w:rsidR="005157AB" w:rsidRPr="00C258AD">
              <w:rPr>
                <w:sz w:val="16"/>
                <w:szCs w:val="16"/>
                <w:lang w:eastAsia="zh-CN"/>
              </w:rPr>
              <w:t>ce qui a conduit à une lenteur en matière de progrès</w:t>
            </w:r>
            <w:r w:rsidR="00AA11F9" w:rsidRPr="00C258AD">
              <w:rPr>
                <w:sz w:val="16"/>
                <w:szCs w:val="16"/>
                <w:lang w:eastAsia="zh-CN"/>
              </w:rPr>
              <w:t>.</w:t>
            </w:r>
          </w:p>
        </w:tc>
      </w:tr>
    </w:tbl>
    <w:p w:rsidR="006E2BB1" w:rsidRPr="00C258AD" w:rsidRDefault="006E2BB1" w:rsidP="00B60163">
      <w:pPr>
        <w:keepNext/>
        <w:keepLines/>
        <w:rPr>
          <w:rFonts w:cs="Arial"/>
          <w:sz w:val="22"/>
          <w:szCs w:val="22"/>
        </w:rPr>
      </w:pPr>
    </w:p>
    <w:p w:rsidR="006E2BB1" w:rsidRPr="00C258AD" w:rsidRDefault="006E2BB1" w:rsidP="00B60163">
      <w:pPr>
        <w:keepNext/>
        <w:keepLines/>
        <w:rPr>
          <w:rFonts w:cs="Arial"/>
          <w:sz w:val="22"/>
          <w:szCs w:val="22"/>
        </w:rPr>
      </w:pPr>
    </w:p>
    <w:p w:rsidR="006E2BB1" w:rsidRPr="00C258AD" w:rsidRDefault="00CF0D38">
      <w:pPr>
        <w:spacing w:after="200" w:line="276" w:lineRule="auto"/>
        <w:rPr>
          <w:rFonts w:cs="Arial"/>
          <w:sz w:val="22"/>
          <w:szCs w:val="22"/>
        </w:rPr>
      </w:pPr>
      <w:r w:rsidRPr="00C258AD">
        <w:rPr>
          <w:rFonts w:cs="Arial"/>
          <w:sz w:val="22"/>
          <w:szCs w:val="22"/>
        </w:rPr>
        <w:br w:type="page"/>
      </w:r>
    </w:p>
    <w:p w:rsidR="006E2BB1" w:rsidRPr="00C258AD" w:rsidRDefault="008F201B" w:rsidP="00305CE5">
      <w:pPr>
        <w:keepNext/>
        <w:rPr>
          <w:rFonts w:cs="Arial"/>
          <w:b/>
          <w:caps/>
          <w:sz w:val="22"/>
          <w:szCs w:val="22"/>
        </w:rPr>
      </w:pPr>
      <w:r w:rsidRPr="00C258AD">
        <w:rPr>
          <w:rFonts w:cs="Arial"/>
          <w:caps/>
          <w:sz w:val="22"/>
          <w:szCs w:val="22"/>
        </w:rPr>
        <w:lastRenderedPageBreak/>
        <w:t>Utilisation des ressources</w:t>
      </w:r>
    </w:p>
    <w:p w:rsidR="006E2BB1" w:rsidRPr="00C258AD" w:rsidRDefault="006E2BB1" w:rsidP="008F201B"/>
    <w:p w:rsidR="006E2BB1" w:rsidRPr="00C258AD" w:rsidRDefault="00CF0D38" w:rsidP="00CF0D38">
      <w:pPr>
        <w:pStyle w:val="NormalWeb"/>
        <w:spacing w:before="0" w:beforeAutospacing="0" w:after="0" w:afterAutospacing="0"/>
        <w:jc w:val="center"/>
        <w:rPr>
          <w:sz w:val="20"/>
          <w:szCs w:val="20"/>
        </w:rPr>
      </w:pPr>
      <w:r w:rsidRPr="00C258AD">
        <w:rPr>
          <w:sz w:val="20"/>
          <w:szCs w:val="20"/>
        </w:rPr>
        <w:t>Budget et dépenses effectives (par résultat)</w:t>
      </w:r>
    </w:p>
    <w:p w:rsidR="006E2BB1" w:rsidRPr="00C258AD" w:rsidRDefault="00CF0D38" w:rsidP="00CF0D38">
      <w:pPr>
        <w:pStyle w:val="NormalWeb"/>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CF0D38" w:rsidRPr="00C258AD" w:rsidRDefault="00CF0D38" w:rsidP="00CF0D38">
      <w:pPr>
        <w:jc w:val="both"/>
      </w:pPr>
    </w:p>
    <w:tbl>
      <w:tblPr>
        <w:tblW w:w="5000" w:type="pct"/>
        <w:tblCellMar>
          <w:top w:w="113" w:type="dxa"/>
          <w:left w:w="70" w:type="dxa"/>
          <w:bottom w:w="113" w:type="dxa"/>
          <w:right w:w="70" w:type="dxa"/>
        </w:tblCellMar>
        <w:tblLook w:val="04A0" w:firstRow="1" w:lastRow="0" w:firstColumn="1" w:lastColumn="0" w:noHBand="0" w:noVBand="1"/>
      </w:tblPr>
      <w:tblGrid>
        <w:gridCol w:w="462"/>
        <w:gridCol w:w="4767"/>
        <w:gridCol w:w="1422"/>
        <w:gridCol w:w="1422"/>
        <w:gridCol w:w="1422"/>
      </w:tblGrid>
      <w:tr w:rsidR="00631864" w:rsidRPr="00C258AD" w:rsidTr="004A0BE0">
        <w:trPr>
          <w:cantSplit/>
        </w:trPr>
        <w:tc>
          <w:tcPr>
            <w:tcW w:w="5229"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CF0D38" w:rsidRPr="00C258AD" w:rsidRDefault="00CF0D38" w:rsidP="0083763A">
            <w:pPr>
              <w:jc w:val="center"/>
              <w:rPr>
                <w:i/>
                <w:iCs/>
                <w:sz w:val="16"/>
                <w:szCs w:val="16"/>
                <w:lang w:eastAsia="fr-FR"/>
              </w:rPr>
            </w:pPr>
            <w:r w:rsidRPr="00C258AD">
              <w:rPr>
                <w:i/>
                <w:iCs/>
                <w:sz w:val="16"/>
                <w:szCs w:val="16"/>
                <w:lang w:eastAsia="fr-FR"/>
              </w:rPr>
              <w:t>Numéro et description du résultat escompté</w:t>
            </w:r>
          </w:p>
        </w:tc>
        <w:tc>
          <w:tcPr>
            <w:tcW w:w="1422" w:type="dxa"/>
            <w:tcBorders>
              <w:top w:val="single" w:sz="4" w:space="0" w:color="auto"/>
              <w:left w:val="nil"/>
              <w:bottom w:val="single" w:sz="4" w:space="0" w:color="auto"/>
              <w:right w:val="single" w:sz="4" w:space="0" w:color="auto"/>
            </w:tcBorders>
            <w:shd w:val="clear" w:color="auto" w:fill="C5D9F1"/>
            <w:vAlign w:val="center"/>
            <w:hideMark/>
          </w:tcPr>
          <w:p w:rsidR="00CF0D38" w:rsidRPr="00C258AD" w:rsidRDefault="00CF0D38" w:rsidP="0083763A">
            <w:pPr>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0000169D" w:rsidRPr="00C258AD">
              <w:rPr>
                <w:i/>
                <w:iCs/>
                <w:sz w:val="16"/>
                <w:szCs w:val="16"/>
                <w:lang w:eastAsia="fr-FR"/>
              </w:rPr>
              <w:noBreakHyphen/>
            </w:r>
            <w:r w:rsidRPr="00C258AD">
              <w:rPr>
                <w:i/>
                <w:iCs/>
                <w:sz w:val="16"/>
                <w:szCs w:val="16"/>
                <w:lang w:eastAsia="fr-FR"/>
              </w:rPr>
              <w:t>2015 approuvé</w:t>
            </w:r>
          </w:p>
        </w:tc>
        <w:tc>
          <w:tcPr>
            <w:tcW w:w="1422" w:type="dxa"/>
            <w:tcBorders>
              <w:top w:val="single" w:sz="4" w:space="0" w:color="auto"/>
              <w:left w:val="nil"/>
              <w:bottom w:val="single" w:sz="4" w:space="0" w:color="auto"/>
              <w:right w:val="single" w:sz="4" w:space="0" w:color="auto"/>
            </w:tcBorders>
            <w:shd w:val="clear" w:color="auto" w:fill="C5D9F1"/>
            <w:vAlign w:val="center"/>
            <w:hideMark/>
          </w:tcPr>
          <w:p w:rsidR="00CF0D38" w:rsidRPr="00C258AD" w:rsidRDefault="00CF0D38" w:rsidP="0083763A">
            <w:pPr>
              <w:jc w:val="center"/>
              <w:rPr>
                <w:i/>
                <w:iCs/>
                <w:sz w:val="16"/>
                <w:szCs w:val="16"/>
                <w:lang w:eastAsia="fr-FR"/>
              </w:rPr>
            </w:pPr>
            <w:r w:rsidRPr="00C258AD">
              <w:rPr>
                <w:i/>
                <w:iCs/>
                <w:sz w:val="16"/>
                <w:szCs w:val="16"/>
                <w:lang w:eastAsia="fr-FR"/>
              </w:rPr>
              <w:t>Budget</w:t>
            </w:r>
            <w:r w:rsidR="00CE3F04" w:rsidRPr="00C258AD">
              <w:rPr>
                <w:i/>
                <w:iCs/>
                <w:sz w:val="16"/>
                <w:szCs w:val="16"/>
                <w:lang w:eastAsia="fr-FR"/>
              </w:rPr>
              <w:t xml:space="preserve"> final</w:t>
            </w:r>
            <w:r w:rsidRPr="00C258AD">
              <w:rPr>
                <w:i/>
                <w:iCs/>
                <w:sz w:val="16"/>
                <w:szCs w:val="16"/>
                <w:lang w:eastAsia="fr-FR"/>
              </w:rPr>
              <w:br/>
              <w:t>2014</w:t>
            </w:r>
            <w:r w:rsidR="0000169D" w:rsidRPr="00C258AD">
              <w:rPr>
                <w:i/>
                <w:iCs/>
                <w:sz w:val="16"/>
                <w:szCs w:val="16"/>
                <w:lang w:eastAsia="fr-FR"/>
              </w:rPr>
              <w:noBreakHyphen/>
            </w:r>
            <w:r w:rsidRPr="00C258AD">
              <w:rPr>
                <w:i/>
                <w:iCs/>
                <w:sz w:val="16"/>
                <w:szCs w:val="16"/>
                <w:lang w:eastAsia="fr-FR"/>
              </w:rPr>
              <w:t>2015 après virements</w:t>
            </w:r>
          </w:p>
        </w:tc>
        <w:tc>
          <w:tcPr>
            <w:tcW w:w="1422" w:type="dxa"/>
            <w:tcBorders>
              <w:top w:val="single" w:sz="4" w:space="0" w:color="auto"/>
              <w:left w:val="nil"/>
              <w:bottom w:val="single" w:sz="4" w:space="0" w:color="auto"/>
              <w:right w:val="single" w:sz="4" w:space="0" w:color="auto"/>
            </w:tcBorders>
            <w:shd w:val="clear" w:color="auto" w:fill="C5D9F1"/>
            <w:vAlign w:val="center"/>
            <w:hideMark/>
          </w:tcPr>
          <w:p w:rsidR="00CF0D38" w:rsidRPr="00C258AD" w:rsidRDefault="00CF0D38" w:rsidP="0083763A">
            <w:pPr>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0000169D" w:rsidRPr="00C258AD">
              <w:rPr>
                <w:i/>
                <w:iCs/>
                <w:sz w:val="16"/>
                <w:szCs w:val="16"/>
                <w:lang w:eastAsia="fr-FR"/>
              </w:rPr>
              <w:noBreakHyphen/>
            </w:r>
            <w:r w:rsidRPr="00C258AD">
              <w:rPr>
                <w:i/>
                <w:iCs/>
                <w:sz w:val="16"/>
                <w:szCs w:val="16"/>
                <w:lang w:eastAsia="fr-FR"/>
              </w:rPr>
              <w:t>2015</w:t>
            </w:r>
          </w:p>
        </w:tc>
      </w:tr>
      <w:tr w:rsidR="00631864" w:rsidRPr="00C258AD" w:rsidTr="004A0BE0">
        <w:trPr>
          <w:cantSplit/>
        </w:trPr>
        <w:tc>
          <w:tcPr>
            <w:tcW w:w="462" w:type="dxa"/>
            <w:tcBorders>
              <w:top w:val="nil"/>
              <w:left w:val="single" w:sz="4" w:space="0" w:color="auto"/>
              <w:bottom w:val="nil"/>
              <w:right w:val="nil"/>
            </w:tcBorders>
            <w:shd w:val="clear" w:color="auto" w:fill="auto"/>
            <w:noWrap/>
            <w:vAlign w:val="center"/>
            <w:hideMark/>
          </w:tcPr>
          <w:p w:rsidR="00CF0D38" w:rsidRPr="00C258AD" w:rsidRDefault="00CF0D38" w:rsidP="0083763A">
            <w:pPr>
              <w:rPr>
                <w:sz w:val="16"/>
                <w:szCs w:val="16"/>
                <w:lang w:eastAsia="fr-FR"/>
              </w:rPr>
            </w:pPr>
            <w:r w:rsidRPr="00C258AD">
              <w:rPr>
                <w:sz w:val="16"/>
                <w:szCs w:val="16"/>
                <w:lang w:eastAsia="fr-FR"/>
              </w:rPr>
              <w:t>I.1</w:t>
            </w:r>
          </w:p>
        </w:tc>
        <w:tc>
          <w:tcPr>
            <w:tcW w:w="4767" w:type="dxa"/>
            <w:tcBorders>
              <w:top w:val="nil"/>
              <w:left w:val="nil"/>
              <w:bottom w:val="nil"/>
              <w:right w:val="nil"/>
            </w:tcBorders>
            <w:shd w:val="clear" w:color="auto" w:fill="auto"/>
            <w:vAlign w:val="center"/>
            <w:hideMark/>
          </w:tcPr>
          <w:p w:rsidR="00CF0D38" w:rsidRPr="00C258AD" w:rsidRDefault="00CF0D38" w:rsidP="0083763A">
            <w:pPr>
              <w:rPr>
                <w:sz w:val="16"/>
                <w:szCs w:val="16"/>
                <w:lang w:eastAsia="fr-FR"/>
              </w:rPr>
            </w:pPr>
            <w:r w:rsidRPr="00C258AD">
              <w:rPr>
                <w:sz w:val="16"/>
                <w:szCs w:val="16"/>
                <w:lang w:eastAsia="fr-FR"/>
              </w:rPr>
              <w:t>Renforcement de la coopération entre les États membres en ce qui concerne l</w:t>
            </w:r>
            <w:r w:rsidR="00721905" w:rsidRPr="00C258AD">
              <w:rPr>
                <w:sz w:val="16"/>
                <w:szCs w:val="16"/>
                <w:lang w:eastAsia="fr-FR"/>
              </w:rPr>
              <w:t>’</w:t>
            </w:r>
            <w:r w:rsidRPr="00C258AD">
              <w:rPr>
                <w:sz w:val="16"/>
                <w:szCs w:val="16"/>
                <w:lang w:eastAsia="fr-FR"/>
              </w:rPr>
              <w:t>élaboration de cadres normatifs internationaux équilibrés dans le domaine de la propriété intellectuelle et d</w:t>
            </w:r>
            <w:r w:rsidR="00721905" w:rsidRPr="00C258AD">
              <w:rPr>
                <w:sz w:val="16"/>
                <w:szCs w:val="16"/>
                <w:lang w:eastAsia="fr-FR"/>
              </w:rPr>
              <w:t>’</w:t>
            </w:r>
            <w:r w:rsidRPr="00C258AD">
              <w:rPr>
                <w:sz w:val="16"/>
                <w:szCs w:val="16"/>
                <w:lang w:eastAsia="fr-FR"/>
              </w:rPr>
              <w:t>un accord sur des questions concrètes donnant lieu à des instruments internationaux</w:t>
            </w:r>
          </w:p>
        </w:tc>
        <w:tc>
          <w:tcPr>
            <w:tcW w:w="1422" w:type="dxa"/>
            <w:tcBorders>
              <w:top w:val="nil"/>
              <w:left w:val="nil"/>
              <w:bottom w:val="nil"/>
              <w:right w:val="nil"/>
            </w:tcBorders>
            <w:shd w:val="clear" w:color="auto" w:fill="auto"/>
            <w:vAlign w:val="center"/>
            <w:hideMark/>
          </w:tcPr>
          <w:p w:rsidR="00CF0D38" w:rsidRPr="00C258AD" w:rsidRDefault="00CF0D38" w:rsidP="00313F76">
            <w:pPr>
              <w:jc w:val="right"/>
              <w:rPr>
                <w:sz w:val="16"/>
                <w:szCs w:val="16"/>
                <w:lang w:eastAsia="fr-FR"/>
              </w:rPr>
            </w:pPr>
            <w:r w:rsidRPr="00C258AD">
              <w:rPr>
                <w:sz w:val="16"/>
                <w:szCs w:val="16"/>
                <w:lang w:eastAsia="fr-FR"/>
              </w:rPr>
              <w:t>2</w:t>
            </w:r>
            <w:r w:rsidR="00313F76" w:rsidRPr="00C258AD">
              <w:rPr>
                <w:sz w:val="16"/>
                <w:szCs w:val="16"/>
                <w:lang w:eastAsia="fr-FR"/>
              </w:rPr>
              <w:t> </w:t>
            </w:r>
            <w:r w:rsidRPr="00C258AD">
              <w:rPr>
                <w:sz w:val="16"/>
                <w:szCs w:val="16"/>
                <w:lang w:eastAsia="fr-FR"/>
              </w:rPr>
              <w:t>285</w:t>
            </w:r>
          </w:p>
        </w:tc>
        <w:tc>
          <w:tcPr>
            <w:tcW w:w="1422" w:type="dxa"/>
            <w:tcBorders>
              <w:top w:val="nil"/>
              <w:left w:val="nil"/>
              <w:bottom w:val="nil"/>
              <w:right w:val="nil"/>
            </w:tcBorders>
            <w:shd w:val="clear" w:color="auto" w:fill="auto"/>
            <w:vAlign w:val="center"/>
            <w:hideMark/>
          </w:tcPr>
          <w:p w:rsidR="00CF0D38" w:rsidRPr="00C258AD" w:rsidRDefault="00CF0D38" w:rsidP="00313F76">
            <w:pPr>
              <w:jc w:val="right"/>
              <w:rPr>
                <w:sz w:val="16"/>
                <w:szCs w:val="16"/>
                <w:lang w:eastAsia="fr-FR"/>
              </w:rPr>
            </w:pPr>
            <w:r w:rsidRPr="00C258AD">
              <w:rPr>
                <w:sz w:val="16"/>
                <w:szCs w:val="16"/>
                <w:lang w:eastAsia="fr-FR"/>
              </w:rPr>
              <w:t xml:space="preserve">2 </w:t>
            </w:r>
            <w:r w:rsidR="00313F76" w:rsidRPr="00C258AD">
              <w:rPr>
                <w:sz w:val="16"/>
                <w:szCs w:val="16"/>
                <w:lang w:eastAsia="fr-FR"/>
              </w:rPr>
              <w:t>310</w:t>
            </w:r>
            <w:r w:rsidRPr="00C258AD">
              <w:rPr>
                <w:sz w:val="16"/>
                <w:szCs w:val="16"/>
                <w:lang w:eastAsia="fr-FR"/>
              </w:rPr>
              <w:t xml:space="preserve"> </w:t>
            </w:r>
          </w:p>
        </w:tc>
        <w:tc>
          <w:tcPr>
            <w:tcW w:w="1422" w:type="dxa"/>
            <w:tcBorders>
              <w:top w:val="nil"/>
              <w:left w:val="nil"/>
              <w:bottom w:val="nil"/>
              <w:right w:val="single" w:sz="4" w:space="0" w:color="auto"/>
            </w:tcBorders>
            <w:shd w:val="clear" w:color="auto" w:fill="auto"/>
            <w:noWrap/>
            <w:vAlign w:val="center"/>
            <w:hideMark/>
          </w:tcPr>
          <w:p w:rsidR="00CF0D38" w:rsidRPr="00C258AD" w:rsidRDefault="00313F76" w:rsidP="0083763A">
            <w:pPr>
              <w:jc w:val="right"/>
              <w:rPr>
                <w:sz w:val="16"/>
                <w:szCs w:val="16"/>
                <w:lang w:eastAsia="fr-FR"/>
              </w:rPr>
            </w:pPr>
            <w:r w:rsidRPr="00C258AD">
              <w:rPr>
                <w:sz w:val="16"/>
                <w:szCs w:val="16"/>
                <w:lang w:eastAsia="fr-FR"/>
              </w:rPr>
              <w:t>2 331</w:t>
            </w:r>
          </w:p>
        </w:tc>
      </w:tr>
      <w:tr w:rsidR="00631864" w:rsidRPr="00C258AD" w:rsidTr="004A0BE0">
        <w:trPr>
          <w:cantSplit/>
        </w:trPr>
        <w:tc>
          <w:tcPr>
            <w:tcW w:w="462" w:type="dxa"/>
            <w:tcBorders>
              <w:top w:val="nil"/>
              <w:left w:val="single" w:sz="4" w:space="0" w:color="auto"/>
              <w:bottom w:val="nil"/>
              <w:right w:val="nil"/>
            </w:tcBorders>
            <w:shd w:val="clear" w:color="auto" w:fill="auto"/>
            <w:noWrap/>
            <w:vAlign w:val="center"/>
            <w:hideMark/>
          </w:tcPr>
          <w:p w:rsidR="00CF0D38" w:rsidRPr="00C258AD" w:rsidRDefault="00CF0D38" w:rsidP="0083763A">
            <w:pPr>
              <w:rPr>
                <w:sz w:val="16"/>
                <w:szCs w:val="16"/>
                <w:lang w:eastAsia="fr-FR"/>
              </w:rPr>
            </w:pPr>
            <w:r w:rsidRPr="00C258AD">
              <w:rPr>
                <w:sz w:val="16"/>
                <w:szCs w:val="16"/>
                <w:lang w:eastAsia="fr-FR"/>
              </w:rPr>
              <w:t>I.2</w:t>
            </w:r>
          </w:p>
        </w:tc>
        <w:tc>
          <w:tcPr>
            <w:tcW w:w="4767" w:type="dxa"/>
            <w:tcBorders>
              <w:top w:val="nil"/>
              <w:left w:val="nil"/>
              <w:bottom w:val="nil"/>
              <w:right w:val="nil"/>
            </w:tcBorders>
            <w:shd w:val="clear" w:color="auto" w:fill="auto"/>
            <w:vAlign w:val="center"/>
            <w:hideMark/>
          </w:tcPr>
          <w:p w:rsidR="00CF0D38" w:rsidRPr="00C258AD" w:rsidRDefault="00CF0D38" w:rsidP="0083763A">
            <w:pPr>
              <w:rPr>
                <w:sz w:val="16"/>
                <w:szCs w:val="16"/>
                <w:lang w:eastAsia="fr-FR"/>
              </w:rPr>
            </w:pPr>
            <w:r w:rsidRPr="00C258AD">
              <w:rPr>
                <w:sz w:val="16"/>
                <w:szCs w:val="16"/>
                <w:lang w:eastAsia="fr-FR"/>
              </w:rPr>
              <w:t>Cadres législatifs, réglementaires et politiques adaptés et équilibrés en matière de propriété intellectuelle</w:t>
            </w:r>
          </w:p>
        </w:tc>
        <w:tc>
          <w:tcPr>
            <w:tcW w:w="1422" w:type="dxa"/>
            <w:tcBorders>
              <w:top w:val="nil"/>
              <w:left w:val="nil"/>
              <w:bottom w:val="nil"/>
              <w:right w:val="nil"/>
            </w:tcBorders>
            <w:shd w:val="clear" w:color="auto" w:fill="auto"/>
            <w:vAlign w:val="center"/>
            <w:hideMark/>
          </w:tcPr>
          <w:p w:rsidR="00CF0D38" w:rsidRPr="00C258AD" w:rsidRDefault="00CF0D38" w:rsidP="0083763A">
            <w:pPr>
              <w:jc w:val="right"/>
              <w:rPr>
                <w:sz w:val="16"/>
                <w:szCs w:val="16"/>
                <w:lang w:eastAsia="fr-FR"/>
              </w:rPr>
            </w:pPr>
            <w:r w:rsidRPr="00C258AD">
              <w:rPr>
                <w:sz w:val="16"/>
                <w:szCs w:val="16"/>
                <w:lang w:eastAsia="fr-FR"/>
              </w:rPr>
              <w:t xml:space="preserve">2 665 </w:t>
            </w:r>
          </w:p>
        </w:tc>
        <w:tc>
          <w:tcPr>
            <w:tcW w:w="1422" w:type="dxa"/>
            <w:tcBorders>
              <w:top w:val="nil"/>
              <w:left w:val="nil"/>
              <w:bottom w:val="nil"/>
              <w:right w:val="nil"/>
            </w:tcBorders>
            <w:shd w:val="clear" w:color="auto" w:fill="auto"/>
            <w:vAlign w:val="center"/>
            <w:hideMark/>
          </w:tcPr>
          <w:p w:rsidR="00CF0D38" w:rsidRPr="00C258AD" w:rsidRDefault="00CF0D38" w:rsidP="00313F76">
            <w:pPr>
              <w:jc w:val="right"/>
              <w:rPr>
                <w:sz w:val="16"/>
                <w:szCs w:val="16"/>
                <w:lang w:eastAsia="fr-FR"/>
              </w:rPr>
            </w:pPr>
            <w:r w:rsidRPr="00C258AD">
              <w:rPr>
                <w:sz w:val="16"/>
                <w:szCs w:val="16"/>
                <w:lang w:eastAsia="fr-FR"/>
              </w:rPr>
              <w:t xml:space="preserve">3 </w:t>
            </w:r>
            <w:r w:rsidR="00313F76" w:rsidRPr="00C258AD">
              <w:rPr>
                <w:sz w:val="16"/>
                <w:szCs w:val="16"/>
                <w:lang w:eastAsia="fr-FR"/>
              </w:rPr>
              <w:t>079</w:t>
            </w:r>
            <w:r w:rsidRPr="00C258AD">
              <w:rPr>
                <w:sz w:val="16"/>
                <w:szCs w:val="16"/>
                <w:lang w:eastAsia="fr-FR"/>
              </w:rPr>
              <w:t xml:space="preserve"> </w:t>
            </w:r>
          </w:p>
        </w:tc>
        <w:tc>
          <w:tcPr>
            <w:tcW w:w="1422" w:type="dxa"/>
            <w:tcBorders>
              <w:top w:val="nil"/>
              <w:left w:val="nil"/>
              <w:bottom w:val="nil"/>
              <w:right w:val="single" w:sz="4" w:space="0" w:color="auto"/>
            </w:tcBorders>
            <w:shd w:val="clear" w:color="auto" w:fill="auto"/>
            <w:noWrap/>
            <w:vAlign w:val="center"/>
            <w:hideMark/>
          </w:tcPr>
          <w:p w:rsidR="00CF0D38" w:rsidRPr="00C258AD" w:rsidRDefault="00313F76" w:rsidP="0083763A">
            <w:pPr>
              <w:jc w:val="right"/>
              <w:rPr>
                <w:sz w:val="16"/>
                <w:szCs w:val="16"/>
                <w:lang w:eastAsia="fr-FR"/>
              </w:rPr>
            </w:pPr>
            <w:r w:rsidRPr="00C258AD">
              <w:rPr>
                <w:sz w:val="16"/>
                <w:szCs w:val="16"/>
                <w:lang w:eastAsia="fr-FR"/>
              </w:rPr>
              <w:t>3 023</w:t>
            </w:r>
          </w:p>
        </w:tc>
      </w:tr>
      <w:tr w:rsidR="00631864" w:rsidRPr="00C258AD" w:rsidTr="004A0BE0">
        <w:trPr>
          <w:cantSplit/>
        </w:trPr>
        <w:tc>
          <w:tcPr>
            <w:tcW w:w="462" w:type="dxa"/>
            <w:tcBorders>
              <w:top w:val="single" w:sz="4" w:space="0" w:color="auto"/>
              <w:left w:val="single" w:sz="4" w:space="0" w:color="auto"/>
              <w:bottom w:val="single" w:sz="4" w:space="0" w:color="auto"/>
              <w:right w:val="nil"/>
            </w:tcBorders>
            <w:shd w:val="clear" w:color="auto" w:fill="C5D9F1"/>
            <w:noWrap/>
            <w:vAlign w:val="bottom"/>
            <w:hideMark/>
          </w:tcPr>
          <w:p w:rsidR="00CF0D38" w:rsidRPr="00C258AD" w:rsidRDefault="00CF0D38" w:rsidP="0083763A">
            <w:pPr>
              <w:rPr>
                <w:sz w:val="16"/>
                <w:szCs w:val="16"/>
                <w:lang w:eastAsia="fr-FR"/>
              </w:rPr>
            </w:pPr>
            <w:r w:rsidRPr="00C258AD">
              <w:rPr>
                <w:sz w:val="16"/>
                <w:szCs w:val="16"/>
                <w:lang w:eastAsia="fr-FR"/>
              </w:rPr>
              <w:t> </w:t>
            </w:r>
          </w:p>
        </w:tc>
        <w:tc>
          <w:tcPr>
            <w:tcW w:w="4767" w:type="dxa"/>
            <w:tcBorders>
              <w:top w:val="single" w:sz="4" w:space="0" w:color="auto"/>
              <w:left w:val="nil"/>
              <w:bottom w:val="single" w:sz="4" w:space="0" w:color="auto"/>
              <w:right w:val="single" w:sz="4" w:space="0" w:color="auto"/>
            </w:tcBorders>
            <w:shd w:val="clear" w:color="auto" w:fill="C5D9F1"/>
            <w:noWrap/>
            <w:vAlign w:val="bottom"/>
            <w:hideMark/>
          </w:tcPr>
          <w:p w:rsidR="00CF0D38" w:rsidRPr="00C258AD" w:rsidRDefault="00CF0D38" w:rsidP="0083763A">
            <w:pPr>
              <w:rPr>
                <w:b/>
                <w:bCs/>
                <w:sz w:val="16"/>
                <w:szCs w:val="16"/>
                <w:lang w:eastAsia="fr-FR"/>
              </w:rPr>
            </w:pPr>
            <w:r w:rsidRPr="00C258AD">
              <w:rPr>
                <w:b/>
                <w:bCs/>
                <w:sz w:val="16"/>
                <w:szCs w:val="16"/>
                <w:lang w:eastAsia="fr-FR"/>
              </w:rPr>
              <w:t>Total</w:t>
            </w:r>
          </w:p>
        </w:tc>
        <w:tc>
          <w:tcPr>
            <w:tcW w:w="1422" w:type="dxa"/>
            <w:tcBorders>
              <w:top w:val="single" w:sz="4" w:space="0" w:color="auto"/>
              <w:left w:val="nil"/>
              <w:bottom w:val="single" w:sz="4" w:space="0" w:color="auto"/>
              <w:right w:val="single" w:sz="4" w:space="0" w:color="auto"/>
            </w:tcBorders>
            <w:shd w:val="clear" w:color="auto" w:fill="C5D9F1"/>
            <w:noWrap/>
            <w:vAlign w:val="bottom"/>
            <w:hideMark/>
          </w:tcPr>
          <w:p w:rsidR="00CF0D38" w:rsidRPr="00C258AD" w:rsidRDefault="00CF0D38" w:rsidP="0083763A">
            <w:pPr>
              <w:jc w:val="right"/>
              <w:rPr>
                <w:b/>
                <w:bCs/>
                <w:sz w:val="16"/>
                <w:szCs w:val="16"/>
                <w:lang w:eastAsia="fr-FR"/>
              </w:rPr>
            </w:pPr>
            <w:r w:rsidRPr="00C258AD">
              <w:rPr>
                <w:b/>
                <w:bCs/>
                <w:sz w:val="16"/>
                <w:szCs w:val="16"/>
                <w:lang w:eastAsia="fr-FR"/>
              </w:rPr>
              <w:t xml:space="preserve">4 950 </w:t>
            </w:r>
          </w:p>
        </w:tc>
        <w:tc>
          <w:tcPr>
            <w:tcW w:w="1422" w:type="dxa"/>
            <w:tcBorders>
              <w:top w:val="single" w:sz="4" w:space="0" w:color="auto"/>
              <w:left w:val="nil"/>
              <w:bottom w:val="single" w:sz="4" w:space="0" w:color="auto"/>
              <w:right w:val="single" w:sz="4" w:space="0" w:color="auto"/>
            </w:tcBorders>
            <w:shd w:val="clear" w:color="auto" w:fill="C5D9F1"/>
            <w:noWrap/>
            <w:vAlign w:val="bottom"/>
            <w:hideMark/>
          </w:tcPr>
          <w:p w:rsidR="00CF0D38" w:rsidRPr="00C258AD" w:rsidRDefault="00CF0D38" w:rsidP="00313F76">
            <w:pPr>
              <w:jc w:val="right"/>
              <w:rPr>
                <w:b/>
                <w:bCs/>
                <w:sz w:val="16"/>
                <w:szCs w:val="16"/>
                <w:lang w:eastAsia="fr-FR"/>
              </w:rPr>
            </w:pPr>
            <w:r w:rsidRPr="00C258AD">
              <w:rPr>
                <w:b/>
                <w:bCs/>
                <w:sz w:val="16"/>
                <w:szCs w:val="16"/>
                <w:lang w:eastAsia="fr-FR"/>
              </w:rPr>
              <w:t xml:space="preserve">5 </w:t>
            </w:r>
            <w:r w:rsidR="00313F76" w:rsidRPr="00C258AD">
              <w:rPr>
                <w:b/>
                <w:bCs/>
                <w:sz w:val="16"/>
                <w:szCs w:val="16"/>
                <w:lang w:eastAsia="fr-FR"/>
              </w:rPr>
              <w:t>390</w:t>
            </w:r>
            <w:r w:rsidRPr="00C258AD">
              <w:rPr>
                <w:b/>
                <w:bCs/>
                <w:sz w:val="16"/>
                <w:szCs w:val="16"/>
                <w:lang w:eastAsia="fr-FR"/>
              </w:rPr>
              <w:t xml:space="preserve"> </w:t>
            </w:r>
          </w:p>
        </w:tc>
        <w:tc>
          <w:tcPr>
            <w:tcW w:w="1422" w:type="dxa"/>
            <w:tcBorders>
              <w:top w:val="single" w:sz="4" w:space="0" w:color="auto"/>
              <w:left w:val="nil"/>
              <w:bottom w:val="single" w:sz="4" w:space="0" w:color="auto"/>
              <w:right w:val="single" w:sz="4" w:space="0" w:color="auto"/>
            </w:tcBorders>
            <w:shd w:val="clear" w:color="auto" w:fill="C5D9F1"/>
            <w:noWrap/>
            <w:vAlign w:val="bottom"/>
            <w:hideMark/>
          </w:tcPr>
          <w:p w:rsidR="00CF0D38" w:rsidRPr="00C258AD" w:rsidRDefault="00313F76" w:rsidP="0083763A">
            <w:pPr>
              <w:jc w:val="right"/>
              <w:rPr>
                <w:b/>
                <w:bCs/>
                <w:sz w:val="16"/>
                <w:szCs w:val="16"/>
                <w:lang w:eastAsia="fr-FR"/>
              </w:rPr>
            </w:pPr>
            <w:r w:rsidRPr="00C258AD">
              <w:rPr>
                <w:b/>
                <w:bCs/>
                <w:sz w:val="16"/>
                <w:szCs w:val="16"/>
                <w:lang w:eastAsia="fr-FR"/>
              </w:rPr>
              <w:t>5 354</w:t>
            </w:r>
          </w:p>
        </w:tc>
      </w:tr>
    </w:tbl>
    <w:p w:rsidR="006E2BB1" w:rsidRPr="00C258AD" w:rsidRDefault="006E2BB1" w:rsidP="00B60163"/>
    <w:p w:rsidR="006E2BB1" w:rsidRPr="00C258AD" w:rsidRDefault="006E2BB1" w:rsidP="00B60163"/>
    <w:p w:rsidR="006E2BB1" w:rsidRPr="00C258AD" w:rsidRDefault="00313F76" w:rsidP="00313F76">
      <w:pPr>
        <w:pStyle w:val="NormalWeb"/>
        <w:keepNext/>
        <w:keepLines/>
        <w:spacing w:before="0" w:beforeAutospacing="0" w:after="0" w:afterAutospacing="0"/>
        <w:jc w:val="center"/>
        <w:rPr>
          <w:sz w:val="20"/>
          <w:szCs w:val="20"/>
        </w:rPr>
      </w:pPr>
      <w:r w:rsidRPr="00C258AD">
        <w:rPr>
          <w:sz w:val="20"/>
          <w:szCs w:val="20"/>
        </w:rPr>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313F76" w:rsidP="00313F76">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313F76" w:rsidRPr="00C258AD" w:rsidRDefault="00313F76" w:rsidP="00313F76">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631864" w:rsidRPr="00C258AD" w:rsidTr="0083763A">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313F76" w:rsidRPr="00C258AD" w:rsidRDefault="00313F76" w:rsidP="0083763A">
            <w:pPr>
              <w:rPr>
                <w:b/>
                <w:sz w:val="16"/>
                <w:szCs w:val="18"/>
                <w:lang w:eastAsia="fr-FR"/>
              </w:rPr>
            </w:pPr>
            <w:r w:rsidRPr="00C258AD">
              <w:rPr>
                <w:b/>
                <w:sz w:val="16"/>
                <w:szCs w:val="18"/>
                <w:lang w:eastAsia="fr-FR"/>
              </w:rPr>
              <w:t> </w:t>
            </w:r>
          </w:p>
        </w:tc>
        <w:tc>
          <w:tcPr>
            <w:tcW w:w="1745" w:type="dxa"/>
            <w:tcBorders>
              <w:top w:val="single" w:sz="4" w:space="0" w:color="auto"/>
              <w:left w:val="nil"/>
              <w:bottom w:val="nil"/>
              <w:right w:val="single" w:sz="4" w:space="0" w:color="auto"/>
            </w:tcBorders>
            <w:shd w:val="clear" w:color="auto" w:fill="C5D9F1"/>
            <w:vAlign w:val="center"/>
            <w:hideMark/>
          </w:tcPr>
          <w:p w:rsidR="00313F76" w:rsidRPr="00C258AD" w:rsidRDefault="00313F76" w:rsidP="0083763A">
            <w:pPr>
              <w:jc w:val="center"/>
              <w:rPr>
                <w:b/>
                <w:bCs/>
                <w:sz w:val="16"/>
                <w:szCs w:val="18"/>
                <w:lang w:eastAsia="fr-FR"/>
              </w:rPr>
            </w:pPr>
            <w:r w:rsidRPr="00C258AD">
              <w:rPr>
                <w:b/>
                <w:bCs/>
                <w:sz w:val="16"/>
                <w:szCs w:val="18"/>
                <w:lang w:eastAsia="fr-FR"/>
              </w:rPr>
              <w:t>Budget 2014</w:t>
            </w:r>
            <w:r w:rsidR="0000169D" w:rsidRPr="00C258AD">
              <w:rPr>
                <w:b/>
                <w:bCs/>
                <w:sz w:val="16"/>
                <w:szCs w:val="18"/>
                <w:lang w:eastAsia="fr-FR"/>
              </w:rPr>
              <w:noBreakHyphen/>
            </w:r>
            <w:r w:rsidRPr="00C258AD">
              <w:rPr>
                <w:b/>
                <w:bCs/>
                <w:sz w:val="16"/>
                <w:szCs w:val="18"/>
                <w:lang w:eastAsia="fr-FR"/>
              </w:rPr>
              <w:t>2015 approuvé</w:t>
            </w:r>
          </w:p>
        </w:tc>
        <w:tc>
          <w:tcPr>
            <w:tcW w:w="1746" w:type="dxa"/>
            <w:tcBorders>
              <w:top w:val="single" w:sz="4" w:space="0" w:color="auto"/>
              <w:left w:val="nil"/>
              <w:bottom w:val="nil"/>
              <w:right w:val="single" w:sz="4" w:space="0" w:color="auto"/>
            </w:tcBorders>
            <w:shd w:val="clear" w:color="auto" w:fill="C5D9F1"/>
            <w:vAlign w:val="center"/>
            <w:hideMark/>
          </w:tcPr>
          <w:p w:rsidR="00313F76" w:rsidRPr="00C258AD" w:rsidRDefault="00313F76" w:rsidP="0083763A">
            <w:pPr>
              <w:jc w:val="center"/>
              <w:rPr>
                <w:b/>
                <w:bCs/>
                <w:sz w:val="16"/>
                <w:szCs w:val="18"/>
                <w:lang w:eastAsia="fr-FR"/>
              </w:rPr>
            </w:pPr>
            <w:r w:rsidRPr="00C258AD">
              <w:rPr>
                <w:b/>
                <w:bCs/>
                <w:sz w:val="16"/>
                <w:szCs w:val="18"/>
                <w:lang w:eastAsia="fr-FR"/>
              </w:rPr>
              <w:t xml:space="preserve">Budget </w:t>
            </w:r>
            <w:r w:rsidR="00761621" w:rsidRPr="00C258AD">
              <w:rPr>
                <w:b/>
                <w:bCs/>
                <w:sz w:val="16"/>
                <w:szCs w:val="18"/>
                <w:lang w:eastAsia="fr-FR"/>
              </w:rPr>
              <w:t xml:space="preserve">final </w:t>
            </w:r>
            <w:r w:rsidRPr="00C258AD">
              <w:rPr>
                <w:b/>
                <w:bCs/>
                <w:sz w:val="16"/>
                <w:szCs w:val="18"/>
                <w:lang w:eastAsia="fr-FR"/>
              </w:rPr>
              <w:t>2014</w:t>
            </w:r>
            <w:r w:rsidR="0000169D" w:rsidRPr="00C258AD">
              <w:rPr>
                <w:b/>
                <w:bCs/>
                <w:sz w:val="16"/>
                <w:szCs w:val="18"/>
                <w:lang w:eastAsia="fr-FR"/>
              </w:rPr>
              <w:noBreakHyphen/>
            </w:r>
            <w:r w:rsidRPr="00C258AD">
              <w:rPr>
                <w:b/>
                <w:bCs/>
                <w:sz w:val="16"/>
                <w:szCs w:val="18"/>
                <w:lang w:eastAsia="fr-FR"/>
              </w:rPr>
              <w:t>2015</w:t>
            </w:r>
            <w:r w:rsidRPr="00C258AD">
              <w:rPr>
                <w:b/>
                <w:bCs/>
                <w:sz w:val="16"/>
                <w:szCs w:val="18"/>
                <w:lang w:eastAsia="fr-FR"/>
              </w:rPr>
              <w:br/>
              <w:t>après virements</w:t>
            </w:r>
          </w:p>
        </w:tc>
        <w:tc>
          <w:tcPr>
            <w:tcW w:w="1745" w:type="dxa"/>
            <w:tcBorders>
              <w:top w:val="single" w:sz="4" w:space="0" w:color="auto"/>
              <w:left w:val="nil"/>
              <w:bottom w:val="nil"/>
              <w:right w:val="single" w:sz="4" w:space="0" w:color="auto"/>
            </w:tcBorders>
            <w:shd w:val="clear" w:color="auto" w:fill="C5D9F1"/>
            <w:vAlign w:val="center"/>
            <w:hideMark/>
          </w:tcPr>
          <w:p w:rsidR="00313F76" w:rsidRPr="00C258AD" w:rsidRDefault="00313F76" w:rsidP="00313F76">
            <w:pPr>
              <w:jc w:val="center"/>
              <w:rPr>
                <w:b/>
                <w:bCs/>
                <w:sz w:val="16"/>
                <w:szCs w:val="18"/>
                <w:lang w:eastAsia="fr-FR"/>
              </w:rPr>
            </w:pPr>
            <w:r w:rsidRPr="00C258AD">
              <w:rPr>
                <w:b/>
                <w:bCs/>
                <w:sz w:val="16"/>
                <w:szCs w:val="18"/>
                <w:lang w:eastAsia="fr-FR"/>
              </w:rPr>
              <w:t xml:space="preserve">Dépenses </w:t>
            </w:r>
            <w:r w:rsidRPr="00C258AD">
              <w:rPr>
                <w:b/>
                <w:bCs/>
                <w:sz w:val="16"/>
                <w:szCs w:val="18"/>
                <w:lang w:eastAsia="fr-FR"/>
              </w:rPr>
              <w:br/>
              <w:t>2014</w:t>
            </w:r>
            <w:r w:rsidR="0000169D" w:rsidRPr="00C258AD">
              <w:rPr>
                <w:b/>
                <w:bCs/>
                <w:sz w:val="16"/>
                <w:szCs w:val="18"/>
                <w:lang w:eastAsia="fr-FR"/>
              </w:rPr>
              <w:noBreakHyphen/>
            </w:r>
            <w:r w:rsidRPr="00C258AD">
              <w:rPr>
                <w:b/>
                <w:bCs/>
                <w:sz w:val="16"/>
                <w:szCs w:val="18"/>
                <w:lang w:eastAsia="fr-FR"/>
              </w:rPr>
              <w:t>2015</w:t>
            </w:r>
          </w:p>
        </w:tc>
        <w:tc>
          <w:tcPr>
            <w:tcW w:w="1746" w:type="dxa"/>
            <w:tcBorders>
              <w:top w:val="single" w:sz="4" w:space="0" w:color="auto"/>
              <w:left w:val="nil"/>
              <w:bottom w:val="nil"/>
              <w:right w:val="single" w:sz="4" w:space="0" w:color="auto"/>
            </w:tcBorders>
            <w:shd w:val="clear" w:color="auto" w:fill="C5D9F1"/>
            <w:vAlign w:val="center"/>
            <w:hideMark/>
          </w:tcPr>
          <w:p w:rsidR="00313F76" w:rsidRPr="00C258AD" w:rsidRDefault="00313F76" w:rsidP="0083763A">
            <w:pPr>
              <w:jc w:val="center"/>
              <w:rPr>
                <w:b/>
                <w:bCs/>
                <w:sz w:val="16"/>
                <w:szCs w:val="18"/>
                <w:lang w:eastAsia="fr-FR"/>
              </w:rPr>
            </w:pPr>
            <w:r w:rsidRPr="00C258AD">
              <w:rPr>
                <w:b/>
                <w:bCs/>
                <w:sz w:val="16"/>
                <w:szCs w:val="18"/>
                <w:lang w:eastAsia="fr-FR"/>
              </w:rPr>
              <w:t>Taux d</w:t>
            </w:r>
            <w:r w:rsidR="00721905" w:rsidRPr="00C258AD">
              <w:rPr>
                <w:b/>
                <w:bCs/>
                <w:sz w:val="16"/>
                <w:szCs w:val="18"/>
                <w:lang w:eastAsia="fr-FR"/>
              </w:rPr>
              <w:t>’</w:t>
            </w:r>
            <w:r w:rsidRPr="00C258AD">
              <w:rPr>
                <w:b/>
                <w:bCs/>
                <w:sz w:val="16"/>
                <w:szCs w:val="18"/>
                <w:lang w:eastAsia="fr-FR"/>
              </w:rPr>
              <w:t>utilisation (%)</w:t>
            </w:r>
          </w:p>
        </w:tc>
      </w:tr>
      <w:tr w:rsidR="00631864" w:rsidRPr="00C258AD" w:rsidTr="0083763A">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313F76" w:rsidRPr="00C258AD" w:rsidRDefault="00313F76" w:rsidP="0083763A">
            <w:pPr>
              <w:rPr>
                <w:sz w:val="16"/>
                <w:szCs w:val="18"/>
                <w:lang w:eastAsia="fr-FR"/>
              </w:rPr>
            </w:pPr>
            <w:r w:rsidRPr="00C258AD">
              <w:rPr>
                <w:sz w:val="16"/>
                <w:szCs w:val="18"/>
                <w:lang w:eastAsia="fr-FR"/>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313F76" w:rsidRPr="00C258AD" w:rsidRDefault="00313F76" w:rsidP="0083763A">
            <w:pPr>
              <w:jc w:val="center"/>
              <w:rPr>
                <w:sz w:val="16"/>
                <w:szCs w:val="18"/>
                <w:lang w:eastAsia="fr-FR"/>
              </w:rPr>
            </w:pPr>
            <w:r w:rsidRPr="00C258AD">
              <w:rPr>
                <w:sz w:val="16"/>
                <w:szCs w:val="18"/>
                <w:lang w:eastAsia="fr-FR"/>
              </w:rPr>
              <w:t>3 746</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313F76" w:rsidRPr="00C258AD" w:rsidRDefault="00313F76" w:rsidP="0083763A">
            <w:pPr>
              <w:jc w:val="center"/>
              <w:rPr>
                <w:sz w:val="16"/>
                <w:szCs w:val="18"/>
                <w:lang w:eastAsia="fr-FR"/>
              </w:rPr>
            </w:pPr>
            <w:r w:rsidRPr="00C258AD">
              <w:rPr>
                <w:sz w:val="16"/>
                <w:szCs w:val="18"/>
                <w:lang w:eastAsia="fr-FR"/>
              </w:rPr>
              <w:t>4 089</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313F76" w:rsidRPr="00C258AD" w:rsidRDefault="00313F76" w:rsidP="0083763A">
            <w:pPr>
              <w:jc w:val="center"/>
              <w:rPr>
                <w:sz w:val="16"/>
                <w:szCs w:val="18"/>
                <w:lang w:eastAsia="fr-FR"/>
              </w:rPr>
            </w:pPr>
            <w:r w:rsidRPr="00C258AD">
              <w:rPr>
                <w:sz w:val="16"/>
                <w:szCs w:val="18"/>
                <w:lang w:eastAsia="fr-FR"/>
              </w:rPr>
              <w:t>4 194</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313F76" w:rsidRPr="00C258AD" w:rsidRDefault="00313F76" w:rsidP="0083763A">
            <w:pPr>
              <w:jc w:val="center"/>
              <w:rPr>
                <w:sz w:val="16"/>
                <w:szCs w:val="18"/>
                <w:lang w:eastAsia="fr-FR"/>
              </w:rPr>
            </w:pPr>
            <w:r w:rsidRPr="00C258AD">
              <w:rPr>
                <w:sz w:val="16"/>
                <w:szCs w:val="18"/>
                <w:lang w:eastAsia="fr-FR"/>
              </w:rPr>
              <w:t>103%</w:t>
            </w:r>
          </w:p>
        </w:tc>
      </w:tr>
      <w:tr w:rsidR="00631864" w:rsidRPr="00C258AD" w:rsidTr="0083763A">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313F76" w:rsidRPr="00C258AD" w:rsidRDefault="00313F76" w:rsidP="0083763A">
            <w:pPr>
              <w:rPr>
                <w:sz w:val="16"/>
                <w:szCs w:val="18"/>
                <w:lang w:eastAsia="fr-FR"/>
              </w:rPr>
            </w:pPr>
            <w:r w:rsidRPr="00C258AD">
              <w:rPr>
                <w:sz w:val="16"/>
                <w:szCs w:val="18"/>
                <w:lang w:eastAsia="fr-FR"/>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313F76" w:rsidRPr="00C258AD" w:rsidRDefault="00313F76" w:rsidP="0083763A">
            <w:pPr>
              <w:jc w:val="center"/>
              <w:rPr>
                <w:sz w:val="16"/>
                <w:szCs w:val="18"/>
                <w:lang w:eastAsia="fr-FR"/>
              </w:rPr>
            </w:pPr>
            <w:r w:rsidRPr="00C258AD">
              <w:rPr>
                <w:sz w:val="16"/>
                <w:szCs w:val="18"/>
                <w:lang w:eastAsia="fr-FR"/>
              </w:rPr>
              <w:t>1 204</w:t>
            </w:r>
          </w:p>
        </w:tc>
        <w:tc>
          <w:tcPr>
            <w:tcW w:w="1746" w:type="dxa"/>
            <w:tcBorders>
              <w:top w:val="nil"/>
              <w:left w:val="nil"/>
              <w:bottom w:val="single" w:sz="4" w:space="0" w:color="auto"/>
              <w:right w:val="single" w:sz="4" w:space="0" w:color="auto"/>
            </w:tcBorders>
            <w:shd w:val="clear" w:color="auto" w:fill="auto"/>
            <w:vAlign w:val="center"/>
            <w:hideMark/>
          </w:tcPr>
          <w:p w:rsidR="00313F76" w:rsidRPr="00C258AD" w:rsidRDefault="00313F76" w:rsidP="0083763A">
            <w:pPr>
              <w:jc w:val="center"/>
              <w:rPr>
                <w:sz w:val="16"/>
                <w:szCs w:val="18"/>
                <w:lang w:eastAsia="fr-FR"/>
              </w:rPr>
            </w:pPr>
            <w:r w:rsidRPr="00C258AD">
              <w:rPr>
                <w:sz w:val="16"/>
                <w:szCs w:val="18"/>
                <w:lang w:eastAsia="fr-FR"/>
              </w:rPr>
              <w:t>1 301</w:t>
            </w:r>
          </w:p>
        </w:tc>
        <w:tc>
          <w:tcPr>
            <w:tcW w:w="1745" w:type="dxa"/>
            <w:tcBorders>
              <w:top w:val="nil"/>
              <w:left w:val="nil"/>
              <w:bottom w:val="single" w:sz="4" w:space="0" w:color="auto"/>
              <w:right w:val="single" w:sz="4" w:space="0" w:color="auto"/>
            </w:tcBorders>
            <w:shd w:val="clear" w:color="auto" w:fill="auto"/>
            <w:vAlign w:val="center"/>
            <w:hideMark/>
          </w:tcPr>
          <w:p w:rsidR="00313F76" w:rsidRPr="00C258AD" w:rsidRDefault="00313F76" w:rsidP="0083763A">
            <w:pPr>
              <w:jc w:val="center"/>
              <w:rPr>
                <w:sz w:val="16"/>
                <w:szCs w:val="18"/>
                <w:lang w:eastAsia="fr-FR"/>
              </w:rPr>
            </w:pPr>
            <w:r w:rsidRPr="00C258AD">
              <w:rPr>
                <w:sz w:val="16"/>
                <w:szCs w:val="18"/>
                <w:lang w:eastAsia="fr-FR"/>
              </w:rPr>
              <w:t>1 160</w:t>
            </w:r>
          </w:p>
        </w:tc>
        <w:tc>
          <w:tcPr>
            <w:tcW w:w="1746" w:type="dxa"/>
            <w:tcBorders>
              <w:top w:val="nil"/>
              <w:left w:val="nil"/>
              <w:bottom w:val="single" w:sz="4" w:space="0" w:color="auto"/>
              <w:right w:val="single" w:sz="4" w:space="0" w:color="auto"/>
            </w:tcBorders>
            <w:shd w:val="clear" w:color="auto" w:fill="auto"/>
            <w:vAlign w:val="center"/>
            <w:hideMark/>
          </w:tcPr>
          <w:p w:rsidR="00313F76" w:rsidRPr="00C258AD" w:rsidRDefault="00313F76" w:rsidP="0083763A">
            <w:pPr>
              <w:jc w:val="center"/>
              <w:rPr>
                <w:sz w:val="16"/>
                <w:szCs w:val="18"/>
                <w:lang w:eastAsia="fr-FR"/>
              </w:rPr>
            </w:pPr>
            <w:r w:rsidRPr="00C258AD">
              <w:rPr>
                <w:sz w:val="16"/>
                <w:szCs w:val="18"/>
                <w:lang w:eastAsia="fr-FR"/>
              </w:rPr>
              <w:t>89%</w:t>
            </w:r>
          </w:p>
        </w:tc>
      </w:tr>
      <w:tr w:rsidR="00DD586E" w:rsidRPr="00C258AD" w:rsidTr="0083763A">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313F76" w:rsidRPr="00C258AD" w:rsidRDefault="00313F76" w:rsidP="0083763A">
            <w:pPr>
              <w:jc w:val="right"/>
              <w:rPr>
                <w:b/>
                <w:bCs/>
                <w:sz w:val="16"/>
                <w:szCs w:val="18"/>
                <w:lang w:eastAsia="fr-FR"/>
              </w:rPr>
            </w:pPr>
            <w:r w:rsidRPr="00C258AD">
              <w:rPr>
                <w:b/>
                <w:bCs/>
                <w:sz w:val="16"/>
                <w:szCs w:val="18"/>
                <w:lang w:eastAsia="fr-FR"/>
              </w:rPr>
              <w:t xml:space="preserve">TOTAL </w:t>
            </w:r>
          </w:p>
        </w:tc>
        <w:tc>
          <w:tcPr>
            <w:tcW w:w="1745" w:type="dxa"/>
            <w:tcBorders>
              <w:top w:val="nil"/>
              <w:left w:val="nil"/>
              <w:bottom w:val="single" w:sz="4" w:space="0" w:color="auto"/>
              <w:right w:val="single" w:sz="4" w:space="0" w:color="auto"/>
            </w:tcBorders>
            <w:shd w:val="clear" w:color="auto" w:fill="auto"/>
            <w:vAlign w:val="center"/>
            <w:hideMark/>
          </w:tcPr>
          <w:p w:rsidR="00313F76" w:rsidRPr="00C258AD" w:rsidRDefault="00313F76" w:rsidP="0083763A">
            <w:pPr>
              <w:jc w:val="center"/>
              <w:rPr>
                <w:b/>
                <w:bCs/>
                <w:sz w:val="16"/>
                <w:szCs w:val="18"/>
                <w:lang w:eastAsia="fr-FR"/>
              </w:rPr>
            </w:pPr>
            <w:r w:rsidRPr="00C258AD">
              <w:rPr>
                <w:b/>
                <w:bCs/>
                <w:sz w:val="16"/>
                <w:szCs w:val="18"/>
                <w:lang w:eastAsia="fr-FR"/>
              </w:rPr>
              <w:t>4 950</w:t>
            </w:r>
          </w:p>
        </w:tc>
        <w:tc>
          <w:tcPr>
            <w:tcW w:w="1746" w:type="dxa"/>
            <w:tcBorders>
              <w:top w:val="nil"/>
              <w:left w:val="nil"/>
              <w:bottom w:val="single" w:sz="4" w:space="0" w:color="auto"/>
              <w:right w:val="single" w:sz="4" w:space="0" w:color="auto"/>
            </w:tcBorders>
            <w:shd w:val="clear" w:color="auto" w:fill="auto"/>
            <w:vAlign w:val="center"/>
            <w:hideMark/>
          </w:tcPr>
          <w:p w:rsidR="00313F76" w:rsidRPr="00C258AD" w:rsidRDefault="00313F76" w:rsidP="0083763A">
            <w:pPr>
              <w:jc w:val="center"/>
              <w:rPr>
                <w:b/>
                <w:bCs/>
                <w:sz w:val="16"/>
                <w:szCs w:val="18"/>
                <w:lang w:eastAsia="fr-FR"/>
              </w:rPr>
            </w:pPr>
            <w:r w:rsidRPr="00C258AD">
              <w:rPr>
                <w:b/>
                <w:bCs/>
                <w:sz w:val="16"/>
                <w:szCs w:val="18"/>
                <w:lang w:eastAsia="fr-FR"/>
              </w:rPr>
              <w:t>5 390</w:t>
            </w:r>
          </w:p>
        </w:tc>
        <w:tc>
          <w:tcPr>
            <w:tcW w:w="1745" w:type="dxa"/>
            <w:tcBorders>
              <w:top w:val="nil"/>
              <w:left w:val="nil"/>
              <w:bottom w:val="single" w:sz="4" w:space="0" w:color="auto"/>
              <w:right w:val="single" w:sz="4" w:space="0" w:color="auto"/>
            </w:tcBorders>
            <w:shd w:val="clear" w:color="auto" w:fill="auto"/>
            <w:vAlign w:val="center"/>
            <w:hideMark/>
          </w:tcPr>
          <w:p w:rsidR="00313F76" w:rsidRPr="00C258AD" w:rsidRDefault="00313F76" w:rsidP="0083763A">
            <w:pPr>
              <w:jc w:val="center"/>
              <w:rPr>
                <w:b/>
                <w:bCs/>
                <w:sz w:val="16"/>
                <w:szCs w:val="18"/>
                <w:lang w:eastAsia="fr-FR"/>
              </w:rPr>
            </w:pPr>
            <w:r w:rsidRPr="00C258AD">
              <w:rPr>
                <w:b/>
                <w:bCs/>
                <w:sz w:val="16"/>
                <w:szCs w:val="18"/>
                <w:lang w:eastAsia="fr-FR"/>
              </w:rPr>
              <w:t>5 354</w:t>
            </w:r>
          </w:p>
        </w:tc>
        <w:tc>
          <w:tcPr>
            <w:tcW w:w="1746" w:type="dxa"/>
            <w:tcBorders>
              <w:top w:val="nil"/>
              <w:left w:val="nil"/>
              <w:bottom w:val="single" w:sz="4" w:space="0" w:color="auto"/>
              <w:right w:val="single" w:sz="4" w:space="0" w:color="auto"/>
            </w:tcBorders>
            <w:shd w:val="clear" w:color="auto" w:fill="auto"/>
            <w:vAlign w:val="center"/>
            <w:hideMark/>
          </w:tcPr>
          <w:p w:rsidR="00313F76" w:rsidRPr="00C258AD" w:rsidRDefault="00DD586E" w:rsidP="0083763A">
            <w:pPr>
              <w:jc w:val="center"/>
              <w:rPr>
                <w:b/>
                <w:bCs/>
                <w:sz w:val="16"/>
                <w:szCs w:val="18"/>
                <w:lang w:eastAsia="fr-FR"/>
              </w:rPr>
            </w:pPr>
            <w:r w:rsidRPr="00C258AD">
              <w:rPr>
                <w:b/>
                <w:bCs/>
                <w:sz w:val="16"/>
                <w:szCs w:val="18"/>
                <w:lang w:eastAsia="fr-FR"/>
              </w:rPr>
              <w:t>99%</w:t>
            </w:r>
          </w:p>
        </w:tc>
      </w:tr>
    </w:tbl>
    <w:p w:rsidR="006E2BB1" w:rsidRPr="00C258AD" w:rsidRDefault="006E2BB1" w:rsidP="00DD586E"/>
    <w:p w:rsidR="006E2BB1" w:rsidRPr="00C258AD" w:rsidRDefault="006E2BB1" w:rsidP="00B60163">
      <w:pPr>
        <w:rPr>
          <w:rFonts w:cs="Arial"/>
          <w:szCs w:val="20"/>
        </w:rPr>
      </w:pPr>
    </w:p>
    <w:p w:rsidR="006E2BB1" w:rsidRPr="00C258AD" w:rsidRDefault="00B13C1D" w:rsidP="00B13C1D">
      <w:pPr>
        <w:rPr>
          <w:u w:val="single"/>
        </w:rPr>
      </w:pPr>
      <w:r w:rsidRPr="00C258AD">
        <w:t>A.</w:t>
      </w:r>
      <w:r w:rsidRPr="00C258AD">
        <w:tab/>
      </w:r>
      <w:r w:rsidRPr="00C258AD">
        <w:rPr>
          <w:u w:val="single"/>
          <w:lang w:eastAsia="ko-KR"/>
        </w:rPr>
        <w:t>Budget final 2014</w:t>
      </w:r>
      <w:r w:rsidR="0000169D" w:rsidRPr="00C258AD">
        <w:rPr>
          <w:u w:val="single"/>
          <w:lang w:eastAsia="ko-KR"/>
        </w:rPr>
        <w:noBreakHyphen/>
      </w:r>
      <w:r w:rsidRPr="00C258AD">
        <w:rPr>
          <w:u w:val="single"/>
          <w:lang w:eastAsia="ko-KR"/>
        </w:rPr>
        <w:t>2015 après virements</w:t>
      </w:r>
    </w:p>
    <w:p w:rsidR="006E2BB1" w:rsidRPr="00C258AD" w:rsidRDefault="006E2BB1" w:rsidP="003E0D2F">
      <w:pPr>
        <w:keepNext/>
        <w:keepLines/>
        <w:autoSpaceDE w:val="0"/>
        <w:autoSpaceDN w:val="0"/>
        <w:jc w:val="both"/>
        <w:rPr>
          <w:rFonts w:cs="Arial"/>
          <w:szCs w:val="20"/>
          <w:lang w:eastAsia="ko-KR"/>
        </w:rPr>
      </w:pPr>
    </w:p>
    <w:p w:rsidR="006E2BB1" w:rsidRPr="00C258AD" w:rsidRDefault="00B13C1D" w:rsidP="008F201B">
      <w:pPr>
        <w:pStyle w:val="ListParagraph"/>
        <w:ind w:left="0" w:firstLine="0"/>
        <w:rPr>
          <w:lang w:eastAsia="zh-CN"/>
        </w:rPr>
      </w:pPr>
      <w:r w:rsidRPr="00C258AD">
        <w:rPr>
          <w:lang w:eastAsia="zh-CN"/>
        </w:rPr>
        <w:t>L</w:t>
      </w:r>
      <w:r w:rsidR="00721905" w:rsidRPr="00C258AD">
        <w:rPr>
          <w:lang w:eastAsia="zh-CN"/>
        </w:rPr>
        <w:t>’</w:t>
      </w:r>
      <w:r w:rsidRPr="00C258AD">
        <w:rPr>
          <w:lang w:eastAsia="zh-CN"/>
        </w:rPr>
        <w:t>augmentation globale du budget final 2014</w:t>
      </w:r>
      <w:r w:rsidR="0000169D" w:rsidRPr="00C258AD">
        <w:rPr>
          <w:lang w:eastAsia="zh-CN"/>
        </w:rPr>
        <w:noBreakHyphen/>
      </w:r>
      <w:r w:rsidRPr="00C258AD">
        <w:rPr>
          <w:lang w:eastAsia="zh-CN"/>
        </w:rPr>
        <w:t xml:space="preserve">2015 après virements résulte essentiellement : i) de ressources supplémentaires affectées aux dépenses de personnel, </w:t>
      </w:r>
      <w:r w:rsidR="00721905" w:rsidRPr="00C258AD">
        <w:rPr>
          <w:lang w:eastAsia="zh-CN"/>
        </w:rPr>
        <w:t>à savoir</w:t>
      </w:r>
      <w:r w:rsidRPr="00C258AD">
        <w:rPr>
          <w:lang w:eastAsia="zh-CN"/>
        </w:rPr>
        <w:t xml:space="preserve"> au résultat I.2 (Conseils législatifs), pour faire face de manière plus efficace à l</w:t>
      </w:r>
      <w:r w:rsidR="00721905" w:rsidRPr="00C258AD">
        <w:rPr>
          <w:lang w:eastAsia="zh-CN"/>
        </w:rPr>
        <w:t>’</w:t>
      </w:r>
      <w:r w:rsidRPr="00C258AD">
        <w:rPr>
          <w:lang w:eastAsia="zh-CN"/>
        </w:rPr>
        <w:t>augmentation des demandes de conseils législatifs</w:t>
      </w:r>
      <w:r w:rsidR="004A131D" w:rsidRPr="00C258AD">
        <w:rPr>
          <w:lang w:eastAsia="zh-CN"/>
        </w:rPr>
        <w:t xml:space="preserve">; </w:t>
      </w:r>
      <w:r w:rsidR="00A36494" w:rsidRPr="00C258AD">
        <w:rPr>
          <w:lang w:eastAsia="zh-CN"/>
        </w:rPr>
        <w:t xml:space="preserve"> </w:t>
      </w:r>
      <w:r w:rsidR="005157AB" w:rsidRPr="00C258AD">
        <w:rPr>
          <w:lang w:eastAsia="zh-CN"/>
        </w:rPr>
        <w:t xml:space="preserve">et </w:t>
      </w:r>
      <w:r w:rsidR="00A36494" w:rsidRPr="00C258AD">
        <w:rPr>
          <w:lang w:eastAsia="zh-CN"/>
        </w:rPr>
        <w:t>ii)</w:t>
      </w:r>
      <w:r w:rsidR="002C57EB" w:rsidRPr="00C258AD">
        <w:rPr>
          <w:lang w:eastAsia="zh-CN"/>
        </w:rPr>
        <w:t> </w:t>
      </w:r>
      <w:r w:rsidR="00C73C95" w:rsidRPr="00C258AD">
        <w:rPr>
          <w:lang w:eastAsia="zh-CN"/>
        </w:rPr>
        <w:t xml:space="preserve">le </w:t>
      </w:r>
      <w:r w:rsidR="00A36494" w:rsidRPr="00C258AD">
        <w:rPr>
          <w:lang w:eastAsia="zh-CN"/>
        </w:rPr>
        <w:t>transfer</w:t>
      </w:r>
      <w:r w:rsidR="00C73C95" w:rsidRPr="00C258AD">
        <w:rPr>
          <w:lang w:eastAsia="zh-CN"/>
        </w:rPr>
        <w:t xml:space="preserve">t des activités liées à la rédaction des demandes de brevet du </w:t>
      </w:r>
      <w:r w:rsidR="00FB247F" w:rsidRPr="00C258AD">
        <w:rPr>
          <w:lang w:eastAsia="zh-CN"/>
        </w:rPr>
        <w:t>programme </w:t>
      </w:r>
      <w:r w:rsidR="00A36494" w:rsidRPr="00C258AD">
        <w:rPr>
          <w:lang w:eastAsia="zh-CN"/>
        </w:rPr>
        <w:t xml:space="preserve">30 </w:t>
      </w:r>
      <w:r w:rsidR="00C73C95" w:rsidRPr="00C258AD">
        <w:rPr>
          <w:lang w:eastAsia="zh-CN"/>
        </w:rPr>
        <w:t xml:space="preserve">au </w:t>
      </w:r>
      <w:r w:rsidR="00FB247F" w:rsidRPr="00C258AD">
        <w:rPr>
          <w:lang w:eastAsia="zh-CN"/>
        </w:rPr>
        <w:t>programme </w:t>
      </w:r>
      <w:r w:rsidR="00A36494" w:rsidRPr="00C258AD">
        <w:rPr>
          <w:lang w:eastAsia="zh-CN"/>
        </w:rPr>
        <w:t>1.</w:t>
      </w:r>
    </w:p>
    <w:p w:rsidR="006E2BB1" w:rsidRPr="00C258AD" w:rsidRDefault="006E2BB1" w:rsidP="00B60163">
      <w:pPr>
        <w:autoSpaceDE w:val="0"/>
        <w:autoSpaceDN w:val="0"/>
        <w:jc w:val="both"/>
        <w:rPr>
          <w:rFonts w:cs="Arial"/>
          <w:szCs w:val="20"/>
          <w:lang w:eastAsia="ko-KR"/>
        </w:rPr>
      </w:pPr>
    </w:p>
    <w:p w:rsidR="006E2BB1" w:rsidRPr="00C258AD" w:rsidRDefault="006E2BB1" w:rsidP="00B60163">
      <w:pPr>
        <w:autoSpaceDE w:val="0"/>
        <w:autoSpaceDN w:val="0"/>
        <w:jc w:val="both"/>
        <w:rPr>
          <w:rFonts w:cs="Arial"/>
          <w:szCs w:val="20"/>
          <w:lang w:eastAsia="ko-KR"/>
        </w:rPr>
      </w:pPr>
    </w:p>
    <w:p w:rsidR="006E2BB1" w:rsidRPr="00C258AD" w:rsidRDefault="00B13C1D" w:rsidP="00B13C1D">
      <w:pPr>
        <w:jc w:val="both"/>
        <w:rPr>
          <w:u w:val="single"/>
          <w:lang w:eastAsia="ko-KR"/>
        </w:rPr>
      </w:pPr>
      <w:r w:rsidRPr="00C258AD">
        <w:rPr>
          <w:lang w:eastAsia="ko-KR"/>
        </w:rPr>
        <w:t>B.</w:t>
      </w:r>
      <w:r w:rsidRPr="00C258AD">
        <w:rPr>
          <w:lang w:eastAsia="ko-KR"/>
        </w:rPr>
        <w:tab/>
      </w:r>
      <w:r w:rsidRPr="00C258AD">
        <w:rPr>
          <w:u w:val="single"/>
          <w:lang w:eastAsia="ko-KR"/>
        </w:rPr>
        <w:t>Utilisation du budget en</w:t>
      </w:r>
      <w:r w:rsidR="002C57EB" w:rsidRPr="00C258AD">
        <w:rPr>
          <w:u w:val="single"/>
          <w:lang w:eastAsia="ko-KR"/>
        </w:rPr>
        <w:t> </w:t>
      </w:r>
      <w:r w:rsidRPr="00C258AD">
        <w:rPr>
          <w:u w:val="single"/>
          <w:lang w:eastAsia="ko-KR"/>
        </w:rPr>
        <w:t>2014</w:t>
      </w:r>
      <w:r w:rsidR="0000169D" w:rsidRPr="00C258AD">
        <w:rPr>
          <w:u w:val="single"/>
          <w:lang w:eastAsia="ko-KR"/>
        </w:rPr>
        <w:noBreakHyphen/>
      </w:r>
      <w:r w:rsidRPr="00C258AD">
        <w:rPr>
          <w:u w:val="single"/>
          <w:lang w:eastAsia="ko-KR"/>
        </w:rPr>
        <w:t>2015</w:t>
      </w:r>
    </w:p>
    <w:p w:rsidR="006E2BB1" w:rsidRPr="00C258AD" w:rsidRDefault="006E2BB1" w:rsidP="00D3225C">
      <w:pPr>
        <w:jc w:val="both"/>
        <w:rPr>
          <w:rFonts w:cs="Arial"/>
          <w:szCs w:val="20"/>
          <w:u w:val="single"/>
          <w:lang w:eastAsia="ko-KR"/>
        </w:rPr>
      </w:pPr>
    </w:p>
    <w:p w:rsidR="006E2BB1" w:rsidRPr="00C258AD" w:rsidRDefault="00C16075" w:rsidP="008F201B">
      <w:pPr>
        <w:pStyle w:val="ListParagraph"/>
        <w:ind w:left="0" w:firstLine="0"/>
        <w:rPr>
          <w:lang w:eastAsia="zh-CN"/>
        </w:rPr>
      </w:pPr>
      <w:r w:rsidRPr="00C258AD">
        <w:rPr>
          <w:lang w:eastAsia="zh-CN"/>
        </w:rPr>
        <w:t>Dans l</w:t>
      </w:r>
      <w:r w:rsidR="00721905" w:rsidRPr="00C258AD">
        <w:rPr>
          <w:lang w:eastAsia="zh-CN"/>
        </w:rPr>
        <w:t>’</w:t>
      </w:r>
      <w:r w:rsidRPr="00C258AD">
        <w:rPr>
          <w:lang w:eastAsia="zh-CN"/>
        </w:rPr>
        <w:t>ensemble, l</w:t>
      </w:r>
      <w:r w:rsidR="00721905" w:rsidRPr="00C258AD">
        <w:rPr>
          <w:lang w:eastAsia="zh-CN"/>
        </w:rPr>
        <w:t>’</w:t>
      </w:r>
      <w:r w:rsidRPr="00C258AD">
        <w:rPr>
          <w:lang w:eastAsia="zh-CN"/>
        </w:rPr>
        <w:t>utilisation du budget pour l</w:t>
      </w:r>
      <w:r w:rsidR="00721905" w:rsidRPr="00C258AD">
        <w:rPr>
          <w:lang w:eastAsia="zh-CN"/>
        </w:rPr>
        <w:t>’</w:t>
      </w:r>
      <w:r w:rsidRPr="00C258AD">
        <w:rPr>
          <w:lang w:eastAsia="zh-CN"/>
        </w:rPr>
        <w:t>exercice biennal</w:t>
      </w:r>
      <w:r w:rsidR="002C57EB" w:rsidRPr="00C258AD">
        <w:rPr>
          <w:lang w:eastAsia="zh-CN"/>
        </w:rPr>
        <w:t> </w:t>
      </w:r>
      <w:r w:rsidR="00A36494" w:rsidRPr="00C258AD">
        <w:rPr>
          <w:lang w:eastAsia="zh-CN"/>
        </w:rPr>
        <w:t>2014</w:t>
      </w:r>
      <w:r w:rsidR="0000169D" w:rsidRPr="00C258AD">
        <w:rPr>
          <w:lang w:eastAsia="zh-CN"/>
        </w:rPr>
        <w:noBreakHyphen/>
      </w:r>
      <w:r w:rsidR="004D4DD5" w:rsidRPr="00C258AD">
        <w:rPr>
          <w:lang w:eastAsia="zh-CN"/>
        </w:rPr>
        <w:t>2015</w:t>
      </w:r>
      <w:r w:rsidR="00A36494" w:rsidRPr="00C258AD">
        <w:rPr>
          <w:lang w:eastAsia="zh-CN"/>
        </w:rPr>
        <w:t xml:space="preserve"> </w:t>
      </w:r>
      <w:r w:rsidR="00B325A4" w:rsidRPr="00C258AD">
        <w:rPr>
          <w:lang w:eastAsia="zh-CN"/>
        </w:rPr>
        <w:t>s</w:t>
      </w:r>
      <w:r w:rsidR="00721905" w:rsidRPr="00C258AD">
        <w:rPr>
          <w:lang w:eastAsia="zh-CN"/>
        </w:rPr>
        <w:t>’</w:t>
      </w:r>
      <w:r w:rsidR="00B325A4" w:rsidRPr="00C258AD">
        <w:rPr>
          <w:lang w:eastAsia="zh-CN"/>
        </w:rPr>
        <w:t xml:space="preserve">élève à </w:t>
      </w:r>
      <w:r w:rsidR="00A36494" w:rsidRPr="00C258AD">
        <w:rPr>
          <w:lang w:eastAsia="zh-CN"/>
        </w:rPr>
        <w:t>97</w:t>
      </w:r>
      <w:r w:rsidR="00B325A4" w:rsidRPr="00C258AD">
        <w:rPr>
          <w:lang w:eastAsia="zh-CN"/>
        </w:rPr>
        <w:t>%</w:t>
      </w:r>
      <w:r w:rsidR="00A36494" w:rsidRPr="00C258AD">
        <w:rPr>
          <w:lang w:eastAsia="zh-CN"/>
        </w:rPr>
        <w:t xml:space="preserve">, </w:t>
      </w:r>
      <w:r w:rsidR="00260BF6" w:rsidRPr="00C258AD">
        <w:rPr>
          <w:lang w:eastAsia="zh-CN"/>
        </w:rPr>
        <w:t>certaines activités relatives à la révision de la loi type sur les brevets concernant les inventions pour les pays en développement n</w:t>
      </w:r>
      <w:r w:rsidR="00721905" w:rsidRPr="00C258AD">
        <w:rPr>
          <w:lang w:eastAsia="zh-CN"/>
        </w:rPr>
        <w:t>’</w:t>
      </w:r>
      <w:r w:rsidR="00D624A0" w:rsidRPr="00C258AD">
        <w:rPr>
          <w:lang w:eastAsia="zh-CN"/>
        </w:rPr>
        <w:t xml:space="preserve">ayant toutefois </w:t>
      </w:r>
      <w:r w:rsidR="00260BF6" w:rsidRPr="00C258AD">
        <w:rPr>
          <w:lang w:eastAsia="zh-CN"/>
        </w:rPr>
        <w:t xml:space="preserve">pas été mises en œuvre en raison </w:t>
      </w:r>
      <w:r w:rsidR="00D46550" w:rsidRPr="00C258AD">
        <w:rPr>
          <w:lang w:eastAsia="zh-CN"/>
        </w:rPr>
        <w:t>de l</w:t>
      </w:r>
      <w:r w:rsidR="00721905" w:rsidRPr="00C258AD">
        <w:rPr>
          <w:lang w:eastAsia="zh-CN"/>
        </w:rPr>
        <w:t>’</w:t>
      </w:r>
      <w:r w:rsidR="00D46550" w:rsidRPr="00C258AD">
        <w:rPr>
          <w:lang w:eastAsia="zh-CN"/>
        </w:rPr>
        <w:t>absence d</w:t>
      </w:r>
      <w:r w:rsidR="00721905" w:rsidRPr="00C258AD">
        <w:rPr>
          <w:lang w:eastAsia="zh-CN"/>
        </w:rPr>
        <w:t>’</w:t>
      </w:r>
      <w:r w:rsidR="00D46550" w:rsidRPr="00C258AD">
        <w:rPr>
          <w:lang w:eastAsia="zh-CN"/>
        </w:rPr>
        <w:t>accord entre les États membres au sein</w:t>
      </w:r>
      <w:r w:rsidR="00721905" w:rsidRPr="00C258AD">
        <w:rPr>
          <w:lang w:eastAsia="zh-CN"/>
        </w:rPr>
        <w:t xml:space="preserve"> du SCP</w:t>
      </w:r>
      <w:r w:rsidR="00A36494" w:rsidRPr="00C258AD">
        <w:rPr>
          <w:lang w:eastAsia="zh-CN"/>
        </w:rPr>
        <w:t>.</w:t>
      </w:r>
    </w:p>
    <w:p w:rsidR="006E2BB1" w:rsidRPr="00C258AD" w:rsidRDefault="006E2BB1" w:rsidP="008F201B">
      <w:pPr>
        <w:rPr>
          <w:lang w:eastAsia="zh-CN"/>
        </w:rPr>
      </w:pPr>
    </w:p>
    <w:p w:rsidR="006E2BB1" w:rsidRPr="00C258AD" w:rsidRDefault="00007D87">
      <w:pPr>
        <w:spacing w:after="200" w:line="276" w:lineRule="auto"/>
        <w:rPr>
          <w:szCs w:val="20"/>
          <w:lang w:eastAsia="zh-CN"/>
        </w:rPr>
      </w:pPr>
      <w:r w:rsidRPr="00C258AD">
        <w:rPr>
          <w:lang w:eastAsia="zh-CN"/>
        </w:rPr>
        <w:br w:type="page"/>
      </w:r>
    </w:p>
    <w:p w:rsidR="006E2BB1" w:rsidRPr="00C258AD" w:rsidRDefault="008F201B" w:rsidP="00305CE5">
      <w:pPr>
        <w:pStyle w:val="Heading3"/>
      </w:pPr>
      <w:bookmarkStart w:id="57" w:name="_Toc422404215"/>
      <w:bookmarkStart w:id="58" w:name="_Toc423352863"/>
      <w:bookmarkStart w:id="59" w:name="_Toc455394178"/>
      <w:bookmarkStart w:id="60" w:name="_Toc327875008"/>
      <w:r w:rsidRPr="00C258AD">
        <w:lastRenderedPageBreak/>
        <w:t>Programme 2</w:t>
      </w:r>
      <w:r w:rsidR="00007D87" w:rsidRPr="00C258AD">
        <w:tab/>
        <w:t>Marques, dessins et modèles industriels et indications géographiques</w:t>
      </w:r>
      <w:bookmarkEnd w:id="57"/>
      <w:bookmarkEnd w:id="58"/>
      <w:bookmarkEnd w:id="59"/>
    </w:p>
    <w:p w:rsidR="006E2BB1" w:rsidRPr="00C258AD" w:rsidRDefault="006E2BB1" w:rsidP="00BE27AB"/>
    <w:p w:rsidR="006E2BB1" w:rsidRPr="00C258AD" w:rsidRDefault="00007D87" w:rsidP="00BE27AB">
      <w:pPr>
        <w:rPr>
          <w:b/>
        </w:rPr>
      </w:pPr>
      <w:r w:rsidRPr="00C258AD">
        <w:rPr>
          <w:b/>
        </w:rPr>
        <w:t>Chef de programme</w:t>
      </w:r>
      <w:r w:rsidRPr="00C258AD">
        <w:rPr>
          <w:b/>
        </w:rPr>
        <w:tab/>
        <w:t>Mme B. Wang</w:t>
      </w:r>
    </w:p>
    <w:bookmarkEnd w:id="60"/>
    <w:p w:rsidR="006E2BB1" w:rsidRPr="00C258AD" w:rsidRDefault="006E2BB1" w:rsidP="00BE27AB"/>
    <w:p w:rsidR="006E2BB1" w:rsidRPr="00C258AD" w:rsidRDefault="006E2BB1" w:rsidP="00BE27AB"/>
    <w:p w:rsidR="006E2BB1" w:rsidRPr="00C258AD" w:rsidRDefault="00B76703" w:rsidP="00305CE5">
      <w:pPr>
        <w:keepNext/>
        <w:rPr>
          <w:rFonts w:cs="Arial"/>
          <w:caps/>
          <w:sz w:val="22"/>
          <w:szCs w:val="22"/>
        </w:rPr>
      </w:pPr>
      <w:r w:rsidRPr="00C258AD">
        <w:rPr>
          <w:rFonts w:cs="Arial"/>
          <w:caps/>
          <w:sz w:val="22"/>
          <w:szCs w:val="22"/>
        </w:rPr>
        <w:t>Réalisations au cours de l’exercice biennal 2014-2015</w:t>
      </w:r>
    </w:p>
    <w:p w:rsidR="006E2BB1" w:rsidRPr="00C258AD" w:rsidRDefault="006E2BB1" w:rsidP="00007D87">
      <w:pPr>
        <w:tabs>
          <w:tab w:val="left" w:pos="2268"/>
        </w:tabs>
        <w:jc w:val="both"/>
      </w:pPr>
    </w:p>
    <w:p w:rsidR="006E2BB1" w:rsidRPr="00C258AD" w:rsidRDefault="00007D87" w:rsidP="00BB4DBC">
      <w:pPr>
        <w:pStyle w:val="ListParagraph"/>
        <w:numPr>
          <w:ilvl w:val="0"/>
          <w:numId w:val="2"/>
        </w:numPr>
        <w:autoSpaceDE w:val="0"/>
        <w:autoSpaceDN w:val="0"/>
        <w:ind w:left="0" w:firstLine="0"/>
        <w:jc w:val="both"/>
        <w:rPr>
          <w:lang w:eastAsia="zh-CN"/>
        </w:rPr>
      </w:pPr>
      <w:r w:rsidRPr="00C258AD">
        <w:rPr>
          <w:bCs/>
        </w:rPr>
        <w:t>Au cours de l</w:t>
      </w:r>
      <w:r w:rsidR="00721905" w:rsidRPr="00C258AD">
        <w:rPr>
          <w:bCs/>
        </w:rPr>
        <w:t>’</w:t>
      </w:r>
      <w:r w:rsidRPr="00C258AD">
        <w:rPr>
          <w:bCs/>
        </w:rPr>
        <w:t>exercice biennal</w:t>
      </w:r>
      <w:r w:rsidRPr="00C258AD">
        <w:rPr>
          <w:lang w:eastAsia="zh-CN"/>
        </w:rPr>
        <w:t>, le Comité permanent du droit des marques, des dessins et modèles industriels et des indications géographiques (SCT), de sa trente et unième à sa trente</w:t>
      </w:r>
      <w:r w:rsidR="0000169D" w:rsidRPr="00C258AD">
        <w:rPr>
          <w:lang w:eastAsia="zh-CN"/>
        </w:rPr>
        <w:noBreakHyphen/>
      </w:r>
      <w:r w:rsidRPr="00C258AD">
        <w:rPr>
          <w:lang w:eastAsia="zh-CN"/>
        </w:rPr>
        <w:t>quatrième session, a poursuivi les travaux sur le projet d</w:t>
      </w:r>
      <w:r w:rsidR="00721905" w:rsidRPr="00C258AD">
        <w:rPr>
          <w:lang w:eastAsia="zh-CN"/>
        </w:rPr>
        <w:t>’</w:t>
      </w:r>
      <w:r w:rsidRPr="00C258AD">
        <w:rPr>
          <w:lang w:eastAsia="zh-CN"/>
        </w:rPr>
        <w:t>un traité sur le droit des dessins et modèles devant être adopté lors d</w:t>
      </w:r>
      <w:r w:rsidR="00721905" w:rsidRPr="00C258AD">
        <w:rPr>
          <w:lang w:eastAsia="zh-CN"/>
        </w:rPr>
        <w:t>’</w:t>
      </w:r>
      <w:r w:rsidRPr="00C258AD">
        <w:rPr>
          <w:lang w:eastAsia="zh-CN"/>
        </w:rPr>
        <w:t>une conférence diplomatiq</w:t>
      </w:r>
      <w:r w:rsidR="0000169D" w:rsidRPr="00C258AD">
        <w:rPr>
          <w:lang w:eastAsia="zh-CN"/>
        </w:rPr>
        <w:t>ue.  La</w:t>
      </w:r>
      <w:r w:rsidRPr="00C258AD">
        <w:rPr>
          <w:lang w:eastAsia="zh-CN"/>
        </w:rPr>
        <w:t xml:space="preserve"> question de la convocation d</w:t>
      </w:r>
      <w:r w:rsidR="00721905" w:rsidRPr="00C258AD">
        <w:rPr>
          <w:lang w:eastAsia="zh-CN"/>
        </w:rPr>
        <w:t>’</w:t>
      </w:r>
      <w:r w:rsidRPr="00C258AD">
        <w:rPr>
          <w:lang w:eastAsia="zh-CN"/>
        </w:rPr>
        <w:t>une conférence diplomatique a été traitée par l</w:t>
      </w:r>
      <w:r w:rsidR="00721905" w:rsidRPr="00C258AD">
        <w:rPr>
          <w:lang w:eastAsia="zh-CN"/>
        </w:rPr>
        <w:t>’</w:t>
      </w:r>
      <w:r w:rsidRPr="00C258AD">
        <w:rPr>
          <w:lang w:eastAsia="zh-CN"/>
        </w:rPr>
        <w:t>Assemblée générale de l</w:t>
      </w:r>
      <w:r w:rsidR="00721905" w:rsidRPr="00C258AD">
        <w:rPr>
          <w:lang w:eastAsia="zh-CN"/>
        </w:rPr>
        <w:t>’</w:t>
      </w:r>
      <w:r w:rsidRPr="00C258AD">
        <w:rPr>
          <w:lang w:eastAsia="zh-CN"/>
        </w:rPr>
        <w:t>OMPI à sa quarante</w:t>
      </w:r>
      <w:r w:rsidR="0000169D" w:rsidRPr="00C258AD">
        <w:rPr>
          <w:lang w:eastAsia="zh-CN"/>
        </w:rPr>
        <w:noBreakHyphen/>
      </w:r>
      <w:r w:rsidRPr="00C258AD">
        <w:rPr>
          <w:lang w:eastAsia="zh-CN"/>
        </w:rPr>
        <w:t>septième session (22</w:t>
      </w:r>
      <w:r w:rsidRPr="00C258AD">
        <w:rPr>
          <w:vertAlign w:val="superscript"/>
          <w:lang w:eastAsia="zh-CN"/>
        </w:rPr>
        <w:t>e</w:t>
      </w:r>
      <w:r w:rsidRPr="00C258AD">
        <w:rPr>
          <w:lang w:eastAsia="zh-CN"/>
        </w:rPr>
        <w:t> session ordinaire) en octobre 2015, lors de laquelle l</w:t>
      </w:r>
      <w:r w:rsidR="00721905" w:rsidRPr="00C258AD">
        <w:rPr>
          <w:lang w:eastAsia="zh-CN"/>
        </w:rPr>
        <w:t>’</w:t>
      </w:r>
      <w:r w:rsidRPr="00C258AD">
        <w:rPr>
          <w:lang w:eastAsia="zh-CN"/>
        </w:rPr>
        <w:t>Assemblée générale est convenue</w:t>
      </w:r>
      <w:r w:rsidRPr="00C258AD">
        <w:t xml:space="preserve"> “de </w:t>
      </w:r>
      <w:r w:rsidRPr="00C258AD">
        <w:rPr>
          <w:lang w:eastAsia="zh-CN"/>
        </w:rPr>
        <w:t>convoquer</w:t>
      </w:r>
      <w:r w:rsidRPr="00C258AD">
        <w:t xml:space="preserve"> une conférence diplomatique pour l</w:t>
      </w:r>
      <w:r w:rsidR="00721905" w:rsidRPr="00C258AD">
        <w:t>’</w:t>
      </w:r>
      <w:r w:rsidRPr="00C258AD">
        <w:t>adoption d</w:t>
      </w:r>
      <w:r w:rsidR="00721905" w:rsidRPr="00C258AD">
        <w:t>’</w:t>
      </w:r>
      <w:r w:rsidRPr="00C258AD">
        <w:t>un traité sur le droit des dessins et modèles à la fin du premier semestre de</w:t>
      </w:r>
      <w:r w:rsidR="002C57EB" w:rsidRPr="00C258AD">
        <w:t> </w:t>
      </w:r>
      <w:r w:rsidRPr="00C258AD">
        <w:t>2017, uniquement si les discussions sur l</w:t>
      </w:r>
      <w:r w:rsidR="00721905" w:rsidRPr="00C258AD">
        <w:t>’</w:t>
      </w:r>
      <w:r w:rsidRPr="00C258AD">
        <w:t>assistance technique et l</w:t>
      </w:r>
      <w:r w:rsidR="00721905" w:rsidRPr="00C258AD">
        <w:t>’</w:t>
      </w:r>
      <w:r w:rsidRPr="00C258AD">
        <w:t>exigence de divulgation ont été achevées durant les trente</w:t>
      </w:r>
      <w:r w:rsidR="00FB247F" w:rsidRPr="00C258AD">
        <w:noBreakHyphen/>
      </w:r>
      <w:r w:rsidRPr="00C258AD">
        <w:t>quatrième et trente</w:t>
      </w:r>
      <w:r w:rsidR="00FB247F" w:rsidRPr="00C258AD">
        <w:noBreakHyphen/>
      </w:r>
      <w:r w:rsidRPr="00C258AD">
        <w:t>cinquième</w:t>
      </w:r>
      <w:r w:rsidR="002C57EB" w:rsidRPr="00C258AD">
        <w:t> </w:t>
      </w:r>
      <w:r w:rsidRPr="00C258AD">
        <w:t>sessions</w:t>
      </w:r>
      <w:r w:rsidR="00721905" w:rsidRPr="00C258AD">
        <w:t xml:space="preserve"> du SCT</w:t>
      </w:r>
      <w:r w:rsidRPr="00C258AD">
        <w:rPr>
          <w:bCs/>
        </w:rPr>
        <w:t xml:space="preserve">”. </w:t>
      </w:r>
      <w:r w:rsidRPr="00C258AD">
        <w:t xml:space="preserve"> </w:t>
      </w:r>
      <w:r w:rsidRPr="00C258AD">
        <w:rPr>
          <w:lang w:eastAsia="zh-CN"/>
        </w:rPr>
        <w:t xml:space="preserve">Le SCT a continué ses travaux sur la protection des noms de pays et </w:t>
      </w:r>
      <w:r w:rsidRPr="00C258AD">
        <w:rPr>
          <w:bCs/>
        </w:rPr>
        <w:t>a adopté un document de référence sur la protection des noms d</w:t>
      </w:r>
      <w:r w:rsidR="00721905" w:rsidRPr="00C258AD">
        <w:rPr>
          <w:bCs/>
        </w:rPr>
        <w:t>’</w:t>
      </w:r>
      <w:r w:rsidRPr="00C258AD">
        <w:rPr>
          <w:bCs/>
        </w:rPr>
        <w:t>États contre leur enregistrement et leur utilisation en tant que marques (document WIPO/</w:t>
      </w:r>
      <w:proofErr w:type="spellStart"/>
      <w:r w:rsidRPr="00C258AD">
        <w:rPr>
          <w:bCs/>
        </w:rPr>
        <w:t>Strad</w:t>
      </w:r>
      <w:proofErr w:type="spellEnd"/>
      <w:r w:rsidRPr="00C258AD">
        <w:rPr>
          <w:bCs/>
        </w:rPr>
        <w:t>/INF/7)</w:t>
      </w:r>
      <w:r w:rsidRPr="00C258AD">
        <w:rPr>
          <w:lang w:eastAsia="zh-CN"/>
        </w:rPr>
        <w:t>.</w:t>
      </w:r>
      <w:r w:rsidRPr="00C258AD">
        <w:t xml:space="preserve">  </w:t>
      </w:r>
      <w:r w:rsidRPr="00C258AD">
        <w:rPr>
          <w:lang w:eastAsia="zh-CN"/>
        </w:rPr>
        <w:t>En outre, un certain nombre de délégations ont présenté des propositions concernant les travaux du SCT sur les indications géographiqu</w:t>
      </w:r>
      <w:r w:rsidR="0000169D" w:rsidRPr="00C258AD">
        <w:rPr>
          <w:lang w:eastAsia="zh-CN"/>
        </w:rPr>
        <w:t>es.  Le</w:t>
      </w:r>
      <w:r w:rsidRPr="00C258AD">
        <w:rPr>
          <w:lang w:eastAsia="zh-CN"/>
        </w:rPr>
        <w:t>s activités d</w:t>
      </w:r>
      <w:r w:rsidR="00721905" w:rsidRPr="00C258AD">
        <w:rPr>
          <w:lang w:eastAsia="zh-CN"/>
        </w:rPr>
        <w:t>’</w:t>
      </w:r>
      <w:r w:rsidRPr="00C258AD">
        <w:rPr>
          <w:lang w:eastAsia="zh-CN"/>
        </w:rPr>
        <w:t>établissement de normes réalisées dans le cadre de ce programme au sein du SCT se sont également avérées exhaustives et ont été initiées à la demande des membres conformément à la recommandation n° 15 du Plan d</w:t>
      </w:r>
      <w:r w:rsidR="00721905" w:rsidRPr="00C258AD">
        <w:rPr>
          <w:lang w:eastAsia="zh-CN"/>
        </w:rPr>
        <w:t>’</w:t>
      </w:r>
      <w:r w:rsidRPr="00C258AD">
        <w:rPr>
          <w:lang w:eastAsia="zh-CN"/>
        </w:rPr>
        <w:t>action pour le développement, et les négociations du SCT se sont fondées sur des consultations ouvertes et équilibrées conformément aux recommandations n</w:t>
      </w:r>
      <w:r w:rsidRPr="00C258AD">
        <w:rPr>
          <w:vertAlign w:val="superscript"/>
          <w:lang w:eastAsia="zh-CN"/>
        </w:rPr>
        <w:t>os</w:t>
      </w:r>
      <w:r w:rsidRPr="00C258AD">
        <w:rPr>
          <w:lang w:eastAsia="zh-CN"/>
        </w:rPr>
        <w:t> 21 et 42 du Plan d</w:t>
      </w:r>
      <w:r w:rsidR="00721905" w:rsidRPr="00C258AD">
        <w:rPr>
          <w:lang w:eastAsia="zh-CN"/>
        </w:rPr>
        <w:t>’</w:t>
      </w:r>
      <w:r w:rsidRPr="00C258AD">
        <w:rPr>
          <w:lang w:eastAsia="zh-CN"/>
        </w:rPr>
        <w:t>action pour le développement.</w:t>
      </w:r>
    </w:p>
    <w:p w:rsidR="006E2BB1" w:rsidRPr="00C258AD" w:rsidRDefault="006E2BB1" w:rsidP="00BE27AB">
      <w:pPr>
        <w:rPr>
          <w:lang w:eastAsia="zh-CN"/>
        </w:rPr>
      </w:pPr>
    </w:p>
    <w:p w:rsidR="006E2BB1" w:rsidRPr="00C258AD" w:rsidRDefault="00007D87" w:rsidP="00BB4DBC">
      <w:pPr>
        <w:pStyle w:val="ListParagraph"/>
        <w:numPr>
          <w:ilvl w:val="0"/>
          <w:numId w:val="2"/>
        </w:numPr>
        <w:autoSpaceDE w:val="0"/>
        <w:autoSpaceDN w:val="0"/>
        <w:ind w:left="0" w:firstLine="0"/>
        <w:jc w:val="both"/>
        <w:rPr>
          <w:lang w:eastAsia="zh-CN"/>
        </w:rPr>
      </w:pPr>
      <w:r w:rsidRPr="00C258AD">
        <w:rPr>
          <w:lang w:eastAsia="zh-CN"/>
        </w:rPr>
        <w:t>Également au cours de l</w:t>
      </w:r>
      <w:r w:rsidR="00721905" w:rsidRPr="00C258AD">
        <w:rPr>
          <w:lang w:eastAsia="zh-CN"/>
        </w:rPr>
        <w:t>’</w:t>
      </w:r>
      <w:r w:rsidRPr="00C258AD">
        <w:rPr>
          <w:lang w:eastAsia="zh-CN"/>
        </w:rPr>
        <w:t>exercice biennal 2014</w:t>
      </w:r>
      <w:r w:rsidR="0000169D" w:rsidRPr="00C258AD">
        <w:rPr>
          <w:lang w:eastAsia="zh-CN"/>
        </w:rPr>
        <w:noBreakHyphen/>
      </w:r>
      <w:r w:rsidRPr="00C258AD">
        <w:rPr>
          <w:lang w:eastAsia="zh-CN"/>
        </w:rPr>
        <w:t>2015, sept nouvelles parties contractantes (</w:t>
      </w:r>
      <w:proofErr w:type="spellStart"/>
      <w:r w:rsidRPr="00C258AD">
        <w:rPr>
          <w:lang w:eastAsia="zh-CN"/>
        </w:rPr>
        <w:t>Bélarus</w:t>
      </w:r>
      <w:proofErr w:type="spellEnd"/>
      <w:r w:rsidRPr="00C258AD">
        <w:rPr>
          <w:lang w:eastAsia="zh-CN"/>
        </w:rPr>
        <w:t>, Belgique, Irak, Luxembourg, Office Benelux de la propriété intellectuelle (OBPI), Pays</w:t>
      </w:r>
      <w:r w:rsidR="0000169D" w:rsidRPr="00C258AD">
        <w:rPr>
          <w:lang w:eastAsia="zh-CN"/>
        </w:rPr>
        <w:noBreakHyphen/>
      </w:r>
      <w:r w:rsidRPr="00C258AD">
        <w:rPr>
          <w:lang w:eastAsia="zh-CN"/>
        </w:rPr>
        <w:t>Bas et Tadjikistan) ont ratifié le Traité de Singapour sur le droit des marques ou ont adhéré à ce traité, portant le nombre total des parties contractantes à 38 à la fin de 2015.</w:t>
      </w:r>
    </w:p>
    <w:p w:rsidR="006E2BB1" w:rsidRPr="00C258AD" w:rsidRDefault="006E2BB1" w:rsidP="00BE27AB">
      <w:pPr>
        <w:rPr>
          <w:lang w:eastAsia="zh-CN"/>
        </w:rPr>
      </w:pPr>
    </w:p>
    <w:p w:rsidR="006E2BB1" w:rsidRPr="00C258AD" w:rsidRDefault="00007D87" w:rsidP="00BB4DBC">
      <w:pPr>
        <w:pStyle w:val="ListParagraph"/>
        <w:numPr>
          <w:ilvl w:val="0"/>
          <w:numId w:val="2"/>
        </w:numPr>
        <w:autoSpaceDE w:val="0"/>
        <w:autoSpaceDN w:val="0"/>
        <w:ind w:left="0" w:firstLine="0"/>
        <w:jc w:val="both"/>
        <w:rPr>
          <w:lang w:eastAsia="zh-CN"/>
        </w:rPr>
      </w:pPr>
      <w:r w:rsidRPr="00C258AD">
        <w:rPr>
          <w:lang w:eastAsia="zh-CN"/>
        </w:rPr>
        <w:t>En ce qui concerne la protection renforcée des emblèmes des États et des noms et emblèmes des organisations internationales intergouvernementales en vertu de l</w:t>
      </w:r>
      <w:r w:rsidR="00721905" w:rsidRPr="00C258AD">
        <w:rPr>
          <w:lang w:eastAsia="zh-CN"/>
        </w:rPr>
        <w:t>’</w:t>
      </w:r>
      <w:r w:rsidRPr="00C258AD">
        <w:rPr>
          <w:lang w:eastAsia="zh-CN"/>
        </w:rPr>
        <w:t>article 6</w:t>
      </w:r>
      <w:r w:rsidRPr="00C258AD">
        <w:rPr>
          <w:i/>
          <w:lang w:eastAsia="zh-CN"/>
        </w:rPr>
        <w:t>ter</w:t>
      </w:r>
      <w:r w:rsidRPr="00C258AD">
        <w:rPr>
          <w:lang w:eastAsia="zh-CN"/>
        </w:rPr>
        <w:t xml:space="preserve"> de la Convention de Paris, les communications et les réponses aux demandes ont été traitées de manière efficace et en temps voulu pour la période concern</w:t>
      </w:r>
      <w:r w:rsidR="0000169D" w:rsidRPr="00C258AD">
        <w:rPr>
          <w:lang w:eastAsia="zh-CN"/>
        </w:rPr>
        <w:t>ée.  Le</w:t>
      </w:r>
      <w:r w:rsidRPr="00C258AD">
        <w:rPr>
          <w:lang w:eastAsia="zh-CN"/>
        </w:rPr>
        <w:t>s écarts entre le nombre fixé de demandes à traiter et le nombre réel de demandes s</w:t>
      </w:r>
      <w:r w:rsidR="00721905" w:rsidRPr="00C258AD">
        <w:rPr>
          <w:lang w:eastAsia="zh-CN"/>
        </w:rPr>
        <w:t>’</w:t>
      </w:r>
      <w:r w:rsidRPr="00C258AD">
        <w:rPr>
          <w:lang w:eastAsia="zh-CN"/>
        </w:rPr>
        <w:t>expliquent par une fluctuation des demandes, ainsi que par le fait que l</w:t>
      </w:r>
      <w:r w:rsidR="00721905" w:rsidRPr="00C258AD">
        <w:rPr>
          <w:lang w:eastAsia="zh-CN"/>
        </w:rPr>
        <w:t>’</w:t>
      </w:r>
      <w:r w:rsidRPr="00C258AD">
        <w:rPr>
          <w:lang w:eastAsia="zh-CN"/>
        </w:rPr>
        <w:t>estimation du nombre de demandes à traiter était fondée sur une moyenne bienna</w:t>
      </w:r>
      <w:r w:rsidR="0000169D" w:rsidRPr="00C258AD">
        <w:rPr>
          <w:lang w:eastAsia="zh-CN"/>
        </w:rPr>
        <w:t xml:space="preserve">le.  À </w:t>
      </w:r>
      <w:r w:rsidRPr="00C258AD">
        <w:rPr>
          <w:lang w:eastAsia="zh-CN"/>
        </w:rPr>
        <w:t>la fin de l</w:t>
      </w:r>
      <w:r w:rsidR="00721905" w:rsidRPr="00C258AD">
        <w:rPr>
          <w:lang w:eastAsia="zh-CN"/>
        </w:rPr>
        <w:t>’</w:t>
      </w:r>
      <w:r w:rsidRPr="00C258AD">
        <w:rPr>
          <w:lang w:eastAsia="zh-CN"/>
        </w:rPr>
        <w:t>année 2015, un total de 3157 signes étaient contenus dans la base de données relative à l</w:t>
      </w:r>
      <w:r w:rsidR="00721905" w:rsidRPr="00C258AD">
        <w:rPr>
          <w:lang w:eastAsia="zh-CN"/>
        </w:rPr>
        <w:t>’</w:t>
      </w:r>
      <w:r w:rsidRPr="00C258AD">
        <w:rPr>
          <w:lang w:eastAsia="zh-CN"/>
        </w:rPr>
        <w:t>article 6</w:t>
      </w:r>
      <w:r w:rsidRPr="00C258AD">
        <w:rPr>
          <w:i/>
          <w:lang w:eastAsia="zh-CN"/>
        </w:rPr>
        <w:t>ter</w:t>
      </w:r>
      <w:r w:rsidRPr="00C258AD">
        <w:rPr>
          <w:lang w:eastAsia="zh-CN"/>
        </w:rPr>
        <w:t>.</w:t>
      </w:r>
    </w:p>
    <w:p w:rsidR="006E2BB1" w:rsidRPr="00C258AD" w:rsidRDefault="006E2BB1" w:rsidP="00BE27AB">
      <w:pPr>
        <w:rPr>
          <w:lang w:eastAsia="zh-CN"/>
        </w:rPr>
      </w:pPr>
    </w:p>
    <w:p w:rsidR="006E2BB1" w:rsidRPr="00C258AD" w:rsidRDefault="00007D87" w:rsidP="00BB4DBC">
      <w:pPr>
        <w:pStyle w:val="ListParagraph"/>
        <w:numPr>
          <w:ilvl w:val="0"/>
          <w:numId w:val="2"/>
        </w:numPr>
        <w:autoSpaceDE w:val="0"/>
        <w:autoSpaceDN w:val="0"/>
        <w:ind w:left="0" w:firstLine="0"/>
        <w:jc w:val="both"/>
        <w:rPr>
          <w:lang w:eastAsia="zh-CN"/>
        </w:rPr>
      </w:pPr>
      <w:r w:rsidRPr="00C258AD">
        <w:rPr>
          <w:lang w:eastAsia="zh-CN"/>
        </w:rPr>
        <w:t>S</w:t>
      </w:r>
      <w:r w:rsidR="00721905" w:rsidRPr="00C258AD">
        <w:rPr>
          <w:lang w:eastAsia="zh-CN"/>
        </w:rPr>
        <w:t>’</w:t>
      </w:r>
      <w:r w:rsidRPr="00C258AD">
        <w:rPr>
          <w:lang w:eastAsia="zh-CN"/>
        </w:rPr>
        <w:t>agissant des travaux concernant les cadres législatifs, réglementaires et politiques adaptés et équilibrés en matière de propriété intellectuelle, le programme a fourni des orientations à 31 États ou organisations intergouvernementales dans le domaine du droit des marques, dessins et modèles industriels et des indications géographiqu</w:t>
      </w:r>
      <w:r w:rsidR="0000169D" w:rsidRPr="00C258AD">
        <w:rPr>
          <w:lang w:eastAsia="zh-CN"/>
        </w:rPr>
        <w:t>es.  Le</w:t>
      </w:r>
      <w:r w:rsidRPr="00C258AD">
        <w:rPr>
          <w:lang w:eastAsia="zh-CN"/>
        </w:rPr>
        <w:t>s activités d</w:t>
      </w:r>
      <w:r w:rsidR="00721905" w:rsidRPr="00C258AD">
        <w:rPr>
          <w:lang w:eastAsia="zh-CN"/>
        </w:rPr>
        <w:t>’</w:t>
      </w:r>
      <w:r w:rsidRPr="00C258AD">
        <w:rPr>
          <w:lang w:eastAsia="zh-CN"/>
        </w:rPr>
        <w:t>assistance technique, de renforcement des capacités et d</w:t>
      </w:r>
      <w:r w:rsidR="00721905" w:rsidRPr="00C258AD">
        <w:rPr>
          <w:lang w:eastAsia="zh-CN"/>
        </w:rPr>
        <w:t>’</w:t>
      </w:r>
      <w:r w:rsidRPr="00C258AD">
        <w:rPr>
          <w:lang w:eastAsia="zh-CN"/>
        </w:rPr>
        <w:t>assistance législative ont été axées sur le développement, déterminées par la demande et ont fait l</w:t>
      </w:r>
      <w:r w:rsidR="00721905" w:rsidRPr="00C258AD">
        <w:rPr>
          <w:lang w:eastAsia="zh-CN"/>
        </w:rPr>
        <w:t>’</w:t>
      </w:r>
      <w:r w:rsidRPr="00C258AD">
        <w:rPr>
          <w:lang w:eastAsia="zh-CN"/>
        </w:rPr>
        <w:t>objet de comptes rendus au cours de l</w:t>
      </w:r>
      <w:r w:rsidR="00721905" w:rsidRPr="00C258AD">
        <w:rPr>
          <w:lang w:eastAsia="zh-CN"/>
        </w:rPr>
        <w:t>’</w:t>
      </w:r>
      <w:r w:rsidRPr="00C258AD">
        <w:rPr>
          <w:lang w:eastAsia="zh-CN"/>
        </w:rPr>
        <w:t>année, conformément aux recommandations n</w:t>
      </w:r>
      <w:r w:rsidRPr="00C258AD">
        <w:rPr>
          <w:vertAlign w:val="superscript"/>
          <w:lang w:eastAsia="zh-CN"/>
        </w:rPr>
        <w:t>os</w:t>
      </w:r>
      <w:r w:rsidRPr="00C258AD">
        <w:rPr>
          <w:lang w:eastAsia="zh-CN"/>
        </w:rPr>
        <w:t> 1 et 13 du Plan d</w:t>
      </w:r>
      <w:r w:rsidR="00721905" w:rsidRPr="00C258AD">
        <w:rPr>
          <w:lang w:eastAsia="zh-CN"/>
        </w:rPr>
        <w:t>’</w:t>
      </w:r>
      <w:r w:rsidRPr="00C258AD">
        <w:rPr>
          <w:lang w:eastAsia="zh-CN"/>
        </w:rPr>
        <w:t>action pour le développement.</w:t>
      </w:r>
    </w:p>
    <w:p w:rsidR="006E2BB1" w:rsidRPr="00C258AD" w:rsidRDefault="006E2BB1" w:rsidP="00BE27AB">
      <w:pPr>
        <w:rPr>
          <w:lang w:eastAsia="zh-CN"/>
        </w:rPr>
      </w:pPr>
    </w:p>
    <w:p w:rsidR="006E2BB1" w:rsidRPr="00C258AD" w:rsidRDefault="00007D87" w:rsidP="00BB4DBC">
      <w:pPr>
        <w:pStyle w:val="ListParagraph"/>
        <w:numPr>
          <w:ilvl w:val="0"/>
          <w:numId w:val="2"/>
        </w:numPr>
        <w:autoSpaceDE w:val="0"/>
        <w:autoSpaceDN w:val="0"/>
        <w:spacing w:after="200"/>
        <w:ind w:left="0" w:firstLine="0"/>
        <w:jc w:val="both"/>
        <w:rPr>
          <w:bCs/>
        </w:rPr>
      </w:pPr>
      <w:r w:rsidRPr="00C258AD">
        <w:rPr>
          <w:lang w:eastAsia="zh-CN"/>
        </w:rPr>
        <w:t>En outre, dans le cadre du Plan d</w:t>
      </w:r>
      <w:r w:rsidR="00721905" w:rsidRPr="00C258AD">
        <w:rPr>
          <w:lang w:eastAsia="zh-CN"/>
        </w:rPr>
        <w:t>’</w:t>
      </w:r>
      <w:r w:rsidRPr="00C258AD">
        <w:rPr>
          <w:lang w:eastAsia="zh-CN"/>
        </w:rPr>
        <w:t>action pour le développement, le programme a mis en œuvre le projet pilote sur la propriété intellectuelle et la gestion des dessins et modèles pour le développement des entreprises dans les pays en développement et les pays les moins avancés (DA_4_10_02) en Argentine et au Mar</w:t>
      </w:r>
      <w:r w:rsidR="0000169D" w:rsidRPr="00C258AD">
        <w:rPr>
          <w:lang w:eastAsia="zh-CN"/>
        </w:rPr>
        <w:t xml:space="preserve">oc.  À </w:t>
      </w:r>
      <w:r w:rsidRPr="00C258AD">
        <w:rPr>
          <w:lang w:eastAsia="zh-CN"/>
        </w:rPr>
        <w:t>la suite de l</w:t>
      </w:r>
      <w:r w:rsidR="00721905" w:rsidRPr="00C258AD">
        <w:rPr>
          <w:lang w:eastAsia="zh-CN"/>
        </w:rPr>
        <w:t>’</w:t>
      </w:r>
      <w:r w:rsidRPr="00C258AD">
        <w:rPr>
          <w:lang w:eastAsia="zh-CN"/>
        </w:rPr>
        <w:t>accord formel sur le contenu du projet, des projets de stratégies nationales de protection des dessins et modèles en</w:t>
      </w:r>
      <w:r w:rsidR="002C57EB" w:rsidRPr="00C258AD">
        <w:rPr>
          <w:lang w:eastAsia="zh-CN"/>
        </w:rPr>
        <w:t> </w:t>
      </w:r>
      <w:r w:rsidRPr="00C258AD">
        <w:rPr>
          <w:lang w:eastAsia="zh-CN"/>
        </w:rPr>
        <w:t>2014, de programmes de sensibilisation et de stratégies de sortie ont été élaborés pour les deux</w:t>
      </w:r>
      <w:r w:rsidR="002C57EB" w:rsidRPr="00C258AD">
        <w:rPr>
          <w:lang w:eastAsia="zh-CN"/>
        </w:rPr>
        <w:t> </w:t>
      </w:r>
      <w:r w:rsidRPr="00C258AD">
        <w:rPr>
          <w:lang w:eastAsia="zh-CN"/>
        </w:rPr>
        <w:t xml:space="preserve">pays pilotes et des programmes nationaux spéciaux </w:t>
      </w:r>
      <w:r w:rsidRPr="00C258AD">
        <w:rPr>
          <w:bCs/>
        </w:rPr>
        <w:t>(</w:t>
      </w:r>
      <w:r w:rsidR="00721905" w:rsidRPr="00C258AD">
        <w:rPr>
          <w:bCs/>
        </w:rPr>
        <w:t>à savoir</w:t>
      </w:r>
      <w:r w:rsidRPr="00C258AD">
        <w:rPr>
          <w:bCs/>
        </w:rPr>
        <w:t xml:space="preserve">, </w:t>
      </w:r>
      <w:proofErr w:type="spellStart"/>
      <w:r w:rsidRPr="00C258AD">
        <w:rPr>
          <w:bCs/>
          <w:i/>
        </w:rPr>
        <w:t>Diseñar</w:t>
      </w:r>
      <w:proofErr w:type="spellEnd"/>
      <w:r w:rsidRPr="00C258AD">
        <w:rPr>
          <w:bCs/>
        </w:rPr>
        <w:t xml:space="preserve"> en Argentine et </w:t>
      </w:r>
      <w:proofErr w:type="spellStart"/>
      <w:r w:rsidRPr="00C258AD">
        <w:rPr>
          <w:bCs/>
          <w:i/>
        </w:rPr>
        <w:t>Nama</w:t>
      </w:r>
      <w:r w:rsidRPr="00C258AD">
        <w:rPr>
          <w:bCs/>
        </w:rPr>
        <w:t>dij</w:t>
      </w:r>
      <w:proofErr w:type="spellEnd"/>
      <w:r w:rsidRPr="00C258AD">
        <w:rPr>
          <w:bCs/>
        </w:rPr>
        <w:t xml:space="preserve"> au Maroc) ont été mis en pla</w:t>
      </w:r>
      <w:r w:rsidR="0000169D" w:rsidRPr="00C258AD">
        <w:rPr>
          <w:bCs/>
        </w:rPr>
        <w:t xml:space="preserve">ce.  </w:t>
      </w:r>
      <w:r w:rsidR="0000169D" w:rsidRPr="00C258AD">
        <w:rPr>
          <w:lang w:eastAsia="zh-CN"/>
        </w:rPr>
        <w:t>De</w:t>
      </w:r>
      <w:r w:rsidRPr="00C258AD">
        <w:rPr>
          <w:lang w:eastAsia="zh-CN"/>
        </w:rPr>
        <w:t xml:space="preserve">s études de faisabilité ont ensuite été réalisées dans les deux pays, aboutissant à la sélection initiale de </w:t>
      </w:r>
      <w:r w:rsidR="00FB247F" w:rsidRPr="00C258AD">
        <w:rPr>
          <w:bCs/>
        </w:rPr>
        <w:t>70 </w:t>
      </w:r>
      <w:r w:rsidRPr="00C258AD">
        <w:rPr>
          <w:bCs/>
        </w:rPr>
        <w:t>PME bénéficiaires, dont 68 ont finalement été retenues (42 en Argentine et 26 au Mar</w:t>
      </w:r>
      <w:r w:rsidR="0000169D" w:rsidRPr="00C258AD">
        <w:rPr>
          <w:bCs/>
        </w:rPr>
        <w:t>oc).  Af</w:t>
      </w:r>
      <w:r w:rsidRPr="00C258AD">
        <w:rPr>
          <w:bCs/>
        </w:rPr>
        <w:t>in d</w:t>
      </w:r>
      <w:r w:rsidR="00721905" w:rsidRPr="00C258AD">
        <w:rPr>
          <w:bCs/>
        </w:rPr>
        <w:t>’</w:t>
      </w:r>
      <w:r w:rsidRPr="00C258AD">
        <w:rPr>
          <w:bCs/>
        </w:rPr>
        <w:t>appuyer</w:t>
      </w:r>
      <w:r w:rsidR="00721905" w:rsidRPr="00C258AD">
        <w:rPr>
          <w:bCs/>
        </w:rPr>
        <w:t xml:space="preserve"> les PME</w:t>
      </w:r>
      <w:r w:rsidRPr="00C258AD">
        <w:rPr>
          <w:bCs/>
        </w:rPr>
        <w:t xml:space="preserve"> bénéficiaires dans l</w:t>
      </w:r>
      <w:r w:rsidR="00721905" w:rsidRPr="00C258AD">
        <w:rPr>
          <w:bCs/>
        </w:rPr>
        <w:t>’</w:t>
      </w:r>
      <w:r w:rsidRPr="00C258AD">
        <w:rPr>
          <w:bCs/>
        </w:rPr>
        <w:t>élaboration de stratégies sur mesure pour la protection des dessins et modèles et de leur fournir une assistance en matière de demandes de titres de propriété intellectuelle, des équipes nationales chargées du projet et composées de comités de direction de projet, de coordonnateurs de projet au niveau national et de huit</w:t>
      </w:r>
      <w:r w:rsidR="002C57EB" w:rsidRPr="00C258AD">
        <w:rPr>
          <w:bCs/>
        </w:rPr>
        <w:t> </w:t>
      </w:r>
      <w:r w:rsidRPr="00C258AD">
        <w:rPr>
          <w:bCs/>
        </w:rPr>
        <w:t>experts (cinq pour l</w:t>
      </w:r>
      <w:r w:rsidR="00721905" w:rsidRPr="00C258AD">
        <w:rPr>
          <w:bCs/>
        </w:rPr>
        <w:t>’</w:t>
      </w:r>
      <w:r w:rsidRPr="00C258AD">
        <w:rPr>
          <w:bCs/>
        </w:rPr>
        <w:t>Argentine et trois</w:t>
      </w:r>
      <w:r w:rsidR="002C57EB" w:rsidRPr="00C258AD">
        <w:rPr>
          <w:bCs/>
        </w:rPr>
        <w:t> </w:t>
      </w:r>
      <w:r w:rsidRPr="00C258AD">
        <w:rPr>
          <w:bCs/>
        </w:rPr>
        <w:t>pour le Maroc) ont été créées.</w:t>
      </w:r>
      <w:r w:rsidR="006A7E84" w:rsidRPr="00C258AD">
        <w:rPr>
          <w:bCs/>
        </w:rPr>
        <w:br w:type="page"/>
      </w:r>
    </w:p>
    <w:p w:rsidR="006E2BB1" w:rsidRPr="00C258AD" w:rsidRDefault="00007D87" w:rsidP="00BB4DBC">
      <w:pPr>
        <w:pStyle w:val="ListParagraph"/>
        <w:numPr>
          <w:ilvl w:val="0"/>
          <w:numId w:val="2"/>
        </w:numPr>
        <w:autoSpaceDE w:val="0"/>
        <w:autoSpaceDN w:val="0"/>
        <w:ind w:left="0" w:firstLine="0"/>
        <w:jc w:val="both"/>
        <w:rPr>
          <w:bCs/>
        </w:rPr>
      </w:pPr>
      <w:r w:rsidRPr="00C258AD">
        <w:rPr>
          <w:bCs/>
        </w:rPr>
        <w:lastRenderedPageBreak/>
        <w:t>Des progrès ont continué d</w:t>
      </w:r>
      <w:r w:rsidR="00721905" w:rsidRPr="00C258AD">
        <w:rPr>
          <w:bCs/>
        </w:rPr>
        <w:t>’</w:t>
      </w:r>
      <w:r w:rsidRPr="00C258AD">
        <w:rPr>
          <w:bCs/>
        </w:rPr>
        <w:t>être faits en</w:t>
      </w:r>
      <w:r w:rsidR="002C57EB" w:rsidRPr="00C258AD">
        <w:rPr>
          <w:bCs/>
        </w:rPr>
        <w:t> </w:t>
      </w:r>
      <w:r w:rsidRPr="00C258AD">
        <w:rPr>
          <w:bCs/>
        </w:rPr>
        <w:t>2015 avec la création de documents promotionnels et l</w:t>
      </w:r>
      <w:r w:rsidR="00721905" w:rsidRPr="00C258AD">
        <w:rPr>
          <w:bCs/>
        </w:rPr>
        <w:t>’</w:t>
      </w:r>
      <w:r w:rsidRPr="00C258AD">
        <w:rPr>
          <w:bCs/>
        </w:rPr>
        <w:t>élaboration d</w:t>
      </w:r>
      <w:r w:rsidR="00721905" w:rsidRPr="00C258AD">
        <w:rPr>
          <w:bCs/>
        </w:rPr>
        <w:t>’</w:t>
      </w:r>
      <w:r w:rsidRPr="00C258AD">
        <w:rPr>
          <w:bCs/>
        </w:rPr>
        <w:t>une série d</w:t>
      </w:r>
      <w:r w:rsidR="00721905" w:rsidRPr="00C258AD">
        <w:rPr>
          <w:bCs/>
        </w:rPr>
        <w:t>’</w:t>
      </w:r>
      <w:r w:rsidRPr="00C258AD">
        <w:rPr>
          <w:bCs/>
        </w:rPr>
        <w:t>instruments destinés à aider davantage</w:t>
      </w:r>
      <w:r w:rsidR="00721905" w:rsidRPr="00C258AD">
        <w:rPr>
          <w:bCs/>
        </w:rPr>
        <w:t xml:space="preserve"> les PME</w:t>
      </w:r>
      <w:r w:rsidRPr="00C258AD">
        <w:rPr>
          <w:bCs/>
        </w:rPr>
        <w:t xml:space="preserve"> bénéficiaires à protéger de manière stratégique leurs dessins et modèles aux fins de développement commercial sur les marchés locaux et internationa</w:t>
      </w:r>
      <w:r w:rsidR="0000169D" w:rsidRPr="00C258AD">
        <w:rPr>
          <w:bCs/>
        </w:rPr>
        <w:t>ux.  En</w:t>
      </w:r>
      <w:r w:rsidRPr="00C258AD">
        <w:rPr>
          <w:bCs/>
        </w:rPr>
        <w:t xml:space="preserve"> </w:t>
      </w:r>
      <w:r w:rsidR="00721905" w:rsidRPr="00C258AD">
        <w:rPr>
          <w:bCs/>
        </w:rPr>
        <w:t>novembre 20</w:t>
      </w:r>
      <w:r w:rsidRPr="00C258AD">
        <w:rPr>
          <w:bCs/>
        </w:rPr>
        <w:t>15,</w:t>
      </w:r>
      <w:r w:rsidR="00721905" w:rsidRPr="00C258AD">
        <w:rPr>
          <w:bCs/>
        </w:rPr>
        <w:t xml:space="preserve"> les PME</w:t>
      </w:r>
      <w:r w:rsidRPr="00C258AD">
        <w:rPr>
          <w:bCs/>
        </w:rPr>
        <w:t xml:space="preserve"> participantes avaient déposé ou étaient sur le point de déposer des demandes s</w:t>
      </w:r>
      <w:r w:rsidR="00721905" w:rsidRPr="00C258AD">
        <w:rPr>
          <w:bCs/>
        </w:rPr>
        <w:t>’</w:t>
      </w:r>
      <w:r w:rsidRPr="00C258AD">
        <w:rPr>
          <w:bCs/>
        </w:rPr>
        <w:t xml:space="preserve">élevant à un total de </w:t>
      </w:r>
      <w:r w:rsidR="00FB247F" w:rsidRPr="00C258AD">
        <w:rPr>
          <w:bCs/>
        </w:rPr>
        <w:t>32 </w:t>
      </w:r>
      <w:r w:rsidRPr="00C258AD">
        <w:rPr>
          <w:bCs/>
        </w:rPr>
        <w:t xml:space="preserve">dessins et modèles industriels et de </w:t>
      </w:r>
      <w:r w:rsidR="00FB247F" w:rsidRPr="00C258AD">
        <w:rPr>
          <w:bCs/>
        </w:rPr>
        <w:t>29 </w:t>
      </w:r>
      <w:r w:rsidRPr="00C258AD">
        <w:rPr>
          <w:bCs/>
        </w:rPr>
        <w:t xml:space="preserve">marques en Argentine, et de </w:t>
      </w:r>
      <w:r w:rsidR="00FB247F" w:rsidRPr="00C258AD">
        <w:rPr>
          <w:bCs/>
        </w:rPr>
        <w:t>77 </w:t>
      </w:r>
      <w:r w:rsidRPr="00C258AD">
        <w:rPr>
          <w:bCs/>
        </w:rPr>
        <w:t>dessins et modèles industriels au Mar</w:t>
      </w:r>
      <w:r w:rsidR="0000169D" w:rsidRPr="00C258AD">
        <w:rPr>
          <w:bCs/>
        </w:rPr>
        <w:t>oc.  D’a</w:t>
      </w:r>
      <w:r w:rsidRPr="00C258AD">
        <w:rPr>
          <w:bCs/>
        </w:rPr>
        <w:t>utres résultats principaux escomptés pour le projet au cours de l</w:t>
      </w:r>
      <w:r w:rsidR="00721905" w:rsidRPr="00C258AD">
        <w:rPr>
          <w:bCs/>
        </w:rPr>
        <w:t>’</w:t>
      </w:r>
      <w:r w:rsidRPr="00C258AD">
        <w:rPr>
          <w:bCs/>
        </w:rPr>
        <w:t>exercice biennal prévoyaient la création d</w:t>
      </w:r>
      <w:r w:rsidR="00721905" w:rsidRPr="00C258AD">
        <w:rPr>
          <w:bCs/>
        </w:rPr>
        <w:t>’</w:t>
      </w:r>
      <w:r w:rsidRPr="00C258AD">
        <w:rPr>
          <w:bCs/>
        </w:rPr>
        <w:t>un comité de direction national dans chaque pays, composé de représentants provenant de ministères, d</w:t>
      </w:r>
      <w:r w:rsidR="00721905" w:rsidRPr="00C258AD">
        <w:rPr>
          <w:bCs/>
        </w:rPr>
        <w:t>’</w:t>
      </w:r>
      <w:r w:rsidRPr="00C258AD">
        <w:rPr>
          <w:bCs/>
        </w:rPr>
        <w:t>associations, de chambres de commerce, d</w:t>
      </w:r>
      <w:r w:rsidR="00721905" w:rsidRPr="00C258AD">
        <w:rPr>
          <w:bCs/>
        </w:rPr>
        <w:t>’</w:t>
      </w:r>
      <w:r w:rsidRPr="00C258AD">
        <w:rPr>
          <w:bCs/>
        </w:rPr>
        <w:t>écoles et d</w:t>
      </w:r>
      <w:r w:rsidR="00721905" w:rsidRPr="00C258AD">
        <w:rPr>
          <w:bCs/>
        </w:rPr>
        <w:t>’</w:t>
      </w:r>
      <w:r w:rsidRPr="00C258AD">
        <w:rPr>
          <w:bCs/>
        </w:rPr>
        <w:t>universit</w:t>
      </w:r>
      <w:r w:rsidR="0000169D" w:rsidRPr="00C258AD">
        <w:rPr>
          <w:bCs/>
        </w:rPr>
        <w:t>és.  Af</w:t>
      </w:r>
      <w:r w:rsidRPr="00C258AD">
        <w:rPr>
          <w:bCs/>
        </w:rPr>
        <w:t>in de renforcer davantage l</w:t>
      </w:r>
      <w:r w:rsidR="00721905" w:rsidRPr="00C258AD">
        <w:rPr>
          <w:bCs/>
        </w:rPr>
        <w:t>’</w:t>
      </w:r>
      <w:r w:rsidRPr="00C258AD">
        <w:rPr>
          <w:bCs/>
        </w:rPr>
        <w:t xml:space="preserve">engagement des partenaires institutionnels en vue de leur contribution à la réalisation des objectifs de chacun des pays, des chartes de projet ont été signées le </w:t>
      </w:r>
      <w:r w:rsidR="00721905" w:rsidRPr="00C258AD">
        <w:rPr>
          <w:bCs/>
        </w:rPr>
        <w:t>7 avril 20</w:t>
      </w:r>
      <w:r w:rsidRPr="00C258AD">
        <w:rPr>
          <w:bCs/>
        </w:rPr>
        <w:t xml:space="preserve">15 en Argentine en présence du </w:t>
      </w:r>
      <w:r w:rsidR="00FB247F" w:rsidRPr="00C258AD">
        <w:rPr>
          <w:bCs/>
        </w:rPr>
        <w:t>ministre</w:t>
      </w:r>
      <w:r w:rsidRPr="00C258AD">
        <w:rPr>
          <w:bCs/>
        </w:rPr>
        <w:t xml:space="preserve"> de l</w:t>
      </w:r>
      <w:r w:rsidR="00721905" w:rsidRPr="00C258AD">
        <w:rPr>
          <w:bCs/>
        </w:rPr>
        <w:t>’</w:t>
      </w:r>
      <w:r w:rsidRPr="00C258AD">
        <w:rPr>
          <w:bCs/>
        </w:rPr>
        <w:t>industrie, et entre le</w:t>
      </w:r>
      <w:r w:rsidR="00721905" w:rsidRPr="00C258AD">
        <w:rPr>
          <w:bCs/>
        </w:rPr>
        <w:t xml:space="preserve"> 1</w:t>
      </w:r>
      <w:r w:rsidR="00721905" w:rsidRPr="00C258AD">
        <w:rPr>
          <w:bCs/>
          <w:vertAlign w:val="superscript"/>
        </w:rPr>
        <w:t>er</w:t>
      </w:r>
      <w:r w:rsidR="00721905" w:rsidRPr="00C258AD">
        <w:rPr>
          <w:bCs/>
        </w:rPr>
        <w:t> </w:t>
      </w:r>
      <w:r w:rsidRPr="00C258AD">
        <w:rPr>
          <w:bCs/>
        </w:rPr>
        <w:t>avril et le 2</w:t>
      </w:r>
      <w:r w:rsidR="00721905" w:rsidRPr="00C258AD">
        <w:rPr>
          <w:bCs/>
        </w:rPr>
        <w:t>7 octobre</w:t>
      </w:r>
      <w:r w:rsidR="0067337E" w:rsidRPr="00C258AD">
        <w:rPr>
          <w:bCs/>
        </w:rPr>
        <w:t> 2015</w:t>
      </w:r>
      <w:r w:rsidRPr="00C258AD">
        <w:rPr>
          <w:bCs/>
        </w:rPr>
        <w:t xml:space="preserve"> au Maroc par les partenaires</w:t>
      </w:r>
      <w:r w:rsidR="0000169D" w:rsidRPr="00C258AD">
        <w:rPr>
          <w:bCs/>
        </w:rPr>
        <w:noBreakHyphen/>
      </w:r>
      <w:r w:rsidRPr="00C258AD">
        <w:rPr>
          <w:bCs/>
        </w:rPr>
        <w:t>clés du projet sur le plan nation</w:t>
      </w:r>
      <w:r w:rsidR="0000169D" w:rsidRPr="00C258AD">
        <w:rPr>
          <w:bCs/>
        </w:rPr>
        <w:t>al.  Le</w:t>
      </w:r>
      <w:r w:rsidRPr="00C258AD">
        <w:rPr>
          <w:bCs/>
        </w:rPr>
        <w:t xml:space="preserve"> Secrétariat et les délégations des deux</w:t>
      </w:r>
      <w:r w:rsidR="002C57EB" w:rsidRPr="00C258AD">
        <w:rPr>
          <w:bCs/>
        </w:rPr>
        <w:t> </w:t>
      </w:r>
      <w:r w:rsidRPr="00C258AD">
        <w:rPr>
          <w:bCs/>
        </w:rPr>
        <w:t>pays ont présenté les résultats du projet aux États membres lors d</w:t>
      </w:r>
      <w:r w:rsidR="00721905" w:rsidRPr="00C258AD">
        <w:rPr>
          <w:bCs/>
        </w:rPr>
        <w:t>’</w:t>
      </w:r>
      <w:r w:rsidRPr="00C258AD">
        <w:rPr>
          <w:bCs/>
        </w:rPr>
        <w:t>un événement organisé en marge de la trente</w:t>
      </w:r>
      <w:r w:rsidR="0000169D" w:rsidRPr="00C258AD">
        <w:rPr>
          <w:bCs/>
        </w:rPr>
        <w:noBreakHyphen/>
      </w:r>
      <w:r w:rsidRPr="00C258AD">
        <w:rPr>
          <w:bCs/>
        </w:rPr>
        <w:t>quatrième</w:t>
      </w:r>
      <w:r w:rsidR="002C57EB" w:rsidRPr="00C258AD">
        <w:rPr>
          <w:bCs/>
        </w:rPr>
        <w:t> </w:t>
      </w:r>
      <w:r w:rsidRPr="00C258AD">
        <w:rPr>
          <w:bCs/>
        </w:rPr>
        <w:t>session</w:t>
      </w:r>
      <w:r w:rsidR="00721905" w:rsidRPr="00C258AD">
        <w:rPr>
          <w:bCs/>
        </w:rPr>
        <w:t xml:space="preserve"> du </w:t>
      </w:r>
      <w:r w:rsidR="0000169D" w:rsidRPr="00C258AD">
        <w:rPr>
          <w:bCs/>
        </w:rPr>
        <w:t>SCT.  Le</w:t>
      </w:r>
      <w:r w:rsidRPr="00C258AD">
        <w:rPr>
          <w:bCs/>
        </w:rPr>
        <w:t>s enquêtes menées à ce jour révèlent un taux de satisfaction globalement très élevé en ce qui concerne les agences pilotes et</w:t>
      </w:r>
      <w:r w:rsidR="00721905" w:rsidRPr="00C258AD">
        <w:rPr>
          <w:bCs/>
        </w:rPr>
        <w:t xml:space="preserve"> les PME</w:t>
      </w:r>
      <w:r w:rsidRPr="00C258AD">
        <w:rPr>
          <w:bCs/>
        </w:rPr>
        <w:t xml:space="preserve"> pour ce qui est de l</w:t>
      </w:r>
      <w:r w:rsidR="00721905" w:rsidRPr="00C258AD">
        <w:rPr>
          <w:bCs/>
        </w:rPr>
        <w:t>’</w:t>
      </w:r>
      <w:r w:rsidRPr="00C258AD">
        <w:rPr>
          <w:bCs/>
        </w:rPr>
        <w:t>assistance technique reçue et de la valeur ajoutée du projet pour le développement commercial local des entreprises fondées sur une utilisation intensive des dessins et modèles grâce à une l</w:t>
      </w:r>
      <w:r w:rsidR="00721905" w:rsidRPr="00C258AD">
        <w:rPr>
          <w:bCs/>
        </w:rPr>
        <w:t>’</w:t>
      </w:r>
      <w:r w:rsidRPr="00C258AD">
        <w:rPr>
          <w:bCs/>
        </w:rPr>
        <w:t>utilisation stratégique de la propriété intellectuel</w:t>
      </w:r>
      <w:r w:rsidR="0000169D" w:rsidRPr="00C258AD">
        <w:rPr>
          <w:bCs/>
        </w:rPr>
        <w:t>le.  De</w:t>
      </w:r>
      <w:r w:rsidRPr="00C258AD">
        <w:rPr>
          <w:bCs/>
        </w:rPr>
        <w:t>s stratégies de sorties sont en cours d</w:t>
      </w:r>
      <w:r w:rsidR="00721905" w:rsidRPr="00C258AD">
        <w:rPr>
          <w:bCs/>
        </w:rPr>
        <w:t>’</w:t>
      </w:r>
      <w:r w:rsidRPr="00C258AD">
        <w:rPr>
          <w:bCs/>
        </w:rPr>
        <w:t xml:space="preserve">examen aux fins de mise en </w:t>
      </w:r>
      <w:r w:rsidR="00721905" w:rsidRPr="00C258AD">
        <w:rPr>
          <w:bCs/>
        </w:rPr>
        <w:t>œuvre</w:t>
      </w:r>
      <w:r w:rsidRPr="00C258AD">
        <w:rPr>
          <w:bCs/>
        </w:rPr>
        <w:t xml:space="preserve"> dans chaque pays en</w:t>
      </w:r>
      <w:r w:rsidR="002C57EB" w:rsidRPr="00C258AD">
        <w:rPr>
          <w:bCs/>
        </w:rPr>
        <w:t> </w:t>
      </w:r>
      <w:r w:rsidRPr="00C258AD">
        <w:rPr>
          <w:bCs/>
        </w:rPr>
        <w:t>2016, et le programme fera également l</w:t>
      </w:r>
      <w:r w:rsidR="00721905" w:rsidRPr="00C258AD">
        <w:rPr>
          <w:bCs/>
        </w:rPr>
        <w:t>’</w:t>
      </w:r>
      <w:r w:rsidRPr="00C258AD">
        <w:rPr>
          <w:bCs/>
        </w:rPr>
        <w:t>objet d</w:t>
      </w:r>
      <w:r w:rsidR="00721905" w:rsidRPr="00C258AD">
        <w:rPr>
          <w:bCs/>
        </w:rPr>
        <w:t>’</w:t>
      </w:r>
      <w:r w:rsidRPr="00C258AD">
        <w:rPr>
          <w:bCs/>
        </w:rPr>
        <w:t>une évaluation finale.</w:t>
      </w:r>
    </w:p>
    <w:p w:rsidR="006E2BB1" w:rsidRPr="00C258AD" w:rsidRDefault="006E2BB1" w:rsidP="00BE27AB"/>
    <w:p w:rsidR="006E2BB1" w:rsidRPr="00C258AD" w:rsidRDefault="006E2BB1" w:rsidP="00BE27AB"/>
    <w:p w:rsidR="006E2BB1" w:rsidRPr="00C258AD" w:rsidRDefault="00BE27AB" w:rsidP="00305CE5">
      <w:pPr>
        <w:keepNext/>
        <w:rPr>
          <w:rFonts w:cs="Arial"/>
          <w:caps/>
          <w:sz w:val="22"/>
          <w:szCs w:val="22"/>
        </w:rPr>
      </w:pPr>
      <w:r w:rsidRPr="00C258AD">
        <w:rPr>
          <w:rFonts w:cs="Arial"/>
          <w:caps/>
          <w:sz w:val="22"/>
          <w:szCs w:val="22"/>
        </w:rPr>
        <w:t>Données relatives à l</w:t>
      </w:r>
      <w:r w:rsidR="00721905" w:rsidRPr="00C258AD">
        <w:rPr>
          <w:rFonts w:cs="Arial"/>
          <w:caps/>
          <w:sz w:val="22"/>
          <w:szCs w:val="22"/>
        </w:rPr>
        <w:t>’</w:t>
      </w:r>
      <w:r w:rsidRPr="00C258AD">
        <w:rPr>
          <w:rFonts w:cs="Arial"/>
          <w:caps/>
          <w:sz w:val="22"/>
          <w:szCs w:val="22"/>
        </w:rPr>
        <w:t>exécution</w:t>
      </w:r>
    </w:p>
    <w:p w:rsidR="00007D87" w:rsidRPr="00C258AD" w:rsidRDefault="00007D87" w:rsidP="00BE27AB"/>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133"/>
        <w:gridCol w:w="2681"/>
        <w:gridCol w:w="27"/>
        <w:gridCol w:w="1257"/>
        <w:gridCol w:w="17"/>
        <w:gridCol w:w="2244"/>
        <w:gridCol w:w="1132"/>
      </w:tblGrid>
      <w:tr w:rsidR="00007D87" w:rsidRPr="00C258AD" w:rsidTr="006A7E84">
        <w:trPr>
          <w:cantSplit/>
        </w:trPr>
        <w:tc>
          <w:tcPr>
            <w:tcW w:w="5000" w:type="pct"/>
            <w:gridSpan w:val="7"/>
            <w:tcBorders>
              <w:top w:val="single" w:sz="4" w:space="0" w:color="auto"/>
              <w:bottom w:val="single" w:sz="4" w:space="0" w:color="auto"/>
            </w:tcBorders>
            <w:shd w:val="clear" w:color="auto" w:fill="C5D9F1"/>
            <w:tcMar>
              <w:top w:w="113" w:type="dxa"/>
              <w:bottom w:w="113" w:type="dxa"/>
            </w:tcMar>
            <w:vAlign w:val="center"/>
          </w:tcPr>
          <w:p w:rsidR="00007D87" w:rsidRPr="00C258AD" w:rsidRDefault="00007D87" w:rsidP="0083763A">
            <w:pPr>
              <w:keepNext/>
              <w:keepLines/>
              <w:rPr>
                <w:b/>
                <w:bCs/>
                <w:sz w:val="16"/>
                <w:szCs w:val="16"/>
              </w:rPr>
            </w:pPr>
            <w:r w:rsidRPr="00C258AD">
              <w:rPr>
                <w:b/>
                <w:bCs/>
                <w:sz w:val="16"/>
                <w:szCs w:val="16"/>
              </w:rPr>
              <w:t xml:space="preserve">Résultat escompté : </w:t>
            </w:r>
            <w:r w:rsidRPr="00C258AD">
              <w:rPr>
                <w:bCs/>
                <w:sz w:val="16"/>
                <w:szCs w:val="16"/>
              </w:rPr>
              <w:t xml:space="preserve">I.1 </w:t>
            </w:r>
            <w:r w:rsidRPr="00C258AD">
              <w:rPr>
                <w:sz w:val="16"/>
                <w:szCs w:val="16"/>
                <w:lang w:bidi="th-TH"/>
              </w:rPr>
              <w:t>Renforcement de la coopération entre les États membres en ce qui concerne l</w:t>
            </w:r>
            <w:r w:rsidR="00721905" w:rsidRPr="00C258AD">
              <w:rPr>
                <w:sz w:val="16"/>
                <w:szCs w:val="16"/>
                <w:lang w:bidi="th-TH"/>
              </w:rPr>
              <w:t>’</w:t>
            </w:r>
            <w:r w:rsidRPr="00C258AD">
              <w:rPr>
                <w:sz w:val="16"/>
                <w:szCs w:val="16"/>
                <w:lang w:bidi="th-TH"/>
              </w:rPr>
              <w:t>élaboration de cadres normatifs internationaux équilibrés dans le domaine de la propriété intellectuelle et d</w:t>
            </w:r>
            <w:r w:rsidR="00721905" w:rsidRPr="00C258AD">
              <w:rPr>
                <w:sz w:val="16"/>
                <w:szCs w:val="16"/>
                <w:lang w:bidi="th-TH"/>
              </w:rPr>
              <w:t>’</w:t>
            </w:r>
            <w:r w:rsidRPr="00C258AD">
              <w:rPr>
                <w:sz w:val="16"/>
                <w:szCs w:val="16"/>
                <w:lang w:bidi="th-TH"/>
              </w:rPr>
              <w:t>un accord sur des questions concrètes donnant lieu à des instruments internationaux</w:t>
            </w:r>
          </w:p>
        </w:tc>
      </w:tr>
      <w:tr w:rsidR="00007D87" w:rsidRPr="00C258AD" w:rsidTr="006A7E84">
        <w:trPr>
          <w:cantSplit/>
        </w:trPr>
        <w:tc>
          <w:tcPr>
            <w:tcW w:w="1124" w:type="pct"/>
            <w:tcBorders>
              <w:top w:val="single" w:sz="4" w:space="0" w:color="auto"/>
            </w:tcBorders>
            <w:shd w:val="clear" w:color="auto" w:fill="auto"/>
            <w:tcMar>
              <w:top w:w="113" w:type="dxa"/>
              <w:bottom w:w="113" w:type="dxa"/>
            </w:tcMar>
            <w:vAlign w:val="center"/>
          </w:tcPr>
          <w:p w:rsidR="00007D87" w:rsidRPr="00C258AD" w:rsidRDefault="00007D87" w:rsidP="0083763A">
            <w:pPr>
              <w:jc w:val="center"/>
              <w:rPr>
                <w:sz w:val="16"/>
                <w:szCs w:val="16"/>
              </w:rPr>
            </w:pPr>
            <w:r w:rsidRPr="00C258AD">
              <w:rPr>
                <w:b/>
                <w:bCs/>
                <w:sz w:val="16"/>
                <w:szCs w:val="16"/>
              </w:rPr>
              <w:t>Indicateurs d</w:t>
            </w:r>
            <w:r w:rsidR="00721905" w:rsidRPr="00C258AD">
              <w:rPr>
                <w:b/>
                <w:bCs/>
                <w:sz w:val="16"/>
                <w:szCs w:val="16"/>
              </w:rPr>
              <w:t>’</w:t>
            </w:r>
            <w:r w:rsidRPr="00C258AD">
              <w:rPr>
                <w:b/>
                <w:bCs/>
                <w:sz w:val="16"/>
                <w:szCs w:val="16"/>
              </w:rPr>
              <w:t>exécution</w:t>
            </w:r>
          </w:p>
        </w:tc>
        <w:tc>
          <w:tcPr>
            <w:tcW w:w="1427" w:type="pct"/>
            <w:gridSpan w:val="2"/>
            <w:tcBorders>
              <w:top w:val="single" w:sz="4" w:space="0" w:color="auto"/>
            </w:tcBorders>
            <w:shd w:val="clear" w:color="auto" w:fill="auto"/>
            <w:tcMar>
              <w:top w:w="113" w:type="dxa"/>
              <w:bottom w:w="113" w:type="dxa"/>
            </w:tcMar>
            <w:vAlign w:val="center"/>
          </w:tcPr>
          <w:p w:rsidR="00007D87" w:rsidRPr="00C258AD" w:rsidRDefault="00007D87" w:rsidP="0083763A">
            <w:pPr>
              <w:jc w:val="center"/>
              <w:rPr>
                <w:b/>
                <w:bCs/>
                <w:sz w:val="16"/>
                <w:szCs w:val="16"/>
              </w:rPr>
            </w:pPr>
            <w:r w:rsidRPr="00C258AD">
              <w:rPr>
                <w:b/>
                <w:bCs/>
                <w:sz w:val="16"/>
                <w:szCs w:val="16"/>
              </w:rPr>
              <w:t>Niveaux de référence</w:t>
            </w:r>
          </w:p>
        </w:tc>
        <w:tc>
          <w:tcPr>
            <w:tcW w:w="671" w:type="pct"/>
            <w:gridSpan w:val="2"/>
            <w:tcBorders>
              <w:top w:val="single" w:sz="4" w:space="0" w:color="auto"/>
            </w:tcBorders>
            <w:shd w:val="clear" w:color="auto" w:fill="auto"/>
            <w:tcMar>
              <w:top w:w="113" w:type="dxa"/>
              <w:bottom w:w="113" w:type="dxa"/>
            </w:tcMar>
            <w:vAlign w:val="center"/>
          </w:tcPr>
          <w:p w:rsidR="00007D87" w:rsidRPr="00C258AD" w:rsidRDefault="00007D87" w:rsidP="0083763A">
            <w:pPr>
              <w:jc w:val="center"/>
              <w:rPr>
                <w:b/>
                <w:sz w:val="16"/>
                <w:szCs w:val="16"/>
              </w:rPr>
            </w:pPr>
            <w:r w:rsidRPr="00C258AD">
              <w:rPr>
                <w:b/>
                <w:sz w:val="16"/>
                <w:szCs w:val="16"/>
              </w:rPr>
              <w:t>Objectifs visés</w:t>
            </w:r>
          </w:p>
        </w:tc>
        <w:tc>
          <w:tcPr>
            <w:tcW w:w="1182" w:type="pct"/>
            <w:tcBorders>
              <w:top w:val="single" w:sz="4" w:space="0" w:color="auto"/>
            </w:tcBorders>
            <w:shd w:val="clear" w:color="auto" w:fill="auto"/>
            <w:tcMar>
              <w:top w:w="113" w:type="dxa"/>
              <w:bottom w:w="113" w:type="dxa"/>
            </w:tcMar>
            <w:vAlign w:val="center"/>
          </w:tcPr>
          <w:p w:rsidR="00007D87" w:rsidRPr="00C258AD" w:rsidRDefault="00007D87" w:rsidP="0083763A">
            <w:pPr>
              <w:jc w:val="center"/>
              <w:rPr>
                <w:sz w:val="16"/>
                <w:szCs w:val="16"/>
              </w:rPr>
            </w:pPr>
            <w:r w:rsidRPr="00C258AD">
              <w:rPr>
                <w:b/>
                <w:bCs/>
                <w:sz w:val="16"/>
                <w:szCs w:val="16"/>
              </w:rPr>
              <w:t>Données relatives à l</w:t>
            </w:r>
            <w:r w:rsidR="00721905" w:rsidRPr="00C258AD">
              <w:rPr>
                <w:b/>
                <w:bCs/>
                <w:sz w:val="16"/>
                <w:szCs w:val="16"/>
              </w:rPr>
              <w:t>’</w:t>
            </w:r>
            <w:r w:rsidRPr="00C258AD">
              <w:rPr>
                <w:b/>
                <w:bCs/>
                <w:sz w:val="16"/>
                <w:szCs w:val="16"/>
              </w:rPr>
              <w:t>exécution</w:t>
            </w:r>
          </w:p>
        </w:tc>
        <w:tc>
          <w:tcPr>
            <w:tcW w:w="596" w:type="pct"/>
            <w:tcBorders>
              <w:top w:val="single" w:sz="4" w:space="0" w:color="auto"/>
            </w:tcBorders>
            <w:shd w:val="clear" w:color="auto" w:fill="auto"/>
            <w:tcMar>
              <w:top w:w="113" w:type="dxa"/>
              <w:bottom w:w="113" w:type="dxa"/>
            </w:tcMar>
            <w:vAlign w:val="center"/>
          </w:tcPr>
          <w:p w:rsidR="00007D87" w:rsidRPr="00C258AD" w:rsidRDefault="00007D87" w:rsidP="0083763A">
            <w:pPr>
              <w:keepNext/>
              <w:keepLines/>
              <w:jc w:val="center"/>
              <w:rPr>
                <w:b/>
                <w:bCs/>
                <w:sz w:val="16"/>
                <w:szCs w:val="16"/>
              </w:rPr>
            </w:pPr>
            <w:r w:rsidRPr="00C258AD">
              <w:rPr>
                <w:b/>
                <w:bCs/>
                <w:sz w:val="16"/>
                <w:szCs w:val="16"/>
              </w:rPr>
              <w:t>Code de couleurs</w:t>
            </w:r>
          </w:p>
        </w:tc>
      </w:tr>
      <w:tr w:rsidR="00007D87" w:rsidRPr="00C258AD" w:rsidTr="006A7E84">
        <w:trPr>
          <w:cantSplit/>
        </w:trPr>
        <w:tc>
          <w:tcPr>
            <w:tcW w:w="1124" w:type="pct"/>
            <w:shd w:val="clear" w:color="auto" w:fill="auto"/>
            <w:tcMar>
              <w:top w:w="113" w:type="dxa"/>
              <w:bottom w:w="113" w:type="dxa"/>
            </w:tcMar>
          </w:tcPr>
          <w:p w:rsidR="00007D87" w:rsidRPr="00C258AD" w:rsidRDefault="00007D87" w:rsidP="0083763A">
            <w:pPr>
              <w:rPr>
                <w:sz w:val="16"/>
                <w:szCs w:val="16"/>
              </w:rPr>
            </w:pPr>
            <w:r w:rsidRPr="00C258AD">
              <w:rPr>
                <w:sz w:val="16"/>
                <w:szCs w:val="16"/>
              </w:rPr>
              <w:t>Accord sur un cadre normatif relatif aux procédures d</w:t>
            </w:r>
            <w:r w:rsidR="00721905" w:rsidRPr="00C258AD">
              <w:rPr>
                <w:sz w:val="16"/>
                <w:szCs w:val="16"/>
              </w:rPr>
              <w:t>’</w:t>
            </w:r>
            <w:r w:rsidRPr="00C258AD">
              <w:rPr>
                <w:sz w:val="16"/>
                <w:szCs w:val="16"/>
              </w:rPr>
              <w:t>enregistrement et de mise à jour des dessins et modèles industriels</w:t>
            </w:r>
          </w:p>
        </w:tc>
        <w:tc>
          <w:tcPr>
            <w:tcW w:w="1427" w:type="pct"/>
            <w:gridSpan w:val="2"/>
            <w:shd w:val="clear" w:color="auto" w:fill="auto"/>
            <w:tcMar>
              <w:top w:w="113" w:type="dxa"/>
              <w:bottom w:w="113" w:type="dxa"/>
            </w:tcMar>
          </w:tcPr>
          <w:p w:rsidR="006E2BB1" w:rsidRPr="00C258AD" w:rsidRDefault="00007D87" w:rsidP="0083763A">
            <w:pPr>
              <w:rPr>
                <w:i/>
                <w:color w:val="002060"/>
                <w:sz w:val="16"/>
                <w:szCs w:val="16"/>
              </w:rPr>
            </w:pPr>
            <w:r w:rsidRPr="00C258AD">
              <w:rPr>
                <w:i/>
                <w:color w:val="002060"/>
                <w:sz w:val="16"/>
                <w:szCs w:val="16"/>
              </w:rPr>
              <w:t>Niveau de référence actualisé à fin 2013 :</w:t>
            </w:r>
            <w:r w:rsidRPr="00C258AD">
              <w:rPr>
                <w:color w:val="002060"/>
                <w:sz w:val="16"/>
                <w:szCs w:val="16"/>
              </w:rPr>
              <w:t xml:space="preserve"> pas de cadre normatif relatif aux procédures d</w:t>
            </w:r>
            <w:r w:rsidR="00721905" w:rsidRPr="00C258AD">
              <w:rPr>
                <w:color w:val="002060"/>
                <w:sz w:val="16"/>
                <w:szCs w:val="16"/>
              </w:rPr>
              <w:t>’</w:t>
            </w:r>
            <w:r w:rsidRPr="00C258AD">
              <w:rPr>
                <w:color w:val="002060"/>
                <w:sz w:val="16"/>
                <w:szCs w:val="16"/>
              </w:rPr>
              <w:t>enregistrement des dessins et modèles industriels</w:t>
            </w:r>
          </w:p>
          <w:p w:rsidR="006E2BB1" w:rsidRPr="00C258AD" w:rsidRDefault="006E2BB1" w:rsidP="0083763A">
            <w:pPr>
              <w:rPr>
                <w:i/>
                <w:sz w:val="16"/>
                <w:szCs w:val="16"/>
              </w:rPr>
            </w:pPr>
          </w:p>
          <w:p w:rsidR="006E2BB1" w:rsidRPr="00C258AD" w:rsidRDefault="00007D87" w:rsidP="0083763A">
            <w:pPr>
              <w:rPr>
                <w:sz w:val="16"/>
                <w:szCs w:val="16"/>
              </w:rPr>
            </w:pPr>
            <w:r w:rsidRPr="00C258AD">
              <w:rPr>
                <w:i/>
                <w:sz w:val="16"/>
                <w:szCs w:val="16"/>
              </w:rPr>
              <w:t>Niveau de référence initial dans le programme et budget 2014</w:t>
            </w:r>
            <w:r w:rsidR="0000169D" w:rsidRPr="00C258AD">
              <w:rPr>
                <w:i/>
                <w:sz w:val="16"/>
                <w:szCs w:val="16"/>
              </w:rPr>
              <w:noBreakHyphen/>
            </w:r>
            <w:r w:rsidRPr="00C258AD">
              <w:rPr>
                <w:i/>
                <w:sz w:val="16"/>
                <w:szCs w:val="16"/>
              </w:rPr>
              <w:t>2015 :</w:t>
            </w:r>
          </w:p>
          <w:p w:rsidR="00007D87" w:rsidRPr="00C258AD" w:rsidRDefault="00007D87" w:rsidP="0083763A">
            <w:pPr>
              <w:rPr>
                <w:sz w:val="16"/>
                <w:szCs w:val="16"/>
              </w:rPr>
            </w:pPr>
            <w:r w:rsidRPr="00C258AD">
              <w:rPr>
                <w:sz w:val="16"/>
                <w:szCs w:val="16"/>
              </w:rPr>
              <w:t>pas de cadre normatif relatif aux procédures d</w:t>
            </w:r>
            <w:r w:rsidR="00721905" w:rsidRPr="00C258AD">
              <w:rPr>
                <w:sz w:val="16"/>
                <w:szCs w:val="16"/>
              </w:rPr>
              <w:t>’</w:t>
            </w:r>
            <w:r w:rsidRPr="00C258AD">
              <w:rPr>
                <w:sz w:val="16"/>
                <w:szCs w:val="16"/>
              </w:rPr>
              <w:t>enregistrement et de mise à jour des dessins et modèles industriels</w:t>
            </w:r>
          </w:p>
        </w:tc>
        <w:tc>
          <w:tcPr>
            <w:tcW w:w="671" w:type="pct"/>
            <w:gridSpan w:val="2"/>
            <w:shd w:val="clear" w:color="auto" w:fill="auto"/>
            <w:tcMar>
              <w:top w:w="113" w:type="dxa"/>
              <w:bottom w:w="113" w:type="dxa"/>
            </w:tcMar>
          </w:tcPr>
          <w:p w:rsidR="00007D87" w:rsidRPr="00C258AD" w:rsidRDefault="00007D87" w:rsidP="0083763A">
            <w:pPr>
              <w:autoSpaceDE w:val="0"/>
              <w:autoSpaceDN w:val="0"/>
              <w:adjustRightInd w:val="0"/>
              <w:rPr>
                <w:sz w:val="16"/>
                <w:szCs w:val="16"/>
              </w:rPr>
            </w:pPr>
            <w:r w:rsidRPr="00C258AD">
              <w:rPr>
                <w:sz w:val="16"/>
                <w:szCs w:val="16"/>
              </w:rPr>
              <w:t>Adoption d</w:t>
            </w:r>
            <w:r w:rsidR="00721905" w:rsidRPr="00C258AD">
              <w:rPr>
                <w:sz w:val="16"/>
                <w:szCs w:val="16"/>
              </w:rPr>
              <w:t>’</w:t>
            </w:r>
            <w:r w:rsidRPr="00C258AD">
              <w:rPr>
                <w:sz w:val="16"/>
                <w:szCs w:val="16"/>
              </w:rPr>
              <w:t>un traité sur le droit des dessins et modèles par une éventuelle conférence diplomatique</w:t>
            </w:r>
          </w:p>
        </w:tc>
        <w:tc>
          <w:tcPr>
            <w:tcW w:w="1182" w:type="pct"/>
            <w:shd w:val="clear" w:color="auto" w:fill="auto"/>
            <w:tcMar>
              <w:top w:w="113" w:type="dxa"/>
              <w:bottom w:w="113" w:type="dxa"/>
            </w:tcMar>
          </w:tcPr>
          <w:p w:rsidR="00007D87" w:rsidRPr="00C258AD" w:rsidRDefault="00007D87" w:rsidP="0083763A">
            <w:pPr>
              <w:rPr>
                <w:sz w:val="16"/>
                <w:szCs w:val="16"/>
              </w:rPr>
            </w:pPr>
            <w:r w:rsidRPr="00C258AD">
              <w:rPr>
                <w:sz w:val="16"/>
                <w:szCs w:val="16"/>
              </w:rPr>
              <w:t>Décision de l</w:t>
            </w:r>
            <w:r w:rsidR="00721905" w:rsidRPr="00C258AD">
              <w:rPr>
                <w:sz w:val="16"/>
                <w:szCs w:val="16"/>
              </w:rPr>
              <w:t>’</w:t>
            </w:r>
            <w:r w:rsidRPr="00C258AD">
              <w:rPr>
                <w:sz w:val="16"/>
                <w:szCs w:val="16"/>
              </w:rPr>
              <w:t>Assemblée générale de l</w:t>
            </w:r>
            <w:r w:rsidR="00721905" w:rsidRPr="00C258AD">
              <w:rPr>
                <w:sz w:val="16"/>
                <w:szCs w:val="16"/>
              </w:rPr>
              <w:t>’</w:t>
            </w:r>
            <w:r w:rsidRPr="00C258AD">
              <w:rPr>
                <w:sz w:val="16"/>
                <w:szCs w:val="16"/>
              </w:rPr>
              <w:t>OMPI de convoquer une conférence diplomatique pour l</w:t>
            </w:r>
            <w:r w:rsidR="00721905" w:rsidRPr="00C258AD">
              <w:rPr>
                <w:sz w:val="16"/>
                <w:szCs w:val="16"/>
              </w:rPr>
              <w:t>’</w:t>
            </w:r>
            <w:r w:rsidRPr="00C258AD">
              <w:rPr>
                <w:sz w:val="16"/>
                <w:szCs w:val="16"/>
              </w:rPr>
              <w:t>adoption d</w:t>
            </w:r>
            <w:r w:rsidR="00721905" w:rsidRPr="00C258AD">
              <w:rPr>
                <w:sz w:val="16"/>
                <w:szCs w:val="16"/>
              </w:rPr>
              <w:t>’</w:t>
            </w:r>
            <w:r w:rsidRPr="00C258AD">
              <w:rPr>
                <w:sz w:val="16"/>
                <w:szCs w:val="16"/>
              </w:rPr>
              <w:t>un traité sur le droit des dessins et modèles à la fin du premier semestre de</w:t>
            </w:r>
            <w:r w:rsidR="002C57EB" w:rsidRPr="00C258AD">
              <w:rPr>
                <w:sz w:val="16"/>
                <w:szCs w:val="16"/>
              </w:rPr>
              <w:t> </w:t>
            </w:r>
            <w:r w:rsidRPr="00C258AD">
              <w:rPr>
                <w:sz w:val="16"/>
                <w:szCs w:val="16"/>
              </w:rPr>
              <w:t>2017, uniquement si les discussions sur l</w:t>
            </w:r>
            <w:r w:rsidR="00721905" w:rsidRPr="00C258AD">
              <w:rPr>
                <w:sz w:val="16"/>
                <w:szCs w:val="16"/>
              </w:rPr>
              <w:t>’</w:t>
            </w:r>
            <w:r w:rsidRPr="00C258AD">
              <w:rPr>
                <w:sz w:val="16"/>
                <w:szCs w:val="16"/>
              </w:rPr>
              <w:t>assistance technique et l</w:t>
            </w:r>
            <w:r w:rsidR="00721905" w:rsidRPr="00C258AD">
              <w:rPr>
                <w:sz w:val="16"/>
                <w:szCs w:val="16"/>
              </w:rPr>
              <w:t>’</w:t>
            </w:r>
            <w:r w:rsidRPr="00C258AD">
              <w:rPr>
                <w:sz w:val="16"/>
                <w:szCs w:val="16"/>
              </w:rPr>
              <w:t>exigence de divulgation ont été achevées durant les trente</w:t>
            </w:r>
            <w:r w:rsidR="00FB247F" w:rsidRPr="00C258AD">
              <w:rPr>
                <w:sz w:val="16"/>
                <w:szCs w:val="16"/>
              </w:rPr>
              <w:t>-</w:t>
            </w:r>
            <w:r w:rsidRPr="00C258AD">
              <w:rPr>
                <w:sz w:val="16"/>
                <w:szCs w:val="16"/>
              </w:rPr>
              <w:t xml:space="preserve">quatrième et </w:t>
            </w:r>
            <w:r w:rsidR="00FB247F" w:rsidRPr="00C258AD">
              <w:rPr>
                <w:sz w:val="16"/>
                <w:szCs w:val="16"/>
              </w:rPr>
              <w:t>trente-cinquième</w:t>
            </w:r>
            <w:r w:rsidR="002C57EB" w:rsidRPr="00C258AD">
              <w:rPr>
                <w:sz w:val="16"/>
                <w:szCs w:val="16"/>
              </w:rPr>
              <w:t> </w:t>
            </w:r>
            <w:r w:rsidRPr="00C258AD">
              <w:rPr>
                <w:sz w:val="16"/>
                <w:szCs w:val="16"/>
              </w:rPr>
              <w:t>sessions</w:t>
            </w:r>
            <w:r w:rsidR="00721905" w:rsidRPr="00C258AD">
              <w:rPr>
                <w:sz w:val="16"/>
                <w:szCs w:val="16"/>
              </w:rPr>
              <w:t xml:space="preserve"> du SCT</w:t>
            </w:r>
            <w:r w:rsidR="00153B24">
              <w:rPr>
                <w:rStyle w:val="FootnoteReference"/>
                <w:sz w:val="16"/>
                <w:szCs w:val="16"/>
              </w:rPr>
              <w:footnoteReference w:id="10"/>
            </w:r>
          </w:p>
        </w:tc>
        <w:tc>
          <w:tcPr>
            <w:tcW w:w="596" w:type="pct"/>
            <w:shd w:val="clear" w:color="auto" w:fill="auto"/>
            <w:tcMar>
              <w:top w:w="113" w:type="dxa"/>
              <w:bottom w:w="113" w:type="dxa"/>
            </w:tcMar>
          </w:tcPr>
          <w:p w:rsidR="00007D87" w:rsidRPr="00C258AD" w:rsidRDefault="00007D87" w:rsidP="0083763A">
            <w:pPr>
              <w:keepNext/>
              <w:keepLines/>
              <w:jc w:val="center"/>
              <w:rPr>
                <w:b/>
                <w:bCs/>
                <w:color w:val="808080"/>
                <w:sz w:val="16"/>
                <w:szCs w:val="16"/>
              </w:rPr>
            </w:pPr>
            <w:r w:rsidRPr="00C258AD">
              <w:rPr>
                <w:b/>
                <w:color w:val="FF0000"/>
                <w:sz w:val="16"/>
                <w:szCs w:val="16"/>
              </w:rPr>
              <w:t>Objectif pas atteint</w:t>
            </w:r>
          </w:p>
        </w:tc>
      </w:tr>
      <w:tr w:rsidR="00007D87" w:rsidRPr="00C258AD" w:rsidTr="006A7E84">
        <w:trPr>
          <w:cantSplit/>
        </w:trPr>
        <w:tc>
          <w:tcPr>
            <w:tcW w:w="1124" w:type="pct"/>
            <w:shd w:val="clear" w:color="auto" w:fill="auto"/>
            <w:tcMar>
              <w:top w:w="113" w:type="dxa"/>
              <w:bottom w:w="113" w:type="dxa"/>
            </w:tcMar>
          </w:tcPr>
          <w:p w:rsidR="00007D87" w:rsidRPr="00C258AD" w:rsidRDefault="00007D87" w:rsidP="0083763A">
            <w:pPr>
              <w:rPr>
                <w:sz w:val="16"/>
                <w:szCs w:val="16"/>
              </w:rPr>
            </w:pPr>
            <w:r w:rsidRPr="00C258AD">
              <w:rPr>
                <w:sz w:val="16"/>
                <w:szCs w:val="16"/>
              </w:rPr>
              <w:t>Progrès visant à parvenir à un accord sur les points en cours de l</w:t>
            </w:r>
            <w:r w:rsidR="00721905" w:rsidRPr="00C258AD">
              <w:rPr>
                <w:sz w:val="16"/>
                <w:szCs w:val="16"/>
              </w:rPr>
              <w:t>’</w:t>
            </w:r>
            <w:r w:rsidRPr="00C258AD">
              <w:rPr>
                <w:sz w:val="16"/>
                <w:szCs w:val="16"/>
              </w:rPr>
              <w:t>ordre du jour du SCT</w:t>
            </w:r>
          </w:p>
        </w:tc>
        <w:tc>
          <w:tcPr>
            <w:tcW w:w="1427" w:type="pct"/>
            <w:gridSpan w:val="2"/>
            <w:shd w:val="clear" w:color="auto" w:fill="auto"/>
            <w:tcMar>
              <w:top w:w="113" w:type="dxa"/>
              <w:bottom w:w="113" w:type="dxa"/>
            </w:tcMar>
          </w:tcPr>
          <w:p w:rsidR="006E2BB1" w:rsidRPr="00C258AD" w:rsidRDefault="00007D87" w:rsidP="0083763A">
            <w:pPr>
              <w:rPr>
                <w:color w:val="002060"/>
                <w:sz w:val="16"/>
                <w:szCs w:val="16"/>
                <w:lang w:bidi="th-TH"/>
              </w:rPr>
            </w:pPr>
            <w:r w:rsidRPr="00C258AD">
              <w:rPr>
                <w:i/>
                <w:color w:val="002060"/>
                <w:sz w:val="16"/>
                <w:szCs w:val="16"/>
              </w:rPr>
              <w:t>Niveau de référence actualisé à fin 2013 :</w:t>
            </w:r>
            <w:r w:rsidRPr="00C258AD">
              <w:rPr>
                <w:color w:val="002060"/>
                <w:sz w:val="16"/>
                <w:szCs w:val="16"/>
              </w:rPr>
              <w:t xml:space="preserve"> </w:t>
            </w:r>
            <w:r w:rsidRPr="00C258AD">
              <w:rPr>
                <w:color w:val="002060"/>
                <w:sz w:val="16"/>
                <w:szCs w:val="16"/>
                <w:lang w:bidi="th-TH"/>
              </w:rPr>
              <w:t>accord du SCT sur un nombre substantiel de projets d</w:t>
            </w:r>
            <w:r w:rsidR="00721905" w:rsidRPr="00C258AD">
              <w:rPr>
                <w:color w:val="002060"/>
                <w:sz w:val="16"/>
                <w:szCs w:val="16"/>
                <w:lang w:bidi="th-TH"/>
              </w:rPr>
              <w:t>’</w:t>
            </w:r>
            <w:r w:rsidRPr="00C258AD">
              <w:rPr>
                <w:color w:val="002060"/>
                <w:sz w:val="16"/>
                <w:szCs w:val="16"/>
                <w:lang w:bidi="th-TH"/>
              </w:rPr>
              <w:t>articles et de règles d</w:t>
            </w:r>
            <w:r w:rsidR="00721905" w:rsidRPr="00C258AD">
              <w:rPr>
                <w:color w:val="002060"/>
                <w:sz w:val="16"/>
                <w:szCs w:val="16"/>
                <w:lang w:bidi="th-TH"/>
              </w:rPr>
              <w:t>’</w:t>
            </w:r>
            <w:r w:rsidRPr="00C258AD">
              <w:rPr>
                <w:color w:val="002060"/>
                <w:sz w:val="16"/>
                <w:szCs w:val="16"/>
                <w:lang w:bidi="th-TH"/>
              </w:rPr>
              <w:t>un traité sur le droit des dessins et modèles.</w:t>
            </w:r>
          </w:p>
          <w:p w:rsidR="006E2BB1" w:rsidRPr="00C258AD" w:rsidRDefault="006E2BB1" w:rsidP="0083763A">
            <w:pPr>
              <w:rPr>
                <w:color w:val="002060"/>
                <w:sz w:val="16"/>
                <w:szCs w:val="16"/>
                <w:lang w:bidi="th-TH"/>
              </w:rPr>
            </w:pPr>
          </w:p>
          <w:p w:rsidR="006E2BB1" w:rsidRPr="00C258AD" w:rsidRDefault="00007D87" w:rsidP="0083763A">
            <w:pPr>
              <w:rPr>
                <w:i/>
                <w:color w:val="002060"/>
                <w:sz w:val="16"/>
                <w:szCs w:val="16"/>
              </w:rPr>
            </w:pPr>
            <w:r w:rsidRPr="00C258AD">
              <w:rPr>
                <w:color w:val="002060"/>
                <w:sz w:val="16"/>
                <w:szCs w:val="16"/>
                <w:lang w:bidi="th-TH"/>
              </w:rPr>
              <w:t>Accord du SCT sur la poursuite des travaux sur la protection des noms de pays.</w:t>
            </w:r>
          </w:p>
          <w:p w:rsidR="006E2BB1" w:rsidRPr="00C258AD" w:rsidRDefault="006E2BB1" w:rsidP="0083763A">
            <w:pPr>
              <w:rPr>
                <w:i/>
                <w:sz w:val="16"/>
                <w:szCs w:val="16"/>
              </w:rPr>
            </w:pPr>
          </w:p>
          <w:p w:rsidR="006E2BB1" w:rsidRPr="00C258AD" w:rsidRDefault="00007D87" w:rsidP="0083763A">
            <w:pPr>
              <w:rPr>
                <w:sz w:val="16"/>
                <w:szCs w:val="16"/>
              </w:rPr>
            </w:pPr>
            <w:r w:rsidRPr="00C258AD">
              <w:rPr>
                <w:i/>
                <w:sz w:val="16"/>
                <w:szCs w:val="16"/>
              </w:rPr>
              <w:t>Niveau de référence initial dans le programme et budget 2014</w:t>
            </w:r>
            <w:r w:rsidR="0000169D" w:rsidRPr="00C258AD">
              <w:rPr>
                <w:i/>
                <w:sz w:val="16"/>
                <w:szCs w:val="16"/>
              </w:rPr>
              <w:noBreakHyphen/>
            </w:r>
            <w:r w:rsidRPr="00C258AD">
              <w:rPr>
                <w:i/>
                <w:sz w:val="16"/>
                <w:szCs w:val="16"/>
              </w:rPr>
              <w:t>2015 :</w:t>
            </w:r>
          </w:p>
          <w:p w:rsidR="00007D87" w:rsidRPr="00C258AD" w:rsidRDefault="00007D87" w:rsidP="0083763A">
            <w:pPr>
              <w:rPr>
                <w:i/>
                <w:sz w:val="16"/>
                <w:szCs w:val="16"/>
              </w:rPr>
            </w:pPr>
            <w:r w:rsidRPr="00C258AD">
              <w:rPr>
                <w:sz w:val="16"/>
                <w:szCs w:val="16"/>
              </w:rPr>
              <w:t>projet de document de référence sur la protection des noms d</w:t>
            </w:r>
            <w:r w:rsidR="00721905" w:rsidRPr="00C258AD">
              <w:rPr>
                <w:sz w:val="16"/>
                <w:szCs w:val="16"/>
              </w:rPr>
              <w:t>’</w:t>
            </w:r>
            <w:r w:rsidRPr="00C258AD">
              <w:rPr>
                <w:sz w:val="16"/>
                <w:szCs w:val="16"/>
              </w:rPr>
              <w:t>États contre leur enregistrement et leur utilisation en tant que marques</w:t>
            </w:r>
          </w:p>
        </w:tc>
        <w:tc>
          <w:tcPr>
            <w:tcW w:w="671" w:type="pct"/>
            <w:gridSpan w:val="2"/>
            <w:shd w:val="clear" w:color="auto" w:fill="auto"/>
            <w:tcMar>
              <w:top w:w="113" w:type="dxa"/>
              <w:bottom w:w="113" w:type="dxa"/>
            </w:tcMar>
          </w:tcPr>
          <w:p w:rsidR="00007D87" w:rsidRPr="00C258AD" w:rsidRDefault="00007D87" w:rsidP="0083763A">
            <w:pPr>
              <w:autoSpaceDE w:val="0"/>
              <w:autoSpaceDN w:val="0"/>
              <w:adjustRightInd w:val="0"/>
              <w:rPr>
                <w:sz w:val="16"/>
                <w:szCs w:val="16"/>
              </w:rPr>
            </w:pPr>
            <w:r w:rsidRPr="00C258AD">
              <w:rPr>
                <w:sz w:val="16"/>
                <w:szCs w:val="16"/>
              </w:rPr>
              <w:t>Résultats convenus par le SCT</w:t>
            </w:r>
          </w:p>
        </w:tc>
        <w:tc>
          <w:tcPr>
            <w:tcW w:w="1182" w:type="pct"/>
            <w:shd w:val="clear" w:color="auto" w:fill="auto"/>
            <w:tcMar>
              <w:top w:w="113" w:type="dxa"/>
              <w:bottom w:w="113" w:type="dxa"/>
            </w:tcMar>
          </w:tcPr>
          <w:p w:rsidR="00007D87" w:rsidRPr="00C258AD" w:rsidRDefault="00007D87" w:rsidP="0083763A">
            <w:pPr>
              <w:rPr>
                <w:sz w:val="16"/>
                <w:szCs w:val="16"/>
              </w:rPr>
            </w:pPr>
            <w:r w:rsidRPr="00C258AD">
              <w:rPr>
                <w:sz w:val="16"/>
                <w:szCs w:val="16"/>
              </w:rPr>
              <w:t>Le SCT, à sa trente</w:t>
            </w:r>
            <w:r w:rsidR="0000169D" w:rsidRPr="00C258AD">
              <w:rPr>
                <w:sz w:val="16"/>
                <w:szCs w:val="16"/>
              </w:rPr>
              <w:noBreakHyphen/>
            </w:r>
            <w:r w:rsidRPr="00C258AD">
              <w:rPr>
                <w:sz w:val="16"/>
                <w:szCs w:val="16"/>
              </w:rPr>
              <w:t>quatrième session, a adopté un document de référence sur la protection des noms de pays contre leur enregistrement ou leur utilisation comme marques (publié dans le document WIPO/</w:t>
            </w:r>
            <w:proofErr w:type="spellStart"/>
            <w:r w:rsidRPr="00C258AD">
              <w:rPr>
                <w:sz w:val="16"/>
                <w:szCs w:val="16"/>
              </w:rPr>
              <w:t>Strad</w:t>
            </w:r>
            <w:proofErr w:type="spellEnd"/>
            <w:r w:rsidRPr="00C258AD">
              <w:rPr>
                <w:sz w:val="16"/>
                <w:szCs w:val="16"/>
              </w:rPr>
              <w:t>/INF/7).</w:t>
            </w:r>
          </w:p>
        </w:tc>
        <w:tc>
          <w:tcPr>
            <w:tcW w:w="596" w:type="pct"/>
            <w:shd w:val="clear" w:color="auto" w:fill="auto"/>
            <w:tcMar>
              <w:top w:w="113" w:type="dxa"/>
              <w:bottom w:w="113" w:type="dxa"/>
            </w:tcMar>
          </w:tcPr>
          <w:p w:rsidR="00007D87" w:rsidRPr="00C258AD" w:rsidRDefault="00007D87" w:rsidP="0083763A">
            <w:pPr>
              <w:keepNext/>
              <w:keepLines/>
              <w:jc w:val="center"/>
              <w:rPr>
                <w:b/>
                <w:bCs/>
                <w:color w:val="808080"/>
                <w:sz w:val="16"/>
                <w:szCs w:val="16"/>
              </w:rPr>
            </w:pPr>
            <w:r w:rsidRPr="00C258AD">
              <w:rPr>
                <w:b/>
                <w:bCs/>
                <w:color w:val="00B050"/>
                <w:sz w:val="16"/>
                <w:szCs w:val="16"/>
              </w:rPr>
              <w:t>Objectif pleinement atteint</w:t>
            </w:r>
          </w:p>
        </w:tc>
      </w:tr>
      <w:tr w:rsidR="00007D87" w:rsidRPr="00C258AD" w:rsidTr="006A7E84">
        <w:trPr>
          <w:cantSplit/>
        </w:trPr>
        <w:tc>
          <w:tcPr>
            <w:tcW w:w="1124" w:type="pct"/>
            <w:shd w:val="clear" w:color="auto" w:fill="auto"/>
            <w:tcMar>
              <w:top w:w="113" w:type="dxa"/>
              <w:bottom w:w="113" w:type="dxa"/>
            </w:tcMar>
          </w:tcPr>
          <w:p w:rsidR="00007D87" w:rsidRPr="00C258AD" w:rsidRDefault="00007D87" w:rsidP="0083763A">
            <w:pPr>
              <w:rPr>
                <w:sz w:val="16"/>
                <w:szCs w:val="16"/>
              </w:rPr>
            </w:pPr>
            <w:r w:rsidRPr="00C258AD">
              <w:rPr>
                <w:sz w:val="16"/>
                <w:szCs w:val="16"/>
              </w:rPr>
              <w:lastRenderedPageBreak/>
              <w:t>Nombre de ratifications du Traité de Singapour ou d</w:t>
            </w:r>
            <w:r w:rsidR="00721905" w:rsidRPr="00C258AD">
              <w:rPr>
                <w:sz w:val="16"/>
                <w:szCs w:val="16"/>
              </w:rPr>
              <w:t>’</w:t>
            </w:r>
            <w:r w:rsidRPr="00C258AD">
              <w:rPr>
                <w:sz w:val="16"/>
                <w:szCs w:val="16"/>
              </w:rPr>
              <w:t>adhésions à ce traité</w:t>
            </w:r>
          </w:p>
        </w:tc>
        <w:tc>
          <w:tcPr>
            <w:tcW w:w="1427" w:type="pct"/>
            <w:gridSpan w:val="2"/>
            <w:shd w:val="clear" w:color="auto" w:fill="auto"/>
            <w:tcMar>
              <w:top w:w="113" w:type="dxa"/>
              <w:bottom w:w="113" w:type="dxa"/>
            </w:tcMar>
          </w:tcPr>
          <w:p w:rsidR="006E2BB1" w:rsidRPr="00C258AD" w:rsidRDefault="00007D87" w:rsidP="0083763A">
            <w:pPr>
              <w:rPr>
                <w:i/>
                <w:color w:val="002060"/>
                <w:sz w:val="16"/>
                <w:szCs w:val="16"/>
              </w:rPr>
            </w:pPr>
            <w:r w:rsidRPr="00C258AD">
              <w:rPr>
                <w:i/>
                <w:color w:val="002060"/>
                <w:sz w:val="16"/>
                <w:szCs w:val="16"/>
              </w:rPr>
              <w:t>Niveau de référence actualisé à fin 2013 :</w:t>
            </w:r>
            <w:r w:rsidRPr="00C258AD">
              <w:rPr>
                <w:color w:val="002060"/>
                <w:sz w:val="16"/>
                <w:szCs w:val="16"/>
              </w:rPr>
              <w:t xml:space="preserve"> </w:t>
            </w:r>
            <w:r w:rsidRPr="00C258AD">
              <w:rPr>
                <w:color w:val="002060"/>
                <w:sz w:val="16"/>
                <w:szCs w:val="16"/>
                <w:lang w:bidi="th-TH"/>
              </w:rPr>
              <w:t>31 parties contractantes (fin 2013)</w:t>
            </w:r>
          </w:p>
          <w:p w:rsidR="006E2BB1" w:rsidRPr="00C258AD" w:rsidRDefault="006E2BB1" w:rsidP="0083763A">
            <w:pPr>
              <w:rPr>
                <w:i/>
                <w:sz w:val="16"/>
                <w:szCs w:val="16"/>
              </w:rPr>
            </w:pPr>
          </w:p>
          <w:p w:rsidR="006E2BB1" w:rsidRPr="00C258AD" w:rsidRDefault="00007D87" w:rsidP="0083763A">
            <w:pPr>
              <w:rPr>
                <w:sz w:val="16"/>
                <w:szCs w:val="16"/>
              </w:rPr>
            </w:pPr>
            <w:r w:rsidRPr="00C258AD">
              <w:rPr>
                <w:i/>
                <w:sz w:val="16"/>
                <w:szCs w:val="16"/>
              </w:rPr>
              <w:t>Niveau de référence initial dans le programme et budget 2014</w:t>
            </w:r>
            <w:r w:rsidR="0000169D" w:rsidRPr="00C258AD">
              <w:rPr>
                <w:i/>
                <w:sz w:val="16"/>
                <w:szCs w:val="16"/>
              </w:rPr>
              <w:noBreakHyphen/>
            </w:r>
            <w:r w:rsidRPr="00C258AD">
              <w:rPr>
                <w:i/>
                <w:sz w:val="16"/>
                <w:szCs w:val="16"/>
              </w:rPr>
              <w:t>2015 :</w:t>
            </w:r>
          </w:p>
          <w:p w:rsidR="00007D87" w:rsidRPr="00C258AD" w:rsidRDefault="00007D87" w:rsidP="0083763A">
            <w:pPr>
              <w:rPr>
                <w:i/>
                <w:sz w:val="16"/>
                <w:szCs w:val="16"/>
              </w:rPr>
            </w:pPr>
            <w:r w:rsidRPr="00C258AD">
              <w:rPr>
                <w:sz w:val="16"/>
                <w:szCs w:val="16"/>
              </w:rPr>
              <w:t>29 parties contractantes (fin 2012)</w:t>
            </w:r>
          </w:p>
        </w:tc>
        <w:tc>
          <w:tcPr>
            <w:tcW w:w="671" w:type="pct"/>
            <w:gridSpan w:val="2"/>
            <w:shd w:val="clear" w:color="auto" w:fill="auto"/>
            <w:tcMar>
              <w:top w:w="113" w:type="dxa"/>
              <w:bottom w:w="113" w:type="dxa"/>
            </w:tcMar>
          </w:tcPr>
          <w:p w:rsidR="00007D87" w:rsidRPr="00C258AD" w:rsidRDefault="00007D87" w:rsidP="0083763A">
            <w:pPr>
              <w:autoSpaceDE w:val="0"/>
              <w:autoSpaceDN w:val="0"/>
              <w:adjustRightInd w:val="0"/>
              <w:rPr>
                <w:sz w:val="16"/>
                <w:szCs w:val="16"/>
              </w:rPr>
            </w:pPr>
            <w:r w:rsidRPr="00C258AD">
              <w:rPr>
                <w:sz w:val="16"/>
                <w:szCs w:val="16"/>
              </w:rPr>
              <w:t>Huit nouvelles ratifications/ adhésions</w:t>
            </w:r>
          </w:p>
        </w:tc>
        <w:tc>
          <w:tcPr>
            <w:tcW w:w="1182" w:type="pct"/>
            <w:shd w:val="clear" w:color="auto" w:fill="auto"/>
            <w:tcMar>
              <w:top w:w="113" w:type="dxa"/>
              <w:bottom w:w="113" w:type="dxa"/>
            </w:tcMar>
          </w:tcPr>
          <w:p w:rsidR="00007D87" w:rsidRPr="00C258AD" w:rsidRDefault="00007D87" w:rsidP="00856060">
            <w:pPr>
              <w:rPr>
                <w:sz w:val="16"/>
                <w:szCs w:val="16"/>
              </w:rPr>
            </w:pPr>
            <w:r w:rsidRPr="00C258AD">
              <w:rPr>
                <w:sz w:val="16"/>
                <w:szCs w:val="16"/>
              </w:rPr>
              <w:t>Sept nouvelles parties contractantes durant l</w:t>
            </w:r>
            <w:r w:rsidR="00721905" w:rsidRPr="00C258AD">
              <w:rPr>
                <w:sz w:val="16"/>
                <w:szCs w:val="16"/>
              </w:rPr>
              <w:t>’</w:t>
            </w:r>
            <w:r w:rsidRPr="00C258AD">
              <w:rPr>
                <w:sz w:val="16"/>
                <w:szCs w:val="16"/>
              </w:rPr>
              <w:t xml:space="preserve">exercice biennal : </w:t>
            </w:r>
            <w:proofErr w:type="spellStart"/>
            <w:r w:rsidRPr="00C258AD">
              <w:rPr>
                <w:sz w:val="16"/>
                <w:szCs w:val="16"/>
              </w:rPr>
              <w:t>Bélarus</w:t>
            </w:r>
            <w:proofErr w:type="spellEnd"/>
            <w:r w:rsidRPr="00C258AD">
              <w:rPr>
                <w:sz w:val="16"/>
                <w:szCs w:val="16"/>
              </w:rPr>
              <w:t>, Belgique, Irak, Luxembourg, Office Benelux de la propriété intellectuelle (OBPI), Pays</w:t>
            </w:r>
            <w:r w:rsidR="0000169D" w:rsidRPr="00C258AD">
              <w:rPr>
                <w:sz w:val="16"/>
                <w:szCs w:val="16"/>
              </w:rPr>
              <w:noBreakHyphen/>
            </w:r>
            <w:r w:rsidRPr="00C258AD">
              <w:rPr>
                <w:sz w:val="16"/>
                <w:szCs w:val="16"/>
              </w:rPr>
              <w:t>Bas et Tadjikistan, ce qui porte le total des parties contractantes à 38 à la fin de 201</w:t>
            </w:r>
            <w:r w:rsidR="00856060" w:rsidRPr="00C258AD">
              <w:rPr>
                <w:sz w:val="16"/>
                <w:szCs w:val="16"/>
              </w:rPr>
              <w:t>5</w:t>
            </w:r>
            <w:r w:rsidRPr="00C258AD">
              <w:rPr>
                <w:sz w:val="16"/>
                <w:szCs w:val="16"/>
              </w:rPr>
              <w:t>.</w:t>
            </w:r>
          </w:p>
        </w:tc>
        <w:tc>
          <w:tcPr>
            <w:tcW w:w="596" w:type="pct"/>
            <w:shd w:val="clear" w:color="auto" w:fill="auto"/>
            <w:tcMar>
              <w:top w:w="113" w:type="dxa"/>
              <w:bottom w:w="113" w:type="dxa"/>
            </w:tcMar>
          </w:tcPr>
          <w:p w:rsidR="00007D87" w:rsidRPr="00C258AD" w:rsidRDefault="00007D87" w:rsidP="0083763A">
            <w:pPr>
              <w:keepNext/>
              <w:keepLines/>
              <w:jc w:val="center"/>
              <w:rPr>
                <w:b/>
                <w:bCs/>
                <w:color w:val="00B050"/>
                <w:sz w:val="16"/>
                <w:szCs w:val="16"/>
              </w:rPr>
            </w:pPr>
            <w:r w:rsidRPr="00C258AD">
              <w:rPr>
                <w:b/>
                <w:bCs/>
                <w:color w:val="00B050"/>
                <w:sz w:val="16"/>
                <w:szCs w:val="16"/>
              </w:rPr>
              <w:t>Objectif pleinement atteint</w:t>
            </w:r>
          </w:p>
        </w:tc>
      </w:tr>
      <w:tr w:rsidR="00007D87" w:rsidRPr="00C258AD" w:rsidTr="006A7E84">
        <w:trPr>
          <w:cantSplit/>
        </w:trPr>
        <w:tc>
          <w:tcPr>
            <w:tcW w:w="5000" w:type="pct"/>
            <w:gridSpan w:val="7"/>
            <w:tcBorders>
              <w:top w:val="single" w:sz="4" w:space="0" w:color="auto"/>
              <w:bottom w:val="single" w:sz="4" w:space="0" w:color="auto"/>
            </w:tcBorders>
            <w:shd w:val="clear" w:color="auto" w:fill="C5D9F1"/>
            <w:tcMar>
              <w:top w:w="113" w:type="dxa"/>
              <w:bottom w:w="113" w:type="dxa"/>
            </w:tcMar>
            <w:vAlign w:val="center"/>
          </w:tcPr>
          <w:p w:rsidR="00007D87" w:rsidRPr="00C258AD" w:rsidRDefault="00007D87" w:rsidP="0083763A">
            <w:pPr>
              <w:keepNext/>
              <w:keepLines/>
              <w:rPr>
                <w:b/>
                <w:bCs/>
                <w:sz w:val="16"/>
                <w:szCs w:val="16"/>
              </w:rPr>
            </w:pPr>
            <w:r w:rsidRPr="00C258AD">
              <w:rPr>
                <w:b/>
                <w:bCs/>
                <w:sz w:val="16"/>
                <w:szCs w:val="16"/>
              </w:rPr>
              <w:t xml:space="preserve">Résultat escompté : </w:t>
            </w:r>
            <w:r w:rsidRPr="00C258AD">
              <w:rPr>
                <w:bCs/>
                <w:sz w:val="16"/>
                <w:szCs w:val="16"/>
              </w:rPr>
              <w:t xml:space="preserve">I.2 </w:t>
            </w:r>
            <w:r w:rsidRPr="00C258AD">
              <w:rPr>
                <w:sz w:val="16"/>
                <w:szCs w:val="16"/>
              </w:rPr>
              <w:t>Cadres législatifs, réglementaires et politiques de propriété intellectuelle adaptés et équilibrés</w:t>
            </w:r>
          </w:p>
        </w:tc>
      </w:tr>
      <w:tr w:rsidR="00007D87" w:rsidRPr="00C258AD" w:rsidTr="006A7E84">
        <w:trPr>
          <w:cantSplit/>
        </w:trPr>
        <w:tc>
          <w:tcPr>
            <w:tcW w:w="1124" w:type="pct"/>
            <w:tcBorders>
              <w:top w:val="single" w:sz="4" w:space="0" w:color="auto"/>
            </w:tcBorders>
            <w:shd w:val="clear" w:color="auto" w:fill="auto"/>
            <w:tcMar>
              <w:top w:w="113" w:type="dxa"/>
              <w:bottom w:w="113" w:type="dxa"/>
            </w:tcMar>
            <w:vAlign w:val="center"/>
          </w:tcPr>
          <w:p w:rsidR="00007D87" w:rsidRPr="00C258AD" w:rsidRDefault="00007D87" w:rsidP="0083763A">
            <w:pPr>
              <w:jc w:val="center"/>
              <w:rPr>
                <w:sz w:val="16"/>
                <w:szCs w:val="16"/>
              </w:rPr>
            </w:pPr>
            <w:r w:rsidRPr="00C258AD">
              <w:rPr>
                <w:b/>
                <w:bCs/>
                <w:sz w:val="16"/>
                <w:szCs w:val="16"/>
              </w:rPr>
              <w:t>Indicateurs d</w:t>
            </w:r>
            <w:r w:rsidR="00721905" w:rsidRPr="00C258AD">
              <w:rPr>
                <w:b/>
                <w:bCs/>
                <w:sz w:val="16"/>
                <w:szCs w:val="16"/>
              </w:rPr>
              <w:t>’</w:t>
            </w:r>
            <w:r w:rsidRPr="00C258AD">
              <w:rPr>
                <w:b/>
                <w:bCs/>
                <w:sz w:val="16"/>
                <w:szCs w:val="16"/>
              </w:rPr>
              <w:t>exécution</w:t>
            </w:r>
          </w:p>
        </w:tc>
        <w:tc>
          <w:tcPr>
            <w:tcW w:w="1427" w:type="pct"/>
            <w:gridSpan w:val="2"/>
            <w:tcBorders>
              <w:top w:val="single" w:sz="4" w:space="0" w:color="auto"/>
            </w:tcBorders>
            <w:shd w:val="clear" w:color="auto" w:fill="auto"/>
            <w:tcMar>
              <w:top w:w="113" w:type="dxa"/>
              <w:bottom w:w="113" w:type="dxa"/>
            </w:tcMar>
            <w:vAlign w:val="center"/>
          </w:tcPr>
          <w:p w:rsidR="00007D87" w:rsidRPr="00C258AD" w:rsidRDefault="00007D87" w:rsidP="0083763A">
            <w:pPr>
              <w:jc w:val="center"/>
              <w:rPr>
                <w:b/>
                <w:bCs/>
                <w:sz w:val="16"/>
                <w:szCs w:val="16"/>
              </w:rPr>
            </w:pPr>
            <w:r w:rsidRPr="00C258AD">
              <w:rPr>
                <w:b/>
                <w:bCs/>
                <w:sz w:val="16"/>
                <w:szCs w:val="16"/>
              </w:rPr>
              <w:t>Niveaux de référence</w:t>
            </w:r>
          </w:p>
        </w:tc>
        <w:tc>
          <w:tcPr>
            <w:tcW w:w="662" w:type="pct"/>
            <w:tcBorders>
              <w:top w:val="single" w:sz="4" w:space="0" w:color="auto"/>
            </w:tcBorders>
            <w:shd w:val="clear" w:color="auto" w:fill="auto"/>
            <w:tcMar>
              <w:top w:w="113" w:type="dxa"/>
              <w:bottom w:w="113" w:type="dxa"/>
            </w:tcMar>
            <w:vAlign w:val="center"/>
          </w:tcPr>
          <w:p w:rsidR="00007D87" w:rsidRPr="00C258AD" w:rsidRDefault="00007D87" w:rsidP="0083763A">
            <w:pPr>
              <w:jc w:val="center"/>
              <w:rPr>
                <w:b/>
                <w:sz w:val="16"/>
                <w:szCs w:val="16"/>
              </w:rPr>
            </w:pPr>
            <w:r w:rsidRPr="00C258AD">
              <w:rPr>
                <w:b/>
                <w:sz w:val="16"/>
                <w:szCs w:val="16"/>
              </w:rPr>
              <w:t>Objectifs visés</w:t>
            </w:r>
          </w:p>
        </w:tc>
        <w:tc>
          <w:tcPr>
            <w:tcW w:w="1190" w:type="pct"/>
            <w:gridSpan w:val="2"/>
            <w:tcBorders>
              <w:top w:val="single" w:sz="4" w:space="0" w:color="auto"/>
            </w:tcBorders>
            <w:shd w:val="clear" w:color="auto" w:fill="auto"/>
            <w:tcMar>
              <w:top w:w="113" w:type="dxa"/>
              <w:bottom w:w="113" w:type="dxa"/>
            </w:tcMar>
            <w:vAlign w:val="center"/>
          </w:tcPr>
          <w:p w:rsidR="00007D87" w:rsidRPr="00C258AD" w:rsidRDefault="00007D87" w:rsidP="0083763A">
            <w:pPr>
              <w:jc w:val="center"/>
              <w:rPr>
                <w:sz w:val="16"/>
                <w:szCs w:val="16"/>
              </w:rPr>
            </w:pPr>
            <w:r w:rsidRPr="00C258AD">
              <w:rPr>
                <w:b/>
                <w:bCs/>
                <w:sz w:val="16"/>
                <w:szCs w:val="16"/>
              </w:rPr>
              <w:t>Données relatives à l</w:t>
            </w:r>
            <w:r w:rsidR="00721905" w:rsidRPr="00C258AD">
              <w:rPr>
                <w:b/>
                <w:bCs/>
                <w:sz w:val="16"/>
                <w:szCs w:val="16"/>
              </w:rPr>
              <w:t>’</w:t>
            </w:r>
            <w:r w:rsidRPr="00C258AD">
              <w:rPr>
                <w:b/>
                <w:bCs/>
                <w:sz w:val="16"/>
                <w:szCs w:val="16"/>
              </w:rPr>
              <w:t>exécution</w:t>
            </w:r>
          </w:p>
        </w:tc>
        <w:tc>
          <w:tcPr>
            <w:tcW w:w="596" w:type="pct"/>
            <w:tcBorders>
              <w:top w:val="single" w:sz="4" w:space="0" w:color="auto"/>
            </w:tcBorders>
            <w:shd w:val="clear" w:color="auto" w:fill="auto"/>
            <w:tcMar>
              <w:top w:w="113" w:type="dxa"/>
              <w:bottom w:w="113" w:type="dxa"/>
            </w:tcMar>
            <w:vAlign w:val="center"/>
          </w:tcPr>
          <w:p w:rsidR="00007D87" w:rsidRPr="00C258AD" w:rsidRDefault="00007D87" w:rsidP="0083763A">
            <w:pPr>
              <w:jc w:val="center"/>
              <w:rPr>
                <w:b/>
                <w:bCs/>
                <w:sz w:val="16"/>
                <w:szCs w:val="16"/>
              </w:rPr>
            </w:pPr>
            <w:r w:rsidRPr="00C258AD">
              <w:rPr>
                <w:b/>
                <w:bCs/>
                <w:sz w:val="16"/>
                <w:szCs w:val="16"/>
              </w:rPr>
              <w:t>Code de couleurs</w:t>
            </w:r>
          </w:p>
        </w:tc>
      </w:tr>
      <w:tr w:rsidR="00007D87" w:rsidRPr="00C258AD" w:rsidTr="006A7E84">
        <w:trPr>
          <w:cantSplit/>
        </w:trPr>
        <w:tc>
          <w:tcPr>
            <w:tcW w:w="1124" w:type="pct"/>
            <w:shd w:val="clear" w:color="auto" w:fill="auto"/>
            <w:tcMar>
              <w:top w:w="113" w:type="dxa"/>
              <w:bottom w:w="113" w:type="dxa"/>
            </w:tcMar>
          </w:tcPr>
          <w:p w:rsidR="00007D87" w:rsidRPr="00C258AD" w:rsidRDefault="00007D87" w:rsidP="0083763A">
            <w:pPr>
              <w:rPr>
                <w:sz w:val="16"/>
                <w:szCs w:val="16"/>
                <w:lang w:bidi="th-TH"/>
              </w:rPr>
            </w:pPr>
            <w:r w:rsidRPr="00C258AD">
              <w:rPr>
                <w:sz w:val="16"/>
                <w:szCs w:val="16"/>
              </w:rPr>
              <w:t>Nombre et pourcentage d</w:t>
            </w:r>
            <w:r w:rsidR="00721905" w:rsidRPr="00C258AD">
              <w:rPr>
                <w:sz w:val="16"/>
                <w:szCs w:val="16"/>
              </w:rPr>
              <w:t>’</w:t>
            </w:r>
            <w:r w:rsidRPr="00C258AD">
              <w:rPr>
                <w:sz w:val="16"/>
                <w:szCs w:val="16"/>
              </w:rPr>
              <w:t>États membres et d</w:t>
            </w:r>
            <w:r w:rsidR="00721905" w:rsidRPr="00C258AD">
              <w:rPr>
                <w:sz w:val="16"/>
                <w:szCs w:val="16"/>
              </w:rPr>
              <w:t>’</w:t>
            </w:r>
            <w:r w:rsidRPr="00C258AD">
              <w:rPr>
                <w:sz w:val="16"/>
                <w:szCs w:val="16"/>
              </w:rPr>
              <w:t>organisations régionales ayant donné un retour d</w:t>
            </w:r>
            <w:r w:rsidR="00721905" w:rsidRPr="00C258AD">
              <w:rPr>
                <w:sz w:val="16"/>
                <w:szCs w:val="16"/>
              </w:rPr>
              <w:t>’</w:t>
            </w:r>
            <w:r w:rsidRPr="00C258AD">
              <w:rPr>
                <w:sz w:val="16"/>
                <w:szCs w:val="16"/>
              </w:rPr>
              <w:t>information positif sur les conseils législatifs fournis dans le domaine des marques, des dessins et modèles industriels et des indications géographiques</w:t>
            </w:r>
          </w:p>
        </w:tc>
        <w:tc>
          <w:tcPr>
            <w:tcW w:w="1427" w:type="pct"/>
            <w:gridSpan w:val="2"/>
            <w:shd w:val="clear" w:color="auto" w:fill="auto"/>
            <w:tcMar>
              <w:top w:w="113" w:type="dxa"/>
              <w:bottom w:w="113" w:type="dxa"/>
            </w:tcMar>
          </w:tcPr>
          <w:p w:rsidR="006E2BB1" w:rsidRPr="00C258AD" w:rsidRDefault="00007D87" w:rsidP="0083763A">
            <w:pPr>
              <w:rPr>
                <w:color w:val="002060"/>
                <w:sz w:val="16"/>
                <w:szCs w:val="16"/>
              </w:rPr>
            </w:pPr>
            <w:r w:rsidRPr="00C258AD">
              <w:rPr>
                <w:i/>
                <w:color w:val="002060"/>
                <w:sz w:val="16"/>
                <w:szCs w:val="16"/>
              </w:rPr>
              <w:t>Niveau de référence actualisé à fin 2013 :</w:t>
            </w:r>
          </w:p>
          <w:p w:rsidR="006E2BB1" w:rsidRPr="00C258AD" w:rsidRDefault="006E2BB1" w:rsidP="0083763A">
            <w:pPr>
              <w:rPr>
                <w:color w:val="002060"/>
                <w:sz w:val="16"/>
                <w:szCs w:val="16"/>
                <w:lang w:bidi="th-TH"/>
              </w:rPr>
            </w:pPr>
          </w:p>
          <w:p w:rsidR="006E2BB1" w:rsidRPr="00C258AD" w:rsidRDefault="00007D87" w:rsidP="0083763A">
            <w:pPr>
              <w:rPr>
                <w:color w:val="002060"/>
                <w:sz w:val="16"/>
                <w:szCs w:val="16"/>
                <w:lang w:bidi="th-TH"/>
              </w:rPr>
            </w:pPr>
            <w:r w:rsidRPr="00C258AD">
              <w:rPr>
                <w:color w:val="002060"/>
                <w:sz w:val="16"/>
                <w:szCs w:val="16"/>
                <w:lang w:bidi="th-TH"/>
              </w:rPr>
              <w:t>2013 : conseils fournis à 13 États membres sur 18 projets de textes législatifs</w:t>
            </w:r>
          </w:p>
          <w:p w:rsidR="006E2BB1" w:rsidRPr="00C258AD" w:rsidRDefault="006E2BB1" w:rsidP="0083763A">
            <w:pPr>
              <w:rPr>
                <w:color w:val="002060"/>
                <w:sz w:val="16"/>
                <w:szCs w:val="16"/>
                <w:lang w:bidi="th-TH"/>
              </w:rPr>
            </w:pPr>
          </w:p>
          <w:p w:rsidR="006E2BB1" w:rsidRPr="00C258AD" w:rsidRDefault="00007D87" w:rsidP="0083763A">
            <w:pPr>
              <w:rPr>
                <w:color w:val="002060"/>
                <w:sz w:val="16"/>
                <w:szCs w:val="16"/>
                <w:lang w:bidi="th-TH"/>
              </w:rPr>
            </w:pPr>
            <w:r w:rsidRPr="00C258AD">
              <w:rPr>
                <w:color w:val="002060"/>
                <w:sz w:val="16"/>
                <w:szCs w:val="16"/>
                <w:lang w:bidi="th-TH"/>
              </w:rPr>
              <w:t>Retour d</w:t>
            </w:r>
            <w:r w:rsidR="00721905" w:rsidRPr="00C258AD">
              <w:rPr>
                <w:color w:val="002060"/>
                <w:sz w:val="16"/>
                <w:szCs w:val="16"/>
                <w:lang w:bidi="th-TH"/>
              </w:rPr>
              <w:t>’</w:t>
            </w:r>
            <w:r w:rsidRPr="00C258AD">
              <w:rPr>
                <w:color w:val="002060"/>
                <w:sz w:val="16"/>
                <w:szCs w:val="16"/>
                <w:lang w:bidi="th-TH"/>
              </w:rPr>
              <w:t>information positif reçu de neuf pays sur 13.  Quatre pays n</w:t>
            </w:r>
            <w:r w:rsidR="00721905" w:rsidRPr="00C258AD">
              <w:rPr>
                <w:color w:val="002060"/>
                <w:sz w:val="16"/>
                <w:szCs w:val="16"/>
                <w:lang w:bidi="th-TH"/>
              </w:rPr>
              <w:t>’</w:t>
            </w:r>
            <w:r w:rsidRPr="00C258AD">
              <w:rPr>
                <w:color w:val="002060"/>
                <w:sz w:val="16"/>
                <w:szCs w:val="16"/>
                <w:lang w:bidi="th-TH"/>
              </w:rPr>
              <w:t>ont pas répondu.</w:t>
            </w:r>
          </w:p>
          <w:p w:rsidR="006E2BB1" w:rsidRPr="00C258AD" w:rsidRDefault="006E2BB1" w:rsidP="0083763A">
            <w:pPr>
              <w:rPr>
                <w:i/>
                <w:sz w:val="16"/>
                <w:szCs w:val="16"/>
              </w:rPr>
            </w:pPr>
          </w:p>
          <w:p w:rsidR="006E2BB1" w:rsidRPr="00C258AD" w:rsidRDefault="00007D87" w:rsidP="0083763A">
            <w:pPr>
              <w:rPr>
                <w:sz w:val="16"/>
                <w:szCs w:val="16"/>
              </w:rPr>
            </w:pPr>
            <w:r w:rsidRPr="00C258AD">
              <w:rPr>
                <w:i/>
                <w:sz w:val="16"/>
                <w:szCs w:val="16"/>
              </w:rPr>
              <w:t>Niveau de référence initial dans le programme et budget 2014</w:t>
            </w:r>
            <w:r w:rsidR="0000169D" w:rsidRPr="00C258AD">
              <w:rPr>
                <w:i/>
                <w:sz w:val="16"/>
                <w:szCs w:val="16"/>
              </w:rPr>
              <w:noBreakHyphen/>
            </w:r>
            <w:r w:rsidRPr="00C258AD">
              <w:rPr>
                <w:i/>
                <w:sz w:val="16"/>
                <w:szCs w:val="16"/>
              </w:rPr>
              <w:t>2015 :</w:t>
            </w:r>
          </w:p>
          <w:p w:rsidR="00007D87" w:rsidRPr="00C258AD" w:rsidRDefault="00007D87" w:rsidP="0083763A">
            <w:pPr>
              <w:rPr>
                <w:sz w:val="16"/>
                <w:szCs w:val="16"/>
              </w:rPr>
            </w:pPr>
            <w:r w:rsidRPr="00C258AD">
              <w:rPr>
                <w:sz w:val="16"/>
                <w:szCs w:val="16"/>
              </w:rPr>
              <w:t>11 États membres et organisations régionales ont reçu des conseils législatifs, et trois ont donné un retour d</w:t>
            </w:r>
            <w:r w:rsidR="00721905" w:rsidRPr="00C258AD">
              <w:rPr>
                <w:sz w:val="16"/>
                <w:szCs w:val="16"/>
              </w:rPr>
              <w:t>’</w:t>
            </w:r>
            <w:r w:rsidRPr="00C258AD">
              <w:rPr>
                <w:sz w:val="16"/>
                <w:szCs w:val="16"/>
              </w:rPr>
              <w:t>information positif concernant les conseils législatifs reçus en 2012</w:t>
            </w:r>
          </w:p>
        </w:tc>
        <w:tc>
          <w:tcPr>
            <w:tcW w:w="662" w:type="pct"/>
            <w:shd w:val="clear" w:color="auto" w:fill="auto"/>
            <w:tcMar>
              <w:top w:w="113" w:type="dxa"/>
              <w:bottom w:w="113" w:type="dxa"/>
            </w:tcMar>
          </w:tcPr>
          <w:p w:rsidR="00007D87" w:rsidRPr="00C258AD" w:rsidRDefault="00007D87" w:rsidP="0083763A">
            <w:pPr>
              <w:autoSpaceDE w:val="0"/>
              <w:autoSpaceDN w:val="0"/>
              <w:adjustRightInd w:val="0"/>
              <w:rPr>
                <w:sz w:val="16"/>
                <w:szCs w:val="16"/>
              </w:rPr>
            </w:pPr>
            <w:r w:rsidRPr="00C258AD">
              <w:rPr>
                <w:sz w:val="16"/>
                <w:szCs w:val="16"/>
              </w:rPr>
              <w:t>Conseils législatifs fournis à 10 États membres et organisations régionales.  90% des organisations ayant répondu étaient satisfaites des conseils fournis</w:t>
            </w:r>
          </w:p>
        </w:tc>
        <w:tc>
          <w:tcPr>
            <w:tcW w:w="1190" w:type="pct"/>
            <w:gridSpan w:val="2"/>
            <w:shd w:val="clear" w:color="auto" w:fill="auto"/>
            <w:tcMar>
              <w:top w:w="113" w:type="dxa"/>
              <w:bottom w:w="113" w:type="dxa"/>
            </w:tcMar>
          </w:tcPr>
          <w:p w:rsidR="006E2BB1" w:rsidRPr="00C258AD" w:rsidRDefault="00007D87" w:rsidP="0083763A">
            <w:pPr>
              <w:rPr>
                <w:sz w:val="16"/>
                <w:szCs w:val="16"/>
                <w:lang w:bidi="th-TH"/>
              </w:rPr>
            </w:pPr>
            <w:r w:rsidRPr="00C258AD">
              <w:rPr>
                <w:sz w:val="16"/>
                <w:szCs w:val="16"/>
                <w:lang w:bidi="th-TH"/>
              </w:rPr>
              <w:t>Des conseils ont été fournis à 31 </w:t>
            </w:r>
            <w:r w:rsidRPr="00C258AD">
              <w:rPr>
                <w:sz w:val="16"/>
                <w:szCs w:val="16"/>
              </w:rPr>
              <w:t>États membres et organisations régionales</w:t>
            </w:r>
            <w:r w:rsidRPr="00C258AD">
              <w:rPr>
                <w:sz w:val="16"/>
                <w:szCs w:val="16"/>
                <w:lang w:bidi="th-TH"/>
              </w:rPr>
              <w:t xml:space="preserve"> (8 en Afrique;  1 dans la région des pays arabes;  14 dans la région Asie</w:t>
            </w:r>
            <w:r w:rsidR="0000169D" w:rsidRPr="00C258AD">
              <w:rPr>
                <w:sz w:val="16"/>
                <w:szCs w:val="16"/>
                <w:lang w:bidi="th-TH"/>
              </w:rPr>
              <w:noBreakHyphen/>
            </w:r>
            <w:r w:rsidRPr="00C258AD">
              <w:rPr>
                <w:sz w:val="16"/>
                <w:szCs w:val="16"/>
                <w:lang w:bidi="th-TH"/>
              </w:rPr>
              <w:t>Pacifique;  6 en Amérique latine et dans les Caraïbes et 1 dans certains pays d</w:t>
            </w:r>
            <w:r w:rsidR="00721905" w:rsidRPr="00C258AD">
              <w:rPr>
                <w:sz w:val="16"/>
                <w:szCs w:val="16"/>
                <w:lang w:bidi="th-TH"/>
              </w:rPr>
              <w:t>’</w:t>
            </w:r>
            <w:r w:rsidRPr="00C258AD">
              <w:rPr>
                <w:sz w:val="16"/>
                <w:szCs w:val="16"/>
                <w:lang w:bidi="th-TH"/>
              </w:rPr>
              <w:t>Europe et d</w:t>
            </w:r>
            <w:r w:rsidR="00721905" w:rsidRPr="00C258AD">
              <w:rPr>
                <w:sz w:val="16"/>
                <w:szCs w:val="16"/>
                <w:lang w:bidi="th-TH"/>
              </w:rPr>
              <w:t>’</w:t>
            </w:r>
            <w:r w:rsidRPr="00C258AD">
              <w:rPr>
                <w:sz w:val="16"/>
                <w:szCs w:val="16"/>
                <w:lang w:bidi="th-TH"/>
              </w:rPr>
              <w:t>Asie)</w:t>
            </w:r>
          </w:p>
          <w:p w:rsidR="006E2BB1" w:rsidRPr="00C258AD" w:rsidRDefault="006E2BB1" w:rsidP="0083763A">
            <w:pPr>
              <w:rPr>
                <w:sz w:val="16"/>
                <w:szCs w:val="16"/>
                <w:lang w:bidi="th-TH"/>
              </w:rPr>
            </w:pPr>
          </w:p>
          <w:p w:rsidR="00007D87" w:rsidRPr="00C258AD" w:rsidRDefault="00007D87" w:rsidP="0083763A">
            <w:pPr>
              <w:rPr>
                <w:sz w:val="16"/>
                <w:szCs w:val="16"/>
                <w:lang w:bidi="th-TH"/>
              </w:rPr>
            </w:pPr>
            <w:r w:rsidRPr="00C258AD">
              <w:rPr>
                <w:sz w:val="16"/>
                <w:szCs w:val="16"/>
                <w:lang w:bidi="th-TH"/>
              </w:rPr>
              <w:t>Des retours d</w:t>
            </w:r>
            <w:r w:rsidR="00721905" w:rsidRPr="00C258AD">
              <w:rPr>
                <w:sz w:val="16"/>
                <w:szCs w:val="16"/>
                <w:lang w:bidi="th-TH"/>
              </w:rPr>
              <w:t>’</w:t>
            </w:r>
            <w:r w:rsidRPr="00C258AD">
              <w:rPr>
                <w:sz w:val="16"/>
                <w:szCs w:val="16"/>
                <w:lang w:bidi="th-TH"/>
              </w:rPr>
              <w:t>information ont été reçus de la part de 10 organisations ayant répondu, dont la totalité (100%) s</w:t>
            </w:r>
            <w:r w:rsidR="00721905" w:rsidRPr="00C258AD">
              <w:rPr>
                <w:sz w:val="16"/>
                <w:szCs w:val="16"/>
                <w:lang w:bidi="th-TH"/>
              </w:rPr>
              <w:t>’</w:t>
            </w:r>
            <w:r w:rsidRPr="00C258AD">
              <w:rPr>
                <w:sz w:val="16"/>
                <w:szCs w:val="16"/>
                <w:lang w:bidi="th-TH"/>
              </w:rPr>
              <w:t>est déclarée satisfaite des conseils fournis.</w:t>
            </w:r>
          </w:p>
        </w:tc>
        <w:tc>
          <w:tcPr>
            <w:tcW w:w="596" w:type="pct"/>
            <w:shd w:val="clear" w:color="auto" w:fill="auto"/>
            <w:tcMar>
              <w:top w:w="113" w:type="dxa"/>
              <w:bottom w:w="113" w:type="dxa"/>
            </w:tcMar>
          </w:tcPr>
          <w:p w:rsidR="006E2BB1" w:rsidRPr="00C258AD" w:rsidRDefault="00007D87" w:rsidP="0083763A">
            <w:pPr>
              <w:keepNext/>
              <w:keepLines/>
              <w:jc w:val="center"/>
              <w:rPr>
                <w:b/>
                <w:bCs/>
                <w:color w:val="008000"/>
                <w:sz w:val="16"/>
                <w:szCs w:val="16"/>
              </w:rPr>
            </w:pPr>
            <w:r w:rsidRPr="00C258AD">
              <w:rPr>
                <w:b/>
                <w:bCs/>
                <w:color w:val="00B050"/>
                <w:sz w:val="16"/>
                <w:szCs w:val="16"/>
              </w:rPr>
              <w:t>Objectif pleinement atteint</w:t>
            </w:r>
          </w:p>
          <w:p w:rsidR="006E2BB1" w:rsidRPr="00C258AD" w:rsidRDefault="006E2BB1" w:rsidP="0083763A">
            <w:pPr>
              <w:keepNext/>
              <w:keepLines/>
              <w:rPr>
                <w:bCs/>
                <w:color w:val="008000"/>
                <w:sz w:val="16"/>
                <w:szCs w:val="16"/>
              </w:rPr>
            </w:pPr>
          </w:p>
          <w:p w:rsidR="006E2BB1" w:rsidRPr="00C258AD" w:rsidRDefault="006E2BB1" w:rsidP="0083763A">
            <w:pPr>
              <w:keepNext/>
              <w:keepLines/>
              <w:rPr>
                <w:bCs/>
                <w:color w:val="008000"/>
                <w:sz w:val="16"/>
                <w:szCs w:val="16"/>
              </w:rPr>
            </w:pPr>
          </w:p>
          <w:p w:rsidR="006E2BB1" w:rsidRPr="00C258AD" w:rsidRDefault="006E2BB1" w:rsidP="0083763A">
            <w:pPr>
              <w:keepNext/>
              <w:keepLines/>
              <w:rPr>
                <w:bCs/>
                <w:color w:val="008000"/>
                <w:sz w:val="16"/>
                <w:szCs w:val="16"/>
              </w:rPr>
            </w:pPr>
          </w:p>
          <w:p w:rsidR="006E2BB1" w:rsidRPr="00C258AD" w:rsidRDefault="006E2BB1" w:rsidP="0083763A">
            <w:pPr>
              <w:keepNext/>
              <w:keepLines/>
              <w:rPr>
                <w:bCs/>
                <w:color w:val="008000"/>
                <w:sz w:val="16"/>
                <w:szCs w:val="16"/>
              </w:rPr>
            </w:pPr>
          </w:p>
          <w:p w:rsidR="006E2BB1" w:rsidRPr="00C258AD" w:rsidRDefault="006E2BB1" w:rsidP="0083763A">
            <w:pPr>
              <w:keepNext/>
              <w:keepLines/>
              <w:rPr>
                <w:bCs/>
                <w:color w:val="008000"/>
                <w:sz w:val="16"/>
                <w:szCs w:val="16"/>
              </w:rPr>
            </w:pPr>
          </w:p>
          <w:p w:rsidR="006E2BB1" w:rsidRPr="00C258AD" w:rsidRDefault="006E2BB1" w:rsidP="0083763A">
            <w:pPr>
              <w:keepNext/>
              <w:keepLines/>
              <w:rPr>
                <w:bCs/>
                <w:color w:val="008000"/>
                <w:sz w:val="16"/>
                <w:szCs w:val="16"/>
              </w:rPr>
            </w:pPr>
          </w:p>
          <w:p w:rsidR="006E2BB1" w:rsidRPr="00C258AD" w:rsidRDefault="006E2BB1" w:rsidP="0083763A">
            <w:pPr>
              <w:keepNext/>
              <w:keepLines/>
              <w:rPr>
                <w:bCs/>
                <w:color w:val="008000"/>
                <w:sz w:val="16"/>
                <w:szCs w:val="16"/>
              </w:rPr>
            </w:pPr>
          </w:p>
          <w:p w:rsidR="006E2BB1" w:rsidRPr="00C258AD" w:rsidRDefault="006E2BB1" w:rsidP="0083763A">
            <w:pPr>
              <w:keepNext/>
              <w:keepLines/>
              <w:rPr>
                <w:bCs/>
                <w:color w:val="008000"/>
                <w:sz w:val="16"/>
                <w:szCs w:val="16"/>
              </w:rPr>
            </w:pPr>
          </w:p>
          <w:p w:rsidR="00007D87" w:rsidRPr="00C258AD" w:rsidRDefault="00007D87" w:rsidP="0083763A">
            <w:pPr>
              <w:jc w:val="center"/>
              <w:rPr>
                <w:bCs/>
                <w:color w:val="00B050"/>
                <w:sz w:val="16"/>
                <w:szCs w:val="16"/>
              </w:rPr>
            </w:pPr>
            <w:r w:rsidRPr="00C258AD">
              <w:rPr>
                <w:b/>
                <w:bCs/>
                <w:color w:val="00B050"/>
                <w:sz w:val="16"/>
                <w:szCs w:val="16"/>
              </w:rPr>
              <w:t>Objectif pleinement atteint</w:t>
            </w:r>
          </w:p>
        </w:tc>
      </w:tr>
      <w:tr w:rsidR="00007D87" w:rsidRPr="00C258AD" w:rsidTr="006A7E84">
        <w:trPr>
          <w:cantSplit/>
        </w:trPr>
        <w:tc>
          <w:tcPr>
            <w:tcW w:w="5000" w:type="pct"/>
            <w:gridSpan w:val="7"/>
            <w:tcBorders>
              <w:top w:val="single" w:sz="4" w:space="0" w:color="auto"/>
              <w:bottom w:val="single" w:sz="4" w:space="0" w:color="auto"/>
            </w:tcBorders>
            <w:shd w:val="clear" w:color="auto" w:fill="C5D9F1"/>
            <w:tcMar>
              <w:top w:w="113" w:type="dxa"/>
              <w:bottom w:w="113" w:type="dxa"/>
            </w:tcMar>
            <w:vAlign w:val="center"/>
          </w:tcPr>
          <w:p w:rsidR="00007D87" w:rsidRPr="00C258AD" w:rsidRDefault="00007D87" w:rsidP="0083763A">
            <w:pPr>
              <w:keepNext/>
              <w:keepLines/>
              <w:rPr>
                <w:b/>
                <w:bCs/>
                <w:sz w:val="16"/>
                <w:szCs w:val="16"/>
              </w:rPr>
            </w:pPr>
            <w:r w:rsidRPr="00C258AD">
              <w:rPr>
                <w:b/>
                <w:bCs/>
                <w:sz w:val="16"/>
                <w:szCs w:val="16"/>
              </w:rPr>
              <w:t xml:space="preserve">Résultat escompté : </w:t>
            </w:r>
            <w:r w:rsidRPr="00C258AD">
              <w:rPr>
                <w:bCs/>
                <w:sz w:val="16"/>
                <w:szCs w:val="16"/>
              </w:rPr>
              <w:t xml:space="preserve">I.3 </w:t>
            </w:r>
            <w:r w:rsidRPr="00C258AD">
              <w:rPr>
                <w:sz w:val="16"/>
                <w:szCs w:val="16"/>
              </w:rPr>
              <w:t>Protection renforcée des emblèmes d</w:t>
            </w:r>
            <w:r w:rsidR="00721905" w:rsidRPr="00C258AD">
              <w:rPr>
                <w:sz w:val="16"/>
                <w:szCs w:val="16"/>
              </w:rPr>
              <w:t>’</w:t>
            </w:r>
            <w:r w:rsidRPr="00C258AD">
              <w:rPr>
                <w:sz w:val="16"/>
                <w:szCs w:val="16"/>
              </w:rPr>
              <w:t>États et des noms et emblèmes d</w:t>
            </w:r>
            <w:r w:rsidR="00721905" w:rsidRPr="00C258AD">
              <w:rPr>
                <w:sz w:val="16"/>
                <w:szCs w:val="16"/>
              </w:rPr>
              <w:t>’</w:t>
            </w:r>
            <w:r w:rsidRPr="00C258AD">
              <w:rPr>
                <w:sz w:val="16"/>
                <w:szCs w:val="16"/>
              </w:rPr>
              <w:t>organisations internationales intergouvernementales</w:t>
            </w:r>
          </w:p>
        </w:tc>
      </w:tr>
      <w:tr w:rsidR="00007D87" w:rsidRPr="00C258AD" w:rsidTr="006A7E84">
        <w:trPr>
          <w:cantSplit/>
        </w:trPr>
        <w:tc>
          <w:tcPr>
            <w:tcW w:w="1124" w:type="pct"/>
            <w:tcBorders>
              <w:top w:val="single" w:sz="4" w:space="0" w:color="auto"/>
              <w:bottom w:val="nil"/>
            </w:tcBorders>
            <w:shd w:val="clear" w:color="auto" w:fill="auto"/>
            <w:tcMar>
              <w:top w:w="113" w:type="dxa"/>
              <w:bottom w:w="113" w:type="dxa"/>
            </w:tcMar>
            <w:vAlign w:val="center"/>
          </w:tcPr>
          <w:p w:rsidR="00007D87" w:rsidRPr="00C258AD" w:rsidRDefault="00007D87" w:rsidP="0083763A">
            <w:pPr>
              <w:keepNext/>
              <w:keepLines/>
              <w:rPr>
                <w:sz w:val="16"/>
                <w:szCs w:val="16"/>
              </w:rPr>
            </w:pPr>
            <w:r w:rsidRPr="00C258AD">
              <w:rPr>
                <w:b/>
                <w:bCs/>
                <w:sz w:val="16"/>
                <w:szCs w:val="16"/>
              </w:rPr>
              <w:t>Indicateurs d</w:t>
            </w:r>
            <w:r w:rsidR="00721905" w:rsidRPr="00C258AD">
              <w:rPr>
                <w:b/>
                <w:bCs/>
                <w:sz w:val="16"/>
                <w:szCs w:val="16"/>
              </w:rPr>
              <w:t>’</w:t>
            </w:r>
            <w:r w:rsidRPr="00C258AD">
              <w:rPr>
                <w:b/>
                <w:bCs/>
                <w:sz w:val="16"/>
                <w:szCs w:val="16"/>
              </w:rPr>
              <w:t>exécution</w:t>
            </w:r>
          </w:p>
        </w:tc>
        <w:tc>
          <w:tcPr>
            <w:tcW w:w="1413" w:type="pct"/>
            <w:tcBorders>
              <w:top w:val="single" w:sz="4" w:space="0" w:color="auto"/>
              <w:bottom w:val="nil"/>
            </w:tcBorders>
            <w:shd w:val="clear" w:color="auto" w:fill="auto"/>
            <w:tcMar>
              <w:top w:w="113" w:type="dxa"/>
              <w:bottom w:w="113" w:type="dxa"/>
            </w:tcMar>
            <w:vAlign w:val="center"/>
          </w:tcPr>
          <w:p w:rsidR="00007D87" w:rsidRPr="00C258AD" w:rsidRDefault="00007D87" w:rsidP="0083763A">
            <w:pPr>
              <w:keepNext/>
              <w:keepLines/>
              <w:rPr>
                <w:b/>
                <w:bCs/>
                <w:sz w:val="16"/>
                <w:szCs w:val="16"/>
              </w:rPr>
            </w:pPr>
            <w:r w:rsidRPr="00C258AD">
              <w:rPr>
                <w:b/>
                <w:bCs/>
                <w:sz w:val="16"/>
                <w:szCs w:val="16"/>
              </w:rPr>
              <w:t>Niveaux de référence</w:t>
            </w:r>
          </w:p>
        </w:tc>
        <w:tc>
          <w:tcPr>
            <w:tcW w:w="676" w:type="pct"/>
            <w:gridSpan w:val="2"/>
            <w:tcBorders>
              <w:top w:val="single" w:sz="4" w:space="0" w:color="auto"/>
              <w:bottom w:val="nil"/>
            </w:tcBorders>
            <w:shd w:val="clear" w:color="auto" w:fill="auto"/>
            <w:tcMar>
              <w:top w:w="113" w:type="dxa"/>
              <w:bottom w:w="113" w:type="dxa"/>
            </w:tcMar>
            <w:vAlign w:val="center"/>
          </w:tcPr>
          <w:p w:rsidR="00007D87" w:rsidRPr="00C258AD" w:rsidRDefault="00007D87" w:rsidP="0083763A">
            <w:pPr>
              <w:keepNext/>
              <w:keepLines/>
              <w:rPr>
                <w:b/>
                <w:sz w:val="16"/>
                <w:szCs w:val="16"/>
              </w:rPr>
            </w:pPr>
            <w:r w:rsidRPr="00C258AD">
              <w:rPr>
                <w:b/>
                <w:sz w:val="16"/>
                <w:szCs w:val="16"/>
              </w:rPr>
              <w:t>Objectifs visés</w:t>
            </w:r>
          </w:p>
        </w:tc>
        <w:tc>
          <w:tcPr>
            <w:tcW w:w="1190" w:type="pct"/>
            <w:gridSpan w:val="2"/>
            <w:tcBorders>
              <w:top w:val="single" w:sz="4" w:space="0" w:color="auto"/>
              <w:bottom w:val="nil"/>
            </w:tcBorders>
            <w:shd w:val="clear" w:color="auto" w:fill="auto"/>
            <w:tcMar>
              <w:top w:w="113" w:type="dxa"/>
              <w:bottom w:w="113" w:type="dxa"/>
            </w:tcMar>
            <w:vAlign w:val="center"/>
          </w:tcPr>
          <w:p w:rsidR="00007D87" w:rsidRPr="00C258AD" w:rsidRDefault="00007D87" w:rsidP="0083763A">
            <w:pPr>
              <w:keepNext/>
              <w:keepLines/>
              <w:rPr>
                <w:sz w:val="16"/>
                <w:szCs w:val="16"/>
              </w:rPr>
            </w:pPr>
            <w:r w:rsidRPr="00C258AD">
              <w:rPr>
                <w:b/>
                <w:bCs/>
                <w:sz w:val="16"/>
                <w:szCs w:val="16"/>
              </w:rPr>
              <w:t>Données relatives à l</w:t>
            </w:r>
            <w:r w:rsidR="00721905" w:rsidRPr="00C258AD">
              <w:rPr>
                <w:b/>
                <w:bCs/>
                <w:sz w:val="16"/>
                <w:szCs w:val="16"/>
              </w:rPr>
              <w:t>’</w:t>
            </w:r>
            <w:r w:rsidRPr="00C258AD">
              <w:rPr>
                <w:b/>
                <w:bCs/>
                <w:sz w:val="16"/>
                <w:szCs w:val="16"/>
              </w:rPr>
              <w:t>exécution</w:t>
            </w:r>
          </w:p>
        </w:tc>
        <w:tc>
          <w:tcPr>
            <w:tcW w:w="596" w:type="pct"/>
            <w:tcBorders>
              <w:top w:val="single" w:sz="4" w:space="0" w:color="auto"/>
              <w:bottom w:val="nil"/>
            </w:tcBorders>
            <w:shd w:val="clear" w:color="auto" w:fill="auto"/>
            <w:tcMar>
              <w:top w:w="113" w:type="dxa"/>
              <w:bottom w:w="113" w:type="dxa"/>
            </w:tcMar>
            <w:vAlign w:val="center"/>
          </w:tcPr>
          <w:p w:rsidR="00007D87" w:rsidRPr="00C258AD" w:rsidRDefault="00007D87" w:rsidP="0083763A">
            <w:pPr>
              <w:keepNext/>
              <w:keepLines/>
              <w:jc w:val="center"/>
              <w:rPr>
                <w:b/>
                <w:bCs/>
                <w:sz w:val="16"/>
                <w:szCs w:val="16"/>
              </w:rPr>
            </w:pPr>
            <w:r w:rsidRPr="00C258AD">
              <w:rPr>
                <w:b/>
                <w:bCs/>
                <w:sz w:val="16"/>
                <w:szCs w:val="16"/>
              </w:rPr>
              <w:t>Code de couleurs</w:t>
            </w:r>
          </w:p>
        </w:tc>
      </w:tr>
      <w:tr w:rsidR="00007D87" w:rsidRPr="00C258AD" w:rsidTr="006A7E84">
        <w:trPr>
          <w:cantSplit/>
        </w:trPr>
        <w:tc>
          <w:tcPr>
            <w:tcW w:w="1124" w:type="pct"/>
            <w:tcBorders>
              <w:top w:val="nil"/>
              <w:bottom w:val="nil"/>
            </w:tcBorders>
            <w:shd w:val="clear" w:color="auto" w:fill="auto"/>
            <w:tcMar>
              <w:top w:w="113" w:type="dxa"/>
              <w:bottom w:w="113" w:type="dxa"/>
            </w:tcMar>
          </w:tcPr>
          <w:p w:rsidR="00007D87" w:rsidRPr="00C258AD" w:rsidRDefault="00007D87" w:rsidP="0083763A">
            <w:pPr>
              <w:keepNext/>
              <w:keepLines/>
              <w:rPr>
                <w:sz w:val="16"/>
                <w:szCs w:val="16"/>
                <w:lang w:bidi="th-TH"/>
              </w:rPr>
            </w:pPr>
            <w:r w:rsidRPr="00C258AD">
              <w:rPr>
                <w:sz w:val="16"/>
                <w:szCs w:val="16"/>
              </w:rPr>
              <w:t>Nombre de demandes de communication selon l</w:t>
            </w:r>
            <w:r w:rsidR="00721905" w:rsidRPr="00C258AD">
              <w:rPr>
                <w:sz w:val="16"/>
                <w:szCs w:val="16"/>
              </w:rPr>
              <w:t>’</w:t>
            </w:r>
            <w:r w:rsidRPr="00C258AD">
              <w:rPr>
                <w:sz w:val="16"/>
                <w:szCs w:val="16"/>
              </w:rPr>
              <w:t>article 6</w:t>
            </w:r>
            <w:r w:rsidRPr="00C258AD">
              <w:rPr>
                <w:i/>
                <w:sz w:val="16"/>
                <w:szCs w:val="16"/>
              </w:rPr>
              <w:t>ter</w:t>
            </w:r>
            <w:r w:rsidRPr="00C258AD">
              <w:rPr>
                <w:sz w:val="16"/>
                <w:szCs w:val="16"/>
              </w:rPr>
              <w:t xml:space="preserve"> traitées</w:t>
            </w:r>
          </w:p>
        </w:tc>
        <w:tc>
          <w:tcPr>
            <w:tcW w:w="1413" w:type="pct"/>
            <w:tcBorders>
              <w:top w:val="nil"/>
              <w:bottom w:val="nil"/>
            </w:tcBorders>
            <w:shd w:val="clear" w:color="auto" w:fill="auto"/>
            <w:tcMar>
              <w:top w:w="113" w:type="dxa"/>
              <w:bottom w:w="113" w:type="dxa"/>
            </w:tcMar>
          </w:tcPr>
          <w:p w:rsidR="006E2BB1" w:rsidRPr="00C258AD" w:rsidRDefault="00007D87" w:rsidP="0083763A">
            <w:pPr>
              <w:keepNext/>
              <w:keepLines/>
              <w:rPr>
                <w:color w:val="002060"/>
                <w:sz w:val="16"/>
                <w:szCs w:val="16"/>
                <w:lang w:bidi="th-TH"/>
              </w:rPr>
            </w:pPr>
            <w:r w:rsidRPr="00C258AD">
              <w:rPr>
                <w:i/>
                <w:color w:val="002060"/>
                <w:sz w:val="16"/>
                <w:szCs w:val="16"/>
              </w:rPr>
              <w:t>Niveau de référence actualisé à fin 2013 :</w:t>
            </w:r>
            <w:r w:rsidRPr="00C258AD">
              <w:rPr>
                <w:color w:val="002060"/>
                <w:sz w:val="16"/>
                <w:szCs w:val="16"/>
              </w:rPr>
              <w:t xml:space="preserve"> </w:t>
            </w:r>
            <w:r w:rsidRPr="00C258AD">
              <w:rPr>
                <w:color w:val="002060"/>
                <w:sz w:val="16"/>
                <w:szCs w:val="16"/>
                <w:lang w:bidi="th-TH"/>
              </w:rPr>
              <w:t>126 demandes de publication selon l</w:t>
            </w:r>
            <w:r w:rsidR="00721905" w:rsidRPr="00C258AD">
              <w:rPr>
                <w:color w:val="002060"/>
                <w:sz w:val="16"/>
                <w:szCs w:val="16"/>
                <w:lang w:bidi="th-TH"/>
              </w:rPr>
              <w:t>’</w:t>
            </w:r>
            <w:r w:rsidRPr="00C258AD">
              <w:rPr>
                <w:color w:val="002060"/>
                <w:sz w:val="16"/>
                <w:szCs w:val="16"/>
                <w:lang w:bidi="th-TH"/>
              </w:rPr>
              <w:t>article </w:t>
            </w:r>
            <w:r w:rsidRPr="00C258AD">
              <w:rPr>
                <w:color w:val="002060"/>
                <w:sz w:val="16"/>
                <w:szCs w:val="16"/>
              </w:rPr>
              <w:t>6</w:t>
            </w:r>
            <w:r w:rsidRPr="00C258AD">
              <w:rPr>
                <w:i/>
                <w:color w:val="002060"/>
                <w:sz w:val="16"/>
                <w:szCs w:val="16"/>
              </w:rPr>
              <w:t>ter</w:t>
            </w:r>
            <w:r w:rsidRPr="00C258AD">
              <w:rPr>
                <w:color w:val="002060"/>
                <w:sz w:val="16"/>
                <w:szCs w:val="16"/>
                <w:lang w:bidi="th-TH"/>
              </w:rPr>
              <w:t xml:space="preserve"> traitées en 2013</w:t>
            </w:r>
          </w:p>
          <w:p w:rsidR="006E2BB1" w:rsidRPr="00C258AD" w:rsidRDefault="006E2BB1" w:rsidP="0083763A">
            <w:pPr>
              <w:keepNext/>
              <w:keepLines/>
              <w:rPr>
                <w:i/>
                <w:sz w:val="16"/>
                <w:szCs w:val="16"/>
              </w:rPr>
            </w:pPr>
          </w:p>
          <w:p w:rsidR="006E2BB1" w:rsidRPr="00C258AD" w:rsidRDefault="00007D87" w:rsidP="0083763A">
            <w:pPr>
              <w:keepNext/>
              <w:keepLines/>
              <w:rPr>
                <w:sz w:val="16"/>
                <w:szCs w:val="16"/>
              </w:rPr>
            </w:pPr>
            <w:r w:rsidRPr="00C258AD">
              <w:rPr>
                <w:i/>
                <w:sz w:val="16"/>
                <w:szCs w:val="16"/>
              </w:rPr>
              <w:t>Niveau de référence initial dans le programme et budget 2014</w:t>
            </w:r>
            <w:r w:rsidR="0000169D" w:rsidRPr="00C258AD">
              <w:rPr>
                <w:i/>
                <w:sz w:val="16"/>
                <w:szCs w:val="16"/>
              </w:rPr>
              <w:noBreakHyphen/>
            </w:r>
            <w:r w:rsidRPr="00C258AD">
              <w:rPr>
                <w:i/>
                <w:sz w:val="16"/>
                <w:szCs w:val="16"/>
              </w:rPr>
              <w:t>2015 :</w:t>
            </w:r>
          </w:p>
          <w:p w:rsidR="00007D87" w:rsidRPr="00C258AD" w:rsidRDefault="00007D87" w:rsidP="0083763A">
            <w:pPr>
              <w:keepNext/>
              <w:keepLines/>
              <w:rPr>
                <w:sz w:val="16"/>
                <w:szCs w:val="16"/>
                <w:lang w:bidi="th-TH"/>
              </w:rPr>
            </w:pPr>
            <w:r w:rsidRPr="00C258AD">
              <w:rPr>
                <w:sz w:val="16"/>
                <w:szCs w:val="16"/>
              </w:rPr>
              <w:t>70 demandes</w:t>
            </w:r>
            <w:r w:rsidRPr="00C258AD">
              <w:rPr>
                <w:rStyle w:val="FootnoteReference"/>
                <w:rFonts w:eastAsia="SimSun"/>
                <w:sz w:val="16"/>
                <w:szCs w:val="16"/>
              </w:rPr>
              <w:footnoteReference w:id="11"/>
            </w:r>
            <w:r w:rsidRPr="00C258AD">
              <w:rPr>
                <w:sz w:val="16"/>
                <w:szCs w:val="16"/>
              </w:rPr>
              <w:t xml:space="preserve"> de communication selon l</w:t>
            </w:r>
            <w:r w:rsidR="00721905" w:rsidRPr="00C258AD">
              <w:rPr>
                <w:sz w:val="16"/>
                <w:szCs w:val="16"/>
              </w:rPr>
              <w:t>’</w:t>
            </w:r>
            <w:r w:rsidRPr="00C258AD">
              <w:rPr>
                <w:sz w:val="16"/>
                <w:szCs w:val="16"/>
              </w:rPr>
              <w:t>article 6</w:t>
            </w:r>
            <w:r w:rsidRPr="00C258AD">
              <w:rPr>
                <w:i/>
                <w:sz w:val="16"/>
                <w:szCs w:val="16"/>
              </w:rPr>
              <w:t>ter</w:t>
            </w:r>
            <w:r w:rsidRPr="00C258AD">
              <w:rPr>
                <w:sz w:val="16"/>
                <w:szCs w:val="16"/>
              </w:rPr>
              <w:t xml:space="preserve"> traitées en 2012</w:t>
            </w:r>
          </w:p>
        </w:tc>
        <w:tc>
          <w:tcPr>
            <w:tcW w:w="676" w:type="pct"/>
            <w:gridSpan w:val="2"/>
            <w:tcBorders>
              <w:top w:val="nil"/>
              <w:bottom w:val="nil"/>
            </w:tcBorders>
            <w:shd w:val="clear" w:color="auto" w:fill="auto"/>
            <w:tcMar>
              <w:top w:w="113" w:type="dxa"/>
              <w:bottom w:w="113" w:type="dxa"/>
            </w:tcMar>
          </w:tcPr>
          <w:p w:rsidR="00007D87" w:rsidRPr="00C258AD" w:rsidRDefault="00007D87" w:rsidP="0083763A">
            <w:pPr>
              <w:keepNext/>
              <w:keepLines/>
              <w:rPr>
                <w:sz w:val="16"/>
                <w:szCs w:val="16"/>
                <w:lang w:bidi="th-TH"/>
              </w:rPr>
            </w:pPr>
            <w:r w:rsidRPr="00C258AD">
              <w:rPr>
                <w:sz w:val="16"/>
                <w:szCs w:val="16"/>
                <w:lang w:bidi="th-TH"/>
              </w:rPr>
              <w:t>140 demandes de communication selon l</w:t>
            </w:r>
            <w:r w:rsidR="00721905" w:rsidRPr="00C258AD">
              <w:rPr>
                <w:sz w:val="16"/>
                <w:szCs w:val="16"/>
                <w:lang w:bidi="th-TH"/>
              </w:rPr>
              <w:t>’</w:t>
            </w:r>
            <w:r w:rsidRPr="00C258AD">
              <w:rPr>
                <w:sz w:val="16"/>
                <w:szCs w:val="16"/>
                <w:lang w:bidi="th-TH"/>
              </w:rPr>
              <w:t>article </w:t>
            </w:r>
            <w:r w:rsidRPr="00C258AD">
              <w:rPr>
                <w:sz w:val="16"/>
                <w:szCs w:val="16"/>
              </w:rPr>
              <w:t>6</w:t>
            </w:r>
            <w:r w:rsidRPr="00C258AD">
              <w:rPr>
                <w:i/>
                <w:sz w:val="16"/>
                <w:szCs w:val="16"/>
              </w:rPr>
              <w:t>ter</w:t>
            </w:r>
            <w:r w:rsidRPr="00C258AD">
              <w:rPr>
                <w:sz w:val="16"/>
                <w:szCs w:val="16"/>
                <w:lang w:bidi="th-TH"/>
              </w:rPr>
              <w:t xml:space="preserve"> traitées</w:t>
            </w:r>
          </w:p>
        </w:tc>
        <w:tc>
          <w:tcPr>
            <w:tcW w:w="1190" w:type="pct"/>
            <w:gridSpan w:val="2"/>
            <w:tcBorders>
              <w:top w:val="nil"/>
              <w:bottom w:val="nil"/>
            </w:tcBorders>
            <w:shd w:val="clear" w:color="auto" w:fill="auto"/>
            <w:tcMar>
              <w:top w:w="113" w:type="dxa"/>
              <w:bottom w:w="113" w:type="dxa"/>
            </w:tcMar>
          </w:tcPr>
          <w:p w:rsidR="00007D87" w:rsidRPr="00C258AD" w:rsidRDefault="00007D87" w:rsidP="0083763A">
            <w:pPr>
              <w:keepNext/>
              <w:keepLines/>
              <w:rPr>
                <w:sz w:val="16"/>
                <w:szCs w:val="16"/>
                <w:lang w:bidi="th-TH"/>
              </w:rPr>
            </w:pPr>
            <w:r w:rsidRPr="00C258AD">
              <w:rPr>
                <w:sz w:val="16"/>
                <w:szCs w:val="16"/>
                <w:lang w:bidi="th-TH"/>
              </w:rPr>
              <w:t>109 demandes de communication ont été reçues et traitées, dont 41 se sont traduites par une publication.</w:t>
            </w:r>
          </w:p>
        </w:tc>
        <w:tc>
          <w:tcPr>
            <w:tcW w:w="596" w:type="pct"/>
            <w:tcBorders>
              <w:top w:val="nil"/>
              <w:bottom w:val="nil"/>
            </w:tcBorders>
            <w:shd w:val="clear" w:color="auto" w:fill="auto"/>
            <w:tcMar>
              <w:top w:w="113" w:type="dxa"/>
              <w:bottom w:w="113" w:type="dxa"/>
            </w:tcMar>
          </w:tcPr>
          <w:p w:rsidR="00007D87" w:rsidRPr="00C258AD" w:rsidRDefault="00007D87" w:rsidP="0083763A">
            <w:pPr>
              <w:keepNext/>
              <w:keepLines/>
              <w:jc w:val="center"/>
              <w:rPr>
                <w:b/>
                <w:color w:val="FF0000"/>
                <w:sz w:val="16"/>
                <w:szCs w:val="16"/>
              </w:rPr>
            </w:pPr>
            <w:r w:rsidRPr="00C258AD">
              <w:rPr>
                <w:b/>
                <w:bCs/>
                <w:color w:val="E26B0A"/>
                <w:sz w:val="16"/>
                <w:szCs w:val="16"/>
              </w:rPr>
              <w:t>Objectif partiellement atteint</w:t>
            </w:r>
          </w:p>
        </w:tc>
      </w:tr>
      <w:tr w:rsidR="00007D87" w:rsidRPr="00C258AD" w:rsidTr="006A7E84">
        <w:trPr>
          <w:cantSplit/>
        </w:trPr>
        <w:tc>
          <w:tcPr>
            <w:tcW w:w="1124" w:type="pct"/>
            <w:tcBorders>
              <w:top w:val="nil"/>
              <w:left w:val="single" w:sz="4" w:space="0" w:color="auto"/>
              <w:bottom w:val="single" w:sz="4" w:space="0" w:color="auto"/>
              <w:right w:val="nil"/>
            </w:tcBorders>
            <w:shd w:val="clear" w:color="auto" w:fill="auto"/>
            <w:tcMar>
              <w:top w:w="113" w:type="dxa"/>
              <w:bottom w:w="113" w:type="dxa"/>
            </w:tcMar>
          </w:tcPr>
          <w:p w:rsidR="00007D87" w:rsidRPr="00C258AD" w:rsidRDefault="00007D87" w:rsidP="0083763A">
            <w:pPr>
              <w:rPr>
                <w:sz w:val="16"/>
                <w:szCs w:val="16"/>
                <w:lang w:bidi="th-TH"/>
              </w:rPr>
            </w:pPr>
            <w:r w:rsidRPr="00C258AD">
              <w:rPr>
                <w:sz w:val="16"/>
                <w:szCs w:val="16"/>
                <w:lang w:bidi="th-TH"/>
              </w:rPr>
              <w:t>Nombre de signes publiés dans la base de données relative à l</w:t>
            </w:r>
            <w:r w:rsidR="00721905" w:rsidRPr="00C258AD">
              <w:rPr>
                <w:sz w:val="16"/>
                <w:szCs w:val="16"/>
                <w:lang w:bidi="th-TH"/>
              </w:rPr>
              <w:t>’</w:t>
            </w:r>
            <w:r w:rsidRPr="00C258AD">
              <w:rPr>
                <w:sz w:val="16"/>
                <w:szCs w:val="16"/>
                <w:lang w:bidi="th-TH"/>
              </w:rPr>
              <w:t>article </w:t>
            </w:r>
            <w:r w:rsidRPr="00C258AD">
              <w:rPr>
                <w:sz w:val="16"/>
                <w:szCs w:val="16"/>
              </w:rPr>
              <w:t>6</w:t>
            </w:r>
            <w:r w:rsidRPr="00C258AD">
              <w:rPr>
                <w:i/>
                <w:sz w:val="16"/>
                <w:szCs w:val="16"/>
              </w:rPr>
              <w:t>ter</w:t>
            </w:r>
          </w:p>
        </w:tc>
        <w:tc>
          <w:tcPr>
            <w:tcW w:w="1413" w:type="pct"/>
            <w:tcBorders>
              <w:top w:val="nil"/>
              <w:left w:val="nil"/>
              <w:bottom w:val="single" w:sz="4" w:space="0" w:color="auto"/>
              <w:right w:val="nil"/>
            </w:tcBorders>
            <w:shd w:val="clear" w:color="auto" w:fill="auto"/>
            <w:tcMar>
              <w:top w:w="113" w:type="dxa"/>
              <w:bottom w:w="113" w:type="dxa"/>
            </w:tcMar>
          </w:tcPr>
          <w:p w:rsidR="006E2BB1" w:rsidRPr="00C258AD" w:rsidRDefault="00007D87" w:rsidP="0083763A">
            <w:pPr>
              <w:rPr>
                <w:color w:val="002060"/>
                <w:sz w:val="16"/>
                <w:szCs w:val="16"/>
                <w:lang w:bidi="th-TH"/>
              </w:rPr>
            </w:pPr>
            <w:r w:rsidRPr="00C258AD">
              <w:rPr>
                <w:i/>
                <w:color w:val="002060"/>
                <w:sz w:val="16"/>
                <w:szCs w:val="16"/>
              </w:rPr>
              <w:t>Niveau de référence actualisé à fin 2013 :</w:t>
            </w:r>
            <w:r w:rsidRPr="00C258AD">
              <w:rPr>
                <w:color w:val="002060"/>
                <w:sz w:val="16"/>
                <w:szCs w:val="16"/>
              </w:rPr>
              <w:t xml:space="preserve"> </w:t>
            </w:r>
            <w:r w:rsidRPr="00C258AD">
              <w:rPr>
                <w:color w:val="002060"/>
                <w:sz w:val="16"/>
                <w:szCs w:val="16"/>
                <w:lang w:bidi="th-TH"/>
              </w:rPr>
              <w:t>132 signes publiés dans la base de données relative à l</w:t>
            </w:r>
            <w:r w:rsidR="00721905" w:rsidRPr="00C258AD">
              <w:rPr>
                <w:color w:val="002060"/>
                <w:sz w:val="16"/>
                <w:szCs w:val="16"/>
                <w:lang w:bidi="th-TH"/>
              </w:rPr>
              <w:t>’</w:t>
            </w:r>
            <w:r w:rsidRPr="00C258AD">
              <w:rPr>
                <w:color w:val="002060"/>
                <w:sz w:val="16"/>
                <w:szCs w:val="16"/>
                <w:lang w:bidi="th-TH"/>
              </w:rPr>
              <w:t>article </w:t>
            </w:r>
            <w:r w:rsidRPr="00C258AD">
              <w:rPr>
                <w:color w:val="002060"/>
                <w:sz w:val="16"/>
                <w:szCs w:val="16"/>
              </w:rPr>
              <w:t>6</w:t>
            </w:r>
            <w:r w:rsidRPr="00C258AD">
              <w:rPr>
                <w:i/>
                <w:color w:val="002060"/>
                <w:sz w:val="16"/>
                <w:szCs w:val="16"/>
              </w:rPr>
              <w:t>ter</w:t>
            </w:r>
            <w:r w:rsidRPr="00C258AD">
              <w:rPr>
                <w:color w:val="002060"/>
                <w:sz w:val="16"/>
                <w:szCs w:val="16"/>
              </w:rPr>
              <w:t xml:space="preserve"> e</w:t>
            </w:r>
            <w:r w:rsidRPr="00C258AD">
              <w:rPr>
                <w:color w:val="002060"/>
                <w:sz w:val="16"/>
                <w:szCs w:val="16"/>
                <w:lang w:bidi="th-TH"/>
              </w:rPr>
              <w:t>n</w:t>
            </w:r>
            <w:r w:rsidRPr="00C258AD">
              <w:rPr>
                <w:color w:val="002060"/>
                <w:sz w:val="16"/>
                <w:szCs w:val="16"/>
              </w:rPr>
              <w:t> </w:t>
            </w:r>
            <w:r w:rsidRPr="00C258AD">
              <w:rPr>
                <w:color w:val="002060"/>
                <w:sz w:val="16"/>
                <w:szCs w:val="16"/>
                <w:lang w:bidi="th-TH"/>
              </w:rPr>
              <w:t>2012</w:t>
            </w:r>
            <w:r w:rsidR="0000169D" w:rsidRPr="00C258AD">
              <w:rPr>
                <w:color w:val="002060"/>
                <w:sz w:val="16"/>
                <w:szCs w:val="16"/>
                <w:lang w:bidi="th-TH"/>
              </w:rPr>
              <w:noBreakHyphen/>
            </w:r>
            <w:r w:rsidRPr="00C258AD">
              <w:rPr>
                <w:color w:val="002060"/>
                <w:sz w:val="16"/>
                <w:szCs w:val="16"/>
                <w:lang w:bidi="th-TH"/>
              </w:rPr>
              <w:t>2013</w:t>
            </w:r>
          </w:p>
          <w:p w:rsidR="006E2BB1" w:rsidRPr="00C258AD" w:rsidRDefault="006E2BB1" w:rsidP="0083763A">
            <w:pPr>
              <w:rPr>
                <w:i/>
                <w:sz w:val="16"/>
                <w:szCs w:val="16"/>
              </w:rPr>
            </w:pPr>
          </w:p>
          <w:p w:rsidR="006E2BB1" w:rsidRPr="00C258AD" w:rsidRDefault="00007D87" w:rsidP="0083763A">
            <w:pPr>
              <w:rPr>
                <w:sz w:val="16"/>
                <w:szCs w:val="16"/>
              </w:rPr>
            </w:pPr>
            <w:r w:rsidRPr="00C258AD">
              <w:rPr>
                <w:i/>
                <w:sz w:val="16"/>
                <w:szCs w:val="16"/>
              </w:rPr>
              <w:t>Niveau de référence initial dans le programme et budget 2014</w:t>
            </w:r>
            <w:r w:rsidR="0000169D" w:rsidRPr="00C258AD">
              <w:rPr>
                <w:i/>
                <w:sz w:val="16"/>
                <w:szCs w:val="16"/>
              </w:rPr>
              <w:noBreakHyphen/>
            </w:r>
            <w:r w:rsidRPr="00C258AD">
              <w:rPr>
                <w:i/>
                <w:sz w:val="16"/>
                <w:szCs w:val="16"/>
              </w:rPr>
              <w:t>2015 :</w:t>
            </w:r>
          </w:p>
          <w:p w:rsidR="00007D87" w:rsidRPr="00C258AD" w:rsidRDefault="00007D87" w:rsidP="0083763A">
            <w:pPr>
              <w:rPr>
                <w:i/>
                <w:sz w:val="16"/>
                <w:szCs w:val="16"/>
              </w:rPr>
            </w:pPr>
            <w:r w:rsidRPr="00C258AD">
              <w:rPr>
                <w:sz w:val="16"/>
                <w:szCs w:val="16"/>
              </w:rPr>
              <w:t>75 signes</w:t>
            </w:r>
            <w:r w:rsidRPr="00C258AD">
              <w:rPr>
                <w:rStyle w:val="FootnoteReference"/>
                <w:rFonts w:eastAsia="SimSun"/>
                <w:sz w:val="16"/>
                <w:szCs w:val="16"/>
              </w:rPr>
              <w:footnoteReference w:id="12"/>
            </w:r>
            <w:r w:rsidRPr="00C258AD">
              <w:rPr>
                <w:sz w:val="16"/>
                <w:szCs w:val="16"/>
              </w:rPr>
              <w:t xml:space="preserve"> </w:t>
            </w:r>
            <w:r w:rsidRPr="00C258AD">
              <w:rPr>
                <w:sz w:val="16"/>
                <w:szCs w:val="16"/>
                <w:lang w:bidi="th-TH"/>
              </w:rPr>
              <w:t>publiés dans la base de données relative à l</w:t>
            </w:r>
            <w:r w:rsidR="00721905" w:rsidRPr="00C258AD">
              <w:rPr>
                <w:sz w:val="16"/>
                <w:szCs w:val="16"/>
                <w:lang w:bidi="th-TH"/>
              </w:rPr>
              <w:t>’</w:t>
            </w:r>
            <w:r w:rsidRPr="00C258AD">
              <w:rPr>
                <w:sz w:val="16"/>
                <w:szCs w:val="16"/>
                <w:lang w:bidi="th-TH"/>
              </w:rPr>
              <w:t>article </w:t>
            </w:r>
            <w:r w:rsidRPr="00C258AD">
              <w:rPr>
                <w:sz w:val="16"/>
                <w:szCs w:val="16"/>
              </w:rPr>
              <w:t>6</w:t>
            </w:r>
            <w:r w:rsidRPr="00C258AD">
              <w:rPr>
                <w:i/>
                <w:sz w:val="16"/>
                <w:szCs w:val="16"/>
              </w:rPr>
              <w:t>ter</w:t>
            </w:r>
            <w:r w:rsidRPr="00C258AD">
              <w:rPr>
                <w:sz w:val="16"/>
                <w:szCs w:val="16"/>
              </w:rPr>
              <w:t xml:space="preserve"> e</w:t>
            </w:r>
            <w:r w:rsidRPr="00C258AD">
              <w:rPr>
                <w:sz w:val="16"/>
                <w:szCs w:val="16"/>
                <w:lang w:bidi="th-TH"/>
              </w:rPr>
              <w:t>n</w:t>
            </w:r>
            <w:r w:rsidRPr="00C258AD">
              <w:rPr>
                <w:sz w:val="16"/>
                <w:szCs w:val="16"/>
              </w:rPr>
              <w:t> </w:t>
            </w:r>
            <w:r w:rsidRPr="00C258AD">
              <w:rPr>
                <w:sz w:val="16"/>
                <w:szCs w:val="16"/>
                <w:lang w:bidi="th-TH"/>
              </w:rPr>
              <w:t>2012</w:t>
            </w:r>
          </w:p>
        </w:tc>
        <w:tc>
          <w:tcPr>
            <w:tcW w:w="676" w:type="pct"/>
            <w:gridSpan w:val="2"/>
            <w:tcBorders>
              <w:top w:val="nil"/>
              <w:left w:val="nil"/>
              <w:bottom w:val="single" w:sz="4" w:space="0" w:color="auto"/>
              <w:right w:val="nil"/>
            </w:tcBorders>
            <w:shd w:val="clear" w:color="auto" w:fill="auto"/>
            <w:tcMar>
              <w:top w:w="113" w:type="dxa"/>
              <w:bottom w:w="113" w:type="dxa"/>
            </w:tcMar>
          </w:tcPr>
          <w:p w:rsidR="00007D87" w:rsidRPr="00C258AD" w:rsidRDefault="00007D87" w:rsidP="0083763A">
            <w:pPr>
              <w:rPr>
                <w:sz w:val="16"/>
                <w:szCs w:val="16"/>
                <w:lang w:bidi="th-TH"/>
              </w:rPr>
            </w:pPr>
            <w:r w:rsidRPr="00C258AD">
              <w:rPr>
                <w:sz w:val="16"/>
                <w:szCs w:val="16"/>
                <w:lang w:bidi="th-TH"/>
              </w:rPr>
              <w:t>150 signes publiés dans la base de données relative à l</w:t>
            </w:r>
            <w:r w:rsidR="00721905" w:rsidRPr="00C258AD">
              <w:rPr>
                <w:sz w:val="16"/>
                <w:szCs w:val="16"/>
                <w:lang w:bidi="th-TH"/>
              </w:rPr>
              <w:t>’</w:t>
            </w:r>
            <w:r w:rsidRPr="00C258AD">
              <w:rPr>
                <w:sz w:val="16"/>
                <w:szCs w:val="16"/>
                <w:lang w:bidi="th-TH"/>
              </w:rPr>
              <w:t>article </w:t>
            </w:r>
            <w:r w:rsidRPr="00C258AD">
              <w:rPr>
                <w:sz w:val="16"/>
                <w:szCs w:val="16"/>
              </w:rPr>
              <w:t>6</w:t>
            </w:r>
            <w:r w:rsidRPr="00C258AD">
              <w:rPr>
                <w:i/>
                <w:sz w:val="16"/>
                <w:szCs w:val="16"/>
              </w:rPr>
              <w:t>ter</w:t>
            </w:r>
            <w:r w:rsidRPr="00C258AD">
              <w:rPr>
                <w:rStyle w:val="FootnoteReference"/>
                <w:rFonts w:eastAsia="SimSun"/>
                <w:sz w:val="16"/>
                <w:szCs w:val="16"/>
                <w:lang w:bidi="th-TH"/>
              </w:rPr>
              <w:footnoteReference w:id="13"/>
            </w:r>
            <w:r w:rsidRPr="00C258AD">
              <w:rPr>
                <w:rStyle w:val="FootnoteReference"/>
                <w:rFonts w:eastAsia="SimSun"/>
                <w:sz w:val="16"/>
                <w:szCs w:val="16"/>
                <w:lang w:bidi="th-TH"/>
              </w:rPr>
              <w:t xml:space="preserve"> </w:t>
            </w:r>
          </w:p>
        </w:tc>
        <w:tc>
          <w:tcPr>
            <w:tcW w:w="1190" w:type="pct"/>
            <w:gridSpan w:val="2"/>
            <w:tcBorders>
              <w:top w:val="nil"/>
              <w:left w:val="nil"/>
              <w:bottom w:val="single" w:sz="4" w:space="0" w:color="auto"/>
              <w:right w:val="nil"/>
            </w:tcBorders>
            <w:shd w:val="clear" w:color="auto" w:fill="auto"/>
            <w:tcMar>
              <w:top w:w="113" w:type="dxa"/>
              <w:bottom w:w="113" w:type="dxa"/>
            </w:tcMar>
          </w:tcPr>
          <w:p w:rsidR="006E2BB1" w:rsidRPr="00C258AD" w:rsidRDefault="00007D87" w:rsidP="0083763A">
            <w:pPr>
              <w:rPr>
                <w:sz w:val="16"/>
                <w:szCs w:val="16"/>
                <w:lang w:bidi="th-TH"/>
              </w:rPr>
            </w:pPr>
            <w:r w:rsidRPr="00C258AD">
              <w:rPr>
                <w:sz w:val="16"/>
                <w:szCs w:val="16"/>
                <w:lang w:bidi="th-TH"/>
              </w:rPr>
              <w:t>149 nouveaux signes publiés</w:t>
            </w:r>
          </w:p>
          <w:p w:rsidR="006E2BB1" w:rsidRPr="00C258AD" w:rsidRDefault="006E2BB1" w:rsidP="0083763A">
            <w:pPr>
              <w:rPr>
                <w:sz w:val="16"/>
                <w:szCs w:val="16"/>
                <w:lang w:bidi="th-TH"/>
              </w:rPr>
            </w:pPr>
          </w:p>
          <w:p w:rsidR="00007D87" w:rsidRPr="00C258AD" w:rsidRDefault="00007D87" w:rsidP="0083763A">
            <w:pPr>
              <w:rPr>
                <w:sz w:val="16"/>
                <w:szCs w:val="16"/>
                <w:lang w:bidi="th-TH"/>
              </w:rPr>
            </w:pPr>
            <w:r w:rsidRPr="00C258AD">
              <w:rPr>
                <w:sz w:val="16"/>
                <w:szCs w:val="16"/>
                <w:lang w:bidi="th-TH"/>
              </w:rPr>
              <w:t>Un total de</w:t>
            </w:r>
            <w:r w:rsidR="002C57EB" w:rsidRPr="00C258AD">
              <w:rPr>
                <w:sz w:val="16"/>
                <w:szCs w:val="16"/>
                <w:lang w:bidi="th-TH"/>
              </w:rPr>
              <w:t> </w:t>
            </w:r>
            <w:r w:rsidRPr="00C258AD">
              <w:rPr>
                <w:sz w:val="16"/>
                <w:szCs w:val="16"/>
                <w:lang w:bidi="th-TH"/>
              </w:rPr>
              <w:t>3157 signes contenus dans la base de données relative à l</w:t>
            </w:r>
            <w:r w:rsidR="00721905" w:rsidRPr="00C258AD">
              <w:rPr>
                <w:sz w:val="16"/>
                <w:szCs w:val="16"/>
                <w:lang w:bidi="th-TH"/>
              </w:rPr>
              <w:t>’</w:t>
            </w:r>
            <w:r w:rsidRPr="00C258AD">
              <w:rPr>
                <w:sz w:val="16"/>
                <w:szCs w:val="16"/>
                <w:lang w:bidi="th-TH"/>
              </w:rPr>
              <w:t>a</w:t>
            </w:r>
            <w:r w:rsidRPr="00C258AD">
              <w:rPr>
                <w:sz w:val="16"/>
                <w:szCs w:val="16"/>
              </w:rPr>
              <w:t>rticle</w:t>
            </w:r>
            <w:r w:rsidRPr="00C258AD">
              <w:rPr>
                <w:sz w:val="16"/>
                <w:szCs w:val="16"/>
                <w:lang w:bidi="th-TH"/>
              </w:rPr>
              <w:t> </w:t>
            </w:r>
            <w:r w:rsidRPr="00C258AD">
              <w:rPr>
                <w:sz w:val="16"/>
                <w:szCs w:val="16"/>
              </w:rPr>
              <w:t>6</w:t>
            </w:r>
            <w:r w:rsidRPr="00C258AD">
              <w:rPr>
                <w:i/>
                <w:sz w:val="16"/>
                <w:szCs w:val="16"/>
              </w:rPr>
              <w:t>ter</w:t>
            </w:r>
            <w:r w:rsidRPr="00C258AD">
              <w:rPr>
                <w:sz w:val="16"/>
                <w:szCs w:val="16"/>
              </w:rPr>
              <w:t xml:space="preserve"> à la fin de 2015.</w:t>
            </w:r>
          </w:p>
        </w:tc>
        <w:tc>
          <w:tcPr>
            <w:tcW w:w="596" w:type="pct"/>
            <w:tcBorders>
              <w:top w:val="nil"/>
              <w:left w:val="nil"/>
              <w:bottom w:val="single" w:sz="4" w:space="0" w:color="auto"/>
              <w:right w:val="single" w:sz="4" w:space="0" w:color="auto"/>
            </w:tcBorders>
            <w:shd w:val="clear" w:color="auto" w:fill="auto"/>
            <w:tcMar>
              <w:top w:w="113" w:type="dxa"/>
              <w:bottom w:w="113" w:type="dxa"/>
            </w:tcMar>
          </w:tcPr>
          <w:p w:rsidR="00007D87" w:rsidRPr="00C258AD" w:rsidRDefault="00007D87" w:rsidP="0083763A">
            <w:pPr>
              <w:jc w:val="center"/>
              <w:rPr>
                <w:b/>
                <w:color w:val="FF0000"/>
                <w:sz w:val="16"/>
                <w:szCs w:val="16"/>
              </w:rPr>
            </w:pPr>
            <w:r w:rsidRPr="00C258AD">
              <w:rPr>
                <w:b/>
                <w:bCs/>
                <w:color w:val="00B050"/>
                <w:sz w:val="16"/>
                <w:szCs w:val="16"/>
              </w:rPr>
              <w:t>Objectif pleinement atteint</w:t>
            </w:r>
          </w:p>
        </w:tc>
      </w:tr>
    </w:tbl>
    <w:p w:rsidR="006E2BB1" w:rsidRPr="00C258AD" w:rsidRDefault="006E2BB1" w:rsidP="00007D87">
      <w:pPr>
        <w:jc w:val="both"/>
        <w:rPr>
          <w:sz w:val="18"/>
        </w:rPr>
      </w:pPr>
    </w:p>
    <w:p w:rsidR="006E2BB1" w:rsidRPr="00C258AD" w:rsidRDefault="006E2BB1" w:rsidP="00007D87">
      <w:pPr>
        <w:jc w:val="both"/>
        <w:rPr>
          <w:sz w:val="18"/>
        </w:rPr>
      </w:pPr>
    </w:p>
    <w:p w:rsidR="006E2BB1" w:rsidRPr="00C258AD" w:rsidRDefault="00007D87" w:rsidP="00007D87">
      <w:pPr>
        <w:rPr>
          <w:color w:val="000000"/>
          <w:sz w:val="22"/>
          <w:szCs w:val="22"/>
        </w:rPr>
      </w:pPr>
      <w:r w:rsidRPr="00C258AD">
        <w:rPr>
          <w:color w:val="000000"/>
          <w:sz w:val="22"/>
          <w:szCs w:val="22"/>
        </w:rPr>
        <w:br w:type="page"/>
      </w:r>
    </w:p>
    <w:p w:rsidR="006E2BB1" w:rsidRPr="00C258AD" w:rsidRDefault="00BE27AB" w:rsidP="00305CE5">
      <w:pPr>
        <w:keepNext/>
        <w:rPr>
          <w:rFonts w:cs="Arial"/>
          <w:caps/>
          <w:sz w:val="22"/>
          <w:szCs w:val="22"/>
        </w:rPr>
      </w:pPr>
      <w:r w:rsidRPr="00C258AD">
        <w:rPr>
          <w:rFonts w:cs="Arial"/>
          <w:caps/>
          <w:sz w:val="22"/>
          <w:szCs w:val="22"/>
        </w:rPr>
        <w:lastRenderedPageBreak/>
        <w:t>Rapport d</w:t>
      </w:r>
      <w:r w:rsidR="00721905" w:rsidRPr="00C258AD">
        <w:rPr>
          <w:rFonts w:cs="Arial"/>
          <w:caps/>
          <w:sz w:val="22"/>
          <w:szCs w:val="22"/>
        </w:rPr>
        <w:t>’</w:t>
      </w:r>
      <w:r w:rsidRPr="00C258AD">
        <w:rPr>
          <w:rFonts w:cs="Arial"/>
          <w:caps/>
          <w:sz w:val="22"/>
          <w:szCs w:val="22"/>
        </w:rPr>
        <w:t>évaluation des risques pour l</w:t>
      </w:r>
      <w:r w:rsidR="00721905" w:rsidRPr="00C258AD">
        <w:rPr>
          <w:rFonts w:cs="Arial"/>
          <w:caps/>
          <w:sz w:val="22"/>
          <w:szCs w:val="22"/>
        </w:rPr>
        <w:t>’</w:t>
      </w:r>
      <w:r w:rsidRPr="00C258AD">
        <w:rPr>
          <w:rFonts w:cs="Arial"/>
          <w:caps/>
          <w:sz w:val="22"/>
          <w:szCs w:val="22"/>
        </w:rPr>
        <w:t>exercice biennal</w:t>
      </w:r>
    </w:p>
    <w:p w:rsidR="00007D87" w:rsidRPr="00C258AD" w:rsidRDefault="00007D87" w:rsidP="00007D87">
      <w:pPr>
        <w:keepNext/>
        <w:keepLines/>
        <w:rPr>
          <w:color w:val="000000"/>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007D87" w:rsidRPr="00C258AD" w:rsidTr="004A0BE0">
        <w:trPr>
          <w:cantSplit/>
        </w:trPr>
        <w:tc>
          <w:tcPr>
            <w:tcW w:w="2372" w:type="dxa"/>
            <w:tcBorders>
              <w:top w:val="single" w:sz="4" w:space="0" w:color="auto"/>
              <w:left w:val="single" w:sz="4" w:space="0" w:color="auto"/>
              <w:bottom w:val="single" w:sz="4" w:space="0" w:color="auto"/>
            </w:tcBorders>
            <w:shd w:val="clear" w:color="auto" w:fill="C5D9F1"/>
            <w:tcMar>
              <w:top w:w="113" w:type="dxa"/>
              <w:bottom w:w="113" w:type="dxa"/>
            </w:tcMar>
            <w:vAlign w:val="center"/>
          </w:tcPr>
          <w:p w:rsidR="00007D87" w:rsidRPr="00C258AD" w:rsidRDefault="00007D87" w:rsidP="004A0BE0">
            <w:pPr>
              <w:autoSpaceDE w:val="0"/>
              <w:autoSpaceDN w:val="0"/>
              <w:adjustRightInd w:val="0"/>
              <w:ind w:right="-59"/>
              <w:jc w:val="center"/>
              <w:rPr>
                <w:b/>
                <w:bCs/>
                <w:iCs/>
                <w:sz w:val="16"/>
                <w:szCs w:val="16"/>
              </w:rPr>
            </w:pPr>
            <w:r w:rsidRPr="00C258AD">
              <w:rPr>
                <w:b/>
                <w:bCs/>
                <w:iCs/>
                <w:sz w:val="16"/>
                <w:szCs w:val="16"/>
              </w:rPr>
              <w:t>Risque(s) susceptible(s) d</w:t>
            </w:r>
            <w:r w:rsidR="00721905" w:rsidRPr="00C258AD">
              <w:rPr>
                <w:b/>
                <w:bCs/>
                <w:iCs/>
                <w:sz w:val="16"/>
                <w:szCs w:val="16"/>
              </w:rPr>
              <w:t>’</w:t>
            </w:r>
            <w:r w:rsidRPr="00C258AD">
              <w:rPr>
                <w:b/>
                <w:bCs/>
                <w:iCs/>
                <w:sz w:val="16"/>
                <w:szCs w:val="16"/>
              </w:rPr>
              <w:t>empêcher le programme d</w:t>
            </w:r>
            <w:r w:rsidR="00721905" w:rsidRPr="00C258AD">
              <w:rPr>
                <w:b/>
                <w:bCs/>
                <w:iCs/>
                <w:sz w:val="16"/>
                <w:szCs w:val="16"/>
              </w:rPr>
              <w:t>’</w:t>
            </w:r>
            <w:r w:rsidRPr="00C258AD">
              <w:rPr>
                <w:b/>
                <w:bCs/>
                <w:iCs/>
                <w:sz w:val="16"/>
                <w:szCs w:val="16"/>
              </w:rPr>
              <w:t>atteindre ses résultats</w:t>
            </w:r>
          </w:p>
        </w:tc>
        <w:tc>
          <w:tcPr>
            <w:tcW w:w="2373" w:type="dxa"/>
            <w:tcBorders>
              <w:top w:val="single" w:sz="4" w:space="0" w:color="auto"/>
              <w:bottom w:val="single" w:sz="4" w:space="0" w:color="auto"/>
            </w:tcBorders>
            <w:shd w:val="clear" w:color="auto" w:fill="C5D9F1"/>
            <w:tcMar>
              <w:top w:w="113" w:type="dxa"/>
              <w:bottom w:w="113" w:type="dxa"/>
            </w:tcMar>
            <w:vAlign w:val="center"/>
          </w:tcPr>
          <w:p w:rsidR="00007D87" w:rsidRPr="00C258AD" w:rsidRDefault="00007D87" w:rsidP="004A0BE0">
            <w:pPr>
              <w:autoSpaceDE w:val="0"/>
              <w:autoSpaceDN w:val="0"/>
              <w:adjustRightInd w:val="0"/>
              <w:ind w:right="-59"/>
              <w:jc w:val="center"/>
              <w:rPr>
                <w:b/>
                <w:bCs/>
                <w:iCs/>
                <w:sz w:val="16"/>
                <w:szCs w:val="16"/>
              </w:rPr>
            </w:pPr>
            <w:r w:rsidRPr="00C258AD">
              <w:rPr>
                <w:b/>
                <w:bCs/>
                <w:iCs/>
                <w:sz w:val="16"/>
                <w:szCs w:val="16"/>
              </w:rPr>
              <w:t>Plans d</w:t>
            </w:r>
            <w:r w:rsidR="00721905" w:rsidRPr="00C258AD">
              <w:rPr>
                <w:b/>
                <w:bCs/>
                <w:iCs/>
                <w:sz w:val="16"/>
                <w:szCs w:val="16"/>
              </w:rPr>
              <w:t>’</w:t>
            </w:r>
            <w:r w:rsidRPr="00C258AD">
              <w:rPr>
                <w:b/>
                <w:bCs/>
                <w:iCs/>
                <w:sz w:val="16"/>
                <w:szCs w:val="16"/>
              </w:rPr>
              <w:t>atténuation en place ou en cours de mise en œuvre</w:t>
            </w:r>
          </w:p>
        </w:tc>
        <w:tc>
          <w:tcPr>
            <w:tcW w:w="2373" w:type="dxa"/>
            <w:tcBorders>
              <w:top w:val="single" w:sz="4" w:space="0" w:color="auto"/>
              <w:bottom w:val="single" w:sz="4" w:space="0" w:color="auto"/>
            </w:tcBorders>
            <w:shd w:val="clear" w:color="auto" w:fill="C5D9F1"/>
            <w:vAlign w:val="center"/>
          </w:tcPr>
          <w:p w:rsidR="00007D87" w:rsidRPr="00C258AD" w:rsidRDefault="00007D87" w:rsidP="004A0BE0">
            <w:pPr>
              <w:jc w:val="center"/>
              <w:rPr>
                <w:b/>
                <w:bCs/>
                <w:sz w:val="16"/>
                <w:szCs w:val="16"/>
              </w:rPr>
            </w:pPr>
            <w:r w:rsidRPr="00C258AD">
              <w:rPr>
                <w:b/>
                <w:bCs/>
                <w:iCs/>
                <w:sz w:val="16"/>
                <w:szCs w:val="16"/>
              </w:rPr>
              <w:t>Évolution des risques et des stratégies d</w:t>
            </w:r>
            <w:r w:rsidR="00721905" w:rsidRPr="00C258AD">
              <w:rPr>
                <w:b/>
                <w:bCs/>
                <w:iCs/>
                <w:sz w:val="16"/>
                <w:szCs w:val="16"/>
              </w:rPr>
              <w:t>’</w:t>
            </w:r>
            <w:r w:rsidRPr="00C258AD">
              <w:rPr>
                <w:b/>
                <w:bCs/>
                <w:iCs/>
                <w:sz w:val="16"/>
                <w:szCs w:val="16"/>
              </w:rPr>
              <w:t>atténuation durant l</w:t>
            </w:r>
            <w:r w:rsidR="00721905" w:rsidRPr="00C258AD">
              <w:rPr>
                <w:b/>
                <w:bCs/>
                <w:iCs/>
                <w:sz w:val="16"/>
                <w:szCs w:val="16"/>
              </w:rPr>
              <w:t>’</w:t>
            </w:r>
            <w:r w:rsidRPr="00C258AD">
              <w:rPr>
                <w:b/>
                <w:bCs/>
                <w:iCs/>
                <w:sz w:val="16"/>
                <w:szCs w:val="16"/>
              </w:rPr>
              <w:t>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007D87" w:rsidRPr="00C258AD" w:rsidRDefault="00007D87" w:rsidP="004A0BE0">
            <w:pPr>
              <w:jc w:val="center"/>
              <w:rPr>
                <w:b/>
                <w:bCs/>
                <w:sz w:val="16"/>
                <w:szCs w:val="16"/>
              </w:rPr>
            </w:pPr>
            <w:r w:rsidRPr="00C258AD">
              <w:rPr>
                <w:b/>
                <w:bCs/>
                <w:iCs/>
                <w:sz w:val="16"/>
                <w:szCs w:val="16"/>
              </w:rPr>
              <w:t>Incidence sur les résultats du programme</w:t>
            </w:r>
          </w:p>
        </w:tc>
      </w:tr>
      <w:tr w:rsidR="00007D87" w:rsidRPr="00C258AD" w:rsidTr="006A7E84">
        <w:trPr>
          <w:cantSplit/>
        </w:trPr>
        <w:tc>
          <w:tcPr>
            <w:tcW w:w="2372" w:type="dxa"/>
            <w:tcBorders>
              <w:top w:val="single" w:sz="4" w:space="0" w:color="auto"/>
              <w:left w:val="single" w:sz="4" w:space="0" w:color="auto"/>
              <w:bottom w:val="single" w:sz="4" w:space="0" w:color="auto"/>
            </w:tcBorders>
            <w:shd w:val="clear" w:color="auto" w:fill="auto"/>
            <w:tcMar>
              <w:top w:w="113" w:type="dxa"/>
              <w:bottom w:w="113" w:type="dxa"/>
            </w:tcMar>
          </w:tcPr>
          <w:p w:rsidR="00007D87" w:rsidRPr="00C258AD" w:rsidRDefault="00007D87" w:rsidP="0083763A">
            <w:pPr>
              <w:rPr>
                <w:sz w:val="16"/>
                <w:szCs w:val="16"/>
              </w:rPr>
            </w:pPr>
            <w:r w:rsidRPr="00C258AD">
              <w:rPr>
                <w:sz w:val="16"/>
                <w:szCs w:val="16"/>
              </w:rPr>
              <w:t>Les accords au niveau multilatéral restent difficiles et la réussite des activités normatives en vertu du programme 2 dépendra, dans une large mesure, de l</w:t>
            </w:r>
            <w:r w:rsidR="00721905" w:rsidRPr="00C258AD">
              <w:rPr>
                <w:sz w:val="16"/>
                <w:szCs w:val="16"/>
              </w:rPr>
              <w:t>’</w:t>
            </w:r>
            <w:r w:rsidRPr="00C258AD">
              <w:rPr>
                <w:sz w:val="16"/>
                <w:szCs w:val="16"/>
              </w:rPr>
              <w:t>engagement des États membres à définir des objectifs adoptés d</w:t>
            </w:r>
            <w:r w:rsidR="00721905" w:rsidRPr="00C258AD">
              <w:rPr>
                <w:sz w:val="16"/>
                <w:szCs w:val="16"/>
              </w:rPr>
              <w:t>’</w:t>
            </w:r>
            <w:r w:rsidRPr="00C258AD">
              <w:rPr>
                <w:sz w:val="16"/>
                <w:szCs w:val="16"/>
              </w:rPr>
              <w:t>un commun accord.</w:t>
            </w:r>
          </w:p>
        </w:tc>
        <w:tc>
          <w:tcPr>
            <w:tcW w:w="2373" w:type="dxa"/>
            <w:tcBorders>
              <w:top w:val="single" w:sz="4" w:space="0" w:color="auto"/>
              <w:bottom w:val="single" w:sz="4" w:space="0" w:color="auto"/>
            </w:tcBorders>
            <w:shd w:val="clear" w:color="auto" w:fill="auto"/>
            <w:tcMar>
              <w:top w:w="113" w:type="dxa"/>
              <w:bottom w:w="113" w:type="dxa"/>
            </w:tcMar>
          </w:tcPr>
          <w:p w:rsidR="00007D87" w:rsidRPr="00C258AD" w:rsidRDefault="00007D87" w:rsidP="0083763A">
            <w:pPr>
              <w:autoSpaceDE w:val="0"/>
              <w:autoSpaceDN w:val="0"/>
              <w:adjustRightInd w:val="0"/>
              <w:ind w:right="-59"/>
              <w:rPr>
                <w:sz w:val="16"/>
                <w:szCs w:val="16"/>
              </w:rPr>
            </w:pPr>
            <w:r w:rsidRPr="00C258AD">
              <w:rPr>
                <w:sz w:val="16"/>
                <w:szCs w:val="16"/>
              </w:rPr>
              <w:t>Il s</w:t>
            </w:r>
            <w:r w:rsidR="00721905" w:rsidRPr="00C258AD">
              <w:rPr>
                <w:sz w:val="16"/>
                <w:szCs w:val="16"/>
              </w:rPr>
              <w:t>’</w:t>
            </w:r>
            <w:r w:rsidRPr="00C258AD">
              <w:rPr>
                <w:sz w:val="16"/>
                <w:szCs w:val="16"/>
              </w:rPr>
              <w:t>agit d</w:t>
            </w:r>
            <w:r w:rsidR="00721905" w:rsidRPr="00C258AD">
              <w:rPr>
                <w:sz w:val="16"/>
                <w:szCs w:val="16"/>
              </w:rPr>
              <w:t>’</w:t>
            </w:r>
            <w:r w:rsidRPr="00C258AD">
              <w:rPr>
                <w:sz w:val="16"/>
                <w:szCs w:val="16"/>
              </w:rPr>
              <w:t>un risque inhérent à toute activité d</w:t>
            </w:r>
            <w:r w:rsidR="00721905" w:rsidRPr="00C258AD">
              <w:rPr>
                <w:sz w:val="16"/>
                <w:szCs w:val="16"/>
              </w:rPr>
              <w:t>’</w:t>
            </w:r>
            <w:r w:rsidRPr="00C258AD">
              <w:rPr>
                <w:sz w:val="16"/>
                <w:szCs w:val="16"/>
              </w:rPr>
              <w:t>établissement de normes qui, de par sa nature, devra être pris en compte par le program</w:t>
            </w:r>
            <w:r w:rsidR="0000169D" w:rsidRPr="00C258AD">
              <w:rPr>
                <w:sz w:val="16"/>
                <w:szCs w:val="16"/>
              </w:rPr>
              <w:t>me.  Ce</w:t>
            </w:r>
            <w:r w:rsidRPr="00C258AD">
              <w:rPr>
                <w:sz w:val="16"/>
                <w:szCs w:val="16"/>
              </w:rPr>
              <w:t>pendant, certaines activités menées dans le cadre du programme, notamment les sessions</w:t>
            </w:r>
            <w:r w:rsidR="00721905" w:rsidRPr="00C258AD">
              <w:rPr>
                <w:sz w:val="16"/>
                <w:szCs w:val="16"/>
              </w:rPr>
              <w:t xml:space="preserve"> du SCT</w:t>
            </w:r>
            <w:r w:rsidRPr="00C258AD">
              <w:rPr>
                <w:sz w:val="16"/>
                <w:szCs w:val="16"/>
              </w:rPr>
              <w:t>, permettront d</w:t>
            </w:r>
            <w:r w:rsidR="00721905" w:rsidRPr="00C258AD">
              <w:rPr>
                <w:sz w:val="16"/>
                <w:szCs w:val="16"/>
              </w:rPr>
              <w:t>’</w:t>
            </w:r>
            <w:r w:rsidRPr="00C258AD">
              <w:rPr>
                <w:sz w:val="16"/>
                <w:szCs w:val="16"/>
              </w:rPr>
              <w:t>instaurer un dialogue et un échange de vues permanents afin de recenser les domaines de convergence où il y a communauté de vues et les possibilités de s</w:t>
            </w:r>
            <w:r w:rsidR="00721905" w:rsidRPr="00C258AD">
              <w:rPr>
                <w:sz w:val="16"/>
                <w:szCs w:val="16"/>
              </w:rPr>
              <w:t>’</w:t>
            </w:r>
            <w:r w:rsidRPr="00C258AD">
              <w:rPr>
                <w:sz w:val="16"/>
                <w:szCs w:val="16"/>
              </w:rPr>
              <w:t>entendre sur les résultats visés.</w:t>
            </w:r>
          </w:p>
        </w:tc>
        <w:tc>
          <w:tcPr>
            <w:tcW w:w="2373" w:type="dxa"/>
            <w:tcBorders>
              <w:top w:val="single" w:sz="4" w:space="0" w:color="auto"/>
              <w:bottom w:val="single" w:sz="4" w:space="0" w:color="auto"/>
            </w:tcBorders>
          </w:tcPr>
          <w:p w:rsidR="00007D87" w:rsidRPr="00C258AD" w:rsidRDefault="00007D87" w:rsidP="0083763A">
            <w:pPr>
              <w:autoSpaceDE w:val="0"/>
              <w:autoSpaceDN w:val="0"/>
              <w:adjustRightInd w:val="0"/>
              <w:ind w:right="-59"/>
              <w:rPr>
                <w:sz w:val="16"/>
                <w:szCs w:val="16"/>
              </w:rPr>
            </w:pPr>
            <w:r w:rsidRPr="00C258AD">
              <w:rPr>
                <w:sz w:val="16"/>
                <w:szCs w:val="16"/>
              </w:rPr>
              <w:t>Le risque global pour le programme, tel que décrit, n</w:t>
            </w:r>
            <w:r w:rsidR="00721905" w:rsidRPr="00C258AD">
              <w:rPr>
                <w:sz w:val="16"/>
                <w:szCs w:val="16"/>
              </w:rPr>
              <w:t>’</w:t>
            </w:r>
            <w:r w:rsidRPr="00C258AD">
              <w:rPr>
                <w:sz w:val="16"/>
                <w:szCs w:val="16"/>
              </w:rPr>
              <w:t>a pas évolué de façon appréciable au cours de la période considérée et doit être considéré comme consta</w:t>
            </w:r>
            <w:r w:rsidR="0000169D" w:rsidRPr="00C258AD">
              <w:rPr>
                <w:sz w:val="16"/>
                <w:szCs w:val="16"/>
              </w:rPr>
              <w:t>nt.  Il</w:t>
            </w:r>
            <w:r w:rsidRPr="00C258AD">
              <w:rPr>
                <w:sz w:val="16"/>
                <w:szCs w:val="16"/>
              </w:rPr>
              <w:t xml:space="preserve"> en va de même pour les plans d</w:t>
            </w:r>
            <w:r w:rsidR="00721905" w:rsidRPr="00C258AD">
              <w:rPr>
                <w:sz w:val="16"/>
                <w:szCs w:val="16"/>
              </w:rPr>
              <w:t>’</w:t>
            </w:r>
            <w:r w:rsidRPr="00C258AD">
              <w:rPr>
                <w:sz w:val="16"/>
                <w:szCs w:val="16"/>
              </w:rPr>
              <w:t>atténuation en place, qui resteront pertinents pour l</w:t>
            </w:r>
            <w:r w:rsidR="00721905" w:rsidRPr="00C258AD">
              <w:rPr>
                <w:sz w:val="16"/>
                <w:szCs w:val="16"/>
              </w:rPr>
              <w:t>’</w:t>
            </w:r>
            <w:r w:rsidRPr="00C258AD">
              <w:rPr>
                <w:sz w:val="16"/>
                <w:szCs w:val="16"/>
              </w:rPr>
              <w:t>exercice biennal</w:t>
            </w:r>
            <w:r w:rsidR="002C57EB" w:rsidRPr="00C258AD">
              <w:rPr>
                <w:sz w:val="16"/>
                <w:szCs w:val="16"/>
              </w:rPr>
              <w:t> </w:t>
            </w:r>
            <w:r w:rsidRPr="00C258AD">
              <w:rPr>
                <w:sz w:val="16"/>
                <w:szCs w:val="16"/>
              </w:rPr>
              <w:t>2016</w:t>
            </w:r>
            <w:r w:rsidR="0000169D" w:rsidRPr="00C258AD">
              <w:rPr>
                <w:sz w:val="16"/>
                <w:szCs w:val="16"/>
              </w:rPr>
              <w:noBreakHyphen/>
            </w:r>
            <w:r w:rsidRPr="00C258AD">
              <w:rPr>
                <w:sz w:val="16"/>
                <w:szCs w:val="16"/>
              </w:rPr>
              <w:t>2017.</w:t>
            </w:r>
          </w:p>
        </w:tc>
        <w:tc>
          <w:tcPr>
            <w:tcW w:w="2373" w:type="dxa"/>
            <w:tcBorders>
              <w:top w:val="single" w:sz="4" w:space="0" w:color="auto"/>
              <w:bottom w:val="single" w:sz="4" w:space="0" w:color="auto"/>
              <w:right w:val="single" w:sz="4" w:space="0" w:color="auto"/>
            </w:tcBorders>
          </w:tcPr>
          <w:p w:rsidR="00007D87" w:rsidRPr="00C258AD" w:rsidRDefault="00007D87" w:rsidP="0083763A">
            <w:pPr>
              <w:autoSpaceDE w:val="0"/>
              <w:autoSpaceDN w:val="0"/>
              <w:adjustRightInd w:val="0"/>
              <w:ind w:right="-59"/>
              <w:rPr>
                <w:sz w:val="16"/>
                <w:szCs w:val="16"/>
              </w:rPr>
            </w:pPr>
            <w:r w:rsidRPr="00C258AD">
              <w:rPr>
                <w:sz w:val="16"/>
                <w:szCs w:val="16"/>
              </w:rPr>
              <w:t>Les risques inhérents aux activités d</w:t>
            </w:r>
            <w:r w:rsidR="00721905" w:rsidRPr="00C258AD">
              <w:rPr>
                <w:sz w:val="16"/>
                <w:szCs w:val="16"/>
              </w:rPr>
              <w:t>’</w:t>
            </w:r>
            <w:r w:rsidRPr="00C258AD">
              <w:rPr>
                <w:sz w:val="16"/>
                <w:szCs w:val="16"/>
              </w:rPr>
              <w:t>établissement de normes de ce programme sont constamment atténués grâce au dialogue et aux échanges de points de vue facilités par les sessions</w:t>
            </w:r>
            <w:r w:rsidR="00721905" w:rsidRPr="00C258AD">
              <w:rPr>
                <w:sz w:val="16"/>
                <w:szCs w:val="16"/>
              </w:rPr>
              <w:t xml:space="preserve"> du SCT</w:t>
            </w:r>
            <w:r w:rsidRPr="00C258AD">
              <w:rPr>
                <w:sz w:val="16"/>
                <w:szCs w:val="16"/>
              </w:rPr>
              <w:t xml:space="preserve"> et l</w:t>
            </w:r>
            <w:r w:rsidR="00721905" w:rsidRPr="00C258AD">
              <w:rPr>
                <w:sz w:val="16"/>
                <w:szCs w:val="16"/>
              </w:rPr>
              <w:t>’</w:t>
            </w:r>
            <w:r w:rsidRPr="00C258AD">
              <w:rPr>
                <w:sz w:val="16"/>
                <w:szCs w:val="16"/>
              </w:rPr>
              <w:t>Assemblée générale de l</w:t>
            </w:r>
            <w:r w:rsidR="00721905" w:rsidRPr="00C258AD">
              <w:rPr>
                <w:sz w:val="16"/>
                <w:szCs w:val="16"/>
              </w:rPr>
              <w:t>’</w:t>
            </w:r>
            <w:r w:rsidRPr="00C258AD">
              <w:rPr>
                <w:sz w:val="16"/>
                <w:szCs w:val="16"/>
              </w:rPr>
              <w:t>O</w:t>
            </w:r>
            <w:r w:rsidR="0000169D" w:rsidRPr="00C258AD">
              <w:rPr>
                <w:sz w:val="16"/>
                <w:szCs w:val="16"/>
              </w:rPr>
              <w:t>MPI.  Ai</w:t>
            </w:r>
            <w:r w:rsidRPr="00C258AD">
              <w:rPr>
                <w:sz w:val="16"/>
                <w:szCs w:val="16"/>
              </w:rPr>
              <w:t>nsi, tandis que l</w:t>
            </w:r>
            <w:r w:rsidR="00721905" w:rsidRPr="00C258AD">
              <w:rPr>
                <w:sz w:val="16"/>
                <w:szCs w:val="16"/>
              </w:rPr>
              <w:t>’</w:t>
            </w:r>
            <w:r w:rsidRPr="00C258AD">
              <w:rPr>
                <w:sz w:val="16"/>
                <w:szCs w:val="16"/>
              </w:rPr>
              <w:t>objectif principal (</w:t>
            </w:r>
            <w:r w:rsidR="00721905" w:rsidRPr="00C258AD">
              <w:rPr>
                <w:sz w:val="16"/>
                <w:szCs w:val="16"/>
              </w:rPr>
              <w:t>à savoir</w:t>
            </w:r>
            <w:r w:rsidRPr="00C258AD">
              <w:rPr>
                <w:sz w:val="16"/>
                <w:szCs w:val="16"/>
              </w:rPr>
              <w:t>, la conclusion d</w:t>
            </w:r>
            <w:r w:rsidR="00721905" w:rsidRPr="00C258AD">
              <w:rPr>
                <w:sz w:val="16"/>
                <w:szCs w:val="16"/>
              </w:rPr>
              <w:t>’</w:t>
            </w:r>
            <w:r w:rsidRPr="00C258AD">
              <w:rPr>
                <w:sz w:val="16"/>
                <w:szCs w:val="16"/>
              </w:rPr>
              <w:t>un traité sur le droit des dessins et modèles) des activités d</w:t>
            </w:r>
            <w:r w:rsidR="00721905" w:rsidRPr="00C258AD">
              <w:rPr>
                <w:sz w:val="16"/>
                <w:szCs w:val="16"/>
              </w:rPr>
              <w:t>’</w:t>
            </w:r>
            <w:r w:rsidRPr="00C258AD">
              <w:rPr>
                <w:sz w:val="16"/>
                <w:szCs w:val="16"/>
              </w:rPr>
              <w:t xml:space="preserve">établissement de normes relevant du </w:t>
            </w:r>
            <w:r w:rsidR="00FB247F" w:rsidRPr="00C258AD">
              <w:rPr>
                <w:sz w:val="16"/>
                <w:szCs w:val="16"/>
              </w:rPr>
              <w:t>programme </w:t>
            </w:r>
            <w:r w:rsidRPr="00C258AD">
              <w:rPr>
                <w:sz w:val="16"/>
                <w:szCs w:val="16"/>
              </w:rPr>
              <w:t>2 n</w:t>
            </w:r>
            <w:r w:rsidR="00721905" w:rsidRPr="00C258AD">
              <w:rPr>
                <w:sz w:val="16"/>
                <w:szCs w:val="16"/>
              </w:rPr>
              <w:t>’</w:t>
            </w:r>
            <w:r w:rsidRPr="00C258AD">
              <w:rPr>
                <w:sz w:val="16"/>
                <w:szCs w:val="16"/>
              </w:rPr>
              <w:t>a pas été atteint, des progrès importants ont été réalisés, en particulier lors de la quarante</w:t>
            </w:r>
            <w:r w:rsidR="0000169D" w:rsidRPr="00C258AD">
              <w:rPr>
                <w:sz w:val="16"/>
                <w:szCs w:val="16"/>
              </w:rPr>
              <w:noBreakHyphen/>
            </w:r>
            <w:r w:rsidRPr="00C258AD">
              <w:rPr>
                <w:sz w:val="16"/>
                <w:szCs w:val="16"/>
              </w:rPr>
              <w:t>septième</w:t>
            </w:r>
            <w:r w:rsidR="002C57EB" w:rsidRPr="00C258AD">
              <w:rPr>
                <w:sz w:val="16"/>
                <w:szCs w:val="16"/>
              </w:rPr>
              <w:t> </w:t>
            </w:r>
            <w:r w:rsidRPr="00C258AD">
              <w:rPr>
                <w:sz w:val="16"/>
                <w:szCs w:val="16"/>
              </w:rPr>
              <w:t>session de l</w:t>
            </w:r>
            <w:r w:rsidR="00721905" w:rsidRPr="00C258AD">
              <w:rPr>
                <w:sz w:val="16"/>
                <w:szCs w:val="16"/>
              </w:rPr>
              <w:t>’</w:t>
            </w:r>
            <w:r w:rsidRPr="00C258AD">
              <w:rPr>
                <w:sz w:val="16"/>
                <w:szCs w:val="16"/>
              </w:rPr>
              <w:t>Assemblée générale de l</w:t>
            </w:r>
            <w:r w:rsidR="00721905" w:rsidRPr="00C258AD">
              <w:rPr>
                <w:sz w:val="16"/>
                <w:szCs w:val="16"/>
              </w:rPr>
              <w:t>’</w:t>
            </w:r>
            <w:r w:rsidRPr="00C258AD">
              <w:rPr>
                <w:sz w:val="16"/>
                <w:szCs w:val="16"/>
              </w:rPr>
              <w:t xml:space="preserve">OMPI. </w:t>
            </w:r>
            <w:r w:rsidR="002C57EB" w:rsidRPr="00C258AD">
              <w:rPr>
                <w:sz w:val="16"/>
                <w:szCs w:val="16"/>
              </w:rPr>
              <w:t xml:space="preserve"> </w:t>
            </w:r>
          </w:p>
        </w:tc>
      </w:tr>
    </w:tbl>
    <w:p w:rsidR="006E2BB1" w:rsidRPr="00C258AD" w:rsidRDefault="006E2BB1" w:rsidP="00007D87"/>
    <w:p w:rsidR="006E2BB1" w:rsidRPr="00C258AD" w:rsidRDefault="006E2BB1" w:rsidP="00007D87"/>
    <w:p w:rsidR="006E2BB1" w:rsidRPr="00C258AD" w:rsidRDefault="00BE27AB" w:rsidP="00305CE5">
      <w:pPr>
        <w:keepNext/>
        <w:rPr>
          <w:rFonts w:cs="Arial"/>
          <w:caps/>
          <w:sz w:val="22"/>
          <w:szCs w:val="22"/>
        </w:rPr>
      </w:pPr>
      <w:r w:rsidRPr="00C258AD">
        <w:rPr>
          <w:rFonts w:cs="Arial"/>
          <w:caps/>
          <w:sz w:val="22"/>
          <w:szCs w:val="22"/>
        </w:rPr>
        <w:t>Utilisation des ressources</w:t>
      </w:r>
    </w:p>
    <w:p w:rsidR="006E2BB1" w:rsidRPr="00C258AD" w:rsidRDefault="006E2BB1" w:rsidP="00007D87"/>
    <w:p w:rsidR="006E2BB1" w:rsidRPr="00C258AD" w:rsidRDefault="00007D87" w:rsidP="00007D87">
      <w:pPr>
        <w:pStyle w:val="NormalWeb"/>
        <w:spacing w:before="0" w:beforeAutospacing="0" w:after="0" w:afterAutospacing="0"/>
        <w:jc w:val="center"/>
        <w:rPr>
          <w:sz w:val="20"/>
          <w:szCs w:val="20"/>
        </w:rPr>
      </w:pPr>
      <w:r w:rsidRPr="00C258AD">
        <w:rPr>
          <w:sz w:val="20"/>
          <w:szCs w:val="20"/>
        </w:rPr>
        <w:t>Budget et dépenses effectives (par résultat)</w:t>
      </w:r>
    </w:p>
    <w:p w:rsidR="006E2BB1" w:rsidRPr="00C258AD" w:rsidRDefault="00007D87" w:rsidP="00007D87">
      <w:pPr>
        <w:pStyle w:val="NormalWeb"/>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007D87" w:rsidRPr="00C258AD" w:rsidRDefault="00007D87" w:rsidP="00007D87">
      <w:pPr>
        <w:jc w:val="both"/>
      </w:pPr>
    </w:p>
    <w:tbl>
      <w:tblPr>
        <w:tblW w:w="5000" w:type="pct"/>
        <w:tblCellMar>
          <w:top w:w="113" w:type="dxa"/>
          <w:left w:w="70" w:type="dxa"/>
          <w:bottom w:w="113" w:type="dxa"/>
          <w:right w:w="70" w:type="dxa"/>
        </w:tblCellMar>
        <w:tblLook w:val="04A0" w:firstRow="1" w:lastRow="0" w:firstColumn="1" w:lastColumn="0" w:noHBand="0" w:noVBand="1"/>
      </w:tblPr>
      <w:tblGrid>
        <w:gridCol w:w="478"/>
        <w:gridCol w:w="4751"/>
        <w:gridCol w:w="1422"/>
        <w:gridCol w:w="1422"/>
        <w:gridCol w:w="1422"/>
      </w:tblGrid>
      <w:tr w:rsidR="00007D87" w:rsidRPr="00C258AD" w:rsidTr="004A0BE0">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007D87" w:rsidRPr="00C258AD" w:rsidRDefault="00007D87" w:rsidP="0083763A">
            <w:pPr>
              <w:jc w:val="center"/>
              <w:rPr>
                <w:i/>
                <w:iCs/>
                <w:sz w:val="16"/>
                <w:szCs w:val="16"/>
                <w:lang w:eastAsia="fr-FR"/>
              </w:rPr>
            </w:pPr>
            <w:r w:rsidRPr="00C258AD">
              <w:rPr>
                <w:i/>
                <w:iCs/>
                <w:sz w:val="16"/>
                <w:szCs w:val="16"/>
                <w:lang w:eastAsia="fr-FR"/>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007D87" w:rsidRPr="00C258AD" w:rsidRDefault="00007D87" w:rsidP="0083763A">
            <w:pPr>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0000169D" w:rsidRPr="00C258AD">
              <w:rPr>
                <w:i/>
                <w:iCs/>
                <w:sz w:val="16"/>
                <w:szCs w:val="16"/>
                <w:lang w:eastAsia="fr-FR"/>
              </w:rPr>
              <w:noBreakHyphen/>
            </w:r>
            <w:r w:rsidRPr="00C258AD">
              <w:rPr>
                <w:i/>
                <w:iCs/>
                <w:sz w:val="16"/>
                <w:szCs w:val="16"/>
                <w:lang w:eastAsia="fr-FR"/>
              </w:rPr>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007D87" w:rsidRPr="00C258AD" w:rsidRDefault="00007D87" w:rsidP="0083763A">
            <w:pPr>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0000169D" w:rsidRPr="00C258AD">
              <w:rPr>
                <w:i/>
                <w:iCs/>
                <w:sz w:val="16"/>
                <w:szCs w:val="16"/>
                <w:lang w:eastAsia="fr-FR"/>
              </w:rPr>
              <w:noBreakHyphen/>
            </w:r>
            <w:r w:rsidRPr="00C258AD">
              <w:rPr>
                <w:i/>
                <w:iCs/>
                <w:sz w:val="16"/>
                <w:szCs w:val="16"/>
                <w:lang w:eastAsia="fr-FR"/>
              </w:rPr>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007D87" w:rsidRPr="00C258AD" w:rsidRDefault="00007D87" w:rsidP="0083763A">
            <w:pPr>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0000169D" w:rsidRPr="00C258AD">
              <w:rPr>
                <w:i/>
                <w:iCs/>
                <w:sz w:val="16"/>
                <w:szCs w:val="16"/>
                <w:lang w:eastAsia="fr-FR"/>
              </w:rPr>
              <w:noBreakHyphen/>
            </w:r>
            <w:r w:rsidRPr="00C258AD">
              <w:rPr>
                <w:i/>
                <w:iCs/>
                <w:sz w:val="16"/>
                <w:szCs w:val="16"/>
                <w:lang w:eastAsia="fr-FR"/>
              </w:rPr>
              <w:t>2015</w:t>
            </w:r>
          </w:p>
        </w:tc>
      </w:tr>
      <w:tr w:rsidR="00007D87" w:rsidRPr="00C258AD" w:rsidTr="004A0BE0">
        <w:trPr>
          <w:cantSplit/>
        </w:trPr>
        <w:tc>
          <w:tcPr>
            <w:tcW w:w="457" w:type="dxa"/>
            <w:tcBorders>
              <w:top w:val="nil"/>
              <w:left w:val="single" w:sz="4" w:space="0" w:color="auto"/>
              <w:bottom w:val="nil"/>
              <w:right w:val="nil"/>
            </w:tcBorders>
            <w:shd w:val="clear" w:color="auto" w:fill="auto"/>
            <w:noWrap/>
            <w:vAlign w:val="center"/>
            <w:hideMark/>
          </w:tcPr>
          <w:p w:rsidR="00007D87" w:rsidRPr="00C258AD" w:rsidRDefault="00007D87" w:rsidP="0083763A">
            <w:pPr>
              <w:rPr>
                <w:sz w:val="16"/>
                <w:szCs w:val="16"/>
                <w:lang w:eastAsia="fr-FR"/>
              </w:rPr>
            </w:pPr>
            <w:r w:rsidRPr="00C258AD">
              <w:rPr>
                <w:sz w:val="16"/>
                <w:szCs w:val="16"/>
                <w:lang w:eastAsia="fr-FR"/>
              </w:rPr>
              <w:t>I.1</w:t>
            </w:r>
          </w:p>
        </w:tc>
        <w:tc>
          <w:tcPr>
            <w:tcW w:w="4543" w:type="dxa"/>
            <w:tcBorders>
              <w:top w:val="nil"/>
              <w:left w:val="nil"/>
              <w:bottom w:val="nil"/>
              <w:right w:val="nil"/>
            </w:tcBorders>
            <w:shd w:val="clear" w:color="auto" w:fill="auto"/>
            <w:vAlign w:val="center"/>
            <w:hideMark/>
          </w:tcPr>
          <w:p w:rsidR="00007D87" w:rsidRPr="00C258AD" w:rsidRDefault="00007D87" w:rsidP="0083763A">
            <w:pPr>
              <w:rPr>
                <w:sz w:val="16"/>
                <w:szCs w:val="16"/>
                <w:lang w:eastAsia="fr-FR"/>
              </w:rPr>
            </w:pPr>
            <w:r w:rsidRPr="00C258AD">
              <w:rPr>
                <w:sz w:val="16"/>
                <w:szCs w:val="16"/>
                <w:lang w:eastAsia="fr-FR"/>
              </w:rPr>
              <w:t>Renforcement de la coopération entre les États membres en ce qui concerne l</w:t>
            </w:r>
            <w:r w:rsidR="00721905" w:rsidRPr="00C258AD">
              <w:rPr>
                <w:sz w:val="16"/>
                <w:szCs w:val="16"/>
                <w:lang w:eastAsia="fr-FR"/>
              </w:rPr>
              <w:t>’</w:t>
            </w:r>
            <w:r w:rsidRPr="00C258AD">
              <w:rPr>
                <w:sz w:val="16"/>
                <w:szCs w:val="16"/>
                <w:lang w:eastAsia="fr-FR"/>
              </w:rPr>
              <w:t>élaboration de cadres normatifs internationaux équilibrés dans le domaine de la propriété intellectuelle et d</w:t>
            </w:r>
            <w:r w:rsidR="00721905" w:rsidRPr="00C258AD">
              <w:rPr>
                <w:sz w:val="16"/>
                <w:szCs w:val="16"/>
                <w:lang w:eastAsia="fr-FR"/>
              </w:rPr>
              <w:t>’</w:t>
            </w:r>
            <w:r w:rsidRPr="00C258AD">
              <w:rPr>
                <w:sz w:val="16"/>
                <w:szCs w:val="16"/>
                <w:lang w:eastAsia="fr-FR"/>
              </w:rPr>
              <w:t xml:space="preserve">un accord sur des questions concrètes donnant lieu à des instruments internationaux </w:t>
            </w:r>
          </w:p>
        </w:tc>
        <w:tc>
          <w:tcPr>
            <w:tcW w:w="1360" w:type="dxa"/>
            <w:tcBorders>
              <w:top w:val="nil"/>
              <w:left w:val="nil"/>
              <w:bottom w:val="nil"/>
              <w:right w:val="nil"/>
            </w:tcBorders>
            <w:shd w:val="clear" w:color="auto" w:fill="auto"/>
            <w:vAlign w:val="center"/>
            <w:hideMark/>
          </w:tcPr>
          <w:p w:rsidR="00007D87" w:rsidRPr="00C258AD" w:rsidRDefault="00007D87" w:rsidP="0083763A">
            <w:pPr>
              <w:jc w:val="right"/>
              <w:rPr>
                <w:sz w:val="16"/>
                <w:szCs w:val="16"/>
                <w:lang w:eastAsia="fr-FR"/>
              </w:rPr>
            </w:pPr>
            <w:r w:rsidRPr="00C258AD">
              <w:rPr>
                <w:sz w:val="16"/>
                <w:szCs w:val="16"/>
                <w:lang w:eastAsia="fr-FR"/>
              </w:rPr>
              <w:t>3 808</w:t>
            </w:r>
          </w:p>
        </w:tc>
        <w:tc>
          <w:tcPr>
            <w:tcW w:w="1360" w:type="dxa"/>
            <w:tcBorders>
              <w:top w:val="nil"/>
              <w:left w:val="nil"/>
              <w:bottom w:val="nil"/>
              <w:right w:val="nil"/>
            </w:tcBorders>
            <w:shd w:val="clear" w:color="auto" w:fill="auto"/>
            <w:vAlign w:val="center"/>
            <w:hideMark/>
          </w:tcPr>
          <w:p w:rsidR="00007D87" w:rsidRPr="00C258AD" w:rsidRDefault="00007D87" w:rsidP="0083763A">
            <w:pPr>
              <w:jc w:val="right"/>
              <w:rPr>
                <w:sz w:val="16"/>
                <w:szCs w:val="16"/>
                <w:lang w:eastAsia="fr-FR"/>
              </w:rPr>
            </w:pPr>
            <w:r w:rsidRPr="00C258AD">
              <w:rPr>
                <w:sz w:val="16"/>
                <w:szCs w:val="16"/>
                <w:lang w:eastAsia="fr-FR"/>
              </w:rPr>
              <w:t>3 229</w:t>
            </w:r>
          </w:p>
        </w:tc>
        <w:tc>
          <w:tcPr>
            <w:tcW w:w="1360" w:type="dxa"/>
            <w:tcBorders>
              <w:top w:val="nil"/>
              <w:left w:val="nil"/>
              <w:bottom w:val="nil"/>
              <w:right w:val="single" w:sz="4" w:space="0" w:color="auto"/>
            </w:tcBorders>
            <w:shd w:val="clear" w:color="auto" w:fill="auto"/>
            <w:vAlign w:val="center"/>
            <w:hideMark/>
          </w:tcPr>
          <w:p w:rsidR="00007D87" w:rsidRPr="00C258AD" w:rsidRDefault="00007D87" w:rsidP="0083763A">
            <w:pPr>
              <w:jc w:val="right"/>
              <w:rPr>
                <w:sz w:val="16"/>
                <w:szCs w:val="16"/>
                <w:lang w:eastAsia="fr-FR"/>
              </w:rPr>
            </w:pPr>
            <w:r w:rsidRPr="00C258AD">
              <w:rPr>
                <w:sz w:val="16"/>
                <w:szCs w:val="16"/>
                <w:lang w:eastAsia="fr-FR"/>
              </w:rPr>
              <w:t>3 079</w:t>
            </w:r>
          </w:p>
        </w:tc>
      </w:tr>
      <w:tr w:rsidR="00007D87" w:rsidRPr="00C258AD" w:rsidTr="004A0BE0">
        <w:trPr>
          <w:cantSplit/>
        </w:trPr>
        <w:tc>
          <w:tcPr>
            <w:tcW w:w="457" w:type="dxa"/>
            <w:tcBorders>
              <w:top w:val="nil"/>
              <w:left w:val="single" w:sz="4" w:space="0" w:color="auto"/>
              <w:bottom w:val="nil"/>
              <w:right w:val="nil"/>
            </w:tcBorders>
            <w:shd w:val="clear" w:color="auto" w:fill="auto"/>
            <w:noWrap/>
            <w:vAlign w:val="center"/>
            <w:hideMark/>
          </w:tcPr>
          <w:p w:rsidR="00007D87" w:rsidRPr="00C258AD" w:rsidRDefault="00007D87" w:rsidP="0083763A">
            <w:pPr>
              <w:rPr>
                <w:sz w:val="16"/>
                <w:szCs w:val="16"/>
                <w:lang w:eastAsia="fr-FR"/>
              </w:rPr>
            </w:pPr>
            <w:r w:rsidRPr="00C258AD">
              <w:rPr>
                <w:sz w:val="16"/>
                <w:szCs w:val="16"/>
                <w:lang w:eastAsia="fr-FR"/>
              </w:rPr>
              <w:t>I.2</w:t>
            </w:r>
          </w:p>
        </w:tc>
        <w:tc>
          <w:tcPr>
            <w:tcW w:w="4543" w:type="dxa"/>
            <w:tcBorders>
              <w:top w:val="nil"/>
              <w:left w:val="nil"/>
              <w:bottom w:val="nil"/>
              <w:right w:val="nil"/>
            </w:tcBorders>
            <w:shd w:val="clear" w:color="auto" w:fill="auto"/>
            <w:vAlign w:val="center"/>
            <w:hideMark/>
          </w:tcPr>
          <w:p w:rsidR="00007D87" w:rsidRPr="00C258AD" w:rsidRDefault="00007D87" w:rsidP="0083763A">
            <w:pPr>
              <w:rPr>
                <w:sz w:val="16"/>
                <w:szCs w:val="16"/>
                <w:lang w:eastAsia="fr-FR"/>
              </w:rPr>
            </w:pPr>
            <w:r w:rsidRPr="00C258AD">
              <w:rPr>
                <w:sz w:val="16"/>
                <w:szCs w:val="16"/>
                <w:lang w:eastAsia="fr-FR"/>
              </w:rPr>
              <w:t>Cadres législatifs, réglementaires et politiques adaptés et équilibrés en matière de propriété intellectuelle</w:t>
            </w:r>
          </w:p>
        </w:tc>
        <w:tc>
          <w:tcPr>
            <w:tcW w:w="1360" w:type="dxa"/>
            <w:tcBorders>
              <w:top w:val="nil"/>
              <w:left w:val="nil"/>
              <w:bottom w:val="nil"/>
              <w:right w:val="nil"/>
            </w:tcBorders>
            <w:shd w:val="clear" w:color="auto" w:fill="auto"/>
            <w:vAlign w:val="center"/>
            <w:hideMark/>
          </w:tcPr>
          <w:p w:rsidR="00007D87" w:rsidRPr="00C258AD" w:rsidRDefault="00007D87" w:rsidP="0083763A">
            <w:pPr>
              <w:jc w:val="right"/>
              <w:rPr>
                <w:sz w:val="16"/>
                <w:szCs w:val="16"/>
                <w:lang w:eastAsia="fr-FR"/>
              </w:rPr>
            </w:pPr>
            <w:r w:rsidRPr="00C258AD">
              <w:rPr>
                <w:sz w:val="16"/>
                <w:szCs w:val="16"/>
                <w:lang w:eastAsia="fr-FR"/>
              </w:rPr>
              <w:t>1 429</w:t>
            </w:r>
          </w:p>
        </w:tc>
        <w:tc>
          <w:tcPr>
            <w:tcW w:w="1360" w:type="dxa"/>
            <w:tcBorders>
              <w:top w:val="nil"/>
              <w:left w:val="nil"/>
              <w:bottom w:val="nil"/>
              <w:right w:val="nil"/>
            </w:tcBorders>
            <w:shd w:val="clear" w:color="auto" w:fill="auto"/>
            <w:vAlign w:val="center"/>
            <w:hideMark/>
          </w:tcPr>
          <w:p w:rsidR="00007D87" w:rsidRPr="00C258AD" w:rsidRDefault="00007D87" w:rsidP="0083763A">
            <w:pPr>
              <w:jc w:val="right"/>
              <w:rPr>
                <w:sz w:val="16"/>
                <w:szCs w:val="16"/>
                <w:lang w:eastAsia="fr-FR"/>
              </w:rPr>
            </w:pPr>
            <w:r w:rsidRPr="00C258AD">
              <w:rPr>
                <w:sz w:val="16"/>
                <w:szCs w:val="16"/>
                <w:lang w:eastAsia="fr-FR"/>
              </w:rPr>
              <w:t>1 051</w:t>
            </w:r>
          </w:p>
        </w:tc>
        <w:tc>
          <w:tcPr>
            <w:tcW w:w="1360" w:type="dxa"/>
            <w:tcBorders>
              <w:top w:val="nil"/>
              <w:left w:val="nil"/>
              <w:bottom w:val="nil"/>
              <w:right w:val="single" w:sz="4" w:space="0" w:color="auto"/>
            </w:tcBorders>
            <w:shd w:val="clear" w:color="auto" w:fill="auto"/>
            <w:vAlign w:val="center"/>
            <w:hideMark/>
          </w:tcPr>
          <w:p w:rsidR="00007D87" w:rsidRPr="00C258AD" w:rsidRDefault="00007D87" w:rsidP="0083763A">
            <w:pPr>
              <w:jc w:val="right"/>
              <w:rPr>
                <w:sz w:val="16"/>
                <w:szCs w:val="16"/>
                <w:lang w:eastAsia="fr-FR"/>
              </w:rPr>
            </w:pPr>
            <w:r w:rsidRPr="00C258AD">
              <w:rPr>
                <w:sz w:val="16"/>
                <w:szCs w:val="16"/>
                <w:lang w:eastAsia="fr-FR"/>
              </w:rPr>
              <w:t>1 012</w:t>
            </w:r>
          </w:p>
        </w:tc>
      </w:tr>
      <w:tr w:rsidR="00007D87" w:rsidRPr="00C258AD" w:rsidTr="004A0BE0">
        <w:trPr>
          <w:cantSplit/>
        </w:trPr>
        <w:tc>
          <w:tcPr>
            <w:tcW w:w="457" w:type="dxa"/>
            <w:tcBorders>
              <w:top w:val="nil"/>
              <w:left w:val="single" w:sz="4" w:space="0" w:color="auto"/>
              <w:bottom w:val="nil"/>
              <w:right w:val="nil"/>
            </w:tcBorders>
            <w:shd w:val="clear" w:color="auto" w:fill="auto"/>
            <w:noWrap/>
            <w:vAlign w:val="center"/>
            <w:hideMark/>
          </w:tcPr>
          <w:p w:rsidR="00007D87" w:rsidRPr="00C258AD" w:rsidRDefault="00007D87" w:rsidP="0083763A">
            <w:pPr>
              <w:rPr>
                <w:sz w:val="16"/>
                <w:szCs w:val="16"/>
                <w:lang w:eastAsia="fr-FR"/>
              </w:rPr>
            </w:pPr>
            <w:r w:rsidRPr="00C258AD">
              <w:rPr>
                <w:sz w:val="16"/>
                <w:szCs w:val="16"/>
                <w:lang w:eastAsia="fr-FR"/>
              </w:rPr>
              <w:t>I.3</w:t>
            </w:r>
          </w:p>
        </w:tc>
        <w:tc>
          <w:tcPr>
            <w:tcW w:w="4543" w:type="dxa"/>
            <w:tcBorders>
              <w:top w:val="nil"/>
              <w:left w:val="nil"/>
              <w:bottom w:val="nil"/>
              <w:right w:val="nil"/>
            </w:tcBorders>
            <w:shd w:val="clear" w:color="auto" w:fill="auto"/>
            <w:vAlign w:val="center"/>
            <w:hideMark/>
          </w:tcPr>
          <w:p w:rsidR="00007D87" w:rsidRPr="00C258AD" w:rsidRDefault="00007D87" w:rsidP="0083763A">
            <w:pPr>
              <w:rPr>
                <w:sz w:val="16"/>
                <w:szCs w:val="16"/>
                <w:lang w:eastAsia="fr-FR"/>
              </w:rPr>
            </w:pPr>
            <w:r w:rsidRPr="00C258AD">
              <w:rPr>
                <w:sz w:val="16"/>
                <w:szCs w:val="16"/>
                <w:lang w:eastAsia="fr-FR"/>
              </w:rPr>
              <w:t>Protection renforcée des emblèmes d</w:t>
            </w:r>
            <w:r w:rsidR="00721905" w:rsidRPr="00C258AD">
              <w:rPr>
                <w:sz w:val="16"/>
                <w:szCs w:val="16"/>
                <w:lang w:eastAsia="fr-FR"/>
              </w:rPr>
              <w:t>’</w:t>
            </w:r>
            <w:r w:rsidRPr="00C258AD">
              <w:rPr>
                <w:sz w:val="16"/>
                <w:szCs w:val="16"/>
                <w:lang w:eastAsia="fr-FR"/>
              </w:rPr>
              <w:t>États et des noms et emblèmes d</w:t>
            </w:r>
            <w:r w:rsidR="00721905" w:rsidRPr="00C258AD">
              <w:rPr>
                <w:sz w:val="16"/>
                <w:szCs w:val="16"/>
                <w:lang w:eastAsia="fr-FR"/>
              </w:rPr>
              <w:t>’</w:t>
            </w:r>
            <w:r w:rsidRPr="00C258AD">
              <w:rPr>
                <w:sz w:val="16"/>
                <w:szCs w:val="16"/>
                <w:lang w:eastAsia="fr-FR"/>
              </w:rPr>
              <w:t>organisations internationales intergouvernementales</w:t>
            </w:r>
          </w:p>
        </w:tc>
        <w:tc>
          <w:tcPr>
            <w:tcW w:w="1360" w:type="dxa"/>
            <w:tcBorders>
              <w:top w:val="nil"/>
              <w:left w:val="nil"/>
              <w:bottom w:val="nil"/>
              <w:right w:val="nil"/>
            </w:tcBorders>
            <w:shd w:val="clear" w:color="auto" w:fill="auto"/>
            <w:vAlign w:val="center"/>
            <w:hideMark/>
          </w:tcPr>
          <w:p w:rsidR="00007D87" w:rsidRPr="00C258AD" w:rsidRDefault="00007D87" w:rsidP="0083763A">
            <w:pPr>
              <w:jc w:val="right"/>
              <w:rPr>
                <w:sz w:val="16"/>
                <w:szCs w:val="16"/>
                <w:lang w:eastAsia="fr-FR"/>
              </w:rPr>
            </w:pPr>
            <w:r w:rsidRPr="00C258AD">
              <w:rPr>
                <w:sz w:val="16"/>
                <w:szCs w:val="16"/>
                <w:lang w:eastAsia="fr-FR"/>
              </w:rPr>
              <w:t>439</w:t>
            </w:r>
          </w:p>
        </w:tc>
        <w:tc>
          <w:tcPr>
            <w:tcW w:w="1360" w:type="dxa"/>
            <w:tcBorders>
              <w:top w:val="nil"/>
              <w:left w:val="nil"/>
              <w:bottom w:val="nil"/>
              <w:right w:val="nil"/>
            </w:tcBorders>
            <w:shd w:val="clear" w:color="auto" w:fill="auto"/>
            <w:vAlign w:val="center"/>
            <w:hideMark/>
          </w:tcPr>
          <w:p w:rsidR="00007D87" w:rsidRPr="00C258AD" w:rsidRDefault="00007D87" w:rsidP="0083763A">
            <w:pPr>
              <w:jc w:val="right"/>
              <w:rPr>
                <w:sz w:val="16"/>
                <w:szCs w:val="16"/>
                <w:lang w:eastAsia="fr-FR"/>
              </w:rPr>
            </w:pPr>
            <w:r w:rsidRPr="00C258AD">
              <w:rPr>
                <w:sz w:val="16"/>
                <w:szCs w:val="16"/>
                <w:lang w:eastAsia="fr-FR"/>
              </w:rPr>
              <w:t>763</w:t>
            </w:r>
          </w:p>
        </w:tc>
        <w:tc>
          <w:tcPr>
            <w:tcW w:w="1360" w:type="dxa"/>
            <w:tcBorders>
              <w:top w:val="nil"/>
              <w:left w:val="nil"/>
              <w:bottom w:val="nil"/>
              <w:right w:val="single" w:sz="4" w:space="0" w:color="auto"/>
            </w:tcBorders>
            <w:shd w:val="clear" w:color="auto" w:fill="auto"/>
            <w:vAlign w:val="center"/>
            <w:hideMark/>
          </w:tcPr>
          <w:p w:rsidR="00007D87" w:rsidRPr="00C258AD" w:rsidRDefault="00007D87" w:rsidP="0083763A">
            <w:pPr>
              <w:jc w:val="right"/>
              <w:rPr>
                <w:sz w:val="16"/>
                <w:szCs w:val="16"/>
                <w:lang w:eastAsia="fr-FR"/>
              </w:rPr>
            </w:pPr>
            <w:r w:rsidRPr="00C258AD">
              <w:rPr>
                <w:sz w:val="16"/>
                <w:szCs w:val="16"/>
                <w:lang w:eastAsia="fr-FR"/>
              </w:rPr>
              <w:t>750</w:t>
            </w:r>
          </w:p>
        </w:tc>
      </w:tr>
      <w:tr w:rsidR="00007D87" w:rsidRPr="00C258AD" w:rsidTr="004A0BE0">
        <w:trPr>
          <w:cantSplit/>
        </w:trPr>
        <w:tc>
          <w:tcPr>
            <w:tcW w:w="457" w:type="dxa"/>
            <w:tcBorders>
              <w:top w:val="nil"/>
              <w:left w:val="single" w:sz="4" w:space="0" w:color="auto"/>
              <w:bottom w:val="nil"/>
              <w:right w:val="nil"/>
            </w:tcBorders>
            <w:shd w:val="clear" w:color="auto" w:fill="auto"/>
            <w:noWrap/>
            <w:vAlign w:val="center"/>
            <w:hideMark/>
          </w:tcPr>
          <w:p w:rsidR="00007D87" w:rsidRPr="00C258AD" w:rsidRDefault="00007D87" w:rsidP="0083763A">
            <w:pPr>
              <w:rPr>
                <w:sz w:val="16"/>
                <w:szCs w:val="16"/>
                <w:lang w:eastAsia="fr-FR"/>
              </w:rPr>
            </w:pPr>
            <w:r w:rsidRPr="00C258AD">
              <w:rPr>
                <w:sz w:val="16"/>
                <w:szCs w:val="16"/>
                <w:lang w:eastAsia="fr-FR"/>
              </w:rPr>
              <w:t>III.4</w:t>
            </w:r>
          </w:p>
        </w:tc>
        <w:tc>
          <w:tcPr>
            <w:tcW w:w="4543" w:type="dxa"/>
            <w:tcBorders>
              <w:top w:val="nil"/>
              <w:left w:val="nil"/>
              <w:bottom w:val="nil"/>
              <w:right w:val="nil"/>
            </w:tcBorders>
            <w:shd w:val="clear" w:color="auto" w:fill="auto"/>
            <w:vAlign w:val="center"/>
            <w:hideMark/>
          </w:tcPr>
          <w:p w:rsidR="00007D87" w:rsidRPr="00C258AD" w:rsidRDefault="00007D87" w:rsidP="0083763A">
            <w:pPr>
              <w:rPr>
                <w:sz w:val="16"/>
                <w:szCs w:val="16"/>
                <w:lang w:eastAsia="fr-FR"/>
              </w:rPr>
            </w:pPr>
            <w:r w:rsidRPr="00C258AD">
              <w:rPr>
                <w:sz w:val="16"/>
                <w:szCs w:val="16"/>
                <w:lang w:eastAsia="fr-FR"/>
              </w:rPr>
              <w:t>Mécanismes et programmes de coopération renforcés, adaptés aux besoins des pays en développement et</w:t>
            </w:r>
            <w:r w:rsidR="00721905" w:rsidRPr="00C258AD">
              <w:rPr>
                <w:sz w:val="16"/>
                <w:szCs w:val="16"/>
                <w:lang w:eastAsia="fr-FR"/>
              </w:rPr>
              <w:t xml:space="preserve"> des PMA</w:t>
            </w:r>
          </w:p>
        </w:tc>
        <w:tc>
          <w:tcPr>
            <w:tcW w:w="1360" w:type="dxa"/>
            <w:tcBorders>
              <w:top w:val="nil"/>
              <w:left w:val="nil"/>
              <w:bottom w:val="nil"/>
              <w:right w:val="nil"/>
            </w:tcBorders>
            <w:shd w:val="clear" w:color="auto" w:fill="auto"/>
            <w:vAlign w:val="center"/>
            <w:hideMark/>
          </w:tcPr>
          <w:p w:rsidR="00007D87" w:rsidRPr="00C258AD" w:rsidRDefault="00007D87" w:rsidP="0083763A">
            <w:pPr>
              <w:jc w:val="right"/>
              <w:rPr>
                <w:sz w:val="16"/>
                <w:szCs w:val="16"/>
                <w:lang w:eastAsia="fr-FR"/>
              </w:rPr>
            </w:pPr>
            <w:r w:rsidRPr="00C258AD">
              <w:rPr>
                <w:sz w:val="16"/>
                <w:szCs w:val="16"/>
                <w:lang w:eastAsia="fr-FR"/>
              </w:rPr>
              <w:t>487</w:t>
            </w:r>
          </w:p>
        </w:tc>
        <w:tc>
          <w:tcPr>
            <w:tcW w:w="1360" w:type="dxa"/>
            <w:tcBorders>
              <w:top w:val="nil"/>
              <w:left w:val="nil"/>
              <w:bottom w:val="nil"/>
              <w:right w:val="nil"/>
            </w:tcBorders>
            <w:shd w:val="clear" w:color="auto" w:fill="auto"/>
            <w:vAlign w:val="center"/>
            <w:hideMark/>
          </w:tcPr>
          <w:p w:rsidR="00007D87" w:rsidRPr="00C258AD" w:rsidRDefault="00007D87" w:rsidP="0083763A">
            <w:pPr>
              <w:jc w:val="right"/>
              <w:rPr>
                <w:sz w:val="16"/>
                <w:szCs w:val="16"/>
                <w:lang w:eastAsia="fr-FR"/>
              </w:rPr>
            </w:pPr>
            <w:r w:rsidRPr="00C258AD">
              <w:rPr>
                <w:sz w:val="16"/>
                <w:szCs w:val="16"/>
                <w:lang w:eastAsia="fr-FR"/>
              </w:rPr>
              <w:t>487</w:t>
            </w:r>
          </w:p>
        </w:tc>
        <w:tc>
          <w:tcPr>
            <w:tcW w:w="1360" w:type="dxa"/>
            <w:tcBorders>
              <w:top w:val="nil"/>
              <w:left w:val="nil"/>
              <w:bottom w:val="nil"/>
              <w:right w:val="single" w:sz="4" w:space="0" w:color="auto"/>
            </w:tcBorders>
            <w:shd w:val="clear" w:color="auto" w:fill="auto"/>
            <w:vAlign w:val="center"/>
            <w:hideMark/>
          </w:tcPr>
          <w:p w:rsidR="00007D87" w:rsidRPr="00C258AD" w:rsidRDefault="00007D87" w:rsidP="0083763A">
            <w:pPr>
              <w:jc w:val="right"/>
              <w:rPr>
                <w:sz w:val="16"/>
                <w:szCs w:val="16"/>
                <w:lang w:eastAsia="fr-FR"/>
              </w:rPr>
            </w:pPr>
            <w:r w:rsidRPr="00C258AD">
              <w:rPr>
                <w:sz w:val="16"/>
                <w:szCs w:val="16"/>
                <w:lang w:eastAsia="fr-FR"/>
              </w:rPr>
              <w:t>351</w:t>
            </w:r>
          </w:p>
        </w:tc>
      </w:tr>
      <w:tr w:rsidR="00007D87" w:rsidRPr="00C258AD" w:rsidTr="004A0BE0">
        <w:trPr>
          <w:cantSplit/>
        </w:trPr>
        <w:tc>
          <w:tcPr>
            <w:tcW w:w="457" w:type="dxa"/>
            <w:tcBorders>
              <w:top w:val="single" w:sz="4" w:space="0" w:color="auto"/>
              <w:left w:val="single" w:sz="4" w:space="0" w:color="auto"/>
              <w:bottom w:val="single" w:sz="4" w:space="0" w:color="auto"/>
              <w:right w:val="nil"/>
            </w:tcBorders>
            <w:shd w:val="clear" w:color="auto" w:fill="C5D9F1"/>
            <w:noWrap/>
            <w:vAlign w:val="bottom"/>
            <w:hideMark/>
          </w:tcPr>
          <w:p w:rsidR="00007D87" w:rsidRPr="00C258AD" w:rsidRDefault="00007D87" w:rsidP="0083763A">
            <w:pPr>
              <w:rPr>
                <w:sz w:val="16"/>
                <w:szCs w:val="16"/>
                <w:lang w:eastAsia="fr-FR"/>
              </w:rPr>
            </w:pPr>
            <w:r w:rsidRPr="00C258AD">
              <w:rPr>
                <w:sz w:val="16"/>
                <w:szCs w:val="16"/>
                <w:lang w:eastAsia="fr-FR"/>
              </w:rPr>
              <w:t> </w:t>
            </w:r>
          </w:p>
        </w:tc>
        <w:tc>
          <w:tcPr>
            <w:tcW w:w="4543" w:type="dxa"/>
            <w:tcBorders>
              <w:top w:val="single" w:sz="4" w:space="0" w:color="auto"/>
              <w:left w:val="nil"/>
              <w:bottom w:val="single" w:sz="4" w:space="0" w:color="auto"/>
              <w:right w:val="single" w:sz="4" w:space="0" w:color="auto"/>
            </w:tcBorders>
            <w:shd w:val="clear" w:color="auto" w:fill="C5D9F1"/>
            <w:noWrap/>
            <w:vAlign w:val="bottom"/>
            <w:hideMark/>
          </w:tcPr>
          <w:p w:rsidR="00007D87" w:rsidRPr="00C258AD" w:rsidRDefault="00007D87" w:rsidP="0083763A">
            <w:pPr>
              <w:rPr>
                <w:b/>
                <w:bCs/>
                <w:sz w:val="16"/>
                <w:szCs w:val="16"/>
                <w:lang w:eastAsia="fr-FR"/>
              </w:rPr>
            </w:pPr>
            <w:r w:rsidRPr="00C258AD">
              <w:rPr>
                <w:b/>
                <w:bCs/>
                <w:sz w:val="16"/>
                <w:szCs w:val="16"/>
                <w:lang w:eastAsia="fr-FR"/>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007D87" w:rsidRPr="00C258AD" w:rsidRDefault="00007D87" w:rsidP="0083763A">
            <w:pPr>
              <w:jc w:val="right"/>
              <w:rPr>
                <w:b/>
                <w:bCs/>
                <w:sz w:val="16"/>
                <w:szCs w:val="16"/>
                <w:lang w:eastAsia="fr-FR"/>
              </w:rPr>
            </w:pPr>
            <w:r w:rsidRPr="00C258AD">
              <w:rPr>
                <w:b/>
                <w:bCs/>
                <w:sz w:val="16"/>
                <w:szCs w:val="16"/>
                <w:lang w:eastAsia="fr-FR"/>
              </w:rPr>
              <w:t>6 162</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007D87" w:rsidRPr="00C258AD" w:rsidRDefault="00007D87" w:rsidP="0083763A">
            <w:pPr>
              <w:jc w:val="right"/>
              <w:rPr>
                <w:b/>
                <w:bCs/>
                <w:sz w:val="16"/>
                <w:szCs w:val="16"/>
                <w:lang w:eastAsia="fr-FR"/>
              </w:rPr>
            </w:pPr>
            <w:r w:rsidRPr="00C258AD">
              <w:rPr>
                <w:b/>
                <w:bCs/>
                <w:sz w:val="16"/>
                <w:szCs w:val="16"/>
                <w:lang w:eastAsia="fr-FR"/>
              </w:rPr>
              <w:t>5 530</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007D87" w:rsidRPr="00C258AD" w:rsidRDefault="00007D87" w:rsidP="0083763A">
            <w:pPr>
              <w:jc w:val="right"/>
              <w:rPr>
                <w:b/>
                <w:bCs/>
                <w:sz w:val="16"/>
                <w:szCs w:val="16"/>
                <w:lang w:eastAsia="fr-FR"/>
              </w:rPr>
            </w:pPr>
            <w:r w:rsidRPr="00C258AD">
              <w:rPr>
                <w:b/>
                <w:bCs/>
                <w:sz w:val="16"/>
                <w:szCs w:val="16"/>
                <w:lang w:eastAsia="fr-FR"/>
              </w:rPr>
              <w:t>5 192</w:t>
            </w:r>
          </w:p>
        </w:tc>
      </w:tr>
    </w:tbl>
    <w:p w:rsidR="006E2BB1" w:rsidRPr="00C258AD" w:rsidRDefault="006E2BB1" w:rsidP="00007D87"/>
    <w:p w:rsidR="006E2BB1" w:rsidRPr="00C258AD" w:rsidRDefault="006E2BB1" w:rsidP="00007D87"/>
    <w:p w:rsidR="006E2BB1" w:rsidRPr="00C258AD" w:rsidRDefault="004A0BE0">
      <w:pPr>
        <w:spacing w:after="200" w:line="276" w:lineRule="auto"/>
        <w:rPr>
          <w:rFonts w:cs="Arial"/>
          <w:szCs w:val="20"/>
        </w:rPr>
      </w:pPr>
      <w:r w:rsidRPr="00C258AD">
        <w:rPr>
          <w:szCs w:val="20"/>
        </w:rPr>
        <w:br w:type="page"/>
      </w:r>
    </w:p>
    <w:p w:rsidR="006E2BB1" w:rsidRPr="00C258AD" w:rsidRDefault="00007D87" w:rsidP="00007D87">
      <w:pPr>
        <w:pStyle w:val="NormalWeb"/>
        <w:keepNext/>
        <w:keepLines/>
        <w:spacing w:before="0" w:beforeAutospacing="0" w:after="0" w:afterAutospacing="0"/>
        <w:jc w:val="center"/>
        <w:rPr>
          <w:sz w:val="20"/>
          <w:szCs w:val="20"/>
        </w:rPr>
      </w:pPr>
      <w:r w:rsidRPr="00C258AD">
        <w:rPr>
          <w:sz w:val="20"/>
          <w:szCs w:val="20"/>
        </w:rPr>
        <w:lastRenderedPageBreak/>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007D87" w:rsidP="00007D87">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007D87" w:rsidRPr="00C258AD" w:rsidRDefault="00007D87" w:rsidP="00007D87">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1"/>
        <w:gridCol w:w="1746"/>
        <w:gridCol w:w="1746"/>
        <w:gridCol w:w="1746"/>
        <w:gridCol w:w="1746"/>
      </w:tblGrid>
      <w:tr w:rsidR="00007D87" w:rsidRPr="00C258AD" w:rsidTr="004A0BE0">
        <w:trPr>
          <w:cantSplit/>
        </w:trPr>
        <w:tc>
          <w:tcPr>
            <w:tcW w:w="2511"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007D87" w:rsidRPr="00C258AD" w:rsidRDefault="00007D87" w:rsidP="0083763A">
            <w:pPr>
              <w:rPr>
                <w:color w:val="000000"/>
                <w:sz w:val="16"/>
                <w:szCs w:val="18"/>
                <w:lang w:eastAsia="fr-FR"/>
              </w:rPr>
            </w:pPr>
            <w:r w:rsidRPr="00C258AD">
              <w:rPr>
                <w:color w:val="000000"/>
                <w:sz w:val="16"/>
                <w:szCs w:val="18"/>
                <w:lang w:eastAsia="fr-FR"/>
              </w:rPr>
              <w:t> </w:t>
            </w:r>
          </w:p>
        </w:tc>
        <w:tc>
          <w:tcPr>
            <w:tcW w:w="1746" w:type="dxa"/>
            <w:tcBorders>
              <w:top w:val="single" w:sz="4" w:space="0" w:color="auto"/>
              <w:left w:val="nil"/>
              <w:bottom w:val="nil"/>
              <w:right w:val="single" w:sz="4" w:space="0" w:color="auto"/>
            </w:tcBorders>
            <w:shd w:val="clear" w:color="auto" w:fill="C5D9F1"/>
            <w:vAlign w:val="center"/>
            <w:hideMark/>
          </w:tcPr>
          <w:p w:rsidR="00007D87" w:rsidRPr="00C258AD" w:rsidRDefault="00007D87" w:rsidP="0083763A">
            <w:pPr>
              <w:jc w:val="center"/>
              <w:rPr>
                <w:b/>
                <w:bCs/>
                <w:color w:val="000000"/>
                <w:sz w:val="16"/>
                <w:szCs w:val="18"/>
                <w:lang w:eastAsia="fr-FR"/>
              </w:rPr>
            </w:pPr>
            <w:r w:rsidRPr="00C258AD">
              <w:rPr>
                <w:b/>
                <w:bCs/>
                <w:color w:val="000000"/>
                <w:sz w:val="16"/>
                <w:szCs w:val="18"/>
                <w:lang w:eastAsia="fr-FR"/>
              </w:rPr>
              <w:t>Budget 2014</w:t>
            </w:r>
            <w:r w:rsidR="0000169D" w:rsidRPr="00C258AD">
              <w:rPr>
                <w:b/>
                <w:bCs/>
                <w:color w:val="000000"/>
                <w:sz w:val="16"/>
                <w:szCs w:val="18"/>
                <w:lang w:eastAsia="fr-FR"/>
              </w:rPr>
              <w:noBreakHyphen/>
            </w:r>
            <w:r w:rsidRPr="00C258AD">
              <w:rPr>
                <w:b/>
                <w:bCs/>
                <w:color w:val="000000"/>
                <w:sz w:val="16"/>
                <w:szCs w:val="18"/>
                <w:lang w:eastAsia="fr-FR"/>
              </w:rPr>
              <w:t>2015 approuvé</w:t>
            </w:r>
          </w:p>
        </w:tc>
        <w:tc>
          <w:tcPr>
            <w:tcW w:w="1746" w:type="dxa"/>
            <w:tcBorders>
              <w:top w:val="single" w:sz="4" w:space="0" w:color="auto"/>
              <w:left w:val="nil"/>
              <w:bottom w:val="nil"/>
              <w:right w:val="single" w:sz="4" w:space="0" w:color="auto"/>
            </w:tcBorders>
            <w:shd w:val="clear" w:color="auto" w:fill="C5D9F1"/>
            <w:vAlign w:val="center"/>
            <w:hideMark/>
          </w:tcPr>
          <w:p w:rsidR="00007D87" w:rsidRPr="00C258AD" w:rsidRDefault="00007D87" w:rsidP="0083763A">
            <w:pPr>
              <w:jc w:val="center"/>
              <w:rPr>
                <w:b/>
                <w:bCs/>
                <w:color w:val="000000"/>
                <w:sz w:val="16"/>
                <w:szCs w:val="18"/>
                <w:lang w:eastAsia="fr-FR"/>
              </w:rPr>
            </w:pPr>
            <w:r w:rsidRPr="00C258AD">
              <w:rPr>
                <w:b/>
                <w:bCs/>
                <w:color w:val="000000"/>
                <w:sz w:val="16"/>
                <w:szCs w:val="18"/>
                <w:lang w:eastAsia="fr-FR"/>
              </w:rPr>
              <w:t>Budget final 2014</w:t>
            </w:r>
            <w:r w:rsidR="0000169D" w:rsidRPr="00C258AD">
              <w:rPr>
                <w:b/>
                <w:bCs/>
                <w:color w:val="000000"/>
                <w:sz w:val="16"/>
                <w:szCs w:val="18"/>
                <w:lang w:eastAsia="fr-FR"/>
              </w:rPr>
              <w:noBreakHyphen/>
            </w:r>
            <w:r w:rsidRPr="00C258AD">
              <w:rPr>
                <w:b/>
                <w:bCs/>
                <w:color w:val="000000"/>
                <w:sz w:val="16"/>
                <w:szCs w:val="18"/>
                <w:lang w:eastAsia="fr-FR"/>
              </w:rPr>
              <w:t>2015</w:t>
            </w:r>
            <w:r w:rsidRPr="00C258AD">
              <w:rPr>
                <w:b/>
                <w:bCs/>
                <w:color w:val="000000"/>
                <w:sz w:val="16"/>
                <w:szCs w:val="18"/>
                <w:lang w:eastAsia="fr-FR"/>
              </w:rPr>
              <w:br/>
              <w:t>après virements</w:t>
            </w:r>
          </w:p>
        </w:tc>
        <w:tc>
          <w:tcPr>
            <w:tcW w:w="1746" w:type="dxa"/>
            <w:tcBorders>
              <w:top w:val="single" w:sz="4" w:space="0" w:color="auto"/>
              <w:left w:val="nil"/>
              <w:bottom w:val="nil"/>
              <w:right w:val="single" w:sz="4" w:space="0" w:color="auto"/>
            </w:tcBorders>
            <w:shd w:val="clear" w:color="auto" w:fill="C5D9F1"/>
            <w:vAlign w:val="center"/>
            <w:hideMark/>
          </w:tcPr>
          <w:p w:rsidR="00007D87" w:rsidRPr="00C258AD" w:rsidRDefault="00007D87" w:rsidP="0083763A">
            <w:pPr>
              <w:jc w:val="center"/>
              <w:rPr>
                <w:b/>
                <w:bCs/>
                <w:color w:val="000000"/>
                <w:sz w:val="16"/>
                <w:szCs w:val="18"/>
                <w:lang w:eastAsia="fr-FR"/>
              </w:rPr>
            </w:pPr>
            <w:r w:rsidRPr="00C258AD">
              <w:rPr>
                <w:b/>
                <w:bCs/>
                <w:color w:val="000000"/>
                <w:sz w:val="16"/>
                <w:szCs w:val="18"/>
                <w:lang w:eastAsia="fr-FR"/>
              </w:rPr>
              <w:t xml:space="preserve">Dépenses </w:t>
            </w:r>
            <w:r w:rsidRPr="00C258AD">
              <w:rPr>
                <w:b/>
                <w:bCs/>
                <w:color w:val="000000"/>
                <w:sz w:val="16"/>
                <w:szCs w:val="18"/>
                <w:lang w:eastAsia="fr-FR"/>
              </w:rPr>
              <w:br/>
              <w:t>2014</w:t>
            </w:r>
            <w:r w:rsidR="0000169D" w:rsidRPr="00C258AD">
              <w:rPr>
                <w:b/>
                <w:bCs/>
                <w:color w:val="000000"/>
                <w:sz w:val="16"/>
                <w:szCs w:val="18"/>
                <w:lang w:eastAsia="fr-FR"/>
              </w:rPr>
              <w:noBreakHyphen/>
            </w:r>
            <w:r w:rsidRPr="00C258AD">
              <w:rPr>
                <w:b/>
                <w:bCs/>
                <w:color w:val="000000"/>
                <w:sz w:val="16"/>
                <w:szCs w:val="18"/>
                <w:lang w:eastAsia="fr-FR"/>
              </w:rPr>
              <w:t>2015</w:t>
            </w:r>
          </w:p>
        </w:tc>
        <w:tc>
          <w:tcPr>
            <w:tcW w:w="1746" w:type="dxa"/>
            <w:tcBorders>
              <w:top w:val="single" w:sz="4" w:space="0" w:color="auto"/>
              <w:left w:val="nil"/>
              <w:bottom w:val="nil"/>
              <w:right w:val="single" w:sz="4" w:space="0" w:color="auto"/>
            </w:tcBorders>
            <w:shd w:val="clear" w:color="auto" w:fill="C5D9F1"/>
            <w:vAlign w:val="center"/>
            <w:hideMark/>
          </w:tcPr>
          <w:p w:rsidR="00007D87" w:rsidRPr="00C258AD" w:rsidRDefault="00007D87" w:rsidP="0083763A">
            <w:pPr>
              <w:jc w:val="center"/>
              <w:rPr>
                <w:b/>
                <w:bCs/>
                <w:color w:val="000000"/>
                <w:sz w:val="16"/>
                <w:szCs w:val="18"/>
                <w:lang w:eastAsia="fr-FR"/>
              </w:rPr>
            </w:pPr>
            <w:r w:rsidRPr="00C258AD">
              <w:rPr>
                <w:b/>
                <w:bCs/>
                <w:color w:val="000000"/>
                <w:sz w:val="16"/>
                <w:szCs w:val="18"/>
                <w:lang w:eastAsia="fr-FR"/>
              </w:rPr>
              <w:t>Taux d</w:t>
            </w:r>
            <w:r w:rsidR="00721905" w:rsidRPr="00C258AD">
              <w:rPr>
                <w:b/>
                <w:bCs/>
                <w:color w:val="000000"/>
                <w:sz w:val="16"/>
                <w:szCs w:val="18"/>
                <w:lang w:eastAsia="fr-FR"/>
              </w:rPr>
              <w:t>’</w:t>
            </w:r>
            <w:r w:rsidRPr="00C258AD">
              <w:rPr>
                <w:b/>
                <w:bCs/>
                <w:color w:val="000000"/>
                <w:sz w:val="16"/>
                <w:szCs w:val="18"/>
                <w:lang w:eastAsia="fr-FR"/>
              </w:rPr>
              <w:t>utilisation (%)</w:t>
            </w:r>
          </w:p>
        </w:tc>
      </w:tr>
      <w:tr w:rsidR="00007D87" w:rsidRPr="00C258AD" w:rsidTr="004A0BE0">
        <w:trPr>
          <w:cantSplit/>
        </w:trPr>
        <w:tc>
          <w:tcPr>
            <w:tcW w:w="2511" w:type="dxa"/>
            <w:tcBorders>
              <w:top w:val="nil"/>
              <w:left w:val="single" w:sz="4" w:space="0" w:color="auto"/>
              <w:bottom w:val="single" w:sz="4" w:space="0" w:color="auto"/>
              <w:right w:val="single" w:sz="4" w:space="0" w:color="auto"/>
            </w:tcBorders>
            <w:shd w:val="clear" w:color="auto" w:fill="auto"/>
            <w:noWrap/>
            <w:vAlign w:val="center"/>
            <w:hideMark/>
          </w:tcPr>
          <w:p w:rsidR="00007D87" w:rsidRPr="00C258AD" w:rsidRDefault="00007D87" w:rsidP="0083763A">
            <w:pPr>
              <w:rPr>
                <w:color w:val="000000"/>
                <w:sz w:val="16"/>
                <w:szCs w:val="18"/>
                <w:lang w:eastAsia="fr-FR"/>
              </w:rPr>
            </w:pPr>
            <w:r w:rsidRPr="00C258AD">
              <w:rPr>
                <w:color w:val="000000"/>
                <w:sz w:val="16"/>
                <w:szCs w:val="18"/>
                <w:lang w:eastAsia="fr-FR"/>
              </w:rPr>
              <w:t xml:space="preserve">Dépenses de personnel </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007D87" w:rsidRPr="00C258AD" w:rsidRDefault="00007D87" w:rsidP="0083763A">
            <w:pPr>
              <w:jc w:val="center"/>
              <w:rPr>
                <w:color w:val="000000"/>
                <w:sz w:val="16"/>
                <w:szCs w:val="18"/>
                <w:lang w:eastAsia="fr-FR"/>
              </w:rPr>
            </w:pPr>
            <w:r w:rsidRPr="00C258AD">
              <w:rPr>
                <w:color w:val="000000"/>
                <w:sz w:val="16"/>
                <w:szCs w:val="18"/>
                <w:lang w:eastAsia="fr-FR"/>
              </w:rPr>
              <w:t>4 122</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007D87" w:rsidRPr="00C258AD" w:rsidRDefault="00007D87" w:rsidP="0083763A">
            <w:pPr>
              <w:jc w:val="center"/>
              <w:rPr>
                <w:color w:val="000000"/>
                <w:sz w:val="16"/>
                <w:szCs w:val="18"/>
                <w:lang w:eastAsia="fr-FR"/>
              </w:rPr>
            </w:pPr>
            <w:r w:rsidRPr="00C258AD">
              <w:rPr>
                <w:color w:val="000000"/>
                <w:sz w:val="16"/>
                <w:szCs w:val="18"/>
                <w:lang w:eastAsia="fr-FR"/>
              </w:rPr>
              <w:t>4 154</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007D87" w:rsidRPr="00C258AD" w:rsidRDefault="004D4BC9" w:rsidP="0083763A">
            <w:pPr>
              <w:jc w:val="center"/>
              <w:rPr>
                <w:color w:val="000000"/>
                <w:sz w:val="16"/>
                <w:szCs w:val="18"/>
                <w:lang w:eastAsia="fr-FR"/>
              </w:rPr>
            </w:pPr>
            <w:r w:rsidRPr="00C258AD">
              <w:rPr>
                <w:color w:val="000000"/>
                <w:sz w:val="16"/>
                <w:szCs w:val="18"/>
                <w:lang w:eastAsia="fr-FR"/>
              </w:rPr>
              <w:t>4 020</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007D87" w:rsidRPr="00C258AD" w:rsidRDefault="004D4BC9" w:rsidP="0083763A">
            <w:pPr>
              <w:jc w:val="center"/>
              <w:rPr>
                <w:color w:val="000000"/>
                <w:sz w:val="16"/>
                <w:szCs w:val="18"/>
                <w:lang w:eastAsia="fr-FR"/>
              </w:rPr>
            </w:pPr>
            <w:r w:rsidRPr="00C258AD">
              <w:rPr>
                <w:color w:val="000000"/>
                <w:sz w:val="16"/>
                <w:szCs w:val="18"/>
                <w:lang w:eastAsia="fr-FR"/>
              </w:rPr>
              <w:t>97%</w:t>
            </w:r>
          </w:p>
        </w:tc>
      </w:tr>
      <w:tr w:rsidR="00007D87" w:rsidRPr="00C258AD" w:rsidTr="004A0BE0">
        <w:trPr>
          <w:cantSplit/>
        </w:trPr>
        <w:tc>
          <w:tcPr>
            <w:tcW w:w="2511" w:type="dxa"/>
            <w:tcBorders>
              <w:top w:val="nil"/>
              <w:left w:val="single" w:sz="4" w:space="0" w:color="auto"/>
              <w:bottom w:val="single" w:sz="4" w:space="0" w:color="auto"/>
              <w:right w:val="single" w:sz="4" w:space="0" w:color="auto"/>
            </w:tcBorders>
            <w:shd w:val="clear" w:color="auto" w:fill="auto"/>
            <w:noWrap/>
            <w:vAlign w:val="center"/>
            <w:hideMark/>
          </w:tcPr>
          <w:p w:rsidR="00007D87" w:rsidRPr="00C258AD" w:rsidRDefault="00007D87" w:rsidP="0083763A">
            <w:pPr>
              <w:rPr>
                <w:color w:val="000000"/>
                <w:sz w:val="16"/>
                <w:szCs w:val="18"/>
                <w:lang w:eastAsia="fr-FR"/>
              </w:rPr>
            </w:pPr>
            <w:r w:rsidRPr="00C258AD">
              <w:rPr>
                <w:color w:val="000000"/>
                <w:sz w:val="16"/>
                <w:szCs w:val="18"/>
                <w:lang w:eastAsia="fr-FR"/>
              </w:rPr>
              <w:t xml:space="preserve">Autres dépenses </w:t>
            </w:r>
          </w:p>
        </w:tc>
        <w:tc>
          <w:tcPr>
            <w:tcW w:w="1746" w:type="dxa"/>
            <w:tcBorders>
              <w:top w:val="nil"/>
              <w:left w:val="nil"/>
              <w:bottom w:val="single" w:sz="4" w:space="0" w:color="auto"/>
              <w:right w:val="single" w:sz="4" w:space="0" w:color="auto"/>
            </w:tcBorders>
            <w:shd w:val="clear" w:color="auto" w:fill="auto"/>
            <w:vAlign w:val="center"/>
            <w:hideMark/>
          </w:tcPr>
          <w:p w:rsidR="00007D87" w:rsidRPr="00C258AD" w:rsidRDefault="00007D87" w:rsidP="0083763A">
            <w:pPr>
              <w:jc w:val="center"/>
              <w:rPr>
                <w:color w:val="000000"/>
                <w:sz w:val="16"/>
                <w:szCs w:val="18"/>
                <w:lang w:eastAsia="fr-FR"/>
              </w:rPr>
            </w:pPr>
            <w:r w:rsidRPr="00C258AD">
              <w:rPr>
                <w:color w:val="000000"/>
                <w:sz w:val="16"/>
                <w:szCs w:val="18"/>
                <w:lang w:eastAsia="fr-FR"/>
              </w:rPr>
              <w:t>2</w:t>
            </w:r>
            <w:r w:rsidR="004D4BC9" w:rsidRPr="00C258AD">
              <w:rPr>
                <w:color w:val="000000"/>
                <w:sz w:val="16"/>
                <w:szCs w:val="18"/>
                <w:lang w:eastAsia="fr-FR"/>
              </w:rPr>
              <w:t> </w:t>
            </w:r>
            <w:r w:rsidRPr="00C258AD">
              <w:rPr>
                <w:color w:val="000000"/>
                <w:sz w:val="16"/>
                <w:szCs w:val="18"/>
                <w:lang w:eastAsia="fr-FR"/>
              </w:rPr>
              <w:t>040</w:t>
            </w:r>
          </w:p>
        </w:tc>
        <w:tc>
          <w:tcPr>
            <w:tcW w:w="1746" w:type="dxa"/>
            <w:tcBorders>
              <w:top w:val="nil"/>
              <w:left w:val="nil"/>
              <w:bottom w:val="single" w:sz="4" w:space="0" w:color="auto"/>
              <w:right w:val="single" w:sz="4" w:space="0" w:color="auto"/>
            </w:tcBorders>
            <w:shd w:val="clear" w:color="auto" w:fill="auto"/>
            <w:vAlign w:val="center"/>
            <w:hideMark/>
          </w:tcPr>
          <w:p w:rsidR="00007D87" w:rsidRPr="00C258AD" w:rsidRDefault="00007D87" w:rsidP="004D4BC9">
            <w:pPr>
              <w:jc w:val="center"/>
              <w:rPr>
                <w:color w:val="000000"/>
                <w:sz w:val="16"/>
                <w:szCs w:val="18"/>
                <w:lang w:eastAsia="fr-FR"/>
              </w:rPr>
            </w:pPr>
            <w:r w:rsidRPr="00C258AD">
              <w:rPr>
                <w:color w:val="000000"/>
                <w:sz w:val="16"/>
                <w:szCs w:val="18"/>
                <w:lang w:eastAsia="fr-FR"/>
              </w:rPr>
              <w:t xml:space="preserve">1 </w:t>
            </w:r>
            <w:r w:rsidR="004D4BC9" w:rsidRPr="00C258AD">
              <w:rPr>
                <w:color w:val="000000"/>
                <w:sz w:val="16"/>
                <w:szCs w:val="18"/>
                <w:lang w:eastAsia="fr-FR"/>
              </w:rPr>
              <w:t>376</w:t>
            </w:r>
          </w:p>
        </w:tc>
        <w:tc>
          <w:tcPr>
            <w:tcW w:w="1746" w:type="dxa"/>
            <w:tcBorders>
              <w:top w:val="nil"/>
              <w:left w:val="nil"/>
              <w:bottom w:val="single" w:sz="4" w:space="0" w:color="auto"/>
              <w:right w:val="single" w:sz="4" w:space="0" w:color="auto"/>
            </w:tcBorders>
            <w:shd w:val="clear" w:color="auto" w:fill="auto"/>
            <w:vAlign w:val="center"/>
            <w:hideMark/>
          </w:tcPr>
          <w:p w:rsidR="00007D87" w:rsidRPr="00C258AD" w:rsidRDefault="004D4BC9" w:rsidP="0083763A">
            <w:pPr>
              <w:jc w:val="center"/>
              <w:rPr>
                <w:color w:val="000000"/>
                <w:sz w:val="16"/>
                <w:szCs w:val="18"/>
                <w:lang w:eastAsia="fr-FR"/>
              </w:rPr>
            </w:pPr>
            <w:r w:rsidRPr="00C258AD">
              <w:rPr>
                <w:color w:val="000000"/>
                <w:sz w:val="16"/>
                <w:szCs w:val="18"/>
                <w:lang w:eastAsia="fr-FR"/>
              </w:rPr>
              <w:t>1 172</w:t>
            </w:r>
          </w:p>
        </w:tc>
        <w:tc>
          <w:tcPr>
            <w:tcW w:w="1746" w:type="dxa"/>
            <w:tcBorders>
              <w:top w:val="nil"/>
              <w:left w:val="nil"/>
              <w:bottom w:val="single" w:sz="4" w:space="0" w:color="auto"/>
              <w:right w:val="single" w:sz="4" w:space="0" w:color="auto"/>
            </w:tcBorders>
            <w:shd w:val="clear" w:color="auto" w:fill="auto"/>
            <w:vAlign w:val="center"/>
            <w:hideMark/>
          </w:tcPr>
          <w:p w:rsidR="00007D87" w:rsidRPr="00C258AD" w:rsidRDefault="004D4BC9" w:rsidP="0083763A">
            <w:pPr>
              <w:jc w:val="center"/>
              <w:rPr>
                <w:color w:val="000000"/>
                <w:sz w:val="16"/>
                <w:szCs w:val="18"/>
                <w:lang w:eastAsia="fr-FR"/>
              </w:rPr>
            </w:pPr>
            <w:r w:rsidRPr="00C258AD">
              <w:rPr>
                <w:color w:val="000000"/>
                <w:sz w:val="16"/>
                <w:szCs w:val="18"/>
                <w:lang w:eastAsia="fr-FR"/>
              </w:rPr>
              <w:t>85</w:t>
            </w:r>
            <w:r w:rsidR="00007D87" w:rsidRPr="00C258AD">
              <w:rPr>
                <w:color w:val="000000"/>
                <w:sz w:val="16"/>
                <w:szCs w:val="18"/>
                <w:lang w:eastAsia="fr-FR"/>
              </w:rPr>
              <w:t>%</w:t>
            </w:r>
          </w:p>
        </w:tc>
      </w:tr>
      <w:tr w:rsidR="00007D87" w:rsidRPr="00C258AD" w:rsidTr="004A0BE0">
        <w:trPr>
          <w:cantSplit/>
        </w:trPr>
        <w:tc>
          <w:tcPr>
            <w:tcW w:w="2511" w:type="dxa"/>
            <w:tcBorders>
              <w:top w:val="nil"/>
              <w:left w:val="single" w:sz="4" w:space="0" w:color="auto"/>
              <w:bottom w:val="single" w:sz="4" w:space="0" w:color="auto"/>
              <w:right w:val="single" w:sz="4" w:space="0" w:color="auto"/>
            </w:tcBorders>
            <w:shd w:val="clear" w:color="auto" w:fill="auto"/>
            <w:noWrap/>
            <w:vAlign w:val="center"/>
            <w:hideMark/>
          </w:tcPr>
          <w:p w:rsidR="00007D87" w:rsidRPr="00C258AD" w:rsidRDefault="00007D87" w:rsidP="0083763A">
            <w:pPr>
              <w:jc w:val="right"/>
              <w:rPr>
                <w:b/>
                <w:bCs/>
                <w:color w:val="000000"/>
                <w:sz w:val="16"/>
                <w:szCs w:val="18"/>
                <w:lang w:eastAsia="fr-FR"/>
              </w:rPr>
            </w:pPr>
            <w:r w:rsidRPr="00C258AD">
              <w:rPr>
                <w:b/>
                <w:bCs/>
                <w:color w:val="000000"/>
                <w:sz w:val="16"/>
                <w:szCs w:val="18"/>
                <w:lang w:eastAsia="fr-FR"/>
              </w:rPr>
              <w:t xml:space="preserve">TOTAL </w:t>
            </w:r>
          </w:p>
        </w:tc>
        <w:tc>
          <w:tcPr>
            <w:tcW w:w="1746" w:type="dxa"/>
            <w:tcBorders>
              <w:top w:val="nil"/>
              <w:left w:val="nil"/>
              <w:bottom w:val="single" w:sz="4" w:space="0" w:color="auto"/>
              <w:right w:val="single" w:sz="4" w:space="0" w:color="auto"/>
            </w:tcBorders>
            <w:shd w:val="clear" w:color="auto" w:fill="auto"/>
            <w:vAlign w:val="center"/>
            <w:hideMark/>
          </w:tcPr>
          <w:p w:rsidR="00007D87" w:rsidRPr="00C258AD" w:rsidRDefault="00007D87" w:rsidP="0083763A">
            <w:pPr>
              <w:jc w:val="center"/>
              <w:rPr>
                <w:b/>
                <w:bCs/>
                <w:color w:val="000000"/>
                <w:sz w:val="16"/>
                <w:szCs w:val="18"/>
                <w:lang w:eastAsia="fr-FR"/>
              </w:rPr>
            </w:pPr>
            <w:r w:rsidRPr="00C258AD">
              <w:rPr>
                <w:b/>
                <w:bCs/>
                <w:color w:val="000000"/>
                <w:sz w:val="16"/>
                <w:szCs w:val="18"/>
                <w:lang w:eastAsia="fr-FR"/>
              </w:rPr>
              <w:t>6 162</w:t>
            </w:r>
          </w:p>
        </w:tc>
        <w:tc>
          <w:tcPr>
            <w:tcW w:w="1746" w:type="dxa"/>
            <w:tcBorders>
              <w:top w:val="nil"/>
              <w:left w:val="nil"/>
              <w:bottom w:val="single" w:sz="4" w:space="0" w:color="auto"/>
              <w:right w:val="single" w:sz="4" w:space="0" w:color="auto"/>
            </w:tcBorders>
            <w:shd w:val="clear" w:color="auto" w:fill="auto"/>
            <w:vAlign w:val="center"/>
            <w:hideMark/>
          </w:tcPr>
          <w:p w:rsidR="00007D87" w:rsidRPr="00C258AD" w:rsidRDefault="00007D87" w:rsidP="004D4BC9">
            <w:pPr>
              <w:jc w:val="center"/>
              <w:rPr>
                <w:b/>
                <w:bCs/>
                <w:color w:val="000000"/>
                <w:sz w:val="16"/>
                <w:szCs w:val="18"/>
                <w:lang w:eastAsia="fr-FR"/>
              </w:rPr>
            </w:pPr>
            <w:r w:rsidRPr="00C258AD">
              <w:rPr>
                <w:b/>
                <w:bCs/>
                <w:color w:val="000000"/>
                <w:sz w:val="16"/>
                <w:szCs w:val="18"/>
                <w:lang w:eastAsia="fr-FR"/>
              </w:rPr>
              <w:t>5 53</w:t>
            </w:r>
            <w:r w:rsidR="004D4BC9" w:rsidRPr="00C258AD">
              <w:rPr>
                <w:b/>
                <w:bCs/>
                <w:color w:val="000000"/>
                <w:sz w:val="16"/>
                <w:szCs w:val="18"/>
                <w:lang w:eastAsia="fr-FR"/>
              </w:rPr>
              <w:t>0</w:t>
            </w:r>
          </w:p>
        </w:tc>
        <w:tc>
          <w:tcPr>
            <w:tcW w:w="1746" w:type="dxa"/>
            <w:tcBorders>
              <w:top w:val="nil"/>
              <w:left w:val="nil"/>
              <w:bottom w:val="single" w:sz="4" w:space="0" w:color="auto"/>
              <w:right w:val="single" w:sz="4" w:space="0" w:color="auto"/>
            </w:tcBorders>
            <w:shd w:val="clear" w:color="auto" w:fill="auto"/>
            <w:vAlign w:val="center"/>
            <w:hideMark/>
          </w:tcPr>
          <w:p w:rsidR="00007D87" w:rsidRPr="00C258AD" w:rsidRDefault="004D4BC9" w:rsidP="0083763A">
            <w:pPr>
              <w:jc w:val="center"/>
              <w:rPr>
                <w:b/>
                <w:bCs/>
                <w:color w:val="000000"/>
                <w:sz w:val="16"/>
                <w:szCs w:val="18"/>
                <w:lang w:eastAsia="fr-FR"/>
              </w:rPr>
            </w:pPr>
            <w:r w:rsidRPr="00C258AD">
              <w:rPr>
                <w:b/>
                <w:bCs/>
                <w:color w:val="000000"/>
                <w:sz w:val="16"/>
                <w:szCs w:val="18"/>
                <w:lang w:eastAsia="fr-FR"/>
              </w:rPr>
              <w:t>5 192</w:t>
            </w:r>
          </w:p>
        </w:tc>
        <w:tc>
          <w:tcPr>
            <w:tcW w:w="1746" w:type="dxa"/>
            <w:tcBorders>
              <w:top w:val="nil"/>
              <w:left w:val="nil"/>
              <w:bottom w:val="single" w:sz="4" w:space="0" w:color="auto"/>
              <w:right w:val="single" w:sz="4" w:space="0" w:color="auto"/>
            </w:tcBorders>
            <w:shd w:val="clear" w:color="auto" w:fill="auto"/>
            <w:vAlign w:val="center"/>
            <w:hideMark/>
          </w:tcPr>
          <w:p w:rsidR="00007D87" w:rsidRPr="00C258AD" w:rsidRDefault="004D4BC9" w:rsidP="0083763A">
            <w:pPr>
              <w:jc w:val="center"/>
              <w:rPr>
                <w:b/>
                <w:bCs/>
                <w:color w:val="000000"/>
                <w:sz w:val="16"/>
                <w:szCs w:val="18"/>
                <w:lang w:eastAsia="fr-FR"/>
              </w:rPr>
            </w:pPr>
            <w:r w:rsidRPr="00C258AD">
              <w:rPr>
                <w:b/>
                <w:bCs/>
                <w:color w:val="000000"/>
                <w:sz w:val="16"/>
                <w:szCs w:val="18"/>
                <w:lang w:eastAsia="fr-FR"/>
              </w:rPr>
              <w:t>9</w:t>
            </w:r>
            <w:r w:rsidR="00007D87" w:rsidRPr="00C258AD">
              <w:rPr>
                <w:b/>
                <w:bCs/>
                <w:color w:val="000000"/>
                <w:sz w:val="16"/>
                <w:szCs w:val="18"/>
                <w:lang w:eastAsia="fr-FR"/>
              </w:rPr>
              <w:t>4%</w:t>
            </w:r>
          </w:p>
        </w:tc>
      </w:tr>
    </w:tbl>
    <w:p w:rsidR="006E2BB1" w:rsidRPr="00C258AD" w:rsidRDefault="006E2BB1" w:rsidP="00007D87">
      <w:pPr>
        <w:widowControl w:val="0"/>
        <w:autoSpaceDE w:val="0"/>
        <w:autoSpaceDN w:val="0"/>
        <w:adjustRightInd w:val="0"/>
        <w:jc w:val="both"/>
      </w:pPr>
    </w:p>
    <w:p w:rsidR="006E2BB1" w:rsidRPr="00C258AD" w:rsidRDefault="006E2BB1" w:rsidP="00007D87">
      <w:pPr>
        <w:widowControl w:val="0"/>
        <w:autoSpaceDE w:val="0"/>
        <w:autoSpaceDN w:val="0"/>
        <w:adjustRightInd w:val="0"/>
        <w:jc w:val="both"/>
      </w:pPr>
    </w:p>
    <w:p w:rsidR="006E2BB1" w:rsidRPr="00C258AD" w:rsidRDefault="00007D87" w:rsidP="00007D87">
      <w:pPr>
        <w:rPr>
          <w:u w:val="single"/>
        </w:rPr>
      </w:pPr>
      <w:r w:rsidRPr="00C258AD">
        <w:t>A.</w:t>
      </w:r>
      <w:r w:rsidRPr="00C258AD">
        <w:tab/>
      </w:r>
      <w:r w:rsidRPr="00C258AD">
        <w:rPr>
          <w:u w:val="single"/>
          <w:lang w:eastAsia="ko-KR"/>
        </w:rPr>
        <w:t>Budget final 2014</w:t>
      </w:r>
      <w:r w:rsidR="0000169D" w:rsidRPr="00C258AD">
        <w:rPr>
          <w:u w:val="single"/>
          <w:lang w:eastAsia="ko-KR"/>
        </w:rPr>
        <w:noBreakHyphen/>
      </w:r>
      <w:r w:rsidRPr="00C258AD">
        <w:rPr>
          <w:u w:val="single"/>
          <w:lang w:eastAsia="ko-KR"/>
        </w:rPr>
        <w:t>2015 après virements</w:t>
      </w:r>
    </w:p>
    <w:p w:rsidR="006E2BB1" w:rsidRPr="00C258AD" w:rsidRDefault="006E2BB1" w:rsidP="00007D87">
      <w:pPr>
        <w:autoSpaceDE w:val="0"/>
        <w:autoSpaceDN w:val="0"/>
        <w:jc w:val="both"/>
        <w:rPr>
          <w:lang w:eastAsia="ko-KR"/>
        </w:rPr>
      </w:pPr>
    </w:p>
    <w:p w:rsidR="006E2BB1" w:rsidRPr="00C258AD" w:rsidRDefault="00007D87" w:rsidP="00BB4DBC">
      <w:pPr>
        <w:pStyle w:val="ListParagraph"/>
        <w:numPr>
          <w:ilvl w:val="0"/>
          <w:numId w:val="2"/>
        </w:numPr>
        <w:tabs>
          <w:tab w:val="left" w:pos="567"/>
        </w:tabs>
        <w:autoSpaceDE w:val="0"/>
        <w:autoSpaceDN w:val="0"/>
        <w:ind w:left="0" w:firstLine="0"/>
        <w:jc w:val="both"/>
        <w:rPr>
          <w:lang w:eastAsia="ko-KR"/>
        </w:rPr>
      </w:pPr>
      <w:r w:rsidRPr="00C258AD">
        <w:rPr>
          <w:lang w:eastAsia="ko-KR"/>
        </w:rPr>
        <w:t>Le budget final 2014</w:t>
      </w:r>
      <w:r w:rsidR="0000169D" w:rsidRPr="00C258AD">
        <w:rPr>
          <w:lang w:eastAsia="ko-KR"/>
        </w:rPr>
        <w:noBreakHyphen/>
      </w:r>
      <w:r w:rsidRPr="00C258AD">
        <w:rPr>
          <w:lang w:eastAsia="ko-KR"/>
        </w:rPr>
        <w:t>2015 après virements tient compte d</w:t>
      </w:r>
      <w:r w:rsidR="00721905" w:rsidRPr="00C258AD">
        <w:rPr>
          <w:lang w:eastAsia="ko-KR"/>
        </w:rPr>
        <w:t>’</w:t>
      </w:r>
      <w:r w:rsidRPr="00C258AD">
        <w:rPr>
          <w:lang w:eastAsia="ko-KR"/>
        </w:rPr>
        <w:t>un ajustement à la baisse au titre du résultat I.1 (Élaboration de cadres normatifs internationaux équilibrés dans le domaine de la propriété intellectuelle) dû au transfert des ressources initialement budgétées pour l</w:t>
      </w:r>
      <w:r w:rsidR="00721905" w:rsidRPr="00C258AD">
        <w:rPr>
          <w:lang w:eastAsia="ko-KR"/>
        </w:rPr>
        <w:t>’</w:t>
      </w:r>
      <w:r w:rsidRPr="00C258AD">
        <w:rPr>
          <w:lang w:eastAsia="ko-KR"/>
        </w:rPr>
        <w:t>éventuelle conférence diplomatique.</w:t>
      </w:r>
    </w:p>
    <w:p w:rsidR="006E2BB1" w:rsidRPr="00C258AD" w:rsidRDefault="006E2BB1" w:rsidP="00007D87">
      <w:pPr>
        <w:tabs>
          <w:tab w:val="left" w:pos="567"/>
        </w:tabs>
        <w:autoSpaceDE w:val="0"/>
        <w:autoSpaceDN w:val="0"/>
        <w:jc w:val="both"/>
        <w:rPr>
          <w:lang w:eastAsia="ko-KR"/>
        </w:rPr>
      </w:pPr>
    </w:p>
    <w:p w:rsidR="006E2BB1" w:rsidRPr="00C258AD" w:rsidRDefault="00007D87" w:rsidP="00BB4DBC">
      <w:pPr>
        <w:pStyle w:val="ListParagraph"/>
        <w:numPr>
          <w:ilvl w:val="0"/>
          <w:numId w:val="2"/>
        </w:numPr>
        <w:tabs>
          <w:tab w:val="left" w:pos="567"/>
        </w:tabs>
        <w:autoSpaceDE w:val="0"/>
        <w:autoSpaceDN w:val="0"/>
        <w:ind w:left="0" w:firstLine="0"/>
        <w:jc w:val="both"/>
        <w:rPr>
          <w:lang w:eastAsia="ko-KR"/>
        </w:rPr>
      </w:pPr>
      <w:r w:rsidRPr="00C258AD">
        <w:rPr>
          <w:lang w:eastAsia="ko-KR"/>
        </w:rPr>
        <w:t>La légère augmentation des dépenses de personnel dans le budget final 2014</w:t>
      </w:r>
      <w:r w:rsidR="0000169D" w:rsidRPr="00C258AD">
        <w:rPr>
          <w:lang w:eastAsia="ko-KR"/>
        </w:rPr>
        <w:noBreakHyphen/>
      </w:r>
      <w:r w:rsidRPr="00C258AD">
        <w:rPr>
          <w:lang w:eastAsia="ko-KR"/>
        </w:rPr>
        <w:t>2015 après virements est due au reclassement à la hausse d</w:t>
      </w:r>
      <w:r w:rsidR="00721905" w:rsidRPr="00C258AD">
        <w:rPr>
          <w:lang w:eastAsia="ko-KR"/>
        </w:rPr>
        <w:t>’</w:t>
      </w:r>
      <w:r w:rsidRPr="00C258AD">
        <w:rPr>
          <w:lang w:eastAsia="ko-KR"/>
        </w:rPr>
        <w:t>un poste en particulier.</w:t>
      </w:r>
    </w:p>
    <w:p w:rsidR="006E2BB1" w:rsidRPr="00C258AD" w:rsidRDefault="006E2BB1" w:rsidP="00BE27AB">
      <w:pPr>
        <w:rPr>
          <w:rFonts w:eastAsia="Batang"/>
          <w:lang w:eastAsia="ko-KR"/>
        </w:rPr>
      </w:pPr>
    </w:p>
    <w:p w:rsidR="006E2BB1" w:rsidRPr="00C258AD" w:rsidRDefault="00007D87" w:rsidP="00BB4DBC">
      <w:pPr>
        <w:pStyle w:val="ListParagraph"/>
        <w:numPr>
          <w:ilvl w:val="0"/>
          <w:numId w:val="2"/>
        </w:numPr>
        <w:tabs>
          <w:tab w:val="left" w:pos="567"/>
        </w:tabs>
        <w:autoSpaceDE w:val="0"/>
        <w:autoSpaceDN w:val="0"/>
        <w:ind w:left="0" w:firstLine="0"/>
        <w:jc w:val="both"/>
        <w:rPr>
          <w:lang w:eastAsia="ko-KR"/>
        </w:rPr>
      </w:pPr>
      <w:r w:rsidRPr="00C258AD">
        <w:rPr>
          <w:lang w:eastAsia="ko-KR"/>
        </w:rPr>
        <w:t>Les ajustements des résultats dans le budget 2014</w:t>
      </w:r>
      <w:r w:rsidR="0000169D" w:rsidRPr="00C258AD">
        <w:rPr>
          <w:lang w:eastAsia="ko-KR"/>
        </w:rPr>
        <w:noBreakHyphen/>
      </w:r>
      <w:r w:rsidRPr="00C258AD">
        <w:rPr>
          <w:lang w:eastAsia="ko-KR"/>
        </w:rPr>
        <w:t>2015 après virements, notamment entre les résultats I.2 (Conseils législatifs) et I.3 (Protection renforcée des emblèmes d</w:t>
      </w:r>
      <w:r w:rsidR="00721905" w:rsidRPr="00C258AD">
        <w:rPr>
          <w:lang w:eastAsia="ko-KR"/>
        </w:rPr>
        <w:t>’</w:t>
      </w:r>
      <w:r w:rsidRPr="00C258AD">
        <w:rPr>
          <w:lang w:eastAsia="ko-KR"/>
        </w:rPr>
        <w:t xml:space="preserve">États), découlent de la méthode nouvelle et plus précise utilisée pour allouer les ressources de personnel résultant des améliorations apportées au système de planification de la gestion des performances pour les exercices de planification des travaux pour les </w:t>
      </w:r>
      <w:r w:rsidR="00FB247F" w:rsidRPr="00C258AD">
        <w:rPr>
          <w:lang w:eastAsia="ko-KR"/>
        </w:rPr>
        <w:t>années</w:t>
      </w:r>
      <w:r w:rsidRPr="00C258AD">
        <w:rPr>
          <w:lang w:eastAsia="ko-KR"/>
        </w:rPr>
        <w:t xml:space="preserve"> 2014 et 2015.</w:t>
      </w:r>
    </w:p>
    <w:p w:rsidR="006E2BB1" w:rsidRPr="00C258AD" w:rsidRDefault="006E2BB1" w:rsidP="00007D87">
      <w:pPr>
        <w:tabs>
          <w:tab w:val="left" w:pos="567"/>
        </w:tabs>
        <w:autoSpaceDE w:val="0"/>
        <w:autoSpaceDN w:val="0"/>
        <w:jc w:val="both"/>
        <w:rPr>
          <w:lang w:eastAsia="ko-KR"/>
        </w:rPr>
      </w:pPr>
    </w:p>
    <w:p w:rsidR="006E2BB1" w:rsidRPr="00C258AD" w:rsidRDefault="006E2BB1" w:rsidP="00007D87">
      <w:pPr>
        <w:autoSpaceDE w:val="0"/>
        <w:autoSpaceDN w:val="0"/>
        <w:jc w:val="both"/>
        <w:rPr>
          <w:lang w:eastAsia="ko-KR"/>
        </w:rPr>
      </w:pPr>
    </w:p>
    <w:p w:rsidR="006E2BB1" w:rsidRPr="00C258AD" w:rsidRDefault="00007D87" w:rsidP="00007D87">
      <w:pPr>
        <w:jc w:val="both"/>
        <w:rPr>
          <w:u w:val="single"/>
          <w:lang w:eastAsia="ko-KR"/>
        </w:rPr>
      </w:pPr>
      <w:r w:rsidRPr="00C258AD">
        <w:rPr>
          <w:lang w:eastAsia="ko-KR"/>
        </w:rPr>
        <w:t>B.</w:t>
      </w:r>
      <w:r w:rsidRPr="00C258AD">
        <w:rPr>
          <w:lang w:eastAsia="ko-KR"/>
        </w:rPr>
        <w:tab/>
      </w:r>
      <w:r w:rsidRPr="00C258AD">
        <w:rPr>
          <w:u w:val="single"/>
          <w:lang w:eastAsia="ko-KR"/>
        </w:rPr>
        <w:t>Utilisation du budget en</w:t>
      </w:r>
      <w:r w:rsidR="002C57EB" w:rsidRPr="00C258AD">
        <w:rPr>
          <w:u w:val="single"/>
          <w:lang w:eastAsia="ko-KR"/>
        </w:rPr>
        <w:t> </w:t>
      </w:r>
      <w:r w:rsidRPr="00C258AD">
        <w:rPr>
          <w:u w:val="single"/>
          <w:lang w:eastAsia="ko-KR"/>
        </w:rPr>
        <w:t>2014</w:t>
      </w:r>
      <w:r w:rsidR="0000169D" w:rsidRPr="00C258AD">
        <w:rPr>
          <w:u w:val="single"/>
          <w:lang w:eastAsia="ko-KR"/>
        </w:rPr>
        <w:noBreakHyphen/>
      </w:r>
      <w:r w:rsidRPr="00C258AD">
        <w:rPr>
          <w:u w:val="single"/>
          <w:lang w:eastAsia="ko-KR"/>
        </w:rPr>
        <w:t>2015</w:t>
      </w:r>
    </w:p>
    <w:p w:rsidR="006E2BB1" w:rsidRPr="00C258AD" w:rsidRDefault="006E2BB1" w:rsidP="00007D87">
      <w:pPr>
        <w:tabs>
          <w:tab w:val="left" w:pos="709"/>
        </w:tabs>
        <w:jc w:val="both"/>
        <w:rPr>
          <w:u w:val="single"/>
          <w:lang w:eastAsia="ko-KR"/>
        </w:rPr>
      </w:pPr>
    </w:p>
    <w:p w:rsidR="006E2BB1" w:rsidRPr="00C258AD" w:rsidRDefault="00007D87" w:rsidP="00BB4DBC">
      <w:pPr>
        <w:pStyle w:val="ListParagraph"/>
        <w:numPr>
          <w:ilvl w:val="0"/>
          <w:numId w:val="2"/>
        </w:numPr>
        <w:tabs>
          <w:tab w:val="left" w:pos="567"/>
        </w:tabs>
        <w:autoSpaceDE w:val="0"/>
        <w:autoSpaceDN w:val="0"/>
        <w:ind w:left="0" w:firstLine="0"/>
        <w:jc w:val="both"/>
        <w:rPr>
          <w:lang w:eastAsia="ko-KR"/>
        </w:rPr>
      </w:pPr>
      <w:r w:rsidRPr="00C258AD">
        <w:rPr>
          <w:lang w:eastAsia="ko-KR"/>
        </w:rPr>
        <w:t>La légère sous</w:t>
      </w:r>
      <w:r w:rsidR="0000169D" w:rsidRPr="00C258AD">
        <w:rPr>
          <w:lang w:eastAsia="ko-KR"/>
        </w:rPr>
        <w:noBreakHyphen/>
      </w:r>
      <w:r w:rsidRPr="00C258AD">
        <w:rPr>
          <w:lang w:eastAsia="ko-KR"/>
        </w:rPr>
        <w:t>utilisation des ressources hors personnel est due principalement aux faits suivants :</w:t>
      </w:r>
    </w:p>
    <w:p w:rsidR="006E2BB1" w:rsidRPr="00C258AD" w:rsidRDefault="006E2BB1" w:rsidP="00BE27AB">
      <w:pPr>
        <w:rPr>
          <w:rFonts w:eastAsia="Batang"/>
          <w:lang w:eastAsia="ko-KR"/>
        </w:rPr>
      </w:pPr>
    </w:p>
    <w:p w:rsidR="006E2BB1" w:rsidRPr="00C258AD" w:rsidRDefault="00007D87" w:rsidP="00BB4DBC">
      <w:pPr>
        <w:pStyle w:val="ListParagraph"/>
        <w:numPr>
          <w:ilvl w:val="0"/>
          <w:numId w:val="1"/>
        </w:numPr>
        <w:spacing w:after="120"/>
        <w:ind w:left="1134" w:hanging="567"/>
        <w:jc w:val="both"/>
      </w:pPr>
      <w:r w:rsidRPr="00C258AD">
        <w:rPr>
          <w:rFonts w:eastAsia="Batang"/>
          <w:lang w:eastAsia="ko-KR"/>
        </w:rPr>
        <w:t>le report de la conférence diplomatique au titre du résultat I.1 (É</w:t>
      </w:r>
      <w:r w:rsidRPr="00C258AD">
        <w:t>laboration de cadres normatifs internationaux équilibrés dans le domaine de la propriété intellectuelle</w:t>
      </w:r>
      <w:r w:rsidRPr="00C258AD">
        <w:rPr>
          <w:rFonts w:eastAsia="Batang"/>
          <w:lang w:eastAsia="ko-KR"/>
        </w:rPr>
        <w:t>);</w:t>
      </w:r>
    </w:p>
    <w:p w:rsidR="006E2BB1" w:rsidRPr="00C258AD" w:rsidRDefault="00007D87" w:rsidP="00BB4DBC">
      <w:pPr>
        <w:pStyle w:val="ListParagraph"/>
        <w:numPr>
          <w:ilvl w:val="0"/>
          <w:numId w:val="1"/>
        </w:numPr>
        <w:spacing w:after="120"/>
        <w:ind w:left="1134" w:hanging="567"/>
        <w:jc w:val="both"/>
      </w:pPr>
      <w:r w:rsidRPr="00C258AD">
        <w:rPr>
          <w:rFonts w:eastAsia="Batang"/>
          <w:lang w:eastAsia="ko-KR"/>
        </w:rPr>
        <w:t>les économies réalisées grâce à une réduction du nombre des missions du personnel au titre du résultat </w:t>
      </w:r>
      <w:r w:rsidRPr="00C258AD">
        <w:t>I.2 (Conseils législatifs);  et</w:t>
      </w:r>
    </w:p>
    <w:p w:rsidR="006E2BB1" w:rsidRPr="00C258AD" w:rsidRDefault="00007D87" w:rsidP="00BB4DBC">
      <w:pPr>
        <w:pStyle w:val="ListParagraph"/>
        <w:numPr>
          <w:ilvl w:val="0"/>
          <w:numId w:val="1"/>
        </w:numPr>
        <w:spacing w:after="120"/>
        <w:ind w:left="1134" w:hanging="567"/>
        <w:jc w:val="both"/>
      </w:pPr>
      <w:r w:rsidRPr="00C258AD">
        <w:t>le retard observé dans le recrutement d</w:t>
      </w:r>
      <w:r w:rsidR="00721905" w:rsidRPr="00C258AD">
        <w:t>’</w:t>
      </w:r>
      <w:r w:rsidRPr="00C258AD">
        <w:t xml:space="preserve">un chef de projet </w:t>
      </w:r>
      <w:r w:rsidRPr="00C258AD">
        <w:rPr>
          <w:lang w:eastAsia="zh-CN"/>
        </w:rPr>
        <w:t>dans le cadre du Plan d</w:t>
      </w:r>
      <w:r w:rsidR="00721905" w:rsidRPr="00C258AD">
        <w:rPr>
          <w:lang w:eastAsia="zh-CN"/>
        </w:rPr>
        <w:t>’</w:t>
      </w:r>
      <w:r w:rsidRPr="00C258AD">
        <w:rPr>
          <w:lang w:eastAsia="zh-CN"/>
        </w:rPr>
        <w:t xml:space="preserve">action pour le </w:t>
      </w:r>
      <w:r w:rsidRPr="00C258AD">
        <w:rPr>
          <w:rFonts w:eastAsia="Batang"/>
          <w:lang w:eastAsia="ko-KR"/>
        </w:rPr>
        <w:t>développement</w:t>
      </w:r>
      <w:r w:rsidRPr="00C258AD">
        <w:t xml:space="preserve"> pour le </w:t>
      </w:r>
      <w:r w:rsidRPr="00C258AD">
        <w:rPr>
          <w:lang w:eastAsia="zh-CN"/>
        </w:rPr>
        <w:t>projet pilote sur la propriété intellectuelle et la gestion des dessins et modèles pour le développement des entreprises dans les pays en développement et les pays les moins avancés,</w:t>
      </w:r>
      <w:r w:rsidRPr="00C258AD">
        <w:t xml:space="preserve"> qui a finalement conduit à un léger retard dans la mise en œuvre du projet, comme indiqué au titre du résultat III.4 (Mécanismes et programmes de coopération renforcés, adaptés aux besoins des pays en développement et des PMA).  Le projet devrait être achevé au premier semestre 2016.</w:t>
      </w:r>
    </w:p>
    <w:p w:rsidR="006E2BB1" w:rsidRPr="00C258AD" w:rsidRDefault="006E2BB1" w:rsidP="00BE27AB"/>
    <w:p w:rsidR="006E2BB1" w:rsidRPr="00C258AD" w:rsidRDefault="00007D87">
      <w:pPr>
        <w:spacing w:after="200" w:line="276" w:lineRule="auto"/>
        <w:rPr>
          <w:szCs w:val="20"/>
          <w:lang w:eastAsia="zh-CN"/>
        </w:rPr>
      </w:pPr>
      <w:r w:rsidRPr="00C258AD">
        <w:rPr>
          <w:lang w:eastAsia="zh-CN"/>
        </w:rPr>
        <w:br w:type="page"/>
      </w:r>
    </w:p>
    <w:p w:rsidR="006E2BB1" w:rsidRPr="00C258AD" w:rsidRDefault="00232431" w:rsidP="00305CE5">
      <w:pPr>
        <w:pStyle w:val="Heading3"/>
      </w:pPr>
      <w:bookmarkStart w:id="61" w:name="_Toc422404216"/>
      <w:bookmarkStart w:id="62" w:name="_Toc423352864"/>
      <w:bookmarkStart w:id="63" w:name="_Toc455394179"/>
      <w:r w:rsidRPr="00C258AD">
        <w:lastRenderedPageBreak/>
        <w:t>Programme 3</w:t>
      </w:r>
      <w:r w:rsidRPr="00C258AD">
        <w:tab/>
        <w:t>Droit d’auteur et droits connexes</w:t>
      </w:r>
      <w:bookmarkEnd w:id="61"/>
      <w:bookmarkEnd w:id="62"/>
      <w:bookmarkEnd w:id="63"/>
    </w:p>
    <w:p w:rsidR="006E2BB1" w:rsidRPr="00C258AD" w:rsidRDefault="006E2BB1" w:rsidP="001A4D6C"/>
    <w:p w:rsidR="006E2BB1" w:rsidRPr="00C258AD" w:rsidRDefault="00232431" w:rsidP="001A4D6C">
      <w:pPr>
        <w:tabs>
          <w:tab w:val="left" w:pos="2268"/>
        </w:tabs>
        <w:rPr>
          <w:b/>
        </w:rPr>
      </w:pPr>
      <w:r w:rsidRPr="00C258AD">
        <w:rPr>
          <w:b/>
        </w:rPr>
        <w:t>Chef de programme</w:t>
      </w:r>
      <w:r w:rsidRPr="00C258AD">
        <w:rPr>
          <w:b/>
        </w:rPr>
        <w:tab/>
        <w:t>Mme M. Woods</w:t>
      </w:r>
    </w:p>
    <w:p w:rsidR="006E2BB1" w:rsidRPr="00C258AD" w:rsidRDefault="006E2BB1" w:rsidP="001A4D6C"/>
    <w:p w:rsidR="006E2BB1" w:rsidRPr="00C258AD" w:rsidRDefault="006E2BB1" w:rsidP="001A4D6C"/>
    <w:p w:rsidR="006E2BB1" w:rsidRPr="00C258AD" w:rsidRDefault="00232431" w:rsidP="00305CE5">
      <w:pPr>
        <w:keepNext/>
        <w:rPr>
          <w:rFonts w:cs="Arial"/>
          <w:caps/>
          <w:sz w:val="22"/>
          <w:szCs w:val="22"/>
        </w:rPr>
      </w:pPr>
      <w:r w:rsidRPr="00C258AD">
        <w:rPr>
          <w:rFonts w:cs="Arial"/>
          <w:caps/>
          <w:sz w:val="22"/>
          <w:szCs w:val="22"/>
        </w:rPr>
        <w:t>Réalisations au cours de l’exercice biennal 2014</w:t>
      </w:r>
      <w:r w:rsidRPr="00C258AD">
        <w:rPr>
          <w:rFonts w:cs="Arial"/>
          <w:caps/>
          <w:sz w:val="22"/>
          <w:szCs w:val="22"/>
        </w:rPr>
        <w:noBreakHyphen/>
        <w:t>2015</w:t>
      </w:r>
    </w:p>
    <w:p w:rsidR="006E2BB1" w:rsidRPr="00C258AD" w:rsidRDefault="006E2BB1" w:rsidP="001A4D6C"/>
    <w:p w:rsidR="006E2BB1" w:rsidRPr="00C258AD" w:rsidRDefault="00232431" w:rsidP="00066B9C">
      <w:pPr>
        <w:pStyle w:val="ListParagraph"/>
        <w:numPr>
          <w:ilvl w:val="0"/>
          <w:numId w:val="46"/>
        </w:numPr>
        <w:tabs>
          <w:tab w:val="left" w:pos="0"/>
          <w:tab w:val="left" w:pos="709"/>
        </w:tabs>
        <w:ind w:left="0" w:firstLine="0"/>
        <w:jc w:val="both"/>
      </w:pPr>
      <w:r w:rsidRPr="00C258AD">
        <w:rPr>
          <w:rFonts w:eastAsia="SimSun"/>
          <w:bCs/>
          <w:lang w:eastAsia="zh-CN"/>
        </w:rPr>
        <w:t>En 2014</w:t>
      </w:r>
      <w:r w:rsidRPr="00C258AD">
        <w:rPr>
          <w:rFonts w:eastAsia="SimSun"/>
          <w:bCs/>
          <w:lang w:eastAsia="zh-CN"/>
        </w:rPr>
        <w:noBreakHyphen/>
        <w:t>2015, le programme a essentiellement porté sur l’obtention des résultats escomptés dans trois grands domaines : i) faire progresser les travaux d’élaboration de normes en apportant une assistance aux États membres souhaitant adhérer aux traités de l’OMPI relatifs au droit d’auteur, ainsi qu’au sein du Comité permanent du droit d’auteur et des droits connexes (SCCR), ii) renforcer le développement de l’infrastructure relative au droit d’auteur, et iii) renforcer les capacités institutionnelles et humaines dans les pays en développement et les PMA afin de permettre à ces derniers d’utiliser ce système du droit d’auteur pour tirer parti du potentiel économique de leurs cultures.  Des progrès majeurs ont été réalisés dans ces trois domaines, ainsi qu’il ressort des indicateurs d’exécution présentés ci</w:t>
      </w:r>
      <w:r w:rsidRPr="00C258AD">
        <w:rPr>
          <w:rFonts w:eastAsia="SimSun"/>
          <w:bCs/>
          <w:lang w:eastAsia="zh-CN"/>
        </w:rPr>
        <w:noBreakHyphen/>
        <w:t>dessous.</w:t>
      </w:r>
    </w:p>
    <w:p w:rsidR="006E2BB1" w:rsidRPr="00C258AD" w:rsidRDefault="006E2BB1" w:rsidP="001A4D6C">
      <w:pPr>
        <w:jc w:val="both"/>
      </w:pPr>
    </w:p>
    <w:p w:rsidR="006E2BB1" w:rsidRPr="00C258AD" w:rsidRDefault="00232431" w:rsidP="001A4D6C">
      <w:pPr>
        <w:keepNext/>
        <w:keepLines/>
        <w:jc w:val="both"/>
        <w:rPr>
          <w:bCs/>
          <w:u w:val="single"/>
        </w:rPr>
      </w:pPr>
      <w:r w:rsidRPr="00C258AD">
        <w:rPr>
          <w:bCs/>
          <w:u w:val="single"/>
        </w:rPr>
        <w:t>Travaux en matière d’élaboration de normes et de politiques</w:t>
      </w:r>
    </w:p>
    <w:p w:rsidR="006E2BB1" w:rsidRPr="00C258AD" w:rsidRDefault="006E2BB1" w:rsidP="001A4D6C">
      <w:pPr>
        <w:rPr>
          <w:rFonts w:eastAsia="SimSun"/>
          <w:lang w:eastAsia="zh-CN"/>
        </w:rPr>
      </w:pPr>
    </w:p>
    <w:p w:rsidR="006E2BB1" w:rsidRPr="00C258AD" w:rsidRDefault="00232431" w:rsidP="00066B9C">
      <w:pPr>
        <w:pStyle w:val="ListParagraph"/>
        <w:numPr>
          <w:ilvl w:val="0"/>
          <w:numId w:val="46"/>
        </w:numPr>
        <w:tabs>
          <w:tab w:val="left" w:pos="0"/>
          <w:tab w:val="left" w:pos="709"/>
        </w:tabs>
        <w:ind w:left="0" w:firstLine="0"/>
        <w:jc w:val="both"/>
        <w:rPr>
          <w:rFonts w:eastAsia="SimSun"/>
          <w:bCs/>
          <w:lang w:eastAsia="zh-CN"/>
        </w:rPr>
      </w:pPr>
      <w:r w:rsidRPr="00C258AD">
        <w:rPr>
          <w:rFonts w:eastAsia="SimSun"/>
          <w:bCs/>
          <w:lang w:eastAsia="zh-CN"/>
        </w:rPr>
        <w:t>Conformément aux recommandations du Plan d’action pour le développement, les activités d’établissement de normes du programme ont été exhaustives et réalisées à l’initiative des membres (recommandation n° 15), en tenant dûment compte des limites, du rôle et du cadre du “domaine public” (recommandations n</w:t>
      </w:r>
      <w:r w:rsidRPr="00C258AD">
        <w:rPr>
          <w:rFonts w:eastAsia="SimSun"/>
          <w:bCs/>
          <w:vertAlign w:val="superscript"/>
          <w:lang w:eastAsia="zh-CN"/>
        </w:rPr>
        <w:t>os</w:t>
      </w:r>
      <w:r w:rsidRPr="00C258AD">
        <w:rPr>
          <w:rFonts w:eastAsia="SimSun"/>
          <w:bCs/>
          <w:lang w:eastAsia="zh-CN"/>
        </w:rPr>
        <w:t> 16 et 20), ainsi que des éléments de flexibilité prévus dans les arrangements internationaux dans le domaine de la propriété intellectuelle (recommandation n° 17).  Les négociations au sein du SCCR ont été menées sur la base de consultations ouvertes et équilibrées (recommandations n</w:t>
      </w:r>
      <w:r w:rsidRPr="00C258AD">
        <w:rPr>
          <w:rFonts w:eastAsia="SimSun"/>
          <w:bCs/>
          <w:vertAlign w:val="superscript"/>
          <w:lang w:eastAsia="zh-CN"/>
        </w:rPr>
        <w:t>os</w:t>
      </w:r>
      <w:r w:rsidRPr="00C258AD">
        <w:rPr>
          <w:rFonts w:eastAsia="SimSun"/>
          <w:bCs/>
          <w:lang w:eastAsia="zh-CN"/>
        </w:rPr>
        <w:t xml:space="preserve"> 21 et 42) en appuyant les objectifs de développement énoncés dans le cadre des Nations Unies (recommandation n° 22).</w:t>
      </w:r>
      <w:r w:rsidRPr="00C258AD">
        <w:rPr>
          <w:rFonts w:eastAsia="SimSun"/>
          <w:lang w:eastAsia="zh-CN"/>
        </w:rPr>
        <w:t xml:space="preserve">  L</w:t>
      </w:r>
      <w:r w:rsidRPr="00C258AD">
        <w:rPr>
          <w:rFonts w:eastAsia="SimSun"/>
          <w:bCs/>
          <w:lang w:eastAsia="zh-CN"/>
        </w:rPr>
        <w:t>es conseils en matière de législation concernant le droit d’auteur et les droits connexes, fournis aux États membres à leur demande, ont été axés sur le développement, équilibrés et adaptés aux situations particulières des États membres, conformément aux principes du Plan d’action pour le développement (recommandation n° 13), et tenaient compte des éléments de flexibilité applicables à des pays ayant des niveaux de développement différents (recommandations n</w:t>
      </w:r>
      <w:r w:rsidRPr="00C258AD">
        <w:rPr>
          <w:rFonts w:eastAsia="SimSun"/>
          <w:bCs/>
          <w:vertAlign w:val="superscript"/>
          <w:lang w:eastAsia="zh-CN"/>
        </w:rPr>
        <w:t>os</w:t>
      </w:r>
      <w:r w:rsidRPr="00C258AD">
        <w:rPr>
          <w:rFonts w:eastAsia="SimSun"/>
          <w:bCs/>
          <w:lang w:eastAsia="zh-CN"/>
        </w:rPr>
        <w:t> 14 et 17).</w:t>
      </w:r>
    </w:p>
    <w:p w:rsidR="006E2BB1" w:rsidRPr="00C258AD" w:rsidRDefault="006E2BB1" w:rsidP="001A4D6C">
      <w:pPr>
        <w:pStyle w:val="ListParagraph"/>
        <w:numPr>
          <w:ilvl w:val="0"/>
          <w:numId w:val="0"/>
        </w:numPr>
        <w:tabs>
          <w:tab w:val="left" w:pos="0"/>
          <w:tab w:val="left" w:pos="709"/>
        </w:tabs>
        <w:jc w:val="both"/>
        <w:rPr>
          <w:rFonts w:eastAsia="SimSun"/>
          <w:bCs/>
          <w:lang w:eastAsia="zh-CN"/>
        </w:rPr>
      </w:pPr>
    </w:p>
    <w:p w:rsidR="006E2BB1" w:rsidRPr="00C258AD" w:rsidRDefault="00232431" w:rsidP="00066B9C">
      <w:pPr>
        <w:pStyle w:val="ListParagraph"/>
        <w:numPr>
          <w:ilvl w:val="0"/>
          <w:numId w:val="46"/>
        </w:numPr>
        <w:tabs>
          <w:tab w:val="left" w:pos="0"/>
        </w:tabs>
        <w:ind w:left="0" w:firstLine="0"/>
        <w:jc w:val="both"/>
        <w:rPr>
          <w:rFonts w:eastAsia="SimSun"/>
          <w:bCs/>
          <w:lang w:eastAsia="zh-CN"/>
        </w:rPr>
      </w:pPr>
      <w:r w:rsidRPr="00C258AD">
        <w:rPr>
          <w:rFonts w:eastAsia="SimSun" w:cs="Arial"/>
          <w:bCs/>
          <w:lang w:eastAsia="zh-CN"/>
        </w:rPr>
        <w:t xml:space="preserve">Les progrès en vue de l’entrée en vigueur des deux nouveaux traités sur le droit d’auteur se sont poursuivis en 2014 et en 2015.  Le Traité de Beijing sur les interprétations et exécutions audiovisuelles (Traité de Beijing) a enregistré huit nouvelles ratifications et adhésions (Chili, Chine, Émirats arabes unis, Fédération de Russie, Japon, Qatar, République de Moldova et Slovaquie), portant leur nombre total à 10 sur les 30 nécessaires pour son entrée en vigueur.  Le Traité de Marrakech visant à faciliter l’accès des aveugles, des déficients visuels et des personnes ayant d’autres difficultés de lecture des textes imprimés aux œuvres publiées (Traité de Marrakech) a enregistré un total de 80 signatures </w:t>
      </w:r>
      <w:r w:rsidRPr="00C258AD">
        <w:rPr>
          <w:rFonts w:eastAsia="SimSun" w:cs="Arial"/>
          <w:bCs/>
          <w:color w:val="000000"/>
          <w:lang w:eastAsia="zh-CN"/>
        </w:rPr>
        <w:t>dans le délai fixé à juin 2014.</w:t>
      </w:r>
      <w:r w:rsidRPr="00C258AD">
        <w:rPr>
          <w:rFonts w:eastAsia="SimSun"/>
          <w:color w:val="000000"/>
        </w:rPr>
        <w:t xml:space="preserve">  </w:t>
      </w:r>
      <w:r w:rsidRPr="00C258AD">
        <w:rPr>
          <w:rFonts w:eastAsia="SimSun" w:cs="Arial"/>
          <w:bCs/>
          <w:lang w:eastAsia="zh-CN"/>
        </w:rPr>
        <w:t>Il a comptabilisé 13 ratifications et adhésions (</w:t>
      </w:r>
      <w:r w:rsidRPr="00C258AD">
        <w:t xml:space="preserve">Argentine, Australie, Brésil, El Salvador, Émirats arabes unis, Inde, </w:t>
      </w:r>
      <w:r w:rsidRPr="00C258AD">
        <w:rPr>
          <w:rFonts w:eastAsia="SimSun"/>
        </w:rPr>
        <w:t>Mali</w:t>
      </w:r>
      <w:r w:rsidRPr="00C258AD">
        <w:t xml:space="preserve">, Mexique, Mongolie, </w:t>
      </w:r>
      <w:r w:rsidRPr="00C258AD">
        <w:rPr>
          <w:rFonts w:eastAsia="SimSun"/>
        </w:rPr>
        <w:t>Paraguay</w:t>
      </w:r>
      <w:r w:rsidRPr="00C258AD">
        <w:t xml:space="preserve">, République de Corée, Singapour et </w:t>
      </w:r>
      <w:r w:rsidRPr="00C258AD">
        <w:rPr>
          <w:rFonts w:eastAsia="SimSun"/>
        </w:rPr>
        <w:t>Uruguay</w:t>
      </w:r>
      <w:r w:rsidRPr="00C258AD">
        <w:rPr>
          <w:rFonts w:eastAsia="SimSun" w:cs="Arial"/>
          <w:bCs/>
          <w:lang w:eastAsia="zh-CN"/>
        </w:rPr>
        <w:t>) sur les 20 requises pour son entrée en vigueur.  Même si les objectifs visés concernant le nombre de pays devant ratifier ces traités ou y adhérer au cours de l’exercice biennal 2014</w:t>
      </w:r>
      <w:r w:rsidRPr="00C258AD">
        <w:rPr>
          <w:rFonts w:eastAsia="SimSun" w:cs="Arial"/>
          <w:bCs/>
          <w:color w:val="000000"/>
          <w:szCs w:val="22"/>
          <w:lang w:eastAsia="zh-CN"/>
        </w:rPr>
        <w:noBreakHyphen/>
      </w:r>
      <w:r w:rsidRPr="00C258AD">
        <w:rPr>
          <w:rFonts w:eastAsia="SimSun" w:cs="Arial"/>
          <w:bCs/>
          <w:lang w:eastAsia="zh-CN"/>
        </w:rPr>
        <w:t>2015, fixés à la vingtième session du Comité du programme et budget, étaient relativement ambitieux compte tenu de la nécessité de maintenir les ressources allouées aux niveaux proposés, le programme les a partiellement atteints en établissant comme priorité la fourniture d’une assistance aux États membres pour l’adhésion aux traités.  Le programme poursuivra cette approche durant l’exercice biennal 2016</w:t>
      </w:r>
      <w:r w:rsidRPr="00C258AD">
        <w:rPr>
          <w:rFonts w:eastAsia="SimSun" w:cs="Arial"/>
          <w:bCs/>
          <w:color w:val="000000"/>
          <w:szCs w:val="22"/>
          <w:lang w:eastAsia="zh-CN"/>
        </w:rPr>
        <w:noBreakHyphen/>
        <w:t>2017.</w:t>
      </w:r>
    </w:p>
    <w:p w:rsidR="006E2BB1" w:rsidRPr="00C258AD" w:rsidRDefault="006E2BB1" w:rsidP="001A4D6C">
      <w:pPr>
        <w:rPr>
          <w:rFonts w:eastAsia="SimSun"/>
          <w:lang w:eastAsia="zh-CN"/>
        </w:rPr>
      </w:pPr>
    </w:p>
    <w:p w:rsidR="006E2BB1" w:rsidRPr="00C258AD" w:rsidRDefault="00232431" w:rsidP="00066B9C">
      <w:pPr>
        <w:pStyle w:val="ListParagraph"/>
        <w:numPr>
          <w:ilvl w:val="0"/>
          <w:numId w:val="46"/>
        </w:numPr>
        <w:tabs>
          <w:tab w:val="left" w:pos="0"/>
        </w:tabs>
        <w:ind w:left="0" w:firstLine="0"/>
        <w:jc w:val="both"/>
        <w:rPr>
          <w:rFonts w:eastAsia="SimSun"/>
          <w:bCs/>
          <w:lang w:eastAsia="zh-CN"/>
        </w:rPr>
      </w:pPr>
      <w:r w:rsidRPr="00C258AD">
        <w:rPr>
          <w:rFonts w:eastAsia="SimSun"/>
          <w:bCs/>
          <w:lang w:eastAsia="zh-CN"/>
        </w:rPr>
        <w:t>De nouvelles discussions ont eu lieu sur l’ordre du jour du SCCR lors des cinq réunions tenues en avril</w:t>
      </w:r>
      <w:r w:rsidRPr="00C258AD">
        <w:rPr>
          <w:rFonts w:eastAsia="SimSun"/>
          <w:bCs/>
          <w:lang w:eastAsia="zh-CN"/>
        </w:rPr>
        <w:noBreakHyphen/>
        <w:t>mai 2014, juin</w:t>
      </w:r>
      <w:r w:rsidRPr="00C258AD">
        <w:rPr>
          <w:rFonts w:eastAsia="SimSun"/>
          <w:bCs/>
          <w:lang w:eastAsia="zh-CN"/>
        </w:rPr>
        <w:noBreakHyphen/>
        <w:t>juillet 2014, décembre 2014, juin</w:t>
      </w:r>
      <w:r w:rsidRPr="00C258AD">
        <w:rPr>
          <w:rFonts w:eastAsia="SimSun"/>
          <w:bCs/>
          <w:lang w:eastAsia="zh-CN"/>
        </w:rPr>
        <w:noBreakHyphen/>
        <w:t xml:space="preserve">juillet 2015 et décembre 2015. </w:t>
      </w:r>
      <w:r w:rsidRPr="00C258AD">
        <w:rPr>
          <w:rFonts w:eastAsia="SimSun"/>
        </w:rPr>
        <w:t xml:space="preserve"> </w:t>
      </w:r>
      <w:r w:rsidRPr="00C258AD">
        <w:rPr>
          <w:rFonts w:eastAsia="SimSun"/>
          <w:bCs/>
          <w:lang w:eastAsia="zh-CN"/>
        </w:rPr>
        <w:t xml:space="preserve">Dans le cadre de ses discussions, le SCCR a examiné une proposition de traité pour les organismes de radiodiffusion, ainsi que des limitations et exceptions en faveur des bibliothèques et des services d’archives, des établissements d’enseignement et des instituts de recherche et des personnes présentant d’autres handicaps.  </w:t>
      </w:r>
      <w:r w:rsidRPr="00C258AD">
        <w:rPr>
          <w:rFonts w:eastAsia="SimSun"/>
        </w:rPr>
        <w:t>En outre, à sa session de décembre 2015, le SCCR a reçu deux propositions de nouveaux points de l’ordre du jour, l’un sur l’examen du droit d’auteur dans l’environnement numérique et l’autre sur le droit de suite.  L’objectif relatif à la tenue d’une conférence diplomatique et à l’adoption d’un nouveau traité n’a pas été atteint;  les États membres ont demandé le retrait de cet objectif pour l’exercice biennal 2016</w:t>
      </w:r>
      <w:r w:rsidRPr="00C258AD">
        <w:rPr>
          <w:rFonts w:eastAsia="SimSun"/>
          <w:color w:val="000000"/>
          <w:szCs w:val="22"/>
        </w:rPr>
        <w:noBreakHyphen/>
        <w:t>2017.</w:t>
      </w:r>
    </w:p>
    <w:p w:rsidR="006E2BB1" w:rsidRPr="00C258AD" w:rsidRDefault="006E2BB1" w:rsidP="001A4D6C">
      <w:pPr>
        <w:pStyle w:val="ListParagraph"/>
        <w:numPr>
          <w:ilvl w:val="0"/>
          <w:numId w:val="0"/>
        </w:numPr>
        <w:tabs>
          <w:tab w:val="left" w:pos="0"/>
          <w:tab w:val="left" w:pos="709"/>
        </w:tabs>
        <w:jc w:val="both"/>
        <w:rPr>
          <w:rFonts w:eastAsia="SimSun"/>
          <w:bCs/>
          <w:lang w:eastAsia="zh-CN"/>
        </w:rPr>
      </w:pPr>
    </w:p>
    <w:p w:rsidR="006E2BB1" w:rsidRPr="00C258AD" w:rsidRDefault="00232431" w:rsidP="00066B9C">
      <w:pPr>
        <w:pStyle w:val="ListParagraph"/>
        <w:numPr>
          <w:ilvl w:val="0"/>
          <w:numId w:val="46"/>
        </w:numPr>
        <w:tabs>
          <w:tab w:val="left" w:pos="0"/>
          <w:tab w:val="left" w:pos="709"/>
        </w:tabs>
        <w:ind w:left="0" w:firstLine="0"/>
        <w:jc w:val="both"/>
        <w:rPr>
          <w:rFonts w:eastAsia="SimSun"/>
          <w:bCs/>
          <w:lang w:eastAsia="zh-CN"/>
        </w:rPr>
      </w:pPr>
      <w:r w:rsidRPr="00C258AD">
        <w:rPr>
          <w:rFonts w:eastAsia="SimSun" w:cs="Arial"/>
          <w:bCs/>
          <w:lang w:eastAsia="zh-CN"/>
        </w:rPr>
        <w:lastRenderedPageBreak/>
        <w:t>En 2014</w:t>
      </w:r>
      <w:r w:rsidRPr="00C258AD">
        <w:rPr>
          <w:rFonts w:eastAsia="SimSun" w:cs="Arial"/>
          <w:bCs/>
          <w:lang w:eastAsia="zh-CN"/>
        </w:rPr>
        <w:noBreakHyphen/>
        <w:t>2015, des conseils dans le domaine législatif ont été fournis à 25 États membres de diverses régions.  Le nombre des demandes pour ce type de conseils a augmenté en 2014</w:t>
      </w:r>
      <w:r w:rsidRPr="00C258AD">
        <w:rPr>
          <w:rFonts w:eastAsia="SimSun" w:cs="Arial"/>
          <w:bCs/>
          <w:lang w:eastAsia="zh-CN"/>
        </w:rPr>
        <w:noBreakHyphen/>
        <w:t xml:space="preserve">2015, ce qui s’explique en partie par l’intérêt porté par les États membres à l’adhésion au Traité de Beijing et au Traité de Marrakech.  </w:t>
      </w:r>
      <w:r w:rsidRPr="00C258AD">
        <w:rPr>
          <w:rFonts w:eastAsia="SimSun"/>
          <w:bCs/>
          <w:lang w:eastAsia="zh-CN"/>
        </w:rPr>
        <w:t>Des conseils sur le nouveau régime décennal prévu par les dispositions de l’annexe de la Convention de Berne ont également été fournis aux pays en développement et aux PMA, à leur demande.  Une enquête menée en 2015 a indiqué que les États membres avaient une image positive du service de conseil législatif</w:t>
      </w:r>
      <w:r w:rsidRPr="00C258AD">
        <w:rPr>
          <w:rFonts w:eastAsia="SimSun" w:cs="Arial"/>
          <w:bCs/>
          <w:lang w:eastAsia="zh-CN"/>
        </w:rPr>
        <w:t>.</w:t>
      </w:r>
    </w:p>
    <w:p w:rsidR="006E2BB1" w:rsidRPr="00C258AD" w:rsidRDefault="006E2BB1" w:rsidP="001A4D6C">
      <w:pPr>
        <w:rPr>
          <w:rFonts w:eastAsia="SimSun"/>
          <w:lang w:eastAsia="zh-CN"/>
        </w:rPr>
      </w:pPr>
    </w:p>
    <w:p w:rsidR="006E2BB1" w:rsidRPr="00C258AD" w:rsidRDefault="00232431" w:rsidP="00066B9C">
      <w:pPr>
        <w:pStyle w:val="ListParagraph"/>
        <w:numPr>
          <w:ilvl w:val="0"/>
          <w:numId w:val="46"/>
        </w:numPr>
        <w:tabs>
          <w:tab w:val="left" w:pos="0"/>
          <w:tab w:val="left" w:pos="709"/>
        </w:tabs>
        <w:ind w:left="0" w:firstLine="0"/>
        <w:jc w:val="both"/>
        <w:rPr>
          <w:rFonts w:eastAsia="SimSun"/>
          <w:bCs/>
          <w:lang w:eastAsia="zh-CN"/>
        </w:rPr>
      </w:pPr>
      <w:r w:rsidRPr="00C258AD">
        <w:rPr>
          <w:rFonts w:eastAsia="SimSun"/>
          <w:bCs/>
          <w:lang w:eastAsia="zh-CN"/>
        </w:rPr>
        <w:t>Des progrès réels ont également été accomplis concernant divers projets visant à promouvoir le rôle de l’OMPI dans le domaine du droit d’auteur dans l’environnement numérique.  Les membres du programme ont pris part à un certain nombre d’activités dans le cadre de diverses instances, telles que le Sommet mondial sur la société de l’information, le Forum sur la gouvernance de l’Internet et le Forum économique mondial, en vue de faire mieux connaître certains sujets relatifs au droit d’auteur, notamment le contenu généré par les utilisateurs, les logiciels libres, la protection juridique des jeux vidéo et les nouvelles modalités d’acquisition de licences de droit d’auteur.</w:t>
      </w:r>
    </w:p>
    <w:p w:rsidR="006E2BB1" w:rsidRPr="00C258AD" w:rsidRDefault="006E2BB1" w:rsidP="001A4D6C">
      <w:pPr>
        <w:tabs>
          <w:tab w:val="left" w:pos="709"/>
        </w:tabs>
        <w:jc w:val="both"/>
      </w:pPr>
    </w:p>
    <w:p w:rsidR="006E2BB1" w:rsidRPr="00C258AD" w:rsidRDefault="00232431" w:rsidP="001A4D6C">
      <w:pPr>
        <w:tabs>
          <w:tab w:val="left" w:pos="709"/>
        </w:tabs>
        <w:jc w:val="both"/>
        <w:rPr>
          <w:u w:val="single"/>
        </w:rPr>
      </w:pPr>
      <w:r w:rsidRPr="00C258AD">
        <w:rPr>
          <w:u w:val="single"/>
        </w:rPr>
        <w:t>Infrastructure relative au droit d’auteur</w:t>
      </w:r>
    </w:p>
    <w:p w:rsidR="006E2BB1" w:rsidRPr="00C258AD" w:rsidRDefault="006E2BB1" w:rsidP="001A4D6C">
      <w:pPr>
        <w:tabs>
          <w:tab w:val="left" w:pos="709"/>
        </w:tabs>
        <w:jc w:val="both"/>
      </w:pPr>
    </w:p>
    <w:p w:rsidR="006E2BB1" w:rsidRPr="00C258AD" w:rsidRDefault="00232431" w:rsidP="00066B9C">
      <w:pPr>
        <w:pStyle w:val="ListParagraph"/>
        <w:numPr>
          <w:ilvl w:val="0"/>
          <w:numId w:val="46"/>
        </w:numPr>
        <w:tabs>
          <w:tab w:val="left" w:pos="0"/>
        </w:tabs>
        <w:ind w:left="0" w:firstLine="0"/>
        <w:jc w:val="both"/>
        <w:rPr>
          <w:lang w:eastAsia="fr-FR"/>
        </w:rPr>
      </w:pPr>
      <w:r w:rsidRPr="00C258AD">
        <w:rPr>
          <w:lang w:eastAsia="fr-FR"/>
        </w:rPr>
        <w:t>Les travaux accomplis dans ce domaine mettaient en œuvre les recommandations du Plan d’action pour le développement, notamment les recommandations n</w:t>
      </w:r>
      <w:r w:rsidRPr="00C258AD">
        <w:rPr>
          <w:vertAlign w:val="superscript"/>
          <w:lang w:eastAsia="fr-FR"/>
        </w:rPr>
        <w:t>os</w:t>
      </w:r>
      <w:r w:rsidRPr="00C258AD">
        <w:rPr>
          <w:lang w:eastAsia="fr-FR"/>
        </w:rPr>
        <w:t> 10</w:t>
      </w:r>
      <w:r w:rsidRPr="00C258AD">
        <w:rPr>
          <w:rFonts w:eastAsia="SimSun" w:cs="Arial"/>
          <w:bCs/>
          <w:lang w:eastAsia="zh-CN"/>
        </w:rPr>
        <w:t xml:space="preserve"> (amélioration des capacités institutionnelles nationales en propriété intellectuelle par le développement des infrastructures et autres moyens), 11 (renforcement de la capacité nationale de protection des créations) et 35 (réalisation d’études sur l’incidence économique, sociale et culturelle du système de propriété intellectuelle).</w:t>
      </w:r>
    </w:p>
    <w:p w:rsidR="006E2BB1" w:rsidRPr="00C258AD" w:rsidRDefault="006E2BB1" w:rsidP="001A4D6C">
      <w:pPr>
        <w:pStyle w:val="ListParagraph"/>
        <w:numPr>
          <w:ilvl w:val="0"/>
          <w:numId w:val="0"/>
        </w:numPr>
        <w:tabs>
          <w:tab w:val="left" w:pos="0"/>
          <w:tab w:val="left" w:pos="709"/>
        </w:tabs>
        <w:jc w:val="both"/>
        <w:rPr>
          <w:lang w:eastAsia="fr-FR"/>
        </w:rPr>
      </w:pPr>
    </w:p>
    <w:p w:rsidR="006E2BB1" w:rsidRPr="00C258AD" w:rsidRDefault="00232431" w:rsidP="00066B9C">
      <w:pPr>
        <w:pStyle w:val="ListParagraph"/>
        <w:numPr>
          <w:ilvl w:val="0"/>
          <w:numId w:val="46"/>
        </w:numPr>
        <w:tabs>
          <w:tab w:val="left" w:pos="0"/>
        </w:tabs>
        <w:ind w:left="0" w:firstLine="0"/>
        <w:jc w:val="both"/>
        <w:rPr>
          <w:lang w:eastAsia="fr-FR"/>
        </w:rPr>
      </w:pPr>
      <w:r w:rsidRPr="00C258AD">
        <w:t>Des progrès ont été accomplis dans la mise en œuvre de l’initiative</w:t>
      </w:r>
      <w:r w:rsidRPr="00C258AD">
        <w:rPr>
          <w:rFonts w:eastAsia="SimSun"/>
          <w:bCs/>
          <w:lang w:eastAsia="zh-CN"/>
        </w:rPr>
        <w:t xml:space="preserve"> </w:t>
      </w:r>
      <w:r w:rsidRPr="00C258AD">
        <w:rPr>
          <w:rFonts w:eastAsia="SimSun"/>
          <w:bCs/>
          <w:i/>
          <w:lang w:eastAsia="zh-CN"/>
        </w:rPr>
        <w:t>TAG of Excellence</w:t>
      </w:r>
      <w:r w:rsidRPr="00C258AD">
        <w:rPr>
          <w:rFonts w:eastAsia="SimSun"/>
          <w:bCs/>
          <w:lang w:eastAsia="zh-CN"/>
        </w:rPr>
        <w:t xml:space="preserve"> (initiative TAG) qui vise à promouvoir l’excellence en matière de transparence, de responsabilité et de gouvernance d</w:t>
      </w:r>
      <w:r w:rsidRPr="00C258AD">
        <w:rPr>
          <w:lang w:eastAsia="fr-FR"/>
        </w:rPr>
        <w:t xml:space="preserve">es organismes de gestion collective.  Plusieurs associations professionnelles internationales se sont jointes à l’OMPI pour former un consortium qui est convenu d’établir un recueil de pratiques recommandées en matière de gestion collective du droit d’auteur et des droits connexes, au sujet duquel des consultations ont été lancées.  </w:t>
      </w:r>
      <w:r w:rsidRPr="00C258AD">
        <w:rPr>
          <w:szCs w:val="24"/>
        </w:rPr>
        <w:t xml:space="preserve">L’initiative </w:t>
      </w:r>
      <w:r w:rsidRPr="00C258AD">
        <w:rPr>
          <w:lang w:eastAsia="fr-FR"/>
        </w:rPr>
        <w:t>TAG a reçu un appui considérable de la part d’organismes de gestion collective et des pouvoirs publics à la fois des pays développés et des pays en développement (au total, 14 gouvernements et 63 organismes de gestion collective ont manifesté leur intérêt à l’égard de ce projet).</w:t>
      </w:r>
    </w:p>
    <w:p w:rsidR="006E2BB1" w:rsidRPr="00C258AD" w:rsidRDefault="006E2BB1" w:rsidP="001A4D6C">
      <w:pPr>
        <w:rPr>
          <w:lang w:eastAsia="fr-FR"/>
        </w:rPr>
      </w:pPr>
    </w:p>
    <w:p w:rsidR="006E2BB1" w:rsidRPr="00C258AD" w:rsidRDefault="00232431" w:rsidP="00066B9C">
      <w:pPr>
        <w:pStyle w:val="ListParagraph"/>
        <w:numPr>
          <w:ilvl w:val="0"/>
          <w:numId w:val="46"/>
        </w:numPr>
        <w:tabs>
          <w:tab w:val="left" w:pos="0"/>
          <w:tab w:val="left" w:pos="709"/>
        </w:tabs>
        <w:ind w:left="0" w:firstLine="0"/>
        <w:jc w:val="both"/>
        <w:rPr>
          <w:rFonts w:eastAsia="SimSun"/>
          <w:bCs/>
          <w:lang w:eastAsia="zh-CN"/>
        </w:rPr>
      </w:pPr>
      <w:r w:rsidRPr="00C258AD">
        <w:rPr>
          <w:rFonts w:eastAsia="SimSun" w:cs="Arial"/>
          <w:bCs/>
          <w:szCs w:val="24"/>
          <w:lang w:eastAsia="zh-CN"/>
        </w:rPr>
        <w:t>L’OMPI a mis au point et lancé un cours d’enseignement à distance faisant appel à la vaste gamme de techniques de communication du XXI</w:t>
      </w:r>
      <w:r w:rsidRPr="00C258AD">
        <w:rPr>
          <w:rFonts w:eastAsia="SimSun" w:cs="Arial"/>
          <w:bCs/>
          <w:szCs w:val="24"/>
          <w:vertAlign w:val="superscript"/>
          <w:lang w:eastAsia="zh-CN"/>
        </w:rPr>
        <w:t>e</w:t>
      </w:r>
      <w:r w:rsidRPr="00C258AD">
        <w:rPr>
          <w:rFonts w:eastAsia="SimSun" w:cs="Arial"/>
          <w:bCs/>
          <w:szCs w:val="24"/>
          <w:lang w:eastAsia="zh-CN"/>
        </w:rPr>
        <w:t xml:space="preserve"> siècle pour créer un outil de gestion collective pratique, destiné au personnel des organismes de gestion collective, aux décideurs et aux juristes.  Une version pilote du cours a été lancée en 2014 et accueillie favorablement par les participants.  Le cours sera officiellement lancé dans sa version définitive en 2016.  L’OMPI a également signé des mémorandums d’accord et organisé une série de programmes et d’événements de renforcement des capacités avec des ONG, comme la </w:t>
      </w:r>
      <w:r w:rsidRPr="00C258AD">
        <w:t>Fédération internationale des organismes gérant les droits de reproduction (IFRRO), la Fédération internationale des industries phonographiques</w:t>
      </w:r>
      <w:r w:rsidRPr="00C258AD">
        <w:rPr>
          <w:rFonts w:eastAsia="SimSun"/>
        </w:rPr>
        <w:t xml:space="preserve"> (IFPI)</w:t>
      </w:r>
      <w:r w:rsidRPr="00C258AD">
        <w:t xml:space="preserve">, la </w:t>
      </w:r>
      <w:proofErr w:type="spellStart"/>
      <w:r w:rsidRPr="00C258AD">
        <w:rPr>
          <w:rFonts w:eastAsia="SimSun"/>
        </w:rPr>
        <w:t>Norwegian</w:t>
      </w:r>
      <w:proofErr w:type="spellEnd"/>
      <w:r w:rsidRPr="00C258AD">
        <w:rPr>
          <w:rFonts w:eastAsia="SimSun"/>
        </w:rPr>
        <w:t xml:space="preserve"> Copyright Development Association (NORCODE)</w:t>
      </w:r>
      <w:r w:rsidRPr="00C258AD">
        <w:t xml:space="preserve">, la </w:t>
      </w:r>
      <w:proofErr w:type="spellStart"/>
      <w:r w:rsidRPr="00C258AD">
        <w:t>Societies</w:t>
      </w:r>
      <w:proofErr w:type="spellEnd"/>
      <w:r w:rsidRPr="00C258AD">
        <w:t xml:space="preserve">’ Council for the Collective Management of Performers’ </w:t>
      </w:r>
      <w:proofErr w:type="spellStart"/>
      <w:r w:rsidRPr="00C258AD">
        <w:t>Rights</w:t>
      </w:r>
      <w:proofErr w:type="spellEnd"/>
      <w:r w:rsidRPr="00C258AD">
        <w:t xml:space="preserve"> (</w:t>
      </w:r>
      <w:r w:rsidRPr="00C258AD">
        <w:rPr>
          <w:rFonts w:eastAsia="SimSun"/>
        </w:rPr>
        <w:t>SCAPR)</w:t>
      </w:r>
      <w:r w:rsidRPr="00C258AD">
        <w:t>, l’</w:t>
      </w:r>
      <w:proofErr w:type="spellStart"/>
      <w:r w:rsidRPr="00C258AD">
        <w:rPr>
          <w:rFonts w:eastAsia="SimSun"/>
        </w:rPr>
        <w:t>Ins</w:t>
      </w:r>
      <w:r w:rsidRPr="00C258AD">
        <w:t>t</w:t>
      </w:r>
      <w:r w:rsidRPr="00C258AD">
        <w:rPr>
          <w:rFonts w:eastAsia="SimSun"/>
        </w:rPr>
        <w:t>ituto</w:t>
      </w:r>
      <w:proofErr w:type="spellEnd"/>
      <w:r w:rsidRPr="00C258AD">
        <w:rPr>
          <w:rFonts w:eastAsia="SimSun"/>
        </w:rPr>
        <w:t xml:space="preserve"> de </w:t>
      </w:r>
      <w:proofErr w:type="spellStart"/>
      <w:r w:rsidRPr="00C258AD">
        <w:rPr>
          <w:rFonts w:eastAsia="SimSun"/>
        </w:rPr>
        <w:t>Derecho</w:t>
      </w:r>
      <w:proofErr w:type="spellEnd"/>
      <w:r w:rsidRPr="00C258AD">
        <w:rPr>
          <w:rFonts w:eastAsia="SimSun"/>
        </w:rPr>
        <w:t xml:space="preserve"> de </w:t>
      </w:r>
      <w:proofErr w:type="spellStart"/>
      <w:r w:rsidRPr="00C258AD">
        <w:rPr>
          <w:rFonts w:eastAsia="SimSun"/>
        </w:rPr>
        <w:t>Autor</w:t>
      </w:r>
      <w:proofErr w:type="spellEnd"/>
      <w:r w:rsidRPr="00C258AD">
        <w:rPr>
          <w:rFonts w:eastAsia="SimSun"/>
        </w:rPr>
        <w:t xml:space="preserve"> (IA)</w:t>
      </w:r>
      <w:r w:rsidRPr="00C258AD">
        <w:t xml:space="preserve"> et la Société portugaise d’auteurs (SPA)</w:t>
      </w:r>
      <w:r w:rsidRPr="00C258AD">
        <w:rPr>
          <w:rFonts w:eastAsia="SimSun" w:cs="Arial"/>
          <w:bCs/>
          <w:szCs w:val="24"/>
          <w:lang w:eastAsia="zh-CN"/>
        </w:rPr>
        <w:t xml:space="preserve">, ainsi que des gouvernements, notamment celui des </w:t>
      </w:r>
      <w:r w:rsidRPr="00C258AD">
        <w:rPr>
          <w:rFonts w:eastAsia="SimSun" w:cs="Arial"/>
          <w:bCs/>
          <w:szCs w:val="24"/>
          <w:lang w:eastAsia="fr-FR"/>
        </w:rPr>
        <w:t>États</w:t>
      </w:r>
      <w:r w:rsidRPr="00C258AD">
        <w:rPr>
          <w:rFonts w:eastAsia="SimSun"/>
        </w:rPr>
        <w:noBreakHyphen/>
      </w:r>
      <w:r w:rsidRPr="00C258AD">
        <w:rPr>
          <w:rFonts w:eastAsia="SimSun" w:cs="Arial"/>
          <w:bCs/>
          <w:szCs w:val="24"/>
          <w:lang w:eastAsia="fr-FR"/>
        </w:rPr>
        <w:t xml:space="preserve">Unis d’Amérique.  </w:t>
      </w:r>
      <w:r w:rsidRPr="00C258AD">
        <w:rPr>
          <w:rFonts w:eastAsia="SimSun" w:cs="Arial"/>
          <w:bCs/>
          <w:szCs w:val="24"/>
          <w:lang w:eastAsia="zh-CN"/>
        </w:rPr>
        <w:t xml:space="preserve">Dans le cadre de ces travaux de renforcement des capacités, l’exécution du programme de mentorat de l’OMPI visant à faciliter le transfert de connaissances en matière de gestion collective s’est </w:t>
      </w:r>
      <w:proofErr w:type="gramStart"/>
      <w:r w:rsidRPr="00C258AD">
        <w:rPr>
          <w:rFonts w:eastAsia="SimSun" w:cs="Arial"/>
          <w:bCs/>
          <w:szCs w:val="24"/>
          <w:lang w:eastAsia="zh-CN"/>
        </w:rPr>
        <w:t>poursuivie</w:t>
      </w:r>
      <w:proofErr w:type="gramEnd"/>
      <w:r w:rsidRPr="00C258AD">
        <w:rPr>
          <w:rFonts w:eastAsia="SimSun" w:cs="Arial"/>
          <w:bCs/>
          <w:szCs w:val="24"/>
          <w:lang w:eastAsia="zh-CN"/>
        </w:rPr>
        <w:t>, mettant en relation des organismes de gestion collective bien établis et d’autres en développement.  En outre, six modules d’enseignement à l’intention des organismes de gestion collective ont été mis à la disposition des États membres en 2014</w:t>
      </w:r>
      <w:r w:rsidRPr="00C258AD">
        <w:rPr>
          <w:rFonts w:eastAsia="SimSun" w:cs="Arial"/>
          <w:bCs/>
          <w:color w:val="000000"/>
          <w:szCs w:val="22"/>
          <w:lang w:eastAsia="zh-CN"/>
        </w:rPr>
        <w:noBreakHyphen/>
        <w:t>2015.</w:t>
      </w:r>
    </w:p>
    <w:p w:rsidR="006E2BB1" w:rsidRPr="00C258AD" w:rsidRDefault="006E2BB1" w:rsidP="001A4D6C">
      <w:pPr>
        <w:pStyle w:val="ListParagraph"/>
        <w:numPr>
          <w:ilvl w:val="0"/>
          <w:numId w:val="0"/>
        </w:numPr>
        <w:tabs>
          <w:tab w:val="left" w:pos="0"/>
          <w:tab w:val="left" w:pos="709"/>
        </w:tabs>
        <w:jc w:val="both"/>
        <w:rPr>
          <w:rFonts w:eastAsia="SimSun"/>
          <w:bCs/>
          <w:lang w:eastAsia="zh-CN"/>
        </w:rPr>
      </w:pPr>
    </w:p>
    <w:p w:rsidR="006E2BB1" w:rsidRPr="00C258AD" w:rsidRDefault="00232431" w:rsidP="00066B9C">
      <w:pPr>
        <w:pStyle w:val="ListParagraph"/>
        <w:numPr>
          <w:ilvl w:val="0"/>
          <w:numId w:val="46"/>
        </w:numPr>
        <w:tabs>
          <w:tab w:val="left" w:pos="0"/>
        </w:tabs>
        <w:ind w:left="0" w:firstLine="0"/>
        <w:jc w:val="both"/>
        <w:rPr>
          <w:rFonts w:eastAsia="SimSun"/>
          <w:bCs/>
          <w:lang w:eastAsia="zh-CN"/>
        </w:rPr>
      </w:pPr>
      <w:r w:rsidRPr="00C258AD">
        <w:rPr>
          <w:rFonts w:eastAsia="SimSun" w:cs="Arial"/>
          <w:bCs/>
          <w:szCs w:val="24"/>
          <w:lang w:eastAsia="zh-CN"/>
        </w:rPr>
        <w:t xml:space="preserve">Le </w:t>
      </w:r>
      <w:r w:rsidRPr="00C258AD">
        <w:rPr>
          <w:iCs/>
          <w:szCs w:val="24"/>
        </w:rPr>
        <w:t>Guide 2014 sur les sociétés de perception</w:t>
      </w:r>
      <w:r w:rsidRPr="00C258AD">
        <w:rPr>
          <w:rStyle w:val="FootnoteReference"/>
          <w:rFonts w:eastAsia="SimSun"/>
          <w:iCs/>
          <w:szCs w:val="24"/>
        </w:rPr>
        <w:footnoteReference w:id="14"/>
      </w:r>
      <w:r w:rsidRPr="00C258AD">
        <w:rPr>
          <w:iCs/>
          <w:szCs w:val="24"/>
        </w:rPr>
        <w:t>,</w:t>
      </w:r>
      <w:r w:rsidRPr="00C258AD">
        <w:rPr>
          <w:i/>
          <w:iCs/>
          <w:szCs w:val="24"/>
        </w:rPr>
        <w:t xml:space="preserve"> </w:t>
      </w:r>
      <w:r w:rsidRPr="00C258AD">
        <w:rPr>
          <w:rFonts w:eastAsia="SimSun" w:cs="Arial"/>
          <w:bCs/>
          <w:szCs w:val="24"/>
          <w:lang w:eastAsia="zh-CN"/>
        </w:rPr>
        <w:t>disponible en ligne et contenant les données et les chiffres clés d’organismes de gestion collective du monde entier, a été élaboré en collaboration avec le cabinet juridique Baker &amp; McKenzie et lancé en octobre 2014.  Depuis cette date, il enregistre en moyenne plus de 2300 visites uniques par mois.</w:t>
      </w:r>
    </w:p>
    <w:p w:rsidR="006E2BB1" w:rsidRPr="00C258AD" w:rsidRDefault="006E2BB1" w:rsidP="001A4D6C">
      <w:pPr>
        <w:pStyle w:val="ListParagraph"/>
        <w:numPr>
          <w:ilvl w:val="0"/>
          <w:numId w:val="0"/>
        </w:numPr>
        <w:tabs>
          <w:tab w:val="left" w:pos="0"/>
          <w:tab w:val="left" w:pos="709"/>
        </w:tabs>
        <w:jc w:val="both"/>
        <w:rPr>
          <w:rFonts w:eastAsia="SimSun"/>
          <w:bCs/>
          <w:lang w:eastAsia="zh-CN"/>
        </w:rPr>
      </w:pPr>
    </w:p>
    <w:p w:rsidR="006E2BB1" w:rsidRPr="00C258AD" w:rsidRDefault="00232431" w:rsidP="00066B9C">
      <w:pPr>
        <w:pStyle w:val="ListParagraph"/>
        <w:numPr>
          <w:ilvl w:val="0"/>
          <w:numId w:val="46"/>
        </w:numPr>
        <w:tabs>
          <w:tab w:val="left" w:pos="0"/>
          <w:tab w:val="left" w:pos="709"/>
        </w:tabs>
        <w:ind w:left="0" w:firstLine="0"/>
        <w:jc w:val="both"/>
        <w:rPr>
          <w:rFonts w:eastAsia="SimSun"/>
          <w:bCs/>
          <w:lang w:eastAsia="zh-CN"/>
        </w:rPr>
      </w:pPr>
      <w:r w:rsidRPr="00C258AD">
        <w:rPr>
          <w:rFonts w:eastAsia="SimSun"/>
          <w:bCs/>
          <w:lang w:eastAsia="zh-CN"/>
        </w:rPr>
        <w:t>En 2014</w:t>
      </w:r>
      <w:r w:rsidRPr="00C258AD">
        <w:rPr>
          <w:rFonts w:eastAsia="SimSun"/>
          <w:bCs/>
          <w:lang w:eastAsia="zh-CN"/>
        </w:rPr>
        <w:noBreakHyphen/>
        <w:t xml:space="preserve">2015, l’OMPI a publié quatre études économiques sur la contribution économique des industries du droit d’auteur – en Argentine, en Indonésie, en Serbie et en Turquie – et une étude réalisée dans les États membres de l’Organisation des États des Antilles orientales (OEAO), et elle a achevé les </w:t>
      </w:r>
      <w:r w:rsidRPr="00C258AD">
        <w:rPr>
          <w:rFonts w:eastAsia="SimSun"/>
          <w:bCs/>
          <w:lang w:eastAsia="zh-CN"/>
        </w:rPr>
        <w:lastRenderedPageBreak/>
        <w:t>études concernant l’Éthiopie, la France et la République de Moldova qui seront publiées au début de 2016 (portant à 49 le nombre total d’études).  Ces études sont fondées sur le Guide de l’OMPI pour l’évaluation de la contribution économique des industries du droit d’auteur</w:t>
      </w:r>
      <w:r w:rsidRPr="00C258AD">
        <w:rPr>
          <w:rFonts w:eastAsia="SimSun" w:cs="Arial"/>
          <w:bCs/>
          <w:lang w:eastAsia="zh-CN"/>
        </w:rPr>
        <w:t>, dont la deuxième édition a été publiée en 2015</w:t>
      </w:r>
      <w:r w:rsidRPr="00C258AD">
        <w:rPr>
          <w:rFonts w:eastAsia="SimSun"/>
          <w:bCs/>
          <w:lang w:eastAsia="zh-CN"/>
        </w:rPr>
        <w:t>.</w:t>
      </w:r>
      <w:r w:rsidRPr="00C258AD">
        <w:rPr>
          <w:rFonts w:eastAsia="SimSun"/>
        </w:rPr>
        <w:t xml:space="preserve">  </w:t>
      </w:r>
      <w:r w:rsidRPr="00C258AD">
        <w:rPr>
          <w:rFonts w:eastAsia="SimSun"/>
          <w:bCs/>
          <w:lang w:eastAsia="zh-CN"/>
        </w:rPr>
        <w:t>Les études indiquent que, en moyenne, les industries de la création représentent 5,16% du PIB et 5,36% du volume total des emplois.</w:t>
      </w:r>
      <w:r w:rsidRPr="00C258AD">
        <w:rPr>
          <w:rFonts w:eastAsia="SimSun"/>
        </w:rPr>
        <w:t xml:space="preserve"> </w:t>
      </w:r>
      <w:r w:rsidRPr="00C258AD">
        <w:rPr>
          <w:rFonts w:eastAsia="SimSun"/>
          <w:bCs/>
          <w:lang w:eastAsia="zh-CN"/>
        </w:rPr>
        <w:t xml:space="preserve"> L’OMPI a également i) publié (en collaboration avec des partenaires extérieurs) deux enquêtes annuelles sur les taxes prélevées au titre du droit d’auteur;  ii) lancé une étude pilote sur l’incidence générale du droit d’auteur sur les industries de la création</w:t>
      </w:r>
      <w:r w:rsidRPr="00C258AD">
        <w:rPr>
          <w:rFonts w:eastAsia="SimSun" w:cs="Arial"/>
          <w:bCs/>
          <w:lang w:eastAsia="zh-CN"/>
        </w:rPr>
        <w:t>;  et iii) achevé une étude sur le piratage.</w:t>
      </w:r>
    </w:p>
    <w:p w:rsidR="006E2BB1" w:rsidRPr="00C258AD" w:rsidRDefault="006E2BB1" w:rsidP="001A4D6C">
      <w:pPr>
        <w:rPr>
          <w:rFonts w:eastAsia="SimSun"/>
          <w:lang w:eastAsia="zh-CN"/>
        </w:rPr>
      </w:pPr>
    </w:p>
    <w:p w:rsidR="006E2BB1" w:rsidRPr="00C258AD" w:rsidRDefault="00232431" w:rsidP="00066B9C">
      <w:pPr>
        <w:pStyle w:val="ListParagraph"/>
        <w:numPr>
          <w:ilvl w:val="0"/>
          <w:numId w:val="46"/>
        </w:numPr>
        <w:tabs>
          <w:tab w:val="left" w:pos="0"/>
          <w:tab w:val="left" w:pos="709"/>
        </w:tabs>
        <w:ind w:left="0" w:firstLine="0"/>
        <w:jc w:val="both"/>
        <w:rPr>
          <w:rFonts w:eastAsia="SimSun"/>
          <w:bCs/>
          <w:lang w:eastAsia="zh-CN"/>
        </w:rPr>
      </w:pPr>
      <w:r w:rsidRPr="00C258AD">
        <w:rPr>
          <w:rFonts w:eastAsia="SimSun" w:cs="Arial"/>
          <w:bCs/>
          <w:szCs w:val="24"/>
          <w:lang w:eastAsia="zh-CN"/>
        </w:rPr>
        <w:t>En ce qui concerne ses travaux avec les créateurs, l’OMPI a publié deux nouveaux outils en 2014</w:t>
      </w:r>
      <w:r w:rsidRPr="00C258AD">
        <w:rPr>
          <w:rFonts w:eastAsia="SimSun"/>
          <w:bCs/>
          <w:lang w:eastAsia="zh-CN"/>
        </w:rPr>
        <w:t>, intitulés “</w:t>
      </w:r>
      <w:proofErr w:type="spellStart"/>
      <w:r w:rsidRPr="00C258AD">
        <w:rPr>
          <w:rFonts w:eastAsia="SimSun"/>
          <w:bCs/>
          <w:lang w:eastAsia="zh-CN"/>
        </w:rPr>
        <w:t>Mastering</w:t>
      </w:r>
      <w:proofErr w:type="spellEnd"/>
      <w:r w:rsidRPr="00C258AD">
        <w:rPr>
          <w:rFonts w:eastAsia="SimSun"/>
          <w:bCs/>
          <w:lang w:eastAsia="zh-CN"/>
        </w:rPr>
        <w:t xml:space="preserve"> the Game : Business and </w:t>
      </w:r>
      <w:proofErr w:type="spellStart"/>
      <w:r w:rsidRPr="00C258AD">
        <w:rPr>
          <w:rFonts w:eastAsia="SimSun"/>
          <w:bCs/>
          <w:lang w:eastAsia="zh-CN"/>
        </w:rPr>
        <w:t>Legal</w:t>
      </w:r>
      <w:proofErr w:type="spellEnd"/>
      <w:r w:rsidRPr="00C258AD">
        <w:rPr>
          <w:rFonts w:eastAsia="SimSun"/>
          <w:bCs/>
          <w:lang w:eastAsia="zh-CN"/>
        </w:rPr>
        <w:t xml:space="preserve"> Issues for </w:t>
      </w:r>
      <w:proofErr w:type="spellStart"/>
      <w:r w:rsidRPr="00C258AD">
        <w:rPr>
          <w:rFonts w:eastAsia="SimSun"/>
          <w:bCs/>
          <w:lang w:eastAsia="zh-CN"/>
        </w:rPr>
        <w:t>Video</w:t>
      </w:r>
      <w:proofErr w:type="spellEnd"/>
      <w:r w:rsidRPr="00C258AD">
        <w:rPr>
          <w:rFonts w:eastAsia="SimSun"/>
          <w:bCs/>
          <w:lang w:eastAsia="zh-CN"/>
        </w:rPr>
        <w:t xml:space="preserve"> Game </w:t>
      </w:r>
      <w:proofErr w:type="spellStart"/>
      <w:r w:rsidRPr="00C258AD">
        <w:rPr>
          <w:rFonts w:eastAsia="SimSun"/>
          <w:bCs/>
          <w:lang w:eastAsia="zh-CN"/>
        </w:rPr>
        <w:t>Developers</w:t>
      </w:r>
      <w:proofErr w:type="spellEnd"/>
      <w:r w:rsidRPr="00C258AD">
        <w:rPr>
          <w:rFonts w:eastAsia="SimSun"/>
          <w:bCs/>
          <w:lang w:eastAsia="zh-CN"/>
        </w:rPr>
        <w:t>” (Rester maître du jeu : questions économiques et juridiques rencontrées par les développeurs de jeux vidéo) et “</w:t>
      </w:r>
      <w:proofErr w:type="spellStart"/>
      <w:r w:rsidRPr="00C258AD">
        <w:rPr>
          <w:rFonts w:eastAsia="SimSun"/>
          <w:bCs/>
          <w:lang w:eastAsia="zh-CN"/>
        </w:rPr>
        <w:t>Monetization</w:t>
      </w:r>
      <w:proofErr w:type="spellEnd"/>
      <w:r w:rsidRPr="00C258AD">
        <w:rPr>
          <w:rFonts w:eastAsia="SimSun"/>
          <w:bCs/>
          <w:lang w:eastAsia="zh-CN"/>
        </w:rPr>
        <w:t xml:space="preserve"> of Copyright </w:t>
      </w:r>
      <w:proofErr w:type="spellStart"/>
      <w:r w:rsidRPr="00C258AD">
        <w:rPr>
          <w:rFonts w:eastAsia="SimSun"/>
          <w:bCs/>
          <w:lang w:eastAsia="zh-CN"/>
        </w:rPr>
        <w:t>Assets</w:t>
      </w:r>
      <w:proofErr w:type="spellEnd"/>
      <w:r w:rsidRPr="00C258AD">
        <w:rPr>
          <w:rFonts w:eastAsia="SimSun"/>
          <w:bCs/>
          <w:lang w:eastAsia="zh-CN"/>
        </w:rPr>
        <w:t xml:space="preserve"> by </w:t>
      </w:r>
      <w:proofErr w:type="spellStart"/>
      <w:r w:rsidRPr="00C258AD">
        <w:rPr>
          <w:rFonts w:eastAsia="SimSun"/>
          <w:bCs/>
          <w:lang w:eastAsia="zh-CN"/>
        </w:rPr>
        <w:t>Creative</w:t>
      </w:r>
      <w:proofErr w:type="spellEnd"/>
      <w:r w:rsidRPr="00C258AD">
        <w:rPr>
          <w:rFonts w:eastAsia="SimSun"/>
          <w:bCs/>
          <w:lang w:eastAsia="zh-CN"/>
        </w:rPr>
        <w:t xml:space="preserve"> </w:t>
      </w:r>
      <w:proofErr w:type="spellStart"/>
      <w:r w:rsidRPr="00C258AD">
        <w:rPr>
          <w:rFonts w:eastAsia="SimSun"/>
          <w:bCs/>
          <w:lang w:eastAsia="zh-CN"/>
        </w:rPr>
        <w:t>Enterprises</w:t>
      </w:r>
      <w:proofErr w:type="spellEnd"/>
      <w:r w:rsidRPr="00C258AD">
        <w:rPr>
          <w:rFonts w:eastAsia="SimSun"/>
          <w:bCs/>
          <w:lang w:eastAsia="zh-CN"/>
        </w:rPr>
        <w:t>” (Monétisation des actifs protégés par le droit d’auteur par les entreprises du secteur de la création).  La deuxième édition du guide de l’OMPI intitulé “Comment gagner sa vie avec la musique” a été publiée en juillet 2014.</w:t>
      </w:r>
      <w:r w:rsidRPr="00C258AD">
        <w:rPr>
          <w:rFonts w:eastAsia="SimSun"/>
        </w:rPr>
        <w:t xml:space="preserve">  </w:t>
      </w:r>
      <w:r w:rsidRPr="00C258AD">
        <w:rPr>
          <w:rFonts w:eastAsia="SimSun"/>
          <w:bCs/>
          <w:lang w:eastAsia="zh-CN"/>
        </w:rPr>
        <w:t>Ces outils ont été largement utilisés dans le cadre des programmes de renforcement des capacités et téléchargés plus de 100 000 fois en 2014 et 2015.</w:t>
      </w:r>
    </w:p>
    <w:p w:rsidR="006E2BB1" w:rsidRPr="00C258AD" w:rsidRDefault="006E2BB1" w:rsidP="001A4D6C">
      <w:pPr>
        <w:rPr>
          <w:rFonts w:eastAsia="SimSun"/>
          <w:lang w:eastAsia="zh-CN"/>
        </w:rPr>
      </w:pPr>
    </w:p>
    <w:p w:rsidR="006E2BB1" w:rsidRPr="00C258AD" w:rsidRDefault="00232431" w:rsidP="00066B9C">
      <w:pPr>
        <w:pStyle w:val="ListParagraph"/>
        <w:numPr>
          <w:ilvl w:val="0"/>
          <w:numId w:val="46"/>
        </w:numPr>
        <w:tabs>
          <w:tab w:val="left" w:pos="0"/>
        </w:tabs>
        <w:ind w:left="0" w:firstLine="0"/>
        <w:jc w:val="both"/>
        <w:rPr>
          <w:rFonts w:eastAsia="SimSun"/>
          <w:bCs/>
          <w:spacing w:val="-2"/>
          <w:lang w:eastAsia="zh-CN"/>
        </w:rPr>
      </w:pPr>
      <w:r w:rsidRPr="00C258AD">
        <w:rPr>
          <w:rFonts w:eastAsia="SimSun"/>
          <w:bCs/>
          <w:spacing w:val="-2"/>
          <w:lang w:eastAsia="zh-CN"/>
        </w:rPr>
        <w:t>En juin 2014, une nouvelle entité multipartite, le Consortium pour des livres accessibles (ABC), a été créée dans le but d’accroître le nombre de livres disponibles dans des formats accessibles aux personnes ayant des difficultés de lecture des textes imprimés au niveau mondial.  Le Consortium ABC a mené des activités dans trois grands domaines : i) l’assistance technique pour la production de livres dans des formats accessibles (financée par le Gouvernement de l’Australie et le Gouvernement de la République de Corée);  ii) la promotion de la publication ouverte, en faveur de l’établissement d’un système de publication dans lequel les œuvres créées sont accessibles dès le début du processus dans un format accessible dit “natif”, afin que tous les nouveaux livres soient publiés dans un format pouvant être utilisé d’emblée par les personnes voyantes et les personnes ayant des difficultés de lecture des textes imprimés;  et iii) le Service de livres ABC, également dénommé</w:t>
      </w:r>
      <w:r w:rsidRPr="00C258AD">
        <w:rPr>
          <w:rFonts w:cs="Arial"/>
          <w:color w:val="000000"/>
          <w:spacing w:val="-2"/>
        </w:rPr>
        <w:t xml:space="preserve"> TIGAR, une base de données internationale contenant des livres accessibles dans 55 langues.  Dans le premier domaine, ABC a produit </w:t>
      </w:r>
      <w:r w:rsidRPr="00C258AD">
        <w:rPr>
          <w:color w:val="000000"/>
          <w:spacing w:val="-2"/>
        </w:rPr>
        <w:t xml:space="preserve">1580 livres éducatifs dont ont pu bénéficier 23 500 étudiants ayant des difficultés de lecture des textes imprimés au Bangladesh, en Inde, au Népal et à Sri Lanka.  Dans le deuxième domaine, </w:t>
      </w:r>
      <w:r w:rsidRPr="00C258AD">
        <w:rPr>
          <w:rFonts w:cs="Arial"/>
          <w:color w:val="000000"/>
          <w:spacing w:val="-2"/>
        </w:rPr>
        <w:t>ABC a parrainé la </w:t>
      </w:r>
      <w:r w:rsidRPr="00C258AD">
        <w:rPr>
          <w:rFonts w:cs="Arial"/>
          <w:bCs/>
          <w:color w:val="000000"/>
          <w:spacing w:val="-2"/>
        </w:rPr>
        <w:t>Charte de l’édition en format accessible et le prix international d’excellence en matière d’édition accessible.  À la fin de </w:t>
      </w:r>
      <w:r w:rsidRPr="00C258AD">
        <w:rPr>
          <w:rFonts w:cs="Arial"/>
          <w:color w:val="000000"/>
          <w:spacing w:val="-2"/>
        </w:rPr>
        <w:t xml:space="preserve">2015, 4208 téléchargements de livres en formats accessibles avaient été effectués par 15 bibliothèques participantes et plus de </w:t>
      </w:r>
      <w:r w:rsidRPr="00C258AD">
        <w:rPr>
          <w:spacing w:val="-2"/>
        </w:rPr>
        <w:t>58 000</w:t>
      </w:r>
      <w:r w:rsidRPr="00C258AD">
        <w:rPr>
          <w:rFonts w:cs="Arial"/>
          <w:color w:val="000000"/>
          <w:spacing w:val="-2"/>
        </w:rPr>
        <w:t> prêts de livres en formats accessibles avaient été accordés à des personnes ayant des difficultés de lecture des textes imprimés durant la période considérée.</w:t>
      </w:r>
    </w:p>
    <w:p w:rsidR="006E2BB1" w:rsidRPr="00C258AD" w:rsidRDefault="006E2BB1" w:rsidP="001A4D6C">
      <w:pPr>
        <w:pStyle w:val="ListParagraph"/>
        <w:numPr>
          <w:ilvl w:val="0"/>
          <w:numId w:val="0"/>
        </w:numPr>
        <w:tabs>
          <w:tab w:val="left" w:pos="0"/>
          <w:tab w:val="left" w:pos="709"/>
        </w:tabs>
        <w:jc w:val="both"/>
        <w:rPr>
          <w:rFonts w:eastAsia="SimSun"/>
          <w:bCs/>
          <w:lang w:eastAsia="zh-CN"/>
        </w:rPr>
      </w:pPr>
    </w:p>
    <w:p w:rsidR="006E2BB1" w:rsidRPr="00C258AD" w:rsidRDefault="00232431" w:rsidP="00066B9C">
      <w:pPr>
        <w:pStyle w:val="ListParagraph"/>
        <w:numPr>
          <w:ilvl w:val="0"/>
          <w:numId w:val="46"/>
        </w:numPr>
        <w:tabs>
          <w:tab w:val="left" w:pos="0"/>
        </w:tabs>
        <w:ind w:left="0" w:firstLine="0"/>
        <w:jc w:val="both"/>
        <w:rPr>
          <w:rFonts w:eastAsia="SimSun"/>
          <w:bCs/>
          <w:lang w:eastAsia="zh-CN"/>
        </w:rPr>
      </w:pPr>
      <w:r w:rsidRPr="00C258AD">
        <w:rPr>
          <w:rFonts w:cs="Arial"/>
          <w:color w:val="000000"/>
        </w:rPr>
        <w:t xml:space="preserve">Le programme a continué avec succès d’appuyer le système actuel de gestion des données relatives au droit d’auteur (WIPOCOS) de l’OMPI jusqu’en septembre 2015, date à laquelle cette tâche a été transférée au programme 15 (Solutions opérationnelles pour les offices de propriété intellectuelle). </w:t>
      </w:r>
      <w:r w:rsidRPr="00C258AD">
        <w:rPr>
          <w:color w:val="000000"/>
        </w:rPr>
        <w:t xml:space="preserve"> </w:t>
      </w:r>
      <w:r w:rsidRPr="00C258AD">
        <w:rPr>
          <w:rFonts w:eastAsia="SimSun"/>
          <w:bCs/>
          <w:lang w:eastAsia="zh-CN"/>
        </w:rPr>
        <w:t>L’objectif de l’OMPI est de continuer d’appuyer le système WIPOCOS jusqu’à ce que le Réseau du droit d’auteur de l’OMPI, le nouveau système de gestion de données destiné à améliorer les transferts de données mondiales et de droits dans les organismes de gestion collective qui en bénéficient, puisse être mis en place.</w:t>
      </w:r>
    </w:p>
    <w:p w:rsidR="006E2BB1" w:rsidRPr="00C258AD" w:rsidRDefault="006E2BB1" w:rsidP="001A4D6C">
      <w:pPr>
        <w:rPr>
          <w:rFonts w:eastAsia="SimSun"/>
          <w:lang w:eastAsia="zh-CN"/>
        </w:rPr>
      </w:pPr>
    </w:p>
    <w:p w:rsidR="006E2BB1" w:rsidRPr="00C258AD" w:rsidRDefault="00232431" w:rsidP="001A4D6C">
      <w:pPr>
        <w:rPr>
          <w:rFonts w:eastAsia="SimSun"/>
          <w:u w:val="single"/>
          <w:lang w:eastAsia="zh-CN"/>
        </w:rPr>
      </w:pPr>
      <w:r w:rsidRPr="00C258AD">
        <w:rPr>
          <w:rFonts w:eastAsia="SimSun"/>
          <w:u w:val="single"/>
          <w:lang w:eastAsia="zh-CN"/>
        </w:rPr>
        <w:t>Fourniture d’une assistance technique aux pays en développement et aux PMA</w:t>
      </w:r>
    </w:p>
    <w:p w:rsidR="006E2BB1" w:rsidRPr="00C258AD" w:rsidRDefault="006E2BB1" w:rsidP="001A4D6C">
      <w:pPr>
        <w:rPr>
          <w:rFonts w:eastAsia="SimSun"/>
          <w:lang w:eastAsia="zh-CN"/>
        </w:rPr>
      </w:pPr>
    </w:p>
    <w:p w:rsidR="006E2BB1" w:rsidRPr="00C258AD" w:rsidRDefault="00232431" w:rsidP="00066B9C">
      <w:pPr>
        <w:pStyle w:val="ListParagraph"/>
        <w:numPr>
          <w:ilvl w:val="0"/>
          <w:numId w:val="46"/>
        </w:numPr>
        <w:tabs>
          <w:tab w:val="left" w:pos="0"/>
          <w:tab w:val="left" w:pos="709"/>
        </w:tabs>
        <w:ind w:left="0" w:firstLine="0"/>
        <w:jc w:val="both"/>
        <w:rPr>
          <w:rFonts w:eastAsia="SimSun"/>
          <w:bCs/>
          <w:lang w:eastAsia="zh-CN"/>
        </w:rPr>
      </w:pPr>
      <w:r w:rsidRPr="00C258AD">
        <w:rPr>
          <w:rFonts w:eastAsia="SimSun"/>
          <w:bCs/>
          <w:lang w:eastAsia="zh-CN"/>
        </w:rPr>
        <w:t>Durant l’exercice biennal 2014</w:t>
      </w:r>
      <w:r w:rsidRPr="00C258AD">
        <w:rPr>
          <w:rFonts w:eastAsia="SimSun"/>
          <w:bCs/>
          <w:lang w:eastAsia="zh-CN"/>
        </w:rPr>
        <w:noBreakHyphen/>
        <w:t xml:space="preserve">2015, l’assistance technique fournie aux pays en développement et aux PMA dans le domaine du droit d’auteur et des droits connexes était toujours fondée sur les recommandations et principes du Plan d’action pour le développement, notamment les recommandations </w:t>
      </w:r>
      <w:r w:rsidRPr="00C258AD">
        <w:rPr>
          <w:rFonts w:eastAsia="SimSun" w:cs="Arial"/>
          <w:bCs/>
          <w:lang w:eastAsia="zh-CN"/>
        </w:rPr>
        <w:t>n</w:t>
      </w:r>
      <w:r w:rsidRPr="00C258AD">
        <w:rPr>
          <w:rFonts w:eastAsia="SimSun" w:cs="Arial"/>
          <w:bCs/>
          <w:vertAlign w:val="superscript"/>
          <w:lang w:eastAsia="zh-CN"/>
        </w:rPr>
        <w:t>os</w:t>
      </w:r>
      <w:r w:rsidRPr="00C258AD">
        <w:rPr>
          <w:rFonts w:eastAsia="SimSun" w:cs="Arial"/>
          <w:bCs/>
          <w:lang w:eastAsia="zh-CN"/>
        </w:rPr>
        <w:t> 1, 5, 6, 10 et 11.  Par conséquent, les programmes d’assistance technique ont été axés sur la demande, élaborés en consultation étroite avec les pays bénéficiaires et mis en œuvre de manière personnalisée pour répondre aux priorités et besoins identifiés des pays en matière de développement.</w:t>
      </w:r>
    </w:p>
    <w:p w:rsidR="006E2BB1" w:rsidRPr="00C258AD" w:rsidRDefault="006E2BB1" w:rsidP="001A4D6C">
      <w:pPr>
        <w:rPr>
          <w:rFonts w:eastAsia="SimSun"/>
          <w:lang w:eastAsia="zh-CN"/>
        </w:rPr>
      </w:pPr>
    </w:p>
    <w:p w:rsidR="006E2BB1" w:rsidRPr="00C258AD" w:rsidRDefault="00232431" w:rsidP="00066B9C">
      <w:pPr>
        <w:pStyle w:val="ListParagraph"/>
        <w:numPr>
          <w:ilvl w:val="0"/>
          <w:numId w:val="46"/>
        </w:numPr>
        <w:tabs>
          <w:tab w:val="left" w:pos="0"/>
        </w:tabs>
        <w:ind w:left="0" w:firstLine="0"/>
        <w:jc w:val="both"/>
        <w:rPr>
          <w:rFonts w:eastAsia="SimSun"/>
          <w:bCs/>
          <w:lang w:eastAsia="zh-CN"/>
        </w:rPr>
      </w:pPr>
      <w:r w:rsidRPr="00C258AD">
        <w:rPr>
          <w:rFonts w:eastAsia="SimSun"/>
          <w:bCs/>
          <w:lang w:eastAsia="zh-CN"/>
        </w:rPr>
        <w:t>Des efforts ont été faits pour répondre à la demande croissante d’assistance technique émanant des pays en développement et des PMA dans le domaine du droit d’auteur et des droits connexes.  Au cours de la période considérée, 95 programmes différents d’assistance technique et de renforcement des capacités</w:t>
      </w:r>
      <w:r w:rsidRPr="00C258AD">
        <w:rPr>
          <w:rFonts w:eastAsia="SimSun" w:cs="Arial"/>
          <w:bCs/>
          <w:lang w:eastAsia="zh-CN"/>
        </w:rPr>
        <w:t xml:space="preserve"> </w:t>
      </w:r>
      <w:r w:rsidRPr="00C258AD">
        <w:rPr>
          <w:rFonts w:eastAsia="SimSun"/>
          <w:bCs/>
          <w:lang w:eastAsia="zh-CN"/>
        </w:rPr>
        <w:t>ont été mis en œuvre à l’échelle nationale, régionale et interrégionale dans 116 pays et cinq organisations intergouvernementales (Organisation régionale africaine de la propriété intellectuelle (ARIPO), Centre régional pour la promotion du livre en Amérique latine et dans les Caraïbes (CERLALC), Organisation africaine de la propriété intellectuelle (OAPI),</w:t>
      </w:r>
      <w:r w:rsidRPr="00C258AD">
        <w:t xml:space="preserve"> </w:t>
      </w:r>
      <w:r w:rsidRPr="00C258AD">
        <w:rPr>
          <w:rFonts w:eastAsia="SimSun"/>
          <w:bCs/>
          <w:lang w:eastAsia="zh-CN"/>
        </w:rPr>
        <w:t>Ligue des États arabes (LEA) et Secrétariat du Forum des îles du Pacifique (PIFS)).</w:t>
      </w:r>
    </w:p>
    <w:p w:rsidR="006E2BB1" w:rsidRPr="00C258AD" w:rsidRDefault="006E2BB1" w:rsidP="001A4D6C">
      <w:pPr>
        <w:pStyle w:val="ListParagraph"/>
        <w:numPr>
          <w:ilvl w:val="0"/>
          <w:numId w:val="0"/>
        </w:numPr>
        <w:tabs>
          <w:tab w:val="left" w:pos="0"/>
          <w:tab w:val="left" w:pos="709"/>
        </w:tabs>
        <w:jc w:val="both"/>
        <w:rPr>
          <w:rFonts w:eastAsia="SimSun"/>
          <w:bCs/>
          <w:lang w:eastAsia="zh-CN"/>
        </w:rPr>
      </w:pPr>
    </w:p>
    <w:p w:rsidR="006E2BB1" w:rsidRPr="00C258AD" w:rsidRDefault="00232431" w:rsidP="00066B9C">
      <w:pPr>
        <w:pStyle w:val="ListParagraph"/>
        <w:numPr>
          <w:ilvl w:val="0"/>
          <w:numId w:val="46"/>
        </w:numPr>
        <w:tabs>
          <w:tab w:val="left" w:pos="0"/>
        </w:tabs>
        <w:ind w:left="0" w:firstLine="0"/>
        <w:jc w:val="both"/>
        <w:rPr>
          <w:rFonts w:eastAsia="SimSun"/>
          <w:bCs/>
          <w:lang w:eastAsia="zh-CN"/>
        </w:rPr>
      </w:pPr>
      <w:r w:rsidRPr="00C258AD">
        <w:rPr>
          <w:rFonts w:eastAsia="SimSun"/>
          <w:bCs/>
          <w:lang w:eastAsia="zh-CN"/>
        </w:rPr>
        <w:lastRenderedPageBreak/>
        <w:t>Ces activités ont notamment porté sur la sensibilisation et le renforcement des capacités dans le domaine du droit d’auteur et des droits connexes à l’intention des chefs de bureaux nationaux du droit d’auteur, des décideurs et des parties prenantes de premier plan.  Les programmes de renforcement des capacités ont couvert à la fois les principes fondamentaux du droit d’auteur et des droits connexes et de nouvelles questions présentant une importance et un intérêt particuliers pour les pays en développement et les PMA, notamment les faits nouveaux sur le plan national et international, et ont contribué : i) au renforcement des capacités en matière d’élaboration et de mise en œuvre des politiques et des cadres stratégiques nationaux relatifs au droit d’auteur aux fins de l’utilisation cohérente et efficace de la propriété intellectuelle au service du développement durable;  ii) au renforcement des capacités en matière de ressources humaines et de développement institutionnel en vue de fournir de meilleurs services aux parties prenantes</w:t>
      </w:r>
      <w:r w:rsidRPr="00C258AD">
        <w:rPr>
          <w:rFonts w:eastAsia="SimSun" w:cs="Arial"/>
          <w:bCs/>
          <w:lang w:eastAsia="zh-CN"/>
        </w:rPr>
        <w:t>;  et iii) à la promotion et à l’exploitation de leur créativité nationale.</w:t>
      </w:r>
    </w:p>
    <w:p w:rsidR="006E2BB1" w:rsidRPr="00C258AD" w:rsidRDefault="006E2BB1" w:rsidP="001A4D6C">
      <w:pPr>
        <w:rPr>
          <w:rFonts w:eastAsia="SimSun"/>
          <w:lang w:eastAsia="zh-CN"/>
        </w:rPr>
      </w:pPr>
    </w:p>
    <w:p w:rsidR="006E2BB1" w:rsidRPr="00C258AD" w:rsidRDefault="00232431" w:rsidP="00066B9C">
      <w:pPr>
        <w:pStyle w:val="ListParagraph"/>
        <w:numPr>
          <w:ilvl w:val="0"/>
          <w:numId w:val="46"/>
        </w:numPr>
        <w:tabs>
          <w:tab w:val="left" w:pos="0"/>
          <w:tab w:val="left" w:pos="709"/>
        </w:tabs>
        <w:ind w:left="0" w:firstLine="0"/>
        <w:jc w:val="both"/>
        <w:rPr>
          <w:rFonts w:eastAsia="SimSun"/>
          <w:bCs/>
          <w:lang w:eastAsia="zh-CN"/>
        </w:rPr>
      </w:pPr>
      <w:r w:rsidRPr="00C258AD">
        <w:rPr>
          <w:rFonts w:eastAsia="SimSun"/>
          <w:bCs/>
          <w:lang w:eastAsia="zh-CN"/>
        </w:rPr>
        <w:t>Des efforts ont également été faits pour améliorer la rentabilité et la viabilité des activités d’assistance technique au moyen, notamment, de la promotion et du renforcement de la coopération entre pays en développement par l’échange de connaissances, de compétences, de savoir</w:t>
      </w:r>
      <w:r w:rsidRPr="00C258AD">
        <w:rPr>
          <w:rFonts w:eastAsia="SimSun"/>
          <w:bCs/>
          <w:color w:val="000000"/>
          <w:szCs w:val="22"/>
          <w:lang w:eastAsia="zh-CN"/>
        </w:rPr>
        <w:noBreakHyphen/>
      </w:r>
      <w:r w:rsidRPr="00C258AD">
        <w:rPr>
          <w:rFonts w:eastAsia="SimSun"/>
          <w:bCs/>
          <w:lang w:eastAsia="zh-CN"/>
        </w:rPr>
        <w:t>faire et de ressources pour leur permettre d’atteindre leurs objectifs de développement.  Des processus d’évaluation spécifiques par pays ont également été mis en œuvre pour améliorer la responsabilité au service des résultats.  D’après ces évaluations, plus de 80% des participants ont estimé que le contenu des ateliers était pertinent au regard de leur emploi et qu’ils pourraient réutiliser dans le cadre de leur travail les informations reçues et les connaissances acquises durant les ateliers.</w:t>
      </w:r>
    </w:p>
    <w:p w:rsidR="006E2BB1" w:rsidRPr="00C258AD" w:rsidRDefault="006E2BB1" w:rsidP="001A4D6C">
      <w:pPr>
        <w:rPr>
          <w:rFonts w:eastAsia="SimSun"/>
          <w:lang w:eastAsia="zh-CN"/>
        </w:rPr>
      </w:pPr>
    </w:p>
    <w:p w:rsidR="006E2BB1" w:rsidRPr="00C258AD" w:rsidRDefault="00232431" w:rsidP="00066B9C">
      <w:pPr>
        <w:pStyle w:val="ListParagraph"/>
        <w:numPr>
          <w:ilvl w:val="0"/>
          <w:numId w:val="46"/>
        </w:numPr>
        <w:tabs>
          <w:tab w:val="left" w:pos="0"/>
        </w:tabs>
        <w:ind w:left="0" w:firstLine="0"/>
        <w:jc w:val="both"/>
        <w:rPr>
          <w:rFonts w:eastAsia="SimSun"/>
          <w:bCs/>
          <w:lang w:eastAsia="zh-CN"/>
        </w:rPr>
      </w:pPr>
      <w:r w:rsidRPr="00C258AD">
        <w:rPr>
          <w:rFonts w:eastAsia="SimSun"/>
          <w:bCs/>
          <w:lang w:eastAsia="zh-CN"/>
        </w:rPr>
        <w:t>Des travaux importants ont également continué d’être menés concernant plusieurs projets en rapport avec le Plan d’action pour le développement : le projet pilote sur le renforcement et le développement du secteur de l’audiovisuel au Burkina Faso et dans certains pays africains, dont le Kenya et le Sénégal, a été achevé avec succès et évalué durant l’exercice biennal.  En outre, sur la base des discussions tenues à la douzième session du CDIP, une proposition révisée de mise en œuvre relative à de nouvelles activités pouvant être menées par l’OMPI dans le domaine de l’utilisation du droit d’auteur pour promouvoir l’accès à l’information et aux contenus créatifs a été présentée et approuvée à la treizième session du CDIP.  Le projet de mise en œuvre d’une durée de 18 mois ayant été approuvé relativement tard dans l’exercice biennal, sa mise en œuvre débutera en 2016</w:t>
      </w:r>
      <w:r w:rsidRPr="00C258AD">
        <w:rPr>
          <w:rFonts w:eastAsia="SimSun"/>
          <w:bCs/>
          <w:color w:val="000000"/>
          <w:szCs w:val="22"/>
          <w:lang w:eastAsia="zh-CN"/>
        </w:rPr>
        <w:noBreakHyphen/>
        <w:t xml:space="preserve">2017. </w:t>
      </w:r>
      <w:r w:rsidRPr="00C258AD">
        <w:rPr>
          <w:color w:val="000000"/>
        </w:rPr>
        <w:t xml:space="preserve"> </w:t>
      </w:r>
      <w:r w:rsidRPr="00C258AD">
        <w:rPr>
          <w:bCs/>
        </w:rPr>
        <w:t>L’analyse comparative des approches nationales en matière de renonciation volontaire au droit d’auteur</w:t>
      </w:r>
      <w:r w:rsidRPr="00C258AD">
        <w:t xml:space="preserve"> (document CDIP/13/INF/6) a été présentée au CDIP et a reçu un accueil favorable de la part de ce comité, </w:t>
      </w:r>
      <w:r w:rsidRPr="00C258AD">
        <w:rPr>
          <w:bCs/>
        </w:rPr>
        <w:t>dans le cadre de la mise en œuvre des recommandations n</w:t>
      </w:r>
      <w:r w:rsidRPr="00C258AD">
        <w:rPr>
          <w:bCs/>
          <w:vertAlign w:val="superscript"/>
        </w:rPr>
        <w:t>os</w:t>
      </w:r>
      <w:r w:rsidRPr="00C258AD">
        <w:rPr>
          <w:bCs/>
        </w:rPr>
        <w:t> 1c, 1f et 2a de l’étude exploratoire sur le droit d’auteur et les droits connexes et le domaine public</w:t>
      </w:r>
      <w:r w:rsidRPr="00C258AD">
        <w:t>.</w:t>
      </w:r>
    </w:p>
    <w:p w:rsidR="006E2BB1" w:rsidRPr="00C258AD" w:rsidRDefault="006E2BB1" w:rsidP="001A4D6C">
      <w:pPr>
        <w:tabs>
          <w:tab w:val="left" w:pos="709"/>
        </w:tabs>
        <w:jc w:val="both"/>
      </w:pPr>
    </w:p>
    <w:p w:rsidR="006E2BB1" w:rsidRPr="00C258AD" w:rsidRDefault="006E2BB1" w:rsidP="001A4D6C">
      <w:pPr>
        <w:rPr>
          <w:b/>
        </w:rPr>
      </w:pPr>
    </w:p>
    <w:p w:rsidR="006E2BB1" w:rsidRPr="00C258AD" w:rsidRDefault="00232431" w:rsidP="00305CE5">
      <w:pPr>
        <w:keepNext/>
        <w:rPr>
          <w:rFonts w:cs="Arial"/>
          <w:caps/>
          <w:sz w:val="22"/>
          <w:szCs w:val="22"/>
        </w:rPr>
      </w:pPr>
      <w:r w:rsidRPr="00C258AD">
        <w:rPr>
          <w:rFonts w:cs="Arial"/>
          <w:caps/>
          <w:sz w:val="22"/>
          <w:szCs w:val="22"/>
        </w:rPr>
        <w:t>Données relatives à l’exécution</w:t>
      </w:r>
    </w:p>
    <w:p w:rsidR="00232431" w:rsidRPr="00C258AD" w:rsidRDefault="00232431" w:rsidP="001A4D6C"/>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268"/>
        <w:gridCol w:w="2265"/>
        <w:gridCol w:w="150"/>
        <w:gridCol w:w="1314"/>
        <w:gridCol w:w="106"/>
        <w:gridCol w:w="142"/>
        <w:gridCol w:w="1980"/>
        <w:gridCol w:w="1266"/>
      </w:tblGrid>
      <w:tr w:rsidR="00232431" w:rsidRPr="00C258AD" w:rsidTr="001A4D6C">
        <w:trPr>
          <w:cantSplit/>
        </w:trPr>
        <w:tc>
          <w:tcPr>
            <w:tcW w:w="5000" w:type="pct"/>
            <w:gridSpan w:val="8"/>
            <w:tcBorders>
              <w:top w:val="single" w:sz="4" w:space="0" w:color="auto"/>
              <w:bottom w:val="single" w:sz="4" w:space="0" w:color="auto"/>
            </w:tcBorders>
            <w:shd w:val="clear" w:color="auto" w:fill="C5D9F1"/>
            <w:vAlign w:val="center"/>
          </w:tcPr>
          <w:p w:rsidR="00232431" w:rsidRPr="00C258AD" w:rsidRDefault="00232431" w:rsidP="001A4D6C">
            <w:pPr>
              <w:rPr>
                <w:b/>
                <w:bCs/>
                <w:sz w:val="16"/>
                <w:szCs w:val="16"/>
              </w:rPr>
            </w:pPr>
            <w:r w:rsidRPr="00C258AD">
              <w:rPr>
                <w:b/>
                <w:bCs/>
                <w:sz w:val="16"/>
                <w:szCs w:val="16"/>
              </w:rPr>
              <w:t>Résultat escompté :</w:t>
            </w:r>
            <w:r w:rsidRPr="00C258AD">
              <w:rPr>
                <w:bCs/>
                <w:sz w:val="16"/>
                <w:szCs w:val="16"/>
              </w:rPr>
              <w:t xml:space="preserve"> I.1 Renforcement de la coopération entre les États membres en ce qui concerne l’élaboration de cadres normatifs internationaux équilibrés dans le domaine de la propriété intellectuelle et d’un accord sur des questions concrètes donnant lieu à des instruments internationaux</w:t>
            </w:r>
          </w:p>
        </w:tc>
      </w:tr>
      <w:tr w:rsidR="00232431" w:rsidRPr="00C258AD" w:rsidTr="001A4D6C">
        <w:trPr>
          <w:cantSplit/>
        </w:trPr>
        <w:tc>
          <w:tcPr>
            <w:tcW w:w="1195" w:type="pct"/>
            <w:tcBorders>
              <w:top w:val="single" w:sz="4" w:space="0" w:color="auto"/>
            </w:tcBorders>
            <w:shd w:val="clear" w:color="auto" w:fill="auto"/>
            <w:vAlign w:val="center"/>
          </w:tcPr>
          <w:p w:rsidR="00232431" w:rsidRPr="00C258AD" w:rsidRDefault="00232431" w:rsidP="001A4D6C">
            <w:pPr>
              <w:jc w:val="center"/>
              <w:rPr>
                <w:b/>
                <w:sz w:val="16"/>
                <w:szCs w:val="16"/>
              </w:rPr>
            </w:pPr>
            <w:r w:rsidRPr="00C258AD">
              <w:rPr>
                <w:b/>
                <w:sz w:val="16"/>
                <w:szCs w:val="16"/>
              </w:rPr>
              <w:t>Indicateurs d’exécution</w:t>
            </w:r>
          </w:p>
        </w:tc>
        <w:tc>
          <w:tcPr>
            <w:tcW w:w="1193" w:type="pct"/>
            <w:tcBorders>
              <w:top w:val="single" w:sz="4" w:space="0" w:color="auto"/>
            </w:tcBorders>
            <w:shd w:val="clear" w:color="auto" w:fill="auto"/>
            <w:vAlign w:val="center"/>
          </w:tcPr>
          <w:p w:rsidR="00232431" w:rsidRPr="00C258AD" w:rsidRDefault="00232431" w:rsidP="001A4D6C">
            <w:pPr>
              <w:jc w:val="center"/>
              <w:rPr>
                <w:b/>
                <w:sz w:val="16"/>
                <w:szCs w:val="16"/>
              </w:rPr>
            </w:pPr>
            <w:r w:rsidRPr="00C258AD">
              <w:rPr>
                <w:b/>
                <w:sz w:val="16"/>
                <w:szCs w:val="16"/>
              </w:rPr>
              <w:t>Niveaux de référence</w:t>
            </w:r>
          </w:p>
        </w:tc>
        <w:tc>
          <w:tcPr>
            <w:tcW w:w="771" w:type="pct"/>
            <w:gridSpan w:val="2"/>
            <w:tcBorders>
              <w:top w:val="single" w:sz="4" w:space="0" w:color="auto"/>
            </w:tcBorders>
            <w:shd w:val="clear" w:color="auto" w:fill="auto"/>
            <w:tcMar>
              <w:top w:w="110" w:type="dxa"/>
            </w:tcMar>
            <w:vAlign w:val="center"/>
          </w:tcPr>
          <w:p w:rsidR="00232431" w:rsidRPr="00C258AD" w:rsidRDefault="00232431" w:rsidP="001A4D6C">
            <w:pPr>
              <w:jc w:val="center"/>
              <w:rPr>
                <w:b/>
                <w:sz w:val="16"/>
                <w:szCs w:val="16"/>
              </w:rPr>
            </w:pPr>
            <w:r w:rsidRPr="00C258AD">
              <w:rPr>
                <w:b/>
                <w:sz w:val="16"/>
                <w:szCs w:val="16"/>
              </w:rPr>
              <w:t>Objectifs visés</w:t>
            </w:r>
          </w:p>
        </w:tc>
        <w:tc>
          <w:tcPr>
            <w:tcW w:w="1174" w:type="pct"/>
            <w:gridSpan w:val="3"/>
            <w:tcBorders>
              <w:top w:val="single" w:sz="4" w:space="0" w:color="auto"/>
            </w:tcBorders>
            <w:shd w:val="clear" w:color="auto" w:fill="FFFFFF"/>
            <w:tcMar>
              <w:top w:w="110" w:type="dxa"/>
            </w:tcMar>
            <w:vAlign w:val="center"/>
          </w:tcPr>
          <w:p w:rsidR="00232431" w:rsidRPr="00C258AD" w:rsidRDefault="00232431" w:rsidP="001A4D6C">
            <w:pPr>
              <w:jc w:val="center"/>
              <w:rPr>
                <w:b/>
                <w:sz w:val="16"/>
                <w:szCs w:val="16"/>
              </w:rPr>
            </w:pPr>
            <w:r w:rsidRPr="00C258AD">
              <w:rPr>
                <w:b/>
                <w:sz w:val="16"/>
                <w:szCs w:val="16"/>
              </w:rPr>
              <w:t>Données relatives à l’exécution</w:t>
            </w:r>
          </w:p>
        </w:tc>
        <w:tc>
          <w:tcPr>
            <w:tcW w:w="667" w:type="pct"/>
            <w:tcBorders>
              <w:top w:val="single" w:sz="4" w:space="0" w:color="auto"/>
            </w:tcBorders>
            <w:shd w:val="clear" w:color="auto" w:fill="auto"/>
            <w:tcMar>
              <w:top w:w="110" w:type="dxa"/>
            </w:tcMar>
            <w:vAlign w:val="center"/>
          </w:tcPr>
          <w:p w:rsidR="00232431" w:rsidRPr="00C258AD" w:rsidRDefault="00232431" w:rsidP="001A4D6C">
            <w:pPr>
              <w:jc w:val="center"/>
              <w:rPr>
                <w:b/>
                <w:bCs/>
                <w:sz w:val="16"/>
                <w:szCs w:val="16"/>
              </w:rPr>
            </w:pPr>
            <w:r w:rsidRPr="00C258AD">
              <w:rPr>
                <w:b/>
                <w:bCs/>
                <w:sz w:val="16"/>
                <w:szCs w:val="16"/>
              </w:rPr>
              <w:t>Code de couleurs</w:t>
            </w:r>
          </w:p>
        </w:tc>
      </w:tr>
      <w:tr w:rsidR="00232431" w:rsidRPr="00C258AD" w:rsidTr="001A4D6C">
        <w:trPr>
          <w:cantSplit/>
        </w:trPr>
        <w:tc>
          <w:tcPr>
            <w:tcW w:w="1195" w:type="pct"/>
            <w:tcBorders>
              <w:bottom w:val="single" w:sz="4" w:space="0" w:color="auto"/>
            </w:tcBorders>
            <w:shd w:val="clear" w:color="auto" w:fill="auto"/>
          </w:tcPr>
          <w:p w:rsidR="00232431" w:rsidRPr="00C258AD" w:rsidRDefault="00232431" w:rsidP="001A4D6C">
            <w:pPr>
              <w:rPr>
                <w:sz w:val="16"/>
                <w:szCs w:val="16"/>
              </w:rPr>
            </w:pPr>
            <w:r w:rsidRPr="00C258AD">
              <w:rPr>
                <w:sz w:val="16"/>
                <w:szCs w:val="16"/>
              </w:rPr>
              <w:t>Progrès accomplis dans la conclusion d’accords sur les questions actuellement inscrites à l’ordre du jour des travaux du SCCR</w:t>
            </w:r>
          </w:p>
        </w:tc>
        <w:tc>
          <w:tcPr>
            <w:tcW w:w="1193" w:type="pct"/>
            <w:tcBorders>
              <w:bottom w:val="single" w:sz="4" w:space="0" w:color="auto"/>
            </w:tcBorders>
            <w:shd w:val="clear" w:color="auto" w:fill="auto"/>
          </w:tcPr>
          <w:p w:rsidR="006E2BB1" w:rsidRPr="00C258AD" w:rsidRDefault="00232431" w:rsidP="001A4D6C">
            <w:pPr>
              <w:rPr>
                <w:sz w:val="16"/>
                <w:szCs w:val="16"/>
              </w:rPr>
            </w:pPr>
            <w:r w:rsidRPr="00C258AD">
              <w:rPr>
                <w:i/>
                <w:color w:val="002060"/>
                <w:sz w:val="16"/>
                <w:szCs w:val="16"/>
              </w:rPr>
              <w:t>Niveau de référence actualisé à fin 2013 :</w:t>
            </w:r>
            <w:r w:rsidRPr="00C258AD">
              <w:rPr>
                <w:color w:val="002060"/>
                <w:sz w:val="16"/>
                <w:szCs w:val="16"/>
              </w:rPr>
              <w:t xml:space="preserve"> </w:t>
            </w:r>
            <w:r w:rsidRPr="00C258AD">
              <w:rPr>
                <w:sz w:val="16"/>
                <w:szCs w:val="16"/>
              </w:rPr>
              <w:t>texte du Traité de Beijing adopté en juin 2012.  Texte du Traité de Marrakech adopté en juin 2013.  Pour tous les points inscrits à l’ordre du jour du SCCR, les travaux respectent les objectifs fixés.</w:t>
            </w:r>
          </w:p>
          <w:p w:rsidR="006E2BB1" w:rsidRPr="00C258AD" w:rsidRDefault="006E2BB1" w:rsidP="001A4D6C">
            <w:pPr>
              <w:rPr>
                <w:sz w:val="16"/>
                <w:szCs w:val="16"/>
              </w:rPr>
            </w:pPr>
          </w:p>
          <w:p w:rsidR="00232431" w:rsidRPr="00C258AD" w:rsidRDefault="00232431" w:rsidP="001A4D6C">
            <w:pPr>
              <w:rPr>
                <w:sz w:val="16"/>
                <w:szCs w:val="16"/>
              </w:rPr>
            </w:pPr>
            <w:r w:rsidRPr="00C258AD">
              <w:rPr>
                <w:i/>
                <w:sz w:val="16"/>
                <w:szCs w:val="16"/>
                <w:lang w:bidi="th-TH"/>
              </w:rPr>
              <w:t>Niveau de référence initial dans le programme et budget 2014</w:t>
            </w:r>
            <w:r w:rsidRPr="00C258AD">
              <w:rPr>
                <w:i/>
                <w:sz w:val="16"/>
                <w:szCs w:val="16"/>
                <w:lang w:bidi="th-TH"/>
              </w:rPr>
              <w:noBreakHyphen/>
              <w:t>2015 :</w:t>
            </w:r>
            <w:r w:rsidRPr="00C258AD">
              <w:rPr>
                <w:sz w:val="16"/>
                <w:szCs w:val="16"/>
                <w:lang w:bidi="th-TH"/>
              </w:rPr>
              <w:t xml:space="preserve"> adoption de deux traités durant l’exercice biennal 2012</w:t>
            </w:r>
            <w:r w:rsidRPr="00C258AD">
              <w:rPr>
                <w:sz w:val="16"/>
                <w:szCs w:val="16"/>
                <w:lang w:bidi="th-TH"/>
              </w:rPr>
              <w:noBreakHyphen/>
              <w:t>2013 (à ce jour).  Tenue de deux conférences diplomatiques au cours de l’exercice biennal 2012</w:t>
            </w:r>
            <w:r w:rsidRPr="00C258AD">
              <w:rPr>
                <w:sz w:val="16"/>
                <w:szCs w:val="16"/>
                <w:lang w:bidi="th-TH"/>
              </w:rPr>
              <w:noBreakHyphen/>
              <w:t>2013.</w:t>
            </w:r>
          </w:p>
        </w:tc>
        <w:tc>
          <w:tcPr>
            <w:tcW w:w="771" w:type="pct"/>
            <w:gridSpan w:val="2"/>
            <w:tcBorders>
              <w:bottom w:val="single" w:sz="4" w:space="0" w:color="auto"/>
            </w:tcBorders>
            <w:shd w:val="clear" w:color="auto" w:fill="auto"/>
            <w:tcMar>
              <w:top w:w="110" w:type="dxa"/>
            </w:tcMar>
          </w:tcPr>
          <w:p w:rsidR="00232431" w:rsidRPr="00C258AD" w:rsidRDefault="00232431" w:rsidP="001A4D6C">
            <w:pPr>
              <w:rPr>
                <w:sz w:val="16"/>
                <w:szCs w:val="16"/>
                <w:lang w:bidi="th-TH"/>
              </w:rPr>
            </w:pPr>
            <w:r w:rsidRPr="00C258AD">
              <w:rPr>
                <w:sz w:val="16"/>
                <w:szCs w:val="16"/>
              </w:rPr>
              <w:t>Tenue d’une conférence diplomatique et adoption d’un traité au cours de l’exercice biennal 2014</w:t>
            </w:r>
            <w:r w:rsidRPr="00C258AD">
              <w:rPr>
                <w:sz w:val="16"/>
                <w:szCs w:val="16"/>
              </w:rPr>
              <w:noBreakHyphen/>
              <w:t>2015</w:t>
            </w:r>
          </w:p>
        </w:tc>
        <w:tc>
          <w:tcPr>
            <w:tcW w:w="1174" w:type="pct"/>
            <w:gridSpan w:val="3"/>
            <w:tcBorders>
              <w:bottom w:val="single" w:sz="4" w:space="0" w:color="auto"/>
            </w:tcBorders>
            <w:shd w:val="clear" w:color="auto" w:fill="FFFFFF"/>
            <w:tcMar>
              <w:top w:w="110" w:type="dxa"/>
            </w:tcMar>
          </w:tcPr>
          <w:p w:rsidR="00232431" w:rsidRPr="00C258AD" w:rsidRDefault="00232431" w:rsidP="001A4D6C">
            <w:pPr>
              <w:rPr>
                <w:sz w:val="16"/>
                <w:szCs w:val="16"/>
              </w:rPr>
            </w:pPr>
            <w:r w:rsidRPr="00C258AD">
              <w:rPr>
                <w:sz w:val="16"/>
                <w:szCs w:val="16"/>
              </w:rPr>
              <w:t>Le SCCR et l’Assemblée générale de l’OMPI ne sont pas parvenus à un accord sur les mesures à prendre pour convoquer une conférence diplomatique en vue du traité sur la protection des organismes de radiodiffusion.</w:t>
            </w:r>
          </w:p>
        </w:tc>
        <w:tc>
          <w:tcPr>
            <w:tcW w:w="667" w:type="pct"/>
            <w:tcBorders>
              <w:bottom w:val="single" w:sz="4" w:space="0" w:color="auto"/>
            </w:tcBorders>
            <w:shd w:val="clear" w:color="auto" w:fill="auto"/>
            <w:tcMar>
              <w:top w:w="110" w:type="dxa"/>
            </w:tcMar>
          </w:tcPr>
          <w:p w:rsidR="00232431" w:rsidRPr="00C258AD" w:rsidRDefault="00232431" w:rsidP="001A4D6C">
            <w:pPr>
              <w:jc w:val="center"/>
              <w:rPr>
                <w:b/>
                <w:bCs/>
                <w:sz w:val="16"/>
                <w:szCs w:val="16"/>
              </w:rPr>
            </w:pPr>
            <w:r w:rsidRPr="00C258AD">
              <w:rPr>
                <w:rFonts w:cs="Arial"/>
                <w:b/>
                <w:bCs/>
                <w:color w:val="FF0000"/>
                <w:sz w:val="16"/>
                <w:szCs w:val="16"/>
              </w:rPr>
              <w:t>Objectif pas atteint</w:t>
            </w:r>
          </w:p>
        </w:tc>
      </w:tr>
      <w:tr w:rsidR="00232431" w:rsidRPr="00C258AD" w:rsidTr="001A4D6C">
        <w:trPr>
          <w:cantSplit/>
        </w:trPr>
        <w:tc>
          <w:tcPr>
            <w:tcW w:w="5000" w:type="pct"/>
            <w:gridSpan w:val="8"/>
            <w:tcBorders>
              <w:top w:val="single" w:sz="4" w:space="0" w:color="auto"/>
              <w:bottom w:val="single" w:sz="4" w:space="0" w:color="auto"/>
            </w:tcBorders>
            <w:shd w:val="clear" w:color="auto" w:fill="C5D9F1"/>
            <w:vAlign w:val="center"/>
          </w:tcPr>
          <w:p w:rsidR="00232431" w:rsidRPr="00C258AD" w:rsidRDefault="00232431" w:rsidP="001A4D6C">
            <w:pPr>
              <w:rPr>
                <w:b/>
                <w:bCs/>
                <w:sz w:val="16"/>
                <w:szCs w:val="16"/>
              </w:rPr>
            </w:pPr>
            <w:r w:rsidRPr="00C258AD">
              <w:rPr>
                <w:b/>
                <w:bCs/>
                <w:sz w:val="16"/>
                <w:szCs w:val="16"/>
              </w:rPr>
              <w:lastRenderedPageBreak/>
              <w:t xml:space="preserve">Résultat escompté : </w:t>
            </w:r>
            <w:r w:rsidRPr="00C258AD">
              <w:rPr>
                <w:bCs/>
                <w:sz w:val="16"/>
                <w:szCs w:val="16"/>
              </w:rPr>
              <w:t>I.2 Cadres législatifs, réglementaires et politiques de propriété intellectuelle adaptés et équilibrés</w:t>
            </w:r>
          </w:p>
        </w:tc>
      </w:tr>
      <w:tr w:rsidR="00232431" w:rsidRPr="00C258AD" w:rsidTr="001A4D6C">
        <w:trPr>
          <w:cantSplit/>
        </w:trPr>
        <w:tc>
          <w:tcPr>
            <w:tcW w:w="1195" w:type="pct"/>
            <w:tcBorders>
              <w:top w:val="single" w:sz="4" w:space="0" w:color="auto"/>
            </w:tcBorders>
            <w:shd w:val="clear" w:color="auto" w:fill="auto"/>
            <w:vAlign w:val="center"/>
          </w:tcPr>
          <w:p w:rsidR="00232431" w:rsidRPr="00C258AD" w:rsidRDefault="00232431" w:rsidP="001A4D6C">
            <w:pPr>
              <w:jc w:val="center"/>
              <w:rPr>
                <w:sz w:val="16"/>
                <w:szCs w:val="16"/>
              </w:rPr>
            </w:pPr>
            <w:r w:rsidRPr="00C258AD">
              <w:rPr>
                <w:b/>
                <w:bCs/>
                <w:sz w:val="16"/>
                <w:szCs w:val="16"/>
              </w:rPr>
              <w:t>Indicateurs d’exécution</w:t>
            </w:r>
          </w:p>
        </w:tc>
        <w:tc>
          <w:tcPr>
            <w:tcW w:w="1272" w:type="pct"/>
            <w:gridSpan w:val="2"/>
            <w:tcBorders>
              <w:top w:val="single" w:sz="4" w:space="0" w:color="auto"/>
            </w:tcBorders>
            <w:shd w:val="clear" w:color="auto" w:fill="auto"/>
            <w:vAlign w:val="center"/>
          </w:tcPr>
          <w:p w:rsidR="00232431" w:rsidRPr="00C258AD" w:rsidRDefault="00232431" w:rsidP="001A4D6C">
            <w:pPr>
              <w:jc w:val="center"/>
              <w:rPr>
                <w:b/>
                <w:bCs/>
                <w:sz w:val="16"/>
                <w:szCs w:val="16"/>
              </w:rPr>
            </w:pPr>
            <w:r w:rsidRPr="00C258AD">
              <w:rPr>
                <w:b/>
                <w:bCs/>
                <w:sz w:val="16"/>
                <w:szCs w:val="16"/>
              </w:rPr>
              <w:t>Niveaux de référence</w:t>
            </w:r>
          </w:p>
        </w:tc>
        <w:tc>
          <w:tcPr>
            <w:tcW w:w="748" w:type="pct"/>
            <w:gridSpan w:val="2"/>
            <w:tcBorders>
              <w:top w:val="single" w:sz="4" w:space="0" w:color="auto"/>
            </w:tcBorders>
            <w:shd w:val="clear" w:color="auto" w:fill="auto"/>
            <w:tcMar>
              <w:top w:w="110" w:type="dxa"/>
            </w:tcMar>
            <w:vAlign w:val="center"/>
          </w:tcPr>
          <w:p w:rsidR="00232431" w:rsidRPr="00C258AD" w:rsidRDefault="00232431" w:rsidP="001A4D6C">
            <w:pPr>
              <w:jc w:val="center"/>
              <w:rPr>
                <w:b/>
                <w:sz w:val="16"/>
                <w:szCs w:val="16"/>
              </w:rPr>
            </w:pPr>
            <w:r w:rsidRPr="00C258AD">
              <w:rPr>
                <w:b/>
                <w:sz w:val="16"/>
                <w:szCs w:val="16"/>
              </w:rPr>
              <w:t>Objectifs visés</w:t>
            </w:r>
          </w:p>
        </w:tc>
        <w:tc>
          <w:tcPr>
            <w:tcW w:w="1118" w:type="pct"/>
            <w:gridSpan w:val="2"/>
            <w:tcBorders>
              <w:top w:val="single" w:sz="4" w:space="0" w:color="auto"/>
            </w:tcBorders>
            <w:shd w:val="clear" w:color="auto" w:fill="FFFFFF"/>
            <w:tcMar>
              <w:top w:w="110" w:type="dxa"/>
            </w:tcMar>
            <w:vAlign w:val="center"/>
          </w:tcPr>
          <w:p w:rsidR="00232431" w:rsidRPr="00C258AD" w:rsidRDefault="00232431" w:rsidP="001A4D6C">
            <w:pPr>
              <w:jc w:val="center"/>
              <w:rPr>
                <w:sz w:val="16"/>
                <w:szCs w:val="16"/>
              </w:rPr>
            </w:pPr>
            <w:r w:rsidRPr="00C258AD">
              <w:rPr>
                <w:b/>
                <w:bCs/>
                <w:sz w:val="16"/>
                <w:szCs w:val="16"/>
              </w:rPr>
              <w:t>Données relatives à l’exécution</w:t>
            </w:r>
          </w:p>
        </w:tc>
        <w:tc>
          <w:tcPr>
            <w:tcW w:w="667" w:type="pct"/>
            <w:tcBorders>
              <w:top w:val="single" w:sz="4" w:space="0" w:color="auto"/>
            </w:tcBorders>
            <w:shd w:val="clear" w:color="auto" w:fill="auto"/>
            <w:tcMar>
              <w:top w:w="110" w:type="dxa"/>
            </w:tcMar>
            <w:vAlign w:val="center"/>
          </w:tcPr>
          <w:p w:rsidR="00232431" w:rsidRPr="00C258AD" w:rsidRDefault="00232431" w:rsidP="001A4D6C">
            <w:pPr>
              <w:jc w:val="center"/>
              <w:rPr>
                <w:b/>
                <w:bCs/>
                <w:sz w:val="16"/>
                <w:szCs w:val="16"/>
              </w:rPr>
            </w:pPr>
            <w:r w:rsidRPr="00C258AD">
              <w:rPr>
                <w:b/>
                <w:bCs/>
                <w:sz w:val="16"/>
                <w:szCs w:val="16"/>
              </w:rPr>
              <w:t>Code de couleurs</w:t>
            </w:r>
          </w:p>
        </w:tc>
      </w:tr>
      <w:tr w:rsidR="00232431" w:rsidRPr="00C258AD" w:rsidTr="001A4D6C">
        <w:trPr>
          <w:cantSplit/>
        </w:trPr>
        <w:tc>
          <w:tcPr>
            <w:tcW w:w="1195" w:type="pct"/>
            <w:shd w:val="clear" w:color="auto" w:fill="FFFFFF"/>
          </w:tcPr>
          <w:p w:rsidR="00232431" w:rsidRPr="00C258AD" w:rsidRDefault="00232431" w:rsidP="001A4D6C">
            <w:pPr>
              <w:rPr>
                <w:sz w:val="16"/>
                <w:szCs w:val="16"/>
              </w:rPr>
            </w:pPr>
            <w:r w:rsidRPr="00C258AD">
              <w:rPr>
                <w:sz w:val="16"/>
                <w:szCs w:val="16"/>
              </w:rPr>
              <w:t>Nombre de pays ayant ratifié le Traité de Beijing</w:t>
            </w:r>
          </w:p>
        </w:tc>
        <w:tc>
          <w:tcPr>
            <w:tcW w:w="1272" w:type="pct"/>
            <w:gridSpan w:val="2"/>
            <w:shd w:val="clear" w:color="auto" w:fill="auto"/>
          </w:tcPr>
          <w:p w:rsidR="006E2BB1" w:rsidRPr="00C258AD" w:rsidRDefault="00232431" w:rsidP="001A4D6C">
            <w:pPr>
              <w:rPr>
                <w:i/>
                <w:sz w:val="16"/>
                <w:szCs w:val="16"/>
              </w:rPr>
            </w:pPr>
            <w:r w:rsidRPr="00C258AD">
              <w:rPr>
                <w:i/>
                <w:color w:val="002060"/>
                <w:sz w:val="16"/>
                <w:szCs w:val="16"/>
              </w:rPr>
              <w:t>Niveau de référence actualisé à fin 2013 :</w:t>
            </w:r>
            <w:r w:rsidRPr="00C258AD">
              <w:rPr>
                <w:color w:val="002060"/>
                <w:sz w:val="16"/>
                <w:szCs w:val="16"/>
              </w:rPr>
              <w:t xml:space="preserve"> 2 (Botswana, République arabe syrienne)</w:t>
            </w:r>
          </w:p>
          <w:p w:rsidR="006E2BB1" w:rsidRPr="00C258AD" w:rsidRDefault="006E2BB1" w:rsidP="001A4D6C">
            <w:pPr>
              <w:rPr>
                <w:i/>
                <w:sz w:val="16"/>
                <w:szCs w:val="16"/>
                <w:lang w:bidi="th-TH"/>
              </w:rPr>
            </w:pPr>
          </w:p>
          <w:p w:rsidR="00232431" w:rsidRPr="00C258AD" w:rsidRDefault="00232431" w:rsidP="001A4D6C">
            <w:pPr>
              <w:rPr>
                <w:sz w:val="16"/>
                <w:szCs w:val="16"/>
              </w:rPr>
            </w:pPr>
            <w:r w:rsidRPr="00C258AD">
              <w:rPr>
                <w:i/>
                <w:sz w:val="16"/>
                <w:szCs w:val="16"/>
                <w:lang w:bidi="th-TH"/>
              </w:rPr>
              <w:t>Niveau de référence initial dans le programme et budget 2014</w:t>
            </w:r>
            <w:r w:rsidRPr="00C258AD">
              <w:rPr>
                <w:i/>
                <w:sz w:val="16"/>
                <w:szCs w:val="16"/>
                <w:lang w:bidi="th-TH"/>
              </w:rPr>
              <w:noBreakHyphen/>
              <w:t>2015 :</w:t>
            </w:r>
            <w:r w:rsidRPr="00C258AD">
              <w:rPr>
                <w:sz w:val="16"/>
                <w:szCs w:val="16"/>
                <w:lang w:bidi="th-TH"/>
              </w:rPr>
              <w:t xml:space="preserve"> aucun</w:t>
            </w:r>
          </w:p>
        </w:tc>
        <w:tc>
          <w:tcPr>
            <w:tcW w:w="748" w:type="pct"/>
            <w:gridSpan w:val="2"/>
            <w:shd w:val="clear" w:color="auto" w:fill="auto"/>
            <w:tcMar>
              <w:top w:w="110" w:type="dxa"/>
            </w:tcMar>
          </w:tcPr>
          <w:p w:rsidR="00232431" w:rsidRPr="00C258AD" w:rsidRDefault="00232431" w:rsidP="001A4D6C">
            <w:pPr>
              <w:rPr>
                <w:sz w:val="16"/>
                <w:szCs w:val="16"/>
              </w:rPr>
            </w:pPr>
            <w:r w:rsidRPr="00C258AD">
              <w:rPr>
                <w:sz w:val="16"/>
                <w:szCs w:val="16"/>
              </w:rPr>
              <w:t>30 pays en tout</w:t>
            </w:r>
          </w:p>
        </w:tc>
        <w:tc>
          <w:tcPr>
            <w:tcW w:w="1118" w:type="pct"/>
            <w:gridSpan w:val="2"/>
            <w:shd w:val="clear" w:color="auto" w:fill="FFFFFF"/>
            <w:tcMar>
              <w:top w:w="110" w:type="dxa"/>
            </w:tcMar>
          </w:tcPr>
          <w:p w:rsidR="00232431" w:rsidRPr="00C258AD" w:rsidRDefault="00232431" w:rsidP="001A4D6C">
            <w:pPr>
              <w:rPr>
                <w:sz w:val="16"/>
                <w:szCs w:val="16"/>
              </w:rPr>
            </w:pPr>
            <w:r w:rsidRPr="00C258AD">
              <w:rPr>
                <w:sz w:val="16"/>
                <w:szCs w:val="16"/>
              </w:rPr>
              <w:t>8 nouveaux pays ont déposé des instruments de ratification du Traité de Beijing ou d’adhésion à ce traité (Chili, Chine, Émirats arabes unis, Fédération de Russie, Japon, Qatar, République de Moldova, Slovaquie) (10 pays au total)</w:t>
            </w:r>
          </w:p>
        </w:tc>
        <w:tc>
          <w:tcPr>
            <w:tcW w:w="667" w:type="pct"/>
            <w:shd w:val="clear" w:color="auto" w:fill="auto"/>
            <w:tcMar>
              <w:top w:w="110" w:type="dxa"/>
            </w:tcMar>
          </w:tcPr>
          <w:p w:rsidR="00232431" w:rsidRPr="00C258AD" w:rsidRDefault="00232431" w:rsidP="001A4D6C">
            <w:pPr>
              <w:jc w:val="center"/>
              <w:rPr>
                <w:b/>
                <w:bCs/>
                <w:sz w:val="16"/>
                <w:szCs w:val="16"/>
              </w:rPr>
            </w:pPr>
            <w:r w:rsidRPr="00C258AD">
              <w:rPr>
                <w:rFonts w:cs="Arial"/>
                <w:b/>
                <w:bCs/>
                <w:color w:val="FF0000"/>
                <w:sz w:val="16"/>
                <w:szCs w:val="16"/>
              </w:rPr>
              <w:t>Objectif pas atteint</w:t>
            </w:r>
          </w:p>
        </w:tc>
      </w:tr>
      <w:tr w:rsidR="00232431" w:rsidRPr="00C258AD" w:rsidTr="001A4D6C">
        <w:trPr>
          <w:cantSplit/>
        </w:trPr>
        <w:tc>
          <w:tcPr>
            <w:tcW w:w="1195" w:type="pct"/>
            <w:shd w:val="clear" w:color="auto" w:fill="auto"/>
          </w:tcPr>
          <w:p w:rsidR="00232431" w:rsidRPr="00C258AD" w:rsidRDefault="00232431" w:rsidP="001A4D6C">
            <w:pPr>
              <w:rPr>
                <w:sz w:val="16"/>
                <w:szCs w:val="16"/>
                <w:lang w:bidi="th-TH"/>
              </w:rPr>
            </w:pPr>
            <w:r w:rsidRPr="00C258AD">
              <w:rPr>
                <w:sz w:val="16"/>
                <w:szCs w:val="16"/>
                <w:lang w:bidi="th-TH"/>
              </w:rPr>
              <w:t>Nombre et pourcentage de pays ayant donné un retour d’information positif sur les conseils législatifs fournis par l’OMPI</w:t>
            </w:r>
          </w:p>
        </w:tc>
        <w:tc>
          <w:tcPr>
            <w:tcW w:w="1272" w:type="pct"/>
            <w:gridSpan w:val="2"/>
            <w:shd w:val="clear" w:color="auto" w:fill="auto"/>
          </w:tcPr>
          <w:p w:rsidR="00232431" w:rsidRPr="00C258AD" w:rsidRDefault="00232431" w:rsidP="001A4D6C">
            <w:pPr>
              <w:rPr>
                <w:sz w:val="16"/>
                <w:szCs w:val="16"/>
                <w:lang w:bidi="th-TH"/>
              </w:rPr>
            </w:pPr>
            <w:r w:rsidRPr="00C258AD">
              <w:rPr>
                <w:sz w:val="16"/>
                <w:szCs w:val="16"/>
                <w:lang w:bidi="th-TH"/>
              </w:rPr>
              <w:t>Données non disponibles</w:t>
            </w:r>
          </w:p>
        </w:tc>
        <w:tc>
          <w:tcPr>
            <w:tcW w:w="748" w:type="pct"/>
            <w:gridSpan w:val="2"/>
            <w:shd w:val="clear" w:color="auto" w:fill="auto"/>
            <w:tcMar>
              <w:top w:w="110" w:type="dxa"/>
            </w:tcMar>
          </w:tcPr>
          <w:p w:rsidR="00232431" w:rsidRPr="00C258AD" w:rsidRDefault="00232431" w:rsidP="001A4D6C">
            <w:pPr>
              <w:rPr>
                <w:sz w:val="16"/>
                <w:szCs w:val="16"/>
                <w:lang w:bidi="th-TH"/>
              </w:rPr>
            </w:pPr>
            <w:r w:rsidRPr="00C258AD">
              <w:rPr>
                <w:sz w:val="16"/>
                <w:szCs w:val="16"/>
                <w:lang w:bidi="th-TH"/>
              </w:rPr>
              <w:t xml:space="preserve">15 pays </w:t>
            </w:r>
          </w:p>
        </w:tc>
        <w:tc>
          <w:tcPr>
            <w:tcW w:w="1118" w:type="pct"/>
            <w:gridSpan w:val="2"/>
            <w:shd w:val="clear" w:color="auto" w:fill="FFFFFF"/>
            <w:tcMar>
              <w:top w:w="110" w:type="dxa"/>
            </w:tcMar>
          </w:tcPr>
          <w:p w:rsidR="006E2BB1" w:rsidRPr="00C258AD" w:rsidRDefault="00232431" w:rsidP="001A4D6C">
            <w:pPr>
              <w:rPr>
                <w:sz w:val="16"/>
                <w:szCs w:val="16"/>
                <w:lang w:bidi="th-TH"/>
              </w:rPr>
            </w:pPr>
            <w:r w:rsidRPr="00C258AD">
              <w:rPr>
                <w:sz w:val="16"/>
                <w:szCs w:val="16"/>
                <w:lang w:bidi="th-TH"/>
              </w:rPr>
              <w:t>25 pays ont bénéficié de conseils législatifs en 2014</w:t>
            </w:r>
            <w:r w:rsidRPr="00C258AD">
              <w:rPr>
                <w:sz w:val="16"/>
                <w:szCs w:val="16"/>
                <w:lang w:bidi="th-TH"/>
              </w:rPr>
              <w:noBreakHyphen/>
              <w:t>2015.</w:t>
            </w:r>
            <w:r w:rsidRPr="00C258AD">
              <w:rPr>
                <w:sz w:val="16"/>
                <w:szCs w:val="16"/>
              </w:rPr>
              <w:t xml:space="preserve"> </w:t>
            </w:r>
            <w:r w:rsidRPr="00C258AD">
              <w:rPr>
                <w:sz w:val="16"/>
                <w:szCs w:val="16"/>
                <w:lang w:bidi="th-TH"/>
              </w:rPr>
              <w:t xml:space="preserve"> (Afrique : 9;  pays arabes : 3;  Asie et Pacifique : 5;  Amérique latine et Caraïbes : 6;  autres : 2).</w:t>
            </w:r>
          </w:p>
          <w:p w:rsidR="006E2BB1" w:rsidRPr="00C258AD" w:rsidRDefault="006E2BB1" w:rsidP="001A4D6C">
            <w:pPr>
              <w:rPr>
                <w:sz w:val="16"/>
                <w:szCs w:val="16"/>
                <w:lang w:bidi="th-TH"/>
              </w:rPr>
            </w:pPr>
          </w:p>
          <w:p w:rsidR="00232431" w:rsidRPr="00C258AD" w:rsidRDefault="00232431" w:rsidP="001A4D6C">
            <w:pPr>
              <w:rPr>
                <w:sz w:val="16"/>
                <w:szCs w:val="16"/>
                <w:lang w:bidi="th-TH"/>
              </w:rPr>
            </w:pPr>
            <w:r w:rsidRPr="00C258AD">
              <w:rPr>
                <w:rFonts w:cs="Arial"/>
                <w:sz w:val="16"/>
                <w:szCs w:val="16"/>
                <w:lang w:bidi="th-TH"/>
              </w:rPr>
              <w:t xml:space="preserve">100% des réponses valides à l’enquête contenaient un retour d’information positif (5 ou 6 sur une échelle de 1 à 6) sur les </w:t>
            </w:r>
            <w:r w:rsidRPr="00C258AD">
              <w:rPr>
                <w:sz w:val="16"/>
                <w:szCs w:val="16"/>
                <w:lang w:bidi="th-TH"/>
              </w:rPr>
              <w:t>conseils législatifs fournis par l’OMPI dans le domaine du droit d’auteur</w:t>
            </w:r>
            <w:r w:rsidRPr="00C258AD">
              <w:rPr>
                <w:rFonts w:cs="Arial"/>
                <w:sz w:val="16"/>
                <w:szCs w:val="16"/>
                <w:lang w:bidi="th-TH"/>
              </w:rPr>
              <w:t>.</w:t>
            </w:r>
          </w:p>
        </w:tc>
        <w:tc>
          <w:tcPr>
            <w:tcW w:w="667" w:type="pct"/>
            <w:shd w:val="clear" w:color="auto" w:fill="auto"/>
          </w:tcPr>
          <w:p w:rsidR="00232431" w:rsidRPr="00C258AD" w:rsidRDefault="00232431" w:rsidP="001A4D6C">
            <w:pPr>
              <w:jc w:val="center"/>
              <w:rPr>
                <w:bCs/>
                <w:sz w:val="16"/>
                <w:szCs w:val="16"/>
              </w:rPr>
            </w:pPr>
            <w:r w:rsidRPr="00C258AD">
              <w:rPr>
                <w:rFonts w:cs="Arial"/>
                <w:b/>
                <w:bCs/>
                <w:color w:val="00B050"/>
                <w:sz w:val="16"/>
                <w:szCs w:val="16"/>
              </w:rPr>
              <w:t>Objectif pleinement atteint</w:t>
            </w:r>
          </w:p>
        </w:tc>
      </w:tr>
      <w:tr w:rsidR="00232431" w:rsidRPr="00C258AD" w:rsidTr="001A4D6C">
        <w:trPr>
          <w:cantSplit/>
        </w:trPr>
        <w:tc>
          <w:tcPr>
            <w:tcW w:w="1195" w:type="pct"/>
            <w:shd w:val="clear" w:color="auto" w:fill="auto"/>
          </w:tcPr>
          <w:p w:rsidR="00232431" w:rsidRPr="00C258AD" w:rsidRDefault="00232431" w:rsidP="001A4D6C">
            <w:pPr>
              <w:rPr>
                <w:sz w:val="16"/>
                <w:szCs w:val="16"/>
                <w:lang w:bidi="th-TH"/>
              </w:rPr>
            </w:pPr>
            <w:r w:rsidRPr="00C258AD">
              <w:rPr>
                <w:sz w:val="16"/>
                <w:szCs w:val="16"/>
                <w:lang w:bidi="th-TH"/>
              </w:rPr>
              <w:t>Nombre de ratifications concernant les traités Internet de l’OMPI</w:t>
            </w:r>
          </w:p>
        </w:tc>
        <w:tc>
          <w:tcPr>
            <w:tcW w:w="1272" w:type="pct"/>
            <w:gridSpan w:val="2"/>
            <w:shd w:val="clear" w:color="auto" w:fill="auto"/>
          </w:tcPr>
          <w:p w:rsidR="006E2BB1" w:rsidRPr="00C258AD" w:rsidRDefault="00232431" w:rsidP="001A4D6C">
            <w:pPr>
              <w:rPr>
                <w:sz w:val="16"/>
                <w:szCs w:val="16"/>
              </w:rPr>
            </w:pPr>
            <w:r w:rsidRPr="00C258AD">
              <w:rPr>
                <w:i/>
                <w:color w:val="002060"/>
                <w:sz w:val="16"/>
                <w:szCs w:val="16"/>
              </w:rPr>
              <w:t xml:space="preserve">Niveau de référence actualisé à fin 2013 : </w:t>
            </w:r>
            <w:r w:rsidRPr="00C258AD">
              <w:rPr>
                <w:color w:val="002060"/>
                <w:sz w:val="16"/>
                <w:szCs w:val="16"/>
              </w:rPr>
              <w:t>184</w:t>
            </w:r>
          </w:p>
          <w:p w:rsidR="006E2BB1" w:rsidRPr="00C258AD" w:rsidRDefault="006E2BB1" w:rsidP="001A4D6C">
            <w:pPr>
              <w:rPr>
                <w:i/>
                <w:sz w:val="16"/>
                <w:szCs w:val="16"/>
                <w:lang w:bidi="th-TH"/>
              </w:rPr>
            </w:pPr>
          </w:p>
          <w:p w:rsidR="00232431" w:rsidRPr="00C258AD" w:rsidRDefault="00232431" w:rsidP="001A4D6C">
            <w:pPr>
              <w:rPr>
                <w:sz w:val="16"/>
                <w:szCs w:val="16"/>
                <w:lang w:bidi="th-TH"/>
              </w:rPr>
            </w:pPr>
            <w:r w:rsidRPr="00C258AD">
              <w:rPr>
                <w:i/>
                <w:sz w:val="16"/>
                <w:szCs w:val="16"/>
                <w:lang w:bidi="th-TH"/>
              </w:rPr>
              <w:t>Niveau de référence initial dans le programme et budget 2014</w:t>
            </w:r>
            <w:r w:rsidRPr="00C258AD">
              <w:rPr>
                <w:i/>
                <w:sz w:val="16"/>
                <w:szCs w:val="16"/>
                <w:lang w:bidi="th-TH"/>
              </w:rPr>
              <w:noBreakHyphen/>
              <w:t>2015 :</w:t>
            </w:r>
            <w:r w:rsidRPr="00C258AD">
              <w:rPr>
                <w:sz w:val="16"/>
                <w:szCs w:val="16"/>
                <w:lang w:bidi="th-TH"/>
              </w:rPr>
              <w:t xml:space="preserve"> 181 (fin 2012)</w:t>
            </w:r>
          </w:p>
        </w:tc>
        <w:tc>
          <w:tcPr>
            <w:tcW w:w="748" w:type="pct"/>
            <w:gridSpan w:val="2"/>
            <w:shd w:val="clear" w:color="auto" w:fill="auto"/>
            <w:tcMar>
              <w:top w:w="110" w:type="dxa"/>
            </w:tcMar>
          </w:tcPr>
          <w:p w:rsidR="00232431" w:rsidRPr="00C258AD" w:rsidRDefault="00232431" w:rsidP="001A4D6C">
            <w:pPr>
              <w:rPr>
                <w:sz w:val="16"/>
                <w:szCs w:val="16"/>
                <w:lang w:bidi="th-TH"/>
              </w:rPr>
            </w:pPr>
            <w:r w:rsidRPr="00C258AD">
              <w:rPr>
                <w:sz w:val="16"/>
                <w:szCs w:val="16"/>
                <w:lang w:bidi="th-TH"/>
              </w:rPr>
              <w:t>190 en tout</w:t>
            </w:r>
          </w:p>
        </w:tc>
        <w:tc>
          <w:tcPr>
            <w:tcW w:w="1118" w:type="pct"/>
            <w:gridSpan w:val="2"/>
            <w:shd w:val="clear" w:color="auto" w:fill="FFFFFF"/>
            <w:tcMar>
              <w:top w:w="110" w:type="dxa"/>
            </w:tcMar>
          </w:tcPr>
          <w:p w:rsidR="006E2BB1" w:rsidRPr="00C258AD" w:rsidRDefault="00232431" w:rsidP="001A4D6C">
            <w:pPr>
              <w:rPr>
                <w:sz w:val="16"/>
                <w:szCs w:val="16"/>
                <w:lang w:bidi="th-TH"/>
              </w:rPr>
            </w:pPr>
            <w:r w:rsidRPr="00C258AD">
              <w:rPr>
                <w:sz w:val="16"/>
                <w:szCs w:val="16"/>
                <w:lang w:bidi="th-TH"/>
              </w:rPr>
              <w:t>Quatre instruments de ratification ou d’adhésion ont été déposés en 2014</w:t>
            </w:r>
            <w:r w:rsidRPr="00C258AD">
              <w:rPr>
                <w:sz w:val="16"/>
                <w:szCs w:val="16"/>
                <w:lang w:bidi="th-TH"/>
              </w:rPr>
              <w:noBreakHyphen/>
              <w:t>2015 (188 au total) :</w:t>
            </w:r>
          </w:p>
          <w:p w:rsidR="006E2BB1" w:rsidRPr="00C258AD" w:rsidRDefault="00232431" w:rsidP="00066B9C">
            <w:pPr>
              <w:pStyle w:val="ListParagraph"/>
              <w:numPr>
                <w:ilvl w:val="0"/>
                <w:numId w:val="45"/>
              </w:numPr>
              <w:rPr>
                <w:sz w:val="16"/>
                <w:szCs w:val="16"/>
                <w:lang w:bidi="th-TH"/>
              </w:rPr>
            </w:pPr>
            <w:r w:rsidRPr="00C258AD">
              <w:rPr>
                <w:sz w:val="16"/>
                <w:szCs w:val="16"/>
                <w:lang w:bidi="th-TH"/>
              </w:rPr>
              <w:t>Traité de l’OMPI sur le droit d’auteur (Canada, Madagascar)</w:t>
            </w:r>
          </w:p>
          <w:p w:rsidR="00232431" w:rsidRPr="00C258AD" w:rsidRDefault="00232431" w:rsidP="00066B9C">
            <w:pPr>
              <w:pStyle w:val="ListParagraph"/>
              <w:numPr>
                <w:ilvl w:val="0"/>
                <w:numId w:val="45"/>
              </w:numPr>
              <w:rPr>
                <w:sz w:val="16"/>
                <w:szCs w:val="16"/>
                <w:lang w:bidi="th-TH"/>
              </w:rPr>
            </w:pPr>
            <w:r w:rsidRPr="00C258AD">
              <w:rPr>
                <w:sz w:val="16"/>
                <w:szCs w:val="16"/>
                <w:lang w:bidi="th-TH"/>
              </w:rPr>
              <w:t>Traité de l’OMPI sur les interprétations et exécutions et les phonogrammes (Canada, Madagascar)</w:t>
            </w:r>
          </w:p>
        </w:tc>
        <w:tc>
          <w:tcPr>
            <w:tcW w:w="667" w:type="pct"/>
            <w:shd w:val="clear" w:color="auto" w:fill="auto"/>
          </w:tcPr>
          <w:p w:rsidR="00232431" w:rsidRPr="00C258AD" w:rsidRDefault="00232431" w:rsidP="001A4D6C">
            <w:pPr>
              <w:jc w:val="center"/>
              <w:rPr>
                <w:b/>
                <w:bCs/>
                <w:sz w:val="16"/>
                <w:szCs w:val="16"/>
              </w:rPr>
            </w:pPr>
            <w:r w:rsidRPr="00C258AD">
              <w:rPr>
                <w:rFonts w:cs="Arial"/>
                <w:b/>
                <w:bCs/>
                <w:color w:val="00B050"/>
                <w:sz w:val="16"/>
                <w:szCs w:val="16"/>
              </w:rPr>
              <w:t>Objectif pleinement atteint</w:t>
            </w:r>
          </w:p>
        </w:tc>
      </w:tr>
      <w:tr w:rsidR="00232431" w:rsidRPr="00C258AD" w:rsidTr="001A4D6C">
        <w:trPr>
          <w:cantSplit/>
        </w:trPr>
        <w:tc>
          <w:tcPr>
            <w:tcW w:w="1195" w:type="pct"/>
            <w:tcBorders>
              <w:bottom w:val="single" w:sz="4" w:space="0" w:color="auto"/>
            </w:tcBorders>
            <w:shd w:val="clear" w:color="auto" w:fill="auto"/>
          </w:tcPr>
          <w:p w:rsidR="00232431" w:rsidRPr="00C258AD" w:rsidRDefault="00232431" w:rsidP="001A4D6C">
            <w:pPr>
              <w:rPr>
                <w:sz w:val="16"/>
                <w:szCs w:val="16"/>
                <w:lang w:bidi="th-TH"/>
              </w:rPr>
            </w:pPr>
            <w:r w:rsidRPr="00C258AD">
              <w:rPr>
                <w:sz w:val="16"/>
                <w:szCs w:val="16"/>
                <w:lang w:bidi="th-TH"/>
              </w:rPr>
              <w:t xml:space="preserve">Nombre de pays ayant ratifié le Traité de Marrakech </w:t>
            </w:r>
          </w:p>
        </w:tc>
        <w:tc>
          <w:tcPr>
            <w:tcW w:w="1272" w:type="pct"/>
            <w:gridSpan w:val="2"/>
            <w:tcBorders>
              <w:bottom w:val="single" w:sz="4" w:space="0" w:color="auto"/>
            </w:tcBorders>
            <w:shd w:val="clear" w:color="auto" w:fill="auto"/>
          </w:tcPr>
          <w:p w:rsidR="00232431" w:rsidRPr="00C258AD" w:rsidRDefault="00232431" w:rsidP="001A4D6C">
            <w:pPr>
              <w:rPr>
                <w:i/>
                <w:sz w:val="16"/>
                <w:szCs w:val="16"/>
                <w:lang w:bidi="th-TH"/>
              </w:rPr>
            </w:pPr>
            <w:r w:rsidRPr="00C258AD">
              <w:rPr>
                <w:sz w:val="16"/>
                <w:szCs w:val="16"/>
                <w:lang w:bidi="th-TH"/>
              </w:rPr>
              <w:t>Aucun</w:t>
            </w:r>
          </w:p>
        </w:tc>
        <w:tc>
          <w:tcPr>
            <w:tcW w:w="748" w:type="pct"/>
            <w:gridSpan w:val="2"/>
            <w:tcBorders>
              <w:bottom w:val="single" w:sz="4" w:space="0" w:color="auto"/>
            </w:tcBorders>
            <w:shd w:val="clear" w:color="auto" w:fill="auto"/>
            <w:tcMar>
              <w:top w:w="110" w:type="dxa"/>
            </w:tcMar>
          </w:tcPr>
          <w:p w:rsidR="00232431" w:rsidRPr="00C258AD" w:rsidRDefault="00232431" w:rsidP="001A4D6C">
            <w:pPr>
              <w:rPr>
                <w:sz w:val="16"/>
                <w:szCs w:val="16"/>
                <w:lang w:bidi="th-TH"/>
              </w:rPr>
            </w:pPr>
            <w:r w:rsidRPr="00C258AD">
              <w:rPr>
                <w:sz w:val="16"/>
                <w:szCs w:val="16"/>
                <w:lang w:bidi="th-TH"/>
              </w:rPr>
              <w:t>20 pays en tout</w:t>
            </w:r>
          </w:p>
        </w:tc>
        <w:tc>
          <w:tcPr>
            <w:tcW w:w="1118" w:type="pct"/>
            <w:gridSpan w:val="2"/>
            <w:tcBorders>
              <w:bottom w:val="single" w:sz="4" w:space="0" w:color="auto"/>
            </w:tcBorders>
            <w:shd w:val="clear" w:color="auto" w:fill="FFFFFF"/>
            <w:tcMar>
              <w:top w:w="110" w:type="dxa"/>
            </w:tcMar>
          </w:tcPr>
          <w:p w:rsidR="00232431" w:rsidRPr="00C258AD" w:rsidRDefault="00232431" w:rsidP="001A4D6C">
            <w:pPr>
              <w:rPr>
                <w:sz w:val="16"/>
                <w:szCs w:val="16"/>
                <w:lang w:bidi="th-TH"/>
              </w:rPr>
            </w:pPr>
            <w:r w:rsidRPr="00C258AD">
              <w:rPr>
                <w:sz w:val="16"/>
                <w:szCs w:val="16"/>
                <w:lang w:bidi="th-TH"/>
              </w:rPr>
              <w:t>13 instruments de ratification ou d’adhésion ont été déposés en 2014</w:t>
            </w:r>
            <w:r w:rsidRPr="00C258AD">
              <w:rPr>
                <w:sz w:val="16"/>
                <w:szCs w:val="16"/>
                <w:lang w:bidi="th-TH"/>
              </w:rPr>
              <w:noBreakHyphen/>
              <w:t>2015 (</w:t>
            </w:r>
            <w:r w:rsidRPr="00C258AD">
              <w:rPr>
                <w:sz w:val="16"/>
                <w:szCs w:val="16"/>
              </w:rPr>
              <w:t>Argentine, Australie, Brésil, El Salvador, Émirats arabes unis, Inde, Mali, Mexique, Mongolie, Paraguay, République de Corée, Singapour, Uruguay</w:t>
            </w:r>
            <w:r w:rsidRPr="00C258AD">
              <w:rPr>
                <w:sz w:val="16"/>
                <w:szCs w:val="16"/>
                <w:lang w:bidi="th-TH"/>
              </w:rPr>
              <w:t>)</w:t>
            </w:r>
          </w:p>
        </w:tc>
        <w:tc>
          <w:tcPr>
            <w:tcW w:w="667" w:type="pct"/>
            <w:tcBorders>
              <w:bottom w:val="single" w:sz="4" w:space="0" w:color="auto"/>
            </w:tcBorders>
            <w:shd w:val="clear" w:color="auto" w:fill="auto"/>
          </w:tcPr>
          <w:p w:rsidR="00232431" w:rsidRPr="00C258AD" w:rsidRDefault="00232431" w:rsidP="001A4D6C">
            <w:pPr>
              <w:jc w:val="center"/>
              <w:rPr>
                <w:b/>
                <w:bCs/>
                <w:sz w:val="16"/>
                <w:szCs w:val="16"/>
              </w:rPr>
            </w:pPr>
            <w:r w:rsidRPr="00C258AD">
              <w:rPr>
                <w:b/>
                <w:bCs/>
                <w:color w:val="E26B0A"/>
                <w:sz w:val="16"/>
                <w:szCs w:val="16"/>
              </w:rPr>
              <w:t>Objectif partiellement atteint</w:t>
            </w:r>
          </w:p>
        </w:tc>
      </w:tr>
      <w:tr w:rsidR="00232431" w:rsidRPr="00C258AD" w:rsidTr="001A4D6C">
        <w:trPr>
          <w:cantSplit/>
        </w:trPr>
        <w:tc>
          <w:tcPr>
            <w:tcW w:w="5000" w:type="pct"/>
            <w:gridSpan w:val="8"/>
            <w:tcBorders>
              <w:top w:val="single" w:sz="4" w:space="0" w:color="auto"/>
              <w:bottom w:val="single" w:sz="4" w:space="0" w:color="auto"/>
            </w:tcBorders>
            <w:shd w:val="clear" w:color="auto" w:fill="C5D9F1"/>
            <w:vAlign w:val="center"/>
          </w:tcPr>
          <w:p w:rsidR="00232431" w:rsidRPr="00C258AD" w:rsidRDefault="00232431" w:rsidP="00232431">
            <w:pPr>
              <w:keepNext/>
              <w:keepLines/>
              <w:rPr>
                <w:b/>
                <w:bCs/>
                <w:sz w:val="16"/>
                <w:szCs w:val="16"/>
              </w:rPr>
            </w:pPr>
            <w:r w:rsidRPr="00C258AD">
              <w:rPr>
                <w:b/>
                <w:bCs/>
                <w:sz w:val="16"/>
                <w:szCs w:val="16"/>
              </w:rPr>
              <w:lastRenderedPageBreak/>
              <w:t>Résultat escompté :</w:t>
            </w:r>
            <w:r w:rsidRPr="00C258AD">
              <w:rPr>
                <w:bCs/>
                <w:sz w:val="16"/>
                <w:szCs w:val="16"/>
              </w:rPr>
              <w:t xml:space="preserve"> III.2 Mise en valeur des ressources humaines pour répondre aux diverses exigences en matière d’utilisation efficace de la propriété intellectuelle au service du développement dans les pays en développement, les PMA et les pays en transition </w:t>
            </w:r>
          </w:p>
        </w:tc>
      </w:tr>
      <w:tr w:rsidR="00232431" w:rsidRPr="00C258AD" w:rsidTr="001A4D6C">
        <w:trPr>
          <w:cantSplit/>
        </w:trPr>
        <w:tc>
          <w:tcPr>
            <w:tcW w:w="1195" w:type="pct"/>
            <w:tcBorders>
              <w:top w:val="single" w:sz="4" w:space="0" w:color="auto"/>
            </w:tcBorders>
            <w:shd w:val="clear" w:color="auto" w:fill="auto"/>
            <w:vAlign w:val="center"/>
          </w:tcPr>
          <w:p w:rsidR="00232431" w:rsidRPr="00C258AD" w:rsidRDefault="00232431" w:rsidP="00232431">
            <w:pPr>
              <w:keepNext/>
              <w:keepLines/>
              <w:jc w:val="center"/>
              <w:rPr>
                <w:sz w:val="16"/>
                <w:szCs w:val="16"/>
              </w:rPr>
            </w:pPr>
            <w:r w:rsidRPr="00C258AD">
              <w:rPr>
                <w:b/>
                <w:bCs/>
                <w:sz w:val="16"/>
                <w:szCs w:val="16"/>
              </w:rPr>
              <w:t>Indicateurs d’exécution</w:t>
            </w:r>
          </w:p>
        </w:tc>
        <w:tc>
          <w:tcPr>
            <w:tcW w:w="1272" w:type="pct"/>
            <w:gridSpan w:val="2"/>
            <w:tcBorders>
              <w:top w:val="single" w:sz="4" w:space="0" w:color="auto"/>
            </w:tcBorders>
            <w:shd w:val="clear" w:color="auto" w:fill="auto"/>
            <w:vAlign w:val="center"/>
          </w:tcPr>
          <w:p w:rsidR="00232431" w:rsidRPr="00C258AD" w:rsidRDefault="00232431" w:rsidP="00232431">
            <w:pPr>
              <w:keepNext/>
              <w:keepLines/>
              <w:jc w:val="center"/>
              <w:rPr>
                <w:b/>
                <w:bCs/>
                <w:sz w:val="16"/>
                <w:szCs w:val="16"/>
              </w:rPr>
            </w:pPr>
            <w:r w:rsidRPr="00C258AD">
              <w:rPr>
                <w:b/>
                <w:bCs/>
                <w:sz w:val="16"/>
                <w:szCs w:val="16"/>
              </w:rPr>
              <w:t>Niveaux de référence</w:t>
            </w:r>
          </w:p>
        </w:tc>
        <w:tc>
          <w:tcPr>
            <w:tcW w:w="748" w:type="pct"/>
            <w:gridSpan w:val="2"/>
            <w:tcBorders>
              <w:top w:val="single" w:sz="4" w:space="0" w:color="auto"/>
            </w:tcBorders>
            <w:shd w:val="clear" w:color="auto" w:fill="auto"/>
            <w:tcMar>
              <w:top w:w="110" w:type="dxa"/>
            </w:tcMar>
            <w:vAlign w:val="center"/>
          </w:tcPr>
          <w:p w:rsidR="00232431" w:rsidRPr="00C258AD" w:rsidRDefault="00232431" w:rsidP="00232431">
            <w:pPr>
              <w:keepNext/>
              <w:keepLines/>
              <w:jc w:val="center"/>
              <w:rPr>
                <w:b/>
                <w:sz w:val="16"/>
                <w:szCs w:val="16"/>
              </w:rPr>
            </w:pPr>
            <w:r w:rsidRPr="00C258AD">
              <w:rPr>
                <w:b/>
                <w:sz w:val="16"/>
                <w:szCs w:val="16"/>
              </w:rPr>
              <w:t>Objectifs visés</w:t>
            </w:r>
          </w:p>
        </w:tc>
        <w:tc>
          <w:tcPr>
            <w:tcW w:w="1118" w:type="pct"/>
            <w:gridSpan w:val="2"/>
            <w:tcBorders>
              <w:top w:val="single" w:sz="4" w:space="0" w:color="auto"/>
            </w:tcBorders>
            <w:shd w:val="clear" w:color="auto" w:fill="FFFFFF"/>
            <w:tcMar>
              <w:top w:w="110" w:type="dxa"/>
            </w:tcMar>
            <w:vAlign w:val="center"/>
          </w:tcPr>
          <w:p w:rsidR="00232431" w:rsidRPr="00C258AD" w:rsidRDefault="00232431" w:rsidP="00232431">
            <w:pPr>
              <w:keepNext/>
              <w:keepLines/>
              <w:jc w:val="center"/>
              <w:rPr>
                <w:sz w:val="16"/>
                <w:szCs w:val="16"/>
              </w:rPr>
            </w:pPr>
            <w:r w:rsidRPr="00C258AD">
              <w:rPr>
                <w:b/>
                <w:bCs/>
                <w:sz w:val="16"/>
                <w:szCs w:val="16"/>
              </w:rPr>
              <w:t>Données relatives à l’exécution</w:t>
            </w:r>
          </w:p>
        </w:tc>
        <w:tc>
          <w:tcPr>
            <w:tcW w:w="667" w:type="pct"/>
            <w:tcBorders>
              <w:top w:val="single" w:sz="4" w:space="0" w:color="auto"/>
            </w:tcBorders>
            <w:shd w:val="clear" w:color="auto" w:fill="auto"/>
            <w:tcMar>
              <w:top w:w="110" w:type="dxa"/>
            </w:tcMar>
            <w:vAlign w:val="center"/>
          </w:tcPr>
          <w:p w:rsidR="00232431" w:rsidRPr="00C258AD" w:rsidRDefault="00232431" w:rsidP="00232431">
            <w:pPr>
              <w:keepNext/>
              <w:keepLines/>
              <w:jc w:val="center"/>
              <w:rPr>
                <w:b/>
                <w:bCs/>
                <w:sz w:val="16"/>
                <w:szCs w:val="16"/>
              </w:rPr>
            </w:pPr>
            <w:r w:rsidRPr="00C258AD">
              <w:rPr>
                <w:b/>
                <w:bCs/>
                <w:sz w:val="16"/>
                <w:szCs w:val="16"/>
              </w:rPr>
              <w:t>Code de couleurs</w:t>
            </w:r>
          </w:p>
        </w:tc>
      </w:tr>
      <w:tr w:rsidR="00232431" w:rsidRPr="00C258AD" w:rsidTr="001A4D6C">
        <w:trPr>
          <w:cantSplit/>
        </w:trPr>
        <w:tc>
          <w:tcPr>
            <w:tcW w:w="1195" w:type="pct"/>
            <w:shd w:val="clear" w:color="auto" w:fill="auto"/>
          </w:tcPr>
          <w:p w:rsidR="00232431" w:rsidRPr="00C258AD" w:rsidRDefault="00232431" w:rsidP="00232431">
            <w:pPr>
              <w:rPr>
                <w:sz w:val="16"/>
                <w:szCs w:val="16"/>
                <w:lang w:bidi="th-TH"/>
              </w:rPr>
            </w:pPr>
            <w:r w:rsidRPr="00C258AD">
              <w:rPr>
                <w:sz w:val="16"/>
                <w:szCs w:val="16"/>
                <w:lang w:bidi="th-TH"/>
              </w:rPr>
              <w:t>Nombre de gouvernements et d’organismes de gestion collective ayant signé un accord avec l’OMPI en vue d’établir une nouvelle norme d’assurance qualité en matière de transparence, de responsabilité et de gouvernance</w:t>
            </w:r>
          </w:p>
        </w:tc>
        <w:tc>
          <w:tcPr>
            <w:tcW w:w="1272" w:type="pct"/>
            <w:gridSpan w:val="2"/>
            <w:shd w:val="clear" w:color="auto" w:fill="auto"/>
          </w:tcPr>
          <w:p w:rsidR="00232431" w:rsidRPr="00C258AD" w:rsidRDefault="00232431" w:rsidP="00232431">
            <w:pPr>
              <w:rPr>
                <w:sz w:val="16"/>
                <w:szCs w:val="16"/>
                <w:lang w:bidi="th-TH"/>
              </w:rPr>
            </w:pPr>
            <w:proofErr w:type="spellStart"/>
            <w:r w:rsidRPr="00C258AD">
              <w:rPr>
                <w:sz w:val="16"/>
                <w:szCs w:val="16"/>
                <w:lang w:bidi="th-TH"/>
              </w:rPr>
              <w:t>n.d</w:t>
            </w:r>
            <w:proofErr w:type="spellEnd"/>
            <w:r w:rsidRPr="00C258AD">
              <w:rPr>
                <w:sz w:val="16"/>
                <w:szCs w:val="16"/>
                <w:lang w:bidi="th-TH"/>
              </w:rPr>
              <w:t>.</w:t>
            </w:r>
          </w:p>
        </w:tc>
        <w:tc>
          <w:tcPr>
            <w:tcW w:w="748" w:type="pct"/>
            <w:gridSpan w:val="2"/>
            <w:shd w:val="clear" w:color="auto" w:fill="auto"/>
            <w:tcMar>
              <w:top w:w="110" w:type="dxa"/>
            </w:tcMar>
          </w:tcPr>
          <w:p w:rsidR="00232431" w:rsidRPr="00C258AD" w:rsidRDefault="00232431" w:rsidP="00232431">
            <w:pPr>
              <w:rPr>
                <w:sz w:val="16"/>
                <w:szCs w:val="16"/>
                <w:lang w:bidi="th-TH"/>
              </w:rPr>
            </w:pPr>
            <w:r w:rsidRPr="00C258AD">
              <w:rPr>
                <w:sz w:val="16"/>
                <w:szCs w:val="16"/>
                <w:lang w:bidi="th-TH"/>
              </w:rPr>
              <w:t>Quatre gouvernements et six organismes de gestion collective</w:t>
            </w:r>
          </w:p>
        </w:tc>
        <w:tc>
          <w:tcPr>
            <w:tcW w:w="1118" w:type="pct"/>
            <w:gridSpan w:val="2"/>
            <w:shd w:val="clear" w:color="auto" w:fill="FFFFFF"/>
            <w:tcMar>
              <w:top w:w="110" w:type="dxa"/>
            </w:tcMar>
          </w:tcPr>
          <w:p w:rsidR="00232431" w:rsidRPr="00C258AD" w:rsidRDefault="00232431" w:rsidP="00232431">
            <w:pPr>
              <w:rPr>
                <w:sz w:val="16"/>
                <w:szCs w:val="16"/>
                <w:lang w:bidi="th-TH"/>
              </w:rPr>
            </w:pPr>
            <w:r w:rsidRPr="00C258AD">
              <w:rPr>
                <w:sz w:val="16"/>
                <w:szCs w:val="16"/>
                <w:lang w:bidi="th-TH"/>
              </w:rPr>
              <w:t>14 gouvernements (</w:t>
            </w:r>
            <w:r w:rsidRPr="00C258AD">
              <w:rPr>
                <w:rFonts w:eastAsia="SimSun"/>
                <w:sz w:val="16"/>
                <w:szCs w:val="16"/>
              </w:rPr>
              <w:t>Bangladesh</w:t>
            </w:r>
            <w:r w:rsidRPr="00C258AD">
              <w:rPr>
                <w:sz w:val="16"/>
                <w:szCs w:val="16"/>
              </w:rPr>
              <w:t>, Cambodge, Gambie, Indonésie, Jordanie, Libéria, Malaisie, Maurice, Namibie, Népal, Nigéria, Philippines, Sri Lanka, Trinité</w:t>
            </w:r>
            <w:r w:rsidRPr="00C258AD">
              <w:rPr>
                <w:sz w:val="16"/>
                <w:szCs w:val="16"/>
              </w:rPr>
              <w:noBreakHyphen/>
              <w:t>et</w:t>
            </w:r>
            <w:r w:rsidRPr="00C258AD">
              <w:rPr>
                <w:sz w:val="16"/>
                <w:szCs w:val="16"/>
              </w:rPr>
              <w:noBreakHyphen/>
              <w:t>Tobago</w:t>
            </w:r>
            <w:r w:rsidRPr="00C258AD">
              <w:rPr>
                <w:sz w:val="16"/>
                <w:szCs w:val="16"/>
                <w:lang w:bidi="th-TH"/>
              </w:rPr>
              <w:t>)</w:t>
            </w:r>
            <w:r w:rsidRPr="00C258AD">
              <w:rPr>
                <w:rStyle w:val="FootnoteReference"/>
                <w:rFonts w:eastAsia="SimSun"/>
                <w:sz w:val="16"/>
                <w:szCs w:val="16"/>
                <w:lang w:bidi="th-TH"/>
              </w:rPr>
              <w:footnoteReference w:id="15"/>
            </w:r>
            <w:r w:rsidRPr="00C258AD">
              <w:rPr>
                <w:sz w:val="16"/>
                <w:szCs w:val="16"/>
                <w:lang w:bidi="th-TH"/>
              </w:rPr>
              <w:t xml:space="preserve"> et 63 organismes de gestion collective ont fait part de leur intérêt à l’égard du projet TAG.</w:t>
            </w:r>
          </w:p>
        </w:tc>
        <w:tc>
          <w:tcPr>
            <w:tcW w:w="667" w:type="pct"/>
            <w:shd w:val="clear" w:color="auto" w:fill="auto"/>
            <w:tcMar>
              <w:top w:w="110" w:type="dxa"/>
            </w:tcMar>
          </w:tcPr>
          <w:p w:rsidR="00232431" w:rsidRPr="00C258AD" w:rsidRDefault="00232431" w:rsidP="00232431">
            <w:pPr>
              <w:jc w:val="center"/>
              <w:rPr>
                <w:bCs/>
                <w:sz w:val="16"/>
                <w:szCs w:val="16"/>
              </w:rPr>
            </w:pPr>
            <w:r w:rsidRPr="00C258AD">
              <w:rPr>
                <w:rFonts w:cs="Arial"/>
                <w:b/>
                <w:bCs/>
                <w:color w:val="00B050"/>
                <w:sz w:val="16"/>
                <w:szCs w:val="16"/>
              </w:rPr>
              <w:t>Objectif pleinement atteint</w:t>
            </w:r>
          </w:p>
        </w:tc>
      </w:tr>
      <w:tr w:rsidR="00232431" w:rsidRPr="00C258AD" w:rsidTr="001A4D6C">
        <w:trPr>
          <w:cantSplit/>
        </w:trPr>
        <w:tc>
          <w:tcPr>
            <w:tcW w:w="1195" w:type="pct"/>
            <w:shd w:val="clear" w:color="auto" w:fill="auto"/>
          </w:tcPr>
          <w:p w:rsidR="00232431" w:rsidRPr="00C258AD" w:rsidRDefault="00232431" w:rsidP="001A4D6C">
            <w:pPr>
              <w:rPr>
                <w:sz w:val="16"/>
                <w:szCs w:val="16"/>
                <w:lang w:bidi="th-TH"/>
              </w:rPr>
            </w:pPr>
            <w:r w:rsidRPr="00C258AD">
              <w:rPr>
                <w:sz w:val="16"/>
                <w:szCs w:val="16"/>
                <w:lang w:bidi="th-TH"/>
              </w:rPr>
              <w:t>Pourcentage de créateurs satisfaits de la formation fournie sur l’utilisation des données et des informations relatives au droit d’auteur pour une gestion efficace de leurs droits</w:t>
            </w:r>
          </w:p>
        </w:tc>
        <w:tc>
          <w:tcPr>
            <w:tcW w:w="1272" w:type="pct"/>
            <w:gridSpan w:val="2"/>
            <w:shd w:val="clear" w:color="auto" w:fill="auto"/>
          </w:tcPr>
          <w:p w:rsidR="006E2BB1" w:rsidRPr="00C258AD" w:rsidRDefault="00232431" w:rsidP="001A4D6C">
            <w:pPr>
              <w:rPr>
                <w:i/>
                <w:sz w:val="16"/>
                <w:szCs w:val="16"/>
              </w:rPr>
            </w:pPr>
            <w:r w:rsidRPr="00C258AD">
              <w:rPr>
                <w:i/>
                <w:color w:val="002060"/>
                <w:sz w:val="16"/>
                <w:szCs w:val="16"/>
              </w:rPr>
              <w:t>Niveau de référence actualisé à fin 2013 :</w:t>
            </w:r>
          </w:p>
          <w:p w:rsidR="006E2BB1" w:rsidRPr="00C258AD" w:rsidRDefault="006E2BB1" w:rsidP="001A4D6C">
            <w:pPr>
              <w:rPr>
                <w:i/>
                <w:sz w:val="16"/>
                <w:szCs w:val="16"/>
                <w:lang w:bidi="th-TH"/>
              </w:rPr>
            </w:pPr>
          </w:p>
          <w:p w:rsidR="00232431" w:rsidRPr="00C258AD" w:rsidRDefault="00232431" w:rsidP="001A4D6C">
            <w:pPr>
              <w:rPr>
                <w:i/>
                <w:sz w:val="16"/>
                <w:szCs w:val="16"/>
              </w:rPr>
            </w:pPr>
            <w:r w:rsidRPr="00C258AD">
              <w:rPr>
                <w:i/>
                <w:sz w:val="16"/>
                <w:szCs w:val="16"/>
                <w:lang w:bidi="th-TH"/>
              </w:rPr>
              <w:t>Niveau de référence initial dans le programme et budget 2014</w:t>
            </w:r>
            <w:r w:rsidRPr="00C258AD">
              <w:rPr>
                <w:i/>
                <w:sz w:val="16"/>
                <w:szCs w:val="16"/>
                <w:lang w:bidi="th-TH"/>
              </w:rPr>
              <w:noBreakHyphen/>
              <w:t>2015 :</w:t>
            </w:r>
            <w:r w:rsidRPr="00C258AD">
              <w:rPr>
                <w:sz w:val="16"/>
                <w:szCs w:val="16"/>
                <w:lang w:bidi="th-TH"/>
              </w:rPr>
              <w:t xml:space="preserve"> </w:t>
            </w:r>
            <w:r w:rsidRPr="00C258AD">
              <w:rPr>
                <w:sz w:val="16"/>
                <w:szCs w:val="16"/>
              </w:rPr>
              <w:t>pas encore commencé</w:t>
            </w:r>
          </w:p>
        </w:tc>
        <w:tc>
          <w:tcPr>
            <w:tcW w:w="748" w:type="pct"/>
            <w:gridSpan w:val="2"/>
            <w:shd w:val="clear" w:color="auto" w:fill="auto"/>
            <w:tcMar>
              <w:top w:w="110" w:type="dxa"/>
            </w:tcMar>
          </w:tcPr>
          <w:p w:rsidR="00232431" w:rsidRPr="00C258AD" w:rsidRDefault="00232431" w:rsidP="001A4D6C">
            <w:pPr>
              <w:rPr>
                <w:sz w:val="16"/>
                <w:szCs w:val="16"/>
                <w:lang w:bidi="th-TH"/>
              </w:rPr>
            </w:pPr>
            <w:r w:rsidRPr="00C258AD">
              <w:rPr>
                <w:sz w:val="16"/>
                <w:szCs w:val="16"/>
                <w:lang w:bidi="th-TH"/>
              </w:rPr>
              <w:t>60%</w:t>
            </w:r>
          </w:p>
        </w:tc>
        <w:tc>
          <w:tcPr>
            <w:tcW w:w="1118" w:type="pct"/>
            <w:gridSpan w:val="2"/>
            <w:shd w:val="clear" w:color="auto" w:fill="FFFFFF"/>
            <w:tcMar>
              <w:top w:w="110" w:type="dxa"/>
            </w:tcMar>
          </w:tcPr>
          <w:p w:rsidR="00232431" w:rsidRPr="00C258AD" w:rsidRDefault="00232431" w:rsidP="001A4D6C">
            <w:pPr>
              <w:rPr>
                <w:sz w:val="16"/>
                <w:szCs w:val="16"/>
                <w:lang w:bidi="th-TH"/>
              </w:rPr>
            </w:pPr>
            <w:r w:rsidRPr="00C258AD">
              <w:rPr>
                <w:sz w:val="16"/>
                <w:szCs w:val="16"/>
                <w:lang w:bidi="th-TH"/>
              </w:rPr>
              <w:t>90%</w:t>
            </w:r>
          </w:p>
        </w:tc>
        <w:tc>
          <w:tcPr>
            <w:tcW w:w="667" w:type="pct"/>
            <w:shd w:val="clear" w:color="auto" w:fill="auto"/>
            <w:tcMar>
              <w:top w:w="110" w:type="dxa"/>
            </w:tcMar>
          </w:tcPr>
          <w:p w:rsidR="00232431" w:rsidRPr="00C258AD" w:rsidRDefault="00232431" w:rsidP="001A4D6C">
            <w:pPr>
              <w:jc w:val="center"/>
              <w:rPr>
                <w:b/>
                <w:bCs/>
                <w:color w:val="00B050"/>
                <w:sz w:val="16"/>
                <w:szCs w:val="16"/>
              </w:rPr>
            </w:pPr>
            <w:r w:rsidRPr="00C258AD">
              <w:rPr>
                <w:rFonts w:cs="Arial"/>
                <w:b/>
                <w:bCs/>
                <w:color w:val="00B050"/>
                <w:sz w:val="16"/>
                <w:szCs w:val="16"/>
              </w:rPr>
              <w:t>Objectif pleinement atteint</w:t>
            </w:r>
          </w:p>
        </w:tc>
      </w:tr>
      <w:tr w:rsidR="00232431" w:rsidRPr="00C258AD" w:rsidTr="001A4D6C">
        <w:trPr>
          <w:cantSplit/>
        </w:trPr>
        <w:tc>
          <w:tcPr>
            <w:tcW w:w="1195" w:type="pct"/>
            <w:shd w:val="clear" w:color="auto" w:fill="auto"/>
          </w:tcPr>
          <w:p w:rsidR="00232431" w:rsidRPr="00C258AD" w:rsidRDefault="00232431" w:rsidP="001A4D6C">
            <w:pPr>
              <w:rPr>
                <w:sz w:val="16"/>
                <w:szCs w:val="16"/>
                <w:lang w:bidi="th-TH"/>
              </w:rPr>
            </w:pPr>
            <w:r w:rsidRPr="00C258AD">
              <w:rPr>
                <w:sz w:val="16"/>
                <w:szCs w:val="16"/>
                <w:lang w:bidi="th-TH"/>
              </w:rPr>
              <w:t>Pourcentage d’évaluations positives de la part des participants quant à l’utilité des réunions et ateliers sur le renforcement des capacités en matière de droit d’auteur</w:t>
            </w:r>
          </w:p>
        </w:tc>
        <w:tc>
          <w:tcPr>
            <w:tcW w:w="1272" w:type="pct"/>
            <w:gridSpan w:val="2"/>
            <w:shd w:val="clear" w:color="auto" w:fill="auto"/>
          </w:tcPr>
          <w:p w:rsidR="006E2BB1" w:rsidRPr="00C258AD" w:rsidRDefault="00232431" w:rsidP="001A4D6C">
            <w:pPr>
              <w:rPr>
                <w:i/>
                <w:sz w:val="16"/>
                <w:szCs w:val="16"/>
              </w:rPr>
            </w:pPr>
            <w:r w:rsidRPr="00C258AD">
              <w:rPr>
                <w:i/>
                <w:color w:val="002060"/>
                <w:sz w:val="16"/>
                <w:szCs w:val="16"/>
              </w:rPr>
              <w:t>Niveau de référence actualisé à fin 2013 :</w:t>
            </w:r>
            <w:r w:rsidRPr="00C258AD">
              <w:rPr>
                <w:color w:val="002060"/>
                <w:sz w:val="16"/>
                <w:szCs w:val="16"/>
              </w:rPr>
              <w:t xml:space="preserve"> plus de 80% des participants aux programmes de renforcement des capacités en matière de droit d’auteur et de droits connexes ont qualifié la formation reçue d’utile</w:t>
            </w:r>
            <w:r w:rsidRPr="00C258AD">
              <w:rPr>
                <w:sz w:val="16"/>
                <w:szCs w:val="16"/>
              </w:rPr>
              <w:t>.</w:t>
            </w:r>
          </w:p>
          <w:p w:rsidR="006E2BB1" w:rsidRPr="00C258AD" w:rsidRDefault="006E2BB1" w:rsidP="001A4D6C">
            <w:pPr>
              <w:rPr>
                <w:i/>
                <w:sz w:val="16"/>
                <w:szCs w:val="16"/>
                <w:lang w:bidi="th-TH"/>
              </w:rPr>
            </w:pPr>
          </w:p>
          <w:p w:rsidR="00232431" w:rsidRPr="00C258AD" w:rsidRDefault="00232431" w:rsidP="001A4D6C">
            <w:pPr>
              <w:rPr>
                <w:i/>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taux de satisfaction de 70%</w:t>
            </w:r>
          </w:p>
        </w:tc>
        <w:tc>
          <w:tcPr>
            <w:tcW w:w="748" w:type="pct"/>
            <w:gridSpan w:val="2"/>
            <w:shd w:val="clear" w:color="auto" w:fill="auto"/>
            <w:tcMar>
              <w:top w:w="110" w:type="dxa"/>
            </w:tcMar>
          </w:tcPr>
          <w:p w:rsidR="00232431" w:rsidRPr="00C258AD" w:rsidRDefault="00232431" w:rsidP="001A4D6C">
            <w:pPr>
              <w:rPr>
                <w:sz w:val="16"/>
                <w:szCs w:val="16"/>
                <w:lang w:bidi="th-TH"/>
              </w:rPr>
            </w:pPr>
            <w:r w:rsidRPr="00C258AD">
              <w:rPr>
                <w:sz w:val="16"/>
                <w:szCs w:val="16"/>
                <w:lang w:bidi="th-TH"/>
              </w:rPr>
              <w:t>70% sont d’accord ou absolument d’accord</w:t>
            </w:r>
          </w:p>
        </w:tc>
        <w:tc>
          <w:tcPr>
            <w:tcW w:w="1118" w:type="pct"/>
            <w:gridSpan w:val="2"/>
            <w:shd w:val="clear" w:color="auto" w:fill="FFFFFF"/>
            <w:tcMar>
              <w:top w:w="110" w:type="dxa"/>
            </w:tcMar>
          </w:tcPr>
          <w:p w:rsidR="00232431" w:rsidRPr="00C258AD" w:rsidRDefault="00232431" w:rsidP="001A4D6C">
            <w:pPr>
              <w:rPr>
                <w:sz w:val="16"/>
                <w:szCs w:val="16"/>
                <w:lang w:bidi="th-TH"/>
              </w:rPr>
            </w:pPr>
            <w:r w:rsidRPr="00C258AD">
              <w:rPr>
                <w:sz w:val="16"/>
                <w:szCs w:val="16"/>
                <w:lang w:bidi="th-TH"/>
              </w:rPr>
              <w:t>Plus de 80% des participants sont d’accord ou absolument d’accord</w:t>
            </w:r>
          </w:p>
        </w:tc>
        <w:tc>
          <w:tcPr>
            <w:tcW w:w="667" w:type="pct"/>
            <w:shd w:val="clear" w:color="auto" w:fill="auto"/>
            <w:tcMar>
              <w:top w:w="110" w:type="dxa"/>
            </w:tcMar>
          </w:tcPr>
          <w:p w:rsidR="00232431" w:rsidRPr="00C258AD" w:rsidRDefault="00232431" w:rsidP="001A4D6C">
            <w:pPr>
              <w:jc w:val="center"/>
              <w:rPr>
                <w:b/>
                <w:bCs/>
                <w:color w:val="00B050"/>
                <w:sz w:val="16"/>
                <w:szCs w:val="16"/>
              </w:rPr>
            </w:pPr>
            <w:r w:rsidRPr="00C258AD">
              <w:rPr>
                <w:rFonts w:cs="Arial"/>
                <w:b/>
                <w:bCs/>
                <w:color w:val="00B050"/>
                <w:sz w:val="16"/>
                <w:szCs w:val="16"/>
              </w:rPr>
              <w:t>Objectif pleinement atteint</w:t>
            </w:r>
          </w:p>
        </w:tc>
      </w:tr>
      <w:tr w:rsidR="00232431" w:rsidRPr="00C258AD" w:rsidTr="001A4D6C">
        <w:trPr>
          <w:cantSplit/>
        </w:trPr>
        <w:tc>
          <w:tcPr>
            <w:tcW w:w="1195" w:type="pct"/>
            <w:tcBorders>
              <w:bottom w:val="single" w:sz="4" w:space="0" w:color="auto"/>
            </w:tcBorders>
            <w:shd w:val="clear" w:color="auto" w:fill="auto"/>
          </w:tcPr>
          <w:p w:rsidR="00232431" w:rsidRPr="00C258AD" w:rsidRDefault="00232431" w:rsidP="001A4D6C">
            <w:pPr>
              <w:rPr>
                <w:sz w:val="16"/>
                <w:szCs w:val="16"/>
                <w:lang w:bidi="th-TH"/>
              </w:rPr>
            </w:pPr>
            <w:r w:rsidRPr="00C258AD">
              <w:rPr>
                <w:sz w:val="16"/>
                <w:szCs w:val="16"/>
                <w:lang w:bidi="th-TH"/>
              </w:rPr>
              <w:t>Nombre d’États membres prenant des initiatives pour améliorer leur utilisation du système du droit d’auteur en vue de tirer parti du potentiel économique de leurs ouvrages et produits culturels</w:t>
            </w:r>
          </w:p>
        </w:tc>
        <w:tc>
          <w:tcPr>
            <w:tcW w:w="1272" w:type="pct"/>
            <w:gridSpan w:val="2"/>
            <w:tcBorders>
              <w:bottom w:val="single" w:sz="4" w:space="0" w:color="auto"/>
            </w:tcBorders>
            <w:shd w:val="clear" w:color="auto" w:fill="auto"/>
          </w:tcPr>
          <w:p w:rsidR="006E2BB1" w:rsidRPr="00C258AD" w:rsidRDefault="00232431" w:rsidP="001A4D6C">
            <w:pPr>
              <w:rPr>
                <w:i/>
                <w:color w:val="002060"/>
                <w:sz w:val="16"/>
                <w:szCs w:val="16"/>
              </w:rPr>
            </w:pPr>
            <w:r w:rsidRPr="00C258AD">
              <w:rPr>
                <w:i/>
                <w:color w:val="002060"/>
                <w:sz w:val="16"/>
                <w:szCs w:val="16"/>
              </w:rPr>
              <w:t>Niveau de référence actualisé à fin 2013 :</w:t>
            </w:r>
            <w:r w:rsidRPr="00C258AD">
              <w:rPr>
                <w:color w:val="002060"/>
                <w:sz w:val="16"/>
                <w:szCs w:val="16"/>
              </w:rPr>
              <w:t xml:space="preserve"> 60% des pays ont reçu une assistance</w:t>
            </w:r>
          </w:p>
          <w:p w:rsidR="006E2BB1" w:rsidRPr="00C258AD" w:rsidRDefault="006E2BB1" w:rsidP="001A4D6C">
            <w:pPr>
              <w:rPr>
                <w:i/>
                <w:sz w:val="16"/>
                <w:szCs w:val="16"/>
                <w:lang w:bidi="th-TH"/>
              </w:rPr>
            </w:pPr>
          </w:p>
          <w:p w:rsidR="00232431" w:rsidRPr="00C258AD" w:rsidRDefault="00232431" w:rsidP="001A4D6C">
            <w:pPr>
              <w:rPr>
                <w:i/>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60% des pays ayant demandé une assistance technique</w:t>
            </w:r>
          </w:p>
        </w:tc>
        <w:tc>
          <w:tcPr>
            <w:tcW w:w="748" w:type="pct"/>
            <w:gridSpan w:val="2"/>
            <w:tcBorders>
              <w:bottom w:val="single" w:sz="4" w:space="0" w:color="auto"/>
            </w:tcBorders>
            <w:shd w:val="clear" w:color="auto" w:fill="auto"/>
            <w:tcMar>
              <w:top w:w="110" w:type="dxa"/>
            </w:tcMar>
          </w:tcPr>
          <w:p w:rsidR="00232431" w:rsidRPr="00C258AD" w:rsidRDefault="00232431" w:rsidP="001A4D6C">
            <w:pPr>
              <w:rPr>
                <w:sz w:val="16"/>
                <w:szCs w:val="16"/>
                <w:lang w:bidi="th-TH"/>
              </w:rPr>
            </w:pPr>
            <w:r w:rsidRPr="00C258AD">
              <w:rPr>
                <w:sz w:val="16"/>
                <w:szCs w:val="16"/>
                <w:lang w:bidi="th-TH"/>
              </w:rPr>
              <w:t>60% des pays ayant reçu une assistance</w:t>
            </w:r>
          </w:p>
        </w:tc>
        <w:tc>
          <w:tcPr>
            <w:tcW w:w="1118" w:type="pct"/>
            <w:gridSpan w:val="2"/>
            <w:tcBorders>
              <w:bottom w:val="single" w:sz="4" w:space="0" w:color="auto"/>
            </w:tcBorders>
            <w:shd w:val="clear" w:color="auto" w:fill="FFFFFF"/>
            <w:tcMar>
              <w:top w:w="110" w:type="dxa"/>
            </w:tcMar>
          </w:tcPr>
          <w:p w:rsidR="00232431" w:rsidRPr="00C258AD" w:rsidRDefault="00232431" w:rsidP="001A4D6C">
            <w:pPr>
              <w:rPr>
                <w:sz w:val="16"/>
                <w:szCs w:val="16"/>
                <w:lang w:bidi="th-TH"/>
              </w:rPr>
            </w:pPr>
            <w:r w:rsidRPr="00C258AD">
              <w:rPr>
                <w:sz w:val="16"/>
                <w:szCs w:val="16"/>
                <w:lang w:bidi="th-TH"/>
              </w:rPr>
              <w:t>Plus de 60%</w:t>
            </w:r>
          </w:p>
        </w:tc>
        <w:tc>
          <w:tcPr>
            <w:tcW w:w="667" w:type="pct"/>
            <w:tcBorders>
              <w:bottom w:val="single" w:sz="4" w:space="0" w:color="auto"/>
            </w:tcBorders>
            <w:shd w:val="clear" w:color="auto" w:fill="auto"/>
            <w:tcMar>
              <w:top w:w="110" w:type="dxa"/>
            </w:tcMar>
          </w:tcPr>
          <w:p w:rsidR="00232431" w:rsidRPr="00C258AD" w:rsidRDefault="00232431" w:rsidP="001A4D6C">
            <w:pPr>
              <w:jc w:val="center"/>
              <w:rPr>
                <w:b/>
                <w:bCs/>
                <w:sz w:val="16"/>
                <w:szCs w:val="16"/>
              </w:rPr>
            </w:pPr>
            <w:r w:rsidRPr="00C258AD">
              <w:rPr>
                <w:rFonts w:cs="Arial"/>
                <w:b/>
                <w:bCs/>
                <w:color w:val="00B050"/>
                <w:sz w:val="16"/>
                <w:szCs w:val="16"/>
              </w:rPr>
              <w:t>Objectif pleinement atteint</w:t>
            </w:r>
          </w:p>
        </w:tc>
      </w:tr>
      <w:tr w:rsidR="00232431" w:rsidRPr="00C258AD" w:rsidTr="001A4D6C">
        <w:trPr>
          <w:cantSplit/>
        </w:trPr>
        <w:tc>
          <w:tcPr>
            <w:tcW w:w="5000" w:type="pct"/>
            <w:gridSpan w:val="8"/>
            <w:tcBorders>
              <w:top w:val="single" w:sz="4" w:space="0" w:color="auto"/>
              <w:bottom w:val="single" w:sz="4" w:space="0" w:color="auto"/>
            </w:tcBorders>
            <w:shd w:val="clear" w:color="auto" w:fill="C5D9F1"/>
            <w:vAlign w:val="center"/>
          </w:tcPr>
          <w:p w:rsidR="00232431" w:rsidRPr="00C258AD" w:rsidRDefault="00232431" w:rsidP="001A4D6C">
            <w:pPr>
              <w:keepNext/>
              <w:rPr>
                <w:b/>
                <w:bCs/>
                <w:sz w:val="16"/>
                <w:szCs w:val="16"/>
              </w:rPr>
            </w:pPr>
            <w:r w:rsidRPr="00C258AD">
              <w:rPr>
                <w:b/>
                <w:bCs/>
                <w:sz w:val="16"/>
                <w:szCs w:val="16"/>
              </w:rPr>
              <w:lastRenderedPageBreak/>
              <w:t xml:space="preserve">Résultat escompté : </w:t>
            </w:r>
            <w:r w:rsidRPr="00C258AD">
              <w:rPr>
                <w:bCs/>
                <w:sz w:val="16"/>
                <w:szCs w:val="16"/>
              </w:rPr>
              <w:t>IV.2 Amélioration de l’accessibilité et de l’utilisation de l’information en matière de propriété intellectuelle par les institutions compétentes et le public afin de promouvoir l’innovation et la créativité</w:t>
            </w:r>
            <w:r w:rsidRPr="00C258AD">
              <w:rPr>
                <w:sz w:val="16"/>
                <w:szCs w:val="16"/>
              </w:rPr>
              <w:t xml:space="preserve"> </w:t>
            </w:r>
          </w:p>
        </w:tc>
      </w:tr>
      <w:tr w:rsidR="00232431" w:rsidRPr="00C258AD" w:rsidTr="001A4D6C">
        <w:trPr>
          <w:cantSplit/>
        </w:trPr>
        <w:tc>
          <w:tcPr>
            <w:tcW w:w="1195" w:type="pct"/>
            <w:tcBorders>
              <w:top w:val="single" w:sz="4" w:space="0" w:color="auto"/>
            </w:tcBorders>
            <w:shd w:val="clear" w:color="auto" w:fill="auto"/>
            <w:vAlign w:val="center"/>
          </w:tcPr>
          <w:p w:rsidR="00232431" w:rsidRPr="00C258AD" w:rsidRDefault="00232431" w:rsidP="001A4D6C">
            <w:pPr>
              <w:keepNext/>
              <w:jc w:val="center"/>
              <w:rPr>
                <w:sz w:val="16"/>
                <w:szCs w:val="16"/>
              </w:rPr>
            </w:pPr>
            <w:r w:rsidRPr="00C258AD">
              <w:rPr>
                <w:b/>
                <w:bCs/>
                <w:sz w:val="16"/>
                <w:szCs w:val="16"/>
              </w:rPr>
              <w:t>Indicateurs d’exécution</w:t>
            </w:r>
          </w:p>
        </w:tc>
        <w:tc>
          <w:tcPr>
            <w:tcW w:w="1272" w:type="pct"/>
            <w:gridSpan w:val="2"/>
            <w:tcBorders>
              <w:top w:val="single" w:sz="4" w:space="0" w:color="auto"/>
            </w:tcBorders>
            <w:shd w:val="clear" w:color="auto" w:fill="auto"/>
            <w:vAlign w:val="center"/>
          </w:tcPr>
          <w:p w:rsidR="00232431" w:rsidRPr="00C258AD" w:rsidRDefault="00232431" w:rsidP="001A4D6C">
            <w:pPr>
              <w:keepNext/>
              <w:jc w:val="center"/>
              <w:rPr>
                <w:b/>
                <w:bCs/>
                <w:sz w:val="16"/>
                <w:szCs w:val="16"/>
              </w:rPr>
            </w:pPr>
            <w:r w:rsidRPr="00C258AD">
              <w:rPr>
                <w:b/>
                <w:bCs/>
                <w:sz w:val="16"/>
                <w:szCs w:val="16"/>
              </w:rPr>
              <w:t>Niveaux de référence</w:t>
            </w:r>
          </w:p>
        </w:tc>
        <w:tc>
          <w:tcPr>
            <w:tcW w:w="823" w:type="pct"/>
            <w:gridSpan w:val="3"/>
            <w:tcBorders>
              <w:top w:val="single" w:sz="4" w:space="0" w:color="auto"/>
            </w:tcBorders>
            <w:shd w:val="clear" w:color="auto" w:fill="auto"/>
            <w:tcMar>
              <w:top w:w="110" w:type="dxa"/>
            </w:tcMar>
            <w:vAlign w:val="center"/>
          </w:tcPr>
          <w:p w:rsidR="00232431" w:rsidRPr="00C258AD" w:rsidRDefault="00232431" w:rsidP="001A4D6C">
            <w:pPr>
              <w:keepNext/>
              <w:jc w:val="center"/>
              <w:rPr>
                <w:b/>
                <w:sz w:val="16"/>
                <w:szCs w:val="16"/>
              </w:rPr>
            </w:pPr>
            <w:r w:rsidRPr="00C258AD">
              <w:rPr>
                <w:b/>
                <w:sz w:val="16"/>
                <w:szCs w:val="16"/>
              </w:rPr>
              <w:t>Objectifs visés</w:t>
            </w:r>
          </w:p>
        </w:tc>
        <w:tc>
          <w:tcPr>
            <w:tcW w:w="1043" w:type="pct"/>
            <w:tcBorders>
              <w:top w:val="single" w:sz="4" w:space="0" w:color="auto"/>
            </w:tcBorders>
            <w:shd w:val="clear" w:color="auto" w:fill="FFFFFF"/>
            <w:tcMar>
              <w:top w:w="110" w:type="dxa"/>
            </w:tcMar>
            <w:vAlign w:val="center"/>
          </w:tcPr>
          <w:p w:rsidR="00232431" w:rsidRPr="00C258AD" w:rsidRDefault="00232431" w:rsidP="001A4D6C">
            <w:pPr>
              <w:keepNext/>
              <w:jc w:val="center"/>
              <w:rPr>
                <w:sz w:val="16"/>
                <w:szCs w:val="16"/>
              </w:rPr>
            </w:pPr>
            <w:r w:rsidRPr="00C258AD">
              <w:rPr>
                <w:b/>
                <w:bCs/>
                <w:sz w:val="16"/>
                <w:szCs w:val="16"/>
              </w:rPr>
              <w:t>Données relatives à l’exécution</w:t>
            </w:r>
          </w:p>
        </w:tc>
        <w:tc>
          <w:tcPr>
            <w:tcW w:w="667" w:type="pct"/>
            <w:tcBorders>
              <w:top w:val="single" w:sz="4" w:space="0" w:color="auto"/>
            </w:tcBorders>
            <w:shd w:val="clear" w:color="auto" w:fill="auto"/>
            <w:tcMar>
              <w:top w:w="110" w:type="dxa"/>
            </w:tcMar>
            <w:vAlign w:val="center"/>
          </w:tcPr>
          <w:p w:rsidR="00232431" w:rsidRPr="00C258AD" w:rsidRDefault="00232431" w:rsidP="001A4D6C">
            <w:pPr>
              <w:keepNext/>
              <w:jc w:val="center"/>
              <w:rPr>
                <w:b/>
                <w:bCs/>
                <w:sz w:val="16"/>
                <w:szCs w:val="16"/>
              </w:rPr>
            </w:pPr>
            <w:r w:rsidRPr="00C258AD">
              <w:rPr>
                <w:b/>
                <w:bCs/>
                <w:sz w:val="16"/>
                <w:szCs w:val="16"/>
              </w:rPr>
              <w:t>Code de couleurs</w:t>
            </w:r>
          </w:p>
        </w:tc>
      </w:tr>
      <w:tr w:rsidR="00232431" w:rsidRPr="00C258AD" w:rsidTr="001A4D6C">
        <w:trPr>
          <w:cantSplit/>
        </w:trPr>
        <w:tc>
          <w:tcPr>
            <w:tcW w:w="1195" w:type="pct"/>
            <w:shd w:val="clear" w:color="auto" w:fill="auto"/>
          </w:tcPr>
          <w:p w:rsidR="00232431" w:rsidRPr="00C258AD" w:rsidRDefault="00232431" w:rsidP="001A4D6C">
            <w:pPr>
              <w:rPr>
                <w:sz w:val="16"/>
                <w:szCs w:val="16"/>
                <w:lang w:bidi="th-TH"/>
              </w:rPr>
            </w:pPr>
            <w:r w:rsidRPr="00C258AD">
              <w:rPr>
                <w:sz w:val="16"/>
                <w:szCs w:val="16"/>
                <w:lang w:bidi="th-TH"/>
              </w:rPr>
              <w:t>Nombre d’intermédiaires de confiance et de titulaires de droits qui ont rejoint le réseau du système TIGAR, y compris venant de pays en développement et de PMA</w:t>
            </w:r>
          </w:p>
        </w:tc>
        <w:tc>
          <w:tcPr>
            <w:tcW w:w="1272" w:type="pct"/>
            <w:gridSpan w:val="2"/>
            <w:shd w:val="clear" w:color="auto" w:fill="auto"/>
          </w:tcPr>
          <w:p w:rsidR="006E2BB1" w:rsidRPr="00C258AD" w:rsidRDefault="00232431" w:rsidP="001A4D6C">
            <w:pPr>
              <w:rPr>
                <w:color w:val="002060"/>
                <w:sz w:val="16"/>
                <w:szCs w:val="16"/>
                <w:lang w:bidi="th-TH"/>
              </w:rPr>
            </w:pPr>
            <w:r w:rsidRPr="00C258AD">
              <w:rPr>
                <w:i/>
                <w:color w:val="002060"/>
                <w:sz w:val="16"/>
                <w:szCs w:val="16"/>
              </w:rPr>
              <w:t xml:space="preserve">Niveau de référence actualisé à fin 2013 : </w:t>
            </w:r>
            <w:r w:rsidRPr="00C258AD">
              <w:rPr>
                <w:color w:val="002060"/>
                <w:sz w:val="16"/>
                <w:szCs w:val="16"/>
              </w:rPr>
              <w:t>f</w:t>
            </w:r>
            <w:r w:rsidRPr="00C258AD">
              <w:rPr>
                <w:color w:val="002060"/>
                <w:sz w:val="16"/>
                <w:szCs w:val="16"/>
                <w:lang w:bidi="th-TH"/>
              </w:rPr>
              <w:t>in 2013, 25 intermédiaires de confiance et 45 titulaires de droits avaient signé le mémorandum d’accord TIGAR, y compris des intermédiaires de confiance de pays en développement et de pays de la catégorie des moins avancés.</w:t>
            </w:r>
          </w:p>
          <w:p w:rsidR="006E2BB1" w:rsidRPr="00C258AD" w:rsidRDefault="00232431" w:rsidP="001A4D6C">
            <w:pPr>
              <w:rPr>
                <w:color w:val="002060"/>
                <w:sz w:val="16"/>
                <w:szCs w:val="16"/>
                <w:lang w:bidi="th-TH"/>
              </w:rPr>
            </w:pPr>
            <w:r w:rsidRPr="00C258AD">
              <w:rPr>
                <w:color w:val="002060"/>
                <w:sz w:val="16"/>
                <w:szCs w:val="16"/>
                <w:lang w:bidi="th-TH"/>
              </w:rPr>
              <w:t>Onze intermédiaires de confiance avaient téléchargé leurs titres en formats accessibles dans la base de données TIGAR à la fin de l’année 2013.</w:t>
            </w:r>
          </w:p>
          <w:p w:rsidR="006E2BB1" w:rsidRPr="00C258AD" w:rsidRDefault="006E2BB1" w:rsidP="001A4D6C">
            <w:pPr>
              <w:rPr>
                <w:i/>
                <w:sz w:val="16"/>
                <w:szCs w:val="16"/>
                <w:lang w:bidi="th-TH"/>
              </w:rPr>
            </w:pPr>
          </w:p>
          <w:p w:rsidR="00232431" w:rsidRPr="00C258AD" w:rsidRDefault="00232431" w:rsidP="001A4D6C">
            <w:pPr>
              <w:rPr>
                <w:sz w:val="16"/>
                <w:szCs w:val="16"/>
                <w:lang w:bidi="th-TH"/>
              </w:rPr>
            </w:pPr>
            <w:r w:rsidRPr="00C258AD">
              <w:rPr>
                <w:i/>
                <w:sz w:val="16"/>
                <w:szCs w:val="16"/>
                <w:lang w:bidi="th-TH"/>
              </w:rPr>
              <w:t>Niveau de référence initial dans le programme et budget 2014</w:t>
            </w:r>
            <w:r w:rsidRPr="00C258AD">
              <w:rPr>
                <w:i/>
                <w:sz w:val="16"/>
                <w:szCs w:val="16"/>
                <w:lang w:bidi="th-TH"/>
              </w:rPr>
              <w:noBreakHyphen/>
              <w:t>2015 :</w:t>
            </w:r>
            <w:r w:rsidRPr="00C258AD">
              <w:rPr>
                <w:i/>
                <w:sz w:val="16"/>
                <w:szCs w:val="16"/>
              </w:rPr>
              <w:t xml:space="preserve"> </w:t>
            </w:r>
            <w:r w:rsidRPr="00C258AD">
              <w:rPr>
                <w:sz w:val="16"/>
                <w:szCs w:val="16"/>
              </w:rPr>
              <w:t>19 intermédiaires de confiance et 40 titulaires de droits</w:t>
            </w:r>
          </w:p>
        </w:tc>
        <w:tc>
          <w:tcPr>
            <w:tcW w:w="823" w:type="pct"/>
            <w:gridSpan w:val="3"/>
            <w:shd w:val="clear" w:color="auto" w:fill="auto"/>
            <w:tcMar>
              <w:top w:w="110" w:type="dxa"/>
            </w:tcMar>
          </w:tcPr>
          <w:p w:rsidR="00232431" w:rsidRPr="00C258AD" w:rsidRDefault="00232431" w:rsidP="001A4D6C">
            <w:pPr>
              <w:autoSpaceDE w:val="0"/>
              <w:autoSpaceDN w:val="0"/>
              <w:adjustRightInd w:val="0"/>
              <w:rPr>
                <w:sz w:val="16"/>
                <w:szCs w:val="16"/>
              </w:rPr>
            </w:pPr>
            <w:r w:rsidRPr="00C258AD">
              <w:rPr>
                <w:sz w:val="16"/>
                <w:szCs w:val="16"/>
              </w:rPr>
              <w:t>24 intermédiaires de confiance et 46 titulaires de droits (en tout)</w:t>
            </w:r>
          </w:p>
        </w:tc>
        <w:tc>
          <w:tcPr>
            <w:tcW w:w="1043" w:type="pct"/>
            <w:shd w:val="clear" w:color="auto" w:fill="FFFFFF"/>
            <w:tcMar>
              <w:top w:w="110" w:type="dxa"/>
            </w:tcMar>
          </w:tcPr>
          <w:p w:rsidR="00232431" w:rsidRPr="00C258AD" w:rsidRDefault="00232431" w:rsidP="001A4D6C">
            <w:pPr>
              <w:rPr>
                <w:sz w:val="16"/>
                <w:szCs w:val="16"/>
                <w:lang w:bidi="th-TH"/>
              </w:rPr>
            </w:pPr>
            <w:r w:rsidRPr="00C258AD">
              <w:rPr>
                <w:sz w:val="16"/>
                <w:szCs w:val="16"/>
                <w:lang w:bidi="th-TH"/>
              </w:rPr>
              <w:t>La plateforme des parties prenantes a été incorporée au Consortium ABC (Accessible Books Consortium).</w:t>
            </w:r>
          </w:p>
        </w:tc>
        <w:tc>
          <w:tcPr>
            <w:tcW w:w="667" w:type="pct"/>
            <w:shd w:val="clear" w:color="auto" w:fill="auto"/>
            <w:tcMar>
              <w:top w:w="110" w:type="dxa"/>
            </w:tcMar>
          </w:tcPr>
          <w:p w:rsidR="00232431" w:rsidRPr="00C258AD" w:rsidRDefault="00232431" w:rsidP="001A4D6C">
            <w:pPr>
              <w:jc w:val="center"/>
              <w:rPr>
                <w:b/>
                <w:bCs/>
                <w:sz w:val="16"/>
                <w:szCs w:val="16"/>
              </w:rPr>
            </w:pPr>
            <w:r w:rsidRPr="00C258AD">
              <w:rPr>
                <w:b/>
                <w:sz w:val="16"/>
                <w:szCs w:val="16"/>
              </w:rPr>
              <w:t>Objectif abandonné</w:t>
            </w:r>
          </w:p>
        </w:tc>
      </w:tr>
      <w:tr w:rsidR="00232431" w:rsidRPr="00C258AD" w:rsidTr="001A4D6C">
        <w:trPr>
          <w:cantSplit/>
        </w:trPr>
        <w:tc>
          <w:tcPr>
            <w:tcW w:w="1195" w:type="pct"/>
            <w:shd w:val="clear" w:color="auto" w:fill="auto"/>
          </w:tcPr>
          <w:p w:rsidR="00232431" w:rsidRPr="00C258AD" w:rsidRDefault="00232431" w:rsidP="001A4D6C">
            <w:pPr>
              <w:rPr>
                <w:sz w:val="16"/>
                <w:szCs w:val="16"/>
                <w:lang w:bidi="th-TH"/>
              </w:rPr>
            </w:pPr>
            <w:r w:rsidRPr="00C258AD">
              <w:rPr>
                <w:sz w:val="16"/>
                <w:szCs w:val="16"/>
                <w:lang w:bidi="th-TH"/>
              </w:rPr>
              <w:t>Nombre d’œuvres protégées par le droit d’auteur distribuées auprès des intermédiaires de confiance et rendues accessibles aux déficients visuels par</w:t>
            </w:r>
            <w:r w:rsidRPr="00C258AD">
              <w:rPr>
                <w:sz w:val="16"/>
                <w:szCs w:val="16"/>
                <w:lang w:bidi="th-TH"/>
              </w:rPr>
              <w:noBreakHyphen/>
              <w:t>delà les frontières par le réseau du système TIGAR</w:t>
            </w:r>
          </w:p>
        </w:tc>
        <w:tc>
          <w:tcPr>
            <w:tcW w:w="1272" w:type="pct"/>
            <w:gridSpan w:val="2"/>
            <w:shd w:val="clear" w:color="auto" w:fill="auto"/>
          </w:tcPr>
          <w:p w:rsidR="006E2BB1" w:rsidRPr="00C258AD" w:rsidRDefault="00232431" w:rsidP="001A4D6C">
            <w:pPr>
              <w:pStyle w:val="Default"/>
              <w:rPr>
                <w:color w:val="002060"/>
                <w:sz w:val="16"/>
                <w:szCs w:val="16"/>
                <w:lang w:bidi="th-TH"/>
              </w:rPr>
            </w:pPr>
            <w:r w:rsidRPr="00C258AD">
              <w:rPr>
                <w:i/>
                <w:color w:val="002060"/>
                <w:sz w:val="16"/>
                <w:szCs w:val="16"/>
              </w:rPr>
              <w:t>Niveau de référence actualisé à fin 2013 :</w:t>
            </w:r>
            <w:r w:rsidRPr="00C258AD">
              <w:rPr>
                <w:color w:val="002060"/>
                <w:sz w:val="16"/>
                <w:szCs w:val="16"/>
                <w:lang w:bidi="th-TH"/>
              </w:rPr>
              <w:t xml:space="preserve"> f</w:t>
            </w:r>
            <w:r w:rsidRPr="00C258AD">
              <w:rPr>
                <w:rFonts w:eastAsia="Times New Roman"/>
                <w:color w:val="002060"/>
                <w:sz w:val="16"/>
                <w:szCs w:val="16"/>
                <w:lang w:bidi="th-TH"/>
              </w:rPr>
              <w:t>in 2013, environ 600 livres en formats accessibles avaient été téléchargés à partir de la base de données TIGAR dans différents pays</w:t>
            </w:r>
            <w:r w:rsidRPr="00C258AD">
              <w:rPr>
                <w:color w:val="002060"/>
                <w:sz w:val="16"/>
                <w:szCs w:val="16"/>
                <w:lang w:bidi="th-TH"/>
              </w:rPr>
              <w:t>.</w:t>
            </w:r>
          </w:p>
          <w:p w:rsidR="006E2BB1" w:rsidRPr="00C258AD" w:rsidRDefault="006E2BB1" w:rsidP="001A4D6C">
            <w:pPr>
              <w:rPr>
                <w:sz w:val="16"/>
                <w:szCs w:val="16"/>
                <w:lang w:bidi="th-TH"/>
              </w:rPr>
            </w:pPr>
          </w:p>
          <w:p w:rsidR="00232431" w:rsidRPr="00C258AD" w:rsidRDefault="00232431" w:rsidP="001A4D6C">
            <w:pPr>
              <w:rPr>
                <w:sz w:val="16"/>
                <w:szCs w:val="16"/>
                <w:lang w:bidi="th-TH"/>
              </w:rPr>
            </w:pPr>
            <w:r w:rsidRPr="00C258AD">
              <w:rPr>
                <w:i/>
                <w:sz w:val="16"/>
                <w:szCs w:val="16"/>
                <w:lang w:bidi="th-TH"/>
              </w:rPr>
              <w:t>Niveau de référence initial dans le programme et budget 2014</w:t>
            </w:r>
            <w:r w:rsidRPr="00C258AD">
              <w:rPr>
                <w:i/>
                <w:sz w:val="16"/>
                <w:szCs w:val="16"/>
                <w:lang w:bidi="th-TH"/>
              </w:rPr>
              <w:noBreakHyphen/>
              <w:t>2015 :</w:t>
            </w:r>
            <w:r w:rsidRPr="00C258AD">
              <w:rPr>
                <w:i/>
                <w:sz w:val="16"/>
                <w:szCs w:val="16"/>
              </w:rPr>
              <w:t xml:space="preserve"> </w:t>
            </w:r>
            <w:r w:rsidRPr="00C258AD">
              <w:rPr>
                <w:sz w:val="16"/>
                <w:szCs w:val="16"/>
                <w:lang w:bidi="th-TH"/>
              </w:rPr>
              <w:t>400</w:t>
            </w:r>
          </w:p>
        </w:tc>
        <w:tc>
          <w:tcPr>
            <w:tcW w:w="823" w:type="pct"/>
            <w:gridSpan w:val="3"/>
            <w:shd w:val="clear" w:color="auto" w:fill="auto"/>
            <w:tcMar>
              <w:top w:w="110" w:type="dxa"/>
            </w:tcMar>
          </w:tcPr>
          <w:p w:rsidR="00232431" w:rsidRPr="00C258AD" w:rsidRDefault="00232431" w:rsidP="001A4D6C">
            <w:pPr>
              <w:rPr>
                <w:sz w:val="16"/>
                <w:szCs w:val="16"/>
                <w:lang w:bidi="th-TH"/>
              </w:rPr>
            </w:pPr>
            <w:r w:rsidRPr="00C258AD">
              <w:rPr>
                <w:sz w:val="16"/>
                <w:szCs w:val="16"/>
              </w:rPr>
              <w:t>1000 (en tout)</w:t>
            </w:r>
          </w:p>
        </w:tc>
        <w:tc>
          <w:tcPr>
            <w:tcW w:w="1043" w:type="pct"/>
            <w:shd w:val="clear" w:color="auto" w:fill="FFFFFF"/>
            <w:tcMar>
              <w:top w:w="110" w:type="dxa"/>
            </w:tcMar>
          </w:tcPr>
          <w:p w:rsidR="006E2BB1" w:rsidRPr="00C258AD" w:rsidRDefault="00232431" w:rsidP="001A4D6C">
            <w:pPr>
              <w:rPr>
                <w:sz w:val="16"/>
                <w:szCs w:val="16"/>
                <w:lang w:bidi="th-TH"/>
              </w:rPr>
            </w:pPr>
            <w:r w:rsidRPr="00C258AD">
              <w:rPr>
                <w:sz w:val="16"/>
                <w:szCs w:val="16"/>
                <w:lang w:bidi="th-TH"/>
              </w:rPr>
              <w:t>Fin 2015, 4208 téléchargements de livres en formats accessibles avaient été effectués par 15 bibliothèques participantes (en tout).</w:t>
            </w:r>
          </w:p>
          <w:p w:rsidR="006E2BB1" w:rsidRPr="00C258AD" w:rsidRDefault="006E2BB1" w:rsidP="001A4D6C">
            <w:pPr>
              <w:rPr>
                <w:sz w:val="16"/>
                <w:szCs w:val="16"/>
                <w:lang w:bidi="th-TH"/>
              </w:rPr>
            </w:pPr>
          </w:p>
          <w:p w:rsidR="00232431" w:rsidRPr="00C258AD" w:rsidRDefault="00232431" w:rsidP="001A4D6C">
            <w:pPr>
              <w:rPr>
                <w:sz w:val="16"/>
                <w:szCs w:val="16"/>
                <w:lang w:bidi="th-TH"/>
              </w:rPr>
            </w:pPr>
            <w:r w:rsidRPr="00C258AD">
              <w:rPr>
                <w:sz w:val="16"/>
                <w:szCs w:val="16"/>
                <w:lang w:bidi="th-TH"/>
              </w:rPr>
              <w:t>Fin 2015, plus de 58 000 prêts de livres en formats accessibles avaient été accordés à des personnes ayant des difficultés de lecture des imprimés.</w:t>
            </w:r>
          </w:p>
        </w:tc>
        <w:tc>
          <w:tcPr>
            <w:tcW w:w="667" w:type="pct"/>
            <w:shd w:val="clear" w:color="auto" w:fill="auto"/>
          </w:tcPr>
          <w:p w:rsidR="00232431" w:rsidRPr="00C258AD" w:rsidRDefault="00232431" w:rsidP="001A4D6C">
            <w:pPr>
              <w:jc w:val="center"/>
              <w:rPr>
                <w:bCs/>
                <w:color w:val="00B050"/>
                <w:sz w:val="16"/>
                <w:szCs w:val="16"/>
              </w:rPr>
            </w:pPr>
            <w:r w:rsidRPr="00C258AD">
              <w:rPr>
                <w:rFonts w:cs="Arial"/>
                <w:b/>
                <w:bCs/>
                <w:color w:val="00B050"/>
                <w:sz w:val="16"/>
                <w:szCs w:val="16"/>
              </w:rPr>
              <w:t>Objectif pleinement atteint</w:t>
            </w:r>
          </w:p>
        </w:tc>
      </w:tr>
      <w:tr w:rsidR="00232431" w:rsidRPr="00C258AD" w:rsidTr="001A4D6C">
        <w:trPr>
          <w:cantSplit/>
        </w:trPr>
        <w:tc>
          <w:tcPr>
            <w:tcW w:w="1195" w:type="pct"/>
            <w:shd w:val="clear" w:color="auto" w:fill="auto"/>
          </w:tcPr>
          <w:p w:rsidR="00232431" w:rsidRPr="00C258AD" w:rsidRDefault="00232431" w:rsidP="001A4D6C">
            <w:pPr>
              <w:rPr>
                <w:sz w:val="16"/>
                <w:szCs w:val="16"/>
                <w:lang w:bidi="th-TH"/>
              </w:rPr>
            </w:pPr>
            <w:r w:rsidRPr="00C258AD">
              <w:rPr>
                <w:sz w:val="16"/>
                <w:szCs w:val="16"/>
                <w:lang w:bidi="th-TH"/>
              </w:rPr>
              <w:t>Pourcentage de personnes satisfaites de l’assistance fournie en matière de renforcement des capacités de l’infrastructure du droit d’auteur</w:t>
            </w:r>
          </w:p>
        </w:tc>
        <w:tc>
          <w:tcPr>
            <w:tcW w:w="1272" w:type="pct"/>
            <w:gridSpan w:val="2"/>
            <w:shd w:val="clear" w:color="auto" w:fill="auto"/>
          </w:tcPr>
          <w:p w:rsidR="00232431" w:rsidRPr="00C258AD" w:rsidRDefault="00232431" w:rsidP="001A4D6C">
            <w:pPr>
              <w:rPr>
                <w:sz w:val="16"/>
                <w:szCs w:val="16"/>
                <w:lang w:bidi="th-TH"/>
              </w:rPr>
            </w:pPr>
            <w:r w:rsidRPr="00C258AD">
              <w:rPr>
                <w:sz w:val="16"/>
                <w:szCs w:val="16"/>
                <w:lang w:bidi="th-TH"/>
              </w:rPr>
              <w:t>Pas encore commencé</w:t>
            </w:r>
          </w:p>
        </w:tc>
        <w:tc>
          <w:tcPr>
            <w:tcW w:w="823" w:type="pct"/>
            <w:gridSpan w:val="3"/>
            <w:shd w:val="clear" w:color="auto" w:fill="auto"/>
            <w:tcMar>
              <w:top w:w="110" w:type="dxa"/>
            </w:tcMar>
          </w:tcPr>
          <w:p w:rsidR="00232431" w:rsidRPr="00C258AD" w:rsidRDefault="00232431" w:rsidP="001A4D6C">
            <w:pPr>
              <w:rPr>
                <w:sz w:val="16"/>
                <w:szCs w:val="16"/>
                <w:lang w:bidi="th-TH"/>
              </w:rPr>
            </w:pPr>
            <w:r w:rsidRPr="00C258AD">
              <w:rPr>
                <w:sz w:val="16"/>
                <w:szCs w:val="16"/>
                <w:lang w:bidi="th-TH"/>
              </w:rPr>
              <w:t>60%</w:t>
            </w:r>
          </w:p>
        </w:tc>
        <w:tc>
          <w:tcPr>
            <w:tcW w:w="1043" w:type="pct"/>
            <w:shd w:val="clear" w:color="auto" w:fill="FFFFFF"/>
            <w:tcMar>
              <w:top w:w="110" w:type="dxa"/>
            </w:tcMar>
          </w:tcPr>
          <w:p w:rsidR="00232431" w:rsidRPr="00C258AD" w:rsidRDefault="00232431" w:rsidP="001A4D6C">
            <w:pPr>
              <w:rPr>
                <w:sz w:val="16"/>
                <w:szCs w:val="16"/>
                <w:lang w:bidi="th-TH"/>
              </w:rPr>
            </w:pPr>
            <w:r w:rsidRPr="00C258AD">
              <w:rPr>
                <w:sz w:val="16"/>
                <w:szCs w:val="16"/>
                <w:lang w:bidi="th-TH"/>
              </w:rPr>
              <w:t>90%</w:t>
            </w:r>
          </w:p>
        </w:tc>
        <w:tc>
          <w:tcPr>
            <w:tcW w:w="667" w:type="pct"/>
            <w:shd w:val="clear" w:color="auto" w:fill="auto"/>
          </w:tcPr>
          <w:p w:rsidR="00232431" w:rsidRPr="00C258AD" w:rsidRDefault="00232431" w:rsidP="001A4D6C">
            <w:pPr>
              <w:jc w:val="center"/>
              <w:rPr>
                <w:bCs/>
                <w:color w:val="00B050"/>
                <w:sz w:val="16"/>
                <w:szCs w:val="16"/>
              </w:rPr>
            </w:pPr>
            <w:r w:rsidRPr="00C258AD">
              <w:rPr>
                <w:rFonts w:cs="Arial"/>
                <w:b/>
                <w:bCs/>
                <w:color w:val="00B050"/>
                <w:sz w:val="16"/>
                <w:szCs w:val="16"/>
              </w:rPr>
              <w:t>Objectif pleinement atteint</w:t>
            </w:r>
          </w:p>
        </w:tc>
      </w:tr>
      <w:tr w:rsidR="00232431" w:rsidRPr="00C258AD" w:rsidTr="001A4D6C">
        <w:trPr>
          <w:cantSplit/>
        </w:trPr>
        <w:tc>
          <w:tcPr>
            <w:tcW w:w="1195" w:type="pct"/>
            <w:shd w:val="clear" w:color="auto" w:fill="auto"/>
          </w:tcPr>
          <w:p w:rsidR="00232431" w:rsidRPr="00C258AD" w:rsidRDefault="00232431" w:rsidP="001A4D6C">
            <w:pPr>
              <w:rPr>
                <w:sz w:val="16"/>
                <w:szCs w:val="16"/>
                <w:lang w:bidi="th-TH"/>
              </w:rPr>
            </w:pPr>
            <w:r w:rsidRPr="00C258AD">
              <w:rPr>
                <w:sz w:val="16"/>
                <w:szCs w:val="16"/>
                <w:lang w:bidi="th-TH"/>
              </w:rPr>
              <w:t>Nombre d’institutions utilisant le GDA</w:t>
            </w:r>
          </w:p>
        </w:tc>
        <w:tc>
          <w:tcPr>
            <w:tcW w:w="1272" w:type="pct"/>
            <w:gridSpan w:val="2"/>
            <w:shd w:val="clear" w:color="auto" w:fill="auto"/>
          </w:tcPr>
          <w:p w:rsidR="006E2BB1" w:rsidRPr="00C258AD" w:rsidRDefault="00232431" w:rsidP="001A4D6C">
            <w:pPr>
              <w:rPr>
                <w:sz w:val="16"/>
                <w:szCs w:val="16"/>
                <w:lang w:bidi="th-TH"/>
              </w:rPr>
            </w:pPr>
            <w:r w:rsidRPr="00C258AD">
              <w:rPr>
                <w:i/>
                <w:color w:val="002060"/>
                <w:sz w:val="16"/>
                <w:szCs w:val="16"/>
              </w:rPr>
              <w:t>Niveau de référence actualisé à fin 2013 :</w:t>
            </w:r>
            <w:r w:rsidRPr="00C258AD">
              <w:rPr>
                <w:color w:val="002060"/>
                <w:sz w:val="16"/>
                <w:szCs w:val="16"/>
                <w:lang w:bidi="th-TH"/>
              </w:rPr>
              <w:t xml:space="preserve"> 15</w:t>
            </w:r>
            <w:r w:rsidRPr="00C258AD">
              <w:rPr>
                <w:rStyle w:val="FootnoteReference"/>
                <w:rFonts w:eastAsia="SimSun"/>
                <w:color w:val="002060"/>
                <w:sz w:val="16"/>
                <w:szCs w:val="16"/>
                <w:lang w:bidi="th-TH"/>
              </w:rPr>
              <w:footnoteReference w:id="16"/>
            </w:r>
            <w:r w:rsidRPr="00C258AD">
              <w:rPr>
                <w:color w:val="002060"/>
                <w:sz w:val="16"/>
                <w:szCs w:val="16"/>
                <w:lang w:bidi="th-TH"/>
              </w:rPr>
              <w:t xml:space="preserve"> bureaux de droit d’auteur utilisant le GDA (en tout)</w:t>
            </w:r>
          </w:p>
          <w:p w:rsidR="006E2BB1" w:rsidRPr="00C258AD" w:rsidRDefault="006E2BB1" w:rsidP="001A4D6C">
            <w:pPr>
              <w:rPr>
                <w:sz w:val="16"/>
                <w:szCs w:val="16"/>
                <w:lang w:bidi="th-TH"/>
              </w:rPr>
            </w:pPr>
          </w:p>
          <w:p w:rsidR="00232431" w:rsidRPr="00C258AD" w:rsidRDefault="00232431" w:rsidP="001A4D6C">
            <w:pPr>
              <w:rPr>
                <w:i/>
                <w:sz w:val="16"/>
                <w:szCs w:val="16"/>
              </w:rPr>
            </w:pPr>
            <w:r w:rsidRPr="00C258AD">
              <w:rPr>
                <w:i/>
                <w:sz w:val="16"/>
                <w:szCs w:val="16"/>
                <w:lang w:bidi="th-TH"/>
              </w:rPr>
              <w:t>Niveau de référence initial dans le programme et budget 2014</w:t>
            </w:r>
            <w:r w:rsidRPr="00C258AD">
              <w:rPr>
                <w:i/>
                <w:sz w:val="16"/>
                <w:szCs w:val="16"/>
                <w:lang w:bidi="th-TH"/>
              </w:rPr>
              <w:noBreakHyphen/>
              <w:t xml:space="preserve">2015 : </w:t>
            </w:r>
            <w:r w:rsidRPr="00C258AD">
              <w:rPr>
                <w:sz w:val="16"/>
                <w:szCs w:val="16"/>
                <w:lang w:bidi="th-TH"/>
              </w:rPr>
              <w:t>15</w:t>
            </w:r>
          </w:p>
        </w:tc>
        <w:tc>
          <w:tcPr>
            <w:tcW w:w="823" w:type="pct"/>
            <w:gridSpan w:val="3"/>
            <w:shd w:val="clear" w:color="auto" w:fill="auto"/>
            <w:tcMar>
              <w:top w:w="110" w:type="dxa"/>
            </w:tcMar>
          </w:tcPr>
          <w:p w:rsidR="00232431" w:rsidRPr="00C258AD" w:rsidRDefault="00232431" w:rsidP="001A4D6C">
            <w:pPr>
              <w:rPr>
                <w:sz w:val="16"/>
                <w:szCs w:val="16"/>
                <w:lang w:bidi="th-TH"/>
              </w:rPr>
            </w:pPr>
            <w:r w:rsidRPr="00C258AD">
              <w:rPr>
                <w:sz w:val="16"/>
                <w:szCs w:val="16"/>
                <w:lang w:bidi="th-TH"/>
              </w:rPr>
              <w:t>15</w:t>
            </w:r>
          </w:p>
        </w:tc>
        <w:tc>
          <w:tcPr>
            <w:tcW w:w="1043" w:type="pct"/>
            <w:shd w:val="clear" w:color="auto" w:fill="FFFFFF"/>
            <w:tcMar>
              <w:top w:w="110" w:type="dxa"/>
            </w:tcMar>
          </w:tcPr>
          <w:p w:rsidR="006E2BB1" w:rsidRPr="00C258AD" w:rsidRDefault="00232431" w:rsidP="001A4D6C">
            <w:pPr>
              <w:rPr>
                <w:sz w:val="16"/>
                <w:szCs w:val="16"/>
                <w:lang w:bidi="th-TH"/>
              </w:rPr>
            </w:pPr>
            <w:r w:rsidRPr="00C258AD">
              <w:rPr>
                <w:sz w:val="16"/>
                <w:szCs w:val="16"/>
                <w:lang w:bidi="th-TH"/>
              </w:rPr>
              <w:t>16 bureaux de droit d’auteur utilisant le GDA (en tout)</w:t>
            </w:r>
          </w:p>
          <w:p w:rsidR="006E2BB1" w:rsidRPr="00C258AD" w:rsidRDefault="006E2BB1" w:rsidP="001A4D6C">
            <w:pPr>
              <w:rPr>
                <w:sz w:val="16"/>
                <w:szCs w:val="16"/>
                <w:lang w:bidi="th-TH"/>
              </w:rPr>
            </w:pPr>
          </w:p>
          <w:p w:rsidR="00232431" w:rsidRPr="00C258AD" w:rsidRDefault="00232431" w:rsidP="001A4D6C">
            <w:pPr>
              <w:rPr>
                <w:sz w:val="16"/>
                <w:szCs w:val="16"/>
                <w:lang w:bidi="th-TH"/>
              </w:rPr>
            </w:pPr>
            <w:r w:rsidRPr="00C258AD">
              <w:rPr>
                <w:sz w:val="16"/>
                <w:szCs w:val="16"/>
                <w:lang w:bidi="th-TH"/>
              </w:rPr>
              <w:t>L’appui que l’OMPI apporte au système GDA a pris fin progressivement fin 2015.</w:t>
            </w:r>
          </w:p>
        </w:tc>
        <w:tc>
          <w:tcPr>
            <w:tcW w:w="667" w:type="pct"/>
            <w:shd w:val="clear" w:color="auto" w:fill="auto"/>
          </w:tcPr>
          <w:p w:rsidR="00232431" w:rsidRPr="00C258AD" w:rsidRDefault="00232431" w:rsidP="001A4D6C">
            <w:pPr>
              <w:jc w:val="center"/>
              <w:rPr>
                <w:b/>
                <w:bCs/>
                <w:color w:val="00B050"/>
                <w:sz w:val="16"/>
                <w:szCs w:val="16"/>
              </w:rPr>
            </w:pPr>
            <w:r w:rsidRPr="00C258AD">
              <w:rPr>
                <w:b/>
                <w:sz w:val="16"/>
                <w:szCs w:val="16"/>
              </w:rPr>
              <w:t>Objectif abandonné</w:t>
            </w:r>
          </w:p>
        </w:tc>
      </w:tr>
      <w:tr w:rsidR="00232431" w:rsidRPr="00C258AD" w:rsidTr="001A4D6C">
        <w:trPr>
          <w:cantSplit/>
        </w:trPr>
        <w:tc>
          <w:tcPr>
            <w:tcW w:w="1195" w:type="pct"/>
            <w:shd w:val="clear" w:color="auto" w:fill="auto"/>
          </w:tcPr>
          <w:p w:rsidR="00232431" w:rsidRPr="00C258AD" w:rsidRDefault="00232431" w:rsidP="001A4D6C">
            <w:pPr>
              <w:rPr>
                <w:sz w:val="16"/>
                <w:szCs w:val="16"/>
                <w:lang w:bidi="th-TH"/>
              </w:rPr>
            </w:pPr>
            <w:r w:rsidRPr="00C258AD">
              <w:rPr>
                <w:sz w:val="16"/>
                <w:szCs w:val="16"/>
                <w:lang w:bidi="th-TH"/>
              </w:rPr>
              <w:t>Utilisation de la base de données de référence de l’OMPI pour la gestion collective</w:t>
            </w:r>
          </w:p>
        </w:tc>
        <w:tc>
          <w:tcPr>
            <w:tcW w:w="1272" w:type="pct"/>
            <w:gridSpan w:val="2"/>
            <w:shd w:val="clear" w:color="auto" w:fill="auto"/>
          </w:tcPr>
          <w:p w:rsidR="00232431" w:rsidRPr="00C258AD" w:rsidRDefault="00232431" w:rsidP="001A4D6C">
            <w:pPr>
              <w:rPr>
                <w:sz w:val="16"/>
                <w:szCs w:val="16"/>
              </w:rPr>
            </w:pPr>
            <w:r w:rsidRPr="00C258AD">
              <w:rPr>
                <w:sz w:val="16"/>
                <w:szCs w:val="16"/>
              </w:rPr>
              <w:t>Pas encore commencé</w:t>
            </w:r>
          </w:p>
        </w:tc>
        <w:tc>
          <w:tcPr>
            <w:tcW w:w="823" w:type="pct"/>
            <w:gridSpan w:val="3"/>
            <w:shd w:val="clear" w:color="auto" w:fill="auto"/>
            <w:tcMar>
              <w:top w:w="110" w:type="dxa"/>
            </w:tcMar>
          </w:tcPr>
          <w:p w:rsidR="00232431" w:rsidRPr="00C258AD" w:rsidRDefault="00232431" w:rsidP="001A4D6C">
            <w:pPr>
              <w:rPr>
                <w:sz w:val="16"/>
                <w:szCs w:val="16"/>
                <w:lang w:bidi="th-TH"/>
              </w:rPr>
            </w:pPr>
            <w:r w:rsidRPr="00C258AD">
              <w:rPr>
                <w:bCs/>
                <w:sz w:val="16"/>
                <w:szCs w:val="16"/>
              </w:rPr>
              <w:t>100 </w:t>
            </w:r>
            <w:r w:rsidRPr="00C258AD">
              <w:rPr>
                <w:sz w:val="16"/>
                <w:szCs w:val="16"/>
              </w:rPr>
              <w:t>utilisateurs</w:t>
            </w:r>
          </w:p>
        </w:tc>
        <w:tc>
          <w:tcPr>
            <w:tcW w:w="1043" w:type="pct"/>
            <w:shd w:val="clear" w:color="auto" w:fill="FFFFFF"/>
            <w:tcMar>
              <w:top w:w="110" w:type="dxa"/>
            </w:tcMar>
          </w:tcPr>
          <w:p w:rsidR="00232431" w:rsidRPr="00C258AD" w:rsidRDefault="00232431" w:rsidP="001A4D6C">
            <w:pPr>
              <w:rPr>
                <w:sz w:val="16"/>
                <w:szCs w:val="16"/>
                <w:lang w:bidi="th-TH"/>
              </w:rPr>
            </w:pPr>
            <w:r w:rsidRPr="00C258AD">
              <w:rPr>
                <w:rFonts w:cs="Arial"/>
                <w:sz w:val="16"/>
                <w:szCs w:val="16"/>
                <w:lang w:bidi="th-TH"/>
              </w:rPr>
              <w:t>Depuis son lancement en octobre 2014, le Guide 2014 sur les sociétés de perception a reçu en moyenne 2300 visites uniques par mois.</w:t>
            </w:r>
          </w:p>
        </w:tc>
        <w:tc>
          <w:tcPr>
            <w:tcW w:w="667" w:type="pct"/>
            <w:shd w:val="clear" w:color="auto" w:fill="auto"/>
          </w:tcPr>
          <w:p w:rsidR="00232431" w:rsidRPr="00C258AD" w:rsidRDefault="00232431" w:rsidP="001A4D6C">
            <w:pPr>
              <w:jc w:val="center"/>
              <w:rPr>
                <w:b/>
                <w:bCs/>
                <w:color w:val="00B050"/>
                <w:sz w:val="16"/>
                <w:szCs w:val="16"/>
              </w:rPr>
            </w:pPr>
            <w:r w:rsidRPr="00C258AD">
              <w:rPr>
                <w:rFonts w:cs="Arial"/>
                <w:b/>
                <w:bCs/>
                <w:color w:val="00B050"/>
                <w:sz w:val="16"/>
                <w:szCs w:val="16"/>
              </w:rPr>
              <w:t>Objectif pleinement atteint</w:t>
            </w:r>
          </w:p>
        </w:tc>
      </w:tr>
      <w:tr w:rsidR="00232431" w:rsidRPr="00C258AD" w:rsidTr="001A4D6C">
        <w:trPr>
          <w:cantSplit/>
        </w:trPr>
        <w:tc>
          <w:tcPr>
            <w:tcW w:w="1195" w:type="pct"/>
            <w:tcBorders>
              <w:bottom w:val="single" w:sz="4" w:space="0" w:color="auto"/>
            </w:tcBorders>
            <w:shd w:val="clear" w:color="auto" w:fill="auto"/>
          </w:tcPr>
          <w:p w:rsidR="00232431" w:rsidRPr="00C258AD" w:rsidRDefault="00232431" w:rsidP="001A4D6C">
            <w:pPr>
              <w:rPr>
                <w:sz w:val="16"/>
                <w:szCs w:val="16"/>
                <w:lang w:bidi="th-TH"/>
              </w:rPr>
            </w:pPr>
            <w:r w:rsidRPr="00C258AD">
              <w:rPr>
                <w:sz w:val="16"/>
                <w:szCs w:val="16"/>
                <w:lang w:bidi="th-TH"/>
              </w:rPr>
              <w:lastRenderedPageBreak/>
              <w:t>Nombre d’instruments juridiques, de lignes directrices, de déclarations de principes autres que des traités convenus ou approuvés par les parties prenantes dans des domaines comme la propriété intellectuelle et le sport ou le droit d’auteur dans l’environnement numérique</w:t>
            </w:r>
          </w:p>
        </w:tc>
        <w:tc>
          <w:tcPr>
            <w:tcW w:w="1272" w:type="pct"/>
            <w:gridSpan w:val="2"/>
            <w:tcBorders>
              <w:bottom w:val="single" w:sz="4" w:space="0" w:color="auto"/>
            </w:tcBorders>
            <w:shd w:val="clear" w:color="auto" w:fill="auto"/>
          </w:tcPr>
          <w:p w:rsidR="006E2BB1" w:rsidRPr="00C258AD" w:rsidRDefault="00232431" w:rsidP="001A4D6C">
            <w:pPr>
              <w:rPr>
                <w:color w:val="002060"/>
                <w:sz w:val="16"/>
                <w:szCs w:val="16"/>
                <w:lang w:bidi="th-TH"/>
              </w:rPr>
            </w:pPr>
            <w:r w:rsidRPr="00C258AD">
              <w:rPr>
                <w:i/>
                <w:color w:val="002060"/>
                <w:sz w:val="16"/>
                <w:szCs w:val="16"/>
              </w:rPr>
              <w:t>Niveau de référence actualisé à fin 2013 :</w:t>
            </w:r>
          </w:p>
          <w:p w:rsidR="006E2BB1" w:rsidRPr="00C258AD" w:rsidRDefault="006E2BB1" w:rsidP="001A4D6C">
            <w:pPr>
              <w:rPr>
                <w:sz w:val="16"/>
                <w:szCs w:val="16"/>
                <w:lang w:bidi="th-TH"/>
              </w:rPr>
            </w:pPr>
          </w:p>
          <w:p w:rsidR="00232431" w:rsidRPr="00C258AD" w:rsidRDefault="00232431" w:rsidP="001A4D6C">
            <w:pPr>
              <w:rPr>
                <w:i/>
                <w:sz w:val="16"/>
                <w:szCs w:val="16"/>
              </w:rPr>
            </w:pPr>
            <w:r w:rsidRPr="00C258AD">
              <w:rPr>
                <w:i/>
                <w:sz w:val="16"/>
                <w:szCs w:val="16"/>
                <w:lang w:bidi="th-TH"/>
              </w:rPr>
              <w:t>Niveau de référence initial dans le programme et budget 2014</w:t>
            </w:r>
            <w:r w:rsidRPr="00C258AD">
              <w:rPr>
                <w:i/>
                <w:sz w:val="16"/>
                <w:szCs w:val="16"/>
                <w:lang w:bidi="th-TH"/>
              </w:rPr>
              <w:noBreakHyphen/>
              <w:t xml:space="preserve">2015 : </w:t>
            </w:r>
            <w:r w:rsidRPr="00C258AD">
              <w:rPr>
                <w:sz w:val="16"/>
                <w:szCs w:val="16"/>
                <w:lang w:bidi="th-TH"/>
              </w:rPr>
              <w:t>1</w:t>
            </w:r>
            <w:r w:rsidRPr="00C258AD">
              <w:rPr>
                <w:i/>
                <w:sz w:val="16"/>
                <w:szCs w:val="16"/>
                <w:lang w:bidi="th-TH"/>
              </w:rPr>
              <w:t xml:space="preserve"> </w:t>
            </w:r>
            <w:r w:rsidRPr="00C258AD">
              <w:rPr>
                <w:sz w:val="16"/>
                <w:szCs w:val="16"/>
              </w:rPr>
              <w:t>(examen par l’OMPI de la situation contractuelle dans le secteur audiovisuel)</w:t>
            </w:r>
          </w:p>
        </w:tc>
        <w:tc>
          <w:tcPr>
            <w:tcW w:w="823" w:type="pct"/>
            <w:gridSpan w:val="3"/>
            <w:tcBorders>
              <w:bottom w:val="single" w:sz="4" w:space="0" w:color="auto"/>
            </w:tcBorders>
            <w:shd w:val="clear" w:color="auto" w:fill="auto"/>
            <w:tcMar>
              <w:top w:w="110" w:type="dxa"/>
            </w:tcMar>
          </w:tcPr>
          <w:p w:rsidR="00232431" w:rsidRPr="00C258AD" w:rsidRDefault="00232431" w:rsidP="001A4D6C">
            <w:pPr>
              <w:rPr>
                <w:sz w:val="16"/>
                <w:szCs w:val="16"/>
                <w:lang w:bidi="th-TH"/>
              </w:rPr>
            </w:pPr>
            <w:r w:rsidRPr="00C258AD">
              <w:rPr>
                <w:sz w:val="16"/>
                <w:szCs w:val="16"/>
                <w:lang w:bidi="th-TH"/>
              </w:rPr>
              <w:t>1</w:t>
            </w:r>
          </w:p>
        </w:tc>
        <w:tc>
          <w:tcPr>
            <w:tcW w:w="1043" w:type="pct"/>
            <w:tcBorders>
              <w:bottom w:val="single" w:sz="4" w:space="0" w:color="auto"/>
            </w:tcBorders>
            <w:shd w:val="clear" w:color="auto" w:fill="FFFFFF"/>
            <w:tcMar>
              <w:top w:w="110" w:type="dxa"/>
            </w:tcMar>
          </w:tcPr>
          <w:p w:rsidR="00232431" w:rsidRPr="00C258AD" w:rsidRDefault="00232431" w:rsidP="001A4D6C">
            <w:pPr>
              <w:rPr>
                <w:sz w:val="16"/>
                <w:szCs w:val="16"/>
                <w:lang w:bidi="th-TH"/>
              </w:rPr>
            </w:pPr>
            <w:r w:rsidRPr="00C258AD">
              <w:rPr>
                <w:sz w:val="16"/>
                <w:szCs w:val="16"/>
                <w:lang w:bidi="th-TH"/>
              </w:rPr>
              <w:t>Le Projet de lignes directrices de l’OMPI sur l’évaluation de l’impact économique, social et culturel du droit d’auteur sur l’économie de la création (Lignes directrices ESCIA) a été achevé en 2014 et la phase pilote de mise en œuvre a commencé et sera terminée pour juin </w:t>
            </w:r>
            <w:r w:rsidRPr="00C258AD">
              <w:rPr>
                <w:rFonts w:cs="Arial"/>
                <w:sz w:val="16"/>
                <w:szCs w:val="16"/>
                <w:lang w:bidi="th-TH"/>
              </w:rPr>
              <w:t>2016</w:t>
            </w:r>
            <w:r w:rsidRPr="00C258AD">
              <w:rPr>
                <w:sz w:val="16"/>
                <w:szCs w:val="16"/>
                <w:lang w:bidi="th-TH"/>
              </w:rPr>
              <w:t>.</w:t>
            </w:r>
          </w:p>
        </w:tc>
        <w:tc>
          <w:tcPr>
            <w:tcW w:w="667" w:type="pct"/>
            <w:tcBorders>
              <w:bottom w:val="single" w:sz="4" w:space="0" w:color="auto"/>
            </w:tcBorders>
            <w:shd w:val="clear" w:color="auto" w:fill="auto"/>
          </w:tcPr>
          <w:p w:rsidR="00232431" w:rsidRPr="00C258AD" w:rsidRDefault="00232431" w:rsidP="001A4D6C">
            <w:pPr>
              <w:jc w:val="center"/>
              <w:rPr>
                <w:b/>
                <w:bCs/>
                <w:sz w:val="16"/>
                <w:szCs w:val="16"/>
              </w:rPr>
            </w:pPr>
            <w:r w:rsidRPr="00C258AD">
              <w:rPr>
                <w:rFonts w:cs="Arial"/>
                <w:b/>
                <w:bCs/>
                <w:color w:val="00B050"/>
                <w:sz w:val="16"/>
                <w:szCs w:val="16"/>
              </w:rPr>
              <w:t>Objectif pleinement atteint</w:t>
            </w:r>
          </w:p>
        </w:tc>
      </w:tr>
      <w:tr w:rsidR="00232431" w:rsidRPr="00C258AD" w:rsidTr="001A4D6C">
        <w:trPr>
          <w:cantSplit/>
        </w:trPr>
        <w:tc>
          <w:tcPr>
            <w:tcW w:w="5000" w:type="pct"/>
            <w:gridSpan w:val="8"/>
            <w:tcBorders>
              <w:top w:val="single" w:sz="4" w:space="0" w:color="auto"/>
              <w:bottom w:val="single" w:sz="4" w:space="0" w:color="auto"/>
            </w:tcBorders>
            <w:shd w:val="clear" w:color="auto" w:fill="C5D9F1"/>
            <w:vAlign w:val="center"/>
          </w:tcPr>
          <w:p w:rsidR="00232431" w:rsidRPr="00C258AD" w:rsidRDefault="00232431" w:rsidP="001A4D6C">
            <w:pPr>
              <w:rPr>
                <w:b/>
                <w:bCs/>
                <w:sz w:val="16"/>
                <w:szCs w:val="16"/>
              </w:rPr>
            </w:pPr>
            <w:r w:rsidRPr="00C258AD">
              <w:rPr>
                <w:b/>
                <w:bCs/>
                <w:sz w:val="16"/>
                <w:szCs w:val="16"/>
              </w:rPr>
              <w:t xml:space="preserve">Résultat escompté : </w:t>
            </w:r>
            <w:r w:rsidRPr="00C258AD">
              <w:rPr>
                <w:sz w:val="16"/>
                <w:szCs w:val="16"/>
              </w:rPr>
              <w:t>IV.4 Amélioration de l’infrastructure technique et du savoir pour les offices de propriété intellectuelle et d’autres institutions de propriété intellectuelle, leur permettant de fournir à leurs parties prenantes des services améliorés (moins chers, plus rapides, de meilleure qualité)</w:t>
            </w:r>
          </w:p>
        </w:tc>
      </w:tr>
      <w:tr w:rsidR="00232431" w:rsidRPr="00C258AD" w:rsidTr="001A4D6C">
        <w:trPr>
          <w:cantSplit/>
        </w:trPr>
        <w:tc>
          <w:tcPr>
            <w:tcW w:w="1195" w:type="pct"/>
            <w:tcBorders>
              <w:top w:val="single" w:sz="4" w:space="0" w:color="auto"/>
            </w:tcBorders>
            <w:shd w:val="clear" w:color="auto" w:fill="auto"/>
            <w:vAlign w:val="center"/>
          </w:tcPr>
          <w:p w:rsidR="00232431" w:rsidRPr="00C258AD" w:rsidRDefault="00232431" w:rsidP="001A4D6C">
            <w:pPr>
              <w:jc w:val="center"/>
              <w:rPr>
                <w:sz w:val="16"/>
                <w:szCs w:val="16"/>
              </w:rPr>
            </w:pPr>
            <w:r w:rsidRPr="00C258AD">
              <w:rPr>
                <w:b/>
                <w:bCs/>
                <w:sz w:val="16"/>
                <w:szCs w:val="16"/>
              </w:rPr>
              <w:t>Indicateurs d’exécution</w:t>
            </w:r>
          </w:p>
        </w:tc>
        <w:tc>
          <w:tcPr>
            <w:tcW w:w="1272" w:type="pct"/>
            <w:gridSpan w:val="2"/>
            <w:tcBorders>
              <w:top w:val="single" w:sz="4" w:space="0" w:color="auto"/>
            </w:tcBorders>
            <w:shd w:val="clear" w:color="auto" w:fill="auto"/>
            <w:vAlign w:val="center"/>
          </w:tcPr>
          <w:p w:rsidR="00232431" w:rsidRPr="00C258AD" w:rsidRDefault="00232431" w:rsidP="001A4D6C">
            <w:pPr>
              <w:jc w:val="center"/>
              <w:rPr>
                <w:b/>
                <w:bCs/>
                <w:sz w:val="16"/>
                <w:szCs w:val="16"/>
              </w:rPr>
            </w:pPr>
            <w:r w:rsidRPr="00C258AD">
              <w:rPr>
                <w:b/>
                <w:bCs/>
                <w:sz w:val="16"/>
                <w:szCs w:val="16"/>
              </w:rPr>
              <w:t>Niveaux de référence</w:t>
            </w:r>
          </w:p>
        </w:tc>
        <w:tc>
          <w:tcPr>
            <w:tcW w:w="823" w:type="pct"/>
            <w:gridSpan w:val="3"/>
            <w:tcBorders>
              <w:top w:val="single" w:sz="4" w:space="0" w:color="auto"/>
            </w:tcBorders>
            <w:shd w:val="clear" w:color="auto" w:fill="auto"/>
            <w:tcMar>
              <w:top w:w="110" w:type="dxa"/>
            </w:tcMar>
            <w:vAlign w:val="center"/>
          </w:tcPr>
          <w:p w:rsidR="00232431" w:rsidRPr="00C258AD" w:rsidRDefault="00232431" w:rsidP="001A4D6C">
            <w:pPr>
              <w:jc w:val="center"/>
              <w:rPr>
                <w:b/>
                <w:sz w:val="16"/>
                <w:szCs w:val="16"/>
              </w:rPr>
            </w:pPr>
            <w:r w:rsidRPr="00C258AD">
              <w:rPr>
                <w:b/>
                <w:sz w:val="16"/>
                <w:szCs w:val="16"/>
              </w:rPr>
              <w:t>Objectifs visés</w:t>
            </w:r>
          </w:p>
        </w:tc>
        <w:tc>
          <w:tcPr>
            <w:tcW w:w="1043" w:type="pct"/>
            <w:tcBorders>
              <w:top w:val="single" w:sz="4" w:space="0" w:color="auto"/>
            </w:tcBorders>
            <w:shd w:val="clear" w:color="auto" w:fill="FFFFFF"/>
            <w:tcMar>
              <w:top w:w="110" w:type="dxa"/>
            </w:tcMar>
            <w:vAlign w:val="center"/>
          </w:tcPr>
          <w:p w:rsidR="00232431" w:rsidRPr="00C258AD" w:rsidRDefault="00232431" w:rsidP="001A4D6C">
            <w:pPr>
              <w:jc w:val="center"/>
              <w:rPr>
                <w:sz w:val="16"/>
                <w:szCs w:val="16"/>
              </w:rPr>
            </w:pPr>
            <w:r w:rsidRPr="00C258AD">
              <w:rPr>
                <w:b/>
                <w:bCs/>
                <w:sz w:val="16"/>
                <w:szCs w:val="16"/>
              </w:rPr>
              <w:t>Données relatives à l’exécution</w:t>
            </w:r>
          </w:p>
        </w:tc>
        <w:tc>
          <w:tcPr>
            <w:tcW w:w="667" w:type="pct"/>
            <w:tcBorders>
              <w:top w:val="single" w:sz="4" w:space="0" w:color="auto"/>
            </w:tcBorders>
            <w:shd w:val="clear" w:color="auto" w:fill="auto"/>
            <w:tcMar>
              <w:top w:w="110" w:type="dxa"/>
            </w:tcMar>
            <w:vAlign w:val="center"/>
          </w:tcPr>
          <w:p w:rsidR="00232431" w:rsidRPr="00C258AD" w:rsidRDefault="00232431" w:rsidP="001A4D6C">
            <w:pPr>
              <w:jc w:val="center"/>
              <w:rPr>
                <w:b/>
                <w:bCs/>
                <w:sz w:val="16"/>
                <w:szCs w:val="16"/>
              </w:rPr>
            </w:pPr>
            <w:r w:rsidRPr="00C258AD">
              <w:rPr>
                <w:b/>
                <w:bCs/>
                <w:sz w:val="16"/>
                <w:szCs w:val="16"/>
              </w:rPr>
              <w:t>Code de couleurs</w:t>
            </w:r>
          </w:p>
        </w:tc>
      </w:tr>
      <w:tr w:rsidR="00232431" w:rsidRPr="00C258AD" w:rsidTr="001A4D6C">
        <w:trPr>
          <w:cantSplit/>
        </w:trPr>
        <w:tc>
          <w:tcPr>
            <w:tcW w:w="1195" w:type="pct"/>
            <w:shd w:val="clear" w:color="auto" w:fill="auto"/>
          </w:tcPr>
          <w:p w:rsidR="00232431" w:rsidRPr="00C258AD" w:rsidRDefault="00232431" w:rsidP="001A4D6C">
            <w:pPr>
              <w:rPr>
                <w:sz w:val="16"/>
                <w:szCs w:val="16"/>
                <w:lang w:bidi="th-TH"/>
              </w:rPr>
            </w:pPr>
            <w:r w:rsidRPr="00C258AD">
              <w:rPr>
                <w:sz w:val="16"/>
                <w:szCs w:val="16"/>
                <w:lang w:bidi="th-TH"/>
              </w:rPr>
              <w:t>Nombre de gouvernements et d’organismes de gestion collective ayant signé un accord avec l’OMPI pour réorganiser WIPOCOS</w:t>
            </w:r>
          </w:p>
        </w:tc>
        <w:tc>
          <w:tcPr>
            <w:tcW w:w="1272" w:type="pct"/>
            <w:gridSpan w:val="2"/>
            <w:shd w:val="clear" w:color="auto" w:fill="auto"/>
          </w:tcPr>
          <w:p w:rsidR="00232431" w:rsidRPr="00C258AD" w:rsidRDefault="00232431" w:rsidP="001A4D6C">
            <w:pPr>
              <w:rPr>
                <w:sz w:val="16"/>
                <w:szCs w:val="16"/>
                <w:lang w:bidi="th-TH"/>
              </w:rPr>
            </w:pPr>
            <w:r w:rsidRPr="00C258AD">
              <w:rPr>
                <w:sz w:val="16"/>
                <w:szCs w:val="16"/>
                <w:lang w:bidi="th-TH"/>
              </w:rPr>
              <w:t>Pas encore commencé</w:t>
            </w:r>
          </w:p>
        </w:tc>
        <w:tc>
          <w:tcPr>
            <w:tcW w:w="823" w:type="pct"/>
            <w:gridSpan w:val="3"/>
            <w:shd w:val="clear" w:color="auto" w:fill="auto"/>
            <w:tcMar>
              <w:top w:w="110" w:type="dxa"/>
            </w:tcMar>
          </w:tcPr>
          <w:p w:rsidR="00232431" w:rsidRPr="00C258AD" w:rsidRDefault="00232431" w:rsidP="001A4D6C">
            <w:pPr>
              <w:pStyle w:val="Default"/>
              <w:rPr>
                <w:color w:val="auto"/>
                <w:sz w:val="16"/>
                <w:szCs w:val="16"/>
                <w:lang w:bidi="th-TH"/>
              </w:rPr>
            </w:pPr>
            <w:r w:rsidRPr="00C258AD">
              <w:rPr>
                <w:rFonts w:eastAsia="Times New Roman"/>
                <w:color w:val="auto"/>
                <w:sz w:val="16"/>
                <w:szCs w:val="16"/>
              </w:rPr>
              <w:t>4 gouvernements et 5 ONG</w:t>
            </w:r>
          </w:p>
        </w:tc>
        <w:tc>
          <w:tcPr>
            <w:tcW w:w="1043" w:type="pct"/>
            <w:shd w:val="clear" w:color="auto" w:fill="FFFFFF"/>
            <w:tcMar>
              <w:top w:w="110" w:type="dxa"/>
            </w:tcMar>
          </w:tcPr>
          <w:p w:rsidR="00232431" w:rsidRPr="00C258AD" w:rsidRDefault="00232431" w:rsidP="001A4D6C">
            <w:pPr>
              <w:rPr>
                <w:sz w:val="16"/>
                <w:szCs w:val="16"/>
                <w:lang w:bidi="th-TH"/>
              </w:rPr>
            </w:pPr>
            <w:r w:rsidRPr="00C258AD">
              <w:rPr>
                <w:sz w:val="16"/>
                <w:szCs w:val="16"/>
                <w:lang w:bidi="th-TH"/>
              </w:rPr>
              <w:t>7 gouvernements (Malaisie, Mali, Népal, Philippines, Ouganda, République démocratique du Congo, Tchad) et 43 organismes de gestion collective</w:t>
            </w:r>
          </w:p>
        </w:tc>
        <w:tc>
          <w:tcPr>
            <w:tcW w:w="667" w:type="pct"/>
            <w:shd w:val="clear" w:color="auto" w:fill="auto"/>
            <w:tcMar>
              <w:top w:w="110" w:type="dxa"/>
            </w:tcMar>
          </w:tcPr>
          <w:p w:rsidR="00232431" w:rsidRPr="00C258AD" w:rsidRDefault="00232431" w:rsidP="001A4D6C">
            <w:pPr>
              <w:jc w:val="center"/>
              <w:rPr>
                <w:bCs/>
                <w:color w:val="00B050"/>
                <w:sz w:val="16"/>
                <w:szCs w:val="16"/>
              </w:rPr>
            </w:pPr>
            <w:r w:rsidRPr="00C258AD">
              <w:rPr>
                <w:rFonts w:cs="Arial"/>
                <w:b/>
                <w:bCs/>
                <w:color w:val="00B050"/>
                <w:sz w:val="16"/>
                <w:szCs w:val="16"/>
              </w:rPr>
              <w:t>Objectif pleinement atteint</w:t>
            </w:r>
          </w:p>
        </w:tc>
      </w:tr>
      <w:tr w:rsidR="00232431" w:rsidRPr="00C258AD" w:rsidTr="001A4D6C">
        <w:trPr>
          <w:cantSplit/>
        </w:trPr>
        <w:tc>
          <w:tcPr>
            <w:tcW w:w="1195" w:type="pct"/>
            <w:shd w:val="clear" w:color="auto" w:fill="auto"/>
          </w:tcPr>
          <w:p w:rsidR="00232431" w:rsidRPr="00C258AD" w:rsidRDefault="00232431" w:rsidP="001A4D6C">
            <w:pPr>
              <w:rPr>
                <w:sz w:val="16"/>
                <w:szCs w:val="16"/>
                <w:lang w:bidi="th-TH"/>
              </w:rPr>
            </w:pPr>
            <w:r w:rsidRPr="00C258AD">
              <w:rPr>
                <w:sz w:val="16"/>
                <w:szCs w:val="16"/>
                <w:lang w:bidi="th-TH"/>
              </w:rPr>
              <w:t>Nombre d’organismes de gestion collective dans les pays en développement et les PMA participant aux réseaux régionaux ou mondiaux animés par l’OMPI.</w:t>
            </w:r>
          </w:p>
        </w:tc>
        <w:tc>
          <w:tcPr>
            <w:tcW w:w="1272" w:type="pct"/>
            <w:gridSpan w:val="2"/>
            <w:shd w:val="clear" w:color="auto" w:fill="auto"/>
          </w:tcPr>
          <w:p w:rsidR="00232431" w:rsidRPr="00C258AD" w:rsidRDefault="00232431" w:rsidP="001A4D6C">
            <w:pPr>
              <w:ind w:right="-151"/>
              <w:rPr>
                <w:sz w:val="16"/>
                <w:szCs w:val="16"/>
              </w:rPr>
            </w:pPr>
            <w:r w:rsidRPr="00C258AD">
              <w:rPr>
                <w:sz w:val="16"/>
                <w:szCs w:val="16"/>
                <w:lang w:bidi="th-TH"/>
              </w:rPr>
              <w:t>0 (zéro)</w:t>
            </w:r>
          </w:p>
        </w:tc>
        <w:tc>
          <w:tcPr>
            <w:tcW w:w="823" w:type="pct"/>
            <w:gridSpan w:val="3"/>
            <w:shd w:val="clear" w:color="auto" w:fill="auto"/>
            <w:tcMar>
              <w:top w:w="110" w:type="dxa"/>
            </w:tcMar>
          </w:tcPr>
          <w:p w:rsidR="00232431" w:rsidRPr="00C258AD" w:rsidRDefault="00232431" w:rsidP="001A4D6C">
            <w:pPr>
              <w:rPr>
                <w:sz w:val="16"/>
                <w:szCs w:val="16"/>
                <w:lang w:bidi="th-TH"/>
              </w:rPr>
            </w:pPr>
            <w:r w:rsidRPr="00C258AD">
              <w:rPr>
                <w:rFonts w:eastAsia="Batang"/>
                <w:sz w:val="16"/>
                <w:szCs w:val="16"/>
                <w:lang w:eastAsia="ja-JP"/>
              </w:rPr>
              <w:t>10</w:t>
            </w:r>
          </w:p>
        </w:tc>
        <w:tc>
          <w:tcPr>
            <w:tcW w:w="1043" w:type="pct"/>
            <w:shd w:val="clear" w:color="auto" w:fill="FFFFFF"/>
            <w:tcMar>
              <w:top w:w="110" w:type="dxa"/>
            </w:tcMar>
          </w:tcPr>
          <w:p w:rsidR="00232431" w:rsidRPr="00C258AD" w:rsidRDefault="00232431" w:rsidP="001A4D6C">
            <w:pPr>
              <w:rPr>
                <w:sz w:val="16"/>
                <w:szCs w:val="16"/>
                <w:lang w:bidi="th-TH"/>
              </w:rPr>
            </w:pPr>
            <w:r w:rsidRPr="00C258AD">
              <w:rPr>
                <w:sz w:val="16"/>
                <w:szCs w:val="16"/>
                <w:lang w:bidi="th-TH"/>
              </w:rPr>
              <w:t>13</w:t>
            </w:r>
          </w:p>
        </w:tc>
        <w:tc>
          <w:tcPr>
            <w:tcW w:w="667" w:type="pct"/>
            <w:shd w:val="clear" w:color="auto" w:fill="auto"/>
          </w:tcPr>
          <w:p w:rsidR="00232431" w:rsidRPr="00C258AD" w:rsidRDefault="00232431" w:rsidP="001A4D6C">
            <w:pPr>
              <w:jc w:val="center"/>
              <w:rPr>
                <w:bCs/>
                <w:color w:val="00B050"/>
                <w:sz w:val="16"/>
                <w:szCs w:val="16"/>
              </w:rPr>
            </w:pPr>
            <w:r w:rsidRPr="00C258AD">
              <w:rPr>
                <w:rFonts w:cs="Arial"/>
                <w:b/>
                <w:bCs/>
                <w:color w:val="00B050"/>
                <w:sz w:val="16"/>
                <w:szCs w:val="16"/>
              </w:rPr>
              <w:t>Objectif pleinement atteint</w:t>
            </w:r>
          </w:p>
        </w:tc>
      </w:tr>
      <w:tr w:rsidR="00232431" w:rsidRPr="00C258AD" w:rsidTr="001A4D6C">
        <w:trPr>
          <w:cantSplit/>
        </w:trPr>
        <w:tc>
          <w:tcPr>
            <w:tcW w:w="1195" w:type="pct"/>
            <w:tcBorders>
              <w:bottom w:val="single" w:sz="4" w:space="0" w:color="auto"/>
            </w:tcBorders>
            <w:shd w:val="clear" w:color="auto" w:fill="auto"/>
          </w:tcPr>
          <w:p w:rsidR="00232431" w:rsidRPr="00C258AD" w:rsidRDefault="00232431" w:rsidP="001A4D6C">
            <w:pPr>
              <w:rPr>
                <w:sz w:val="16"/>
                <w:szCs w:val="16"/>
                <w:lang w:bidi="th-TH"/>
              </w:rPr>
            </w:pPr>
            <w:r w:rsidRPr="00C258AD">
              <w:rPr>
                <w:sz w:val="16"/>
                <w:szCs w:val="16"/>
                <w:lang w:bidi="th-TH"/>
              </w:rPr>
              <w:t>Pourcentage de gouvernements ayant présenté un rapport positif sur l’efficacité accrue (et la meilleure gouvernance) des bureaux de droit d’auteur et d’autres</w:t>
            </w:r>
            <w:r w:rsidRPr="00C258AD">
              <w:rPr>
                <w:sz w:val="16"/>
                <w:szCs w:val="16"/>
              </w:rPr>
              <w:t xml:space="preserve"> </w:t>
            </w:r>
            <w:r w:rsidRPr="00C258AD">
              <w:rPr>
                <w:sz w:val="16"/>
                <w:szCs w:val="16"/>
                <w:lang w:bidi="th-TH"/>
              </w:rPr>
              <w:t>institutions du pays</w:t>
            </w:r>
          </w:p>
        </w:tc>
        <w:tc>
          <w:tcPr>
            <w:tcW w:w="1272" w:type="pct"/>
            <w:gridSpan w:val="2"/>
            <w:tcBorders>
              <w:bottom w:val="single" w:sz="4" w:space="0" w:color="auto"/>
            </w:tcBorders>
            <w:shd w:val="clear" w:color="auto" w:fill="auto"/>
          </w:tcPr>
          <w:p w:rsidR="006E2BB1" w:rsidRPr="00C258AD" w:rsidRDefault="00232431" w:rsidP="001A4D6C">
            <w:pPr>
              <w:rPr>
                <w:i/>
                <w:sz w:val="16"/>
                <w:szCs w:val="16"/>
                <w:lang w:bidi="th-TH"/>
              </w:rPr>
            </w:pPr>
            <w:r w:rsidRPr="00C258AD">
              <w:rPr>
                <w:i/>
                <w:color w:val="002060"/>
                <w:sz w:val="16"/>
                <w:szCs w:val="16"/>
              </w:rPr>
              <w:t>Niveau de référence actualisé à fin 2013 :</w:t>
            </w:r>
            <w:r w:rsidRPr="00C258AD">
              <w:rPr>
                <w:color w:val="002060"/>
                <w:sz w:val="16"/>
                <w:szCs w:val="16"/>
                <w:lang w:bidi="th-TH"/>
              </w:rPr>
              <w:t xml:space="preserve"> p</w:t>
            </w:r>
            <w:r w:rsidRPr="00C258AD">
              <w:rPr>
                <w:color w:val="002060"/>
                <w:sz w:val="16"/>
                <w:szCs w:val="16"/>
              </w:rPr>
              <w:t>lus de 70% des gouvernements ayant reçu une assistance ont présenté un rapport positif sur l’efficacité et la gouvernance des organismes du droit d’auteur dans le pays après la formation</w:t>
            </w:r>
            <w:r w:rsidRPr="00C258AD">
              <w:rPr>
                <w:sz w:val="16"/>
                <w:szCs w:val="16"/>
              </w:rPr>
              <w:t>.</w:t>
            </w:r>
          </w:p>
          <w:p w:rsidR="006E2BB1" w:rsidRPr="00C258AD" w:rsidRDefault="006E2BB1" w:rsidP="001A4D6C">
            <w:pPr>
              <w:rPr>
                <w:i/>
                <w:sz w:val="16"/>
                <w:szCs w:val="16"/>
                <w:lang w:bidi="th-TH"/>
              </w:rPr>
            </w:pPr>
          </w:p>
          <w:p w:rsidR="00232431" w:rsidRPr="00C258AD" w:rsidRDefault="00232431" w:rsidP="001A4D6C">
            <w:pPr>
              <w:ind w:right="294"/>
              <w:rPr>
                <w:i/>
                <w:sz w:val="16"/>
                <w:szCs w:val="16"/>
              </w:rPr>
            </w:pPr>
            <w:r w:rsidRPr="00C258AD">
              <w:rPr>
                <w:i/>
                <w:sz w:val="16"/>
                <w:szCs w:val="16"/>
                <w:lang w:bidi="th-TH"/>
              </w:rPr>
              <w:t>Niveau de référence initial dans le programme et budget 2014</w:t>
            </w:r>
            <w:r w:rsidRPr="00C258AD">
              <w:rPr>
                <w:i/>
                <w:sz w:val="16"/>
                <w:szCs w:val="16"/>
                <w:lang w:bidi="th-TH"/>
              </w:rPr>
              <w:noBreakHyphen/>
              <w:t xml:space="preserve">2015 : </w:t>
            </w:r>
            <w:r w:rsidRPr="00C258AD">
              <w:rPr>
                <w:sz w:val="16"/>
                <w:szCs w:val="16"/>
              </w:rPr>
              <w:t>taux de satisfaction de 80%</w:t>
            </w:r>
          </w:p>
        </w:tc>
        <w:tc>
          <w:tcPr>
            <w:tcW w:w="823" w:type="pct"/>
            <w:gridSpan w:val="3"/>
            <w:tcBorders>
              <w:bottom w:val="single" w:sz="4" w:space="0" w:color="auto"/>
            </w:tcBorders>
            <w:shd w:val="clear" w:color="auto" w:fill="auto"/>
            <w:tcMar>
              <w:top w:w="110" w:type="dxa"/>
            </w:tcMar>
          </w:tcPr>
          <w:p w:rsidR="00232431" w:rsidRPr="00C258AD" w:rsidRDefault="00232431" w:rsidP="001A4D6C">
            <w:pPr>
              <w:rPr>
                <w:sz w:val="16"/>
                <w:szCs w:val="16"/>
              </w:rPr>
            </w:pPr>
            <w:r w:rsidRPr="00C258AD">
              <w:rPr>
                <w:sz w:val="16"/>
                <w:szCs w:val="16"/>
              </w:rPr>
              <w:t>80% des pays ayant reçu une assistance technique</w:t>
            </w:r>
          </w:p>
        </w:tc>
        <w:tc>
          <w:tcPr>
            <w:tcW w:w="1043" w:type="pct"/>
            <w:tcBorders>
              <w:bottom w:val="single" w:sz="4" w:space="0" w:color="auto"/>
            </w:tcBorders>
            <w:shd w:val="clear" w:color="auto" w:fill="FFFFFF"/>
            <w:tcMar>
              <w:top w:w="110" w:type="dxa"/>
            </w:tcMar>
          </w:tcPr>
          <w:p w:rsidR="00232431" w:rsidRPr="00C258AD" w:rsidRDefault="00232431" w:rsidP="001A4D6C">
            <w:pPr>
              <w:rPr>
                <w:sz w:val="16"/>
                <w:szCs w:val="16"/>
              </w:rPr>
            </w:pPr>
            <w:r w:rsidRPr="00C258AD">
              <w:rPr>
                <w:sz w:val="16"/>
                <w:szCs w:val="16"/>
              </w:rPr>
              <w:t>80% des pays ayant reçu une assistance technique</w:t>
            </w:r>
          </w:p>
        </w:tc>
        <w:tc>
          <w:tcPr>
            <w:tcW w:w="667" w:type="pct"/>
            <w:tcBorders>
              <w:bottom w:val="single" w:sz="4" w:space="0" w:color="auto"/>
            </w:tcBorders>
            <w:shd w:val="clear" w:color="auto" w:fill="auto"/>
          </w:tcPr>
          <w:p w:rsidR="00232431" w:rsidRPr="00C258AD" w:rsidRDefault="00232431" w:rsidP="001A4D6C">
            <w:pPr>
              <w:jc w:val="center"/>
              <w:rPr>
                <w:b/>
                <w:bCs/>
                <w:color w:val="00B050"/>
                <w:sz w:val="16"/>
                <w:szCs w:val="16"/>
              </w:rPr>
            </w:pPr>
            <w:r w:rsidRPr="00C258AD">
              <w:rPr>
                <w:rFonts w:cs="Arial"/>
                <w:b/>
                <w:bCs/>
                <w:color w:val="00B050"/>
                <w:sz w:val="16"/>
                <w:szCs w:val="16"/>
              </w:rPr>
              <w:t>Objectif pleinement atteint</w:t>
            </w:r>
          </w:p>
        </w:tc>
      </w:tr>
      <w:tr w:rsidR="00232431" w:rsidRPr="00C258AD" w:rsidTr="001A4D6C">
        <w:trPr>
          <w:cantSplit/>
        </w:trPr>
        <w:tc>
          <w:tcPr>
            <w:tcW w:w="5000" w:type="pct"/>
            <w:gridSpan w:val="8"/>
            <w:tcBorders>
              <w:top w:val="single" w:sz="4" w:space="0" w:color="auto"/>
              <w:bottom w:val="single" w:sz="4" w:space="0" w:color="auto"/>
            </w:tcBorders>
            <w:shd w:val="clear" w:color="auto" w:fill="C5D9F1"/>
            <w:vAlign w:val="center"/>
          </w:tcPr>
          <w:p w:rsidR="00232431" w:rsidRPr="00C258AD" w:rsidRDefault="00232431" w:rsidP="001A4D6C">
            <w:pPr>
              <w:keepNext/>
              <w:rPr>
                <w:b/>
                <w:bCs/>
                <w:sz w:val="16"/>
                <w:szCs w:val="16"/>
              </w:rPr>
            </w:pPr>
            <w:r w:rsidRPr="00C258AD">
              <w:rPr>
                <w:b/>
                <w:bCs/>
                <w:sz w:val="16"/>
                <w:szCs w:val="16"/>
              </w:rPr>
              <w:t xml:space="preserve">Résultat escompté : </w:t>
            </w:r>
            <w:r w:rsidRPr="00C258AD">
              <w:rPr>
                <w:sz w:val="16"/>
                <w:szCs w:val="16"/>
              </w:rPr>
              <w:t>V.2 Utilisation élargie et améliorée des analyses économiques de l’OMPI aux fins de l’élaboration des politiques</w:t>
            </w:r>
          </w:p>
        </w:tc>
      </w:tr>
      <w:tr w:rsidR="00232431" w:rsidRPr="00C258AD" w:rsidTr="001A4D6C">
        <w:trPr>
          <w:cantSplit/>
        </w:trPr>
        <w:tc>
          <w:tcPr>
            <w:tcW w:w="1195" w:type="pct"/>
            <w:tcBorders>
              <w:top w:val="single" w:sz="4" w:space="0" w:color="auto"/>
            </w:tcBorders>
            <w:shd w:val="clear" w:color="auto" w:fill="auto"/>
            <w:vAlign w:val="center"/>
          </w:tcPr>
          <w:p w:rsidR="00232431" w:rsidRPr="00C258AD" w:rsidRDefault="00232431" w:rsidP="001A4D6C">
            <w:pPr>
              <w:jc w:val="center"/>
              <w:rPr>
                <w:sz w:val="16"/>
                <w:szCs w:val="16"/>
              </w:rPr>
            </w:pPr>
            <w:r w:rsidRPr="00C258AD">
              <w:rPr>
                <w:b/>
                <w:bCs/>
                <w:sz w:val="16"/>
                <w:szCs w:val="16"/>
              </w:rPr>
              <w:t>Indicateurs d’exécution</w:t>
            </w:r>
          </w:p>
        </w:tc>
        <w:tc>
          <w:tcPr>
            <w:tcW w:w="1272" w:type="pct"/>
            <w:gridSpan w:val="2"/>
            <w:tcBorders>
              <w:top w:val="single" w:sz="4" w:space="0" w:color="auto"/>
            </w:tcBorders>
            <w:shd w:val="clear" w:color="auto" w:fill="auto"/>
            <w:vAlign w:val="center"/>
          </w:tcPr>
          <w:p w:rsidR="00232431" w:rsidRPr="00C258AD" w:rsidRDefault="00232431" w:rsidP="001A4D6C">
            <w:pPr>
              <w:jc w:val="center"/>
              <w:rPr>
                <w:b/>
                <w:bCs/>
                <w:sz w:val="16"/>
                <w:szCs w:val="16"/>
              </w:rPr>
            </w:pPr>
            <w:r w:rsidRPr="00C258AD">
              <w:rPr>
                <w:b/>
                <w:bCs/>
                <w:sz w:val="16"/>
                <w:szCs w:val="16"/>
              </w:rPr>
              <w:t>Niveaux de référence</w:t>
            </w:r>
          </w:p>
        </w:tc>
        <w:tc>
          <w:tcPr>
            <w:tcW w:w="823" w:type="pct"/>
            <w:gridSpan w:val="3"/>
            <w:tcBorders>
              <w:top w:val="single" w:sz="4" w:space="0" w:color="auto"/>
            </w:tcBorders>
            <w:shd w:val="clear" w:color="auto" w:fill="auto"/>
            <w:tcMar>
              <w:top w:w="110" w:type="dxa"/>
            </w:tcMar>
            <w:vAlign w:val="center"/>
          </w:tcPr>
          <w:p w:rsidR="00232431" w:rsidRPr="00C258AD" w:rsidRDefault="00232431" w:rsidP="001A4D6C">
            <w:pPr>
              <w:jc w:val="center"/>
              <w:rPr>
                <w:b/>
                <w:sz w:val="16"/>
                <w:szCs w:val="16"/>
              </w:rPr>
            </w:pPr>
            <w:r w:rsidRPr="00C258AD">
              <w:rPr>
                <w:b/>
                <w:sz w:val="16"/>
                <w:szCs w:val="16"/>
              </w:rPr>
              <w:t>Objectifs visés</w:t>
            </w:r>
          </w:p>
        </w:tc>
        <w:tc>
          <w:tcPr>
            <w:tcW w:w="1043" w:type="pct"/>
            <w:tcBorders>
              <w:top w:val="single" w:sz="4" w:space="0" w:color="auto"/>
            </w:tcBorders>
            <w:shd w:val="clear" w:color="auto" w:fill="FFFFFF"/>
            <w:tcMar>
              <w:top w:w="110" w:type="dxa"/>
            </w:tcMar>
            <w:vAlign w:val="center"/>
          </w:tcPr>
          <w:p w:rsidR="00232431" w:rsidRPr="00C258AD" w:rsidRDefault="00232431" w:rsidP="001A4D6C">
            <w:pPr>
              <w:jc w:val="center"/>
              <w:rPr>
                <w:sz w:val="16"/>
                <w:szCs w:val="16"/>
              </w:rPr>
            </w:pPr>
            <w:r w:rsidRPr="00C258AD">
              <w:rPr>
                <w:b/>
                <w:bCs/>
                <w:sz w:val="16"/>
                <w:szCs w:val="16"/>
              </w:rPr>
              <w:t>Données relatives à l’exécution</w:t>
            </w:r>
          </w:p>
        </w:tc>
        <w:tc>
          <w:tcPr>
            <w:tcW w:w="667" w:type="pct"/>
            <w:tcBorders>
              <w:top w:val="single" w:sz="4" w:space="0" w:color="auto"/>
            </w:tcBorders>
            <w:shd w:val="clear" w:color="auto" w:fill="auto"/>
            <w:tcMar>
              <w:top w:w="110" w:type="dxa"/>
            </w:tcMar>
            <w:vAlign w:val="center"/>
          </w:tcPr>
          <w:p w:rsidR="00232431" w:rsidRPr="00C258AD" w:rsidRDefault="00232431" w:rsidP="001A4D6C">
            <w:pPr>
              <w:jc w:val="center"/>
              <w:rPr>
                <w:b/>
                <w:bCs/>
                <w:sz w:val="16"/>
                <w:szCs w:val="16"/>
              </w:rPr>
            </w:pPr>
            <w:r w:rsidRPr="00C258AD">
              <w:rPr>
                <w:b/>
                <w:bCs/>
                <w:sz w:val="16"/>
                <w:szCs w:val="16"/>
              </w:rPr>
              <w:t>Code de couleurs</w:t>
            </w:r>
          </w:p>
        </w:tc>
      </w:tr>
      <w:tr w:rsidR="00232431" w:rsidRPr="00C258AD" w:rsidTr="001A4D6C">
        <w:trPr>
          <w:cantSplit/>
        </w:trPr>
        <w:tc>
          <w:tcPr>
            <w:tcW w:w="1195" w:type="pct"/>
            <w:shd w:val="clear" w:color="auto" w:fill="auto"/>
          </w:tcPr>
          <w:p w:rsidR="00232431" w:rsidRPr="00C258AD" w:rsidRDefault="00232431" w:rsidP="001A4D6C">
            <w:pPr>
              <w:rPr>
                <w:sz w:val="16"/>
                <w:szCs w:val="16"/>
                <w:lang w:bidi="th-TH"/>
              </w:rPr>
            </w:pPr>
            <w:r w:rsidRPr="00C258AD">
              <w:rPr>
                <w:sz w:val="16"/>
                <w:szCs w:val="16"/>
                <w:lang w:bidi="th-TH"/>
              </w:rPr>
              <w:t>Utilisation des études économiques de l’OMPI sur le droit d’auteur par les gouvernements et les ONG dans le processus de prise de décisions</w:t>
            </w:r>
          </w:p>
        </w:tc>
        <w:tc>
          <w:tcPr>
            <w:tcW w:w="1272" w:type="pct"/>
            <w:gridSpan w:val="2"/>
            <w:shd w:val="clear" w:color="auto" w:fill="auto"/>
          </w:tcPr>
          <w:p w:rsidR="006E2BB1" w:rsidRPr="00C258AD" w:rsidRDefault="00232431" w:rsidP="001A4D6C">
            <w:pPr>
              <w:rPr>
                <w:color w:val="002060"/>
                <w:sz w:val="16"/>
                <w:szCs w:val="16"/>
                <w:lang w:bidi="th-TH"/>
              </w:rPr>
            </w:pPr>
            <w:r w:rsidRPr="00C258AD">
              <w:rPr>
                <w:i/>
                <w:color w:val="002060"/>
                <w:sz w:val="16"/>
                <w:szCs w:val="16"/>
              </w:rPr>
              <w:t>Niveau de référence actualisé à fin 2013 :</w:t>
            </w:r>
            <w:r w:rsidRPr="00C258AD">
              <w:rPr>
                <w:color w:val="002060"/>
                <w:sz w:val="16"/>
                <w:szCs w:val="16"/>
              </w:rPr>
              <w:t xml:space="preserve"> 10 pays en 2012</w:t>
            </w:r>
            <w:r w:rsidRPr="00C258AD">
              <w:rPr>
                <w:color w:val="002060"/>
                <w:sz w:val="16"/>
                <w:szCs w:val="16"/>
              </w:rPr>
              <w:noBreakHyphen/>
              <w:t>2013 : Bulgarie, Chine, Colombie, Croatie, Jamaïque, Kenya, Malaisie, République</w:t>
            </w:r>
            <w:r w:rsidRPr="00C258AD">
              <w:rPr>
                <w:color w:val="002060"/>
                <w:sz w:val="16"/>
                <w:szCs w:val="16"/>
              </w:rPr>
              <w:noBreakHyphen/>
              <w:t>Unie de Tanzanie, Thaïlande et Trinité</w:t>
            </w:r>
            <w:r w:rsidRPr="00C258AD">
              <w:rPr>
                <w:color w:val="002060"/>
                <w:sz w:val="16"/>
                <w:szCs w:val="16"/>
              </w:rPr>
              <w:noBreakHyphen/>
              <w:t>et</w:t>
            </w:r>
            <w:r w:rsidRPr="00C258AD">
              <w:rPr>
                <w:color w:val="002060"/>
                <w:sz w:val="16"/>
                <w:szCs w:val="16"/>
              </w:rPr>
              <w:noBreakHyphen/>
              <w:t>Tobago.</w:t>
            </w:r>
          </w:p>
          <w:p w:rsidR="006E2BB1" w:rsidRPr="00C258AD" w:rsidRDefault="006E2BB1" w:rsidP="001A4D6C">
            <w:pPr>
              <w:rPr>
                <w:i/>
                <w:sz w:val="16"/>
                <w:szCs w:val="16"/>
              </w:rPr>
            </w:pPr>
          </w:p>
          <w:p w:rsidR="00232431" w:rsidRPr="00C258AD" w:rsidRDefault="00232431" w:rsidP="001A4D6C">
            <w:pPr>
              <w:rPr>
                <w:sz w:val="16"/>
                <w:szCs w:val="16"/>
                <w:lang w:bidi="th-TH"/>
              </w:rPr>
            </w:pPr>
            <w:r w:rsidRPr="00C258AD">
              <w:rPr>
                <w:i/>
                <w:sz w:val="16"/>
                <w:szCs w:val="16"/>
                <w:lang w:bidi="th-TH"/>
              </w:rPr>
              <w:t>Niveau de référence initial dans le programme et budget 2014</w:t>
            </w:r>
            <w:r w:rsidRPr="00C258AD">
              <w:rPr>
                <w:i/>
                <w:sz w:val="16"/>
                <w:szCs w:val="16"/>
                <w:lang w:bidi="th-TH"/>
              </w:rPr>
              <w:noBreakHyphen/>
              <w:t>2015 :</w:t>
            </w:r>
            <w:r w:rsidRPr="00C258AD">
              <w:rPr>
                <w:sz w:val="16"/>
                <w:szCs w:val="16"/>
                <w:lang w:bidi="th-TH"/>
              </w:rPr>
              <w:t xml:space="preserve"> </w:t>
            </w:r>
            <w:r w:rsidRPr="00C258AD">
              <w:rPr>
                <w:sz w:val="16"/>
                <w:szCs w:val="16"/>
              </w:rPr>
              <w:t>8 gouvernements ou ONG utilisent les études de l’OMPI</w:t>
            </w:r>
          </w:p>
        </w:tc>
        <w:tc>
          <w:tcPr>
            <w:tcW w:w="823" w:type="pct"/>
            <w:gridSpan w:val="3"/>
            <w:shd w:val="clear" w:color="auto" w:fill="auto"/>
            <w:tcMar>
              <w:top w:w="110" w:type="dxa"/>
            </w:tcMar>
          </w:tcPr>
          <w:p w:rsidR="00232431" w:rsidRPr="00C258AD" w:rsidRDefault="00232431" w:rsidP="001A4D6C">
            <w:pPr>
              <w:rPr>
                <w:sz w:val="16"/>
                <w:szCs w:val="16"/>
              </w:rPr>
            </w:pPr>
            <w:r w:rsidRPr="00C258AD">
              <w:rPr>
                <w:sz w:val="16"/>
                <w:szCs w:val="16"/>
              </w:rPr>
              <w:t>12 gouvernements ou ONG utilisent les études de l’OMPI (en tout)</w:t>
            </w:r>
          </w:p>
        </w:tc>
        <w:tc>
          <w:tcPr>
            <w:tcW w:w="1043" w:type="pct"/>
            <w:shd w:val="clear" w:color="auto" w:fill="FFFFFF"/>
            <w:tcMar>
              <w:top w:w="110" w:type="dxa"/>
            </w:tcMar>
          </w:tcPr>
          <w:p w:rsidR="006E2BB1" w:rsidRPr="00C258AD" w:rsidRDefault="00232431" w:rsidP="001A4D6C">
            <w:pPr>
              <w:rPr>
                <w:sz w:val="16"/>
                <w:szCs w:val="16"/>
                <w:lang w:bidi="th-TH"/>
              </w:rPr>
            </w:pPr>
            <w:r w:rsidRPr="00C258AD">
              <w:rPr>
                <w:sz w:val="16"/>
                <w:szCs w:val="16"/>
                <w:lang w:bidi="th-TH"/>
              </w:rPr>
              <w:t>13 pays et ONG supplémentaires (États</w:t>
            </w:r>
            <w:r w:rsidRPr="00C258AD">
              <w:rPr>
                <w:sz w:val="16"/>
                <w:szCs w:val="16"/>
                <w:lang w:bidi="th-TH"/>
              </w:rPr>
              <w:noBreakHyphen/>
              <w:t>Unis d’Amérique, Finlande, Indonésie, Lettonie, Lituanie, Malawi, Pays</w:t>
            </w:r>
            <w:r w:rsidRPr="00C258AD">
              <w:rPr>
                <w:sz w:val="16"/>
                <w:szCs w:val="16"/>
                <w:lang w:bidi="th-TH"/>
              </w:rPr>
              <w:noBreakHyphen/>
              <w:t>Bas, Philippines, République de Corée, République de Moldova, Serbie, CERLALC et SERCI) utilisent les études de l’OMPI</w:t>
            </w:r>
          </w:p>
          <w:p w:rsidR="006E2BB1" w:rsidRPr="00C258AD" w:rsidRDefault="006E2BB1" w:rsidP="001A4D6C">
            <w:pPr>
              <w:rPr>
                <w:sz w:val="16"/>
                <w:szCs w:val="16"/>
                <w:lang w:bidi="th-TH"/>
              </w:rPr>
            </w:pPr>
          </w:p>
          <w:p w:rsidR="00232431" w:rsidRPr="00C258AD" w:rsidRDefault="00232431" w:rsidP="001A4D6C">
            <w:pPr>
              <w:rPr>
                <w:sz w:val="16"/>
                <w:szCs w:val="16"/>
                <w:lang w:bidi="th-TH"/>
              </w:rPr>
            </w:pPr>
            <w:r w:rsidRPr="00C258AD">
              <w:rPr>
                <w:sz w:val="16"/>
                <w:szCs w:val="16"/>
              </w:rPr>
              <w:t>23 pays et ONG (en tout)</w:t>
            </w:r>
          </w:p>
        </w:tc>
        <w:tc>
          <w:tcPr>
            <w:tcW w:w="667" w:type="pct"/>
            <w:shd w:val="clear" w:color="auto" w:fill="auto"/>
            <w:tcMar>
              <w:top w:w="110" w:type="dxa"/>
            </w:tcMar>
          </w:tcPr>
          <w:p w:rsidR="00232431" w:rsidRPr="00C258AD" w:rsidRDefault="00232431" w:rsidP="001A4D6C">
            <w:pPr>
              <w:jc w:val="center"/>
              <w:rPr>
                <w:bCs/>
                <w:sz w:val="16"/>
                <w:szCs w:val="16"/>
              </w:rPr>
            </w:pPr>
            <w:r w:rsidRPr="00C258AD">
              <w:rPr>
                <w:rFonts w:cs="Arial"/>
                <w:b/>
                <w:bCs/>
                <w:color w:val="00B050"/>
                <w:sz w:val="16"/>
                <w:szCs w:val="16"/>
              </w:rPr>
              <w:t>Objectif pleinement atteint</w:t>
            </w:r>
          </w:p>
        </w:tc>
      </w:tr>
      <w:tr w:rsidR="00232431" w:rsidRPr="00C258AD" w:rsidTr="001A4D6C">
        <w:trPr>
          <w:cantSplit/>
        </w:trPr>
        <w:tc>
          <w:tcPr>
            <w:tcW w:w="1195" w:type="pct"/>
            <w:shd w:val="clear" w:color="auto" w:fill="auto"/>
          </w:tcPr>
          <w:p w:rsidR="00232431" w:rsidRPr="00C258AD" w:rsidRDefault="00232431" w:rsidP="001A4D6C">
            <w:pPr>
              <w:rPr>
                <w:sz w:val="16"/>
                <w:szCs w:val="16"/>
                <w:lang w:bidi="th-TH"/>
              </w:rPr>
            </w:pPr>
            <w:r w:rsidRPr="00C258AD">
              <w:rPr>
                <w:sz w:val="16"/>
                <w:szCs w:val="16"/>
                <w:lang w:bidi="th-TH"/>
              </w:rPr>
              <w:lastRenderedPageBreak/>
              <w:t>Initiatives nationales visant à élaborer de nouvelles statistiques sur les industries de la création sur la base des travaux de l’OMPI dans ce domaine</w:t>
            </w:r>
          </w:p>
        </w:tc>
        <w:tc>
          <w:tcPr>
            <w:tcW w:w="1272" w:type="pct"/>
            <w:gridSpan w:val="2"/>
            <w:shd w:val="clear" w:color="auto" w:fill="auto"/>
          </w:tcPr>
          <w:p w:rsidR="006E2BB1" w:rsidRPr="00C258AD" w:rsidRDefault="00232431" w:rsidP="001A4D6C">
            <w:pPr>
              <w:rPr>
                <w:sz w:val="16"/>
                <w:szCs w:val="16"/>
              </w:rPr>
            </w:pPr>
            <w:r w:rsidRPr="00C258AD">
              <w:rPr>
                <w:sz w:val="16"/>
                <w:szCs w:val="16"/>
              </w:rPr>
              <w:t>10 initiatives nationales</w:t>
            </w:r>
          </w:p>
          <w:p w:rsidR="00232431" w:rsidRPr="00C258AD" w:rsidRDefault="00232431" w:rsidP="001A4D6C">
            <w:pPr>
              <w:rPr>
                <w:sz w:val="16"/>
                <w:szCs w:val="16"/>
              </w:rPr>
            </w:pPr>
            <w:r w:rsidRPr="00C258AD">
              <w:rPr>
                <w:sz w:val="16"/>
                <w:szCs w:val="16"/>
              </w:rPr>
              <w:t>(Bulgarie, Chine, Colombie, Croatie, Jamaïque, Kenya, Malaisie, République</w:t>
            </w:r>
            <w:r w:rsidRPr="00C258AD">
              <w:rPr>
                <w:sz w:val="16"/>
                <w:szCs w:val="16"/>
              </w:rPr>
              <w:noBreakHyphen/>
              <w:t>Unie de Tanzanie, Thaïlande et Trinité</w:t>
            </w:r>
            <w:r w:rsidRPr="00C258AD">
              <w:rPr>
                <w:sz w:val="16"/>
                <w:szCs w:val="16"/>
              </w:rPr>
              <w:noBreakHyphen/>
              <w:t>et</w:t>
            </w:r>
            <w:r w:rsidRPr="00C258AD">
              <w:rPr>
                <w:sz w:val="16"/>
                <w:szCs w:val="16"/>
              </w:rPr>
              <w:noBreakHyphen/>
              <w:t xml:space="preserve">Tobago).  </w:t>
            </w:r>
          </w:p>
        </w:tc>
        <w:tc>
          <w:tcPr>
            <w:tcW w:w="823" w:type="pct"/>
            <w:gridSpan w:val="3"/>
            <w:shd w:val="clear" w:color="auto" w:fill="auto"/>
            <w:tcMar>
              <w:top w:w="110" w:type="dxa"/>
            </w:tcMar>
          </w:tcPr>
          <w:p w:rsidR="00232431" w:rsidRPr="00C258AD" w:rsidRDefault="00232431" w:rsidP="001A4D6C">
            <w:pPr>
              <w:pStyle w:val="Default"/>
              <w:rPr>
                <w:rFonts w:eastAsia="Times New Roman"/>
                <w:color w:val="auto"/>
                <w:sz w:val="16"/>
                <w:szCs w:val="16"/>
              </w:rPr>
            </w:pPr>
            <w:r w:rsidRPr="00C258AD">
              <w:rPr>
                <w:rFonts w:eastAsia="Times New Roman"/>
                <w:color w:val="auto"/>
                <w:sz w:val="16"/>
                <w:szCs w:val="16"/>
              </w:rPr>
              <w:t>15 initiatives nationales (en tout)</w:t>
            </w:r>
          </w:p>
        </w:tc>
        <w:tc>
          <w:tcPr>
            <w:tcW w:w="1043" w:type="pct"/>
            <w:shd w:val="clear" w:color="auto" w:fill="FFFFFF"/>
            <w:tcMar>
              <w:top w:w="110" w:type="dxa"/>
            </w:tcMar>
          </w:tcPr>
          <w:p w:rsidR="006E2BB1" w:rsidRPr="00C258AD" w:rsidRDefault="00232431" w:rsidP="001A4D6C">
            <w:pPr>
              <w:rPr>
                <w:rFonts w:cs="Arial"/>
                <w:sz w:val="16"/>
                <w:szCs w:val="16"/>
                <w:lang w:bidi="th-TH"/>
              </w:rPr>
            </w:pPr>
            <w:r w:rsidRPr="00C258AD">
              <w:rPr>
                <w:sz w:val="16"/>
                <w:szCs w:val="16"/>
                <w:lang w:bidi="th-TH"/>
              </w:rPr>
              <w:t>1 initiative nationale supplémentaire (Finlande) en 2014</w:t>
            </w:r>
            <w:r w:rsidRPr="00C258AD">
              <w:rPr>
                <w:rFonts w:cs="Arial"/>
                <w:sz w:val="16"/>
                <w:szCs w:val="16"/>
                <w:lang w:bidi="th-TH"/>
              </w:rPr>
              <w:t>, les travaux dans ce domaine ont été suspendus en 2015.</w:t>
            </w:r>
          </w:p>
          <w:p w:rsidR="006E2BB1" w:rsidRPr="00C258AD" w:rsidRDefault="006E2BB1" w:rsidP="001A4D6C">
            <w:pPr>
              <w:rPr>
                <w:sz w:val="16"/>
                <w:szCs w:val="16"/>
                <w:lang w:bidi="th-TH"/>
              </w:rPr>
            </w:pPr>
          </w:p>
          <w:p w:rsidR="00232431" w:rsidRPr="00C258AD" w:rsidRDefault="00232431" w:rsidP="001A4D6C">
            <w:pPr>
              <w:rPr>
                <w:sz w:val="16"/>
                <w:szCs w:val="16"/>
                <w:lang w:bidi="th-TH"/>
              </w:rPr>
            </w:pPr>
            <w:r w:rsidRPr="00C258AD">
              <w:rPr>
                <w:sz w:val="16"/>
                <w:szCs w:val="16"/>
                <w:lang w:bidi="th-TH"/>
              </w:rPr>
              <w:t>11 </w:t>
            </w:r>
            <w:r w:rsidRPr="00C258AD">
              <w:rPr>
                <w:sz w:val="16"/>
                <w:szCs w:val="16"/>
              </w:rPr>
              <w:t xml:space="preserve">initiatives nationales </w:t>
            </w:r>
            <w:r w:rsidRPr="00C258AD">
              <w:rPr>
                <w:sz w:val="16"/>
                <w:szCs w:val="16"/>
                <w:lang w:bidi="th-TH"/>
              </w:rPr>
              <w:t>(</w:t>
            </w:r>
            <w:r w:rsidRPr="00C258AD">
              <w:rPr>
                <w:sz w:val="16"/>
                <w:szCs w:val="16"/>
              </w:rPr>
              <w:t>en tout</w:t>
            </w:r>
            <w:r w:rsidRPr="00C258AD">
              <w:rPr>
                <w:sz w:val="16"/>
                <w:szCs w:val="16"/>
                <w:lang w:bidi="th-TH"/>
              </w:rPr>
              <w:t>)</w:t>
            </w:r>
          </w:p>
        </w:tc>
        <w:tc>
          <w:tcPr>
            <w:tcW w:w="667" w:type="pct"/>
            <w:shd w:val="clear" w:color="auto" w:fill="auto"/>
          </w:tcPr>
          <w:p w:rsidR="00232431" w:rsidRPr="00C258AD" w:rsidRDefault="00232431" w:rsidP="001A4D6C">
            <w:pPr>
              <w:jc w:val="center"/>
              <w:rPr>
                <w:bCs/>
                <w:sz w:val="16"/>
                <w:szCs w:val="16"/>
              </w:rPr>
            </w:pPr>
            <w:r w:rsidRPr="00C258AD">
              <w:rPr>
                <w:b/>
                <w:bCs/>
                <w:sz w:val="16"/>
                <w:szCs w:val="16"/>
              </w:rPr>
              <w:t>Objectif abandonné</w:t>
            </w:r>
          </w:p>
        </w:tc>
      </w:tr>
    </w:tbl>
    <w:p w:rsidR="006E2BB1" w:rsidRPr="00C258AD" w:rsidRDefault="006E2BB1" w:rsidP="001A4D6C"/>
    <w:p w:rsidR="006E2BB1" w:rsidRPr="00C258AD" w:rsidRDefault="006E2BB1" w:rsidP="001A4D6C"/>
    <w:p w:rsidR="006E2BB1" w:rsidRPr="00C258AD" w:rsidRDefault="00232431" w:rsidP="00305CE5">
      <w:pPr>
        <w:keepNext/>
        <w:rPr>
          <w:rFonts w:cs="Arial"/>
          <w:caps/>
          <w:sz w:val="22"/>
          <w:szCs w:val="22"/>
        </w:rPr>
      </w:pPr>
      <w:r w:rsidRPr="00C258AD">
        <w:rPr>
          <w:rFonts w:cs="Arial"/>
          <w:caps/>
          <w:sz w:val="22"/>
          <w:szCs w:val="22"/>
        </w:rPr>
        <w:t>Rapport d’évaluation des risques pour l’exercice biennal</w:t>
      </w:r>
    </w:p>
    <w:p w:rsidR="00232431" w:rsidRPr="00C258AD" w:rsidRDefault="00232431" w:rsidP="001A4D6C">
      <w:pPr>
        <w:keepNext/>
        <w:keepLines/>
        <w:rPr>
          <w:rFonts w:cs="Arial"/>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232431" w:rsidRPr="00C258AD" w:rsidTr="001A4D6C">
        <w:trPr>
          <w:cantSplit/>
        </w:trPr>
        <w:tc>
          <w:tcPr>
            <w:tcW w:w="2372" w:type="dxa"/>
            <w:tcBorders>
              <w:top w:val="single" w:sz="4" w:space="0" w:color="auto"/>
              <w:left w:val="single" w:sz="4" w:space="0" w:color="auto"/>
              <w:bottom w:val="single" w:sz="4" w:space="0" w:color="auto"/>
            </w:tcBorders>
            <w:shd w:val="clear" w:color="auto" w:fill="C5D9F1"/>
            <w:vAlign w:val="center"/>
          </w:tcPr>
          <w:p w:rsidR="00232431" w:rsidRPr="00C258AD" w:rsidRDefault="00232431" w:rsidP="001A4D6C">
            <w:pPr>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232431" w:rsidRPr="00C258AD" w:rsidRDefault="00232431" w:rsidP="001A4D6C">
            <w:pPr>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232431" w:rsidRPr="00C258AD" w:rsidRDefault="00232431" w:rsidP="001A4D6C">
            <w:pPr>
              <w:autoSpaceDE w:val="0"/>
              <w:autoSpaceDN w:val="0"/>
              <w:adjustRightInd w:val="0"/>
              <w:ind w:right="-59"/>
              <w:jc w:val="center"/>
              <w:rPr>
                <w:b/>
                <w:bCs/>
                <w:iCs/>
                <w:sz w:val="16"/>
                <w:szCs w:val="16"/>
              </w:rPr>
            </w:pPr>
            <w:r w:rsidRPr="00C258AD">
              <w:rPr>
                <w:b/>
                <w:bCs/>
                <w:iCs/>
                <w:sz w:val="16"/>
                <w:szCs w:val="16"/>
              </w:rPr>
              <w:t>Évolution des risques et des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232431" w:rsidRPr="00C258AD" w:rsidRDefault="00232431" w:rsidP="001A4D6C">
            <w:pPr>
              <w:autoSpaceDE w:val="0"/>
              <w:autoSpaceDN w:val="0"/>
              <w:adjustRightInd w:val="0"/>
              <w:jc w:val="center"/>
              <w:rPr>
                <w:b/>
                <w:bCs/>
                <w:iCs/>
                <w:sz w:val="16"/>
                <w:szCs w:val="16"/>
              </w:rPr>
            </w:pPr>
            <w:r w:rsidRPr="00C258AD">
              <w:rPr>
                <w:b/>
                <w:bCs/>
                <w:iCs/>
                <w:sz w:val="16"/>
                <w:szCs w:val="16"/>
              </w:rPr>
              <w:t>Incidence sur les résultats du programme</w:t>
            </w:r>
          </w:p>
        </w:tc>
      </w:tr>
      <w:tr w:rsidR="00232431" w:rsidRPr="00C258AD" w:rsidTr="001A4D6C">
        <w:trPr>
          <w:cantSplit/>
        </w:trPr>
        <w:tc>
          <w:tcPr>
            <w:tcW w:w="2372" w:type="dxa"/>
            <w:tcBorders>
              <w:top w:val="single" w:sz="4" w:space="0" w:color="auto"/>
              <w:left w:val="single" w:sz="4" w:space="0" w:color="auto"/>
              <w:bottom w:val="single" w:sz="4" w:space="0" w:color="auto"/>
            </w:tcBorders>
            <w:shd w:val="clear" w:color="auto" w:fill="auto"/>
          </w:tcPr>
          <w:p w:rsidR="00232431" w:rsidRPr="00C258AD" w:rsidRDefault="00232431" w:rsidP="001A4D6C">
            <w:pPr>
              <w:rPr>
                <w:sz w:val="16"/>
                <w:szCs w:val="16"/>
              </w:rPr>
            </w:pPr>
            <w:r w:rsidRPr="00C258AD">
              <w:rPr>
                <w:sz w:val="16"/>
                <w:szCs w:val="16"/>
              </w:rPr>
              <w:t>Technologie et innovation : l’incapacité du système du droit d’auteur à s’adapter à la rapide évolution des technologies et des médias menace de compromettre son utilité.</w:t>
            </w:r>
          </w:p>
        </w:tc>
        <w:tc>
          <w:tcPr>
            <w:tcW w:w="2373" w:type="dxa"/>
            <w:tcBorders>
              <w:top w:val="single" w:sz="4" w:space="0" w:color="auto"/>
              <w:bottom w:val="single" w:sz="4" w:space="0" w:color="auto"/>
            </w:tcBorders>
            <w:shd w:val="clear" w:color="auto" w:fill="auto"/>
          </w:tcPr>
          <w:p w:rsidR="00232431" w:rsidRPr="00C258AD" w:rsidRDefault="00232431" w:rsidP="001A4D6C">
            <w:pPr>
              <w:rPr>
                <w:sz w:val="16"/>
                <w:szCs w:val="16"/>
              </w:rPr>
            </w:pPr>
            <w:r w:rsidRPr="00C258AD">
              <w:rPr>
                <w:sz w:val="16"/>
                <w:szCs w:val="16"/>
              </w:rPr>
              <w:t>Poursuite des activités et initiatives de sensibilisation visant à démontrer l’importance du droit d’auteur et à confirmer sa valeur et son adéquation dans un paysage technologique en constante évolution.</w:t>
            </w:r>
          </w:p>
        </w:tc>
        <w:tc>
          <w:tcPr>
            <w:tcW w:w="2373" w:type="dxa"/>
            <w:tcBorders>
              <w:top w:val="single" w:sz="4" w:space="0" w:color="auto"/>
              <w:bottom w:val="single" w:sz="4" w:space="0" w:color="auto"/>
            </w:tcBorders>
            <w:shd w:val="clear" w:color="auto" w:fill="auto"/>
          </w:tcPr>
          <w:p w:rsidR="00232431" w:rsidRPr="00C258AD" w:rsidRDefault="00232431" w:rsidP="001A4D6C">
            <w:pPr>
              <w:rPr>
                <w:rFonts w:cs="Arial"/>
                <w:sz w:val="16"/>
                <w:szCs w:val="16"/>
              </w:rPr>
            </w:pPr>
            <w:r w:rsidRPr="00C258AD">
              <w:rPr>
                <w:rFonts w:cs="Arial"/>
                <w:sz w:val="16"/>
                <w:szCs w:val="16"/>
              </w:rPr>
              <w:t xml:space="preserve">Le rythme rapide de l’évolution technologique s’est maintenu avec l’évolution et la modification des technologies;  par conséquent, les stratégies relatives aux risques et à l’atténuation des risques n’ont pas été nettement modifiées durant l’exercice biennal.  </w:t>
            </w:r>
          </w:p>
        </w:tc>
        <w:tc>
          <w:tcPr>
            <w:tcW w:w="2373" w:type="dxa"/>
            <w:tcBorders>
              <w:top w:val="single" w:sz="4" w:space="0" w:color="auto"/>
              <w:bottom w:val="single" w:sz="4" w:space="0" w:color="auto"/>
              <w:right w:val="single" w:sz="4" w:space="0" w:color="auto"/>
            </w:tcBorders>
            <w:shd w:val="clear" w:color="auto" w:fill="auto"/>
          </w:tcPr>
          <w:p w:rsidR="00232431" w:rsidRPr="00C258AD" w:rsidRDefault="00232431" w:rsidP="001A4D6C">
            <w:pPr>
              <w:rPr>
                <w:sz w:val="16"/>
                <w:szCs w:val="16"/>
              </w:rPr>
            </w:pPr>
            <w:r w:rsidRPr="00C258AD">
              <w:rPr>
                <w:rFonts w:cs="Arial"/>
                <w:sz w:val="16"/>
                <w:szCs w:val="16"/>
              </w:rPr>
              <w:t>La stratégie en matière d’atténuation a produit des résultats positifs dans la mesure où, durant l’exercice biennal, de nombreux États membres de l’OMPI ont demandé l’assistance de l’Organisation pour démontrer l’importance du système du droit d’auteur, notamment aux économies nationales.  Le programme a répondu à ces demandes dans la mesure du possible, compte tenu des limitations en termes de ressources matérielles.  Cela n’a pas eu d’incidence concrète sur les résultats du programme durant l’exercice biennal.</w:t>
            </w:r>
          </w:p>
        </w:tc>
      </w:tr>
    </w:tbl>
    <w:p w:rsidR="006E2BB1" w:rsidRPr="00C258AD" w:rsidRDefault="006E2BB1" w:rsidP="001A4D6C"/>
    <w:p w:rsidR="006E2BB1" w:rsidRPr="00C258AD" w:rsidRDefault="006E2BB1" w:rsidP="001A4D6C"/>
    <w:p w:rsidR="006E2BB1" w:rsidRPr="00C258AD" w:rsidRDefault="00232431" w:rsidP="00305CE5">
      <w:pPr>
        <w:keepNext/>
        <w:rPr>
          <w:rFonts w:cs="Arial"/>
          <w:caps/>
          <w:sz w:val="22"/>
          <w:szCs w:val="22"/>
        </w:rPr>
      </w:pPr>
      <w:r w:rsidRPr="00C258AD">
        <w:rPr>
          <w:rFonts w:cs="Arial"/>
          <w:caps/>
          <w:sz w:val="22"/>
          <w:szCs w:val="22"/>
        </w:rPr>
        <w:t>Utilisation des ressources</w:t>
      </w:r>
    </w:p>
    <w:p w:rsidR="006E2BB1" w:rsidRPr="00C258AD" w:rsidRDefault="006E2BB1" w:rsidP="001A4D6C">
      <w:pPr>
        <w:jc w:val="center"/>
      </w:pPr>
    </w:p>
    <w:p w:rsidR="006E2BB1" w:rsidRPr="00C258AD" w:rsidRDefault="00232431" w:rsidP="001A4D6C">
      <w:pPr>
        <w:pStyle w:val="NormalWeb"/>
        <w:keepNext/>
        <w:spacing w:before="0" w:beforeAutospacing="0" w:after="0" w:afterAutospacing="0"/>
        <w:jc w:val="center"/>
        <w:rPr>
          <w:sz w:val="20"/>
          <w:szCs w:val="20"/>
        </w:rPr>
      </w:pPr>
      <w:r w:rsidRPr="00C258AD">
        <w:rPr>
          <w:sz w:val="20"/>
          <w:szCs w:val="20"/>
        </w:rPr>
        <w:t>Budget et dépenses effectives (par résultat)</w:t>
      </w:r>
    </w:p>
    <w:p w:rsidR="006E2BB1" w:rsidRPr="00C258AD" w:rsidRDefault="00232431" w:rsidP="001A4D6C">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232431" w:rsidRPr="00C258AD" w:rsidRDefault="00232431" w:rsidP="001A4D6C">
      <w:pPr>
        <w:keepNext/>
        <w:jc w:val="both"/>
      </w:pPr>
    </w:p>
    <w:tbl>
      <w:tblPr>
        <w:tblW w:w="5000" w:type="pct"/>
        <w:tblBorders>
          <w:top w:val="single" w:sz="4" w:space="0" w:color="auto"/>
          <w:left w:val="single" w:sz="4" w:space="0" w:color="auto"/>
          <w:bottom w:val="single" w:sz="4" w:space="0" w:color="auto"/>
          <w:right w:val="single" w:sz="4" w:space="0" w:color="auto"/>
        </w:tblBorders>
        <w:tblCellMar>
          <w:top w:w="113" w:type="dxa"/>
          <w:left w:w="70" w:type="dxa"/>
          <w:bottom w:w="113" w:type="dxa"/>
          <w:right w:w="70" w:type="dxa"/>
        </w:tblCellMar>
        <w:tblLook w:val="04A0" w:firstRow="1" w:lastRow="0" w:firstColumn="1" w:lastColumn="0" w:noHBand="0" w:noVBand="1"/>
      </w:tblPr>
      <w:tblGrid>
        <w:gridCol w:w="680"/>
        <w:gridCol w:w="4549"/>
        <w:gridCol w:w="1422"/>
        <w:gridCol w:w="1422"/>
        <w:gridCol w:w="1422"/>
      </w:tblGrid>
      <w:tr w:rsidR="00232431" w:rsidRPr="00C258AD" w:rsidTr="001A4D6C">
        <w:trPr>
          <w:cantSplit/>
          <w:tblHeader/>
        </w:trPr>
        <w:tc>
          <w:tcPr>
            <w:tcW w:w="5229" w:type="dxa"/>
            <w:gridSpan w:val="2"/>
            <w:tcBorders>
              <w:top w:val="single" w:sz="4" w:space="0" w:color="auto"/>
              <w:bottom w:val="single" w:sz="4" w:space="0" w:color="auto"/>
            </w:tcBorders>
            <w:shd w:val="clear" w:color="auto" w:fill="C5D9F1"/>
            <w:noWrap/>
            <w:vAlign w:val="center"/>
            <w:hideMark/>
          </w:tcPr>
          <w:p w:rsidR="00232431" w:rsidRPr="00C258AD" w:rsidRDefault="00232431" w:rsidP="001A4D6C">
            <w:pPr>
              <w:jc w:val="center"/>
              <w:rPr>
                <w:i/>
                <w:iCs/>
                <w:sz w:val="16"/>
                <w:szCs w:val="16"/>
                <w:lang w:eastAsia="fr-FR"/>
              </w:rPr>
            </w:pPr>
            <w:r w:rsidRPr="00C258AD">
              <w:rPr>
                <w:i/>
                <w:iCs/>
                <w:sz w:val="16"/>
                <w:szCs w:val="16"/>
                <w:lang w:eastAsia="fr-FR"/>
              </w:rPr>
              <w:t>Numéro et description du résultat escompté</w:t>
            </w:r>
          </w:p>
        </w:tc>
        <w:tc>
          <w:tcPr>
            <w:tcW w:w="1422" w:type="dxa"/>
            <w:tcBorders>
              <w:top w:val="single" w:sz="4" w:space="0" w:color="auto"/>
              <w:bottom w:val="single" w:sz="4" w:space="0" w:color="auto"/>
            </w:tcBorders>
            <w:shd w:val="clear" w:color="auto" w:fill="C5D9F1"/>
            <w:vAlign w:val="center"/>
            <w:hideMark/>
          </w:tcPr>
          <w:p w:rsidR="00232431" w:rsidRPr="00C258AD" w:rsidRDefault="00232431" w:rsidP="001A4D6C">
            <w:pPr>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Pr="00C258AD">
              <w:rPr>
                <w:i/>
                <w:iCs/>
                <w:sz w:val="16"/>
                <w:szCs w:val="16"/>
                <w:lang w:eastAsia="fr-FR"/>
              </w:rPr>
              <w:noBreakHyphen/>
              <w:t>2015 approuvé</w:t>
            </w:r>
          </w:p>
        </w:tc>
        <w:tc>
          <w:tcPr>
            <w:tcW w:w="1422" w:type="dxa"/>
            <w:tcBorders>
              <w:top w:val="single" w:sz="4" w:space="0" w:color="auto"/>
              <w:bottom w:val="single" w:sz="4" w:space="0" w:color="auto"/>
            </w:tcBorders>
            <w:shd w:val="clear" w:color="auto" w:fill="C5D9F1"/>
            <w:vAlign w:val="center"/>
            <w:hideMark/>
          </w:tcPr>
          <w:p w:rsidR="00232431" w:rsidRPr="00C258AD" w:rsidRDefault="00232431" w:rsidP="001A4D6C">
            <w:pPr>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Pr="00C258AD">
              <w:rPr>
                <w:i/>
                <w:iCs/>
                <w:sz w:val="16"/>
                <w:szCs w:val="16"/>
                <w:lang w:eastAsia="fr-FR"/>
              </w:rPr>
              <w:noBreakHyphen/>
              <w:t>2015 après virements</w:t>
            </w:r>
          </w:p>
        </w:tc>
        <w:tc>
          <w:tcPr>
            <w:tcW w:w="1422" w:type="dxa"/>
            <w:tcBorders>
              <w:top w:val="single" w:sz="4" w:space="0" w:color="auto"/>
              <w:bottom w:val="single" w:sz="4" w:space="0" w:color="auto"/>
            </w:tcBorders>
            <w:shd w:val="clear" w:color="auto" w:fill="C5D9F1"/>
            <w:vAlign w:val="center"/>
            <w:hideMark/>
          </w:tcPr>
          <w:p w:rsidR="00232431" w:rsidRPr="00C258AD" w:rsidRDefault="00232431" w:rsidP="001A4D6C">
            <w:pPr>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Pr="00C258AD">
              <w:rPr>
                <w:i/>
                <w:iCs/>
                <w:sz w:val="16"/>
                <w:szCs w:val="16"/>
                <w:lang w:eastAsia="fr-FR"/>
              </w:rPr>
              <w:noBreakHyphen/>
              <w:t>2015</w:t>
            </w:r>
          </w:p>
        </w:tc>
      </w:tr>
      <w:tr w:rsidR="00232431" w:rsidRPr="00C258AD" w:rsidTr="001A4D6C">
        <w:trPr>
          <w:cantSplit/>
        </w:trPr>
        <w:tc>
          <w:tcPr>
            <w:tcW w:w="680" w:type="dxa"/>
            <w:tcBorders>
              <w:top w:val="single" w:sz="4" w:space="0" w:color="auto"/>
            </w:tcBorders>
            <w:shd w:val="clear" w:color="auto" w:fill="auto"/>
            <w:noWrap/>
            <w:vAlign w:val="center"/>
            <w:hideMark/>
          </w:tcPr>
          <w:p w:rsidR="00232431" w:rsidRPr="00C258AD" w:rsidRDefault="00232431" w:rsidP="001A4D6C">
            <w:pPr>
              <w:rPr>
                <w:sz w:val="16"/>
                <w:szCs w:val="16"/>
                <w:lang w:eastAsia="fr-FR"/>
              </w:rPr>
            </w:pPr>
            <w:r w:rsidRPr="00C258AD">
              <w:rPr>
                <w:sz w:val="16"/>
                <w:szCs w:val="16"/>
                <w:lang w:eastAsia="fr-FR"/>
              </w:rPr>
              <w:t>I.1</w:t>
            </w:r>
          </w:p>
        </w:tc>
        <w:tc>
          <w:tcPr>
            <w:tcW w:w="4549" w:type="dxa"/>
            <w:tcBorders>
              <w:top w:val="single" w:sz="4" w:space="0" w:color="auto"/>
            </w:tcBorders>
            <w:shd w:val="clear" w:color="auto" w:fill="auto"/>
            <w:vAlign w:val="center"/>
            <w:hideMark/>
          </w:tcPr>
          <w:p w:rsidR="00232431" w:rsidRPr="00C258AD" w:rsidRDefault="00232431" w:rsidP="001A4D6C">
            <w:pPr>
              <w:rPr>
                <w:sz w:val="16"/>
                <w:szCs w:val="16"/>
                <w:lang w:eastAsia="fr-FR"/>
              </w:rPr>
            </w:pPr>
            <w:r w:rsidRPr="00C258AD">
              <w:rPr>
                <w:sz w:val="16"/>
                <w:szCs w:val="16"/>
                <w:lang w:eastAsia="fr-FR"/>
              </w:rPr>
              <w:t xml:space="preserve">Renforcement de la coopération entre les États membres en ce qui concerne l’élaboration de cadres normatifs internationaux équilibrés dans le domaine de la propriété intellectuelle et d’un accord sur des questions concrètes donnant lieu à des instruments internationaux </w:t>
            </w:r>
          </w:p>
        </w:tc>
        <w:tc>
          <w:tcPr>
            <w:tcW w:w="1422" w:type="dxa"/>
            <w:tcBorders>
              <w:top w:val="single" w:sz="4" w:space="0" w:color="auto"/>
            </w:tcBorders>
            <w:shd w:val="clear" w:color="auto" w:fill="auto"/>
            <w:vAlign w:val="center"/>
            <w:hideMark/>
          </w:tcPr>
          <w:p w:rsidR="00232431" w:rsidRPr="00C258AD" w:rsidRDefault="00232431" w:rsidP="001A4D6C">
            <w:pPr>
              <w:jc w:val="right"/>
              <w:rPr>
                <w:sz w:val="16"/>
                <w:szCs w:val="16"/>
                <w:lang w:eastAsia="fr-FR"/>
              </w:rPr>
            </w:pPr>
            <w:r w:rsidRPr="00C258AD">
              <w:rPr>
                <w:sz w:val="16"/>
                <w:szCs w:val="16"/>
                <w:lang w:eastAsia="fr-FR"/>
              </w:rPr>
              <w:t>3 916</w:t>
            </w:r>
          </w:p>
        </w:tc>
        <w:tc>
          <w:tcPr>
            <w:tcW w:w="1422" w:type="dxa"/>
            <w:tcBorders>
              <w:top w:val="single" w:sz="4" w:space="0" w:color="auto"/>
            </w:tcBorders>
            <w:shd w:val="clear" w:color="auto" w:fill="auto"/>
            <w:vAlign w:val="center"/>
            <w:hideMark/>
          </w:tcPr>
          <w:p w:rsidR="00232431" w:rsidRPr="00C258AD" w:rsidRDefault="00232431" w:rsidP="001A4D6C">
            <w:pPr>
              <w:jc w:val="right"/>
              <w:rPr>
                <w:sz w:val="16"/>
                <w:szCs w:val="16"/>
                <w:lang w:eastAsia="fr-FR"/>
              </w:rPr>
            </w:pPr>
            <w:r w:rsidRPr="00C258AD">
              <w:rPr>
                <w:sz w:val="16"/>
                <w:szCs w:val="16"/>
                <w:lang w:eastAsia="fr-FR"/>
              </w:rPr>
              <w:t>2 539</w:t>
            </w:r>
          </w:p>
        </w:tc>
        <w:tc>
          <w:tcPr>
            <w:tcW w:w="1422" w:type="dxa"/>
            <w:tcBorders>
              <w:top w:val="single" w:sz="4" w:space="0" w:color="auto"/>
            </w:tcBorders>
            <w:shd w:val="clear" w:color="auto" w:fill="auto"/>
            <w:vAlign w:val="center"/>
            <w:hideMark/>
          </w:tcPr>
          <w:p w:rsidR="00232431" w:rsidRPr="00C258AD" w:rsidRDefault="00232431" w:rsidP="001A4D6C">
            <w:pPr>
              <w:jc w:val="right"/>
              <w:rPr>
                <w:sz w:val="16"/>
                <w:szCs w:val="16"/>
                <w:lang w:eastAsia="fr-FR"/>
              </w:rPr>
            </w:pPr>
            <w:r w:rsidRPr="00C258AD">
              <w:rPr>
                <w:sz w:val="16"/>
                <w:szCs w:val="16"/>
                <w:lang w:eastAsia="fr-FR"/>
              </w:rPr>
              <w:t>2 462</w:t>
            </w:r>
          </w:p>
        </w:tc>
      </w:tr>
      <w:tr w:rsidR="00232431" w:rsidRPr="00C258AD" w:rsidTr="001A4D6C">
        <w:trPr>
          <w:cantSplit/>
        </w:trPr>
        <w:tc>
          <w:tcPr>
            <w:tcW w:w="680" w:type="dxa"/>
            <w:shd w:val="clear" w:color="auto" w:fill="auto"/>
            <w:noWrap/>
            <w:vAlign w:val="center"/>
            <w:hideMark/>
          </w:tcPr>
          <w:p w:rsidR="00232431" w:rsidRPr="00C258AD" w:rsidRDefault="00232431" w:rsidP="001A4D6C">
            <w:pPr>
              <w:rPr>
                <w:sz w:val="16"/>
                <w:szCs w:val="16"/>
                <w:lang w:eastAsia="fr-FR"/>
              </w:rPr>
            </w:pPr>
            <w:r w:rsidRPr="00C258AD">
              <w:rPr>
                <w:sz w:val="16"/>
                <w:szCs w:val="16"/>
                <w:lang w:eastAsia="fr-FR"/>
              </w:rPr>
              <w:t>I.2</w:t>
            </w:r>
          </w:p>
        </w:tc>
        <w:tc>
          <w:tcPr>
            <w:tcW w:w="4549" w:type="dxa"/>
            <w:shd w:val="clear" w:color="auto" w:fill="auto"/>
            <w:vAlign w:val="center"/>
            <w:hideMark/>
          </w:tcPr>
          <w:p w:rsidR="00232431" w:rsidRPr="00C258AD" w:rsidRDefault="00232431" w:rsidP="001A4D6C">
            <w:pPr>
              <w:rPr>
                <w:sz w:val="16"/>
                <w:szCs w:val="16"/>
                <w:lang w:eastAsia="fr-FR"/>
              </w:rPr>
            </w:pPr>
            <w:r w:rsidRPr="00C258AD">
              <w:rPr>
                <w:sz w:val="16"/>
                <w:szCs w:val="16"/>
                <w:lang w:eastAsia="fr-FR"/>
              </w:rPr>
              <w:t>Cadres législatifs, réglementaires et politiques adaptés et équilibrés en matière de propriété intellectuelle</w:t>
            </w:r>
          </w:p>
        </w:tc>
        <w:tc>
          <w:tcPr>
            <w:tcW w:w="1422" w:type="dxa"/>
            <w:shd w:val="clear" w:color="auto" w:fill="auto"/>
            <w:vAlign w:val="center"/>
            <w:hideMark/>
          </w:tcPr>
          <w:p w:rsidR="00232431" w:rsidRPr="00C258AD" w:rsidRDefault="00232431" w:rsidP="001A4D6C">
            <w:pPr>
              <w:jc w:val="right"/>
              <w:rPr>
                <w:sz w:val="16"/>
                <w:szCs w:val="16"/>
                <w:lang w:eastAsia="fr-FR"/>
              </w:rPr>
            </w:pPr>
            <w:r w:rsidRPr="00C258AD">
              <w:rPr>
                <w:sz w:val="16"/>
                <w:szCs w:val="16"/>
                <w:lang w:eastAsia="fr-FR"/>
              </w:rPr>
              <w:t>1 841</w:t>
            </w:r>
          </w:p>
        </w:tc>
        <w:tc>
          <w:tcPr>
            <w:tcW w:w="1422" w:type="dxa"/>
            <w:shd w:val="clear" w:color="auto" w:fill="auto"/>
            <w:vAlign w:val="center"/>
            <w:hideMark/>
          </w:tcPr>
          <w:p w:rsidR="00232431" w:rsidRPr="00C258AD" w:rsidRDefault="00232431" w:rsidP="001A4D6C">
            <w:pPr>
              <w:jc w:val="right"/>
              <w:rPr>
                <w:sz w:val="16"/>
                <w:szCs w:val="16"/>
                <w:lang w:eastAsia="fr-FR"/>
              </w:rPr>
            </w:pPr>
            <w:r w:rsidRPr="00C258AD">
              <w:rPr>
                <w:sz w:val="16"/>
                <w:szCs w:val="16"/>
                <w:lang w:eastAsia="fr-FR"/>
              </w:rPr>
              <w:t>3 440</w:t>
            </w:r>
          </w:p>
        </w:tc>
        <w:tc>
          <w:tcPr>
            <w:tcW w:w="1422" w:type="dxa"/>
            <w:shd w:val="clear" w:color="auto" w:fill="auto"/>
            <w:vAlign w:val="center"/>
            <w:hideMark/>
          </w:tcPr>
          <w:p w:rsidR="00232431" w:rsidRPr="00C258AD" w:rsidRDefault="00232431" w:rsidP="001A4D6C">
            <w:pPr>
              <w:jc w:val="right"/>
              <w:rPr>
                <w:sz w:val="16"/>
                <w:szCs w:val="16"/>
                <w:lang w:eastAsia="fr-FR"/>
              </w:rPr>
            </w:pPr>
            <w:r w:rsidRPr="00C258AD">
              <w:rPr>
                <w:sz w:val="16"/>
                <w:szCs w:val="16"/>
                <w:lang w:eastAsia="fr-FR"/>
              </w:rPr>
              <w:t>3 081</w:t>
            </w:r>
          </w:p>
        </w:tc>
      </w:tr>
      <w:tr w:rsidR="00232431" w:rsidRPr="00C258AD" w:rsidTr="001A4D6C">
        <w:trPr>
          <w:cantSplit/>
        </w:trPr>
        <w:tc>
          <w:tcPr>
            <w:tcW w:w="680" w:type="dxa"/>
            <w:shd w:val="clear" w:color="auto" w:fill="auto"/>
            <w:noWrap/>
            <w:vAlign w:val="center"/>
            <w:hideMark/>
          </w:tcPr>
          <w:p w:rsidR="00232431" w:rsidRPr="00C258AD" w:rsidRDefault="00232431" w:rsidP="001A4D6C">
            <w:pPr>
              <w:rPr>
                <w:sz w:val="16"/>
                <w:szCs w:val="16"/>
                <w:lang w:eastAsia="fr-FR"/>
              </w:rPr>
            </w:pPr>
            <w:r w:rsidRPr="00C258AD">
              <w:rPr>
                <w:sz w:val="16"/>
                <w:szCs w:val="16"/>
                <w:lang w:eastAsia="fr-FR"/>
              </w:rPr>
              <w:t>III.2</w:t>
            </w:r>
          </w:p>
        </w:tc>
        <w:tc>
          <w:tcPr>
            <w:tcW w:w="4549" w:type="dxa"/>
            <w:shd w:val="clear" w:color="auto" w:fill="auto"/>
            <w:vAlign w:val="center"/>
            <w:hideMark/>
          </w:tcPr>
          <w:p w:rsidR="00232431" w:rsidRPr="00C258AD" w:rsidRDefault="00232431" w:rsidP="001A4D6C">
            <w:pPr>
              <w:rPr>
                <w:sz w:val="16"/>
                <w:szCs w:val="16"/>
                <w:lang w:eastAsia="fr-FR"/>
              </w:rPr>
            </w:pPr>
            <w:r w:rsidRPr="00C258AD">
              <w:rPr>
                <w:sz w:val="16"/>
                <w:szCs w:val="16"/>
                <w:lang w:eastAsia="fr-FR"/>
              </w:rPr>
              <w:t>Renforcement des capacités en matière de ressources humaines pour pouvoir répondre aux nombreuses exigences en ce qui concerne l’utilisation efficace de la propriété intellectuelle au service du développement dans les pays en développement, les PMA et les pays en transition</w:t>
            </w:r>
          </w:p>
        </w:tc>
        <w:tc>
          <w:tcPr>
            <w:tcW w:w="1422" w:type="dxa"/>
            <w:shd w:val="clear" w:color="auto" w:fill="auto"/>
            <w:vAlign w:val="center"/>
            <w:hideMark/>
          </w:tcPr>
          <w:p w:rsidR="00232431" w:rsidRPr="00C258AD" w:rsidRDefault="00232431" w:rsidP="001A4D6C">
            <w:pPr>
              <w:jc w:val="right"/>
              <w:rPr>
                <w:sz w:val="16"/>
                <w:szCs w:val="16"/>
                <w:lang w:eastAsia="fr-FR"/>
              </w:rPr>
            </w:pPr>
            <w:r w:rsidRPr="00C258AD">
              <w:rPr>
                <w:sz w:val="16"/>
                <w:szCs w:val="16"/>
                <w:lang w:eastAsia="fr-FR"/>
              </w:rPr>
              <w:t>4 188</w:t>
            </w:r>
          </w:p>
        </w:tc>
        <w:tc>
          <w:tcPr>
            <w:tcW w:w="1422" w:type="dxa"/>
            <w:shd w:val="clear" w:color="auto" w:fill="auto"/>
            <w:vAlign w:val="center"/>
            <w:hideMark/>
          </w:tcPr>
          <w:p w:rsidR="00232431" w:rsidRPr="00C258AD" w:rsidRDefault="00232431" w:rsidP="001A4D6C">
            <w:pPr>
              <w:jc w:val="right"/>
              <w:rPr>
                <w:sz w:val="16"/>
                <w:szCs w:val="16"/>
                <w:lang w:eastAsia="fr-FR"/>
              </w:rPr>
            </w:pPr>
            <w:r w:rsidRPr="00C258AD">
              <w:rPr>
                <w:sz w:val="16"/>
                <w:szCs w:val="16"/>
                <w:lang w:eastAsia="fr-FR"/>
              </w:rPr>
              <w:t>4 047</w:t>
            </w:r>
          </w:p>
        </w:tc>
        <w:tc>
          <w:tcPr>
            <w:tcW w:w="1422" w:type="dxa"/>
            <w:shd w:val="clear" w:color="auto" w:fill="auto"/>
            <w:vAlign w:val="center"/>
            <w:hideMark/>
          </w:tcPr>
          <w:p w:rsidR="00232431" w:rsidRPr="00C258AD" w:rsidRDefault="00232431" w:rsidP="001A4D6C">
            <w:pPr>
              <w:jc w:val="right"/>
              <w:rPr>
                <w:sz w:val="16"/>
                <w:szCs w:val="16"/>
                <w:lang w:eastAsia="fr-FR"/>
              </w:rPr>
            </w:pPr>
            <w:r w:rsidRPr="00C258AD">
              <w:rPr>
                <w:sz w:val="16"/>
                <w:szCs w:val="16"/>
                <w:lang w:eastAsia="fr-FR"/>
              </w:rPr>
              <w:t>4 023</w:t>
            </w:r>
          </w:p>
        </w:tc>
      </w:tr>
      <w:tr w:rsidR="00232431" w:rsidRPr="00C258AD" w:rsidTr="001A4D6C">
        <w:trPr>
          <w:cantSplit/>
        </w:trPr>
        <w:tc>
          <w:tcPr>
            <w:tcW w:w="680" w:type="dxa"/>
            <w:shd w:val="clear" w:color="auto" w:fill="auto"/>
            <w:noWrap/>
            <w:vAlign w:val="center"/>
            <w:hideMark/>
          </w:tcPr>
          <w:p w:rsidR="00232431" w:rsidRPr="00C258AD" w:rsidRDefault="00232431" w:rsidP="001A4D6C">
            <w:pPr>
              <w:rPr>
                <w:sz w:val="16"/>
                <w:szCs w:val="16"/>
                <w:lang w:eastAsia="fr-FR"/>
              </w:rPr>
            </w:pPr>
            <w:r w:rsidRPr="00C258AD">
              <w:rPr>
                <w:sz w:val="16"/>
                <w:szCs w:val="16"/>
                <w:lang w:eastAsia="fr-FR"/>
              </w:rPr>
              <w:t>IV.2</w:t>
            </w:r>
          </w:p>
        </w:tc>
        <w:tc>
          <w:tcPr>
            <w:tcW w:w="4549" w:type="dxa"/>
            <w:shd w:val="clear" w:color="auto" w:fill="auto"/>
            <w:vAlign w:val="center"/>
            <w:hideMark/>
          </w:tcPr>
          <w:p w:rsidR="00232431" w:rsidRPr="00C258AD" w:rsidRDefault="00232431" w:rsidP="001A4D6C">
            <w:pPr>
              <w:rPr>
                <w:sz w:val="16"/>
                <w:szCs w:val="16"/>
                <w:lang w:eastAsia="fr-FR"/>
              </w:rPr>
            </w:pPr>
            <w:r w:rsidRPr="00C258AD">
              <w:rPr>
                <w:sz w:val="16"/>
                <w:szCs w:val="16"/>
                <w:lang w:eastAsia="fr-FR"/>
              </w:rPr>
              <w:t>Amélioration de l’accessibilité et de l’utilisation de l’information en matière de propriété intellectuelle par les institutions compétentes et le public afin de promouvoir l’innovation et la créativité</w:t>
            </w:r>
          </w:p>
        </w:tc>
        <w:tc>
          <w:tcPr>
            <w:tcW w:w="1422" w:type="dxa"/>
            <w:shd w:val="clear" w:color="auto" w:fill="auto"/>
            <w:vAlign w:val="center"/>
            <w:hideMark/>
          </w:tcPr>
          <w:p w:rsidR="00232431" w:rsidRPr="00C258AD" w:rsidRDefault="00232431" w:rsidP="001A4D6C">
            <w:pPr>
              <w:jc w:val="right"/>
              <w:rPr>
                <w:sz w:val="16"/>
                <w:szCs w:val="16"/>
                <w:lang w:eastAsia="fr-FR"/>
              </w:rPr>
            </w:pPr>
            <w:r w:rsidRPr="00C258AD">
              <w:rPr>
                <w:sz w:val="16"/>
                <w:szCs w:val="16"/>
                <w:lang w:eastAsia="fr-FR"/>
              </w:rPr>
              <w:t>2 536</w:t>
            </w:r>
          </w:p>
        </w:tc>
        <w:tc>
          <w:tcPr>
            <w:tcW w:w="1422" w:type="dxa"/>
            <w:shd w:val="clear" w:color="auto" w:fill="auto"/>
            <w:vAlign w:val="center"/>
            <w:hideMark/>
          </w:tcPr>
          <w:p w:rsidR="00232431" w:rsidRPr="00C258AD" w:rsidRDefault="00232431" w:rsidP="001A4D6C">
            <w:pPr>
              <w:jc w:val="right"/>
              <w:rPr>
                <w:sz w:val="16"/>
                <w:szCs w:val="16"/>
                <w:lang w:eastAsia="fr-FR"/>
              </w:rPr>
            </w:pPr>
            <w:r w:rsidRPr="00C258AD">
              <w:rPr>
                <w:sz w:val="16"/>
                <w:szCs w:val="16"/>
                <w:lang w:eastAsia="fr-FR"/>
              </w:rPr>
              <w:t>3 438</w:t>
            </w:r>
          </w:p>
        </w:tc>
        <w:tc>
          <w:tcPr>
            <w:tcW w:w="1422" w:type="dxa"/>
            <w:shd w:val="clear" w:color="auto" w:fill="auto"/>
            <w:vAlign w:val="center"/>
            <w:hideMark/>
          </w:tcPr>
          <w:p w:rsidR="00232431" w:rsidRPr="00C258AD" w:rsidRDefault="00232431" w:rsidP="001A4D6C">
            <w:pPr>
              <w:jc w:val="right"/>
              <w:rPr>
                <w:sz w:val="16"/>
                <w:szCs w:val="16"/>
                <w:lang w:eastAsia="fr-FR"/>
              </w:rPr>
            </w:pPr>
            <w:r w:rsidRPr="00C258AD">
              <w:rPr>
                <w:sz w:val="16"/>
                <w:szCs w:val="16"/>
                <w:lang w:eastAsia="fr-FR"/>
              </w:rPr>
              <w:t>3 305</w:t>
            </w:r>
          </w:p>
        </w:tc>
      </w:tr>
      <w:tr w:rsidR="00232431" w:rsidRPr="00C258AD" w:rsidTr="001A4D6C">
        <w:trPr>
          <w:cantSplit/>
        </w:trPr>
        <w:tc>
          <w:tcPr>
            <w:tcW w:w="680" w:type="dxa"/>
            <w:shd w:val="clear" w:color="auto" w:fill="auto"/>
            <w:noWrap/>
            <w:vAlign w:val="center"/>
            <w:hideMark/>
          </w:tcPr>
          <w:p w:rsidR="00232431" w:rsidRPr="00C258AD" w:rsidRDefault="00232431" w:rsidP="001A4D6C">
            <w:pPr>
              <w:rPr>
                <w:sz w:val="16"/>
                <w:szCs w:val="16"/>
                <w:lang w:eastAsia="fr-FR"/>
              </w:rPr>
            </w:pPr>
            <w:r w:rsidRPr="00C258AD">
              <w:rPr>
                <w:sz w:val="16"/>
                <w:szCs w:val="16"/>
                <w:lang w:eastAsia="fr-FR"/>
              </w:rPr>
              <w:lastRenderedPageBreak/>
              <w:t>IV.4</w:t>
            </w:r>
          </w:p>
        </w:tc>
        <w:tc>
          <w:tcPr>
            <w:tcW w:w="4549" w:type="dxa"/>
            <w:shd w:val="clear" w:color="auto" w:fill="auto"/>
            <w:vAlign w:val="center"/>
            <w:hideMark/>
          </w:tcPr>
          <w:p w:rsidR="00232431" w:rsidRPr="00C258AD" w:rsidRDefault="00232431" w:rsidP="001A4D6C">
            <w:pPr>
              <w:rPr>
                <w:sz w:val="16"/>
                <w:szCs w:val="16"/>
                <w:lang w:eastAsia="fr-FR"/>
              </w:rPr>
            </w:pPr>
            <w:r w:rsidRPr="00C258AD">
              <w:rPr>
                <w:sz w:val="16"/>
                <w:szCs w:val="16"/>
                <w:lang w:eastAsia="fr-FR"/>
              </w:rPr>
              <w:t>Amélioration de l’infrastructure technique et du savoir pour les offices de propriété intellectuelle et d’autres institutions de propriété intellectuelle, leur permettant de fournir à leurs parties prenantes des services améliorés (moins chers, plus rapides, de meilleure qualité)</w:t>
            </w:r>
          </w:p>
        </w:tc>
        <w:tc>
          <w:tcPr>
            <w:tcW w:w="1422" w:type="dxa"/>
            <w:shd w:val="clear" w:color="auto" w:fill="auto"/>
            <w:vAlign w:val="center"/>
            <w:hideMark/>
          </w:tcPr>
          <w:p w:rsidR="00232431" w:rsidRPr="00C258AD" w:rsidRDefault="00232431" w:rsidP="001A4D6C">
            <w:pPr>
              <w:jc w:val="right"/>
              <w:rPr>
                <w:sz w:val="16"/>
                <w:szCs w:val="16"/>
                <w:lang w:eastAsia="fr-FR"/>
              </w:rPr>
            </w:pPr>
            <w:r w:rsidRPr="00C258AD">
              <w:rPr>
                <w:sz w:val="16"/>
                <w:szCs w:val="16"/>
                <w:lang w:eastAsia="fr-FR"/>
              </w:rPr>
              <w:t>2 883</w:t>
            </w:r>
          </w:p>
        </w:tc>
        <w:tc>
          <w:tcPr>
            <w:tcW w:w="1422" w:type="dxa"/>
            <w:shd w:val="clear" w:color="auto" w:fill="auto"/>
            <w:vAlign w:val="center"/>
            <w:hideMark/>
          </w:tcPr>
          <w:p w:rsidR="00232431" w:rsidRPr="00C258AD" w:rsidRDefault="00232431" w:rsidP="001A4D6C">
            <w:pPr>
              <w:jc w:val="right"/>
              <w:rPr>
                <w:sz w:val="16"/>
                <w:szCs w:val="16"/>
                <w:lang w:eastAsia="fr-FR"/>
              </w:rPr>
            </w:pPr>
            <w:r w:rsidRPr="00C258AD">
              <w:rPr>
                <w:sz w:val="16"/>
                <w:szCs w:val="16"/>
                <w:lang w:eastAsia="fr-FR"/>
              </w:rPr>
              <w:t>2 339</w:t>
            </w:r>
          </w:p>
        </w:tc>
        <w:tc>
          <w:tcPr>
            <w:tcW w:w="1422" w:type="dxa"/>
            <w:shd w:val="clear" w:color="auto" w:fill="auto"/>
            <w:vAlign w:val="center"/>
            <w:hideMark/>
          </w:tcPr>
          <w:p w:rsidR="00232431" w:rsidRPr="00C258AD" w:rsidRDefault="00232431" w:rsidP="001A4D6C">
            <w:pPr>
              <w:jc w:val="right"/>
              <w:rPr>
                <w:sz w:val="16"/>
                <w:szCs w:val="16"/>
                <w:lang w:eastAsia="fr-FR"/>
              </w:rPr>
            </w:pPr>
            <w:r w:rsidRPr="00C258AD">
              <w:rPr>
                <w:sz w:val="16"/>
                <w:szCs w:val="16"/>
                <w:lang w:eastAsia="fr-FR"/>
              </w:rPr>
              <w:t>2 263</w:t>
            </w:r>
          </w:p>
        </w:tc>
      </w:tr>
      <w:tr w:rsidR="00232431" w:rsidRPr="00C258AD" w:rsidTr="00232431">
        <w:trPr>
          <w:cantSplit/>
        </w:trPr>
        <w:tc>
          <w:tcPr>
            <w:tcW w:w="680" w:type="dxa"/>
            <w:tcBorders>
              <w:bottom w:val="single" w:sz="4" w:space="0" w:color="auto"/>
            </w:tcBorders>
            <w:shd w:val="clear" w:color="auto" w:fill="auto"/>
            <w:noWrap/>
            <w:vAlign w:val="center"/>
            <w:hideMark/>
          </w:tcPr>
          <w:p w:rsidR="00232431" w:rsidRPr="00C258AD" w:rsidRDefault="00232431" w:rsidP="001A4D6C">
            <w:pPr>
              <w:rPr>
                <w:sz w:val="16"/>
                <w:szCs w:val="16"/>
                <w:lang w:eastAsia="fr-FR"/>
              </w:rPr>
            </w:pPr>
            <w:r w:rsidRPr="00C258AD">
              <w:rPr>
                <w:sz w:val="16"/>
                <w:szCs w:val="16"/>
                <w:lang w:eastAsia="fr-FR"/>
              </w:rPr>
              <w:t>V.2</w:t>
            </w:r>
          </w:p>
        </w:tc>
        <w:tc>
          <w:tcPr>
            <w:tcW w:w="4549" w:type="dxa"/>
            <w:tcBorders>
              <w:bottom w:val="single" w:sz="4" w:space="0" w:color="auto"/>
            </w:tcBorders>
            <w:shd w:val="clear" w:color="auto" w:fill="auto"/>
            <w:vAlign w:val="center"/>
            <w:hideMark/>
          </w:tcPr>
          <w:p w:rsidR="00232431" w:rsidRPr="00C258AD" w:rsidRDefault="00232431" w:rsidP="001A4D6C">
            <w:pPr>
              <w:rPr>
                <w:sz w:val="16"/>
                <w:szCs w:val="16"/>
                <w:lang w:eastAsia="fr-FR"/>
              </w:rPr>
            </w:pPr>
            <w:r w:rsidRPr="00C258AD">
              <w:rPr>
                <w:sz w:val="16"/>
                <w:szCs w:val="16"/>
                <w:lang w:eastAsia="fr-FR"/>
              </w:rPr>
              <w:t>Utilisation élargie et améliorée des analyses économiques de l’OMPI aux fins de l’élaboration des politiques</w:t>
            </w:r>
          </w:p>
        </w:tc>
        <w:tc>
          <w:tcPr>
            <w:tcW w:w="1422" w:type="dxa"/>
            <w:tcBorders>
              <w:bottom w:val="single" w:sz="4" w:space="0" w:color="auto"/>
            </w:tcBorders>
            <w:shd w:val="clear" w:color="auto" w:fill="auto"/>
            <w:vAlign w:val="center"/>
            <w:hideMark/>
          </w:tcPr>
          <w:p w:rsidR="00232431" w:rsidRPr="00C258AD" w:rsidRDefault="00232431" w:rsidP="001A4D6C">
            <w:pPr>
              <w:jc w:val="right"/>
              <w:rPr>
                <w:sz w:val="16"/>
                <w:szCs w:val="16"/>
                <w:lang w:eastAsia="fr-FR"/>
              </w:rPr>
            </w:pPr>
            <w:r w:rsidRPr="00C258AD">
              <w:rPr>
                <w:sz w:val="16"/>
                <w:szCs w:val="16"/>
                <w:lang w:eastAsia="fr-FR"/>
              </w:rPr>
              <w:t>1 065</w:t>
            </w:r>
          </w:p>
        </w:tc>
        <w:tc>
          <w:tcPr>
            <w:tcW w:w="1422" w:type="dxa"/>
            <w:tcBorders>
              <w:bottom w:val="single" w:sz="4" w:space="0" w:color="auto"/>
            </w:tcBorders>
            <w:shd w:val="clear" w:color="auto" w:fill="auto"/>
            <w:vAlign w:val="center"/>
            <w:hideMark/>
          </w:tcPr>
          <w:p w:rsidR="00232431" w:rsidRPr="00C258AD" w:rsidRDefault="00232431" w:rsidP="001A4D6C">
            <w:pPr>
              <w:jc w:val="right"/>
              <w:rPr>
                <w:sz w:val="16"/>
                <w:szCs w:val="16"/>
                <w:lang w:eastAsia="fr-FR"/>
              </w:rPr>
            </w:pPr>
            <w:r w:rsidRPr="00C258AD">
              <w:rPr>
                <w:sz w:val="16"/>
                <w:szCs w:val="16"/>
                <w:lang w:eastAsia="fr-FR"/>
              </w:rPr>
              <w:t>962</w:t>
            </w:r>
          </w:p>
        </w:tc>
        <w:tc>
          <w:tcPr>
            <w:tcW w:w="1422" w:type="dxa"/>
            <w:tcBorders>
              <w:bottom w:val="single" w:sz="4" w:space="0" w:color="auto"/>
            </w:tcBorders>
            <w:shd w:val="clear" w:color="auto" w:fill="auto"/>
            <w:vAlign w:val="center"/>
            <w:hideMark/>
          </w:tcPr>
          <w:p w:rsidR="00232431" w:rsidRPr="00C258AD" w:rsidRDefault="00232431" w:rsidP="001A4D6C">
            <w:pPr>
              <w:jc w:val="right"/>
              <w:rPr>
                <w:sz w:val="16"/>
                <w:szCs w:val="16"/>
                <w:lang w:eastAsia="fr-FR"/>
              </w:rPr>
            </w:pPr>
            <w:r w:rsidRPr="00C258AD">
              <w:rPr>
                <w:sz w:val="16"/>
                <w:szCs w:val="16"/>
                <w:lang w:eastAsia="fr-FR"/>
              </w:rPr>
              <w:t>1 005</w:t>
            </w:r>
          </w:p>
        </w:tc>
      </w:tr>
      <w:tr w:rsidR="00232431" w:rsidRPr="00C258AD" w:rsidTr="00232431">
        <w:trPr>
          <w:cantSplit/>
        </w:trPr>
        <w:tc>
          <w:tcPr>
            <w:tcW w:w="680" w:type="dxa"/>
            <w:tcBorders>
              <w:top w:val="single" w:sz="4" w:space="0" w:color="auto"/>
              <w:bottom w:val="single" w:sz="4" w:space="0" w:color="auto"/>
            </w:tcBorders>
            <w:shd w:val="clear" w:color="auto" w:fill="C5D9F1"/>
            <w:noWrap/>
            <w:vAlign w:val="bottom"/>
            <w:hideMark/>
          </w:tcPr>
          <w:p w:rsidR="00232431" w:rsidRPr="00C258AD" w:rsidRDefault="00232431" w:rsidP="001A4D6C">
            <w:pPr>
              <w:rPr>
                <w:sz w:val="16"/>
                <w:szCs w:val="16"/>
                <w:lang w:eastAsia="fr-FR"/>
              </w:rPr>
            </w:pPr>
            <w:r w:rsidRPr="00C258AD">
              <w:rPr>
                <w:sz w:val="16"/>
                <w:szCs w:val="16"/>
                <w:lang w:eastAsia="fr-FR"/>
              </w:rPr>
              <w:t> </w:t>
            </w:r>
          </w:p>
        </w:tc>
        <w:tc>
          <w:tcPr>
            <w:tcW w:w="4549" w:type="dxa"/>
            <w:tcBorders>
              <w:top w:val="single" w:sz="4" w:space="0" w:color="auto"/>
              <w:bottom w:val="single" w:sz="4" w:space="0" w:color="auto"/>
            </w:tcBorders>
            <w:shd w:val="clear" w:color="auto" w:fill="C5D9F1"/>
            <w:noWrap/>
            <w:vAlign w:val="bottom"/>
            <w:hideMark/>
          </w:tcPr>
          <w:p w:rsidR="00232431" w:rsidRPr="00C258AD" w:rsidRDefault="00232431" w:rsidP="001A4D6C">
            <w:pPr>
              <w:rPr>
                <w:b/>
                <w:bCs/>
                <w:sz w:val="16"/>
                <w:szCs w:val="16"/>
                <w:lang w:eastAsia="fr-FR"/>
              </w:rPr>
            </w:pPr>
            <w:r w:rsidRPr="00C258AD">
              <w:rPr>
                <w:b/>
                <w:bCs/>
                <w:sz w:val="16"/>
                <w:szCs w:val="16"/>
                <w:lang w:eastAsia="fr-FR"/>
              </w:rPr>
              <w:t>Total</w:t>
            </w:r>
          </w:p>
        </w:tc>
        <w:tc>
          <w:tcPr>
            <w:tcW w:w="1422" w:type="dxa"/>
            <w:tcBorders>
              <w:top w:val="single" w:sz="4" w:space="0" w:color="auto"/>
              <w:bottom w:val="single" w:sz="4" w:space="0" w:color="auto"/>
            </w:tcBorders>
            <w:shd w:val="clear" w:color="auto" w:fill="C5D9F1"/>
            <w:noWrap/>
            <w:vAlign w:val="bottom"/>
            <w:hideMark/>
          </w:tcPr>
          <w:p w:rsidR="00232431" w:rsidRPr="00C258AD" w:rsidRDefault="00232431" w:rsidP="001A4D6C">
            <w:pPr>
              <w:jc w:val="right"/>
              <w:rPr>
                <w:b/>
                <w:bCs/>
                <w:sz w:val="16"/>
                <w:szCs w:val="16"/>
                <w:lang w:eastAsia="fr-FR"/>
              </w:rPr>
            </w:pPr>
            <w:r w:rsidRPr="00C258AD">
              <w:rPr>
                <w:b/>
                <w:bCs/>
                <w:sz w:val="16"/>
                <w:szCs w:val="16"/>
                <w:lang w:eastAsia="fr-FR"/>
              </w:rPr>
              <w:t>16 430</w:t>
            </w:r>
          </w:p>
        </w:tc>
        <w:tc>
          <w:tcPr>
            <w:tcW w:w="1422" w:type="dxa"/>
            <w:tcBorders>
              <w:top w:val="single" w:sz="4" w:space="0" w:color="auto"/>
              <w:bottom w:val="single" w:sz="4" w:space="0" w:color="auto"/>
            </w:tcBorders>
            <w:shd w:val="clear" w:color="auto" w:fill="C5D9F1"/>
            <w:noWrap/>
            <w:vAlign w:val="bottom"/>
            <w:hideMark/>
          </w:tcPr>
          <w:p w:rsidR="00232431" w:rsidRPr="00C258AD" w:rsidRDefault="00232431" w:rsidP="001A4D6C">
            <w:pPr>
              <w:jc w:val="right"/>
              <w:rPr>
                <w:b/>
                <w:bCs/>
                <w:sz w:val="16"/>
                <w:szCs w:val="16"/>
                <w:lang w:eastAsia="fr-FR"/>
              </w:rPr>
            </w:pPr>
            <w:r w:rsidRPr="00C258AD">
              <w:rPr>
                <w:b/>
                <w:bCs/>
                <w:sz w:val="16"/>
                <w:szCs w:val="16"/>
                <w:lang w:eastAsia="fr-FR"/>
              </w:rPr>
              <w:t>16 764</w:t>
            </w:r>
          </w:p>
        </w:tc>
        <w:tc>
          <w:tcPr>
            <w:tcW w:w="1422" w:type="dxa"/>
            <w:tcBorders>
              <w:top w:val="single" w:sz="4" w:space="0" w:color="auto"/>
              <w:bottom w:val="single" w:sz="4" w:space="0" w:color="auto"/>
            </w:tcBorders>
            <w:shd w:val="clear" w:color="auto" w:fill="C5D9F1"/>
            <w:noWrap/>
            <w:vAlign w:val="bottom"/>
            <w:hideMark/>
          </w:tcPr>
          <w:p w:rsidR="00232431" w:rsidRPr="00C258AD" w:rsidRDefault="00232431" w:rsidP="001A4D6C">
            <w:pPr>
              <w:jc w:val="right"/>
              <w:rPr>
                <w:b/>
                <w:bCs/>
                <w:sz w:val="16"/>
                <w:szCs w:val="16"/>
                <w:lang w:eastAsia="fr-FR"/>
              </w:rPr>
            </w:pPr>
            <w:r w:rsidRPr="00C258AD">
              <w:rPr>
                <w:b/>
                <w:bCs/>
                <w:sz w:val="16"/>
                <w:szCs w:val="16"/>
                <w:lang w:eastAsia="fr-FR"/>
              </w:rPr>
              <w:t>16 140</w:t>
            </w:r>
          </w:p>
        </w:tc>
      </w:tr>
    </w:tbl>
    <w:p w:rsidR="006E2BB1" w:rsidRPr="00C258AD" w:rsidRDefault="006E2BB1" w:rsidP="001A4D6C"/>
    <w:p w:rsidR="006E2BB1" w:rsidRPr="00C258AD" w:rsidRDefault="006E2BB1" w:rsidP="001A4D6C"/>
    <w:p w:rsidR="006E2BB1" w:rsidRPr="00C258AD" w:rsidRDefault="00232431" w:rsidP="001A4D6C">
      <w:pPr>
        <w:pStyle w:val="NormalWeb"/>
        <w:keepNext/>
        <w:keepLines/>
        <w:spacing w:before="0" w:beforeAutospacing="0" w:after="0" w:afterAutospacing="0"/>
        <w:jc w:val="center"/>
        <w:rPr>
          <w:sz w:val="20"/>
          <w:szCs w:val="20"/>
        </w:rPr>
      </w:pPr>
      <w:r w:rsidRPr="00C258AD">
        <w:rPr>
          <w:sz w:val="20"/>
          <w:szCs w:val="20"/>
        </w:rPr>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232431" w:rsidP="001A4D6C">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232431" w:rsidRPr="00C258AD" w:rsidRDefault="00232431" w:rsidP="001A4D6C">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232431" w:rsidRPr="00C258AD" w:rsidTr="001A4D6C">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232431" w:rsidRPr="00C258AD" w:rsidRDefault="00232431" w:rsidP="001A4D6C">
            <w:pPr>
              <w:rPr>
                <w:color w:val="000000"/>
                <w:sz w:val="16"/>
                <w:szCs w:val="18"/>
                <w:lang w:eastAsia="fr-FR"/>
              </w:rPr>
            </w:pPr>
            <w:r w:rsidRPr="00C258AD">
              <w:rPr>
                <w:color w:val="000000"/>
                <w:sz w:val="16"/>
                <w:szCs w:val="18"/>
                <w:lang w:eastAsia="fr-FR"/>
              </w:rPr>
              <w:t> </w:t>
            </w:r>
          </w:p>
        </w:tc>
        <w:tc>
          <w:tcPr>
            <w:tcW w:w="1745" w:type="dxa"/>
            <w:tcBorders>
              <w:top w:val="single" w:sz="4" w:space="0" w:color="auto"/>
              <w:left w:val="nil"/>
              <w:bottom w:val="nil"/>
              <w:right w:val="single" w:sz="4" w:space="0" w:color="auto"/>
            </w:tcBorders>
            <w:shd w:val="clear" w:color="auto" w:fill="C5D9F1"/>
            <w:vAlign w:val="center"/>
            <w:hideMark/>
          </w:tcPr>
          <w:p w:rsidR="00232431" w:rsidRPr="00C258AD" w:rsidRDefault="00232431" w:rsidP="001A4D6C">
            <w:pPr>
              <w:jc w:val="center"/>
              <w:rPr>
                <w:b/>
                <w:bCs/>
                <w:color w:val="000000"/>
                <w:sz w:val="16"/>
                <w:szCs w:val="18"/>
                <w:lang w:eastAsia="fr-FR"/>
              </w:rPr>
            </w:pPr>
            <w:r w:rsidRPr="00C258AD">
              <w:rPr>
                <w:b/>
                <w:bCs/>
                <w:color w:val="000000"/>
                <w:sz w:val="16"/>
                <w:szCs w:val="18"/>
                <w:lang w:eastAsia="fr-FR"/>
              </w:rPr>
              <w:t>Budget 2014</w:t>
            </w:r>
            <w:r w:rsidRPr="00C258AD">
              <w:rPr>
                <w:b/>
                <w:bCs/>
                <w:color w:val="000000"/>
                <w:sz w:val="16"/>
                <w:szCs w:val="18"/>
                <w:lang w:eastAsia="fr-FR"/>
              </w:rPr>
              <w:noBreakHyphen/>
              <w:t>2015 approuvé</w:t>
            </w:r>
          </w:p>
        </w:tc>
        <w:tc>
          <w:tcPr>
            <w:tcW w:w="1746" w:type="dxa"/>
            <w:tcBorders>
              <w:top w:val="single" w:sz="4" w:space="0" w:color="auto"/>
              <w:left w:val="nil"/>
              <w:bottom w:val="nil"/>
              <w:right w:val="single" w:sz="4" w:space="0" w:color="auto"/>
            </w:tcBorders>
            <w:shd w:val="clear" w:color="auto" w:fill="C5D9F1"/>
            <w:vAlign w:val="center"/>
            <w:hideMark/>
          </w:tcPr>
          <w:p w:rsidR="00232431" w:rsidRPr="00C258AD" w:rsidRDefault="00232431" w:rsidP="001A4D6C">
            <w:pPr>
              <w:jc w:val="center"/>
              <w:rPr>
                <w:b/>
                <w:bCs/>
                <w:color w:val="000000"/>
                <w:sz w:val="16"/>
                <w:szCs w:val="18"/>
                <w:lang w:eastAsia="fr-FR"/>
              </w:rPr>
            </w:pPr>
            <w:r w:rsidRPr="00C258AD">
              <w:rPr>
                <w:b/>
                <w:bCs/>
                <w:color w:val="000000"/>
                <w:sz w:val="16"/>
                <w:szCs w:val="18"/>
                <w:lang w:eastAsia="fr-FR"/>
              </w:rPr>
              <w:t>Budget final 2014</w:t>
            </w:r>
            <w:r w:rsidRPr="00C258AD">
              <w:rPr>
                <w:b/>
                <w:bCs/>
                <w:color w:val="000000"/>
                <w:sz w:val="16"/>
                <w:szCs w:val="18"/>
                <w:lang w:eastAsia="fr-FR"/>
              </w:rPr>
              <w:noBreakHyphen/>
              <w:t>2015</w:t>
            </w:r>
            <w:r w:rsidRPr="00C258AD">
              <w:rPr>
                <w:b/>
                <w:bCs/>
                <w:color w:val="000000"/>
                <w:sz w:val="16"/>
                <w:szCs w:val="18"/>
                <w:lang w:eastAsia="fr-FR"/>
              </w:rPr>
              <w:br/>
              <w:t>après virements</w:t>
            </w:r>
          </w:p>
        </w:tc>
        <w:tc>
          <w:tcPr>
            <w:tcW w:w="1745" w:type="dxa"/>
            <w:tcBorders>
              <w:top w:val="single" w:sz="4" w:space="0" w:color="auto"/>
              <w:left w:val="nil"/>
              <w:bottom w:val="nil"/>
              <w:right w:val="single" w:sz="4" w:space="0" w:color="auto"/>
            </w:tcBorders>
            <w:shd w:val="clear" w:color="auto" w:fill="C5D9F1"/>
            <w:vAlign w:val="center"/>
            <w:hideMark/>
          </w:tcPr>
          <w:p w:rsidR="00232431" w:rsidRPr="00C258AD" w:rsidRDefault="00232431" w:rsidP="001A4D6C">
            <w:pPr>
              <w:jc w:val="center"/>
              <w:rPr>
                <w:b/>
                <w:bCs/>
                <w:color w:val="000000"/>
                <w:sz w:val="16"/>
                <w:szCs w:val="18"/>
                <w:lang w:eastAsia="fr-FR"/>
              </w:rPr>
            </w:pPr>
            <w:r w:rsidRPr="00C258AD">
              <w:rPr>
                <w:b/>
                <w:bCs/>
                <w:color w:val="000000"/>
                <w:sz w:val="16"/>
                <w:szCs w:val="18"/>
                <w:lang w:eastAsia="fr-FR"/>
              </w:rPr>
              <w:t xml:space="preserve">Dépenses </w:t>
            </w:r>
            <w:r w:rsidRPr="00C258AD">
              <w:rPr>
                <w:b/>
                <w:bCs/>
                <w:color w:val="000000"/>
                <w:sz w:val="16"/>
                <w:szCs w:val="18"/>
                <w:lang w:eastAsia="fr-FR"/>
              </w:rPr>
              <w:br/>
              <w:t>2014</w:t>
            </w:r>
            <w:r w:rsidRPr="00C258AD">
              <w:rPr>
                <w:b/>
                <w:bCs/>
                <w:color w:val="000000"/>
                <w:sz w:val="16"/>
                <w:szCs w:val="18"/>
                <w:lang w:eastAsia="fr-FR"/>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232431" w:rsidRPr="00C258AD" w:rsidRDefault="00232431" w:rsidP="001A4D6C">
            <w:pPr>
              <w:jc w:val="center"/>
              <w:rPr>
                <w:b/>
                <w:bCs/>
                <w:color w:val="000000"/>
                <w:sz w:val="16"/>
                <w:szCs w:val="18"/>
                <w:lang w:eastAsia="fr-FR"/>
              </w:rPr>
            </w:pPr>
            <w:r w:rsidRPr="00C258AD">
              <w:rPr>
                <w:b/>
                <w:bCs/>
                <w:color w:val="000000"/>
                <w:sz w:val="16"/>
                <w:szCs w:val="18"/>
                <w:lang w:eastAsia="fr-FR"/>
              </w:rPr>
              <w:t>Taux d’utilisation (%)</w:t>
            </w:r>
          </w:p>
        </w:tc>
      </w:tr>
      <w:tr w:rsidR="00232431"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232431" w:rsidRPr="00C258AD" w:rsidRDefault="00232431" w:rsidP="001A4D6C">
            <w:pPr>
              <w:rPr>
                <w:color w:val="000000"/>
                <w:sz w:val="16"/>
                <w:szCs w:val="18"/>
                <w:lang w:eastAsia="fr-FR"/>
              </w:rPr>
            </w:pPr>
            <w:r w:rsidRPr="00C258AD">
              <w:rPr>
                <w:color w:val="000000"/>
                <w:sz w:val="16"/>
                <w:szCs w:val="18"/>
                <w:lang w:eastAsia="fr-FR"/>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232431" w:rsidRPr="00C258AD" w:rsidRDefault="00232431" w:rsidP="001A4D6C">
            <w:pPr>
              <w:jc w:val="center"/>
              <w:rPr>
                <w:color w:val="000000"/>
                <w:sz w:val="16"/>
                <w:szCs w:val="18"/>
                <w:lang w:eastAsia="fr-FR"/>
              </w:rPr>
            </w:pPr>
            <w:r w:rsidRPr="00C258AD">
              <w:rPr>
                <w:color w:val="000000"/>
                <w:sz w:val="16"/>
                <w:szCs w:val="18"/>
                <w:lang w:eastAsia="fr-FR"/>
              </w:rPr>
              <w:t>10 315</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232431" w:rsidRPr="00C258AD" w:rsidRDefault="00232431" w:rsidP="001A4D6C">
            <w:pPr>
              <w:jc w:val="center"/>
              <w:rPr>
                <w:color w:val="000000"/>
                <w:sz w:val="16"/>
                <w:szCs w:val="18"/>
                <w:lang w:eastAsia="fr-FR"/>
              </w:rPr>
            </w:pPr>
            <w:r w:rsidRPr="00C258AD">
              <w:rPr>
                <w:color w:val="000000"/>
                <w:sz w:val="16"/>
                <w:szCs w:val="18"/>
                <w:lang w:eastAsia="fr-FR"/>
              </w:rPr>
              <w:t>10 272</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232431" w:rsidRPr="00C258AD" w:rsidRDefault="00232431" w:rsidP="001A4D6C">
            <w:pPr>
              <w:jc w:val="center"/>
              <w:rPr>
                <w:color w:val="000000"/>
                <w:sz w:val="16"/>
                <w:szCs w:val="18"/>
                <w:lang w:eastAsia="fr-FR"/>
              </w:rPr>
            </w:pPr>
            <w:r w:rsidRPr="00C258AD">
              <w:rPr>
                <w:color w:val="000000"/>
                <w:sz w:val="16"/>
                <w:szCs w:val="18"/>
                <w:lang w:eastAsia="fr-FR"/>
              </w:rPr>
              <w:t>10 102</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232431" w:rsidRPr="00C258AD" w:rsidRDefault="00232431" w:rsidP="001A4D6C">
            <w:pPr>
              <w:jc w:val="center"/>
              <w:rPr>
                <w:color w:val="000000"/>
                <w:sz w:val="16"/>
                <w:szCs w:val="18"/>
                <w:lang w:eastAsia="fr-FR"/>
              </w:rPr>
            </w:pPr>
            <w:r w:rsidRPr="00C258AD">
              <w:rPr>
                <w:color w:val="000000"/>
                <w:sz w:val="16"/>
                <w:szCs w:val="18"/>
                <w:lang w:eastAsia="fr-FR"/>
              </w:rPr>
              <w:t>98%</w:t>
            </w:r>
          </w:p>
        </w:tc>
      </w:tr>
      <w:tr w:rsidR="00232431"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232431" w:rsidRPr="00C258AD" w:rsidRDefault="00232431" w:rsidP="001A4D6C">
            <w:pPr>
              <w:rPr>
                <w:color w:val="000000"/>
                <w:sz w:val="16"/>
                <w:szCs w:val="18"/>
                <w:lang w:eastAsia="fr-FR"/>
              </w:rPr>
            </w:pPr>
            <w:r w:rsidRPr="00C258AD">
              <w:rPr>
                <w:color w:val="000000"/>
                <w:sz w:val="16"/>
                <w:szCs w:val="18"/>
                <w:lang w:eastAsia="fr-FR"/>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232431" w:rsidRPr="00C258AD" w:rsidRDefault="00232431" w:rsidP="001A4D6C">
            <w:pPr>
              <w:jc w:val="center"/>
              <w:rPr>
                <w:color w:val="000000"/>
                <w:sz w:val="16"/>
                <w:szCs w:val="18"/>
                <w:lang w:eastAsia="fr-FR"/>
              </w:rPr>
            </w:pPr>
            <w:r w:rsidRPr="00C258AD">
              <w:rPr>
                <w:color w:val="000000"/>
                <w:sz w:val="16"/>
                <w:szCs w:val="18"/>
                <w:lang w:eastAsia="fr-FR"/>
              </w:rPr>
              <w:t>6 114</w:t>
            </w:r>
          </w:p>
        </w:tc>
        <w:tc>
          <w:tcPr>
            <w:tcW w:w="1746" w:type="dxa"/>
            <w:tcBorders>
              <w:top w:val="nil"/>
              <w:left w:val="nil"/>
              <w:bottom w:val="single" w:sz="4" w:space="0" w:color="auto"/>
              <w:right w:val="single" w:sz="4" w:space="0" w:color="auto"/>
            </w:tcBorders>
            <w:shd w:val="clear" w:color="auto" w:fill="auto"/>
            <w:vAlign w:val="center"/>
            <w:hideMark/>
          </w:tcPr>
          <w:p w:rsidR="00232431" w:rsidRPr="00C258AD" w:rsidRDefault="00232431" w:rsidP="001A4D6C">
            <w:pPr>
              <w:jc w:val="center"/>
              <w:rPr>
                <w:color w:val="000000"/>
                <w:sz w:val="16"/>
                <w:szCs w:val="18"/>
                <w:lang w:eastAsia="fr-FR"/>
              </w:rPr>
            </w:pPr>
            <w:r w:rsidRPr="00C258AD">
              <w:rPr>
                <w:color w:val="000000"/>
                <w:sz w:val="16"/>
                <w:szCs w:val="18"/>
                <w:lang w:eastAsia="fr-FR"/>
              </w:rPr>
              <w:t>6 492</w:t>
            </w:r>
          </w:p>
        </w:tc>
        <w:tc>
          <w:tcPr>
            <w:tcW w:w="1745" w:type="dxa"/>
            <w:tcBorders>
              <w:top w:val="nil"/>
              <w:left w:val="nil"/>
              <w:bottom w:val="single" w:sz="4" w:space="0" w:color="auto"/>
              <w:right w:val="single" w:sz="4" w:space="0" w:color="auto"/>
            </w:tcBorders>
            <w:shd w:val="clear" w:color="auto" w:fill="auto"/>
            <w:vAlign w:val="center"/>
            <w:hideMark/>
          </w:tcPr>
          <w:p w:rsidR="00232431" w:rsidRPr="00C258AD" w:rsidRDefault="00232431" w:rsidP="001A4D6C">
            <w:pPr>
              <w:jc w:val="center"/>
              <w:rPr>
                <w:color w:val="000000"/>
                <w:sz w:val="16"/>
                <w:szCs w:val="18"/>
                <w:lang w:eastAsia="fr-FR"/>
              </w:rPr>
            </w:pPr>
            <w:r w:rsidRPr="00C258AD">
              <w:rPr>
                <w:color w:val="000000"/>
                <w:sz w:val="16"/>
                <w:szCs w:val="18"/>
                <w:lang w:eastAsia="fr-FR"/>
              </w:rPr>
              <w:t>6 038</w:t>
            </w:r>
          </w:p>
        </w:tc>
        <w:tc>
          <w:tcPr>
            <w:tcW w:w="1746" w:type="dxa"/>
            <w:tcBorders>
              <w:top w:val="nil"/>
              <w:left w:val="nil"/>
              <w:bottom w:val="single" w:sz="4" w:space="0" w:color="auto"/>
              <w:right w:val="single" w:sz="4" w:space="0" w:color="auto"/>
            </w:tcBorders>
            <w:shd w:val="clear" w:color="auto" w:fill="auto"/>
            <w:vAlign w:val="center"/>
            <w:hideMark/>
          </w:tcPr>
          <w:p w:rsidR="00232431" w:rsidRPr="00C258AD" w:rsidRDefault="00232431" w:rsidP="001A4D6C">
            <w:pPr>
              <w:jc w:val="center"/>
              <w:rPr>
                <w:color w:val="000000"/>
                <w:sz w:val="16"/>
                <w:szCs w:val="18"/>
                <w:lang w:eastAsia="fr-FR"/>
              </w:rPr>
            </w:pPr>
            <w:r w:rsidRPr="00C258AD">
              <w:rPr>
                <w:color w:val="000000"/>
                <w:sz w:val="16"/>
                <w:szCs w:val="18"/>
                <w:lang w:eastAsia="fr-FR"/>
              </w:rPr>
              <w:t>93%</w:t>
            </w:r>
          </w:p>
        </w:tc>
      </w:tr>
      <w:tr w:rsidR="00232431"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232431" w:rsidRPr="00C258AD" w:rsidRDefault="00232431" w:rsidP="001A4D6C">
            <w:pPr>
              <w:jc w:val="right"/>
              <w:rPr>
                <w:b/>
                <w:bCs/>
                <w:color w:val="000000"/>
                <w:sz w:val="16"/>
                <w:szCs w:val="18"/>
                <w:lang w:eastAsia="fr-FR"/>
              </w:rPr>
            </w:pPr>
            <w:r w:rsidRPr="00C258AD">
              <w:rPr>
                <w:b/>
                <w:bCs/>
                <w:color w:val="000000"/>
                <w:sz w:val="16"/>
                <w:szCs w:val="18"/>
                <w:lang w:eastAsia="fr-FR"/>
              </w:rPr>
              <w:t>TOTAL</w:t>
            </w:r>
          </w:p>
        </w:tc>
        <w:tc>
          <w:tcPr>
            <w:tcW w:w="1745" w:type="dxa"/>
            <w:tcBorders>
              <w:top w:val="nil"/>
              <w:left w:val="nil"/>
              <w:bottom w:val="single" w:sz="4" w:space="0" w:color="auto"/>
              <w:right w:val="single" w:sz="4" w:space="0" w:color="auto"/>
            </w:tcBorders>
            <w:shd w:val="clear" w:color="auto" w:fill="auto"/>
            <w:vAlign w:val="center"/>
            <w:hideMark/>
          </w:tcPr>
          <w:p w:rsidR="00232431" w:rsidRPr="00C258AD" w:rsidRDefault="00232431" w:rsidP="001A4D6C">
            <w:pPr>
              <w:jc w:val="center"/>
              <w:rPr>
                <w:b/>
                <w:bCs/>
                <w:color w:val="000000"/>
                <w:sz w:val="16"/>
                <w:szCs w:val="18"/>
                <w:lang w:eastAsia="fr-FR"/>
              </w:rPr>
            </w:pPr>
            <w:r w:rsidRPr="00C258AD">
              <w:rPr>
                <w:b/>
                <w:bCs/>
                <w:color w:val="000000"/>
                <w:sz w:val="16"/>
                <w:szCs w:val="18"/>
                <w:lang w:eastAsia="fr-FR"/>
              </w:rPr>
              <w:t>16 430</w:t>
            </w:r>
          </w:p>
        </w:tc>
        <w:tc>
          <w:tcPr>
            <w:tcW w:w="1746" w:type="dxa"/>
            <w:tcBorders>
              <w:top w:val="nil"/>
              <w:left w:val="nil"/>
              <w:bottom w:val="single" w:sz="4" w:space="0" w:color="auto"/>
              <w:right w:val="single" w:sz="4" w:space="0" w:color="auto"/>
            </w:tcBorders>
            <w:shd w:val="clear" w:color="auto" w:fill="auto"/>
            <w:vAlign w:val="center"/>
            <w:hideMark/>
          </w:tcPr>
          <w:p w:rsidR="00232431" w:rsidRPr="00C258AD" w:rsidRDefault="00232431" w:rsidP="001A4D6C">
            <w:pPr>
              <w:jc w:val="center"/>
              <w:rPr>
                <w:b/>
                <w:bCs/>
                <w:color w:val="000000"/>
                <w:sz w:val="16"/>
                <w:szCs w:val="18"/>
                <w:lang w:eastAsia="fr-FR"/>
              </w:rPr>
            </w:pPr>
            <w:r w:rsidRPr="00C258AD">
              <w:rPr>
                <w:b/>
                <w:bCs/>
                <w:color w:val="000000"/>
                <w:sz w:val="16"/>
                <w:szCs w:val="18"/>
                <w:lang w:eastAsia="fr-FR"/>
              </w:rPr>
              <w:t>16 764</w:t>
            </w:r>
          </w:p>
        </w:tc>
        <w:tc>
          <w:tcPr>
            <w:tcW w:w="1745" w:type="dxa"/>
            <w:tcBorders>
              <w:top w:val="nil"/>
              <w:left w:val="nil"/>
              <w:bottom w:val="single" w:sz="4" w:space="0" w:color="auto"/>
              <w:right w:val="single" w:sz="4" w:space="0" w:color="auto"/>
            </w:tcBorders>
            <w:shd w:val="clear" w:color="auto" w:fill="auto"/>
            <w:vAlign w:val="center"/>
            <w:hideMark/>
          </w:tcPr>
          <w:p w:rsidR="00232431" w:rsidRPr="00C258AD" w:rsidRDefault="00232431" w:rsidP="001A4D6C">
            <w:pPr>
              <w:jc w:val="center"/>
              <w:rPr>
                <w:b/>
                <w:bCs/>
                <w:color w:val="000000"/>
                <w:sz w:val="16"/>
                <w:szCs w:val="18"/>
                <w:lang w:eastAsia="fr-FR"/>
              </w:rPr>
            </w:pPr>
            <w:r w:rsidRPr="00C258AD">
              <w:rPr>
                <w:b/>
                <w:bCs/>
                <w:color w:val="000000"/>
                <w:sz w:val="16"/>
                <w:szCs w:val="18"/>
                <w:lang w:eastAsia="fr-FR"/>
              </w:rPr>
              <w:t>16 140</w:t>
            </w:r>
          </w:p>
        </w:tc>
        <w:tc>
          <w:tcPr>
            <w:tcW w:w="1746" w:type="dxa"/>
            <w:tcBorders>
              <w:top w:val="nil"/>
              <w:left w:val="nil"/>
              <w:bottom w:val="single" w:sz="4" w:space="0" w:color="auto"/>
              <w:right w:val="single" w:sz="4" w:space="0" w:color="auto"/>
            </w:tcBorders>
            <w:shd w:val="clear" w:color="auto" w:fill="auto"/>
            <w:vAlign w:val="center"/>
            <w:hideMark/>
          </w:tcPr>
          <w:p w:rsidR="00232431" w:rsidRPr="00C258AD" w:rsidRDefault="00232431" w:rsidP="001A4D6C">
            <w:pPr>
              <w:jc w:val="center"/>
              <w:rPr>
                <w:b/>
                <w:bCs/>
                <w:color w:val="000000"/>
                <w:sz w:val="16"/>
                <w:szCs w:val="18"/>
                <w:lang w:eastAsia="fr-FR"/>
              </w:rPr>
            </w:pPr>
            <w:r w:rsidRPr="00C258AD">
              <w:rPr>
                <w:b/>
                <w:bCs/>
                <w:color w:val="000000"/>
                <w:sz w:val="16"/>
                <w:szCs w:val="18"/>
                <w:lang w:eastAsia="fr-FR"/>
              </w:rPr>
              <w:t>96%</w:t>
            </w:r>
          </w:p>
        </w:tc>
      </w:tr>
    </w:tbl>
    <w:p w:rsidR="006E2BB1" w:rsidRPr="00C258AD" w:rsidRDefault="006E2BB1" w:rsidP="001A4D6C">
      <w:pPr>
        <w:widowControl w:val="0"/>
        <w:autoSpaceDE w:val="0"/>
        <w:autoSpaceDN w:val="0"/>
        <w:adjustRightInd w:val="0"/>
        <w:jc w:val="both"/>
      </w:pPr>
    </w:p>
    <w:p w:rsidR="006E2BB1" w:rsidRPr="00C258AD" w:rsidRDefault="006E2BB1" w:rsidP="001A4D6C">
      <w:pPr>
        <w:widowControl w:val="0"/>
        <w:autoSpaceDE w:val="0"/>
        <w:autoSpaceDN w:val="0"/>
        <w:adjustRightInd w:val="0"/>
        <w:jc w:val="both"/>
      </w:pPr>
    </w:p>
    <w:p w:rsidR="006E2BB1" w:rsidRPr="00C258AD" w:rsidRDefault="00232431" w:rsidP="001A4D6C">
      <w:pPr>
        <w:rPr>
          <w:bCs/>
        </w:rPr>
      </w:pPr>
      <w:r w:rsidRPr="00C258AD">
        <w:rPr>
          <w:bCs/>
        </w:rPr>
        <w:t>A.</w:t>
      </w:r>
      <w:r w:rsidRPr="00C258AD">
        <w:rPr>
          <w:bCs/>
        </w:rPr>
        <w:tab/>
      </w:r>
      <w:r w:rsidRPr="00C258AD">
        <w:rPr>
          <w:bCs/>
          <w:u w:val="single"/>
        </w:rPr>
        <w:t>Budget final 2014</w:t>
      </w:r>
      <w:r w:rsidRPr="00C258AD">
        <w:rPr>
          <w:bCs/>
          <w:u w:val="single"/>
        </w:rPr>
        <w:noBreakHyphen/>
        <w:t>2015 après virements</w:t>
      </w:r>
    </w:p>
    <w:p w:rsidR="006E2BB1" w:rsidRPr="00C258AD" w:rsidRDefault="006E2BB1" w:rsidP="001A4D6C">
      <w:pPr>
        <w:rPr>
          <w:u w:val="single"/>
        </w:rPr>
      </w:pPr>
    </w:p>
    <w:p w:rsidR="006E2BB1" w:rsidRPr="00C258AD" w:rsidRDefault="00232431" w:rsidP="00066B9C">
      <w:pPr>
        <w:pStyle w:val="ListParagraph"/>
        <w:numPr>
          <w:ilvl w:val="0"/>
          <w:numId w:val="46"/>
        </w:numPr>
        <w:tabs>
          <w:tab w:val="left" w:pos="0"/>
          <w:tab w:val="left" w:pos="709"/>
        </w:tabs>
        <w:ind w:left="0" w:firstLine="0"/>
        <w:jc w:val="both"/>
      </w:pPr>
      <w:r w:rsidRPr="00C258AD">
        <w:rPr>
          <w:rFonts w:eastAsia="SimSun"/>
          <w:bCs/>
          <w:lang w:eastAsia="zh-CN"/>
        </w:rPr>
        <w:t>Le transfert des ressources du résultat escompté </w:t>
      </w:r>
      <w:r w:rsidRPr="00C258AD">
        <w:t xml:space="preserve">I.1 (Renforcement de la coopération entre les États) </w:t>
      </w:r>
      <w:r w:rsidRPr="00C258AD">
        <w:rPr>
          <w:rFonts w:eastAsia="SimSun"/>
          <w:bCs/>
          <w:lang w:eastAsia="zh-CN"/>
        </w:rPr>
        <w:t>au résultat escompté</w:t>
      </w:r>
      <w:r w:rsidRPr="00C258AD">
        <w:t> I.2 (Cadres législatifs, réglementaires et politiques adaptés et équilibrés en matière de propriété intellectuelle) dans le budget final pour 2014</w:t>
      </w:r>
      <w:r w:rsidRPr="00C258AD">
        <w:noBreakHyphen/>
        <w:t>2015 après virements s’explique par l’allocation de ressources de personnel et autres ressources supplémentaires à des activités en rapport avec l’assistance pour la ratification et la mise en œuvre des traités de Marrakech et de Beijing.</w:t>
      </w:r>
    </w:p>
    <w:p w:rsidR="006E2BB1" w:rsidRPr="00C258AD" w:rsidRDefault="006E2BB1" w:rsidP="001A4D6C"/>
    <w:p w:rsidR="006E2BB1" w:rsidRPr="00C258AD" w:rsidRDefault="00232431" w:rsidP="00066B9C">
      <w:pPr>
        <w:pStyle w:val="ListParagraph"/>
        <w:numPr>
          <w:ilvl w:val="0"/>
          <w:numId w:val="46"/>
        </w:numPr>
        <w:tabs>
          <w:tab w:val="left" w:pos="0"/>
          <w:tab w:val="left" w:pos="709"/>
        </w:tabs>
        <w:ind w:left="0" w:firstLine="0"/>
        <w:jc w:val="both"/>
      </w:pPr>
      <w:r w:rsidRPr="00C258AD">
        <w:rPr>
          <w:rFonts w:eastAsia="SimSun"/>
          <w:bCs/>
          <w:lang w:eastAsia="zh-CN"/>
        </w:rPr>
        <w:t>L’augmentation des ressources au titre du résultat escompté </w:t>
      </w:r>
      <w:r w:rsidRPr="00C258AD">
        <w:t>IV.2 (Amélioration de l’accessibilité et de l’utilisation de l’information en matière de propriété intellectuelle) s’explique essentiellement par l’importance accrue accordée aux activités en rapport avec le Consortium ABC.</w:t>
      </w:r>
    </w:p>
    <w:p w:rsidR="006E2BB1" w:rsidRPr="00C258AD" w:rsidRDefault="006E2BB1" w:rsidP="001A4D6C"/>
    <w:p w:rsidR="006E2BB1" w:rsidRPr="00C258AD" w:rsidRDefault="00232431" w:rsidP="00066B9C">
      <w:pPr>
        <w:pStyle w:val="ListParagraph"/>
        <w:numPr>
          <w:ilvl w:val="0"/>
          <w:numId w:val="46"/>
        </w:numPr>
        <w:tabs>
          <w:tab w:val="left" w:pos="0"/>
        </w:tabs>
        <w:ind w:left="0" w:firstLine="0"/>
        <w:jc w:val="both"/>
      </w:pPr>
      <w:r w:rsidRPr="00C258AD">
        <w:rPr>
          <w:rFonts w:eastAsia="SimSun"/>
          <w:bCs/>
          <w:lang w:eastAsia="zh-CN"/>
        </w:rPr>
        <w:t xml:space="preserve">La </w:t>
      </w:r>
      <w:r w:rsidRPr="00C258AD">
        <w:t>diminution</w:t>
      </w:r>
      <w:r w:rsidRPr="00C258AD">
        <w:rPr>
          <w:rFonts w:eastAsia="SimSun"/>
          <w:bCs/>
          <w:lang w:eastAsia="zh-CN"/>
        </w:rPr>
        <w:t xml:space="preserve"> des ressources au titre du résultat escompté</w:t>
      </w:r>
      <w:r w:rsidRPr="00C258AD">
        <w:t xml:space="preserve"> IV.4 (Utilisation élargie et améliorée des analyses économiques de l’OMPI) s’explique par le fait que certaines activités relatives au </w:t>
      </w:r>
      <w:r w:rsidRPr="00C258AD">
        <w:rPr>
          <w:rFonts w:eastAsia="SimSun"/>
          <w:bCs/>
          <w:lang w:eastAsia="zh-CN"/>
        </w:rPr>
        <w:t>système</w:t>
      </w:r>
      <w:r w:rsidRPr="00C258AD">
        <w:t xml:space="preserve"> WIPOCOS ont été transférées au programme 15 (Solutions opérationnelles pour les offices de propriété intellectuelle) afin de renforcer les systèmes de gestion des données des organismes de gestion collective dans le programme.</w:t>
      </w:r>
    </w:p>
    <w:p w:rsidR="006E2BB1" w:rsidRPr="00C258AD" w:rsidRDefault="006E2BB1" w:rsidP="001A4D6C">
      <w:pPr>
        <w:autoSpaceDE w:val="0"/>
        <w:autoSpaceDN w:val="0"/>
        <w:jc w:val="both"/>
        <w:rPr>
          <w:lang w:eastAsia="ko-KR"/>
        </w:rPr>
      </w:pPr>
    </w:p>
    <w:p w:rsidR="006E2BB1" w:rsidRPr="00C258AD" w:rsidRDefault="006E2BB1" w:rsidP="001A4D6C">
      <w:pPr>
        <w:autoSpaceDE w:val="0"/>
        <w:autoSpaceDN w:val="0"/>
        <w:jc w:val="both"/>
        <w:rPr>
          <w:lang w:eastAsia="ko-KR"/>
        </w:rPr>
      </w:pPr>
    </w:p>
    <w:p w:rsidR="006E2BB1" w:rsidRPr="00C258AD" w:rsidRDefault="00232431" w:rsidP="001A4D6C">
      <w:pPr>
        <w:jc w:val="both"/>
        <w:rPr>
          <w:bCs/>
        </w:rPr>
      </w:pPr>
      <w:r w:rsidRPr="00C258AD">
        <w:rPr>
          <w:bCs/>
        </w:rPr>
        <w:t>B.</w:t>
      </w:r>
      <w:r w:rsidRPr="00C258AD">
        <w:rPr>
          <w:bCs/>
        </w:rPr>
        <w:tab/>
      </w:r>
      <w:r w:rsidRPr="00C258AD">
        <w:rPr>
          <w:bCs/>
          <w:u w:val="single"/>
        </w:rPr>
        <w:t>Utilisation du budget en 2014</w:t>
      </w:r>
      <w:r w:rsidRPr="00C258AD">
        <w:rPr>
          <w:bCs/>
          <w:u w:val="single"/>
        </w:rPr>
        <w:noBreakHyphen/>
        <w:t>2015</w:t>
      </w:r>
    </w:p>
    <w:p w:rsidR="006E2BB1" w:rsidRPr="00C258AD" w:rsidRDefault="006E2BB1" w:rsidP="001A4D6C">
      <w:pPr>
        <w:autoSpaceDE w:val="0"/>
        <w:autoSpaceDN w:val="0"/>
        <w:jc w:val="both"/>
        <w:rPr>
          <w:bCs/>
        </w:rPr>
      </w:pPr>
    </w:p>
    <w:p w:rsidR="006E2BB1" w:rsidRPr="00C258AD" w:rsidRDefault="00232431" w:rsidP="00066B9C">
      <w:pPr>
        <w:pStyle w:val="ListParagraph"/>
        <w:numPr>
          <w:ilvl w:val="0"/>
          <w:numId w:val="46"/>
        </w:numPr>
        <w:tabs>
          <w:tab w:val="left" w:pos="0"/>
        </w:tabs>
        <w:autoSpaceDE w:val="0"/>
        <w:autoSpaceDN w:val="0"/>
        <w:ind w:left="0" w:firstLine="0"/>
        <w:jc w:val="both"/>
      </w:pPr>
      <w:r w:rsidRPr="00C258AD">
        <w:rPr>
          <w:rFonts w:eastAsia="SimSun" w:cs="Arial"/>
          <w:bCs/>
          <w:lang w:eastAsia="zh-CN"/>
        </w:rPr>
        <w:t>La baisse des dépenses au titre du résultat escompté IV.2 (Amélioration de l’accessibilité et de l’utilisation de l’information en matière de propriété intellectuelle) s’explique principalement par le report de certaines activités relevant du projet du Plan d’action pour le développement portant sur l’utilisation du droit d’auteur pour promouvoir l’accès à l’information et au contenu créatif.  La légère baisse des dépenses au titre du résultat escompté I.2 (Cadres législatifs, réglementaires et politiques en matière de propriété intellectuelle adaptés et équilibrés) s’explique par le report de certaines activités concernant la promotion des traités de Marrakech et de Beijing, en particulier dans les régions de l’Afrique et de l’Amérique latine.</w:t>
      </w:r>
    </w:p>
    <w:p w:rsidR="006E2BB1" w:rsidRPr="00C258AD" w:rsidRDefault="006E2BB1" w:rsidP="00232431">
      <w:pPr>
        <w:rPr>
          <w:lang w:eastAsia="zh-CN"/>
        </w:rPr>
      </w:pPr>
    </w:p>
    <w:p w:rsidR="006E2BB1" w:rsidRPr="00C258AD" w:rsidRDefault="006E2BB1" w:rsidP="00BE27AB">
      <w:pPr>
        <w:rPr>
          <w:lang w:eastAsia="zh-CN"/>
        </w:rPr>
      </w:pPr>
    </w:p>
    <w:p w:rsidR="006E2BB1" w:rsidRPr="00C258AD" w:rsidRDefault="00007D87">
      <w:pPr>
        <w:spacing w:after="200" w:line="276" w:lineRule="auto"/>
        <w:rPr>
          <w:szCs w:val="20"/>
          <w:lang w:eastAsia="zh-CN"/>
        </w:rPr>
      </w:pPr>
      <w:r w:rsidRPr="00C258AD">
        <w:rPr>
          <w:lang w:eastAsia="zh-CN"/>
        </w:rPr>
        <w:br w:type="page"/>
      </w:r>
    </w:p>
    <w:p w:rsidR="006E2BB1" w:rsidRPr="00C258AD" w:rsidRDefault="00BE27AB" w:rsidP="00305CE5">
      <w:pPr>
        <w:pStyle w:val="Heading3"/>
      </w:pPr>
      <w:bookmarkStart w:id="64" w:name="_Toc422404217"/>
      <w:bookmarkStart w:id="65" w:name="_Toc423352865"/>
      <w:bookmarkStart w:id="66" w:name="_Toc455394180"/>
      <w:r w:rsidRPr="00C258AD">
        <w:lastRenderedPageBreak/>
        <w:t>Programme 4</w:t>
      </w:r>
      <w:r w:rsidRPr="00C258AD">
        <w:tab/>
        <w:t>‎savoirs traditionnels, expressions culturelles traditionnelles et ressources génétiques</w:t>
      </w:r>
      <w:bookmarkEnd w:id="64"/>
      <w:bookmarkEnd w:id="65"/>
      <w:bookmarkEnd w:id="66"/>
    </w:p>
    <w:p w:rsidR="006E2BB1" w:rsidRPr="00C258AD" w:rsidRDefault="006E2BB1" w:rsidP="00BE27AB"/>
    <w:p w:rsidR="006E2BB1" w:rsidRPr="00C258AD" w:rsidRDefault="00007D87" w:rsidP="00BE27AB">
      <w:pPr>
        <w:rPr>
          <w:b/>
        </w:rPr>
      </w:pPr>
      <w:r w:rsidRPr="00C258AD">
        <w:rPr>
          <w:b/>
        </w:rPr>
        <w:t>Chef de programme</w:t>
      </w:r>
      <w:r w:rsidRPr="00C258AD">
        <w:rPr>
          <w:b/>
        </w:rPr>
        <w:tab/>
        <w:t>M. M. A. Getahun</w:t>
      </w:r>
    </w:p>
    <w:p w:rsidR="006E2BB1" w:rsidRPr="00C258AD" w:rsidRDefault="006E2BB1" w:rsidP="00BE27AB"/>
    <w:p w:rsidR="006E2BB1" w:rsidRPr="00C258AD" w:rsidRDefault="006E2BB1" w:rsidP="00BE27AB"/>
    <w:p w:rsidR="006E2BB1" w:rsidRPr="00C258AD" w:rsidRDefault="00B76703" w:rsidP="00305CE5">
      <w:pPr>
        <w:keepNext/>
        <w:rPr>
          <w:rFonts w:cs="Arial"/>
          <w:caps/>
          <w:sz w:val="22"/>
          <w:szCs w:val="22"/>
        </w:rPr>
      </w:pPr>
      <w:r w:rsidRPr="00C258AD">
        <w:rPr>
          <w:rFonts w:cs="Arial"/>
          <w:caps/>
          <w:sz w:val="22"/>
          <w:szCs w:val="22"/>
        </w:rPr>
        <w:t>Réalisations au cours de l’exercice biennal 2014-2015</w:t>
      </w:r>
    </w:p>
    <w:p w:rsidR="006E2BB1" w:rsidRPr="00C258AD" w:rsidRDefault="006E2BB1" w:rsidP="00007D87">
      <w:pPr>
        <w:jc w:val="both"/>
      </w:pPr>
    </w:p>
    <w:p w:rsidR="006E2BB1" w:rsidRPr="00C258AD" w:rsidRDefault="00007D87" w:rsidP="00BB4DBC">
      <w:pPr>
        <w:numPr>
          <w:ilvl w:val="0"/>
          <w:numId w:val="3"/>
        </w:numPr>
        <w:tabs>
          <w:tab w:val="clear" w:pos="680"/>
        </w:tabs>
        <w:jc w:val="both"/>
      </w:pPr>
      <w:r w:rsidRPr="00C258AD">
        <w:t>Le Comité intergouvernemental de la propriété intellectuelle relative aux ressources génétiques, aux savoirs traditionnels et au folklore (IGC) s</w:t>
      </w:r>
      <w:r w:rsidR="00721905" w:rsidRPr="00C258AD">
        <w:t>’</w:t>
      </w:r>
      <w:r w:rsidRPr="00C258AD">
        <w:t>est réuni trois fois en</w:t>
      </w:r>
      <w:r w:rsidR="002C57EB" w:rsidRPr="00C258AD">
        <w:t> </w:t>
      </w:r>
      <w:r w:rsidRPr="00C258AD">
        <w:t>2014 (vingt</w:t>
      </w:r>
      <w:r w:rsidR="0000169D" w:rsidRPr="00C258AD">
        <w:noBreakHyphen/>
      </w:r>
      <w:r w:rsidRPr="00C258AD">
        <w:t>sixième, vingt</w:t>
      </w:r>
      <w:r w:rsidR="0000169D" w:rsidRPr="00C258AD">
        <w:noBreakHyphen/>
      </w:r>
      <w:r w:rsidRPr="00C258AD">
        <w:t>septième et vingt</w:t>
      </w:r>
      <w:r w:rsidR="0000169D" w:rsidRPr="00C258AD">
        <w:noBreakHyphen/>
      </w:r>
      <w:r w:rsidRPr="00C258AD">
        <w:t>huitième sessions de l</w:t>
      </w:r>
      <w:r w:rsidR="00721905" w:rsidRPr="00C258AD">
        <w:t>’</w:t>
      </w:r>
      <w:r w:rsidRPr="00C258AD">
        <w:t>IGC</w:t>
      </w:r>
      <w:r w:rsidRPr="00C258AD">
        <w:rPr>
          <w:color w:val="000000" w:themeColor="text1"/>
        </w:rPr>
        <w:t>) conformément au mandat renouvelé de l</w:t>
      </w:r>
      <w:r w:rsidR="00721905" w:rsidRPr="00C258AD">
        <w:rPr>
          <w:color w:val="000000" w:themeColor="text1"/>
        </w:rPr>
        <w:t>’</w:t>
      </w:r>
      <w:r w:rsidRPr="00C258AD">
        <w:rPr>
          <w:color w:val="000000" w:themeColor="text1"/>
        </w:rPr>
        <w:t>IGC pour l</w:t>
      </w:r>
      <w:r w:rsidR="00721905" w:rsidRPr="00C258AD">
        <w:rPr>
          <w:color w:val="000000" w:themeColor="text1"/>
        </w:rPr>
        <w:t>’</w:t>
      </w:r>
      <w:r w:rsidRPr="00C258AD">
        <w:rPr>
          <w:color w:val="000000" w:themeColor="text1"/>
        </w:rPr>
        <w:t>exercice biennal adopté par l</w:t>
      </w:r>
      <w:r w:rsidR="00721905" w:rsidRPr="00C258AD">
        <w:rPr>
          <w:color w:val="000000" w:themeColor="text1"/>
        </w:rPr>
        <w:t>’</w:t>
      </w:r>
      <w:r w:rsidRPr="00C258AD">
        <w:rPr>
          <w:color w:val="000000" w:themeColor="text1"/>
        </w:rPr>
        <w:t>Assemblée générale de l</w:t>
      </w:r>
      <w:r w:rsidR="00721905" w:rsidRPr="00C258AD">
        <w:rPr>
          <w:color w:val="000000" w:themeColor="text1"/>
        </w:rPr>
        <w:t>’</w:t>
      </w:r>
      <w:r w:rsidRPr="00C258AD">
        <w:rPr>
          <w:color w:val="000000" w:themeColor="text1"/>
        </w:rPr>
        <w:t xml:space="preserve">OMPI en </w:t>
      </w:r>
      <w:r w:rsidR="00721905" w:rsidRPr="00C258AD">
        <w:rPr>
          <w:color w:val="000000" w:themeColor="text1"/>
        </w:rPr>
        <w:t>octobre 20</w:t>
      </w:r>
      <w:r w:rsidRPr="00C258AD">
        <w:rPr>
          <w:color w:val="000000" w:themeColor="text1"/>
        </w:rPr>
        <w:t>13 et au programme de travail convenu pour</w:t>
      </w:r>
      <w:r w:rsidR="002C57EB" w:rsidRPr="00C258AD">
        <w:rPr>
          <w:color w:val="000000" w:themeColor="text1"/>
        </w:rPr>
        <w:t> </w:t>
      </w:r>
      <w:r w:rsidRPr="00C258AD">
        <w:rPr>
          <w:color w:val="000000" w:themeColor="text1"/>
        </w:rPr>
        <w:t>2014.  La vingt</w:t>
      </w:r>
      <w:r w:rsidR="0000169D" w:rsidRPr="00C258AD">
        <w:rPr>
          <w:color w:val="000000" w:themeColor="text1"/>
        </w:rPr>
        <w:noBreakHyphen/>
      </w:r>
      <w:r w:rsidRPr="00C258AD">
        <w:rPr>
          <w:color w:val="000000" w:themeColor="text1"/>
        </w:rPr>
        <w:t xml:space="preserve">sixième session de </w:t>
      </w:r>
      <w:proofErr w:type="spellStart"/>
      <w:r w:rsidRPr="00C258AD">
        <w:rPr>
          <w:color w:val="000000" w:themeColor="text1"/>
        </w:rPr>
        <w:t>l</w:t>
      </w:r>
      <w:proofErr w:type="spellEnd"/>
      <w:r w:rsidRPr="00C258AD">
        <w:rPr>
          <w:color w:val="000000" w:themeColor="text1"/>
        </w:rPr>
        <w:t>‏</w:t>
      </w:r>
      <w:r w:rsidR="00721905" w:rsidRPr="00C258AD">
        <w:rPr>
          <w:color w:val="000000" w:themeColor="text1"/>
        </w:rPr>
        <w:t>’</w:t>
      </w:r>
      <w:r w:rsidRPr="00C258AD">
        <w:rPr>
          <w:color w:val="000000" w:themeColor="text1"/>
        </w:rPr>
        <w:t>‎IGC a comporté une réunion des ambassadeurs et des hauts fonctionnaires des différents pa</w:t>
      </w:r>
      <w:r w:rsidR="0000169D" w:rsidRPr="00C258AD">
        <w:rPr>
          <w:color w:val="000000" w:themeColor="text1"/>
        </w:rPr>
        <w:t xml:space="preserve">ys.  </w:t>
      </w:r>
      <w:r w:rsidR="0000169D" w:rsidRPr="00C258AD">
        <w:t xml:space="preserve">À </w:t>
      </w:r>
      <w:r w:rsidRPr="00C258AD">
        <w:t>la fin de la vingt</w:t>
      </w:r>
      <w:r w:rsidR="0000169D" w:rsidRPr="00C258AD">
        <w:noBreakHyphen/>
      </w:r>
      <w:r w:rsidRPr="00C258AD">
        <w:t>huitième session de l</w:t>
      </w:r>
      <w:r w:rsidR="00721905" w:rsidRPr="00C258AD">
        <w:t>’</w:t>
      </w:r>
      <w:r w:rsidRPr="00C258AD">
        <w:t>IGC, le comité est parvenu à élaborer un texte unique relatif aux ressources génétiques et a également avancé sur les textes concernant les savoirs traditionnels et les expressions culturelles traditionnell</w:t>
      </w:r>
      <w:r w:rsidR="0000169D" w:rsidRPr="00C258AD">
        <w:t>es.  Un</w:t>
      </w:r>
      <w:r w:rsidRPr="00C258AD">
        <w:t>e réunion intersession organisée par les États membres en dehors de Genève en</w:t>
      </w:r>
      <w:r w:rsidR="002C57EB" w:rsidRPr="00C258AD">
        <w:t> </w:t>
      </w:r>
      <w:r w:rsidRPr="00C258AD">
        <w:t>2014 a donné un nouvel élan au process</w:t>
      </w:r>
      <w:r w:rsidR="0000169D" w:rsidRPr="00C258AD">
        <w:t>us.  Le</w:t>
      </w:r>
      <w:r w:rsidRPr="00C258AD">
        <w:t xml:space="preserve"> Secrétariat a continué à jouer un rôle neutre, professionnel et efficace dans le cadre du processus et à améliorer les services fournis aux participants à l</w:t>
      </w:r>
      <w:r w:rsidR="00721905" w:rsidRPr="00C258AD">
        <w:t>’</w:t>
      </w:r>
      <w:r w:rsidRPr="00C258AD">
        <w:t>IGC afin de donner suite à l</w:t>
      </w:r>
      <w:r w:rsidR="00721905" w:rsidRPr="00C258AD">
        <w:t>’</w:t>
      </w:r>
      <w:r w:rsidRPr="00C258AD">
        <w:t>évaluation réalisée par la Division de la supervision interne (DSI) en 2013, évaluation qui avait fait état d</w:t>
      </w:r>
      <w:r w:rsidR="00721905" w:rsidRPr="00C258AD">
        <w:t>’</w:t>
      </w:r>
      <w:r w:rsidRPr="00C258AD">
        <w:t>un taux de satisfaction élevé (96%) parmi les participants à l</w:t>
      </w:r>
      <w:r w:rsidR="00721905" w:rsidRPr="00C258AD">
        <w:t>’</w:t>
      </w:r>
      <w:r w:rsidR="0000169D" w:rsidRPr="00C258AD">
        <w:t>IGC.  Le</w:t>
      </w:r>
      <w:r w:rsidRPr="00C258AD">
        <w:t xml:space="preserve"> Secrétariat a poursuivi ses actions visant à faciliter, dans la mesure du possible, la participation des peuples autochtones et des communautés locales au processus de l</w:t>
      </w:r>
      <w:r w:rsidR="00721905" w:rsidRPr="00C258AD">
        <w:t>’</w:t>
      </w:r>
      <w:r w:rsidRPr="00C258AD">
        <w:t>IGC, mais les ressources du Fonds de contributions volontaires de l</w:t>
      </w:r>
      <w:r w:rsidR="00721905" w:rsidRPr="00C258AD">
        <w:t>’</w:t>
      </w:r>
      <w:r w:rsidRPr="00C258AD">
        <w:t>OMPI pour les communautés autochtones et locales accréditées sont restées très faibles.  L</w:t>
      </w:r>
      <w:r w:rsidR="00721905" w:rsidRPr="00C258AD">
        <w:t>’</w:t>
      </w:r>
      <w:r w:rsidRPr="00C258AD">
        <w:t>Assemblée générale de l</w:t>
      </w:r>
      <w:r w:rsidR="00721905" w:rsidRPr="00C258AD">
        <w:t>’</w:t>
      </w:r>
      <w:r w:rsidRPr="00C258AD">
        <w:t>OMPI, en octobre 2014, tout en examinant les textes et les progrès accomplis, n</w:t>
      </w:r>
      <w:r w:rsidR="00721905" w:rsidRPr="00C258AD">
        <w:t>’</w:t>
      </w:r>
      <w:r w:rsidRPr="00C258AD">
        <w:t>a pas été en mesure de trouver un accord sur le programme de travail de l</w:t>
      </w:r>
      <w:r w:rsidR="00721905" w:rsidRPr="00C258AD">
        <w:t>’</w:t>
      </w:r>
      <w:r w:rsidRPr="00C258AD">
        <w:t xml:space="preserve">IGC pour 2015.  En </w:t>
      </w:r>
      <w:r w:rsidR="00721905" w:rsidRPr="00C258AD">
        <w:t>octobre 20</w:t>
      </w:r>
      <w:r w:rsidRPr="00C258AD">
        <w:t xml:space="preserve">15, </w:t>
      </w:r>
      <w:r w:rsidRPr="00C258AD">
        <w:rPr>
          <w:color w:val="000000" w:themeColor="text1"/>
        </w:rPr>
        <w:t>l</w:t>
      </w:r>
      <w:r w:rsidR="00721905" w:rsidRPr="00C258AD">
        <w:rPr>
          <w:color w:val="000000" w:themeColor="text1"/>
        </w:rPr>
        <w:t>’</w:t>
      </w:r>
      <w:r w:rsidRPr="00C258AD">
        <w:rPr>
          <w:color w:val="000000" w:themeColor="text1"/>
        </w:rPr>
        <w:t>Assemblée générale de l</w:t>
      </w:r>
      <w:r w:rsidR="00721905" w:rsidRPr="00C258AD">
        <w:rPr>
          <w:color w:val="000000" w:themeColor="text1"/>
        </w:rPr>
        <w:t>’</w:t>
      </w:r>
      <w:r w:rsidRPr="00C258AD">
        <w:rPr>
          <w:color w:val="000000" w:themeColor="text1"/>
        </w:rPr>
        <w:t>OMPI a approuvé le renouvellement du mandat de l</w:t>
      </w:r>
      <w:r w:rsidR="00721905" w:rsidRPr="00C258AD">
        <w:rPr>
          <w:color w:val="000000" w:themeColor="text1"/>
        </w:rPr>
        <w:t>’</w:t>
      </w:r>
      <w:r w:rsidRPr="00C258AD">
        <w:rPr>
          <w:color w:val="000000" w:themeColor="text1"/>
        </w:rPr>
        <w:t>IGC pour l</w:t>
      </w:r>
      <w:r w:rsidR="00721905" w:rsidRPr="00C258AD">
        <w:rPr>
          <w:color w:val="000000" w:themeColor="text1"/>
        </w:rPr>
        <w:t>’</w:t>
      </w:r>
      <w:r w:rsidRPr="00C258AD">
        <w:rPr>
          <w:color w:val="000000" w:themeColor="text1"/>
        </w:rPr>
        <w:t>exercice biennal</w:t>
      </w:r>
      <w:r w:rsidR="002C57EB" w:rsidRPr="00C258AD">
        <w:rPr>
          <w:color w:val="000000" w:themeColor="text1"/>
        </w:rPr>
        <w:t> </w:t>
      </w:r>
      <w:r w:rsidRPr="00C258AD">
        <w:rPr>
          <w:color w:val="000000" w:themeColor="text1"/>
        </w:rPr>
        <w:t>2016</w:t>
      </w:r>
      <w:r w:rsidR="0000169D" w:rsidRPr="00C258AD">
        <w:rPr>
          <w:color w:val="000000" w:themeColor="text1"/>
        </w:rPr>
        <w:noBreakHyphen/>
      </w:r>
      <w:r w:rsidRPr="00C258AD">
        <w:rPr>
          <w:color w:val="000000" w:themeColor="text1"/>
        </w:rPr>
        <w:t>2017.</w:t>
      </w:r>
    </w:p>
    <w:p w:rsidR="006E2BB1" w:rsidRPr="00C258AD" w:rsidRDefault="006E2BB1" w:rsidP="00BE27AB">
      <w:pPr>
        <w:jc w:val="both"/>
      </w:pPr>
    </w:p>
    <w:p w:rsidR="006E2BB1" w:rsidRPr="00C258AD" w:rsidRDefault="00007D87" w:rsidP="00BB4DBC">
      <w:pPr>
        <w:numPr>
          <w:ilvl w:val="0"/>
          <w:numId w:val="3"/>
        </w:numPr>
        <w:tabs>
          <w:tab w:val="clear" w:pos="680"/>
        </w:tabs>
        <w:jc w:val="both"/>
        <w:rPr>
          <w:rFonts w:eastAsia="MS Mincho"/>
          <w:bCs/>
          <w:lang w:eastAsia="ja-JP" w:bidi="th-TH"/>
        </w:rPr>
      </w:pPr>
      <w:r w:rsidRPr="00C258AD">
        <w:rPr>
          <w:rFonts w:eastAsia="MS Mincho"/>
          <w:bCs/>
          <w:lang w:eastAsia="ja-JP" w:bidi="th-TH"/>
        </w:rPr>
        <w:t>La conclusion des négociations de l</w:t>
      </w:r>
      <w:r w:rsidR="00721905" w:rsidRPr="00C258AD">
        <w:rPr>
          <w:rFonts w:eastAsia="MS Mincho"/>
          <w:bCs/>
          <w:lang w:eastAsia="ja-JP" w:bidi="th-TH"/>
        </w:rPr>
        <w:t>’</w:t>
      </w:r>
      <w:r w:rsidRPr="00C258AD">
        <w:rPr>
          <w:rFonts w:eastAsia="MS Mincho"/>
          <w:bCs/>
          <w:lang w:eastAsia="ja-JP" w:bidi="th-TH"/>
        </w:rPr>
        <w:t>IGC fait l</w:t>
      </w:r>
      <w:r w:rsidR="00721905" w:rsidRPr="00C258AD">
        <w:rPr>
          <w:rFonts w:eastAsia="MS Mincho"/>
          <w:bCs/>
          <w:lang w:eastAsia="ja-JP" w:bidi="th-TH"/>
        </w:rPr>
        <w:t>’</w:t>
      </w:r>
      <w:r w:rsidRPr="00C258AD">
        <w:rPr>
          <w:rFonts w:eastAsia="MS Mincho"/>
          <w:bCs/>
          <w:lang w:eastAsia="ja-JP" w:bidi="th-TH"/>
        </w:rPr>
        <w:t>objet de la recommandation n° 18 du Plan d</w:t>
      </w:r>
      <w:r w:rsidR="00721905" w:rsidRPr="00C258AD">
        <w:rPr>
          <w:rFonts w:eastAsia="MS Mincho"/>
          <w:bCs/>
          <w:lang w:eastAsia="ja-JP" w:bidi="th-TH"/>
        </w:rPr>
        <w:t>’</w:t>
      </w:r>
      <w:r w:rsidRPr="00C258AD">
        <w:rPr>
          <w:rFonts w:eastAsia="MS Mincho"/>
          <w:bCs/>
          <w:lang w:eastAsia="ja-JP" w:bidi="th-TH"/>
        </w:rPr>
        <w:t xml:space="preserve">action pour le développement, qui “invite instamment le comité intergouvernemental à accélérer le processus concernant la protection des ressources génétiques, des savoirs traditionnels et du folklore, sans préjudice du résultat, </w:t>
      </w:r>
      <w:r w:rsidR="00721905" w:rsidRPr="00C258AD">
        <w:rPr>
          <w:rFonts w:eastAsia="MS Mincho"/>
          <w:bCs/>
          <w:lang w:eastAsia="ja-JP" w:bidi="th-TH"/>
        </w:rPr>
        <w:t>y compris</w:t>
      </w:r>
      <w:r w:rsidRPr="00C258AD">
        <w:rPr>
          <w:rFonts w:eastAsia="MS Mincho"/>
          <w:bCs/>
          <w:lang w:eastAsia="ja-JP" w:bidi="th-TH"/>
        </w:rPr>
        <w:t xml:space="preserve"> l</w:t>
      </w:r>
      <w:r w:rsidR="00721905" w:rsidRPr="00C258AD">
        <w:rPr>
          <w:rFonts w:eastAsia="MS Mincho"/>
          <w:bCs/>
          <w:lang w:eastAsia="ja-JP" w:bidi="th-TH"/>
        </w:rPr>
        <w:t>’</w:t>
      </w:r>
      <w:r w:rsidRPr="00C258AD">
        <w:rPr>
          <w:rFonts w:eastAsia="MS Mincho"/>
          <w:bCs/>
          <w:lang w:eastAsia="ja-JP" w:bidi="th-TH"/>
        </w:rPr>
        <w:t>élaboration éventuelle d</w:t>
      </w:r>
      <w:r w:rsidR="00721905" w:rsidRPr="00C258AD">
        <w:rPr>
          <w:rFonts w:eastAsia="MS Mincho"/>
          <w:bCs/>
          <w:lang w:eastAsia="ja-JP" w:bidi="th-TH"/>
        </w:rPr>
        <w:t>’</w:t>
      </w:r>
      <w:r w:rsidRPr="00C258AD">
        <w:rPr>
          <w:rFonts w:eastAsia="MS Mincho"/>
          <w:bCs/>
          <w:lang w:eastAsia="ja-JP" w:bidi="th-TH"/>
        </w:rPr>
        <w:t>un ou plusieurs instruments internationaux”.</w:t>
      </w:r>
      <w:r w:rsidRPr="00C258AD">
        <w:rPr>
          <w:rFonts w:eastAsia="MS Mincho"/>
        </w:rPr>
        <w:t xml:space="preserve">  </w:t>
      </w:r>
      <w:r w:rsidRPr="00C258AD">
        <w:rPr>
          <w:rFonts w:eastAsia="MS Mincho"/>
          <w:bCs/>
          <w:lang w:eastAsia="ja-JP" w:bidi="th-TH"/>
        </w:rPr>
        <w:t>Les activités normatives ont continué d</w:t>
      </w:r>
      <w:r w:rsidR="00721905" w:rsidRPr="00C258AD">
        <w:rPr>
          <w:rFonts w:eastAsia="MS Mincho"/>
          <w:bCs/>
          <w:lang w:eastAsia="ja-JP" w:bidi="th-TH"/>
        </w:rPr>
        <w:t>’</w:t>
      </w:r>
      <w:r w:rsidRPr="00C258AD">
        <w:rPr>
          <w:rFonts w:eastAsia="MS Mincho"/>
          <w:bCs/>
          <w:lang w:eastAsia="ja-JP" w:bidi="th-TH"/>
        </w:rPr>
        <w:t>être menées dans le cadre du comité intergouvernemental de manière exhaustive et à l</w:t>
      </w:r>
      <w:r w:rsidR="00721905" w:rsidRPr="00C258AD">
        <w:rPr>
          <w:rFonts w:eastAsia="MS Mincho"/>
          <w:bCs/>
          <w:lang w:eastAsia="ja-JP" w:bidi="th-TH"/>
        </w:rPr>
        <w:t>’</w:t>
      </w:r>
      <w:r w:rsidRPr="00C258AD">
        <w:rPr>
          <w:rFonts w:eastAsia="MS Mincho"/>
          <w:bCs/>
          <w:lang w:eastAsia="ja-JP" w:bidi="th-TH"/>
        </w:rPr>
        <w:t>initiative des membres, d</w:t>
      </w:r>
      <w:r w:rsidR="00721905" w:rsidRPr="00C258AD">
        <w:rPr>
          <w:rFonts w:eastAsia="MS Mincho"/>
          <w:bCs/>
          <w:lang w:eastAsia="ja-JP" w:bidi="th-TH"/>
        </w:rPr>
        <w:t>’</w:t>
      </w:r>
      <w:r w:rsidRPr="00C258AD">
        <w:rPr>
          <w:rFonts w:eastAsia="MS Mincho"/>
          <w:bCs/>
          <w:lang w:eastAsia="ja-JP" w:bidi="th-TH"/>
        </w:rPr>
        <w:t>être fondées sur des consultations ouvertes et équilibrées (recommandations n</w:t>
      </w:r>
      <w:r w:rsidRPr="00C258AD">
        <w:rPr>
          <w:rFonts w:eastAsia="MS Mincho"/>
          <w:bCs/>
          <w:vertAlign w:val="superscript"/>
          <w:lang w:eastAsia="ja-JP" w:bidi="th-TH"/>
        </w:rPr>
        <w:t>os</w:t>
      </w:r>
      <w:r w:rsidRPr="00C258AD">
        <w:rPr>
          <w:rFonts w:eastAsia="MS Mincho"/>
          <w:bCs/>
          <w:lang w:eastAsia="ja-JP" w:bidi="th-TH"/>
        </w:rPr>
        <w:t xml:space="preserve"> 15, 21 et 42) et de tenir compte du domaine public (recommandations n</w:t>
      </w:r>
      <w:r w:rsidRPr="00C258AD">
        <w:rPr>
          <w:rFonts w:eastAsia="MS Mincho"/>
          <w:bCs/>
          <w:vertAlign w:val="superscript"/>
          <w:lang w:eastAsia="ja-JP" w:bidi="th-TH"/>
        </w:rPr>
        <w:t>os</w:t>
      </w:r>
      <w:r w:rsidRPr="00C258AD">
        <w:rPr>
          <w:rFonts w:eastAsia="MS Mincho"/>
          <w:bCs/>
          <w:lang w:eastAsia="ja-JP" w:bidi="th-TH"/>
        </w:rPr>
        <w:t> 16 et 20) et des éléments de flexibilité visés dans les accords internationaux de propriété intellectuelle (recommandations n</w:t>
      </w:r>
      <w:r w:rsidRPr="00C258AD">
        <w:rPr>
          <w:rFonts w:eastAsia="MS Mincho"/>
          <w:bCs/>
          <w:vertAlign w:val="superscript"/>
          <w:lang w:eastAsia="ja-JP" w:bidi="th-TH"/>
        </w:rPr>
        <w:t>os</w:t>
      </w:r>
      <w:r w:rsidRPr="00C258AD">
        <w:rPr>
          <w:rFonts w:eastAsia="MS Mincho"/>
          <w:bCs/>
          <w:lang w:eastAsia="ja-JP" w:bidi="th-TH"/>
        </w:rPr>
        <w:t> 14 et 17).  Les négociations au sein de l</w:t>
      </w:r>
      <w:r w:rsidR="00721905" w:rsidRPr="00C258AD">
        <w:rPr>
          <w:rFonts w:eastAsia="MS Mincho"/>
          <w:bCs/>
          <w:lang w:eastAsia="ja-JP" w:bidi="th-TH"/>
        </w:rPr>
        <w:t>’</w:t>
      </w:r>
      <w:r w:rsidRPr="00C258AD">
        <w:rPr>
          <w:rFonts w:eastAsia="MS Mincho"/>
          <w:bCs/>
          <w:lang w:eastAsia="ja-JP" w:bidi="th-TH"/>
        </w:rPr>
        <w:t>IGC ont contribué à la prise en considération du développement dans les activités de l</w:t>
      </w:r>
      <w:r w:rsidR="00721905" w:rsidRPr="00C258AD">
        <w:rPr>
          <w:rFonts w:eastAsia="MS Mincho"/>
          <w:bCs/>
          <w:lang w:eastAsia="ja-JP" w:bidi="th-TH"/>
        </w:rPr>
        <w:t>’</w:t>
      </w:r>
      <w:r w:rsidRPr="00C258AD">
        <w:rPr>
          <w:rFonts w:eastAsia="MS Mincho"/>
          <w:bCs/>
          <w:lang w:eastAsia="ja-JP" w:bidi="th-TH"/>
        </w:rPr>
        <w:t>OMPI et ont appuyé les objectifs de développement arrêtés par l</w:t>
      </w:r>
      <w:r w:rsidR="00721905" w:rsidRPr="00C258AD">
        <w:rPr>
          <w:rFonts w:eastAsia="MS Mincho"/>
          <w:bCs/>
          <w:lang w:eastAsia="ja-JP" w:bidi="th-TH"/>
        </w:rPr>
        <w:t>’</w:t>
      </w:r>
      <w:r w:rsidRPr="00C258AD">
        <w:rPr>
          <w:rFonts w:eastAsia="MS Mincho"/>
          <w:bCs/>
          <w:lang w:eastAsia="ja-JP" w:bidi="th-TH"/>
        </w:rPr>
        <w:t>ONU (recommandations n</w:t>
      </w:r>
      <w:r w:rsidRPr="00C258AD">
        <w:rPr>
          <w:rFonts w:eastAsia="MS Mincho"/>
          <w:bCs/>
          <w:vertAlign w:val="superscript"/>
          <w:lang w:eastAsia="ja-JP" w:bidi="th-TH"/>
        </w:rPr>
        <w:t>os</w:t>
      </w:r>
      <w:r w:rsidRPr="00C258AD">
        <w:rPr>
          <w:rFonts w:eastAsia="MS Mincho"/>
          <w:bCs/>
          <w:lang w:eastAsia="ja-JP" w:bidi="th-TH"/>
        </w:rPr>
        <w:t> 12 et 22).</w:t>
      </w:r>
    </w:p>
    <w:p w:rsidR="006E2BB1" w:rsidRPr="00C258AD" w:rsidRDefault="006E2BB1" w:rsidP="00BE27AB">
      <w:pPr>
        <w:jc w:val="both"/>
      </w:pPr>
    </w:p>
    <w:p w:rsidR="006E2BB1" w:rsidRPr="00C258AD" w:rsidRDefault="00007D87" w:rsidP="00BB4DBC">
      <w:pPr>
        <w:numPr>
          <w:ilvl w:val="0"/>
          <w:numId w:val="3"/>
        </w:numPr>
        <w:tabs>
          <w:tab w:val="clear" w:pos="680"/>
        </w:tabs>
        <w:jc w:val="both"/>
      </w:pPr>
      <w:r w:rsidRPr="00C258AD">
        <w:t>En termes de renforcement des capacités et de sensibilisation, les activités visant à aider les peuples autochtones et les communautés locales à mieux connaître la propriété intellectuelle, à participer davantage au processus de l</w:t>
      </w:r>
      <w:r w:rsidR="00721905" w:rsidRPr="00C258AD">
        <w:t>’</w:t>
      </w:r>
      <w:r w:rsidRPr="00C258AD">
        <w:t>IGC, à soutenir, sur demande, l</w:t>
      </w:r>
      <w:r w:rsidR="00721905" w:rsidRPr="00C258AD">
        <w:t>’</w:t>
      </w:r>
      <w:r w:rsidRPr="00C258AD">
        <w:t>élaboration d</w:t>
      </w:r>
      <w:r w:rsidR="00721905" w:rsidRPr="00C258AD">
        <w:t>’</w:t>
      </w:r>
      <w:r w:rsidRPr="00C258AD">
        <w:t>une législation et de règles nationales et régionales et à mettre en place des solutions concrètes à tous les niveaux, par une meilleure compréhension des questions et des options, se sont poursuivi</w:t>
      </w:r>
      <w:r w:rsidR="0000169D" w:rsidRPr="00C258AD">
        <w:t>es.  E</w:t>
      </w:r>
      <w:r w:rsidR="0000169D" w:rsidRPr="00C258AD">
        <w:rPr>
          <w:color w:val="000000" w:themeColor="text1"/>
        </w:rPr>
        <w:t>n</w:t>
      </w:r>
      <w:r w:rsidR="002C57EB" w:rsidRPr="00C258AD">
        <w:t> </w:t>
      </w:r>
      <w:r w:rsidRPr="00C258AD">
        <w:rPr>
          <w:color w:val="000000" w:themeColor="text1"/>
        </w:rPr>
        <w:t>2015, le Secrétariat a organisé à Genève deux</w:t>
      </w:r>
      <w:r w:rsidR="002C57EB" w:rsidRPr="00C258AD">
        <w:rPr>
          <w:color w:val="000000" w:themeColor="text1"/>
        </w:rPr>
        <w:t> </w:t>
      </w:r>
      <w:r w:rsidRPr="00C258AD">
        <w:rPr>
          <w:color w:val="000000" w:themeColor="text1"/>
        </w:rPr>
        <w:t>séminaires internationaux sur la propriété intellectuelle, les ressources génétiques, les savoirs traditionnels et les expressions culturelles traditionnelles, ouverts à tous les États membres et les observateu</w:t>
      </w:r>
      <w:r w:rsidR="0000169D" w:rsidRPr="00C258AD">
        <w:rPr>
          <w:color w:val="000000" w:themeColor="text1"/>
        </w:rPr>
        <w:t>rs.  Le</w:t>
      </w:r>
      <w:r w:rsidRPr="00C258AD">
        <w:rPr>
          <w:color w:val="000000" w:themeColor="text1"/>
        </w:rPr>
        <w:t>s séminaires ont facilité l</w:t>
      </w:r>
      <w:r w:rsidR="00721905" w:rsidRPr="00C258AD">
        <w:rPr>
          <w:color w:val="000000" w:themeColor="text1"/>
        </w:rPr>
        <w:t>’</w:t>
      </w:r>
      <w:r w:rsidRPr="00C258AD">
        <w:rPr>
          <w:color w:val="000000" w:themeColor="text1"/>
        </w:rPr>
        <w:t>échange des données d</w:t>
      </w:r>
      <w:r w:rsidR="00721905" w:rsidRPr="00C258AD">
        <w:rPr>
          <w:color w:val="000000" w:themeColor="text1"/>
        </w:rPr>
        <w:t>’</w:t>
      </w:r>
      <w:r w:rsidRPr="00C258AD">
        <w:rPr>
          <w:color w:val="000000" w:themeColor="text1"/>
        </w:rPr>
        <w:t>expérience régionales, nationales et locales et ont permis aux pays et autres parties prenantes de débattre des questions de politique générale dans un contexte moins form</w:t>
      </w:r>
      <w:r w:rsidR="0000169D" w:rsidRPr="00C258AD">
        <w:rPr>
          <w:color w:val="000000" w:themeColor="text1"/>
        </w:rPr>
        <w:t>el.  Du</w:t>
      </w:r>
      <w:r w:rsidRPr="00C258AD">
        <w:rPr>
          <w:color w:val="000000" w:themeColor="text1"/>
        </w:rPr>
        <w:t>rant l</w:t>
      </w:r>
      <w:r w:rsidR="00721905" w:rsidRPr="00C258AD">
        <w:rPr>
          <w:color w:val="000000" w:themeColor="text1"/>
        </w:rPr>
        <w:t>’</w:t>
      </w:r>
      <w:r w:rsidRPr="00C258AD">
        <w:rPr>
          <w:color w:val="000000" w:themeColor="text1"/>
        </w:rPr>
        <w:t>exercice biennal</w:t>
      </w:r>
      <w:r w:rsidRPr="00C258AD">
        <w:t>, le Secrétariat a pu répondre favorablement à un peu moins de 80 demandes émises par des États membres, des ONG, de peuples autochtones et des communautés locales, des associations industrielles et des universités en leur fournissant des ateliers, des informations et des présentations, à Genève ou à l</w:t>
      </w:r>
      <w:r w:rsidR="00721905" w:rsidRPr="00C258AD">
        <w:t>’</w:t>
      </w:r>
      <w:r w:rsidRPr="00C258AD">
        <w:t>étrang</w:t>
      </w:r>
      <w:r w:rsidR="0000169D" w:rsidRPr="00C258AD">
        <w:t xml:space="preserve">er.  À </w:t>
      </w:r>
      <w:r w:rsidRPr="00C258AD">
        <w:t>leur demande, six</w:t>
      </w:r>
      <w:r w:rsidR="002C57EB" w:rsidRPr="00C258AD">
        <w:t> </w:t>
      </w:r>
      <w:r w:rsidRPr="00C258AD">
        <w:t>pays ont bénéficié d</w:t>
      </w:r>
      <w:r w:rsidR="00721905" w:rsidRPr="00C258AD">
        <w:t>’</w:t>
      </w:r>
      <w:r w:rsidRPr="00C258AD">
        <w:t>une assistance en matière de législation et de politiq</w:t>
      </w:r>
      <w:r w:rsidR="0000169D" w:rsidRPr="00C258AD">
        <w:t xml:space="preserve">ue.  </w:t>
      </w:r>
      <w:r w:rsidR="0000169D" w:rsidRPr="00C258AD">
        <w:rPr>
          <w:color w:val="000000" w:themeColor="text1"/>
        </w:rPr>
        <w:t>Un</w:t>
      </w:r>
      <w:r w:rsidRPr="00C258AD">
        <w:rPr>
          <w:color w:val="000000" w:themeColor="text1"/>
        </w:rPr>
        <w:t>e série d</w:t>
      </w:r>
      <w:r w:rsidR="00721905" w:rsidRPr="00C258AD">
        <w:rPr>
          <w:color w:val="000000" w:themeColor="text1"/>
        </w:rPr>
        <w:t>’</w:t>
      </w:r>
      <w:r w:rsidRPr="00C258AD">
        <w:rPr>
          <w:color w:val="000000" w:themeColor="text1"/>
        </w:rPr>
        <w:t>ateliers pratiques visant à partager les connaissances, à renforcer la compréhension et à favoriser la coopération a également été organisée en</w:t>
      </w:r>
      <w:r w:rsidR="002C57EB" w:rsidRPr="00C258AD">
        <w:rPr>
          <w:color w:val="000000" w:themeColor="text1"/>
        </w:rPr>
        <w:t> </w:t>
      </w:r>
      <w:r w:rsidRPr="00C258AD">
        <w:rPr>
          <w:color w:val="000000" w:themeColor="text1"/>
        </w:rPr>
        <w:t>2014 et 2015.</w:t>
      </w:r>
      <w:r w:rsidR="002C57EB" w:rsidRPr="00C258AD">
        <w:rPr>
          <w:color w:val="000000" w:themeColor="text1"/>
        </w:rPr>
        <w:t xml:space="preserve"> </w:t>
      </w:r>
      <w:r w:rsidRPr="00C258AD">
        <w:rPr>
          <w:color w:val="000000" w:themeColor="text1"/>
        </w:rPr>
        <w:t xml:space="preserve"> Les ateliers ont été organisés à Genève (décembre 2014), Windhoek (Namibie) (août 2015), Panama City (Panama) (novembre 2015) et Apia (Samoa) (décembre 2015).  </w:t>
      </w:r>
      <w:r w:rsidRPr="00C258AD">
        <w:t>L</w:t>
      </w:r>
      <w:r w:rsidR="00721905" w:rsidRPr="00C258AD">
        <w:t>’</w:t>
      </w:r>
      <w:r w:rsidRPr="00C258AD">
        <w:t>OMPI a continué de contribuer en qualité de partenaire technique à des projets régionaux en Afrique, en Asie et dans le Pacifique, en Amérique Latine et dans les Caraïbes.  L</w:t>
      </w:r>
      <w:r w:rsidR="00721905" w:rsidRPr="00C258AD">
        <w:t>’</w:t>
      </w:r>
      <w:r w:rsidRPr="00C258AD">
        <w:t>OMPI a également continué à proposer une série de publications courtes et accessibles sur des sujets majeurs et a publié en</w:t>
      </w:r>
      <w:r w:rsidR="002C57EB" w:rsidRPr="00C258AD">
        <w:t> </w:t>
      </w:r>
      <w:r w:rsidRPr="00C258AD">
        <w:t>2014 un manuel pratique sur la propriété intellectuelle relative aux festivals d</w:t>
      </w:r>
      <w:r w:rsidR="00721905" w:rsidRPr="00C258AD">
        <w:t>’</w:t>
      </w:r>
      <w:r w:rsidRPr="00C258AD">
        <w:t xml:space="preserve">arts, </w:t>
      </w:r>
      <w:r w:rsidRPr="00C258AD">
        <w:lastRenderedPageBreak/>
        <w:t>aux festivals culturels et aux festivals folkloriques</w:t>
      </w:r>
      <w:r w:rsidRPr="00C258AD">
        <w:rPr>
          <w:rStyle w:val="FootnoteReference"/>
          <w:rFonts w:eastAsia="SimSun"/>
        </w:rPr>
        <w:footnoteReference w:id="17"/>
      </w:r>
      <w:r w:rsidRPr="00C258AD">
        <w:t>.  Un cours d</w:t>
      </w:r>
      <w:r w:rsidR="00721905" w:rsidRPr="00C258AD">
        <w:t>’</w:t>
      </w:r>
      <w:r w:rsidRPr="00C258AD">
        <w:t>enseignement à distance sur la propriété intellectuelle, les savoirs traditionnels et les expressions culturelles traditionnelles a été lancé e</w:t>
      </w:r>
      <w:r w:rsidRPr="00C258AD">
        <w:rPr>
          <w:color w:val="000000" w:themeColor="text1"/>
        </w:rPr>
        <w:t>n coopération avec l</w:t>
      </w:r>
      <w:r w:rsidR="00721905" w:rsidRPr="00C258AD">
        <w:rPr>
          <w:color w:val="000000" w:themeColor="text1"/>
        </w:rPr>
        <w:t>’</w:t>
      </w:r>
      <w:r w:rsidRPr="00C258AD">
        <w:rPr>
          <w:color w:val="000000" w:themeColor="text1"/>
        </w:rPr>
        <w:t>Académie de l</w:t>
      </w:r>
      <w:r w:rsidR="00721905" w:rsidRPr="00C258AD">
        <w:rPr>
          <w:color w:val="000000" w:themeColor="text1"/>
        </w:rPr>
        <w:t>’</w:t>
      </w:r>
      <w:r w:rsidRPr="00C258AD">
        <w:rPr>
          <w:color w:val="000000" w:themeColor="text1"/>
        </w:rPr>
        <w:t xml:space="preserve">OMPI en </w:t>
      </w:r>
      <w:r w:rsidR="00721905" w:rsidRPr="00C258AD">
        <w:rPr>
          <w:color w:val="000000" w:themeColor="text1"/>
        </w:rPr>
        <w:t>avril 20</w:t>
      </w:r>
      <w:r w:rsidRPr="00C258AD">
        <w:rPr>
          <w:color w:val="000000" w:themeColor="text1"/>
        </w:rPr>
        <w:t>15.</w:t>
      </w:r>
    </w:p>
    <w:p w:rsidR="006E2BB1" w:rsidRPr="00C258AD" w:rsidRDefault="006E2BB1" w:rsidP="00BE27AB">
      <w:pPr>
        <w:jc w:val="both"/>
        <w:rPr>
          <w:bCs/>
        </w:rPr>
      </w:pPr>
    </w:p>
    <w:p w:rsidR="006E2BB1" w:rsidRPr="00C258AD" w:rsidRDefault="00007D87" w:rsidP="00BB4DBC">
      <w:pPr>
        <w:numPr>
          <w:ilvl w:val="0"/>
          <w:numId w:val="3"/>
        </w:numPr>
        <w:tabs>
          <w:tab w:val="clear" w:pos="680"/>
        </w:tabs>
        <w:jc w:val="both"/>
      </w:pPr>
      <w:r w:rsidRPr="00C258AD">
        <w:t>Pour encourager la coopération avec d</w:t>
      </w:r>
      <w:r w:rsidR="00721905" w:rsidRPr="00C258AD">
        <w:t>’</w:t>
      </w:r>
      <w:r w:rsidRPr="00C258AD">
        <w:t>autres organisations et instances intergouvernementales compétentes, le Secrétariat a coopéré de manière encore plus étroite avec le secrétariat de la Convention sur la diversité biologique (CDB) et du Protocole de Nagoya sur l</w:t>
      </w:r>
      <w:r w:rsidR="00721905" w:rsidRPr="00C258AD">
        <w:t>’</w:t>
      </w:r>
      <w:r w:rsidRPr="00C258AD">
        <w:t>accès aux ressources génétiques et le partage juste et équitable des avantages découlant de leur utilisation, notamment en organisant de manière conjointe des ateliers à l</w:t>
      </w:r>
      <w:r w:rsidR="00721905" w:rsidRPr="00C258AD">
        <w:t>’</w:t>
      </w:r>
      <w:r w:rsidRPr="00C258AD">
        <w:t>intention de fonctionnaires et de communautés autochtones et local</w:t>
      </w:r>
      <w:r w:rsidR="0000169D" w:rsidRPr="00C258AD">
        <w:t xml:space="preserve">es.  </w:t>
      </w:r>
      <w:r w:rsidR="0000169D" w:rsidRPr="00C258AD">
        <w:rPr>
          <w:iCs/>
        </w:rPr>
        <w:t>Le</w:t>
      </w:r>
      <w:r w:rsidRPr="00C258AD">
        <w:rPr>
          <w:iCs/>
        </w:rPr>
        <w:t xml:space="preserve"> Secrétariat a collaboré avec l</w:t>
      </w:r>
      <w:r w:rsidR="00721905" w:rsidRPr="00C258AD">
        <w:rPr>
          <w:iCs/>
        </w:rPr>
        <w:t>’</w:t>
      </w:r>
      <w:r w:rsidRPr="00C258AD">
        <w:rPr>
          <w:iCs/>
        </w:rPr>
        <w:t xml:space="preserve">Instance permanente sur les questions autochtones des </w:t>
      </w:r>
      <w:r w:rsidR="00721905" w:rsidRPr="00C258AD">
        <w:rPr>
          <w:iCs/>
        </w:rPr>
        <w:t>Nations Unies</w:t>
      </w:r>
      <w:r w:rsidRPr="00C258AD">
        <w:rPr>
          <w:iCs/>
        </w:rPr>
        <w:t xml:space="preserve"> (UNPFII) et participé à ses treizième et quatorzième sessions, tenues respectivement en</w:t>
      </w:r>
      <w:r w:rsidR="002C57EB" w:rsidRPr="00C258AD">
        <w:rPr>
          <w:iCs/>
        </w:rPr>
        <w:t> </w:t>
      </w:r>
      <w:r w:rsidRPr="00C258AD">
        <w:rPr>
          <w:iCs/>
        </w:rPr>
        <w:t>2014 et 2015, ainsi qu</w:t>
      </w:r>
      <w:r w:rsidR="00721905" w:rsidRPr="00C258AD">
        <w:rPr>
          <w:iCs/>
        </w:rPr>
        <w:t>’</w:t>
      </w:r>
      <w:r w:rsidRPr="00C258AD">
        <w:rPr>
          <w:iCs/>
        </w:rPr>
        <w:t>à la Conférence mondiale sur les peuples autochtones, tenue en septembre 2014, afin d</w:t>
      </w:r>
      <w:r w:rsidR="00721905" w:rsidRPr="00C258AD">
        <w:rPr>
          <w:iCs/>
        </w:rPr>
        <w:t>’</w:t>
      </w:r>
      <w:r w:rsidRPr="00C258AD">
        <w:rPr>
          <w:iCs/>
        </w:rPr>
        <w:t>engager le dialogue avec les organisations des communautés locales et autochtones et d</w:t>
      </w:r>
      <w:r w:rsidR="00721905" w:rsidRPr="00C258AD">
        <w:rPr>
          <w:iCs/>
        </w:rPr>
        <w:t>’</w:t>
      </w:r>
      <w:r w:rsidRPr="00C258AD">
        <w:rPr>
          <w:iCs/>
        </w:rPr>
        <w:t xml:space="preserve">autres organisations des </w:t>
      </w:r>
      <w:r w:rsidR="00721905" w:rsidRPr="00C258AD">
        <w:rPr>
          <w:iCs/>
        </w:rPr>
        <w:t>Nations Uni</w:t>
      </w:r>
      <w:r w:rsidR="0000169D" w:rsidRPr="00C258AD">
        <w:rPr>
          <w:iCs/>
        </w:rPr>
        <w:t xml:space="preserve">es.  </w:t>
      </w:r>
      <w:r w:rsidR="0000169D" w:rsidRPr="00C258AD">
        <w:t xml:space="preserve">À </w:t>
      </w:r>
      <w:r w:rsidRPr="00C258AD">
        <w:t>la demande du secrétariat de l</w:t>
      </w:r>
      <w:r w:rsidR="00721905" w:rsidRPr="00C258AD">
        <w:t>’</w:t>
      </w:r>
      <w:r w:rsidRPr="00C258AD">
        <w:t>UNPFII, le Secrétariat de l</w:t>
      </w:r>
      <w:r w:rsidR="00721905" w:rsidRPr="00C258AD">
        <w:t>’</w:t>
      </w:r>
      <w:r w:rsidRPr="00C258AD">
        <w:t>OMPI a participé financièrement à l</w:t>
      </w:r>
      <w:r w:rsidR="00721905" w:rsidRPr="00C258AD">
        <w:t>’</w:t>
      </w:r>
      <w:r w:rsidRPr="00C258AD">
        <w:t>élaboration, par un expert des communautés autochtones et pour l</w:t>
      </w:r>
      <w:r w:rsidR="00721905" w:rsidRPr="00C258AD">
        <w:t>’</w:t>
      </w:r>
      <w:r w:rsidRPr="00C258AD">
        <w:t>UNPFII, d</w:t>
      </w:r>
      <w:r w:rsidR="00721905" w:rsidRPr="00C258AD">
        <w:t>’</w:t>
      </w:r>
      <w:r w:rsidRPr="00C258AD">
        <w:t>un examen technique des projets de textes de l</w:t>
      </w:r>
      <w:r w:rsidR="00721905" w:rsidRPr="00C258AD">
        <w:t>’</w:t>
      </w:r>
      <w:r w:rsidRPr="00C258AD">
        <w:t>IGC du point de vue des droits de l</w:t>
      </w:r>
      <w:r w:rsidR="00721905" w:rsidRPr="00C258AD">
        <w:t>’</w:t>
      </w:r>
      <w:r w:rsidRPr="00C258AD">
        <w:t>homme.</w:t>
      </w:r>
    </w:p>
    <w:p w:rsidR="006E2BB1" w:rsidRPr="00C258AD" w:rsidRDefault="006E2BB1" w:rsidP="00BE27AB"/>
    <w:p w:rsidR="006E2BB1" w:rsidRPr="00C258AD" w:rsidRDefault="00007D87" w:rsidP="00BB4DBC">
      <w:pPr>
        <w:numPr>
          <w:ilvl w:val="0"/>
          <w:numId w:val="3"/>
        </w:numPr>
        <w:tabs>
          <w:tab w:val="clear" w:pos="680"/>
        </w:tabs>
        <w:jc w:val="both"/>
        <w:rPr>
          <w:rFonts w:eastAsia="MS Mincho"/>
          <w:bCs/>
          <w:lang w:eastAsia="ja-JP" w:bidi="th-TH"/>
        </w:rPr>
      </w:pPr>
      <w:r w:rsidRPr="00C258AD">
        <w:rPr>
          <w:rFonts w:eastAsia="MS Mincho"/>
          <w:bCs/>
          <w:lang w:eastAsia="ja-JP" w:bidi="th-TH"/>
        </w:rPr>
        <w:t>Les activités d</w:t>
      </w:r>
      <w:r w:rsidR="00721905" w:rsidRPr="00C258AD">
        <w:rPr>
          <w:rFonts w:eastAsia="MS Mincho"/>
          <w:bCs/>
          <w:lang w:eastAsia="ja-JP" w:bidi="th-TH"/>
        </w:rPr>
        <w:t>’</w:t>
      </w:r>
      <w:r w:rsidRPr="00C258AD">
        <w:rPr>
          <w:rFonts w:eastAsia="MS Mincho"/>
          <w:bCs/>
          <w:lang w:eastAsia="ja-JP" w:bidi="th-TH"/>
        </w:rPr>
        <w:t>assistance technique, de renforcement des capacités et d</w:t>
      </w:r>
      <w:r w:rsidR="00721905" w:rsidRPr="00C258AD">
        <w:rPr>
          <w:rFonts w:eastAsia="MS Mincho"/>
          <w:bCs/>
          <w:lang w:eastAsia="ja-JP" w:bidi="th-TH"/>
        </w:rPr>
        <w:t>’</w:t>
      </w:r>
      <w:r w:rsidRPr="00C258AD">
        <w:rPr>
          <w:rFonts w:eastAsia="MS Mincho"/>
          <w:bCs/>
          <w:lang w:eastAsia="ja-JP" w:bidi="th-TH"/>
        </w:rPr>
        <w:t>assistance législative ont contribué directement au développement et à la réalisation d</w:t>
      </w:r>
      <w:r w:rsidR="00721905" w:rsidRPr="00C258AD">
        <w:rPr>
          <w:rFonts w:eastAsia="MS Mincho"/>
          <w:bCs/>
          <w:lang w:eastAsia="ja-JP" w:bidi="th-TH"/>
        </w:rPr>
        <w:t>’</w:t>
      </w:r>
      <w:r w:rsidRPr="00C258AD">
        <w:rPr>
          <w:rFonts w:eastAsia="MS Mincho"/>
          <w:bCs/>
          <w:lang w:eastAsia="ja-JP" w:bidi="th-TH"/>
        </w:rPr>
        <w:t>autres recommandations du Plan d</w:t>
      </w:r>
      <w:r w:rsidR="00721905" w:rsidRPr="00C258AD">
        <w:rPr>
          <w:rFonts w:eastAsia="MS Mincho"/>
          <w:bCs/>
          <w:lang w:eastAsia="ja-JP" w:bidi="th-TH"/>
        </w:rPr>
        <w:t>’</w:t>
      </w:r>
      <w:r w:rsidRPr="00C258AD">
        <w:rPr>
          <w:rFonts w:eastAsia="MS Mincho"/>
          <w:bCs/>
          <w:lang w:eastAsia="ja-JP" w:bidi="th-TH"/>
        </w:rPr>
        <w:t>action pour le développeme</w:t>
      </w:r>
      <w:r w:rsidR="0000169D" w:rsidRPr="00C258AD">
        <w:rPr>
          <w:rFonts w:eastAsia="MS Mincho"/>
          <w:bCs/>
          <w:lang w:eastAsia="ja-JP" w:bidi="th-TH"/>
        </w:rPr>
        <w:t>nt.  Po</w:t>
      </w:r>
      <w:r w:rsidRPr="00C258AD">
        <w:rPr>
          <w:rFonts w:eastAsia="MS Mincho"/>
          <w:bCs/>
          <w:lang w:eastAsia="ja-JP" w:bidi="th-TH"/>
        </w:rPr>
        <w:t>ur ce faire, l</w:t>
      </w:r>
      <w:r w:rsidR="00721905" w:rsidRPr="00C258AD">
        <w:rPr>
          <w:rFonts w:eastAsia="MS Mincho"/>
          <w:bCs/>
          <w:lang w:eastAsia="ja-JP" w:bidi="th-TH"/>
        </w:rPr>
        <w:t>’</w:t>
      </w:r>
      <w:r w:rsidRPr="00C258AD">
        <w:rPr>
          <w:rFonts w:eastAsia="MS Mincho"/>
          <w:bCs/>
          <w:lang w:eastAsia="ja-JP" w:bidi="th-TH"/>
        </w:rPr>
        <w:t>assistance technique a été axée sur le développement et sur la demande (recommandations n</w:t>
      </w:r>
      <w:r w:rsidRPr="00C258AD">
        <w:rPr>
          <w:rFonts w:eastAsia="MS Mincho"/>
          <w:bCs/>
          <w:vertAlign w:val="superscript"/>
          <w:lang w:eastAsia="ja-JP" w:bidi="th-TH"/>
        </w:rPr>
        <w:t>os</w:t>
      </w:r>
      <w:r w:rsidRPr="00C258AD">
        <w:rPr>
          <w:rFonts w:eastAsia="MS Mincho"/>
          <w:bCs/>
          <w:lang w:eastAsia="ja-JP" w:bidi="th-TH"/>
        </w:rPr>
        <w:t> 1 et 12), des conseils ont été fournis en matière de législation et de politique concernant la législation nationale (recommandations n</w:t>
      </w:r>
      <w:r w:rsidRPr="00C258AD">
        <w:rPr>
          <w:rFonts w:eastAsia="MS Mincho"/>
          <w:bCs/>
          <w:vertAlign w:val="superscript"/>
          <w:lang w:eastAsia="ja-JP" w:bidi="th-TH"/>
        </w:rPr>
        <w:t>os</w:t>
      </w:r>
      <w:r w:rsidRPr="00C258AD">
        <w:rPr>
          <w:rFonts w:eastAsia="MS Mincho"/>
          <w:bCs/>
          <w:lang w:eastAsia="ja-JP" w:bidi="th-TH"/>
        </w:rPr>
        <w:t xml:space="preserve"> 11, 13 et 14), des informations ont été diffusées sur les questions de propriété intellectuelle relatives aux savoirs traditionnels, aux expressions culturelles traditionnelles et aux ressources génétiques (recommandation n° 3), et la coopération sur les questions de propriété intellectuelle a été renforcée avec les institutions des </w:t>
      </w:r>
      <w:r w:rsidR="00721905" w:rsidRPr="00C258AD">
        <w:rPr>
          <w:rFonts w:eastAsia="MS Mincho"/>
          <w:bCs/>
          <w:lang w:eastAsia="ja-JP" w:bidi="th-TH"/>
        </w:rPr>
        <w:t>Nations Unies</w:t>
      </w:r>
      <w:r w:rsidRPr="00C258AD">
        <w:rPr>
          <w:rFonts w:eastAsia="MS Mincho"/>
          <w:bCs/>
          <w:lang w:eastAsia="ja-JP" w:bidi="th-TH"/>
        </w:rPr>
        <w:t xml:space="preserve"> (recommandation n° 40).</w:t>
      </w:r>
    </w:p>
    <w:p w:rsidR="006E2BB1" w:rsidRPr="00C258AD" w:rsidRDefault="006E2BB1" w:rsidP="00BE27AB"/>
    <w:p w:rsidR="006E2BB1" w:rsidRPr="00C258AD" w:rsidRDefault="006E2BB1" w:rsidP="00BE27AB">
      <w:pPr>
        <w:rPr>
          <w:b/>
        </w:rPr>
      </w:pPr>
    </w:p>
    <w:p w:rsidR="006E2BB1" w:rsidRPr="00C258AD" w:rsidRDefault="00BE27AB" w:rsidP="00305CE5">
      <w:pPr>
        <w:keepNext/>
        <w:rPr>
          <w:rFonts w:cs="Arial"/>
          <w:caps/>
          <w:sz w:val="22"/>
          <w:szCs w:val="22"/>
        </w:rPr>
      </w:pPr>
      <w:r w:rsidRPr="00C258AD">
        <w:rPr>
          <w:rFonts w:cs="Arial"/>
          <w:caps/>
          <w:sz w:val="22"/>
          <w:szCs w:val="22"/>
        </w:rPr>
        <w:t>Données relatives à l</w:t>
      </w:r>
      <w:r w:rsidR="00721905" w:rsidRPr="00C258AD">
        <w:rPr>
          <w:rFonts w:cs="Arial"/>
          <w:caps/>
          <w:sz w:val="22"/>
          <w:szCs w:val="22"/>
        </w:rPr>
        <w:t>’</w:t>
      </w:r>
      <w:r w:rsidRPr="00C258AD">
        <w:rPr>
          <w:rFonts w:cs="Arial"/>
          <w:caps/>
          <w:sz w:val="22"/>
          <w:szCs w:val="22"/>
        </w:rPr>
        <w:t>exécution</w:t>
      </w:r>
    </w:p>
    <w:p w:rsidR="00007D87" w:rsidRPr="00C258AD" w:rsidRDefault="00007D87" w:rsidP="00BE27AB"/>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160"/>
        <w:gridCol w:w="2730"/>
        <w:gridCol w:w="1581"/>
        <w:gridCol w:w="1868"/>
        <w:gridCol w:w="1152"/>
      </w:tblGrid>
      <w:tr w:rsidR="00007D87" w:rsidRPr="00C258AD" w:rsidTr="004A0BE0">
        <w:trPr>
          <w:cantSplit/>
        </w:trPr>
        <w:tc>
          <w:tcPr>
            <w:tcW w:w="5000" w:type="pct"/>
            <w:gridSpan w:val="5"/>
            <w:tcBorders>
              <w:top w:val="single" w:sz="4" w:space="0" w:color="auto"/>
              <w:bottom w:val="nil"/>
            </w:tcBorders>
            <w:shd w:val="clear" w:color="auto" w:fill="C5D9F1"/>
            <w:vAlign w:val="center"/>
          </w:tcPr>
          <w:p w:rsidR="00007D87" w:rsidRPr="00C258AD" w:rsidRDefault="00007D87" w:rsidP="0083763A">
            <w:pPr>
              <w:keepNext/>
              <w:keepLines/>
              <w:ind w:left="34" w:hanging="34"/>
              <w:rPr>
                <w:b/>
                <w:bCs/>
                <w:sz w:val="16"/>
                <w:szCs w:val="16"/>
              </w:rPr>
            </w:pPr>
            <w:r w:rsidRPr="00C258AD">
              <w:rPr>
                <w:b/>
                <w:bCs/>
                <w:sz w:val="16"/>
                <w:szCs w:val="16"/>
              </w:rPr>
              <w:t>Résultat escompté</w:t>
            </w:r>
            <w:r w:rsidRPr="00C258AD">
              <w:rPr>
                <w:bCs/>
                <w:sz w:val="16"/>
                <w:szCs w:val="16"/>
              </w:rPr>
              <w:t> : I.1 Renforcement de la coopération entre les États membres en ce qui concerne l</w:t>
            </w:r>
            <w:r w:rsidR="00721905" w:rsidRPr="00C258AD">
              <w:rPr>
                <w:bCs/>
                <w:sz w:val="16"/>
                <w:szCs w:val="16"/>
              </w:rPr>
              <w:t>’</w:t>
            </w:r>
            <w:r w:rsidRPr="00C258AD">
              <w:rPr>
                <w:bCs/>
                <w:sz w:val="16"/>
                <w:szCs w:val="16"/>
              </w:rPr>
              <w:t>élaboration de cadres normatifs internationaux équilibrés dans le domaine de la propriété intellectuelle et d</w:t>
            </w:r>
            <w:r w:rsidR="00721905" w:rsidRPr="00C258AD">
              <w:rPr>
                <w:bCs/>
                <w:sz w:val="16"/>
                <w:szCs w:val="16"/>
              </w:rPr>
              <w:t>’</w:t>
            </w:r>
            <w:r w:rsidRPr="00C258AD">
              <w:rPr>
                <w:bCs/>
                <w:sz w:val="16"/>
                <w:szCs w:val="16"/>
              </w:rPr>
              <w:t>un accord sur des questions concrètes donnant lieu à des instruments internationaux</w:t>
            </w:r>
          </w:p>
        </w:tc>
      </w:tr>
      <w:tr w:rsidR="00007D87" w:rsidRPr="00C258AD" w:rsidTr="004A0BE0">
        <w:trPr>
          <w:cantSplit/>
        </w:trPr>
        <w:tc>
          <w:tcPr>
            <w:tcW w:w="1138" w:type="pct"/>
            <w:tcBorders>
              <w:top w:val="single" w:sz="4" w:space="0" w:color="auto"/>
              <w:bottom w:val="nil"/>
            </w:tcBorders>
            <w:vAlign w:val="center"/>
          </w:tcPr>
          <w:p w:rsidR="00007D87" w:rsidRPr="00C258AD" w:rsidRDefault="00007D87" w:rsidP="0083763A">
            <w:pPr>
              <w:jc w:val="center"/>
              <w:rPr>
                <w:sz w:val="16"/>
                <w:szCs w:val="16"/>
              </w:rPr>
            </w:pPr>
            <w:r w:rsidRPr="00C258AD">
              <w:rPr>
                <w:b/>
                <w:sz w:val="16"/>
                <w:szCs w:val="16"/>
              </w:rPr>
              <w:t>Indicateurs d</w:t>
            </w:r>
            <w:r w:rsidR="00721905" w:rsidRPr="00C258AD">
              <w:rPr>
                <w:b/>
                <w:sz w:val="16"/>
                <w:szCs w:val="16"/>
              </w:rPr>
              <w:t>’</w:t>
            </w:r>
            <w:r w:rsidRPr="00C258AD">
              <w:rPr>
                <w:b/>
                <w:sz w:val="16"/>
                <w:szCs w:val="16"/>
              </w:rPr>
              <w:t>exécution</w:t>
            </w:r>
          </w:p>
        </w:tc>
        <w:tc>
          <w:tcPr>
            <w:tcW w:w="1438" w:type="pct"/>
            <w:tcBorders>
              <w:top w:val="single" w:sz="4" w:space="0" w:color="auto"/>
              <w:bottom w:val="nil"/>
            </w:tcBorders>
            <w:shd w:val="clear" w:color="auto" w:fill="auto"/>
            <w:vAlign w:val="center"/>
          </w:tcPr>
          <w:p w:rsidR="00007D87" w:rsidRPr="00C258AD" w:rsidRDefault="00007D87" w:rsidP="0083763A">
            <w:pPr>
              <w:jc w:val="center"/>
              <w:rPr>
                <w:b/>
                <w:bCs/>
                <w:sz w:val="16"/>
                <w:szCs w:val="16"/>
              </w:rPr>
            </w:pPr>
            <w:r w:rsidRPr="00C258AD">
              <w:rPr>
                <w:b/>
                <w:bCs/>
                <w:sz w:val="16"/>
                <w:szCs w:val="16"/>
              </w:rPr>
              <w:t>Niveaux de référence</w:t>
            </w:r>
          </w:p>
        </w:tc>
        <w:tc>
          <w:tcPr>
            <w:tcW w:w="833" w:type="pct"/>
            <w:tcBorders>
              <w:top w:val="single" w:sz="4" w:space="0" w:color="auto"/>
              <w:bottom w:val="nil"/>
            </w:tcBorders>
            <w:tcMar>
              <w:top w:w="110" w:type="dxa"/>
            </w:tcMar>
            <w:vAlign w:val="center"/>
          </w:tcPr>
          <w:p w:rsidR="00007D87" w:rsidRPr="00C258AD" w:rsidRDefault="00007D87" w:rsidP="0083763A">
            <w:pPr>
              <w:jc w:val="center"/>
              <w:rPr>
                <w:b/>
                <w:sz w:val="16"/>
                <w:szCs w:val="16"/>
              </w:rPr>
            </w:pPr>
            <w:r w:rsidRPr="00C258AD">
              <w:rPr>
                <w:b/>
                <w:sz w:val="16"/>
                <w:szCs w:val="16"/>
              </w:rPr>
              <w:t>Objectifs visés</w:t>
            </w:r>
          </w:p>
        </w:tc>
        <w:tc>
          <w:tcPr>
            <w:tcW w:w="984" w:type="pct"/>
            <w:tcBorders>
              <w:top w:val="single" w:sz="4" w:space="0" w:color="auto"/>
              <w:bottom w:val="nil"/>
            </w:tcBorders>
            <w:shd w:val="clear" w:color="auto" w:fill="FFFFFF"/>
            <w:tcMar>
              <w:top w:w="110" w:type="dxa"/>
            </w:tcMar>
            <w:vAlign w:val="center"/>
          </w:tcPr>
          <w:p w:rsidR="00007D87" w:rsidRPr="00C258AD" w:rsidRDefault="00007D87" w:rsidP="0083763A">
            <w:pPr>
              <w:jc w:val="center"/>
              <w:rPr>
                <w:sz w:val="16"/>
                <w:szCs w:val="16"/>
              </w:rPr>
            </w:pPr>
            <w:r w:rsidRPr="00C258AD">
              <w:rPr>
                <w:b/>
                <w:sz w:val="16"/>
                <w:szCs w:val="16"/>
              </w:rPr>
              <w:t>Données relatives à l</w:t>
            </w:r>
            <w:r w:rsidR="00721905" w:rsidRPr="00C258AD">
              <w:rPr>
                <w:b/>
                <w:sz w:val="16"/>
                <w:szCs w:val="16"/>
              </w:rPr>
              <w:t>’</w:t>
            </w:r>
            <w:r w:rsidRPr="00C258AD">
              <w:rPr>
                <w:b/>
                <w:sz w:val="16"/>
                <w:szCs w:val="16"/>
              </w:rPr>
              <w:t>exécution</w:t>
            </w:r>
          </w:p>
        </w:tc>
        <w:tc>
          <w:tcPr>
            <w:tcW w:w="607" w:type="pct"/>
            <w:tcBorders>
              <w:top w:val="single" w:sz="4" w:space="0" w:color="auto"/>
              <w:bottom w:val="nil"/>
            </w:tcBorders>
            <w:tcMar>
              <w:top w:w="110" w:type="dxa"/>
            </w:tcMar>
            <w:vAlign w:val="center"/>
          </w:tcPr>
          <w:p w:rsidR="00007D87" w:rsidRPr="00C258AD" w:rsidRDefault="00007D87" w:rsidP="0083763A">
            <w:pPr>
              <w:keepNext/>
              <w:keepLines/>
              <w:jc w:val="center"/>
              <w:rPr>
                <w:b/>
                <w:bCs/>
                <w:sz w:val="16"/>
                <w:szCs w:val="16"/>
              </w:rPr>
            </w:pPr>
            <w:r w:rsidRPr="00C258AD">
              <w:rPr>
                <w:b/>
                <w:bCs/>
                <w:sz w:val="16"/>
                <w:szCs w:val="16"/>
              </w:rPr>
              <w:t>Code de couleurs</w:t>
            </w:r>
          </w:p>
        </w:tc>
      </w:tr>
      <w:tr w:rsidR="00007D87" w:rsidRPr="00C258AD" w:rsidTr="004A0BE0">
        <w:trPr>
          <w:cantSplit/>
        </w:trPr>
        <w:tc>
          <w:tcPr>
            <w:tcW w:w="1138" w:type="pct"/>
            <w:tcBorders>
              <w:top w:val="nil"/>
              <w:bottom w:val="single" w:sz="4" w:space="0" w:color="auto"/>
            </w:tcBorders>
          </w:tcPr>
          <w:p w:rsidR="00007D87" w:rsidRPr="00C258AD" w:rsidRDefault="00007D87" w:rsidP="0083763A">
            <w:pPr>
              <w:rPr>
                <w:sz w:val="16"/>
                <w:szCs w:val="16"/>
              </w:rPr>
            </w:pPr>
            <w:r w:rsidRPr="00C258AD">
              <w:rPr>
                <w:sz w:val="16"/>
                <w:szCs w:val="16"/>
              </w:rPr>
              <w:t>Accord dans les négociations au sein de l</w:t>
            </w:r>
            <w:r w:rsidR="00721905" w:rsidRPr="00C258AD">
              <w:rPr>
                <w:sz w:val="16"/>
                <w:szCs w:val="16"/>
              </w:rPr>
              <w:t>’</w:t>
            </w:r>
            <w:r w:rsidRPr="00C258AD">
              <w:rPr>
                <w:sz w:val="16"/>
                <w:szCs w:val="16"/>
              </w:rPr>
              <w:t>IGC en vue de l</w:t>
            </w:r>
            <w:r w:rsidR="00721905" w:rsidRPr="00C258AD">
              <w:rPr>
                <w:sz w:val="16"/>
                <w:szCs w:val="16"/>
              </w:rPr>
              <w:t>’</w:t>
            </w:r>
            <w:r w:rsidRPr="00C258AD">
              <w:rPr>
                <w:sz w:val="16"/>
                <w:szCs w:val="16"/>
              </w:rPr>
              <w:t>élaboration d</w:t>
            </w:r>
            <w:r w:rsidR="00721905" w:rsidRPr="00C258AD">
              <w:rPr>
                <w:sz w:val="16"/>
                <w:szCs w:val="16"/>
              </w:rPr>
              <w:t>’</w:t>
            </w:r>
            <w:r w:rsidRPr="00C258AD">
              <w:rPr>
                <w:sz w:val="16"/>
                <w:szCs w:val="16"/>
              </w:rPr>
              <w:t>un ou plusieurs instruments juridiques internationaux portant sur les savoirs traditionnels, les expressions culturelles traditionnelles et les ressources génétiques</w:t>
            </w:r>
          </w:p>
        </w:tc>
        <w:tc>
          <w:tcPr>
            <w:tcW w:w="1438" w:type="pct"/>
            <w:tcBorders>
              <w:top w:val="nil"/>
              <w:bottom w:val="single" w:sz="4" w:space="0" w:color="auto"/>
            </w:tcBorders>
            <w:shd w:val="clear" w:color="auto" w:fill="auto"/>
          </w:tcPr>
          <w:p w:rsidR="006E2BB1" w:rsidRPr="00C258AD" w:rsidRDefault="00007D87" w:rsidP="0083763A">
            <w:pPr>
              <w:rPr>
                <w:i/>
                <w:color w:val="002060"/>
                <w:sz w:val="16"/>
                <w:szCs w:val="16"/>
              </w:rPr>
            </w:pPr>
            <w:r w:rsidRPr="00C258AD">
              <w:rPr>
                <w:i/>
                <w:color w:val="002060"/>
                <w:sz w:val="16"/>
                <w:szCs w:val="16"/>
              </w:rPr>
              <w:t>Niveau de référence actualisé à fin 2013 :</w:t>
            </w:r>
            <w:r w:rsidRPr="00C258AD">
              <w:rPr>
                <w:color w:val="002060"/>
                <w:sz w:val="16"/>
                <w:szCs w:val="16"/>
              </w:rPr>
              <w:t xml:space="preserve"> L</w:t>
            </w:r>
            <w:r w:rsidR="00721905" w:rsidRPr="00C258AD">
              <w:rPr>
                <w:color w:val="002060"/>
                <w:sz w:val="16"/>
                <w:szCs w:val="16"/>
              </w:rPr>
              <w:t>’</w:t>
            </w:r>
            <w:r w:rsidRPr="00C258AD">
              <w:rPr>
                <w:color w:val="002060"/>
                <w:sz w:val="16"/>
                <w:szCs w:val="16"/>
              </w:rPr>
              <w:t>Assemblée générale de l</w:t>
            </w:r>
            <w:r w:rsidR="00721905" w:rsidRPr="00C258AD">
              <w:rPr>
                <w:color w:val="002060"/>
                <w:sz w:val="16"/>
                <w:szCs w:val="16"/>
              </w:rPr>
              <w:t>’</w:t>
            </w:r>
            <w:r w:rsidRPr="00C258AD">
              <w:rPr>
                <w:color w:val="002060"/>
                <w:sz w:val="16"/>
                <w:szCs w:val="16"/>
              </w:rPr>
              <w:t>OMPI d</w:t>
            </w:r>
            <w:r w:rsidR="00721905" w:rsidRPr="00C258AD">
              <w:rPr>
                <w:color w:val="002060"/>
                <w:sz w:val="16"/>
                <w:szCs w:val="16"/>
              </w:rPr>
              <w:t>’</w:t>
            </w:r>
            <w:r w:rsidRPr="00C258AD">
              <w:rPr>
                <w:color w:val="002060"/>
                <w:sz w:val="16"/>
                <w:szCs w:val="16"/>
              </w:rPr>
              <w:t>octobre 2013 a convenu de renouveler le mandat de l</w:t>
            </w:r>
            <w:r w:rsidR="00721905" w:rsidRPr="00C258AD">
              <w:rPr>
                <w:color w:val="002060"/>
                <w:sz w:val="16"/>
                <w:szCs w:val="16"/>
              </w:rPr>
              <w:t>’</w:t>
            </w:r>
            <w:r w:rsidRPr="00C258AD">
              <w:rPr>
                <w:color w:val="002060"/>
                <w:sz w:val="16"/>
                <w:szCs w:val="16"/>
              </w:rPr>
              <w:t>IGC pour 2014</w:t>
            </w:r>
            <w:r w:rsidR="0000169D" w:rsidRPr="00C258AD">
              <w:rPr>
                <w:color w:val="002060"/>
                <w:sz w:val="16"/>
                <w:szCs w:val="16"/>
              </w:rPr>
              <w:noBreakHyphen/>
            </w:r>
            <w:r w:rsidRPr="00C258AD">
              <w:rPr>
                <w:color w:val="002060"/>
                <w:sz w:val="16"/>
                <w:szCs w:val="16"/>
              </w:rPr>
              <w:t>2015 et aussi d</w:t>
            </w:r>
            <w:r w:rsidR="00721905" w:rsidRPr="00C258AD">
              <w:rPr>
                <w:color w:val="002060"/>
                <w:sz w:val="16"/>
                <w:szCs w:val="16"/>
              </w:rPr>
              <w:t>’</w:t>
            </w:r>
            <w:r w:rsidRPr="00C258AD">
              <w:rPr>
                <w:color w:val="002060"/>
                <w:sz w:val="16"/>
                <w:szCs w:val="16"/>
              </w:rPr>
              <w:t>un programme de travail pour 2014.</w:t>
            </w:r>
          </w:p>
          <w:p w:rsidR="006E2BB1" w:rsidRPr="00C258AD" w:rsidRDefault="006E2BB1" w:rsidP="0083763A">
            <w:pPr>
              <w:rPr>
                <w:i/>
                <w:sz w:val="16"/>
                <w:szCs w:val="16"/>
              </w:rPr>
            </w:pPr>
          </w:p>
          <w:p w:rsidR="006E2BB1" w:rsidRPr="00C258AD" w:rsidRDefault="00007D87" w:rsidP="0083763A">
            <w:pPr>
              <w:rPr>
                <w:sz w:val="16"/>
                <w:szCs w:val="16"/>
              </w:rPr>
            </w:pPr>
            <w:r w:rsidRPr="00C258AD">
              <w:rPr>
                <w:i/>
                <w:sz w:val="16"/>
                <w:szCs w:val="16"/>
              </w:rPr>
              <w:t>Niveau de référence initial dans le programme et budget 2014</w:t>
            </w:r>
            <w:r w:rsidR="0000169D" w:rsidRPr="00C258AD">
              <w:rPr>
                <w:i/>
                <w:sz w:val="16"/>
                <w:szCs w:val="16"/>
              </w:rPr>
              <w:noBreakHyphen/>
            </w:r>
            <w:r w:rsidRPr="00C258AD">
              <w:rPr>
                <w:i/>
                <w:sz w:val="16"/>
                <w:szCs w:val="16"/>
              </w:rPr>
              <w:t>2015</w:t>
            </w:r>
            <w:r w:rsidRPr="00C258AD">
              <w:rPr>
                <w:sz w:val="16"/>
                <w:szCs w:val="16"/>
              </w:rPr>
              <w:t> :</w:t>
            </w:r>
          </w:p>
          <w:p w:rsidR="00007D87" w:rsidRPr="00C258AD" w:rsidRDefault="00007D87" w:rsidP="0083763A">
            <w:pPr>
              <w:rPr>
                <w:sz w:val="16"/>
                <w:szCs w:val="16"/>
              </w:rPr>
            </w:pPr>
            <w:r w:rsidRPr="00C258AD">
              <w:rPr>
                <w:sz w:val="16"/>
                <w:szCs w:val="16"/>
              </w:rPr>
              <w:t>Négociations en cours en vertu du mandat de l</w:t>
            </w:r>
            <w:r w:rsidR="00721905" w:rsidRPr="00C258AD">
              <w:rPr>
                <w:sz w:val="16"/>
                <w:szCs w:val="16"/>
              </w:rPr>
              <w:t>’</w:t>
            </w:r>
            <w:r w:rsidRPr="00C258AD">
              <w:rPr>
                <w:sz w:val="16"/>
                <w:szCs w:val="16"/>
              </w:rPr>
              <w:t>IGC pour la période 2012</w:t>
            </w:r>
            <w:r w:rsidR="0000169D" w:rsidRPr="00C258AD">
              <w:rPr>
                <w:sz w:val="16"/>
                <w:szCs w:val="16"/>
              </w:rPr>
              <w:noBreakHyphen/>
            </w:r>
            <w:r w:rsidRPr="00C258AD">
              <w:rPr>
                <w:sz w:val="16"/>
                <w:szCs w:val="16"/>
              </w:rPr>
              <w:t>2013 et du programme de travail pour 2013</w:t>
            </w:r>
          </w:p>
        </w:tc>
        <w:tc>
          <w:tcPr>
            <w:tcW w:w="833" w:type="pct"/>
            <w:tcBorders>
              <w:top w:val="nil"/>
              <w:bottom w:val="single" w:sz="4" w:space="0" w:color="auto"/>
            </w:tcBorders>
            <w:tcMar>
              <w:top w:w="110" w:type="dxa"/>
            </w:tcMar>
          </w:tcPr>
          <w:p w:rsidR="00007D87" w:rsidRPr="00C258AD" w:rsidRDefault="00007D87" w:rsidP="0083763A">
            <w:pPr>
              <w:autoSpaceDE w:val="0"/>
              <w:autoSpaceDN w:val="0"/>
              <w:adjustRightInd w:val="0"/>
              <w:rPr>
                <w:sz w:val="16"/>
                <w:szCs w:val="16"/>
              </w:rPr>
            </w:pPr>
            <w:r w:rsidRPr="00C258AD">
              <w:rPr>
                <w:sz w:val="16"/>
                <w:szCs w:val="16"/>
              </w:rPr>
              <w:t>Adoption d</w:t>
            </w:r>
            <w:r w:rsidR="00721905" w:rsidRPr="00C258AD">
              <w:rPr>
                <w:sz w:val="16"/>
                <w:szCs w:val="16"/>
              </w:rPr>
              <w:t>’</w:t>
            </w:r>
            <w:r w:rsidRPr="00C258AD">
              <w:rPr>
                <w:sz w:val="16"/>
                <w:szCs w:val="16"/>
              </w:rPr>
              <w:t>un ou plusieurs instruments juridiques internationaux par une éventuelle conférence diplomatique</w:t>
            </w:r>
          </w:p>
        </w:tc>
        <w:tc>
          <w:tcPr>
            <w:tcW w:w="984" w:type="pct"/>
            <w:tcBorders>
              <w:top w:val="nil"/>
              <w:bottom w:val="single" w:sz="4" w:space="0" w:color="auto"/>
            </w:tcBorders>
            <w:shd w:val="clear" w:color="auto" w:fill="FFFFFF"/>
            <w:tcMar>
              <w:top w:w="110" w:type="dxa"/>
            </w:tcMar>
          </w:tcPr>
          <w:p w:rsidR="00007D87" w:rsidRPr="00C258AD" w:rsidRDefault="00007D87" w:rsidP="0083763A">
            <w:pPr>
              <w:rPr>
                <w:sz w:val="16"/>
                <w:szCs w:val="16"/>
              </w:rPr>
            </w:pPr>
            <w:r w:rsidRPr="00C258AD">
              <w:rPr>
                <w:sz w:val="16"/>
                <w:szCs w:val="16"/>
              </w:rPr>
              <w:t>Après trois</w:t>
            </w:r>
            <w:r w:rsidR="002C57EB" w:rsidRPr="00C258AD">
              <w:rPr>
                <w:sz w:val="16"/>
                <w:szCs w:val="16"/>
              </w:rPr>
              <w:t> </w:t>
            </w:r>
            <w:r w:rsidRPr="00C258AD">
              <w:rPr>
                <w:sz w:val="16"/>
                <w:szCs w:val="16"/>
              </w:rPr>
              <w:t>autres sessions en</w:t>
            </w:r>
            <w:r w:rsidR="002C57EB" w:rsidRPr="00C258AD">
              <w:rPr>
                <w:sz w:val="16"/>
                <w:szCs w:val="16"/>
              </w:rPr>
              <w:t> </w:t>
            </w:r>
            <w:r w:rsidRPr="00C258AD">
              <w:rPr>
                <w:sz w:val="16"/>
                <w:szCs w:val="16"/>
              </w:rPr>
              <w:t>2014, l</w:t>
            </w:r>
            <w:r w:rsidR="00721905" w:rsidRPr="00C258AD">
              <w:rPr>
                <w:sz w:val="16"/>
                <w:szCs w:val="16"/>
              </w:rPr>
              <w:t>’</w:t>
            </w:r>
            <w:r w:rsidRPr="00C258AD">
              <w:rPr>
                <w:sz w:val="16"/>
                <w:szCs w:val="16"/>
              </w:rPr>
              <w:t>IGC a progressé dans ses négociations sur la base d</w:t>
            </w:r>
            <w:r w:rsidR="00721905" w:rsidRPr="00C258AD">
              <w:rPr>
                <w:sz w:val="16"/>
                <w:szCs w:val="16"/>
              </w:rPr>
              <w:t>’</w:t>
            </w:r>
            <w:r w:rsidRPr="00C258AD">
              <w:rPr>
                <w:sz w:val="16"/>
                <w:szCs w:val="16"/>
              </w:rPr>
              <w:t>un texte conformément à son mand</w:t>
            </w:r>
            <w:r w:rsidR="0000169D" w:rsidRPr="00C258AD">
              <w:rPr>
                <w:sz w:val="16"/>
                <w:szCs w:val="16"/>
              </w:rPr>
              <w:t>at.  En</w:t>
            </w:r>
            <w:r w:rsidRPr="00C258AD">
              <w:rPr>
                <w:sz w:val="16"/>
                <w:szCs w:val="16"/>
              </w:rPr>
              <w:t xml:space="preserve"> </w:t>
            </w:r>
            <w:r w:rsidR="00721905" w:rsidRPr="00C258AD">
              <w:rPr>
                <w:sz w:val="16"/>
                <w:szCs w:val="16"/>
              </w:rPr>
              <w:t>octobre 20</w:t>
            </w:r>
            <w:r w:rsidRPr="00C258AD">
              <w:rPr>
                <w:sz w:val="16"/>
                <w:szCs w:val="16"/>
              </w:rPr>
              <w:t>14, l</w:t>
            </w:r>
            <w:r w:rsidR="00721905" w:rsidRPr="00C258AD">
              <w:rPr>
                <w:sz w:val="16"/>
                <w:szCs w:val="16"/>
              </w:rPr>
              <w:t>’</w:t>
            </w:r>
            <w:r w:rsidRPr="00C258AD">
              <w:rPr>
                <w:sz w:val="16"/>
                <w:szCs w:val="16"/>
              </w:rPr>
              <w:t>Assemblée générale de l</w:t>
            </w:r>
            <w:r w:rsidR="00721905" w:rsidRPr="00C258AD">
              <w:rPr>
                <w:sz w:val="16"/>
                <w:szCs w:val="16"/>
              </w:rPr>
              <w:t>’</w:t>
            </w:r>
            <w:r w:rsidRPr="00C258AD">
              <w:rPr>
                <w:sz w:val="16"/>
                <w:szCs w:val="16"/>
              </w:rPr>
              <w:t>OMPI n</w:t>
            </w:r>
            <w:r w:rsidR="00721905" w:rsidRPr="00C258AD">
              <w:rPr>
                <w:sz w:val="16"/>
                <w:szCs w:val="16"/>
              </w:rPr>
              <w:t>’</w:t>
            </w:r>
            <w:r w:rsidRPr="00C258AD">
              <w:rPr>
                <w:sz w:val="16"/>
                <w:szCs w:val="16"/>
              </w:rPr>
              <w:t>a pas trouvé un accord sur le programme de travail de l</w:t>
            </w:r>
            <w:r w:rsidR="00721905" w:rsidRPr="00C258AD">
              <w:rPr>
                <w:sz w:val="16"/>
                <w:szCs w:val="16"/>
              </w:rPr>
              <w:t>’</w:t>
            </w:r>
            <w:r w:rsidRPr="00C258AD">
              <w:rPr>
                <w:sz w:val="16"/>
                <w:szCs w:val="16"/>
              </w:rPr>
              <w:t>IGC pour</w:t>
            </w:r>
            <w:r w:rsidR="002C57EB" w:rsidRPr="00C258AD">
              <w:rPr>
                <w:sz w:val="16"/>
                <w:szCs w:val="16"/>
              </w:rPr>
              <w:t> </w:t>
            </w:r>
            <w:r w:rsidRPr="00C258AD">
              <w:rPr>
                <w:sz w:val="16"/>
                <w:szCs w:val="16"/>
              </w:rPr>
              <w:t xml:space="preserve">2015.  En </w:t>
            </w:r>
            <w:r w:rsidR="00721905" w:rsidRPr="00C258AD">
              <w:rPr>
                <w:sz w:val="16"/>
                <w:szCs w:val="16"/>
              </w:rPr>
              <w:t>octobre 20</w:t>
            </w:r>
            <w:r w:rsidRPr="00C258AD">
              <w:rPr>
                <w:sz w:val="16"/>
                <w:szCs w:val="16"/>
              </w:rPr>
              <w:t>15, l</w:t>
            </w:r>
            <w:r w:rsidR="00721905" w:rsidRPr="00C258AD">
              <w:rPr>
                <w:sz w:val="16"/>
                <w:szCs w:val="16"/>
              </w:rPr>
              <w:t>’</w:t>
            </w:r>
            <w:r w:rsidRPr="00C258AD">
              <w:rPr>
                <w:sz w:val="16"/>
                <w:szCs w:val="16"/>
              </w:rPr>
              <w:t>Assemblée générale de l</w:t>
            </w:r>
            <w:r w:rsidR="00721905" w:rsidRPr="00C258AD">
              <w:rPr>
                <w:sz w:val="16"/>
                <w:szCs w:val="16"/>
              </w:rPr>
              <w:t>’</w:t>
            </w:r>
            <w:r w:rsidRPr="00C258AD">
              <w:rPr>
                <w:sz w:val="16"/>
                <w:szCs w:val="16"/>
              </w:rPr>
              <w:t>OMPI a approuvé le renouvellement du mandat de l</w:t>
            </w:r>
            <w:r w:rsidR="00721905" w:rsidRPr="00C258AD">
              <w:rPr>
                <w:sz w:val="16"/>
                <w:szCs w:val="16"/>
              </w:rPr>
              <w:t>’</w:t>
            </w:r>
            <w:r w:rsidRPr="00C258AD">
              <w:rPr>
                <w:sz w:val="16"/>
                <w:szCs w:val="16"/>
              </w:rPr>
              <w:t>IGC pour l</w:t>
            </w:r>
            <w:r w:rsidR="00721905" w:rsidRPr="00C258AD">
              <w:rPr>
                <w:sz w:val="16"/>
                <w:szCs w:val="16"/>
              </w:rPr>
              <w:t>’</w:t>
            </w:r>
            <w:r w:rsidRPr="00C258AD">
              <w:rPr>
                <w:sz w:val="16"/>
                <w:szCs w:val="16"/>
              </w:rPr>
              <w:t>exercice biennal</w:t>
            </w:r>
            <w:r w:rsidR="002C57EB" w:rsidRPr="00C258AD">
              <w:rPr>
                <w:sz w:val="16"/>
                <w:szCs w:val="16"/>
              </w:rPr>
              <w:t> </w:t>
            </w:r>
            <w:r w:rsidRPr="00C258AD">
              <w:rPr>
                <w:sz w:val="16"/>
                <w:szCs w:val="16"/>
              </w:rPr>
              <w:t>2016</w:t>
            </w:r>
            <w:r w:rsidR="0000169D" w:rsidRPr="00C258AD">
              <w:rPr>
                <w:sz w:val="16"/>
                <w:szCs w:val="16"/>
              </w:rPr>
              <w:noBreakHyphen/>
            </w:r>
            <w:r w:rsidRPr="00C258AD">
              <w:rPr>
                <w:sz w:val="16"/>
                <w:szCs w:val="16"/>
              </w:rPr>
              <w:t>2017.</w:t>
            </w:r>
          </w:p>
        </w:tc>
        <w:tc>
          <w:tcPr>
            <w:tcW w:w="607" w:type="pct"/>
            <w:tcBorders>
              <w:top w:val="nil"/>
              <w:bottom w:val="single" w:sz="4" w:space="0" w:color="auto"/>
            </w:tcBorders>
            <w:tcMar>
              <w:top w:w="110" w:type="dxa"/>
            </w:tcMar>
          </w:tcPr>
          <w:p w:rsidR="00007D87" w:rsidRPr="00C258AD" w:rsidRDefault="00007D87" w:rsidP="0083763A">
            <w:pPr>
              <w:keepNext/>
              <w:keepLines/>
              <w:jc w:val="center"/>
              <w:rPr>
                <w:b/>
                <w:bCs/>
                <w:sz w:val="16"/>
                <w:szCs w:val="16"/>
              </w:rPr>
            </w:pPr>
            <w:r w:rsidRPr="00C258AD">
              <w:rPr>
                <w:b/>
                <w:color w:val="FF0000"/>
                <w:sz w:val="16"/>
                <w:szCs w:val="16"/>
              </w:rPr>
              <w:t>Objectif pas atteint</w:t>
            </w:r>
          </w:p>
        </w:tc>
      </w:tr>
      <w:tr w:rsidR="00007D87" w:rsidRPr="00C258AD" w:rsidTr="004A0BE0">
        <w:trPr>
          <w:cantSplit/>
        </w:trPr>
        <w:tc>
          <w:tcPr>
            <w:tcW w:w="5000" w:type="pct"/>
            <w:gridSpan w:val="5"/>
            <w:tcBorders>
              <w:top w:val="single" w:sz="4" w:space="0" w:color="auto"/>
              <w:bottom w:val="single" w:sz="4" w:space="0" w:color="auto"/>
            </w:tcBorders>
            <w:shd w:val="clear" w:color="auto" w:fill="C5D9F1"/>
            <w:vAlign w:val="center"/>
          </w:tcPr>
          <w:p w:rsidR="00007D87" w:rsidRPr="00C258AD" w:rsidRDefault="00007D87" w:rsidP="0083763A">
            <w:pPr>
              <w:keepNext/>
              <w:keepLines/>
              <w:rPr>
                <w:b/>
                <w:bCs/>
                <w:sz w:val="16"/>
                <w:szCs w:val="16"/>
              </w:rPr>
            </w:pPr>
            <w:r w:rsidRPr="00C258AD">
              <w:rPr>
                <w:b/>
                <w:bCs/>
                <w:sz w:val="16"/>
                <w:szCs w:val="16"/>
              </w:rPr>
              <w:lastRenderedPageBreak/>
              <w:t>Résultat escompté</w:t>
            </w:r>
            <w:r w:rsidRPr="00C258AD">
              <w:rPr>
                <w:bCs/>
                <w:sz w:val="16"/>
                <w:szCs w:val="16"/>
              </w:rPr>
              <w:t> : III.2 Mise en valeur des ressources humaines pour répondre aux diverses exigences en matière d</w:t>
            </w:r>
            <w:r w:rsidR="00721905" w:rsidRPr="00C258AD">
              <w:rPr>
                <w:bCs/>
                <w:sz w:val="16"/>
                <w:szCs w:val="16"/>
              </w:rPr>
              <w:t>’</w:t>
            </w:r>
            <w:r w:rsidRPr="00C258AD">
              <w:rPr>
                <w:bCs/>
                <w:sz w:val="16"/>
                <w:szCs w:val="16"/>
              </w:rPr>
              <w:t>utilisation efficace de la propriété intellectuelle au service du développement dans les pays en développement, les PMA et les pays en transition</w:t>
            </w:r>
          </w:p>
        </w:tc>
      </w:tr>
      <w:tr w:rsidR="00007D87" w:rsidRPr="00C258AD" w:rsidTr="004A0BE0">
        <w:trPr>
          <w:cantSplit/>
        </w:trPr>
        <w:tc>
          <w:tcPr>
            <w:tcW w:w="1138" w:type="pct"/>
            <w:tcBorders>
              <w:top w:val="single" w:sz="4" w:space="0" w:color="auto"/>
              <w:bottom w:val="nil"/>
            </w:tcBorders>
            <w:vAlign w:val="center"/>
          </w:tcPr>
          <w:p w:rsidR="00007D87" w:rsidRPr="00C258AD" w:rsidRDefault="00007D87" w:rsidP="0083763A">
            <w:pPr>
              <w:keepNext/>
              <w:keepLines/>
              <w:jc w:val="center"/>
              <w:rPr>
                <w:sz w:val="16"/>
                <w:szCs w:val="16"/>
              </w:rPr>
            </w:pPr>
            <w:r w:rsidRPr="00C258AD">
              <w:rPr>
                <w:b/>
                <w:sz w:val="16"/>
                <w:szCs w:val="16"/>
              </w:rPr>
              <w:t>Indicateurs d</w:t>
            </w:r>
            <w:r w:rsidR="00721905" w:rsidRPr="00C258AD">
              <w:rPr>
                <w:b/>
                <w:sz w:val="16"/>
                <w:szCs w:val="16"/>
              </w:rPr>
              <w:t>’</w:t>
            </w:r>
            <w:r w:rsidRPr="00C258AD">
              <w:rPr>
                <w:b/>
                <w:sz w:val="16"/>
                <w:szCs w:val="16"/>
              </w:rPr>
              <w:t>exécution</w:t>
            </w:r>
          </w:p>
        </w:tc>
        <w:tc>
          <w:tcPr>
            <w:tcW w:w="1438" w:type="pct"/>
            <w:tcBorders>
              <w:top w:val="single" w:sz="4" w:space="0" w:color="auto"/>
              <w:bottom w:val="nil"/>
            </w:tcBorders>
            <w:shd w:val="clear" w:color="auto" w:fill="auto"/>
            <w:vAlign w:val="center"/>
          </w:tcPr>
          <w:p w:rsidR="00007D87" w:rsidRPr="00C258AD" w:rsidRDefault="00007D87" w:rsidP="0083763A">
            <w:pPr>
              <w:keepNext/>
              <w:keepLines/>
              <w:jc w:val="center"/>
              <w:rPr>
                <w:b/>
                <w:bCs/>
                <w:sz w:val="16"/>
                <w:szCs w:val="16"/>
              </w:rPr>
            </w:pPr>
            <w:r w:rsidRPr="00C258AD">
              <w:rPr>
                <w:b/>
                <w:bCs/>
                <w:sz w:val="16"/>
                <w:szCs w:val="16"/>
              </w:rPr>
              <w:t>Niveaux de référence</w:t>
            </w:r>
          </w:p>
        </w:tc>
        <w:tc>
          <w:tcPr>
            <w:tcW w:w="833" w:type="pct"/>
            <w:tcBorders>
              <w:top w:val="single" w:sz="4" w:space="0" w:color="auto"/>
              <w:bottom w:val="nil"/>
            </w:tcBorders>
            <w:tcMar>
              <w:top w:w="110" w:type="dxa"/>
            </w:tcMar>
            <w:vAlign w:val="center"/>
          </w:tcPr>
          <w:p w:rsidR="00007D87" w:rsidRPr="00C258AD" w:rsidRDefault="00007D87" w:rsidP="0083763A">
            <w:pPr>
              <w:keepNext/>
              <w:keepLines/>
              <w:jc w:val="center"/>
              <w:rPr>
                <w:b/>
                <w:sz w:val="16"/>
                <w:szCs w:val="16"/>
              </w:rPr>
            </w:pPr>
            <w:r w:rsidRPr="00C258AD">
              <w:rPr>
                <w:b/>
                <w:sz w:val="16"/>
                <w:szCs w:val="16"/>
              </w:rPr>
              <w:t>Objectifs visés</w:t>
            </w:r>
          </w:p>
        </w:tc>
        <w:tc>
          <w:tcPr>
            <w:tcW w:w="984" w:type="pct"/>
            <w:tcBorders>
              <w:top w:val="single" w:sz="4" w:space="0" w:color="auto"/>
              <w:bottom w:val="nil"/>
            </w:tcBorders>
            <w:shd w:val="clear" w:color="auto" w:fill="FFFFFF"/>
            <w:tcMar>
              <w:top w:w="110" w:type="dxa"/>
            </w:tcMar>
            <w:vAlign w:val="center"/>
          </w:tcPr>
          <w:p w:rsidR="00007D87" w:rsidRPr="00C258AD" w:rsidRDefault="00007D87" w:rsidP="0083763A">
            <w:pPr>
              <w:keepNext/>
              <w:keepLines/>
              <w:jc w:val="center"/>
              <w:rPr>
                <w:sz w:val="16"/>
                <w:szCs w:val="16"/>
              </w:rPr>
            </w:pPr>
            <w:r w:rsidRPr="00C258AD">
              <w:rPr>
                <w:b/>
                <w:sz w:val="16"/>
                <w:szCs w:val="16"/>
              </w:rPr>
              <w:t>Données relatives à l</w:t>
            </w:r>
            <w:r w:rsidR="00721905" w:rsidRPr="00C258AD">
              <w:rPr>
                <w:b/>
                <w:sz w:val="16"/>
                <w:szCs w:val="16"/>
              </w:rPr>
              <w:t>’</w:t>
            </w:r>
            <w:r w:rsidRPr="00C258AD">
              <w:rPr>
                <w:b/>
                <w:sz w:val="16"/>
                <w:szCs w:val="16"/>
              </w:rPr>
              <w:t>exécution</w:t>
            </w:r>
          </w:p>
        </w:tc>
        <w:tc>
          <w:tcPr>
            <w:tcW w:w="607" w:type="pct"/>
            <w:tcBorders>
              <w:top w:val="single" w:sz="4" w:space="0" w:color="auto"/>
              <w:bottom w:val="nil"/>
            </w:tcBorders>
            <w:tcMar>
              <w:top w:w="110" w:type="dxa"/>
            </w:tcMar>
            <w:vAlign w:val="center"/>
          </w:tcPr>
          <w:p w:rsidR="00007D87" w:rsidRPr="00C258AD" w:rsidRDefault="00007D87" w:rsidP="0083763A">
            <w:pPr>
              <w:keepNext/>
              <w:keepLines/>
              <w:jc w:val="center"/>
              <w:rPr>
                <w:b/>
                <w:bCs/>
                <w:sz w:val="16"/>
                <w:szCs w:val="16"/>
              </w:rPr>
            </w:pPr>
            <w:r w:rsidRPr="00C258AD">
              <w:rPr>
                <w:b/>
                <w:bCs/>
                <w:sz w:val="16"/>
                <w:szCs w:val="16"/>
              </w:rPr>
              <w:t>Code de couleurs</w:t>
            </w:r>
          </w:p>
        </w:tc>
      </w:tr>
      <w:tr w:rsidR="00007D87" w:rsidRPr="00C258AD" w:rsidTr="004A0BE0">
        <w:trPr>
          <w:cantSplit/>
        </w:trPr>
        <w:tc>
          <w:tcPr>
            <w:tcW w:w="1138" w:type="pct"/>
            <w:tcBorders>
              <w:top w:val="nil"/>
              <w:bottom w:val="single" w:sz="4" w:space="0" w:color="auto"/>
            </w:tcBorders>
            <w:shd w:val="clear" w:color="auto" w:fill="FFFFFF"/>
          </w:tcPr>
          <w:p w:rsidR="00007D87" w:rsidRPr="00C258AD" w:rsidRDefault="00007D87" w:rsidP="0083763A">
            <w:pPr>
              <w:rPr>
                <w:sz w:val="16"/>
                <w:szCs w:val="16"/>
                <w:lang w:bidi="th-TH"/>
              </w:rPr>
            </w:pPr>
            <w:r w:rsidRPr="00C258AD">
              <w:rPr>
                <w:sz w:val="16"/>
                <w:szCs w:val="16"/>
                <w:lang w:bidi="th-TH"/>
              </w:rPr>
              <w:t>Pourcentage de participants aux activités de l</w:t>
            </w:r>
            <w:r w:rsidR="00721905" w:rsidRPr="00C258AD">
              <w:rPr>
                <w:sz w:val="16"/>
                <w:szCs w:val="16"/>
                <w:lang w:bidi="th-TH"/>
              </w:rPr>
              <w:t>’</w:t>
            </w:r>
            <w:r w:rsidRPr="00C258AD">
              <w:rPr>
                <w:sz w:val="16"/>
                <w:szCs w:val="16"/>
                <w:lang w:bidi="th-TH"/>
              </w:rPr>
              <w:t>OMPI ayant fait part d</w:t>
            </w:r>
            <w:r w:rsidR="00721905" w:rsidRPr="00C258AD">
              <w:rPr>
                <w:sz w:val="16"/>
                <w:szCs w:val="16"/>
                <w:lang w:bidi="th-TH"/>
              </w:rPr>
              <w:t>’</w:t>
            </w:r>
            <w:r w:rsidRPr="00C258AD">
              <w:rPr>
                <w:sz w:val="16"/>
                <w:szCs w:val="16"/>
                <w:lang w:bidi="th-TH"/>
              </w:rPr>
              <w:t>un renforcement des capacités en ce qui concerne la compréhension des principes, des systèmes et des instruments de propriété intellectuelle et leur utilisation pour la protection des savoirs traditionnels et des expressions culturelles traditionnelles, et pour la gestion du lien qui existe entre propriété intellectuelle et ressources génétiques</w:t>
            </w:r>
          </w:p>
        </w:tc>
        <w:tc>
          <w:tcPr>
            <w:tcW w:w="1438" w:type="pct"/>
            <w:tcBorders>
              <w:top w:val="nil"/>
              <w:bottom w:val="single" w:sz="4" w:space="0" w:color="auto"/>
            </w:tcBorders>
            <w:shd w:val="clear" w:color="auto" w:fill="auto"/>
          </w:tcPr>
          <w:p w:rsidR="006E2BB1" w:rsidRPr="00C258AD" w:rsidRDefault="00007D87" w:rsidP="0083763A">
            <w:pPr>
              <w:rPr>
                <w:color w:val="002060"/>
                <w:sz w:val="16"/>
                <w:szCs w:val="16"/>
              </w:rPr>
            </w:pPr>
            <w:r w:rsidRPr="00C258AD">
              <w:rPr>
                <w:i/>
                <w:color w:val="002060"/>
                <w:sz w:val="16"/>
                <w:szCs w:val="16"/>
              </w:rPr>
              <w:t>Niveau de référence actualisé à fin 2013 :</w:t>
            </w:r>
            <w:r w:rsidRPr="00C258AD">
              <w:rPr>
                <w:color w:val="002060"/>
                <w:sz w:val="16"/>
                <w:szCs w:val="16"/>
              </w:rPr>
              <w:t xml:space="preserve"> 95% (79 sur 83) des participants ont présenté un rapport positif (questionnaire de satisfaction utilisé dans 5 activités organisées par la Division des savoirs traditionnels en 2012</w:t>
            </w:r>
            <w:r w:rsidR="0000169D" w:rsidRPr="00C258AD">
              <w:rPr>
                <w:color w:val="002060"/>
                <w:sz w:val="16"/>
                <w:szCs w:val="16"/>
              </w:rPr>
              <w:noBreakHyphen/>
            </w:r>
            <w:r w:rsidRPr="00C258AD">
              <w:rPr>
                <w:color w:val="002060"/>
                <w:sz w:val="16"/>
                <w:szCs w:val="16"/>
              </w:rPr>
              <w:t>2013).</w:t>
            </w:r>
          </w:p>
          <w:p w:rsidR="006E2BB1" w:rsidRPr="00C258AD" w:rsidRDefault="006E2BB1" w:rsidP="0083763A">
            <w:pPr>
              <w:rPr>
                <w:i/>
                <w:sz w:val="16"/>
                <w:szCs w:val="16"/>
              </w:rPr>
            </w:pPr>
          </w:p>
          <w:p w:rsidR="006E2BB1" w:rsidRPr="00C258AD" w:rsidRDefault="00007D87" w:rsidP="0083763A">
            <w:pPr>
              <w:rPr>
                <w:sz w:val="16"/>
                <w:szCs w:val="16"/>
              </w:rPr>
            </w:pPr>
            <w:r w:rsidRPr="00C258AD">
              <w:rPr>
                <w:i/>
                <w:sz w:val="16"/>
                <w:szCs w:val="16"/>
              </w:rPr>
              <w:t>Niveau de référence initial dans le programme et budget 2014</w:t>
            </w:r>
            <w:r w:rsidR="0000169D" w:rsidRPr="00C258AD">
              <w:rPr>
                <w:i/>
                <w:sz w:val="16"/>
                <w:szCs w:val="16"/>
              </w:rPr>
              <w:noBreakHyphen/>
            </w:r>
            <w:r w:rsidRPr="00C258AD">
              <w:rPr>
                <w:i/>
                <w:sz w:val="16"/>
                <w:szCs w:val="16"/>
              </w:rPr>
              <w:t>2015 :</w:t>
            </w:r>
          </w:p>
          <w:p w:rsidR="00007D87" w:rsidRPr="00C258AD" w:rsidRDefault="00007D87" w:rsidP="0083763A">
            <w:pPr>
              <w:rPr>
                <w:sz w:val="16"/>
                <w:szCs w:val="16"/>
                <w:lang w:bidi="th-TH"/>
              </w:rPr>
            </w:pPr>
            <w:r w:rsidRPr="00C258AD">
              <w:rPr>
                <w:sz w:val="16"/>
                <w:szCs w:val="16"/>
                <w:lang w:bidi="th-TH"/>
              </w:rPr>
              <w:t>Pas encore disponible</w:t>
            </w:r>
          </w:p>
        </w:tc>
        <w:tc>
          <w:tcPr>
            <w:tcW w:w="833" w:type="pct"/>
            <w:tcBorders>
              <w:top w:val="nil"/>
              <w:bottom w:val="single" w:sz="4" w:space="0" w:color="auto"/>
            </w:tcBorders>
            <w:tcMar>
              <w:top w:w="110" w:type="dxa"/>
            </w:tcMar>
          </w:tcPr>
          <w:p w:rsidR="00007D87" w:rsidRPr="00C258AD" w:rsidRDefault="00007D87" w:rsidP="0083763A">
            <w:pPr>
              <w:rPr>
                <w:sz w:val="16"/>
                <w:szCs w:val="16"/>
                <w:lang w:bidi="th-TH"/>
              </w:rPr>
            </w:pPr>
            <w:r w:rsidRPr="00C258AD">
              <w:rPr>
                <w:sz w:val="16"/>
                <w:szCs w:val="16"/>
              </w:rPr>
              <w:t>80%</w:t>
            </w:r>
          </w:p>
        </w:tc>
        <w:tc>
          <w:tcPr>
            <w:tcW w:w="984" w:type="pct"/>
            <w:tcBorders>
              <w:top w:val="nil"/>
              <w:bottom w:val="single" w:sz="4" w:space="0" w:color="auto"/>
            </w:tcBorders>
            <w:shd w:val="clear" w:color="auto" w:fill="FFFFFF"/>
            <w:tcMar>
              <w:top w:w="110" w:type="dxa"/>
            </w:tcMar>
          </w:tcPr>
          <w:p w:rsidR="00007D87" w:rsidRPr="00C258AD" w:rsidRDefault="00007D87" w:rsidP="0083763A">
            <w:pPr>
              <w:rPr>
                <w:sz w:val="16"/>
                <w:szCs w:val="16"/>
                <w:lang w:bidi="th-TH"/>
              </w:rPr>
            </w:pPr>
            <w:r w:rsidRPr="00C258AD">
              <w:rPr>
                <w:sz w:val="16"/>
                <w:szCs w:val="16"/>
                <w:lang w:bidi="th-TH"/>
              </w:rPr>
              <w:t>92% (370 sur 398) participants ont présenté un rapport positif (questionnaire de satisfaction utilisé dans 15 activités organisées par la Division des savoirs traditionnels en 2014</w:t>
            </w:r>
            <w:r w:rsidR="0000169D" w:rsidRPr="00C258AD">
              <w:rPr>
                <w:sz w:val="16"/>
                <w:szCs w:val="16"/>
                <w:lang w:bidi="th-TH"/>
              </w:rPr>
              <w:noBreakHyphen/>
            </w:r>
            <w:r w:rsidRPr="00C258AD">
              <w:rPr>
                <w:sz w:val="16"/>
                <w:szCs w:val="16"/>
                <w:lang w:bidi="th-TH"/>
              </w:rPr>
              <w:t>2015)</w:t>
            </w:r>
          </w:p>
        </w:tc>
        <w:tc>
          <w:tcPr>
            <w:tcW w:w="607" w:type="pct"/>
            <w:tcBorders>
              <w:top w:val="nil"/>
              <w:bottom w:val="single" w:sz="4" w:space="0" w:color="auto"/>
            </w:tcBorders>
            <w:tcMar>
              <w:top w:w="110" w:type="dxa"/>
            </w:tcMar>
          </w:tcPr>
          <w:p w:rsidR="00007D87" w:rsidRPr="00C258AD" w:rsidRDefault="00007D87" w:rsidP="0083763A">
            <w:pPr>
              <w:keepNext/>
              <w:keepLines/>
              <w:jc w:val="center"/>
              <w:rPr>
                <w:b/>
                <w:bCs/>
                <w:sz w:val="16"/>
                <w:szCs w:val="16"/>
              </w:rPr>
            </w:pPr>
            <w:r w:rsidRPr="00C258AD">
              <w:rPr>
                <w:b/>
                <w:bCs/>
                <w:color w:val="00B050"/>
                <w:sz w:val="16"/>
                <w:szCs w:val="16"/>
              </w:rPr>
              <w:t>Objectif pleinement atteint</w:t>
            </w:r>
          </w:p>
        </w:tc>
      </w:tr>
    </w:tbl>
    <w:p w:rsidR="006E2BB1" w:rsidRPr="00C258AD" w:rsidRDefault="006E2BB1" w:rsidP="00007D87"/>
    <w:p w:rsidR="006E2BB1" w:rsidRPr="00C258AD" w:rsidRDefault="006E2BB1" w:rsidP="00007D87">
      <w:pPr>
        <w:rPr>
          <w:sz w:val="22"/>
          <w:szCs w:val="22"/>
        </w:rPr>
      </w:pPr>
    </w:p>
    <w:p w:rsidR="006E2BB1" w:rsidRPr="00C258AD" w:rsidRDefault="00BE27AB" w:rsidP="00305CE5">
      <w:pPr>
        <w:keepNext/>
        <w:rPr>
          <w:rFonts w:cs="Arial"/>
          <w:caps/>
          <w:sz w:val="22"/>
          <w:szCs w:val="22"/>
        </w:rPr>
      </w:pPr>
      <w:r w:rsidRPr="00C258AD">
        <w:rPr>
          <w:rFonts w:cs="Arial"/>
          <w:caps/>
          <w:sz w:val="22"/>
          <w:szCs w:val="22"/>
        </w:rPr>
        <w:t>Rapport d</w:t>
      </w:r>
      <w:r w:rsidR="00721905" w:rsidRPr="00C258AD">
        <w:rPr>
          <w:rFonts w:cs="Arial"/>
          <w:caps/>
          <w:sz w:val="22"/>
          <w:szCs w:val="22"/>
        </w:rPr>
        <w:t>’</w:t>
      </w:r>
      <w:r w:rsidRPr="00C258AD">
        <w:rPr>
          <w:rFonts w:cs="Arial"/>
          <w:caps/>
          <w:sz w:val="22"/>
          <w:szCs w:val="22"/>
        </w:rPr>
        <w:t>évaluation des risques pour l</w:t>
      </w:r>
      <w:r w:rsidR="00721905" w:rsidRPr="00C258AD">
        <w:rPr>
          <w:rFonts w:cs="Arial"/>
          <w:caps/>
          <w:sz w:val="22"/>
          <w:szCs w:val="22"/>
        </w:rPr>
        <w:t>’</w:t>
      </w:r>
      <w:r w:rsidRPr="00C258AD">
        <w:rPr>
          <w:rFonts w:cs="Arial"/>
          <w:caps/>
          <w:sz w:val="22"/>
          <w:szCs w:val="22"/>
        </w:rPr>
        <w:t>exercice biennal</w:t>
      </w:r>
    </w:p>
    <w:p w:rsidR="00007D87" w:rsidRPr="00C258AD" w:rsidRDefault="00007D87" w:rsidP="00007D87">
      <w:pPr>
        <w:keepNext/>
        <w:keepLines/>
        <w:rPr>
          <w:color w:val="000000"/>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007D87" w:rsidRPr="00C258AD" w:rsidTr="004A0BE0">
        <w:trPr>
          <w:cantSplit/>
        </w:trPr>
        <w:tc>
          <w:tcPr>
            <w:tcW w:w="2372" w:type="dxa"/>
            <w:tcBorders>
              <w:top w:val="single" w:sz="4" w:space="0" w:color="auto"/>
              <w:left w:val="single" w:sz="4" w:space="0" w:color="auto"/>
              <w:bottom w:val="single" w:sz="4" w:space="0" w:color="auto"/>
            </w:tcBorders>
            <w:shd w:val="clear" w:color="auto" w:fill="C5D9F1"/>
            <w:tcMar>
              <w:top w:w="113" w:type="dxa"/>
              <w:bottom w:w="113" w:type="dxa"/>
            </w:tcMar>
            <w:vAlign w:val="center"/>
          </w:tcPr>
          <w:p w:rsidR="00007D87" w:rsidRPr="00C258AD" w:rsidRDefault="00007D87" w:rsidP="004A0BE0">
            <w:pPr>
              <w:autoSpaceDE w:val="0"/>
              <w:autoSpaceDN w:val="0"/>
              <w:adjustRightInd w:val="0"/>
              <w:ind w:right="-59"/>
              <w:jc w:val="center"/>
              <w:rPr>
                <w:b/>
                <w:bCs/>
                <w:iCs/>
                <w:sz w:val="16"/>
                <w:szCs w:val="16"/>
              </w:rPr>
            </w:pPr>
            <w:r w:rsidRPr="00C258AD">
              <w:rPr>
                <w:b/>
                <w:bCs/>
                <w:iCs/>
                <w:sz w:val="16"/>
                <w:szCs w:val="16"/>
              </w:rPr>
              <w:t>Risque(s) susceptible(s) d</w:t>
            </w:r>
            <w:r w:rsidR="00721905" w:rsidRPr="00C258AD">
              <w:rPr>
                <w:b/>
                <w:bCs/>
                <w:iCs/>
                <w:sz w:val="16"/>
                <w:szCs w:val="16"/>
              </w:rPr>
              <w:t>’</w:t>
            </w:r>
            <w:r w:rsidRPr="00C258AD">
              <w:rPr>
                <w:b/>
                <w:bCs/>
                <w:iCs/>
                <w:sz w:val="16"/>
                <w:szCs w:val="16"/>
              </w:rPr>
              <w:t>empêcher le programme d</w:t>
            </w:r>
            <w:r w:rsidR="00721905" w:rsidRPr="00C258AD">
              <w:rPr>
                <w:b/>
                <w:bCs/>
                <w:iCs/>
                <w:sz w:val="16"/>
                <w:szCs w:val="16"/>
              </w:rPr>
              <w:t>’</w:t>
            </w:r>
            <w:r w:rsidRPr="00C258AD">
              <w:rPr>
                <w:b/>
                <w:bCs/>
                <w:iCs/>
                <w:sz w:val="16"/>
                <w:szCs w:val="16"/>
              </w:rPr>
              <w:t>atteindre ses résultats</w:t>
            </w:r>
          </w:p>
        </w:tc>
        <w:tc>
          <w:tcPr>
            <w:tcW w:w="2373" w:type="dxa"/>
            <w:tcBorders>
              <w:top w:val="single" w:sz="4" w:space="0" w:color="auto"/>
              <w:bottom w:val="single" w:sz="4" w:space="0" w:color="auto"/>
            </w:tcBorders>
            <w:shd w:val="clear" w:color="auto" w:fill="C5D9F1"/>
            <w:tcMar>
              <w:top w:w="113" w:type="dxa"/>
              <w:bottom w:w="113" w:type="dxa"/>
            </w:tcMar>
            <w:vAlign w:val="center"/>
          </w:tcPr>
          <w:p w:rsidR="00007D87" w:rsidRPr="00C258AD" w:rsidRDefault="00007D87" w:rsidP="004A0BE0">
            <w:pPr>
              <w:autoSpaceDE w:val="0"/>
              <w:autoSpaceDN w:val="0"/>
              <w:adjustRightInd w:val="0"/>
              <w:ind w:right="-59"/>
              <w:jc w:val="center"/>
              <w:rPr>
                <w:b/>
                <w:bCs/>
                <w:iCs/>
                <w:sz w:val="16"/>
                <w:szCs w:val="16"/>
              </w:rPr>
            </w:pPr>
            <w:r w:rsidRPr="00C258AD">
              <w:rPr>
                <w:b/>
                <w:bCs/>
                <w:iCs/>
                <w:sz w:val="16"/>
                <w:szCs w:val="16"/>
              </w:rPr>
              <w:t>Plans d</w:t>
            </w:r>
            <w:r w:rsidR="00721905" w:rsidRPr="00C258AD">
              <w:rPr>
                <w:b/>
                <w:bCs/>
                <w:iCs/>
                <w:sz w:val="16"/>
                <w:szCs w:val="16"/>
              </w:rPr>
              <w:t>’</w:t>
            </w:r>
            <w:r w:rsidRPr="00C258AD">
              <w:rPr>
                <w:b/>
                <w:bCs/>
                <w:iCs/>
                <w:sz w:val="16"/>
                <w:szCs w:val="16"/>
              </w:rPr>
              <w:t>atténuation en place ou en cours de mise en œuvre</w:t>
            </w:r>
          </w:p>
        </w:tc>
        <w:tc>
          <w:tcPr>
            <w:tcW w:w="2373" w:type="dxa"/>
            <w:tcBorders>
              <w:top w:val="single" w:sz="4" w:space="0" w:color="auto"/>
              <w:bottom w:val="single" w:sz="4" w:space="0" w:color="auto"/>
            </w:tcBorders>
            <w:shd w:val="clear" w:color="auto" w:fill="C5D9F1"/>
            <w:vAlign w:val="center"/>
          </w:tcPr>
          <w:p w:rsidR="00007D87" w:rsidRPr="00C258AD" w:rsidRDefault="00007D87" w:rsidP="004A0BE0">
            <w:pPr>
              <w:jc w:val="center"/>
              <w:rPr>
                <w:b/>
                <w:bCs/>
                <w:sz w:val="16"/>
                <w:szCs w:val="16"/>
              </w:rPr>
            </w:pPr>
            <w:r w:rsidRPr="00C258AD">
              <w:rPr>
                <w:b/>
                <w:bCs/>
                <w:iCs/>
                <w:sz w:val="16"/>
                <w:szCs w:val="16"/>
              </w:rPr>
              <w:t>Évolution des risques et des stratégies d</w:t>
            </w:r>
            <w:r w:rsidR="00721905" w:rsidRPr="00C258AD">
              <w:rPr>
                <w:b/>
                <w:bCs/>
                <w:iCs/>
                <w:sz w:val="16"/>
                <w:szCs w:val="16"/>
              </w:rPr>
              <w:t>’</w:t>
            </w:r>
            <w:r w:rsidRPr="00C258AD">
              <w:rPr>
                <w:b/>
                <w:bCs/>
                <w:iCs/>
                <w:sz w:val="16"/>
                <w:szCs w:val="16"/>
              </w:rPr>
              <w:t>atténuation durant l</w:t>
            </w:r>
            <w:r w:rsidR="00721905" w:rsidRPr="00C258AD">
              <w:rPr>
                <w:b/>
                <w:bCs/>
                <w:iCs/>
                <w:sz w:val="16"/>
                <w:szCs w:val="16"/>
              </w:rPr>
              <w:t>’</w:t>
            </w:r>
            <w:r w:rsidRPr="00C258AD">
              <w:rPr>
                <w:b/>
                <w:bCs/>
                <w:iCs/>
                <w:sz w:val="16"/>
                <w:szCs w:val="16"/>
              </w:rPr>
              <w:t>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007D87" w:rsidRPr="00C258AD" w:rsidRDefault="00007D87" w:rsidP="004A0BE0">
            <w:pPr>
              <w:jc w:val="center"/>
              <w:rPr>
                <w:b/>
                <w:bCs/>
                <w:sz w:val="16"/>
                <w:szCs w:val="16"/>
              </w:rPr>
            </w:pPr>
            <w:r w:rsidRPr="00C258AD">
              <w:rPr>
                <w:b/>
                <w:bCs/>
                <w:iCs/>
                <w:sz w:val="16"/>
                <w:szCs w:val="16"/>
              </w:rPr>
              <w:t>Incidence sur les résultats du programme</w:t>
            </w:r>
          </w:p>
        </w:tc>
      </w:tr>
      <w:tr w:rsidR="00007D87" w:rsidRPr="00C258AD" w:rsidTr="004A0BE0">
        <w:tblPrEx>
          <w:tblBorders>
            <w:top w:val="single" w:sz="4" w:space="0" w:color="auto"/>
            <w:left w:val="single" w:sz="4" w:space="0" w:color="auto"/>
            <w:bottom w:val="single" w:sz="4" w:space="0" w:color="auto"/>
            <w:right w:val="single" w:sz="4" w:space="0" w:color="auto"/>
          </w:tblBorders>
        </w:tblPrEx>
        <w:trPr>
          <w:cantSplit/>
        </w:trPr>
        <w:tc>
          <w:tcPr>
            <w:tcW w:w="2372" w:type="dxa"/>
            <w:tcBorders>
              <w:top w:val="single" w:sz="4" w:space="0" w:color="auto"/>
            </w:tcBorders>
            <w:shd w:val="clear" w:color="auto" w:fill="auto"/>
            <w:tcMar>
              <w:top w:w="113" w:type="dxa"/>
            </w:tcMar>
          </w:tcPr>
          <w:p w:rsidR="00007D87" w:rsidRPr="00C258AD" w:rsidRDefault="00007D87" w:rsidP="0083763A">
            <w:pPr>
              <w:autoSpaceDE w:val="0"/>
              <w:autoSpaceDN w:val="0"/>
              <w:adjustRightInd w:val="0"/>
              <w:ind w:right="-59"/>
              <w:rPr>
                <w:sz w:val="16"/>
                <w:szCs w:val="16"/>
              </w:rPr>
            </w:pPr>
            <w:r w:rsidRPr="00C258AD">
              <w:rPr>
                <w:sz w:val="16"/>
                <w:szCs w:val="16"/>
              </w:rPr>
              <w:t>Incapacité de l</w:t>
            </w:r>
            <w:r w:rsidR="00721905" w:rsidRPr="00C258AD">
              <w:rPr>
                <w:sz w:val="16"/>
                <w:szCs w:val="16"/>
              </w:rPr>
              <w:t>’</w:t>
            </w:r>
            <w:r w:rsidRPr="00C258AD">
              <w:rPr>
                <w:sz w:val="16"/>
                <w:szCs w:val="16"/>
              </w:rPr>
              <w:t>IGC de parvenir à un accord sur un ou plusieurs instruments juridiques internationaux.</w:t>
            </w:r>
          </w:p>
        </w:tc>
        <w:tc>
          <w:tcPr>
            <w:tcW w:w="2373" w:type="dxa"/>
            <w:tcBorders>
              <w:top w:val="single" w:sz="4" w:space="0" w:color="auto"/>
            </w:tcBorders>
            <w:shd w:val="clear" w:color="auto" w:fill="auto"/>
            <w:tcMar>
              <w:top w:w="113" w:type="dxa"/>
            </w:tcMar>
          </w:tcPr>
          <w:p w:rsidR="00007D87" w:rsidRPr="00C258AD" w:rsidRDefault="00007D87" w:rsidP="0083763A">
            <w:pPr>
              <w:keepNext/>
              <w:keepLines/>
              <w:autoSpaceDE w:val="0"/>
              <w:autoSpaceDN w:val="0"/>
              <w:adjustRightInd w:val="0"/>
              <w:ind w:right="-59"/>
              <w:rPr>
                <w:sz w:val="16"/>
                <w:szCs w:val="16"/>
              </w:rPr>
            </w:pPr>
            <w:r w:rsidRPr="00C258AD">
              <w:rPr>
                <w:sz w:val="16"/>
                <w:szCs w:val="16"/>
              </w:rPr>
              <w:t>Le Secrétariat s</w:t>
            </w:r>
            <w:r w:rsidR="00721905" w:rsidRPr="00C258AD">
              <w:rPr>
                <w:sz w:val="16"/>
                <w:szCs w:val="16"/>
              </w:rPr>
              <w:t>’</w:t>
            </w:r>
            <w:r w:rsidRPr="00C258AD">
              <w:rPr>
                <w:sz w:val="16"/>
                <w:szCs w:val="16"/>
              </w:rPr>
              <w:t>emploie, dans la mesure de ses ressources, à favoriser et créer un environnement propice aux négociations, par exemple en donnant des informations claires et objectives sur les questions examinées par l</w:t>
            </w:r>
            <w:r w:rsidR="00721905" w:rsidRPr="00C258AD">
              <w:rPr>
                <w:sz w:val="16"/>
                <w:szCs w:val="16"/>
              </w:rPr>
              <w:t>’</w:t>
            </w:r>
            <w:r w:rsidRPr="00C258AD">
              <w:rPr>
                <w:sz w:val="16"/>
                <w:szCs w:val="16"/>
              </w:rPr>
              <w:t>IGC, en fournissant un service de secrétariat neutre et efficace ainsi qu</w:t>
            </w:r>
            <w:r w:rsidR="00721905" w:rsidRPr="00C258AD">
              <w:rPr>
                <w:sz w:val="16"/>
                <w:szCs w:val="16"/>
              </w:rPr>
              <w:t>’</w:t>
            </w:r>
            <w:r w:rsidRPr="00C258AD">
              <w:rPr>
                <w:sz w:val="16"/>
                <w:szCs w:val="16"/>
              </w:rPr>
              <w:t>un appui neutre et efficace au président de l</w:t>
            </w:r>
            <w:r w:rsidR="00721905" w:rsidRPr="00C258AD">
              <w:rPr>
                <w:sz w:val="16"/>
                <w:szCs w:val="16"/>
              </w:rPr>
              <w:t>’</w:t>
            </w:r>
            <w:r w:rsidRPr="00C258AD">
              <w:rPr>
                <w:sz w:val="16"/>
                <w:szCs w:val="16"/>
              </w:rPr>
              <w:t>IGC.</w:t>
            </w:r>
          </w:p>
        </w:tc>
        <w:tc>
          <w:tcPr>
            <w:tcW w:w="2373" w:type="dxa"/>
            <w:tcBorders>
              <w:top w:val="single" w:sz="4" w:space="0" w:color="auto"/>
            </w:tcBorders>
          </w:tcPr>
          <w:p w:rsidR="00007D87" w:rsidRPr="00C258AD" w:rsidRDefault="00007D87" w:rsidP="0083763A">
            <w:pPr>
              <w:keepNext/>
              <w:keepLines/>
              <w:autoSpaceDE w:val="0"/>
              <w:autoSpaceDN w:val="0"/>
              <w:adjustRightInd w:val="0"/>
              <w:ind w:right="-59"/>
              <w:rPr>
                <w:bCs/>
                <w:spacing w:val="-2"/>
                <w:sz w:val="16"/>
                <w:szCs w:val="16"/>
              </w:rPr>
            </w:pPr>
            <w:r w:rsidRPr="00C258AD">
              <w:rPr>
                <w:bCs/>
                <w:spacing w:val="-2"/>
                <w:sz w:val="16"/>
                <w:szCs w:val="16"/>
              </w:rPr>
              <w:t>Au vu de l</w:t>
            </w:r>
            <w:r w:rsidR="00721905" w:rsidRPr="00C258AD">
              <w:rPr>
                <w:bCs/>
                <w:spacing w:val="-2"/>
                <w:sz w:val="16"/>
                <w:szCs w:val="16"/>
              </w:rPr>
              <w:t>’</w:t>
            </w:r>
            <w:r w:rsidRPr="00C258AD">
              <w:rPr>
                <w:bCs/>
                <w:spacing w:val="-2"/>
                <w:sz w:val="16"/>
                <w:szCs w:val="16"/>
              </w:rPr>
              <w:t>absence de décision par les États membres concernant un plan de travail pour</w:t>
            </w:r>
            <w:r w:rsidR="002C57EB" w:rsidRPr="00C258AD">
              <w:rPr>
                <w:bCs/>
                <w:spacing w:val="-2"/>
                <w:sz w:val="16"/>
                <w:szCs w:val="16"/>
              </w:rPr>
              <w:t> </w:t>
            </w:r>
            <w:r w:rsidRPr="00C258AD">
              <w:rPr>
                <w:bCs/>
                <w:spacing w:val="-2"/>
                <w:sz w:val="16"/>
                <w:szCs w:val="16"/>
              </w:rPr>
              <w:t>2015 et malgré le renouvellement du mandat de l</w:t>
            </w:r>
            <w:r w:rsidR="00721905" w:rsidRPr="00C258AD">
              <w:rPr>
                <w:bCs/>
                <w:spacing w:val="-2"/>
                <w:sz w:val="16"/>
                <w:szCs w:val="16"/>
              </w:rPr>
              <w:t>’</w:t>
            </w:r>
            <w:r w:rsidRPr="00C258AD">
              <w:rPr>
                <w:bCs/>
                <w:spacing w:val="-2"/>
                <w:sz w:val="16"/>
                <w:szCs w:val="16"/>
              </w:rPr>
              <w:t xml:space="preserve">IGC en </w:t>
            </w:r>
            <w:r w:rsidR="00721905" w:rsidRPr="00C258AD">
              <w:rPr>
                <w:bCs/>
                <w:spacing w:val="-2"/>
                <w:sz w:val="16"/>
                <w:szCs w:val="16"/>
              </w:rPr>
              <w:t>septembre 20</w:t>
            </w:r>
            <w:r w:rsidRPr="00C258AD">
              <w:rPr>
                <w:bCs/>
                <w:spacing w:val="-2"/>
                <w:sz w:val="16"/>
                <w:szCs w:val="16"/>
              </w:rPr>
              <w:t>15, le risque que les États membres ne parviennent pas à un accord sur un ou plusieurs instruments juridiques perdure également pour l</w:t>
            </w:r>
            <w:r w:rsidR="00721905" w:rsidRPr="00C258AD">
              <w:rPr>
                <w:bCs/>
                <w:spacing w:val="-2"/>
                <w:sz w:val="16"/>
                <w:szCs w:val="16"/>
              </w:rPr>
              <w:t>’</w:t>
            </w:r>
            <w:r w:rsidRPr="00C258AD">
              <w:rPr>
                <w:bCs/>
                <w:spacing w:val="-2"/>
                <w:sz w:val="16"/>
                <w:szCs w:val="16"/>
              </w:rPr>
              <w:t>exercice biennal suiva</w:t>
            </w:r>
            <w:r w:rsidR="0000169D" w:rsidRPr="00C258AD">
              <w:rPr>
                <w:bCs/>
                <w:spacing w:val="-2"/>
                <w:sz w:val="16"/>
                <w:szCs w:val="16"/>
              </w:rPr>
              <w:t>nt.  La</w:t>
            </w:r>
            <w:r w:rsidRPr="00C258AD">
              <w:rPr>
                <w:bCs/>
                <w:spacing w:val="-2"/>
                <w:sz w:val="16"/>
                <w:szCs w:val="16"/>
              </w:rPr>
              <w:t xml:space="preserve"> stratégie d</w:t>
            </w:r>
            <w:r w:rsidR="00721905" w:rsidRPr="00C258AD">
              <w:rPr>
                <w:bCs/>
                <w:spacing w:val="-2"/>
                <w:sz w:val="16"/>
                <w:szCs w:val="16"/>
              </w:rPr>
              <w:t>’</w:t>
            </w:r>
            <w:r w:rsidRPr="00C258AD">
              <w:rPr>
                <w:bCs/>
                <w:spacing w:val="-2"/>
                <w:sz w:val="16"/>
                <w:szCs w:val="16"/>
              </w:rPr>
              <w:t xml:space="preserve">atténuation restera aussi inchangée, </w:t>
            </w:r>
            <w:r w:rsidR="00721905" w:rsidRPr="00C258AD">
              <w:rPr>
                <w:bCs/>
                <w:spacing w:val="-2"/>
                <w:sz w:val="16"/>
                <w:szCs w:val="16"/>
              </w:rPr>
              <w:t>à savoir</w:t>
            </w:r>
            <w:r w:rsidRPr="00C258AD">
              <w:rPr>
                <w:bCs/>
                <w:spacing w:val="-2"/>
                <w:sz w:val="16"/>
                <w:szCs w:val="16"/>
              </w:rPr>
              <w:t>, fournir un appui neutre et efficace aux travaux de l</w:t>
            </w:r>
            <w:r w:rsidR="00721905" w:rsidRPr="00C258AD">
              <w:rPr>
                <w:bCs/>
                <w:spacing w:val="-2"/>
                <w:sz w:val="16"/>
                <w:szCs w:val="16"/>
              </w:rPr>
              <w:t>’</w:t>
            </w:r>
            <w:r w:rsidRPr="00C258AD">
              <w:rPr>
                <w:bCs/>
                <w:spacing w:val="-2"/>
                <w:sz w:val="16"/>
                <w:szCs w:val="16"/>
              </w:rPr>
              <w:t>IGC et notamment au président de l</w:t>
            </w:r>
            <w:r w:rsidR="00721905" w:rsidRPr="00C258AD">
              <w:rPr>
                <w:bCs/>
                <w:spacing w:val="-2"/>
                <w:sz w:val="16"/>
                <w:szCs w:val="16"/>
              </w:rPr>
              <w:t>’</w:t>
            </w:r>
            <w:r w:rsidRPr="00C258AD">
              <w:rPr>
                <w:bCs/>
                <w:spacing w:val="-2"/>
                <w:sz w:val="16"/>
                <w:szCs w:val="16"/>
              </w:rPr>
              <w:t>IGC.</w:t>
            </w:r>
          </w:p>
        </w:tc>
        <w:tc>
          <w:tcPr>
            <w:tcW w:w="2373" w:type="dxa"/>
            <w:tcBorders>
              <w:top w:val="single" w:sz="4" w:space="0" w:color="auto"/>
            </w:tcBorders>
          </w:tcPr>
          <w:p w:rsidR="00007D87" w:rsidRPr="00C258AD" w:rsidRDefault="00007D87" w:rsidP="0083763A">
            <w:pPr>
              <w:keepNext/>
              <w:keepLines/>
              <w:autoSpaceDE w:val="0"/>
              <w:autoSpaceDN w:val="0"/>
              <w:adjustRightInd w:val="0"/>
              <w:ind w:right="-59"/>
              <w:rPr>
                <w:bCs/>
                <w:sz w:val="16"/>
                <w:szCs w:val="16"/>
              </w:rPr>
            </w:pPr>
            <w:r w:rsidRPr="00C258AD">
              <w:rPr>
                <w:bCs/>
                <w:sz w:val="16"/>
                <w:szCs w:val="16"/>
              </w:rPr>
              <w:t>L</w:t>
            </w:r>
            <w:r w:rsidR="00721905" w:rsidRPr="00C258AD">
              <w:rPr>
                <w:bCs/>
                <w:sz w:val="16"/>
                <w:szCs w:val="16"/>
              </w:rPr>
              <w:t>’</w:t>
            </w:r>
            <w:r w:rsidRPr="00C258AD">
              <w:rPr>
                <w:bCs/>
                <w:sz w:val="16"/>
                <w:szCs w:val="16"/>
              </w:rPr>
              <w:t>évolution du risque a eu une incidence directe sur la conclusion d</w:t>
            </w:r>
            <w:r w:rsidR="00721905" w:rsidRPr="00C258AD">
              <w:rPr>
                <w:bCs/>
                <w:sz w:val="16"/>
                <w:szCs w:val="16"/>
              </w:rPr>
              <w:t>’</w:t>
            </w:r>
            <w:r w:rsidRPr="00C258AD">
              <w:rPr>
                <w:bCs/>
                <w:sz w:val="16"/>
                <w:szCs w:val="16"/>
              </w:rPr>
              <w:t>un accord sur un ou plusieurs instruments juridiques internationaux par les États membres.</w:t>
            </w:r>
          </w:p>
        </w:tc>
      </w:tr>
      <w:tr w:rsidR="00007D87" w:rsidRPr="00C258AD" w:rsidTr="004A0BE0">
        <w:tblPrEx>
          <w:tblBorders>
            <w:top w:val="single" w:sz="4" w:space="0" w:color="auto"/>
            <w:left w:val="single" w:sz="4" w:space="0" w:color="auto"/>
            <w:bottom w:val="single" w:sz="4" w:space="0" w:color="auto"/>
            <w:right w:val="single" w:sz="4" w:space="0" w:color="auto"/>
          </w:tblBorders>
        </w:tblPrEx>
        <w:trPr>
          <w:cantSplit/>
        </w:trPr>
        <w:tc>
          <w:tcPr>
            <w:tcW w:w="2372" w:type="dxa"/>
            <w:shd w:val="clear" w:color="auto" w:fill="auto"/>
            <w:tcMar>
              <w:top w:w="113" w:type="dxa"/>
            </w:tcMar>
          </w:tcPr>
          <w:p w:rsidR="00007D87" w:rsidRPr="00C258AD" w:rsidRDefault="00007D87" w:rsidP="0083763A">
            <w:pPr>
              <w:autoSpaceDE w:val="0"/>
              <w:autoSpaceDN w:val="0"/>
              <w:adjustRightInd w:val="0"/>
              <w:ind w:right="-59"/>
              <w:rPr>
                <w:bCs/>
                <w:sz w:val="16"/>
                <w:szCs w:val="16"/>
              </w:rPr>
            </w:pPr>
            <w:r w:rsidRPr="00C258AD">
              <w:rPr>
                <w:bCs/>
                <w:sz w:val="16"/>
                <w:szCs w:val="16"/>
              </w:rPr>
              <w:t>Perte de pertinence de l</w:t>
            </w:r>
            <w:r w:rsidR="00721905" w:rsidRPr="00C258AD">
              <w:rPr>
                <w:bCs/>
                <w:sz w:val="16"/>
                <w:szCs w:val="16"/>
              </w:rPr>
              <w:t>’</w:t>
            </w:r>
            <w:r w:rsidRPr="00C258AD">
              <w:rPr>
                <w:bCs/>
                <w:sz w:val="16"/>
                <w:szCs w:val="16"/>
              </w:rPr>
              <w:t>IGC si les États membres font passer les questions de propriété intellectuelle relatives aux savoirs traditionnels, aux expressions culturelles traditionnelles et aux ressources génétiques au second plan ou estiment que d</w:t>
            </w:r>
            <w:r w:rsidR="00721905" w:rsidRPr="00C258AD">
              <w:rPr>
                <w:bCs/>
                <w:sz w:val="16"/>
                <w:szCs w:val="16"/>
              </w:rPr>
              <w:t>’</w:t>
            </w:r>
            <w:r w:rsidRPr="00C258AD">
              <w:rPr>
                <w:bCs/>
                <w:sz w:val="16"/>
                <w:szCs w:val="16"/>
              </w:rPr>
              <w:t>autres instances sont plus susceptibles de produire les résultats escomptés.</w:t>
            </w:r>
          </w:p>
        </w:tc>
        <w:tc>
          <w:tcPr>
            <w:tcW w:w="2373" w:type="dxa"/>
            <w:shd w:val="clear" w:color="auto" w:fill="auto"/>
            <w:tcMar>
              <w:top w:w="113" w:type="dxa"/>
            </w:tcMar>
          </w:tcPr>
          <w:p w:rsidR="00007D87" w:rsidRPr="00C258AD" w:rsidRDefault="00007D87" w:rsidP="0083763A">
            <w:pPr>
              <w:keepNext/>
              <w:keepLines/>
              <w:autoSpaceDE w:val="0"/>
              <w:autoSpaceDN w:val="0"/>
              <w:adjustRightInd w:val="0"/>
              <w:ind w:right="-59"/>
              <w:rPr>
                <w:bCs/>
                <w:sz w:val="16"/>
                <w:szCs w:val="16"/>
              </w:rPr>
            </w:pPr>
            <w:r w:rsidRPr="00C258AD">
              <w:rPr>
                <w:bCs/>
                <w:sz w:val="16"/>
                <w:szCs w:val="16"/>
              </w:rPr>
              <w:t>Le Secrétariat sensibilise à l</w:t>
            </w:r>
            <w:r w:rsidR="00721905" w:rsidRPr="00C258AD">
              <w:rPr>
                <w:bCs/>
                <w:sz w:val="16"/>
                <w:szCs w:val="16"/>
              </w:rPr>
              <w:t>’</w:t>
            </w:r>
            <w:r w:rsidRPr="00C258AD">
              <w:rPr>
                <w:bCs/>
                <w:sz w:val="16"/>
                <w:szCs w:val="16"/>
              </w:rPr>
              <w:t>importance des questions relatives aux savoirs traditionnels, aux expressions culturelles traditionnelles et aux ressources génétiques pour la politique en matière de propriété intellectuelle.  Le Secrétariat suit de très près les négociations se déroulant dans d</w:t>
            </w:r>
            <w:r w:rsidR="00721905" w:rsidRPr="00C258AD">
              <w:rPr>
                <w:bCs/>
                <w:sz w:val="16"/>
                <w:szCs w:val="16"/>
              </w:rPr>
              <w:t>’</w:t>
            </w:r>
            <w:r w:rsidRPr="00C258AD">
              <w:rPr>
                <w:bCs/>
                <w:sz w:val="16"/>
                <w:szCs w:val="16"/>
              </w:rPr>
              <w:t>autres instances, afin de pouvoir fournir des informations neutres sur l</w:t>
            </w:r>
            <w:r w:rsidR="00721905" w:rsidRPr="00C258AD">
              <w:rPr>
                <w:bCs/>
                <w:sz w:val="16"/>
                <w:szCs w:val="16"/>
              </w:rPr>
              <w:t>’</w:t>
            </w:r>
            <w:r w:rsidRPr="00C258AD">
              <w:rPr>
                <w:bCs/>
                <w:sz w:val="16"/>
                <w:szCs w:val="16"/>
              </w:rPr>
              <w:t>IGC aux États membres dans ces autres instances, et agit en coordination avec les autres secrétariats pour éviter les chevauchements d</w:t>
            </w:r>
            <w:r w:rsidR="00721905" w:rsidRPr="00C258AD">
              <w:rPr>
                <w:bCs/>
                <w:sz w:val="16"/>
                <w:szCs w:val="16"/>
              </w:rPr>
              <w:t>’</w:t>
            </w:r>
            <w:r w:rsidRPr="00C258AD">
              <w:rPr>
                <w:bCs/>
                <w:sz w:val="16"/>
                <w:szCs w:val="16"/>
              </w:rPr>
              <w:t>activités entre eux qui pourraient faire naître la confusion dans l</w:t>
            </w:r>
            <w:r w:rsidR="00721905" w:rsidRPr="00C258AD">
              <w:rPr>
                <w:bCs/>
                <w:sz w:val="16"/>
                <w:szCs w:val="16"/>
              </w:rPr>
              <w:t>’</w:t>
            </w:r>
            <w:r w:rsidRPr="00C258AD">
              <w:rPr>
                <w:bCs/>
                <w:sz w:val="16"/>
                <w:szCs w:val="16"/>
              </w:rPr>
              <w:t>esprit des États membres.</w:t>
            </w:r>
          </w:p>
        </w:tc>
        <w:tc>
          <w:tcPr>
            <w:tcW w:w="2373" w:type="dxa"/>
          </w:tcPr>
          <w:p w:rsidR="00007D87" w:rsidRPr="00C258AD" w:rsidRDefault="00007D87" w:rsidP="0083763A">
            <w:pPr>
              <w:keepNext/>
              <w:keepLines/>
              <w:autoSpaceDE w:val="0"/>
              <w:autoSpaceDN w:val="0"/>
              <w:adjustRightInd w:val="0"/>
              <w:ind w:right="-59"/>
              <w:rPr>
                <w:sz w:val="16"/>
                <w:szCs w:val="16"/>
              </w:rPr>
            </w:pPr>
            <w:r w:rsidRPr="00C258AD">
              <w:rPr>
                <w:sz w:val="16"/>
                <w:szCs w:val="16"/>
              </w:rPr>
              <w:t>Au cours de la session 2015 de l</w:t>
            </w:r>
            <w:r w:rsidR="00721905" w:rsidRPr="00C258AD">
              <w:rPr>
                <w:sz w:val="16"/>
                <w:szCs w:val="16"/>
              </w:rPr>
              <w:t>’</w:t>
            </w:r>
            <w:r w:rsidRPr="00C258AD">
              <w:rPr>
                <w:sz w:val="16"/>
                <w:szCs w:val="16"/>
              </w:rPr>
              <w:t>Assemblée générale, les travaux de l</w:t>
            </w:r>
            <w:r w:rsidR="00721905" w:rsidRPr="00C258AD">
              <w:rPr>
                <w:sz w:val="16"/>
                <w:szCs w:val="16"/>
              </w:rPr>
              <w:t>’</w:t>
            </w:r>
            <w:r w:rsidRPr="00C258AD">
              <w:rPr>
                <w:sz w:val="16"/>
                <w:szCs w:val="16"/>
              </w:rPr>
              <w:t>IGC et le programme 4 dans son ensemble ont bénéficié d</w:t>
            </w:r>
            <w:r w:rsidR="00721905" w:rsidRPr="00C258AD">
              <w:rPr>
                <w:sz w:val="16"/>
                <w:szCs w:val="16"/>
              </w:rPr>
              <w:t>’</w:t>
            </w:r>
            <w:r w:rsidRPr="00C258AD">
              <w:rPr>
                <w:sz w:val="16"/>
                <w:szCs w:val="16"/>
              </w:rPr>
              <w:t>un appui considérable de la part des États membres, malgré la suspension des activités de l</w:t>
            </w:r>
            <w:r w:rsidR="00721905" w:rsidRPr="00C258AD">
              <w:rPr>
                <w:sz w:val="16"/>
                <w:szCs w:val="16"/>
              </w:rPr>
              <w:t>’</w:t>
            </w:r>
            <w:r w:rsidRPr="00C258AD">
              <w:rPr>
                <w:sz w:val="16"/>
                <w:szCs w:val="16"/>
              </w:rPr>
              <w:t>IGC en</w:t>
            </w:r>
            <w:r w:rsidR="002C57EB" w:rsidRPr="00C258AD">
              <w:rPr>
                <w:sz w:val="16"/>
                <w:szCs w:val="16"/>
              </w:rPr>
              <w:t> </w:t>
            </w:r>
            <w:r w:rsidRPr="00C258AD">
              <w:rPr>
                <w:sz w:val="16"/>
                <w:szCs w:val="16"/>
              </w:rPr>
              <w:t>2015.  Conjugué au renouvellement du mandat de l</w:t>
            </w:r>
            <w:r w:rsidR="00721905" w:rsidRPr="00C258AD">
              <w:rPr>
                <w:sz w:val="16"/>
                <w:szCs w:val="16"/>
              </w:rPr>
              <w:t>’</w:t>
            </w:r>
            <w:r w:rsidRPr="00C258AD">
              <w:rPr>
                <w:sz w:val="16"/>
                <w:szCs w:val="16"/>
              </w:rPr>
              <w:t>IGC, un tel appui laisse supposer que le risque de la perte de pertinence se trouve quelque peu dimin</w:t>
            </w:r>
            <w:r w:rsidR="0000169D" w:rsidRPr="00C258AD">
              <w:rPr>
                <w:sz w:val="16"/>
                <w:szCs w:val="16"/>
              </w:rPr>
              <w:t>ué.  Le</w:t>
            </w:r>
            <w:r w:rsidRPr="00C258AD">
              <w:rPr>
                <w:sz w:val="16"/>
                <w:szCs w:val="16"/>
              </w:rPr>
              <w:t xml:space="preserve"> Secrétariat a continué de souligner la pertinence et l</w:t>
            </w:r>
            <w:r w:rsidR="00721905" w:rsidRPr="00C258AD">
              <w:rPr>
                <w:sz w:val="16"/>
                <w:szCs w:val="16"/>
              </w:rPr>
              <w:t>’</w:t>
            </w:r>
            <w:r w:rsidRPr="00C258AD">
              <w:rPr>
                <w:sz w:val="16"/>
                <w:szCs w:val="16"/>
              </w:rPr>
              <w:t>importance des questions relatives aux ressources génétiques, aux savoirs traditionnels et aux expressions culturelles traditionnelles pour l</w:t>
            </w:r>
            <w:r w:rsidR="00721905" w:rsidRPr="00C258AD">
              <w:rPr>
                <w:sz w:val="16"/>
                <w:szCs w:val="16"/>
              </w:rPr>
              <w:t>’</w:t>
            </w:r>
            <w:r w:rsidRPr="00C258AD">
              <w:rPr>
                <w:sz w:val="16"/>
                <w:szCs w:val="16"/>
              </w:rPr>
              <w:t>élaboration de politiques de propriété intellectuelle.</w:t>
            </w:r>
          </w:p>
        </w:tc>
        <w:tc>
          <w:tcPr>
            <w:tcW w:w="2373" w:type="dxa"/>
          </w:tcPr>
          <w:p w:rsidR="00007D87" w:rsidRPr="00C258AD" w:rsidRDefault="00007D87" w:rsidP="0083763A">
            <w:pPr>
              <w:keepNext/>
              <w:keepLines/>
              <w:autoSpaceDE w:val="0"/>
              <w:autoSpaceDN w:val="0"/>
              <w:adjustRightInd w:val="0"/>
              <w:ind w:right="-59"/>
              <w:rPr>
                <w:sz w:val="16"/>
                <w:szCs w:val="16"/>
              </w:rPr>
            </w:pPr>
            <w:r w:rsidRPr="00C258AD">
              <w:rPr>
                <w:sz w:val="16"/>
                <w:szCs w:val="16"/>
              </w:rPr>
              <w:t>L</w:t>
            </w:r>
            <w:r w:rsidR="00721905" w:rsidRPr="00C258AD">
              <w:rPr>
                <w:sz w:val="16"/>
                <w:szCs w:val="16"/>
              </w:rPr>
              <w:t>’</w:t>
            </w:r>
            <w:r w:rsidRPr="00C258AD">
              <w:rPr>
                <w:sz w:val="16"/>
                <w:szCs w:val="16"/>
              </w:rPr>
              <w:t>évolution du risque n</w:t>
            </w:r>
            <w:r w:rsidR="00721905" w:rsidRPr="00C258AD">
              <w:rPr>
                <w:sz w:val="16"/>
                <w:szCs w:val="16"/>
              </w:rPr>
              <w:t>’</w:t>
            </w:r>
            <w:r w:rsidRPr="00C258AD">
              <w:rPr>
                <w:sz w:val="16"/>
                <w:szCs w:val="16"/>
              </w:rPr>
              <w:t>a pas eu une incidence appréciable sur les résultats du programme</w:t>
            </w:r>
            <w:r w:rsidRPr="00C258AD">
              <w:rPr>
                <w:bCs/>
                <w:sz w:val="16"/>
                <w:szCs w:val="16"/>
              </w:rPr>
              <w:t xml:space="preserve">.  </w:t>
            </w:r>
          </w:p>
        </w:tc>
      </w:tr>
    </w:tbl>
    <w:p w:rsidR="006E2BB1" w:rsidRPr="00C258AD" w:rsidRDefault="00BE27AB" w:rsidP="00305CE5">
      <w:pPr>
        <w:keepNext/>
        <w:rPr>
          <w:rFonts w:cs="Arial"/>
          <w:caps/>
          <w:sz w:val="22"/>
          <w:szCs w:val="22"/>
        </w:rPr>
      </w:pPr>
      <w:r w:rsidRPr="00C258AD">
        <w:rPr>
          <w:rFonts w:cs="Arial"/>
          <w:caps/>
          <w:sz w:val="22"/>
          <w:szCs w:val="22"/>
        </w:rPr>
        <w:lastRenderedPageBreak/>
        <w:t>Utilisation des ressources</w:t>
      </w:r>
    </w:p>
    <w:p w:rsidR="006E2BB1" w:rsidRPr="00C258AD" w:rsidRDefault="006E2BB1" w:rsidP="00BE27AB">
      <w:pPr>
        <w:rPr>
          <w:sz w:val="18"/>
        </w:rPr>
      </w:pPr>
    </w:p>
    <w:p w:rsidR="006E2BB1" w:rsidRPr="00C258AD" w:rsidRDefault="00007D87" w:rsidP="00007D87">
      <w:pPr>
        <w:pStyle w:val="NormalWeb"/>
        <w:keepNext/>
        <w:spacing w:before="0" w:beforeAutospacing="0" w:after="0" w:afterAutospacing="0"/>
        <w:jc w:val="center"/>
        <w:rPr>
          <w:sz w:val="20"/>
          <w:szCs w:val="20"/>
        </w:rPr>
      </w:pPr>
      <w:r w:rsidRPr="00C258AD">
        <w:rPr>
          <w:sz w:val="20"/>
          <w:szCs w:val="20"/>
        </w:rPr>
        <w:t>Budget et dépenses effectives (par résultat)</w:t>
      </w:r>
    </w:p>
    <w:p w:rsidR="006E2BB1" w:rsidRPr="00C258AD" w:rsidRDefault="00007D87" w:rsidP="00007D87">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007D87" w:rsidRPr="00C258AD" w:rsidRDefault="00007D87" w:rsidP="00007D87">
      <w:pPr>
        <w:keepNext/>
        <w:jc w:val="both"/>
        <w:rPr>
          <w:sz w:val="18"/>
        </w:rPr>
      </w:pPr>
    </w:p>
    <w:tbl>
      <w:tblPr>
        <w:tblW w:w="5000" w:type="pct"/>
        <w:tblCellMar>
          <w:top w:w="113" w:type="dxa"/>
          <w:left w:w="70" w:type="dxa"/>
          <w:bottom w:w="113" w:type="dxa"/>
          <w:right w:w="70" w:type="dxa"/>
        </w:tblCellMar>
        <w:tblLook w:val="04A0" w:firstRow="1" w:lastRow="0" w:firstColumn="1" w:lastColumn="0" w:noHBand="0" w:noVBand="1"/>
      </w:tblPr>
      <w:tblGrid>
        <w:gridCol w:w="614"/>
        <w:gridCol w:w="4615"/>
        <w:gridCol w:w="1422"/>
        <w:gridCol w:w="1422"/>
        <w:gridCol w:w="1422"/>
      </w:tblGrid>
      <w:tr w:rsidR="00007D87" w:rsidRPr="00C258AD" w:rsidTr="004A0BE0">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007D87" w:rsidRPr="00C258AD" w:rsidRDefault="00007D87" w:rsidP="0083763A">
            <w:pPr>
              <w:jc w:val="center"/>
              <w:rPr>
                <w:i/>
                <w:iCs/>
                <w:sz w:val="16"/>
                <w:szCs w:val="16"/>
                <w:lang w:eastAsia="fr-FR"/>
              </w:rPr>
            </w:pPr>
            <w:r w:rsidRPr="00C258AD">
              <w:rPr>
                <w:i/>
                <w:iCs/>
                <w:sz w:val="16"/>
                <w:szCs w:val="16"/>
                <w:lang w:eastAsia="fr-FR"/>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007D87" w:rsidRPr="00C258AD" w:rsidRDefault="00007D87" w:rsidP="0083763A">
            <w:pPr>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0000169D" w:rsidRPr="00C258AD">
              <w:rPr>
                <w:i/>
                <w:iCs/>
                <w:sz w:val="16"/>
                <w:szCs w:val="16"/>
                <w:lang w:eastAsia="fr-FR"/>
              </w:rPr>
              <w:noBreakHyphen/>
            </w:r>
            <w:r w:rsidRPr="00C258AD">
              <w:rPr>
                <w:i/>
                <w:iCs/>
                <w:sz w:val="16"/>
                <w:szCs w:val="16"/>
                <w:lang w:eastAsia="fr-FR"/>
              </w:rPr>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007D87" w:rsidRPr="00C258AD" w:rsidRDefault="00007D87" w:rsidP="0083763A">
            <w:pPr>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0000169D" w:rsidRPr="00C258AD">
              <w:rPr>
                <w:i/>
                <w:iCs/>
                <w:sz w:val="16"/>
                <w:szCs w:val="16"/>
                <w:lang w:eastAsia="fr-FR"/>
              </w:rPr>
              <w:noBreakHyphen/>
            </w:r>
            <w:r w:rsidRPr="00C258AD">
              <w:rPr>
                <w:i/>
                <w:iCs/>
                <w:sz w:val="16"/>
                <w:szCs w:val="16"/>
                <w:lang w:eastAsia="fr-FR"/>
              </w:rPr>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007D87" w:rsidRPr="00C258AD" w:rsidRDefault="00007D87" w:rsidP="0083763A">
            <w:pPr>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0000169D" w:rsidRPr="00C258AD">
              <w:rPr>
                <w:i/>
                <w:iCs/>
                <w:sz w:val="16"/>
                <w:szCs w:val="16"/>
                <w:lang w:eastAsia="fr-FR"/>
              </w:rPr>
              <w:noBreakHyphen/>
            </w:r>
            <w:r w:rsidRPr="00C258AD">
              <w:rPr>
                <w:i/>
                <w:iCs/>
                <w:sz w:val="16"/>
                <w:szCs w:val="16"/>
                <w:lang w:eastAsia="fr-FR"/>
              </w:rPr>
              <w:t>2015</w:t>
            </w:r>
          </w:p>
        </w:tc>
      </w:tr>
      <w:tr w:rsidR="00007D87" w:rsidRPr="00C258AD" w:rsidTr="004A0BE0">
        <w:trPr>
          <w:cantSplit/>
        </w:trPr>
        <w:tc>
          <w:tcPr>
            <w:tcW w:w="587" w:type="dxa"/>
            <w:tcBorders>
              <w:top w:val="nil"/>
              <w:left w:val="single" w:sz="4" w:space="0" w:color="auto"/>
              <w:bottom w:val="nil"/>
              <w:right w:val="nil"/>
            </w:tcBorders>
            <w:shd w:val="clear" w:color="auto" w:fill="auto"/>
            <w:noWrap/>
            <w:vAlign w:val="center"/>
            <w:hideMark/>
          </w:tcPr>
          <w:p w:rsidR="00007D87" w:rsidRPr="00C258AD" w:rsidRDefault="00007D87" w:rsidP="0083763A">
            <w:pPr>
              <w:rPr>
                <w:sz w:val="16"/>
                <w:szCs w:val="16"/>
                <w:lang w:eastAsia="fr-FR"/>
              </w:rPr>
            </w:pPr>
            <w:r w:rsidRPr="00C258AD">
              <w:rPr>
                <w:sz w:val="16"/>
                <w:szCs w:val="16"/>
                <w:lang w:eastAsia="fr-FR"/>
              </w:rPr>
              <w:t>I.1</w:t>
            </w:r>
          </w:p>
        </w:tc>
        <w:tc>
          <w:tcPr>
            <w:tcW w:w="4413" w:type="dxa"/>
            <w:tcBorders>
              <w:top w:val="nil"/>
              <w:left w:val="nil"/>
              <w:bottom w:val="nil"/>
              <w:right w:val="nil"/>
            </w:tcBorders>
            <w:shd w:val="clear" w:color="auto" w:fill="auto"/>
            <w:vAlign w:val="center"/>
            <w:hideMark/>
          </w:tcPr>
          <w:p w:rsidR="00007D87" w:rsidRPr="00C258AD" w:rsidRDefault="00007D87" w:rsidP="0083763A">
            <w:pPr>
              <w:rPr>
                <w:sz w:val="16"/>
                <w:szCs w:val="16"/>
                <w:lang w:eastAsia="fr-FR"/>
              </w:rPr>
            </w:pPr>
            <w:r w:rsidRPr="00C258AD">
              <w:rPr>
                <w:sz w:val="16"/>
                <w:szCs w:val="16"/>
                <w:lang w:eastAsia="fr-FR"/>
              </w:rPr>
              <w:t>Renforcement de la coopération entre les États membres en ce qui concerne l</w:t>
            </w:r>
            <w:r w:rsidR="00721905" w:rsidRPr="00C258AD">
              <w:rPr>
                <w:sz w:val="16"/>
                <w:szCs w:val="16"/>
                <w:lang w:eastAsia="fr-FR"/>
              </w:rPr>
              <w:t>’</w:t>
            </w:r>
            <w:r w:rsidRPr="00C258AD">
              <w:rPr>
                <w:sz w:val="16"/>
                <w:szCs w:val="16"/>
                <w:lang w:eastAsia="fr-FR"/>
              </w:rPr>
              <w:t>élaboration de cadres normatifs internationaux équilibrés dans le domaine de la propriété intellectuelle et d</w:t>
            </w:r>
            <w:r w:rsidR="00721905" w:rsidRPr="00C258AD">
              <w:rPr>
                <w:sz w:val="16"/>
                <w:szCs w:val="16"/>
                <w:lang w:eastAsia="fr-FR"/>
              </w:rPr>
              <w:t>’</w:t>
            </w:r>
            <w:r w:rsidRPr="00C258AD">
              <w:rPr>
                <w:sz w:val="16"/>
                <w:szCs w:val="16"/>
                <w:lang w:eastAsia="fr-FR"/>
              </w:rPr>
              <w:t xml:space="preserve">un accord sur des questions concrètes donnant lieu à des instruments internationaux </w:t>
            </w:r>
          </w:p>
        </w:tc>
        <w:tc>
          <w:tcPr>
            <w:tcW w:w="1360" w:type="dxa"/>
            <w:tcBorders>
              <w:top w:val="nil"/>
              <w:left w:val="nil"/>
              <w:bottom w:val="nil"/>
              <w:right w:val="nil"/>
            </w:tcBorders>
            <w:shd w:val="clear" w:color="auto" w:fill="auto"/>
            <w:vAlign w:val="center"/>
            <w:hideMark/>
          </w:tcPr>
          <w:p w:rsidR="00007D87" w:rsidRPr="00C258AD" w:rsidRDefault="00007D87" w:rsidP="0083763A">
            <w:pPr>
              <w:jc w:val="right"/>
              <w:rPr>
                <w:sz w:val="16"/>
                <w:szCs w:val="16"/>
                <w:lang w:eastAsia="fr-FR"/>
              </w:rPr>
            </w:pPr>
            <w:r w:rsidRPr="00C258AD">
              <w:rPr>
                <w:sz w:val="16"/>
                <w:szCs w:val="16"/>
                <w:lang w:eastAsia="fr-FR"/>
              </w:rPr>
              <w:t>5 725</w:t>
            </w:r>
          </w:p>
        </w:tc>
        <w:tc>
          <w:tcPr>
            <w:tcW w:w="1360" w:type="dxa"/>
            <w:tcBorders>
              <w:top w:val="nil"/>
              <w:left w:val="nil"/>
              <w:bottom w:val="nil"/>
              <w:right w:val="nil"/>
            </w:tcBorders>
            <w:shd w:val="clear" w:color="auto" w:fill="auto"/>
            <w:vAlign w:val="center"/>
            <w:hideMark/>
          </w:tcPr>
          <w:p w:rsidR="00007D87" w:rsidRPr="00C258AD" w:rsidRDefault="00007D87" w:rsidP="0083763A">
            <w:pPr>
              <w:jc w:val="right"/>
              <w:rPr>
                <w:sz w:val="16"/>
                <w:szCs w:val="16"/>
                <w:lang w:eastAsia="fr-FR"/>
              </w:rPr>
            </w:pPr>
            <w:r w:rsidRPr="00C258AD">
              <w:rPr>
                <w:sz w:val="16"/>
                <w:szCs w:val="16"/>
                <w:lang w:eastAsia="fr-FR"/>
              </w:rPr>
              <w:t>4 187</w:t>
            </w:r>
          </w:p>
        </w:tc>
        <w:tc>
          <w:tcPr>
            <w:tcW w:w="1360" w:type="dxa"/>
            <w:tcBorders>
              <w:top w:val="nil"/>
              <w:left w:val="nil"/>
              <w:bottom w:val="nil"/>
              <w:right w:val="single" w:sz="4" w:space="0" w:color="auto"/>
            </w:tcBorders>
            <w:shd w:val="clear" w:color="auto" w:fill="auto"/>
            <w:vAlign w:val="center"/>
            <w:hideMark/>
          </w:tcPr>
          <w:p w:rsidR="00007D87" w:rsidRPr="00C258AD" w:rsidRDefault="00007D87" w:rsidP="0083763A">
            <w:pPr>
              <w:jc w:val="right"/>
              <w:rPr>
                <w:sz w:val="16"/>
                <w:szCs w:val="16"/>
                <w:lang w:eastAsia="fr-FR"/>
              </w:rPr>
            </w:pPr>
            <w:r w:rsidRPr="00C258AD">
              <w:rPr>
                <w:sz w:val="16"/>
                <w:szCs w:val="16"/>
                <w:lang w:eastAsia="fr-FR"/>
              </w:rPr>
              <w:t>3 519</w:t>
            </w:r>
          </w:p>
        </w:tc>
      </w:tr>
      <w:tr w:rsidR="00007D87" w:rsidRPr="00C258AD" w:rsidTr="004A0BE0">
        <w:trPr>
          <w:cantSplit/>
        </w:trPr>
        <w:tc>
          <w:tcPr>
            <w:tcW w:w="587" w:type="dxa"/>
            <w:tcBorders>
              <w:top w:val="nil"/>
              <w:left w:val="single" w:sz="4" w:space="0" w:color="auto"/>
              <w:bottom w:val="nil"/>
              <w:right w:val="nil"/>
            </w:tcBorders>
            <w:shd w:val="clear" w:color="auto" w:fill="auto"/>
            <w:noWrap/>
            <w:vAlign w:val="center"/>
            <w:hideMark/>
          </w:tcPr>
          <w:p w:rsidR="00007D87" w:rsidRPr="00C258AD" w:rsidRDefault="00007D87" w:rsidP="0083763A">
            <w:pPr>
              <w:rPr>
                <w:sz w:val="16"/>
                <w:szCs w:val="16"/>
                <w:lang w:eastAsia="fr-FR"/>
              </w:rPr>
            </w:pPr>
            <w:r w:rsidRPr="00C258AD">
              <w:rPr>
                <w:sz w:val="16"/>
                <w:szCs w:val="16"/>
                <w:lang w:eastAsia="fr-FR"/>
              </w:rPr>
              <w:t>III.2</w:t>
            </w:r>
          </w:p>
        </w:tc>
        <w:tc>
          <w:tcPr>
            <w:tcW w:w="4413" w:type="dxa"/>
            <w:tcBorders>
              <w:top w:val="nil"/>
              <w:left w:val="nil"/>
              <w:bottom w:val="nil"/>
              <w:right w:val="nil"/>
            </w:tcBorders>
            <w:shd w:val="clear" w:color="auto" w:fill="auto"/>
            <w:vAlign w:val="center"/>
            <w:hideMark/>
          </w:tcPr>
          <w:p w:rsidR="00007D87" w:rsidRPr="00C258AD" w:rsidRDefault="00007D87" w:rsidP="0083763A">
            <w:pPr>
              <w:rPr>
                <w:sz w:val="16"/>
                <w:szCs w:val="16"/>
                <w:lang w:eastAsia="fr-FR"/>
              </w:rPr>
            </w:pPr>
            <w:r w:rsidRPr="00C258AD">
              <w:rPr>
                <w:sz w:val="16"/>
                <w:szCs w:val="16"/>
                <w:lang w:eastAsia="fr-FR"/>
              </w:rPr>
              <w:t>Renforcement des capacités en matière de ressources humaines pour pouvoir répondre aux nombreuses exigences en ce qui concerne l</w:t>
            </w:r>
            <w:r w:rsidR="00721905" w:rsidRPr="00C258AD">
              <w:rPr>
                <w:sz w:val="16"/>
                <w:szCs w:val="16"/>
                <w:lang w:eastAsia="fr-FR"/>
              </w:rPr>
              <w:t>’</w:t>
            </w:r>
            <w:r w:rsidRPr="00C258AD">
              <w:rPr>
                <w:sz w:val="16"/>
                <w:szCs w:val="16"/>
                <w:lang w:eastAsia="fr-FR"/>
              </w:rPr>
              <w:t>utilisation efficace de la propriété intellectuelle au service du développement dans les pays en développement,</w:t>
            </w:r>
            <w:r w:rsidR="00721905" w:rsidRPr="00C258AD">
              <w:rPr>
                <w:sz w:val="16"/>
                <w:szCs w:val="16"/>
                <w:lang w:eastAsia="fr-FR"/>
              </w:rPr>
              <w:t xml:space="preserve"> les PMA</w:t>
            </w:r>
            <w:r w:rsidRPr="00C258AD">
              <w:rPr>
                <w:sz w:val="16"/>
                <w:szCs w:val="16"/>
                <w:lang w:eastAsia="fr-FR"/>
              </w:rPr>
              <w:t xml:space="preserve"> et les pays en transition</w:t>
            </w:r>
          </w:p>
        </w:tc>
        <w:tc>
          <w:tcPr>
            <w:tcW w:w="1360" w:type="dxa"/>
            <w:tcBorders>
              <w:top w:val="nil"/>
              <w:left w:val="nil"/>
              <w:bottom w:val="nil"/>
              <w:right w:val="nil"/>
            </w:tcBorders>
            <w:shd w:val="clear" w:color="auto" w:fill="auto"/>
            <w:vAlign w:val="center"/>
            <w:hideMark/>
          </w:tcPr>
          <w:p w:rsidR="00007D87" w:rsidRPr="00C258AD" w:rsidRDefault="00007D87" w:rsidP="0083763A">
            <w:pPr>
              <w:jc w:val="right"/>
              <w:rPr>
                <w:sz w:val="16"/>
                <w:szCs w:val="16"/>
                <w:lang w:eastAsia="fr-FR"/>
              </w:rPr>
            </w:pPr>
            <w:r w:rsidRPr="00C258AD">
              <w:rPr>
                <w:sz w:val="16"/>
                <w:szCs w:val="16"/>
                <w:lang w:eastAsia="fr-FR"/>
              </w:rPr>
              <w:t>2 139</w:t>
            </w:r>
          </w:p>
        </w:tc>
        <w:tc>
          <w:tcPr>
            <w:tcW w:w="1360" w:type="dxa"/>
            <w:tcBorders>
              <w:top w:val="nil"/>
              <w:left w:val="nil"/>
              <w:bottom w:val="nil"/>
              <w:right w:val="nil"/>
            </w:tcBorders>
            <w:shd w:val="clear" w:color="auto" w:fill="auto"/>
            <w:vAlign w:val="center"/>
            <w:hideMark/>
          </w:tcPr>
          <w:p w:rsidR="00007D87" w:rsidRPr="00C258AD" w:rsidRDefault="00007D87" w:rsidP="0083763A">
            <w:pPr>
              <w:jc w:val="right"/>
              <w:rPr>
                <w:sz w:val="16"/>
                <w:szCs w:val="16"/>
                <w:lang w:eastAsia="fr-FR"/>
              </w:rPr>
            </w:pPr>
            <w:r w:rsidRPr="00C258AD">
              <w:rPr>
                <w:sz w:val="16"/>
                <w:szCs w:val="16"/>
                <w:lang w:eastAsia="fr-FR"/>
              </w:rPr>
              <w:t>2 061</w:t>
            </w:r>
          </w:p>
        </w:tc>
        <w:tc>
          <w:tcPr>
            <w:tcW w:w="1360" w:type="dxa"/>
            <w:tcBorders>
              <w:top w:val="nil"/>
              <w:left w:val="nil"/>
              <w:bottom w:val="nil"/>
              <w:right w:val="single" w:sz="4" w:space="0" w:color="auto"/>
            </w:tcBorders>
            <w:shd w:val="clear" w:color="auto" w:fill="auto"/>
            <w:vAlign w:val="center"/>
            <w:hideMark/>
          </w:tcPr>
          <w:p w:rsidR="00007D87" w:rsidRPr="00C258AD" w:rsidRDefault="00007D87" w:rsidP="0083763A">
            <w:pPr>
              <w:jc w:val="right"/>
              <w:rPr>
                <w:sz w:val="16"/>
                <w:szCs w:val="16"/>
                <w:lang w:eastAsia="fr-FR"/>
              </w:rPr>
            </w:pPr>
            <w:r w:rsidRPr="00C258AD">
              <w:rPr>
                <w:sz w:val="16"/>
                <w:szCs w:val="16"/>
                <w:lang w:eastAsia="fr-FR"/>
              </w:rPr>
              <w:t>1 788</w:t>
            </w:r>
          </w:p>
        </w:tc>
      </w:tr>
      <w:tr w:rsidR="00007D87" w:rsidRPr="00C258AD" w:rsidTr="004A0BE0">
        <w:trPr>
          <w:cantSplit/>
        </w:trPr>
        <w:tc>
          <w:tcPr>
            <w:tcW w:w="587" w:type="dxa"/>
            <w:tcBorders>
              <w:top w:val="nil"/>
              <w:left w:val="single" w:sz="4" w:space="0" w:color="auto"/>
              <w:bottom w:val="nil"/>
              <w:right w:val="nil"/>
            </w:tcBorders>
            <w:shd w:val="clear" w:color="auto" w:fill="auto"/>
            <w:noWrap/>
            <w:vAlign w:val="center"/>
            <w:hideMark/>
          </w:tcPr>
          <w:p w:rsidR="00007D87" w:rsidRPr="00C258AD" w:rsidRDefault="00007D87" w:rsidP="0083763A">
            <w:pPr>
              <w:rPr>
                <w:sz w:val="16"/>
                <w:szCs w:val="16"/>
                <w:lang w:eastAsia="fr-FR"/>
              </w:rPr>
            </w:pPr>
            <w:r w:rsidRPr="00C258AD">
              <w:rPr>
                <w:sz w:val="16"/>
                <w:szCs w:val="16"/>
                <w:lang w:eastAsia="fr-FR"/>
              </w:rPr>
              <w:t>VII.2</w:t>
            </w:r>
          </w:p>
        </w:tc>
        <w:tc>
          <w:tcPr>
            <w:tcW w:w="4413" w:type="dxa"/>
            <w:tcBorders>
              <w:top w:val="nil"/>
              <w:left w:val="nil"/>
              <w:bottom w:val="nil"/>
              <w:right w:val="nil"/>
            </w:tcBorders>
            <w:shd w:val="clear" w:color="auto" w:fill="auto"/>
            <w:vAlign w:val="center"/>
            <w:hideMark/>
          </w:tcPr>
          <w:p w:rsidR="00007D87" w:rsidRPr="00C258AD" w:rsidRDefault="00007D87" w:rsidP="0083763A">
            <w:pPr>
              <w:rPr>
                <w:sz w:val="16"/>
                <w:szCs w:val="16"/>
                <w:lang w:eastAsia="fr-FR"/>
              </w:rPr>
            </w:pPr>
            <w:r w:rsidRPr="00C258AD">
              <w:rPr>
                <w:sz w:val="16"/>
                <w:szCs w:val="16"/>
                <w:lang w:eastAsia="fr-FR"/>
              </w:rPr>
              <w:t xml:space="preserve">Des </w:t>
            </w:r>
            <w:r w:rsidR="002C57EB" w:rsidRPr="00C258AD">
              <w:rPr>
                <w:sz w:val="16"/>
                <w:szCs w:val="16"/>
                <w:lang w:eastAsia="fr-FR"/>
              </w:rPr>
              <w:t>plateformes</w:t>
            </w:r>
            <w:r w:rsidRPr="00C258AD">
              <w:rPr>
                <w:sz w:val="16"/>
                <w:szCs w:val="16"/>
                <w:lang w:eastAsia="fr-FR"/>
              </w:rPr>
              <w:t xml:space="preserve"> et instruments fondés sur la propriété intellectuelle sont utilisés pour le transfert de connaissances et l</w:t>
            </w:r>
            <w:r w:rsidR="00721905" w:rsidRPr="00C258AD">
              <w:rPr>
                <w:sz w:val="16"/>
                <w:szCs w:val="16"/>
                <w:lang w:eastAsia="fr-FR"/>
              </w:rPr>
              <w:t>’</w:t>
            </w:r>
            <w:r w:rsidRPr="00C258AD">
              <w:rPr>
                <w:sz w:val="16"/>
                <w:szCs w:val="16"/>
                <w:lang w:eastAsia="fr-FR"/>
              </w:rPr>
              <w:t>adaptation et la diffusion de la technologie entre les pays développés et les pays en développement, notamment</w:t>
            </w:r>
            <w:r w:rsidR="00721905" w:rsidRPr="00C258AD">
              <w:rPr>
                <w:sz w:val="16"/>
                <w:szCs w:val="16"/>
                <w:lang w:eastAsia="fr-FR"/>
              </w:rPr>
              <w:t xml:space="preserve"> les PMA</w:t>
            </w:r>
            <w:r w:rsidRPr="00C258AD">
              <w:rPr>
                <w:sz w:val="16"/>
                <w:szCs w:val="16"/>
                <w:lang w:eastAsia="fr-FR"/>
              </w:rPr>
              <w:t xml:space="preserve">, pour relever des défis mondiaux </w:t>
            </w:r>
          </w:p>
        </w:tc>
        <w:tc>
          <w:tcPr>
            <w:tcW w:w="1360" w:type="dxa"/>
            <w:tcBorders>
              <w:top w:val="nil"/>
              <w:left w:val="nil"/>
              <w:bottom w:val="nil"/>
              <w:right w:val="nil"/>
            </w:tcBorders>
            <w:shd w:val="clear" w:color="auto" w:fill="auto"/>
            <w:vAlign w:val="center"/>
            <w:hideMark/>
          </w:tcPr>
          <w:p w:rsidR="00007D87" w:rsidRPr="00C258AD" w:rsidRDefault="00FB247F" w:rsidP="0083763A">
            <w:pPr>
              <w:jc w:val="right"/>
              <w:rPr>
                <w:sz w:val="16"/>
                <w:szCs w:val="16"/>
                <w:lang w:eastAsia="fr-FR"/>
              </w:rPr>
            </w:pPr>
            <w:r w:rsidRPr="00C258AD">
              <w:rPr>
                <w:sz w:val="16"/>
                <w:szCs w:val="16"/>
                <w:lang w:eastAsia="fr-FR"/>
              </w:rPr>
              <w:t>–</w:t>
            </w:r>
          </w:p>
        </w:tc>
        <w:tc>
          <w:tcPr>
            <w:tcW w:w="1360" w:type="dxa"/>
            <w:tcBorders>
              <w:top w:val="nil"/>
              <w:left w:val="nil"/>
              <w:bottom w:val="nil"/>
              <w:right w:val="nil"/>
            </w:tcBorders>
            <w:shd w:val="clear" w:color="auto" w:fill="auto"/>
            <w:vAlign w:val="center"/>
            <w:hideMark/>
          </w:tcPr>
          <w:p w:rsidR="00007D87" w:rsidRPr="00C258AD" w:rsidRDefault="00007D87" w:rsidP="0083763A">
            <w:pPr>
              <w:jc w:val="right"/>
              <w:rPr>
                <w:sz w:val="16"/>
                <w:szCs w:val="16"/>
                <w:lang w:eastAsia="fr-FR"/>
              </w:rPr>
            </w:pPr>
            <w:r w:rsidRPr="00C258AD">
              <w:rPr>
                <w:sz w:val="16"/>
                <w:szCs w:val="16"/>
                <w:lang w:eastAsia="fr-FR"/>
              </w:rPr>
              <w:t>124</w:t>
            </w:r>
          </w:p>
        </w:tc>
        <w:tc>
          <w:tcPr>
            <w:tcW w:w="1360" w:type="dxa"/>
            <w:tcBorders>
              <w:top w:val="nil"/>
              <w:left w:val="nil"/>
              <w:bottom w:val="nil"/>
              <w:right w:val="single" w:sz="4" w:space="0" w:color="auto"/>
            </w:tcBorders>
            <w:shd w:val="clear" w:color="auto" w:fill="auto"/>
            <w:vAlign w:val="center"/>
            <w:hideMark/>
          </w:tcPr>
          <w:p w:rsidR="00007D87" w:rsidRPr="00C258AD" w:rsidRDefault="00007D87" w:rsidP="0083763A">
            <w:pPr>
              <w:jc w:val="right"/>
              <w:rPr>
                <w:sz w:val="16"/>
                <w:szCs w:val="16"/>
                <w:lang w:eastAsia="fr-FR"/>
              </w:rPr>
            </w:pPr>
            <w:r w:rsidRPr="00C258AD">
              <w:rPr>
                <w:sz w:val="16"/>
                <w:szCs w:val="16"/>
                <w:lang w:eastAsia="fr-FR"/>
              </w:rPr>
              <w:t>130</w:t>
            </w:r>
          </w:p>
        </w:tc>
      </w:tr>
      <w:tr w:rsidR="00007D87" w:rsidRPr="00C258AD" w:rsidTr="004A0BE0">
        <w:trPr>
          <w:cantSplit/>
        </w:trPr>
        <w:tc>
          <w:tcPr>
            <w:tcW w:w="587" w:type="dxa"/>
            <w:tcBorders>
              <w:top w:val="single" w:sz="4" w:space="0" w:color="auto"/>
              <w:left w:val="single" w:sz="4" w:space="0" w:color="auto"/>
              <w:bottom w:val="single" w:sz="4" w:space="0" w:color="auto"/>
              <w:right w:val="nil"/>
            </w:tcBorders>
            <w:shd w:val="clear" w:color="auto" w:fill="C5D9F1"/>
            <w:noWrap/>
            <w:vAlign w:val="bottom"/>
            <w:hideMark/>
          </w:tcPr>
          <w:p w:rsidR="00007D87" w:rsidRPr="00C258AD" w:rsidRDefault="00007D87" w:rsidP="0083763A">
            <w:pPr>
              <w:rPr>
                <w:sz w:val="16"/>
                <w:szCs w:val="16"/>
                <w:lang w:eastAsia="fr-FR"/>
              </w:rPr>
            </w:pPr>
            <w:r w:rsidRPr="00C258AD">
              <w:rPr>
                <w:sz w:val="16"/>
                <w:szCs w:val="16"/>
                <w:lang w:eastAsia="fr-FR"/>
              </w:rPr>
              <w:t> </w:t>
            </w:r>
          </w:p>
        </w:tc>
        <w:tc>
          <w:tcPr>
            <w:tcW w:w="4413" w:type="dxa"/>
            <w:tcBorders>
              <w:top w:val="single" w:sz="4" w:space="0" w:color="auto"/>
              <w:left w:val="nil"/>
              <w:bottom w:val="single" w:sz="4" w:space="0" w:color="auto"/>
              <w:right w:val="single" w:sz="4" w:space="0" w:color="auto"/>
            </w:tcBorders>
            <w:shd w:val="clear" w:color="auto" w:fill="C5D9F1"/>
            <w:noWrap/>
            <w:vAlign w:val="bottom"/>
            <w:hideMark/>
          </w:tcPr>
          <w:p w:rsidR="00007D87" w:rsidRPr="00C258AD" w:rsidRDefault="00007D87" w:rsidP="0083763A">
            <w:pPr>
              <w:rPr>
                <w:b/>
                <w:bCs/>
                <w:sz w:val="16"/>
                <w:szCs w:val="16"/>
                <w:lang w:eastAsia="fr-FR"/>
              </w:rPr>
            </w:pPr>
            <w:r w:rsidRPr="00C258AD">
              <w:rPr>
                <w:b/>
                <w:bCs/>
                <w:sz w:val="16"/>
                <w:szCs w:val="16"/>
                <w:lang w:eastAsia="fr-FR"/>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007D87" w:rsidRPr="00C258AD" w:rsidRDefault="00007D87" w:rsidP="0083763A">
            <w:pPr>
              <w:jc w:val="right"/>
              <w:rPr>
                <w:b/>
                <w:bCs/>
                <w:sz w:val="16"/>
                <w:szCs w:val="16"/>
                <w:lang w:eastAsia="fr-FR"/>
              </w:rPr>
            </w:pPr>
            <w:r w:rsidRPr="00C258AD">
              <w:rPr>
                <w:b/>
                <w:bCs/>
                <w:sz w:val="16"/>
                <w:szCs w:val="16"/>
                <w:lang w:eastAsia="fr-FR"/>
              </w:rPr>
              <w:t>7 864</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007D87" w:rsidRPr="00C258AD" w:rsidRDefault="00007D87" w:rsidP="0083763A">
            <w:pPr>
              <w:jc w:val="right"/>
              <w:rPr>
                <w:b/>
                <w:bCs/>
                <w:sz w:val="16"/>
                <w:szCs w:val="16"/>
                <w:lang w:eastAsia="fr-FR"/>
              </w:rPr>
            </w:pPr>
            <w:r w:rsidRPr="00C258AD">
              <w:rPr>
                <w:b/>
                <w:bCs/>
                <w:sz w:val="16"/>
                <w:szCs w:val="16"/>
                <w:lang w:eastAsia="fr-FR"/>
              </w:rPr>
              <w:t>6 372</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007D87" w:rsidRPr="00C258AD" w:rsidRDefault="00007D87" w:rsidP="0083763A">
            <w:pPr>
              <w:jc w:val="right"/>
              <w:rPr>
                <w:b/>
                <w:bCs/>
                <w:sz w:val="16"/>
                <w:szCs w:val="16"/>
                <w:lang w:eastAsia="fr-FR"/>
              </w:rPr>
            </w:pPr>
            <w:r w:rsidRPr="00C258AD">
              <w:rPr>
                <w:b/>
                <w:bCs/>
                <w:sz w:val="16"/>
                <w:szCs w:val="16"/>
                <w:lang w:eastAsia="fr-FR"/>
              </w:rPr>
              <w:t>5 438</w:t>
            </w:r>
          </w:p>
        </w:tc>
      </w:tr>
    </w:tbl>
    <w:p w:rsidR="006E2BB1" w:rsidRPr="00C258AD" w:rsidRDefault="006E2BB1" w:rsidP="00007D87">
      <w:pPr>
        <w:rPr>
          <w:sz w:val="18"/>
        </w:rPr>
      </w:pPr>
    </w:p>
    <w:p w:rsidR="006E2BB1" w:rsidRPr="00C258AD" w:rsidRDefault="006E2BB1" w:rsidP="00007D87">
      <w:pPr>
        <w:rPr>
          <w:sz w:val="18"/>
        </w:rPr>
      </w:pPr>
    </w:p>
    <w:p w:rsidR="006E2BB1" w:rsidRPr="00C258AD" w:rsidRDefault="00007D87" w:rsidP="00007D87">
      <w:pPr>
        <w:pStyle w:val="NormalWeb"/>
        <w:keepNext/>
        <w:keepLines/>
        <w:spacing w:before="0" w:beforeAutospacing="0" w:after="0" w:afterAutospacing="0"/>
        <w:jc w:val="center"/>
        <w:rPr>
          <w:sz w:val="20"/>
          <w:szCs w:val="20"/>
        </w:rPr>
      </w:pPr>
      <w:r w:rsidRPr="00C258AD">
        <w:rPr>
          <w:sz w:val="20"/>
          <w:szCs w:val="20"/>
        </w:rPr>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007D87" w:rsidP="00007D87">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007D87" w:rsidRPr="00C258AD" w:rsidRDefault="00007D87" w:rsidP="00007D87">
      <w:pPr>
        <w:keepNext/>
        <w:rPr>
          <w:sz w:val="18"/>
        </w:rPr>
      </w:pPr>
    </w:p>
    <w:tbl>
      <w:tblPr>
        <w:tblW w:w="5000" w:type="pct"/>
        <w:tblCellMar>
          <w:top w:w="113" w:type="dxa"/>
          <w:left w:w="70" w:type="dxa"/>
          <w:bottom w:w="113" w:type="dxa"/>
          <w:right w:w="70" w:type="dxa"/>
        </w:tblCellMar>
        <w:tblLook w:val="04A0" w:firstRow="1" w:lastRow="0" w:firstColumn="1" w:lastColumn="0" w:noHBand="0" w:noVBand="1"/>
      </w:tblPr>
      <w:tblGrid>
        <w:gridCol w:w="2511"/>
        <w:gridCol w:w="1733"/>
        <w:gridCol w:w="1734"/>
        <w:gridCol w:w="1734"/>
        <w:gridCol w:w="1783"/>
      </w:tblGrid>
      <w:tr w:rsidR="00007D87" w:rsidRPr="00C258AD" w:rsidTr="004A0BE0">
        <w:trPr>
          <w:cantSplit/>
        </w:trPr>
        <w:tc>
          <w:tcPr>
            <w:tcW w:w="2400"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007D87" w:rsidRPr="00C258AD" w:rsidRDefault="00007D87" w:rsidP="0083763A">
            <w:pPr>
              <w:keepNext/>
              <w:rPr>
                <w:color w:val="000000"/>
                <w:sz w:val="16"/>
                <w:szCs w:val="18"/>
                <w:lang w:eastAsia="fr-FR"/>
              </w:rPr>
            </w:pPr>
            <w:r w:rsidRPr="00C258AD">
              <w:rPr>
                <w:color w:val="000000"/>
                <w:sz w:val="16"/>
                <w:szCs w:val="18"/>
                <w:lang w:eastAsia="fr-FR"/>
              </w:rPr>
              <w:t> </w:t>
            </w:r>
          </w:p>
        </w:tc>
        <w:tc>
          <w:tcPr>
            <w:tcW w:w="1655" w:type="dxa"/>
            <w:tcBorders>
              <w:top w:val="single" w:sz="4" w:space="0" w:color="auto"/>
              <w:left w:val="nil"/>
              <w:bottom w:val="nil"/>
              <w:right w:val="single" w:sz="4" w:space="0" w:color="auto"/>
            </w:tcBorders>
            <w:shd w:val="clear" w:color="auto" w:fill="C5D9F1"/>
            <w:vAlign w:val="center"/>
            <w:hideMark/>
          </w:tcPr>
          <w:p w:rsidR="00007D87" w:rsidRPr="00C258AD" w:rsidRDefault="00007D87" w:rsidP="0083763A">
            <w:pPr>
              <w:keepNext/>
              <w:jc w:val="center"/>
              <w:rPr>
                <w:b/>
                <w:bCs/>
                <w:color w:val="000000"/>
                <w:sz w:val="16"/>
                <w:szCs w:val="18"/>
                <w:lang w:eastAsia="fr-FR"/>
              </w:rPr>
            </w:pPr>
            <w:r w:rsidRPr="00C258AD">
              <w:rPr>
                <w:b/>
                <w:bCs/>
                <w:color w:val="000000"/>
                <w:sz w:val="16"/>
                <w:szCs w:val="18"/>
                <w:lang w:eastAsia="fr-FR"/>
              </w:rPr>
              <w:t>Budget 2014</w:t>
            </w:r>
            <w:r w:rsidR="0000169D" w:rsidRPr="00C258AD">
              <w:rPr>
                <w:b/>
                <w:bCs/>
                <w:color w:val="000000"/>
                <w:sz w:val="16"/>
                <w:szCs w:val="18"/>
                <w:lang w:eastAsia="fr-FR"/>
              </w:rPr>
              <w:noBreakHyphen/>
            </w:r>
            <w:r w:rsidRPr="00C258AD">
              <w:rPr>
                <w:b/>
                <w:bCs/>
                <w:color w:val="000000"/>
                <w:sz w:val="16"/>
                <w:szCs w:val="18"/>
                <w:lang w:eastAsia="fr-FR"/>
              </w:rPr>
              <w:t>2015 approuvé</w:t>
            </w:r>
          </w:p>
        </w:tc>
        <w:tc>
          <w:tcPr>
            <w:tcW w:w="1656" w:type="dxa"/>
            <w:tcBorders>
              <w:top w:val="single" w:sz="4" w:space="0" w:color="auto"/>
              <w:left w:val="nil"/>
              <w:bottom w:val="nil"/>
              <w:right w:val="single" w:sz="4" w:space="0" w:color="auto"/>
            </w:tcBorders>
            <w:shd w:val="clear" w:color="auto" w:fill="C5D9F1"/>
            <w:vAlign w:val="center"/>
            <w:hideMark/>
          </w:tcPr>
          <w:p w:rsidR="00007D87" w:rsidRPr="00C258AD" w:rsidRDefault="00007D87" w:rsidP="0083763A">
            <w:pPr>
              <w:keepNext/>
              <w:jc w:val="center"/>
              <w:rPr>
                <w:b/>
                <w:bCs/>
                <w:color w:val="000000"/>
                <w:sz w:val="16"/>
                <w:szCs w:val="18"/>
                <w:lang w:eastAsia="fr-FR"/>
              </w:rPr>
            </w:pPr>
            <w:r w:rsidRPr="00C258AD">
              <w:rPr>
                <w:b/>
                <w:bCs/>
                <w:color w:val="000000"/>
                <w:sz w:val="16"/>
                <w:szCs w:val="18"/>
                <w:lang w:eastAsia="fr-FR"/>
              </w:rPr>
              <w:t>Budget final 2014</w:t>
            </w:r>
            <w:r w:rsidR="0000169D" w:rsidRPr="00C258AD">
              <w:rPr>
                <w:b/>
                <w:bCs/>
                <w:color w:val="000000"/>
                <w:sz w:val="16"/>
                <w:szCs w:val="18"/>
                <w:lang w:eastAsia="fr-FR"/>
              </w:rPr>
              <w:noBreakHyphen/>
            </w:r>
            <w:r w:rsidRPr="00C258AD">
              <w:rPr>
                <w:b/>
                <w:bCs/>
                <w:color w:val="000000"/>
                <w:sz w:val="16"/>
                <w:szCs w:val="18"/>
                <w:lang w:eastAsia="fr-FR"/>
              </w:rPr>
              <w:t>2015</w:t>
            </w:r>
            <w:r w:rsidRPr="00C258AD">
              <w:rPr>
                <w:b/>
                <w:bCs/>
                <w:color w:val="000000"/>
                <w:sz w:val="16"/>
                <w:szCs w:val="18"/>
                <w:lang w:eastAsia="fr-FR"/>
              </w:rPr>
              <w:br/>
              <w:t>après virements</w:t>
            </w:r>
          </w:p>
        </w:tc>
        <w:tc>
          <w:tcPr>
            <w:tcW w:w="1656" w:type="dxa"/>
            <w:tcBorders>
              <w:top w:val="single" w:sz="4" w:space="0" w:color="auto"/>
              <w:left w:val="nil"/>
              <w:bottom w:val="nil"/>
              <w:right w:val="single" w:sz="4" w:space="0" w:color="auto"/>
            </w:tcBorders>
            <w:shd w:val="clear" w:color="auto" w:fill="C5D9F1"/>
            <w:vAlign w:val="center"/>
            <w:hideMark/>
          </w:tcPr>
          <w:p w:rsidR="00007D87" w:rsidRPr="00C258AD" w:rsidRDefault="00007D87" w:rsidP="0083763A">
            <w:pPr>
              <w:keepNext/>
              <w:jc w:val="center"/>
              <w:rPr>
                <w:b/>
                <w:bCs/>
                <w:color w:val="000000"/>
                <w:sz w:val="16"/>
                <w:szCs w:val="18"/>
                <w:lang w:eastAsia="fr-FR"/>
              </w:rPr>
            </w:pPr>
            <w:r w:rsidRPr="00C258AD">
              <w:rPr>
                <w:b/>
                <w:bCs/>
                <w:color w:val="000000"/>
                <w:sz w:val="16"/>
                <w:szCs w:val="18"/>
                <w:lang w:eastAsia="fr-FR"/>
              </w:rPr>
              <w:t>Dépenses</w:t>
            </w:r>
            <w:r w:rsidRPr="00C258AD">
              <w:rPr>
                <w:b/>
                <w:bCs/>
                <w:color w:val="000000"/>
                <w:sz w:val="16"/>
                <w:szCs w:val="18"/>
                <w:lang w:eastAsia="fr-FR"/>
              </w:rPr>
              <w:br/>
              <w:t>2014</w:t>
            </w:r>
            <w:r w:rsidR="0000169D" w:rsidRPr="00C258AD">
              <w:rPr>
                <w:b/>
                <w:bCs/>
                <w:color w:val="000000"/>
                <w:sz w:val="16"/>
                <w:szCs w:val="18"/>
                <w:lang w:eastAsia="fr-FR"/>
              </w:rPr>
              <w:noBreakHyphen/>
            </w:r>
            <w:r w:rsidRPr="00C258AD">
              <w:rPr>
                <w:b/>
                <w:bCs/>
                <w:color w:val="000000"/>
                <w:sz w:val="16"/>
                <w:szCs w:val="18"/>
                <w:lang w:eastAsia="fr-FR"/>
              </w:rPr>
              <w:t>2015</w:t>
            </w:r>
          </w:p>
        </w:tc>
        <w:tc>
          <w:tcPr>
            <w:tcW w:w="1703" w:type="dxa"/>
            <w:tcBorders>
              <w:top w:val="single" w:sz="4" w:space="0" w:color="auto"/>
              <w:left w:val="nil"/>
              <w:bottom w:val="nil"/>
              <w:right w:val="single" w:sz="4" w:space="0" w:color="auto"/>
            </w:tcBorders>
            <w:shd w:val="clear" w:color="auto" w:fill="C5D9F1"/>
            <w:vAlign w:val="center"/>
            <w:hideMark/>
          </w:tcPr>
          <w:p w:rsidR="00007D87" w:rsidRPr="00C258AD" w:rsidRDefault="00007D87" w:rsidP="0083763A">
            <w:pPr>
              <w:keepNext/>
              <w:jc w:val="center"/>
              <w:rPr>
                <w:b/>
                <w:bCs/>
                <w:color w:val="000000"/>
                <w:sz w:val="16"/>
                <w:szCs w:val="18"/>
                <w:lang w:eastAsia="fr-FR"/>
              </w:rPr>
            </w:pPr>
            <w:r w:rsidRPr="00C258AD">
              <w:rPr>
                <w:b/>
                <w:bCs/>
                <w:color w:val="000000"/>
                <w:sz w:val="16"/>
                <w:szCs w:val="18"/>
                <w:lang w:eastAsia="fr-FR"/>
              </w:rPr>
              <w:t>Taux d</w:t>
            </w:r>
            <w:r w:rsidR="00721905" w:rsidRPr="00C258AD">
              <w:rPr>
                <w:b/>
                <w:bCs/>
                <w:color w:val="000000"/>
                <w:sz w:val="16"/>
                <w:szCs w:val="18"/>
                <w:lang w:eastAsia="fr-FR"/>
              </w:rPr>
              <w:t>’</w:t>
            </w:r>
            <w:r w:rsidRPr="00C258AD">
              <w:rPr>
                <w:b/>
                <w:bCs/>
                <w:color w:val="000000"/>
                <w:sz w:val="16"/>
                <w:szCs w:val="18"/>
                <w:lang w:eastAsia="fr-FR"/>
              </w:rPr>
              <w:t>utilisation (%)</w:t>
            </w:r>
          </w:p>
        </w:tc>
      </w:tr>
      <w:tr w:rsidR="00007D87" w:rsidRPr="00C258AD" w:rsidTr="004A0BE0">
        <w:trPr>
          <w:cantSplit/>
        </w:trPr>
        <w:tc>
          <w:tcPr>
            <w:tcW w:w="2400" w:type="dxa"/>
            <w:tcBorders>
              <w:top w:val="nil"/>
              <w:left w:val="single" w:sz="4" w:space="0" w:color="auto"/>
              <w:bottom w:val="single" w:sz="4" w:space="0" w:color="auto"/>
              <w:right w:val="single" w:sz="4" w:space="0" w:color="auto"/>
            </w:tcBorders>
            <w:shd w:val="clear" w:color="auto" w:fill="auto"/>
            <w:noWrap/>
            <w:vAlign w:val="center"/>
            <w:hideMark/>
          </w:tcPr>
          <w:p w:rsidR="00007D87" w:rsidRPr="00C258AD" w:rsidRDefault="00007D87" w:rsidP="0083763A">
            <w:pPr>
              <w:keepNext/>
              <w:rPr>
                <w:color w:val="000000"/>
                <w:sz w:val="16"/>
                <w:szCs w:val="18"/>
                <w:lang w:eastAsia="fr-FR"/>
              </w:rPr>
            </w:pPr>
            <w:r w:rsidRPr="00C258AD">
              <w:rPr>
                <w:color w:val="000000"/>
                <w:sz w:val="16"/>
                <w:szCs w:val="18"/>
                <w:lang w:eastAsia="fr-FR"/>
              </w:rPr>
              <w:t xml:space="preserve">Dépenses de personnel </w:t>
            </w:r>
          </w:p>
        </w:tc>
        <w:tc>
          <w:tcPr>
            <w:tcW w:w="1655" w:type="dxa"/>
            <w:tcBorders>
              <w:top w:val="single" w:sz="4" w:space="0" w:color="auto"/>
              <w:left w:val="nil"/>
              <w:bottom w:val="single" w:sz="4" w:space="0" w:color="auto"/>
              <w:right w:val="single" w:sz="4" w:space="0" w:color="auto"/>
            </w:tcBorders>
            <w:shd w:val="clear" w:color="auto" w:fill="auto"/>
            <w:vAlign w:val="center"/>
            <w:hideMark/>
          </w:tcPr>
          <w:p w:rsidR="00007D87" w:rsidRPr="00C258AD" w:rsidRDefault="00007D87" w:rsidP="0083763A">
            <w:pPr>
              <w:keepNext/>
              <w:jc w:val="center"/>
              <w:rPr>
                <w:color w:val="000000"/>
                <w:sz w:val="16"/>
                <w:szCs w:val="18"/>
                <w:lang w:eastAsia="fr-FR"/>
              </w:rPr>
            </w:pPr>
            <w:r w:rsidRPr="00C258AD">
              <w:rPr>
                <w:color w:val="000000"/>
                <w:sz w:val="16"/>
                <w:szCs w:val="18"/>
                <w:lang w:eastAsia="fr-FR"/>
              </w:rPr>
              <w:t>4 434</w:t>
            </w:r>
          </w:p>
        </w:tc>
        <w:tc>
          <w:tcPr>
            <w:tcW w:w="1656" w:type="dxa"/>
            <w:tcBorders>
              <w:top w:val="single" w:sz="4" w:space="0" w:color="auto"/>
              <w:left w:val="nil"/>
              <w:bottom w:val="single" w:sz="4" w:space="0" w:color="auto"/>
              <w:right w:val="single" w:sz="4" w:space="0" w:color="auto"/>
            </w:tcBorders>
            <w:shd w:val="clear" w:color="auto" w:fill="auto"/>
            <w:vAlign w:val="center"/>
            <w:hideMark/>
          </w:tcPr>
          <w:p w:rsidR="00007D87" w:rsidRPr="00C258AD" w:rsidRDefault="00007D87" w:rsidP="0083763A">
            <w:pPr>
              <w:keepNext/>
              <w:jc w:val="center"/>
              <w:rPr>
                <w:color w:val="000000"/>
                <w:sz w:val="16"/>
                <w:szCs w:val="18"/>
                <w:lang w:eastAsia="fr-FR"/>
              </w:rPr>
            </w:pPr>
            <w:r w:rsidRPr="00C258AD">
              <w:rPr>
                <w:color w:val="000000"/>
                <w:sz w:val="16"/>
                <w:szCs w:val="18"/>
                <w:lang w:eastAsia="fr-FR"/>
              </w:rPr>
              <w:t>3 850</w:t>
            </w:r>
          </w:p>
        </w:tc>
        <w:tc>
          <w:tcPr>
            <w:tcW w:w="1656" w:type="dxa"/>
            <w:tcBorders>
              <w:top w:val="single" w:sz="4" w:space="0" w:color="auto"/>
              <w:left w:val="nil"/>
              <w:bottom w:val="single" w:sz="4" w:space="0" w:color="auto"/>
              <w:right w:val="single" w:sz="4" w:space="0" w:color="auto"/>
            </w:tcBorders>
            <w:shd w:val="clear" w:color="auto" w:fill="auto"/>
            <w:vAlign w:val="center"/>
            <w:hideMark/>
          </w:tcPr>
          <w:p w:rsidR="00007D87" w:rsidRPr="00C258AD" w:rsidRDefault="00007D87" w:rsidP="0083763A">
            <w:pPr>
              <w:keepNext/>
              <w:jc w:val="center"/>
              <w:rPr>
                <w:color w:val="000000"/>
                <w:sz w:val="16"/>
                <w:szCs w:val="18"/>
                <w:lang w:eastAsia="fr-FR"/>
              </w:rPr>
            </w:pPr>
            <w:r w:rsidRPr="00C258AD">
              <w:rPr>
                <w:color w:val="000000"/>
                <w:sz w:val="16"/>
                <w:szCs w:val="18"/>
                <w:lang w:eastAsia="fr-FR"/>
              </w:rPr>
              <w:t>3 657</w:t>
            </w:r>
          </w:p>
        </w:tc>
        <w:tc>
          <w:tcPr>
            <w:tcW w:w="1703" w:type="dxa"/>
            <w:tcBorders>
              <w:top w:val="single" w:sz="4" w:space="0" w:color="auto"/>
              <w:left w:val="nil"/>
              <w:bottom w:val="single" w:sz="4" w:space="0" w:color="auto"/>
              <w:right w:val="single" w:sz="4" w:space="0" w:color="auto"/>
            </w:tcBorders>
            <w:shd w:val="clear" w:color="auto" w:fill="auto"/>
            <w:vAlign w:val="center"/>
            <w:hideMark/>
          </w:tcPr>
          <w:p w:rsidR="00007D87" w:rsidRPr="00C258AD" w:rsidRDefault="00007D87" w:rsidP="0083763A">
            <w:pPr>
              <w:keepNext/>
              <w:jc w:val="center"/>
              <w:rPr>
                <w:color w:val="000000"/>
                <w:sz w:val="16"/>
                <w:szCs w:val="18"/>
                <w:lang w:eastAsia="fr-FR"/>
              </w:rPr>
            </w:pPr>
            <w:r w:rsidRPr="00C258AD">
              <w:rPr>
                <w:color w:val="000000"/>
                <w:sz w:val="16"/>
                <w:szCs w:val="18"/>
                <w:lang w:eastAsia="fr-FR"/>
              </w:rPr>
              <w:t>95%</w:t>
            </w:r>
          </w:p>
        </w:tc>
      </w:tr>
      <w:tr w:rsidR="00007D87" w:rsidRPr="00C258AD" w:rsidTr="004A0BE0">
        <w:trPr>
          <w:cantSplit/>
        </w:trPr>
        <w:tc>
          <w:tcPr>
            <w:tcW w:w="2400" w:type="dxa"/>
            <w:tcBorders>
              <w:top w:val="nil"/>
              <w:left w:val="single" w:sz="4" w:space="0" w:color="auto"/>
              <w:bottom w:val="single" w:sz="4" w:space="0" w:color="auto"/>
              <w:right w:val="single" w:sz="4" w:space="0" w:color="auto"/>
            </w:tcBorders>
            <w:shd w:val="clear" w:color="auto" w:fill="auto"/>
            <w:noWrap/>
            <w:vAlign w:val="center"/>
            <w:hideMark/>
          </w:tcPr>
          <w:p w:rsidR="00007D87" w:rsidRPr="00C258AD" w:rsidRDefault="00007D87" w:rsidP="0083763A">
            <w:pPr>
              <w:keepNext/>
              <w:rPr>
                <w:color w:val="000000"/>
                <w:sz w:val="16"/>
                <w:szCs w:val="18"/>
                <w:lang w:eastAsia="fr-FR"/>
              </w:rPr>
            </w:pPr>
            <w:r w:rsidRPr="00C258AD">
              <w:rPr>
                <w:color w:val="000000"/>
                <w:sz w:val="16"/>
                <w:szCs w:val="18"/>
                <w:lang w:eastAsia="fr-FR"/>
              </w:rPr>
              <w:t xml:space="preserve">Autres dépenses </w:t>
            </w:r>
          </w:p>
        </w:tc>
        <w:tc>
          <w:tcPr>
            <w:tcW w:w="1655" w:type="dxa"/>
            <w:tcBorders>
              <w:top w:val="nil"/>
              <w:left w:val="nil"/>
              <w:bottom w:val="single" w:sz="4" w:space="0" w:color="auto"/>
              <w:right w:val="single" w:sz="4" w:space="0" w:color="auto"/>
            </w:tcBorders>
            <w:shd w:val="clear" w:color="auto" w:fill="auto"/>
            <w:vAlign w:val="center"/>
            <w:hideMark/>
          </w:tcPr>
          <w:p w:rsidR="00007D87" w:rsidRPr="00C258AD" w:rsidRDefault="00007D87" w:rsidP="0083763A">
            <w:pPr>
              <w:keepNext/>
              <w:jc w:val="center"/>
              <w:rPr>
                <w:color w:val="000000"/>
                <w:sz w:val="16"/>
                <w:szCs w:val="18"/>
                <w:lang w:eastAsia="fr-FR"/>
              </w:rPr>
            </w:pPr>
            <w:r w:rsidRPr="00C258AD">
              <w:rPr>
                <w:color w:val="000000"/>
                <w:sz w:val="16"/>
                <w:szCs w:val="18"/>
                <w:lang w:eastAsia="fr-FR"/>
              </w:rPr>
              <w:t>3 430</w:t>
            </w:r>
          </w:p>
        </w:tc>
        <w:tc>
          <w:tcPr>
            <w:tcW w:w="1656" w:type="dxa"/>
            <w:tcBorders>
              <w:top w:val="nil"/>
              <w:left w:val="nil"/>
              <w:bottom w:val="single" w:sz="4" w:space="0" w:color="auto"/>
              <w:right w:val="single" w:sz="4" w:space="0" w:color="auto"/>
            </w:tcBorders>
            <w:shd w:val="clear" w:color="auto" w:fill="auto"/>
            <w:vAlign w:val="center"/>
            <w:hideMark/>
          </w:tcPr>
          <w:p w:rsidR="00007D87" w:rsidRPr="00C258AD" w:rsidRDefault="00007D87" w:rsidP="0083763A">
            <w:pPr>
              <w:keepNext/>
              <w:jc w:val="center"/>
              <w:rPr>
                <w:color w:val="000000"/>
                <w:sz w:val="16"/>
                <w:szCs w:val="18"/>
                <w:lang w:eastAsia="fr-FR"/>
              </w:rPr>
            </w:pPr>
            <w:r w:rsidRPr="00C258AD">
              <w:rPr>
                <w:color w:val="000000"/>
                <w:sz w:val="16"/>
                <w:szCs w:val="18"/>
                <w:lang w:eastAsia="fr-FR"/>
              </w:rPr>
              <w:t>2 521</w:t>
            </w:r>
          </w:p>
        </w:tc>
        <w:tc>
          <w:tcPr>
            <w:tcW w:w="1656" w:type="dxa"/>
            <w:tcBorders>
              <w:top w:val="nil"/>
              <w:left w:val="nil"/>
              <w:bottom w:val="single" w:sz="4" w:space="0" w:color="auto"/>
              <w:right w:val="single" w:sz="4" w:space="0" w:color="auto"/>
            </w:tcBorders>
            <w:shd w:val="clear" w:color="auto" w:fill="auto"/>
            <w:vAlign w:val="center"/>
            <w:hideMark/>
          </w:tcPr>
          <w:p w:rsidR="00007D87" w:rsidRPr="00C258AD" w:rsidRDefault="00007D87" w:rsidP="0083763A">
            <w:pPr>
              <w:keepNext/>
              <w:jc w:val="center"/>
              <w:rPr>
                <w:color w:val="000000"/>
                <w:sz w:val="16"/>
                <w:szCs w:val="18"/>
                <w:lang w:eastAsia="fr-FR"/>
              </w:rPr>
            </w:pPr>
            <w:r w:rsidRPr="00C258AD">
              <w:rPr>
                <w:color w:val="000000"/>
                <w:sz w:val="16"/>
                <w:szCs w:val="18"/>
                <w:lang w:eastAsia="fr-FR"/>
              </w:rPr>
              <w:t>1 781</w:t>
            </w:r>
          </w:p>
        </w:tc>
        <w:tc>
          <w:tcPr>
            <w:tcW w:w="1703" w:type="dxa"/>
            <w:tcBorders>
              <w:top w:val="nil"/>
              <w:left w:val="nil"/>
              <w:bottom w:val="single" w:sz="4" w:space="0" w:color="auto"/>
              <w:right w:val="single" w:sz="4" w:space="0" w:color="auto"/>
            </w:tcBorders>
            <w:shd w:val="clear" w:color="auto" w:fill="auto"/>
            <w:vAlign w:val="center"/>
            <w:hideMark/>
          </w:tcPr>
          <w:p w:rsidR="00007D87" w:rsidRPr="00C258AD" w:rsidRDefault="00007D87" w:rsidP="0083763A">
            <w:pPr>
              <w:keepNext/>
              <w:jc w:val="center"/>
              <w:rPr>
                <w:color w:val="000000"/>
                <w:sz w:val="16"/>
                <w:szCs w:val="18"/>
                <w:lang w:eastAsia="fr-FR"/>
              </w:rPr>
            </w:pPr>
            <w:r w:rsidRPr="00C258AD">
              <w:rPr>
                <w:color w:val="000000"/>
                <w:sz w:val="16"/>
                <w:szCs w:val="18"/>
                <w:lang w:eastAsia="fr-FR"/>
              </w:rPr>
              <w:t>71%</w:t>
            </w:r>
          </w:p>
        </w:tc>
      </w:tr>
      <w:tr w:rsidR="00007D87" w:rsidRPr="00C258AD" w:rsidTr="004A0BE0">
        <w:trPr>
          <w:cantSplit/>
        </w:trPr>
        <w:tc>
          <w:tcPr>
            <w:tcW w:w="2400" w:type="dxa"/>
            <w:tcBorders>
              <w:top w:val="nil"/>
              <w:left w:val="single" w:sz="4" w:space="0" w:color="auto"/>
              <w:bottom w:val="single" w:sz="4" w:space="0" w:color="auto"/>
              <w:right w:val="single" w:sz="4" w:space="0" w:color="auto"/>
            </w:tcBorders>
            <w:shd w:val="clear" w:color="auto" w:fill="auto"/>
            <w:noWrap/>
            <w:vAlign w:val="center"/>
            <w:hideMark/>
          </w:tcPr>
          <w:p w:rsidR="00007D87" w:rsidRPr="00C258AD" w:rsidRDefault="00007D87" w:rsidP="0083763A">
            <w:pPr>
              <w:keepNext/>
              <w:jc w:val="right"/>
              <w:rPr>
                <w:b/>
                <w:bCs/>
                <w:color w:val="000000"/>
                <w:sz w:val="16"/>
                <w:szCs w:val="18"/>
                <w:lang w:eastAsia="fr-FR"/>
              </w:rPr>
            </w:pPr>
            <w:r w:rsidRPr="00C258AD">
              <w:rPr>
                <w:b/>
                <w:bCs/>
                <w:color w:val="000000"/>
                <w:sz w:val="16"/>
                <w:szCs w:val="18"/>
                <w:lang w:eastAsia="fr-FR"/>
              </w:rPr>
              <w:t xml:space="preserve">TOTAL </w:t>
            </w:r>
          </w:p>
        </w:tc>
        <w:tc>
          <w:tcPr>
            <w:tcW w:w="1655" w:type="dxa"/>
            <w:tcBorders>
              <w:top w:val="nil"/>
              <w:left w:val="nil"/>
              <w:bottom w:val="single" w:sz="4" w:space="0" w:color="auto"/>
              <w:right w:val="single" w:sz="4" w:space="0" w:color="auto"/>
            </w:tcBorders>
            <w:shd w:val="clear" w:color="auto" w:fill="auto"/>
            <w:vAlign w:val="center"/>
            <w:hideMark/>
          </w:tcPr>
          <w:p w:rsidR="00007D87" w:rsidRPr="00C258AD" w:rsidRDefault="00007D87" w:rsidP="0083763A">
            <w:pPr>
              <w:keepNext/>
              <w:jc w:val="center"/>
              <w:rPr>
                <w:b/>
                <w:bCs/>
                <w:color w:val="000000"/>
                <w:sz w:val="16"/>
                <w:szCs w:val="18"/>
                <w:lang w:eastAsia="fr-FR"/>
              </w:rPr>
            </w:pPr>
            <w:r w:rsidRPr="00C258AD">
              <w:rPr>
                <w:b/>
                <w:bCs/>
                <w:color w:val="000000"/>
                <w:sz w:val="16"/>
                <w:szCs w:val="18"/>
                <w:lang w:eastAsia="fr-FR"/>
              </w:rPr>
              <w:t>7 864</w:t>
            </w:r>
          </w:p>
        </w:tc>
        <w:tc>
          <w:tcPr>
            <w:tcW w:w="1656" w:type="dxa"/>
            <w:tcBorders>
              <w:top w:val="nil"/>
              <w:left w:val="nil"/>
              <w:bottom w:val="single" w:sz="4" w:space="0" w:color="auto"/>
              <w:right w:val="single" w:sz="4" w:space="0" w:color="auto"/>
            </w:tcBorders>
            <w:shd w:val="clear" w:color="auto" w:fill="auto"/>
            <w:vAlign w:val="center"/>
            <w:hideMark/>
          </w:tcPr>
          <w:p w:rsidR="00007D87" w:rsidRPr="00C258AD" w:rsidRDefault="00007D87" w:rsidP="0083763A">
            <w:pPr>
              <w:keepNext/>
              <w:jc w:val="center"/>
              <w:rPr>
                <w:b/>
                <w:bCs/>
                <w:color w:val="000000"/>
                <w:sz w:val="16"/>
                <w:szCs w:val="18"/>
                <w:lang w:eastAsia="fr-FR"/>
              </w:rPr>
            </w:pPr>
            <w:r w:rsidRPr="00C258AD">
              <w:rPr>
                <w:b/>
                <w:bCs/>
                <w:color w:val="000000"/>
                <w:sz w:val="16"/>
                <w:szCs w:val="18"/>
                <w:lang w:eastAsia="fr-FR"/>
              </w:rPr>
              <w:t>6 372</w:t>
            </w:r>
          </w:p>
        </w:tc>
        <w:tc>
          <w:tcPr>
            <w:tcW w:w="1656" w:type="dxa"/>
            <w:tcBorders>
              <w:top w:val="nil"/>
              <w:left w:val="nil"/>
              <w:bottom w:val="single" w:sz="4" w:space="0" w:color="auto"/>
              <w:right w:val="single" w:sz="4" w:space="0" w:color="auto"/>
            </w:tcBorders>
            <w:shd w:val="clear" w:color="auto" w:fill="auto"/>
            <w:vAlign w:val="center"/>
            <w:hideMark/>
          </w:tcPr>
          <w:p w:rsidR="00007D87" w:rsidRPr="00C258AD" w:rsidRDefault="00007D87" w:rsidP="0083763A">
            <w:pPr>
              <w:keepNext/>
              <w:jc w:val="center"/>
              <w:rPr>
                <w:b/>
                <w:bCs/>
                <w:color w:val="000000"/>
                <w:sz w:val="16"/>
                <w:szCs w:val="18"/>
                <w:lang w:eastAsia="fr-FR"/>
              </w:rPr>
            </w:pPr>
            <w:r w:rsidRPr="00C258AD">
              <w:rPr>
                <w:b/>
                <w:bCs/>
                <w:color w:val="000000"/>
                <w:sz w:val="16"/>
                <w:szCs w:val="18"/>
                <w:lang w:eastAsia="fr-FR"/>
              </w:rPr>
              <w:t>5 438</w:t>
            </w:r>
          </w:p>
        </w:tc>
        <w:tc>
          <w:tcPr>
            <w:tcW w:w="1703" w:type="dxa"/>
            <w:tcBorders>
              <w:top w:val="nil"/>
              <w:left w:val="nil"/>
              <w:bottom w:val="single" w:sz="4" w:space="0" w:color="auto"/>
              <w:right w:val="single" w:sz="4" w:space="0" w:color="auto"/>
            </w:tcBorders>
            <w:shd w:val="clear" w:color="auto" w:fill="auto"/>
            <w:vAlign w:val="center"/>
            <w:hideMark/>
          </w:tcPr>
          <w:p w:rsidR="00007D87" w:rsidRPr="00C258AD" w:rsidRDefault="00007D87" w:rsidP="0083763A">
            <w:pPr>
              <w:keepNext/>
              <w:jc w:val="center"/>
              <w:rPr>
                <w:b/>
                <w:bCs/>
                <w:color w:val="000000"/>
                <w:sz w:val="16"/>
                <w:szCs w:val="18"/>
                <w:lang w:eastAsia="fr-FR"/>
              </w:rPr>
            </w:pPr>
            <w:r w:rsidRPr="00C258AD">
              <w:rPr>
                <w:b/>
                <w:bCs/>
                <w:color w:val="000000"/>
                <w:sz w:val="16"/>
                <w:szCs w:val="18"/>
                <w:lang w:eastAsia="fr-FR"/>
              </w:rPr>
              <w:t>85%</w:t>
            </w:r>
          </w:p>
        </w:tc>
      </w:tr>
    </w:tbl>
    <w:p w:rsidR="006E2BB1" w:rsidRPr="00C258AD" w:rsidRDefault="006E2BB1" w:rsidP="00007D87">
      <w:pPr>
        <w:widowControl w:val="0"/>
        <w:autoSpaceDE w:val="0"/>
        <w:autoSpaceDN w:val="0"/>
        <w:adjustRightInd w:val="0"/>
        <w:jc w:val="both"/>
        <w:rPr>
          <w:sz w:val="18"/>
        </w:rPr>
      </w:pPr>
    </w:p>
    <w:p w:rsidR="006E2BB1" w:rsidRPr="00C258AD" w:rsidRDefault="006E2BB1" w:rsidP="00007D87">
      <w:pPr>
        <w:widowControl w:val="0"/>
        <w:autoSpaceDE w:val="0"/>
        <w:autoSpaceDN w:val="0"/>
        <w:adjustRightInd w:val="0"/>
        <w:jc w:val="both"/>
        <w:rPr>
          <w:sz w:val="18"/>
        </w:rPr>
      </w:pPr>
    </w:p>
    <w:p w:rsidR="006E2BB1" w:rsidRPr="00C258AD" w:rsidRDefault="00007D87" w:rsidP="00007D87">
      <w:pPr>
        <w:rPr>
          <w:u w:val="single"/>
        </w:rPr>
      </w:pPr>
      <w:r w:rsidRPr="00C258AD">
        <w:t>A.</w:t>
      </w:r>
      <w:r w:rsidRPr="00C258AD">
        <w:tab/>
      </w:r>
      <w:r w:rsidRPr="00C258AD">
        <w:rPr>
          <w:u w:val="single"/>
        </w:rPr>
        <w:t>Budget final 2014</w:t>
      </w:r>
      <w:r w:rsidR="0000169D" w:rsidRPr="00C258AD">
        <w:rPr>
          <w:u w:val="single"/>
        </w:rPr>
        <w:noBreakHyphen/>
      </w:r>
      <w:r w:rsidRPr="00C258AD">
        <w:rPr>
          <w:u w:val="single"/>
        </w:rPr>
        <w:t>2015 après virements</w:t>
      </w:r>
    </w:p>
    <w:p w:rsidR="006E2BB1" w:rsidRPr="00C258AD" w:rsidRDefault="006E2BB1" w:rsidP="00007D87">
      <w:pPr>
        <w:rPr>
          <w:u w:val="single"/>
        </w:rPr>
      </w:pPr>
    </w:p>
    <w:p w:rsidR="006E2BB1" w:rsidRPr="00C258AD" w:rsidRDefault="00007D87" w:rsidP="00BB4DBC">
      <w:pPr>
        <w:numPr>
          <w:ilvl w:val="0"/>
          <w:numId w:val="3"/>
        </w:numPr>
        <w:jc w:val="both"/>
        <w:rPr>
          <w:lang w:eastAsia="ko-KR"/>
        </w:rPr>
      </w:pPr>
      <w:r w:rsidRPr="00C258AD">
        <w:rPr>
          <w:lang w:eastAsia="ko-KR"/>
        </w:rPr>
        <w:t>La réduction observée dans le budget final 2014</w:t>
      </w:r>
      <w:r w:rsidR="0000169D" w:rsidRPr="00C258AD">
        <w:rPr>
          <w:lang w:eastAsia="ko-KR"/>
        </w:rPr>
        <w:noBreakHyphen/>
      </w:r>
      <w:r w:rsidRPr="00C258AD">
        <w:rPr>
          <w:lang w:eastAsia="ko-KR"/>
        </w:rPr>
        <w:t>2015 après virements au titre du résultat</w:t>
      </w:r>
      <w:r w:rsidR="00E544BA" w:rsidRPr="00C258AD">
        <w:rPr>
          <w:lang w:eastAsia="ko-KR"/>
        </w:rPr>
        <w:t> </w:t>
      </w:r>
      <w:r w:rsidRPr="00C258AD">
        <w:rPr>
          <w:lang w:eastAsia="ko-KR"/>
        </w:rPr>
        <w:t>I.1 (élaboration de cadres normatifs internationaux équilibrés dans le domaine de la propriété intellectuelle) tient compte d</w:t>
      </w:r>
      <w:r w:rsidR="00721905" w:rsidRPr="00C258AD">
        <w:rPr>
          <w:lang w:eastAsia="ko-KR"/>
        </w:rPr>
        <w:t>’</w:t>
      </w:r>
      <w:r w:rsidRPr="00C258AD">
        <w:rPr>
          <w:lang w:eastAsia="ko-KR"/>
        </w:rPr>
        <w:t>une réduction par rapport aux ressources initialement prévues pour une conférence diplomatique concernant la propriété intellectuelle et les ressources génétiques, les savoirs traditionnels et le folklore (IGC).</w:t>
      </w:r>
    </w:p>
    <w:p w:rsidR="006E2BB1" w:rsidRPr="00C258AD" w:rsidRDefault="006E2BB1" w:rsidP="00007D87">
      <w:pPr>
        <w:autoSpaceDE w:val="0"/>
        <w:autoSpaceDN w:val="0"/>
        <w:jc w:val="both"/>
        <w:rPr>
          <w:lang w:eastAsia="ko-KR"/>
        </w:rPr>
      </w:pPr>
    </w:p>
    <w:p w:rsidR="006E2BB1" w:rsidRPr="00C258AD" w:rsidRDefault="00007D87" w:rsidP="00BB4DBC">
      <w:pPr>
        <w:numPr>
          <w:ilvl w:val="0"/>
          <w:numId w:val="3"/>
        </w:numPr>
        <w:jc w:val="both"/>
        <w:rPr>
          <w:lang w:eastAsia="ko-KR"/>
        </w:rPr>
      </w:pPr>
      <w:r w:rsidRPr="00C258AD">
        <w:rPr>
          <w:lang w:eastAsia="ko-KR"/>
        </w:rPr>
        <w:t>Le programme 4 comprend les ressources allouées au Département des savoirs traditionnels et des défis mondiaux en lien avec le résultat escompté VII.2.</w:t>
      </w:r>
    </w:p>
    <w:p w:rsidR="006E2BB1" w:rsidRPr="00C258AD" w:rsidRDefault="006E2BB1" w:rsidP="00007D87">
      <w:pPr>
        <w:autoSpaceDE w:val="0"/>
        <w:autoSpaceDN w:val="0"/>
        <w:jc w:val="both"/>
        <w:rPr>
          <w:sz w:val="18"/>
          <w:lang w:eastAsia="ko-KR"/>
        </w:rPr>
      </w:pPr>
    </w:p>
    <w:p w:rsidR="006E2BB1" w:rsidRPr="00C258AD" w:rsidRDefault="006E2BB1" w:rsidP="00007D87">
      <w:pPr>
        <w:autoSpaceDE w:val="0"/>
        <w:autoSpaceDN w:val="0"/>
        <w:jc w:val="both"/>
        <w:rPr>
          <w:sz w:val="18"/>
          <w:lang w:eastAsia="ko-KR"/>
        </w:rPr>
      </w:pPr>
    </w:p>
    <w:p w:rsidR="006E2BB1" w:rsidRPr="00C258AD" w:rsidRDefault="00007D87" w:rsidP="00007D87">
      <w:pPr>
        <w:jc w:val="both"/>
        <w:rPr>
          <w:u w:val="single"/>
          <w:lang w:eastAsia="ko-KR"/>
        </w:rPr>
      </w:pPr>
      <w:r w:rsidRPr="00C258AD">
        <w:rPr>
          <w:lang w:eastAsia="ko-KR"/>
        </w:rPr>
        <w:t>B.</w:t>
      </w:r>
      <w:r w:rsidRPr="00C258AD">
        <w:rPr>
          <w:i/>
          <w:lang w:eastAsia="ko-KR"/>
        </w:rPr>
        <w:tab/>
      </w:r>
      <w:r w:rsidRPr="00C258AD">
        <w:rPr>
          <w:u w:val="single"/>
          <w:lang w:eastAsia="ko-KR"/>
        </w:rPr>
        <w:t>Utilisation du budget en 2014</w:t>
      </w:r>
      <w:r w:rsidR="0000169D" w:rsidRPr="00C258AD">
        <w:rPr>
          <w:u w:val="single"/>
          <w:lang w:eastAsia="ko-KR"/>
        </w:rPr>
        <w:noBreakHyphen/>
      </w:r>
      <w:r w:rsidRPr="00C258AD">
        <w:rPr>
          <w:u w:val="single"/>
          <w:lang w:eastAsia="ko-KR"/>
        </w:rPr>
        <w:t>2015</w:t>
      </w:r>
    </w:p>
    <w:p w:rsidR="006E2BB1" w:rsidRPr="00C258AD" w:rsidRDefault="006E2BB1" w:rsidP="00007D87">
      <w:pPr>
        <w:tabs>
          <w:tab w:val="left" w:pos="709"/>
        </w:tabs>
        <w:jc w:val="both"/>
        <w:rPr>
          <w:u w:val="single"/>
          <w:lang w:eastAsia="ko-KR"/>
        </w:rPr>
      </w:pPr>
    </w:p>
    <w:p w:rsidR="006E2BB1" w:rsidRPr="00C258AD" w:rsidRDefault="00007D87" w:rsidP="00BB4DBC">
      <w:pPr>
        <w:numPr>
          <w:ilvl w:val="0"/>
          <w:numId w:val="3"/>
        </w:numPr>
        <w:jc w:val="both"/>
      </w:pPr>
      <w:r w:rsidRPr="00C258AD">
        <w:t>Le taux d</w:t>
      </w:r>
      <w:r w:rsidR="00721905" w:rsidRPr="00C258AD">
        <w:t>’</w:t>
      </w:r>
      <w:r w:rsidRPr="00C258AD">
        <w:t>utilisation du budget du programme pour les dépenses autres que les dépenses de personnel s</w:t>
      </w:r>
      <w:r w:rsidR="00721905" w:rsidRPr="00C258AD">
        <w:t>’</w:t>
      </w:r>
      <w:r w:rsidRPr="00C258AD">
        <w:t>élève à 67% du budget final après viremen</w:t>
      </w:r>
      <w:r w:rsidR="0000169D" w:rsidRPr="00C258AD">
        <w:t>ts.  La</w:t>
      </w:r>
      <w:r w:rsidRPr="00C258AD">
        <w:t xml:space="preserve"> sous</w:t>
      </w:r>
      <w:r w:rsidR="0000169D" w:rsidRPr="00C258AD">
        <w:noBreakHyphen/>
      </w:r>
      <w:r w:rsidRPr="00C258AD">
        <w:t>utilisation des ressources hors personnel provient essentiellement du désaccord lors de la session d</w:t>
      </w:r>
      <w:r w:rsidR="00721905" w:rsidRPr="00C258AD">
        <w:t>’octobre 20</w:t>
      </w:r>
      <w:r w:rsidRPr="00C258AD">
        <w:t>14 de l</w:t>
      </w:r>
      <w:r w:rsidR="00721905" w:rsidRPr="00C258AD">
        <w:t>’</w:t>
      </w:r>
      <w:r w:rsidRPr="00C258AD">
        <w:t>Assemblée générale de l</w:t>
      </w:r>
      <w:r w:rsidR="00721905" w:rsidRPr="00C258AD">
        <w:t>’</w:t>
      </w:r>
      <w:r w:rsidRPr="00C258AD">
        <w:t>OMPI sur un programme de travail de l</w:t>
      </w:r>
      <w:r w:rsidR="00721905" w:rsidRPr="00C258AD">
        <w:t>’</w:t>
      </w:r>
      <w:r w:rsidRPr="00C258AD">
        <w:t>IGC pour</w:t>
      </w:r>
      <w:r w:rsidR="002C57EB" w:rsidRPr="00C258AD">
        <w:t> </w:t>
      </w:r>
      <w:r w:rsidRPr="00C258AD">
        <w:t xml:space="preserve">2015, </w:t>
      </w:r>
      <w:r w:rsidRPr="00C258AD">
        <w:rPr>
          <w:color w:val="000000" w:themeColor="text1"/>
        </w:rPr>
        <w:t>aboutissant à l</w:t>
      </w:r>
      <w:r w:rsidR="00721905" w:rsidRPr="00C258AD">
        <w:rPr>
          <w:color w:val="000000" w:themeColor="text1"/>
        </w:rPr>
        <w:t>’</w:t>
      </w:r>
      <w:r w:rsidRPr="00C258AD">
        <w:rPr>
          <w:color w:val="000000" w:themeColor="text1"/>
        </w:rPr>
        <w:t>absence de sessions de l</w:t>
      </w:r>
      <w:r w:rsidR="00721905" w:rsidRPr="00C258AD">
        <w:rPr>
          <w:color w:val="000000" w:themeColor="text1"/>
        </w:rPr>
        <w:t>’</w:t>
      </w:r>
      <w:r w:rsidRPr="00C258AD">
        <w:rPr>
          <w:color w:val="000000" w:themeColor="text1"/>
        </w:rPr>
        <w:t>IGC en</w:t>
      </w:r>
      <w:r w:rsidR="002C57EB" w:rsidRPr="00C258AD">
        <w:rPr>
          <w:color w:val="000000" w:themeColor="text1"/>
        </w:rPr>
        <w:t> </w:t>
      </w:r>
      <w:r w:rsidRPr="00C258AD">
        <w:rPr>
          <w:color w:val="000000" w:themeColor="text1"/>
        </w:rPr>
        <w:t>2015.  Étant donné que l</w:t>
      </w:r>
      <w:r w:rsidR="00721905" w:rsidRPr="00C258AD">
        <w:rPr>
          <w:color w:val="000000" w:themeColor="text1"/>
        </w:rPr>
        <w:t>’</w:t>
      </w:r>
      <w:r w:rsidRPr="00C258AD">
        <w:rPr>
          <w:color w:val="000000" w:themeColor="text1"/>
        </w:rPr>
        <w:t>IGC représente une partie importante du budget du programme, une partie du budget de l</w:t>
      </w:r>
      <w:r w:rsidR="00721905" w:rsidRPr="00C258AD">
        <w:rPr>
          <w:color w:val="000000" w:themeColor="text1"/>
        </w:rPr>
        <w:t>’</w:t>
      </w:r>
      <w:r w:rsidRPr="00C258AD">
        <w:rPr>
          <w:color w:val="000000" w:themeColor="text1"/>
        </w:rPr>
        <w:t>IGC a été utilisée dans le cadre de l</w:t>
      </w:r>
      <w:r w:rsidR="00721905" w:rsidRPr="00C258AD">
        <w:rPr>
          <w:color w:val="000000" w:themeColor="text1"/>
        </w:rPr>
        <w:t>’</w:t>
      </w:r>
      <w:r w:rsidRPr="00C258AD">
        <w:rPr>
          <w:color w:val="000000" w:themeColor="text1"/>
        </w:rPr>
        <w:t>exécution du programme afin d</w:t>
      </w:r>
      <w:r w:rsidR="00721905" w:rsidRPr="00C258AD">
        <w:rPr>
          <w:color w:val="000000" w:themeColor="text1"/>
        </w:rPr>
        <w:t>’</w:t>
      </w:r>
      <w:r w:rsidRPr="00C258AD">
        <w:rPr>
          <w:color w:val="000000" w:themeColor="text1"/>
        </w:rPr>
        <w:t>accroître les activités en matière de renforcement des capacités et d</w:t>
      </w:r>
      <w:r w:rsidR="00721905" w:rsidRPr="00C258AD">
        <w:rPr>
          <w:color w:val="000000" w:themeColor="text1"/>
        </w:rPr>
        <w:t>’</w:t>
      </w:r>
      <w:r w:rsidRPr="00C258AD">
        <w:rPr>
          <w:color w:val="000000" w:themeColor="text1"/>
        </w:rPr>
        <w:t>assistance technique en</w:t>
      </w:r>
      <w:r w:rsidR="002C57EB" w:rsidRPr="00C258AD">
        <w:rPr>
          <w:color w:val="000000" w:themeColor="text1"/>
        </w:rPr>
        <w:t> </w:t>
      </w:r>
      <w:r w:rsidRPr="00C258AD">
        <w:rPr>
          <w:color w:val="000000" w:themeColor="text1"/>
        </w:rPr>
        <w:t>2015.</w:t>
      </w:r>
      <w:r w:rsidR="00194A9A" w:rsidRPr="00C258AD">
        <w:br w:type="page"/>
      </w:r>
    </w:p>
    <w:p w:rsidR="00E5009E" w:rsidRPr="00C258AD" w:rsidRDefault="00E5009E" w:rsidP="00E5009E">
      <w:pPr>
        <w:pStyle w:val="Heading2"/>
        <w:jc w:val="center"/>
      </w:pPr>
      <w:bookmarkStart w:id="67" w:name="_Toc455394181"/>
      <w:bookmarkStart w:id="68" w:name="_Toc367350576"/>
      <w:bookmarkStart w:id="69" w:name="_Toc422404219"/>
      <w:bookmarkStart w:id="70" w:name="_Toc423352867"/>
      <w:r w:rsidRPr="00C258AD">
        <w:lastRenderedPageBreak/>
        <w:t>OBJECTIF STRATÉGIQUE II</w:t>
      </w:r>
      <w:bookmarkEnd w:id="67"/>
    </w:p>
    <w:p w:rsidR="00E5009E" w:rsidRPr="00C258AD" w:rsidRDefault="00E5009E" w:rsidP="00E5009E">
      <w:pPr>
        <w:pStyle w:val="ListParagraph"/>
        <w:numPr>
          <w:ilvl w:val="0"/>
          <w:numId w:val="0"/>
        </w:numPr>
        <w:rPr>
          <w:b/>
        </w:rPr>
      </w:pPr>
    </w:p>
    <w:bookmarkEnd w:id="68"/>
    <w:p w:rsidR="00E5009E" w:rsidRPr="00C258AD" w:rsidRDefault="00E5009E" w:rsidP="00E5009E">
      <w:pPr>
        <w:pStyle w:val="ListParagraph"/>
        <w:numPr>
          <w:ilvl w:val="0"/>
          <w:numId w:val="0"/>
        </w:numPr>
        <w:rPr>
          <w:b/>
          <w:caps/>
        </w:rPr>
      </w:pPr>
      <w:r w:rsidRPr="00C258AD">
        <w:rPr>
          <w:b/>
          <w:caps/>
        </w:rPr>
        <w:t>Fourniture de services mondiaux de propriété intellectuelle de premier ordre</w:t>
      </w:r>
    </w:p>
    <w:p w:rsidR="00E5009E" w:rsidRPr="00C258AD" w:rsidRDefault="00E5009E" w:rsidP="00E5009E">
      <w:pPr>
        <w:jc w:val="center"/>
        <w:rPr>
          <w:b/>
        </w:rPr>
      </w:pPr>
    </w:p>
    <w:p w:rsidR="00E5009E" w:rsidRPr="00C258AD" w:rsidRDefault="00E5009E" w:rsidP="00E5009E">
      <w:pPr>
        <w:jc w:val="center"/>
        <w:rPr>
          <w:b/>
        </w:rPr>
      </w:pPr>
    </w:p>
    <w:p w:rsidR="00E5009E" w:rsidRPr="00C258AD" w:rsidRDefault="00E5009E" w:rsidP="00E5009E">
      <w:pPr>
        <w:jc w:val="center"/>
        <w:rPr>
          <w:b/>
        </w:rPr>
      </w:pPr>
      <w:r w:rsidRPr="00C258AD">
        <w:rPr>
          <w:b/>
        </w:rPr>
        <w:t>Tableau de bord de l’exécution du programme biennal</w:t>
      </w:r>
    </w:p>
    <w:p w:rsidR="00E5009E" w:rsidRPr="00C258AD" w:rsidRDefault="00E5009E" w:rsidP="00E5009E">
      <w:pPr>
        <w:jc w:val="center"/>
        <w:rPr>
          <w:b/>
        </w:rPr>
      </w:pPr>
    </w:p>
    <w:p w:rsidR="00E5009E" w:rsidRPr="00C258AD" w:rsidRDefault="00E5009E" w:rsidP="00E5009E">
      <w:pPr>
        <w:pStyle w:val="ListParagraph"/>
        <w:numPr>
          <w:ilvl w:val="0"/>
          <w:numId w:val="0"/>
        </w:numPr>
        <w:autoSpaceDE w:val="0"/>
        <w:autoSpaceDN w:val="0"/>
        <w:adjustRightInd w:val="0"/>
        <w:jc w:val="both"/>
        <w:rPr>
          <w:rFonts w:cs="Arial"/>
        </w:rPr>
      </w:pPr>
      <w:r w:rsidRPr="00C258AD">
        <w:rPr>
          <w:rFonts w:cs="Arial"/>
        </w:rPr>
        <w:t>Le tableau de bord ci</w:t>
      </w:r>
      <w:r w:rsidRPr="00C258AD">
        <w:rPr>
          <w:rFonts w:cs="Arial"/>
        </w:rPr>
        <w:noBreakHyphen/>
        <w:t>dessous présente un résumé de la réalisation des résultats escomptés pour l’exercice biennal 2014</w:t>
      </w:r>
      <w:r w:rsidRPr="00C258AD">
        <w:rPr>
          <w:rFonts w:cs="Arial"/>
        </w:rPr>
        <w:noBreakHyphen/>
        <w:t>2015, telle que mesurée par les indicateurs au titre des programmes contribuant à cet objectif stratégique.</w:t>
      </w:r>
    </w:p>
    <w:p w:rsidR="00E5009E" w:rsidRPr="00C258AD" w:rsidRDefault="00E5009E" w:rsidP="00E5009E">
      <w:pPr>
        <w:pStyle w:val="ListParagraph"/>
        <w:numPr>
          <w:ilvl w:val="0"/>
          <w:numId w:val="0"/>
        </w:numPr>
      </w:pPr>
    </w:p>
    <w:p w:rsidR="00E5009E" w:rsidRPr="00C258AD" w:rsidRDefault="00E5009E" w:rsidP="00E5009E">
      <w:r w:rsidRPr="00C258AD">
        <w:rPr>
          <w:noProof/>
          <w:lang w:val="en-US"/>
        </w:rPr>
        <w:drawing>
          <wp:inline distT="0" distB="0" distL="0" distR="0" wp14:anchorId="34DA0D28" wp14:editId="2C379891">
            <wp:extent cx="5940425" cy="2958313"/>
            <wp:effectExtent l="0" t="0" r="317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0425" cy="2958313"/>
                    </a:xfrm>
                    <a:prstGeom prst="rect">
                      <a:avLst/>
                    </a:prstGeom>
                    <a:noFill/>
                    <a:ln>
                      <a:noFill/>
                    </a:ln>
                  </pic:spPr>
                </pic:pic>
              </a:graphicData>
            </a:graphic>
          </wp:inline>
        </w:drawing>
      </w:r>
    </w:p>
    <w:p w:rsidR="00E5009E" w:rsidRPr="00C258AD" w:rsidRDefault="00E5009E" w:rsidP="00E5009E"/>
    <w:tbl>
      <w:tblPr>
        <w:tblW w:w="5000" w:type="pct"/>
        <w:tblInd w:w="108" w:type="dxa"/>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652"/>
        <w:gridCol w:w="4214"/>
        <w:gridCol w:w="1570"/>
        <w:gridCol w:w="1055"/>
      </w:tblGrid>
      <w:tr w:rsidR="00E5009E" w:rsidRPr="00C258AD" w:rsidTr="00BB716F">
        <w:trPr>
          <w:cantSplit/>
          <w:tblHeader/>
        </w:trPr>
        <w:tc>
          <w:tcPr>
            <w:tcW w:w="1397"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E5009E" w:rsidRPr="00C258AD" w:rsidRDefault="00E5009E" w:rsidP="00BB716F">
            <w:pPr>
              <w:spacing w:after="120"/>
              <w:jc w:val="center"/>
              <w:rPr>
                <w:rFonts w:cs="Arial"/>
                <w:b/>
                <w:bCs/>
                <w:sz w:val="18"/>
                <w:szCs w:val="18"/>
              </w:rPr>
            </w:pPr>
            <w:r w:rsidRPr="00C258AD">
              <w:rPr>
                <w:rFonts w:cs="Arial"/>
                <w:b/>
                <w:bCs/>
                <w:sz w:val="18"/>
                <w:szCs w:val="18"/>
              </w:rPr>
              <w:t>Résultats escomptés</w:t>
            </w:r>
          </w:p>
        </w:tc>
        <w:tc>
          <w:tcPr>
            <w:tcW w:w="2220"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E5009E" w:rsidRPr="00C258AD" w:rsidRDefault="00E5009E" w:rsidP="00BB716F">
            <w:pPr>
              <w:spacing w:after="120"/>
              <w:jc w:val="center"/>
              <w:rPr>
                <w:rFonts w:cs="Arial"/>
                <w:b/>
                <w:sz w:val="18"/>
                <w:szCs w:val="18"/>
              </w:rPr>
            </w:pPr>
            <w:r w:rsidRPr="00C258AD">
              <w:rPr>
                <w:rFonts w:cs="Arial"/>
                <w:b/>
                <w:sz w:val="18"/>
                <w:szCs w:val="18"/>
              </w:rPr>
              <w:t>Indicateurs d’exécution</w:t>
            </w:r>
          </w:p>
        </w:tc>
        <w:tc>
          <w:tcPr>
            <w:tcW w:w="827" w:type="pct"/>
            <w:tcBorders>
              <w:top w:val="single" w:sz="4" w:space="0" w:color="auto"/>
              <w:bottom w:val="single" w:sz="4" w:space="0" w:color="auto"/>
            </w:tcBorders>
            <w:shd w:val="clear" w:color="auto" w:fill="DAEEF3" w:themeFill="accent5" w:themeFillTint="33"/>
            <w:tcMar>
              <w:top w:w="113" w:type="dxa"/>
              <w:bottom w:w="113" w:type="dxa"/>
            </w:tcMar>
            <w:vAlign w:val="center"/>
          </w:tcPr>
          <w:p w:rsidR="00E5009E" w:rsidRPr="00C258AD" w:rsidRDefault="00E5009E" w:rsidP="00BB716F">
            <w:pPr>
              <w:spacing w:after="120"/>
              <w:ind w:left="85"/>
              <w:jc w:val="center"/>
              <w:rPr>
                <w:rFonts w:cs="Arial"/>
                <w:sz w:val="18"/>
                <w:szCs w:val="18"/>
              </w:rPr>
            </w:pPr>
            <w:r w:rsidRPr="00C258AD">
              <w:rPr>
                <w:rFonts w:cs="Arial"/>
                <w:b/>
                <w:sz w:val="18"/>
                <w:szCs w:val="18"/>
              </w:rPr>
              <w:t>Programme(s) concerné(s)</w:t>
            </w:r>
          </w:p>
        </w:tc>
        <w:tc>
          <w:tcPr>
            <w:tcW w:w="556" w:type="pct"/>
            <w:tcBorders>
              <w:top w:val="single" w:sz="4" w:space="0" w:color="auto"/>
              <w:bottom w:val="single" w:sz="4" w:space="0" w:color="auto"/>
            </w:tcBorders>
            <w:shd w:val="clear" w:color="auto" w:fill="DAEEF3" w:themeFill="accent5" w:themeFillTint="33"/>
            <w:vAlign w:val="center"/>
          </w:tcPr>
          <w:p w:rsidR="00E5009E" w:rsidRPr="00C258AD" w:rsidRDefault="00E5009E" w:rsidP="00BB716F">
            <w:pPr>
              <w:spacing w:after="120"/>
              <w:ind w:left="85"/>
              <w:jc w:val="center"/>
              <w:rPr>
                <w:rFonts w:cs="Arial"/>
                <w:b/>
                <w:bCs/>
                <w:sz w:val="18"/>
                <w:szCs w:val="18"/>
              </w:rPr>
            </w:pPr>
            <w:r w:rsidRPr="00C258AD">
              <w:rPr>
                <w:rFonts w:cs="Arial"/>
                <w:b/>
                <w:bCs/>
                <w:sz w:val="18"/>
                <w:szCs w:val="18"/>
              </w:rPr>
              <w:t>Code de couleurs</w:t>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II.1  Utilisation accrue de la voie PCT pour le dépôt des demandes internationales de brevet</w:t>
            </w: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Degré de satisfaction des utilisateurs du PCT à l’égard des services d’information et de formation axés sur les utilisateurs</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rPr>
            </w:pPr>
            <w:r w:rsidRPr="00C258AD">
              <w:rPr>
                <w:rFonts w:cs="Arial"/>
                <w:sz w:val="16"/>
                <w:szCs w:val="16"/>
              </w:rPr>
              <w:t>Programme 5</w:t>
            </w:r>
          </w:p>
        </w:tc>
        <w:tc>
          <w:tcPr>
            <w:tcW w:w="556" w:type="pct"/>
            <w:shd w:val="clear" w:color="auto" w:fill="FFFFFF"/>
          </w:tcPr>
          <w:p w:rsidR="00E5009E" w:rsidRPr="00C258AD" w:rsidRDefault="00E5009E" w:rsidP="00BB716F">
            <w:pPr>
              <w:jc w:val="center"/>
              <w:rPr>
                <w:rFonts w:cs="Arial"/>
                <w:color w:val="008000"/>
                <w:sz w:val="22"/>
                <w:szCs w:val="22"/>
              </w:rP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Satisfaction des offices et des administrations internationales à l’égard des activités de coopération du PCT</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5</w:t>
            </w:r>
          </w:p>
        </w:tc>
        <w:tc>
          <w:tcPr>
            <w:tcW w:w="556" w:type="pct"/>
            <w:shd w:val="clear" w:color="auto" w:fill="FFFFFF"/>
          </w:tcPr>
          <w:p w:rsidR="00E5009E" w:rsidRPr="00C258AD" w:rsidRDefault="00E5009E" w:rsidP="00BB716F">
            <w:pPr>
              <w:jc w:val="center"/>
              <w:rPr>
                <w:rFonts w:cs="Arial"/>
                <w:color w:val="008000"/>
                <w:sz w:val="22"/>
                <w:szCs w:val="22"/>
              </w:rP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de demandes selon le PCT originaires de pays en transition et de pays développés</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10</w:t>
            </w:r>
          </w:p>
        </w:tc>
        <w:tc>
          <w:tcPr>
            <w:tcW w:w="556"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Pourcentage de dépôts selon le PCT</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20</w:t>
            </w:r>
          </w:p>
        </w:tc>
        <w:tc>
          <w:tcPr>
            <w:tcW w:w="556" w:type="pct"/>
            <w:shd w:val="clear" w:color="auto" w:fill="FFFFFF"/>
          </w:tcPr>
          <w:p w:rsidR="00E5009E" w:rsidRPr="00C258AD" w:rsidRDefault="00E5009E" w:rsidP="00BB716F">
            <w:pPr>
              <w:jc w:val="center"/>
            </w:pPr>
            <w:r w:rsidRPr="00C258AD">
              <w:rPr>
                <w:rFonts w:cs="Arial"/>
                <w:color w:val="FF0000"/>
                <w:sz w:val="22"/>
                <w:szCs w:val="22"/>
              </w:rPr>
              <w:sym w:font="Wingdings" w:char="F06C"/>
            </w:r>
            <w:r w:rsidRPr="00C258AD">
              <w:rPr>
                <w:rFonts w:cs="Arial"/>
                <w:color w:val="FF0000"/>
                <w:sz w:val="22"/>
                <w:szCs w:val="22"/>
              </w:rPr>
              <w:sym w:font="Wingdings" w:char="F06C"/>
            </w: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Pourcentage de décideurs, de fonctionnaires gouvernementaux, de spécialistes de la propriété intellectuelle et de participants à des séminaires ciblés ayant une meilleure connaissance du PCT et de thèmes connexes</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20</w:t>
            </w:r>
          </w:p>
        </w:tc>
        <w:tc>
          <w:tcPr>
            <w:tcW w:w="556" w:type="pct"/>
            <w:shd w:val="clear" w:color="auto" w:fill="FFFFFF"/>
          </w:tcPr>
          <w:p w:rsidR="00E5009E" w:rsidRPr="00C258AD" w:rsidRDefault="00E5009E" w:rsidP="00BB716F">
            <w:pPr>
              <w:jc w:val="center"/>
            </w:pP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autoSpaceDE w:val="0"/>
              <w:autoSpaceDN w:val="0"/>
              <w:adjustRightInd w:val="0"/>
              <w:rPr>
                <w:rFonts w:cs="Arial"/>
                <w:sz w:val="16"/>
                <w:szCs w:val="16"/>
                <w:lang w:eastAsia="zh-CN" w:bidi="th-TH"/>
              </w:rPr>
            </w:pPr>
            <w:r w:rsidRPr="00C258AD">
              <w:rPr>
                <w:rFonts w:cs="Arial"/>
                <w:sz w:val="16"/>
                <w:szCs w:val="16"/>
                <w:lang w:eastAsia="zh-CN" w:bidi="th-TH"/>
              </w:rPr>
              <w:t>II.2  Amélioration du système du PCT</w:t>
            </w:r>
          </w:p>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Amélioration du système du PCT, notamment mise en œuvre des recommandations des lignes directrices du PCT approuvées par les États membres du PCT</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5</w:t>
            </w:r>
          </w:p>
        </w:tc>
        <w:tc>
          <w:tcPr>
            <w:tcW w:w="556" w:type="pct"/>
            <w:shd w:val="clear" w:color="auto" w:fill="FFFFFF"/>
          </w:tcPr>
          <w:p w:rsidR="00E5009E" w:rsidRPr="00C258AD" w:rsidRDefault="00E5009E" w:rsidP="00BB716F">
            <w:pPr>
              <w:spacing w:before="40"/>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Amélioration des services électroniques pour les déposants, les tiers, les offices et les administrations</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5</w:t>
            </w:r>
          </w:p>
        </w:tc>
        <w:tc>
          <w:tcPr>
            <w:tcW w:w="556" w:type="pct"/>
            <w:shd w:val="clear" w:color="auto" w:fill="FFFFFF"/>
          </w:tcPr>
          <w:p w:rsidR="00E5009E" w:rsidRPr="00C258AD" w:rsidRDefault="00E5009E" w:rsidP="00BB716F">
            <w:pPr>
              <w:spacing w:before="40"/>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lastRenderedPageBreak/>
              <w:t>II.3  Amélioration de la productivité et de la qualité de service des opérations du PCT</w:t>
            </w: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Coût unitaire du traitement d’une demande</w:t>
            </w:r>
          </w:p>
          <w:p w:rsidR="00E5009E" w:rsidRPr="00C258AD" w:rsidRDefault="00E5009E" w:rsidP="00BB716F">
            <w:pPr>
              <w:rPr>
                <w:rFonts w:cs="Arial"/>
                <w:sz w:val="16"/>
                <w:szCs w:val="16"/>
              </w:rPr>
            </w:pPr>
          </w:p>
          <w:p w:rsidR="00E5009E" w:rsidRPr="00C258AD" w:rsidRDefault="00E5009E" w:rsidP="00BB716F">
            <w:pPr>
              <w:rPr>
                <w:rFonts w:cs="Arial"/>
                <w:sz w:val="16"/>
                <w:szCs w:val="16"/>
              </w:rPr>
            </w:pPr>
            <w:r w:rsidRPr="00C258AD">
              <w:rPr>
                <w:rFonts w:cs="Arial"/>
                <w:sz w:val="16"/>
                <w:szCs w:val="16"/>
              </w:rPr>
              <w:t>Qualité globale de l’examen de forme (y compris les délais)</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5</w:t>
            </w:r>
          </w:p>
          <w:p w:rsidR="00E5009E" w:rsidRPr="00C258AD" w:rsidRDefault="00E5009E" w:rsidP="00BB716F">
            <w:pPr>
              <w:ind w:left="441" w:hanging="413"/>
              <w:jc w:val="center"/>
              <w:rPr>
                <w:rFonts w:cs="Arial"/>
                <w:sz w:val="16"/>
                <w:szCs w:val="16"/>
                <w:lang w:bidi="th-TH"/>
              </w:rPr>
            </w:pPr>
          </w:p>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5</w:t>
            </w:r>
          </w:p>
        </w:tc>
        <w:tc>
          <w:tcPr>
            <w:tcW w:w="556" w:type="pct"/>
            <w:shd w:val="clear" w:color="auto" w:fill="FFFFFF"/>
          </w:tcPr>
          <w:p w:rsidR="00E5009E" w:rsidRPr="00C258AD" w:rsidRDefault="00E5009E" w:rsidP="00BB716F">
            <w:pPr>
              <w:spacing w:before="40"/>
              <w:jc w:val="center"/>
              <w:rPr>
                <w:rFonts w:cs="Arial"/>
                <w:color w:val="008000"/>
                <w:sz w:val="22"/>
                <w:szCs w:val="22"/>
              </w:rPr>
            </w:pPr>
            <w:r w:rsidRPr="00C258AD">
              <w:rPr>
                <w:rFonts w:cs="Arial"/>
                <w:color w:val="008000"/>
                <w:sz w:val="22"/>
                <w:szCs w:val="22"/>
              </w:rPr>
              <w:sym w:font="Wingdings" w:char="F06C"/>
            </w:r>
            <w:r w:rsidRPr="00C258AD">
              <w:rPr>
                <w:rFonts w:cs="Arial"/>
                <w:color w:val="FF0000"/>
                <w:sz w:val="22"/>
                <w:szCs w:val="22"/>
              </w:rPr>
              <w:sym w:font="Wingdings" w:char="F06C"/>
            </w:r>
            <w:r w:rsidRPr="00C258AD">
              <w:rPr>
                <w:rFonts w:cs="Arial"/>
                <w:color w:val="008000"/>
                <w:sz w:val="22"/>
                <w:szCs w:val="22"/>
              </w:rPr>
              <w:sym w:font="Wingdings" w:char="F06C"/>
            </w:r>
          </w:p>
          <w:p w:rsidR="00E5009E" w:rsidRPr="00C258AD" w:rsidRDefault="00E5009E" w:rsidP="00BB716F">
            <w:pPr>
              <w:spacing w:before="40"/>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Qualité des traductions</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5</w:t>
            </w:r>
          </w:p>
        </w:tc>
        <w:tc>
          <w:tcPr>
            <w:tcW w:w="556" w:type="pct"/>
            <w:shd w:val="clear" w:color="auto" w:fill="FFFFFF"/>
          </w:tcPr>
          <w:p w:rsidR="00E5009E" w:rsidRPr="00C258AD" w:rsidRDefault="00E5009E" w:rsidP="00BB716F">
            <w:pPr>
              <w:spacing w:before="40"/>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57" w:type="dxa"/>
              <w:bottom w:w="57" w:type="dxa"/>
            </w:tcMar>
          </w:tcPr>
          <w:p w:rsidR="00E5009E" w:rsidRPr="00C258AD" w:rsidRDefault="00E5009E" w:rsidP="00BB716F">
            <w:pPr>
              <w:tabs>
                <w:tab w:val="left" w:pos="1860"/>
              </w:tabs>
              <w:rPr>
                <w:rFonts w:cs="Arial"/>
                <w:sz w:val="16"/>
                <w:szCs w:val="16"/>
              </w:rPr>
            </w:pPr>
            <w:r w:rsidRPr="00C258AD">
              <w:rPr>
                <w:rFonts w:cs="Arial"/>
                <w:sz w:val="16"/>
                <w:szCs w:val="16"/>
              </w:rPr>
              <w:t>Délais de traduction des rapports</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5</w:t>
            </w:r>
          </w:p>
        </w:tc>
        <w:tc>
          <w:tcPr>
            <w:tcW w:w="556" w:type="pct"/>
            <w:shd w:val="clear" w:color="auto" w:fill="FFFFFF"/>
          </w:tcPr>
          <w:p w:rsidR="00E5009E" w:rsidRPr="00C258AD" w:rsidRDefault="00E5009E" w:rsidP="00BB716F">
            <w:pPr>
              <w:spacing w:before="40"/>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57" w:type="dxa"/>
              <w:bottom w:w="57" w:type="dxa"/>
            </w:tcMar>
          </w:tcPr>
          <w:p w:rsidR="00E5009E" w:rsidRPr="00C258AD" w:rsidRDefault="00E5009E" w:rsidP="00BB716F">
            <w:pPr>
              <w:rPr>
                <w:rFonts w:cs="Arial"/>
                <w:sz w:val="16"/>
                <w:szCs w:val="16"/>
              </w:rPr>
            </w:pPr>
            <w:r w:rsidRPr="00C258AD">
              <w:rPr>
                <w:rFonts w:cs="Arial"/>
                <w:sz w:val="16"/>
                <w:szCs w:val="16"/>
              </w:rPr>
              <w:t>Qualité du développement de logiciels</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5</w:t>
            </w:r>
          </w:p>
        </w:tc>
        <w:tc>
          <w:tcPr>
            <w:tcW w:w="556" w:type="pct"/>
            <w:shd w:val="clear" w:color="auto" w:fill="FFFFFF"/>
          </w:tcPr>
          <w:p w:rsidR="00E5009E" w:rsidRPr="00C258AD" w:rsidRDefault="00E5009E" w:rsidP="00BB716F">
            <w:pPr>
              <w:spacing w:before="40"/>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57" w:type="dxa"/>
              <w:bottom w:w="57" w:type="dxa"/>
            </w:tcMar>
          </w:tcPr>
          <w:p w:rsidR="00E5009E" w:rsidRPr="00C258AD" w:rsidRDefault="00E5009E" w:rsidP="00BB716F">
            <w:pPr>
              <w:rPr>
                <w:rFonts w:cs="Arial"/>
                <w:sz w:val="16"/>
                <w:szCs w:val="16"/>
              </w:rPr>
            </w:pPr>
            <w:r w:rsidRPr="00C258AD">
              <w:rPr>
                <w:rFonts w:cs="Arial"/>
                <w:sz w:val="16"/>
                <w:szCs w:val="16"/>
              </w:rPr>
              <w:t>Niveau de services de systèmes d’information</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5</w:t>
            </w:r>
          </w:p>
        </w:tc>
        <w:tc>
          <w:tcPr>
            <w:tcW w:w="556" w:type="pct"/>
            <w:shd w:val="clear" w:color="auto" w:fill="FFFFFF"/>
          </w:tcPr>
          <w:p w:rsidR="00E5009E" w:rsidRPr="00C258AD" w:rsidRDefault="00E5009E" w:rsidP="00BB716F">
            <w:pPr>
              <w:spacing w:before="40"/>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II.4  Utilisation élargie et améliorée du système de La Haye, notamment par les pays en développement et les PMA</w:t>
            </w:r>
          </w:p>
        </w:tc>
        <w:tc>
          <w:tcPr>
            <w:tcW w:w="2220" w:type="pct"/>
            <w:shd w:val="clear" w:color="auto" w:fill="auto"/>
            <w:tcMar>
              <w:top w:w="57" w:type="dxa"/>
              <w:bottom w:w="57" w:type="dxa"/>
            </w:tcMar>
          </w:tcPr>
          <w:p w:rsidR="00E5009E" w:rsidRPr="00C258AD" w:rsidRDefault="00E5009E" w:rsidP="00BB716F">
            <w:pPr>
              <w:rPr>
                <w:rFonts w:cs="Arial"/>
                <w:sz w:val="16"/>
                <w:szCs w:val="16"/>
              </w:rPr>
            </w:pPr>
            <w:r w:rsidRPr="00C258AD">
              <w:rPr>
                <w:rFonts w:cs="Arial"/>
                <w:sz w:val="16"/>
                <w:szCs w:val="16"/>
              </w:rPr>
              <w:t>Nombre de demandes selon le système de La Haye originaires de pays en transition et de pays développés</w:t>
            </w:r>
          </w:p>
          <w:p w:rsidR="00E5009E" w:rsidRPr="00C258AD" w:rsidRDefault="00E5009E" w:rsidP="00BB716F">
            <w:pPr>
              <w:rPr>
                <w:rFonts w:cs="Arial"/>
                <w:sz w:val="16"/>
                <w:szCs w:val="16"/>
              </w:rPr>
            </w:pPr>
          </w:p>
          <w:p w:rsidR="00E5009E" w:rsidRPr="00C258AD" w:rsidRDefault="00E5009E" w:rsidP="00BB716F">
            <w:pPr>
              <w:rPr>
                <w:rFonts w:cs="Arial"/>
                <w:sz w:val="16"/>
                <w:szCs w:val="16"/>
              </w:rPr>
            </w:pPr>
            <w:r w:rsidRPr="00C258AD">
              <w:rPr>
                <w:rFonts w:cs="Arial"/>
                <w:sz w:val="16"/>
                <w:szCs w:val="16"/>
              </w:rPr>
              <w:t>Nombre de pays ayant élaboré leurs politiques en matière d’adhésion à l’Arrangement de La Haye ou ayant entrepris leur mise en œuvre</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10</w:t>
            </w:r>
          </w:p>
          <w:p w:rsidR="00E5009E" w:rsidRPr="00C258AD" w:rsidRDefault="00E5009E" w:rsidP="00BB716F">
            <w:pPr>
              <w:ind w:left="441" w:hanging="413"/>
              <w:jc w:val="center"/>
              <w:rPr>
                <w:rFonts w:cs="Arial"/>
                <w:sz w:val="16"/>
                <w:szCs w:val="16"/>
                <w:lang w:bidi="th-TH"/>
              </w:rPr>
            </w:pPr>
          </w:p>
          <w:p w:rsidR="00E5009E" w:rsidRPr="00C258AD" w:rsidRDefault="00E5009E" w:rsidP="00BB716F">
            <w:pPr>
              <w:ind w:left="441" w:hanging="413"/>
              <w:jc w:val="center"/>
              <w:rPr>
                <w:rFonts w:cs="Arial"/>
                <w:sz w:val="16"/>
                <w:szCs w:val="16"/>
                <w:lang w:bidi="th-TH"/>
              </w:rPr>
            </w:pPr>
          </w:p>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20</w:t>
            </w:r>
          </w:p>
        </w:tc>
        <w:tc>
          <w:tcPr>
            <w:tcW w:w="556" w:type="pct"/>
            <w:shd w:val="clear" w:color="auto" w:fill="FFFFFF"/>
          </w:tcPr>
          <w:p w:rsidR="00E5009E" w:rsidRPr="00C258AD" w:rsidRDefault="00E5009E" w:rsidP="00BB716F">
            <w:pPr>
              <w:jc w:val="center"/>
              <w:rPr>
                <w:rFonts w:cs="Arial"/>
                <w:color w:val="008000"/>
                <w:sz w:val="22"/>
                <w:szCs w:val="22"/>
              </w:rPr>
            </w:pPr>
            <w:r w:rsidRPr="00C258AD">
              <w:rPr>
                <w:rFonts w:cs="Arial"/>
                <w:color w:val="008000"/>
                <w:sz w:val="22"/>
                <w:szCs w:val="22"/>
              </w:rPr>
              <w:sym w:font="Wingdings" w:char="F06C"/>
            </w:r>
          </w:p>
          <w:p w:rsidR="00E5009E" w:rsidRPr="00C258AD" w:rsidRDefault="00E5009E" w:rsidP="00BB716F">
            <w:pPr>
              <w:jc w:val="center"/>
              <w:rPr>
                <w:rFonts w:cs="Arial"/>
                <w:color w:val="A6A6A6" w:themeColor="background1" w:themeShade="A6"/>
                <w:sz w:val="22"/>
                <w:szCs w:val="22"/>
              </w:rPr>
            </w:pPr>
          </w:p>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57" w:type="dxa"/>
              <w:bottom w:w="57" w:type="dxa"/>
            </w:tcMar>
          </w:tcPr>
          <w:p w:rsidR="00E5009E" w:rsidRPr="00C258AD" w:rsidRDefault="00E5009E" w:rsidP="00BB716F">
            <w:pPr>
              <w:rPr>
                <w:rFonts w:cs="Arial"/>
                <w:sz w:val="16"/>
                <w:szCs w:val="16"/>
              </w:rPr>
            </w:pPr>
            <w:r w:rsidRPr="00C258AD">
              <w:rPr>
                <w:rFonts w:cs="Arial"/>
                <w:sz w:val="16"/>
                <w:szCs w:val="16"/>
              </w:rPr>
              <w:t>Pourcentage de décideurs, de fonctionnaires gouvernementaux, de spécialistes de la propriété intellectuelle et de participants à des séminaires ciblés ayant une meilleure connaissance du système de La Haye</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20</w:t>
            </w:r>
          </w:p>
        </w:tc>
        <w:tc>
          <w:tcPr>
            <w:tcW w:w="556" w:type="pct"/>
            <w:shd w:val="clear" w:color="auto" w:fill="FFFFFF"/>
          </w:tcPr>
          <w:p w:rsidR="00E5009E" w:rsidRPr="00C258AD" w:rsidRDefault="00E5009E" w:rsidP="00BB716F">
            <w:pPr>
              <w:jc w:val="center"/>
            </w:pP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57" w:type="dxa"/>
              <w:bottom w:w="57" w:type="dxa"/>
            </w:tcMar>
          </w:tcPr>
          <w:p w:rsidR="00E5009E" w:rsidRPr="00C258AD" w:rsidRDefault="00E5009E" w:rsidP="00BB716F">
            <w:pPr>
              <w:rPr>
                <w:rFonts w:cs="Arial"/>
                <w:sz w:val="16"/>
                <w:szCs w:val="16"/>
              </w:rPr>
            </w:pPr>
            <w:r w:rsidRPr="00C258AD">
              <w:rPr>
                <w:rFonts w:cs="Arial"/>
                <w:sz w:val="16"/>
                <w:szCs w:val="16"/>
              </w:rPr>
              <w:t>Nombre de parties contractantes à l’Arrangement de La Haye dans la région Asie et Pacifique</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20</w:t>
            </w:r>
          </w:p>
        </w:tc>
        <w:tc>
          <w:tcPr>
            <w:tcW w:w="556" w:type="pct"/>
            <w:shd w:val="clear" w:color="auto" w:fill="FFFFFF"/>
          </w:tcPr>
          <w:p w:rsidR="00E5009E" w:rsidRPr="00C258AD" w:rsidRDefault="00E5009E" w:rsidP="00BB716F">
            <w:pPr>
              <w:jc w:val="center"/>
              <w:rPr>
                <w:rFonts w:cs="Arial"/>
                <w:color w:val="FF0000"/>
                <w:sz w:val="22"/>
                <w:szCs w:val="22"/>
              </w:rPr>
            </w:pPr>
            <w:r w:rsidRPr="00C258AD">
              <w:rPr>
                <w:rFonts w:cs="Arial"/>
                <w:color w:val="008000"/>
                <w:sz w:val="22"/>
                <w:szCs w:val="22"/>
              </w:rPr>
              <w:sym w:font="Wingdings" w:char="F06C"/>
            </w:r>
            <w:r w:rsidRPr="00C258AD">
              <w:rPr>
                <w:rFonts w:cs="Arial"/>
                <w:color w:val="FF0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57" w:type="dxa"/>
              <w:bottom w:w="57" w:type="dxa"/>
            </w:tcMar>
          </w:tcPr>
          <w:p w:rsidR="00E5009E" w:rsidRPr="00C258AD" w:rsidRDefault="00E5009E" w:rsidP="00BB716F">
            <w:pPr>
              <w:rPr>
                <w:rFonts w:cs="Arial"/>
                <w:sz w:val="16"/>
                <w:szCs w:val="16"/>
              </w:rPr>
            </w:pPr>
            <w:r w:rsidRPr="00C258AD">
              <w:rPr>
                <w:rFonts w:cs="Arial"/>
                <w:sz w:val="16"/>
                <w:szCs w:val="16"/>
              </w:rPr>
              <w:t>Parties contractantes à l’Acte de Genève (1999)</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31</w:t>
            </w:r>
          </w:p>
        </w:tc>
        <w:tc>
          <w:tcPr>
            <w:tcW w:w="556" w:type="pct"/>
            <w:shd w:val="clear" w:color="auto" w:fill="FFFFFF"/>
          </w:tcPr>
          <w:p w:rsidR="00E5009E" w:rsidRPr="00C258AD" w:rsidRDefault="00E5009E" w:rsidP="00BB716F">
            <w:pPr>
              <w:jc w:val="center"/>
            </w:pPr>
            <w:r w:rsidRPr="00C258AD">
              <w:rPr>
                <w:rFonts w:cs="Arial"/>
                <w:color w:val="E26B0A"/>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 xml:space="preserve">Nombre d’offices nationaux ou régionaux fournissant des informations appropriées sur le système de La Haye </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31</w:t>
            </w:r>
          </w:p>
        </w:tc>
        <w:tc>
          <w:tcPr>
            <w:tcW w:w="556"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Dépôts de demandes selon le système de La Haye et de renouvellements</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31</w:t>
            </w:r>
          </w:p>
        </w:tc>
        <w:tc>
          <w:tcPr>
            <w:tcW w:w="556" w:type="pct"/>
            <w:shd w:val="clear" w:color="auto" w:fill="FFFFFF"/>
          </w:tcPr>
          <w:p w:rsidR="00E5009E" w:rsidRPr="00C258AD" w:rsidRDefault="00E5009E" w:rsidP="00BB716F">
            <w:pPr>
              <w:jc w:val="center"/>
              <w:rPr>
                <w:bCs/>
                <w:color w:val="E26B0A"/>
                <w:sz w:val="22"/>
                <w:szCs w:val="22"/>
              </w:rPr>
            </w:pPr>
            <w:r w:rsidRPr="00C258AD">
              <w:rPr>
                <w:rFonts w:cs="Arial"/>
                <w:color w:val="FF0000"/>
                <w:sz w:val="22"/>
                <w:szCs w:val="22"/>
              </w:rPr>
              <w:sym w:font="Wingdings" w:char="F06C"/>
            </w:r>
            <w:r w:rsidRPr="00C258AD">
              <w:rPr>
                <w:rFonts w:cs="Arial"/>
                <w:color w:val="FF0000"/>
                <w:sz w:val="22"/>
                <w:szCs w:val="22"/>
              </w:rPr>
              <w:sym w:font="Wingdings" w:char="F06C"/>
            </w:r>
            <w:r w:rsidRPr="00C258AD">
              <w:rPr>
                <w:rFonts w:cs="Arial"/>
                <w:color w:val="E26B0A"/>
                <w:sz w:val="22"/>
                <w:szCs w:val="22"/>
              </w:rPr>
              <w:sym w:font="Wingdings" w:char="F06C"/>
            </w:r>
          </w:p>
          <w:p w:rsidR="00E5009E" w:rsidRPr="00C258AD" w:rsidRDefault="00E5009E" w:rsidP="00BB716F">
            <w:pPr>
              <w:jc w:val="center"/>
            </w:pPr>
            <w:r w:rsidRPr="00C258AD">
              <w:rPr>
                <w:rFonts w:cs="Arial"/>
                <w:color w:val="FF0000"/>
                <w:sz w:val="22"/>
                <w:szCs w:val="22"/>
              </w:rPr>
              <w:sym w:font="Wingdings" w:char="F06C"/>
            </w:r>
            <w:r w:rsidRPr="00C258AD">
              <w:rPr>
                <w:rFonts w:cs="Arial"/>
                <w:color w:val="FF0000"/>
                <w:sz w:val="22"/>
                <w:szCs w:val="22"/>
              </w:rPr>
              <w:sym w:font="Wingdings" w:char="F06C"/>
            </w: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tabs>
                <w:tab w:val="right" w:pos="2835"/>
              </w:tabs>
              <w:spacing w:after="60"/>
              <w:rPr>
                <w:rFonts w:cs="Arial"/>
                <w:sz w:val="16"/>
                <w:szCs w:val="16"/>
              </w:rPr>
            </w:pPr>
            <w:r w:rsidRPr="00C258AD">
              <w:rPr>
                <w:rFonts w:cs="Arial"/>
                <w:sz w:val="16"/>
                <w:szCs w:val="16"/>
              </w:rPr>
              <w:t>II.5 Amélioration de la productivité et de la qualité de service des opérations de La Haye</w:t>
            </w: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Prédominance de l’Acte de Genève (1999) dans le système de La Haye</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31</w:t>
            </w:r>
          </w:p>
        </w:tc>
        <w:tc>
          <w:tcPr>
            <w:tcW w:w="556" w:type="pct"/>
            <w:shd w:val="clear" w:color="auto" w:fill="FFFFFF"/>
          </w:tcPr>
          <w:p w:rsidR="00E5009E" w:rsidRPr="00C258AD" w:rsidRDefault="00E5009E" w:rsidP="00BB716F">
            <w:pPr>
              <w:jc w:val="center"/>
            </w:pPr>
            <w:r w:rsidRPr="00C258AD">
              <w:rPr>
                <w:rFonts w:cs="Arial"/>
                <w:color w:val="FF0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Progrès accomplis dans l’amélioration du cadre juridique</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31</w:t>
            </w:r>
          </w:p>
        </w:tc>
        <w:tc>
          <w:tcPr>
            <w:tcW w:w="556"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Flexibilité des données enregistrées dans le registre international</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31</w:t>
            </w:r>
          </w:p>
        </w:tc>
        <w:tc>
          <w:tcPr>
            <w:tcW w:w="556" w:type="pct"/>
            <w:shd w:val="clear" w:color="auto" w:fill="FFFFFF"/>
          </w:tcPr>
          <w:p w:rsidR="00E5009E" w:rsidRPr="00C258AD" w:rsidRDefault="00E5009E" w:rsidP="00BB716F">
            <w:pPr>
              <w:jc w:val="center"/>
            </w:pPr>
            <w:r w:rsidRPr="00C258AD">
              <w:rPr>
                <w:rFonts w:cs="Arial"/>
                <w:color w:val="FF0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de procédures entièrement automatisées</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31</w:t>
            </w:r>
          </w:p>
        </w:tc>
        <w:tc>
          <w:tcPr>
            <w:tcW w:w="556"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397" w:type="pct"/>
            <w:vMerge w:val="restar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II.6  Utilisation élargie et améliorée des systèmes de Madrid et de Lisbonne, notamment par les pays en développement et les PMA</w:t>
            </w: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Extension de la portée géographique (Madrid)</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6</w:t>
            </w:r>
          </w:p>
        </w:tc>
        <w:tc>
          <w:tcPr>
            <w:tcW w:w="556" w:type="pct"/>
            <w:shd w:val="clear" w:color="auto" w:fill="FFFFFF"/>
          </w:tcPr>
          <w:p w:rsidR="00E5009E" w:rsidRPr="00C258AD" w:rsidRDefault="00E5009E" w:rsidP="00BB716F">
            <w:pPr>
              <w:jc w:val="center"/>
              <w:rPr>
                <w:rFonts w:cs="Arial"/>
                <w:color w:val="008000"/>
                <w:sz w:val="22"/>
                <w:szCs w:val="22"/>
              </w:rPr>
            </w:pPr>
            <w:r w:rsidRPr="00C258AD">
              <w:rPr>
                <w:rFonts w:cs="Arial"/>
                <w:color w:val="008000"/>
                <w:sz w:val="22"/>
                <w:szCs w:val="22"/>
              </w:rPr>
              <w:sym w:font="Wingdings" w:char="F06C"/>
            </w:r>
          </w:p>
        </w:tc>
      </w:tr>
      <w:tr w:rsidR="00E5009E" w:rsidRPr="00C258AD" w:rsidTr="00BB716F">
        <w:trPr>
          <w:cantSplit/>
        </w:trPr>
        <w:tc>
          <w:tcPr>
            <w:tcW w:w="1397" w:type="pct"/>
            <w:vMerge/>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Extension de la portée géographique (Lisbonne)</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6</w:t>
            </w:r>
          </w:p>
        </w:tc>
        <w:tc>
          <w:tcPr>
            <w:tcW w:w="556" w:type="pct"/>
            <w:shd w:val="clear" w:color="auto" w:fill="FFFFFF"/>
          </w:tcPr>
          <w:p w:rsidR="00E5009E" w:rsidRPr="00C258AD" w:rsidRDefault="00E5009E" w:rsidP="00BB716F">
            <w:pPr>
              <w:jc w:val="center"/>
              <w:rPr>
                <w:rFonts w:cs="Arial"/>
                <w:color w:val="008000"/>
                <w:sz w:val="22"/>
                <w:szCs w:val="22"/>
              </w:rPr>
            </w:pPr>
            <w:r w:rsidRPr="00C258AD">
              <w:rPr>
                <w:rFonts w:cs="Arial"/>
                <w:color w:val="FF0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Adoption de dispositions rationalisant ou modernisant le cadre juridique du système de Lisbonne</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6</w:t>
            </w:r>
          </w:p>
        </w:tc>
        <w:tc>
          <w:tcPr>
            <w:tcW w:w="556"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de demandes internationales (Madrid)</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6</w:t>
            </w:r>
          </w:p>
        </w:tc>
        <w:tc>
          <w:tcPr>
            <w:tcW w:w="556"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Proportion de bureaux concernés fournissant des informations d’actualité sur le système de Madrid</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6</w:t>
            </w:r>
          </w:p>
        </w:tc>
        <w:tc>
          <w:tcPr>
            <w:tcW w:w="556" w:type="pct"/>
            <w:shd w:val="clear" w:color="auto" w:fill="FFFFFF"/>
          </w:tcPr>
          <w:p w:rsidR="00E5009E" w:rsidRPr="00C258AD" w:rsidRDefault="00E5009E" w:rsidP="00BB716F">
            <w:pPr>
              <w:jc w:val="center"/>
            </w:pPr>
            <w:r w:rsidRPr="00C258AD">
              <w:rPr>
                <w:rFonts w:cs="Arial"/>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Pourcentage de participants à des manifestations associées au système de Lisbonne qui font part de leur satisfaction et d’une meilleure compréhension du système à la suite d’une manifestation</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6</w:t>
            </w:r>
          </w:p>
        </w:tc>
        <w:tc>
          <w:tcPr>
            <w:tcW w:w="556"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et proportion d’enregistrements internationaux en vigueur au titre du système de Lisbonne émanant de pays en développement et de PMA</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6</w:t>
            </w:r>
          </w:p>
        </w:tc>
        <w:tc>
          <w:tcPr>
            <w:tcW w:w="556"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Diminution du nombre d’irrégularités (Madrid)</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6</w:t>
            </w:r>
          </w:p>
        </w:tc>
        <w:tc>
          <w:tcPr>
            <w:tcW w:w="556" w:type="pct"/>
            <w:shd w:val="clear" w:color="auto" w:fill="FFFFFF"/>
          </w:tcPr>
          <w:p w:rsidR="00E5009E" w:rsidRPr="00C258AD" w:rsidRDefault="00E5009E" w:rsidP="00BB716F">
            <w:pPr>
              <w:jc w:val="center"/>
            </w:pPr>
            <w:r w:rsidRPr="00C258AD">
              <w:rPr>
                <w:rFonts w:cs="Arial"/>
                <w:color w:val="FF0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de demandes selon les systèmes de Madrid et de Lisbonne originaires de pays en transition et de pays développés.</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10</w:t>
            </w:r>
          </w:p>
        </w:tc>
        <w:tc>
          <w:tcPr>
            <w:tcW w:w="556" w:type="pct"/>
            <w:shd w:val="clear" w:color="auto" w:fill="FFFFFF"/>
          </w:tcPr>
          <w:p w:rsidR="00E5009E" w:rsidRPr="00C258AD" w:rsidRDefault="00E5009E" w:rsidP="00BB716F">
            <w:pPr>
              <w:jc w:val="center"/>
            </w:pPr>
            <w:r w:rsidRPr="00C258AD">
              <w:rPr>
                <w:rFonts w:cs="Arial"/>
                <w:color w:val="008000"/>
                <w:sz w:val="22"/>
                <w:szCs w:val="22"/>
              </w:rPr>
              <w:sym w:font="Wingdings" w:char="F06C"/>
            </w: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de pays ayant élaboré leurs politiques en matière d’adhésion au Protocole de Madrid ou ayant entrepris leur mise en œuvre</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20</w:t>
            </w:r>
          </w:p>
        </w:tc>
        <w:tc>
          <w:tcPr>
            <w:tcW w:w="556"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Pourcentage de participants à des ateliers/séminaires ciblés sur des thèmes liés au Protocole de Madrid faisant part de leur satisfaction</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20</w:t>
            </w:r>
          </w:p>
        </w:tc>
        <w:tc>
          <w:tcPr>
            <w:tcW w:w="556" w:type="pct"/>
            <w:shd w:val="clear" w:color="auto" w:fill="FFFFFF"/>
          </w:tcPr>
          <w:p w:rsidR="00E5009E" w:rsidRPr="00C258AD" w:rsidRDefault="00E5009E" w:rsidP="00BB716F">
            <w:pPr>
              <w:jc w:val="center"/>
            </w:pPr>
            <w:r w:rsidRPr="00C258AD">
              <w:rPr>
                <w:rFonts w:cs="Arial"/>
                <w:color w:val="FF0000"/>
                <w:sz w:val="22"/>
                <w:szCs w:val="22"/>
              </w:rPr>
              <w:sym w:font="Wingdings" w:char="F06C"/>
            </w: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de parties contractantes au Protocole de Madrid</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20</w:t>
            </w:r>
          </w:p>
        </w:tc>
        <w:tc>
          <w:tcPr>
            <w:tcW w:w="556" w:type="pct"/>
            <w:shd w:val="clear" w:color="auto" w:fill="FFFFFF"/>
          </w:tcPr>
          <w:p w:rsidR="00E5009E" w:rsidRPr="00C258AD" w:rsidRDefault="00E5009E" w:rsidP="00BB716F">
            <w:pPr>
              <w:jc w:val="center"/>
              <w:rPr>
                <w:color w:val="E26B0A"/>
              </w:rPr>
            </w:pPr>
            <w:r w:rsidRPr="00C258AD">
              <w:rPr>
                <w:rFonts w:cs="Arial"/>
                <w:color w:val="E26B0A"/>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de nouveaux enregistrements (système de Madrid)</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20</w:t>
            </w:r>
          </w:p>
        </w:tc>
        <w:tc>
          <w:tcPr>
            <w:tcW w:w="556" w:type="pct"/>
            <w:shd w:val="clear" w:color="auto" w:fill="FFFFFF"/>
          </w:tcPr>
          <w:p w:rsidR="00E5009E" w:rsidRPr="00C258AD" w:rsidRDefault="00E5009E" w:rsidP="00BB716F">
            <w:pPr>
              <w:jc w:val="center"/>
            </w:pPr>
            <w:r w:rsidRPr="00C258AD">
              <w:rPr>
                <w:rFonts w:cs="Arial"/>
                <w:color w:val="008000"/>
                <w:sz w:val="22"/>
                <w:szCs w:val="22"/>
              </w:rPr>
              <w:sym w:font="Wingdings" w:char="F06C"/>
            </w: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de renouvellements (système de Madrid)</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20</w:t>
            </w:r>
          </w:p>
        </w:tc>
        <w:tc>
          <w:tcPr>
            <w:tcW w:w="556" w:type="pct"/>
            <w:shd w:val="clear" w:color="auto" w:fill="FFFFFF"/>
          </w:tcPr>
          <w:p w:rsidR="00E5009E" w:rsidRPr="00C258AD" w:rsidRDefault="00E5009E" w:rsidP="00BB716F">
            <w:pPr>
              <w:jc w:val="center"/>
            </w:pPr>
            <w:r w:rsidRPr="00C258AD">
              <w:rPr>
                <w:rFonts w:cs="Arial"/>
                <w:color w:val="A6A6A6" w:themeColor="background1" w:themeShade="A6"/>
                <w:sz w:val="22"/>
                <w:szCs w:val="22"/>
              </w:rPr>
              <w:sym w:font="Wingdings" w:char="F06C"/>
            </w:r>
            <w:r w:rsidRPr="00C258AD">
              <w:rPr>
                <w:rFonts w:cs="Arial"/>
                <w:color w:val="A6A6A6" w:themeColor="background1" w:themeShade="A6"/>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II.7  Amélioration de la productivité et de la qualité de service des opérations des systèmes de Madrid et de Lisbonne</w:t>
            </w: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Progrès accomplis dans la rationalisation et la simplification du cadre juridique du système de Madrid</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6</w:t>
            </w:r>
          </w:p>
        </w:tc>
        <w:tc>
          <w:tcPr>
            <w:tcW w:w="556"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d’enregistrements</w:t>
            </w:r>
          </w:p>
          <w:p w:rsidR="00E5009E" w:rsidRPr="00C258AD" w:rsidRDefault="00E5009E" w:rsidP="00BB716F">
            <w:pPr>
              <w:rPr>
                <w:rFonts w:cs="Arial"/>
                <w:sz w:val="16"/>
                <w:szCs w:val="16"/>
              </w:rPr>
            </w:pPr>
            <w:r w:rsidRPr="00C258AD">
              <w:rPr>
                <w:rFonts w:cs="Arial"/>
                <w:sz w:val="16"/>
                <w:szCs w:val="16"/>
              </w:rPr>
              <w:t>Nombre de renouvellements traités</w:t>
            </w:r>
          </w:p>
          <w:p w:rsidR="00E5009E" w:rsidRPr="00C258AD" w:rsidRDefault="00E5009E" w:rsidP="00BB716F">
            <w:pPr>
              <w:rPr>
                <w:rFonts w:cs="Arial"/>
                <w:sz w:val="16"/>
                <w:szCs w:val="16"/>
              </w:rPr>
            </w:pPr>
            <w:r w:rsidRPr="00C258AD">
              <w:rPr>
                <w:rFonts w:cs="Arial"/>
                <w:sz w:val="16"/>
                <w:szCs w:val="16"/>
              </w:rPr>
              <w:t>Nombre de modifications, y compris de désignations postérieures (Madrid)</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6</w:t>
            </w:r>
          </w:p>
        </w:tc>
        <w:tc>
          <w:tcPr>
            <w:tcW w:w="556" w:type="pct"/>
            <w:shd w:val="clear" w:color="auto" w:fill="FFFFFF"/>
          </w:tcPr>
          <w:p w:rsidR="00E5009E" w:rsidRPr="00C258AD" w:rsidRDefault="00E5009E" w:rsidP="00BB716F">
            <w:pPr>
              <w:jc w:val="center"/>
              <w:rPr>
                <w:rFonts w:cs="Arial"/>
                <w:color w:val="008000"/>
                <w:sz w:val="22"/>
                <w:szCs w:val="22"/>
              </w:rPr>
            </w:pPr>
            <w:r w:rsidRPr="00C258AD">
              <w:rPr>
                <w:rFonts w:cs="Arial"/>
                <w:color w:val="FF0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p>
          <w:p w:rsidR="00E5009E" w:rsidRPr="00C258AD" w:rsidRDefault="00E5009E" w:rsidP="00BB716F">
            <w:pPr>
              <w:jc w:val="center"/>
            </w:pPr>
            <w:r w:rsidRPr="00C258AD">
              <w:rPr>
                <w:rFonts w:cs="Arial"/>
                <w:color w:val="008000"/>
                <w:sz w:val="22"/>
                <w:szCs w:val="22"/>
              </w:rPr>
              <w:sym w:font="Wingdings" w:char="F06C"/>
            </w: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Traduction des demandes dans les délais impartis (Madrid)</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6</w:t>
            </w:r>
          </w:p>
        </w:tc>
        <w:tc>
          <w:tcPr>
            <w:tcW w:w="556"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57" w:type="dxa"/>
              <w:bottom w:w="57" w:type="dxa"/>
            </w:tcMar>
          </w:tcPr>
          <w:p w:rsidR="00E5009E" w:rsidRPr="00C258AD" w:rsidRDefault="00E5009E" w:rsidP="00BB716F">
            <w:pPr>
              <w:rPr>
                <w:rFonts w:cs="Arial"/>
                <w:sz w:val="16"/>
                <w:szCs w:val="16"/>
              </w:rPr>
            </w:pPr>
          </w:p>
        </w:tc>
        <w:tc>
          <w:tcPr>
            <w:tcW w:w="2220" w:type="pct"/>
            <w:shd w:val="clear" w:color="auto" w:fill="auto"/>
            <w:tcMar>
              <w:top w:w="57" w:type="dxa"/>
              <w:bottom w:w="57" w:type="dxa"/>
            </w:tcMar>
          </w:tcPr>
          <w:p w:rsidR="00E5009E" w:rsidRPr="00C258AD" w:rsidRDefault="00E5009E" w:rsidP="00BB716F">
            <w:pPr>
              <w:rPr>
                <w:rFonts w:cs="Arial"/>
                <w:sz w:val="16"/>
                <w:szCs w:val="16"/>
              </w:rPr>
            </w:pPr>
            <w:r w:rsidRPr="00C258AD">
              <w:rPr>
                <w:rFonts w:cs="Arial"/>
                <w:sz w:val="16"/>
                <w:szCs w:val="16"/>
              </w:rPr>
              <w:t>Diminution du nombre de corrections (Madrid)</w:t>
            </w:r>
          </w:p>
        </w:tc>
        <w:tc>
          <w:tcPr>
            <w:tcW w:w="827" w:type="pct"/>
            <w:shd w:val="clear" w:color="auto" w:fill="FFFFFF"/>
            <w:tcMar>
              <w:top w:w="57" w:type="dxa"/>
              <w:bottom w:w="57"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6</w:t>
            </w:r>
          </w:p>
        </w:tc>
        <w:tc>
          <w:tcPr>
            <w:tcW w:w="556" w:type="pct"/>
            <w:shd w:val="clear" w:color="auto" w:fill="FFFFFF"/>
            <w:tcMar>
              <w:top w:w="57" w:type="dxa"/>
              <w:bottom w:w="57" w:type="dxa"/>
            </w:tcMar>
          </w:tcPr>
          <w:p w:rsidR="00E5009E" w:rsidRPr="00C258AD" w:rsidRDefault="00E5009E" w:rsidP="00BB716F">
            <w:pPr>
              <w:jc w:val="center"/>
            </w:pPr>
            <w:r w:rsidRPr="00C258AD">
              <w:rPr>
                <w:rFonts w:cs="Arial"/>
                <w:color w:val="FF0000"/>
                <w:sz w:val="22"/>
                <w:szCs w:val="22"/>
              </w:rPr>
              <w:sym w:font="Wingdings" w:char="F06C"/>
            </w:r>
          </w:p>
        </w:tc>
      </w:tr>
      <w:tr w:rsidR="00E5009E" w:rsidRPr="00C258AD" w:rsidTr="00BB716F">
        <w:trPr>
          <w:cantSplit/>
        </w:trPr>
        <w:tc>
          <w:tcPr>
            <w:tcW w:w="1397" w:type="pct"/>
            <w:shd w:val="clear" w:color="auto" w:fill="auto"/>
            <w:tcMar>
              <w:top w:w="57" w:type="dxa"/>
              <w:bottom w:w="57" w:type="dxa"/>
            </w:tcMar>
          </w:tcPr>
          <w:p w:rsidR="00E5009E" w:rsidRPr="00C258AD" w:rsidRDefault="00E5009E" w:rsidP="00BB716F">
            <w:pPr>
              <w:rPr>
                <w:rFonts w:cs="Arial"/>
                <w:sz w:val="16"/>
                <w:szCs w:val="16"/>
              </w:rPr>
            </w:pPr>
          </w:p>
        </w:tc>
        <w:tc>
          <w:tcPr>
            <w:tcW w:w="2220" w:type="pct"/>
            <w:shd w:val="clear" w:color="auto" w:fill="auto"/>
            <w:tcMar>
              <w:top w:w="57" w:type="dxa"/>
              <w:bottom w:w="57" w:type="dxa"/>
            </w:tcMar>
          </w:tcPr>
          <w:p w:rsidR="00E5009E" w:rsidRPr="00C258AD" w:rsidRDefault="00E5009E" w:rsidP="00BB716F">
            <w:pPr>
              <w:rPr>
                <w:rFonts w:cs="Arial"/>
                <w:sz w:val="16"/>
                <w:szCs w:val="16"/>
              </w:rPr>
            </w:pPr>
            <w:r w:rsidRPr="00C258AD">
              <w:rPr>
                <w:rFonts w:cs="Arial"/>
                <w:sz w:val="16"/>
                <w:szCs w:val="16"/>
              </w:rPr>
              <w:t>Meilleure satisfaction des clients (système de Madrid)</w:t>
            </w:r>
          </w:p>
        </w:tc>
        <w:tc>
          <w:tcPr>
            <w:tcW w:w="827" w:type="pct"/>
            <w:shd w:val="clear" w:color="auto" w:fill="FFFFFF"/>
            <w:tcMar>
              <w:top w:w="57" w:type="dxa"/>
              <w:bottom w:w="57"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6</w:t>
            </w:r>
          </w:p>
        </w:tc>
        <w:tc>
          <w:tcPr>
            <w:tcW w:w="556" w:type="pct"/>
            <w:shd w:val="clear" w:color="auto" w:fill="FFFFFF"/>
            <w:tcMar>
              <w:top w:w="57" w:type="dxa"/>
              <w:bottom w:w="57" w:type="dxa"/>
            </w:tcMar>
          </w:tcPr>
          <w:p w:rsidR="00E5009E" w:rsidRPr="00C258AD" w:rsidRDefault="00E5009E" w:rsidP="00BB716F">
            <w:pPr>
              <w:jc w:val="center"/>
            </w:pPr>
            <w:r w:rsidRPr="00C258AD">
              <w:rPr>
                <w:rFonts w:cs="Arial"/>
                <w:color w:val="008000"/>
                <w:sz w:val="22"/>
                <w:szCs w:val="22"/>
              </w:rPr>
              <w:sym w:font="Wingdings" w:char="F06C"/>
            </w:r>
            <w:r w:rsidRPr="00C258AD">
              <w:rPr>
                <w:rFonts w:cs="Arial"/>
                <w:color w:val="A6A6A6" w:themeColor="background1" w:themeShade="A6"/>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Recours accru à la communication électronique (Madrid)</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6</w:t>
            </w:r>
          </w:p>
        </w:tc>
        <w:tc>
          <w:tcPr>
            <w:tcW w:w="556" w:type="pct"/>
            <w:shd w:val="clear" w:color="auto" w:fill="FFFFFF"/>
          </w:tcPr>
          <w:p w:rsidR="00E5009E" w:rsidRPr="00C258AD" w:rsidRDefault="00E5009E" w:rsidP="00BB716F">
            <w:pPr>
              <w:jc w:val="center"/>
            </w:pP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Perfectionnement du registre international électronique du système de Lisbonne</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6</w:t>
            </w:r>
          </w:p>
        </w:tc>
        <w:tc>
          <w:tcPr>
            <w:tcW w:w="556" w:type="pct"/>
            <w:shd w:val="clear" w:color="auto" w:fill="FFFFFF"/>
          </w:tcPr>
          <w:p w:rsidR="00E5009E" w:rsidRPr="00C258AD" w:rsidRDefault="00E5009E" w:rsidP="00BB716F">
            <w:pPr>
              <w:jc w:val="center"/>
              <w:rPr>
                <w:color w:val="E26B0A"/>
              </w:rPr>
            </w:pPr>
            <w:r w:rsidRPr="00C258AD">
              <w:rPr>
                <w:rFonts w:cs="Arial"/>
                <w:color w:val="E26B0A"/>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Perfectionnement des moyens électroniques de communication et de publication au titre des procédures de Lisbonne</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6</w:t>
            </w:r>
          </w:p>
        </w:tc>
        <w:tc>
          <w:tcPr>
            <w:tcW w:w="556"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397" w:type="pct"/>
            <w:vMerge w:val="restar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II.8 De plus en plus de litiges internationaux ou nationaux de propriété intellectuelle sont évités ou réglés par la médiation, l’arbitrage et d’autres modes extrajudiciaires de règlement des litiges de l’OMPI</w:t>
            </w:r>
          </w:p>
        </w:tc>
        <w:tc>
          <w:tcPr>
            <w:tcW w:w="2220" w:type="pct"/>
            <w:vMerge w:val="restart"/>
            <w:shd w:val="clear" w:color="auto" w:fill="auto"/>
            <w:tcMar>
              <w:top w:w="57" w:type="dxa"/>
              <w:bottom w:w="57" w:type="dxa"/>
            </w:tcMar>
          </w:tcPr>
          <w:p w:rsidR="00E5009E" w:rsidRPr="00C258AD" w:rsidRDefault="00E5009E" w:rsidP="00BB716F">
            <w:pPr>
              <w:rPr>
                <w:rFonts w:cs="Arial"/>
                <w:sz w:val="16"/>
                <w:szCs w:val="16"/>
              </w:rPr>
            </w:pPr>
            <w:r w:rsidRPr="00C258AD">
              <w:rPr>
                <w:rFonts w:cs="Arial"/>
                <w:sz w:val="16"/>
                <w:szCs w:val="16"/>
              </w:rPr>
              <w:t xml:space="preserve">Prise en considération accrue de l’utilisation de services de règlement extrajudiciaire des litiges dans les transactions de propriété intellectuelle, notamment par le recours aux procédures de l’OMPI </w:t>
            </w:r>
          </w:p>
        </w:tc>
        <w:tc>
          <w:tcPr>
            <w:tcW w:w="827" w:type="pct"/>
            <w:shd w:val="clear" w:color="auto" w:fill="FFFFFF"/>
            <w:tcMar>
              <w:top w:w="57" w:type="dxa"/>
              <w:bottom w:w="57"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7</w:t>
            </w:r>
          </w:p>
        </w:tc>
        <w:tc>
          <w:tcPr>
            <w:tcW w:w="556" w:type="pct"/>
            <w:shd w:val="clear" w:color="auto" w:fill="FFFFFF"/>
            <w:tcMar>
              <w:top w:w="57" w:type="dxa"/>
              <w:bottom w:w="57" w:type="dxa"/>
            </w:tcMar>
          </w:tcPr>
          <w:p w:rsidR="00E5009E" w:rsidRPr="00C258AD" w:rsidRDefault="00E5009E" w:rsidP="00BB716F">
            <w:pPr>
              <w:jc w:val="center"/>
              <w:rPr>
                <w:rFonts w:cs="Arial"/>
                <w:color w:val="008000"/>
                <w:sz w:val="22"/>
                <w:szCs w:val="22"/>
              </w:rPr>
            </w:pP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p>
          <w:p w:rsidR="00E5009E" w:rsidRPr="00C258AD" w:rsidRDefault="00E5009E" w:rsidP="00BB716F">
            <w:pPr>
              <w:jc w:val="center"/>
              <w:rPr>
                <w:rFonts w:cs="Arial"/>
                <w:color w:val="008000"/>
                <w:sz w:val="22"/>
                <w:szCs w:val="22"/>
              </w:rPr>
            </w:pPr>
            <w:r w:rsidRPr="00C258AD">
              <w:rPr>
                <w:rFonts w:cs="Arial"/>
                <w:color w:val="008000"/>
                <w:sz w:val="22"/>
                <w:szCs w:val="22"/>
              </w:rPr>
              <w:sym w:font="Wingdings" w:char="F06C"/>
            </w:r>
            <w:r w:rsidRPr="00C258AD">
              <w:rPr>
                <w:rFonts w:cs="Arial"/>
                <w:color w:val="008000"/>
                <w:sz w:val="22"/>
                <w:szCs w:val="22"/>
              </w:rPr>
              <w:sym w:font="Wingdings" w:char="F06C"/>
            </w:r>
          </w:p>
        </w:tc>
      </w:tr>
      <w:tr w:rsidR="00E5009E" w:rsidRPr="00C258AD" w:rsidTr="00BB716F">
        <w:trPr>
          <w:cantSplit/>
        </w:trPr>
        <w:tc>
          <w:tcPr>
            <w:tcW w:w="1397" w:type="pct"/>
            <w:vMerge/>
            <w:shd w:val="clear" w:color="auto" w:fill="auto"/>
            <w:tcMar>
              <w:top w:w="113" w:type="dxa"/>
              <w:bottom w:w="113" w:type="dxa"/>
            </w:tcMar>
          </w:tcPr>
          <w:p w:rsidR="00E5009E" w:rsidRPr="00C258AD" w:rsidRDefault="00E5009E" w:rsidP="00BB716F">
            <w:pPr>
              <w:rPr>
                <w:rFonts w:cs="Arial"/>
                <w:sz w:val="16"/>
                <w:szCs w:val="16"/>
              </w:rPr>
            </w:pPr>
          </w:p>
        </w:tc>
        <w:tc>
          <w:tcPr>
            <w:tcW w:w="2220" w:type="pct"/>
            <w:vMerge/>
            <w:shd w:val="clear" w:color="auto" w:fill="auto"/>
            <w:tcMar>
              <w:top w:w="57" w:type="dxa"/>
              <w:bottom w:w="57" w:type="dxa"/>
            </w:tcMar>
          </w:tcPr>
          <w:p w:rsidR="00E5009E" w:rsidRPr="00C258AD" w:rsidRDefault="00E5009E" w:rsidP="00BB716F">
            <w:pPr>
              <w:rPr>
                <w:rFonts w:cs="Arial"/>
                <w:sz w:val="16"/>
                <w:szCs w:val="16"/>
              </w:rPr>
            </w:pPr>
          </w:p>
        </w:tc>
        <w:tc>
          <w:tcPr>
            <w:tcW w:w="827" w:type="pct"/>
            <w:shd w:val="clear" w:color="auto" w:fill="FFFFFF"/>
            <w:tcMar>
              <w:top w:w="57" w:type="dxa"/>
              <w:bottom w:w="57"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20</w:t>
            </w:r>
          </w:p>
        </w:tc>
        <w:tc>
          <w:tcPr>
            <w:tcW w:w="556" w:type="pct"/>
            <w:shd w:val="clear" w:color="auto" w:fill="FFFFFF"/>
            <w:tcMar>
              <w:top w:w="57" w:type="dxa"/>
              <w:bottom w:w="57" w:type="dxa"/>
            </w:tcMar>
          </w:tcPr>
          <w:p w:rsidR="00E5009E" w:rsidRPr="00C258AD" w:rsidRDefault="00E5009E" w:rsidP="00BB716F">
            <w:pPr>
              <w:jc w:val="center"/>
              <w:rPr>
                <w:rFonts w:cs="Arial"/>
                <w:color w:val="008000"/>
                <w:sz w:val="22"/>
                <w:szCs w:val="22"/>
              </w:rPr>
            </w:pPr>
            <w:r w:rsidRPr="00C258AD">
              <w:rPr>
                <w:rFonts w:cs="Arial"/>
                <w:color w:val="FF0000"/>
                <w:sz w:val="22"/>
                <w:szCs w:val="22"/>
              </w:rPr>
              <w:sym w:font="Wingdings" w:char="F06C"/>
            </w:r>
          </w:p>
        </w:tc>
      </w:tr>
      <w:tr w:rsidR="00E5009E" w:rsidRPr="00C258AD" w:rsidTr="00BB716F">
        <w:trPr>
          <w:cantSplit/>
        </w:trPr>
        <w:tc>
          <w:tcPr>
            <w:tcW w:w="1397" w:type="pct"/>
            <w:vMerge/>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57" w:type="dxa"/>
              <w:bottom w:w="57" w:type="dxa"/>
            </w:tcMar>
          </w:tcPr>
          <w:p w:rsidR="00E5009E" w:rsidRPr="00C258AD" w:rsidRDefault="00E5009E" w:rsidP="00BB716F">
            <w:pPr>
              <w:rPr>
                <w:rFonts w:cs="Arial"/>
                <w:sz w:val="16"/>
                <w:szCs w:val="16"/>
              </w:rPr>
            </w:pPr>
            <w:r w:rsidRPr="00C258AD">
              <w:rPr>
                <w:rFonts w:cs="Arial"/>
                <w:sz w:val="16"/>
                <w:szCs w:val="16"/>
              </w:rPr>
              <w:t>Politiques de règlement extrajudiciaire des litiges à l’élaboration et la mise en œuvre desquelles le Centre a contribué</w:t>
            </w:r>
          </w:p>
        </w:tc>
        <w:tc>
          <w:tcPr>
            <w:tcW w:w="827" w:type="pct"/>
            <w:shd w:val="clear" w:color="auto" w:fill="FFFFFF"/>
            <w:tcMar>
              <w:top w:w="57" w:type="dxa"/>
              <w:bottom w:w="57"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7</w:t>
            </w:r>
          </w:p>
        </w:tc>
        <w:tc>
          <w:tcPr>
            <w:tcW w:w="556" w:type="pct"/>
            <w:shd w:val="clear" w:color="auto" w:fill="FFFFFF"/>
          </w:tcPr>
          <w:p w:rsidR="00E5009E" w:rsidRPr="00C258AD" w:rsidRDefault="00E5009E" w:rsidP="00BB716F">
            <w:pPr>
              <w:jc w:val="center"/>
              <w:rPr>
                <w:rFonts w:cs="Arial"/>
                <w:color w:val="A6A6A6" w:themeColor="background1" w:themeShade="A6"/>
                <w:sz w:val="22"/>
                <w:szCs w:val="22"/>
              </w:rP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Nombre d’utilisateurs de pays en transition et de pays développés faisant appel aux services du Centre d’arbitrage et de médiation de l’OMPI</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10</w:t>
            </w:r>
          </w:p>
        </w:tc>
        <w:tc>
          <w:tcPr>
            <w:tcW w:w="556"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 xml:space="preserve">II.9 Protection efficace de la propriété intellectuelle dans les </w:t>
            </w:r>
            <w:proofErr w:type="spellStart"/>
            <w:r w:rsidRPr="00C258AD">
              <w:rPr>
                <w:rFonts w:cs="Arial"/>
                <w:sz w:val="16"/>
                <w:szCs w:val="16"/>
              </w:rPr>
              <w:t>gTLD</w:t>
            </w:r>
            <w:proofErr w:type="spellEnd"/>
            <w:r w:rsidRPr="00C258AD">
              <w:rPr>
                <w:rFonts w:cs="Arial"/>
                <w:sz w:val="16"/>
                <w:szCs w:val="16"/>
              </w:rPr>
              <w:t xml:space="preserve"> et les </w:t>
            </w:r>
            <w:proofErr w:type="spellStart"/>
            <w:r w:rsidRPr="00C258AD">
              <w:rPr>
                <w:rFonts w:cs="Arial"/>
                <w:sz w:val="16"/>
                <w:szCs w:val="16"/>
              </w:rPr>
              <w:t>ccTLD</w:t>
            </w:r>
            <w:proofErr w:type="spellEnd"/>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 xml:space="preserve">Nombre de litiges relatifs à des </w:t>
            </w:r>
            <w:proofErr w:type="spellStart"/>
            <w:r w:rsidRPr="00C258AD">
              <w:rPr>
                <w:rFonts w:cs="Arial"/>
                <w:sz w:val="16"/>
                <w:szCs w:val="16"/>
              </w:rPr>
              <w:t>gTLD</w:t>
            </w:r>
            <w:proofErr w:type="spellEnd"/>
            <w:r w:rsidRPr="00C258AD">
              <w:rPr>
                <w:rFonts w:cs="Arial"/>
                <w:sz w:val="16"/>
                <w:szCs w:val="16"/>
              </w:rPr>
              <w:t xml:space="preserve"> administrés selon les principes UDRP</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7</w:t>
            </w:r>
          </w:p>
        </w:tc>
        <w:tc>
          <w:tcPr>
            <w:tcW w:w="556"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 xml:space="preserve">Nombre de litiges relatifs aux </w:t>
            </w:r>
            <w:proofErr w:type="spellStart"/>
            <w:r w:rsidRPr="00C258AD">
              <w:rPr>
                <w:rFonts w:cs="Arial"/>
                <w:sz w:val="16"/>
                <w:szCs w:val="16"/>
              </w:rPr>
              <w:t>ccTLD</w:t>
            </w:r>
            <w:proofErr w:type="spellEnd"/>
            <w:r w:rsidRPr="00C258AD">
              <w:rPr>
                <w:rFonts w:cs="Arial"/>
                <w:sz w:val="16"/>
                <w:szCs w:val="16"/>
              </w:rPr>
              <w:t xml:space="preserve"> réglés selon les principes UDRP</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7</w:t>
            </w:r>
          </w:p>
        </w:tc>
        <w:tc>
          <w:tcPr>
            <w:tcW w:w="556"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Politiques de règlement des litiges dans le système des noms de domaine à l’élaboration et à la mise en œuvre desquelles le Centre a contribué</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7</w:t>
            </w:r>
          </w:p>
        </w:tc>
        <w:tc>
          <w:tcPr>
            <w:tcW w:w="556"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397" w:type="pct"/>
            <w:shd w:val="clear" w:color="auto" w:fill="auto"/>
            <w:tcMar>
              <w:top w:w="113" w:type="dxa"/>
              <w:bottom w:w="113" w:type="dxa"/>
            </w:tcMar>
          </w:tcPr>
          <w:p w:rsidR="00E5009E" w:rsidRPr="00C258AD" w:rsidRDefault="00E5009E" w:rsidP="00BB716F">
            <w:pPr>
              <w:rPr>
                <w:rFonts w:cs="Arial"/>
                <w:sz w:val="16"/>
                <w:szCs w:val="16"/>
              </w:rPr>
            </w:pPr>
          </w:p>
        </w:tc>
        <w:tc>
          <w:tcPr>
            <w:tcW w:w="2220" w:type="pct"/>
            <w:shd w:val="clear" w:color="auto" w:fill="auto"/>
            <w:tcMar>
              <w:top w:w="113" w:type="dxa"/>
              <w:bottom w:w="113" w:type="dxa"/>
            </w:tcMar>
          </w:tcPr>
          <w:p w:rsidR="00E5009E" w:rsidRPr="00C258AD" w:rsidRDefault="00E5009E" w:rsidP="00BB716F">
            <w:pPr>
              <w:rPr>
                <w:rFonts w:cs="Arial"/>
                <w:sz w:val="16"/>
                <w:szCs w:val="16"/>
              </w:rPr>
            </w:pPr>
            <w:r w:rsidRPr="00C258AD">
              <w:rPr>
                <w:rFonts w:cs="Arial"/>
                <w:sz w:val="16"/>
                <w:szCs w:val="16"/>
              </w:rPr>
              <w:t xml:space="preserve">Nombre d’administrateurs de </w:t>
            </w:r>
            <w:proofErr w:type="spellStart"/>
            <w:r w:rsidRPr="00C258AD">
              <w:rPr>
                <w:rFonts w:cs="Arial"/>
                <w:sz w:val="16"/>
                <w:szCs w:val="16"/>
              </w:rPr>
              <w:t>ccTLD</w:t>
            </w:r>
            <w:proofErr w:type="spellEnd"/>
            <w:r w:rsidRPr="00C258AD">
              <w:rPr>
                <w:rFonts w:cs="Arial"/>
                <w:sz w:val="16"/>
                <w:szCs w:val="16"/>
              </w:rPr>
              <w:t xml:space="preserve"> dotés de mécanismes de protection de la propriété intellectuelle conçus ou administrés avec l’aide de l’OMPI et conformes aux normes internationales</w:t>
            </w:r>
          </w:p>
        </w:tc>
        <w:tc>
          <w:tcPr>
            <w:tcW w:w="827" w:type="pct"/>
            <w:shd w:val="clear" w:color="auto" w:fill="FFFFFF"/>
            <w:tcMar>
              <w:top w:w="113" w:type="dxa"/>
              <w:bottom w:w="113" w:type="dxa"/>
            </w:tcMar>
          </w:tcPr>
          <w:p w:rsidR="00E5009E" w:rsidRPr="00C258AD" w:rsidRDefault="00E5009E" w:rsidP="00BB716F">
            <w:pPr>
              <w:ind w:left="441" w:hanging="413"/>
              <w:jc w:val="center"/>
              <w:rPr>
                <w:rFonts w:cs="Arial"/>
                <w:sz w:val="16"/>
                <w:szCs w:val="16"/>
                <w:lang w:bidi="th-TH"/>
              </w:rPr>
            </w:pPr>
            <w:r w:rsidRPr="00C258AD">
              <w:rPr>
                <w:rFonts w:cs="Arial"/>
                <w:sz w:val="16"/>
                <w:szCs w:val="16"/>
                <w:lang w:bidi="th-TH"/>
              </w:rPr>
              <w:t>Programme 7</w:t>
            </w:r>
          </w:p>
        </w:tc>
        <w:tc>
          <w:tcPr>
            <w:tcW w:w="556" w:type="pct"/>
            <w:shd w:val="clear" w:color="auto" w:fill="FFFFFF"/>
          </w:tcPr>
          <w:p w:rsidR="00E5009E" w:rsidRPr="00C258AD" w:rsidRDefault="00E5009E" w:rsidP="00BB716F">
            <w:pPr>
              <w:jc w:val="center"/>
              <w:rPr>
                <w:color w:val="E26B0A"/>
              </w:rPr>
            </w:pPr>
            <w:r w:rsidRPr="00C258AD">
              <w:rPr>
                <w:rFonts w:cs="Arial"/>
                <w:color w:val="E26B0A"/>
                <w:sz w:val="22"/>
                <w:szCs w:val="22"/>
              </w:rPr>
              <w:sym w:font="Wingdings" w:char="F06C"/>
            </w:r>
          </w:p>
        </w:tc>
      </w:tr>
    </w:tbl>
    <w:p w:rsidR="00E5009E" w:rsidRPr="00C258AD" w:rsidRDefault="00E5009E" w:rsidP="00E5009E">
      <w:pPr>
        <w:pStyle w:val="ListParagraph"/>
        <w:numPr>
          <w:ilvl w:val="0"/>
          <w:numId w:val="0"/>
        </w:numPr>
      </w:pPr>
    </w:p>
    <w:p w:rsidR="006E2BB1" w:rsidRPr="00C258AD" w:rsidRDefault="00506F85" w:rsidP="00506F85">
      <w:pPr>
        <w:pStyle w:val="ListParagraph"/>
        <w:numPr>
          <w:ilvl w:val="0"/>
          <w:numId w:val="3"/>
        </w:numPr>
      </w:pPr>
      <w:r w:rsidRPr="00C258AD">
        <w:br w:type="page"/>
      </w:r>
    </w:p>
    <w:p w:rsidR="006E2BB1" w:rsidRPr="00C258AD" w:rsidRDefault="00194A9A" w:rsidP="00305CE5">
      <w:pPr>
        <w:pStyle w:val="Heading3"/>
      </w:pPr>
      <w:bookmarkStart w:id="71" w:name="_Toc455394182"/>
      <w:r w:rsidRPr="00C258AD">
        <w:lastRenderedPageBreak/>
        <w:t>Programme 5</w:t>
      </w:r>
      <w:r w:rsidRPr="00C258AD">
        <w:tab/>
        <w:t>Système du PCT</w:t>
      </w:r>
      <w:bookmarkEnd w:id="69"/>
      <w:bookmarkEnd w:id="70"/>
      <w:bookmarkEnd w:id="71"/>
    </w:p>
    <w:p w:rsidR="006E2BB1" w:rsidRPr="00C258AD" w:rsidRDefault="006E2BB1" w:rsidP="00C9182C"/>
    <w:p w:rsidR="006E2BB1" w:rsidRPr="00C258AD" w:rsidRDefault="00194A9A" w:rsidP="00C9182C">
      <w:pPr>
        <w:rPr>
          <w:b/>
        </w:rPr>
      </w:pPr>
      <w:r w:rsidRPr="00C258AD">
        <w:rPr>
          <w:b/>
        </w:rPr>
        <w:t>Chef de programme</w:t>
      </w:r>
      <w:r w:rsidRPr="00C258AD">
        <w:rPr>
          <w:b/>
        </w:rPr>
        <w:tab/>
        <w:t>M. J. Sandage</w:t>
      </w:r>
    </w:p>
    <w:p w:rsidR="006E2BB1" w:rsidRPr="00C258AD" w:rsidRDefault="006E2BB1" w:rsidP="00C9182C"/>
    <w:p w:rsidR="006E2BB1" w:rsidRPr="00C258AD" w:rsidRDefault="006E2BB1" w:rsidP="00C9182C"/>
    <w:p w:rsidR="006E2BB1" w:rsidRPr="00C258AD" w:rsidRDefault="00B76703" w:rsidP="00305CE5">
      <w:pPr>
        <w:keepNext/>
        <w:rPr>
          <w:rFonts w:cs="Arial"/>
          <w:caps/>
          <w:sz w:val="22"/>
          <w:szCs w:val="22"/>
        </w:rPr>
      </w:pPr>
      <w:r w:rsidRPr="00C258AD">
        <w:rPr>
          <w:rFonts w:cs="Arial"/>
          <w:caps/>
          <w:sz w:val="22"/>
          <w:szCs w:val="22"/>
        </w:rPr>
        <w:t>Réalisations au cours de l’exercice biennal 2014-2015</w:t>
      </w:r>
    </w:p>
    <w:p w:rsidR="006E2BB1" w:rsidRPr="00C258AD" w:rsidRDefault="006E2BB1" w:rsidP="00C9182C">
      <w:pPr>
        <w:rPr>
          <w:b/>
        </w:rPr>
      </w:pPr>
    </w:p>
    <w:p w:rsidR="006E2BB1" w:rsidRPr="00C258AD" w:rsidRDefault="00194A9A" w:rsidP="00BB4DBC">
      <w:pPr>
        <w:pStyle w:val="ListParagraph"/>
        <w:numPr>
          <w:ilvl w:val="0"/>
          <w:numId w:val="9"/>
        </w:numPr>
        <w:tabs>
          <w:tab w:val="left" w:pos="709"/>
        </w:tabs>
        <w:ind w:left="0" w:firstLine="0"/>
        <w:jc w:val="both"/>
      </w:pPr>
      <w:r w:rsidRPr="00C258AD">
        <w:t>En 2015, le Bureau international a reçu environ 217 000 exemplaires originaux, ce qui représente une diminution de 0,3% par rapport à 2014.  Cette diminution résulte principalement de la forte augmentation du nombre de dépôts provenant des États</w:t>
      </w:r>
      <w:r w:rsidRPr="00C258AD">
        <w:noBreakHyphen/>
        <w:t>Unis d’Amérique observée en mars 2014, après l’entrée en vigueur de la loi de promotion de l’invention (Leahy</w:t>
      </w:r>
      <w:r w:rsidRPr="00C258AD">
        <w:noBreakHyphen/>
        <w:t xml:space="preserve">Smith </w:t>
      </w:r>
      <w:proofErr w:type="spellStart"/>
      <w:r w:rsidRPr="00C258AD">
        <w:t>America</w:t>
      </w:r>
      <w:proofErr w:type="spellEnd"/>
      <w:r w:rsidRPr="00C258AD">
        <w:t xml:space="preserve"> </w:t>
      </w:r>
      <w:proofErr w:type="spellStart"/>
      <w:r w:rsidRPr="00C258AD">
        <w:t>Invents</w:t>
      </w:r>
      <w:proofErr w:type="spellEnd"/>
      <w:r w:rsidRPr="00C258AD">
        <w:t xml:space="preserve"> </w:t>
      </w:r>
      <w:proofErr w:type="spellStart"/>
      <w:r w:rsidRPr="00C258AD">
        <w:t>Act</w:t>
      </w:r>
      <w:proofErr w:type="spellEnd"/>
      <w:r w:rsidRPr="00C258AD">
        <w:t>) une année auparavant.  Au total, quelque 435 000 exemplaires originaux ont été reçus au cours de l’exercice biennal 2014</w:t>
      </w:r>
      <w:r w:rsidRPr="00C258AD">
        <w:noBreakHyphen/>
        <w:t>2015, ce qui représente une augmentation de 9% par rapport à l’exercice biennal 2012</w:t>
      </w:r>
      <w:r w:rsidRPr="00C258AD">
        <w:noBreakHyphen/>
        <w:t>2013, soit environ 399 000 exemplaires originaux au total.  La part de dépôts entièrement électroniques a continué d’augmenter en 2015 et représente actuellement 94% de l’ensemble des dépôts.  Alors que la majorité des demandes étaient déposées en anglais (48,6% des dépôts en 2014</w:t>
      </w:r>
      <w:r w:rsidRPr="00C258AD">
        <w:noBreakHyphen/>
        <w:t>2015), la part des langues asiatiques a augmenté au cours de la dernière décennie.  La part combinée des demandes selon le PCT déposées en japonais, chinois et coréen est passée de 29,5% en 2009 à 37,6% en 2015.</w:t>
      </w:r>
    </w:p>
    <w:p w:rsidR="006E2BB1" w:rsidRPr="00C258AD" w:rsidRDefault="006E2BB1" w:rsidP="00C9182C">
      <w:pPr>
        <w:tabs>
          <w:tab w:val="left" w:pos="709"/>
        </w:tabs>
        <w:autoSpaceDE w:val="0"/>
        <w:autoSpaceDN w:val="0"/>
        <w:adjustRightInd w:val="0"/>
        <w:jc w:val="both"/>
      </w:pPr>
    </w:p>
    <w:p w:rsidR="006E2BB1" w:rsidRPr="00C258AD" w:rsidRDefault="00194A9A" w:rsidP="00BB4DBC">
      <w:pPr>
        <w:pStyle w:val="ListParagraph"/>
        <w:numPr>
          <w:ilvl w:val="0"/>
          <w:numId w:val="9"/>
        </w:numPr>
        <w:tabs>
          <w:tab w:val="left" w:pos="709"/>
        </w:tabs>
        <w:ind w:left="0" w:firstLine="0"/>
        <w:jc w:val="both"/>
      </w:pPr>
      <w:r w:rsidRPr="00C258AD">
        <w:t xml:space="preserve">L’utilisation du système </w:t>
      </w:r>
      <w:proofErr w:type="spellStart"/>
      <w:r w:rsidRPr="00C258AD">
        <w:t>ePCT</w:t>
      </w:r>
      <w:proofErr w:type="spellEnd"/>
      <w:r w:rsidRPr="00C258AD">
        <w:t xml:space="preserve"> a considérablement augmenté en 2014</w:t>
      </w:r>
      <w:r w:rsidRPr="00C258AD">
        <w:noBreakHyphen/>
        <w:t xml:space="preserve">2015, cette interface étant disponible dans les 10 langues de publication depuis avril 2015, offrant ainsi un accès facilité aux déposants et aux offices du monde entier.  La fonction de dépôt </w:t>
      </w:r>
      <w:proofErr w:type="spellStart"/>
      <w:r w:rsidRPr="00C258AD">
        <w:t>ePCT</w:t>
      </w:r>
      <w:proofErr w:type="spellEnd"/>
      <w:r w:rsidRPr="00C258AD">
        <w:t>, qui en 2013 n’était accessible qu’au Bureau international agissant en qualité d’office récepteur, a été élargie en 2014</w:t>
      </w:r>
      <w:r w:rsidRPr="00C258AD">
        <w:noBreakHyphen/>
        <w:t>2015 à l’ensemble des offices récepteurs souhaitant recevoir et traiter des demandes internationales.  À la fin de 2015, 29 offices récepteurs, avaie</w:t>
      </w:r>
      <w:r w:rsidRPr="00C258AD">
        <w:rPr>
          <w:rFonts w:cs="Arial"/>
        </w:rPr>
        <w:t xml:space="preserve">nt commencé, </w:t>
      </w:r>
      <w:r w:rsidRPr="00C258AD">
        <w:t>avec l’assistance du Bureau international,</w:t>
      </w:r>
      <w:r w:rsidRPr="00C258AD">
        <w:rPr>
          <w:rFonts w:cs="Arial"/>
        </w:rPr>
        <w:t xml:space="preserve"> à accepter </w:t>
      </w:r>
      <w:r w:rsidRPr="00C258AD">
        <w:t xml:space="preserve">des demandes déposées par l’intermédiaire du système </w:t>
      </w:r>
      <w:proofErr w:type="spellStart"/>
      <w:r w:rsidRPr="00C258AD">
        <w:t>ePCT</w:t>
      </w:r>
      <w:proofErr w:type="spellEnd"/>
      <w:r w:rsidRPr="00C258AD">
        <w:t xml:space="preserve">, y compris des offices de pays en développement tels que l’Afrique du Sud, l’Algérie, l’Arabie saoudite, l’Azerbaïdjan, le Brésil, le Chili, la Colombie, l’Inde, la Malaisie et le Mexique qui n’avaient pas encore offert à leurs déposants la possibilité de déposer en ligne des demandes internationales, conformément aux recommandations du groupe A du Plan d’action pour le développement concernant l’assistance technique et le renforcement des capacités.  Des offices d’autres pays se trouvaient à différents stades de la phase d’essai, tandis que 34 offices récepteurs et 8 administrations internationales acceptaient la transmission de documents postérieurs au dépôt par l’intermédiaire du système </w:t>
      </w:r>
      <w:proofErr w:type="spellStart"/>
      <w:r w:rsidRPr="00C258AD">
        <w:t>ePCT</w:t>
      </w:r>
      <w:proofErr w:type="spellEnd"/>
      <w:r w:rsidRPr="00C258AD">
        <w:t xml:space="preserve">.  En outre, le Bureau international a lancé en 2014 un projet pilote relatif à un nouveau service, le service </w:t>
      </w:r>
      <w:proofErr w:type="spellStart"/>
      <w:r w:rsidRPr="00C258AD">
        <w:t>eSearchCopy</w:t>
      </w:r>
      <w:proofErr w:type="spellEnd"/>
      <w:r w:rsidRPr="00C258AD">
        <w:t>, dans le cadre duquel il prépare et transmet les copies de recherche à l’administration chargée de la recherche internationale au nom de l’office récepteur, ce qui permet d’améliorer le respect des délais et l’efficacité dans le cadre de la recherche internationale.  À la fin de 2015, ce service était utilisé par 28 paires d’offices, dont six administrations chargées de la recherche internationale et 15 offices récepteurs</w:t>
      </w:r>
      <w:r w:rsidRPr="00C258AD">
        <w:rPr>
          <w:rFonts w:cs="Arial"/>
        </w:rPr>
        <w:t>.</w:t>
      </w:r>
    </w:p>
    <w:p w:rsidR="006E2BB1" w:rsidRPr="00C258AD" w:rsidRDefault="006E2BB1" w:rsidP="00C9182C"/>
    <w:p w:rsidR="006E2BB1" w:rsidRPr="00C258AD" w:rsidRDefault="00194A9A" w:rsidP="00BB4DBC">
      <w:pPr>
        <w:pStyle w:val="ListParagraph"/>
        <w:numPr>
          <w:ilvl w:val="0"/>
          <w:numId w:val="9"/>
        </w:numPr>
        <w:tabs>
          <w:tab w:val="left" w:pos="0"/>
        </w:tabs>
        <w:spacing w:after="200"/>
        <w:ind w:left="0" w:firstLine="0"/>
        <w:jc w:val="both"/>
      </w:pPr>
      <w:r w:rsidRPr="00C258AD">
        <w:rPr>
          <w:spacing w:val="-2"/>
        </w:rPr>
        <w:t>À ses septième et huitième sessions, tenues en 2014 et en 2015, le Groupe de travail du PCT a poursuivi ses délibérations sur un certain nombre de propositions visant à améliorer le fonctionnement du système du PCT.  Ces délibérations s’inscrivaient dans le cadre des recommandations entérinées par le groupe de travail à sa troisième session, parmi lesquelles figuraient des recommandations sur l’évolution future du PCT au regard des recommandations applicables du Plan d’action pour le développement, notamment celles des groupes A et C.  Parmi les résultats obtenus en 2014, il convient de souligner en particulier i) l’accord concernant les nouveaux critères à remplir par les déposants de certains pays pour bénéficier de la réduction des taxes, qui s’est traduit par une augmentation du nombre de pays en développement et de PMA bénéficiant de cette mesure;  et ii) une procédure révisée de nomination des nouvelles administrations chargées de la recherche internationale et de l’examen préliminaire international, permettant de déterminer si les futures administrations disposent de l’infrastructure et des ressources nécessaires pour remplir cette mission.  Parmi les résultats obtenus en 2015, on peut citer notamment i) l’accord relatif à la transmission des résultats de recherche et de classement concernant des demandes antérieures aux administrations chargées de la recherche internationale, qui permettra de réaliser des gains d’efficacité et contribuera à augmenter la qualité de la recherche internationale;  et ii) l’accord visant à demander aux offices désignés de transmettre au Bureau international des informations opportunes sur l’ouverture de la phase nationale, afin de disposer d’informations beaucoup plus précises en ce qui concerne les droits octroyés ou en instance dans la phase nationale.  Le Bureau international a également présenté des estimations sur le degré de sensibilité des déposants à une variation de la taxe de dépôt, y compris des simulations sur d’éventuelles réductions de taxes pour les universités et les instituts de recherche publics dans les pays développés et dans les pays en développement.</w:t>
      </w:r>
      <w:r w:rsidR="00F93DE1" w:rsidRPr="00C258AD">
        <w:br w:type="page"/>
      </w:r>
    </w:p>
    <w:p w:rsidR="006E2BB1" w:rsidRPr="00C258AD" w:rsidRDefault="00194A9A" w:rsidP="00BB4DBC">
      <w:pPr>
        <w:pStyle w:val="ListParagraph"/>
        <w:numPr>
          <w:ilvl w:val="0"/>
          <w:numId w:val="9"/>
        </w:numPr>
        <w:tabs>
          <w:tab w:val="left" w:pos="709"/>
        </w:tabs>
        <w:autoSpaceDE w:val="0"/>
        <w:autoSpaceDN w:val="0"/>
        <w:adjustRightInd w:val="0"/>
        <w:ind w:left="0" w:firstLine="0"/>
        <w:jc w:val="both"/>
      </w:pPr>
      <w:r w:rsidRPr="00C258AD">
        <w:lastRenderedPageBreak/>
        <w:t xml:space="preserve">Une part importante des activités menées au titre du programme et des ressources allouées à ce dernier a été consacrée à la coopération et à </w:t>
      </w:r>
      <w:proofErr w:type="gramStart"/>
      <w:r w:rsidRPr="00C258AD">
        <w:t>l’assistance techniques</w:t>
      </w:r>
      <w:proofErr w:type="gramEnd"/>
      <w:r w:rsidRPr="00C258AD">
        <w:t xml:space="preserve"> en faveur des pays en développement et des PMA.  Des activités de formation et de renforcement des capacités ont été réalisées dans le but d’aider les États contractants du PCT et les États qui envisagent d’y adhérer à renforcer leurs capacités nationales afin de mieux protéger leur créativité et leurs innovations conformément à la recommandation n° 1 du Plan d’action pour le développement.  Ces activités étaient déterminées par la demande, axées sur le développement et transparentes.  Elles ont été mises au point avec le concours des organisateurs locaux, compte tenu du niveau de sensibilisation au PCT, des connaissances techniques et des compétences des participants liées au PCT et couvraient un large éventail d’aspects de la procédure du PCT, y compris le système </w:t>
      </w:r>
      <w:proofErr w:type="spellStart"/>
      <w:r w:rsidRPr="00C258AD">
        <w:t>ePCT</w:t>
      </w:r>
      <w:proofErr w:type="spellEnd"/>
      <w:r w:rsidRPr="00C258AD">
        <w:t xml:space="preserve"> et l’examen après l’ouverture de la phase nationale.  Ces activités ont contribué au renforcement des capacités des États contractants du PCT et des États qui envisagent d’y adhérer grâce à l’approfondissement des connaissances et des compétences locales relatives à l’utilisation du système du PCT.</w:t>
      </w:r>
    </w:p>
    <w:p w:rsidR="006E2BB1" w:rsidRPr="00C258AD" w:rsidRDefault="006E2BB1" w:rsidP="00C9182C">
      <w:pPr>
        <w:tabs>
          <w:tab w:val="left" w:pos="709"/>
        </w:tabs>
        <w:autoSpaceDE w:val="0"/>
        <w:autoSpaceDN w:val="0"/>
        <w:adjustRightInd w:val="0"/>
        <w:jc w:val="both"/>
      </w:pPr>
    </w:p>
    <w:p w:rsidR="006E2BB1" w:rsidRPr="00C258AD" w:rsidRDefault="00194A9A" w:rsidP="00BB4DBC">
      <w:pPr>
        <w:pStyle w:val="ListParagraph"/>
        <w:numPr>
          <w:ilvl w:val="0"/>
          <w:numId w:val="9"/>
        </w:numPr>
        <w:tabs>
          <w:tab w:val="left" w:pos="709"/>
        </w:tabs>
        <w:autoSpaceDE w:val="0"/>
        <w:autoSpaceDN w:val="0"/>
        <w:adjustRightInd w:val="0"/>
        <w:ind w:left="0" w:firstLine="0"/>
        <w:jc w:val="both"/>
      </w:pPr>
      <w:r w:rsidRPr="00C258AD">
        <w:t>Des actions visant à mieux faire connaître le PCT auprès de ses utilisateurs actuels et des utilisateurs potentiels ont été menées en 2014</w:t>
      </w:r>
      <w:r w:rsidRPr="00C258AD">
        <w:noBreakHyphen/>
        <w:t>2015 par le biais de diverses formations et activités de vulgarisation, comprenant 111 séminaires, 101 exposés, 25 séminaires sur le Web et 67 visites d’utilisateurs.  De plus, le Service d’information du PCT a répondu à 23 618 demandes relatives au PCT de la part d’utilisateurs actuels et d’utilisateurs potentiels (soit une moyenne de 49 demandes par jour) et la Division juridique du PCT a résolu 2408 dossiers particuliers au cours de l’année.</w:t>
      </w:r>
    </w:p>
    <w:p w:rsidR="006E2BB1" w:rsidRPr="00C258AD" w:rsidRDefault="006E2BB1" w:rsidP="00C9182C">
      <w:pPr>
        <w:tabs>
          <w:tab w:val="left" w:pos="709"/>
        </w:tabs>
        <w:autoSpaceDE w:val="0"/>
        <w:autoSpaceDN w:val="0"/>
        <w:adjustRightInd w:val="0"/>
        <w:jc w:val="both"/>
      </w:pPr>
    </w:p>
    <w:p w:rsidR="006E2BB1" w:rsidRPr="00C258AD" w:rsidRDefault="00194A9A" w:rsidP="00BB4DBC">
      <w:pPr>
        <w:pStyle w:val="ListParagraph"/>
        <w:numPr>
          <w:ilvl w:val="0"/>
          <w:numId w:val="9"/>
        </w:numPr>
        <w:tabs>
          <w:tab w:val="left" w:pos="709"/>
        </w:tabs>
        <w:autoSpaceDE w:val="0"/>
        <w:autoSpaceDN w:val="0"/>
        <w:adjustRightInd w:val="0"/>
        <w:ind w:left="0" w:firstLine="0"/>
        <w:jc w:val="both"/>
      </w:pPr>
      <w:r w:rsidRPr="00C258AD">
        <w:t>Le Bureau international a continué de développer l’automatisation de certains processus liés à l’examen de forme des demandes internationales selon le PCT.  Le Bureau international a renforcé l’efficacité du traitement des demandes déposées par voie électronique aux formats XML et PDF et a fait des progrès significatifs en ce qui concerne le traitement automatique des rapports de recherche internationale et des opinions écrites envoyés aux formats XML et PDF par la Chine, le Japon, la République de Corée et l’Office européen des brevets.  Ces mesures ont contribué à améliorer la productivité et la qualité de l’examen de forme des demandes internationales selon le PCT au cours de l’exercice biennal et ont permis au Bureau international d’absorber l’augmentation constante de la charge de travail avec un effectif moindre, et ce en continuant de fournir un service de haute qualité.  La productivité, calculée en divisant le nombre de publications du PCT par les effectifs, a augmenté de 22% au cours de l’exercice biennal 2014</w:t>
      </w:r>
      <w:r w:rsidRPr="00C258AD">
        <w:noBreakHyphen/>
        <w:t>2015, ce qui représente une augmentation considérable par rapport à 2012</w:t>
      </w:r>
      <w:r w:rsidRPr="00C258AD">
        <w:noBreakHyphen/>
        <w:t>2013.  La qualité globale, telle que mesurée par l’indice agrégé, a augmenté de 5,8% au cours de l’exercice biennal 2014</w:t>
      </w:r>
      <w:r w:rsidRPr="00C258AD">
        <w:noBreakHyphen/>
        <w:t>2015, par rapport à 2012</w:t>
      </w:r>
      <w:r w:rsidRPr="00C258AD">
        <w:noBreakHyphen/>
        <w:t>2013.</w:t>
      </w:r>
    </w:p>
    <w:p w:rsidR="006E2BB1" w:rsidRPr="00C258AD" w:rsidRDefault="006E2BB1" w:rsidP="00C9182C"/>
    <w:p w:rsidR="006E2BB1" w:rsidRPr="00C258AD" w:rsidRDefault="006E2BB1">
      <w:pPr>
        <w:rPr>
          <w:caps/>
          <w:sz w:val="22"/>
        </w:rPr>
      </w:pPr>
    </w:p>
    <w:p w:rsidR="006E2BB1" w:rsidRPr="00C258AD" w:rsidRDefault="00194A9A" w:rsidP="00305CE5">
      <w:pPr>
        <w:keepNext/>
        <w:rPr>
          <w:rFonts w:cs="Arial"/>
          <w:caps/>
          <w:sz w:val="22"/>
          <w:szCs w:val="22"/>
        </w:rPr>
      </w:pPr>
      <w:r w:rsidRPr="00C258AD">
        <w:rPr>
          <w:rFonts w:cs="Arial"/>
          <w:caps/>
          <w:sz w:val="22"/>
          <w:szCs w:val="22"/>
        </w:rPr>
        <w:t>Données relatives à l’exécution</w:t>
      </w:r>
    </w:p>
    <w:p w:rsidR="00194A9A" w:rsidRPr="00C258AD" w:rsidRDefault="00194A9A" w:rsidP="00C9182C"/>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159"/>
        <w:gridCol w:w="2443"/>
        <w:gridCol w:w="1583"/>
        <w:gridCol w:w="2156"/>
        <w:gridCol w:w="1150"/>
      </w:tblGrid>
      <w:tr w:rsidR="00194A9A" w:rsidRPr="00C258AD" w:rsidTr="00C9182C">
        <w:trPr>
          <w:cantSplit/>
        </w:trPr>
        <w:tc>
          <w:tcPr>
            <w:tcW w:w="5000" w:type="pct"/>
            <w:gridSpan w:val="5"/>
            <w:tcBorders>
              <w:top w:val="single" w:sz="4" w:space="0" w:color="auto"/>
              <w:bottom w:val="single" w:sz="4" w:space="0" w:color="auto"/>
            </w:tcBorders>
            <w:shd w:val="clear" w:color="auto" w:fill="C5D9F1"/>
            <w:vAlign w:val="center"/>
          </w:tcPr>
          <w:p w:rsidR="00194A9A" w:rsidRPr="00C258AD" w:rsidRDefault="00194A9A" w:rsidP="00C9182C">
            <w:pPr>
              <w:rPr>
                <w:b/>
                <w:bCs/>
                <w:sz w:val="16"/>
                <w:szCs w:val="16"/>
              </w:rPr>
            </w:pPr>
            <w:r w:rsidRPr="00C258AD">
              <w:rPr>
                <w:b/>
                <w:bCs/>
                <w:sz w:val="16"/>
                <w:szCs w:val="16"/>
              </w:rPr>
              <w:t xml:space="preserve">Résultat escompté II.1 : </w:t>
            </w:r>
            <w:r w:rsidRPr="00C258AD">
              <w:rPr>
                <w:sz w:val="16"/>
                <w:szCs w:val="16"/>
              </w:rPr>
              <w:t>Utilisation accrue de la voie PCT pour le dépôt des demandes internationales de brevet</w:t>
            </w:r>
          </w:p>
        </w:tc>
      </w:tr>
      <w:tr w:rsidR="00194A9A" w:rsidRPr="00C258AD" w:rsidTr="00C9182C">
        <w:trPr>
          <w:cantSplit/>
        </w:trPr>
        <w:tc>
          <w:tcPr>
            <w:tcW w:w="1137" w:type="pct"/>
            <w:tcBorders>
              <w:top w:val="single" w:sz="4" w:space="0" w:color="auto"/>
            </w:tcBorders>
            <w:shd w:val="clear" w:color="auto" w:fill="auto"/>
            <w:vAlign w:val="center"/>
          </w:tcPr>
          <w:p w:rsidR="00194A9A" w:rsidRPr="00C258AD" w:rsidRDefault="00194A9A" w:rsidP="00C9182C">
            <w:pPr>
              <w:jc w:val="center"/>
              <w:rPr>
                <w:sz w:val="16"/>
                <w:szCs w:val="16"/>
              </w:rPr>
            </w:pPr>
            <w:r w:rsidRPr="00C258AD">
              <w:rPr>
                <w:b/>
                <w:bCs/>
                <w:sz w:val="16"/>
                <w:szCs w:val="16"/>
              </w:rPr>
              <w:t>Indicateurs d’exécution</w:t>
            </w:r>
          </w:p>
        </w:tc>
        <w:tc>
          <w:tcPr>
            <w:tcW w:w="1287" w:type="pct"/>
            <w:tcBorders>
              <w:top w:val="single" w:sz="4" w:space="0" w:color="auto"/>
            </w:tcBorders>
            <w:shd w:val="clear" w:color="auto" w:fill="auto"/>
            <w:vAlign w:val="center"/>
          </w:tcPr>
          <w:p w:rsidR="00194A9A" w:rsidRPr="00C258AD" w:rsidRDefault="00194A9A" w:rsidP="00C9182C">
            <w:pPr>
              <w:jc w:val="center"/>
              <w:rPr>
                <w:b/>
                <w:bCs/>
                <w:sz w:val="16"/>
                <w:szCs w:val="16"/>
              </w:rPr>
            </w:pPr>
            <w:r w:rsidRPr="00C258AD">
              <w:rPr>
                <w:b/>
                <w:bCs/>
                <w:sz w:val="16"/>
                <w:szCs w:val="16"/>
              </w:rPr>
              <w:t>Niveaux de référence</w:t>
            </w:r>
          </w:p>
        </w:tc>
        <w:tc>
          <w:tcPr>
            <w:tcW w:w="834" w:type="pct"/>
            <w:tcBorders>
              <w:top w:val="single" w:sz="4" w:space="0" w:color="auto"/>
            </w:tcBorders>
            <w:shd w:val="clear" w:color="auto" w:fill="auto"/>
            <w:tcMar>
              <w:top w:w="110" w:type="dxa"/>
            </w:tcMar>
            <w:vAlign w:val="center"/>
          </w:tcPr>
          <w:p w:rsidR="00194A9A" w:rsidRPr="00C258AD" w:rsidRDefault="00194A9A" w:rsidP="00C9182C">
            <w:pPr>
              <w:jc w:val="center"/>
              <w:rPr>
                <w:b/>
                <w:sz w:val="16"/>
                <w:szCs w:val="16"/>
              </w:rPr>
            </w:pPr>
            <w:r w:rsidRPr="00C258AD">
              <w:rPr>
                <w:b/>
                <w:sz w:val="16"/>
                <w:szCs w:val="16"/>
              </w:rPr>
              <w:t>Objectifs visés</w:t>
            </w:r>
          </w:p>
        </w:tc>
        <w:tc>
          <w:tcPr>
            <w:tcW w:w="1136" w:type="pct"/>
            <w:tcBorders>
              <w:top w:val="single" w:sz="4" w:space="0" w:color="auto"/>
            </w:tcBorders>
            <w:shd w:val="clear" w:color="auto" w:fill="FFFFFF"/>
            <w:tcMar>
              <w:top w:w="110" w:type="dxa"/>
            </w:tcMar>
            <w:vAlign w:val="center"/>
          </w:tcPr>
          <w:p w:rsidR="00194A9A" w:rsidRPr="00C258AD" w:rsidRDefault="00194A9A" w:rsidP="00C9182C">
            <w:pPr>
              <w:jc w:val="center"/>
              <w:rPr>
                <w:sz w:val="16"/>
                <w:szCs w:val="16"/>
              </w:rPr>
            </w:pPr>
            <w:r w:rsidRPr="00C258AD">
              <w:rPr>
                <w:b/>
                <w:bCs/>
                <w:sz w:val="16"/>
                <w:szCs w:val="16"/>
              </w:rPr>
              <w:t>Données relatives à l’exécution</w:t>
            </w:r>
          </w:p>
        </w:tc>
        <w:tc>
          <w:tcPr>
            <w:tcW w:w="606" w:type="pct"/>
            <w:tcBorders>
              <w:top w:val="single" w:sz="4" w:space="0" w:color="auto"/>
            </w:tcBorders>
            <w:shd w:val="clear" w:color="auto" w:fill="auto"/>
            <w:tcMar>
              <w:top w:w="110" w:type="dxa"/>
            </w:tcMar>
            <w:vAlign w:val="center"/>
          </w:tcPr>
          <w:p w:rsidR="00194A9A" w:rsidRPr="00C258AD" w:rsidRDefault="00194A9A" w:rsidP="00C9182C">
            <w:pPr>
              <w:jc w:val="center"/>
              <w:rPr>
                <w:b/>
                <w:bCs/>
                <w:sz w:val="16"/>
                <w:szCs w:val="16"/>
              </w:rPr>
            </w:pPr>
            <w:r w:rsidRPr="00C258AD">
              <w:rPr>
                <w:b/>
                <w:bCs/>
                <w:sz w:val="16"/>
                <w:szCs w:val="16"/>
              </w:rPr>
              <w:t>Code de couleurs</w:t>
            </w:r>
          </w:p>
        </w:tc>
      </w:tr>
      <w:tr w:rsidR="00194A9A" w:rsidRPr="00C258AD" w:rsidTr="00C9182C">
        <w:trPr>
          <w:cantSplit/>
        </w:trPr>
        <w:tc>
          <w:tcPr>
            <w:tcW w:w="1137" w:type="pct"/>
            <w:shd w:val="clear" w:color="auto" w:fill="auto"/>
          </w:tcPr>
          <w:p w:rsidR="00194A9A" w:rsidRPr="00C258AD" w:rsidRDefault="00194A9A" w:rsidP="00C9182C">
            <w:pPr>
              <w:rPr>
                <w:sz w:val="16"/>
                <w:szCs w:val="16"/>
              </w:rPr>
            </w:pPr>
            <w:r w:rsidRPr="00C258AD">
              <w:rPr>
                <w:sz w:val="16"/>
                <w:szCs w:val="16"/>
              </w:rPr>
              <w:t>Degré de satisfaction des utilisateurs du PCT à l’égard des services d’information et de formation axés sur les utilisateurs</w:t>
            </w:r>
          </w:p>
        </w:tc>
        <w:tc>
          <w:tcPr>
            <w:tcW w:w="1287" w:type="pct"/>
            <w:shd w:val="clear" w:color="auto" w:fill="auto"/>
          </w:tcPr>
          <w:p w:rsidR="00194A9A" w:rsidRPr="00C258AD" w:rsidRDefault="00194A9A" w:rsidP="00C9182C">
            <w:pPr>
              <w:rPr>
                <w:sz w:val="16"/>
                <w:szCs w:val="16"/>
              </w:rPr>
            </w:pPr>
            <w:r w:rsidRPr="00C258AD">
              <w:rPr>
                <w:sz w:val="16"/>
                <w:szCs w:val="16"/>
              </w:rPr>
              <w:t>Degré, enregistré en 2009, de satisfaction des utilisateurs du PCT à l’égard des services d’information et de formation axés sur les utilisateurs</w:t>
            </w:r>
          </w:p>
        </w:tc>
        <w:tc>
          <w:tcPr>
            <w:tcW w:w="834" w:type="pct"/>
            <w:shd w:val="clear" w:color="auto" w:fill="auto"/>
            <w:tcMar>
              <w:top w:w="110" w:type="dxa"/>
            </w:tcMar>
          </w:tcPr>
          <w:p w:rsidR="00194A9A" w:rsidRPr="00C258AD" w:rsidRDefault="00194A9A" w:rsidP="00C9182C">
            <w:pPr>
              <w:rPr>
                <w:sz w:val="16"/>
                <w:szCs w:val="16"/>
              </w:rPr>
            </w:pPr>
            <w:r w:rsidRPr="00C258AD">
              <w:rPr>
                <w:sz w:val="16"/>
                <w:szCs w:val="16"/>
              </w:rPr>
              <w:t>Maintenir ou rehausser le degré de satisfaction des utilisateurs du PCT enregistré en 2009</w:t>
            </w:r>
          </w:p>
        </w:tc>
        <w:tc>
          <w:tcPr>
            <w:tcW w:w="1136" w:type="pct"/>
            <w:shd w:val="clear" w:color="auto" w:fill="FFFFFF"/>
            <w:tcMar>
              <w:top w:w="110" w:type="dxa"/>
            </w:tcMar>
          </w:tcPr>
          <w:p w:rsidR="00194A9A" w:rsidRPr="00C258AD" w:rsidRDefault="00194A9A" w:rsidP="00C9182C">
            <w:pPr>
              <w:rPr>
                <w:rFonts w:cs="Arial"/>
                <w:sz w:val="16"/>
                <w:szCs w:val="16"/>
              </w:rPr>
            </w:pPr>
            <w:r w:rsidRPr="00C258AD">
              <w:rPr>
                <w:rFonts w:cs="Arial"/>
                <w:sz w:val="16"/>
                <w:szCs w:val="16"/>
              </w:rPr>
              <w:t>89% des utilisateurs du PCT étaient satisfaits des services PCT fournis par l’OMPI, soit 11% de plus qu’en 2009.</w:t>
            </w:r>
          </w:p>
        </w:tc>
        <w:tc>
          <w:tcPr>
            <w:tcW w:w="606" w:type="pct"/>
            <w:shd w:val="clear" w:color="auto" w:fill="auto"/>
            <w:tcMar>
              <w:top w:w="110" w:type="dxa"/>
            </w:tcMar>
          </w:tcPr>
          <w:p w:rsidR="00194A9A" w:rsidRPr="00C258AD" w:rsidRDefault="00194A9A" w:rsidP="00C9182C">
            <w:pPr>
              <w:jc w:val="center"/>
              <w:rPr>
                <w:bCs/>
                <w:color w:val="0070C0"/>
                <w:sz w:val="16"/>
                <w:szCs w:val="16"/>
              </w:rPr>
            </w:pPr>
            <w:r w:rsidRPr="00C258AD">
              <w:rPr>
                <w:rFonts w:cs="Arial"/>
                <w:b/>
                <w:bCs/>
                <w:color w:val="00B050"/>
                <w:sz w:val="16"/>
                <w:szCs w:val="16"/>
              </w:rPr>
              <w:t>Objectif pleinement atteint</w:t>
            </w:r>
          </w:p>
        </w:tc>
      </w:tr>
      <w:tr w:rsidR="00194A9A" w:rsidRPr="00C258AD" w:rsidTr="00C9182C">
        <w:trPr>
          <w:cantSplit/>
        </w:trPr>
        <w:tc>
          <w:tcPr>
            <w:tcW w:w="1137" w:type="pct"/>
            <w:tcBorders>
              <w:bottom w:val="single" w:sz="4" w:space="0" w:color="auto"/>
            </w:tcBorders>
            <w:shd w:val="clear" w:color="auto" w:fill="auto"/>
          </w:tcPr>
          <w:p w:rsidR="00194A9A" w:rsidRPr="00C258AD" w:rsidRDefault="00194A9A" w:rsidP="00C9182C">
            <w:pPr>
              <w:rPr>
                <w:sz w:val="16"/>
                <w:szCs w:val="16"/>
              </w:rPr>
            </w:pPr>
            <w:r w:rsidRPr="00C258AD">
              <w:rPr>
                <w:sz w:val="16"/>
                <w:szCs w:val="16"/>
              </w:rPr>
              <w:t>Satisfaction des offices et des administrations internationales à l’égard des activités de coopération du PCT</w:t>
            </w:r>
          </w:p>
        </w:tc>
        <w:tc>
          <w:tcPr>
            <w:tcW w:w="1287" w:type="pct"/>
            <w:tcBorders>
              <w:bottom w:val="single" w:sz="4" w:space="0" w:color="auto"/>
            </w:tcBorders>
            <w:shd w:val="clear" w:color="auto" w:fill="auto"/>
          </w:tcPr>
          <w:p w:rsidR="006E2BB1" w:rsidRPr="00C258AD" w:rsidRDefault="00194A9A" w:rsidP="00C9182C">
            <w:pPr>
              <w:rPr>
                <w:i/>
                <w:color w:val="002060"/>
                <w:sz w:val="16"/>
                <w:szCs w:val="16"/>
              </w:rPr>
            </w:pPr>
            <w:r w:rsidRPr="00C258AD">
              <w:rPr>
                <w:i/>
                <w:color w:val="002060"/>
                <w:sz w:val="16"/>
                <w:szCs w:val="16"/>
              </w:rPr>
              <w:t xml:space="preserve">Niveau de référence actualisé à fin 2013 : </w:t>
            </w:r>
            <w:r w:rsidRPr="00C258AD">
              <w:rPr>
                <w:color w:val="002060"/>
                <w:sz w:val="16"/>
                <w:szCs w:val="16"/>
              </w:rPr>
              <w:t>56 (soit 95% des 59 bénéficiaires des activités de coopération du PCT;  85% des 66 participants) (enquête de 2012)</w:t>
            </w:r>
          </w:p>
          <w:p w:rsidR="006E2BB1" w:rsidRPr="00C258AD" w:rsidRDefault="006E2BB1" w:rsidP="00C9182C">
            <w:pPr>
              <w:rPr>
                <w:i/>
                <w:sz w:val="16"/>
                <w:szCs w:val="16"/>
              </w:rPr>
            </w:pPr>
          </w:p>
          <w:p w:rsidR="00194A9A" w:rsidRPr="00C258AD" w:rsidRDefault="00194A9A" w:rsidP="00C9182C">
            <w:pPr>
              <w:rPr>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59 répondants se sont déclarés satisfaits des activités menées en 2011 (95% des 62 personnes impliquées dans ces activités/86% sur les 69 répondants).</w:t>
            </w:r>
          </w:p>
        </w:tc>
        <w:tc>
          <w:tcPr>
            <w:tcW w:w="834" w:type="pct"/>
            <w:tcBorders>
              <w:bottom w:val="single" w:sz="4" w:space="0" w:color="auto"/>
            </w:tcBorders>
            <w:shd w:val="clear" w:color="auto" w:fill="auto"/>
            <w:tcMar>
              <w:top w:w="110" w:type="dxa"/>
            </w:tcMar>
          </w:tcPr>
          <w:p w:rsidR="00194A9A" w:rsidRPr="00C258AD" w:rsidRDefault="00194A9A" w:rsidP="00C9182C">
            <w:pPr>
              <w:rPr>
                <w:sz w:val="16"/>
                <w:szCs w:val="16"/>
                <w:lang w:bidi="th-TH"/>
              </w:rPr>
            </w:pPr>
            <w:r w:rsidRPr="00C258AD">
              <w:rPr>
                <w:sz w:val="16"/>
                <w:szCs w:val="16"/>
              </w:rPr>
              <w:t>Maintenir le degré de satisfaction de 2011 parmi les offices et les administrations internationales</w:t>
            </w:r>
          </w:p>
        </w:tc>
        <w:tc>
          <w:tcPr>
            <w:tcW w:w="1136" w:type="pct"/>
            <w:tcBorders>
              <w:bottom w:val="single" w:sz="4" w:space="0" w:color="auto"/>
            </w:tcBorders>
            <w:shd w:val="clear" w:color="auto" w:fill="FFFFFF"/>
            <w:tcMar>
              <w:top w:w="110" w:type="dxa"/>
            </w:tcMar>
          </w:tcPr>
          <w:p w:rsidR="00194A9A" w:rsidRPr="00C258AD" w:rsidRDefault="00194A9A" w:rsidP="00C9182C">
            <w:pPr>
              <w:rPr>
                <w:rFonts w:cs="Arial"/>
                <w:sz w:val="16"/>
                <w:szCs w:val="16"/>
              </w:rPr>
            </w:pPr>
            <w:r w:rsidRPr="00C258AD">
              <w:rPr>
                <w:rFonts w:cs="Arial"/>
                <w:sz w:val="16"/>
                <w:szCs w:val="16"/>
              </w:rPr>
              <w:t>58 (soit 96% des 60 bénéficiaires des activités de coopération du PCT;  95% des 61 participants) (enquête de 2016)</w:t>
            </w:r>
          </w:p>
        </w:tc>
        <w:tc>
          <w:tcPr>
            <w:tcW w:w="606" w:type="pct"/>
            <w:tcBorders>
              <w:bottom w:val="single" w:sz="4" w:space="0" w:color="auto"/>
            </w:tcBorders>
            <w:shd w:val="clear" w:color="auto" w:fill="auto"/>
            <w:tcMar>
              <w:top w:w="110" w:type="dxa"/>
            </w:tcMar>
          </w:tcPr>
          <w:p w:rsidR="00194A9A" w:rsidRPr="00C258AD" w:rsidRDefault="00194A9A" w:rsidP="00C9182C">
            <w:pPr>
              <w:jc w:val="center"/>
              <w:rPr>
                <w:bCs/>
                <w:color w:val="0070C0"/>
                <w:sz w:val="16"/>
                <w:szCs w:val="16"/>
              </w:rPr>
            </w:pPr>
            <w:r w:rsidRPr="00C258AD">
              <w:rPr>
                <w:rFonts w:cs="Arial"/>
                <w:b/>
                <w:bCs/>
                <w:color w:val="00B050"/>
                <w:sz w:val="16"/>
                <w:szCs w:val="16"/>
              </w:rPr>
              <w:t>Objectif pleinement atteint</w:t>
            </w:r>
          </w:p>
        </w:tc>
      </w:tr>
      <w:tr w:rsidR="00194A9A" w:rsidRPr="00C258AD" w:rsidTr="00C9182C">
        <w:trPr>
          <w:cantSplit/>
        </w:trPr>
        <w:tc>
          <w:tcPr>
            <w:tcW w:w="5000" w:type="pct"/>
            <w:gridSpan w:val="5"/>
            <w:tcBorders>
              <w:top w:val="single" w:sz="4" w:space="0" w:color="auto"/>
              <w:bottom w:val="single" w:sz="4" w:space="0" w:color="auto"/>
            </w:tcBorders>
            <w:shd w:val="clear" w:color="auto" w:fill="C5D9F1"/>
            <w:vAlign w:val="center"/>
          </w:tcPr>
          <w:p w:rsidR="00194A9A" w:rsidRPr="00C258AD" w:rsidRDefault="00194A9A" w:rsidP="00C9182C">
            <w:pPr>
              <w:keepNext/>
              <w:widowControl w:val="0"/>
              <w:rPr>
                <w:b/>
                <w:bCs/>
                <w:sz w:val="16"/>
                <w:szCs w:val="16"/>
              </w:rPr>
            </w:pPr>
            <w:r w:rsidRPr="00C258AD">
              <w:rPr>
                <w:b/>
                <w:bCs/>
                <w:sz w:val="16"/>
                <w:szCs w:val="16"/>
              </w:rPr>
              <w:lastRenderedPageBreak/>
              <w:t xml:space="preserve">Résultat escompté II.2 : </w:t>
            </w:r>
            <w:r w:rsidRPr="00C258AD">
              <w:rPr>
                <w:sz w:val="16"/>
                <w:szCs w:val="16"/>
                <w:lang w:eastAsia="fr-FR"/>
              </w:rPr>
              <w:t>Amélioration du système du PCT</w:t>
            </w:r>
          </w:p>
        </w:tc>
      </w:tr>
      <w:tr w:rsidR="00194A9A" w:rsidRPr="00C258AD" w:rsidTr="00C9182C">
        <w:trPr>
          <w:cantSplit/>
        </w:trPr>
        <w:tc>
          <w:tcPr>
            <w:tcW w:w="1137" w:type="pct"/>
            <w:tcBorders>
              <w:top w:val="single" w:sz="4" w:space="0" w:color="auto"/>
            </w:tcBorders>
            <w:shd w:val="clear" w:color="auto" w:fill="auto"/>
            <w:vAlign w:val="center"/>
          </w:tcPr>
          <w:p w:rsidR="00194A9A" w:rsidRPr="00C258AD" w:rsidRDefault="00194A9A" w:rsidP="00C9182C">
            <w:pPr>
              <w:keepNext/>
              <w:widowControl w:val="0"/>
              <w:jc w:val="center"/>
              <w:rPr>
                <w:sz w:val="16"/>
                <w:szCs w:val="16"/>
              </w:rPr>
            </w:pPr>
            <w:r w:rsidRPr="00C258AD">
              <w:rPr>
                <w:b/>
                <w:bCs/>
                <w:sz w:val="16"/>
                <w:szCs w:val="16"/>
              </w:rPr>
              <w:t>Indicateurs d’exécution</w:t>
            </w:r>
          </w:p>
        </w:tc>
        <w:tc>
          <w:tcPr>
            <w:tcW w:w="1287" w:type="pct"/>
            <w:tcBorders>
              <w:top w:val="single" w:sz="4" w:space="0" w:color="auto"/>
            </w:tcBorders>
            <w:shd w:val="clear" w:color="auto" w:fill="auto"/>
            <w:vAlign w:val="center"/>
          </w:tcPr>
          <w:p w:rsidR="00194A9A" w:rsidRPr="00C258AD" w:rsidRDefault="00194A9A" w:rsidP="00C9182C">
            <w:pPr>
              <w:keepNext/>
              <w:widowControl w:val="0"/>
              <w:jc w:val="center"/>
              <w:rPr>
                <w:b/>
                <w:bCs/>
                <w:sz w:val="16"/>
                <w:szCs w:val="16"/>
              </w:rPr>
            </w:pPr>
            <w:r w:rsidRPr="00C258AD">
              <w:rPr>
                <w:b/>
                <w:bCs/>
                <w:sz w:val="16"/>
                <w:szCs w:val="16"/>
              </w:rPr>
              <w:t>Niveaux de référence</w:t>
            </w:r>
          </w:p>
        </w:tc>
        <w:tc>
          <w:tcPr>
            <w:tcW w:w="834" w:type="pct"/>
            <w:tcBorders>
              <w:top w:val="single" w:sz="4" w:space="0" w:color="auto"/>
            </w:tcBorders>
            <w:shd w:val="clear" w:color="auto" w:fill="auto"/>
            <w:tcMar>
              <w:top w:w="110" w:type="dxa"/>
            </w:tcMar>
            <w:vAlign w:val="center"/>
          </w:tcPr>
          <w:p w:rsidR="00194A9A" w:rsidRPr="00C258AD" w:rsidRDefault="00194A9A" w:rsidP="00C9182C">
            <w:pPr>
              <w:keepNext/>
              <w:widowControl w:val="0"/>
              <w:jc w:val="center"/>
              <w:rPr>
                <w:b/>
                <w:sz w:val="16"/>
                <w:szCs w:val="16"/>
              </w:rPr>
            </w:pPr>
            <w:r w:rsidRPr="00C258AD">
              <w:rPr>
                <w:b/>
                <w:sz w:val="16"/>
                <w:szCs w:val="16"/>
              </w:rPr>
              <w:t>Objectifs visés</w:t>
            </w:r>
          </w:p>
        </w:tc>
        <w:tc>
          <w:tcPr>
            <w:tcW w:w="1136" w:type="pct"/>
            <w:tcBorders>
              <w:top w:val="single" w:sz="4" w:space="0" w:color="auto"/>
            </w:tcBorders>
            <w:shd w:val="clear" w:color="auto" w:fill="FFFFFF"/>
            <w:tcMar>
              <w:top w:w="110" w:type="dxa"/>
            </w:tcMar>
            <w:vAlign w:val="center"/>
          </w:tcPr>
          <w:p w:rsidR="00194A9A" w:rsidRPr="00C258AD" w:rsidRDefault="00194A9A" w:rsidP="00C9182C">
            <w:pPr>
              <w:keepNext/>
              <w:widowControl w:val="0"/>
              <w:jc w:val="center"/>
              <w:rPr>
                <w:sz w:val="16"/>
                <w:szCs w:val="16"/>
              </w:rPr>
            </w:pPr>
            <w:r w:rsidRPr="00C258AD">
              <w:rPr>
                <w:b/>
                <w:bCs/>
                <w:sz w:val="16"/>
                <w:szCs w:val="16"/>
              </w:rPr>
              <w:t>Données relatives à l’exécution</w:t>
            </w:r>
          </w:p>
        </w:tc>
        <w:tc>
          <w:tcPr>
            <w:tcW w:w="606" w:type="pct"/>
            <w:tcBorders>
              <w:top w:val="single" w:sz="4" w:space="0" w:color="auto"/>
            </w:tcBorders>
            <w:shd w:val="clear" w:color="auto" w:fill="auto"/>
            <w:tcMar>
              <w:top w:w="110" w:type="dxa"/>
            </w:tcMar>
            <w:vAlign w:val="center"/>
          </w:tcPr>
          <w:p w:rsidR="00194A9A" w:rsidRPr="00C258AD" w:rsidRDefault="00194A9A" w:rsidP="00C9182C">
            <w:pPr>
              <w:keepNext/>
              <w:widowControl w:val="0"/>
              <w:jc w:val="center"/>
              <w:rPr>
                <w:b/>
                <w:bCs/>
                <w:sz w:val="16"/>
                <w:szCs w:val="16"/>
              </w:rPr>
            </w:pPr>
            <w:r w:rsidRPr="00C258AD">
              <w:rPr>
                <w:b/>
                <w:bCs/>
                <w:sz w:val="16"/>
                <w:szCs w:val="16"/>
              </w:rPr>
              <w:t>Code de couleurs</w:t>
            </w:r>
          </w:p>
        </w:tc>
      </w:tr>
      <w:tr w:rsidR="00194A9A" w:rsidRPr="00C258AD" w:rsidTr="00C9182C">
        <w:trPr>
          <w:cantSplit/>
        </w:trPr>
        <w:tc>
          <w:tcPr>
            <w:tcW w:w="1137" w:type="pct"/>
            <w:shd w:val="clear" w:color="auto" w:fill="FFFFFF"/>
          </w:tcPr>
          <w:p w:rsidR="00194A9A" w:rsidRPr="00C258AD" w:rsidRDefault="00194A9A" w:rsidP="00C9182C">
            <w:pPr>
              <w:rPr>
                <w:sz w:val="16"/>
                <w:szCs w:val="16"/>
              </w:rPr>
            </w:pPr>
            <w:r w:rsidRPr="00C258AD">
              <w:rPr>
                <w:sz w:val="16"/>
                <w:szCs w:val="16"/>
              </w:rPr>
              <w:t>Amélioration du système du PCT, notamment mise en œuvre des recommandations des lignes directrices du PCT approuvées par les États contractants du PCT</w:t>
            </w:r>
          </w:p>
        </w:tc>
        <w:tc>
          <w:tcPr>
            <w:tcW w:w="1287" w:type="pct"/>
            <w:shd w:val="clear" w:color="auto" w:fill="auto"/>
          </w:tcPr>
          <w:p w:rsidR="006E2BB1" w:rsidRPr="00C258AD" w:rsidRDefault="00194A9A" w:rsidP="00C9182C">
            <w:pPr>
              <w:rPr>
                <w:i/>
                <w:color w:val="002060"/>
                <w:sz w:val="16"/>
                <w:szCs w:val="16"/>
              </w:rPr>
            </w:pPr>
            <w:r w:rsidRPr="00C258AD">
              <w:rPr>
                <w:i/>
                <w:color w:val="002060"/>
                <w:sz w:val="16"/>
                <w:szCs w:val="16"/>
              </w:rPr>
              <w:t>Niveau de référence actualisé à fin 2013 :</w:t>
            </w:r>
            <w:r w:rsidRPr="00C258AD">
              <w:rPr>
                <w:color w:val="002060"/>
                <w:sz w:val="16"/>
                <w:szCs w:val="16"/>
              </w:rPr>
              <w:t xml:space="preserve"> situation du système du PCT fin 2013.</w:t>
            </w:r>
          </w:p>
          <w:p w:rsidR="006E2BB1" w:rsidRPr="00C258AD" w:rsidRDefault="006E2BB1" w:rsidP="00C9182C">
            <w:pPr>
              <w:rPr>
                <w:i/>
                <w:sz w:val="16"/>
                <w:szCs w:val="16"/>
              </w:rPr>
            </w:pPr>
          </w:p>
          <w:p w:rsidR="00194A9A" w:rsidRPr="00C258AD" w:rsidRDefault="00194A9A" w:rsidP="00C9182C">
            <w:pPr>
              <w:rPr>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décisions prises par les organes compétents du PCT jusqu’à la fin de 2013.</w:t>
            </w:r>
          </w:p>
        </w:tc>
        <w:tc>
          <w:tcPr>
            <w:tcW w:w="834" w:type="pct"/>
            <w:shd w:val="clear" w:color="auto" w:fill="auto"/>
            <w:tcMar>
              <w:top w:w="110" w:type="dxa"/>
            </w:tcMar>
          </w:tcPr>
          <w:p w:rsidR="00194A9A" w:rsidRPr="00C258AD" w:rsidRDefault="00194A9A" w:rsidP="00C9182C">
            <w:pPr>
              <w:autoSpaceDE w:val="0"/>
              <w:autoSpaceDN w:val="0"/>
              <w:adjustRightInd w:val="0"/>
              <w:rPr>
                <w:sz w:val="16"/>
                <w:szCs w:val="16"/>
              </w:rPr>
            </w:pPr>
            <w:r w:rsidRPr="00C258AD">
              <w:rPr>
                <w:sz w:val="16"/>
              </w:rPr>
              <w:t>Accomplir des progrès pour favoriser la réalisation des objectifs du traité, dans l’intérêt de toutes les parties prenantes et conformément aux lignes directrices du PCT approuvées par les États contractants du PCT</w:t>
            </w:r>
            <w:r w:rsidRPr="00C258AD">
              <w:rPr>
                <w:rStyle w:val="FootnoteReference"/>
                <w:rFonts w:eastAsia="SimSun"/>
                <w:sz w:val="16"/>
              </w:rPr>
              <w:footnoteReference w:id="18"/>
            </w:r>
            <w:r w:rsidRPr="00C258AD">
              <w:rPr>
                <w:sz w:val="16"/>
              </w:rPr>
              <w:t xml:space="preserve"> </w:t>
            </w:r>
          </w:p>
        </w:tc>
        <w:tc>
          <w:tcPr>
            <w:tcW w:w="1136" w:type="pct"/>
            <w:shd w:val="clear" w:color="auto" w:fill="FFFFFF"/>
            <w:tcMar>
              <w:top w:w="110" w:type="dxa"/>
            </w:tcMar>
          </w:tcPr>
          <w:p w:rsidR="006E2BB1" w:rsidRPr="00C258AD" w:rsidRDefault="00194A9A" w:rsidP="00C9182C">
            <w:pPr>
              <w:rPr>
                <w:sz w:val="16"/>
                <w:szCs w:val="16"/>
                <w:lang w:bidi="th-TH"/>
              </w:rPr>
            </w:pPr>
            <w:r w:rsidRPr="00C258AD">
              <w:rPr>
                <w:sz w:val="16"/>
                <w:szCs w:val="16"/>
                <w:lang w:bidi="th-TH"/>
              </w:rPr>
              <w:t>En 2014</w:t>
            </w:r>
            <w:r w:rsidRPr="00C258AD">
              <w:rPr>
                <w:sz w:val="16"/>
                <w:szCs w:val="16"/>
                <w:lang w:bidi="th-TH"/>
              </w:rPr>
              <w:noBreakHyphen/>
              <w:t>2015, des progrès ont été accomplis pour favoriser la réalisation des objectifs du traité, dans l’intérêt de toutes les parties prenantes et conformément aux lignes directrices du PCT approuvées par les États contractants du PCT, sur les points suivants : a) Accord des États membres sur les critères à remplir pour bénéficier d’une réduction des taxes;  b) Accord des États membres sur des procédures révisées de nomination des administrations chargées de la recherche internationale et administrations chargées de l’examen préliminaire international;</w:t>
            </w:r>
          </w:p>
          <w:p w:rsidR="006E2BB1" w:rsidRPr="00C258AD" w:rsidRDefault="00194A9A" w:rsidP="00C9182C">
            <w:pPr>
              <w:rPr>
                <w:rFonts w:cs="Arial"/>
                <w:sz w:val="16"/>
                <w:szCs w:val="16"/>
                <w:lang w:bidi="th-TH"/>
              </w:rPr>
            </w:pPr>
            <w:r w:rsidRPr="00C258AD">
              <w:rPr>
                <w:sz w:val="16"/>
                <w:szCs w:val="16"/>
                <w:lang w:bidi="th-TH"/>
              </w:rPr>
              <w:t>c) Accord des États membres sur le partage des résultats des travaux de recherche relatifs aux demandes antérieures</w:t>
            </w:r>
            <w:r w:rsidRPr="00C258AD">
              <w:rPr>
                <w:rFonts w:cs="Arial"/>
                <w:sz w:val="16"/>
                <w:szCs w:val="16"/>
                <w:lang w:bidi="th-TH"/>
              </w:rPr>
              <w:t xml:space="preserve"> pour améliorer la qualité et le respect des délais en ce qui concerne les produits du travail du PCT;</w:t>
            </w:r>
          </w:p>
          <w:p w:rsidR="006E2BB1" w:rsidRPr="00C258AD" w:rsidRDefault="00194A9A" w:rsidP="00C9182C">
            <w:pPr>
              <w:rPr>
                <w:rFonts w:cs="Arial"/>
                <w:sz w:val="16"/>
                <w:szCs w:val="16"/>
                <w:lang w:bidi="th-TH"/>
              </w:rPr>
            </w:pPr>
            <w:r w:rsidRPr="00C258AD">
              <w:rPr>
                <w:rFonts w:cs="Arial"/>
                <w:sz w:val="16"/>
                <w:szCs w:val="16"/>
                <w:lang w:bidi="th-TH"/>
              </w:rPr>
              <w:t xml:space="preserve">d) Mise en œuvre du nouveau service </w:t>
            </w:r>
            <w:proofErr w:type="spellStart"/>
            <w:r w:rsidRPr="00C258AD">
              <w:rPr>
                <w:rFonts w:cs="Arial"/>
                <w:sz w:val="16"/>
                <w:szCs w:val="16"/>
                <w:lang w:bidi="th-TH"/>
              </w:rPr>
              <w:t>eSearchCopy</w:t>
            </w:r>
            <w:proofErr w:type="spellEnd"/>
            <w:r w:rsidRPr="00C258AD">
              <w:rPr>
                <w:rFonts w:cs="Arial"/>
                <w:sz w:val="16"/>
                <w:szCs w:val="16"/>
                <w:lang w:bidi="th-TH"/>
              </w:rPr>
              <w:t xml:space="preserve"> pour la transmission plus rapide et plus efficace des demandes aux fins de la recherche internationale;  et</w:t>
            </w:r>
          </w:p>
          <w:p w:rsidR="00194A9A" w:rsidRPr="00C258AD" w:rsidRDefault="00194A9A" w:rsidP="00C9182C">
            <w:pPr>
              <w:rPr>
                <w:sz w:val="16"/>
                <w:szCs w:val="16"/>
                <w:lang w:bidi="th-TH"/>
              </w:rPr>
            </w:pPr>
            <w:r w:rsidRPr="00C258AD">
              <w:rPr>
                <w:rFonts w:cs="Arial"/>
                <w:sz w:val="16"/>
                <w:szCs w:val="16"/>
                <w:lang w:bidi="th-TH"/>
              </w:rPr>
              <w:t>e) Accord visant à demander aux offices de transmettre au Bureau international des informations opportunes sur l’ouverture de la phase nationale, afin de disposer d’informations plus précises sur la situation juridique des brevets.</w:t>
            </w:r>
            <w:r w:rsidRPr="00C258AD">
              <w:rPr>
                <w:sz w:val="16"/>
                <w:szCs w:val="16"/>
                <w:lang w:bidi="th-TH"/>
              </w:rPr>
              <w:t xml:space="preserve">  </w:t>
            </w:r>
          </w:p>
        </w:tc>
        <w:tc>
          <w:tcPr>
            <w:tcW w:w="606" w:type="pct"/>
            <w:shd w:val="clear" w:color="auto" w:fill="auto"/>
            <w:tcMar>
              <w:top w:w="110" w:type="dxa"/>
            </w:tcMar>
          </w:tcPr>
          <w:p w:rsidR="00194A9A" w:rsidRPr="00C258AD" w:rsidRDefault="00194A9A" w:rsidP="00C9182C">
            <w:pPr>
              <w:jc w:val="center"/>
              <w:rPr>
                <w:bCs/>
                <w:sz w:val="16"/>
                <w:szCs w:val="16"/>
              </w:rPr>
            </w:pPr>
            <w:r w:rsidRPr="00C258AD">
              <w:rPr>
                <w:rFonts w:cs="Arial"/>
                <w:b/>
                <w:bCs/>
                <w:color w:val="00B050"/>
                <w:sz w:val="16"/>
                <w:szCs w:val="16"/>
              </w:rPr>
              <w:t>Objectif pleinement atteint</w:t>
            </w:r>
          </w:p>
        </w:tc>
      </w:tr>
      <w:tr w:rsidR="00194A9A" w:rsidRPr="00C258AD" w:rsidTr="00C9182C">
        <w:trPr>
          <w:cantSplit/>
        </w:trPr>
        <w:tc>
          <w:tcPr>
            <w:tcW w:w="1137" w:type="pct"/>
            <w:tcBorders>
              <w:bottom w:val="single" w:sz="4" w:space="0" w:color="auto"/>
            </w:tcBorders>
            <w:shd w:val="clear" w:color="auto" w:fill="auto"/>
          </w:tcPr>
          <w:p w:rsidR="00194A9A" w:rsidRPr="00C258AD" w:rsidRDefault="00194A9A" w:rsidP="00C9182C">
            <w:pPr>
              <w:rPr>
                <w:sz w:val="16"/>
                <w:szCs w:val="16"/>
              </w:rPr>
            </w:pPr>
            <w:r w:rsidRPr="00C258AD">
              <w:rPr>
                <w:sz w:val="16"/>
                <w:szCs w:val="16"/>
              </w:rPr>
              <w:lastRenderedPageBreak/>
              <w:t>Amélioration des services électroniques pour les déposants, les tiers, les offices et les administrations</w:t>
            </w:r>
          </w:p>
        </w:tc>
        <w:tc>
          <w:tcPr>
            <w:tcW w:w="1287" w:type="pct"/>
            <w:tcBorders>
              <w:bottom w:val="single" w:sz="4" w:space="0" w:color="auto"/>
            </w:tcBorders>
            <w:shd w:val="clear" w:color="auto" w:fill="auto"/>
          </w:tcPr>
          <w:p w:rsidR="006E2BB1" w:rsidRPr="00C258AD" w:rsidRDefault="00194A9A" w:rsidP="00C9182C">
            <w:pPr>
              <w:pStyle w:val="Default"/>
              <w:rPr>
                <w:color w:val="002060"/>
                <w:sz w:val="16"/>
                <w:szCs w:val="16"/>
              </w:rPr>
            </w:pPr>
            <w:r w:rsidRPr="00C258AD">
              <w:rPr>
                <w:i/>
                <w:color w:val="002060"/>
                <w:sz w:val="16"/>
                <w:szCs w:val="16"/>
              </w:rPr>
              <w:t>Niveau de référence actualisé à fin 2013 :</w:t>
            </w:r>
            <w:r w:rsidRPr="00C258AD">
              <w:rPr>
                <w:color w:val="002060"/>
                <w:sz w:val="16"/>
                <w:szCs w:val="16"/>
              </w:rPr>
              <w:t xml:space="preserve"> Nombre de transactions réalisées à l’aide de services </w:t>
            </w:r>
            <w:proofErr w:type="spellStart"/>
            <w:r w:rsidRPr="00C258AD">
              <w:rPr>
                <w:color w:val="002060"/>
                <w:sz w:val="16"/>
                <w:szCs w:val="16"/>
              </w:rPr>
              <w:t>ePCT</w:t>
            </w:r>
            <w:proofErr w:type="spellEnd"/>
            <w:r w:rsidRPr="00C258AD">
              <w:rPr>
                <w:color w:val="002060"/>
                <w:sz w:val="16"/>
                <w:szCs w:val="16"/>
              </w:rPr>
              <w:t xml:space="preserve"> à la fin de 2013 pour :</w:t>
            </w:r>
          </w:p>
          <w:p w:rsidR="006E2BB1" w:rsidRPr="00C258AD" w:rsidRDefault="00194A9A" w:rsidP="00C9182C">
            <w:pPr>
              <w:pStyle w:val="Default"/>
              <w:rPr>
                <w:color w:val="002060"/>
                <w:sz w:val="16"/>
                <w:szCs w:val="16"/>
              </w:rPr>
            </w:pPr>
            <w:r w:rsidRPr="00C258AD">
              <w:rPr>
                <w:color w:val="002060"/>
                <w:sz w:val="16"/>
                <w:szCs w:val="16"/>
              </w:rPr>
              <w:t>– 8005 déposants publics;</w:t>
            </w:r>
          </w:p>
          <w:p w:rsidR="006E2BB1" w:rsidRPr="00C258AD" w:rsidRDefault="00194A9A" w:rsidP="00C9182C">
            <w:pPr>
              <w:pStyle w:val="Default"/>
              <w:rPr>
                <w:color w:val="002060"/>
                <w:sz w:val="16"/>
                <w:szCs w:val="16"/>
              </w:rPr>
            </w:pPr>
            <w:r w:rsidRPr="00C258AD">
              <w:rPr>
                <w:color w:val="002060"/>
                <w:sz w:val="16"/>
                <w:szCs w:val="16"/>
              </w:rPr>
              <w:t>– 4754 déposants privés;</w:t>
            </w:r>
          </w:p>
          <w:p w:rsidR="006E2BB1" w:rsidRPr="00C258AD" w:rsidRDefault="00194A9A" w:rsidP="00C9182C">
            <w:pPr>
              <w:pStyle w:val="Default"/>
              <w:rPr>
                <w:color w:val="002060"/>
                <w:sz w:val="16"/>
                <w:szCs w:val="16"/>
              </w:rPr>
            </w:pPr>
            <w:r w:rsidRPr="00C258AD">
              <w:rPr>
                <w:color w:val="002060"/>
                <w:sz w:val="16"/>
                <w:szCs w:val="16"/>
              </w:rPr>
              <w:t>– 74 tiers;</w:t>
            </w:r>
          </w:p>
          <w:p w:rsidR="006E2BB1" w:rsidRPr="00C258AD" w:rsidRDefault="00194A9A" w:rsidP="00C9182C">
            <w:pPr>
              <w:pStyle w:val="Default"/>
              <w:rPr>
                <w:color w:val="002060"/>
                <w:sz w:val="16"/>
                <w:szCs w:val="16"/>
              </w:rPr>
            </w:pPr>
            <w:r w:rsidRPr="00C258AD">
              <w:rPr>
                <w:color w:val="002060"/>
                <w:sz w:val="16"/>
                <w:szCs w:val="16"/>
              </w:rPr>
              <w:t>– 2474 offices;  et</w:t>
            </w:r>
          </w:p>
          <w:p w:rsidR="006E2BB1" w:rsidRPr="00C258AD" w:rsidRDefault="00194A9A" w:rsidP="00C9182C">
            <w:pPr>
              <w:pStyle w:val="Default"/>
              <w:rPr>
                <w:color w:val="002060"/>
                <w:sz w:val="16"/>
                <w:szCs w:val="16"/>
              </w:rPr>
            </w:pPr>
            <w:r w:rsidRPr="00C258AD">
              <w:rPr>
                <w:color w:val="002060"/>
                <w:sz w:val="16"/>
                <w:szCs w:val="16"/>
              </w:rPr>
              <w:t>– 2398 administrations.</w:t>
            </w:r>
          </w:p>
          <w:p w:rsidR="006E2BB1" w:rsidRPr="00C258AD" w:rsidRDefault="00194A9A" w:rsidP="00C9182C">
            <w:pPr>
              <w:pStyle w:val="Default"/>
              <w:rPr>
                <w:color w:val="002060"/>
                <w:sz w:val="16"/>
                <w:szCs w:val="16"/>
              </w:rPr>
            </w:pPr>
            <w:r w:rsidRPr="00C258AD">
              <w:rPr>
                <w:color w:val="002060"/>
                <w:sz w:val="16"/>
                <w:szCs w:val="16"/>
              </w:rPr>
              <w:t>(au total)</w:t>
            </w:r>
          </w:p>
          <w:p w:rsidR="006E2BB1" w:rsidRPr="00C258AD" w:rsidRDefault="006E2BB1" w:rsidP="00C9182C">
            <w:pPr>
              <w:rPr>
                <w:i/>
                <w:sz w:val="16"/>
                <w:szCs w:val="16"/>
              </w:rPr>
            </w:pPr>
          </w:p>
          <w:p w:rsidR="00194A9A" w:rsidRPr="00C258AD" w:rsidRDefault="00194A9A" w:rsidP="00C9182C">
            <w:pPr>
              <w:rPr>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Nombre</w:t>
            </w:r>
            <w:r w:rsidRPr="00C258AD">
              <w:rPr>
                <w:sz w:val="16"/>
                <w:szCs w:val="16"/>
                <w:lang w:bidi="th-TH"/>
              </w:rPr>
              <w:t xml:space="preserve"> de transactions réalisées à l’aide de services </w:t>
            </w:r>
            <w:proofErr w:type="spellStart"/>
            <w:r w:rsidRPr="00C258AD">
              <w:rPr>
                <w:sz w:val="16"/>
                <w:szCs w:val="16"/>
                <w:lang w:bidi="th-TH"/>
              </w:rPr>
              <w:t>ePCT</w:t>
            </w:r>
            <w:proofErr w:type="spellEnd"/>
            <w:r w:rsidRPr="00C258AD">
              <w:rPr>
                <w:sz w:val="16"/>
                <w:szCs w:val="16"/>
                <w:lang w:bidi="th-TH"/>
              </w:rPr>
              <w:t xml:space="preserve"> à la fin de 2013 pour :</w:t>
            </w:r>
            <w:r w:rsidRPr="00C258AD">
              <w:rPr>
                <w:sz w:val="16"/>
                <w:szCs w:val="16"/>
                <w:lang w:bidi="th-TH"/>
              </w:rPr>
              <w:br/>
              <w:t xml:space="preserve"> – les déposants;</w:t>
            </w:r>
            <w:r w:rsidRPr="00C258AD">
              <w:rPr>
                <w:sz w:val="16"/>
                <w:szCs w:val="16"/>
                <w:lang w:bidi="th-TH"/>
              </w:rPr>
              <w:br/>
              <w:t xml:space="preserve"> – des tiers;  </w:t>
            </w:r>
            <w:r w:rsidRPr="00C258AD">
              <w:rPr>
                <w:sz w:val="16"/>
                <w:szCs w:val="16"/>
                <w:lang w:bidi="th-TH"/>
              </w:rPr>
              <w:br/>
              <w:t xml:space="preserve"> – les offices et</w:t>
            </w:r>
            <w:r w:rsidRPr="00C258AD">
              <w:rPr>
                <w:sz w:val="16"/>
                <w:szCs w:val="16"/>
                <w:lang w:bidi="th-TH"/>
              </w:rPr>
              <w:br/>
              <w:t xml:space="preserve"> – les administrations</w:t>
            </w:r>
          </w:p>
        </w:tc>
        <w:tc>
          <w:tcPr>
            <w:tcW w:w="834" w:type="pct"/>
            <w:tcBorders>
              <w:bottom w:val="single" w:sz="4" w:space="0" w:color="auto"/>
            </w:tcBorders>
            <w:shd w:val="clear" w:color="auto" w:fill="auto"/>
            <w:tcMar>
              <w:top w:w="110" w:type="dxa"/>
            </w:tcMar>
          </w:tcPr>
          <w:p w:rsidR="00194A9A" w:rsidRPr="00C258AD" w:rsidRDefault="00194A9A" w:rsidP="00C9182C">
            <w:pPr>
              <w:rPr>
                <w:sz w:val="16"/>
                <w:szCs w:val="16"/>
                <w:lang w:bidi="th-TH"/>
              </w:rPr>
            </w:pPr>
            <w:r w:rsidRPr="00C258AD">
              <w:rPr>
                <w:bCs/>
                <w:sz w:val="16"/>
                <w:szCs w:val="16"/>
              </w:rPr>
              <w:t xml:space="preserve">Augmentation du nombre </w:t>
            </w:r>
            <w:r w:rsidRPr="00C258AD">
              <w:rPr>
                <w:sz w:val="16"/>
                <w:szCs w:val="16"/>
                <w:lang w:bidi="th-TH"/>
              </w:rPr>
              <w:t xml:space="preserve">de transactions réalisées à l’aide de services </w:t>
            </w:r>
            <w:proofErr w:type="spellStart"/>
            <w:r w:rsidRPr="00C258AD">
              <w:rPr>
                <w:sz w:val="16"/>
                <w:szCs w:val="16"/>
                <w:lang w:bidi="th-TH"/>
              </w:rPr>
              <w:t>ePCT</w:t>
            </w:r>
            <w:proofErr w:type="spellEnd"/>
            <w:r w:rsidRPr="00C258AD">
              <w:rPr>
                <w:sz w:val="16"/>
                <w:szCs w:val="16"/>
                <w:lang w:bidi="th-TH"/>
              </w:rPr>
              <w:t xml:space="preserve"> pour :</w:t>
            </w:r>
            <w:r w:rsidRPr="00C258AD">
              <w:rPr>
                <w:sz w:val="16"/>
                <w:szCs w:val="16"/>
                <w:lang w:bidi="th-TH"/>
              </w:rPr>
              <w:br/>
              <w:t xml:space="preserve"> – les déposants;</w:t>
            </w:r>
            <w:r w:rsidRPr="00C258AD">
              <w:rPr>
                <w:sz w:val="16"/>
                <w:szCs w:val="16"/>
                <w:lang w:bidi="th-TH"/>
              </w:rPr>
              <w:br/>
              <w:t xml:space="preserve"> – des tiers;  </w:t>
            </w:r>
            <w:r w:rsidRPr="00C258AD">
              <w:rPr>
                <w:sz w:val="16"/>
                <w:szCs w:val="16"/>
                <w:lang w:bidi="th-TH"/>
              </w:rPr>
              <w:br/>
              <w:t xml:space="preserve"> – les offices et</w:t>
            </w:r>
            <w:r w:rsidRPr="00C258AD">
              <w:rPr>
                <w:sz w:val="16"/>
                <w:szCs w:val="16"/>
                <w:lang w:bidi="th-TH"/>
              </w:rPr>
              <w:br/>
              <w:t xml:space="preserve"> – les administrations</w:t>
            </w:r>
          </w:p>
        </w:tc>
        <w:tc>
          <w:tcPr>
            <w:tcW w:w="1136" w:type="pct"/>
            <w:tcBorders>
              <w:bottom w:val="single" w:sz="4" w:space="0" w:color="auto"/>
            </w:tcBorders>
            <w:shd w:val="clear" w:color="auto" w:fill="FFFFFF"/>
            <w:tcMar>
              <w:top w:w="110" w:type="dxa"/>
            </w:tcMar>
          </w:tcPr>
          <w:p w:rsidR="006E2BB1" w:rsidRPr="00C258AD" w:rsidRDefault="00194A9A" w:rsidP="00C9182C">
            <w:pPr>
              <w:rPr>
                <w:sz w:val="16"/>
                <w:szCs w:val="16"/>
                <w:lang w:bidi="th-TH"/>
              </w:rPr>
            </w:pPr>
            <w:r w:rsidRPr="00C258AD">
              <w:rPr>
                <w:sz w:val="16"/>
                <w:szCs w:val="16"/>
                <w:lang w:bidi="th-TH"/>
              </w:rPr>
              <w:t>Fin 2015, par rapport à la fin de 2013 :</w:t>
            </w:r>
          </w:p>
          <w:p w:rsidR="006E2BB1" w:rsidRPr="00C258AD" w:rsidRDefault="006E2BB1" w:rsidP="00C9182C">
            <w:pPr>
              <w:rPr>
                <w:sz w:val="16"/>
                <w:szCs w:val="16"/>
                <w:lang w:bidi="th-TH"/>
              </w:rPr>
            </w:pPr>
          </w:p>
          <w:p w:rsidR="006E2BB1" w:rsidRPr="00C258AD" w:rsidRDefault="00194A9A" w:rsidP="00BB4DBC">
            <w:pPr>
              <w:pStyle w:val="ListParagraph"/>
              <w:numPr>
                <w:ilvl w:val="0"/>
                <w:numId w:val="8"/>
              </w:numPr>
              <w:rPr>
                <w:sz w:val="16"/>
                <w:szCs w:val="16"/>
                <w:lang w:bidi="th-TH"/>
              </w:rPr>
            </w:pPr>
            <w:r w:rsidRPr="00C258AD">
              <w:rPr>
                <w:sz w:val="16"/>
                <w:szCs w:val="16"/>
                <w:lang w:bidi="th-TH"/>
              </w:rPr>
              <w:t xml:space="preserve">11 242 </w:t>
            </w:r>
            <w:r w:rsidRPr="00C258AD">
              <w:rPr>
                <w:sz w:val="16"/>
                <w:szCs w:val="16"/>
              </w:rPr>
              <w:t>déposants publics</w:t>
            </w:r>
            <w:r w:rsidRPr="00C258AD">
              <w:rPr>
                <w:sz w:val="16"/>
                <w:szCs w:val="16"/>
                <w:lang w:bidi="th-TH"/>
              </w:rPr>
              <w:t xml:space="preserve"> (+40%)</w:t>
            </w:r>
          </w:p>
          <w:p w:rsidR="006E2BB1" w:rsidRPr="00C258AD" w:rsidRDefault="00194A9A" w:rsidP="00BB4DBC">
            <w:pPr>
              <w:pStyle w:val="ListParagraph"/>
              <w:numPr>
                <w:ilvl w:val="0"/>
                <w:numId w:val="8"/>
              </w:numPr>
              <w:rPr>
                <w:sz w:val="16"/>
                <w:szCs w:val="16"/>
                <w:lang w:bidi="th-TH"/>
              </w:rPr>
            </w:pPr>
            <w:r w:rsidRPr="00C258AD">
              <w:rPr>
                <w:sz w:val="16"/>
                <w:szCs w:val="16"/>
                <w:lang w:bidi="th-TH"/>
              </w:rPr>
              <w:t xml:space="preserve">29 590 </w:t>
            </w:r>
            <w:r w:rsidRPr="00C258AD">
              <w:rPr>
                <w:sz w:val="16"/>
                <w:szCs w:val="16"/>
              </w:rPr>
              <w:t>déposants privés</w:t>
            </w:r>
            <w:r w:rsidRPr="00C258AD">
              <w:rPr>
                <w:sz w:val="16"/>
                <w:szCs w:val="16"/>
                <w:lang w:bidi="th-TH"/>
              </w:rPr>
              <w:t xml:space="preserve"> (+522%)</w:t>
            </w:r>
          </w:p>
          <w:p w:rsidR="006E2BB1" w:rsidRPr="00C258AD" w:rsidRDefault="00194A9A" w:rsidP="00BB4DBC">
            <w:pPr>
              <w:pStyle w:val="ListParagraph"/>
              <w:numPr>
                <w:ilvl w:val="0"/>
                <w:numId w:val="8"/>
              </w:numPr>
              <w:rPr>
                <w:sz w:val="16"/>
                <w:szCs w:val="16"/>
                <w:lang w:bidi="th-TH"/>
              </w:rPr>
            </w:pPr>
            <w:r w:rsidRPr="00C258AD">
              <w:rPr>
                <w:sz w:val="16"/>
                <w:szCs w:val="16"/>
                <w:lang w:bidi="th-TH"/>
              </w:rPr>
              <w:t>70 tiers observateurs (</w:t>
            </w:r>
            <w:r w:rsidRPr="00C258AD">
              <w:rPr>
                <w:sz w:val="16"/>
                <w:szCs w:val="16"/>
                <w:lang w:bidi="th-TH"/>
              </w:rPr>
              <w:noBreakHyphen/>
              <w:t>5%);</w:t>
            </w:r>
          </w:p>
          <w:p w:rsidR="006E2BB1" w:rsidRPr="00C258AD" w:rsidRDefault="00194A9A" w:rsidP="00BB4DBC">
            <w:pPr>
              <w:pStyle w:val="ListParagraph"/>
              <w:numPr>
                <w:ilvl w:val="0"/>
                <w:numId w:val="8"/>
              </w:numPr>
              <w:rPr>
                <w:sz w:val="16"/>
                <w:szCs w:val="16"/>
                <w:lang w:bidi="th-TH"/>
              </w:rPr>
            </w:pPr>
            <w:r w:rsidRPr="00C258AD">
              <w:rPr>
                <w:sz w:val="16"/>
                <w:szCs w:val="16"/>
                <w:lang w:bidi="th-TH"/>
              </w:rPr>
              <w:t>9085 offices récepteurs (+267%);  et</w:t>
            </w:r>
          </w:p>
          <w:p w:rsidR="00194A9A" w:rsidRPr="00C258AD" w:rsidRDefault="00194A9A" w:rsidP="00BB4DBC">
            <w:pPr>
              <w:pStyle w:val="ListParagraph"/>
              <w:numPr>
                <w:ilvl w:val="0"/>
                <w:numId w:val="8"/>
              </w:numPr>
              <w:ind w:right="-80"/>
              <w:rPr>
                <w:sz w:val="16"/>
                <w:szCs w:val="16"/>
                <w:lang w:bidi="th-TH"/>
              </w:rPr>
            </w:pPr>
            <w:r w:rsidRPr="00C258AD">
              <w:rPr>
                <w:sz w:val="16"/>
                <w:szCs w:val="16"/>
                <w:lang w:bidi="th-TH"/>
              </w:rPr>
              <w:t xml:space="preserve">2596 administrations internationales (+8%) (au total).  </w:t>
            </w:r>
          </w:p>
        </w:tc>
        <w:tc>
          <w:tcPr>
            <w:tcW w:w="606" w:type="pct"/>
            <w:tcBorders>
              <w:bottom w:val="single" w:sz="4" w:space="0" w:color="auto"/>
            </w:tcBorders>
            <w:shd w:val="clear" w:color="auto" w:fill="auto"/>
          </w:tcPr>
          <w:p w:rsidR="00194A9A" w:rsidRPr="00C258AD" w:rsidRDefault="00194A9A" w:rsidP="00C9182C">
            <w:pPr>
              <w:keepNext/>
              <w:keepLines/>
              <w:jc w:val="center"/>
              <w:rPr>
                <w:b/>
                <w:bCs/>
                <w:sz w:val="16"/>
                <w:szCs w:val="16"/>
              </w:rPr>
            </w:pPr>
            <w:r w:rsidRPr="00C258AD">
              <w:rPr>
                <w:rFonts w:cs="Arial"/>
                <w:b/>
                <w:bCs/>
                <w:color w:val="00B050"/>
                <w:sz w:val="16"/>
                <w:szCs w:val="16"/>
              </w:rPr>
              <w:t>Objectif pleinement atteint</w:t>
            </w:r>
          </w:p>
        </w:tc>
      </w:tr>
      <w:tr w:rsidR="00194A9A" w:rsidRPr="00C258AD" w:rsidTr="00C9182C">
        <w:trPr>
          <w:cantSplit/>
        </w:trPr>
        <w:tc>
          <w:tcPr>
            <w:tcW w:w="5000" w:type="pct"/>
            <w:gridSpan w:val="5"/>
            <w:tcBorders>
              <w:top w:val="single" w:sz="4" w:space="0" w:color="auto"/>
              <w:bottom w:val="single" w:sz="4" w:space="0" w:color="auto"/>
            </w:tcBorders>
            <w:shd w:val="clear" w:color="auto" w:fill="C5D9F1"/>
            <w:vAlign w:val="center"/>
          </w:tcPr>
          <w:p w:rsidR="00194A9A" w:rsidRPr="00C258AD" w:rsidRDefault="00194A9A" w:rsidP="00C9182C">
            <w:pPr>
              <w:keepNext/>
              <w:keepLines/>
              <w:rPr>
                <w:b/>
                <w:bCs/>
                <w:sz w:val="16"/>
                <w:szCs w:val="16"/>
              </w:rPr>
            </w:pPr>
            <w:r w:rsidRPr="00C258AD">
              <w:rPr>
                <w:b/>
                <w:bCs/>
                <w:sz w:val="16"/>
                <w:szCs w:val="16"/>
              </w:rPr>
              <w:t xml:space="preserve">Résultat escompté II.3 : </w:t>
            </w:r>
            <w:r w:rsidRPr="00C258AD">
              <w:rPr>
                <w:sz w:val="16"/>
                <w:szCs w:val="16"/>
              </w:rPr>
              <w:t>Amélioration de la productivité et de la qualité de service des opérations du PCT</w:t>
            </w:r>
          </w:p>
        </w:tc>
      </w:tr>
      <w:tr w:rsidR="00194A9A" w:rsidRPr="00C258AD" w:rsidTr="00C9182C">
        <w:trPr>
          <w:cantSplit/>
        </w:trPr>
        <w:tc>
          <w:tcPr>
            <w:tcW w:w="1137" w:type="pct"/>
            <w:tcBorders>
              <w:top w:val="single" w:sz="4" w:space="0" w:color="auto"/>
            </w:tcBorders>
            <w:shd w:val="clear" w:color="auto" w:fill="auto"/>
            <w:vAlign w:val="center"/>
          </w:tcPr>
          <w:p w:rsidR="00194A9A" w:rsidRPr="00C258AD" w:rsidRDefault="00194A9A" w:rsidP="00C9182C">
            <w:pPr>
              <w:keepNext/>
              <w:keepLines/>
              <w:jc w:val="center"/>
              <w:rPr>
                <w:sz w:val="16"/>
                <w:szCs w:val="16"/>
              </w:rPr>
            </w:pPr>
            <w:r w:rsidRPr="00C258AD">
              <w:rPr>
                <w:b/>
                <w:bCs/>
                <w:sz w:val="16"/>
                <w:szCs w:val="16"/>
              </w:rPr>
              <w:t>Indicateurs d’exécution</w:t>
            </w:r>
          </w:p>
        </w:tc>
        <w:tc>
          <w:tcPr>
            <w:tcW w:w="1287" w:type="pct"/>
            <w:tcBorders>
              <w:top w:val="single" w:sz="4" w:space="0" w:color="auto"/>
            </w:tcBorders>
            <w:shd w:val="clear" w:color="auto" w:fill="auto"/>
            <w:vAlign w:val="center"/>
          </w:tcPr>
          <w:p w:rsidR="00194A9A" w:rsidRPr="00C258AD" w:rsidRDefault="00194A9A" w:rsidP="00C9182C">
            <w:pPr>
              <w:keepNext/>
              <w:keepLines/>
              <w:jc w:val="center"/>
              <w:rPr>
                <w:b/>
                <w:bCs/>
                <w:sz w:val="16"/>
                <w:szCs w:val="16"/>
              </w:rPr>
            </w:pPr>
            <w:r w:rsidRPr="00C258AD">
              <w:rPr>
                <w:b/>
                <w:bCs/>
                <w:sz w:val="16"/>
                <w:szCs w:val="16"/>
              </w:rPr>
              <w:t>Niveaux de référence</w:t>
            </w:r>
          </w:p>
        </w:tc>
        <w:tc>
          <w:tcPr>
            <w:tcW w:w="834" w:type="pct"/>
            <w:tcBorders>
              <w:top w:val="single" w:sz="4" w:space="0" w:color="auto"/>
            </w:tcBorders>
            <w:shd w:val="clear" w:color="auto" w:fill="auto"/>
            <w:tcMar>
              <w:top w:w="110" w:type="dxa"/>
            </w:tcMar>
            <w:vAlign w:val="center"/>
          </w:tcPr>
          <w:p w:rsidR="00194A9A" w:rsidRPr="00C258AD" w:rsidRDefault="00194A9A" w:rsidP="00C9182C">
            <w:pPr>
              <w:keepNext/>
              <w:keepLines/>
              <w:jc w:val="center"/>
              <w:rPr>
                <w:b/>
                <w:sz w:val="16"/>
                <w:szCs w:val="16"/>
              </w:rPr>
            </w:pPr>
            <w:r w:rsidRPr="00C258AD">
              <w:rPr>
                <w:b/>
                <w:sz w:val="16"/>
                <w:szCs w:val="16"/>
              </w:rPr>
              <w:t>Objectifs visés</w:t>
            </w:r>
          </w:p>
        </w:tc>
        <w:tc>
          <w:tcPr>
            <w:tcW w:w="1136" w:type="pct"/>
            <w:tcBorders>
              <w:top w:val="single" w:sz="4" w:space="0" w:color="auto"/>
            </w:tcBorders>
            <w:shd w:val="clear" w:color="auto" w:fill="FFFFFF"/>
            <w:tcMar>
              <w:top w:w="110" w:type="dxa"/>
            </w:tcMar>
            <w:vAlign w:val="center"/>
          </w:tcPr>
          <w:p w:rsidR="00194A9A" w:rsidRPr="00C258AD" w:rsidRDefault="00194A9A" w:rsidP="00C9182C">
            <w:pPr>
              <w:keepNext/>
              <w:keepLines/>
              <w:jc w:val="center"/>
              <w:rPr>
                <w:sz w:val="16"/>
                <w:szCs w:val="16"/>
              </w:rPr>
            </w:pPr>
            <w:r w:rsidRPr="00C258AD">
              <w:rPr>
                <w:b/>
                <w:bCs/>
                <w:sz w:val="16"/>
                <w:szCs w:val="16"/>
              </w:rPr>
              <w:t>Données relatives à l’exécution</w:t>
            </w:r>
          </w:p>
        </w:tc>
        <w:tc>
          <w:tcPr>
            <w:tcW w:w="606" w:type="pct"/>
            <w:tcBorders>
              <w:top w:val="single" w:sz="4" w:space="0" w:color="auto"/>
            </w:tcBorders>
            <w:shd w:val="clear" w:color="auto" w:fill="auto"/>
            <w:tcMar>
              <w:top w:w="110" w:type="dxa"/>
            </w:tcMar>
            <w:vAlign w:val="center"/>
          </w:tcPr>
          <w:p w:rsidR="00194A9A" w:rsidRPr="00C258AD" w:rsidRDefault="00194A9A" w:rsidP="00C9182C">
            <w:pPr>
              <w:keepNext/>
              <w:keepLines/>
              <w:jc w:val="center"/>
              <w:rPr>
                <w:b/>
                <w:bCs/>
                <w:sz w:val="16"/>
                <w:szCs w:val="16"/>
              </w:rPr>
            </w:pPr>
            <w:r w:rsidRPr="00C258AD">
              <w:rPr>
                <w:b/>
                <w:bCs/>
                <w:sz w:val="16"/>
                <w:szCs w:val="16"/>
              </w:rPr>
              <w:t>Code de couleurs</w:t>
            </w:r>
          </w:p>
        </w:tc>
      </w:tr>
      <w:tr w:rsidR="00194A9A" w:rsidRPr="00C258AD" w:rsidTr="00C9182C">
        <w:trPr>
          <w:cantSplit/>
        </w:trPr>
        <w:tc>
          <w:tcPr>
            <w:tcW w:w="1137" w:type="pct"/>
            <w:shd w:val="clear" w:color="auto" w:fill="FFFFFF"/>
          </w:tcPr>
          <w:p w:rsidR="00194A9A" w:rsidRPr="00C258AD" w:rsidRDefault="00194A9A" w:rsidP="00C9182C">
            <w:pPr>
              <w:keepNext/>
              <w:keepLines/>
              <w:rPr>
                <w:sz w:val="16"/>
                <w:szCs w:val="16"/>
              </w:rPr>
            </w:pPr>
            <w:r w:rsidRPr="00C258AD">
              <w:rPr>
                <w:sz w:val="16"/>
                <w:szCs w:val="16"/>
              </w:rPr>
              <w:t>Coût unitaire du traitement d’une demande</w:t>
            </w:r>
          </w:p>
        </w:tc>
        <w:tc>
          <w:tcPr>
            <w:tcW w:w="1287" w:type="pct"/>
            <w:shd w:val="clear" w:color="auto" w:fill="auto"/>
          </w:tcPr>
          <w:p w:rsidR="006E2BB1" w:rsidRPr="00C258AD" w:rsidRDefault="00194A9A" w:rsidP="00C9182C">
            <w:pPr>
              <w:pStyle w:val="Default"/>
              <w:rPr>
                <w:color w:val="002060"/>
                <w:sz w:val="16"/>
                <w:szCs w:val="16"/>
              </w:rPr>
            </w:pPr>
            <w:r w:rsidRPr="00C258AD">
              <w:rPr>
                <w:i/>
                <w:color w:val="002060"/>
                <w:sz w:val="16"/>
                <w:szCs w:val="16"/>
              </w:rPr>
              <w:t>Niveau de référence actualisé à fin 2013 :</w:t>
            </w:r>
            <w:r w:rsidRPr="00C258AD">
              <w:rPr>
                <w:color w:val="002060"/>
                <w:sz w:val="16"/>
                <w:szCs w:val="16"/>
              </w:rPr>
              <w:t xml:space="preserve"> 722 </w:t>
            </w:r>
            <w:r w:rsidRPr="00C258AD">
              <w:rPr>
                <w:rFonts w:eastAsia="SimSun"/>
                <w:color w:val="002060"/>
                <w:sz w:val="16"/>
                <w:szCs w:val="16"/>
              </w:rPr>
              <w:t xml:space="preserve">francs suisses </w:t>
            </w:r>
            <w:r w:rsidRPr="00C258AD">
              <w:rPr>
                <w:color w:val="002060"/>
                <w:sz w:val="16"/>
                <w:szCs w:val="16"/>
              </w:rPr>
              <w:t>(2013)</w:t>
            </w:r>
          </w:p>
          <w:p w:rsidR="006E2BB1" w:rsidRPr="00C258AD" w:rsidRDefault="006E2BB1" w:rsidP="00C9182C">
            <w:pPr>
              <w:rPr>
                <w:i/>
                <w:sz w:val="16"/>
                <w:szCs w:val="16"/>
              </w:rPr>
            </w:pPr>
          </w:p>
          <w:p w:rsidR="00194A9A" w:rsidRPr="00C258AD" w:rsidRDefault="00194A9A" w:rsidP="00C9182C">
            <w:pPr>
              <w:rPr>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coût unitaire en 2013</w:t>
            </w:r>
          </w:p>
        </w:tc>
        <w:tc>
          <w:tcPr>
            <w:tcW w:w="834" w:type="pct"/>
            <w:shd w:val="clear" w:color="auto" w:fill="auto"/>
            <w:tcMar>
              <w:top w:w="110" w:type="dxa"/>
            </w:tcMar>
          </w:tcPr>
          <w:p w:rsidR="00194A9A" w:rsidRPr="00C258AD" w:rsidRDefault="00194A9A" w:rsidP="00C9182C">
            <w:pPr>
              <w:keepNext/>
              <w:keepLines/>
              <w:autoSpaceDE w:val="0"/>
              <w:autoSpaceDN w:val="0"/>
              <w:adjustRightInd w:val="0"/>
              <w:rPr>
                <w:sz w:val="16"/>
                <w:szCs w:val="16"/>
              </w:rPr>
            </w:pPr>
            <w:r w:rsidRPr="00C258AD">
              <w:rPr>
                <w:sz w:val="16"/>
                <w:szCs w:val="16"/>
              </w:rPr>
              <w:t>Diminution du coût unitaire</w:t>
            </w:r>
          </w:p>
        </w:tc>
        <w:tc>
          <w:tcPr>
            <w:tcW w:w="1136" w:type="pct"/>
            <w:shd w:val="clear" w:color="auto" w:fill="FFFFFF"/>
            <w:tcMar>
              <w:top w:w="110" w:type="dxa"/>
            </w:tcMar>
          </w:tcPr>
          <w:p w:rsidR="006E2BB1" w:rsidRPr="00C258AD" w:rsidRDefault="00194A9A" w:rsidP="00C9182C">
            <w:pPr>
              <w:keepNext/>
              <w:keepLines/>
              <w:rPr>
                <w:sz w:val="16"/>
                <w:szCs w:val="16"/>
              </w:rPr>
            </w:pPr>
            <w:r w:rsidRPr="00C258AD">
              <w:rPr>
                <w:sz w:val="16"/>
                <w:szCs w:val="16"/>
              </w:rPr>
              <w:t>662 francs suisses (2014)</w:t>
            </w:r>
          </w:p>
          <w:p w:rsidR="006E2BB1" w:rsidRPr="00C258AD" w:rsidRDefault="006E2BB1" w:rsidP="00C9182C">
            <w:pPr>
              <w:keepNext/>
              <w:keepLines/>
              <w:rPr>
                <w:sz w:val="16"/>
                <w:szCs w:val="16"/>
              </w:rPr>
            </w:pPr>
          </w:p>
          <w:p w:rsidR="006E2BB1" w:rsidRPr="00C258AD" w:rsidRDefault="006E2BB1" w:rsidP="00C9182C">
            <w:pPr>
              <w:keepNext/>
              <w:keepLines/>
              <w:rPr>
                <w:sz w:val="16"/>
                <w:szCs w:val="16"/>
              </w:rPr>
            </w:pPr>
          </w:p>
          <w:p w:rsidR="006E2BB1" w:rsidRPr="00C258AD" w:rsidRDefault="006E2BB1" w:rsidP="00C9182C">
            <w:pPr>
              <w:keepNext/>
              <w:keepLines/>
              <w:rPr>
                <w:sz w:val="16"/>
                <w:szCs w:val="16"/>
              </w:rPr>
            </w:pPr>
          </w:p>
          <w:p w:rsidR="006E2BB1" w:rsidRPr="00C258AD" w:rsidRDefault="00194A9A" w:rsidP="00C9182C">
            <w:pPr>
              <w:keepNext/>
              <w:keepLines/>
              <w:rPr>
                <w:sz w:val="16"/>
                <w:szCs w:val="16"/>
              </w:rPr>
            </w:pPr>
            <w:r w:rsidRPr="00C258AD">
              <w:rPr>
                <w:sz w:val="16"/>
                <w:szCs w:val="16"/>
              </w:rPr>
              <w:t>735 francs suisses (2015)</w:t>
            </w:r>
            <w:r w:rsidRPr="00C258AD">
              <w:rPr>
                <w:rStyle w:val="FootnoteReference"/>
                <w:rFonts w:eastAsia="SimSun"/>
                <w:sz w:val="16"/>
                <w:szCs w:val="16"/>
              </w:rPr>
              <w:footnoteReference w:id="19"/>
            </w:r>
          </w:p>
          <w:p w:rsidR="006E2BB1" w:rsidRPr="00C258AD" w:rsidRDefault="006E2BB1" w:rsidP="00C9182C">
            <w:pPr>
              <w:keepNext/>
              <w:keepLines/>
              <w:rPr>
                <w:sz w:val="16"/>
                <w:szCs w:val="16"/>
              </w:rPr>
            </w:pPr>
          </w:p>
          <w:p w:rsidR="006E2BB1" w:rsidRPr="00C258AD" w:rsidRDefault="006E2BB1" w:rsidP="00C9182C">
            <w:pPr>
              <w:keepNext/>
              <w:keepLines/>
              <w:rPr>
                <w:sz w:val="16"/>
                <w:szCs w:val="16"/>
                <w:lang w:bidi="th-TH"/>
              </w:rPr>
            </w:pPr>
          </w:p>
          <w:p w:rsidR="00194A9A" w:rsidRPr="00C258AD" w:rsidRDefault="00194A9A" w:rsidP="00C9182C">
            <w:pPr>
              <w:keepNext/>
              <w:keepLines/>
              <w:rPr>
                <w:sz w:val="16"/>
                <w:szCs w:val="16"/>
                <w:lang w:bidi="th-TH"/>
              </w:rPr>
            </w:pPr>
            <w:r w:rsidRPr="00C258AD">
              <w:rPr>
                <w:sz w:val="16"/>
                <w:szCs w:val="16"/>
                <w:lang w:bidi="th-TH"/>
              </w:rPr>
              <w:t>698 francs suisses en moyenne au cours de l’exercice biennal 2014</w:t>
            </w:r>
            <w:r w:rsidRPr="00C258AD">
              <w:rPr>
                <w:sz w:val="16"/>
                <w:szCs w:val="16"/>
                <w:lang w:bidi="th-TH"/>
              </w:rPr>
              <w:noBreakHyphen/>
              <w:t>2015, soit 2,7% de moins que les 717 francs suisses en moyenne au cours de l’exercice biennal 2012</w:t>
            </w:r>
            <w:r w:rsidRPr="00C258AD">
              <w:rPr>
                <w:sz w:val="16"/>
                <w:szCs w:val="16"/>
                <w:lang w:bidi="th-TH"/>
              </w:rPr>
              <w:noBreakHyphen/>
              <w:t>2013</w:t>
            </w:r>
          </w:p>
        </w:tc>
        <w:tc>
          <w:tcPr>
            <w:tcW w:w="606" w:type="pct"/>
            <w:shd w:val="clear" w:color="auto" w:fill="auto"/>
            <w:tcMar>
              <w:top w:w="110" w:type="dxa"/>
            </w:tcMar>
          </w:tcPr>
          <w:p w:rsidR="006E2BB1" w:rsidRPr="00C258AD" w:rsidRDefault="00194A9A" w:rsidP="00C9182C">
            <w:pPr>
              <w:keepNext/>
              <w:keepLines/>
              <w:jc w:val="center"/>
              <w:rPr>
                <w:rFonts w:cs="Arial"/>
                <w:b/>
                <w:bCs/>
                <w:color w:val="00B050"/>
                <w:sz w:val="16"/>
                <w:szCs w:val="16"/>
              </w:rPr>
            </w:pPr>
            <w:r w:rsidRPr="00C258AD">
              <w:rPr>
                <w:rFonts w:cs="Arial"/>
                <w:b/>
                <w:bCs/>
                <w:color w:val="00B050"/>
                <w:sz w:val="16"/>
                <w:szCs w:val="16"/>
              </w:rPr>
              <w:t>Objectif pleinement atteint</w:t>
            </w:r>
          </w:p>
          <w:p w:rsidR="006E2BB1" w:rsidRPr="00C258AD" w:rsidRDefault="006E2BB1" w:rsidP="00C9182C">
            <w:pPr>
              <w:keepNext/>
              <w:keepLines/>
              <w:jc w:val="center"/>
              <w:rPr>
                <w:rFonts w:cs="Arial"/>
                <w:b/>
                <w:bCs/>
                <w:color w:val="00B050"/>
                <w:sz w:val="16"/>
                <w:szCs w:val="16"/>
              </w:rPr>
            </w:pPr>
          </w:p>
          <w:p w:rsidR="006E2BB1" w:rsidRPr="00C258AD" w:rsidRDefault="00194A9A" w:rsidP="00C9182C">
            <w:pPr>
              <w:keepNext/>
              <w:keepLines/>
              <w:jc w:val="center"/>
              <w:rPr>
                <w:rFonts w:cs="Arial"/>
                <w:b/>
                <w:bCs/>
                <w:color w:val="00B050"/>
                <w:sz w:val="16"/>
                <w:szCs w:val="16"/>
              </w:rPr>
            </w:pPr>
            <w:r w:rsidRPr="00C258AD">
              <w:rPr>
                <w:rFonts w:cs="Arial"/>
                <w:b/>
                <w:color w:val="FF0000"/>
                <w:sz w:val="16"/>
                <w:szCs w:val="16"/>
              </w:rPr>
              <w:t>Objectif pas atteint</w:t>
            </w:r>
          </w:p>
          <w:p w:rsidR="006E2BB1" w:rsidRPr="00C258AD" w:rsidRDefault="006E2BB1" w:rsidP="00C9182C">
            <w:pPr>
              <w:keepNext/>
              <w:keepLines/>
              <w:jc w:val="center"/>
              <w:rPr>
                <w:rFonts w:cs="Arial"/>
                <w:b/>
                <w:bCs/>
                <w:color w:val="00B050"/>
                <w:sz w:val="16"/>
                <w:szCs w:val="16"/>
              </w:rPr>
            </w:pPr>
          </w:p>
          <w:p w:rsidR="00194A9A" w:rsidRPr="00C258AD" w:rsidRDefault="00194A9A" w:rsidP="00C9182C">
            <w:pPr>
              <w:keepNext/>
              <w:keepLines/>
              <w:jc w:val="center"/>
              <w:rPr>
                <w:b/>
                <w:bCs/>
                <w:color w:val="00B050"/>
                <w:sz w:val="16"/>
                <w:szCs w:val="16"/>
              </w:rPr>
            </w:pPr>
            <w:r w:rsidRPr="00C258AD">
              <w:rPr>
                <w:rFonts w:cs="Arial"/>
                <w:b/>
                <w:bCs/>
                <w:color w:val="00B050"/>
                <w:sz w:val="16"/>
                <w:szCs w:val="16"/>
              </w:rPr>
              <w:t>Objectif pleinement atteint</w:t>
            </w:r>
          </w:p>
        </w:tc>
      </w:tr>
      <w:tr w:rsidR="00194A9A" w:rsidRPr="00C258AD" w:rsidTr="00C9182C">
        <w:trPr>
          <w:cantSplit/>
        </w:trPr>
        <w:tc>
          <w:tcPr>
            <w:tcW w:w="1137" w:type="pct"/>
            <w:shd w:val="clear" w:color="auto" w:fill="FFFFFF"/>
          </w:tcPr>
          <w:p w:rsidR="00194A9A" w:rsidRPr="00C258AD" w:rsidRDefault="00194A9A" w:rsidP="00C9182C">
            <w:pPr>
              <w:rPr>
                <w:sz w:val="16"/>
                <w:szCs w:val="16"/>
              </w:rPr>
            </w:pPr>
            <w:r w:rsidRPr="00C258AD">
              <w:rPr>
                <w:sz w:val="16"/>
                <w:szCs w:val="16"/>
              </w:rPr>
              <w:t>Qualité globale de l’examen de forme (y compris les délais)</w:t>
            </w:r>
          </w:p>
        </w:tc>
        <w:tc>
          <w:tcPr>
            <w:tcW w:w="1287" w:type="pct"/>
            <w:shd w:val="clear" w:color="auto" w:fill="auto"/>
          </w:tcPr>
          <w:p w:rsidR="006E2BB1" w:rsidRPr="00C258AD" w:rsidRDefault="00194A9A" w:rsidP="00C9182C">
            <w:pPr>
              <w:pStyle w:val="Default"/>
              <w:rPr>
                <w:color w:val="002060"/>
                <w:sz w:val="16"/>
                <w:szCs w:val="16"/>
              </w:rPr>
            </w:pPr>
            <w:r w:rsidRPr="00C258AD">
              <w:rPr>
                <w:i/>
                <w:color w:val="002060"/>
                <w:sz w:val="16"/>
                <w:szCs w:val="16"/>
              </w:rPr>
              <w:t>Niveau de référence actualisé à fin 2013 :</w:t>
            </w:r>
            <w:r w:rsidRPr="00C258AD">
              <w:rPr>
                <w:color w:val="002060"/>
                <w:sz w:val="16"/>
                <w:szCs w:val="16"/>
              </w:rPr>
              <w:t xml:space="preserve"> 88,74% (moyenne 2011</w:t>
            </w:r>
            <w:r w:rsidRPr="00C258AD">
              <w:rPr>
                <w:color w:val="002060"/>
                <w:sz w:val="16"/>
                <w:szCs w:val="16"/>
              </w:rPr>
              <w:noBreakHyphen/>
              <w:t>2013)</w:t>
            </w:r>
          </w:p>
          <w:p w:rsidR="006E2BB1" w:rsidRPr="00C258AD" w:rsidRDefault="006E2BB1" w:rsidP="00C9182C">
            <w:pPr>
              <w:rPr>
                <w:i/>
                <w:sz w:val="16"/>
                <w:szCs w:val="16"/>
              </w:rPr>
            </w:pPr>
          </w:p>
          <w:p w:rsidR="00194A9A" w:rsidRPr="00C258AD" w:rsidRDefault="00194A9A" w:rsidP="00C9182C">
            <w:pPr>
              <w:pStyle w:val="Default"/>
              <w:rPr>
                <w:i/>
                <w:color w:val="auto"/>
                <w:sz w:val="16"/>
                <w:szCs w:val="16"/>
              </w:rPr>
            </w:pPr>
            <w:r w:rsidRPr="00C258AD">
              <w:rPr>
                <w:i/>
                <w:color w:val="auto"/>
                <w:sz w:val="16"/>
                <w:szCs w:val="16"/>
              </w:rPr>
              <w:t>Niveau de référence initial dans le programme et budget 2014</w:t>
            </w:r>
            <w:r w:rsidRPr="00C258AD">
              <w:rPr>
                <w:i/>
                <w:color w:val="auto"/>
                <w:sz w:val="16"/>
                <w:szCs w:val="16"/>
              </w:rPr>
              <w:noBreakHyphen/>
              <w:t>2015 :</w:t>
            </w:r>
            <w:r w:rsidRPr="00C258AD">
              <w:rPr>
                <w:color w:val="auto"/>
                <w:sz w:val="16"/>
                <w:szCs w:val="16"/>
              </w:rPr>
              <w:t xml:space="preserve"> moyenne des trois dernières années</w:t>
            </w:r>
          </w:p>
        </w:tc>
        <w:tc>
          <w:tcPr>
            <w:tcW w:w="834" w:type="pct"/>
            <w:shd w:val="clear" w:color="auto" w:fill="auto"/>
            <w:tcMar>
              <w:top w:w="110" w:type="dxa"/>
            </w:tcMar>
          </w:tcPr>
          <w:p w:rsidR="00194A9A" w:rsidRPr="00C258AD" w:rsidRDefault="00194A9A" w:rsidP="00C9182C">
            <w:pPr>
              <w:autoSpaceDE w:val="0"/>
              <w:autoSpaceDN w:val="0"/>
              <w:adjustRightInd w:val="0"/>
              <w:rPr>
                <w:sz w:val="16"/>
                <w:szCs w:val="16"/>
              </w:rPr>
            </w:pPr>
            <w:r w:rsidRPr="00C258AD">
              <w:rPr>
                <w:sz w:val="16"/>
                <w:szCs w:val="16"/>
              </w:rPr>
              <w:t>Amélioration de l’indicateur de qualité</w:t>
            </w:r>
          </w:p>
        </w:tc>
        <w:tc>
          <w:tcPr>
            <w:tcW w:w="1136" w:type="pct"/>
            <w:shd w:val="clear" w:color="auto" w:fill="FFFFFF"/>
            <w:tcMar>
              <w:top w:w="110" w:type="dxa"/>
            </w:tcMar>
          </w:tcPr>
          <w:p w:rsidR="006E2BB1" w:rsidRPr="00C258AD" w:rsidRDefault="00194A9A" w:rsidP="00C9182C">
            <w:pPr>
              <w:rPr>
                <w:rFonts w:cs="Arial"/>
                <w:sz w:val="16"/>
                <w:szCs w:val="16"/>
              </w:rPr>
            </w:pPr>
            <w:r w:rsidRPr="00C258AD">
              <w:rPr>
                <w:rFonts w:cs="Arial"/>
                <w:sz w:val="16"/>
                <w:szCs w:val="16"/>
              </w:rPr>
              <w:t>89,60% (2012</w:t>
            </w:r>
            <w:r w:rsidRPr="00C258AD">
              <w:rPr>
                <w:rFonts w:cs="Arial"/>
                <w:sz w:val="16"/>
                <w:szCs w:val="16"/>
              </w:rPr>
              <w:noBreakHyphen/>
              <w:t>2014)</w:t>
            </w:r>
          </w:p>
          <w:p w:rsidR="00194A9A" w:rsidRPr="00C258AD" w:rsidRDefault="00194A9A" w:rsidP="00C9182C">
            <w:pPr>
              <w:rPr>
                <w:rFonts w:cs="Arial"/>
                <w:sz w:val="16"/>
                <w:szCs w:val="16"/>
              </w:rPr>
            </w:pPr>
            <w:r w:rsidRPr="00C258AD">
              <w:rPr>
                <w:rFonts w:cs="Arial"/>
                <w:sz w:val="16"/>
                <w:szCs w:val="16"/>
              </w:rPr>
              <w:t>91,13% (2013</w:t>
            </w:r>
            <w:r w:rsidRPr="00C258AD">
              <w:rPr>
                <w:rFonts w:cs="Arial"/>
                <w:sz w:val="16"/>
                <w:szCs w:val="16"/>
              </w:rPr>
              <w:noBreakHyphen/>
              <w:t>2015)</w:t>
            </w:r>
          </w:p>
        </w:tc>
        <w:tc>
          <w:tcPr>
            <w:tcW w:w="606" w:type="pct"/>
            <w:shd w:val="clear" w:color="auto" w:fill="auto"/>
            <w:tcMar>
              <w:top w:w="110" w:type="dxa"/>
            </w:tcMar>
          </w:tcPr>
          <w:p w:rsidR="00194A9A" w:rsidRPr="00C258AD" w:rsidRDefault="00194A9A" w:rsidP="00C9182C">
            <w:pPr>
              <w:jc w:val="center"/>
              <w:rPr>
                <w:b/>
                <w:bCs/>
                <w:color w:val="00B050"/>
                <w:sz w:val="16"/>
                <w:szCs w:val="16"/>
              </w:rPr>
            </w:pPr>
            <w:r w:rsidRPr="00C258AD">
              <w:rPr>
                <w:rFonts w:cs="Arial"/>
                <w:b/>
                <w:bCs/>
                <w:color w:val="00B050"/>
                <w:sz w:val="16"/>
                <w:szCs w:val="16"/>
              </w:rPr>
              <w:t>Objectif pleinement atteint</w:t>
            </w:r>
          </w:p>
        </w:tc>
      </w:tr>
      <w:tr w:rsidR="00194A9A" w:rsidRPr="00C258AD" w:rsidTr="00C9182C">
        <w:trPr>
          <w:cantSplit/>
        </w:trPr>
        <w:tc>
          <w:tcPr>
            <w:tcW w:w="1137" w:type="pct"/>
            <w:shd w:val="clear" w:color="auto" w:fill="FFFFFF"/>
          </w:tcPr>
          <w:p w:rsidR="00194A9A" w:rsidRPr="00C258AD" w:rsidRDefault="00194A9A" w:rsidP="00C9182C">
            <w:pPr>
              <w:rPr>
                <w:sz w:val="16"/>
                <w:szCs w:val="16"/>
              </w:rPr>
            </w:pPr>
            <w:r w:rsidRPr="00C258AD">
              <w:rPr>
                <w:sz w:val="16"/>
                <w:szCs w:val="16"/>
              </w:rPr>
              <w:t>Qualité de la traduction</w:t>
            </w:r>
          </w:p>
        </w:tc>
        <w:tc>
          <w:tcPr>
            <w:tcW w:w="1287" w:type="pct"/>
            <w:shd w:val="clear" w:color="auto" w:fill="auto"/>
          </w:tcPr>
          <w:p w:rsidR="006E2BB1" w:rsidRPr="00C258AD" w:rsidRDefault="00194A9A" w:rsidP="00C9182C">
            <w:pPr>
              <w:rPr>
                <w:rFonts w:eastAsia="Batang"/>
                <w:color w:val="002060"/>
                <w:sz w:val="16"/>
                <w:szCs w:val="16"/>
                <w:lang w:eastAsia="ja-JP"/>
              </w:rPr>
            </w:pPr>
            <w:r w:rsidRPr="00C258AD">
              <w:rPr>
                <w:i/>
                <w:color w:val="002060"/>
                <w:sz w:val="16"/>
                <w:szCs w:val="16"/>
              </w:rPr>
              <w:t>Niveau de référence actualisé à fin 2013 :</w:t>
            </w:r>
            <w:r w:rsidRPr="00C258AD">
              <w:rPr>
                <w:color w:val="002060"/>
                <w:sz w:val="16"/>
                <w:szCs w:val="16"/>
              </w:rPr>
              <w:t xml:space="preserve"> </w:t>
            </w:r>
            <w:r w:rsidRPr="00C258AD">
              <w:rPr>
                <w:rFonts w:eastAsia="Batang"/>
                <w:color w:val="002060"/>
                <w:sz w:val="16"/>
                <w:szCs w:val="16"/>
                <w:lang w:eastAsia="ja-JP"/>
              </w:rPr>
              <w:t>86,23% (2011</w:t>
            </w:r>
            <w:r w:rsidRPr="00C258AD">
              <w:rPr>
                <w:rFonts w:eastAsia="Batang"/>
                <w:color w:val="002060"/>
                <w:sz w:val="16"/>
                <w:szCs w:val="16"/>
                <w:lang w:eastAsia="ja-JP"/>
              </w:rPr>
              <w:noBreakHyphen/>
              <w:t>2013)</w:t>
            </w:r>
          </w:p>
          <w:p w:rsidR="006E2BB1" w:rsidRPr="00C258AD" w:rsidRDefault="006E2BB1" w:rsidP="00C9182C">
            <w:pPr>
              <w:rPr>
                <w:i/>
                <w:sz w:val="16"/>
                <w:szCs w:val="16"/>
              </w:rPr>
            </w:pPr>
          </w:p>
          <w:p w:rsidR="00194A9A" w:rsidRPr="00C258AD" w:rsidRDefault="00194A9A" w:rsidP="00C9182C">
            <w:pPr>
              <w:pStyle w:val="Default"/>
              <w:rPr>
                <w:i/>
                <w:color w:val="auto"/>
                <w:sz w:val="16"/>
                <w:szCs w:val="16"/>
              </w:rPr>
            </w:pPr>
            <w:r w:rsidRPr="00C258AD">
              <w:rPr>
                <w:i/>
                <w:color w:val="auto"/>
                <w:sz w:val="16"/>
                <w:szCs w:val="16"/>
              </w:rPr>
              <w:t>Niveau de référence initial dans le programme et budget 2014</w:t>
            </w:r>
            <w:r w:rsidRPr="00C258AD">
              <w:rPr>
                <w:i/>
                <w:color w:val="auto"/>
                <w:sz w:val="16"/>
                <w:szCs w:val="16"/>
              </w:rPr>
              <w:noBreakHyphen/>
              <w:t>2015 :</w:t>
            </w:r>
            <w:r w:rsidRPr="00C258AD">
              <w:rPr>
                <w:color w:val="auto"/>
                <w:sz w:val="16"/>
                <w:szCs w:val="16"/>
              </w:rPr>
              <w:t xml:space="preserve"> moyenne des trois dernières années</w:t>
            </w:r>
          </w:p>
        </w:tc>
        <w:tc>
          <w:tcPr>
            <w:tcW w:w="834" w:type="pct"/>
            <w:shd w:val="clear" w:color="auto" w:fill="auto"/>
            <w:tcMar>
              <w:top w:w="110" w:type="dxa"/>
            </w:tcMar>
          </w:tcPr>
          <w:p w:rsidR="00194A9A" w:rsidRPr="00C258AD" w:rsidRDefault="00194A9A" w:rsidP="00C9182C">
            <w:pPr>
              <w:autoSpaceDE w:val="0"/>
              <w:autoSpaceDN w:val="0"/>
              <w:adjustRightInd w:val="0"/>
              <w:rPr>
                <w:sz w:val="16"/>
                <w:szCs w:val="16"/>
              </w:rPr>
            </w:pPr>
            <w:r w:rsidRPr="00C258AD">
              <w:rPr>
                <w:sz w:val="16"/>
                <w:szCs w:val="16"/>
              </w:rPr>
              <w:t>Amélioration de la qualité</w:t>
            </w:r>
          </w:p>
        </w:tc>
        <w:tc>
          <w:tcPr>
            <w:tcW w:w="1136" w:type="pct"/>
            <w:shd w:val="clear" w:color="auto" w:fill="FFFFFF"/>
            <w:tcMar>
              <w:top w:w="110" w:type="dxa"/>
            </w:tcMar>
          </w:tcPr>
          <w:p w:rsidR="006E2BB1" w:rsidRPr="00C258AD" w:rsidRDefault="00194A9A" w:rsidP="00C9182C">
            <w:pPr>
              <w:rPr>
                <w:rFonts w:cs="Arial"/>
                <w:sz w:val="16"/>
                <w:szCs w:val="16"/>
              </w:rPr>
            </w:pPr>
            <w:r w:rsidRPr="00C258AD">
              <w:rPr>
                <w:rFonts w:eastAsia="Batang" w:cs="Arial"/>
                <w:sz w:val="16"/>
                <w:szCs w:val="16"/>
                <w:lang w:eastAsia="ja-JP"/>
              </w:rPr>
              <w:t>86,77% (2012</w:t>
            </w:r>
            <w:r w:rsidRPr="00C258AD">
              <w:rPr>
                <w:rFonts w:eastAsia="Batang" w:cs="Arial"/>
                <w:sz w:val="16"/>
                <w:szCs w:val="16"/>
                <w:lang w:eastAsia="ja-JP"/>
              </w:rPr>
              <w:noBreakHyphen/>
              <w:t>2014)</w:t>
            </w:r>
          </w:p>
          <w:p w:rsidR="00194A9A" w:rsidRPr="00C258AD" w:rsidRDefault="00194A9A" w:rsidP="00C9182C">
            <w:pPr>
              <w:rPr>
                <w:rFonts w:cs="Arial"/>
                <w:sz w:val="16"/>
                <w:szCs w:val="16"/>
              </w:rPr>
            </w:pPr>
            <w:r w:rsidRPr="00C258AD">
              <w:rPr>
                <w:rFonts w:cs="Arial"/>
                <w:sz w:val="16"/>
                <w:szCs w:val="16"/>
              </w:rPr>
              <w:t>86,90% (2013</w:t>
            </w:r>
            <w:r w:rsidRPr="00C258AD">
              <w:rPr>
                <w:rFonts w:cs="Arial"/>
                <w:sz w:val="16"/>
                <w:szCs w:val="16"/>
              </w:rPr>
              <w:noBreakHyphen/>
              <w:t>2015)</w:t>
            </w:r>
          </w:p>
        </w:tc>
        <w:tc>
          <w:tcPr>
            <w:tcW w:w="606" w:type="pct"/>
            <w:shd w:val="clear" w:color="auto" w:fill="auto"/>
            <w:tcMar>
              <w:top w:w="110" w:type="dxa"/>
            </w:tcMar>
          </w:tcPr>
          <w:p w:rsidR="00194A9A" w:rsidRPr="00C258AD" w:rsidRDefault="00194A9A" w:rsidP="00C9182C">
            <w:pPr>
              <w:jc w:val="center"/>
              <w:rPr>
                <w:b/>
                <w:bCs/>
                <w:color w:val="00B050"/>
                <w:sz w:val="16"/>
                <w:szCs w:val="16"/>
              </w:rPr>
            </w:pPr>
            <w:r w:rsidRPr="00C258AD">
              <w:rPr>
                <w:rFonts w:cs="Arial"/>
                <w:b/>
                <w:bCs/>
                <w:color w:val="00B050"/>
                <w:sz w:val="16"/>
                <w:szCs w:val="16"/>
              </w:rPr>
              <w:t>Objectif pleinement atteint</w:t>
            </w:r>
          </w:p>
        </w:tc>
      </w:tr>
      <w:tr w:rsidR="00194A9A" w:rsidRPr="00C258AD" w:rsidTr="00C9182C">
        <w:trPr>
          <w:cantSplit/>
        </w:trPr>
        <w:tc>
          <w:tcPr>
            <w:tcW w:w="1137" w:type="pct"/>
            <w:shd w:val="clear" w:color="auto" w:fill="FFFFFF"/>
          </w:tcPr>
          <w:p w:rsidR="00194A9A" w:rsidRPr="00C258AD" w:rsidRDefault="00194A9A" w:rsidP="00C9182C">
            <w:pPr>
              <w:rPr>
                <w:sz w:val="16"/>
                <w:szCs w:val="16"/>
              </w:rPr>
            </w:pPr>
            <w:r w:rsidRPr="00C258AD">
              <w:rPr>
                <w:sz w:val="16"/>
                <w:szCs w:val="16"/>
              </w:rPr>
              <w:lastRenderedPageBreak/>
              <w:t>Délais de traduction des rapports</w:t>
            </w:r>
          </w:p>
        </w:tc>
        <w:tc>
          <w:tcPr>
            <w:tcW w:w="1287" w:type="pct"/>
            <w:shd w:val="clear" w:color="auto" w:fill="auto"/>
          </w:tcPr>
          <w:p w:rsidR="006E2BB1" w:rsidRPr="00C258AD" w:rsidRDefault="00194A9A" w:rsidP="00C9182C">
            <w:pPr>
              <w:pStyle w:val="Default"/>
              <w:rPr>
                <w:color w:val="002060"/>
                <w:sz w:val="16"/>
                <w:szCs w:val="16"/>
              </w:rPr>
            </w:pPr>
            <w:r w:rsidRPr="00C258AD">
              <w:rPr>
                <w:i/>
                <w:color w:val="002060"/>
                <w:sz w:val="16"/>
                <w:szCs w:val="16"/>
              </w:rPr>
              <w:t>Niveau de référence actualisé à fin 2013 :</w:t>
            </w:r>
            <w:r w:rsidRPr="00C258AD">
              <w:rPr>
                <w:color w:val="002060"/>
                <w:sz w:val="16"/>
                <w:szCs w:val="16"/>
              </w:rPr>
              <w:t xml:space="preserve"> 64% des délais respectés (2013)</w:t>
            </w:r>
          </w:p>
          <w:p w:rsidR="006E2BB1" w:rsidRPr="00C258AD" w:rsidRDefault="006E2BB1" w:rsidP="00C9182C">
            <w:pPr>
              <w:rPr>
                <w:i/>
                <w:color w:val="002060"/>
                <w:sz w:val="16"/>
                <w:szCs w:val="16"/>
              </w:rPr>
            </w:pPr>
          </w:p>
          <w:p w:rsidR="00194A9A" w:rsidRPr="00C258AD" w:rsidRDefault="00194A9A" w:rsidP="00C9182C">
            <w:pPr>
              <w:rPr>
                <w:i/>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respect des délais en 2013</w:t>
            </w:r>
          </w:p>
        </w:tc>
        <w:tc>
          <w:tcPr>
            <w:tcW w:w="834" w:type="pct"/>
            <w:shd w:val="clear" w:color="auto" w:fill="auto"/>
            <w:tcMar>
              <w:top w:w="110" w:type="dxa"/>
            </w:tcMar>
          </w:tcPr>
          <w:p w:rsidR="00194A9A" w:rsidRPr="00C258AD" w:rsidRDefault="00194A9A" w:rsidP="00C9182C">
            <w:pPr>
              <w:autoSpaceDE w:val="0"/>
              <w:autoSpaceDN w:val="0"/>
              <w:adjustRightInd w:val="0"/>
              <w:rPr>
                <w:sz w:val="16"/>
                <w:szCs w:val="16"/>
              </w:rPr>
            </w:pPr>
            <w:r w:rsidRPr="00C258AD">
              <w:rPr>
                <w:sz w:val="16"/>
                <w:szCs w:val="16"/>
              </w:rPr>
              <w:t>Amélioration</w:t>
            </w:r>
          </w:p>
        </w:tc>
        <w:tc>
          <w:tcPr>
            <w:tcW w:w="1136" w:type="pct"/>
            <w:shd w:val="clear" w:color="auto" w:fill="FFFFFF"/>
            <w:tcMar>
              <w:top w:w="110" w:type="dxa"/>
            </w:tcMar>
          </w:tcPr>
          <w:p w:rsidR="006E2BB1" w:rsidRPr="00C258AD" w:rsidRDefault="00194A9A" w:rsidP="00C9182C">
            <w:pPr>
              <w:rPr>
                <w:rFonts w:cs="Arial"/>
                <w:sz w:val="16"/>
                <w:szCs w:val="16"/>
              </w:rPr>
            </w:pPr>
            <w:r w:rsidRPr="00C258AD">
              <w:rPr>
                <w:sz w:val="16"/>
                <w:szCs w:val="16"/>
              </w:rPr>
              <w:t>82,5% (2014)</w:t>
            </w:r>
          </w:p>
          <w:p w:rsidR="00194A9A" w:rsidRPr="00C258AD" w:rsidRDefault="00194A9A" w:rsidP="00C9182C">
            <w:pPr>
              <w:rPr>
                <w:rFonts w:cs="Arial"/>
                <w:sz w:val="16"/>
                <w:szCs w:val="16"/>
              </w:rPr>
            </w:pPr>
            <w:r w:rsidRPr="00C258AD">
              <w:rPr>
                <w:rFonts w:cs="Arial"/>
                <w:sz w:val="16"/>
                <w:szCs w:val="16"/>
              </w:rPr>
              <w:t>90,0% (2015)</w:t>
            </w:r>
          </w:p>
        </w:tc>
        <w:tc>
          <w:tcPr>
            <w:tcW w:w="606" w:type="pct"/>
            <w:shd w:val="clear" w:color="auto" w:fill="auto"/>
            <w:tcMar>
              <w:top w:w="110" w:type="dxa"/>
            </w:tcMar>
          </w:tcPr>
          <w:p w:rsidR="00194A9A" w:rsidRPr="00C258AD" w:rsidRDefault="00194A9A" w:rsidP="00C9182C">
            <w:pPr>
              <w:jc w:val="center"/>
              <w:rPr>
                <w:b/>
                <w:bCs/>
                <w:sz w:val="16"/>
                <w:szCs w:val="16"/>
              </w:rPr>
            </w:pPr>
            <w:r w:rsidRPr="00C258AD">
              <w:rPr>
                <w:rFonts w:cs="Arial"/>
                <w:b/>
                <w:bCs/>
                <w:color w:val="00B050"/>
                <w:sz w:val="16"/>
                <w:szCs w:val="16"/>
              </w:rPr>
              <w:t>Objectif pleinement atteint</w:t>
            </w:r>
          </w:p>
        </w:tc>
      </w:tr>
      <w:tr w:rsidR="00194A9A" w:rsidRPr="00C258AD" w:rsidTr="00C9182C">
        <w:trPr>
          <w:cantSplit/>
        </w:trPr>
        <w:tc>
          <w:tcPr>
            <w:tcW w:w="1137" w:type="pct"/>
            <w:shd w:val="clear" w:color="auto" w:fill="FFFFFF"/>
          </w:tcPr>
          <w:p w:rsidR="00194A9A" w:rsidRPr="00C258AD" w:rsidRDefault="00194A9A" w:rsidP="00C9182C">
            <w:pPr>
              <w:rPr>
                <w:sz w:val="16"/>
                <w:szCs w:val="16"/>
              </w:rPr>
            </w:pPr>
            <w:r w:rsidRPr="00C258AD">
              <w:rPr>
                <w:sz w:val="16"/>
                <w:szCs w:val="16"/>
              </w:rPr>
              <w:t>Qualité du développement de logiciels</w:t>
            </w:r>
          </w:p>
        </w:tc>
        <w:tc>
          <w:tcPr>
            <w:tcW w:w="1287" w:type="pct"/>
            <w:shd w:val="clear" w:color="auto" w:fill="auto"/>
          </w:tcPr>
          <w:p w:rsidR="006E2BB1" w:rsidRPr="00C258AD" w:rsidRDefault="00194A9A" w:rsidP="00C9182C">
            <w:pPr>
              <w:pStyle w:val="Default"/>
              <w:rPr>
                <w:color w:val="002060"/>
                <w:sz w:val="16"/>
                <w:szCs w:val="16"/>
              </w:rPr>
            </w:pPr>
            <w:r w:rsidRPr="00C258AD">
              <w:rPr>
                <w:i/>
                <w:color w:val="002060"/>
                <w:sz w:val="16"/>
                <w:szCs w:val="16"/>
              </w:rPr>
              <w:t>Niveau de référence actualisé à fin 2013 :</w:t>
            </w:r>
            <w:r w:rsidRPr="00C258AD">
              <w:rPr>
                <w:color w:val="002060"/>
                <w:sz w:val="16"/>
                <w:szCs w:val="16"/>
              </w:rPr>
              <w:t xml:space="preserve"> 89,4% (2013)</w:t>
            </w:r>
          </w:p>
          <w:p w:rsidR="006E2BB1" w:rsidRPr="00C258AD" w:rsidRDefault="006E2BB1" w:rsidP="00C9182C">
            <w:pPr>
              <w:rPr>
                <w:i/>
                <w:sz w:val="16"/>
                <w:szCs w:val="16"/>
              </w:rPr>
            </w:pPr>
          </w:p>
          <w:p w:rsidR="00194A9A" w:rsidRPr="00C258AD" w:rsidRDefault="00194A9A" w:rsidP="00C9182C">
            <w:pPr>
              <w:rPr>
                <w:i/>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qualité du développement de logiciels pour la dernière version du système </w:t>
            </w:r>
            <w:proofErr w:type="spellStart"/>
            <w:r w:rsidRPr="00C258AD">
              <w:rPr>
                <w:sz w:val="16"/>
                <w:szCs w:val="16"/>
              </w:rPr>
              <w:t>ePCT</w:t>
            </w:r>
            <w:proofErr w:type="spellEnd"/>
            <w:r w:rsidRPr="00C258AD">
              <w:rPr>
                <w:sz w:val="16"/>
                <w:szCs w:val="16"/>
              </w:rPr>
              <w:t xml:space="preserve"> et du système </w:t>
            </w:r>
            <w:proofErr w:type="spellStart"/>
            <w:r w:rsidRPr="00C258AD">
              <w:rPr>
                <w:sz w:val="16"/>
                <w:szCs w:val="16"/>
              </w:rPr>
              <w:t>eDossier</w:t>
            </w:r>
            <w:proofErr w:type="spellEnd"/>
            <w:r w:rsidRPr="00C258AD">
              <w:rPr>
                <w:sz w:val="16"/>
                <w:szCs w:val="16"/>
              </w:rPr>
              <w:t xml:space="preserve"> en 2013</w:t>
            </w:r>
          </w:p>
        </w:tc>
        <w:tc>
          <w:tcPr>
            <w:tcW w:w="834" w:type="pct"/>
            <w:shd w:val="clear" w:color="auto" w:fill="auto"/>
            <w:tcMar>
              <w:top w:w="110" w:type="dxa"/>
            </w:tcMar>
          </w:tcPr>
          <w:p w:rsidR="00194A9A" w:rsidRPr="00C258AD" w:rsidRDefault="00194A9A" w:rsidP="00C9182C">
            <w:pPr>
              <w:autoSpaceDE w:val="0"/>
              <w:autoSpaceDN w:val="0"/>
              <w:adjustRightInd w:val="0"/>
              <w:rPr>
                <w:sz w:val="16"/>
                <w:szCs w:val="16"/>
              </w:rPr>
            </w:pPr>
            <w:r w:rsidRPr="00C258AD">
              <w:rPr>
                <w:sz w:val="16"/>
                <w:szCs w:val="16"/>
              </w:rPr>
              <w:t>Élévation du niveau de qualité</w:t>
            </w:r>
          </w:p>
        </w:tc>
        <w:tc>
          <w:tcPr>
            <w:tcW w:w="1136" w:type="pct"/>
            <w:shd w:val="clear" w:color="auto" w:fill="FFFFFF"/>
            <w:tcMar>
              <w:top w:w="110" w:type="dxa"/>
            </w:tcMar>
          </w:tcPr>
          <w:p w:rsidR="006E2BB1" w:rsidRPr="00C258AD" w:rsidRDefault="00194A9A" w:rsidP="00C9182C">
            <w:pPr>
              <w:rPr>
                <w:rFonts w:cs="Arial"/>
                <w:sz w:val="16"/>
                <w:szCs w:val="16"/>
              </w:rPr>
            </w:pPr>
            <w:r w:rsidRPr="00C258AD">
              <w:rPr>
                <w:rFonts w:cs="Arial"/>
                <w:sz w:val="16"/>
                <w:szCs w:val="16"/>
              </w:rPr>
              <w:t>94,5% (2014)</w:t>
            </w:r>
          </w:p>
          <w:p w:rsidR="00194A9A" w:rsidRPr="00C258AD" w:rsidRDefault="00194A9A" w:rsidP="00C9182C">
            <w:pPr>
              <w:rPr>
                <w:rFonts w:cs="Arial"/>
                <w:sz w:val="16"/>
                <w:szCs w:val="16"/>
              </w:rPr>
            </w:pPr>
            <w:r w:rsidRPr="00C258AD">
              <w:rPr>
                <w:rFonts w:cs="Arial"/>
                <w:sz w:val="16"/>
                <w:szCs w:val="16"/>
              </w:rPr>
              <w:t>91,9% (2015)</w:t>
            </w:r>
          </w:p>
        </w:tc>
        <w:tc>
          <w:tcPr>
            <w:tcW w:w="606" w:type="pct"/>
            <w:shd w:val="clear" w:color="auto" w:fill="auto"/>
            <w:tcMar>
              <w:top w:w="110" w:type="dxa"/>
            </w:tcMar>
          </w:tcPr>
          <w:p w:rsidR="00194A9A" w:rsidRPr="00C258AD" w:rsidRDefault="00194A9A" w:rsidP="00C9182C">
            <w:pPr>
              <w:jc w:val="center"/>
              <w:rPr>
                <w:b/>
                <w:bCs/>
                <w:color w:val="00B050"/>
                <w:sz w:val="16"/>
                <w:szCs w:val="16"/>
              </w:rPr>
            </w:pPr>
            <w:r w:rsidRPr="00C258AD">
              <w:rPr>
                <w:rFonts w:cs="Arial"/>
                <w:b/>
                <w:bCs/>
                <w:color w:val="00B050"/>
                <w:sz w:val="16"/>
                <w:szCs w:val="16"/>
              </w:rPr>
              <w:t>Objectif pleinement atteint</w:t>
            </w:r>
          </w:p>
        </w:tc>
      </w:tr>
      <w:tr w:rsidR="00194A9A" w:rsidRPr="00C258AD" w:rsidTr="00C9182C">
        <w:trPr>
          <w:cantSplit/>
        </w:trPr>
        <w:tc>
          <w:tcPr>
            <w:tcW w:w="1137" w:type="pct"/>
            <w:shd w:val="clear" w:color="auto" w:fill="FFFFFF"/>
          </w:tcPr>
          <w:p w:rsidR="00194A9A" w:rsidRPr="00C258AD" w:rsidRDefault="00194A9A" w:rsidP="00C9182C">
            <w:pPr>
              <w:rPr>
                <w:sz w:val="16"/>
                <w:szCs w:val="16"/>
              </w:rPr>
            </w:pPr>
            <w:r w:rsidRPr="00C258AD">
              <w:rPr>
                <w:sz w:val="16"/>
                <w:szCs w:val="16"/>
              </w:rPr>
              <w:t>Niveaux de service des systèmes d’information</w:t>
            </w:r>
          </w:p>
        </w:tc>
        <w:tc>
          <w:tcPr>
            <w:tcW w:w="1287" w:type="pct"/>
            <w:shd w:val="clear" w:color="auto" w:fill="auto"/>
          </w:tcPr>
          <w:p w:rsidR="006E2BB1" w:rsidRPr="00C258AD" w:rsidRDefault="00194A9A" w:rsidP="00C9182C">
            <w:pPr>
              <w:rPr>
                <w:rFonts w:eastAsia="Batang"/>
                <w:color w:val="002060"/>
                <w:sz w:val="16"/>
                <w:szCs w:val="16"/>
                <w:lang w:eastAsia="ja-JP"/>
              </w:rPr>
            </w:pPr>
            <w:r w:rsidRPr="00C258AD">
              <w:rPr>
                <w:i/>
                <w:color w:val="002060"/>
                <w:sz w:val="16"/>
                <w:szCs w:val="16"/>
              </w:rPr>
              <w:t>Niveau de référence actualisé à fin 2013 :</w:t>
            </w:r>
            <w:r w:rsidRPr="00C258AD">
              <w:rPr>
                <w:color w:val="002060"/>
                <w:sz w:val="16"/>
                <w:szCs w:val="16"/>
              </w:rPr>
              <w:t xml:space="preserve"> </w:t>
            </w:r>
            <w:r w:rsidRPr="00C258AD">
              <w:rPr>
                <w:rFonts w:eastAsia="Batang"/>
                <w:color w:val="002060"/>
                <w:sz w:val="16"/>
                <w:szCs w:val="16"/>
                <w:lang w:eastAsia="ja-JP"/>
              </w:rPr>
              <w:t>93,0% (2013)</w:t>
            </w:r>
          </w:p>
          <w:p w:rsidR="006E2BB1" w:rsidRPr="00C258AD" w:rsidRDefault="006E2BB1" w:rsidP="00C9182C">
            <w:pPr>
              <w:rPr>
                <w:i/>
                <w:sz w:val="16"/>
                <w:szCs w:val="16"/>
              </w:rPr>
            </w:pPr>
          </w:p>
          <w:p w:rsidR="00194A9A" w:rsidRPr="00C258AD" w:rsidRDefault="00194A9A" w:rsidP="00C9182C">
            <w:pPr>
              <w:rPr>
                <w:i/>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niveaux de service des systèmes d’information pour 2013</w:t>
            </w:r>
          </w:p>
        </w:tc>
        <w:tc>
          <w:tcPr>
            <w:tcW w:w="834" w:type="pct"/>
            <w:shd w:val="clear" w:color="auto" w:fill="auto"/>
            <w:tcMar>
              <w:top w:w="110" w:type="dxa"/>
            </w:tcMar>
          </w:tcPr>
          <w:p w:rsidR="00194A9A" w:rsidRPr="00C258AD" w:rsidRDefault="00194A9A" w:rsidP="00C9182C">
            <w:pPr>
              <w:autoSpaceDE w:val="0"/>
              <w:autoSpaceDN w:val="0"/>
              <w:adjustRightInd w:val="0"/>
              <w:rPr>
                <w:sz w:val="16"/>
                <w:szCs w:val="16"/>
              </w:rPr>
            </w:pPr>
            <w:r w:rsidRPr="00C258AD">
              <w:rPr>
                <w:sz w:val="16"/>
                <w:szCs w:val="16"/>
              </w:rPr>
              <w:t>Élévation du niveau de services de systèmes d’information.</w:t>
            </w:r>
          </w:p>
        </w:tc>
        <w:tc>
          <w:tcPr>
            <w:tcW w:w="1136" w:type="pct"/>
            <w:shd w:val="clear" w:color="auto" w:fill="FFFFFF"/>
            <w:tcMar>
              <w:top w:w="110" w:type="dxa"/>
            </w:tcMar>
          </w:tcPr>
          <w:p w:rsidR="006E2BB1" w:rsidRPr="00C258AD" w:rsidRDefault="00194A9A" w:rsidP="00C9182C">
            <w:pPr>
              <w:rPr>
                <w:rFonts w:cs="Arial"/>
                <w:sz w:val="16"/>
                <w:szCs w:val="16"/>
              </w:rPr>
            </w:pPr>
            <w:r w:rsidRPr="00C258AD">
              <w:rPr>
                <w:rFonts w:cs="Arial"/>
                <w:sz w:val="16"/>
                <w:szCs w:val="16"/>
              </w:rPr>
              <w:t>95,1%</w:t>
            </w:r>
            <w:r w:rsidRPr="00C258AD">
              <w:rPr>
                <w:rStyle w:val="FootnoteReference"/>
                <w:rFonts w:eastAsia="SimSun"/>
                <w:sz w:val="16"/>
                <w:szCs w:val="16"/>
              </w:rPr>
              <w:footnoteReference w:id="20"/>
            </w:r>
            <w:r w:rsidRPr="00C258AD">
              <w:rPr>
                <w:rFonts w:cs="Arial"/>
                <w:sz w:val="16"/>
                <w:szCs w:val="16"/>
              </w:rPr>
              <w:t xml:space="preserve"> (2014)</w:t>
            </w:r>
          </w:p>
          <w:p w:rsidR="00194A9A" w:rsidRPr="00C258AD" w:rsidRDefault="00194A9A" w:rsidP="00C9182C">
            <w:pPr>
              <w:rPr>
                <w:sz w:val="16"/>
                <w:szCs w:val="16"/>
              </w:rPr>
            </w:pPr>
            <w:r w:rsidRPr="00C258AD">
              <w:rPr>
                <w:rFonts w:cs="Arial"/>
                <w:sz w:val="16"/>
                <w:szCs w:val="16"/>
              </w:rPr>
              <w:t>96,5% (2015)</w:t>
            </w:r>
          </w:p>
        </w:tc>
        <w:tc>
          <w:tcPr>
            <w:tcW w:w="606" w:type="pct"/>
            <w:shd w:val="clear" w:color="auto" w:fill="auto"/>
            <w:tcMar>
              <w:top w:w="110" w:type="dxa"/>
            </w:tcMar>
          </w:tcPr>
          <w:p w:rsidR="00194A9A" w:rsidRPr="00C258AD" w:rsidRDefault="00194A9A" w:rsidP="00C9182C">
            <w:pPr>
              <w:jc w:val="center"/>
              <w:rPr>
                <w:b/>
                <w:bCs/>
                <w:color w:val="00B050"/>
                <w:sz w:val="16"/>
                <w:szCs w:val="16"/>
              </w:rPr>
            </w:pPr>
            <w:r w:rsidRPr="00C258AD">
              <w:rPr>
                <w:rFonts w:cs="Arial"/>
                <w:b/>
                <w:bCs/>
                <w:color w:val="00B050"/>
                <w:sz w:val="16"/>
                <w:szCs w:val="16"/>
              </w:rPr>
              <w:t>Objectif pleinement atteint</w:t>
            </w:r>
          </w:p>
        </w:tc>
      </w:tr>
    </w:tbl>
    <w:p w:rsidR="006E2BB1" w:rsidRPr="00C258AD" w:rsidRDefault="006E2BB1" w:rsidP="00C9182C"/>
    <w:p w:rsidR="006E2BB1" w:rsidRPr="00C258AD" w:rsidRDefault="006E2BB1" w:rsidP="00C9182C"/>
    <w:p w:rsidR="006E2BB1" w:rsidRPr="00C258AD" w:rsidRDefault="00194A9A" w:rsidP="00305CE5">
      <w:pPr>
        <w:keepNext/>
        <w:rPr>
          <w:rFonts w:cs="Arial"/>
          <w:caps/>
          <w:sz w:val="22"/>
          <w:szCs w:val="22"/>
        </w:rPr>
      </w:pPr>
      <w:r w:rsidRPr="00C258AD">
        <w:rPr>
          <w:rFonts w:cs="Arial"/>
          <w:caps/>
          <w:sz w:val="22"/>
          <w:szCs w:val="22"/>
        </w:rPr>
        <w:t>Rapport d’évaluation des risques pour l’exercice biennal</w:t>
      </w:r>
    </w:p>
    <w:p w:rsidR="00194A9A" w:rsidRPr="00C258AD" w:rsidRDefault="00194A9A" w:rsidP="00C9182C">
      <w:pPr>
        <w:keepNext/>
        <w:keepLines/>
        <w:rPr>
          <w:rFonts w:cs="Arial"/>
          <w:sz w:val="22"/>
          <w:szCs w:val="22"/>
        </w:rPr>
      </w:pPr>
    </w:p>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194A9A" w:rsidRPr="00C258AD" w:rsidTr="00F93DE1">
        <w:trPr>
          <w:cantSplit/>
        </w:trPr>
        <w:tc>
          <w:tcPr>
            <w:tcW w:w="2372" w:type="dxa"/>
            <w:tcBorders>
              <w:top w:val="single" w:sz="4" w:space="0" w:color="auto"/>
              <w:bottom w:val="single" w:sz="4" w:space="0" w:color="auto"/>
            </w:tcBorders>
            <w:shd w:val="clear" w:color="auto" w:fill="C5D9F1"/>
            <w:vAlign w:val="center"/>
          </w:tcPr>
          <w:p w:rsidR="00194A9A" w:rsidRPr="00C258AD" w:rsidRDefault="00194A9A" w:rsidP="00C9182C">
            <w:pPr>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194A9A" w:rsidRPr="00C258AD" w:rsidRDefault="00194A9A" w:rsidP="00C9182C">
            <w:pPr>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194A9A" w:rsidRPr="00C258AD" w:rsidRDefault="00194A9A" w:rsidP="00C9182C">
            <w:pPr>
              <w:autoSpaceDE w:val="0"/>
              <w:autoSpaceDN w:val="0"/>
              <w:adjustRightInd w:val="0"/>
              <w:ind w:right="-59"/>
              <w:jc w:val="center"/>
              <w:rPr>
                <w:b/>
                <w:bCs/>
                <w:iCs/>
                <w:sz w:val="16"/>
                <w:szCs w:val="16"/>
              </w:rPr>
            </w:pPr>
            <w:r w:rsidRPr="00C258AD">
              <w:rPr>
                <w:b/>
                <w:bCs/>
                <w:iCs/>
                <w:sz w:val="16"/>
                <w:szCs w:val="16"/>
              </w:rPr>
              <w:t>Évolution des risques et des stratégies d’atténuation durant l’exercice biennal</w:t>
            </w:r>
          </w:p>
        </w:tc>
        <w:tc>
          <w:tcPr>
            <w:tcW w:w="2373" w:type="dxa"/>
            <w:tcBorders>
              <w:top w:val="single" w:sz="4" w:space="0" w:color="auto"/>
              <w:bottom w:val="single" w:sz="4" w:space="0" w:color="auto"/>
            </w:tcBorders>
            <w:shd w:val="clear" w:color="auto" w:fill="C5D9F1"/>
            <w:vAlign w:val="center"/>
          </w:tcPr>
          <w:p w:rsidR="00194A9A" w:rsidRPr="00C258AD" w:rsidRDefault="00194A9A" w:rsidP="00C9182C">
            <w:pPr>
              <w:autoSpaceDE w:val="0"/>
              <w:autoSpaceDN w:val="0"/>
              <w:adjustRightInd w:val="0"/>
              <w:jc w:val="center"/>
              <w:rPr>
                <w:b/>
                <w:bCs/>
                <w:iCs/>
                <w:sz w:val="16"/>
                <w:szCs w:val="16"/>
              </w:rPr>
            </w:pPr>
            <w:r w:rsidRPr="00C258AD">
              <w:rPr>
                <w:b/>
                <w:bCs/>
                <w:iCs/>
                <w:sz w:val="16"/>
                <w:szCs w:val="16"/>
              </w:rPr>
              <w:t>Incidence sur l’exécution du programme</w:t>
            </w:r>
          </w:p>
        </w:tc>
      </w:tr>
      <w:tr w:rsidR="00194A9A" w:rsidRPr="00C258AD" w:rsidTr="00F93DE1">
        <w:trPr>
          <w:cantSplit/>
        </w:trPr>
        <w:tc>
          <w:tcPr>
            <w:tcW w:w="2372" w:type="dxa"/>
            <w:tcBorders>
              <w:top w:val="single" w:sz="4" w:space="0" w:color="auto"/>
            </w:tcBorders>
            <w:shd w:val="clear" w:color="auto" w:fill="auto"/>
            <w:tcMar>
              <w:top w:w="113" w:type="dxa"/>
            </w:tcMar>
          </w:tcPr>
          <w:p w:rsidR="00194A9A" w:rsidRPr="00C258AD" w:rsidRDefault="00194A9A" w:rsidP="00C9182C">
            <w:pPr>
              <w:rPr>
                <w:sz w:val="16"/>
                <w:szCs w:val="16"/>
                <w:lang w:eastAsia="zh-CN"/>
              </w:rPr>
            </w:pPr>
            <w:r w:rsidRPr="00C258AD">
              <w:rPr>
                <w:sz w:val="16"/>
                <w:szCs w:val="16"/>
                <w:lang w:eastAsia="zh-CN"/>
              </w:rPr>
              <w:t>Diminution des dépôts selon le PCT, en termes absolus ou par rapport aux demandes de dépôts en vertu de la Convention de Paris.</w:t>
            </w:r>
          </w:p>
        </w:tc>
        <w:tc>
          <w:tcPr>
            <w:tcW w:w="2373" w:type="dxa"/>
            <w:tcBorders>
              <w:top w:val="single" w:sz="4" w:space="0" w:color="auto"/>
            </w:tcBorders>
            <w:shd w:val="clear" w:color="auto" w:fill="auto"/>
            <w:tcMar>
              <w:top w:w="113" w:type="dxa"/>
            </w:tcMar>
          </w:tcPr>
          <w:p w:rsidR="00194A9A" w:rsidRPr="00C258AD" w:rsidRDefault="00194A9A" w:rsidP="00C9182C">
            <w:pPr>
              <w:rPr>
                <w:sz w:val="16"/>
                <w:szCs w:val="16"/>
                <w:lang w:eastAsia="zh-CN"/>
              </w:rPr>
            </w:pPr>
            <w:r w:rsidRPr="00C258AD">
              <w:rPr>
                <w:sz w:val="16"/>
                <w:szCs w:val="16"/>
                <w:lang w:eastAsia="zh-CN"/>
              </w:rPr>
              <w:t>Continuer de démontrer à tous les utilisateurs que le PCT est le moyen le plus valable et le plus efficace de protéger l’innovation sur les marchés internationaux.</w:t>
            </w:r>
          </w:p>
        </w:tc>
        <w:tc>
          <w:tcPr>
            <w:tcW w:w="2373" w:type="dxa"/>
            <w:tcBorders>
              <w:top w:val="single" w:sz="4" w:space="0" w:color="auto"/>
            </w:tcBorders>
          </w:tcPr>
          <w:p w:rsidR="00194A9A" w:rsidRPr="00C258AD" w:rsidRDefault="00194A9A" w:rsidP="00C9182C">
            <w:pPr>
              <w:rPr>
                <w:sz w:val="16"/>
                <w:szCs w:val="16"/>
              </w:rPr>
            </w:pPr>
            <w:r w:rsidRPr="00C258AD">
              <w:rPr>
                <w:sz w:val="16"/>
                <w:szCs w:val="16"/>
              </w:rPr>
              <w:t>Ce risque subsiste, mais il n’y a pas eu d’évolution au détriment du PCT au cours de l’exercice biennal 2014</w:t>
            </w:r>
            <w:r w:rsidRPr="00C258AD">
              <w:rPr>
                <w:sz w:val="16"/>
                <w:szCs w:val="16"/>
              </w:rPr>
              <w:noBreakHyphen/>
              <w:t>2015.  Les stratégies d’atténuation continuent d’être appliquées.</w:t>
            </w:r>
          </w:p>
        </w:tc>
        <w:tc>
          <w:tcPr>
            <w:tcW w:w="2373" w:type="dxa"/>
            <w:tcBorders>
              <w:top w:val="single" w:sz="4" w:space="0" w:color="auto"/>
            </w:tcBorders>
          </w:tcPr>
          <w:p w:rsidR="00194A9A" w:rsidRPr="00C258AD" w:rsidRDefault="00194A9A" w:rsidP="00C9182C">
            <w:pPr>
              <w:rPr>
                <w:sz w:val="16"/>
                <w:szCs w:val="16"/>
              </w:rPr>
            </w:pPr>
            <w:r w:rsidRPr="00C258AD">
              <w:rPr>
                <w:sz w:val="16"/>
                <w:szCs w:val="16"/>
              </w:rPr>
              <w:t>Pas mesurable</w:t>
            </w:r>
          </w:p>
        </w:tc>
      </w:tr>
      <w:tr w:rsidR="00194A9A" w:rsidRPr="00C258AD" w:rsidTr="00F93DE1">
        <w:trPr>
          <w:cantSplit/>
        </w:trPr>
        <w:tc>
          <w:tcPr>
            <w:tcW w:w="2372" w:type="dxa"/>
            <w:shd w:val="clear" w:color="auto" w:fill="auto"/>
            <w:tcMar>
              <w:top w:w="113" w:type="dxa"/>
            </w:tcMar>
          </w:tcPr>
          <w:p w:rsidR="006E2BB1" w:rsidRPr="00C258AD" w:rsidRDefault="00194A9A" w:rsidP="00C9182C">
            <w:pPr>
              <w:rPr>
                <w:sz w:val="16"/>
                <w:szCs w:val="16"/>
                <w:lang w:eastAsia="zh-CN"/>
              </w:rPr>
            </w:pPr>
            <w:r w:rsidRPr="00C258AD">
              <w:rPr>
                <w:sz w:val="16"/>
                <w:szCs w:val="16"/>
                <w:lang w:eastAsia="zh-CN"/>
              </w:rPr>
              <w:t>Interruption prolongée des opérations du PCT.</w:t>
            </w:r>
          </w:p>
          <w:p w:rsidR="006E2BB1" w:rsidRPr="00C258AD" w:rsidRDefault="006E2BB1" w:rsidP="00C9182C">
            <w:pPr>
              <w:rPr>
                <w:sz w:val="16"/>
                <w:szCs w:val="16"/>
                <w:lang w:eastAsia="zh-CN"/>
              </w:rPr>
            </w:pPr>
          </w:p>
          <w:p w:rsidR="006E2BB1" w:rsidRPr="00C258AD" w:rsidRDefault="006E2BB1" w:rsidP="00C9182C">
            <w:pPr>
              <w:rPr>
                <w:sz w:val="16"/>
                <w:szCs w:val="16"/>
                <w:lang w:eastAsia="zh-CN"/>
              </w:rPr>
            </w:pPr>
          </w:p>
          <w:p w:rsidR="006E2BB1" w:rsidRPr="00C258AD" w:rsidRDefault="006E2BB1" w:rsidP="00C9182C">
            <w:pPr>
              <w:rPr>
                <w:sz w:val="16"/>
                <w:szCs w:val="16"/>
                <w:lang w:eastAsia="zh-CN"/>
              </w:rPr>
            </w:pPr>
          </w:p>
          <w:p w:rsidR="006E2BB1" w:rsidRPr="00C258AD" w:rsidRDefault="006E2BB1" w:rsidP="00C9182C">
            <w:pPr>
              <w:rPr>
                <w:sz w:val="16"/>
                <w:szCs w:val="16"/>
                <w:lang w:eastAsia="zh-CN"/>
              </w:rPr>
            </w:pPr>
          </w:p>
          <w:p w:rsidR="006E2BB1" w:rsidRPr="00C258AD" w:rsidRDefault="006E2BB1" w:rsidP="00C9182C">
            <w:pPr>
              <w:rPr>
                <w:sz w:val="16"/>
                <w:szCs w:val="16"/>
                <w:lang w:eastAsia="zh-CN"/>
              </w:rPr>
            </w:pPr>
          </w:p>
          <w:p w:rsidR="006E2BB1" w:rsidRPr="00C258AD" w:rsidRDefault="006E2BB1" w:rsidP="00C9182C">
            <w:pPr>
              <w:rPr>
                <w:sz w:val="16"/>
                <w:szCs w:val="16"/>
                <w:lang w:eastAsia="zh-CN"/>
              </w:rPr>
            </w:pPr>
          </w:p>
          <w:p w:rsidR="006E2BB1" w:rsidRPr="00C258AD" w:rsidRDefault="006E2BB1" w:rsidP="00C9182C">
            <w:pPr>
              <w:rPr>
                <w:sz w:val="16"/>
                <w:szCs w:val="16"/>
                <w:lang w:eastAsia="zh-CN"/>
              </w:rPr>
            </w:pPr>
          </w:p>
          <w:p w:rsidR="00194A9A" w:rsidRPr="00C258AD" w:rsidRDefault="00194A9A" w:rsidP="00C9182C">
            <w:pPr>
              <w:rPr>
                <w:sz w:val="16"/>
                <w:szCs w:val="16"/>
              </w:rPr>
            </w:pPr>
            <w:r w:rsidRPr="00C258AD">
              <w:rPr>
                <w:sz w:val="16"/>
                <w:szCs w:val="16"/>
              </w:rPr>
              <w:t>Si le Bureau international n’est pas en mesure, ne serait</w:t>
            </w:r>
            <w:r w:rsidRPr="00C258AD">
              <w:rPr>
                <w:sz w:val="16"/>
                <w:szCs w:val="16"/>
              </w:rPr>
              <w:noBreakHyphen/>
              <w:t>ce que brièvement, de traiter des documents, les retards s’accumulent très rapidement.  Une interruption d’activité de quelques jours peut se traduire par de nombreuses semaines de retard.</w:t>
            </w:r>
          </w:p>
        </w:tc>
        <w:tc>
          <w:tcPr>
            <w:tcW w:w="2373" w:type="dxa"/>
            <w:shd w:val="clear" w:color="auto" w:fill="auto"/>
            <w:tcMar>
              <w:top w:w="113" w:type="dxa"/>
            </w:tcMar>
          </w:tcPr>
          <w:p w:rsidR="006E2BB1" w:rsidRPr="00C258AD" w:rsidRDefault="00194A9A" w:rsidP="00C9182C">
            <w:pPr>
              <w:rPr>
                <w:sz w:val="16"/>
                <w:szCs w:val="16"/>
                <w:lang w:eastAsia="zh-CN"/>
              </w:rPr>
            </w:pPr>
            <w:r w:rsidRPr="00C258AD">
              <w:rPr>
                <w:sz w:val="16"/>
                <w:szCs w:val="16"/>
                <w:lang w:eastAsia="zh-CN"/>
              </w:rPr>
              <w:t>Mise en œuvre et essais réguliers du plan de gestion de la continuité des opérations.</w:t>
            </w:r>
          </w:p>
          <w:p w:rsidR="006E2BB1" w:rsidRPr="00C258AD" w:rsidRDefault="006E2BB1" w:rsidP="00C9182C">
            <w:pPr>
              <w:rPr>
                <w:sz w:val="16"/>
                <w:szCs w:val="16"/>
                <w:lang w:eastAsia="zh-CN"/>
              </w:rPr>
            </w:pPr>
          </w:p>
          <w:p w:rsidR="006E2BB1" w:rsidRPr="00C258AD" w:rsidRDefault="006E2BB1" w:rsidP="00C9182C">
            <w:pPr>
              <w:autoSpaceDE w:val="0"/>
              <w:autoSpaceDN w:val="0"/>
              <w:adjustRightInd w:val="0"/>
              <w:ind w:right="-59"/>
              <w:rPr>
                <w:sz w:val="16"/>
                <w:szCs w:val="16"/>
                <w:lang w:eastAsia="zh-CN"/>
              </w:rPr>
            </w:pPr>
          </w:p>
          <w:p w:rsidR="006E2BB1" w:rsidRPr="00C258AD" w:rsidRDefault="006E2BB1" w:rsidP="00C9182C">
            <w:pPr>
              <w:autoSpaceDE w:val="0"/>
              <w:autoSpaceDN w:val="0"/>
              <w:adjustRightInd w:val="0"/>
              <w:ind w:right="-59"/>
              <w:rPr>
                <w:sz w:val="16"/>
                <w:szCs w:val="16"/>
                <w:lang w:eastAsia="zh-CN"/>
              </w:rPr>
            </w:pPr>
          </w:p>
          <w:p w:rsidR="006E2BB1" w:rsidRPr="00C258AD" w:rsidRDefault="006E2BB1" w:rsidP="00C9182C">
            <w:pPr>
              <w:autoSpaceDE w:val="0"/>
              <w:autoSpaceDN w:val="0"/>
              <w:adjustRightInd w:val="0"/>
              <w:ind w:right="-59"/>
              <w:rPr>
                <w:sz w:val="16"/>
                <w:szCs w:val="16"/>
                <w:lang w:eastAsia="zh-CN"/>
              </w:rPr>
            </w:pPr>
          </w:p>
          <w:p w:rsidR="006E2BB1" w:rsidRPr="00C258AD" w:rsidRDefault="006E2BB1" w:rsidP="00C9182C">
            <w:pPr>
              <w:autoSpaceDE w:val="0"/>
              <w:autoSpaceDN w:val="0"/>
              <w:adjustRightInd w:val="0"/>
              <w:ind w:right="-59"/>
              <w:rPr>
                <w:sz w:val="16"/>
                <w:szCs w:val="16"/>
                <w:lang w:eastAsia="zh-CN"/>
              </w:rPr>
            </w:pPr>
          </w:p>
          <w:p w:rsidR="006E2BB1" w:rsidRPr="00C258AD" w:rsidRDefault="006E2BB1" w:rsidP="00C9182C">
            <w:pPr>
              <w:autoSpaceDE w:val="0"/>
              <w:autoSpaceDN w:val="0"/>
              <w:adjustRightInd w:val="0"/>
              <w:ind w:right="-59"/>
              <w:rPr>
                <w:sz w:val="16"/>
                <w:szCs w:val="16"/>
                <w:lang w:eastAsia="zh-CN"/>
              </w:rPr>
            </w:pPr>
          </w:p>
          <w:p w:rsidR="00194A9A" w:rsidRPr="00C258AD" w:rsidRDefault="00194A9A" w:rsidP="00C9182C">
            <w:pPr>
              <w:autoSpaceDE w:val="0"/>
              <w:autoSpaceDN w:val="0"/>
              <w:adjustRightInd w:val="0"/>
              <w:ind w:right="-59"/>
              <w:rPr>
                <w:sz w:val="16"/>
                <w:szCs w:val="16"/>
              </w:rPr>
            </w:pPr>
            <w:r w:rsidRPr="00C258AD">
              <w:rPr>
                <w:sz w:val="16"/>
                <w:szCs w:val="16"/>
              </w:rPr>
              <w:t>L’objectif du plan de gestion de la continuité des opérations est de faire en sorte que le Bureau international puisse continuer de travailler suffisamment pendant des périodes d’interruption, de manière à éviter une dégradation inacceptable de la qualité du service fourni aux déposants et aux bureaux du PCT.</w:t>
            </w:r>
          </w:p>
        </w:tc>
        <w:tc>
          <w:tcPr>
            <w:tcW w:w="2373" w:type="dxa"/>
          </w:tcPr>
          <w:p w:rsidR="006E2BB1" w:rsidRPr="00C258AD" w:rsidRDefault="00194A9A" w:rsidP="00C9182C">
            <w:pPr>
              <w:rPr>
                <w:sz w:val="16"/>
                <w:szCs w:val="16"/>
                <w:lang w:eastAsia="zh-CN"/>
              </w:rPr>
            </w:pPr>
            <w:r w:rsidRPr="00C258AD">
              <w:rPr>
                <w:sz w:val="16"/>
                <w:szCs w:val="16"/>
                <w:lang w:eastAsia="zh-CN"/>
              </w:rPr>
              <w:t>Ce risque ne s’est pas concrétisé.  Des dispositions ont été prises pour créer une architecture de plateforme résistante et sûre pour les systèmes informatiques du PCT comme mesure d’atténuation.</w:t>
            </w:r>
          </w:p>
          <w:p w:rsidR="006E2BB1" w:rsidRPr="00C258AD" w:rsidRDefault="006E2BB1" w:rsidP="00C9182C">
            <w:pPr>
              <w:rPr>
                <w:sz w:val="16"/>
                <w:szCs w:val="16"/>
                <w:lang w:eastAsia="zh-CN"/>
              </w:rPr>
            </w:pPr>
          </w:p>
          <w:p w:rsidR="00194A9A" w:rsidRPr="00C258AD" w:rsidRDefault="00194A9A" w:rsidP="00C9182C">
            <w:pPr>
              <w:rPr>
                <w:sz w:val="16"/>
                <w:szCs w:val="16"/>
                <w:lang w:eastAsia="zh-CN"/>
              </w:rPr>
            </w:pPr>
            <w:r w:rsidRPr="00C258AD">
              <w:rPr>
                <w:sz w:val="16"/>
                <w:szCs w:val="16"/>
                <w:lang w:eastAsia="zh-CN"/>
              </w:rPr>
              <w:t>Ce risque ne s’est pas concrétisé.  De nouveaux indicateurs de volume de travail ont été créés pour améliorer les procédures de contrôle qualité dans le cadre des mesures d’atténuation.</w:t>
            </w:r>
          </w:p>
        </w:tc>
        <w:tc>
          <w:tcPr>
            <w:tcW w:w="2373" w:type="dxa"/>
          </w:tcPr>
          <w:p w:rsidR="006E2BB1" w:rsidRPr="00C258AD" w:rsidRDefault="00194A9A" w:rsidP="00C9182C">
            <w:pPr>
              <w:autoSpaceDE w:val="0"/>
              <w:autoSpaceDN w:val="0"/>
              <w:adjustRightInd w:val="0"/>
              <w:ind w:right="-59"/>
              <w:rPr>
                <w:sz w:val="16"/>
                <w:szCs w:val="16"/>
                <w:lang w:eastAsia="zh-CN"/>
              </w:rPr>
            </w:pPr>
            <w:r w:rsidRPr="00C258AD">
              <w:rPr>
                <w:sz w:val="16"/>
                <w:szCs w:val="16"/>
                <w:lang w:eastAsia="zh-CN"/>
              </w:rPr>
              <w:t>Ce risque et son évolution n’ont eu aucune incidence matérielle sur l’exécution du programme au cours de l’exercice biennal 2014</w:t>
            </w:r>
            <w:r w:rsidRPr="00C258AD">
              <w:rPr>
                <w:sz w:val="16"/>
                <w:szCs w:val="16"/>
                <w:lang w:eastAsia="zh-CN"/>
              </w:rPr>
              <w:noBreakHyphen/>
              <w:t>2015.</w:t>
            </w:r>
          </w:p>
          <w:p w:rsidR="006E2BB1" w:rsidRPr="00C258AD" w:rsidRDefault="006E2BB1" w:rsidP="00C9182C">
            <w:pPr>
              <w:rPr>
                <w:sz w:val="16"/>
                <w:szCs w:val="16"/>
                <w:lang w:eastAsia="zh-CN"/>
              </w:rPr>
            </w:pPr>
          </w:p>
          <w:p w:rsidR="006E2BB1" w:rsidRPr="00C258AD" w:rsidRDefault="006E2BB1" w:rsidP="00C9182C">
            <w:pPr>
              <w:rPr>
                <w:sz w:val="16"/>
                <w:szCs w:val="16"/>
                <w:lang w:eastAsia="zh-CN"/>
              </w:rPr>
            </w:pPr>
          </w:p>
          <w:p w:rsidR="006E2BB1" w:rsidRPr="00C258AD" w:rsidRDefault="006E2BB1" w:rsidP="00C9182C">
            <w:pPr>
              <w:rPr>
                <w:sz w:val="16"/>
                <w:szCs w:val="16"/>
                <w:lang w:eastAsia="zh-CN"/>
              </w:rPr>
            </w:pPr>
          </w:p>
          <w:p w:rsidR="006E2BB1" w:rsidRPr="00C258AD" w:rsidRDefault="006E2BB1" w:rsidP="00C9182C">
            <w:pPr>
              <w:rPr>
                <w:sz w:val="16"/>
                <w:szCs w:val="16"/>
                <w:lang w:eastAsia="zh-CN"/>
              </w:rPr>
            </w:pPr>
          </w:p>
          <w:p w:rsidR="00194A9A" w:rsidRPr="00C258AD" w:rsidRDefault="00194A9A" w:rsidP="00C9182C">
            <w:pPr>
              <w:rPr>
                <w:sz w:val="16"/>
                <w:szCs w:val="16"/>
                <w:lang w:eastAsia="zh-CN"/>
              </w:rPr>
            </w:pPr>
            <w:r w:rsidRPr="00C258AD">
              <w:rPr>
                <w:sz w:val="16"/>
                <w:szCs w:val="16"/>
                <w:lang w:eastAsia="zh-CN"/>
              </w:rPr>
              <w:t>Amélioration de la qualité de l’examen de forme.</w:t>
            </w:r>
          </w:p>
        </w:tc>
      </w:tr>
      <w:tr w:rsidR="00194A9A" w:rsidRPr="00C258AD" w:rsidTr="00F93DE1">
        <w:trPr>
          <w:cantSplit/>
        </w:trPr>
        <w:tc>
          <w:tcPr>
            <w:tcW w:w="2372" w:type="dxa"/>
            <w:shd w:val="clear" w:color="auto" w:fill="auto"/>
            <w:tcMar>
              <w:top w:w="113" w:type="dxa"/>
            </w:tcMar>
          </w:tcPr>
          <w:p w:rsidR="00194A9A" w:rsidRPr="00C258AD" w:rsidRDefault="00194A9A" w:rsidP="00C9182C">
            <w:pPr>
              <w:rPr>
                <w:sz w:val="16"/>
                <w:szCs w:val="16"/>
                <w:lang w:eastAsia="zh-CN"/>
              </w:rPr>
            </w:pPr>
            <w:r w:rsidRPr="00C258AD">
              <w:rPr>
                <w:sz w:val="16"/>
                <w:szCs w:val="16"/>
                <w:lang w:eastAsia="zh-CN"/>
              </w:rPr>
              <w:lastRenderedPageBreak/>
              <w:t>Divulgation malveillante ou involontaire d’informations confidentielles.</w:t>
            </w:r>
          </w:p>
        </w:tc>
        <w:tc>
          <w:tcPr>
            <w:tcW w:w="2373" w:type="dxa"/>
            <w:shd w:val="clear" w:color="auto" w:fill="auto"/>
            <w:tcMar>
              <w:top w:w="113" w:type="dxa"/>
            </w:tcMar>
          </w:tcPr>
          <w:p w:rsidR="00194A9A" w:rsidRPr="00C258AD" w:rsidDel="00C266CB" w:rsidRDefault="00194A9A" w:rsidP="00C9182C">
            <w:pPr>
              <w:rPr>
                <w:sz w:val="16"/>
                <w:szCs w:val="16"/>
                <w:lang w:eastAsia="zh-CN"/>
              </w:rPr>
            </w:pPr>
            <w:r w:rsidRPr="00C258AD">
              <w:rPr>
                <w:sz w:val="16"/>
                <w:szCs w:val="16"/>
                <w:lang w:eastAsia="zh-CN"/>
              </w:rPr>
              <w:t>Poursuite du programme de sensibilisation du personnel concerné : continuer d’appliquer des mesures de contrôle moderne dans l’environnement matériel et électronique;  continuer d’améliorer la surveillance stratégique;  continuer de surveiller de près la qualité des traductions confiées à des sous</w:t>
            </w:r>
            <w:r w:rsidRPr="00C258AD">
              <w:rPr>
                <w:sz w:val="16"/>
                <w:szCs w:val="16"/>
                <w:lang w:eastAsia="zh-CN"/>
              </w:rPr>
              <w:noBreakHyphen/>
              <w:t>traitants.</w:t>
            </w:r>
          </w:p>
        </w:tc>
        <w:tc>
          <w:tcPr>
            <w:tcW w:w="2373" w:type="dxa"/>
          </w:tcPr>
          <w:p w:rsidR="00194A9A" w:rsidRPr="00C258AD" w:rsidRDefault="00194A9A" w:rsidP="00C9182C">
            <w:pPr>
              <w:rPr>
                <w:sz w:val="16"/>
                <w:szCs w:val="16"/>
                <w:lang w:eastAsia="zh-CN"/>
              </w:rPr>
            </w:pPr>
            <w:r w:rsidRPr="00C258AD">
              <w:rPr>
                <w:sz w:val="16"/>
                <w:szCs w:val="16"/>
                <w:lang w:eastAsia="zh-CN"/>
              </w:rPr>
              <w:t>Ce risque ne s’est pas concrétisé.  Des dispositions ont été prises pour créer une architecture de plateforme résistante et sûre pour les systèmes informatiques du PCT comme mesure d’atténuation.</w:t>
            </w:r>
          </w:p>
        </w:tc>
        <w:tc>
          <w:tcPr>
            <w:tcW w:w="2373" w:type="dxa"/>
          </w:tcPr>
          <w:p w:rsidR="00194A9A" w:rsidRPr="00C258AD" w:rsidRDefault="00194A9A" w:rsidP="00C9182C">
            <w:pPr>
              <w:autoSpaceDE w:val="0"/>
              <w:autoSpaceDN w:val="0"/>
              <w:adjustRightInd w:val="0"/>
              <w:ind w:right="-59"/>
              <w:rPr>
                <w:sz w:val="16"/>
                <w:szCs w:val="16"/>
                <w:lang w:eastAsia="zh-CN"/>
              </w:rPr>
            </w:pPr>
            <w:r w:rsidRPr="00C258AD">
              <w:rPr>
                <w:sz w:val="16"/>
                <w:szCs w:val="16"/>
                <w:lang w:eastAsia="zh-CN"/>
              </w:rPr>
              <w:t>Ce risque et son évolution n’ont eu aucune incidence matérielle sur l’exécution du programme au cours de l’exercice biennal 2014</w:t>
            </w:r>
            <w:r w:rsidRPr="00C258AD">
              <w:rPr>
                <w:sz w:val="16"/>
                <w:szCs w:val="16"/>
                <w:lang w:eastAsia="zh-CN"/>
              </w:rPr>
              <w:noBreakHyphen/>
              <w:t>2015.</w:t>
            </w:r>
          </w:p>
        </w:tc>
      </w:tr>
    </w:tbl>
    <w:p w:rsidR="006E2BB1" w:rsidRPr="00C258AD" w:rsidRDefault="006E2BB1" w:rsidP="00C9182C">
      <w:pPr>
        <w:rPr>
          <w:bCs/>
          <w:szCs w:val="22"/>
        </w:rPr>
      </w:pPr>
    </w:p>
    <w:p w:rsidR="006E2BB1" w:rsidRPr="00C258AD" w:rsidRDefault="006E2BB1" w:rsidP="00C9182C">
      <w:pPr>
        <w:rPr>
          <w:bCs/>
          <w:szCs w:val="22"/>
        </w:rPr>
      </w:pPr>
    </w:p>
    <w:p w:rsidR="006E2BB1" w:rsidRPr="00C258AD" w:rsidRDefault="00194A9A" w:rsidP="00305CE5">
      <w:pPr>
        <w:keepNext/>
        <w:rPr>
          <w:rFonts w:cs="Arial"/>
          <w:caps/>
          <w:sz w:val="22"/>
          <w:szCs w:val="22"/>
        </w:rPr>
      </w:pPr>
      <w:r w:rsidRPr="00C258AD">
        <w:rPr>
          <w:rFonts w:cs="Arial"/>
          <w:caps/>
          <w:sz w:val="22"/>
          <w:szCs w:val="22"/>
        </w:rPr>
        <w:t>Utilisation des ressources</w:t>
      </w:r>
    </w:p>
    <w:p w:rsidR="006E2BB1" w:rsidRPr="00C258AD" w:rsidRDefault="006E2BB1" w:rsidP="00C9182C">
      <w:pPr>
        <w:keepNext/>
        <w:jc w:val="center"/>
      </w:pPr>
    </w:p>
    <w:p w:rsidR="006E2BB1" w:rsidRPr="00C258AD" w:rsidRDefault="006E2BB1" w:rsidP="00C9182C">
      <w:pPr>
        <w:keepNext/>
        <w:jc w:val="center"/>
      </w:pPr>
    </w:p>
    <w:p w:rsidR="006E2BB1" w:rsidRPr="00C258AD" w:rsidRDefault="00194A9A" w:rsidP="00C9182C">
      <w:pPr>
        <w:pStyle w:val="NormalWeb"/>
        <w:keepNext/>
        <w:spacing w:before="0" w:beforeAutospacing="0" w:after="0" w:afterAutospacing="0"/>
        <w:jc w:val="center"/>
        <w:rPr>
          <w:sz w:val="20"/>
          <w:szCs w:val="20"/>
        </w:rPr>
      </w:pPr>
      <w:r w:rsidRPr="00C258AD">
        <w:rPr>
          <w:sz w:val="20"/>
          <w:szCs w:val="20"/>
        </w:rPr>
        <w:t>Budget et dépenses effectives (par résultat)</w:t>
      </w:r>
    </w:p>
    <w:p w:rsidR="006E2BB1" w:rsidRPr="00C258AD" w:rsidRDefault="00194A9A" w:rsidP="00C9182C">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194A9A" w:rsidRPr="00C258AD" w:rsidRDefault="00194A9A" w:rsidP="00C9182C">
      <w:pPr>
        <w:keepNext/>
        <w:jc w:val="both"/>
      </w:pPr>
    </w:p>
    <w:tbl>
      <w:tblPr>
        <w:tblW w:w="5000" w:type="pct"/>
        <w:tblCellMar>
          <w:top w:w="113" w:type="dxa"/>
          <w:left w:w="70" w:type="dxa"/>
          <w:bottom w:w="113" w:type="dxa"/>
          <w:right w:w="70" w:type="dxa"/>
        </w:tblCellMar>
        <w:tblLook w:val="04A0" w:firstRow="1" w:lastRow="0" w:firstColumn="1" w:lastColumn="0" w:noHBand="0" w:noVBand="1"/>
      </w:tblPr>
      <w:tblGrid>
        <w:gridCol w:w="555"/>
        <w:gridCol w:w="4674"/>
        <w:gridCol w:w="1422"/>
        <w:gridCol w:w="1422"/>
        <w:gridCol w:w="1422"/>
      </w:tblGrid>
      <w:tr w:rsidR="00194A9A" w:rsidRPr="00C258AD" w:rsidTr="00C9182C">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194A9A" w:rsidRPr="00C258AD" w:rsidRDefault="00194A9A" w:rsidP="00C9182C">
            <w:pPr>
              <w:keepNext/>
              <w:jc w:val="center"/>
              <w:rPr>
                <w:i/>
                <w:iCs/>
                <w:sz w:val="16"/>
                <w:szCs w:val="16"/>
                <w:lang w:eastAsia="fr-FR"/>
              </w:rPr>
            </w:pPr>
            <w:r w:rsidRPr="00C258AD">
              <w:rPr>
                <w:i/>
                <w:iCs/>
                <w:sz w:val="16"/>
                <w:szCs w:val="16"/>
                <w:lang w:eastAsia="fr-FR"/>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194A9A" w:rsidRPr="00C258AD" w:rsidRDefault="00194A9A" w:rsidP="00C9182C">
            <w:pPr>
              <w:keepNext/>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Pr="00C258AD">
              <w:rPr>
                <w:i/>
                <w:iCs/>
                <w:sz w:val="16"/>
                <w:szCs w:val="16"/>
                <w:lang w:eastAsia="fr-FR"/>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194A9A" w:rsidRPr="00C258AD" w:rsidRDefault="00194A9A" w:rsidP="00C9182C">
            <w:pPr>
              <w:keepNext/>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Pr="00C258AD">
              <w:rPr>
                <w:i/>
                <w:iCs/>
                <w:sz w:val="16"/>
                <w:szCs w:val="16"/>
                <w:lang w:eastAsia="fr-FR"/>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194A9A" w:rsidRPr="00C258AD" w:rsidRDefault="00194A9A" w:rsidP="00C9182C">
            <w:pPr>
              <w:keepNext/>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Pr="00C258AD">
              <w:rPr>
                <w:i/>
                <w:iCs/>
                <w:sz w:val="16"/>
                <w:szCs w:val="16"/>
                <w:lang w:eastAsia="fr-FR"/>
              </w:rPr>
              <w:noBreakHyphen/>
              <w:t>2015</w:t>
            </w:r>
          </w:p>
        </w:tc>
      </w:tr>
      <w:tr w:rsidR="00194A9A" w:rsidRPr="00C258AD" w:rsidTr="00C9182C">
        <w:trPr>
          <w:cantSplit/>
        </w:trPr>
        <w:tc>
          <w:tcPr>
            <w:tcW w:w="530" w:type="dxa"/>
            <w:tcBorders>
              <w:top w:val="nil"/>
              <w:left w:val="single" w:sz="4" w:space="0" w:color="auto"/>
              <w:bottom w:val="nil"/>
              <w:right w:val="nil"/>
            </w:tcBorders>
            <w:shd w:val="clear" w:color="auto" w:fill="auto"/>
            <w:noWrap/>
            <w:vAlign w:val="center"/>
            <w:hideMark/>
          </w:tcPr>
          <w:p w:rsidR="00194A9A" w:rsidRPr="00C258AD" w:rsidRDefault="00194A9A" w:rsidP="00C9182C">
            <w:pPr>
              <w:keepNext/>
              <w:rPr>
                <w:sz w:val="16"/>
                <w:szCs w:val="16"/>
                <w:lang w:eastAsia="fr-FR"/>
              </w:rPr>
            </w:pPr>
            <w:r w:rsidRPr="00C258AD">
              <w:rPr>
                <w:sz w:val="16"/>
                <w:szCs w:val="16"/>
                <w:lang w:eastAsia="fr-FR"/>
              </w:rPr>
              <w:t>II.1</w:t>
            </w:r>
          </w:p>
        </w:tc>
        <w:tc>
          <w:tcPr>
            <w:tcW w:w="4470" w:type="dxa"/>
            <w:tcBorders>
              <w:top w:val="nil"/>
              <w:left w:val="nil"/>
              <w:bottom w:val="nil"/>
              <w:right w:val="nil"/>
            </w:tcBorders>
            <w:shd w:val="clear" w:color="auto" w:fill="auto"/>
            <w:vAlign w:val="center"/>
            <w:hideMark/>
          </w:tcPr>
          <w:p w:rsidR="00194A9A" w:rsidRPr="00C258AD" w:rsidRDefault="00194A9A" w:rsidP="00C9182C">
            <w:pPr>
              <w:keepNext/>
              <w:rPr>
                <w:sz w:val="16"/>
                <w:szCs w:val="16"/>
                <w:lang w:eastAsia="fr-FR"/>
              </w:rPr>
            </w:pPr>
            <w:r w:rsidRPr="00C258AD">
              <w:rPr>
                <w:sz w:val="16"/>
                <w:szCs w:val="16"/>
                <w:lang w:eastAsia="fr-FR"/>
              </w:rPr>
              <w:t>Utilisation accrue de la voie PCT pour le dépôt des demandes internationales de brevet</w:t>
            </w:r>
          </w:p>
        </w:tc>
        <w:tc>
          <w:tcPr>
            <w:tcW w:w="1360" w:type="dxa"/>
            <w:tcBorders>
              <w:top w:val="nil"/>
              <w:left w:val="nil"/>
              <w:bottom w:val="nil"/>
              <w:right w:val="nil"/>
            </w:tcBorders>
            <w:shd w:val="clear" w:color="auto" w:fill="auto"/>
            <w:vAlign w:val="center"/>
            <w:hideMark/>
          </w:tcPr>
          <w:p w:rsidR="00194A9A" w:rsidRPr="00C258AD" w:rsidRDefault="00194A9A" w:rsidP="00C9182C">
            <w:pPr>
              <w:keepNext/>
              <w:jc w:val="right"/>
              <w:rPr>
                <w:sz w:val="16"/>
                <w:szCs w:val="16"/>
                <w:lang w:eastAsia="fr-FR"/>
              </w:rPr>
            </w:pPr>
            <w:r w:rsidRPr="00C258AD">
              <w:rPr>
                <w:sz w:val="16"/>
                <w:szCs w:val="16"/>
                <w:lang w:eastAsia="fr-FR"/>
              </w:rPr>
              <w:t>22 011</w:t>
            </w:r>
          </w:p>
        </w:tc>
        <w:tc>
          <w:tcPr>
            <w:tcW w:w="1360" w:type="dxa"/>
            <w:tcBorders>
              <w:top w:val="nil"/>
              <w:left w:val="nil"/>
              <w:bottom w:val="nil"/>
              <w:right w:val="nil"/>
            </w:tcBorders>
            <w:shd w:val="clear" w:color="auto" w:fill="auto"/>
            <w:vAlign w:val="center"/>
            <w:hideMark/>
          </w:tcPr>
          <w:p w:rsidR="00194A9A" w:rsidRPr="00C258AD" w:rsidRDefault="00194A9A" w:rsidP="00C9182C">
            <w:pPr>
              <w:keepNext/>
              <w:jc w:val="right"/>
              <w:rPr>
                <w:sz w:val="16"/>
                <w:szCs w:val="16"/>
                <w:lang w:eastAsia="fr-FR"/>
              </w:rPr>
            </w:pPr>
            <w:r w:rsidRPr="00C258AD">
              <w:rPr>
                <w:sz w:val="16"/>
                <w:szCs w:val="16"/>
                <w:lang w:eastAsia="fr-FR"/>
              </w:rPr>
              <w:t>20 004</w:t>
            </w:r>
          </w:p>
        </w:tc>
        <w:tc>
          <w:tcPr>
            <w:tcW w:w="1360" w:type="dxa"/>
            <w:tcBorders>
              <w:top w:val="nil"/>
              <w:left w:val="nil"/>
              <w:bottom w:val="nil"/>
              <w:right w:val="single" w:sz="4" w:space="0" w:color="auto"/>
            </w:tcBorders>
            <w:shd w:val="clear" w:color="auto" w:fill="auto"/>
            <w:vAlign w:val="center"/>
            <w:hideMark/>
          </w:tcPr>
          <w:p w:rsidR="00194A9A" w:rsidRPr="00C258AD" w:rsidRDefault="00194A9A" w:rsidP="00C9182C">
            <w:pPr>
              <w:keepNext/>
              <w:jc w:val="right"/>
              <w:rPr>
                <w:sz w:val="16"/>
                <w:szCs w:val="16"/>
                <w:lang w:eastAsia="fr-FR"/>
              </w:rPr>
            </w:pPr>
            <w:r w:rsidRPr="00C258AD">
              <w:rPr>
                <w:sz w:val="16"/>
                <w:szCs w:val="16"/>
                <w:lang w:eastAsia="fr-FR"/>
              </w:rPr>
              <w:t>18 575</w:t>
            </w:r>
          </w:p>
        </w:tc>
      </w:tr>
      <w:tr w:rsidR="00194A9A" w:rsidRPr="00C258AD" w:rsidTr="00C9182C">
        <w:trPr>
          <w:cantSplit/>
        </w:trPr>
        <w:tc>
          <w:tcPr>
            <w:tcW w:w="530" w:type="dxa"/>
            <w:tcBorders>
              <w:top w:val="nil"/>
              <w:left w:val="single" w:sz="4" w:space="0" w:color="auto"/>
              <w:bottom w:val="nil"/>
              <w:right w:val="nil"/>
            </w:tcBorders>
            <w:shd w:val="clear" w:color="auto" w:fill="auto"/>
            <w:noWrap/>
            <w:vAlign w:val="center"/>
            <w:hideMark/>
          </w:tcPr>
          <w:p w:rsidR="00194A9A" w:rsidRPr="00C258AD" w:rsidRDefault="00194A9A" w:rsidP="00C9182C">
            <w:pPr>
              <w:keepNext/>
              <w:rPr>
                <w:sz w:val="16"/>
                <w:szCs w:val="16"/>
                <w:lang w:eastAsia="fr-FR"/>
              </w:rPr>
            </w:pPr>
            <w:r w:rsidRPr="00C258AD">
              <w:rPr>
                <w:sz w:val="16"/>
                <w:szCs w:val="16"/>
                <w:lang w:eastAsia="fr-FR"/>
              </w:rPr>
              <w:t>II.2</w:t>
            </w:r>
          </w:p>
        </w:tc>
        <w:tc>
          <w:tcPr>
            <w:tcW w:w="4470" w:type="dxa"/>
            <w:tcBorders>
              <w:top w:val="nil"/>
              <w:left w:val="nil"/>
              <w:bottom w:val="nil"/>
              <w:right w:val="nil"/>
            </w:tcBorders>
            <w:shd w:val="clear" w:color="auto" w:fill="auto"/>
            <w:vAlign w:val="center"/>
            <w:hideMark/>
          </w:tcPr>
          <w:p w:rsidR="00194A9A" w:rsidRPr="00C258AD" w:rsidRDefault="00194A9A" w:rsidP="00C9182C">
            <w:pPr>
              <w:keepNext/>
              <w:rPr>
                <w:sz w:val="16"/>
                <w:szCs w:val="16"/>
                <w:lang w:eastAsia="fr-FR"/>
              </w:rPr>
            </w:pPr>
            <w:r w:rsidRPr="00C258AD">
              <w:rPr>
                <w:sz w:val="16"/>
                <w:szCs w:val="16"/>
                <w:lang w:eastAsia="fr-FR"/>
              </w:rPr>
              <w:t>Amélioration du système du PCT</w:t>
            </w:r>
          </w:p>
        </w:tc>
        <w:tc>
          <w:tcPr>
            <w:tcW w:w="1360" w:type="dxa"/>
            <w:tcBorders>
              <w:top w:val="nil"/>
              <w:left w:val="nil"/>
              <w:bottom w:val="nil"/>
              <w:right w:val="nil"/>
            </w:tcBorders>
            <w:shd w:val="clear" w:color="auto" w:fill="auto"/>
            <w:vAlign w:val="center"/>
            <w:hideMark/>
          </w:tcPr>
          <w:p w:rsidR="00194A9A" w:rsidRPr="00C258AD" w:rsidRDefault="00194A9A" w:rsidP="00C9182C">
            <w:pPr>
              <w:keepNext/>
              <w:jc w:val="right"/>
              <w:rPr>
                <w:sz w:val="16"/>
                <w:szCs w:val="16"/>
                <w:lang w:eastAsia="fr-FR"/>
              </w:rPr>
            </w:pPr>
            <w:r w:rsidRPr="00C258AD">
              <w:rPr>
                <w:sz w:val="16"/>
                <w:szCs w:val="16"/>
                <w:lang w:eastAsia="fr-FR"/>
              </w:rPr>
              <w:t>3 106</w:t>
            </w:r>
          </w:p>
        </w:tc>
        <w:tc>
          <w:tcPr>
            <w:tcW w:w="1360" w:type="dxa"/>
            <w:tcBorders>
              <w:top w:val="nil"/>
              <w:left w:val="nil"/>
              <w:bottom w:val="nil"/>
              <w:right w:val="nil"/>
            </w:tcBorders>
            <w:shd w:val="clear" w:color="auto" w:fill="auto"/>
            <w:vAlign w:val="center"/>
            <w:hideMark/>
          </w:tcPr>
          <w:p w:rsidR="00194A9A" w:rsidRPr="00C258AD" w:rsidRDefault="00194A9A" w:rsidP="00C9182C">
            <w:pPr>
              <w:keepNext/>
              <w:jc w:val="right"/>
              <w:rPr>
                <w:sz w:val="16"/>
                <w:szCs w:val="16"/>
                <w:lang w:eastAsia="fr-FR"/>
              </w:rPr>
            </w:pPr>
            <w:r w:rsidRPr="00C258AD">
              <w:rPr>
                <w:sz w:val="16"/>
                <w:szCs w:val="16"/>
                <w:lang w:eastAsia="fr-FR"/>
              </w:rPr>
              <w:t>3 862</w:t>
            </w:r>
          </w:p>
        </w:tc>
        <w:tc>
          <w:tcPr>
            <w:tcW w:w="1360" w:type="dxa"/>
            <w:tcBorders>
              <w:top w:val="nil"/>
              <w:left w:val="nil"/>
              <w:bottom w:val="nil"/>
              <w:right w:val="single" w:sz="4" w:space="0" w:color="auto"/>
            </w:tcBorders>
            <w:shd w:val="clear" w:color="auto" w:fill="auto"/>
            <w:vAlign w:val="center"/>
            <w:hideMark/>
          </w:tcPr>
          <w:p w:rsidR="00194A9A" w:rsidRPr="00C258AD" w:rsidRDefault="00194A9A" w:rsidP="00C9182C">
            <w:pPr>
              <w:keepNext/>
              <w:jc w:val="right"/>
              <w:rPr>
                <w:sz w:val="16"/>
                <w:szCs w:val="16"/>
                <w:lang w:eastAsia="fr-FR"/>
              </w:rPr>
            </w:pPr>
            <w:r w:rsidRPr="00C258AD">
              <w:rPr>
                <w:sz w:val="16"/>
                <w:szCs w:val="16"/>
                <w:lang w:eastAsia="fr-FR"/>
              </w:rPr>
              <w:t>4004</w:t>
            </w:r>
          </w:p>
        </w:tc>
      </w:tr>
      <w:tr w:rsidR="00194A9A" w:rsidRPr="00C258AD" w:rsidTr="00C9182C">
        <w:trPr>
          <w:cantSplit/>
        </w:trPr>
        <w:tc>
          <w:tcPr>
            <w:tcW w:w="530" w:type="dxa"/>
            <w:tcBorders>
              <w:top w:val="nil"/>
              <w:left w:val="single" w:sz="4" w:space="0" w:color="auto"/>
              <w:bottom w:val="nil"/>
              <w:right w:val="nil"/>
            </w:tcBorders>
            <w:shd w:val="clear" w:color="auto" w:fill="auto"/>
            <w:noWrap/>
            <w:vAlign w:val="center"/>
            <w:hideMark/>
          </w:tcPr>
          <w:p w:rsidR="00194A9A" w:rsidRPr="00C258AD" w:rsidRDefault="00194A9A" w:rsidP="00C9182C">
            <w:pPr>
              <w:keepNext/>
              <w:rPr>
                <w:sz w:val="16"/>
                <w:szCs w:val="16"/>
                <w:lang w:eastAsia="fr-FR"/>
              </w:rPr>
            </w:pPr>
            <w:r w:rsidRPr="00C258AD">
              <w:rPr>
                <w:sz w:val="16"/>
                <w:szCs w:val="16"/>
                <w:lang w:eastAsia="fr-FR"/>
              </w:rPr>
              <w:t>II.3</w:t>
            </w:r>
          </w:p>
        </w:tc>
        <w:tc>
          <w:tcPr>
            <w:tcW w:w="4470" w:type="dxa"/>
            <w:tcBorders>
              <w:top w:val="nil"/>
              <w:left w:val="nil"/>
              <w:bottom w:val="nil"/>
              <w:right w:val="nil"/>
            </w:tcBorders>
            <w:shd w:val="clear" w:color="auto" w:fill="auto"/>
            <w:vAlign w:val="center"/>
            <w:hideMark/>
          </w:tcPr>
          <w:p w:rsidR="00194A9A" w:rsidRPr="00C258AD" w:rsidRDefault="00194A9A" w:rsidP="00C9182C">
            <w:pPr>
              <w:keepNext/>
              <w:rPr>
                <w:sz w:val="16"/>
                <w:szCs w:val="16"/>
                <w:lang w:eastAsia="fr-FR"/>
              </w:rPr>
            </w:pPr>
            <w:r w:rsidRPr="00C258AD">
              <w:rPr>
                <w:sz w:val="16"/>
                <w:szCs w:val="16"/>
                <w:lang w:eastAsia="fr-FR"/>
              </w:rPr>
              <w:t xml:space="preserve">Amélioration de la productivité et de la qualité de service des opérations du PCT </w:t>
            </w:r>
          </w:p>
        </w:tc>
        <w:tc>
          <w:tcPr>
            <w:tcW w:w="1360" w:type="dxa"/>
            <w:tcBorders>
              <w:top w:val="nil"/>
              <w:left w:val="nil"/>
              <w:bottom w:val="nil"/>
              <w:right w:val="nil"/>
            </w:tcBorders>
            <w:shd w:val="clear" w:color="auto" w:fill="auto"/>
            <w:vAlign w:val="center"/>
            <w:hideMark/>
          </w:tcPr>
          <w:p w:rsidR="00194A9A" w:rsidRPr="00C258AD" w:rsidRDefault="00194A9A" w:rsidP="00C9182C">
            <w:pPr>
              <w:keepNext/>
              <w:jc w:val="right"/>
              <w:rPr>
                <w:sz w:val="16"/>
                <w:szCs w:val="16"/>
                <w:lang w:eastAsia="fr-FR"/>
              </w:rPr>
            </w:pPr>
            <w:r w:rsidRPr="00C258AD">
              <w:rPr>
                <w:sz w:val="16"/>
                <w:szCs w:val="16"/>
                <w:lang w:eastAsia="fr-FR"/>
              </w:rPr>
              <w:t>172 856</w:t>
            </w:r>
          </w:p>
        </w:tc>
        <w:tc>
          <w:tcPr>
            <w:tcW w:w="1360" w:type="dxa"/>
            <w:tcBorders>
              <w:top w:val="nil"/>
              <w:left w:val="nil"/>
              <w:bottom w:val="nil"/>
              <w:right w:val="nil"/>
            </w:tcBorders>
            <w:shd w:val="clear" w:color="auto" w:fill="auto"/>
            <w:vAlign w:val="center"/>
            <w:hideMark/>
          </w:tcPr>
          <w:p w:rsidR="00194A9A" w:rsidRPr="00C258AD" w:rsidRDefault="00194A9A" w:rsidP="00C9182C">
            <w:pPr>
              <w:keepNext/>
              <w:jc w:val="right"/>
              <w:rPr>
                <w:sz w:val="16"/>
                <w:szCs w:val="16"/>
                <w:lang w:eastAsia="fr-FR"/>
              </w:rPr>
            </w:pPr>
            <w:r w:rsidRPr="00C258AD">
              <w:rPr>
                <w:sz w:val="16"/>
                <w:szCs w:val="16"/>
                <w:lang w:eastAsia="fr-FR"/>
              </w:rPr>
              <w:t>171 056</w:t>
            </w:r>
          </w:p>
        </w:tc>
        <w:tc>
          <w:tcPr>
            <w:tcW w:w="1360" w:type="dxa"/>
            <w:tcBorders>
              <w:top w:val="nil"/>
              <w:left w:val="nil"/>
              <w:bottom w:val="nil"/>
              <w:right w:val="single" w:sz="4" w:space="0" w:color="auto"/>
            </w:tcBorders>
            <w:shd w:val="clear" w:color="auto" w:fill="auto"/>
            <w:vAlign w:val="center"/>
            <w:hideMark/>
          </w:tcPr>
          <w:p w:rsidR="00194A9A" w:rsidRPr="00C258AD" w:rsidRDefault="00194A9A" w:rsidP="00C9182C">
            <w:pPr>
              <w:keepNext/>
              <w:jc w:val="right"/>
              <w:rPr>
                <w:sz w:val="16"/>
                <w:szCs w:val="16"/>
                <w:lang w:eastAsia="fr-FR"/>
              </w:rPr>
            </w:pPr>
            <w:r w:rsidRPr="00C258AD">
              <w:rPr>
                <w:sz w:val="16"/>
                <w:szCs w:val="16"/>
                <w:lang w:eastAsia="fr-FR"/>
              </w:rPr>
              <w:t>163 181</w:t>
            </w:r>
          </w:p>
        </w:tc>
      </w:tr>
      <w:tr w:rsidR="00194A9A" w:rsidRPr="00C258AD" w:rsidTr="00C9182C">
        <w:trPr>
          <w:cantSplit/>
        </w:trPr>
        <w:tc>
          <w:tcPr>
            <w:tcW w:w="530" w:type="dxa"/>
            <w:tcBorders>
              <w:top w:val="nil"/>
              <w:left w:val="single" w:sz="4" w:space="0" w:color="auto"/>
              <w:bottom w:val="nil"/>
              <w:right w:val="nil"/>
            </w:tcBorders>
            <w:shd w:val="clear" w:color="auto" w:fill="auto"/>
            <w:noWrap/>
            <w:vAlign w:val="center"/>
            <w:hideMark/>
          </w:tcPr>
          <w:p w:rsidR="00194A9A" w:rsidRPr="00C258AD" w:rsidRDefault="00194A9A" w:rsidP="00C9182C">
            <w:pPr>
              <w:keepNext/>
              <w:rPr>
                <w:sz w:val="16"/>
                <w:szCs w:val="16"/>
                <w:lang w:eastAsia="fr-FR"/>
              </w:rPr>
            </w:pPr>
            <w:r w:rsidRPr="00C258AD">
              <w:rPr>
                <w:sz w:val="16"/>
                <w:szCs w:val="16"/>
                <w:lang w:eastAsia="fr-FR"/>
              </w:rPr>
              <w:t>IV.2</w:t>
            </w:r>
          </w:p>
        </w:tc>
        <w:tc>
          <w:tcPr>
            <w:tcW w:w="4470" w:type="dxa"/>
            <w:tcBorders>
              <w:top w:val="nil"/>
              <w:left w:val="nil"/>
              <w:bottom w:val="nil"/>
              <w:right w:val="nil"/>
            </w:tcBorders>
            <w:shd w:val="clear" w:color="auto" w:fill="auto"/>
            <w:vAlign w:val="center"/>
            <w:hideMark/>
          </w:tcPr>
          <w:p w:rsidR="00194A9A" w:rsidRPr="00C258AD" w:rsidRDefault="00194A9A" w:rsidP="00C9182C">
            <w:pPr>
              <w:keepNext/>
              <w:rPr>
                <w:sz w:val="16"/>
                <w:szCs w:val="16"/>
                <w:lang w:eastAsia="fr-FR"/>
              </w:rPr>
            </w:pPr>
            <w:r w:rsidRPr="00C258AD">
              <w:rPr>
                <w:sz w:val="16"/>
                <w:szCs w:val="16"/>
                <w:lang w:eastAsia="fr-FR"/>
              </w:rPr>
              <w:t>Amélioration de l’accessibilité et de l’utilisation de l’information en matière de propriété intellectuelle par les institutions compétentes et le public afin de promouvoir l’innovation et la créativité</w:t>
            </w:r>
          </w:p>
        </w:tc>
        <w:tc>
          <w:tcPr>
            <w:tcW w:w="1360" w:type="dxa"/>
            <w:tcBorders>
              <w:top w:val="nil"/>
              <w:left w:val="nil"/>
              <w:bottom w:val="nil"/>
              <w:right w:val="nil"/>
            </w:tcBorders>
            <w:shd w:val="clear" w:color="auto" w:fill="auto"/>
            <w:vAlign w:val="center"/>
            <w:hideMark/>
          </w:tcPr>
          <w:p w:rsidR="00194A9A" w:rsidRPr="00C258AD" w:rsidRDefault="00194A9A" w:rsidP="00C9182C">
            <w:pPr>
              <w:keepNext/>
              <w:jc w:val="right"/>
              <w:rPr>
                <w:sz w:val="16"/>
                <w:szCs w:val="16"/>
                <w:lang w:eastAsia="fr-FR"/>
              </w:rPr>
            </w:pPr>
            <w:r w:rsidRPr="00C258AD">
              <w:rPr>
                <w:sz w:val="16"/>
                <w:szCs w:val="16"/>
                <w:lang w:eastAsia="fr-FR"/>
              </w:rPr>
              <w:noBreakHyphen/>
            </w:r>
          </w:p>
        </w:tc>
        <w:tc>
          <w:tcPr>
            <w:tcW w:w="1360" w:type="dxa"/>
            <w:tcBorders>
              <w:top w:val="nil"/>
              <w:left w:val="nil"/>
              <w:bottom w:val="nil"/>
              <w:right w:val="nil"/>
            </w:tcBorders>
            <w:shd w:val="clear" w:color="auto" w:fill="auto"/>
            <w:vAlign w:val="center"/>
            <w:hideMark/>
          </w:tcPr>
          <w:p w:rsidR="00194A9A" w:rsidRPr="00C258AD" w:rsidRDefault="00194A9A" w:rsidP="00C9182C">
            <w:pPr>
              <w:keepNext/>
              <w:jc w:val="right"/>
              <w:rPr>
                <w:sz w:val="16"/>
                <w:szCs w:val="16"/>
                <w:lang w:eastAsia="fr-FR"/>
              </w:rPr>
            </w:pPr>
            <w:r w:rsidRPr="00C258AD">
              <w:rPr>
                <w:sz w:val="16"/>
                <w:szCs w:val="16"/>
                <w:lang w:eastAsia="fr-FR"/>
              </w:rPr>
              <w:t>280</w:t>
            </w:r>
          </w:p>
        </w:tc>
        <w:tc>
          <w:tcPr>
            <w:tcW w:w="1360" w:type="dxa"/>
            <w:tcBorders>
              <w:top w:val="nil"/>
              <w:left w:val="nil"/>
              <w:bottom w:val="nil"/>
              <w:right w:val="single" w:sz="4" w:space="0" w:color="auto"/>
            </w:tcBorders>
            <w:shd w:val="clear" w:color="auto" w:fill="auto"/>
            <w:vAlign w:val="center"/>
            <w:hideMark/>
          </w:tcPr>
          <w:p w:rsidR="00194A9A" w:rsidRPr="00C258AD" w:rsidRDefault="00194A9A" w:rsidP="00C9182C">
            <w:pPr>
              <w:keepNext/>
              <w:jc w:val="right"/>
              <w:rPr>
                <w:sz w:val="16"/>
                <w:szCs w:val="16"/>
                <w:lang w:eastAsia="fr-FR"/>
              </w:rPr>
            </w:pPr>
            <w:r w:rsidRPr="00C258AD">
              <w:rPr>
                <w:sz w:val="16"/>
                <w:szCs w:val="16"/>
                <w:lang w:eastAsia="fr-FR"/>
              </w:rPr>
              <w:t>244</w:t>
            </w:r>
          </w:p>
        </w:tc>
      </w:tr>
      <w:tr w:rsidR="00194A9A" w:rsidRPr="00C258AD" w:rsidTr="00C9182C">
        <w:trPr>
          <w:cantSplit/>
        </w:trPr>
        <w:tc>
          <w:tcPr>
            <w:tcW w:w="530" w:type="dxa"/>
            <w:tcBorders>
              <w:top w:val="nil"/>
              <w:left w:val="single" w:sz="4" w:space="0" w:color="auto"/>
              <w:bottom w:val="nil"/>
              <w:right w:val="nil"/>
            </w:tcBorders>
            <w:shd w:val="clear" w:color="auto" w:fill="auto"/>
            <w:noWrap/>
            <w:vAlign w:val="center"/>
          </w:tcPr>
          <w:p w:rsidR="00194A9A" w:rsidRPr="00C258AD" w:rsidRDefault="00194A9A" w:rsidP="00C9182C">
            <w:pPr>
              <w:keepNext/>
              <w:rPr>
                <w:sz w:val="16"/>
                <w:szCs w:val="16"/>
                <w:lang w:eastAsia="fr-FR"/>
              </w:rPr>
            </w:pPr>
            <w:r w:rsidRPr="00C258AD">
              <w:rPr>
                <w:sz w:val="16"/>
                <w:szCs w:val="16"/>
                <w:lang w:eastAsia="fr-FR"/>
              </w:rPr>
              <w:t>VII.3</w:t>
            </w:r>
          </w:p>
        </w:tc>
        <w:tc>
          <w:tcPr>
            <w:tcW w:w="4470" w:type="dxa"/>
            <w:tcBorders>
              <w:top w:val="nil"/>
              <w:left w:val="nil"/>
              <w:bottom w:val="nil"/>
              <w:right w:val="nil"/>
            </w:tcBorders>
            <w:shd w:val="clear" w:color="auto" w:fill="auto"/>
            <w:vAlign w:val="center"/>
          </w:tcPr>
          <w:p w:rsidR="00194A9A" w:rsidRPr="00C258AD" w:rsidRDefault="00194A9A" w:rsidP="00C9182C">
            <w:pPr>
              <w:keepNext/>
              <w:rPr>
                <w:sz w:val="16"/>
                <w:szCs w:val="16"/>
                <w:lang w:eastAsia="fr-FR"/>
              </w:rPr>
            </w:pPr>
            <w:r w:rsidRPr="00C258AD">
              <w:rPr>
                <w:sz w:val="16"/>
                <w:szCs w:val="16"/>
                <w:lang w:eastAsia="fr-FR"/>
              </w:rPr>
              <w:t>Crédibilité croissante de l’OMPI en tant qu’instance d’analyse des questions relatives à la propriété intellectuelle et à la politique en matière de concurrence</w:t>
            </w:r>
          </w:p>
        </w:tc>
        <w:tc>
          <w:tcPr>
            <w:tcW w:w="1360" w:type="dxa"/>
            <w:tcBorders>
              <w:top w:val="nil"/>
              <w:left w:val="nil"/>
              <w:bottom w:val="nil"/>
              <w:right w:val="nil"/>
            </w:tcBorders>
            <w:shd w:val="clear" w:color="auto" w:fill="auto"/>
            <w:vAlign w:val="center"/>
          </w:tcPr>
          <w:p w:rsidR="00194A9A" w:rsidRPr="00C258AD" w:rsidRDefault="00194A9A" w:rsidP="00C9182C">
            <w:pPr>
              <w:keepNext/>
              <w:jc w:val="right"/>
              <w:rPr>
                <w:sz w:val="16"/>
                <w:szCs w:val="16"/>
                <w:lang w:eastAsia="fr-FR"/>
              </w:rPr>
            </w:pPr>
            <w:r w:rsidRPr="00C258AD">
              <w:rPr>
                <w:sz w:val="16"/>
                <w:szCs w:val="16"/>
                <w:lang w:eastAsia="fr-FR"/>
              </w:rPr>
              <w:t>–</w:t>
            </w:r>
          </w:p>
        </w:tc>
        <w:tc>
          <w:tcPr>
            <w:tcW w:w="1360" w:type="dxa"/>
            <w:tcBorders>
              <w:top w:val="nil"/>
              <w:left w:val="nil"/>
              <w:bottom w:val="nil"/>
              <w:right w:val="nil"/>
            </w:tcBorders>
            <w:shd w:val="clear" w:color="auto" w:fill="auto"/>
            <w:vAlign w:val="center"/>
          </w:tcPr>
          <w:p w:rsidR="00194A9A" w:rsidRPr="00C258AD" w:rsidRDefault="00194A9A" w:rsidP="00C9182C">
            <w:pPr>
              <w:keepNext/>
              <w:jc w:val="right"/>
              <w:rPr>
                <w:sz w:val="16"/>
                <w:szCs w:val="16"/>
                <w:lang w:eastAsia="fr-FR"/>
              </w:rPr>
            </w:pPr>
            <w:r w:rsidRPr="00C258AD">
              <w:rPr>
                <w:sz w:val="16"/>
                <w:szCs w:val="16"/>
                <w:lang w:eastAsia="fr-FR"/>
              </w:rPr>
              <w:t>153</w:t>
            </w:r>
          </w:p>
        </w:tc>
        <w:tc>
          <w:tcPr>
            <w:tcW w:w="1360" w:type="dxa"/>
            <w:tcBorders>
              <w:top w:val="nil"/>
              <w:left w:val="nil"/>
              <w:bottom w:val="nil"/>
              <w:right w:val="single" w:sz="4" w:space="0" w:color="auto"/>
            </w:tcBorders>
            <w:shd w:val="clear" w:color="auto" w:fill="auto"/>
            <w:vAlign w:val="center"/>
          </w:tcPr>
          <w:p w:rsidR="00194A9A" w:rsidRPr="00C258AD" w:rsidRDefault="00194A9A" w:rsidP="00C9182C">
            <w:pPr>
              <w:keepNext/>
              <w:jc w:val="right"/>
              <w:rPr>
                <w:sz w:val="16"/>
                <w:szCs w:val="16"/>
                <w:lang w:eastAsia="fr-FR"/>
              </w:rPr>
            </w:pPr>
            <w:r w:rsidRPr="00C258AD">
              <w:rPr>
                <w:sz w:val="16"/>
                <w:szCs w:val="16"/>
                <w:lang w:eastAsia="fr-FR"/>
              </w:rPr>
              <w:t>149</w:t>
            </w:r>
          </w:p>
        </w:tc>
      </w:tr>
      <w:tr w:rsidR="00194A9A" w:rsidRPr="00C258AD" w:rsidTr="00C9182C">
        <w:trPr>
          <w:cantSplit/>
        </w:trPr>
        <w:tc>
          <w:tcPr>
            <w:tcW w:w="530" w:type="dxa"/>
            <w:tcBorders>
              <w:top w:val="single" w:sz="4" w:space="0" w:color="auto"/>
              <w:left w:val="single" w:sz="4" w:space="0" w:color="auto"/>
              <w:bottom w:val="single" w:sz="4" w:space="0" w:color="auto"/>
              <w:right w:val="nil"/>
            </w:tcBorders>
            <w:shd w:val="clear" w:color="auto" w:fill="C5D9F1"/>
            <w:noWrap/>
            <w:vAlign w:val="bottom"/>
            <w:hideMark/>
          </w:tcPr>
          <w:p w:rsidR="00194A9A" w:rsidRPr="00C258AD" w:rsidRDefault="00194A9A" w:rsidP="00C9182C">
            <w:pPr>
              <w:rPr>
                <w:sz w:val="16"/>
                <w:szCs w:val="16"/>
                <w:lang w:eastAsia="fr-FR"/>
              </w:rPr>
            </w:pPr>
            <w:r w:rsidRPr="00C258AD">
              <w:rPr>
                <w:sz w:val="16"/>
                <w:szCs w:val="16"/>
                <w:lang w:eastAsia="fr-FR"/>
              </w:rPr>
              <w:t> </w:t>
            </w:r>
          </w:p>
        </w:tc>
        <w:tc>
          <w:tcPr>
            <w:tcW w:w="4470" w:type="dxa"/>
            <w:tcBorders>
              <w:top w:val="single" w:sz="4" w:space="0" w:color="auto"/>
              <w:left w:val="nil"/>
              <w:bottom w:val="single" w:sz="4" w:space="0" w:color="auto"/>
              <w:right w:val="single" w:sz="4" w:space="0" w:color="auto"/>
            </w:tcBorders>
            <w:shd w:val="clear" w:color="auto" w:fill="C5D9F1"/>
            <w:noWrap/>
            <w:vAlign w:val="bottom"/>
            <w:hideMark/>
          </w:tcPr>
          <w:p w:rsidR="00194A9A" w:rsidRPr="00C258AD" w:rsidRDefault="00194A9A" w:rsidP="00C9182C">
            <w:pPr>
              <w:rPr>
                <w:sz w:val="16"/>
                <w:szCs w:val="16"/>
                <w:lang w:eastAsia="fr-FR"/>
              </w:rPr>
            </w:pPr>
            <w:r w:rsidRPr="00C258AD">
              <w:rPr>
                <w:sz w:val="16"/>
                <w:szCs w:val="16"/>
                <w:lang w:eastAsia="fr-FR"/>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194A9A" w:rsidRPr="00C258AD" w:rsidRDefault="00194A9A" w:rsidP="00C9182C">
            <w:pPr>
              <w:jc w:val="right"/>
              <w:rPr>
                <w:b/>
                <w:bCs/>
                <w:sz w:val="16"/>
                <w:szCs w:val="16"/>
                <w:lang w:eastAsia="fr-FR"/>
              </w:rPr>
            </w:pPr>
            <w:r w:rsidRPr="00C258AD">
              <w:rPr>
                <w:b/>
                <w:bCs/>
                <w:sz w:val="16"/>
                <w:szCs w:val="16"/>
                <w:lang w:eastAsia="fr-FR"/>
              </w:rPr>
              <w:t>197 973</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194A9A" w:rsidRPr="00C258AD" w:rsidRDefault="00194A9A" w:rsidP="00C9182C">
            <w:pPr>
              <w:jc w:val="right"/>
              <w:rPr>
                <w:b/>
                <w:bCs/>
                <w:sz w:val="16"/>
                <w:szCs w:val="16"/>
                <w:lang w:eastAsia="fr-FR"/>
              </w:rPr>
            </w:pPr>
            <w:r w:rsidRPr="00C258AD">
              <w:rPr>
                <w:b/>
                <w:bCs/>
                <w:sz w:val="16"/>
                <w:szCs w:val="16"/>
                <w:lang w:eastAsia="fr-FR"/>
              </w:rPr>
              <w:t>195 354</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194A9A" w:rsidRPr="00C258AD" w:rsidRDefault="00194A9A" w:rsidP="00C9182C">
            <w:pPr>
              <w:jc w:val="right"/>
              <w:rPr>
                <w:b/>
                <w:bCs/>
                <w:sz w:val="16"/>
                <w:szCs w:val="16"/>
                <w:lang w:eastAsia="fr-FR"/>
              </w:rPr>
            </w:pPr>
            <w:r w:rsidRPr="00C258AD">
              <w:rPr>
                <w:b/>
                <w:bCs/>
                <w:sz w:val="16"/>
                <w:szCs w:val="16"/>
                <w:lang w:eastAsia="fr-FR"/>
              </w:rPr>
              <w:t>186 155</w:t>
            </w:r>
          </w:p>
        </w:tc>
      </w:tr>
    </w:tbl>
    <w:p w:rsidR="006E2BB1" w:rsidRPr="00C258AD" w:rsidRDefault="006E2BB1" w:rsidP="00C9182C"/>
    <w:p w:rsidR="006E2BB1" w:rsidRPr="00C258AD" w:rsidRDefault="006E2BB1" w:rsidP="00C9182C"/>
    <w:p w:rsidR="006E2BB1" w:rsidRPr="00C258AD" w:rsidRDefault="00194A9A" w:rsidP="00C9182C">
      <w:pPr>
        <w:pStyle w:val="NormalWeb"/>
        <w:keepNext/>
        <w:keepLines/>
        <w:spacing w:before="0" w:beforeAutospacing="0" w:after="0" w:afterAutospacing="0"/>
        <w:jc w:val="center"/>
        <w:rPr>
          <w:sz w:val="20"/>
          <w:szCs w:val="20"/>
        </w:rPr>
      </w:pPr>
      <w:r w:rsidRPr="00C258AD">
        <w:rPr>
          <w:sz w:val="20"/>
          <w:szCs w:val="20"/>
        </w:rPr>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194A9A" w:rsidP="00C9182C">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194A9A" w:rsidRPr="00C258AD" w:rsidRDefault="00194A9A" w:rsidP="00C9182C">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194A9A" w:rsidRPr="00C258AD" w:rsidTr="00C9182C">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194A9A" w:rsidRPr="00C258AD" w:rsidRDefault="00194A9A" w:rsidP="00C9182C">
            <w:pPr>
              <w:rPr>
                <w:color w:val="000000"/>
                <w:sz w:val="16"/>
                <w:szCs w:val="18"/>
                <w:lang w:eastAsia="fr-FR"/>
              </w:rPr>
            </w:pPr>
            <w:r w:rsidRPr="00C258AD">
              <w:rPr>
                <w:color w:val="000000"/>
                <w:sz w:val="16"/>
                <w:szCs w:val="18"/>
                <w:lang w:eastAsia="fr-FR"/>
              </w:rPr>
              <w:t> </w:t>
            </w:r>
          </w:p>
        </w:tc>
        <w:tc>
          <w:tcPr>
            <w:tcW w:w="1745" w:type="dxa"/>
            <w:tcBorders>
              <w:top w:val="single" w:sz="4" w:space="0" w:color="auto"/>
              <w:left w:val="nil"/>
              <w:bottom w:val="nil"/>
              <w:right w:val="single" w:sz="4" w:space="0" w:color="auto"/>
            </w:tcBorders>
            <w:shd w:val="clear" w:color="auto" w:fill="C5D9F1"/>
            <w:vAlign w:val="center"/>
            <w:hideMark/>
          </w:tcPr>
          <w:p w:rsidR="00194A9A" w:rsidRPr="00C258AD" w:rsidRDefault="00194A9A" w:rsidP="00C9182C">
            <w:pPr>
              <w:jc w:val="center"/>
              <w:rPr>
                <w:b/>
                <w:bCs/>
                <w:color w:val="000000"/>
                <w:sz w:val="16"/>
                <w:szCs w:val="18"/>
                <w:lang w:eastAsia="fr-FR"/>
              </w:rPr>
            </w:pPr>
            <w:r w:rsidRPr="00C258AD">
              <w:rPr>
                <w:b/>
                <w:bCs/>
                <w:color w:val="000000"/>
                <w:sz w:val="16"/>
                <w:szCs w:val="18"/>
                <w:lang w:eastAsia="fr-FR"/>
              </w:rPr>
              <w:t>Budget 2014</w:t>
            </w:r>
            <w:r w:rsidRPr="00C258AD">
              <w:rPr>
                <w:b/>
                <w:bCs/>
                <w:color w:val="000000"/>
                <w:sz w:val="16"/>
                <w:szCs w:val="18"/>
                <w:lang w:eastAsia="fr-FR"/>
              </w:rPr>
              <w:noBreakHyphen/>
              <w:t>2015 approuvé</w:t>
            </w:r>
          </w:p>
        </w:tc>
        <w:tc>
          <w:tcPr>
            <w:tcW w:w="1746" w:type="dxa"/>
            <w:tcBorders>
              <w:top w:val="single" w:sz="4" w:space="0" w:color="auto"/>
              <w:left w:val="nil"/>
              <w:bottom w:val="nil"/>
              <w:right w:val="single" w:sz="4" w:space="0" w:color="auto"/>
            </w:tcBorders>
            <w:shd w:val="clear" w:color="auto" w:fill="C5D9F1"/>
            <w:vAlign w:val="center"/>
            <w:hideMark/>
          </w:tcPr>
          <w:p w:rsidR="00194A9A" w:rsidRPr="00C258AD" w:rsidRDefault="00194A9A" w:rsidP="00C9182C">
            <w:pPr>
              <w:jc w:val="center"/>
              <w:rPr>
                <w:b/>
                <w:bCs/>
                <w:color w:val="000000"/>
                <w:sz w:val="16"/>
                <w:szCs w:val="18"/>
                <w:lang w:eastAsia="fr-FR"/>
              </w:rPr>
            </w:pPr>
            <w:r w:rsidRPr="00C258AD">
              <w:rPr>
                <w:b/>
                <w:bCs/>
                <w:color w:val="000000"/>
                <w:sz w:val="16"/>
                <w:szCs w:val="18"/>
                <w:lang w:eastAsia="fr-FR"/>
              </w:rPr>
              <w:t>Budget final 2014</w:t>
            </w:r>
            <w:r w:rsidRPr="00C258AD">
              <w:rPr>
                <w:b/>
                <w:bCs/>
                <w:color w:val="000000"/>
                <w:sz w:val="16"/>
                <w:szCs w:val="18"/>
                <w:lang w:eastAsia="fr-FR"/>
              </w:rPr>
              <w:noBreakHyphen/>
              <w:t>2015</w:t>
            </w:r>
            <w:r w:rsidRPr="00C258AD">
              <w:rPr>
                <w:b/>
                <w:bCs/>
                <w:color w:val="000000"/>
                <w:sz w:val="16"/>
                <w:szCs w:val="18"/>
                <w:lang w:eastAsia="fr-FR"/>
              </w:rPr>
              <w:br/>
              <w:t>après virements</w:t>
            </w:r>
          </w:p>
        </w:tc>
        <w:tc>
          <w:tcPr>
            <w:tcW w:w="1745" w:type="dxa"/>
            <w:tcBorders>
              <w:top w:val="single" w:sz="4" w:space="0" w:color="auto"/>
              <w:left w:val="nil"/>
              <w:bottom w:val="nil"/>
              <w:right w:val="single" w:sz="4" w:space="0" w:color="auto"/>
            </w:tcBorders>
            <w:shd w:val="clear" w:color="auto" w:fill="C5D9F1"/>
            <w:vAlign w:val="center"/>
            <w:hideMark/>
          </w:tcPr>
          <w:p w:rsidR="00194A9A" w:rsidRPr="00C258AD" w:rsidRDefault="00194A9A" w:rsidP="00C9182C">
            <w:pPr>
              <w:jc w:val="center"/>
              <w:rPr>
                <w:b/>
                <w:bCs/>
                <w:color w:val="000000"/>
                <w:sz w:val="16"/>
                <w:szCs w:val="18"/>
                <w:lang w:eastAsia="fr-FR"/>
              </w:rPr>
            </w:pPr>
            <w:r w:rsidRPr="00C258AD">
              <w:rPr>
                <w:b/>
                <w:bCs/>
                <w:color w:val="000000"/>
                <w:sz w:val="16"/>
                <w:szCs w:val="18"/>
                <w:lang w:eastAsia="fr-FR"/>
              </w:rPr>
              <w:t xml:space="preserve">Dépenses </w:t>
            </w:r>
            <w:r w:rsidRPr="00C258AD">
              <w:rPr>
                <w:b/>
                <w:bCs/>
                <w:color w:val="000000"/>
                <w:sz w:val="16"/>
                <w:szCs w:val="18"/>
                <w:lang w:eastAsia="fr-FR"/>
              </w:rPr>
              <w:br/>
              <w:t>2014</w:t>
            </w:r>
            <w:r w:rsidRPr="00C258AD">
              <w:rPr>
                <w:b/>
                <w:bCs/>
                <w:color w:val="000000"/>
                <w:sz w:val="16"/>
                <w:szCs w:val="18"/>
                <w:lang w:eastAsia="fr-FR"/>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194A9A" w:rsidRPr="00C258AD" w:rsidRDefault="00194A9A" w:rsidP="00C9182C">
            <w:pPr>
              <w:jc w:val="center"/>
              <w:rPr>
                <w:b/>
                <w:bCs/>
                <w:color w:val="000000"/>
                <w:sz w:val="16"/>
                <w:szCs w:val="18"/>
                <w:lang w:eastAsia="fr-FR"/>
              </w:rPr>
            </w:pPr>
            <w:r w:rsidRPr="00C258AD">
              <w:rPr>
                <w:b/>
                <w:bCs/>
                <w:color w:val="000000"/>
                <w:sz w:val="16"/>
                <w:szCs w:val="18"/>
                <w:lang w:eastAsia="fr-FR"/>
              </w:rPr>
              <w:t>Taux d’utilisation (%)</w:t>
            </w:r>
          </w:p>
        </w:tc>
      </w:tr>
      <w:tr w:rsidR="00194A9A" w:rsidRPr="00C258AD" w:rsidTr="00C9182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194A9A" w:rsidRPr="00C258AD" w:rsidRDefault="00194A9A" w:rsidP="00C9182C">
            <w:pPr>
              <w:rPr>
                <w:color w:val="000000"/>
                <w:sz w:val="16"/>
                <w:szCs w:val="18"/>
                <w:lang w:eastAsia="fr-FR"/>
              </w:rPr>
            </w:pPr>
            <w:r w:rsidRPr="00C258AD">
              <w:rPr>
                <w:color w:val="000000"/>
                <w:sz w:val="16"/>
                <w:szCs w:val="18"/>
                <w:lang w:eastAsia="fr-FR"/>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color w:val="000000"/>
                <w:sz w:val="16"/>
                <w:szCs w:val="18"/>
                <w:lang w:eastAsia="fr-FR"/>
              </w:rPr>
            </w:pPr>
            <w:r w:rsidRPr="00C258AD">
              <w:rPr>
                <w:color w:val="000000"/>
                <w:sz w:val="16"/>
                <w:szCs w:val="18"/>
                <w:lang w:eastAsia="fr-FR"/>
              </w:rPr>
              <w:t>129 325</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color w:val="000000"/>
                <w:sz w:val="16"/>
                <w:szCs w:val="18"/>
                <w:lang w:eastAsia="fr-FR"/>
              </w:rPr>
            </w:pPr>
            <w:r w:rsidRPr="00C258AD">
              <w:rPr>
                <w:color w:val="000000"/>
                <w:sz w:val="16"/>
                <w:szCs w:val="18"/>
                <w:lang w:eastAsia="fr-FR"/>
              </w:rPr>
              <w:t>127 513</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color w:val="000000"/>
                <w:sz w:val="16"/>
                <w:szCs w:val="18"/>
                <w:lang w:eastAsia="fr-FR"/>
              </w:rPr>
            </w:pPr>
            <w:r w:rsidRPr="00C258AD">
              <w:rPr>
                <w:color w:val="000000"/>
                <w:sz w:val="16"/>
                <w:szCs w:val="18"/>
                <w:lang w:eastAsia="fr-FR"/>
              </w:rPr>
              <w:t>121 781</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color w:val="000000"/>
                <w:sz w:val="16"/>
                <w:szCs w:val="18"/>
                <w:lang w:eastAsia="fr-FR"/>
              </w:rPr>
            </w:pPr>
            <w:r w:rsidRPr="00C258AD">
              <w:rPr>
                <w:color w:val="000000"/>
                <w:sz w:val="16"/>
                <w:szCs w:val="18"/>
                <w:lang w:eastAsia="fr-FR"/>
              </w:rPr>
              <w:t>96%</w:t>
            </w:r>
          </w:p>
        </w:tc>
      </w:tr>
      <w:tr w:rsidR="00194A9A" w:rsidRPr="00C258AD" w:rsidTr="00C9182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194A9A" w:rsidRPr="00C258AD" w:rsidRDefault="00194A9A" w:rsidP="00C9182C">
            <w:pPr>
              <w:rPr>
                <w:color w:val="000000"/>
                <w:sz w:val="16"/>
                <w:szCs w:val="18"/>
                <w:lang w:eastAsia="fr-FR"/>
              </w:rPr>
            </w:pPr>
            <w:r w:rsidRPr="00C258AD">
              <w:rPr>
                <w:color w:val="000000"/>
                <w:sz w:val="16"/>
                <w:szCs w:val="18"/>
                <w:lang w:eastAsia="fr-FR"/>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color w:val="000000"/>
                <w:sz w:val="16"/>
                <w:szCs w:val="18"/>
                <w:lang w:eastAsia="fr-FR"/>
              </w:rPr>
            </w:pPr>
            <w:r w:rsidRPr="00C258AD">
              <w:rPr>
                <w:color w:val="000000"/>
                <w:sz w:val="16"/>
                <w:szCs w:val="18"/>
                <w:lang w:eastAsia="fr-FR"/>
              </w:rPr>
              <w:t>68 648</w:t>
            </w:r>
          </w:p>
        </w:tc>
        <w:tc>
          <w:tcPr>
            <w:tcW w:w="1746" w:type="dxa"/>
            <w:tcBorders>
              <w:top w:val="nil"/>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color w:val="000000"/>
                <w:sz w:val="16"/>
                <w:szCs w:val="18"/>
                <w:lang w:eastAsia="fr-FR"/>
              </w:rPr>
            </w:pPr>
            <w:r w:rsidRPr="00C258AD">
              <w:rPr>
                <w:color w:val="000000"/>
                <w:sz w:val="16"/>
                <w:szCs w:val="18"/>
                <w:lang w:eastAsia="fr-FR"/>
              </w:rPr>
              <w:t>67 841</w:t>
            </w:r>
          </w:p>
        </w:tc>
        <w:tc>
          <w:tcPr>
            <w:tcW w:w="1745" w:type="dxa"/>
            <w:tcBorders>
              <w:top w:val="nil"/>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color w:val="000000"/>
                <w:sz w:val="16"/>
                <w:szCs w:val="18"/>
                <w:lang w:eastAsia="fr-FR"/>
              </w:rPr>
            </w:pPr>
            <w:r w:rsidRPr="00C258AD">
              <w:rPr>
                <w:color w:val="000000"/>
                <w:sz w:val="16"/>
                <w:szCs w:val="18"/>
                <w:lang w:eastAsia="fr-FR"/>
              </w:rPr>
              <w:t>64 374</w:t>
            </w:r>
          </w:p>
        </w:tc>
        <w:tc>
          <w:tcPr>
            <w:tcW w:w="1746" w:type="dxa"/>
            <w:tcBorders>
              <w:top w:val="nil"/>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color w:val="000000"/>
                <w:sz w:val="16"/>
                <w:szCs w:val="18"/>
                <w:lang w:eastAsia="fr-FR"/>
              </w:rPr>
            </w:pPr>
            <w:r w:rsidRPr="00C258AD">
              <w:rPr>
                <w:color w:val="000000"/>
                <w:sz w:val="16"/>
                <w:szCs w:val="18"/>
                <w:lang w:eastAsia="fr-FR"/>
              </w:rPr>
              <w:t>95%</w:t>
            </w:r>
          </w:p>
        </w:tc>
      </w:tr>
      <w:tr w:rsidR="00194A9A" w:rsidRPr="00C258AD" w:rsidTr="00C9182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194A9A" w:rsidRPr="00C258AD" w:rsidRDefault="00194A9A" w:rsidP="00C9182C">
            <w:pPr>
              <w:jc w:val="right"/>
              <w:rPr>
                <w:b/>
                <w:bCs/>
                <w:color w:val="000000"/>
                <w:sz w:val="16"/>
                <w:szCs w:val="18"/>
                <w:lang w:eastAsia="fr-FR"/>
              </w:rPr>
            </w:pPr>
            <w:r w:rsidRPr="00C258AD">
              <w:rPr>
                <w:b/>
                <w:bCs/>
                <w:color w:val="000000"/>
                <w:sz w:val="16"/>
                <w:szCs w:val="18"/>
                <w:lang w:eastAsia="fr-FR"/>
              </w:rPr>
              <w:t>TOTAL</w:t>
            </w:r>
          </w:p>
        </w:tc>
        <w:tc>
          <w:tcPr>
            <w:tcW w:w="1745" w:type="dxa"/>
            <w:tcBorders>
              <w:top w:val="nil"/>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b/>
                <w:bCs/>
                <w:color w:val="000000"/>
                <w:sz w:val="16"/>
                <w:szCs w:val="18"/>
                <w:lang w:eastAsia="fr-FR"/>
              </w:rPr>
            </w:pPr>
            <w:r w:rsidRPr="00C258AD">
              <w:rPr>
                <w:b/>
                <w:bCs/>
                <w:color w:val="000000"/>
                <w:sz w:val="16"/>
                <w:szCs w:val="18"/>
                <w:lang w:eastAsia="fr-FR"/>
              </w:rPr>
              <w:t>197 973</w:t>
            </w:r>
          </w:p>
        </w:tc>
        <w:tc>
          <w:tcPr>
            <w:tcW w:w="1746" w:type="dxa"/>
            <w:tcBorders>
              <w:top w:val="nil"/>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b/>
                <w:bCs/>
                <w:color w:val="000000"/>
                <w:sz w:val="16"/>
                <w:szCs w:val="18"/>
                <w:lang w:eastAsia="fr-FR"/>
              </w:rPr>
            </w:pPr>
            <w:r w:rsidRPr="00C258AD">
              <w:rPr>
                <w:b/>
                <w:bCs/>
                <w:color w:val="000000"/>
                <w:sz w:val="16"/>
                <w:szCs w:val="18"/>
                <w:lang w:eastAsia="fr-FR"/>
              </w:rPr>
              <w:t>195 354</w:t>
            </w:r>
          </w:p>
        </w:tc>
        <w:tc>
          <w:tcPr>
            <w:tcW w:w="1745" w:type="dxa"/>
            <w:tcBorders>
              <w:top w:val="nil"/>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b/>
                <w:bCs/>
                <w:color w:val="000000"/>
                <w:sz w:val="16"/>
                <w:szCs w:val="18"/>
                <w:lang w:eastAsia="fr-FR"/>
              </w:rPr>
            </w:pPr>
            <w:r w:rsidRPr="00C258AD">
              <w:rPr>
                <w:b/>
                <w:bCs/>
                <w:color w:val="000000"/>
                <w:sz w:val="16"/>
                <w:szCs w:val="18"/>
                <w:lang w:eastAsia="fr-FR"/>
              </w:rPr>
              <w:t>186 155</w:t>
            </w:r>
          </w:p>
        </w:tc>
        <w:tc>
          <w:tcPr>
            <w:tcW w:w="1746" w:type="dxa"/>
            <w:tcBorders>
              <w:top w:val="nil"/>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b/>
                <w:bCs/>
                <w:color w:val="000000"/>
                <w:sz w:val="16"/>
                <w:szCs w:val="18"/>
                <w:lang w:eastAsia="fr-FR"/>
              </w:rPr>
            </w:pPr>
            <w:r w:rsidRPr="00C258AD">
              <w:rPr>
                <w:b/>
                <w:bCs/>
                <w:color w:val="000000"/>
                <w:sz w:val="16"/>
                <w:szCs w:val="18"/>
                <w:lang w:eastAsia="fr-FR"/>
              </w:rPr>
              <w:t>95%</w:t>
            </w:r>
          </w:p>
        </w:tc>
      </w:tr>
    </w:tbl>
    <w:p w:rsidR="006E2BB1" w:rsidRPr="00C258AD" w:rsidRDefault="006E2BB1" w:rsidP="00C9182C">
      <w:pPr>
        <w:keepNext/>
        <w:widowControl w:val="0"/>
        <w:autoSpaceDE w:val="0"/>
        <w:autoSpaceDN w:val="0"/>
        <w:adjustRightInd w:val="0"/>
        <w:jc w:val="both"/>
        <w:rPr>
          <w:i/>
          <w:sz w:val="16"/>
        </w:rPr>
      </w:pPr>
    </w:p>
    <w:p w:rsidR="006E2BB1" w:rsidRPr="00C258AD" w:rsidRDefault="00194A9A" w:rsidP="00C9182C">
      <w:pPr>
        <w:widowControl w:val="0"/>
        <w:autoSpaceDE w:val="0"/>
        <w:autoSpaceDN w:val="0"/>
        <w:adjustRightInd w:val="0"/>
        <w:jc w:val="both"/>
        <w:rPr>
          <w:i/>
          <w:sz w:val="16"/>
        </w:rPr>
      </w:pPr>
      <w:r w:rsidRPr="00C258AD">
        <w:rPr>
          <w:i/>
          <w:sz w:val="16"/>
        </w:rPr>
        <w:t xml:space="preserve">“NOTE : </w:t>
      </w:r>
      <w:r w:rsidRPr="00C258AD">
        <w:rPr>
          <w:i/>
          <w:color w:val="000000"/>
          <w:sz w:val="16"/>
          <w:szCs w:val="16"/>
        </w:rPr>
        <w:t>Les ressources allouées pour les projets du Plan d’action pour le développement ‘la propriété intellectuelle et le transfert de technologie’ et ‘les partenariats ouverts’ (280 000 et 153 000 francs suisses, respectivement) sont répercutées sous les résultats escomptés IV.2 et VII.3.  Ces projets ont été achevés en 2015</w:t>
      </w:r>
      <w:r w:rsidRPr="00C258AD">
        <w:rPr>
          <w:rFonts w:cs="Arial"/>
          <w:i/>
          <w:iCs/>
          <w:sz w:val="16"/>
          <w:szCs w:val="16"/>
        </w:rPr>
        <w:t>;  un rapport complet sur ces deux projets figure sous le programme 30.”</w:t>
      </w:r>
    </w:p>
    <w:p w:rsidR="006E2BB1" w:rsidRPr="00C258AD" w:rsidRDefault="006E2BB1" w:rsidP="00C9182C">
      <w:pPr>
        <w:widowControl w:val="0"/>
        <w:autoSpaceDE w:val="0"/>
        <w:autoSpaceDN w:val="0"/>
        <w:adjustRightInd w:val="0"/>
        <w:jc w:val="both"/>
      </w:pPr>
    </w:p>
    <w:p w:rsidR="006E2BB1" w:rsidRPr="00C258AD" w:rsidRDefault="006E2BB1" w:rsidP="00C9182C">
      <w:pPr>
        <w:widowControl w:val="0"/>
        <w:autoSpaceDE w:val="0"/>
        <w:autoSpaceDN w:val="0"/>
        <w:adjustRightInd w:val="0"/>
        <w:jc w:val="both"/>
      </w:pPr>
    </w:p>
    <w:p w:rsidR="006E2BB1" w:rsidRPr="00C258AD" w:rsidRDefault="00194A9A" w:rsidP="00C9182C">
      <w:pPr>
        <w:keepNext/>
        <w:rPr>
          <w:u w:val="single"/>
        </w:rPr>
      </w:pPr>
      <w:r w:rsidRPr="00C258AD">
        <w:rPr>
          <w:bCs/>
        </w:rPr>
        <w:lastRenderedPageBreak/>
        <w:t>A.</w:t>
      </w:r>
      <w:r w:rsidRPr="00C258AD">
        <w:rPr>
          <w:bCs/>
        </w:rPr>
        <w:tab/>
      </w:r>
      <w:r w:rsidRPr="00C258AD">
        <w:rPr>
          <w:bCs/>
          <w:u w:val="single"/>
        </w:rPr>
        <w:t>Budget final 2014</w:t>
      </w:r>
      <w:r w:rsidRPr="00C258AD">
        <w:rPr>
          <w:bCs/>
          <w:u w:val="single"/>
        </w:rPr>
        <w:noBreakHyphen/>
        <w:t>2015 après virements</w:t>
      </w:r>
    </w:p>
    <w:p w:rsidR="006E2BB1" w:rsidRPr="00C258AD" w:rsidRDefault="006E2BB1" w:rsidP="00C9182C">
      <w:pPr>
        <w:keepNext/>
        <w:autoSpaceDE w:val="0"/>
        <w:autoSpaceDN w:val="0"/>
        <w:jc w:val="both"/>
        <w:rPr>
          <w:lang w:eastAsia="ko-KR"/>
        </w:rPr>
      </w:pPr>
    </w:p>
    <w:p w:rsidR="006E2BB1" w:rsidRPr="00C258AD" w:rsidRDefault="00194A9A" w:rsidP="00BB4DBC">
      <w:pPr>
        <w:pStyle w:val="ListParagraph"/>
        <w:keepNext/>
        <w:numPr>
          <w:ilvl w:val="0"/>
          <w:numId w:val="9"/>
        </w:numPr>
        <w:tabs>
          <w:tab w:val="left" w:pos="709"/>
        </w:tabs>
        <w:autoSpaceDE w:val="0"/>
        <w:autoSpaceDN w:val="0"/>
        <w:adjustRightInd w:val="0"/>
        <w:ind w:left="0" w:firstLine="0"/>
        <w:jc w:val="both"/>
        <w:rPr>
          <w:lang w:eastAsia="ko-KR"/>
        </w:rPr>
      </w:pPr>
      <w:r w:rsidRPr="00C258AD">
        <w:rPr>
          <w:rFonts w:cs="Arial"/>
        </w:rPr>
        <w:t xml:space="preserve">La diminution générale du budget final après virements tient principalement à l’augmentation de la productivité dans le traitement des demandes internationales au cours de l’exercice biennal.  </w:t>
      </w:r>
      <w:r w:rsidRPr="00C258AD">
        <w:rPr>
          <w:lang w:eastAsia="ko-KR"/>
        </w:rPr>
        <w:t>Par ailleurs, l’amélioration de la chaîne des opérations et de la gestion des engagements financiers pour les services de traduction a contribué à une utilisation plus efficace des ressources.</w:t>
      </w:r>
    </w:p>
    <w:p w:rsidR="006E2BB1" w:rsidRPr="00C258AD" w:rsidRDefault="006E2BB1" w:rsidP="00C9182C">
      <w:pPr>
        <w:pStyle w:val="ListParagraph"/>
        <w:keepNext/>
        <w:numPr>
          <w:ilvl w:val="0"/>
          <w:numId w:val="0"/>
        </w:numPr>
        <w:tabs>
          <w:tab w:val="left" w:pos="709"/>
        </w:tabs>
        <w:autoSpaceDE w:val="0"/>
        <w:autoSpaceDN w:val="0"/>
        <w:adjustRightInd w:val="0"/>
        <w:jc w:val="both"/>
        <w:rPr>
          <w:lang w:eastAsia="ko-KR"/>
        </w:rPr>
      </w:pPr>
    </w:p>
    <w:p w:rsidR="006E2BB1" w:rsidRPr="00C258AD" w:rsidRDefault="00194A9A" w:rsidP="00BB4DBC">
      <w:pPr>
        <w:pStyle w:val="ListParagraph"/>
        <w:keepNext/>
        <w:numPr>
          <w:ilvl w:val="0"/>
          <w:numId w:val="9"/>
        </w:numPr>
        <w:tabs>
          <w:tab w:val="left" w:pos="709"/>
        </w:tabs>
        <w:autoSpaceDE w:val="0"/>
        <w:autoSpaceDN w:val="0"/>
        <w:adjustRightInd w:val="0"/>
        <w:ind w:left="0" w:firstLine="0"/>
        <w:jc w:val="both"/>
        <w:rPr>
          <w:lang w:eastAsia="ko-KR"/>
        </w:rPr>
      </w:pPr>
      <w:r w:rsidRPr="00C258AD">
        <w:rPr>
          <w:lang w:eastAsia="ko-KR"/>
        </w:rPr>
        <w:t>Cette diminution générale a été en partie compensée par une augmentation nette du budget consacré à l’amélioration des systèmes informatiques du PCT.</w:t>
      </w:r>
    </w:p>
    <w:p w:rsidR="006E2BB1" w:rsidRPr="00C258AD" w:rsidRDefault="006E2BB1" w:rsidP="00C9182C">
      <w:pPr>
        <w:autoSpaceDE w:val="0"/>
        <w:autoSpaceDN w:val="0"/>
        <w:jc w:val="both"/>
        <w:rPr>
          <w:lang w:eastAsia="ko-KR"/>
        </w:rPr>
      </w:pPr>
    </w:p>
    <w:p w:rsidR="006E2BB1" w:rsidRPr="00C258AD" w:rsidRDefault="00194A9A" w:rsidP="00BB4DBC">
      <w:pPr>
        <w:pStyle w:val="ListParagraph"/>
        <w:numPr>
          <w:ilvl w:val="0"/>
          <w:numId w:val="9"/>
        </w:numPr>
        <w:tabs>
          <w:tab w:val="left" w:pos="709"/>
        </w:tabs>
        <w:autoSpaceDE w:val="0"/>
        <w:autoSpaceDN w:val="0"/>
        <w:adjustRightInd w:val="0"/>
        <w:ind w:left="0" w:firstLine="0"/>
        <w:jc w:val="both"/>
        <w:rPr>
          <w:lang w:eastAsia="ko-KR"/>
        </w:rPr>
      </w:pPr>
      <w:r w:rsidRPr="00C258AD">
        <w:rPr>
          <w:lang w:eastAsia="ko-KR"/>
        </w:rPr>
        <w:t>Les ajustements du budget final après virements entre les résultats sont principalement dus à une réaffectation des ressources en personnel.</w:t>
      </w:r>
    </w:p>
    <w:p w:rsidR="006E2BB1" w:rsidRPr="00C258AD" w:rsidRDefault="006E2BB1" w:rsidP="00C9182C">
      <w:pPr>
        <w:autoSpaceDE w:val="0"/>
        <w:autoSpaceDN w:val="0"/>
        <w:jc w:val="both"/>
        <w:rPr>
          <w:lang w:eastAsia="ko-KR"/>
        </w:rPr>
      </w:pPr>
    </w:p>
    <w:p w:rsidR="006E2BB1" w:rsidRPr="00C258AD" w:rsidRDefault="006E2BB1" w:rsidP="00C9182C">
      <w:pPr>
        <w:autoSpaceDE w:val="0"/>
        <w:autoSpaceDN w:val="0"/>
        <w:jc w:val="both"/>
        <w:rPr>
          <w:lang w:eastAsia="ko-KR"/>
        </w:rPr>
      </w:pPr>
    </w:p>
    <w:p w:rsidR="006E2BB1" w:rsidRPr="00C258AD" w:rsidRDefault="00194A9A" w:rsidP="00C9182C">
      <w:pPr>
        <w:keepNext/>
        <w:jc w:val="both"/>
        <w:rPr>
          <w:bCs/>
          <w:lang w:eastAsia="ko-KR"/>
        </w:rPr>
      </w:pPr>
      <w:r w:rsidRPr="00C258AD">
        <w:rPr>
          <w:bCs/>
          <w:lang w:eastAsia="ko-KR"/>
        </w:rPr>
        <w:t>B.</w:t>
      </w:r>
      <w:r w:rsidRPr="00C258AD">
        <w:rPr>
          <w:bCs/>
          <w:lang w:eastAsia="ko-KR"/>
        </w:rPr>
        <w:tab/>
      </w:r>
      <w:r w:rsidRPr="00C258AD">
        <w:rPr>
          <w:bCs/>
          <w:u w:val="single"/>
          <w:lang w:eastAsia="ko-KR"/>
        </w:rPr>
        <w:t>Utilisation du budget en 2014</w:t>
      </w:r>
      <w:r w:rsidRPr="00C258AD">
        <w:rPr>
          <w:bCs/>
          <w:u w:val="single"/>
          <w:lang w:eastAsia="ko-KR"/>
        </w:rPr>
        <w:noBreakHyphen/>
        <w:t>2015</w:t>
      </w:r>
    </w:p>
    <w:p w:rsidR="006E2BB1" w:rsidRPr="00C258AD" w:rsidRDefault="006E2BB1" w:rsidP="00C9182C">
      <w:pPr>
        <w:keepNext/>
        <w:jc w:val="both"/>
        <w:rPr>
          <w:lang w:eastAsia="ko-KR"/>
        </w:rPr>
      </w:pPr>
    </w:p>
    <w:p w:rsidR="006E2BB1" w:rsidRPr="00C258AD" w:rsidRDefault="00194A9A" w:rsidP="00BB4DBC">
      <w:pPr>
        <w:pStyle w:val="ListParagraph"/>
        <w:numPr>
          <w:ilvl w:val="0"/>
          <w:numId w:val="9"/>
        </w:numPr>
        <w:tabs>
          <w:tab w:val="left" w:pos="0"/>
          <w:tab w:val="left" w:pos="567"/>
        </w:tabs>
        <w:ind w:left="0" w:firstLine="0"/>
        <w:jc w:val="both"/>
        <w:rPr>
          <w:rFonts w:cs="Arial"/>
          <w:lang w:eastAsia="ko-KR"/>
        </w:rPr>
      </w:pPr>
      <w:r w:rsidRPr="00C258AD">
        <w:rPr>
          <w:rFonts w:cs="Arial"/>
          <w:lang w:eastAsia="ko-KR"/>
        </w:rPr>
        <w:t>Dans l’ensemble, le taux d’utilisation du budget pour l’exercice biennal 2014</w:t>
      </w:r>
      <w:r w:rsidRPr="00C258AD">
        <w:rPr>
          <w:rFonts w:cs="Arial"/>
          <w:lang w:eastAsia="ko-KR"/>
        </w:rPr>
        <w:noBreakHyphen/>
        <w:t>2015 s’est élevé à 95%, pour les raisons suivantes :</w:t>
      </w:r>
    </w:p>
    <w:p w:rsidR="006E2BB1" w:rsidRPr="00C258AD" w:rsidRDefault="006E2BB1" w:rsidP="00C9182C">
      <w:pPr>
        <w:autoSpaceDE w:val="0"/>
        <w:autoSpaceDN w:val="0"/>
        <w:jc w:val="both"/>
        <w:rPr>
          <w:rFonts w:cs="Arial"/>
          <w:szCs w:val="20"/>
          <w:lang w:eastAsia="ko-KR"/>
        </w:rPr>
      </w:pPr>
    </w:p>
    <w:p w:rsidR="006E2BB1" w:rsidRPr="00C258AD" w:rsidRDefault="00194A9A" w:rsidP="00BB4DBC">
      <w:pPr>
        <w:pStyle w:val="ListParagraph"/>
        <w:numPr>
          <w:ilvl w:val="0"/>
          <w:numId w:val="12"/>
        </w:numPr>
        <w:autoSpaceDE w:val="0"/>
        <w:autoSpaceDN w:val="0"/>
        <w:jc w:val="both"/>
      </w:pPr>
      <w:r w:rsidRPr="00C258AD">
        <w:rPr>
          <w:rFonts w:cs="Arial"/>
          <w:lang w:eastAsia="ko-KR"/>
        </w:rPr>
        <w:t>l’augmentation de la productivité en ce qui concerne le traitement des demandes internationales au cours de l’exercice biennal et la diminution des coûts de traduction ayant permis des gains d’efficacité au niveau des opérations du PCT</w:t>
      </w:r>
      <w:r w:rsidRPr="00C258AD">
        <w:rPr>
          <w:lang w:eastAsia="ko-KR"/>
        </w:rPr>
        <w:t xml:space="preserve">;  et certains projets relatifs aux systèmes informatiques du PCT qui ont été commencés mais qui n’ont pas été achevés en 2015 et qui se poursuivront </w:t>
      </w:r>
      <w:r w:rsidRPr="00C258AD">
        <w:rPr>
          <w:rFonts w:cs="Arial"/>
          <w:lang w:eastAsia="ko-KR"/>
        </w:rPr>
        <w:t>durant le prochain exercice biennal.</w:t>
      </w:r>
    </w:p>
    <w:p w:rsidR="006E2BB1" w:rsidRPr="00C258AD" w:rsidRDefault="007D57EE">
      <w:pPr>
        <w:spacing w:after="200" w:line="276" w:lineRule="auto"/>
      </w:pPr>
      <w:bookmarkStart w:id="72" w:name="_Toc422404225"/>
      <w:bookmarkStart w:id="73" w:name="_Toc423352873"/>
      <w:r w:rsidRPr="00C258AD">
        <w:br w:type="page"/>
      </w:r>
    </w:p>
    <w:p w:rsidR="006E2BB1" w:rsidRPr="00C258AD" w:rsidRDefault="007D57EE" w:rsidP="00305CE5">
      <w:pPr>
        <w:pStyle w:val="Heading4"/>
      </w:pPr>
      <w:bookmarkStart w:id="74" w:name="_Toc421694906"/>
      <w:bookmarkStart w:id="75" w:name="_Toc422404220"/>
      <w:bookmarkStart w:id="76" w:name="_Toc423352868"/>
      <w:r w:rsidRPr="00C258AD">
        <w:lastRenderedPageBreak/>
        <w:t>Annexe du programme 5 : indicateurs relatifs aux opérations du PCT</w:t>
      </w:r>
      <w:bookmarkEnd w:id="74"/>
      <w:bookmarkEnd w:id="75"/>
      <w:bookmarkEnd w:id="76"/>
    </w:p>
    <w:p w:rsidR="006E2BB1" w:rsidRPr="00C258AD" w:rsidRDefault="006E2BB1" w:rsidP="001A4D6C"/>
    <w:p w:rsidR="006E2BB1" w:rsidRPr="00C258AD" w:rsidRDefault="006E2BB1" w:rsidP="001A4D6C"/>
    <w:p w:rsidR="006E2BB1" w:rsidRPr="00C258AD" w:rsidRDefault="007D57EE" w:rsidP="00305CE5">
      <w:pPr>
        <w:keepNext/>
        <w:rPr>
          <w:rFonts w:cs="Arial"/>
          <w:caps/>
          <w:sz w:val="22"/>
          <w:szCs w:val="22"/>
        </w:rPr>
      </w:pPr>
      <w:r w:rsidRPr="00C258AD">
        <w:rPr>
          <w:rFonts w:cs="Arial"/>
          <w:caps/>
          <w:sz w:val="22"/>
          <w:szCs w:val="22"/>
        </w:rPr>
        <w:t>INDICATEURS D’EXÉCUTION POUR LE RÉSULTAT ESCOMPTÉ</w:t>
      </w:r>
    </w:p>
    <w:p w:rsidR="006E2BB1" w:rsidRPr="00C258AD" w:rsidRDefault="007D57EE" w:rsidP="00305CE5">
      <w:pPr>
        <w:keepNext/>
        <w:rPr>
          <w:rFonts w:cs="Arial"/>
          <w:caps/>
          <w:sz w:val="22"/>
          <w:szCs w:val="22"/>
        </w:rPr>
      </w:pPr>
      <w:r w:rsidRPr="00C258AD">
        <w:rPr>
          <w:rFonts w:cs="Arial"/>
          <w:caps/>
          <w:sz w:val="22"/>
          <w:szCs w:val="22"/>
        </w:rPr>
        <w:t>“AMÉLIORATION DE LA PRODUCTIVITÉ ET DE LA QUALITÉ DE SERVICE DES OPÉRATIONS DU PCT”</w:t>
      </w:r>
    </w:p>
    <w:p w:rsidR="006E2BB1" w:rsidRPr="00C258AD" w:rsidRDefault="006E2BB1" w:rsidP="001A4D6C"/>
    <w:p w:rsidR="006E2BB1" w:rsidRPr="00C258AD" w:rsidRDefault="006E2BB1" w:rsidP="001A4D6C"/>
    <w:p w:rsidR="006E2BB1" w:rsidRPr="00C258AD" w:rsidRDefault="007D57EE" w:rsidP="001A4D6C">
      <w:pPr>
        <w:rPr>
          <w:b/>
        </w:rPr>
      </w:pPr>
      <w:r w:rsidRPr="00C258AD">
        <w:rPr>
          <w:b/>
        </w:rPr>
        <w:t>Généralités</w:t>
      </w:r>
    </w:p>
    <w:p w:rsidR="006E2BB1" w:rsidRPr="00C258AD" w:rsidRDefault="006E2BB1" w:rsidP="001A4D6C"/>
    <w:p w:rsidR="006E2BB1" w:rsidRPr="00C258AD" w:rsidRDefault="007D57EE" w:rsidP="00BB4DBC">
      <w:pPr>
        <w:numPr>
          <w:ilvl w:val="0"/>
          <w:numId w:val="40"/>
        </w:numPr>
      </w:pPr>
      <w:r w:rsidRPr="00C258AD">
        <w:t>À titre d’introduction en ce qui concerne les indicateurs d’exécution pour le résultat escompté “Amélioration de la productivité et de la qualité de service des opérations du PCT”, il y a lieu d’examiner l’évolution des facteurs suivants :</w:t>
      </w:r>
    </w:p>
    <w:p w:rsidR="006E2BB1" w:rsidRPr="00C258AD" w:rsidRDefault="006E2BB1" w:rsidP="001A4D6C"/>
    <w:p w:rsidR="006E2BB1" w:rsidRPr="00C258AD" w:rsidRDefault="007D57EE" w:rsidP="00BB4DBC">
      <w:pPr>
        <w:numPr>
          <w:ilvl w:val="0"/>
          <w:numId w:val="39"/>
        </w:numPr>
        <w:tabs>
          <w:tab w:val="clear" w:pos="720"/>
        </w:tabs>
        <w:ind w:left="1134" w:hanging="567"/>
      </w:pPr>
      <w:r w:rsidRPr="00C258AD">
        <w:t>la charge de travail du PCT;</w:t>
      </w:r>
    </w:p>
    <w:p w:rsidR="006E2BB1" w:rsidRPr="00C258AD" w:rsidRDefault="007D57EE" w:rsidP="00BB4DBC">
      <w:pPr>
        <w:numPr>
          <w:ilvl w:val="0"/>
          <w:numId w:val="39"/>
        </w:numPr>
        <w:tabs>
          <w:tab w:val="clear" w:pos="720"/>
        </w:tabs>
        <w:ind w:left="1134" w:hanging="567"/>
      </w:pPr>
      <w:r w:rsidRPr="00C258AD">
        <w:t>la répartition linguistique de cette charge de travail;</w:t>
      </w:r>
    </w:p>
    <w:p w:rsidR="006E2BB1" w:rsidRPr="00C258AD" w:rsidRDefault="007D57EE" w:rsidP="00BB4DBC">
      <w:pPr>
        <w:numPr>
          <w:ilvl w:val="0"/>
          <w:numId w:val="39"/>
        </w:numPr>
        <w:tabs>
          <w:tab w:val="clear" w:pos="720"/>
        </w:tabs>
        <w:ind w:left="1134" w:hanging="567"/>
      </w:pPr>
      <w:r w:rsidRPr="00C258AD">
        <w:t>les effectifs affectés au traitement de cette charge de travail;  et</w:t>
      </w:r>
    </w:p>
    <w:p w:rsidR="006E2BB1" w:rsidRPr="00C258AD" w:rsidRDefault="007D57EE" w:rsidP="00BB4DBC">
      <w:pPr>
        <w:numPr>
          <w:ilvl w:val="0"/>
          <w:numId w:val="39"/>
        </w:numPr>
        <w:tabs>
          <w:tab w:val="clear" w:pos="720"/>
        </w:tabs>
        <w:ind w:left="1134" w:hanging="567"/>
      </w:pPr>
      <w:r w:rsidRPr="00C258AD">
        <w:t>le niveau d’automatisation.</w:t>
      </w:r>
    </w:p>
    <w:p w:rsidR="006E2BB1" w:rsidRPr="00C258AD" w:rsidRDefault="006E2BB1" w:rsidP="001A4D6C">
      <w:pPr>
        <w:tabs>
          <w:tab w:val="num" w:pos="1100"/>
        </w:tabs>
      </w:pPr>
    </w:p>
    <w:p w:rsidR="006E2BB1" w:rsidRPr="00C258AD" w:rsidRDefault="007D57EE" w:rsidP="001A4D6C">
      <w:pPr>
        <w:rPr>
          <w:i/>
        </w:rPr>
      </w:pPr>
      <w:r w:rsidRPr="00C258AD">
        <w:rPr>
          <w:i/>
        </w:rPr>
        <w:t>Charge de travail</w:t>
      </w:r>
    </w:p>
    <w:p w:rsidR="006E2BB1" w:rsidRPr="00C258AD" w:rsidRDefault="006E2BB1" w:rsidP="001A4D6C"/>
    <w:p w:rsidR="006E2BB1" w:rsidRPr="00C258AD" w:rsidRDefault="007D57EE" w:rsidP="00BB4DBC">
      <w:pPr>
        <w:numPr>
          <w:ilvl w:val="0"/>
          <w:numId w:val="40"/>
        </w:numPr>
      </w:pPr>
      <w:r w:rsidRPr="00C258AD">
        <w:t>La charge de travail est mesurée sur la base du nombre d’exemplaires originaux reçus chaque année par le Bureau international</w:t>
      </w:r>
      <w:r w:rsidRPr="00C258AD">
        <w:rPr>
          <w:rStyle w:val="FootnoteReference"/>
          <w:rFonts w:eastAsia="SimSun"/>
        </w:rPr>
        <w:footnoteReference w:id="21"/>
      </w:r>
      <w:r w:rsidRPr="00C258AD">
        <w:t>.</w:t>
      </w:r>
    </w:p>
    <w:p w:rsidR="006E2BB1" w:rsidRPr="00C258AD" w:rsidRDefault="006E2BB1" w:rsidP="001A4D6C"/>
    <w:p w:rsidR="006E2BB1" w:rsidRPr="00C258AD" w:rsidRDefault="007D57EE" w:rsidP="001A4D6C">
      <w:pPr>
        <w:jc w:val="center"/>
        <w:rPr>
          <w:b/>
          <w:bCs/>
          <w:sz w:val="18"/>
          <w:szCs w:val="18"/>
        </w:rPr>
      </w:pPr>
      <w:r w:rsidRPr="00C258AD">
        <w:rPr>
          <w:b/>
          <w:bCs/>
          <w:sz w:val="18"/>
          <w:szCs w:val="18"/>
        </w:rPr>
        <w:t>Évolution du nombre d’exemplaires originaux par moyen de dépôt</w:t>
      </w:r>
    </w:p>
    <w:p w:rsidR="006E2BB1" w:rsidRPr="00C258AD" w:rsidRDefault="007D57EE" w:rsidP="001A4D6C">
      <w:pPr>
        <w:jc w:val="center"/>
      </w:pPr>
      <w:r w:rsidRPr="00C258AD">
        <w:rPr>
          <w:noProof/>
          <w:lang w:val="en-US"/>
        </w:rPr>
        <w:drawing>
          <wp:inline distT="0" distB="0" distL="0" distR="0" wp14:anchorId="6BE4AEC4" wp14:editId="3F1188F8">
            <wp:extent cx="5940425" cy="2552250"/>
            <wp:effectExtent l="0" t="0" r="3175" b="635"/>
            <wp:docPr id="1024" name="Picture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940425" cy="2552250"/>
                    </a:xfrm>
                    <a:prstGeom prst="rect">
                      <a:avLst/>
                    </a:prstGeom>
                    <a:noFill/>
                    <a:ln>
                      <a:noFill/>
                    </a:ln>
                  </pic:spPr>
                </pic:pic>
              </a:graphicData>
            </a:graphic>
          </wp:inline>
        </w:drawing>
      </w:r>
    </w:p>
    <w:p w:rsidR="006E2BB1" w:rsidRPr="00C258AD" w:rsidRDefault="006E2BB1" w:rsidP="001A4D6C"/>
    <w:p w:rsidR="006E2BB1" w:rsidRPr="00C258AD" w:rsidRDefault="007D57EE" w:rsidP="00BB4DBC">
      <w:pPr>
        <w:pStyle w:val="BodyText2"/>
        <w:numPr>
          <w:ilvl w:val="0"/>
          <w:numId w:val="41"/>
        </w:numPr>
        <w:tabs>
          <w:tab w:val="clear" w:pos="720"/>
          <w:tab w:val="num" w:pos="1134"/>
        </w:tabs>
        <w:spacing w:after="0" w:line="240" w:lineRule="auto"/>
        <w:ind w:left="1134" w:hanging="567"/>
        <w:jc w:val="both"/>
        <w:rPr>
          <w:rFonts w:cs="Arial"/>
          <w:lang w:val="fr-FR"/>
        </w:rPr>
      </w:pPr>
      <w:r w:rsidRPr="00C258AD">
        <w:rPr>
          <w:rFonts w:cs="Arial"/>
          <w:color w:val="000000"/>
          <w:lang w:val="fr-FR"/>
        </w:rPr>
        <w:t>En 2015, le Bureau international a reçu environ 217 000 exemplaires originaux, soit une légère baisse de 0,3% par rapport à 2014</w:t>
      </w:r>
      <w:r w:rsidRPr="00C258AD">
        <w:rPr>
          <w:color w:val="000000"/>
          <w:lang w:val="fr-FR"/>
        </w:rPr>
        <w:t xml:space="preserve">.  </w:t>
      </w:r>
      <w:r w:rsidRPr="00C258AD">
        <w:rPr>
          <w:rFonts w:cs="Arial"/>
          <w:color w:val="000000"/>
          <w:lang w:val="fr-FR"/>
        </w:rPr>
        <w:t xml:space="preserve">Cette baisse s’explique principalement par le pic dans les dépôts en provenance des </w:t>
      </w:r>
      <w:r w:rsidRPr="00C258AD">
        <w:rPr>
          <w:color w:val="000000"/>
          <w:lang w:val="fr-FR"/>
        </w:rPr>
        <w:t>États</w:t>
      </w:r>
      <w:r w:rsidRPr="00C258AD">
        <w:rPr>
          <w:color w:val="000000"/>
          <w:lang w:val="fr-FR"/>
        </w:rPr>
        <w:noBreakHyphen/>
        <w:t>Unis d’Amérique</w:t>
      </w:r>
      <w:r w:rsidRPr="00C258AD">
        <w:rPr>
          <w:rFonts w:cs="Arial"/>
          <w:color w:val="000000"/>
          <w:lang w:val="fr-FR"/>
        </w:rPr>
        <w:t xml:space="preserve"> en mars 2014, dû à l’entrée en vigueur de la loi</w:t>
      </w:r>
      <w:r w:rsidRPr="00C258AD">
        <w:rPr>
          <w:rFonts w:cs="Arial"/>
          <w:i/>
          <w:color w:val="000000"/>
          <w:lang w:val="fr-FR"/>
        </w:rPr>
        <w:t xml:space="preserve"> </w:t>
      </w:r>
      <w:r w:rsidRPr="00C258AD">
        <w:rPr>
          <w:rFonts w:cs="Arial"/>
          <w:color w:val="000000"/>
          <w:lang w:val="fr-FR"/>
        </w:rPr>
        <w:t>Leahy</w:t>
      </w:r>
      <w:r w:rsidRPr="00C258AD">
        <w:rPr>
          <w:rFonts w:cs="Arial"/>
          <w:color w:val="000000"/>
          <w:lang w:val="fr-FR"/>
        </w:rPr>
        <w:noBreakHyphen/>
        <w:t>Smith sur les inventions une année auparavant.  Cela étant, le nombre total d’exemplaires originaux reçus au cours de l’exercice biennal 2014</w:t>
      </w:r>
      <w:r w:rsidRPr="00C258AD">
        <w:rPr>
          <w:rFonts w:cs="Arial"/>
          <w:color w:val="000000"/>
          <w:lang w:val="fr-FR"/>
        </w:rPr>
        <w:noBreakHyphen/>
        <w:t>2015 a augmenté de 9% par rapport à l’exercice biennal 2012</w:t>
      </w:r>
      <w:r w:rsidRPr="00C258AD">
        <w:rPr>
          <w:rFonts w:cs="Arial"/>
          <w:color w:val="000000"/>
          <w:lang w:val="fr-FR"/>
        </w:rPr>
        <w:noBreakHyphen/>
        <w:t>2013.</w:t>
      </w:r>
    </w:p>
    <w:p w:rsidR="006E2BB1" w:rsidRPr="00C258AD" w:rsidRDefault="006E2BB1" w:rsidP="001A4D6C"/>
    <w:p w:rsidR="006E2BB1" w:rsidRPr="00C258AD" w:rsidRDefault="007D57EE" w:rsidP="00BB4DBC">
      <w:pPr>
        <w:pStyle w:val="BodyText2"/>
        <w:numPr>
          <w:ilvl w:val="0"/>
          <w:numId w:val="41"/>
        </w:numPr>
        <w:tabs>
          <w:tab w:val="clear" w:pos="720"/>
          <w:tab w:val="num" w:pos="1134"/>
        </w:tabs>
        <w:spacing w:after="0" w:line="240" w:lineRule="auto"/>
        <w:ind w:left="1134" w:hanging="567"/>
        <w:jc w:val="both"/>
        <w:rPr>
          <w:rFonts w:cs="Arial"/>
          <w:lang w:val="fr-FR"/>
        </w:rPr>
      </w:pPr>
      <w:r w:rsidRPr="00C258AD">
        <w:rPr>
          <w:rFonts w:cs="Arial"/>
          <w:lang w:val="fr-FR"/>
        </w:rPr>
        <w:t>La part de dépôts entièrement électroniques a continué d’augmenter en 2015 et représente actuellement 94% de l’ensemble des dépôts.</w:t>
      </w:r>
    </w:p>
    <w:p w:rsidR="006E2BB1" w:rsidRPr="00C258AD" w:rsidRDefault="006E2BB1" w:rsidP="001A4D6C"/>
    <w:p w:rsidR="006E2BB1" w:rsidRPr="00C258AD" w:rsidRDefault="006E2BB1" w:rsidP="001A4D6C"/>
    <w:p w:rsidR="006E2BB1" w:rsidRPr="00C258AD" w:rsidRDefault="007D57EE" w:rsidP="001A4D6C">
      <w:pPr>
        <w:pStyle w:val="BodyText2"/>
        <w:keepNext/>
        <w:keepLines/>
        <w:spacing w:after="0" w:line="240" w:lineRule="auto"/>
        <w:rPr>
          <w:rFonts w:cs="Arial"/>
          <w:i/>
          <w:lang w:val="fr-FR"/>
        </w:rPr>
      </w:pPr>
      <w:r w:rsidRPr="00C258AD">
        <w:rPr>
          <w:rFonts w:cs="Arial"/>
          <w:i/>
          <w:lang w:val="fr-FR"/>
        </w:rPr>
        <w:lastRenderedPageBreak/>
        <w:t>Répartition linguistique</w:t>
      </w:r>
    </w:p>
    <w:p w:rsidR="006E2BB1" w:rsidRPr="00C258AD" w:rsidRDefault="006E2BB1" w:rsidP="001A4D6C"/>
    <w:p w:rsidR="006E2BB1" w:rsidRPr="00C258AD" w:rsidRDefault="007D57EE" w:rsidP="00BB4DBC">
      <w:pPr>
        <w:keepNext/>
        <w:keepLines/>
        <w:numPr>
          <w:ilvl w:val="0"/>
          <w:numId w:val="40"/>
        </w:numPr>
      </w:pPr>
      <w:r w:rsidRPr="00C258AD">
        <w:t>L’une des tendances fondamentales au sein du Bureau international est l’augmentation de la diversité linguistique des dépôts, sous l’effet notamment d’une augmentation continue de l’utilisation du système du PCT dans les pays d’Asie orientale.</w:t>
      </w:r>
    </w:p>
    <w:p w:rsidR="006E2BB1" w:rsidRPr="00C258AD" w:rsidRDefault="006E2BB1" w:rsidP="001A4D6C"/>
    <w:p w:rsidR="006E2BB1" w:rsidRPr="00C258AD" w:rsidRDefault="006E2BB1" w:rsidP="001A4D6C"/>
    <w:p w:rsidR="006E2BB1" w:rsidRPr="00C258AD" w:rsidRDefault="007D57EE" w:rsidP="001A4D6C">
      <w:pPr>
        <w:keepNext/>
        <w:keepLines/>
        <w:jc w:val="center"/>
        <w:rPr>
          <w:i/>
          <w:sz w:val="18"/>
        </w:rPr>
      </w:pPr>
      <w:r w:rsidRPr="00C258AD">
        <w:rPr>
          <w:b/>
          <w:sz w:val="18"/>
        </w:rPr>
        <w:t>Langues de dépôt</w:t>
      </w:r>
      <w:r w:rsidRPr="00C258AD">
        <w:rPr>
          <w:sz w:val="18"/>
        </w:rPr>
        <w:t xml:space="preserve"> </w:t>
      </w:r>
      <w:r w:rsidRPr="00C258AD">
        <w:rPr>
          <w:i/>
          <w:sz w:val="18"/>
        </w:rPr>
        <w:t>(toutes les langues)</w:t>
      </w:r>
    </w:p>
    <w:p w:rsidR="006E2BB1" w:rsidRPr="00C258AD" w:rsidRDefault="007D57EE" w:rsidP="001A4D6C">
      <w:pPr>
        <w:jc w:val="center"/>
      </w:pPr>
      <w:r w:rsidRPr="00C258AD">
        <w:rPr>
          <w:noProof/>
          <w:lang w:val="en-US"/>
        </w:rPr>
        <w:drawing>
          <wp:inline distT="0" distB="0" distL="0" distR="0" wp14:anchorId="1EC05E00" wp14:editId="54E2D98D">
            <wp:extent cx="5760000" cy="2807746"/>
            <wp:effectExtent l="0" t="0" r="0" b="0"/>
            <wp:docPr id="1026" name="Pictur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000" cy="2807746"/>
                    </a:xfrm>
                    <a:prstGeom prst="rect">
                      <a:avLst/>
                    </a:prstGeom>
                    <a:noFill/>
                    <a:ln>
                      <a:noFill/>
                    </a:ln>
                  </pic:spPr>
                </pic:pic>
              </a:graphicData>
            </a:graphic>
          </wp:inline>
        </w:drawing>
      </w:r>
    </w:p>
    <w:p w:rsidR="006E2BB1" w:rsidRPr="00C258AD" w:rsidRDefault="006E2BB1" w:rsidP="001A4D6C"/>
    <w:p w:rsidR="006E2BB1" w:rsidRPr="00C258AD" w:rsidRDefault="007D57EE" w:rsidP="00BB4DBC">
      <w:pPr>
        <w:numPr>
          <w:ilvl w:val="0"/>
          <w:numId w:val="40"/>
        </w:numPr>
      </w:pPr>
      <w:r w:rsidRPr="00C258AD">
        <w:t>Ainsi qu’il ressort de ce graphique, alors que la majeure partie des demandes sont déposées en anglais (48,6% des dépôts en 2015)</w:t>
      </w:r>
      <w:r w:rsidRPr="00C258AD">
        <w:rPr>
          <w:szCs w:val="22"/>
        </w:rPr>
        <w:t xml:space="preserve">, </w:t>
      </w:r>
      <w:r w:rsidRPr="00C258AD">
        <w:t>les parts des langues asiatiques ont augmenté au cours de la dernière décennie.  La part combinée des demandes selon le PCT déposées en japonais, chinois et coréen est passée de 29,5% en 2009 à 37,6% en 2015.  Le graphique ci</w:t>
      </w:r>
      <w:r w:rsidRPr="00C258AD">
        <w:noBreakHyphen/>
        <w:t>après présente en détail l’évolution des langues de dépôt autres que l’anglais :</w:t>
      </w:r>
    </w:p>
    <w:p w:rsidR="006E2BB1" w:rsidRPr="00C258AD" w:rsidRDefault="006E2BB1" w:rsidP="001A4D6C"/>
    <w:p w:rsidR="006E2BB1" w:rsidRPr="00C258AD" w:rsidRDefault="006E2BB1" w:rsidP="001A4D6C"/>
    <w:p w:rsidR="006E2BB1" w:rsidRPr="00C258AD" w:rsidRDefault="007D57EE" w:rsidP="001A4D6C">
      <w:pPr>
        <w:jc w:val="center"/>
        <w:rPr>
          <w:sz w:val="18"/>
        </w:rPr>
      </w:pPr>
      <w:r w:rsidRPr="00C258AD">
        <w:rPr>
          <w:b/>
          <w:sz w:val="18"/>
        </w:rPr>
        <w:t>Langues de dépôt</w:t>
      </w:r>
      <w:r w:rsidRPr="00C258AD">
        <w:rPr>
          <w:sz w:val="18"/>
        </w:rPr>
        <w:t xml:space="preserve"> (toutes les langues sauf l’anglais)</w:t>
      </w:r>
    </w:p>
    <w:p w:rsidR="006E2BB1" w:rsidRPr="00C258AD" w:rsidRDefault="007D57EE" w:rsidP="001A4D6C">
      <w:pPr>
        <w:jc w:val="center"/>
      </w:pPr>
      <w:r w:rsidRPr="00C258AD">
        <w:rPr>
          <w:noProof/>
          <w:lang w:val="en-US"/>
        </w:rPr>
        <w:drawing>
          <wp:inline distT="0" distB="0" distL="0" distR="0" wp14:anchorId="1DC0CEDE" wp14:editId="08CCC98F">
            <wp:extent cx="5760000" cy="3017096"/>
            <wp:effectExtent l="0" t="0" r="0" b="0"/>
            <wp:docPr id="1028" name="Pictur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0000" cy="3017096"/>
                    </a:xfrm>
                    <a:prstGeom prst="rect">
                      <a:avLst/>
                    </a:prstGeom>
                    <a:noFill/>
                    <a:ln>
                      <a:noFill/>
                    </a:ln>
                  </pic:spPr>
                </pic:pic>
              </a:graphicData>
            </a:graphic>
          </wp:inline>
        </w:drawing>
      </w:r>
    </w:p>
    <w:p w:rsidR="006E2BB1" w:rsidRPr="00C258AD" w:rsidRDefault="006E2BB1" w:rsidP="001A4D6C"/>
    <w:p w:rsidR="006E2BB1" w:rsidRPr="00C258AD" w:rsidRDefault="007D57EE" w:rsidP="00BB4DBC">
      <w:pPr>
        <w:numPr>
          <w:ilvl w:val="0"/>
          <w:numId w:val="40"/>
        </w:numPr>
      </w:pPr>
      <w:r w:rsidRPr="00C258AD">
        <w:t xml:space="preserve">La forte augmentation du nombre de demandes déposées dans des langues asiatiques au cours des cinq dernières années pèse lourdement sur le Bureau international en raison du nombre limité de membres du personnel pouvant travailler dans ces langues.  L’atténuation de cet effet passe par </w:t>
      </w:r>
      <w:r w:rsidRPr="00C258AD">
        <w:lastRenderedPageBreak/>
        <w:t>l’automatisation de certaines tâches et le recrutement de fonctionnaires capables de travailler dans ces langues.</w:t>
      </w:r>
    </w:p>
    <w:p w:rsidR="006E2BB1" w:rsidRPr="00C258AD" w:rsidRDefault="006E2BB1" w:rsidP="001A4D6C"/>
    <w:p w:rsidR="006E2BB1" w:rsidRPr="00C258AD" w:rsidRDefault="006E2BB1" w:rsidP="001A4D6C"/>
    <w:p w:rsidR="006E2BB1" w:rsidRDefault="007D57EE" w:rsidP="001A4D6C">
      <w:pPr>
        <w:keepNext/>
        <w:keepLines/>
        <w:rPr>
          <w:i/>
        </w:rPr>
      </w:pPr>
      <w:r w:rsidRPr="00C258AD">
        <w:rPr>
          <w:i/>
        </w:rPr>
        <w:t>Effectifs</w:t>
      </w:r>
    </w:p>
    <w:p w:rsidR="006B4497" w:rsidRPr="00C258AD" w:rsidRDefault="006B4497" w:rsidP="001A4D6C">
      <w:pPr>
        <w:keepNext/>
        <w:keepLines/>
        <w:rPr>
          <w:i/>
        </w:rPr>
      </w:pPr>
    </w:p>
    <w:p w:rsidR="006E2BB1" w:rsidRPr="00C258AD" w:rsidRDefault="007D57EE" w:rsidP="00BB4DBC">
      <w:pPr>
        <w:keepNext/>
        <w:keepLines/>
        <w:numPr>
          <w:ilvl w:val="0"/>
          <w:numId w:val="40"/>
        </w:numPr>
      </w:pPr>
      <w:r w:rsidRPr="00C258AD">
        <w:t>Le diagramme ci</w:t>
      </w:r>
      <w:r w:rsidRPr="00C258AD">
        <w:noBreakHyphen/>
        <w:t>après indique les effectifs de la Division des opérations du PCT depuis 2001, en équivalent personnel à plein temps (EPPT – effectif total à plein temps plus équivalent à plein temps du personnel à temps partiel).</w:t>
      </w:r>
    </w:p>
    <w:p w:rsidR="006E2BB1" w:rsidRPr="00C258AD" w:rsidRDefault="006E2BB1" w:rsidP="001A4D6C"/>
    <w:p w:rsidR="006E2BB1" w:rsidRPr="00C258AD" w:rsidRDefault="006E2BB1" w:rsidP="001A4D6C"/>
    <w:p w:rsidR="006E2BB1" w:rsidRPr="00C258AD" w:rsidRDefault="007D57EE" w:rsidP="001A4D6C">
      <w:pPr>
        <w:jc w:val="center"/>
        <w:rPr>
          <w:b/>
          <w:sz w:val="18"/>
        </w:rPr>
      </w:pPr>
      <w:r w:rsidRPr="00C258AD">
        <w:rPr>
          <w:b/>
          <w:sz w:val="18"/>
        </w:rPr>
        <w:t>Effectifs affectés aux opérations du PCT</w:t>
      </w:r>
    </w:p>
    <w:p w:rsidR="006E2BB1" w:rsidRPr="00C258AD" w:rsidRDefault="007D57EE" w:rsidP="001A4D6C">
      <w:pPr>
        <w:jc w:val="center"/>
      </w:pPr>
      <w:r w:rsidRPr="00C258AD">
        <w:rPr>
          <w:noProof/>
          <w:lang w:val="en-US"/>
        </w:rPr>
        <w:drawing>
          <wp:inline distT="0" distB="0" distL="0" distR="0" wp14:anchorId="335D1B30" wp14:editId="15E8C8AC">
            <wp:extent cx="5940425" cy="3239036"/>
            <wp:effectExtent l="0" t="0" r="3175" b="0"/>
            <wp:docPr id="1029" name="Pictur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940425" cy="3239036"/>
                    </a:xfrm>
                    <a:prstGeom prst="rect">
                      <a:avLst/>
                    </a:prstGeom>
                    <a:noFill/>
                    <a:ln>
                      <a:noFill/>
                    </a:ln>
                  </pic:spPr>
                </pic:pic>
              </a:graphicData>
            </a:graphic>
          </wp:inline>
        </w:drawing>
      </w:r>
    </w:p>
    <w:p w:rsidR="006E2BB1" w:rsidRPr="00C258AD" w:rsidRDefault="006E2BB1" w:rsidP="001A4D6C"/>
    <w:p w:rsidR="006E2BB1" w:rsidRPr="00C258AD" w:rsidRDefault="007D57EE" w:rsidP="00BB4DBC">
      <w:pPr>
        <w:numPr>
          <w:ilvl w:val="0"/>
          <w:numId w:val="38"/>
        </w:numPr>
        <w:tabs>
          <w:tab w:val="clear" w:pos="720"/>
        </w:tabs>
        <w:ind w:left="1134" w:hanging="567"/>
      </w:pPr>
      <w:r w:rsidRPr="00C258AD">
        <w:t>Les effectifs de la Division des opérations du PCT ont diminué en 2015.</w:t>
      </w:r>
    </w:p>
    <w:p w:rsidR="006E2BB1" w:rsidRPr="00C258AD" w:rsidRDefault="006E2BB1" w:rsidP="001A4D6C"/>
    <w:p w:rsidR="006E2BB1" w:rsidRPr="00C258AD" w:rsidRDefault="006E2BB1" w:rsidP="001A4D6C"/>
    <w:p w:rsidR="006E2BB1" w:rsidRPr="00C258AD" w:rsidRDefault="007D57EE" w:rsidP="001A4D6C">
      <w:pPr>
        <w:rPr>
          <w:i/>
        </w:rPr>
      </w:pPr>
      <w:r w:rsidRPr="00C258AD">
        <w:rPr>
          <w:i/>
        </w:rPr>
        <w:t>Coût unitaire du traitement d’une demande</w:t>
      </w:r>
    </w:p>
    <w:p w:rsidR="006E2BB1" w:rsidRPr="00C258AD" w:rsidRDefault="006E2BB1" w:rsidP="001A4D6C"/>
    <w:p w:rsidR="006E2BB1" w:rsidRPr="00C258AD" w:rsidRDefault="007D57EE" w:rsidP="00BB4DBC">
      <w:pPr>
        <w:pStyle w:val="ListParagraph"/>
        <w:numPr>
          <w:ilvl w:val="0"/>
          <w:numId w:val="40"/>
        </w:numPr>
        <w:jc w:val="both"/>
      </w:pPr>
      <w:r w:rsidRPr="00C258AD">
        <w:rPr>
          <w:szCs w:val="24"/>
        </w:rPr>
        <w:t>L’efficacité du Bureau international dans le traitement des demandes selon le PCT peut être mesurée à l’aide du coût unitaire, défini comme le coût moyen d’une unité produite.  Le coût total de production comprend les dépenses liées exclusivement au système du PCT et les dépenses liées aux activités à l’appui du système.</w:t>
      </w:r>
    </w:p>
    <w:p w:rsidR="006E2BB1" w:rsidRPr="00C258AD" w:rsidRDefault="006E2BB1" w:rsidP="001A4D6C">
      <w:pPr>
        <w:tabs>
          <w:tab w:val="left" w:pos="5675"/>
        </w:tabs>
        <w:jc w:val="both"/>
      </w:pPr>
    </w:p>
    <w:p w:rsidR="006E2BB1" w:rsidRPr="00C258AD" w:rsidRDefault="007D57EE" w:rsidP="00BB4DBC">
      <w:pPr>
        <w:numPr>
          <w:ilvl w:val="0"/>
          <w:numId w:val="40"/>
        </w:numPr>
        <w:jc w:val="both"/>
      </w:pPr>
      <w:r w:rsidRPr="00C258AD">
        <w:t>Les dépenses liées exclusivement au système du PCT englobent celles du programme 5 (le système PCT).</w:t>
      </w:r>
    </w:p>
    <w:p w:rsidR="006E2BB1" w:rsidRPr="00C258AD" w:rsidRDefault="006E2BB1" w:rsidP="001A4D6C">
      <w:pPr>
        <w:jc w:val="both"/>
      </w:pPr>
    </w:p>
    <w:p w:rsidR="006E2BB1" w:rsidRPr="00C258AD" w:rsidRDefault="007D57EE" w:rsidP="00BB4DBC">
      <w:pPr>
        <w:numPr>
          <w:ilvl w:val="0"/>
          <w:numId w:val="40"/>
        </w:numPr>
        <w:jc w:val="both"/>
      </w:pPr>
      <w:r w:rsidRPr="00C258AD">
        <w:t>Les dépenses liées aux activités à l’appui du système du PCT comprennent les dépenses des services suivants : services de conférence et services linguistiques, construction, direction générale, finances et budget, services d’appui généraux, gestion des ressources humaines, supervision interne, informatique et sûreté et sécurité.  Une petite partie de ces dépenses (coût de l’hébergement du serveur au CIC, coût estimé de la source authentique des demandes selon le PCT publiées (PATENTSCOPE) et part des coûts de la Section des recettes dans la Division des finances) est directement attribuée au système du PCT, tandis que le reste des dépenses attribuables au système du PCT est calculé en fonction de l’effectif (fonctionnaires titulaires de contrats de durée déterminée, fonctionnaires temporaires et boursiers).</w:t>
      </w:r>
    </w:p>
    <w:p w:rsidR="006E2BB1" w:rsidRPr="00C258AD" w:rsidRDefault="006E2BB1" w:rsidP="001A4D6C">
      <w:pPr>
        <w:jc w:val="both"/>
      </w:pPr>
    </w:p>
    <w:p w:rsidR="006E2BB1" w:rsidRPr="00C258AD" w:rsidRDefault="007D57EE" w:rsidP="00BB4DBC">
      <w:pPr>
        <w:numPr>
          <w:ilvl w:val="0"/>
          <w:numId w:val="40"/>
        </w:numPr>
      </w:pPr>
      <w:r w:rsidRPr="00C258AD">
        <w:t xml:space="preserve">La méthodologie employée pour imputer les coûts unitaires a été révisée en 2013, afin de l’aligner sur les autres calculs de coûts unitaires/de l’Union et de mieux rendre compte de l’environnement en rapide évolution.  À titre d’exemple, l’ancienne méthode, qui avait été conçue en 2007, comprenait un </w:t>
      </w:r>
      <w:r w:rsidRPr="00C258AD">
        <w:lastRenderedPageBreak/>
        <w:t>coût de stockage (sur 30 ans) en entrepôts, alors que les dépôts au format papier (y compris les dépôts du système PCT EASY) représentaient moins de 10% des dépôts en 2013.  Le coût unitaire du PCT en 2012 a été calculé au moyen de deux méthodes.  Il s’élevait à 680 francs suisses avec l’ancienne méthode et à 712 francs suisses avec la nouvelle.  La différence de 32 francs suisses tient à la nouvelle méthode d’affectation des coûts indirects.</w:t>
      </w:r>
    </w:p>
    <w:p w:rsidR="006E2BB1" w:rsidRPr="00C258AD" w:rsidRDefault="006E2BB1" w:rsidP="001A4D6C">
      <w:pPr>
        <w:jc w:val="both"/>
      </w:pPr>
    </w:p>
    <w:p w:rsidR="006E2BB1" w:rsidRPr="00C258AD" w:rsidRDefault="007D57EE" w:rsidP="00BB4DBC">
      <w:pPr>
        <w:keepNext/>
        <w:keepLines/>
        <w:numPr>
          <w:ilvl w:val="0"/>
          <w:numId w:val="40"/>
        </w:numPr>
      </w:pPr>
      <w:r w:rsidRPr="00C258AD">
        <w:t>De manière formelle, le coût unitaire est défini comme suit :</w:t>
      </w:r>
    </w:p>
    <w:p w:rsidR="006E2BB1" w:rsidRPr="00C258AD" w:rsidRDefault="006E2BB1" w:rsidP="001A4D6C">
      <w:pPr>
        <w:keepNext/>
        <w:keepLines/>
      </w:pPr>
    </w:p>
    <w:p w:rsidR="006E2BB1" w:rsidRPr="00C258AD" w:rsidRDefault="006E2BB1" w:rsidP="001A4D6C">
      <w:pPr>
        <w:keepNext/>
        <w:keepLines/>
      </w:pPr>
    </w:p>
    <w:p w:rsidR="006E2BB1" w:rsidRPr="00C258AD" w:rsidRDefault="006B4497" w:rsidP="001A4D6C">
      <w:pPr>
        <w:keepNext/>
        <w:keepLines/>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95pt;height:26.85pt">
            <v:imagedata r:id="rId43" o:title=""/>
          </v:shape>
        </w:pict>
      </w:r>
    </w:p>
    <w:p w:rsidR="006E2BB1" w:rsidRPr="00C258AD" w:rsidRDefault="006E2BB1" w:rsidP="001A4D6C"/>
    <w:p w:rsidR="006E2BB1" w:rsidRPr="00C258AD" w:rsidRDefault="006E2BB1" w:rsidP="001A4D6C"/>
    <w:p w:rsidR="006E2BB1" w:rsidRPr="00C258AD" w:rsidRDefault="007D57EE" w:rsidP="00BB4DBC">
      <w:pPr>
        <w:numPr>
          <w:ilvl w:val="0"/>
          <w:numId w:val="40"/>
        </w:numPr>
      </w:pPr>
      <w:r w:rsidRPr="00C258AD">
        <w:t>Les diagrammes ci</w:t>
      </w:r>
      <w:r w:rsidRPr="00C258AD">
        <w:noBreakHyphen/>
        <w:t>dessous illustrent l’évolution du coût unitaire du traitement entre 2004 et 2012, calculé avec l’ancienne méthode, et entre 2012 et 2015, avec la nouvelle méthode, y compris la répartition de la contribution des coûts directs et indirects.</w:t>
      </w:r>
    </w:p>
    <w:p w:rsidR="006E2BB1" w:rsidRPr="00C258AD" w:rsidRDefault="006E2BB1" w:rsidP="001A4D6C"/>
    <w:p w:rsidR="006E2BB1" w:rsidRPr="00C258AD" w:rsidRDefault="006E2BB1" w:rsidP="001A4D6C"/>
    <w:p w:rsidR="006E2BB1" w:rsidRPr="00C258AD" w:rsidRDefault="007D57EE" w:rsidP="001A4D6C">
      <w:pPr>
        <w:keepNext/>
        <w:keepLines/>
        <w:jc w:val="center"/>
        <w:rPr>
          <w:b/>
          <w:sz w:val="18"/>
        </w:rPr>
      </w:pPr>
      <w:r w:rsidRPr="00C258AD">
        <w:rPr>
          <w:b/>
          <w:sz w:val="18"/>
        </w:rPr>
        <w:t>Coût unitaire du traitement d’une demande selon le PCT publiée</w:t>
      </w:r>
    </w:p>
    <w:p w:rsidR="007D57EE" w:rsidRPr="00C258AD" w:rsidRDefault="007D57EE" w:rsidP="001A4D6C"/>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68" w:type="dxa"/>
          <w:bottom w:w="113" w:type="dxa"/>
          <w:right w:w="68" w:type="dxa"/>
        </w:tblCellMar>
        <w:tblLook w:val="04A0" w:firstRow="1" w:lastRow="0" w:firstColumn="1" w:lastColumn="0" w:noHBand="0" w:noVBand="1"/>
      </w:tblPr>
      <w:tblGrid>
        <w:gridCol w:w="4745"/>
        <w:gridCol w:w="4746"/>
      </w:tblGrid>
      <w:tr w:rsidR="007D57EE" w:rsidRPr="00C258AD" w:rsidTr="001A4D6C">
        <w:trPr>
          <w:cantSplit/>
        </w:trPr>
        <w:tc>
          <w:tcPr>
            <w:tcW w:w="4745" w:type="dxa"/>
            <w:shd w:val="clear" w:color="auto" w:fill="auto"/>
          </w:tcPr>
          <w:p w:rsidR="007D57EE" w:rsidRPr="00C258AD" w:rsidRDefault="007D57EE" w:rsidP="001A4D6C">
            <w:pPr>
              <w:keepNext/>
              <w:keepLines/>
              <w:jc w:val="center"/>
              <w:rPr>
                <w:sz w:val="18"/>
              </w:rPr>
            </w:pPr>
            <w:r w:rsidRPr="00C258AD">
              <w:rPr>
                <w:sz w:val="18"/>
              </w:rPr>
              <w:t>Ancienne méthode</w:t>
            </w:r>
          </w:p>
        </w:tc>
        <w:tc>
          <w:tcPr>
            <w:tcW w:w="4746" w:type="dxa"/>
            <w:shd w:val="clear" w:color="auto" w:fill="auto"/>
          </w:tcPr>
          <w:p w:rsidR="007D57EE" w:rsidRPr="00C258AD" w:rsidRDefault="007D57EE" w:rsidP="001A4D6C">
            <w:pPr>
              <w:keepNext/>
              <w:keepLines/>
              <w:jc w:val="center"/>
              <w:rPr>
                <w:sz w:val="18"/>
              </w:rPr>
            </w:pPr>
            <w:r w:rsidRPr="00C258AD">
              <w:rPr>
                <w:sz w:val="18"/>
              </w:rPr>
              <w:t>Nouvelle méthode</w:t>
            </w:r>
          </w:p>
        </w:tc>
      </w:tr>
      <w:tr w:rsidR="007D57EE" w:rsidRPr="00C258AD" w:rsidTr="001A4D6C">
        <w:trPr>
          <w:cantSplit/>
        </w:trPr>
        <w:tc>
          <w:tcPr>
            <w:tcW w:w="4745" w:type="dxa"/>
            <w:shd w:val="clear" w:color="auto" w:fill="auto"/>
          </w:tcPr>
          <w:p w:rsidR="007D57EE" w:rsidRPr="00C258AD" w:rsidRDefault="006B4497" w:rsidP="001A4D6C">
            <w:pPr>
              <w:keepNext/>
              <w:keepLines/>
            </w:pPr>
            <w:r>
              <w:pict>
                <v:shape id="_x0000_i1026" type="#_x0000_t75" style="width:227.65pt;height:152.1pt">
                  <v:imagedata r:id="rId44" o:title=""/>
                </v:shape>
              </w:pict>
            </w:r>
          </w:p>
        </w:tc>
        <w:tc>
          <w:tcPr>
            <w:tcW w:w="4746" w:type="dxa"/>
            <w:shd w:val="clear" w:color="auto" w:fill="auto"/>
          </w:tcPr>
          <w:p w:rsidR="007D57EE" w:rsidRPr="00C258AD" w:rsidRDefault="007D57EE" w:rsidP="001A4D6C">
            <w:pPr>
              <w:keepNext/>
              <w:keepLines/>
            </w:pPr>
            <w:r w:rsidRPr="00C258AD">
              <w:rPr>
                <w:noProof/>
                <w:lang w:val="en-US"/>
              </w:rPr>
              <w:drawing>
                <wp:inline distT="0" distB="0" distL="0" distR="0" wp14:anchorId="1E6725DC" wp14:editId="76242550">
                  <wp:extent cx="2924810" cy="1823085"/>
                  <wp:effectExtent l="0" t="0" r="8890" b="5715"/>
                  <wp:docPr id="1030" name="Pictur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924810" cy="1823085"/>
                          </a:xfrm>
                          <a:prstGeom prst="rect">
                            <a:avLst/>
                          </a:prstGeom>
                          <a:noFill/>
                          <a:ln>
                            <a:noFill/>
                          </a:ln>
                        </pic:spPr>
                      </pic:pic>
                    </a:graphicData>
                  </a:graphic>
                </wp:inline>
              </w:drawing>
            </w:r>
          </w:p>
        </w:tc>
      </w:tr>
    </w:tbl>
    <w:p w:rsidR="006E2BB1" w:rsidRPr="00C258AD" w:rsidRDefault="006E2BB1" w:rsidP="001A4D6C"/>
    <w:p w:rsidR="006E2BB1" w:rsidRPr="00C258AD" w:rsidRDefault="007D57EE" w:rsidP="00BB4DBC">
      <w:pPr>
        <w:numPr>
          <w:ilvl w:val="0"/>
          <w:numId w:val="38"/>
        </w:numPr>
        <w:tabs>
          <w:tab w:val="clear" w:pos="720"/>
          <w:tab w:val="num" w:pos="1134"/>
        </w:tabs>
        <w:ind w:left="1134" w:hanging="567"/>
        <w:jc w:val="both"/>
      </w:pPr>
      <w:r w:rsidRPr="00C258AD">
        <w:t xml:space="preserve">Le coût moyen du traitement d’une demande selon le PCT publiée était de 735 francs suisses en 2015, soit une augmentation de 11% par rapport à 2014.  </w:t>
      </w:r>
      <w:r w:rsidRPr="00C258AD">
        <w:rPr>
          <w:rFonts w:cs="Arial"/>
          <w:color w:val="000000"/>
        </w:rPr>
        <w:t>Cette augmentation s’expliquait par une augmentation des dépenses directes et indirectes, combinée à une diminution du nombre de demandes en 2015 par rapport à 2014</w:t>
      </w:r>
      <w:r w:rsidRPr="00C258AD">
        <w:rPr>
          <w:color w:val="000000"/>
        </w:rPr>
        <w:t xml:space="preserve">.  </w:t>
      </w:r>
      <w:r w:rsidRPr="00C258AD">
        <w:rPr>
          <w:rFonts w:cs="Arial"/>
          <w:color w:val="000000"/>
        </w:rPr>
        <w:t>Cette augmentation en 2015 par rapport à 2014 s’explique principalement par un coût unitaire exceptionnellement bas et des gains d’efficacité remarquables dus </w:t>
      </w:r>
      <w:r w:rsidRPr="00C258AD">
        <w:rPr>
          <w:color w:val="000000"/>
        </w:rPr>
        <w:t>:</w:t>
      </w:r>
      <w:r w:rsidRPr="00C258AD">
        <w:rPr>
          <w:rFonts w:cs="Arial"/>
          <w:color w:val="000000"/>
        </w:rPr>
        <w:t xml:space="preserve"> i) au pic dans les dépôts en provenance des </w:t>
      </w:r>
      <w:r w:rsidRPr="00C258AD">
        <w:rPr>
          <w:color w:val="000000"/>
        </w:rPr>
        <w:t>États</w:t>
      </w:r>
      <w:r w:rsidRPr="00C258AD">
        <w:rPr>
          <w:color w:val="000000"/>
        </w:rPr>
        <w:noBreakHyphen/>
        <w:t>Unis d’Amérique</w:t>
      </w:r>
      <w:r w:rsidRPr="00C258AD">
        <w:rPr>
          <w:rFonts w:cs="Arial"/>
          <w:color w:val="000000"/>
        </w:rPr>
        <w:t xml:space="preserve"> en mars 2014, en raison de l’entrée en vigueur de la loi</w:t>
      </w:r>
      <w:r w:rsidRPr="00C258AD">
        <w:rPr>
          <w:rFonts w:cs="Arial"/>
          <w:i/>
          <w:color w:val="000000"/>
        </w:rPr>
        <w:t xml:space="preserve"> </w:t>
      </w:r>
      <w:r w:rsidRPr="00C258AD">
        <w:rPr>
          <w:rFonts w:cs="Arial"/>
          <w:color w:val="000000"/>
        </w:rPr>
        <w:t>Leahy</w:t>
      </w:r>
      <w:r w:rsidRPr="00C258AD">
        <w:rPr>
          <w:rFonts w:cs="Arial"/>
          <w:color w:val="000000"/>
        </w:rPr>
        <w:noBreakHyphen/>
        <w:t>Smith sur les inventions une année auparavant</w:t>
      </w:r>
      <w:r w:rsidRPr="00C258AD">
        <w:rPr>
          <w:color w:val="000000"/>
        </w:rPr>
        <w:t xml:space="preserve">;  </w:t>
      </w:r>
      <w:r w:rsidRPr="00C258AD">
        <w:rPr>
          <w:rFonts w:cs="Arial"/>
          <w:color w:val="000000"/>
        </w:rPr>
        <w:t>et ii) au fait qu’en 2014, comme c’est le cas tous les cinq ou six ans, le nombre de semaines de publication était de 53 et non de 52, ce qui a entraîné une augmentation du nombre de publications effectuées en 2014</w:t>
      </w:r>
      <w:r w:rsidRPr="00C258AD">
        <w:rPr>
          <w:color w:val="000000"/>
        </w:rPr>
        <w:t xml:space="preserve">.  </w:t>
      </w:r>
      <w:r w:rsidRPr="00C258AD">
        <w:rPr>
          <w:rFonts w:cs="Arial"/>
          <w:color w:val="000000"/>
        </w:rPr>
        <w:t>En outre, les dépenses sont généralement plus élevées au cours de la deuxième année d’un exercice biennal.  Par ailleurs, le coût de la traduction du PCT a augmenté de 7,3% en 2015 par rapport à 2014, en raison de l’augmentation de la part des langues asiatiques, ainsi que de la longueur des rapports à traduire.  Du point de vue de la répartition, 44% de cette hausse sont attribuables à la baisse susmentionnée des publications, 18,7% à l’augmentation des coûts de traduction, 4,4% au coût des services informatiques du PCT, 5,5% au traitement des demandes à proprement parler, le reste étant attribuable aux coûts indirects.  Cependant, par rapport aux deux derniers exercices biennaux, le coût unitaire moyen du traitement d’une demande publiée en 2014</w:t>
      </w:r>
      <w:r w:rsidRPr="00C258AD">
        <w:rPr>
          <w:rFonts w:cs="Arial"/>
          <w:color w:val="000000"/>
        </w:rPr>
        <w:noBreakHyphen/>
        <w:t>2015 (698 francs suisses) a diminué de 2,7% par rapport à 2012</w:t>
      </w:r>
      <w:r w:rsidRPr="00C258AD">
        <w:rPr>
          <w:rFonts w:cs="Arial"/>
          <w:color w:val="000000"/>
        </w:rPr>
        <w:noBreakHyphen/>
        <w:t>2013 (717 francs suisses).</w:t>
      </w:r>
    </w:p>
    <w:p w:rsidR="006E2BB1" w:rsidRPr="00C258AD" w:rsidRDefault="006E2BB1" w:rsidP="001A4D6C"/>
    <w:p w:rsidR="006E2BB1" w:rsidRPr="00C258AD" w:rsidRDefault="007D57EE" w:rsidP="00BB4DBC">
      <w:pPr>
        <w:pStyle w:val="ListParagraph"/>
        <w:numPr>
          <w:ilvl w:val="0"/>
          <w:numId w:val="38"/>
        </w:numPr>
        <w:tabs>
          <w:tab w:val="clear" w:pos="720"/>
          <w:tab w:val="num" w:pos="1134"/>
        </w:tabs>
        <w:ind w:left="1134" w:hanging="567"/>
        <w:contextualSpacing/>
        <w:jc w:val="both"/>
      </w:pPr>
      <w:r w:rsidRPr="00C258AD">
        <w:t>Le coût moyen de traitement d’une demande selon le PCT publiée, calculé au moyen de l’ancienne méthode, a baissé en moyenne de 5% par an, passant de 1042 francs suisses en 2004 à 680 francs suisses en 2012.</w:t>
      </w:r>
    </w:p>
    <w:p w:rsidR="006E2BB1" w:rsidRPr="00C258AD" w:rsidRDefault="006E2BB1" w:rsidP="001A4D6C"/>
    <w:p w:rsidR="006E2BB1" w:rsidRPr="00C258AD" w:rsidRDefault="006E2BB1" w:rsidP="001A4D6C"/>
    <w:p w:rsidR="006E2BB1" w:rsidRPr="00C258AD" w:rsidRDefault="007D57EE" w:rsidP="001A4D6C">
      <w:pPr>
        <w:keepNext/>
        <w:rPr>
          <w:i/>
        </w:rPr>
      </w:pPr>
      <w:r w:rsidRPr="00C258AD">
        <w:rPr>
          <w:i/>
        </w:rPr>
        <w:t>Productivité en matière d’examen de forme</w:t>
      </w:r>
    </w:p>
    <w:p w:rsidR="006E2BB1" w:rsidRPr="00C258AD" w:rsidRDefault="006E2BB1" w:rsidP="001A4D6C">
      <w:pPr>
        <w:keepNext/>
      </w:pPr>
    </w:p>
    <w:p w:rsidR="006E2BB1" w:rsidRPr="00C258AD" w:rsidRDefault="007D57EE" w:rsidP="00BB4DBC">
      <w:pPr>
        <w:numPr>
          <w:ilvl w:val="0"/>
          <w:numId w:val="40"/>
        </w:numPr>
      </w:pPr>
      <w:r w:rsidRPr="00C258AD">
        <w:t>La productivité du personnel est calculée en divisant la production (c’est</w:t>
      </w:r>
      <w:r w:rsidRPr="00C258AD">
        <w:noBreakHyphen/>
        <w:t>à</w:t>
      </w:r>
      <w:r w:rsidRPr="00C258AD">
        <w:noBreakHyphen/>
        <w:t>dire le nombre de publications du PCT) par les effectifs aux fins de l’examen de forme.</w:t>
      </w:r>
    </w:p>
    <w:p w:rsidR="006E2BB1" w:rsidRPr="00C258AD" w:rsidRDefault="006E2BB1" w:rsidP="001A4D6C"/>
    <w:p w:rsidR="006E2BB1" w:rsidRPr="00C258AD" w:rsidRDefault="006E2BB1" w:rsidP="001A4D6C"/>
    <w:p w:rsidR="006E2BB1" w:rsidRPr="00C258AD" w:rsidRDefault="007D57EE" w:rsidP="001A4D6C">
      <w:pPr>
        <w:jc w:val="center"/>
        <w:rPr>
          <w:b/>
          <w:sz w:val="18"/>
        </w:rPr>
      </w:pPr>
      <w:r w:rsidRPr="00C258AD">
        <w:rPr>
          <w:b/>
          <w:sz w:val="18"/>
        </w:rPr>
        <w:t>Productivité en matière d’examen de forme</w:t>
      </w:r>
    </w:p>
    <w:p w:rsidR="006E2BB1" w:rsidRPr="00C258AD" w:rsidRDefault="007D57EE" w:rsidP="001A4D6C">
      <w:r w:rsidRPr="00C258AD">
        <w:rPr>
          <w:noProof/>
          <w:lang w:val="en-US"/>
        </w:rPr>
        <w:drawing>
          <wp:inline distT="0" distB="0" distL="0" distR="0" wp14:anchorId="63B85756" wp14:editId="31FB6006">
            <wp:extent cx="5940425" cy="2753088"/>
            <wp:effectExtent l="0" t="0" r="317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940425" cy="2753088"/>
                    </a:xfrm>
                    <a:prstGeom prst="rect">
                      <a:avLst/>
                    </a:prstGeom>
                    <a:noFill/>
                    <a:ln>
                      <a:noFill/>
                    </a:ln>
                  </pic:spPr>
                </pic:pic>
              </a:graphicData>
            </a:graphic>
          </wp:inline>
        </w:drawing>
      </w:r>
    </w:p>
    <w:p w:rsidR="006E2BB1" w:rsidRPr="00C258AD" w:rsidRDefault="007D57EE" w:rsidP="00BB4DBC">
      <w:pPr>
        <w:pStyle w:val="ListParagraph"/>
        <w:numPr>
          <w:ilvl w:val="0"/>
          <w:numId w:val="38"/>
        </w:numPr>
        <w:tabs>
          <w:tab w:val="clear" w:pos="720"/>
          <w:tab w:val="num" w:pos="1134"/>
        </w:tabs>
        <w:ind w:left="1134" w:hanging="567"/>
        <w:contextualSpacing/>
        <w:jc w:val="both"/>
      </w:pPr>
      <w:r w:rsidRPr="00C258AD">
        <w:t>Fait marquant, la productivité de l’examen de forme a augmenté, en raison essentiellement de l’automatisation qui a permis le traitement d’une charge de travail beaucoup plus importante avec moins ou autant de personnel.</w:t>
      </w:r>
    </w:p>
    <w:p w:rsidR="006E2BB1" w:rsidRPr="00C258AD" w:rsidRDefault="006E2BB1" w:rsidP="001A4D6C"/>
    <w:p w:rsidR="006E2BB1" w:rsidRPr="00C258AD" w:rsidRDefault="007D57EE" w:rsidP="00BB4DBC">
      <w:pPr>
        <w:pStyle w:val="ListParagraph"/>
        <w:numPr>
          <w:ilvl w:val="0"/>
          <w:numId w:val="38"/>
        </w:numPr>
        <w:tabs>
          <w:tab w:val="clear" w:pos="720"/>
          <w:tab w:val="num" w:pos="1134"/>
        </w:tabs>
        <w:ind w:left="1134" w:hanging="567"/>
        <w:contextualSpacing/>
        <w:jc w:val="both"/>
      </w:pPr>
      <w:r w:rsidRPr="00C258AD">
        <w:rPr>
          <w:rFonts w:cs="Arial"/>
        </w:rPr>
        <w:t>En 2015, malgré une baisse de 4% du nombre de fonctionnaires affectés à l’examen quant à la forme, la productivité liée à cet examen a chuté de 1% par rapport à 2014, en raison d’une baisse de 5% du nombre de demandes PCT à préparer pour publication.  Cette baisse s’explique principalement par</w:t>
      </w:r>
      <w:r w:rsidRPr="00C258AD">
        <w:t> :</w:t>
      </w:r>
      <w:r w:rsidRPr="00C258AD">
        <w:rPr>
          <w:rFonts w:cs="Arial"/>
        </w:rPr>
        <w:t xml:space="preserve"> i) le pic dans les dépôts en provenance des </w:t>
      </w:r>
      <w:r w:rsidRPr="00C258AD">
        <w:t>États</w:t>
      </w:r>
      <w:r w:rsidRPr="00C258AD">
        <w:noBreakHyphen/>
        <w:t>Unis d’Amérique</w:t>
      </w:r>
      <w:r w:rsidRPr="00C258AD">
        <w:rPr>
          <w:rFonts w:cs="Arial"/>
        </w:rPr>
        <w:t xml:space="preserve"> en mars 2014, en raison de l’entrée en vigueur de la loi</w:t>
      </w:r>
      <w:r w:rsidRPr="00C258AD">
        <w:rPr>
          <w:rFonts w:cs="Arial"/>
          <w:i/>
        </w:rPr>
        <w:t xml:space="preserve"> </w:t>
      </w:r>
      <w:r w:rsidRPr="00C258AD">
        <w:rPr>
          <w:rFonts w:cs="Arial"/>
        </w:rPr>
        <w:t>Leahy</w:t>
      </w:r>
      <w:r w:rsidRPr="00C258AD">
        <w:rPr>
          <w:rFonts w:cs="Arial"/>
        </w:rPr>
        <w:noBreakHyphen/>
        <w:t>Smith sur les inventions une année auparavant</w:t>
      </w:r>
      <w:r w:rsidRPr="00C258AD">
        <w:t xml:space="preserve">;  </w:t>
      </w:r>
      <w:r w:rsidRPr="00C258AD">
        <w:rPr>
          <w:rFonts w:cs="Arial"/>
        </w:rPr>
        <w:t>et ii) le fait qu’en 2014, comme c’est le cas tous les cinq ou six ans, le nombre de semaines de publication était de 53 contre 52, ce qui a entraîné une augmentation du nombre de publications effectuées.  Cependant, si l’on compare les deux derniers exercices biennaux, on voit que la productivité totale concernant l’examen quant à la forme en 2014</w:t>
      </w:r>
      <w:r w:rsidRPr="00C258AD">
        <w:rPr>
          <w:rFonts w:cs="Arial"/>
        </w:rPr>
        <w:noBreakHyphen/>
        <w:t>2015 a augmenté de 22% par rapport à 2012</w:t>
      </w:r>
      <w:r w:rsidRPr="00C258AD">
        <w:rPr>
          <w:rFonts w:cs="Arial"/>
        </w:rPr>
        <w:noBreakHyphen/>
        <w:t>2013.</w:t>
      </w:r>
    </w:p>
    <w:p w:rsidR="006E2BB1" w:rsidRPr="00C258AD" w:rsidRDefault="006E2BB1" w:rsidP="001A4D6C"/>
    <w:p w:rsidR="006E2BB1" w:rsidRPr="00C258AD" w:rsidRDefault="006E2BB1" w:rsidP="001A4D6C"/>
    <w:p w:rsidR="006E2BB1" w:rsidRPr="00C258AD" w:rsidRDefault="007D57EE" w:rsidP="001A4D6C">
      <w:pPr>
        <w:keepNext/>
        <w:keepLines/>
        <w:rPr>
          <w:i/>
        </w:rPr>
      </w:pPr>
      <w:r w:rsidRPr="00C258AD">
        <w:rPr>
          <w:i/>
        </w:rPr>
        <w:t>Indicateur de qualité agrégé en matière d’examen de forme</w:t>
      </w:r>
    </w:p>
    <w:p w:rsidR="006E2BB1" w:rsidRPr="00C258AD" w:rsidRDefault="006E2BB1" w:rsidP="001A4D6C">
      <w:pPr>
        <w:keepNext/>
        <w:keepLines/>
      </w:pPr>
    </w:p>
    <w:p w:rsidR="006E2BB1" w:rsidRPr="00C258AD" w:rsidRDefault="007D57EE" w:rsidP="00BB4DBC">
      <w:pPr>
        <w:numPr>
          <w:ilvl w:val="0"/>
          <w:numId w:val="40"/>
        </w:numPr>
      </w:pPr>
      <w:r w:rsidRPr="00C258AD">
        <w:t>Pour mesurer d’une manière simple et globale la qualité du travail qu’il exécute, le Bureau international a mis au point un indicateur de qualité agrégé qui est la moyenne de quatre indicateurs de qualité principaux.  Trois sont fondés sur les délais pour les principales transactions entrant dans le cadre du système du PCT : accusé de réception de la demande selon le PCT, publication et nouvelle publication.  Le quatrième indicateur concerne les erreurs commises pendant le traitement des demandes selon le PCT.</w:t>
      </w:r>
    </w:p>
    <w:p w:rsidR="006E2BB1" w:rsidRPr="00C258AD" w:rsidRDefault="006E2BB1" w:rsidP="001A4D6C"/>
    <w:p w:rsidR="006E2BB1" w:rsidRPr="00C258AD" w:rsidRDefault="006E2BB1" w:rsidP="001A4D6C"/>
    <w:p w:rsidR="006E2BB1" w:rsidRPr="00C258AD" w:rsidRDefault="007D57EE" w:rsidP="001A4D6C">
      <w:pPr>
        <w:pStyle w:val="BodyText2"/>
        <w:keepNext/>
        <w:spacing w:after="0" w:line="240" w:lineRule="auto"/>
        <w:jc w:val="center"/>
        <w:rPr>
          <w:rFonts w:cs="Arial"/>
          <w:b/>
          <w:bCs/>
          <w:sz w:val="18"/>
          <w:lang w:val="fr-FR"/>
        </w:rPr>
      </w:pPr>
      <w:r w:rsidRPr="00C258AD">
        <w:rPr>
          <w:rFonts w:cs="Arial"/>
          <w:b/>
          <w:bCs/>
          <w:sz w:val="18"/>
          <w:lang w:val="fr-FR"/>
        </w:rPr>
        <w:lastRenderedPageBreak/>
        <w:t>Indicateur de qualité en matière d’examen de forme</w:t>
      </w:r>
    </w:p>
    <w:p w:rsidR="006E2BB1" w:rsidRPr="00C258AD" w:rsidRDefault="007D57EE" w:rsidP="001A4D6C">
      <w:pPr>
        <w:jc w:val="center"/>
      </w:pPr>
      <w:r w:rsidRPr="00C258AD">
        <w:rPr>
          <w:noProof/>
          <w:lang w:val="en-US"/>
        </w:rPr>
        <w:drawing>
          <wp:inline distT="0" distB="0" distL="0" distR="0" wp14:anchorId="139FA198" wp14:editId="6E070EC5">
            <wp:extent cx="5940425" cy="2687221"/>
            <wp:effectExtent l="0" t="0" r="3175" b="0"/>
            <wp:docPr id="1032" name="Pictur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940425" cy="2687221"/>
                    </a:xfrm>
                    <a:prstGeom prst="rect">
                      <a:avLst/>
                    </a:prstGeom>
                    <a:noFill/>
                    <a:ln>
                      <a:noFill/>
                    </a:ln>
                  </pic:spPr>
                </pic:pic>
              </a:graphicData>
            </a:graphic>
          </wp:inline>
        </w:drawing>
      </w:r>
    </w:p>
    <w:p w:rsidR="006E2BB1" w:rsidRPr="00C258AD" w:rsidRDefault="006E2BB1" w:rsidP="001A4D6C"/>
    <w:p w:rsidR="006E2BB1" w:rsidRPr="00C258AD" w:rsidRDefault="007D57EE" w:rsidP="00BB4DBC">
      <w:pPr>
        <w:numPr>
          <w:ilvl w:val="0"/>
          <w:numId w:val="42"/>
        </w:numPr>
        <w:ind w:left="1134" w:hanging="567"/>
        <w:jc w:val="both"/>
      </w:pPr>
      <w:r w:rsidRPr="00C258AD">
        <w:t>La qualité globale telle que mesurée par l’indice agrégé s’est notablement améliorée, passant d’une moyenne de 81% en 2007 à 92,8% en 2015.</w:t>
      </w:r>
    </w:p>
    <w:p w:rsidR="006E2BB1" w:rsidRPr="00C258AD" w:rsidRDefault="006E2BB1" w:rsidP="001A4D6C">
      <w:pPr>
        <w:jc w:val="both"/>
      </w:pPr>
    </w:p>
    <w:p w:rsidR="006E2BB1" w:rsidRPr="00C258AD" w:rsidRDefault="007D57EE" w:rsidP="00BB4DBC">
      <w:pPr>
        <w:numPr>
          <w:ilvl w:val="0"/>
          <w:numId w:val="42"/>
        </w:numPr>
        <w:ind w:left="1134" w:hanging="567"/>
        <w:jc w:val="both"/>
      </w:pPr>
      <w:r w:rsidRPr="00C258AD">
        <w:t>En 2015, la petite baisse de 0,3% de l’indice de qualité par rapport à 2014 est due aux retards de republication des demandes selon le PCT avec les rapports de recherche internationale dans un délai de deux mois, le chiffre étant passé de 77% en 2014 à 74% en 2015.  Les trois autres grandes transactions utilisées pour calculer cet indicateur de qualité agrégé ont connu une amélioration en 2015 par rapport à 2014.  L’indice de qualité pour l’exercice biennal 2014</w:t>
      </w:r>
      <w:r w:rsidRPr="00C258AD">
        <w:noBreakHyphen/>
        <w:t>2015 (93%) s’est amélioré de presque cinq points de pourcentage par rapport à l’exercice biennal 2012</w:t>
      </w:r>
      <w:r w:rsidRPr="00C258AD">
        <w:noBreakHyphen/>
        <w:t>2013 (88,1%).</w:t>
      </w:r>
    </w:p>
    <w:p w:rsidR="006E2BB1" w:rsidRPr="00C258AD" w:rsidRDefault="006E2BB1" w:rsidP="001A4D6C">
      <w:pPr>
        <w:jc w:val="both"/>
      </w:pPr>
    </w:p>
    <w:p w:rsidR="006E2BB1" w:rsidRPr="00C258AD" w:rsidRDefault="006E2BB1" w:rsidP="001A4D6C"/>
    <w:p w:rsidR="006E2BB1" w:rsidRPr="00C258AD" w:rsidRDefault="007D57EE" w:rsidP="001A4D6C">
      <w:pPr>
        <w:rPr>
          <w:i/>
        </w:rPr>
      </w:pPr>
      <w:r w:rsidRPr="00C258AD">
        <w:rPr>
          <w:i/>
        </w:rPr>
        <w:t>Délai de l’examen de forme</w:t>
      </w:r>
    </w:p>
    <w:p w:rsidR="006E2BB1" w:rsidRPr="00C258AD" w:rsidRDefault="006E2BB1" w:rsidP="001A4D6C">
      <w:pPr>
        <w:rPr>
          <w:b/>
        </w:rPr>
      </w:pPr>
    </w:p>
    <w:p w:rsidR="006E2BB1" w:rsidRPr="00C258AD" w:rsidRDefault="007D57EE" w:rsidP="00BB4DBC">
      <w:pPr>
        <w:numPr>
          <w:ilvl w:val="0"/>
          <w:numId w:val="40"/>
        </w:numPr>
        <w:rPr>
          <w:b/>
        </w:rPr>
      </w:pPr>
      <w:r w:rsidRPr="00C258AD">
        <w:t>Cet indicateur présente de manière plus détaillée l’une des composantes de l’indicateur de qualité agrégé, à savoir le temps qu’il faut au Bureau international pour émettre le formulaire 301.  Ce formulaire est émis une fois l’examen de forme de la demande terminé.  Les déposants apprécient de recevoir ce formulaire le plus rapidement possible car il fait office d’accusé de réception de la demande par le Bureau international et leur permet de savoir si leur demande contient des vices de forme.</w:t>
      </w:r>
    </w:p>
    <w:p w:rsidR="006E2BB1" w:rsidRPr="00C258AD" w:rsidRDefault="006E2BB1" w:rsidP="001A4D6C">
      <w:pPr>
        <w:rPr>
          <w:b/>
        </w:rPr>
      </w:pPr>
    </w:p>
    <w:p w:rsidR="006E2BB1" w:rsidRPr="00C258AD" w:rsidRDefault="007D57EE" w:rsidP="001A4D6C">
      <w:pPr>
        <w:jc w:val="center"/>
        <w:rPr>
          <w:b/>
        </w:rPr>
      </w:pPr>
      <w:r w:rsidRPr="00C258AD">
        <w:rPr>
          <w:noProof/>
          <w:lang w:val="en-US"/>
        </w:rPr>
        <w:drawing>
          <wp:inline distT="0" distB="0" distL="0" distR="0" wp14:anchorId="1FCE9181" wp14:editId="52B0D7F4">
            <wp:extent cx="5940425" cy="2570268"/>
            <wp:effectExtent l="0" t="0" r="3175" b="1905"/>
            <wp:docPr id="1033" name="Pictur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0425" cy="2570268"/>
                    </a:xfrm>
                    <a:prstGeom prst="rect">
                      <a:avLst/>
                    </a:prstGeom>
                    <a:noFill/>
                    <a:ln>
                      <a:noFill/>
                    </a:ln>
                  </pic:spPr>
                </pic:pic>
              </a:graphicData>
            </a:graphic>
          </wp:inline>
        </w:drawing>
      </w:r>
    </w:p>
    <w:p w:rsidR="006E2BB1" w:rsidRPr="00C258AD" w:rsidRDefault="006E2BB1" w:rsidP="001A4D6C"/>
    <w:p w:rsidR="006E2BB1" w:rsidRPr="00C258AD" w:rsidRDefault="006E2BB1" w:rsidP="001A4D6C"/>
    <w:p w:rsidR="006E2BB1" w:rsidRPr="00C258AD" w:rsidRDefault="007D57EE" w:rsidP="001A4D6C">
      <w:pPr>
        <w:keepNext/>
        <w:rPr>
          <w:i/>
        </w:rPr>
      </w:pPr>
      <w:r w:rsidRPr="00C258AD">
        <w:rPr>
          <w:i/>
        </w:rPr>
        <w:lastRenderedPageBreak/>
        <w:t>Délai de publication</w:t>
      </w:r>
    </w:p>
    <w:p w:rsidR="006E2BB1" w:rsidRPr="00C258AD" w:rsidRDefault="006E2BB1" w:rsidP="001A4D6C">
      <w:pPr>
        <w:keepNext/>
        <w:rPr>
          <w:sz w:val="18"/>
          <w:szCs w:val="18"/>
        </w:rPr>
      </w:pPr>
    </w:p>
    <w:p w:rsidR="006E2BB1" w:rsidRPr="00C258AD" w:rsidRDefault="007D57EE" w:rsidP="00BB4DBC">
      <w:pPr>
        <w:numPr>
          <w:ilvl w:val="0"/>
          <w:numId w:val="40"/>
        </w:numPr>
      </w:pPr>
      <w:r w:rsidRPr="00C258AD">
        <w:t>Cet indicateur présente de manière plus détaillée l’une des composantes de l’indicateur de qualité agrégé, à savoir le temps qu’il faut au Bureau international pour publier la demande.  L’article 21.2)a) du PCT prévoit que “… la publication internationale de la demande internationale a lieu à bref délai après l’expiration d’un délai de 18 mois à compter de la date de priorité de cette demande”.</w:t>
      </w:r>
    </w:p>
    <w:p w:rsidR="006E2BB1" w:rsidRPr="00C258AD" w:rsidRDefault="006E2BB1" w:rsidP="001A4D6C">
      <w:pPr>
        <w:pStyle w:val="BodyText2"/>
        <w:spacing w:after="0" w:line="240" w:lineRule="auto"/>
        <w:rPr>
          <w:rFonts w:cs="Arial"/>
          <w:lang w:val="fr-FR"/>
        </w:rPr>
      </w:pPr>
    </w:p>
    <w:p w:rsidR="006E2BB1" w:rsidRPr="00C258AD" w:rsidRDefault="007D57EE" w:rsidP="001A4D6C">
      <w:pPr>
        <w:jc w:val="center"/>
      </w:pPr>
      <w:r w:rsidRPr="00C258AD">
        <w:rPr>
          <w:noProof/>
          <w:lang w:val="en-US"/>
        </w:rPr>
        <w:drawing>
          <wp:inline distT="0" distB="0" distL="0" distR="0" wp14:anchorId="6559A087" wp14:editId="3A7042AB">
            <wp:extent cx="5940425" cy="2721684"/>
            <wp:effectExtent l="0" t="0" r="3175" b="2540"/>
            <wp:docPr id="1034" name="Pictur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940425" cy="2721684"/>
                    </a:xfrm>
                    <a:prstGeom prst="rect">
                      <a:avLst/>
                    </a:prstGeom>
                    <a:noFill/>
                    <a:ln>
                      <a:noFill/>
                    </a:ln>
                  </pic:spPr>
                </pic:pic>
              </a:graphicData>
            </a:graphic>
          </wp:inline>
        </w:drawing>
      </w:r>
    </w:p>
    <w:p w:rsidR="006E2BB1" w:rsidRPr="00C258AD" w:rsidRDefault="006E2BB1" w:rsidP="001A4D6C"/>
    <w:p w:rsidR="006E2BB1" w:rsidRPr="00C258AD" w:rsidRDefault="006E2BB1" w:rsidP="001A4D6C"/>
    <w:p w:rsidR="006E2BB1" w:rsidRPr="00C258AD" w:rsidRDefault="007D57EE" w:rsidP="001A4D6C">
      <w:pPr>
        <w:rPr>
          <w:i/>
        </w:rPr>
      </w:pPr>
      <w:r w:rsidRPr="00C258AD">
        <w:rPr>
          <w:i/>
        </w:rPr>
        <w:t>Délai de republication</w:t>
      </w:r>
    </w:p>
    <w:p w:rsidR="006E2BB1" w:rsidRPr="00C258AD" w:rsidRDefault="006E2BB1" w:rsidP="001A4D6C"/>
    <w:p w:rsidR="006E2BB1" w:rsidRPr="00C258AD" w:rsidRDefault="007D57EE" w:rsidP="00BB4DBC">
      <w:pPr>
        <w:numPr>
          <w:ilvl w:val="0"/>
          <w:numId w:val="40"/>
        </w:numPr>
      </w:pPr>
      <w:r w:rsidRPr="00C258AD">
        <w:t>Cet indicateur présente de manière plus détaillée l’une des composantes de l’indicateur de qualité agrégé, à savoir le temps qu’il faut au Bureau international pour republier la demande avec le rapport de recherche internationale.  En raison des retards de communication de ces rapports par les administrations chargées de la recherche internationale, un certain nombre de demandes internationales sont publiées sans le rapport.  Lorsque ce rapport est disponible, la demande internationale doit être republiée le plus vite possible avec le rapport afin de compléter la publication internationale.</w:t>
      </w:r>
    </w:p>
    <w:p w:rsidR="006E2BB1" w:rsidRPr="00C258AD" w:rsidRDefault="006E2BB1" w:rsidP="001A4D6C"/>
    <w:p w:rsidR="006E2BB1" w:rsidRPr="00C258AD" w:rsidRDefault="007D57EE" w:rsidP="001A4D6C">
      <w:r w:rsidRPr="00C258AD">
        <w:rPr>
          <w:noProof/>
          <w:lang w:val="en-US"/>
        </w:rPr>
        <w:drawing>
          <wp:inline distT="0" distB="0" distL="0" distR="0" wp14:anchorId="7FBA7BF9" wp14:editId="30330834">
            <wp:extent cx="5940425" cy="2721684"/>
            <wp:effectExtent l="0" t="0" r="3175" b="2540"/>
            <wp:docPr id="1035" name="Pictur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40425" cy="2721684"/>
                    </a:xfrm>
                    <a:prstGeom prst="rect">
                      <a:avLst/>
                    </a:prstGeom>
                    <a:noFill/>
                    <a:ln>
                      <a:noFill/>
                    </a:ln>
                  </pic:spPr>
                </pic:pic>
              </a:graphicData>
            </a:graphic>
          </wp:inline>
        </w:drawing>
      </w:r>
    </w:p>
    <w:p w:rsidR="006E2BB1" w:rsidRPr="00C258AD" w:rsidRDefault="006E2BB1" w:rsidP="001A4D6C"/>
    <w:p w:rsidR="006E2BB1" w:rsidRPr="00C258AD" w:rsidRDefault="006E2BB1" w:rsidP="001A4D6C"/>
    <w:p w:rsidR="006E2BB1" w:rsidRPr="00C258AD" w:rsidRDefault="007D57EE" w:rsidP="001A4D6C">
      <w:pPr>
        <w:rPr>
          <w:i/>
        </w:rPr>
      </w:pPr>
      <w:r w:rsidRPr="00C258AD">
        <w:rPr>
          <w:i/>
        </w:rPr>
        <w:t>Qualité de la traduction</w:t>
      </w:r>
    </w:p>
    <w:p w:rsidR="006E2BB1" w:rsidRPr="00C258AD" w:rsidRDefault="006E2BB1" w:rsidP="001A4D6C">
      <w:pPr>
        <w:rPr>
          <w:szCs w:val="18"/>
        </w:rPr>
      </w:pPr>
    </w:p>
    <w:p w:rsidR="006E2BB1" w:rsidRPr="00C258AD" w:rsidRDefault="007D57EE" w:rsidP="00BB4DBC">
      <w:pPr>
        <w:numPr>
          <w:ilvl w:val="0"/>
          <w:numId w:val="40"/>
        </w:numPr>
      </w:pPr>
      <w:r w:rsidRPr="00C258AD">
        <w:t xml:space="preserve">Des documents dont le nombre est calculé de manière statistique sont choisis au hasard à des fins de contrôle de la qualité parmi les traductions d’abrégés et de rapports sur la brevetabilité établis sous la </w:t>
      </w:r>
      <w:r w:rsidRPr="00C258AD">
        <w:lastRenderedPageBreak/>
        <w:t>responsabilité du Bureau international.  L’évaluation détermine si une traduction est “acceptable” ou “non acceptable”.  Cet indicateur rassemble les résultats de ce contrôle de la qualité exécuté par le Bureau international pour toutes les combinaisons linguistiques et tous les types de document.  Il est mis un terme aux relations avec les agences qui ont systématiquement moins de 80% de traductions jugées “acceptables”.  La part de 87,6% de traductions acceptables obtenue en 2015 était la plus élevée jamais obtenue et représentait 1,6 point de pourcentage de plus qu’en 2014.</w:t>
      </w:r>
    </w:p>
    <w:p w:rsidR="006E2BB1" w:rsidRPr="00C258AD" w:rsidRDefault="006E2BB1" w:rsidP="001A4D6C">
      <w:pPr>
        <w:jc w:val="center"/>
        <w:rPr>
          <w:sz w:val="22"/>
          <w:szCs w:val="22"/>
        </w:rPr>
      </w:pPr>
    </w:p>
    <w:p w:rsidR="006E2BB1" w:rsidRPr="00C258AD" w:rsidRDefault="006E2BB1" w:rsidP="001A4D6C">
      <w:pPr>
        <w:jc w:val="center"/>
        <w:rPr>
          <w:sz w:val="22"/>
          <w:szCs w:val="22"/>
        </w:rPr>
      </w:pPr>
    </w:p>
    <w:p w:rsidR="006E2BB1" w:rsidRPr="00C258AD" w:rsidRDefault="007D57EE" w:rsidP="001A4D6C">
      <w:pPr>
        <w:keepNext/>
        <w:keepLines/>
        <w:jc w:val="center"/>
        <w:rPr>
          <w:b/>
          <w:sz w:val="18"/>
        </w:rPr>
      </w:pPr>
      <w:r w:rsidRPr="00C258AD">
        <w:rPr>
          <w:b/>
          <w:sz w:val="18"/>
        </w:rPr>
        <w:t>Qualité de la traduction au PCT</w:t>
      </w:r>
    </w:p>
    <w:p w:rsidR="006E2BB1" w:rsidRPr="00C258AD" w:rsidRDefault="007D57EE" w:rsidP="001A4D6C">
      <w:pPr>
        <w:jc w:val="center"/>
      </w:pPr>
      <w:r w:rsidRPr="00C258AD">
        <w:rPr>
          <w:noProof/>
          <w:lang w:val="en-US"/>
        </w:rPr>
        <w:drawing>
          <wp:inline distT="0" distB="0" distL="0" distR="0" wp14:anchorId="30CE7966" wp14:editId="7C1414F8">
            <wp:extent cx="5351929" cy="3014855"/>
            <wp:effectExtent l="0" t="0" r="1270" b="0"/>
            <wp:docPr id="1036" name="Pictur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351929" cy="3014855"/>
                    </a:xfrm>
                    <a:prstGeom prst="rect">
                      <a:avLst/>
                    </a:prstGeom>
                    <a:noFill/>
                    <a:ln>
                      <a:noFill/>
                    </a:ln>
                  </pic:spPr>
                </pic:pic>
              </a:graphicData>
            </a:graphic>
          </wp:inline>
        </w:drawing>
      </w:r>
    </w:p>
    <w:p w:rsidR="006E2BB1" w:rsidRPr="00C258AD" w:rsidRDefault="006E2BB1" w:rsidP="001A4D6C"/>
    <w:p w:rsidR="006E2BB1" w:rsidRPr="00C258AD" w:rsidRDefault="006E2BB1" w:rsidP="001A4D6C"/>
    <w:p w:rsidR="006E2BB1" w:rsidRPr="00C258AD" w:rsidRDefault="007D57EE" w:rsidP="001A4D6C">
      <w:pPr>
        <w:keepNext/>
        <w:keepLines/>
        <w:rPr>
          <w:i/>
        </w:rPr>
      </w:pPr>
      <w:r w:rsidRPr="00C258AD">
        <w:rPr>
          <w:i/>
        </w:rPr>
        <w:t>Délais de traduction des rapports</w:t>
      </w:r>
    </w:p>
    <w:p w:rsidR="006E2BB1" w:rsidRPr="00C258AD" w:rsidRDefault="006E2BB1" w:rsidP="001A4D6C"/>
    <w:p w:rsidR="006E2BB1" w:rsidRPr="00C258AD" w:rsidRDefault="007D57EE" w:rsidP="00BB4DBC">
      <w:pPr>
        <w:numPr>
          <w:ilvl w:val="0"/>
          <w:numId w:val="40"/>
        </w:numPr>
      </w:pPr>
      <w:r w:rsidRPr="00C258AD">
        <w:t>Cet indicateur fournit des informations sur les délais dans lesquels le Bureau international met la traduction des rapports sur la brevetabilité à la disposition des déposants et des offices.  La part des traductions de rapports sur la brevetabilité livrées dans les 30 mois suivant la date de priorité de la demande internationale ne cesse d’augmenter depuis 2010.  En 2014, 82,5% des traductions de rapports sur la brevetabilité étaient livrées dans les 30 mois suivant la date de priorité.  En 2015, ce chiffre est passé à 90% des traductions de rapports sur la brevetabilité livrées dans les 30 mois, pour 99% livrées dans les 31 mois.</w:t>
      </w:r>
    </w:p>
    <w:p w:rsidR="006E2BB1" w:rsidRPr="00C258AD" w:rsidRDefault="006E2BB1" w:rsidP="001A4D6C"/>
    <w:p w:rsidR="006E2BB1" w:rsidRPr="00C258AD" w:rsidRDefault="006E2BB1" w:rsidP="001A4D6C"/>
    <w:p w:rsidR="006E2BB1" w:rsidRPr="00C258AD" w:rsidRDefault="007D57EE" w:rsidP="001A4D6C">
      <w:pPr>
        <w:keepNext/>
        <w:ind w:left="142"/>
        <w:jc w:val="center"/>
        <w:rPr>
          <w:b/>
          <w:sz w:val="18"/>
        </w:rPr>
      </w:pPr>
      <w:r w:rsidRPr="00C258AD">
        <w:rPr>
          <w:b/>
          <w:sz w:val="18"/>
        </w:rPr>
        <w:t>Délais de traduction des rapports</w:t>
      </w:r>
    </w:p>
    <w:p w:rsidR="006E2BB1" w:rsidRPr="00C258AD" w:rsidRDefault="007D57EE" w:rsidP="007D57EE">
      <w:pPr>
        <w:jc w:val="center"/>
        <w:rPr>
          <w:i/>
        </w:rPr>
      </w:pPr>
      <w:r w:rsidRPr="00C258AD">
        <w:rPr>
          <w:noProof/>
          <w:lang w:val="en-US"/>
        </w:rPr>
        <w:drawing>
          <wp:inline distT="0" distB="0" distL="0" distR="0" wp14:anchorId="297562E9" wp14:editId="17603F04">
            <wp:extent cx="5904000" cy="2615897"/>
            <wp:effectExtent l="0" t="0" r="1905" b="0"/>
            <wp:docPr id="1037" name="Pictur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904000" cy="2615897"/>
                    </a:xfrm>
                    <a:prstGeom prst="rect">
                      <a:avLst/>
                    </a:prstGeom>
                    <a:noFill/>
                    <a:ln>
                      <a:noFill/>
                    </a:ln>
                  </pic:spPr>
                </pic:pic>
              </a:graphicData>
            </a:graphic>
          </wp:inline>
        </w:drawing>
      </w:r>
      <w:r w:rsidRPr="00C258AD">
        <w:rPr>
          <w:i/>
        </w:rPr>
        <w:br w:type="page"/>
      </w:r>
    </w:p>
    <w:p w:rsidR="006E2BB1" w:rsidRPr="00C258AD" w:rsidRDefault="007D57EE" w:rsidP="001A4D6C">
      <w:pPr>
        <w:rPr>
          <w:i/>
        </w:rPr>
      </w:pPr>
      <w:r w:rsidRPr="00C258AD">
        <w:rPr>
          <w:i/>
        </w:rPr>
        <w:lastRenderedPageBreak/>
        <w:t>Qualité de la conception des logiciels</w:t>
      </w:r>
    </w:p>
    <w:p w:rsidR="006E2BB1" w:rsidRPr="00C258AD" w:rsidRDefault="006E2BB1" w:rsidP="001A4D6C">
      <w:pPr>
        <w:jc w:val="both"/>
      </w:pPr>
    </w:p>
    <w:p w:rsidR="006E2BB1" w:rsidRPr="00C258AD" w:rsidRDefault="007D57EE" w:rsidP="00BB4DBC">
      <w:pPr>
        <w:numPr>
          <w:ilvl w:val="0"/>
          <w:numId w:val="40"/>
        </w:numPr>
      </w:pPr>
      <w:r w:rsidRPr="00C258AD">
        <w:t xml:space="preserve">Cet indicateur donne une idée de la qualité des versions des principaux logiciels utilisés pour les projets </w:t>
      </w:r>
      <w:proofErr w:type="spellStart"/>
      <w:r w:rsidRPr="00C258AD">
        <w:t>eDossier</w:t>
      </w:r>
      <w:proofErr w:type="spellEnd"/>
      <w:r w:rsidRPr="00C258AD">
        <w:t xml:space="preserve"> et </w:t>
      </w:r>
      <w:proofErr w:type="spellStart"/>
      <w:r w:rsidRPr="00C258AD">
        <w:t>ePCT</w:t>
      </w:r>
      <w:proofErr w:type="spellEnd"/>
      <w:r w:rsidRPr="00C258AD">
        <w:t>.  Il indique la part de temps consacré à la mise en place de la nouvelle fonction dans le produit (c’est</w:t>
      </w:r>
      <w:r w:rsidRPr="00C258AD">
        <w:noBreakHyphen/>
        <w:t>à</w:t>
      </w:r>
      <w:r w:rsidRPr="00C258AD">
        <w:noBreakHyphen/>
        <w:t>dire le travail initial) par rapport au temps total (travail initial + remaniement).  Le remaniement correspond au temps passé à corriger des défauts détectés dans l’environnement de production.</w:t>
      </w:r>
    </w:p>
    <w:p w:rsidR="006E2BB1" w:rsidRPr="00C258AD" w:rsidRDefault="006E2BB1" w:rsidP="001A4D6C">
      <w:pPr>
        <w:jc w:val="both"/>
      </w:pPr>
    </w:p>
    <w:p w:rsidR="006E2BB1" w:rsidRPr="00C258AD" w:rsidRDefault="007D57EE" w:rsidP="00BB4DBC">
      <w:pPr>
        <w:numPr>
          <w:ilvl w:val="0"/>
          <w:numId w:val="40"/>
        </w:numPr>
      </w:pPr>
      <w:r w:rsidRPr="00C258AD">
        <w:t>Selon cette approche, les produits présentant un faible niveau de remaniement sont considérés comme étant de grande qualité car ils témoignent de l’importance de la valeur ajoutée au produit par la mise en place des nouvelles caractéristiques.</w:t>
      </w:r>
    </w:p>
    <w:p w:rsidR="006E2BB1" w:rsidRPr="00C258AD" w:rsidRDefault="006E2BB1" w:rsidP="001A4D6C">
      <w:pPr>
        <w:jc w:val="both"/>
      </w:pPr>
    </w:p>
    <w:p w:rsidR="006E2BB1" w:rsidRPr="00C258AD" w:rsidRDefault="007D57EE" w:rsidP="00BB4DBC">
      <w:pPr>
        <w:numPr>
          <w:ilvl w:val="0"/>
          <w:numId w:val="40"/>
        </w:numPr>
      </w:pPr>
      <w:r w:rsidRPr="00C258AD">
        <w:t>L’indicateur de la qualité de la conception des logiciels est défini de la manière suivante :</w:t>
      </w:r>
    </w:p>
    <w:p w:rsidR="006E2BB1" w:rsidRPr="00C258AD" w:rsidRDefault="006E2BB1" w:rsidP="001A4D6C">
      <w:pPr>
        <w:pStyle w:val="BodyText2"/>
        <w:spacing w:after="0" w:line="240" w:lineRule="auto"/>
        <w:rPr>
          <w:rFonts w:cs="Arial"/>
          <w:lang w:val="fr-FR"/>
        </w:rPr>
      </w:pPr>
    </w:p>
    <w:p w:rsidR="006E2BB1" w:rsidRPr="00C258AD" w:rsidRDefault="006E2BB1" w:rsidP="001A4D6C">
      <w:pPr>
        <w:pStyle w:val="BodyText2"/>
        <w:spacing w:after="0" w:line="240" w:lineRule="auto"/>
        <w:rPr>
          <w:rFonts w:cs="Arial"/>
          <w:lang w:val="fr-FR"/>
        </w:rPr>
      </w:pPr>
    </w:p>
    <w:p w:rsidR="006E2BB1" w:rsidRPr="00C258AD" w:rsidRDefault="006B4497" w:rsidP="001A4D6C">
      <w:pPr>
        <w:pStyle w:val="BodyText2"/>
        <w:spacing w:after="0" w:line="240" w:lineRule="auto"/>
        <w:jc w:val="center"/>
        <w:rPr>
          <w:rFonts w:cs="Arial"/>
          <w:lang w:val="fr-FR"/>
        </w:rPr>
      </w:pPr>
      <w:r>
        <w:rPr>
          <w:lang w:val="fr-FR"/>
        </w:rPr>
        <w:pict>
          <v:shape id="_x0000_i1027" type="#_x0000_t75" style="width:353.4pt;height:27.9pt">
            <v:imagedata r:id="rId53" o:title=""/>
          </v:shape>
        </w:pict>
      </w:r>
    </w:p>
    <w:p w:rsidR="006E2BB1" w:rsidRPr="00C258AD" w:rsidRDefault="006E2BB1" w:rsidP="001A4D6C">
      <w:pPr>
        <w:pStyle w:val="BodyText2"/>
        <w:spacing w:after="0" w:line="240" w:lineRule="auto"/>
        <w:rPr>
          <w:rFonts w:cs="Arial"/>
          <w:lang w:val="fr-FR"/>
        </w:rPr>
      </w:pPr>
    </w:p>
    <w:p w:rsidR="006E2BB1" w:rsidRPr="00C258AD" w:rsidRDefault="006E2BB1" w:rsidP="001A4D6C">
      <w:pPr>
        <w:pStyle w:val="BodyText2"/>
        <w:spacing w:after="0" w:line="240" w:lineRule="auto"/>
        <w:rPr>
          <w:rFonts w:cs="Arial"/>
          <w:lang w:val="fr-FR"/>
        </w:rPr>
      </w:pPr>
    </w:p>
    <w:p w:rsidR="006E2BB1" w:rsidRPr="00C258AD" w:rsidRDefault="007D57EE" w:rsidP="00BB4DBC">
      <w:pPr>
        <w:numPr>
          <w:ilvl w:val="0"/>
          <w:numId w:val="40"/>
        </w:numPr>
      </w:pPr>
      <w:r w:rsidRPr="00C258AD">
        <w:t>En 2014, la qualité des principales versions, déterminée par l’indicateur, était de 94,5%, presque cinq points de pourcentage de plus qu’en 2013.  L’année 2015 a connu une légère baisse, jusqu’à 91.9%, par rapport à 2014.  Cependant, les objectifs de performance ont été remplis au cours des deux années, puisque le niveau de référence de 89,4% a été dépassé dans les deux cas.</w:t>
      </w:r>
    </w:p>
    <w:p w:rsidR="006E2BB1" w:rsidRPr="00C258AD" w:rsidRDefault="006E2BB1" w:rsidP="001A4D6C"/>
    <w:p w:rsidR="006E2BB1" w:rsidRPr="00C258AD" w:rsidRDefault="006E2BB1" w:rsidP="001A4D6C"/>
    <w:p w:rsidR="006E2BB1" w:rsidRPr="00C258AD" w:rsidRDefault="007D57EE" w:rsidP="001A4D6C">
      <w:pPr>
        <w:keepNext/>
        <w:jc w:val="center"/>
        <w:rPr>
          <w:b/>
          <w:sz w:val="18"/>
        </w:rPr>
      </w:pPr>
      <w:r w:rsidRPr="00C258AD">
        <w:rPr>
          <w:b/>
          <w:sz w:val="18"/>
        </w:rPr>
        <w:t>Qualité de la conception des logiciels</w:t>
      </w:r>
    </w:p>
    <w:p w:rsidR="006E2BB1" w:rsidRPr="00C258AD" w:rsidRDefault="007D57EE" w:rsidP="001A4D6C">
      <w:pPr>
        <w:jc w:val="center"/>
      </w:pPr>
      <w:r w:rsidRPr="00C258AD">
        <w:rPr>
          <w:noProof/>
          <w:lang w:val="en-US"/>
        </w:rPr>
        <w:drawing>
          <wp:inline distT="0" distB="0" distL="0" distR="0" wp14:anchorId="625E4309" wp14:editId="553E8E27">
            <wp:extent cx="5855970" cy="3630930"/>
            <wp:effectExtent l="0" t="0" r="0" b="7620"/>
            <wp:docPr id="1038" name="Pictur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855970" cy="3630930"/>
                    </a:xfrm>
                    <a:prstGeom prst="rect">
                      <a:avLst/>
                    </a:prstGeom>
                    <a:noFill/>
                    <a:ln>
                      <a:noFill/>
                    </a:ln>
                  </pic:spPr>
                </pic:pic>
              </a:graphicData>
            </a:graphic>
          </wp:inline>
        </w:drawing>
      </w:r>
    </w:p>
    <w:p w:rsidR="006E2BB1" w:rsidRPr="00C258AD" w:rsidRDefault="006E2BB1" w:rsidP="001A4D6C"/>
    <w:p w:rsidR="006E2BB1" w:rsidRPr="00C258AD" w:rsidRDefault="006E2BB1" w:rsidP="001A4D6C"/>
    <w:p w:rsidR="006E2BB1" w:rsidRPr="00C258AD" w:rsidRDefault="007D57EE" w:rsidP="001A4D6C">
      <w:pPr>
        <w:keepNext/>
        <w:keepLines/>
        <w:rPr>
          <w:i/>
        </w:rPr>
      </w:pPr>
      <w:r w:rsidRPr="00C258AD">
        <w:rPr>
          <w:i/>
        </w:rPr>
        <w:t>Niveaux de service des systèmes d’information</w:t>
      </w:r>
    </w:p>
    <w:p w:rsidR="006E2BB1" w:rsidRPr="00C258AD" w:rsidRDefault="006E2BB1" w:rsidP="001A4D6C">
      <w:pPr>
        <w:pStyle w:val="BodyText2"/>
        <w:keepLines/>
        <w:spacing w:after="0" w:line="240" w:lineRule="auto"/>
        <w:rPr>
          <w:rFonts w:cs="Arial"/>
          <w:lang w:val="fr-FR"/>
        </w:rPr>
      </w:pPr>
    </w:p>
    <w:p w:rsidR="006E2BB1" w:rsidRPr="00C258AD" w:rsidRDefault="007D57EE" w:rsidP="00BB4DBC">
      <w:pPr>
        <w:keepNext/>
        <w:keepLines/>
        <w:numPr>
          <w:ilvl w:val="0"/>
          <w:numId w:val="40"/>
        </w:numPr>
        <w:rPr>
          <w:lang w:eastAsia="en-GB"/>
        </w:rPr>
      </w:pPr>
      <w:r w:rsidRPr="00C258AD">
        <w:rPr>
          <w:lang w:eastAsia="en-GB"/>
        </w:rPr>
        <w:t>L’indicateur d’exécution intitulé “niveaux de service des systèmes d’information” mesure l’exécution du service fourni par le Service des systèmes informatiques du PCT aux utilisateurs, sur la base de sa capacité à atteindre les objectifs convenus.</w:t>
      </w:r>
    </w:p>
    <w:p w:rsidR="006E2BB1" w:rsidRPr="00C258AD" w:rsidRDefault="006E2BB1" w:rsidP="001A4D6C">
      <w:pPr>
        <w:pStyle w:val="BodyText2"/>
        <w:spacing w:after="0" w:line="240" w:lineRule="auto"/>
        <w:rPr>
          <w:rFonts w:cs="Arial"/>
          <w:lang w:val="fr-FR"/>
        </w:rPr>
      </w:pPr>
    </w:p>
    <w:p w:rsidR="006E2BB1" w:rsidRPr="00C258AD" w:rsidRDefault="007D57EE" w:rsidP="00BB4DBC">
      <w:pPr>
        <w:numPr>
          <w:ilvl w:val="0"/>
          <w:numId w:val="40"/>
        </w:numPr>
        <w:rPr>
          <w:lang w:eastAsia="en-GB"/>
        </w:rPr>
      </w:pPr>
      <w:r w:rsidRPr="00C258AD">
        <w:rPr>
          <w:lang w:eastAsia="en-GB"/>
        </w:rPr>
        <w:lastRenderedPageBreak/>
        <w:t>Cet indicateur composite est calculé au moyen de la moyenne pondérée de cinq indicateurs d’exécution axés sur les objectifs</w:t>
      </w:r>
      <w:r w:rsidRPr="00C258AD">
        <w:rPr>
          <w:rStyle w:val="FootnoteReference"/>
          <w:rFonts w:eastAsia="SimSun"/>
          <w:lang w:eastAsia="en-GB"/>
        </w:rPr>
        <w:footnoteReference w:id="22"/>
      </w:r>
      <w:r w:rsidRPr="00C258AD">
        <w:rPr>
          <w:lang w:eastAsia="en-GB"/>
        </w:rPr>
        <w:t>.  Chaque indicateur est exprimé en pourcentage de l’objectif effectivement atteint.</w:t>
      </w:r>
    </w:p>
    <w:p w:rsidR="006E2BB1" w:rsidRPr="00C258AD" w:rsidRDefault="006E2BB1" w:rsidP="001A4D6C">
      <w:pPr>
        <w:autoSpaceDE w:val="0"/>
        <w:autoSpaceDN w:val="0"/>
        <w:adjustRightInd w:val="0"/>
        <w:jc w:val="both"/>
        <w:rPr>
          <w:lang w:eastAsia="en-GB"/>
        </w:rPr>
      </w:pPr>
    </w:p>
    <w:p w:rsidR="006E2BB1" w:rsidRPr="00C258AD" w:rsidRDefault="007D57EE" w:rsidP="00BB4DBC">
      <w:pPr>
        <w:numPr>
          <w:ilvl w:val="0"/>
          <w:numId w:val="40"/>
        </w:numPr>
      </w:pPr>
      <w:r w:rsidRPr="00C258AD">
        <w:t>En 2014, le niveau de service général était de 95,1% par rapport à la pleine réalisation des objectifs d’exécution.  L’année 2015 a aussi connu une amélioration et le niveau de service général a atteint les 96,5%.  Cela signifie que l’objectif pour l’exercice biennal, qui consistait à dépasser le niveau de référence de 2013 fixé à 93%, a été atteint au cours des deux années.</w:t>
      </w:r>
    </w:p>
    <w:p w:rsidR="006E2BB1" w:rsidRPr="00C258AD" w:rsidRDefault="006E2BB1" w:rsidP="001A4D6C">
      <w:pPr>
        <w:autoSpaceDE w:val="0"/>
        <w:autoSpaceDN w:val="0"/>
        <w:adjustRightInd w:val="0"/>
        <w:jc w:val="both"/>
      </w:pPr>
    </w:p>
    <w:p w:rsidR="006E2BB1" w:rsidRPr="00C258AD" w:rsidRDefault="006E2BB1" w:rsidP="001A4D6C"/>
    <w:p w:rsidR="006E2BB1" w:rsidRPr="00C258AD" w:rsidRDefault="007D57EE" w:rsidP="001A4D6C">
      <w:pPr>
        <w:jc w:val="center"/>
        <w:rPr>
          <w:b/>
          <w:sz w:val="18"/>
        </w:rPr>
      </w:pPr>
      <w:r w:rsidRPr="00C258AD">
        <w:rPr>
          <w:b/>
          <w:sz w:val="18"/>
        </w:rPr>
        <w:t>Niveaux de service des systèmes d’information</w:t>
      </w:r>
    </w:p>
    <w:p w:rsidR="007D57EE" w:rsidRPr="00C258AD" w:rsidRDefault="007D57EE" w:rsidP="001A4D6C">
      <w:pPr>
        <w:rPr>
          <w:lang w:eastAsia="en-GB"/>
        </w:rPr>
      </w:pPr>
    </w:p>
    <w:tbl>
      <w:tblPr>
        <w:tblStyle w:val="TableGrid"/>
        <w:tblW w:w="4958" w:type="pct"/>
        <w:tblInd w:w="38" w:type="dxa"/>
        <w:tblLook w:val="04A0" w:firstRow="1" w:lastRow="0" w:firstColumn="1" w:lastColumn="0" w:noHBand="0" w:noVBand="1"/>
      </w:tblPr>
      <w:tblGrid>
        <w:gridCol w:w="487"/>
        <w:gridCol w:w="3105"/>
        <w:gridCol w:w="1671"/>
        <w:gridCol w:w="1929"/>
        <w:gridCol w:w="759"/>
        <w:gridCol w:w="781"/>
        <w:gridCol w:w="759"/>
      </w:tblGrid>
      <w:tr w:rsidR="007D57EE" w:rsidRPr="00C258AD" w:rsidTr="001A4D6C">
        <w:tc>
          <w:tcPr>
            <w:tcW w:w="488" w:type="dxa"/>
            <w:vMerge w:val="restart"/>
            <w:shd w:val="clear" w:color="auto" w:fill="FFC000"/>
            <w:vAlign w:val="center"/>
          </w:tcPr>
          <w:p w:rsidR="007D57EE" w:rsidRPr="00C258AD" w:rsidRDefault="007D57EE" w:rsidP="001A4D6C">
            <w:pPr>
              <w:jc w:val="center"/>
              <w:rPr>
                <w:b/>
                <w:sz w:val="18"/>
                <w:szCs w:val="18"/>
                <w:lang w:eastAsia="en-GB"/>
              </w:rPr>
            </w:pPr>
            <w:r w:rsidRPr="00C258AD">
              <w:rPr>
                <w:b/>
                <w:sz w:val="18"/>
                <w:szCs w:val="18"/>
                <w:lang w:eastAsia="en-GB"/>
              </w:rPr>
              <w:t>Id</w:t>
            </w:r>
          </w:p>
        </w:tc>
        <w:tc>
          <w:tcPr>
            <w:tcW w:w="3117" w:type="dxa"/>
            <w:vMerge w:val="restart"/>
            <w:shd w:val="clear" w:color="auto" w:fill="FFC000"/>
            <w:vAlign w:val="center"/>
          </w:tcPr>
          <w:p w:rsidR="006E2BB1" w:rsidRPr="00C258AD" w:rsidRDefault="007D57EE" w:rsidP="001A4D6C">
            <w:pPr>
              <w:jc w:val="center"/>
              <w:rPr>
                <w:b/>
                <w:sz w:val="18"/>
                <w:szCs w:val="18"/>
                <w:lang w:eastAsia="en-GB"/>
              </w:rPr>
            </w:pPr>
            <w:r w:rsidRPr="00C258AD">
              <w:rPr>
                <w:b/>
                <w:sz w:val="18"/>
                <w:szCs w:val="18"/>
                <w:lang w:eastAsia="en-GB"/>
              </w:rPr>
              <w:t>Indicateurs d’exécution</w:t>
            </w:r>
          </w:p>
          <w:p w:rsidR="007D57EE" w:rsidRPr="00C258AD" w:rsidRDefault="007D57EE" w:rsidP="001A4D6C">
            <w:pPr>
              <w:jc w:val="center"/>
              <w:rPr>
                <w:b/>
                <w:sz w:val="18"/>
                <w:szCs w:val="18"/>
                <w:lang w:eastAsia="en-GB"/>
              </w:rPr>
            </w:pPr>
            <w:r w:rsidRPr="00C258AD">
              <w:rPr>
                <w:b/>
                <w:i/>
                <w:sz w:val="18"/>
                <w:szCs w:val="18"/>
                <w:lang w:eastAsia="en-GB"/>
              </w:rPr>
              <w:t>Description succincte</w:t>
            </w:r>
          </w:p>
        </w:tc>
        <w:tc>
          <w:tcPr>
            <w:tcW w:w="1675" w:type="dxa"/>
            <w:vMerge w:val="restart"/>
            <w:shd w:val="clear" w:color="auto" w:fill="FFC000"/>
            <w:vAlign w:val="center"/>
          </w:tcPr>
          <w:p w:rsidR="007D57EE" w:rsidRPr="00C258AD" w:rsidRDefault="007D57EE" w:rsidP="001A4D6C">
            <w:pPr>
              <w:jc w:val="center"/>
              <w:rPr>
                <w:b/>
                <w:sz w:val="18"/>
                <w:szCs w:val="18"/>
                <w:lang w:eastAsia="en-GB"/>
              </w:rPr>
            </w:pPr>
            <w:r w:rsidRPr="00C258AD">
              <w:rPr>
                <w:b/>
                <w:sz w:val="18"/>
                <w:szCs w:val="18"/>
                <w:lang w:eastAsia="en-GB"/>
              </w:rPr>
              <w:t>Objectifs visés</w:t>
            </w:r>
          </w:p>
        </w:tc>
        <w:tc>
          <w:tcPr>
            <w:tcW w:w="1934" w:type="dxa"/>
            <w:vMerge w:val="restart"/>
            <w:shd w:val="clear" w:color="auto" w:fill="FFC000"/>
            <w:vAlign w:val="center"/>
          </w:tcPr>
          <w:p w:rsidR="007D57EE" w:rsidRPr="00C258AD" w:rsidRDefault="007D57EE" w:rsidP="001A4D6C">
            <w:pPr>
              <w:jc w:val="center"/>
              <w:rPr>
                <w:b/>
                <w:sz w:val="18"/>
                <w:szCs w:val="18"/>
                <w:lang w:eastAsia="en-GB"/>
              </w:rPr>
            </w:pPr>
            <w:r w:rsidRPr="00C258AD">
              <w:rPr>
                <w:b/>
                <w:sz w:val="18"/>
                <w:szCs w:val="18"/>
                <w:lang w:eastAsia="en-GB"/>
              </w:rPr>
              <w:t>Conditions</w:t>
            </w:r>
          </w:p>
        </w:tc>
        <w:tc>
          <w:tcPr>
            <w:tcW w:w="2277" w:type="dxa"/>
            <w:gridSpan w:val="3"/>
            <w:shd w:val="clear" w:color="auto" w:fill="FFC000"/>
            <w:vAlign w:val="center"/>
          </w:tcPr>
          <w:p w:rsidR="007D57EE" w:rsidRPr="00C258AD" w:rsidRDefault="007D57EE" w:rsidP="001A4D6C">
            <w:pPr>
              <w:jc w:val="center"/>
              <w:rPr>
                <w:b/>
                <w:sz w:val="18"/>
                <w:szCs w:val="18"/>
                <w:lang w:eastAsia="en-GB"/>
              </w:rPr>
            </w:pPr>
            <w:r w:rsidRPr="00C258AD">
              <w:rPr>
                <w:b/>
                <w:sz w:val="18"/>
                <w:szCs w:val="18"/>
                <w:lang w:eastAsia="en-GB"/>
              </w:rPr>
              <w:t>Résultats</w:t>
            </w:r>
          </w:p>
        </w:tc>
      </w:tr>
      <w:tr w:rsidR="007D57EE" w:rsidRPr="00C258AD" w:rsidTr="00F36F7F">
        <w:tc>
          <w:tcPr>
            <w:tcW w:w="488" w:type="dxa"/>
            <w:vMerge/>
            <w:vAlign w:val="center"/>
          </w:tcPr>
          <w:p w:rsidR="007D57EE" w:rsidRPr="00C258AD" w:rsidRDefault="007D57EE" w:rsidP="001A4D6C">
            <w:pPr>
              <w:jc w:val="center"/>
              <w:rPr>
                <w:b/>
                <w:sz w:val="18"/>
                <w:szCs w:val="18"/>
                <w:lang w:eastAsia="en-GB"/>
              </w:rPr>
            </w:pPr>
          </w:p>
        </w:tc>
        <w:tc>
          <w:tcPr>
            <w:tcW w:w="3117" w:type="dxa"/>
            <w:vMerge/>
            <w:tcBorders>
              <w:bottom w:val="single" w:sz="4" w:space="0" w:color="auto"/>
            </w:tcBorders>
            <w:vAlign w:val="center"/>
          </w:tcPr>
          <w:p w:rsidR="007D57EE" w:rsidRPr="00C258AD" w:rsidRDefault="007D57EE" w:rsidP="001A4D6C">
            <w:pPr>
              <w:jc w:val="center"/>
              <w:rPr>
                <w:b/>
                <w:sz w:val="18"/>
                <w:szCs w:val="18"/>
                <w:lang w:eastAsia="en-GB"/>
              </w:rPr>
            </w:pPr>
          </w:p>
        </w:tc>
        <w:tc>
          <w:tcPr>
            <w:tcW w:w="1675" w:type="dxa"/>
            <w:vMerge/>
            <w:tcBorders>
              <w:bottom w:val="single" w:sz="4" w:space="0" w:color="auto"/>
            </w:tcBorders>
            <w:vAlign w:val="center"/>
          </w:tcPr>
          <w:p w:rsidR="007D57EE" w:rsidRPr="00C258AD" w:rsidRDefault="007D57EE" w:rsidP="001A4D6C">
            <w:pPr>
              <w:jc w:val="center"/>
              <w:rPr>
                <w:b/>
                <w:sz w:val="18"/>
                <w:szCs w:val="18"/>
                <w:lang w:eastAsia="en-GB"/>
              </w:rPr>
            </w:pPr>
          </w:p>
        </w:tc>
        <w:tc>
          <w:tcPr>
            <w:tcW w:w="1934" w:type="dxa"/>
            <w:vMerge/>
            <w:vAlign w:val="center"/>
          </w:tcPr>
          <w:p w:rsidR="007D57EE" w:rsidRPr="00C258AD" w:rsidRDefault="007D57EE" w:rsidP="001A4D6C">
            <w:pPr>
              <w:jc w:val="center"/>
              <w:rPr>
                <w:b/>
                <w:sz w:val="18"/>
                <w:szCs w:val="18"/>
                <w:lang w:eastAsia="en-GB"/>
              </w:rPr>
            </w:pPr>
          </w:p>
        </w:tc>
        <w:tc>
          <w:tcPr>
            <w:tcW w:w="759" w:type="dxa"/>
            <w:shd w:val="clear" w:color="auto" w:fill="FFC000"/>
            <w:vAlign w:val="center"/>
          </w:tcPr>
          <w:p w:rsidR="007D57EE" w:rsidRPr="00C258AD" w:rsidRDefault="007D57EE" w:rsidP="001A4D6C">
            <w:pPr>
              <w:jc w:val="center"/>
              <w:rPr>
                <w:b/>
                <w:sz w:val="18"/>
                <w:szCs w:val="18"/>
                <w:lang w:eastAsia="en-GB"/>
              </w:rPr>
            </w:pPr>
            <w:r w:rsidRPr="00C258AD">
              <w:rPr>
                <w:b/>
                <w:sz w:val="18"/>
                <w:szCs w:val="18"/>
                <w:lang w:eastAsia="en-GB"/>
              </w:rPr>
              <w:t>2013</w:t>
            </w:r>
          </w:p>
        </w:tc>
        <w:tc>
          <w:tcPr>
            <w:tcW w:w="759" w:type="dxa"/>
            <w:shd w:val="clear" w:color="auto" w:fill="FFC000"/>
            <w:vAlign w:val="center"/>
          </w:tcPr>
          <w:p w:rsidR="007D57EE" w:rsidRPr="00C258AD" w:rsidRDefault="007D57EE" w:rsidP="001A4D6C">
            <w:pPr>
              <w:jc w:val="center"/>
              <w:rPr>
                <w:b/>
                <w:sz w:val="18"/>
                <w:szCs w:val="18"/>
                <w:lang w:eastAsia="en-GB"/>
              </w:rPr>
            </w:pPr>
            <w:r w:rsidRPr="00C258AD">
              <w:rPr>
                <w:b/>
                <w:sz w:val="18"/>
                <w:szCs w:val="18"/>
                <w:lang w:eastAsia="en-GB"/>
              </w:rPr>
              <w:t>2014</w:t>
            </w:r>
          </w:p>
        </w:tc>
        <w:tc>
          <w:tcPr>
            <w:tcW w:w="759" w:type="dxa"/>
            <w:tcBorders>
              <w:bottom w:val="single" w:sz="4" w:space="0" w:color="auto"/>
            </w:tcBorders>
            <w:shd w:val="clear" w:color="auto" w:fill="FFC000"/>
            <w:vAlign w:val="center"/>
          </w:tcPr>
          <w:p w:rsidR="007D57EE" w:rsidRPr="00C258AD" w:rsidRDefault="007D57EE" w:rsidP="001A4D6C">
            <w:pPr>
              <w:jc w:val="center"/>
              <w:rPr>
                <w:b/>
                <w:sz w:val="18"/>
                <w:szCs w:val="18"/>
                <w:lang w:eastAsia="en-GB"/>
              </w:rPr>
            </w:pPr>
            <w:r w:rsidRPr="00C258AD">
              <w:rPr>
                <w:b/>
                <w:sz w:val="18"/>
                <w:szCs w:val="18"/>
                <w:lang w:eastAsia="en-GB"/>
              </w:rPr>
              <w:t>2015</w:t>
            </w:r>
          </w:p>
        </w:tc>
      </w:tr>
      <w:tr w:rsidR="007D57EE" w:rsidRPr="00C258AD" w:rsidTr="00F36F7F">
        <w:tc>
          <w:tcPr>
            <w:tcW w:w="488" w:type="dxa"/>
            <w:shd w:val="clear" w:color="auto" w:fill="auto"/>
            <w:vAlign w:val="center"/>
          </w:tcPr>
          <w:p w:rsidR="007D57EE" w:rsidRPr="00C258AD" w:rsidRDefault="007D57EE" w:rsidP="001A4D6C">
            <w:pPr>
              <w:rPr>
                <w:sz w:val="16"/>
                <w:szCs w:val="16"/>
                <w:lang w:eastAsia="en-GB"/>
              </w:rPr>
            </w:pPr>
            <w:r w:rsidRPr="00C258AD">
              <w:rPr>
                <w:sz w:val="16"/>
                <w:szCs w:val="16"/>
                <w:lang w:eastAsia="en-GB"/>
              </w:rPr>
              <w:t>1</w:t>
            </w:r>
          </w:p>
        </w:tc>
        <w:tc>
          <w:tcPr>
            <w:tcW w:w="3117" w:type="dxa"/>
            <w:tcBorders>
              <w:bottom w:val="nil"/>
            </w:tcBorders>
            <w:shd w:val="clear" w:color="auto" w:fill="auto"/>
            <w:vAlign w:val="center"/>
          </w:tcPr>
          <w:p w:rsidR="007D57EE" w:rsidRPr="00C258AD" w:rsidRDefault="007D57EE" w:rsidP="001A4D6C">
            <w:pPr>
              <w:rPr>
                <w:i/>
                <w:sz w:val="16"/>
                <w:szCs w:val="16"/>
                <w:lang w:eastAsia="en-GB"/>
              </w:rPr>
            </w:pPr>
            <w:r w:rsidRPr="00C258AD">
              <w:rPr>
                <w:sz w:val="16"/>
                <w:szCs w:val="16"/>
                <w:lang w:eastAsia="en-GB"/>
              </w:rPr>
              <w:t>Durée des interventions visant à régler un problème</w:t>
            </w:r>
          </w:p>
        </w:tc>
        <w:tc>
          <w:tcPr>
            <w:tcW w:w="1675" w:type="dxa"/>
            <w:tcBorders>
              <w:bottom w:val="nil"/>
            </w:tcBorders>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Gravité 1 : 4 heures</w:t>
            </w:r>
          </w:p>
        </w:tc>
        <w:tc>
          <w:tcPr>
            <w:tcW w:w="1934"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Tickets Production et Appui traités par l’équipe d’appui</w:t>
            </w:r>
          </w:p>
        </w:tc>
        <w:tc>
          <w:tcPr>
            <w:tcW w:w="759"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85,5%</w:t>
            </w:r>
          </w:p>
        </w:tc>
        <w:tc>
          <w:tcPr>
            <w:tcW w:w="759"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87,6%</w:t>
            </w:r>
            <w:r w:rsidRPr="00C258AD">
              <w:rPr>
                <w:rStyle w:val="FootnoteReference"/>
                <w:rFonts w:eastAsia="SimSun"/>
                <w:sz w:val="16"/>
                <w:szCs w:val="16"/>
                <w:lang w:eastAsia="en-GB"/>
              </w:rPr>
              <w:footnoteReference w:id="23"/>
            </w:r>
          </w:p>
        </w:tc>
        <w:tc>
          <w:tcPr>
            <w:tcW w:w="759" w:type="dxa"/>
            <w:vMerge w:val="restart"/>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93,6%</w:t>
            </w:r>
          </w:p>
        </w:tc>
      </w:tr>
      <w:tr w:rsidR="007D57EE" w:rsidRPr="00C258AD" w:rsidTr="00F36F7F">
        <w:trPr>
          <w:trHeight w:val="238"/>
        </w:trPr>
        <w:tc>
          <w:tcPr>
            <w:tcW w:w="488" w:type="dxa"/>
            <w:vMerge w:val="restart"/>
            <w:shd w:val="clear" w:color="auto" w:fill="auto"/>
          </w:tcPr>
          <w:p w:rsidR="007D57EE" w:rsidRPr="00C258AD" w:rsidRDefault="007D57EE" w:rsidP="001A4D6C">
            <w:pPr>
              <w:rPr>
                <w:sz w:val="16"/>
                <w:szCs w:val="16"/>
                <w:lang w:eastAsia="en-GB"/>
              </w:rPr>
            </w:pPr>
          </w:p>
        </w:tc>
        <w:tc>
          <w:tcPr>
            <w:tcW w:w="3117" w:type="dxa"/>
            <w:vMerge w:val="restart"/>
            <w:tcBorders>
              <w:top w:val="nil"/>
            </w:tcBorders>
            <w:shd w:val="clear" w:color="auto" w:fill="auto"/>
            <w:vAlign w:val="center"/>
          </w:tcPr>
          <w:p w:rsidR="007D57EE" w:rsidRPr="00C258AD" w:rsidRDefault="007D57EE" w:rsidP="001A4D6C">
            <w:pPr>
              <w:rPr>
                <w:sz w:val="16"/>
                <w:szCs w:val="16"/>
                <w:lang w:eastAsia="en-GB"/>
              </w:rPr>
            </w:pPr>
            <w:r w:rsidRPr="00C258AD">
              <w:rPr>
                <w:i/>
                <w:sz w:val="16"/>
                <w:szCs w:val="16"/>
                <w:lang w:eastAsia="en-GB"/>
              </w:rPr>
              <w:t xml:space="preserve">Temps de travail </w:t>
            </w:r>
            <w:r w:rsidRPr="00C258AD">
              <w:rPr>
                <w:i/>
                <w:sz w:val="16"/>
                <w:szCs w:val="16"/>
                <w:lang w:eastAsia="en-GB"/>
              </w:rPr>
              <w:br/>
              <w:t>(7 heures – 19 heures les jours ouvrables à l’OMPI) entre la création d’un ticket et la résolution du problème.</w:t>
            </w:r>
            <w:r w:rsidRPr="00C258AD">
              <w:rPr>
                <w:i/>
                <w:sz w:val="16"/>
              </w:rPr>
              <w:t xml:space="preserve"> </w:t>
            </w:r>
            <w:r w:rsidRPr="00C258AD">
              <w:rPr>
                <w:i/>
                <w:sz w:val="16"/>
                <w:szCs w:val="16"/>
                <w:lang w:eastAsia="en-GB"/>
              </w:rPr>
              <w:t xml:space="preserve"> </w:t>
            </w:r>
          </w:p>
        </w:tc>
        <w:tc>
          <w:tcPr>
            <w:tcW w:w="1675" w:type="dxa"/>
            <w:tcBorders>
              <w:top w:val="nil"/>
              <w:bottom w:val="nil"/>
            </w:tcBorders>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Gravité 2 : 2 jours</w:t>
            </w:r>
          </w:p>
        </w:tc>
        <w:tc>
          <w:tcPr>
            <w:tcW w:w="1934" w:type="dxa"/>
            <w:vMerge w:val="restart"/>
            <w:shd w:val="clear" w:color="auto" w:fill="auto"/>
          </w:tcPr>
          <w:p w:rsidR="007D57EE" w:rsidRPr="00C258AD" w:rsidRDefault="007D57EE" w:rsidP="001A4D6C">
            <w:pPr>
              <w:autoSpaceDE w:val="0"/>
              <w:autoSpaceDN w:val="0"/>
              <w:adjustRightInd w:val="0"/>
              <w:rPr>
                <w:sz w:val="16"/>
                <w:szCs w:val="16"/>
                <w:lang w:eastAsia="en-GB"/>
              </w:rPr>
            </w:pPr>
          </w:p>
        </w:tc>
        <w:tc>
          <w:tcPr>
            <w:tcW w:w="759" w:type="dxa"/>
            <w:vMerge w:val="restart"/>
            <w:shd w:val="clear" w:color="auto" w:fill="auto"/>
          </w:tcPr>
          <w:p w:rsidR="007D57EE" w:rsidRPr="00C258AD" w:rsidRDefault="007D57EE" w:rsidP="001A4D6C">
            <w:pPr>
              <w:autoSpaceDE w:val="0"/>
              <w:autoSpaceDN w:val="0"/>
              <w:adjustRightInd w:val="0"/>
              <w:jc w:val="right"/>
              <w:rPr>
                <w:sz w:val="16"/>
                <w:szCs w:val="16"/>
                <w:lang w:eastAsia="en-GB"/>
              </w:rPr>
            </w:pPr>
          </w:p>
        </w:tc>
        <w:tc>
          <w:tcPr>
            <w:tcW w:w="759" w:type="dxa"/>
            <w:vMerge w:val="restart"/>
            <w:shd w:val="clear" w:color="auto" w:fill="auto"/>
          </w:tcPr>
          <w:p w:rsidR="007D57EE" w:rsidRPr="00C258AD" w:rsidRDefault="007D57EE" w:rsidP="001A4D6C">
            <w:pPr>
              <w:autoSpaceDE w:val="0"/>
              <w:autoSpaceDN w:val="0"/>
              <w:adjustRightInd w:val="0"/>
              <w:jc w:val="right"/>
              <w:rPr>
                <w:sz w:val="16"/>
                <w:szCs w:val="16"/>
                <w:lang w:eastAsia="en-GB"/>
              </w:rPr>
            </w:pPr>
          </w:p>
        </w:tc>
        <w:tc>
          <w:tcPr>
            <w:tcW w:w="759" w:type="dxa"/>
            <w:vMerge/>
            <w:shd w:val="clear" w:color="auto" w:fill="auto"/>
          </w:tcPr>
          <w:p w:rsidR="007D57EE" w:rsidRPr="00C258AD" w:rsidRDefault="007D57EE" w:rsidP="001A4D6C">
            <w:pPr>
              <w:autoSpaceDE w:val="0"/>
              <w:autoSpaceDN w:val="0"/>
              <w:adjustRightInd w:val="0"/>
              <w:jc w:val="right"/>
              <w:rPr>
                <w:sz w:val="16"/>
                <w:szCs w:val="16"/>
                <w:lang w:eastAsia="en-GB"/>
              </w:rPr>
            </w:pPr>
          </w:p>
        </w:tc>
      </w:tr>
      <w:tr w:rsidR="007D57EE" w:rsidRPr="00C258AD" w:rsidTr="001A4D6C">
        <w:trPr>
          <w:trHeight w:val="239"/>
        </w:trPr>
        <w:tc>
          <w:tcPr>
            <w:tcW w:w="488" w:type="dxa"/>
            <w:vMerge/>
            <w:shd w:val="clear" w:color="auto" w:fill="auto"/>
          </w:tcPr>
          <w:p w:rsidR="007D57EE" w:rsidRPr="00C258AD" w:rsidRDefault="007D57EE" w:rsidP="001A4D6C">
            <w:pPr>
              <w:rPr>
                <w:sz w:val="16"/>
                <w:szCs w:val="16"/>
                <w:lang w:eastAsia="en-GB"/>
              </w:rPr>
            </w:pPr>
          </w:p>
        </w:tc>
        <w:tc>
          <w:tcPr>
            <w:tcW w:w="3117" w:type="dxa"/>
            <w:vMerge/>
            <w:shd w:val="clear" w:color="auto" w:fill="auto"/>
            <w:vAlign w:val="center"/>
          </w:tcPr>
          <w:p w:rsidR="007D57EE" w:rsidRPr="00C258AD" w:rsidRDefault="007D57EE" w:rsidP="001A4D6C">
            <w:pPr>
              <w:rPr>
                <w:i/>
                <w:sz w:val="16"/>
                <w:szCs w:val="16"/>
                <w:lang w:eastAsia="en-GB"/>
              </w:rPr>
            </w:pPr>
          </w:p>
        </w:tc>
        <w:tc>
          <w:tcPr>
            <w:tcW w:w="1675" w:type="dxa"/>
            <w:tcBorders>
              <w:top w:val="nil"/>
              <w:bottom w:val="nil"/>
            </w:tcBorders>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Gravité 3 : 5 jours</w:t>
            </w:r>
          </w:p>
        </w:tc>
        <w:tc>
          <w:tcPr>
            <w:tcW w:w="1934" w:type="dxa"/>
            <w:vMerge/>
            <w:shd w:val="clear" w:color="auto" w:fill="auto"/>
          </w:tcPr>
          <w:p w:rsidR="007D57EE" w:rsidRPr="00C258AD" w:rsidRDefault="007D57EE" w:rsidP="001A4D6C">
            <w:pPr>
              <w:autoSpaceDE w:val="0"/>
              <w:autoSpaceDN w:val="0"/>
              <w:adjustRightInd w:val="0"/>
              <w:rPr>
                <w:sz w:val="16"/>
                <w:szCs w:val="16"/>
                <w:lang w:eastAsia="en-GB"/>
              </w:rPr>
            </w:pPr>
          </w:p>
        </w:tc>
        <w:tc>
          <w:tcPr>
            <w:tcW w:w="759" w:type="dxa"/>
            <w:vMerge/>
            <w:shd w:val="clear" w:color="auto" w:fill="auto"/>
          </w:tcPr>
          <w:p w:rsidR="007D57EE" w:rsidRPr="00C258AD" w:rsidRDefault="007D57EE" w:rsidP="001A4D6C">
            <w:pPr>
              <w:autoSpaceDE w:val="0"/>
              <w:autoSpaceDN w:val="0"/>
              <w:adjustRightInd w:val="0"/>
              <w:jc w:val="right"/>
              <w:rPr>
                <w:sz w:val="16"/>
                <w:szCs w:val="16"/>
                <w:lang w:eastAsia="en-GB"/>
              </w:rPr>
            </w:pPr>
          </w:p>
        </w:tc>
        <w:tc>
          <w:tcPr>
            <w:tcW w:w="759" w:type="dxa"/>
            <w:vMerge/>
            <w:shd w:val="clear" w:color="auto" w:fill="auto"/>
          </w:tcPr>
          <w:p w:rsidR="007D57EE" w:rsidRPr="00C258AD" w:rsidRDefault="007D57EE" w:rsidP="001A4D6C">
            <w:pPr>
              <w:autoSpaceDE w:val="0"/>
              <w:autoSpaceDN w:val="0"/>
              <w:adjustRightInd w:val="0"/>
              <w:jc w:val="right"/>
              <w:rPr>
                <w:sz w:val="16"/>
                <w:szCs w:val="16"/>
                <w:lang w:eastAsia="en-GB"/>
              </w:rPr>
            </w:pPr>
          </w:p>
        </w:tc>
        <w:tc>
          <w:tcPr>
            <w:tcW w:w="759" w:type="dxa"/>
            <w:vMerge/>
            <w:shd w:val="clear" w:color="auto" w:fill="auto"/>
          </w:tcPr>
          <w:p w:rsidR="007D57EE" w:rsidRPr="00C258AD" w:rsidRDefault="007D57EE" w:rsidP="001A4D6C">
            <w:pPr>
              <w:autoSpaceDE w:val="0"/>
              <w:autoSpaceDN w:val="0"/>
              <w:adjustRightInd w:val="0"/>
              <w:jc w:val="right"/>
              <w:rPr>
                <w:sz w:val="16"/>
                <w:szCs w:val="16"/>
                <w:lang w:eastAsia="en-GB"/>
              </w:rPr>
            </w:pPr>
          </w:p>
        </w:tc>
      </w:tr>
      <w:tr w:rsidR="007D57EE" w:rsidRPr="00C258AD" w:rsidTr="001A4D6C">
        <w:trPr>
          <w:trHeight w:val="239"/>
        </w:trPr>
        <w:tc>
          <w:tcPr>
            <w:tcW w:w="488" w:type="dxa"/>
            <w:vMerge/>
            <w:shd w:val="clear" w:color="auto" w:fill="auto"/>
          </w:tcPr>
          <w:p w:rsidR="007D57EE" w:rsidRPr="00C258AD" w:rsidRDefault="007D57EE" w:rsidP="001A4D6C">
            <w:pPr>
              <w:rPr>
                <w:sz w:val="16"/>
                <w:szCs w:val="16"/>
                <w:lang w:eastAsia="en-GB"/>
              </w:rPr>
            </w:pPr>
          </w:p>
        </w:tc>
        <w:tc>
          <w:tcPr>
            <w:tcW w:w="3117" w:type="dxa"/>
            <w:vMerge/>
            <w:tcBorders>
              <w:bottom w:val="single" w:sz="4" w:space="0" w:color="auto"/>
            </w:tcBorders>
            <w:shd w:val="clear" w:color="auto" w:fill="auto"/>
            <w:vAlign w:val="center"/>
          </w:tcPr>
          <w:p w:rsidR="007D57EE" w:rsidRPr="00C258AD" w:rsidRDefault="007D57EE" w:rsidP="001A4D6C">
            <w:pPr>
              <w:rPr>
                <w:i/>
                <w:sz w:val="16"/>
                <w:szCs w:val="16"/>
                <w:lang w:eastAsia="en-GB"/>
              </w:rPr>
            </w:pPr>
          </w:p>
        </w:tc>
        <w:tc>
          <w:tcPr>
            <w:tcW w:w="1675" w:type="dxa"/>
            <w:tcBorders>
              <w:top w:val="nil"/>
            </w:tcBorders>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Gravité 4 : 10 jours</w:t>
            </w:r>
          </w:p>
        </w:tc>
        <w:tc>
          <w:tcPr>
            <w:tcW w:w="1934" w:type="dxa"/>
            <w:vMerge/>
            <w:shd w:val="clear" w:color="auto" w:fill="auto"/>
          </w:tcPr>
          <w:p w:rsidR="007D57EE" w:rsidRPr="00C258AD" w:rsidRDefault="007D57EE" w:rsidP="001A4D6C">
            <w:pPr>
              <w:autoSpaceDE w:val="0"/>
              <w:autoSpaceDN w:val="0"/>
              <w:adjustRightInd w:val="0"/>
              <w:rPr>
                <w:sz w:val="16"/>
                <w:szCs w:val="16"/>
                <w:lang w:eastAsia="en-GB"/>
              </w:rPr>
            </w:pPr>
          </w:p>
        </w:tc>
        <w:tc>
          <w:tcPr>
            <w:tcW w:w="759" w:type="dxa"/>
            <w:vMerge/>
            <w:shd w:val="clear" w:color="auto" w:fill="auto"/>
          </w:tcPr>
          <w:p w:rsidR="007D57EE" w:rsidRPr="00C258AD" w:rsidRDefault="007D57EE" w:rsidP="001A4D6C">
            <w:pPr>
              <w:autoSpaceDE w:val="0"/>
              <w:autoSpaceDN w:val="0"/>
              <w:adjustRightInd w:val="0"/>
              <w:jc w:val="right"/>
              <w:rPr>
                <w:sz w:val="16"/>
                <w:szCs w:val="16"/>
                <w:lang w:eastAsia="en-GB"/>
              </w:rPr>
            </w:pPr>
          </w:p>
        </w:tc>
        <w:tc>
          <w:tcPr>
            <w:tcW w:w="759" w:type="dxa"/>
            <w:vMerge/>
            <w:shd w:val="clear" w:color="auto" w:fill="auto"/>
          </w:tcPr>
          <w:p w:rsidR="007D57EE" w:rsidRPr="00C258AD" w:rsidRDefault="007D57EE" w:rsidP="001A4D6C">
            <w:pPr>
              <w:autoSpaceDE w:val="0"/>
              <w:autoSpaceDN w:val="0"/>
              <w:adjustRightInd w:val="0"/>
              <w:jc w:val="right"/>
              <w:rPr>
                <w:sz w:val="16"/>
                <w:szCs w:val="16"/>
                <w:lang w:eastAsia="en-GB"/>
              </w:rPr>
            </w:pPr>
          </w:p>
        </w:tc>
        <w:tc>
          <w:tcPr>
            <w:tcW w:w="759" w:type="dxa"/>
            <w:vMerge/>
            <w:shd w:val="clear" w:color="auto" w:fill="auto"/>
          </w:tcPr>
          <w:p w:rsidR="007D57EE" w:rsidRPr="00C258AD" w:rsidRDefault="007D57EE" w:rsidP="001A4D6C">
            <w:pPr>
              <w:autoSpaceDE w:val="0"/>
              <w:autoSpaceDN w:val="0"/>
              <w:adjustRightInd w:val="0"/>
              <w:jc w:val="right"/>
              <w:rPr>
                <w:sz w:val="16"/>
                <w:szCs w:val="16"/>
                <w:lang w:eastAsia="en-GB"/>
              </w:rPr>
            </w:pPr>
          </w:p>
        </w:tc>
      </w:tr>
      <w:tr w:rsidR="007D57EE" w:rsidRPr="00C258AD" w:rsidTr="001A4D6C">
        <w:tc>
          <w:tcPr>
            <w:tcW w:w="488" w:type="dxa"/>
            <w:vMerge w:val="restart"/>
            <w:shd w:val="clear" w:color="auto" w:fill="auto"/>
            <w:vAlign w:val="center"/>
          </w:tcPr>
          <w:p w:rsidR="007D57EE" w:rsidRPr="00C258AD" w:rsidRDefault="007D57EE" w:rsidP="001A4D6C">
            <w:pPr>
              <w:rPr>
                <w:sz w:val="16"/>
                <w:szCs w:val="16"/>
                <w:lang w:eastAsia="en-GB"/>
              </w:rPr>
            </w:pPr>
            <w:r w:rsidRPr="00C258AD">
              <w:rPr>
                <w:sz w:val="16"/>
                <w:szCs w:val="16"/>
                <w:lang w:eastAsia="en-GB"/>
              </w:rPr>
              <w:t>2</w:t>
            </w:r>
          </w:p>
        </w:tc>
        <w:tc>
          <w:tcPr>
            <w:tcW w:w="3117" w:type="dxa"/>
            <w:tcBorders>
              <w:bottom w:val="nil"/>
            </w:tcBorders>
            <w:shd w:val="clear" w:color="auto" w:fill="auto"/>
            <w:vAlign w:val="center"/>
          </w:tcPr>
          <w:p w:rsidR="007D57EE" w:rsidRPr="00C258AD" w:rsidRDefault="007D57EE" w:rsidP="001A4D6C">
            <w:pPr>
              <w:rPr>
                <w:sz w:val="16"/>
                <w:szCs w:val="16"/>
                <w:lang w:eastAsia="en-GB"/>
              </w:rPr>
            </w:pPr>
            <w:r w:rsidRPr="00C258AD">
              <w:rPr>
                <w:sz w:val="16"/>
                <w:szCs w:val="16"/>
                <w:lang w:eastAsia="en-GB"/>
              </w:rPr>
              <w:t>Temps de transmission du document</w:t>
            </w:r>
          </w:p>
        </w:tc>
        <w:tc>
          <w:tcPr>
            <w:tcW w:w="1675" w:type="dxa"/>
            <w:vMerge w:val="restart"/>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8 heures</w:t>
            </w:r>
          </w:p>
        </w:tc>
        <w:tc>
          <w:tcPr>
            <w:tcW w:w="1934" w:type="dxa"/>
            <w:vMerge w:val="restart"/>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Documents transmis au moyen d’un processus partiellement ou entièrement automatisé</w:t>
            </w:r>
          </w:p>
        </w:tc>
        <w:tc>
          <w:tcPr>
            <w:tcW w:w="759" w:type="dxa"/>
            <w:vMerge w:val="restart"/>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80,0%</w:t>
            </w:r>
          </w:p>
        </w:tc>
        <w:tc>
          <w:tcPr>
            <w:tcW w:w="759" w:type="dxa"/>
            <w:vMerge w:val="restart"/>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88,2%</w:t>
            </w:r>
          </w:p>
        </w:tc>
        <w:tc>
          <w:tcPr>
            <w:tcW w:w="759" w:type="dxa"/>
            <w:vMerge w:val="restart"/>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89,5%</w:t>
            </w:r>
          </w:p>
        </w:tc>
      </w:tr>
      <w:tr w:rsidR="007D57EE" w:rsidRPr="00C258AD" w:rsidTr="001A4D6C">
        <w:tc>
          <w:tcPr>
            <w:tcW w:w="488" w:type="dxa"/>
            <w:vMerge/>
            <w:shd w:val="clear" w:color="auto" w:fill="auto"/>
            <w:vAlign w:val="center"/>
          </w:tcPr>
          <w:p w:rsidR="007D57EE" w:rsidRPr="00C258AD" w:rsidRDefault="007D57EE" w:rsidP="001A4D6C">
            <w:pPr>
              <w:rPr>
                <w:sz w:val="16"/>
                <w:szCs w:val="16"/>
                <w:lang w:eastAsia="en-GB"/>
              </w:rPr>
            </w:pPr>
          </w:p>
        </w:tc>
        <w:tc>
          <w:tcPr>
            <w:tcW w:w="3117" w:type="dxa"/>
            <w:tcBorders>
              <w:top w:val="nil"/>
            </w:tcBorders>
            <w:shd w:val="clear" w:color="auto" w:fill="auto"/>
            <w:vAlign w:val="center"/>
          </w:tcPr>
          <w:p w:rsidR="007D57EE" w:rsidRPr="00C258AD" w:rsidRDefault="007D57EE" w:rsidP="001A4D6C">
            <w:pPr>
              <w:rPr>
                <w:i/>
                <w:sz w:val="16"/>
                <w:szCs w:val="16"/>
                <w:lang w:eastAsia="en-GB"/>
              </w:rPr>
            </w:pPr>
            <w:r w:rsidRPr="00C258AD">
              <w:rPr>
                <w:i/>
                <w:sz w:val="16"/>
                <w:szCs w:val="16"/>
                <w:lang w:eastAsia="en-GB"/>
              </w:rPr>
              <w:t xml:space="preserve">Temps écoulé entre la réception du document par le Bureau international et sa mise à disposition dans le système </w:t>
            </w:r>
            <w:proofErr w:type="spellStart"/>
            <w:r w:rsidRPr="00C258AD">
              <w:rPr>
                <w:i/>
                <w:sz w:val="16"/>
                <w:szCs w:val="16"/>
                <w:lang w:eastAsia="en-GB"/>
              </w:rPr>
              <w:t>eDossier</w:t>
            </w:r>
            <w:proofErr w:type="spellEnd"/>
          </w:p>
        </w:tc>
        <w:tc>
          <w:tcPr>
            <w:tcW w:w="1675" w:type="dxa"/>
            <w:vMerge/>
            <w:shd w:val="clear" w:color="auto" w:fill="auto"/>
            <w:vAlign w:val="center"/>
          </w:tcPr>
          <w:p w:rsidR="007D57EE" w:rsidRPr="00C258AD" w:rsidRDefault="007D57EE" w:rsidP="001A4D6C">
            <w:pPr>
              <w:autoSpaceDE w:val="0"/>
              <w:autoSpaceDN w:val="0"/>
              <w:adjustRightInd w:val="0"/>
              <w:rPr>
                <w:sz w:val="16"/>
                <w:szCs w:val="16"/>
                <w:lang w:eastAsia="en-GB"/>
              </w:rPr>
            </w:pPr>
          </w:p>
        </w:tc>
        <w:tc>
          <w:tcPr>
            <w:tcW w:w="1934" w:type="dxa"/>
            <w:vMerge/>
            <w:shd w:val="clear" w:color="auto" w:fill="auto"/>
            <w:vAlign w:val="center"/>
          </w:tcPr>
          <w:p w:rsidR="007D57EE" w:rsidRPr="00C258AD" w:rsidRDefault="007D57EE" w:rsidP="001A4D6C">
            <w:pPr>
              <w:autoSpaceDE w:val="0"/>
              <w:autoSpaceDN w:val="0"/>
              <w:adjustRightInd w:val="0"/>
              <w:rPr>
                <w:sz w:val="16"/>
                <w:szCs w:val="16"/>
                <w:lang w:eastAsia="en-GB"/>
              </w:rPr>
            </w:pPr>
          </w:p>
        </w:tc>
        <w:tc>
          <w:tcPr>
            <w:tcW w:w="759" w:type="dxa"/>
            <w:vMerge/>
            <w:shd w:val="clear" w:color="auto" w:fill="auto"/>
            <w:vAlign w:val="center"/>
          </w:tcPr>
          <w:p w:rsidR="007D57EE" w:rsidRPr="00C258AD" w:rsidRDefault="007D57EE" w:rsidP="001A4D6C">
            <w:pPr>
              <w:autoSpaceDE w:val="0"/>
              <w:autoSpaceDN w:val="0"/>
              <w:adjustRightInd w:val="0"/>
              <w:rPr>
                <w:sz w:val="16"/>
                <w:szCs w:val="16"/>
                <w:lang w:eastAsia="en-GB"/>
              </w:rPr>
            </w:pPr>
          </w:p>
        </w:tc>
        <w:tc>
          <w:tcPr>
            <w:tcW w:w="759" w:type="dxa"/>
            <w:vMerge/>
            <w:shd w:val="clear" w:color="auto" w:fill="auto"/>
            <w:vAlign w:val="center"/>
          </w:tcPr>
          <w:p w:rsidR="007D57EE" w:rsidRPr="00C258AD" w:rsidRDefault="007D57EE" w:rsidP="001A4D6C">
            <w:pPr>
              <w:autoSpaceDE w:val="0"/>
              <w:autoSpaceDN w:val="0"/>
              <w:adjustRightInd w:val="0"/>
              <w:rPr>
                <w:sz w:val="16"/>
                <w:szCs w:val="16"/>
                <w:lang w:eastAsia="en-GB"/>
              </w:rPr>
            </w:pPr>
          </w:p>
        </w:tc>
        <w:tc>
          <w:tcPr>
            <w:tcW w:w="759" w:type="dxa"/>
            <w:vMerge/>
            <w:shd w:val="clear" w:color="auto" w:fill="auto"/>
            <w:vAlign w:val="center"/>
          </w:tcPr>
          <w:p w:rsidR="007D57EE" w:rsidRPr="00C258AD" w:rsidRDefault="007D57EE" w:rsidP="001A4D6C">
            <w:pPr>
              <w:autoSpaceDE w:val="0"/>
              <w:autoSpaceDN w:val="0"/>
              <w:adjustRightInd w:val="0"/>
              <w:rPr>
                <w:sz w:val="16"/>
                <w:szCs w:val="16"/>
                <w:lang w:eastAsia="en-GB"/>
              </w:rPr>
            </w:pPr>
          </w:p>
        </w:tc>
      </w:tr>
      <w:tr w:rsidR="007D57EE" w:rsidRPr="00C258AD" w:rsidTr="001A4D6C">
        <w:tc>
          <w:tcPr>
            <w:tcW w:w="488"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3</w:t>
            </w:r>
          </w:p>
        </w:tc>
        <w:tc>
          <w:tcPr>
            <w:tcW w:w="3117"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Taux de réussite des travaux de traitement par lots</w:t>
            </w:r>
          </w:p>
        </w:tc>
        <w:tc>
          <w:tcPr>
            <w:tcW w:w="1675"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100%</w:t>
            </w:r>
          </w:p>
        </w:tc>
        <w:tc>
          <w:tcPr>
            <w:tcW w:w="1934"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Lots à traiter avec succès avant la fermeture des bureaux à la date prévue</w:t>
            </w:r>
          </w:p>
        </w:tc>
        <w:tc>
          <w:tcPr>
            <w:tcW w:w="759"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99,6%</w:t>
            </w:r>
          </w:p>
        </w:tc>
        <w:tc>
          <w:tcPr>
            <w:tcW w:w="759"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99,5%</w:t>
            </w:r>
          </w:p>
        </w:tc>
        <w:tc>
          <w:tcPr>
            <w:tcW w:w="759"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99,6%</w:t>
            </w:r>
          </w:p>
        </w:tc>
      </w:tr>
      <w:tr w:rsidR="007D57EE" w:rsidRPr="00C258AD" w:rsidTr="001A4D6C">
        <w:tc>
          <w:tcPr>
            <w:tcW w:w="488"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4</w:t>
            </w:r>
          </w:p>
        </w:tc>
        <w:tc>
          <w:tcPr>
            <w:tcW w:w="3117"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 xml:space="preserve">Accessibilité du système </w:t>
            </w:r>
            <w:proofErr w:type="spellStart"/>
            <w:r w:rsidRPr="00C258AD">
              <w:rPr>
                <w:sz w:val="16"/>
                <w:szCs w:val="16"/>
                <w:lang w:eastAsia="en-GB"/>
              </w:rPr>
              <w:t>eDossier</w:t>
            </w:r>
            <w:proofErr w:type="spellEnd"/>
          </w:p>
        </w:tc>
        <w:tc>
          <w:tcPr>
            <w:tcW w:w="1675"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99%</w:t>
            </w:r>
          </w:p>
        </w:tc>
        <w:tc>
          <w:tcPr>
            <w:tcW w:w="1934"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7 heures à 19 heures les jours ouvrables</w:t>
            </w:r>
          </w:p>
        </w:tc>
        <w:tc>
          <w:tcPr>
            <w:tcW w:w="759"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100,0%</w:t>
            </w:r>
          </w:p>
        </w:tc>
        <w:tc>
          <w:tcPr>
            <w:tcW w:w="759"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100,0%</w:t>
            </w:r>
          </w:p>
        </w:tc>
        <w:tc>
          <w:tcPr>
            <w:tcW w:w="759"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100,0%</w:t>
            </w:r>
          </w:p>
        </w:tc>
      </w:tr>
      <w:tr w:rsidR="007D57EE" w:rsidRPr="00C258AD" w:rsidTr="001A4D6C">
        <w:tc>
          <w:tcPr>
            <w:tcW w:w="488"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5</w:t>
            </w:r>
          </w:p>
        </w:tc>
        <w:tc>
          <w:tcPr>
            <w:tcW w:w="3117" w:type="dxa"/>
            <w:tcBorders>
              <w:bottom w:val="single" w:sz="4" w:space="0" w:color="auto"/>
            </w:tcBorders>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 xml:space="preserve">Accessibilité du système </w:t>
            </w:r>
            <w:proofErr w:type="spellStart"/>
            <w:r w:rsidRPr="00C258AD">
              <w:rPr>
                <w:sz w:val="16"/>
                <w:szCs w:val="16"/>
                <w:lang w:eastAsia="en-GB"/>
              </w:rPr>
              <w:t>ePCT</w:t>
            </w:r>
            <w:proofErr w:type="spellEnd"/>
          </w:p>
        </w:tc>
        <w:tc>
          <w:tcPr>
            <w:tcW w:w="1675"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99%</w:t>
            </w:r>
          </w:p>
        </w:tc>
        <w:tc>
          <w:tcPr>
            <w:tcW w:w="1934"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24 heures sur 24</w:t>
            </w:r>
          </w:p>
        </w:tc>
        <w:tc>
          <w:tcPr>
            <w:tcW w:w="759"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100,0%</w:t>
            </w:r>
          </w:p>
        </w:tc>
        <w:tc>
          <w:tcPr>
            <w:tcW w:w="759"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100,0%</w:t>
            </w:r>
          </w:p>
        </w:tc>
        <w:tc>
          <w:tcPr>
            <w:tcW w:w="759" w:type="dxa"/>
            <w:shd w:val="clear" w:color="auto" w:fill="auto"/>
            <w:vAlign w:val="center"/>
          </w:tcPr>
          <w:p w:rsidR="007D57EE" w:rsidRPr="00C258AD" w:rsidRDefault="007D57EE" w:rsidP="001A4D6C">
            <w:pPr>
              <w:autoSpaceDE w:val="0"/>
              <w:autoSpaceDN w:val="0"/>
              <w:adjustRightInd w:val="0"/>
              <w:rPr>
                <w:sz w:val="16"/>
                <w:szCs w:val="16"/>
                <w:lang w:eastAsia="en-GB"/>
              </w:rPr>
            </w:pPr>
            <w:r w:rsidRPr="00C258AD">
              <w:rPr>
                <w:sz w:val="16"/>
                <w:szCs w:val="16"/>
                <w:lang w:eastAsia="en-GB"/>
              </w:rPr>
              <w:t>100,0%</w:t>
            </w:r>
          </w:p>
        </w:tc>
      </w:tr>
      <w:tr w:rsidR="007D57EE" w:rsidRPr="00C258AD" w:rsidTr="001A4D6C">
        <w:tc>
          <w:tcPr>
            <w:tcW w:w="488" w:type="dxa"/>
            <w:shd w:val="clear" w:color="auto" w:fill="auto"/>
            <w:vAlign w:val="center"/>
          </w:tcPr>
          <w:p w:rsidR="007D57EE" w:rsidRPr="00C258AD" w:rsidRDefault="007D57EE" w:rsidP="001A4D6C">
            <w:pPr>
              <w:autoSpaceDE w:val="0"/>
              <w:autoSpaceDN w:val="0"/>
              <w:adjustRightInd w:val="0"/>
              <w:rPr>
                <w:b/>
                <w:sz w:val="16"/>
                <w:szCs w:val="16"/>
                <w:lang w:eastAsia="en-GB"/>
              </w:rPr>
            </w:pPr>
          </w:p>
        </w:tc>
        <w:tc>
          <w:tcPr>
            <w:tcW w:w="3117" w:type="dxa"/>
            <w:tcBorders>
              <w:bottom w:val="nil"/>
            </w:tcBorders>
            <w:shd w:val="clear" w:color="auto" w:fill="auto"/>
            <w:vAlign w:val="center"/>
          </w:tcPr>
          <w:p w:rsidR="007D57EE" w:rsidRPr="00C258AD" w:rsidRDefault="007D57EE" w:rsidP="001A4D6C">
            <w:pPr>
              <w:autoSpaceDE w:val="0"/>
              <w:autoSpaceDN w:val="0"/>
              <w:adjustRightInd w:val="0"/>
              <w:rPr>
                <w:b/>
                <w:i/>
                <w:sz w:val="16"/>
                <w:szCs w:val="16"/>
                <w:lang w:eastAsia="en-GB"/>
              </w:rPr>
            </w:pPr>
            <w:r w:rsidRPr="00C258AD">
              <w:rPr>
                <w:b/>
                <w:sz w:val="16"/>
                <w:szCs w:val="16"/>
                <w:lang w:eastAsia="en-GB"/>
              </w:rPr>
              <w:t>Niveaux de service des systèmes informatiques</w:t>
            </w:r>
          </w:p>
        </w:tc>
        <w:tc>
          <w:tcPr>
            <w:tcW w:w="1675" w:type="dxa"/>
            <w:shd w:val="clear" w:color="auto" w:fill="auto"/>
            <w:vAlign w:val="center"/>
          </w:tcPr>
          <w:p w:rsidR="007D57EE" w:rsidRPr="00C258AD" w:rsidRDefault="007D57EE" w:rsidP="001A4D6C">
            <w:pPr>
              <w:autoSpaceDE w:val="0"/>
              <w:autoSpaceDN w:val="0"/>
              <w:adjustRightInd w:val="0"/>
              <w:rPr>
                <w:b/>
                <w:sz w:val="16"/>
                <w:szCs w:val="16"/>
                <w:lang w:eastAsia="en-GB"/>
              </w:rPr>
            </w:pPr>
          </w:p>
        </w:tc>
        <w:tc>
          <w:tcPr>
            <w:tcW w:w="1934" w:type="dxa"/>
            <w:shd w:val="clear" w:color="auto" w:fill="auto"/>
            <w:vAlign w:val="center"/>
          </w:tcPr>
          <w:p w:rsidR="007D57EE" w:rsidRPr="00C258AD" w:rsidRDefault="007D57EE" w:rsidP="001A4D6C">
            <w:pPr>
              <w:autoSpaceDE w:val="0"/>
              <w:autoSpaceDN w:val="0"/>
              <w:adjustRightInd w:val="0"/>
              <w:rPr>
                <w:b/>
                <w:sz w:val="16"/>
                <w:szCs w:val="16"/>
                <w:lang w:eastAsia="en-GB"/>
              </w:rPr>
            </w:pPr>
          </w:p>
        </w:tc>
        <w:tc>
          <w:tcPr>
            <w:tcW w:w="759" w:type="dxa"/>
            <w:shd w:val="clear" w:color="auto" w:fill="auto"/>
            <w:vAlign w:val="center"/>
          </w:tcPr>
          <w:p w:rsidR="007D57EE" w:rsidRPr="00C258AD" w:rsidRDefault="007D57EE" w:rsidP="001A4D6C">
            <w:pPr>
              <w:autoSpaceDE w:val="0"/>
              <w:autoSpaceDN w:val="0"/>
              <w:adjustRightInd w:val="0"/>
              <w:rPr>
                <w:b/>
                <w:sz w:val="16"/>
                <w:szCs w:val="16"/>
              </w:rPr>
            </w:pPr>
            <w:r w:rsidRPr="00C258AD">
              <w:rPr>
                <w:b/>
                <w:sz w:val="16"/>
                <w:szCs w:val="16"/>
              </w:rPr>
              <w:t>93,0%</w:t>
            </w:r>
          </w:p>
        </w:tc>
        <w:tc>
          <w:tcPr>
            <w:tcW w:w="759" w:type="dxa"/>
            <w:shd w:val="clear" w:color="auto" w:fill="auto"/>
            <w:vAlign w:val="center"/>
          </w:tcPr>
          <w:p w:rsidR="007D57EE" w:rsidRPr="00C258AD" w:rsidRDefault="007D57EE" w:rsidP="001A4D6C">
            <w:pPr>
              <w:autoSpaceDE w:val="0"/>
              <w:autoSpaceDN w:val="0"/>
              <w:adjustRightInd w:val="0"/>
              <w:rPr>
                <w:b/>
                <w:sz w:val="16"/>
                <w:szCs w:val="16"/>
              </w:rPr>
            </w:pPr>
            <w:r w:rsidRPr="00C258AD">
              <w:rPr>
                <w:b/>
                <w:sz w:val="16"/>
                <w:szCs w:val="16"/>
              </w:rPr>
              <w:t>95,1%</w:t>
            </w:r>
            <w:r w:rsidRPr="00C258AD">
              <w:rPr>
                <w:rStyle w:val="FootnoteReference"/>
                <w:rFonts w:eastAsia="SimSun"/>
                <w:b/>
                <w:sz w:val="16"/>
                <w:szCs w:val="16"/>
              </w:rPr>
              <w:footnoteReference w:id="24"/>
            </w:r>
          </w:p>
        </w:tc>
        <w:tc>
          <w:tcPr>
            <w:tcW w:w="759" w:type="dxa"/>
            <w:vMerge w:val="restart"/>
            <w:shd w:val="clear" w:color="auto" w:fill="auto"/>
            <w:vAlign w:val="center"/>
          </w:tcPr>
          <w:p w:rsidR="007D57EE" w:rsidRPr="00C258AD" w:rsidRDefault="007D57EE" w:rsidP="001A4D6C">
            <w:pPr>
              <w:autoSpaceDE w:val="0"/>
              <w:autoSpaceDN w:val="0"/>
              <w:adjustRightInd w:val="0"/>
              <w:rPr>
                <w:b/>
                <w:sz w:val="16"/>
                <w:szCs w:val="16"/>
              </w:rPr>
            </w:pPr>
            <w:r w:rsidRPr="00C258AD">
              <w:rPr>
                <w:b/>
                <w:sz w:val="16"/>
                <w:szCs w:val="16"/>
              </w:rPr>
              <w:t>96,5%</w:t>
            </w:r>
          </w:p>
        </w:tc>
      </w:tr>
      <w:tr w:rsidR="007D57EE" w:rsidRPr="00C258AD" w:rsidTr="001A4D6C">
        <w:tc>
          <w:tcPr>
            <w:tcW w:w="488" w:type="dxa"/>
            <w:tcBorders>
              <w:bottom w:val="single" w:sz="4" w:space="0" w:color="auto"/>
            </w:tcBorders>
            <w:shd w:val="clear" w:color="auto" w:fill="auto"/>
            <w:vAlign w:val="center"/>
          </w:tcPr>
          <w:p w:rsidR="007D57EE" w:rsidRPr="00C258AD" w:rsidRDefault="007D57EE" w:rsidP="001A4D6C">
            <w:pPr>
              <w:autoSpaceDE w:val="0"/>
              <w:autoSpaceDN w:val="0"/>
              <w:adjustRightInd w:val="0"/>
              <w:rPr>
                <w:b/>
                <w:sz w:val="16"/>
                <w:szCs w:val="16"/>
                <w:lang w:eastAsia="en-GB"/>
              </w:rPr>
            </w:pPr>
          </w:p>
        </w:tc>
        <w:tc>
          <w:tcPr>
            <w:tcW w:w="3117" w:type="dxa"/>
            <w:tcBorders>
              <w:top w:val="nil"/>
              <w:bottom w:val="single" w:sz="4" w:space="0" w:color="auto"/>
            </w:tcBorders>
            <w:shd w:val="clear" w:color="auto" w:fill="auto"/>
            <w:vAlign w:val="center"/>
          </w:tcPr>
          <w:p w:rsidR="007D57EE" w:rsidRPr="00C258AD" w:rsidRDefault="007D57EE" w:rsidP="001A4D6C">
            <w:pPr>
              <w:autoSpaceDE w:val="0"/>
              <w:autoSpaceDN w:val="0"/>
              <w:adjustRightInd w:val="0"/>
              <w:rPr>
                <w:b/>
                <w:sz w:val="16"/>
                <w:szCs w:val="16"/>
                <w:lang w:eastAsia="en-GB"/>
              </w:rPr>
            </w:pPr>
            <w:r w:rsidRPr="00C258AD">
              <w:rPr>
                <w:b/>
                <w:i/>
                <w:sz w:val="16"/>
                <w:szCs w:val="16"/>
                <w:lang w:eastAsia="en-GB"/>
              </w:rPr>
              <w:t>Moyenne pondérée des indicateurs précités : 1) : 20% 2) : 20% 3) : 20% 4) : 20% 5) : 20%.</w:t>
            </w:r>
          </w:p>
        </w:tc>
        <w:tc>
          <w:tcPr>
            <w:tcW w:w="1675" w:type="dxa"/>
            <w:tcBorders>
              <w:bottom w:val="single" w:sz="4" w:space="0" w:color="auto"/>
            </w:tcBorders>
            <w:shd w:val="clear" w:color="auto" w:fill="auto"/>
            <w:vAlign w:val="center"/>
          </w:tcPr>
          <w:p w:rsidR="007D57EE" w:rsidRPr="00C258AD" w:rsidRDefault="007D57EE" w:rsidP="001A4D6C">
            <w:pPr>
              <w:autoSpaceDE w:val="0"/>
              <w:autoSpaceDN w:val="0"/>
              <w:adjustRightInd w:val="0"/>
              <w:rPr>
                <w:b/>
                <w:sz w:val="16"/>
                <w:szCs w:val="16"/>
                <w:lang w:eastAsia="en-GB"/>
              </w:rPr>
            </w:pPr>
          </w:p>
        </w:tc>
        <w:tc>
          <w:tcPr>
            <w:tcW w:w="1934" w:type="dxa"/>
            <w:tcBorders>
              <w:bottom w:val="single" w:sz="4" w:space="0" w:color="auto"/>
            </w:tcBorders>
            <w:shd w:val="clear" w:color="auto" w:fill="auto"/>
            <w:vAlign w:val="center"/>
          </w:tcPr>
          <w:p w:rsidR="007D57EE" w:rsidRPr="00C258AD" w:rsidRDefault="007D57EE" w:rsidP="001A4D6C">
            <w:pPr>
              <w:autoSpaceDE w:val="0"/>
              <w:autoSpaceDN w:val="0"/>
              <w:adjustRightInd w:val="0"/>
              <w:rPr>
                <w:b/>
                <w:sz w:val="16"/>
                <w:szCs w:val="16"/>
                <w:lang w:eastAsia="en-GB"/>
              </w:rPr>
            </w:pPr>
          </w:p>
        </w:tc>
        <w:tc>
          <w:tcPr>
            <w:tcW w:w="759" w:type="dxa"/>
            <w:tcBorders>
              <w:bottom w:val="single" w:sz="4" w:space="0" w:color="auto"/>
            </w:tcBorders>
            <w:shd w:val="clear" w:color="auto" w:fill="auto"/>
            <w:vAlign w:val="center"/>
          </w:tcPr>
          <w:p w:rsidR="007D57EE" w:rsidRPr="00C258AD" w:rsidRDefault="007D57EE" w:rsidP="001A4D6C">
            <w:pPr>
              <w:autoSpaceDE w:val="0"/>
              <w:autoSpaceDN w:val="0"/>
              <w:adjustRightInd w:val="0"/>
              <w:rPr>
                <w:b/>
                <w:sz w:val="16"/>
                <w:szCs w:val="16"/>
              </w:rPr>
            </w:pPr>
          </w:p>
        </w:tc>
        <w:tc>
          <w:tcPr>
            <w:tcW w:w="759" w:type="dxa"/>
            <w:tcBorders>
              <w:bottom w:val="single" w:sz="4" w:space="0" w:color="auto"/>
            </w:tcBorders>
            <w:shd w:val="clear" w:color="auto" w:fill="auto"/>
            <w:vAlign w:val="center"/>
          </w:tcPr>
          <w:p w:rsidR="007D57EE" w:rsidRPr="00C258AD" w:rsidRDefault="007D57EE" w:rsidP="001A4D6C">
            <w:pPr>
              <w:autoSpaceDE w:val="0"/>
              <w:autoSpaceDN w:val="0"/>
              <w:adjustRightInd w:val="0"/>
              <w:rPr>
                <w:b/>
                <w:sz w:val="16"/>
                <w:szCs w:val="16"/>
              </w:rPr>
            </w:pPr>
          </w:p>
        </w:tc>
        <w:tc>
          <w:tcPr>
            <w:tcW w:w="759" w:type="dxa"/>
            <w:vMerge/>
            <w:tcBorders>
              <w:bottom w:val="single" w:sz="4" w:space="0" w:color="auto"/>
            </w:tcBorders>
            <w:shd w:val="clear" w:color="auto" w:fill="auto"/>
            <w:vAlign w:val="center"/>
          </w:tcPr>
          <w:p w:rsidR="007D57EE" w:rsidRPr="00C258AD" w:rsidRDefault="007D57EE" w:rsidP="001A4D6C">
            <w:pPr>
              <w:autoSpaceDE w:val="0"/>
              <w:autoSpaceDN w:val="0"/>
              <w:adjustRightInd w:val="0"/>
              <w:rPr>
                <w:b/>
                <w:sz w:val="16"/>
                <w:szCs w:val="16"/>
              </w:rPr>
            </w:pPr>
          </w:p>
        </w:tc>
      </w:tr>
      <w:tr w:rsidR="007D57EE" w:rsidRPr="00C258AD" w:rsidTr="001A4D6C">
        <w:tc>
          <w:tcPr>
            <w:tcW w:w="9491" w:type="dxa"/>
            <w:gridSpan w:val="7"/>
            <w:tcBorders>
              <w:top w:val="single" w:sz="4" w:space="0" w:color="auto"/>
              <w:left w:val="nil"/>
              <w:bottom w:val="nil"/>
            </w:tcBorders>
            <w:shd w:val="clear" w:color="auto" w:fill="auto"/>
            <w:vAlign w:val="center"/>
          </w:tcPr>
          <w:p w:rsidR="007D57EE" w:rsidRPr="00C258AD" w:rsidRDefault="007D57EE" w:rsidP="001A4D6C">
            <w:pPr>
              <w:autoSpaceDE w:val="0"/>
              <w:autoSpaceDN w:val="0"/>
              <w:adjustRightInd w:val="0"/>
              <w:rPr>
                <w:sz w:val="14"/>
                <w:szCs w:val="16"/>
              </w:rPr>
            </w:pPr>
            <w:r w:rsidRPr="00C258AD">
              <w:rPr>
                <w:sz w:val="14"/>
                <w:szCs w:val="16"/>
              </w:rPr>
              <w:t>Source : Opérations du PCT, février 2016</w:t>
            </w:r>
          </w:p>
        </w:tc>
      </w:tr>
    </w:tbl>
    <w:p w:rsidR="006E2BB1" w:rsidRPr="00C258AD" w:rsidRDefault="006E2BB1" w:rsidP="001A4D6C"/>
    <w:p w:rsidR="006E2BB1" w:rsidRPr="00C258AD" w:rsidRDefault="006E2BB1" w:rsidP="001A4D6C"/>
    <w:p w:rsidR="006E2BB1" w:rsidRPr="00C258AD" w:rsidRDefault="007D57EE" w:rsidP="001A4D6C">
      <w:pPr>
        <w:rPr>
          <w:b/>
          <w:szCs w:val="16"/>
        </w:rPr>
      </w:pPr>
      <w:r w:rsidRPr="00C258AD">
        <w:rPr>
          <w:b/>
          <w:szCs w:val="16"/>
        </w:rPr>
        <w:t>Bureau international agissant en tant qu’office récepteur (RO/IB)</w:t>
      </w:r>
    </w:p>
    <w:p w:rsidR="006E2BB1" w:rsidRPr="00C258AD" w:rsidRDefault="006E2BB1" w:rsidP="001A4D6C"/>
    <w:p w:rsidR="006E2BB1" w:rsidRPr="00C258AD" w:rsidRDefault="007D57EE" w:rsidP="001A4D6C">
      <w:pPr>
        <w:rPr>
          <w:i/>
        </w:rPr>
      </w:pPr>
      <w:r w:rsidRPr="00C258AD">
        <w:rPr>
          <w:i/>
        </w:rPr>
        <w:t>Dépôts</w:t>
      </w:r>
    </w:p>
    <w:p w:rsidR="006E2BB1" w:rsidRPr="00C258AD" w:rsidRDefault="006E2BB1" w:rsidP="001A4D6C"/>
    <w:p w:rsidR="006E2BB1" w:rsidRPr="00C258AD" w:rsidRDefault="007D57EE" w:rsidP="00BB4DBC">
      <w:pPr>
        <w:numPr>
          <w:ilvl w:val="0"/>
          <w:numId w:val="40"/>
        </w:numPr>
      </w:pPr>
      <w:r w:rsidRPr="00C258AD">
        <w:t>Ce tableau indique les 10 principaux offices récepteurs classés en fonction du nombre de demandes déposées selon le PCT au cours des cinq dernières années, jusqu’en 2015.  En principe, une demande selon le PCT est déposée auprès de l’office des brevets national du pays d’origine du déposant ou d’un office de brevets régional agissant au nom de la juridiction dont relève le déposant.  Le Bureau international est compétent pour agir en qualité d’office récepteur pour les déposants de tous les États contractants du PCT.  L’évolution des dépôts auprès du Bureau international, le classement de celui</w:t>
      </w:r>
      <w:r w:rsidRPr="00C258AD">
        <w:rPr>
          <w:szCs w:val="22"/>
        </w:rPr>
        <w:noBreakHyphen/>
        <w:t xml:space="preserve">ci </w:t>
      </w:r>
      <w:r w:rsidRPr="00C258AD">
        <w:t>par rapport à d’autres offices récepteurs et sa part de marché sont indiqués dans ce tableau.</w:t>
      </w:r>
    </w:p>
    <w:p w:rsidR="006E2BB1" w:rsidRPr="00C258AD" w:rsidRDefault="006E2BB1" w:rsidP="001A4D6C"/>
    <w:p w:rsidR="006E2BB1" w:rsidRPr="00C258AD" w:rsidRDefault="007D57EE" w:rsidP="001A4D6C">
      <w:pPr>
        <w:jc w:val="center"/>
      </w:pPr>
      <w:r w:rsidRPr="00C258AD">
        <w:rPr>
          <w:noProof/>
          <w:lang w:val="en-US"/>
        </w:rPr>
        <w:lastRenderedPageBreak/>
        <w:drawing>
          <wp:inline distT="0" distB="0" distL="0" distR="0" wp14:anchorId="5BE05EDC" wp14:editId="49A3FEF4">
            <wp:extent cx="5406314" cy="2642347"/>
            <wp:effectExtent l="0" t="0" r="4445" b="5715"/>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405248" cy="2641826"/>
                    </a:xfrm>
                    <a:prstGeom prst="rect">
                      <a:avLst/>
                    </a:prstGeom>
                    <a:noFill/>
                    <a:ln>
                      <a:noFill/>
                    </a:ln>
                  </pic:spPr>
                </pic:pic>
              </a:graphicData>
            </a:graphic>
          </wp:inline>
        </w:drawing>
      </w:r>
    </w:p>
    <w:p w:rsidR="006E2BB1" w:rsidRPr="00C258AD" w:rsidRDefault="006E2BB1" w:rsidP="001A4D6C"/>
    <w:p w:rsidR="006E2BB1" w:rsidRPr="00C258AD" w:rsidRDefault="007D57EE" w:rsidP="00BB4DBC">
      <w:pPr>
        <w:numPr>
          <w:ilvl w:val="0"/>
          <w:numId w:val="40"/>
        </w:numPr>
      </w:pPr>
      <w:r w:rsidRPr="00C258AD">
        <w:t>Dans le programme et budget pour l’exercice biennal 2014</w:t>
      </w:r>
      <w:r w:rsidRPr="00C258AD">
        <w:noBreakHyphen/>
        <w:t>2015, les deux indicateurs d’exécution ci</w:t>
      </w:r>
      <w:r w:rsidRPr="00C258AD">
        <w:noBreakHyphen/>
        <w:t>après ont été ajoutés pour le Bureau international agissant en tant qu’office récepteur :</w:t>
      </w:r>
    </w:p>
    <w:p w:rsidR="006E2BB1" w:rsidRPr="00C258AD" w:rsidRDefault="006E2BB1" w:rsidP="001A4D6C">
      <w:pPr>
        <w:pStyle w:val="PlainText"/>
        <w:rPr>
          <w:rFonts w:ascii="Arial" w:hAnsi="Arial" w:cs="Arial"/>
        </w:rPr>
      </w:pPr>
    </w:p>
    <w:p w:rsidR="006E2BB1" w:rsidRPr="00C258AD" w:rsidRDefault="006E2BB1" w:rsidP="001A4D6C">
      <w:pPr>
        <w:pStyle w:val="PlainText"/>
        <w:rPr>
          <w:rFonts w:ascii="Arial" w:hAnsi="Arial" w:cs="Arial"/>
        </w:rPr>
      </w:pPr>
    </w:p>
    <w:p w:rsidR="006E2BB1" w:rsidRPr="00C258AD" w:rsidRDefault="007D57EE" w:rsidP="001A4D6C">
      <w:pPr>
        <w:pStyle w:val="PlainText"/>
        <w:rPr>
          <w:rFonts w:ascii="Arial" w:hAnsi="Arial" w:cs="Arial"/>
        </w:rPr>
      </w:pPr>
      <w:r w:rsidRPr="00C258AD">
        <w:rPr>
          <w:rFonts w:ascii="Arial" w:hAnsi="Arial" w:cs="Arial"/>
          <w:i/>
        </w:rPr>
        <w:t>Délai de notification de la date de dépôt international</w:t>
      </w:r>
    </w:p>
    <w:p w:rsidR="006E2BB1" w:rsidRPr="00C258AD" w:rsidRDefault="006E2BB1" w:rsidP="001A4D6C">
      <w:pPr>
        <w:pStyle w:val="PlainText"/>
        <w:rPr>
          <w:rFonts w:ascii="Arial" w:hAnsi="Arial" w:cs="Arial"/>
        </w:rPr>
      </w:pPr>
    </w:p>
    <w:p w:rsidR="006E2BB1" w:rsidRPr="00C258AD" w:rsidRDefault="007D57EE" w:rsidP="00BB4DBC">
      <w:pPr>
        <w:numPr>
          <w:ilvl w:val="0"/>
          <w:numId w:val="40"/>
        </w:numPr>
      </w:pPr>
      <w:r w:rsidRPr="00C258AD">
        <w:t xml:space="preserve">Cet indicateur rend compte du temps qu’il faut au Bureau international agissant en tant qu’office récepteur pour émettre le formulaire 105.  Ce formulaire est émis après l’attribution de la date de dépôt international.  Les déposants apprécient de recevoir ce formulaire le plus tôt possible car une demande internationale </w:t>
      </w:r>
      <w:proofErr w:type="gramStart"/>
      <w:r w:rsidRPr="00C258AD">
        <w:t>a</w:t>
      </w:r>
      <w:proofErr w:type="gramEnd"/>
      <w:r w:rsidRPr="00C258AD">
        <w:t xml:space="preserve"> l’effet d’une demande nationale ordinaire dans chaque État désigné à compter de la date de dépôt international, qui sera considérée comme la date de dépôt effective dans chaque État désigné.</w:t>
      </w:r>
    </w:p>
    <w:p w:rsidR="006E2BB1" w:rsidRPr="00C258AD" w:rsidRDefault="006E2BB1" w:rsidP="001A4D6C">
      <w:pPr>
        <w:pStyle w:val="BodyText2"/>
        <w:spacing w:after="0" w:line="240" w:lineRule="auto"/>
        <w:rPr>
          <w:rFonts w:cs="Arial"/>
          <w:lang w:val="fr-FR"/>
        </w:rPr>
      </w:pPr>
    </w:p>
    <w:p w:rsidR="006E2BB1" w:rsidRPr="00C258AD" w:rsidRDefault="006E2BB1" w:rsidP="001A4D6C">
      <w:pPr>
        <w:pStyle w:val="BodyText2"/>
        <w:spacing w:after="0" w:line="240" w:lineRule="auto"/>
        <w:rPr>
          <w:rFonts w:cs="Arial"/>
          <w:lang w:val="fr-FR"/>
        </w:rPr>
      </w:pPr>
    </w:p>
    <w:p w:rsidR="006E2BB1" w:rsidRPr="00C258AD" w:rsidRDefault="007D57EE" w:rsidP="001A4D6C">
      <w:pPr>
        <w:pStyle w:val="PlainText"/>
        <w:keepNext/>
        <w:keepLines/>
        <w:jc w:val="center"/>
        <w:rPr>
          <w:rFonts w:ascii="Arial" w:hAnsi="Arial" w:cs="Arial"/>
          <w:b/>
          <w:sz w:val="18"/>
        </w:rPr>
      </w:pPr>
      <w:r w:rsidRPr="00C258AD">
        <w:rPr>
          <w:rFonts w:ascii="Arial" w:hAnsi="Arial" w:cs="Arial"/>
          <w:b/>
          <w:sz w:val="18"/>
        </w:rPr>
        <w:t>Délai de notification de la date de dépôt international</w:t>
      </w:r>
    </w:p>
    <w:p w:rsidR="006E2BB1" w:rsidRPr="00C258AD" w:rsidRDefault="007D57EE" w:rsidP="001A4D6C">
      <w:pPr>
        <w:jc w:val="center"/>
      </w:pPr>
      <w:r w:rsidRPr="00C258AD">
        <w:rPr>
          <w:noProof/>
          <w:lang w:val="en-US"/>
        </w:rPr>
        <w:drawing>
          <wp:inline distT="0" distB="0" distL="0" distR="0" wp14:anchorId="3378B919" wp14:editId="3961C17C">
            <wp:extent cx="5940425" cy="2525188"/>
            <wp:effectExtent l="0" t="0" r="3175" b="8890"/>
            <wp:docPr id="1041" name="Pictur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940425" cy="2525188"/>
                    </a:xfrm>
                    <a:prstGeom prst="rect">
                      <a:avLst/>
                    </a:prstGeom>
                    <a:noFill/>
                    <a:ln>
                      <a:noFill/>
                    </a:ln>
                  </pic:spPr>
                </pic:pic>
              </a:graphicData>
            </a:graphic>
          </wp:inline>
        </w:drawing>
      </w:r>
    </w:p>
    <w:p w:rsidR="006E2BB1" w:rsidRPr="00C258AD" w:rsidRDefault="006E2BB1" w:rsidP="001A4D6C">
      <w:pPr>
        <w:pStyle w:val="PlainText"/>
        <w:keepNext/>
        <w:keepLines/>
        <w:jc w:val="center"/>
        <w:rPr>
          <w:rFonts w:ascii="Arial" w:hAnsi="Arial" w:cs="Arial"/>
        </w:rPr>
      </w:pPr>
    </w:p>
    <w:p w:rsidR="006E2BB1" w:rsidRPr="00C258AD" w:rsidRDefault="006E2BB1" w:rsidP="001A4D6C"/>
    <w:p w:rsidR="006E2BB1" w:rsidRPr="00C258AD" w:rsidRDefault="006E2BB1" w:rsidP="001A4D6C">
      <w:pPr>
        <w:pStyle w:val="PlainText"/>
        <w:rPr>
          <w:rFonts w:ascii="Arial" w:hAnsi="Arial" w:cs="Arial"/>
        </w:rPr>
      </w:pPr>
    </w:p>
    <w:p w:rsidR="006E2BB1" w:rsidRPr="00C258AD" w:rsidRDefault="007D57EE" w:rsidP="001A4D6C">
      <w:pPr>
        <w:pStyle w:val="PlainText"/>
        <w:rPr>
          <w:rFonts w:ascii="Arial" w:hAnsi="Arial" w:cs="Arial"/>
          <w:i/>
        </w:rPr>
      </w:pPr>
      <w:r w:rsidRPr="00C258AD">
        <w:rPr>
          <w:rFonts w:ascii="Arial" w:hAnsi="Arial" w:cs="Arial"/>
          <w:i/>
        </w:rPr>
        <w:t>Délai de transmission de la copie de recherche</w:t>
      </w:r>
    </w:p>
    <w:p w:rsidR="006E2BB1" w:rsidRPr="00C258AD" w:rsidRDefault="006E2BB1" w:rsidP="001A4D6C">
      <w:pPr>
        <w:pStyle w:val="PlainText"/>
        <w:rPr>
          <w:rFonts w:ascii="Arial" w:hAnsi="Arial" w:cs="Arial"/>
        </w:rPr>
      </w:pPr>
    </w:p>
    <w:p w:rsidR="006E2BB1" w:rsidRPr="00C258AD" w:rsidRDefault="007D57EE" w:rsidP="00BB4DBC">
      <w:pPr>
        <w:numPr>
          <w:ilvl w:val="0"/>
          <w:numId w:val="40"/>
        </w:numPr>
      </w:pPr>
      <w:r w:rsidRPr="00C258AD">
        <w:t xml:space="preserve">Cet indicateur rend compte du temps qu’il faut au Bureau international agissant en tant qu’office récepteur pour transmettre les copies de recherche aux administrations chargées de la recherche internationale.  La copie de recherche doit être transmise rapidement après paiement de la taxe de recherche afin que l’administration chargée de la recherche internationale puisse établir le rapport de recherche internationale dans les délais fixés par le cadre réglementaire du PCT.  Les retards de paiement de la taxe retardent la transmission des copies de recherche aux administrations chargées de </w:t>
      </w:r>
      <w:r w:rsidRPr="00C258AD">
        <w:lastRenderedPageBreak/>
        <w:t>la recherche internationale et ont donc un impact négatif sur la capacité de ces administrations de respecter ces délais.</w:t>
      </w:r>
    </w:p>
    <w:p w:rsidR="006E2BB1" w:rsidRPr="00C258AD" w:rsidRDefault="006E2BB1" w:rsidP="001A4D6C"/>
    <w:p w:rsidR="006E2BB1" w:rsidRPr="00C258AD" w:rsidRDefault="006E2BB1" w:rsidP="001A4D6C"/>
    <w:p w:rsidR="006E2BB1" w:rsidRPr="00C258AD" w:rsidRDefault="007D57EE" w:rsidP="001A4D6C">
      <w:pPr>
        <w:pStyle w:val="PlainText"/>
        <w:keepNext/>
        <w:jc w:val="center"/>
        <w:rPr>
          <w:rFonts w:ascii="Arial" w:hAnsi="Arial" w:cs="Arial"/>
          <w:b/>
          <w:sz w:val="18"/>
        </w:rPr>
      </w:pPr>
      <w:r w:rsidRPr="00C258AD">
        <w:rPr>
          <w:rFonts w:ascii="Arial" w:hAnsi="Arial" w:cs="Arial"/>
          <w:b/>
          <w:sz w:val="18"/>
        </w:rPr>
        <w:t>Délai de transmission de la copie de recherche</w:t>
      </w:r>
    </w:p>
    <w:p w:rsidR="006E2BB1" w:rsidRPr="00C258AD" w:rsidRDefault="007D57EE" w:rsidP="001A4D6C">
      <w:pPr>
        <w:jc w:val="center"/>
      </w:pPr>
      <w:r w:rsidRPr="00C258AD">
        <w:rPr>
          <w:noProof/>
          <w:lang w:val="en-US"/>
        </w:rPr>
        <w:drawing>
          <wp:inline distT="0" distB="0" distL="0" distR="0" wp14:anchorId="76487DDF" wp14:editId="5611CD52">
            <wp:extent cx="5940425" cy="2721684"/>
            <wp:effectExtent l="0" t="0" r="3175" b="2540"/>
            <wp:docPr id="1042" name="Pictur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40425" cy="2721684"/>
                    </a:xfrm>
                    <a:prstGeom prst="rect">
                      <a:avLst/>
                    </a:prstGeom>
                    <a:noFill/>
                    <a:ln>
                      <a:noFill/>
                    </a:ln>
                  </pic:spPr>
                </pic:pic>
              </a:graphicData>
            </a:graphic>
          </wp:inline>
        </w:drawing>
      </w:r>
    </w:p>
    <w:p w:rsidR="00F36F7F" w:rsidRDefault="00F36F7F">
      <w:pPr>
        <w:spacing w:after="200" w:line="276" w:lineRule="auto"/>
      </w:pPr>
    </w:p>
    <w:p w:rsidR="00F36F7F" w:rsidRDefault="00F36F7F" w:rsidP="00F36F7F">
      <w:pPr>
        <w:pStyle w:val="Endofdocument-Annex"/>
      </w:pPr>
    </w:p>
    <w:p w:rsidR="00F36F7F" w:rsidRPr="006B4497" w:rsidRDefault="00F36F7F" w:rsidP="00F36F7F">
      <w:pPr>
        <w:pStyle w:val="Endofdocument-Annex"/>
        <w:rPr>
          <w:lang w:val="fr-CH"/>
        </w:rPr>
      </w:pPr>
      <w:r w:rsidRPr="006B4497">
        <w:rPr>
          <w:lang w:val="fr-CH"/>
        </w:rPr>
        <w:t>[Fin de l’annexe]</w:t>
      </w:r>
    </w:p>
    <w:p w:rsidR="006E2BB1" w:rsidRPr="00C258AD" w:rsidRDefault="00F93DE1">
      <w:pPr>
        <w:spacing w:after="200" w:line="276" w:lineRule="auto"/>
        <w:rPr>
          <w:rFonts w:cs="Arial"/>
          <w:b/>
          <w:bCs/>
          <w:iCs/>
          <w:caps/>
          <w:sz w:val="22"/>
          <w:szCs w:val="28"/>
        </w:rPr>
      </w:pPr>
      <w:r w:rsidRPr="00C258AD">
        <w:br w:type="page"/>
      </w:r>
    </w:p>
    <w:p w:rsidR="00C14A86" w:rsidRPr="00C258AD" w:rsidRDefault="00C14A86" w:rsidP="006364A5">
      <w:pPr>
        <w:pStyle w:val="Heading3"/>
      </w:pPr>
      <w:bookmarkStart w:id="77" w:name="_Toc422404221"/>
      <w:bookmarkStart w:id="78" w:name="_Toc423352869"/>
      <w:bookmarkStart w:id="79" w:name="_Toc455394183"/>
      <w:r w:rsidRPr="00C258AD">
        <w:lastRenderedPageBreak/>
        <w:t>Programme 6</w:t>
      </w:r>
      <w:r w:rsidRPr="00C258AD">
        <w:tab/>
        <w:t>Systèmes de Madrid et de Lisbonne</w:t>
      </w:r>
      <w:bookmarkEnd w:id="77"/>
      <w:bookmarkEnd w:id="78"/>
      <w:bookmarkEnd w:id="79"/>
    </w:p>
    <w:p w:rsidR="00C14A86" w:rsidRPr="00C258AD" w:rsidRDefault="00C14A86" w:rsidP="006364A5"/>
    <w:p w:rsidR="00C14A86" w:rsidRPr="00C258AD" w:rsidRDefault="00C14A86" w:rsidP="006364A5">
      <w:pPr>
        <w:tabs>
          <w:tab w:val="left" w:pos="2268"/>
        </w:tabs>
        <w:rPr>
          <w:b/>
          <w:szCs w:val="22"/>
        </w:rPr>
      </w:pPr>
      <w:r w:rsidRPr="00C258AD">
        <w:rPr>
          <w:b/>
          <w:szCs w:val="22"/>
        </w:rPr>
        <w:t>Chef de programme</w:t>
      </w:r>
      <w:r w:rsidRPr="00C258AD">
        <w:rPr>
          <w:b/>
          <w:szCs w:val="22"/>
        </w:rPr>
        <w:tab/>
        <w:t>Mme B. Wang</w:t>
      </w:r>
    </w:p>
    <w:p w:rsidR="00C14A86" w:rsidRPr="00C258AD" w:rsidRDefault="00C14A86" w:rsidP="006364A5">
      <w:pPr>
        <w:rPr>
          <w:sz w:val="18"/>
        </w:rPr>
      </w:pPr>
    </w:p>
    <w:p w:rsidR="00C14A86" w:rsidRPr="00C258AD" w:rsidRDefault="00C14A86" w:rsidP="006364A5"/>
    <w:p w:rsidR="00C14A86" w:rsidRPr="00C258AD" w:rsidRDefault="00C14A86" w:rsidP="006364A5">
      <w:pPr>
        <w:keepNext/>
        <w:rPr>
          <w:rFonts w:cs="Arial"/>
          <w:caps/>
          <w:sz w:val="22"/>
          <w:szCs w:val="22"/>
        </w:rPr>
      </w:pPr>
      <w:r w:rsidRPr="00C258AD">
        <w:rPr>
          <w:rFonts w:cs="Arial"/>
          <w:caps/>
          <w:sz w:val="22"/>
          <w:szCs w:val="22"/>
        </w:rPr>
        <w:t>Réalisations au cours de l’exercice biennal 2014</w:t>
      </w:r>
      <w:r w:rsidRPr="00C258AD">
        <w:rPr>
          <w:rFonts w:cs="Arial"/>
          <w:caps/>
          <w:sz w:val="22"/>
          <w:szCs w:val="22"/>
        </w:rPr>
        <w:noBreakHyphen/>
        <w:t>2015</w:t>
      </w:r>
    </w:p>
    <w:p w:rsidR="00C14A86" w:rsidRPr="00C258AD" w:rsidRDefault="00C14A86" w:rsidP="006364A5"/>
    <w:p w:rsidR="00C14A86" w:rsidRPr="00C258AD" w:rsidRDefault="00C14A86" w:rsidP="006364A5"/>
    <w:p w:rsidR="00C14A86" w:rsidRPr="00C258AD" w:rsidRDefault="00C14A86" w:rsidP="00DF2EEF">
      <w:pPr>
        <w:pStyle w:val="ListParagraph"/>
        <w:numPr>
          <w:ilvl w:val="0"/>
          <w:numId w:val="96"/>
        </w:numPr>
        <w:ind w:left="567" w:hanging="567"/>
        <w:jc w:val="both"/>
      </w:pPr>
      <w:r w:rsidRPr="00C258AD">
        <w:t xml:space="preserve">LE </w:t>
      </w:r>
      <w:r w:rsidRPr="00C258AD">
        <w:rPr>
          <w:rFonts w:eastAsia="SimSun"/>
          <w:caps/>
          <w:lang w:eastAsia="zh-CN"/>
        </w:rPr>
        <w:t>Système de Madrid</w:t>
      </w:r>
    </w:p>
    <w:p w:rsidR="00C14A86" w:rsidRPr="00C258AD" w:rsidRDefault="00C14A86" w:rsidP="006364A5">
      <w:pPr>
        <w:tabs>
          <w:tab w:val="left" w:pos="709"/>
        </w:tabs>
        <w:jc w:val="both"/>
      </w:pPr>
    </w:p>
    <w:p w:rsidR="00C14A86" w:rsidRPr="00C258AD" w:rsidRDefault="00C14A86" w:rsidP="00C14A86">
      <w:pPr>
        <w:pStyle w:val="ListParagraph"/>
        <w:numPr>
          <w:ilvl w:val="0"/>
          <w:numId w:val="64"/>
        </w:numPr>
        <w:tabs>
          <w:tab w:val="left" w:pos="709"/>
        </w:tabs>
        <w:ind w:left="0" w:firstLine="0"/>
        <w:jc w:val="both"/>
      </w:pPr>
      <w:r w:rsidRPr="00C258AD">
        <w:t>L’exercice biennal a vu de nombreuses avancées positives du point de vue de l’expansion géographique du système.  En 2014, le Zimbabwe et l’Organisation africaine de la propriété intellectuelle (OAPI) ont adhéré au Protocole de Madrid.  L’OAPI étant une organisation intergouvernementale comptant 17 pays, ces deux adhésions à elles seules ont fait passer en 2014 de 94 à 110 le nombre de pays au sein desquels les utilisateurs sont en mesure de protéger leurs marques de manière centralisée par l’intermédiaire du système de Madrid</w:t>
      </w:r>
      <w:r w:rsidRPr="00C258AD">
        <w:rPr>
          <w:rFonts w:cs="Arial"/>
          <w:lang w:eastAsia="ko-KR"/>
        </w:rPr>
        <w:t>.  En 2015, l’Algérie, le Cambodge, la Gambie et la République démocratique populaire lao ont également adhéré au Protocole de Madrid, de sorte que l’Union de Madrid compte désormais 97 membres couvrant 113 pays.  Étant donné que l’Algérie était la dernière partie contractante de l’Union de Madrid à être encore membre de l’Arrangement de Madrid seulement, cela signifie qu’en pratique, le système de Madrid fonctionne désormais comme un système à traité unique.</w:t>
      </w:r>
    </w:p>
    <w:p w:rsidR="00C14A86" w:rsidRPr="00C258AD" w:rsidRDefault="00C14A86" w:rsidP="006364A5">
      <w:pPr>
        <w:tabs>
          <w:tab w:val="left" w:pos="709"/>
        </w:tabs>
        <w:jc w:val="both"/>
      </w:pPr>
    </w:p>
    <w:p w:rsidR="00C14A86" w:rsidRPr="00C258AD" w:rsidRDefault="00C14A86" w:rsidP="00C14A86">
      <w:pPr>
        <w:pStyle w:val="ListParagraph"/>
        <w:numPr>
          <w:ilvl w:val="0"/>
          <w:numId w:val="64"/>
        </w:numPr>
        <w:tabs>
          <w:tab w:val="left" w:pos="709"/>
        </w:tabs>
        <w:ind w:left="0" w:firstLine="0"/>
        <w:jc w:val="both"/>
      </w:pPr>
      <w:r w:rsidRPr="00C258AD">
        <w:t>L’utilisation du système de Madrid a augmenté de 2,3% en 2014 par rapport à 2013, avec un total de 47 885 demandes reçues.  En 2014, les États</w:t>
      </w:r>
      <w:r w:rsidRPr="00C258AD">
        <w:noBreakHyphen/>
        <w:t>Unis d’Amérique ont dépassé l’Allemagne en tant que principal utilisateur du système de Madrid, ce qui illustre plus précisément la transformation géographique du système.  Le nombre total de demandes reçues est passé à 49 273 en 2015, ce qui représente une augmentation de 2,9% par rapport à 2014.  L’exercice biennal a donc connu une croissance vigoureuse, surtout si l’on considère que le système de Madrid est devenu plus coûteux pour les déposants d’un certain nombre des principaux pays déposants, du fait de la forte appréciation du franc suisse en 2015.</w:t>
      </w:r>
    </w:p>
    <w:p w:rsidR="00C14A86" w:rsidRPr="00C258AD" w:rsidRDefault="00C14A86" w:rsidP="006364A5">
      <w:pPr>
        <w:tabs>
          <w:tab w:val="left" w:pos="709"/>
        </w:tabs>
        <w:jc w:val="both"/>
      </w:pPr>
    </w:p>
    <w:p w:rsidR="00C14A86" w:rsidRPr="00C258AD" w:rsidRDefault="00C14A86" w:rsidP="00C14A86">
      <w:pPr>
        <w:pStyle w:val="ListParagraph"/>
        <w:numPr>
          <w:ilvl w:val="0"/>
          <w:numId w:val="64"/>
        </w:numPr>
        <w:tabs>
          <w:tab w:val="left" w:pos="709"/>
        </w:tabs>
        <w:ind w:left="0" w:firstLine="0"/>
        <w:jc w:val="both"/>
      </w:pPr>
      <w:r w:rsidRPr="00C258AD">
        <w:t xml:space="preserve">Les discussions au sein du Groupe de travail sur le développement juridique du système de Madrid ont conduit l’Assemblée de l’Union de Madrid à apporter un certain nombre de modifications importantes au règlement d’exécution commun, à savoir : </w:t>
      </w:r>
      <w:r w:rsidRPr="00C258AD">
        <w:rPr>
          <w:rFonts w:cs="Arial"/>
          <w:lang w:eastAsia="ko-KR"/>
        </w:rPr>
        <w:t xml:space="preserve">i) la </w:t>
      </w:r>
      <w:r w:rsidRPr="00C258AD">
        <w:t xml:space="preserve">“poursuite de la procédure” est désormais à la disposition des déposants ou titulaires qui ne respectent pas les délais fixés pour certaines procédures précises devant le Bureau international;  ii) la procédure de renouvellement a été simplifiée avec l’introduction d’une option permettant de renouveler un enregistrement international uniquement pour une liste limitée de produits et services plutôt que de devoir demander l’inscription d’une limitation avant le renouvellement, ce qui était le cas auparavant;  </w:t>
      </w:r>
      <w:r w:rsidRPr="00C258AD">
        <w:rPr>
          <w:rFonts w:cs="Arial"/>
          <w:lang w:eastAsia="ko-KR"/>
        </w:rPr>
        <w:t>iii)</w:t>
      </w:r>
      <w:r w:rsidRPr="00C258AD">
        <w:t> </w:t>
      </w:r>
      <w:r w:rsidRPr="00C258AD">
        <w:rPr>
          <w:rFonts w:cs="Arial"/>
          <w:lang w:eastAsia="ko-KR"/>
        </w:rPr>
        <w:t>l’inobservation d’un délai pour adresser une communication au Bureau international lorsque celle</w:t>
      </w:r>
      <w:r w:rsidRPr="00C258AD">
        <w:rPr>
          <w:rFonts w:cs="Arial"/>
          <w:lang w:eastAsia="ko-KR"/>
        </w:rPr>
        <w:noBreakHyphen/>
        <w:t>ci a été envoyée par voie électronique sera excusée si la partie en cause prouve de manière satisfaisante que le délai n’a pas été respecté en raison d’une défaillance dans la communication électronique avec le Bureau international ou d’une défaillance concernant la localité de la partie intéressée en raison de circonstances extraordinaires;  iv) le déposant ou le titulaire qui demande l’inscription d’un changement d’adresse de correspondance, adresse électronique ou autre moyen de communication sera exempté de taxe;  v) les déposants seront autorisés à fournir une description volontaire de la marque, ce qui sera utile pour éviter les refus provisoires;  vi) des précisions ont été apportées en ce qui concerne le degré de l’examen par le Bureau international de la liste des produits et services dans les désignations postérieures;  et vii) lorsque les États</w:t>
      </w:r>
      <w:r w:rsidRPr="00C258AD">
        <w:rPr>
          <w:rFonts w:cs="Arial"/>
          <w:lang w:eastAsia="ko-KR"/>
        </w:rPr>
        <w:noBreakHyphen/>
        <w:t>Unis d’Amérique et d’autres parties contractantes font l’objet d’une désignation postérieure et que la déclaration d’intention d’utiliser la marque aux États</w:t>
      </w:r>
      <w:r w:rsidRPr="00C258AD">
        <w:rPr>
          <w:rFonts w:cs="Arial"/>
          <w:lang w:eastAsia="ko-KR"/>
        </w:rPr>
        <w:noBreakHyphen/>
        <w:t>Unis d’Amérique n’a pas été soumise ou régularisée, ce défaut n’aura plus d’incidence sur les autres parties contractantes désignées.  Certaines de ces modifications sont entrées en vigueur en janvier 2015, tandis que d’autres s’appliqueront à compter du 1</w:t>
      </w:r>
      <w:r w:rsidRPr="00C258AD">
        <w:rPr>
          <w:rFonts w:cs="Arial"/>
          <w:vertAlign w:val="superscript"/>
          <w:lang w:eastAsia="ko-KR"/>
        </w:rPr>
        <w:t>er</w:t>
      </w:r>
      <w:r w:rsidRPr="00C258AD">
        <w:rPr>
          <w:rFonts w:cs="Arial"/>
          <w:lang w:eastAsia="ko-KR"/>
        </w:rPr>
        <w:t> avril 2016 et du 1</w:t>
      </w:r>
      <w:r w:rsidRPr="00C258AD">
        <w:rPr>
          <w:rFonts w:cs="Arial"/>
          <w:vertAlign w:val="superscript"/>
          <w:lang w:eastAsia="ko-KR"/>
        </w:rPr>
        <w:t>er</w:t>
      </w:r>
      <w:r w:rsidRPr="00C258AD">
        <w:rPr>
          <w:rFonts w:cs="Arial"/>
          <w:lang w:eastAsia="ko-KR"/>
        </w:rPr>
        <w:t> novembre 2017.</w:t>
      </w:r>
    </w:p>
    <w:p w:rsidR="00C14A86" w:rsidRPr="00C258AD" w:rsidRDefault="00C14A86" w:rsidP="006364A5">
      <w:pPr>
        <w:tabs>
          <w:tab w:val="left" w:pos="709"/>
        </w:tabs>
        <w:jc w:val="both"/>
      </w:pPr>
    </w:p>
    <w:p w:rsidR="00C14A86" w:rsidRPr="00C258AD" w:rsidRDefault="00C14A86" w:rsidP="00C14A86">
      <w:pPr>
        <w:pStyle w:val="ListParagraph"/>
        <w:numPr>
          <w:ilvl w:val="0"/>
          <w:numId w:val="64"/>
        </w:numPr>
        <w:tabs>
          <w:tab w:val="left" w:pos="709"/>
        </w:tabs>
        <w:ind w:left="0" w:firstLine="0"/>
        <w:jc w:val="both"/>
        <w:rPr>
          <w:rFonts w:cs="Arial"/>
          <w:lang w:eastAsia="ko-KR"/>
        </w:rPr>
      </w:pPr>
      <w:r w:rsidRPr="00C258AD">
        <w:rPr>
          <w:rFonts w:cs="Arial"/>
          <w:lang w:eastAsia="ko-KR"/>
        </w:rPr>
        <w:t xml:space="preserve">Une importante initiative de réforme à long terme visant à améliorer le niveau de maturité de l’environnement opérationnel a été </w:t>
      </w:r>
      <w:proofErr w:type="gramStart"/>
      <w:r w:rsidRPr="00C258AD">
        <w:rPr>
          <w:rFonts w:cs="Arial"/>
          <w:lang w:eastAsia="ko-KR"/>
        </w:rPr>
        <w:t>lancée</w:t>
      </w:r>
      <w:proofErr w:type="gramEnd"/>
      <w:r w:rsidRPr="00C258AD">
        <w:rPr>
          <w:rFonts w:cs="Arial"/>
          <w:lang w:eastAsia="ko-KR"/>
        </w:rPr>
        <w:t xml:space="preserve"> au début de l’année 2014.  Les principaux domaines qu’elle concernait étaient les suivants : i) planification des opérations et processus connexes;  ii) informatique;  iii) assistance à la clientèle;  iv) documents relatifs à l’examen;  v) traitement des taxes;  et vi) continuité des opérations.  Ces nouveaux projets ont nécessité la réaffectation de certaines ressources précédemment consacrées à d’autres activités.  Cela s’est traduit par une accumulation de retards opérationnels dans divers domaines, notamment en matière d’examen, en 2014.  Des mesures d’atténuation ont toutefois été mises en place, entre autres le maintien de certaines ressources supplémentaires modulables, afin de permettre au Bureau international de corriger la situation en 2015.  </w:t>
      </w:r>
      <w:r w:rsidRPr="00C258AD">
        <w:rPr>
          <w:rFonts w:cs="Arial"/>
          <w:lang w:eastAsia="ko-KR"/>
        </w:rPr>
        <w:lastRenderedPageBreak/>
        <w:t>À la fin de l’exercice biennal, la moyenne des délais d’instruction était égale ou inférieure à sa moyenne historique sur cinq ans pour l’ensemble des opérations d’examen.  De plus, l’accroissement du nombre des enregistrements effectués en 2015 (du fait de l’élimination des retards) a permis une augmentation de 6% des recettes de l’exercice biennal par rapport à l’objectif inscrit au budget.  Parallèlement à ces activités, des progrès fondamentaux ont été accomplis dans plusieurs autres des domaines de réforme mentionnés ci</w:t>
      </w:r>
      <w:r w:rsidRPr="00C258AD">
        <w:rPr>
          <w:rFonts w:cs="Arial"/>
          <w:lang w:eastAsia="ko-KR"/>
        </w:rPr>
        <w:noBreakHyphen/>
        <w:t>dessus, en particulier l’assistance à la clientèle, le contrôle de la qualité des examens et la continuité des opérations, dont les avantages se concrétiseront au cours des années à venir.  Le rétablissement graduel de la stabilité des opérations en 2015 a également permis à la direction de recentrer une partie de son attention sur des efforts de commercialisation et de promotion, ainsi que sur l’évolution stratégique du système de Madrid proprement dit.</w:t>
      </w:r>
    </w:p>
    <w:p w:rsidR="00C14A86" w:rsidRPr="00C258AD" w:rsidRDefault="00C14A86" w:rsidP="006364A5">
      <w:pPr>
        <w:rPr>
          <w:lang w:eastAsia="ko-KR"/>
        </w:rPr>
      </w:pPr>
    </w:p>
    <w:p w:rsidR="00C14A86" w:rsidRPr="00C258AD" w:rsidRDefault="00C14A86" w:rsidP="00C14A86">
      <w:pPr>
        <w:pStyle w:val="ListParagraph"/>
        <w:numPr>
          <w:ilvl w:val="0"/>
          <w:numId w:val="64"/>
        </w:numPr>
        <w:tabs>
          <w:tab w:val="left" w:pos="709"/>
        </w:tabs>
        <w:ind w:left="0" w:firstLine="0"/>
        <w:jc w:val="both"/>
        <w:rPr>
          <w:rFonts w:cs="Arial"/>
          <w:lang w:eastAsia="ko-KR"/>
        </w:rPr>
      </w:pPr>
      <w:r w:rsidRPr="00C258AD">
        <w:rPr>
          <w:rFonts w:cs="Arial"/>
          <w:lang w:eastAsia="ko-KR"/>
        </w:rPr>
        <w:t xml:space="preserve">Une fois terminée la mise en œuvre des recommandations issues de l’évaluation indépendante des préparatifs nécessaires au déploiement des systèmes informatiques modernisés capables de prendre en charge le Service d’enregistrement de Madrid, et en particulier le lancement de programmes de transformation opérationnelle et informatique appropriés, il est prévu de procéder à des tests approfondis d’acceptation de ces systèmes modernisés par les utilisateurs puis, sous réserve de l’issue concluante des essais définitifs de fonctionnement et d’utilisation, à leur déploiement en mars 2016.  Les travaux se sont poursuivis comme prévu en ce qui concerne les systèmes informatiques destinés à la clientèle.  Des progrès ont été accomplis vers la mise en place d’un système de recherche amélioré, et un essai pilote du nouvel outil Madrid Monitor doit débuter au deuxième trimestre de l’année 2016.  La situation a également évolué, comme elle le fait en permanence, en ce qui concerne la présence en ligne du système de Madrid, avec, en particulier, la révision des fonctionnalités du formulaire de renouvellement électronique </w:t>
      </w:r>
      <w:proofErr w:type="spellStart"/>
      <w:r w:rsidRPr="00C258AD">
        <w:rPr>
          <w:rFonts w:cs="Arial"/>
          <w:lang w:eastAsia="ko-KR"/>
        </w:rPr>
        <w:t>eRenewal</w:t>
      </w:r>
      <w:proofErr w:type="spellEnd"/>
      <w:r w:rsidRPr="00C258AD">
        <w:rPr>
          <w:rFonts w:cs="Arial"/>
          <w:lang w:eastAsia="ko-KR"/>
        </w:rPr>
        <w:t>, suite à l’introduction de nouvelles dispositions dans le cadre juridique.</w:t>
      </w:r>
    </w:p>
    <w:p w:rsidR="00C14A86" w:rsidRPr="00C258AD" w:rsidRDefault="00C14A86" w:rsidP="006364A5"/>
    <w:p w:rsidR="00C14A86" w:rsidRPr="00C258AD" w:rsidRDefault="00C14A86" w:rsidP="006364A5">
      <w:pPr>
        <w:tabs>
          <w:tab w:val="left" w:pos="709"/>
        </w:tabs>
        <w:jc w:val="both"/>
        <w:rPr>
          <w:bCs/>
        </w:rPr>
      </w:pPr>
    </w:p>
    <w:p w:rsidR="00C14A86" w:rsidRPr="00C258AD" w:rsidRDefault="00C14A86" w:rsidP="00DF2EEF">
      <w:pPr>
        <w:pStyle w:val="ListParagraph"/>
        <w:numPr>
          <w:ilvl w:val="0"/>
          <w:numId w:val="96"/>
        </w:numPr>
        <w:ind w:left="567" w:hanging="567"/>
      </w:pPr>
      <w:r w:rsidRPr="00C258AD">
        <w:t xml:space="preserve">LE </w:t>
      </w:r>
      <w:r w:rsidRPr="00C258AD">
        <w:rPr>
          <w:rFonts w:eastAsia="SimSun"/>
          <w:caps/>
          <w:lang w:eastAsia="zh-CN"/>
        </w:rPr>
        <w:t>Système de Lisbonne</w:t>
      </w:r>
    </w:p>
    <w:p w:rsidR="00C14A86" w:rsidRPr="00C258AD" w:rsidRDefault="00C14A86" w:rsidP="006364A5"/>
    <w:p w:rsidR="00C14A86" w:rsidRPr="00C258AD" w:rsidRDefault="00C14A86" w:rsidP="006364A5">
      <w:pPr>
        <w:rPr>
          <w:bCs/>
        </w:rPr>
      </w:pPr>
      <w:r w:rsidRPr="00C258AD">
        <w:t>6.6</w:t>
      </w:r>
      <w:r w:rsidRPr="00C258AD">
        <w:tab/>
        <w:t xml:space="preserve">En 2009, l’Assemblée de l’Union de Lisbonne a chargé le Groupe de travail sur le développement du système de Lisbonne de procéder à un examen complet du système de Lisbonne afin de le rendre plus attrayant pour les utilisateurs et les nouveaux membres potentiels, tout en préservant ses principes et ses objectifs.  </w:t>
      </w:r>
      <w:r w:rsidRPr="00C258AD">
        <w:rPr>
          <w:bCs/>
        </w:rPr>
        <w:t>Compte tenu des progrès réalisés par le groupe de travail, l’Assemblée de l’Union de Lisbonne a approuvé en 2013 la convocation d’une conférence diplomatique pour l’adoption d’un Arrangement de Lisbonne révisé sur les appellations d’origine et les indications géographiques en 2015.  En octobre 2014, le groupe de travail a terminé ses travaux préparatoires.  La Conférence diplomatique pour l’adoption d’un nouvel Acte de l’Arrangement de Lisbonne concernant la protection des appellations d’origine et leur enregistrement international, qui s’est tenue du 11 au 21 mai 2015 à Genève, a adopté le 20 mai 2015 l’Acte de Genève de l’Arrangement de Lisbonne sur les appellations d’origine et les indications géographiques.</w:t>
      </w:r>
    </w:p>
    <w:p w:rsidR="00C14A86" w:rsidRPr="00C258AD" w:rsidRDefault="00C14A86" w:rsidP="006364A5">
      <w:pPr>
        <w:rPr>
          <w:bCs/>
        </w:rPr>
      </w:pPr>
    </w:p>
    <w:p w:rsidR="00C14A86" w:rsidRPr="00C258AD" w:rsidRDefault="00C14A86" w:rsidP="006364A5">
      <w:r w:rsidRPr="00C258AD">
        <w:t>6.7</w:t>
      </w:r>
      <w:r w:rsidRPr="00C258AD">
        <w:tab/>
        <w:t xml:space="preserve">Le Service d’enregistrement de Lisbonne a reçu 115 nouvelles demandes d’enregistrement d’appellations d’origine, 105 déclarations d’octroi de la protection et </w:t>
      </w:r>
      <w:r w:rsidR="005163A7">
        <w:t>39</w:t>
      </w:r>
      <w:r w:rsidRPr="00C258AD">
        <w:t> déclarations de refus, soit un total de 26</w:t>
      </w:r>
      <w:r w:rsidR="005163A7">
        <w:t>7</w:t>
      </w:r>
      <w:r w:rsidRPr="00C258AD">
        <w:t xml:space="preserve"> transactions (dont </w:t>
      </w:r>
      <w:r w:rsidR="005163A7">
        <w:t>deux </w:t>
      </w:r>
      <w:r w:rsidRPr="00C258AD">
        <w:t>retrait</w:t>
      </w:r>
      <w:r w:rsidR="005163A7">
        <w:t>s</w:t>
      </w:r>
      <w:r w:rsidRPr="00C258AD">
        <w:t xml:space="preserve"> de refus et</w:t>
      </w:r>
      <w:r w:rsidR="005163A7">
        <w:t xml:space="preserve"> six</w:t>
      </w:r>
      <w:r w:rsidRPr="00C258AD">
        <w:t> corrections).  Le nombre total d’enregistrements en vigueur a augmenté au cours de l’exercice biennal, passant de 816 en 2013 à 931 en 2014.  Sur ces enregistrements, 95 provenaient de pays en développement ou PMA (14 dans la région arabe, 38 dans la région Asie et Pacifique et 43 dans la région Amérique latine et Caraïbes).</w:t>
      </w:r>
    </w:p>
    <w:p w:rsidR="00C14A86" w:rsidRPr="00C258AD" w:rsidRDefault="00C14A86" w:rsidP="006364A5"/>
    <w:p w:rsidR="00C14A86" w:rsidRPr="00C258AD" w:rsidRDefault="00C14A86" w:rsidP="006364A5">
      <w:r w:rsidRPr="00C258AD">
        <w:t>6.8.</w:t>
      </w:r>
      <w:r w:rsidRPr="00C258AD">
        <w:tab/>
        <w:t>Le nombre d’autorités compétentes ayant donné leur consentement pour l’utilisation de moyens électroniques pour les communications effectuées dans le cadre du système de Lisbonne est passé de 23 en 2013 à 26 à la fin de 2015.  L’interface électronique reliant le registre international à la base de données “</w:t>
      </w:r>
      <w:proofErr w:type="spellStart"/>
      <w:r w:rsidRPr="00C258AD">
        <w:t>Lisbon</w:t>
      </w:r>
      <w:proofErr w:type="spellEnd"/>
      <w:r w:rsidRPr="00C258AD">
        <w:t xml:space="preserve"> Express” sur le site Web de l’OMPI a été achevée et déployée en 2014.</w:t>
      </w:r>
      <w:r w:rsidRPr="00C258AD">
        <w:rPr>
          <w:bCs/>
        </w:rPr>
        <w:t xml:space="preserve">  La procédure de notification a été davantage simplifiée avec l’utilisation du système de notification des demandes de l’OMPI (WINS).</w:t>
      </w:r>
      <w:r w:rsidRPr="00C258AD">
        <w:t xml:space="preserve">  Les progrès accomplis en vue de la mise en place d’un système électronique de génération des lettres de notification en 2015 ont conduit à l’engagement d’une phase d’essais</w:t>
      </w:r>
      <w:r w:rsidRPr="00C258AD">
        <w:rPr>
          <w:rFonts w:cs="Arial"/>
          <w:lang w:eastAsia="ko-KR"/>
        </w:rPr>
        <w:t>.</w:t>
      </w:r>
    </w:p>
    <w:p w:rsidR="00C14A86" w:rsidRPr="00C258AD" w:rsidRDefault="00C14A86" w:rsidP="006364A5"/>
    <w:p w:rsidR="00C14A86" w:rsidRPr="00C258AD" w:rsidRDefault="00C14A86" w:rsidP="006364A5">
      <w:r w:rsidRPr="00C258AD">
        <w:t>6.9</w:t>
      </w:r>
      <w:r w:rsidRPr="00C258AD">
        <w:tab/>
        <w:t>S’agissant de mieux faire connaître le système de Lisbonne, le Bureau international a organisé sept manifestations d’information et de promotion principalement axées sur le système de Lisbonne, notamment sur sa révision prévue, ou y a participé.</w:t>
      </w:r>
    </w:p>
    <w:p w:rsidR="00C14A86" w:rsidRPr="00C258AD" w:rsidRDefault="00C14A86" w:rsidP="006364A5"/>
    <w:p w:rsidR="00C14A86" w:rsidRPr="00C258AD" w:rsidRDefault="00C14A86" w:rsidP="006364A5">
      <w:r w:rsidRPr="00C258AD">
        <w:t>6.10</w:t>
      </w:r>
      <w:r w:rsidRPr="00C258AD">
        <w:tab/>
        <w:t>La conception, la planification et la mise en œuvre des activités menées au titre du programme 6 s’appuient sur les recommandations pertinentes du Plan d’action pour le développement, notamment les recommandations n</w:t>
      </w:r>
      <w:r w:rsidRPr="00C258AD">
        <w:rPr>
          <w:vertAlign w:val="superscript"/>
        </w:rPr>
        <w:t>os</w:t>
      </w:r>
      <w:r w:rsidRPr="00C258AD">
        <w:t xml:space="preserve"> 1 et 6.  En outre, l’assistance législative apportée aux États membres était </w:t>
      </w:r>
      <w:r w:rsidRPr="00C258AD">
        <w:lastRenderedPageBreak/>
        <w:t>équilibrée, axée sur le développement et adaptée aux besoins des États membres, conformément aux principes du Plan d’action pour le développement (recommandation n° 13) et en fonction des différentes possibilités d’adaptation des pays selon leur niveau de développement (recommandations n</w:t>
      </w:r>
      <w:r w:rsidRPr="00C258AD">
        <w:rPr>
          <w:vertAlign w:val="superscript"/>
        </w:rPr>
        <w:t>os</w:t>
      </w:r>
      <w:r w:rsidRPr="00C258AD">
        <w:t> 14 et 17).</w:t>
      </w:r>
    </w:p>
    <w:p w:rsidR="00C14A86" w:rsidRPr="00C258AD" w:rsidRDefault="00C14A86" w:rsidP="006364A5">
      <w:pPr>
        <w:rPr>
          <w:lang w:eastAsia="ja-JP"/>
        </w:rPr>
      </w:pPr>
    </w:p>
    <w:p w:rsidR="00C14A86" w:rsidRPr="00C258AD" w:rsidRDefault="00C14A86" w:rsidP="006364A5"/>
    <w:p w:rsidR="00C14A86" w:rsidRPr="00C258AD" w:rsidRDefault="00C14A86" w:rsidP="006364A5">
      <w:pPr>
        <w:keepNext/>
        <w:rPr>
          <w:sz w:val="22"/>
        </w:rPr>
      </w:pPr>
      <w:r w:rsidRPr="00C258AD">
        <w:rPr>
          <w:sz w:val="22"/>
        </w:rPr>
        <w:t>DONNÉES RELATIVES À L’EXÉCUTION</w:t>
      </w:r>
    </w:p>
    <w:p w:rsidR="00C14A86" w:rsidRPr="00C258AD" w:rsidRDefault="00C14A86" w:rsidP="006364A5">
      <w:pPr>
        <w:keepNext/>
      </w:pPr>
    </w:p>
    <w:tbl>
      <w:tblPr>
        <w:tblW w:w="5000" w:type="pct"/>
        <w:tblInd w:w="108" w:type="dxa"/>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159"/>
        <w:gridCol w:w="2585"/>
        <w:gridCol w:w="1613"/>
        <w:gridCol w:w="1997"/>
        <w:gridCol w:w="1137"/>
      </w:tblGrid>
      <w:tr w:rsidR="00C14A86" w:rsidRPr="00C258AD" w:rsidTr="006364A5">
        <w:trPr>
          <w:cantSplit/>
        </w:trPr>
        <w:tc>
          <w:tcPr>
            <w:tcW w:w="5000" w:type="pct"/>
            <w:gridSpan w:val="5"/>
            <w:tcBorders>
              <w:top w:val="single" w:sz="4" w:space="0" w:color="auto"/>
              <w:bottom w:val="single" w:sz="4" w:space="0" w:color="auto"/>
            </w:tcBorders>
            <w:shd w:val="clear" w:color="auto" w:fill="C5D9F1"/>
            <w:vAlign w:val="center"/>
          </w:tcPr>
          <w:p w:rsidR="00C14A86" w:rsidRPr="00C258AD" w:rsidRDefault="00C14A86" w:rsidP="006364A5">
            <w:pPr>
              <w:keepNext/>
              <w:keepLines/>
              <w:rPr>
                <w:rFonts w:cs="Arial"/>
                <w:b/>
                <w:bCs/>
                <w:sz w:val="16"/>
                <w:szCs w:val="16"/>
              </w:rPr>
            </w:pPr>
            <w:r w:rsidRPr="00C258AD">
              <w:rPr>
                <w:rFonts w:cs="Arial"/>
                <w:b/>
                <w:bCs/>
                <w:sz w:val="16"/>
                <w:szCs w:val="16"/>
              </w:rPr>
              <w:t>Résultat escompté :</w:t>
            </w:r>
            <w:r w:rsidRPr="00C258AD">
              <w:rPr>
                <w:rFonts w:cs="Arial"/>
                <w:bCs/>
                <w:sz w:val="16"/>
                <w:szCs w:val="16"/>
              </w:rPr>
              <w:t xml:space="preserve"> II.6 Utilisation élargie et améliorée des systèmes de Madrid et de Lisbonne, notamment par les pays en développement et les PMA</w:t>
            </w:r>
          </w:p>
        </w:tc>
      </w:tr>
      <w:tr w:rsidR="00C14A86" w:rsidRPr="00C258AD" w:rsidTr="006364A5">
        <w:trPr>
          <w:cantSplit/>
        </w:trPr>
        <w:tc>
          <w:tcPr>
            <w:tcW w:w="1137" w:type="pct"/>
            <w:tcBorders>
              <w:top w:val="single" w:sz="4" w:space="0" w:color="auto"/>
            </w:tcBorders>
            <w:shd w:val="clear" w:color="auto" w:fill="auto"/>
            <w:vAlign w:val="center"/>
          </w:tcPr>
          <w:p w:rsidR="00C14A86" w:rsidRPr="00C258AD" w:rsidRDefault="00C14A86" w:rsidP="006364A5">
            <w:pPr>
              <w:jc w:val="center"/>
              <w:rPr>
                <w:rFonts w:cs="Arial"/>
                <w:b/>
                <w:sz w:val="16"/>
                <w:szCs w:val="16"/>
              </w:rPr>
            </w:pPr>
            <w:r w:rsidRPr="00C258AD">
              <w:rPr>
                <w:rFonts w:cs="Arial"/>
                <w:b/>
                <w:sz w:val="16"/>
                <w:szCs w:val="16"/>
              </w:rPr>
              <w:t>Indicateurs d’exécution</w:t>
            </w:r>
          </w:p>
        </w:tc>
        <w:tc>
          <w:tcPr>
            <w:tcW w:w="1362" w:type="pct"/>
            <w:tcBorders>
              <w:top w:val="single" w:sz="4" w:space="0" w:color="auto"/>
            </w:tcBorders>
            <w:shd w:val="clear" w:color="auto" w:fill="auto"/>
            <w:vAlign w:val="center"/>
          </w:tcPr>
          <w:p w:rsidR="00C14A86" w:rsidRPr="00C258AD" w:rsidRDefault="00C14A86" w:rsidP="006364A5">
            <w:pPr>
              <w:jc w:val="center"/>
              <w:rPr>
                <w:rFonts w:cs="Arial"/>
                <w:b/>
                <w:bCs/>
                <w:sz w:val="16"/>
                <w:szCs w:val="16"/>
              </w:rPr>
            </w:pPr>
            <w:r w:rsidRPr="00C258AD">
              <w:rPr>
                <w:rFonts w:cs="Arial"/>
                <w:b/>
                <w:bCs/>
                <w:sz w:val="16"/>
                <w:szCs w:val="16"/>
              </w:rPr>
              <w:t>Niveaux de référence</w:t>
            </w:r>
          </w:p>
        </w:tc>
        <w:tc>
          <w:tcPr>
            <w:tcW w:w="850" w:type="pct"/>
            <w:tcBorders>
              <w:top w:val="single" w:sz="4" w:space="0" w:color="auto"/>
            </w:tcBorders>
            <w:shd w:val="clear" w:color="auto" w:fill="auto"/>
            <w:tcMar>
              <w:top w:w="110" w:type="dxa"/>
            </w:tcMar>
            <w:vAlign w:val="center"/>
          </w:tcPr>
          <w:p w:rsidR="00C14A86" w:rsidRPr="00C258AD" w:rsidRDefault="00C14A86" w:rsidP="006364A5">
            <w:pPr>
              <w:jc w:val="center"/>
              <w:rPr>
                <w:rFonts w:cs="Arial"/>
                <w:b/>
                <w:sz w:val="16"/>
                <w:szCs w:val="16"/>
              </w:rPr>
            </w:pPr>
            <w:r w:rsidRPr="00C258AD">
              <w:rPr>
                <w:rFonts w:cs="Arial"/>
                <w:b/>
                <w:sz w:val="16"/>
                <w:szCs w:val="16"/>
              </w:rPr>
              <w:t>Objectifs visés</w:t>
            </w:r>
          </w:p>
        </w:tc>
        <w:tc>
          <w:tcPr>
            <w:tcW w:w="1048" w:type="pct"/>
            <w:tcBorders>
              <w:top w:val="single" w:sz="4" w:space="0" w:color="auto"/>
            </w:tcBorders>
            <w:shd w:val="clear" w:color="auto" w:fill="FFFFFF"/>
            <w:tcMar>
              <w:top w:w="110" w:type="dxa"/>
            </w:tcMar>
            <w:vAlign w:val="center"/>
          </w:tcPr>
          <w:p w:rsidR="00C14A86" w:rsidRPr="00C258AD" w:rsidRDefault="00C14A86" w:rsidP="006364A5">
            <w:pPr>
              <w:jc w:val="center"/>
              <w:rPr>
                <w:rFonts w:cs="Arial"/>
                <w:b/>
                <w:sz w:val="16"/>
                <w:szCs w:val="16"/>
              </w:rPr>
            </w:pPr>
            <w:r w:rsidRPr="00C258AD">
              <w:rPr>
                <w:rFonts w:cs="Arial"/>
                <w:b/>
                <w:sz w:val="16"/>
                <w:szCs w:val="16"/>
              </w:rPr>
              <w:t>Données relatives à l’exécution</w:t>
            </w:r>
          </w:p>
        </w:tc>
        <w:tc>
          <w:tcPr>
            <w:tcW w:w="603" w:type="pct"/>
            <w:tcBorders>
              <w:top w:val="single" w:sz="4" w:space="0" w:color="auto"/>
            </w:tcBorders>
            <w:shd w:val="clear" w:color="auto" w:fill="auto"/>
            <w:tcMar>
              <w:top w:w="110" w:type="dxa"/>
            </w:tcMar>
            <w:vAlign w:val="center"/>
          </w:tcPr>
          <w:p w:rsidR="00C14A86" w:rsidRPr="00C258AD" w:rsidRDefault="00C14A86" w:rsidP="006364A5">
            <w:pPr>
              <w:keepNext/>
              <w:keepLines/>
              <w:jc w:val="center"/>
              <w:rPr>
                <w:rFonts w:cs="Arial"/>
                <w:b/>
                <w:bCs/>
                <w:sz w:val="16"/>
                <w:szCs w:val="16"/>
              </w:rPr>
            </w:pPr>
            <w:r w:rsidRPr="00C258AD">
              <w:rPr>
                <w:rFonts w:cs="Arial"/>
                <w:b/>
                <w:bCs/>
                <w:sz w:val="16"/>
                <w:szCs w:val="16"/>
              </w:rPr>
              <w:t>Code de couleurs</w:t>
            </w:r>
          </w:p>
        </w:tc>
      </w:tr>
      <w:tr w:rsidR="00C14A86" w:rsidRPr="00C258AD" w:rsidTr="006364A5">
        <w:trPr>
          <w:cantSplit/>
        </w:trPr>
        <w:tc>
          <w:tcPr>
            <w:tcW w:w="1137" w:type="pct"/>
            <w:shd w:val="clear" w:color="auto" w:fill="auto"/>
          </w:tcPr>
          <w:p w:rsidR="00C14A86" w:rsidRPr="00C258AD" w:rsidRDefault="00C14A86" w:rsidP="006364A5">
            <w:pPr>
              <w:rPr>
                <w:rFonts w:cs="Arial"/>
                <w:sz w:val="16"/>
                <w:szCs w:val="16"/>
              </w:rPr>
            </w:pPr>
            <w:r w:rsidRPr="00C258AD">
              <w:rPr>
                <w:rFonts w:cs="Arial"/>
                <w:sz w:val="16"/>
                <w:szCs w:val="16"/>
              </w:rPr>
              <w:t>Extension de la portée géographique (Madrid)</w:t>
            </w:r>
          </w:p>
        </w:tc>
        <w:tc>
          <w:tcPr>
            <w:tcW w:w="1362" w:type="pct"/>
            <w:shd w:val="clear" w:color="auto" w:fill="auto"/>
          </w:tcPr>
          <w:p w:rsidR="00C14A86" w:rsidRPr="00C258AD" w:rsidRDefault="00C14A86" w:rsidP="006364A5">
            <w:pPr>
              <w:rPr>
                <w:rFonts w:cs="Arial"/>
                <w:i/>
                <w:color w:val="002060"/>
                <w:sz w:val="16"/>
                <w:szCs w:val="16"/>
              </w:rPr>
            </w:pPr>
            <w:r w:rsidRPr="00C258AD">
              <w:rPr>
                <w:rFonts w:cs="Arial"/>
                <w:i/>
                <w:color w:val="002060"/>
                <w:sz w:val="16"/>
                <w:szCs w:val="16"/>
              </w:rPr>
              <w:t>Niveau de référence actualisé à fin</w:t>
            </w:r>
            <w:r w:rsidRPr="00C258AD">
              <w:rPr>
                <w:rFonts w:cs="Arial"/>
                <w:color w:val="002060"/>
                <w:sz w:val="16"/>
                <w:szCs w:val="16"/>
              </w:rPr>
              <w:t xml:space="preserve"> 2013 :</w:t>
            </w:r>
          </w:p>
          <w:p w:rsidR="00C14A86" w:rsidRPr="00C258AD" w:rsidRDefault="00C14A86" w:rsidP="006364A5">
            <w:pPr>
              <w:rPr>
                <w:rFonts w:cs="Arial"/>
                <w:color w:val="002060"/>
                <w:sz w:val="16"/>
                <w:szCs w:val="16"/>
              </w:rPr>
            </w:pPr>
            <w:r w:rsidRPr="00C258AD">
              <w:rPr>
                <w:rFonts w:cs="Arial"/>
                <w:color w:val="002060"/>
                <w:sz w:val="16"/>
                <w:szCs w:val="16"/>
              </w:rPr>
              <w:t>92 parties contractantes du système de Madrid (fin 2013)</w:t>
            </w:r>
          </w:p>
          <w:p w:rsidR="00C14A86" w:rsidRPr="00C258AD" w:rsidRDefault="00C14A86" w:rsidP="006364A5">
            <w:pPr>
              <w:rPr>
                <w:rFonts w:cs="Arial"/>
                <w:sz w:val="16"/>
                <w:szCs w:val="16"/>
              </w:rPr>
            </w:pPr>
          </w:p>
          <w:p w:rsidR="00C14A86" w:rsidRPr="00C258AD" w:rsidRDefault="00C14A86" w:rsidP="006364A5">
            <w:pPr>
              <w:rPr>
                <w:rFonts w:cs="Arial"/>
                <w:sz w:val="16"/>
                <w:szCs w:val="16"/>
              </w:rPr>
            </w:pPr>
            <w:r w:rsidRPr="00C258AD">
              <w:rPr>
                <w:rFonts w:cs="Arial"/>
                <w:i/>
                <w:sz w:val="16"/>
                <w:szCs w:val="16"/>
              </w:rPr>
              <w:t>Niveau de référence initial dans le programme et budget 2014</w:t>
            </w:r>
            <w:r w:rsidRPr="00C258AD">
              <w:rPr>
                <w:rFonts w:cs="Arial"/>
                <w:i/>
                <w:sz w:val="16"/>
                <w:szCs w:val="16"/>
              </w:rPr>
              <w:noBreakHyphen/>
              <w:t>2015</w:t>
            </w:r>
            <w:r w:rsidRPr="00C258AD">
              <w:rPr>
                <w:rFonts w:cs="Arial"/>
                <w:sz w:val="16"/>
                <w:szCs w:val="16"/>
              </w:rPr>
              <w:t> :</w:t>
            </w:r>
            <w:r w:rsidRPr="00C258AD">
              <w:rPr>
                <w:rFonts w:cs="Arial"/>
                <w:i/>
                <w:sz w:val="16"/>
                <w:szCs w:val="16"/>
              </w:rPr>
              <w:t xml:space="preserve"> </w:t>
            </w:r>
            <w:r w:rsidRPr="00C258AD">
              <w:rPr>
                <w:rFonts w:cs="Arial"/>
                <w:sz w:val="16"/>
                <w:szCs w:val="16"/>
              </w:rPr>
              <w:t>nombre de parties contractantes à la fin de 2013</w:t>
            </w:r>
          </w:p>
        </w:tc>
        <w:tc>
          <w:tcPr>
            <w:tcW w:w="850" w:type="pct"/>
            <w:shd w:val="clear" w:color="auto" w:fill="auto"/>
            <w:tcMar>
              <w:top w:w="110" w:type="dxa"/>
            </w:tcMar>
          </w:tcPr>
          <w:p w:rsidR="00C14A86" w:rsidRPr="00C258AD" w:rsidRDefault="00C14A86" w:rsidP="006364A5">
            <w:pPr>
              <w:rPr>
                <w:rFonts w:cs="Arial"/>
                <w:sz w:val="16"/>
                <w:szCs w:val="16"/>
              </w:rPr>
            </w:pPr>
            <w:r w:rsidRPr="00C258AD">
              <w:rPr>
                <w:rFonts w:cs="Arial"/>
                <w:sz w:val="16"/>
                <w:szCs w:val="16"/>
              </w:rPr>
              <w:t>Un total de 100 parties contractantes avant la fin de 2015</w:t>
            </w:r>
          </w:p>
        </w:tc>
        <w:tc>
          <w:tcPr>
            <w:tcW w:w="1048" w:type="pct"/>
            <w:shd w:val="clear" w:color="auto" w:fill="FFFFFF"/>
            <w:tcMar>
              <w:top w:w="110" w:type="dxa"/>
            </w:tcMar>
          </w:tcPr>
          <w:p w:rsidR="00C14A86" w:rsidRPr="00C258AD" w:rsidRDefault="00C14A86" w:rsidP="006364A5">
            <w:pPr>
              <w:rPr>
                <w:rFonts w:cs="Arial"/>
                <w:sz w:val="16"/>
                <w:szCs w:val="16"/>
              </w:rPr>
            </w:pPr>
            <w:r w:rsidRPr="00C258AD">
              <w:rPr>
                <w:rFonts w:cs="Arial"/>
                <w:sz w:val="16"/>
                <w:szCs w:val="16"/>
                <w:lang w:bidi="th-TH"/>
              </w:rPr>
              <w:t>97 parties contractantes couvrant 113 pays avant la fin de 2015</w:t>
            </w:r>
          </w:p>
        </w:tc>
        <w:tc>
          <w:tcPr>
            <w:tcW w:w="603" w:type="pct"/>
            <w:shd w:val="clear" w:color="auto" w:fill="auto"/>
            <w:tcMar>
              <w:top w:w="110" w:type="dxa"/>
            </w:tcMar>
          </w:tcPr>
          <w:p w:rsidR="00C14A86" w:rsidRPr="00C258AD" w:rsidRDefault="00C14A86" w:rsidP="006364A5">
            <w:pPr>
              <w:keepNext/>
              <w:keepLines/>
              <w:jc w:val="center"/>
              <w:rPr>
                <w:rFonts w:cs="Arial"/>
                <w:b/>
                <w:bCs/>
                <w:color w:val="00B050"/>
                <w:sz w:val="16"/>
                <w:szCs w:val="16"/>
              </w:rPr>
            </w:pPr>
            <w:r w:rsidRPr="00C258AD">
              <w:rPr>
                <w:rFonts w:cs="Arial"/>
                <w:b/>
                <w:bCs/>
                <w:color w:val="00B050"/>
                <w:sz w:val="16"/>
                <w:szCs w:val="16"/>
              </w:rPr>
              <w:t>Objectif pleinement atteint</w:t>
            </w:r>
          </w:p>
        </w:tc>
      </w:tr>
      <w:tr w:rsidR="00C14A86" w:rsidRPr="00C258AD" w:rsidTr="006364A5">
        <w:trPr>
          <w:cantSplit/>
        </w:trPr>
        <w:tc>
          <w:tcPr>
            <w:tcW w:w="1137" w:type="pct"/>
            <w:shd w:val="clear" w:color="auto" w:fill="auto"/>
          </w:tcPr>
          <w:p w:rsidR="00C14A86" w:rsidRPr="00C258AD" w:rsidRDefault="00C14A86" w:rsidP="006364A5">
            <w:pPr>
              <w:rPr>
                <w:rFonts w:cs="Arial"/>
                <w:sz w:val="16"/>
                <w:szCs w:val="16"/>
              </w:rPr>
            </w:pPr>
            <w:r w:rsidRPr="00C258AD">
              <w:rPr>
                <w:rFonts w:cs="Arial"/>
                <w:sz w:val="16"/>
                <w:szCs w:val="16"/>
              </w:rPr>
              <w:t>Extension de la portée géographique (Lisbonne)</w:t>
            </w:r>
          </w:p>
        </w:tc>
        <w:tc>
          <w:tcPr>
            <w:tcW w:w="1362" w:type="pct"/>
            <w:shd w:val="clear" w:color="auto" w:fill="auto"/>
          </w:tcPr>
          <w:p w:rsidR="00C14A86" w:rsidRPr="00C258AD" w:rsidRDefault="00C14A86" w:rsidP="006364A5">
            <w:pPr>
              <w:rPr>
                <w:rFonts w:cs="Arial"/>
                <w:i/>
                <w:color w:val="002060"/>
                <w:sz w:val="16"/>
                <w:szCs w:val="16"/>
              </w:rPr>
            </w:pPr>
            <w:r w:rsidRPr="00C258AD">
              <w:rPr>
                <w:rFonts w:cs="Arial"/>
                <w:i/>
                <w:color w:val="002060"/>
                <w:sz w:val="16"/>
                <w:szCs w:val="16"/>
              </w:rPr>
              <w:t>Niveau de référence actualisé à fin 2013 :</w:t>
            </w:r>
            <w:r w:rsidRPr="00C258AD">
              <w:rPr>
                <w:rFonts w:cs="Arial"/>
                <w:color w:val="002060"/>
                <w:sz w:val="16"/>
                <w:szCs w:val="16"/>
              </w:rPr>
              <w:t xml:space="preserve"> 28 (fin 2013)</w:t>
            </w:r>
          </w:p>
          <w:p w:rsidR="00C14A86" w:rsidRPr="00C258AD" w:rsidRDefault="00C14A86" w:rsidP="006364A5">
            <w:pPr>
              <w:rPr>
                <w:rFonts w:cs="Arial"/>
                <w:sz w:val="16"/>
                <w:szCs w:val="16"/>
              </w:rPr>
            </w:pPr>
          </w:p>
          <w:p w:rsidR="00C14A86" w:rsidRPr="00C258AD" w:rsidRDefault="00C14A86" w:rsidP="006364A5">
            <w:pPr>
              <w:rPr>
                <w:rFonts w:cs="Arial"/>
                <w:sz w:val="16"/>
                <w:szCs w:val="16"/>
              </w:rPr>
            </w:pPr>
            <w:r w:rsidRPr="00C258AD">
              <w:rPr>
                <w:rFonts w:cs="Arial"/>
                <w:i/>
                <w:sz w:val="16"/>
                <w:szCs w:val="16"/>
              </w:rPr>
              <w:t>Niveau de référence initial dans le programme et budget 2014</w:t>
            </w:r>
            <w:r w:rsidRPr="00C258AD">
              <w:rPr>
                <w:rFonts w:cs="Arial"/>
                <w:i/>
                <w:sz w:val="16"/>
                <w:szCs w:val="16"/>
              </w:rPr>
              <w:noBreakHyphen/>
              <w:t>2015</w:t>
            </w:r>
            <w:r w:rsidRPr="00C258AD">
              <w:rPr>
                <w:rFonts w:cs="Arial"/>
                <w:sz w:val="16"/>
                <w:szCs w:val="16"/>
              </w:rPr>
              <w:t> :</w:t>
            </w:r>
            <w:r w:rsidRPr="00C258AD">
              <w:rPr>
                <w:rFonts w:cs="Arial"/>
                <w:i/>
                <w:sz w:val="16"/>
                <w:szCs w:val="16"/>
              </w:rPr>
              <w:t xml:space="preserve"> </w:t>
            </w:r>
            <w:r w:rsidRPr="00C258AD">
              <w:rPr>
                <w:rFonts w:cs="Arial"/>
                <w:sz w:val="16"/>
                <w:szCs w:val="16"/>
              </w:rPr>
              <w:t>28 (avril 2013)</w:t>
            </w:r>
          </w:p>
        </w:tc>
        <w:tc>
          <w:tcPr>
            <w:tcW w:w="850" w:type="pct"/>
            <w:shd w:val="clear" w:color="auto" w:fill="auto"/>
            <w:tcMar>
              <w:top w:w="110" w:type="dxa"/>
            </w:tcMar>
          </w:tcPr>
          <w:p w:rsidR="00C14A86" w:rsidRPr="00C258AD" w:rsidRDefault="00C14A86" w:rsidP="006364A5">
            <w:pPr>
              <w:rPr>
                <w:rFonts w:cs="Arial"/>
                <w:sz w:val="16"/>
                <w:szCs w:val="16"/>
              </w:rPr>
            </w:pPr>
            <w:r w:rsidRPr="00C258AD">
              <w:rPr>
                <w:rFonts w:cs="Arial"/>
                <w:sz w:val="16"/>
                <w:szCs w:val="16"/>
              </w:rPr>
              <w:t>32</w:t>
            </w:r>
          </w:p>
        </w:tc>
        <w:tc>
          <w:tcPr>
            <w:tcW w:w="1048" w:type="pct"/>
            <w:shd w:val="clear" w:color="auto" w:fill="FFFFFF"/>
            <w:tcMar>
              <w:top w:w="110" w:type="dxa"/>
            </w:tcMar>
          </w:tcPr>
          <w:p w:rsidR="00C14A86" w:rsidRPr="00C258AD" w:rsidRDefault="00C14A86" w:rsidP="006364A5">
            <w:pPr>
              <w:rPr>
                <w:rFonts w:cs="Arial"/>
                <w:sz w:val="16"/>
                <w:szCs w:val="16"/>
                <w:lang w:bidi="th-TH"/>
              </w:rPr>
            </w:pPr>
            <w:r w:rsidRPr="00C258AD">
              <w:rPr>
                <w:rFonts w:cs="Arial"/>
                <w:sz w:val="16"/>
                <w:szCs w:val="16"/>
              </w:rPr>
              <w:t>Aucune nouvelle partie contractante.</w:t>
            </w:r>
          </w:p>
        </w:tc>
        <w:tc>
          <w:tcPr>
            <w:tcW w:w="603" w:type="pct"/>
            <w:shd w:val="clear" w:color="auto" w:fill="auto"/>
            <w:tcMar>
              <w:top w:w="110" w:type="dxa"/>
            </w:tcMar>
          </w:tcPr>
          <w:p w:rsidR="00C14A86" w:rsidRPr="00C258AD" w:rsidRDefault="00C14A86" w:rsidP="006364A5">
            <w:pPr>
              <w:keepNext/>
              <w:keepLines/>
              <w:jc w:val="center"/>
              <w:rPr>
                <w:rFonts w:cs="Arial"/>
                <w:b/>
                <w:bCs/>
                <w:color w:val="FF0000"/>
                <w:sz w:val="16"/>
                <w:szCs w:val="16"/>
              </w:rPr>
            </w:pPr>
            <w:r w:rsidRPr="00C258AD">
              <w:rPr>
                <w:rFonts w:cs="Arial"/>
                <w:b/>
                <w:bCs/>
                <w:color w:val="FF0000"/>
                <w:sz w:val="16"/>
                <w:szCs w:val="16"/>
              </w:rPr>
              <w:t>Objectif pas atteint</w:t>
            </w:r>
          </w:p>
        </w:tc>
      </w:tr>
      <w:tr w:rsidR="00C14A86" w:rsidRPr="00C258AD" w:rsidTr="006364A5">
        <w:trPr>
          <w:cantSplit/>
        </w:trPr>
        <w:tc>
          <w:tcPr>
            <w:tcW w:w="1137" w:type="pct"/>
            <w:shd w:val="clear" w:color="auto" w:fill="auto"/>
          </w:tcPr>
          <w:p w:rsidR="00C14A86" w:rsidRPr="00C258AD" w:rsidRDefault="00C14A86" w:rsidP="006364A5">
            <w:pPr>
              <w:rPr>
                <w:rFonts w:cs="Arial"/>
                <w:sz w:val="16"/>
                <w:szCs w:val="16"/>
              </w:rPr>
            </w:pPr>
            <w:r w:rsidRPr="00C258AD">
              <w:rPr>
                <w:rFonts w:cs="Arial"/>
                <w:sz w:val="16"/>
                <w:szCs w:val="16"/>
              </w:rPr>
              <w:t>Adoption de dispositions visant à rationaliser ou à moderniser le cadre juridique du système de Lisbonne</w:t>
            </w:r>
          </w:p>
        </w:tc>
        <w:tc>
          <w:tcPr>
            <w:tcW w:w="1362" w:type="pct"/>
            <w:shd w:val="clear" w:color="auto" w:fill="auto"/>
          </w:tcPr>
          <w:p w:rsidR="00C14A86" w:rsidRPr="00C258AD" w:rsidRDefault="00C14A86" w:rsidP="006364A5">
            <w:pPr>
              <w:keepNext/>
              <w:keepLines/>
              <w:rPr>
                <w:rFonts w:cs="Arial"/>
                <w:color w:val="002060"/>
                <w:sz w:val="16"/>
                <w:szCs w:val="16"/>
              </w:rPr>
            </w:pPr>
            <w:r w:rsidRPr="00C258AD">
              <w:rPr>
                <w:rFonts w:cs="Arial"/>
                <w:i/>
                <w:color w:val="002060"/>
                <w:sz w:val="16"/>
                <w:szCs w:val="16"/>
              </w:rPr>
              <w:t>Niveau de référence actualisé à fin 2013 :</w:t>
            </w:r>
            <w:r w:rsidRPr="00C258AD">
              <w:rPr>
                <w:rFonts w:cs="Arial"/>
                <w:color w:val="002060"/>
                <w:sz w:val="16"/>
                <w:szCs w:val="16"/>
              </w:rPr>
              <w:t xml:space="preserve"> une révision de l’Arrangement de Lisbonne et des modifications à apporter à son règlement d’exécution sont en cours de préparation au sein du Groupe de travail sur le développement du système de Lisbonne.</w:t>
            </w:r>
          </w:p>
          <w:p w:rsidR="00C14A86" w:rsidRPr="00C258AD" w:rsidRDefault="00C14A86" w:rsidP="006364A5">
            <w:pPr>
              <w:keepNext/>
              <w:keepLines/>
              <w:rPr>
                <w:rFonts w:cs="Arial"/>
                <w:color w:val="002060"/>
                <w:sz w:val="16"/>
                <w:szCs w:val="16"/>
              </w:rPr>
            </w:pPr>
          </w:p>
          <w:p w:rsidR="00C14A86" w:rsidRPr="00C258AD" w:rsidRDefault="00C14A86" w:rsidP="006364A5">
            <w:pPr>
              <w:keepNext/>
              <w:keepLines/>
              <w:rPr>
                <w:rFonts w:cs="Arial"/>
                <w:i/>
                <w:color w:val="002060"/>
                <w:sz w:val="16"/>
                <w:szCs w:val="16"/>
              </w:rPr>
            </w:pPr>
            <w:r w:rsidRPr="00C258AD">
              <w:rPr>
                <w:rFonts w:cs="Arial"/>
                <w:i/>
                <w:sz w:val="16"/>
                <w:szCs w:val="16"/>
              </w:rPr>
              <w:t>Niveau de référence initial dans le programme et budget 2013</w:t>
            </w:r>
            <w:r w:rsidRPr="00C258AD">
              <w:rPr>
                <w:rFonts w:cs="Arial"/>
                <w:i/>
                <w:sz w:val="16"/>
                <w:szCs w:val="16"/>
              </w:rPr>
              <w:noBreakHyphen/>
              <w:t>2014</w:t>
            </w:r>
            <w:r w:rsidRPr="00C258AD">
              <w:rPr>
                <w:rFonts w:cs="Arial"/>
                <w:sz w:val="16"/>
                <w:szCs w:val="16"/>
              </w:rPr>
              <w:t xml:space="preserve"> : Arrangement de Lisbonne, règlement d’exécution de l’Arrangement de Lisbonne et instructions administratives en vigueur à la fin de 2013 </w:t>
            </w:r>
          </w:p>
        </w:tc>
        <w:tc>
          <w:tcPr>
            <w:tcW w:w="850" w:type="pct"/>
            <w:shd w:val="clear" w:color="auto" w:fill="auto"/>
            <w:tcMar>
              <w:top w:w="110" w:type="dxa"/>
            </w:tcMar>
          </w:tcPr>
          <w:p w:rsidR="00C14A86" w:rsidRPr="00C258AD" w:rsidRDefault="00C14A86" w:rsidP="006364A5">
            <w:pPr>
              <w:rPr>
                <w:rFonts w:cs="Arial"/>
                <w:sz w:val="16"/>
                <w:szCs w:val="16"/>
              </w:rPr>
            </w:pPr>
            <w:r w:rsidRPr="00C258AD">
              <w:rPr>
                <w:rFonts w:cs="Arial"/>
                <w:sz w:val="16"/>
                <w:szCs w:val="16"/>
              </w:rPr>
              <w:t xml:space="preserve">Révision de l’Arrangement de Lisbonne et modification de son règlement d’exécution et des instructions administratives </w:t>
            </w:r>
          </w:p>
        </w:tc>
        <w:tc>
          <w:tcPr>
            <w:tcW w:w="1048" w:type="pct"/>
            <w:shd w:val="clear" w:color="auto" w:fill="FFFFFF"/>
            <w:tcMar>
              <w:top w:w="110" w:type="dxa"/>
            </w:tcMar>
          </w:tcPr>
          <w:p w:rsidR="00C14A86" w:rsidRPr="00C258AD" w:rsidRDefault="00C14A86" w:rsidP="006364A5">
            <w:pPr>
              <w:rPr>
                <w:rFonts w:cs="Arial"/>
                <w:sz w:val="16"/>
                <w:szCs w:val="16"/>
                <w:lang w:bidi="th-TH"/>
              </w:rPr>
            </w:pPr>
            <w:r w:rsidRPr="00C258AD">
              <w:rPr>
                <w:rFonts w:cs="Arial"/>
                <w:bCs/>
                <w:sz w:val="16"/>
                <w:szCs w:val="16"/>
              </w:rPr>
              <w:t>Acte de Genève de l’Arrangement de Lisbonne sur les appellations d’origine et les indications géographiques adopté en mai 2015</w:t>
            </w:r>
          </w:p>
        </w:tc>
        <w:tc>
          <w:tcPr>
            <w:tcW w:w="603" w:type="pct"/>
            <w:shd w:val="clear" w:color="auto" w:fill="auto"/>
            <w:tcMar>
              <w:top w:w="110" w:type="dxa"/>
            </w:tcMar>
          </w:tcPr>
          <w:p w:rsidR="00C14A86" w:rsidRPr="00C258AD" w:rsidRDefault="00C14A86" w:rsidP="006364A5">
            <w:pPr>
              <w:keepNext/>
              <w:keepLines/>
              <w:jc w:val="center"/>
              <w:rPr>
                <w:rStyle w:val="Style5"/>
                <w:rFonts w:ascii="Arial" w:hAnsi="Arial" w:cs="Arial"/>
                <w:sz w:val="16"/>
                <w:szCs w:val="16"/>
              </w:rPr>
            </w:pPr>
            <w:r w:rsidRPr="00C258AD">
              <w:rPr>
                <w:rFonts w:cs="Arial"/>
                <w:b/>
                <w:bCs/>
                <w:color w:val="00B050"/>
                <w:sz w:val="16"/>
                <w:szCs w:val="16"/>
              </w:rPr>
              <w:t>Objectif pleinement atteint</w:t>
            </w:r>
          </w:p>
        </w:tc>
      </w:tr>
      <w:tr w:rsidR="00C14A86" w:rsidRPr="00C258AD" w:rsidTr="006364A5">
        <w:trPr>
          <w:cantSplit/>
        </w:trPr>
        <w:tc>
          <w:tcPr>
            <w:tcW w:w="1137" w:type="pct"/>
            <w:shd w:val="clear" w:color="auto" w:fill="auto"/>
          </w:tcPr>
          <w:p w:rsidR="00C14A86" w:rsidRPr="00C258AD" w:rsidRDefault="00C14A86" w:rsidP="006364A5">
            <w:pPr>
              <w:rPr>
                <w:rFonts w:cs="Arial"/>
                <w:sz w:val="16"/>
                <w:szCs w:val="16"/>
              </w:rPr>
            </w:pPr>
            <w:r w:rsidRPr="00C258AD">
              <w:rPr>
                <w:rFonts w:cs="Arial"/>
                <w:sz w:val="16"/>
                <w:szCs w:val="16"/>
              </w:rPr>
              <w:t>Nombre de demandes internationales (Protocole de Madrid)</w:t>
            </w:r>
          </w:p>
        </w:tc>
        <w:tc>
          <w:tcPr>
            <w:tcW w:w="1362" w:type="pct"/>
            <w:shd w:val="clear" w:color="auto" w:fill="auto"/>
          </w:tcPr>
          <w:p w:rsidR="00C14A86" w:rsidRPr="00C258AD" w:rsidRDefault="00C14A86" w:rsidP="006364A5">
            <w:pPr>
              <w:rPr>
                <w:rFonts w:cs="Arial"/>
                <w:color w:val="002060"/>
                <w:sz w:val="16"/>
                <w:szCs w:val="16"/>
              </w:rPr>
            </w:pPr>
            <w:r w:rsidRPr="00C258AD">
              <w:rPr>
                <w:rFonts w:cs="Arial"/>
                <w:i/>
                <w:color w:val="002060"/>
                <w:sz w:val="16"/>
                <w:szCs w:val="16"/>
              </w:rPr>
              <w:t>Niveau de référence actualisé à fin 2013</w:t>
            </w:r>
            <w:r w:rsidRPr="00C258AD">
              <w:rPr>
                <w:rFonts w:cs="Arial"/>
                <w:color w:val="002060"/>
                <w:sz w:val="16"/>
                <w:szCs w:val="16"/>
              </w:rPr>
              <w:t xml:space="preserve"> : </w:t>
            </w:r>
          </w:p>
          <w:p w:rsidR="00C14A86" w:rsidRPr="00C258AD" w:rsidRDefault="00C14A86" w:rsidP="006364A5">
            <w:pPr>
              <w:rPr>
                <w:rFonts w:cs="Arial"/>
                <w:color w:val="002060"/>
                <w:sz w:val="16"/>
                <w:szCs w:val="16"/>
              </w:rPr>
            </w:pPr>
            <w:r w:rsidRPr="00C258AD">
              <w:rPr>
                <w:rFonts w:cs="Arial"/>
                <w:color w:val="002060"/>
                <w:sz w:val="16"/>
                <w:szCs w:val="16"/>
              </w:rPr>
              <w:t>44 018 (2012)</w:t>
            </w:r>
          </w:p>
          <w:p w:rsidR="00C14A86" w:rsidRPr="00C258AD" w:rsidRDefault="00C14A86" w:rsidP="006364A5">
            <w:pPr>
              <w:rPr>
                <w:rFonts w:cs="Arial"/>
                <w:color w:val="002060"/>
                <w:sz w:val="16"/>
                <w:szCs w:val="16"/>
              </w:rPr>
            </w:pPr>
            <w:r w:rsidRPr="00C258AD">
              <w:rPr>
                <w:rFonts w:cs="Arial"/>
                <w:color w:val="002060"/>
                <w:sz w:val="16"/>
                <w:szCs w:val="16"/>
              </w:rPr>
              <w:t>46 829 (2013)</w:t>
            </w:r>
          </w:p>
          <w:p w:rsidR="00C14A86" w:rsidRPr="00C258AD" w:rsidRDefault="00C14A86" w:rsidP="006364A5">
            <w:pPr>
              <w:rPr>
                <w:rFonts w:cs="Arial"/>
                <w:sz w:val="16"/>
                <w:szCs w:val="16"/>
              </w:rPr>
            </w:pPr>
          </w:p>
          <w:p w:rsidR="00C14A86" w:rsidRPr="00C258AD" w:rsidRDefault="00C14A86" w:rsidP="006364A5">
            <w:pPr>
              <w:rPr>
                <w:rFonts w:cs="Arial"/>
                <w:sz w:val="16"/>
                <w:szCs w:val="16"/>
              </w:rPr>
            </w:pPr>
            <w:r w:rsidRPr="00C258AD">
              <w:rPr>
                <w:rFonts w:cs="Arial"/>
                <w:i/>
                <w:sz w:val="16"/>
                <w:szCs w:val="16"/>
              </w:rPr>
              <w:t>Niveau de référence initial dans le programme et budget 2014</w:t>
            </w:r>
            <w:r w:rsidRPr="00C258AD">
              <w:rPr>
                <w:rFonts w:cs="Arial"/>
                <w:i/>
                <w:sz w:val="16"/>
                <w:szCs w:val="16"/>
              </w:rPr>
              <w:noBreakHyphen/>
              <w:t>2015</w:t>
            </w:r>
            <w:r w:rsidRPr="00C258AD">
              <w:rPr>
                <w:rFonts w:cs="Arial"/>
                <w:sz w:val="16"/>
                <w:szCs w:val="16"/>
              </w:rPr>
              <w:t> : nombre de demandes internationales à la fin de 2013</w:t>
            </w:r>
          </w:p>
        </w:tc>
        <w:tc>
          <w:tcPr>
            <w:tcW w:w="850" w:type="pct"/>
            <w:shd w:val="clear" w:color="auto" w:fill="auto"/>
            <w:tcMar>
              <w:top w:w="110" w:type="dxa"/>
            </w:tcMar>
          </w:tcPr>
          <w:p w:rsidR="00C14A86" w:rsidRPr="00C258AD" w:rsidRDefault="00C14A86" w:rsidP="006364A5">
            <w:pPr>
              <w:rPr>
                <w:rFonts w:cs="Arial"/>
                <w:sz w:val="16"/>
                <w:szCs w:val="16"/>
              </w:rPr>
            </w:pPr>
            <w:r w:rsidRPr="00C258AD">
              <w:rPr>
                <w:rFonts w:cs="Arial"/>
                <w:sz w:val="16"/>
                <w:szCs w:val="16"/>
              </w:rPr>
              <w:t>Augmentation de 8,1% d’ici à la fin de 2015</w:t>
            </w:r>
          </w:p>
        </w:tc>
        <w:tc>
          <w:tcPr>
            <w:tcW w:w="1048" w:type="pct"/>
            <w:shd w:val="clear" w:color="auto" w:fill="FFFFFF"/>
            <w:tcMar>
              <w:top w:w="110" w:type="dxa"/>
            </w:tcMar>
          </w:tcPr>
          <w:p w:rsidR="00C14A86" w:rsidRPr="00C258AD" w:rsidRDefault="00C14A86" w:rsidP="006364A5">
            <w:pPr>
              <w:rPr>
                <w:rFonts w:cs="Arial"/>
                <w:sz w:val="16"/>
                <w:szCs w:val="16"/>
              </w:rPr>
            </w:pPr>
            <w:r w:rsidRPr="00C258AD">
              <w:rPr>
                <w:rFonts w:cs="Arial"/>
                <w:sz w:val="16"/>
                <w:szCs w:val="16"/>
              </w:rPr>
              <w:t>Un total de 97 158 demandes reçues a été atteint en 2014</w:t>
            </w:r>
            <w:r w:rsidRPr="00C258AD">
              <w:rPr>
                <w:rFonts w:cs="Arial"/>
                <w:sz w:val="16"/>
                <w:szCs w:val="16"/>
              </w:rPr>
              <w:noBreakHyphen/>
              <w:t>2015 :</w:t>
            </w:r>
          </w:p>
          <w:p w:rsidR="00C14A86" w:rsidRPr="00C258AD" w:rsidRDefault="00C14A86" w:rsidP="006364A5">
            <w:pPr>
              <w:rPr>
                <w:rFonts w:cs="Arial"/>
                <w:sz w:val="16"/>
                <w:szCs w:val="16"/>
              </w:rPr>
            </w:pPr>
            <w:r w:rsidRPr="00C258AD">
              <w:rPr>
                <w:rFonts w:cs="Arial"/>
                <w:sz w:val="16"/>
                <w:szCs w:val="16"/>
              </w:rPr>
              <w:t>47 885 (2014)</w:t>
            </w:r>
          </w:p>
          <w:p w:rsidR="00C14A86" w:rsidRPr="00C258AD" w:rsidRDefault="00C14A86" w:rsidP="006364A5">
            <w:pPr>
              <w:rPr>
                <w:rFonts w:cs="Arial"/>
                <w:sz w:val="16"/>
                <w:szCs w:val="16"/>
              </w:rPr>
            </w:pPr>
            <w:r w:rsidRPr="00C258AD">
              <w:rPr>
                <w:rFonts w:cs="Arial"/>
                <w:sz w:val="16"/>
                <w:szCs w:val="16"/>
              </w:rPr>
              <w:t>49 273 (2015)</w:t>
            </w:r>
          </w:p>
          <w:p w:rsidR="00C14A86" w:rsidRPr="00C258AD" w:rsidRDefault="00C14A86" w:rsidP="006364A5">
            <w:pPr>
              <w:rPr>
                <w:rFonts w:cs="Arial"/>
                <w:sz w:val="16"/>
                <w:szCs w:val="16"/>
              </w:rPr>
            </w:pPr>
          </w:p>
          <w:p w:rsidR="00C14A86" w:rsidRPr="00C258AD" w:rsidRDefault="00C14A86" w:rsidP="006364A5">
            <w:pPr>
              <w:rPr>
                <w:rFonts w:cs="Arial"/>
                <w:sz w:val="16"/>
                <w:szCs w:val="16"/>
              </w:rPr>
            </w:pPr>
            <w:r w:rsidRPr="00C258AD">
              <w:rPr>
                <w:rFonts w:cs="Arial"/>
                <w:sz w:val="16"/>
                <w:szCs w:val="16"/>
              </w:rPr>
              <w:t>Ce qui représente une augmentation de 6,9% par rapport à l’exercice biennal 2012</w:t>
            </w:r>
            <w:r w:rsidRPr="00C258AD">
              <w:rPr>
                <w:rFonts w:cs="Arial"/>
                <w:sz w:val="16"/>
                <w:szCs w:val="16"/>
              </w:rPr>
              <w:noBreakHyphen/>
              <w:t>2013</w:t>
            </w:r>
          </w:p>
        </w:tc>
        <w:tc>
          <w:tcPr>
            <w:tcW w:w="603" w:type="pct"/>
            <w:shd w:val="clear" w:color="auto" w:fill="auto"/>
            <w:tcMar>
              <w:top w:w="110" w:type="dxa"/>
            </w:tcMar>
          </w:tcPr>
          <w:p w:rsidR="00C14A86" w:rsidRPr="00C258AD" w:rsidRDefault="00C14A86" w:rsidP="006364A5">
            <w:pPr>
              <w:keepNext/>
              <w:keepLines/>
              <w:jc w:val="center"/>
              <w:rPr>
                <w:rFonts w:cs="Arial"/>
                <w:b/>
                <w:bCs/>
                <w:color w:val="00B050"/>
                <w:sz w:val="16"/>
                <w:szCs w:val="16"/>
              </w:rPr>
            </w:pPr>
            <w:r w:rsidRPr="00C258AD">
              <w:rPr>
                <w:rFonts w:cs="Arial"/>
                <w:b/>
                <w:bCs/>
                <w:color w:val="00B050"/>
                <w:sz w:val="16"/>
                <w:szCs w:val="16"/>
              </w:rPr>
              <w:t>Objectif pleinement atteint</w:t>
            </w:r>
          </w:p>
        </w:tc>
      </w:tr>
      <w:tr w:rsidR="00C14A86" w:rsidRPr="00C258AD" w:rsidTr="006364A5">
        <w:trPr>
          <w:cantSplit/>
        </w:trPr>
        <w:tc>
          <w:tcPr>
            <w:tcW w:w="1137" w:type="pct"/>
            <w:tcBorders>
              <w:bottom w:val="single" w:sz="4" w:space="0" w:color="auto"/>
            </w:tcBorders>
            <w:shd w:val="clear" w:color="auto" w:fill="auto"/>
          </w:tcPr>
          <w:p w:rsidR="00C14A86" w:rsidRPr="00C258AD" w:rsidRDefault="00C14A86" w:rsidP="006364A5">
            <w:pPr>
              <w:pStyle w:val="Default"/>
              <w:rPr>
                <w:sz w:val="16"/>
                <w:szCs w:val="16"/>
              </w:rPr>
            </w:pPr>
            <w:r w:rsidRPr="00C258AD">
              <w:rPr>
                <w:color w:val="auto"/>
                <w:sz w:val="16"/>
                <w:szCs w:val="16"/>
              </w:rPr>
              <w:t xml:space="preserve">Proportion de bureaux </w:t>
            </w:r>
            <w:r w:rsidRPr="00C258AD">
              <w:rPr>
                <w:sz w:val="16"/>
                <w:szCs w:val="16"/>
              </w:rPr>
              <w:t xml:space="preserve">concernés fournissant des informations </w:t>
            </w:r>
            <w:r w:rsidRPr="00C258AD">
              <w:rPr>
                <w:color w:val="auto"/>
                <w:sz w:val="16"/>
                <w:szCs w:val="16"/>
              </w:rPr>
              <w:t xml:space="preserve">d’actualité </w:t>
            </w:r>
            <w:r w:rsidRPr="00C258AD">
              <w:rPr>
                <w:sz w:val="16"/>
                <w:szCs w:val="16"/>
              </w:rPr>
              <w:t>sur le système de Madrid</w:t>
            </w:r>
          </w:p>
        </w:tc>
        <w:tc>
          <w:tcPr>
            <w:tcW w:w="1362" w:type="pct"/>
            <w:tcBorders>
              <w:bottom w:val="single" w:sz="4" w:space="0" w:color="auto"/>
            </w:tcBorders>
            <w:shd w:val="clear" w:color="auto" w:fill="auto"/>
          </w:tcPr>
          <w:p w:rsidR="00C14A86" w:rsidRPr="00C258AD" w:rsidRDefault="00C14A86" w:rsidP="006364A5">
            <w:pPr>
              <w:pStyle w:val="Default"/>
              <w:rPr>
                <w:sz w:val="16"/>
                <w:szCs w:val="16"/>
              </w:rPr>
            </w:pPr>
            <w:r w:rsidRPr="00C258AD">
              <w:rPr>
                <w:color w:val="auto"/>
                <w:sz w:val="16"/>
                <w:szCs w:val="16"/>
              </w:rPr>
              <w:t xml:space="preserve">Proportion </w:t>
            </w:r>
            <w:r w:rsidRPr="00C258AD">
              <w:rPr>
                <w:sz w:val="16"/>
                <w:szCs w:val="16"/>
              </w:rPr>
              <w:t>de bureaux fournissant ces informations</w:t>
            </w:r>
          </w:p>
        </w:tc>
        <w:tc>
          <w:tcPr>
            <w:tcW w:w="850" w:type="pct"/>
            <w:tcBorders>
              <w:bottom w:val="single" w:sz="4" w:space="0" w:color="auto"/>
            </w:tcBorders>
            <w:shd w:val="clear" w:color="auto" w:fill="auto"/>
            <w:tcMar>
              <w:top w:w="110" w:type="dxa"/>
            </w:tcMar>
          </w:tcPr>
          <w:p w:rsidR="00C14A86" w:rsidRPr="00C258AD" w:rsidRDefault="00C14A86" w:rsidP="006364A5">
            <w:pPr>
              <w:rPr>
                <w:rFonts w:cs="Arial"/>
                <w:sz w:val="16"/>
                <w:szCs w:val="16"/>
              </w:rPr>
            </w:pPr>
            <w:r w:rsidRPr="00C258AD">
              <w:rPr>
                <w:rFonts w:cs="Arial"/>
                <w:sz w:val="16"/>
                <w:szCs w:val="16"/>
              </w:rPr>
              <w:t>Augmentation de cette proportion</w:t>
            </w:r>
          </w:p>
        </w:tc>
        <w:tc>
          <w:tcPr>
            <w:tcW w:w="1048" w:type="pct"/>
            <w:tcBorders>
              <w:bottom w:val="single" w:sz="4" w:space="0" w:color="auto"/>
            </w:tcBorders>
            <w:shd w:val="clear" w:color="auto" w:fill="FFFFFF"/>
            <w:tcMar>
              <w:top w:w="110" w:type="dxa"/>
            </w:tcMar>
          </w:tcPr>
          <w:p w:rsidR="00C14A86" w:rsidRPr="00C258AD" w:rsidRDefault="00C14A86" w:rsidP="006364A5">
            <w:pPr>
              <w:rPr>
                <w:rFonts w:cs="Arial"/>
                <w:sz w:val="16"/>
                <w:szCs w:val="16"/>
              </w:rPr>
            </w:pPr>
          </w:p>
        </w:tc>
        <w:tc>
          <w:tcPr>
            <w:tcW w:w="603" w:type="pct"/>
            <w:tcBorders>
              <w:bottom w:val="single" w:sz="4" w:space="0" w:color="auto"/>
            </w:tcBorders>
            <w:shd w:val="clear" w:color="auto" w:fill="auto"/>
            <w:tcMar>
              <w:top w:w="110" w:type="dxa"/>
            </w:tcMar>
          </w:tcPr>
          <w:p w:rsidR="00C14A86" w:rsidRPr="00C258AD" w:rsidRDefault="00C14A86" w:rsidP="006364A5">
            <w:pPr>
              <w:keepNext/>
              <w:keepLines/>
              <w:jc w:val="center"/>
              <w:rPr>
                <w:rFonts w:cs="Arial"/>
                <w:b/>
                <w:bCs/>
                <w:sz w:val="16"/>
                <w:szCs w:val="16"/>
              </w:rPr>
            </w:pPr>
            <w:r w:rsidRPr="00C258AD">
              <w:rPr>
                <w:rStyle w:val="Style5"/>
                <w:rFonts w:ascii="Arial" w:hAnsi="Arial" w:cs="Arial"/>
                <w:b/>
                <w:sz w:val="16"/>
                <w:szCs w:val="16"/>
              </w:rPr>
              <w:t>Objectif abandonné</w:t>
            </w:r>
            <w:r w:rsidRPr="00C258AD" w:rsidDel="00AA396C">
              <w:rPr>
                <w:rStyle w:val="Style5"/>
                <w:rFonts w:ascii="Arial" w:hAnsi="Arial" w:cs="Arial"/>
                <w:b/>
                <w:sz w:val="16"/>
                <w:szCs w:val="16"/>
              </w:rPr>
              <w:t xml:space="preserve"> </w:t>
            </w:r>
          </w:p>
        </w:tc>
      </w:tr>
      <w:tr w:rsidR="00C14A86" w:rsidRPr="00C258AD" w:rsidTr="006364A5">
        <w:trPr>
          <w:cantSplit/>
        </w:trPr>
        <w:tc>
          <w:tcPr>
            <w:tcW w:w="5000" w:type="pct"/>
            <w:gridSpan w:val="5"/>
            <w:tcBorders>
              <w:top w:val="single" w:sz="4" w:space="0" w:color="auto"/>
              <w:bottom w:val="single" w:sz="4" w:space="0" w:color="auto"/>
            </w:tcBorders>
            <w:shd w:val="clear" w:color="auto" w:fill="C5D9F1"/>
            <w:vAlign w:val="center"/>
          </w:tcPr>
          <w:p w:rsidR="00C14A86" w:rsidRPr="00C258AD" w:rsidRDefault="00C14A86" w:rsidP="006364A5">
            <w:pPr>
              <w:keepNext/>
              <w:keepLines/>
              <w:rPr>
                <w:rFonts w:cs="Arial"/>
                <w:b/>
                <w:bCs/>
                <w:sz w:val="16"/>
                <w:szCs w:val="16"/>
              </w:rPr>
            </w:pPr>
            <w:r w:rsidRPr="00C258AD">
              <w:rPr>
                <w:rFonts w:cs="Arial"/>
                <w:b/>
                <w:bCs/>
                <w:sz w:val="16"/>
                <w:szCs w:val="16"/>
              </w:rPr>
              <w:lastRenderedPageBreak/>
              <w:t>Résultat escompté :</w:t>
            </w:r>
            <w:r w:rsidRPr="00C258AD">
              <w:rPr>
                <w:rFonts w:cs="Arial"/>
                <w:bCs/>
                <w:sz w:val="16"/>
                <w:szCs w:val="16"/>
              </w:rPr>
              <w:t xml:space="preserve"> II.6 Utilisation élargie et améliorée des systèmes de Madrid et de Lisbonne, notamment par les pays en développement et les PMA</w:t>
            </w:r>
          </w:p>
        </w:tc>
      </w:tr>
      <w:tr w:rsidR="00C14A86" w:rsidRPr="00C258AD" w:rsidTr="006364A5">
        <w:trPr>
          <w:cantSplit/>
        </w:trPr>
        <w:tc>
          <w:tcPr>
            <w:tcW w:w="1137" w:type="pct"/>
            <w:tcBorders>
              <w:top w:val="single" w:sz="4" w:space="0" w:color="auto"/>
            </w:tcBorders>
            <w:shd w:val="clear" w:color="auto" w:fill="auto"/>
            <w:vAlign w:val="center"/>
          </w:tcPr>
          <w:p w:rsidR="00C14A86" w:rsidRPr="00C258AD" w:rsidRDefault="00C14A86" w:rsidP="006364A5">
            <w:pPr>
              <w:keepNext/>
              <w:jc w:val="center"/>
              <w:rPr>
                <w:rFonts w:cs="Arial"/>
                <w:b/>
                <w:sz w:val="16"/>
                <w:szCs w:val="16"/>
              </w:rPr>
            </w:pPr>
            <w:r w:rsidRPr="00C258AD">
              <w:rPr>
                <w:rFonts w:cs="Arial"/>
                <w:b/>
                <w:sz w:val="16"/>
                <w:szCs w:val="16"/>
              </w:rPr>
              <w:t>Indicateurs d’exécution</w:t>
            </w:r>
          </w:p>
        </w:tc>
        <w:tc>
          <w:tcPr>
            <w:tcW w:w="1362" w:type="pct"/>
            <w:tcBorders>
              <w:top w:val="single" w:sz="4" w:space="0" w:color="auto"/>
            </w:tcBorders>
            <w:shd w:val="clear" w:color="auto" w:fill="auto"/>
            <w:vAlign w:val="center"/>
          </w:tcPr>
          <w:p w:rsidR="00C14A86" w:rsidRPr="00C258AD" w:rsidRDefault="00C14A86" w:rsidP="006364A5">
            <w:pPr>
              <w:keepNext/>
              <w:jc w:val="center"/>
              <w:rPr>
                <w:rFonts w:cs="Arial"/>
                <w:b/>
                <w:bCs/>
                <w:sz w:val="16"/>
                <w:szCs w:val="16"/>
              </w:rPr>
            </w:pPr>
            <w:r w:rsidRPr="00C258AD">
              <w:rPr>
                <w:rFonts w:cs="Arial"/>
                <w:b/>
                <w:bCs/>
                <w:sz w:val="16"/>
                <w:szCs w:val="16"/>
              </w:rPr>
              <w:t>Niveaux de référence</w:t>
            </w:r>
          </w:p>
        </w:tc>
        <w:tc>
          <w:tcPr>
            <w:tcW w:w="850" w:type="pct"/>
            <w:tcBorders>
              <w:top w:val="single" w:sz="4" w:space="0" w:color="auto"/>
            </w:tcBorders>
            <w:shd w:val="clear" w:color="auto" w:fill="auto"/>
            <w:tcMar>
              <w:top w:w="110" w:type="dxa"/>
            </w:tcMar>
            <w:vAlign w:val="center"/>
          </w:tcPr>
          <w:p w:rsidR="00C14A86" w:rsidRPr="00C258AD" w:rsidRDefault="00C14A86" w:rsidP="006364A5">
            <w:pPr>
              <w:keepNext/>
              <w:jc w:val="center"/>
              <w:rPr>
                <w:rFonts w:cs="Arial"/>
                <w:b/>
                <w:sz w:val="16"/>
                <w:szCs w:val="16"/>
              </w:rPr>
            </w:pPr>
            <w:r w:rsidRPr="00C258AD">
              <w:rPr>
                <w:rFonts w:cs="Arial"/>
                <w:b/>
                <w:sz w:val="16"/>
                <w:szCs w:val="16"/>
              </w:rPr>
              <w:t>Objectifs visés</w:t>
            </w:r>
          </w:p>
        </w:tc>
        <w:tc>
          <w:tcPr>
            <w:tcW w:w="1048" w:type="pct"/>
            <w:tcBorders>
              <w:top w:val="single" w:sz="4" w:space="0" w:color="auto"/>
            </w:tcBorders>
            <w:shd w:val="clear" w:color="auto" w:fill="FFFFFF"/>
            <w:tcMar>
              <w:top w:w="110" w:type="dxa"/>
            </w:tcMar>
            <w:vAlign w:val="center"/>
          </w:tcPr>
          <w:p w:rsidR="00C14A86" w:rsidRPr="00C258AD" w:rsidRDefault="00C14A86" w:rsidP="006364A5">
            <w:pPr>
              <w:keepNext/>
              <w:jc w:val="center"/>
              <w:rPr>
                <w:rFonts w:cs="Arial"/>
                <w:b/>
                <w:sz w:val="16"/>
                <w:szCs w:val="16"/>
              </w:rPr>
            </w:pPr>
            <w:r w:rsidRPr="00C258AD">
              <w:rPr>
                <w:rFonts w:cs="Arial"/>
                <w:b/>
                <w:sz w:val="16"/>
                <w:szCs w:val="16"/>
              </w:rPr>
              <w:t>Données relatives à l’exécution</w:t>
            </w:r>
          </w:p>
        </w:tc>
        <w:tc>
          <w:tcPr>
            <w:tcW w:w="603" w:type="pct"/>
            <w:tcBorders>
              <w:top w:val="single" w:sz="4" w:space="0" w:color="auto"/>
            </w:tcBorders>
            <w:shd w:val="clear" w:color="auto" w:fill="auto"/>
            <w:tcMar>
              <w:top w:w="110" w:type="dxa"/>
            </w:tcMar>
            <w:vAlign w:val="center"/>
          </w:tcPr>
          <w:p w:rsidR="00C14A86" w:rsidRPr="00C258AD" w:rsidRDefault="00C14A86" w:rsidP="006364A5">
            <w:pPr>
              <w:keepNext/>
              <w:keepLines/>
              <w:jc w:val="center"/>
              <w:rPr>
                <w:rFonts w:cs="Arial"/>
                <w:b/>
                <w:bCs/>
                <w:sz w:val="16"/>
                <w:szCs w:val="16"/>
              </w:rPr>
            </w:pPr>
            <w:r w:rsidRPr="00C258AD">
              <w:rPr>
                <w:rFonts w:cs="Arial"/>
                <w:b/>
                <w:bCs/>
                <w:sz w:val="16"/>
                <w:szCs w:val="16"/>
              </w:rPr>
              <w:t>Code de couleurs</w:t>
            </w:r>
          </w:p>
        </w:tc>
      </w:tr>
      <w:tr w:rsidR="00C14A86" w:rsidRPr="00C258AD" w:rsidTr="006364A5">
        <w:trPr>
          <w:cantSplit/>
        </w:trPr>
        <w:tc>
          <w:tcPr>
            <w:tcW w:w="1137" w:type="pct"/>
            <w:tcBorders>
              <w:bottom w:val="nil"/>
            </w:tcBorders>
            <w:shd w:val="clear" w:color="auto" w:fill="auto"/>
          </w:tcPr>
          <w:p w:rsidR="00C14A86" w:rsidRPr="00C258AD" w:rsidRDefault="00C14A86" w:rsidP="006364A5">
            <w:pPr>
              <w:rPr>
                <w:rFonts w:cs="Arial"/>
                <w:sz w:val="16"/>
                <w:szCs w:val="16"/>
              </w:rPr>
            </w:pPr>
            <w:r w:rsidRPr="00C258AD">
              <w:rPr>
                <w:rFonts w:cs="Arial"/>
                <w:sz w:val="16"/>
                <w:szCs w:val="16"/>
              </w:rPr>
              <w:t>Pourcentage de participants à des manifestations associées au système de Lisbonne qui font part de leur satisfaction et d’une meilleure compréhension du système à la suite d’une manifestation</w:t>
            </w:r>
          </w:p>
        </w:tc>
        <w:tc>
          <w:tcPr>
            <w:tcW w:w="1362" w:type="pct"/>
            <w:tcBorders>
              <w:bottom w:val="nil"/>
            </w:tcBorders>
            <w:shd w:val="clear" w:color="auto" w:fill="auto"/>
          </w:tcPr>
          <w:p w:rsidR="00C14A86" w:rsidRPr="00C258AD" w:rsidRDefault="00C14A86" w:rsidP="006364A5">
            <w:pPr>
              <w:rPr>
                <w:rFonts w:cs="Arial"/>
                <w:color w:val="002060"/>
                <w:sz w:val="16"/>
                <w:szCs w:val="16"/>
              </w:rPr>
            </w:pPr>
            <w:r w:rsidRPr="00C258AD">
              <w:rPr>
                <w:rFonts w:cs="Arial"/>
                <w:i/>
                <w:color w:val="002060"/>
                <w:sz w:val="16"/>
                <w:szCs w:val="16"/>
              </w:rPr>
              <w:t>Niveau de référence actualisé à fin 2013 :</w:t>
            </w:r>
            <w:r w:rsidRPr="00C258AD">
              <w:rPr>
                <w:rFonts w:cs="Arial"/>
                <w:color w:val="002060"/>
                <w:sz w:val="16"/>
                <w:szCs w:val="16"/>
              </w:rPr>
              <w:t xml:space="preserve"> les questionnaires d’évaluation ont indiqué un taux de satisfaction de plus de 90%</w:t>
            </w:r>
          </w:p>
          <w:p w:rsidR="00C14A86" w:rsidRPr="00C258AD" w:rsidRDefault="00C14A86" w:rsidP="006364A5">
            <w:pPr>
              <w:rPr>
                <w:rFonts w:cs="Arial"/>
                <w:sz w:val="16"/>
                <w:szCs w:val="16"/>
              </w:rPr>
            </w:pPr>
          </w:p>
          <w:p w:rsidR="00C14A86" w:rsidRPr="00C258AD" w:rsidRDefault="00C14A86" w:rsidP="006364A5">
            <w:pPr>
              <w:rPr>
                <w:rFonts w:cs="Arial"/>
                <w:i/>
                <w:sz w:val="16"/>
                <w:szCs w:val="16"/>
              </w:rPr>
            </w:pPr>
            <w:r w:rsidRPr="00C258AD">
              <w:rPr>
                <w:rFonts w:cs="Arial"/>
                <w:i/>
                <w:sz w:val="16"/>
                <w:szCs w:val="16"/>
              </w:rPr>
              <w:t>Niveau de référence initial dans le programme et budget 2013</w:t>
            </w:r>
            <w:r w:rsidRPr="00C258AD">
              <w:rPr>
                <w:rFonts w:cs="Arial"/>
                <w:i/>
                <w:sz w:val="16"/>
                <w:szCs w:val="16"/>
              </w:rPr>
              <w:noBreakHyphen/>
              <w:t>2014</w:t>
            </w:r>
            <w:r w:rsidRPr="00C258AD">
              <w:rPr>
                <w:rFonts w:cs="Arial"/>
                <w:sz w:val="16"/>
                <w:szCs w:val="16"/>
              </w:rPr>
              <w:t> : nombre de manifestations et pourcentage de participants satisfaits en 2013</w:t>
            </w:r>
          </w:p>
        </w:tc>
        <w:tc>
          <w:tcPr>
            <w:tcW w:w="850" w:type="pct"/>
            <w:tcBorders>
              <w:bottom w:val="nil"/>
            </w:tcBorders>
            <w:shd w:val="clear" w:color="auto" w:fill="auto"/>
            <w:tcMar>
              <w:top w:w="110" w:type="dxa"/>
            </w:tcMar>
          </w:tcPr>
          <w:p w:rsidR="00C14A86" w:rsidRPr="00C258AD" w:rsidRDefault="00C14A86" w:rsidP="006364A5">
            <w:pPr>
              <w:rPr>
                <w:rFonts w:cs="Arial"/>
                <w:sz w:val="16"/>
                <w:szCs w:val="16"/>
              </w:rPr>
            </w:pPr>
            <w:r w:rsidRPr="00C258AD">
              <w:rPr>
                <w:rFonts w:cs="Arial"/>
                <w:sz w:val="16"/>
                <w:szCs w:val="16"/>
              </w:rPr>
              <w:t>Au moins huit manifestations avec 85% de participants satisfaits</w:t>
            </w:r>
          </w:p>
        </w:tc>
        <w:tc>
          <w:tcPr>
            <w:tcW w:w="1048" w:type="pct"/>
            <w:tcBorders>
              <w:bottom w:val="nil"/>
            </w:tcBorders>
            <w:shd w:val="clear" w:color="auto" w:fill="FFFFFF"/>
            <w:tcMar>
              <w:top w:w="110" w:type="dxa"/>
            </w:tcMar>
          </w:tcPr>
          <w:p w:rsidR="00C14A86" w:rsidRPr="00C258AD" w:rsidRDefault="00C14A86" w:rsidP="006364A5">
            <w:pPr>
              <w:rPr>
                <w:rFonts w:cs="Arial"/>
                <w:sz w:val="16"/>
                <w:szCs w:val="16"/>
              </w:rPr>
            </w:pPr>
            <w:r w:rsidRPr="00C258AD">
              <w:rPr>
                <w:rFonts w:cs="Arial"/>
                <w:sz w:val="16"/>
                <w:szCs w:val="16"/>
              </w:rPr>
              <w:t xml:space="preserve">Sept manifestations d’information et de promotion principalement axées sur le système de Lisbonne, notamment sur sa révision prévue, dans toutes les régions avec 84% de participants satisfaits </w:t>
            </w:r>
          </w:p>
        </w:tc>
        <w:tc>
          <w:tcPr>
            <w:tcW w:w="603" w:type="pct"/>
            <w:tcBorders>
              <w:bottom w:val="nil"/>
            </w:tcBorders>
            <w:shd w:val="clear" w:color="auto" w:fill="auto"/>
            <w:tcMar>
              <w:top w:w="110" w:type="dxa"/>
            </w:tcMar>
          </w:tcPr>
          <w:p w:rsidR="00C14A86" w:rsidRPr="00C258AD" w:rsidRDefault="00C14A86" w:rsidP="006364A5">
            <w:pPr>
              <w:jc w:val="center"/>
              <w:rPr>
                <w:rStyle w:val="Style5"/>
                <w:rFonts w:ascii="Arial" w:hAnsi="Arial" w:cs="Arial"/>
                <w:b/>
                <w:color w:val="00B050"/>
                <w:sz w:val="16"/>
                <w:szCs w:val="16"/>
              </w:rPr>
            </w:pPr>
            <w:r w:rsidRPr="00C258AD">
              <w:rPr>
                <w:rStyle w:val="Style5"/>
                <w:rFonts w:ascii="Arial" w:hAnsi="Arial" w:cs="Arial"/>
                <w:b/>
                <w:bCs/>
                <w:color w:val="00B050"/>
                <w:sz w:val="16"/>
                <w:szCs w:val="16"/>
              </w:rPr>
              <w:t>Objectif pleinement atteint</w:t>
            </w:r>
          </w:p>
        </w:tc>
      </w:tr>
      <w:tr w:rsidR="00C14A86" w:rsidRPr="00C258AD" w:rsidTr="006364A5">
        <w:trPr>
          <w:cantSplit/>
        </w:trPr>
        <w:tc>
          <w:tcPr>
            <w:tcW w:w="1137" w:type="pct"/>
            <w:tcBorders>
              <w:top w:val="nil"/>
              <w:bottom w:val="nil"/>
            </w:tcBorders>
            <w:shd w:val="clear" w:color="auto" w:fill="auto"/>
          </w:tcPr>
          <w:p w:rsidR="00C14A86" w:rsidRPr="00C258AD" w:rsidRDefault="00C14A86" w:rsidP="006364A5">
            <w:pPr>
              <w:rPr>
                <w:rFonts w:cs="Arial"/>
                <w:sz w:val="16"/>
                <w:szCs w:val="16"/>
              </w:rPr>
            </w:pPr>
            <w:r w:rsidRPr="00C258AD">
              <w:rPr>
                <w:rFonts w:cs="Arial"/>
                <w:sz w:val="16"/>
                <w:szCs w:val="16"/>
              </w:rPr>
              <w:t>Nombre et proportion d’enregistrements internationaux en vigueur au titre du système de Lisbonne émanant de pays en développement et de PMA</w:t>
            </w:r>
          </w:p>
        </w:tc>
        <w:tc>
          <w:tcPr>
            <w:tcW w:w="1362" w:type="pct"/>
            <w:tcBorders>
              <w:top w:val="nil"/>
              <w:bottom w:val="nil"/>
            </w:tcBorders>
            <w:shd w:val="clear" w:color="auto" w:fill="auto"/>
          </w:tcPr>
          <w:p w:rsidR="00C14A86" w:rsidRPr="00C258AD" w:rsidRDefault="00C14A86" w:rsidP="006364A5">
            <w:pPr>
              <w:rPr>
                <w:rFonts w:cs="Arial"/>
                <w:color w:val="002060"/>
                <w:sz w:val="16"/>
                <w:szCs w:val="16"/>
              </w:rPr>
            </w:pPr>
            <w:r w:rsidRPr="00C258AD">
              <w:rPr>
                <w:rFonts w:cs="Arial"/>
                <w:i/>
                <w:color w:val="002060"/>
                <w:sz w:val="16"/>
                <w:szCs w:val="16"/>
              </w:rPr>
              <w:t>Niveau de référence actualisé à fin 2013 :</w:t>
            </w:r>
            <w:r w:rsidRPr="00C258AD">
              <w:rPr>
                <w:rFonts w:cs="Arial"/>
                <w:color w:val="002060"/>
                <w:sz w:val="16"/>
                <w:szCs w:val="16"/>
              </w:rPr>
              <w:t xml:space="preserve"> 67 sur 816</w:t>
            </w:r>
          </w:p>
          <w:p w:rsidR="00C14A86" w:rsidRPr="00C258AD" w:rsidRDefault="00C14A86" w:rsidP="006364A5">
            <w:pPr>
              <w:rPr>
                <w:rFonts w:cs="Arial"/>
                <w:sz w:val="16"/>
                <w:szCs w:val="16"/>
              </w:rPr>
            </w:pPr>
          </w:p>
          <w:p w:rsidR="00C14A86" w:rsidRPr="00C258AD" w:rsidRDefault="00C14A86" w:rsidP="006364A5">
            <w:pPr>
              <w:rPr>
                <w:rFonts w:cs="Arial"/>
                <w:i/>
                <w:sz w:val="16"/>
                <w:szCs w:val="16"/>
              </w:rPr>
            </w:pPr>
            <w:r w:rsidRPr="00C258AD">
              <w:rPr>
                <w:rFonts w:cs="Arial"/>
                <w:i/>
                <w:sz w:val="16"/>
                <w:szCs w:val="16"/>
              </w:rPr>
              <w:t>Niveau de référence initial dans le programme et budget 2013</w:t>
            </w:r>
            <w:r w:rsidRPr="00C258AD">
              <w:rPr>
                <w:rFonts w:cs="Arial"/>
                <w:i/>
                <w:sz w:val="16"/>
                <w:szCs w:val="16"/>
              </w:rPr>
              <w:noBreakHyphen/>
              <w:t>2014 :</w:t>
            </w:r>
          </w:p>
          <w:p w:rsidR="00C14A86" w:rsidRPr="00C258AD" w:rsidRDefault="00C14A86" w:rsidP="006364A5">
            <w:pPr>
              <w:rPr>
                <w:rFonts w:cs="Arial"/>
                <w:i/>
                <w:sz w:val="16"/>
                <w:szCs w:val="16"/>
              </w:rPr>
            </w:pPr>
            <w:r w:rsidRPr="00C258AD">
              <w:rPr>
                <w:rFonts w:cs="Arial"/>
                <w:i/>
                <w:sz w:val="16"/>
                <w:szCs w:val="16"/>
              </w:rPr>
              <w:t>67 (sur 809) (avril 2013)</w:t>
            </w:r>
          </w:p>
        </w:tc>
        <w:tc>
          <w:tcPr>
            <w:tcW w:w="850" w:type="pct"/>
            <w:tcBorders>
              <w:top w:val="nil"/>
              <w:bottom w:val="nil"/>
            </w:tcBorders>
            <w:shd w:val="clear" w:color="auto" w:fill="auto"/>
            <w:tcMar>
              <w:top w:w="110" w:type="dxa"/>
            </w:tcMar>
          </w:tcPr>
          <w:p w:rsidR="00C14A86" w:rsidRPr="00C258AD" w:rsidRDefault="00C14A86" w:rsidP="006364A5">
            <w:pPr>
              <w:rPr>
                <w:rFonts w:cs="Arial"/>
                <w:sz w:val="16"/>
                <w:szCs w:val="16"/>
              </w:rPr>
            </w:pPr>
            <w:r w:rsidRPr="00C258AD">
              <w:rPr>
                <w:rFonts w:cs="Arial"/>
                <w:sz w:val="16"/>
                <w:szCs w:val="16"/>
              </w:rPr>
              <w:t>80 (sur 825)</w:t>
            </w:r>
          </w:p>
        </w:tc>
        <w:tc>
          <w:tcPr>
            <w:tcW w:w="1048" w:type="pct"/>
            <w:tcBorders>
              <w:top w:val="nil"/>
              <w:bottom w:val="nil"/>
            </w:tcBorders>
            <w:shd w:val="clear" w:color="auto" w:fill="FFFFFF"/>
            <w:tcMar>
              <w:top w:w="110" w:type="dxa"/>
            </w:tcMar>
          </w:tcPr>
          <w:p w:rsidR="00C14A86" w:rsidRPr="00C258AD" w:rsidRDefault="00C14A86" w:rsidP="006364A5">
            <w:pPr>
              <w:rPr>
                <w:rFonts w:cs="Arial"/>
                <w:sz w:val="16"/>
                <w:szCs w:val="16"/>
              </w:rPr>
            </w:pPr>
            <w:r w:rsidRPr="00C258AD">
              <w:rPr>
                <w:rFonts w:cs="Arial"/>
                <w:sz w:val="16"/>
                <w:szCs w:val="16"/>
              </w:rPr>
              <w:t>95 (sur 931) :</w:t>
            </w:r>
          </w:p>
          <w:p w:rsidR="00C14A86" w:rsidRPr="00C258AD" w:rsidRDefault="00C14A86" w:rsidP="00C14A86">
            <w:pPr>
              <w:pStyle w:val="ListParagraph"/>
              <w:numPr>
                <w:ilvl w:val="0"/>
                <w:numId w:val="65"/>
              </w:numPr>
              <w:rPr>
                <w:rFonts w:cs="Arial"/>
                <w:sz w:val="16"/>
                <w:szCs w:val="16"/>
              </w:rPr>
            </w:pPr>
            <w:r w:rsidRPr="00C258AD">
              <w:rPr>
                <w:rFonts w:cs="Arial"/>
                <w:sz w:val="16"/>
                <w:szCs w:val="16"/>
              </w:rPr>
              <w:t>pays arabes (14)</w:t>
            </w:r>
          </w:p>
          <w:p w:rsidR="00C14A86" w:rsidRPr="00C258AD" w:rsidRDefault="00C14A86" w:rsidP="00C14A86">
            <w:pPr>
              <w:pStyle w:val="ListParagraph"/>
              <w:numPr>
                <w:ilvl w:val="0"/>
                <w:numId w:val="65"/>
              </w:numPr>
              <w:rPr>
                <w:rFonts w:cs="Arial"/>
                <w:sz w:val="16"/>
                <w:szCs w:val="16"/>
              </w:rPr>
            </w:pPr>
            <w:r w:rsidRPr="00C258AD">
              <w:rPr>
                <w:rFonts w:cs="Arial"/>
                <w:sz w:val="16"/>
                <w:szCs w:val="16"/>
              </w:rPr>
              <w:t>Asie et Pacifique (38)</w:t>
            </w:r>
          </w:p>
          <w:p w:rsidR="00C14A86" w:rsidRPr="00C258AD" w:rsidRDefault="00C14A86" w:rsidP="00C14A86">
            <w:pPr>
              <w:pStyle w:val="ListParagraph"/>
              <w:numPr>
                <w:ilvl w:val="0"/>
                <w:numId w:val="65"/>
              </w:numPr>
              <w:rPr>
                <w:rFonts w:cs="Arial"/>
                <w:sz w:val="16"/>
                <w:szCs w:val="16"/>
              </w:rPr>
            </w:pPr>
            <w:r w:rsidRPr="00C258AD">
              <w:rPr>
                <w:rFonts w:cs="Arial"/>
                <w:sz w:val="16"/>
                <w:szCs w:val="16"/>
              </w:rPr>
              <w:t>Amérique latine et Caraïbes (43)</w:t>
            </w:r>
          </w:p>
        </w:tc>
        <w:tc>
          <w:tcPr>
            <w:tcW w:w="603" w:type="pct"/>
            <w:tcBorders>
              <w:top w:val="nil"/>
              <w:bottom w:val="nil"/>
            </w:tcBorders>
            <w:shd w:val="clear" w:color="auto" w:fill="auto"/>
            <w:tcMar>
              <w:top w:w="110" w:type="dxa"/>
            </w:tcMar>
          </w:tcPr>
          <w:p w:rsidR="00C14A86" w:rsidRPr="00C258AD" w:rsidRDefault="00C14A86" w:rsidP="006364A5">
            <w:pPr>
              <w:jc w:val="center"/>
              <w:rPr>
                <w:rStyle w:val="Style5"/>
                <w:rFonts w:ascii="Arial" w:hAnsi="Arial" w:cs="Arial"/>
                <w:b/>
                <w:color w:val="00B050"/>
                <w:sz w:val="16"/>
                <w:szCs w:val="16"/>
              </w:rPr>
            </w:pPr>
            <w:r w:rsidRPr="00C258AD">
              <w:rPr>
                <w:rStyle w:val="Style5"/>
                <w:rFonts w:ascii="Arial" w:hAnsi="Arial" w:cs="Arial"/>
                <w:b/>
                <w:bCs/>
                <w:color w:val="00B050"/>
                <w:sz w:val="16"/>
                <w:szCs w:val="16"/>
              </w:rPr>
              <w:t>Objectif pleinement atteint</w:t>
            </w:r>
          </w:p>
        </w:tc>
      </w:tr>
      <w:tr w:rsidR="00C14A86" w:rsidRPr="00C258AD" w:rsidTr="006364A5">
        <w:trPr>
          <w:cantSplit/>
        </w:trPr>
        <w:tc>
          <w:tcPr>
            <w:tcW w:w="1137" w:type="pct"/>
            <w:tcBorders>
              <w:top w:val="nil"/>
              <w:bottom w:val="single" w:sz="4" w:space="0" w:color="auto"/>
            </w:tcBorders>
            <w:shd w:val="clear" w:color="auto" w:fill="auto"/>
          </w:tcPr>
          <w:p w:rsidR="00C14A86" w:rsidRPr="00C258AD" w:rsidRDefault="00C14A86" w:rsidP="006364A5">
            <w:pPr>
              <w:rPr>
                <w:rFonts w:cs="Arial"/>
                <w:sz w:val="16"/>
                <w:szCs w:val="16"/>
              </w:rPr>
            </w:pPr>
            <w:r w:rsidRPr="00C258AD">
              <w:rPr>
                <w:rFonts w:cs="Arial"/>
                <w:sz w:val="16"/>
                <w:szCs w:val="16"/>
              </w:rPr>
              <w:t>Réduction du nombre d’irrégularités (système de Madrid)</w:t>
            </w:r>
          </w:p>
        </w:tc>
        <w:tc>
          <w:tcPr>
            <w:tcW w:w="1362" w:type="pct"/>
            <w:tcBorders>
              <w:top w:val="nil"/>
              <w:bottom w:val="single" w:sz="4" w:space="0" w:color="auto"/>
            </w:tcBorders>
            <w:shd w:val="clear" w:color="auto" w:fill="auto"/>
          </w:tcPr>
          <w:p w:rsidR="00C14A86" w:rsidRPr="00C258AD" w:rsidRDefault="00C14A86" w:rsidP="006364A5">
            <w:pPr>
              <w:rPr>
                <w:rFonts w:cs="Arial"/>
                <w:color w:val="002060"/>
                <w:sz w:val="16"/>
                <w:szCs w:val="16"/>
              </w:rPr>
            </w:pPr>
            <w:r w:rsidRPr="00C258AD">
              <w:rPr>
                <w:rFonts w:cs="Arial"/>
                <w:i/>
                <w:color w:val="002060"/>
                <w:sz w:val="16"/>
                <w:szCs w:val="16"/>
              </w:rPr>
              <w:t>Niveau de référence actualisé à fin 2013 :</w:t>
            </w:r>
            <w:r w:rsidRPr="00C258AD">
              <w:rPr>
                <w:rFonts w:cs="Arial"/>
                <w:color w:val="002060"/>
                <w:sz w:val="16"/>
                <w:szCs w:val="16"/>
              </w:rPr>
              <w:t xml:space="preserve"> 32%</w:t>
            </w:r>
            <w:r w:rsidRPr="00C258AD">
              <w:rPr>
                <w:rStyle w:val="FootnoteReference"/>
                <w:rFonts w:eastAsia="SimSun" w:cs="Arial"/>
                <w:color w:val="002060"/>
                <w:sz w:val="16"/>
                <w:szCs w:val="16"/>
              </w:rPr>
              <w:footnoteReference w:id="25"/>
            </w:r>
            <w:r w:rsidRPr="00C258AD">
              <w:rPr>
                <w:rFonts w:cs="Arial"/>
                <w:color w:val="002060"/>
                <w:sz w:val="16"/>
                <w:szCs w:val="16"/>
              </w:rPr>
              <w:t xml:space="preserve"> (14 985 irrégularités)</w:t>
            </w:r>
          </w:p>
          <w:p w:rsidR="00C14A86" w:rsidRPr="00C258AD" w:rsidRDefault="00C14A86" w:rsidP="006364A5">
            <w:pPr>
              <w:rPr>
                <w:rFonts w:cs="Arial"/>
                <w:sz w:val="16"/>
                <w:szCs w:val="16"/>
              </w:rPr>
            </w:pPr>
          </w:p>
          <w:p w:rsidR="00C14A86" w:rsidRPr="00C258AD" w:rsidRDefault="00C14A86" w:rsidP="006364A5">
            <w:pPr>
              <w:rPr>
                <w:rFonts w:cs="Arial"/>
                <w:i/>
                <w:color w:val="002060"/>
                <w:sz w:val="16"/>
                <w:szCs w:val="16"/>
              </w:rPr>
            </w:pPr>
            <w:r w:rsidRPr="00C258AD">
              <w:rPr>
                <w:rFonts w:cs="Arial"/>
                <w:i/>
                <w:sz w:val="16"/>
                <w:szCs w:val="16"/>
              </w:rPr>
              <w:t>Niveau de référence initial dans le programme et budget 2013</w:t>
            </w:r>
            <w:r w:rsidRPr="00C258AD">
              <w:rPr>
                <w:rFonts w:cs="Arial"/>
                <w:i/>
                <w:sz w:val="16"/>
                <w:szCs w:val="16"/>
              </w:rPr>
              <w:noBreakHyphen/>
              <w:t xml:space="preserve">2014 : </w:t>
            </w:r>
            <w:r w:rsidRPr="00C258AD">
              <w:rPr>
                <w:rFonts w:cs="Arial"/>
                <w:sz w:val="16"/>
                <w:szCs w:val="16"/>
              </w:rPr>
              <w:t>demandes irrégulières 32%</w:t>
            </w:r>
            <w:r w:rsidRPr="00C258AD">
              <w:rPr>
                <w:rStyle w:val="FootnoteReference"/>
                <w:rFonts w:eastAsia="SimSun" w:cs="Arial"/>
                <w:sz w:val="16"/>
                <w:szCs w:val="16"/>
              </w:rPr>
              <w:footnoteReference w:id="26"/>
            </w:r>
            <w:r w:rsidRPr="00C258AD">
              <w:rPr>
                <w:rFonts w:cs="Arial"/>
                <w:sz w:val="16"/>
                <w:szCs w:val="16"/>
              </w:rPr>
              <w:t xml:space="preserve"> (en 2012)</w:t>
            </w:r>
          </w:p>
        </w:tc>
        <w:tc>
          <w:tcPr>
            <w:tcW w:w="850" w:type="pct"/>
            <w:tcBorders>
              <w:top w:val="nil"/>
              <w:bottom w:val="single" w:sz="4" w:space="0" w:color="auto"/>
            </w:tcBorders>
            <w:shd w:val="clear" w:color="auto" w:fill="auto"/>
            <w:tcMar>
              <w:top w:w="110" w:type="dxa"/>
            </w:tcMar>
          </w:tcPr>
          <w:p w:rsidR="00C14A86" w:rsidRPr="00C258AD" w:rsidRDefault="00C14A86" w:rsidP="006364A5">
            <w:pPr>
              <w:rPr>
                <w:rFonts w:cs="Arial"/>
                <w:sz w:val="16"/>
                <w:szCs w:val="16"/>
              </w:rPr>
            </w:pPr>
            <w:r w:rsidRPr="00C258AD">
              <w:rPr>
                <w:rFonts w:cs="Arial"/>
                <w:sz w:val="16"/>
                <w:szCs w:val="16"/>
              </w:rPr>
              <w:t>Réduction de 10% du nombre d’irrégularités</w:t>
            </w:r>
          </w:p>
        </w:tc>
        <w:tc>
          <w:tcPr>
            <w:tcW w:w="1048" w:type="pct"/>
            <w:tcBorders>
              <w:top w:val="nil"/>
              <w:bottom w:val="single" w:sz="4" w:space="0" w:color="auto"/>
            </w:tcBorders>
            <w:shd w:val="clear" w:color="auto" w:fill="FFFFFF"/>
            <w:tcMar>
              <w:top w:w="110" w:type="dxa"/>
            </w:tcMar>
          </w:tcPr>
          <w:p w:rsidR="00C14A86" w:rsidRPr="00C258AD" w:rsidRDefault="00C14A86" w:rsidP="00473433">
            <w:pPr>
              <w:pStyle w:val="ListParagraph"/>
              <w:numPr>
                <w:ilvl w:val="0"/>
                <w:numId w:val="67"/>
              </w:numPr>
              <w:rPr>
                <w:rFonts w:cs="Arial"/>
                <w:sz w:val="16"/>
                <w:szCs w:val="16"/>
              </w:rPr>
            </w:pPr>
            <w:r w:rsidRPr="00C258AD">
              <w:rPr>
                <w:rFonts w:cs="Arial"/>
                <w:sz w:val="16"/>
                <w:szCs w:val="16"/>
              </w:rPr>
              <w:t>2014 : 34%</w:t>
            </w:r>
            <w:r w:rsidRPr="00C258AD">
              <w:rPr>
                <w:rStyle w:val="FootnoteReference"/>
                <w:rFonts w:eastAsia="SimSun" w:cs="Arial"/>
                <w:sz w:val="16"/>
                <w:szCs w:val="16"/>
              </w:rPr>
              <w:footnoteReference w:id="27"/>
            </w:r>
            <w:r w:rsidRPr="00C258AD">
              <w:rPr>
                <w:rFonts w:cs="Arial"/>
                <w:sz w:val="16"/>
                <w:szCs w:val="16"/>
              </w:rPr>
              <w:t xml:space="preserve"> ou 16 281 irrégularités (+9% par rapport à 2013)</w:t>
            </w:r>
          </w:p>
          <w:p w:rsidR="00C14A86" w:rsidRPr="00C258AD" w:rsidRDefault="00C14A86" w:rsidP="00473433">
            <w:pPr>
              <w:pStyle w:val="ListParagraph"/>
              <w:numPr>
                <w:ilvl w:val="0"/>
                <w:numId w:val="67"/>
              </w:numPr>
              <w:rPr>
                <w:rFonts w:cs="Arial"/>
                <w:sz w:val="16"/>
                <w:szCs w:val="16"/>
              </w:rPr>
            </w:pPr>
            <w:r w:rsidRPr="00C258AD">
              <w:rPr>
                <w:rFonts w:cs="Arial"/>
                <w:sz w:val="16"/>
                <w:szCs w:val="16"/>
              </w:rPr>
              <w:t>2015 : 39% ou 19 216 irrégularités (+18% par rapport à 2014)</w:t>
            </w:r>
          </w:p>
        </w:tc>
        <w:tc>
          <w:tcPr>
            <w:tcW w:w="603" w:type="pct"/>
            <w:tcBorders>
              <w:top w:val="nil"/>
              <w:bottom w:val="single" w:sz="4" w:space="0" w:color="auto"/>
            </w:tcBorders>
            <w:shd w:val="clear" w:color="auto" w:fill="auto"/>
            <w:tcMar>
              <w:top w:w="110" w:type="dxa"/>
            </w:tcMar>
          </w:tcPr>
          <w:p w:rsidR="00C14A86" w:rsidRPr="00C258AD" w:rsidRDefault="00C14A86" w:rsidP="006364A5">
            <w:pPr>
              <w:jc w:val="center"/>
              <w:rPr>
                <w:rStyle w:val="Style5"/>
                <w:rFonts w:ascii="Arial" w:hAnsi="Arial" w:cs="Arial"/>
                <w:b/>
                <w:color w:val="00B050"/>
                <w:sz w:val="16"/>
                <w:szCs w:val="16"/>
              </w:rPr>
            </w:pPr>
            <w:r w:rsidRPr="00C258AD">
              <w:rPr>
                <w:rFonts w:cs="Arial"/>
                <w:b/>
                <w:bCs/>
                <w:color w:val="FF0000"/>
                <w:sz w:val="16"/>
                <w:szCs w:val="16"/>
              </w:rPr>
              <w:t>Objectif pas atteint</w:t>
            </w:r>
          </w:p>
        </w:tc>
      </w:tr>
      <w:tr w:rsidR="00C14A86" w:rsidRPr="00C258AD" w:rsidTr="006364A5">
        <w:trPr>
          <w:cantSplit/>
        </w:trPr>
        <w:tc>
          <w:tcPr>
            <w:tcW w:w="5000" w:type="pct"/>
            <w:gridSpan w:val="5"/>
            <w:tcBorders>
              <w:top w:val="single" w:sz="4" w:space="0" w:color="auto"/>
              <w:bottom w:val="single" w:sz="4" w:space="0" w:color="auto"/>
            </w:tcBorders>
            <w:shd w:val="clear" w:color="auto" w:fill="C5D9F1"/>
            <w:vAlign w:val="center"/>
          </w:tcPr>
          <w:p w:rsidR="00C14A86" w:rsidRPr="00C258AD" w:rsidRDefault="00C14A86" w:rsidP="006364A5">
            <w:pPr>
              <w:keepNext/>
              <w:keepLines/>
              <w:rPr>
                <w:rFonts w:cs="Arial"/>
                <w:b/>
                <w:bCs/>
                <w:sz w:val="16"/>
                <w:szCs w:val="16"/>
              </w:rPr>
            </w:pPr>
            <w:r w:rsidRPr="00C258AD">
              <w:rPr>
                <w:rFonts w:cs="Arial"/>
                <w:b/>
                <w:bCs/>
                <w:sz w:val="16"/>
                <w:szCs w:val="16"/>
              </w:rPr>
              <w:t>Résultat escompté :</w:t>
            </w:r>
            <w:r w:rsidRPr="00C258AD">
              <w:rPr>
                <w:rFonts w:cs="Arial"/>
                <w:bCs/>
                <w:sz w:val="16"/>
                <w:szCs w:val="16"/>
              </w:rPr>
              <w:t xml:space="preserve"> II.7 Amélioration de la productivité et de la qualité de service des opérations des systèmes de Madrid et de Lisbonne</w:t>
            </w:r>
          </w:p>
        </w:tc>
      </w:tr>
      <w:tr w:rsidR="00C14A86" w:rsidRPr="00C258AD" w:rsidTr="006364A5">
        <w:trPr>
          <w:cantSplit/>
        </w:trPr>
        <w:tc>
          <w:tcPr>
            <w:tcW w:w="1137" w:type="pct"/>
            <w:tcBorders>
              <w:top w:val="single" w:sz="4" w:space="0" w:color="auto"/>
            </w:tcBorders>
            <w:shd w:val="clear" w:color="auto" w:fill="auto"/>
            <w:vAlign w:val="center"/>
          </w:tcPr>
          <w:p w:rsidR="00C14A86" w:rsidRPr="00C258AD" w:rsidRDefault="00C14A86" w:rsidP="006364A5">
            <w:pPr>
              <w:keepNext/>
              <w:jc w:val="center"/>
              <w:rPr>
                <w:rFonts w:cs="Arial"/>
                <w:b/>
                <w:sz w:val="16"/>
                <w:szCs w:val="16"/>
              </w:rPr>
            </w:pPr>
            <w:r w:rsidRPr="00C258AD">
              <w:rPr>
                <w:rFonts w:cs="Arial"/>
                <w:b/>
                <w:sz w:val="16"/>
                <w:szCs w:val="16"/>
              </w:rPr>
              <w:t>Indicateurs d’exécution</w:t>
            </w:r>
          </w:p>
        </w:tc>
        <w:tc>
          <w:tcPr>
            <w:tcW w:w="1362" w:type="pct"/>
            <w:tcBorders>
              <w:top w:val="single" w:sz="4" w:space="0" w:color="auto"/>
            </w:tcBorders>
            <w:shd w:val="clear" w:color="auto" w:fill="auto"/>
            <w:vAlign w:val="center"/>
          </w:tcPr>
          <w:p w:rsidR="00C14A86" w:rsidRPr="00C258AD" w:rsidRDefault="00C14A86" w:rsidP="006364A5">
            <w:pPr>
              <w:keepNext/>
              <w:jc w:val="center"/>
              <w:rPr>
                <w:rFonts w:cs="Arial"/>
                <w:b/>
                <w:bCs/>
                <w:sz w:val="16"/>
                <w:szCs w:val="16"/>
              </w:rPr>
            </w:pPr>
            <w:r w:rsidRPr="00C258AD">
              <w:rPr>
                <w:rFonts w:cs="Arial"/>
                <w:b/>
                <w:bCs/>
                <w:sz w:val="16"/>
                <w:szCs w:val="16"/>
              </w:rPr>
              <w:t>Niveaux de référence</w:t>
            </w:r>
          </w:p>
        </w:tc>
        <w:tc>
          <w:tcPr>
            <w:tcW w:w="846" w:type="pct"/>
            <w:tcBorders>
              <w:top w:val="single" w:sz="4" w:space="0" w:color="auto"/>
            </w:tcBorders>
            <w:shd w:val="clear" w:color="auto" w:fill="auto"/>
            <w:tcMar>
              <w:top w:w="110" w:type="dxa"/>
            </w:tcMar>
            <w:vAlign w:val="center"/>
          </w:tcPr>
          <w:p w:rsidR="00C14A86" w:rsidRPr="00C258AD" w:rsidRDefault="00C14A86" w:rsidP="006364A5">
            <w:pPr>
              <w:keepNext/>
              <w:jc w:val="center"/>
              <w:rPr>
                <w:rFonts w:cs="Arial"/>
                <w:b/>
                <w:sz w:val="16"/>
                <w:szCs w:val="16"/>
              </w:rPr>
            </w:pPr>
            <w:r w:rsidRPr="00C258AD">
              <w:rPr>
                <w:rFonts w:cs="Arial"/>
                <w:b/>
                <w:sz w:val="16"/>
                <w:szCs w:val="16"/>
              </w:rPr>
              <w:t>Objectifs visés</w:t>
            </w:r>
          </w:p>
        </w:tc>
        <w:tc>
          <w:tcPr>
            <w:tcW w:w="1052" w:type="pct"/>
            <w:tcBorders>
              <w:top w:val="single" w:sz="4" w:space="0" w:color="auto"/>
            </w:tcBorders>
            <w:shd w:val="clear" w:color="auto" w:fill="FFFFFF"/>
            <w:tcMar>
              <w:top w:w="110" w:type="dxa"/>
            </w:tcMar>
            <w:vAlign w:val="center"/>
          </w:tcPr>
          <w:p w:rsidR="00C14A86" w:rsidRPr="00C258AD" w:rsidRDefault="00C14A86" w:rsidP="006364A5">
            <w:pPr>
              <w:keepNext/>
              <w:jc w:val="center"/>
              <w:rPr>
                <w:rFonts w:cs="Arial"/>
                <w:sz w:val="16"/>
                <w:szCs w:val="16"/>
              </w:rPr>
            </w:pPr>
            <w:r w:rsidRPr="00C258AD">
              <w:rPr>
                <w:rFonts w:cs="Arial"/>
                <w:b/>
                <w:sz w:val="16"/>
                <w:szCs w:val="16"/>
              </w:rPr>
              <w:t>Données relatives à l’exécution</w:t>
            </w:r>
          </w:p>
        </w:tc>
        <w:tc>
          <w:tcPr>
            <w:tcW w:w="603" w:type="pct"/>
            <w:tcBorders>
              <w:top w:val="single" w:sz="4" w:space="0" w:color="auto"/>
            </w:tcBorders>
            <w:shd w:val="clear" w:color="auto" w:fill="auto"/>
            <w:tcMar>
              <w:top w:w="110" w:type="dxa"/>
            </w:tcMar>
            <w:vAlign w:val="center"/>
          </w:tcPr>
          <w:p w:rsidR="00C14A86" w:rsidRPr="00C258AD" w:rsidRDefault="00C14A86" w:rsidP="006364A5">
            <w:pPr>
              <w:keepNext/>
              <w:keepLines/>
              <w:jc w:val="center"/>
              <w:rPr>
                <w:rFonts w:cs="Arial"/>
                <w:b/>
                <w:bCs/>
                <w:sz w:val="16"/>
                <w:szCs w:val="16"/>
              </w:rPr>
            </w:pPr>
            <w:r w:rsidRPr="00C258AD">
              <w:rPr>
                <w:rFonts w:cs="Arial"/>
                <w:b/>
                <w:bCs/>
                <w:sz w:val="16"/>
                <w:szCs w:val="16"/>
              </w:rPr>
              <w:t>Code de couleurs</w:t>
            </w:r>
          </w:p>
        </w:tc>
      </w:tr>
      <w:tr w:rsidR="00C14A86" w:rsidRPr="00C258AD" w:rsidTr="006364A5">
        <w:trPr>
          <w:cantSplit/>
        </w:trPr>
        <w:tc>
          <w:tcPr>
            <w:tcW w:w="1137" w:type="pct"/>
            <w:shd w:val="clear" w:color="auto" w:fill="FFFFFF"/>
          </w:tcPr>
          <w:p w:rsidR="00C14A86" w:rsidRPr="00C258AD" w:rsidRDefault="00C14A86" w:rsidP="006364A5">
            <w:pPr>
              <w:rPr>
                <w:rFonts w:cs="Arial"/>
                <w:sz w:val="16"/>
                <w:szCs w:val="16"/>
              </w:rPr>
            </w:pPr>
            <w:r w:rsidRPr="00C258AD">
              <w:rPr>
                <w:rFonts w:cs="Arial"/>
                <w:sz w:val="16"/>
                <w:szCs w:val="16"/>
              </w:rPr>
              <w:t>Progrès accomplis dans la rationalisation et la simplification du cadre juridique du système de Madrid</w:t>
            </w:r>
          </w:p>
        </w:tc>
        <w:tc>
          <w:tcPr>
            <w:tcW w:w="1362" w:type="pct"/>
            <w:shd w:val="clear" w:color="auto" w:fill="auto"/>
          </w:tcPr>
          <w:p w:rsidR="00C14A86" w:rsidRPr="00C258AD" w:rsidRDefault="00C14A86" w:rsidP="006364A5">
            <w:pPr>
              <w:rPr>
                <w:rFonts w:cs="Arial"/>
                <w:sz w:val="16"/>
                <w:szCs w:val="16"/>
              </w:rPr>
            </w:pPr>
            <w:r w:rsidRPr="00C258AD">
              <w:rPr>
                <w:rFonts w:cs="Arial"/>
                <w:sz w:val="16"/>
                <w:szCs w:val="16"/>
              </w:rPr>
              <w:t>Règlement d’exécution commun et Instructions administratives en vigueur à la fin de 2013</w:t>
            </w:r>
          </w:p>
        </w:tc>
        <w:tc>
          <w:tcPr>
            <w:tcW w:w="846" w:type="pct"/>
            <w:shd w:val="clear" w:color="auto" w:fill="auto"/>
            <w:tcMar>
              <w:top w:w="110" w:type="dxa"/>
            </w:tcMar>
          </w:tcPr>
          <w:p w:rsidR="00C14A86" w:rsidRPr="00C258AD" w:rsidRDefault="00C14A86" w:rsidP="006364A5">
            <w:pPr>
              <w:rPr>
                <w:rFonts w:cs="Arial"/>
                <w:sz w:val="16"/>
                <w:szCs w:val="16"/>
              </w:rPr>
            </w:pPr>
            <w:r w:rsidRPr="00C258AD">
              <w:rPr>
                <w:rFonts w:cs="Arial"/>
                <w:sz w:val="16"/>
                <w:szCs w:val="16"/>
              </w:rPr>
              <w:t>Modifications apportées au règlement d’exécution commun du système de Madrid et aux Instructions administratives</w:t>
            </w:r>
          </w:p>
        </w:tc>
        <w:tc>
          <w:tcPr>
            <w:tcW w:w="1052" w:type="pct"/>
            <w:shd w:val="clear" w:color="auto" w:fill="FFFFFF"/>
            <w:tcMar>
              <w:top w:w="110" w:type="dxa"/>
            </w:tcMar>
          </w:tcPr>
          <w:p w:rsidR="00C14A86" w:rsidRPr="00C258AD" w:rsidRDefault="00C14A86" w:rsidP="006364A5">
            <w:pPr>
              <w:rPr>
                <w:rFonts w:cs="Arial"/>
                <w:sz w:val="16"/>
                <w:szCs w:val="16"/>
                <w:lang w:bidi="th-TH"/>
              </w:rPr>
            </w:pPr>
            <w:r w:rsidRPr="00C258AD">
              <w:rPr>
                <w:rFonts w:cs="Arial"/>
                <w:color w:val="000000" w:themeColor="text1"/>
                <w:sz w:val="16"/>
                <w:szCs w:val="16"/>
                <w:lang w:bidi="th-TH"/>
              </w:rPr>
              <w:t>Modifications adoptées par l’Assemblée de l’Union de Madrid (règles 5, 5</w:t>
            </w:r>
            <w:r w:rsidRPr="00C258AD">
              <w:rPr>
                <w:rFonts w:cs="Arial"/>
                <w:i/>
                <w:color w:val="000000" w:themeColor="text1"/>
                <w:sz w:val="16"/>
                <w:szCs w:val="16"/>
                <w:lang w:bidi="th-TH"/>
              </w:rPr>
              <w:t>bis</w:t>
            </w:r>
            <w:r w:rsidRPr="00C258AD">
              <w:rPr>
                <w:rFonts w:cs="Arial"/>
                <w:color w:val="000000" w:themeColor="text1"/>
                <w:sz w:val="16"/>
                <w:szCs w:val="16"/>
                <w:lang w:bidi="th-TH"/>
              </w:rPr>
              <w:t>, 9, 20bis, 24, 27, 30, 31, 36, ainsi que le barème des émoluments et taxes).  Certaines sont entrées en vigueur (1</w:t>
            </w:r>
            <w:r w:rsidRPr="00C258AD">
              <w:rPr>
                <w:rFonts w:cs="Arial"/>
                <w:color w:val="000000" w:themeColor="text1"/>
                <w:sz w:val="16"/>
                <w:szCs w:val="16"/>
                <w:vertAlign w:val="superscript"/>
                <w:lang w:bidi="th-TH"/>
              </w:rPr>
              <w:t>er</w:t>
            </w:r>
            <w:r w:rsidRPr="00C258AD">
              <w:rPr>
                <w:rFonts w:cs="Arial"/>
                <w:color w:val="000000" w:themeColor="text1"/>
                <w:sz w:val="16"/>
                <w:szCs w:val="16"/>
                <w:lang w:bidi="th-TH"/>
              </w:rPr>
              <w:t> avril 2015);  d’autres entreront en vigueur en 2016 (1</w:t>
            </w:r>
            <w:r w:rsidRPr="00C258AD">
              <w:rPr>
                <w:rFonts w:cs="Arial"/>
                <w:color w:val="000000" w:themeColor="text1"/>
                <w:sz w:val="16"/>
                <w:szCs w:val="16"/>
                <w:vertAlign w:val="superscript"/>
                <w:lang w:bidi="th-TH"/>
              </w:rPr>
              <w:t>er </w:t>
            </w:r>
            <w:r w:rsidRPr="00C258AD">
              <w:rPr>
                <w:rFonts w:cs="Arial"/>
                <w:color w:val="000000" w:themeColor="text1"/>
                <w:sz w:val="16"/>
                <w:szCs w:val="16"/>
                <w:lang w:bidi="th-TH"/>
              </w:rPr>
              <w:t>avril) ou 2017 (1</w:t>
            </w:r>
            <w:r w:rsidRPr="00C258AD">
              <w:rPr>
                <w:rFonts w:cs="Arial"/>
                <w:color w:val="000000" w:themeColor="text1"/>
                <w:sz w:val="16"/>
                <w:szCs w:val="16"/>
                <w:vertAlign w:val="superscript"/>
                <w:lang w:bidi="th-TH"/>
              </w:rPr>
              <w:t>er</w:t>
            </w:r>
            <w:r w:rsidRPr="00C258AD">
              <w:rPr>
                <w:rFonts w:cs="Arial"/>
                <w:color w:val="000000" w:themeColor="text1"/>
                <w:sz w:val="16"/>
                <w:szCs w:val="16"/>
                <w:lang w:bidi="th-TH"/>
              </w:rPr>
              <w:t> juillet et 1</w:t>
            </w:r>
            <w:r w:rsidRPr="00C258AD">
              <w:rPr>
                <w:rFonts w:cs="Arial"/>
                <w:color w:val="000000" w:themeColor="text1"/>
                <w:sz w:val="16"/>
                <w:szCs w:val="16"/>
                <w:vertAlign w:val="superscript"/>
                <w:lang w:bidi="th-TH"/>
              </w:rPr>
              <w:t>er</w:t>
            </w:r>
            <w:r w:rsidRPr="00C258AD">
              <w:rPr>
                <w:rFonts w:cs="Arial"/>
                <w:color w:val="000000" w:themeColor="text1"/>
                <w:sz w:val="16"/>
                <w:szCs w:val="16"/>
                <w:lang w:bidi="th-TH"/>
              </w:rPr>
              <w:t> novembre).</w:t>
            </w:r>
          </w:p>
        </w:tc>
        <w:tc>
          <w:tcPr>
            <w:tcW w:w="603" w:type="pct"/>
            <w:shd w:val="clear" w:color="auto" w:fill="auto"/>
            <w:tcMar>
              <w:top w:w="110" w:type="dxa"/>
            </w:tcMar>
          </w:tcPr>
          <w:p w:rsidR="00C14A86" w:rsidRPr="00C258AD" w:rsidRDefault="00C14A86" w:rsidP="006364A5">
            <w:pPr>
              <w:keepNext/>
              <w:keepLines/>
              <w:jc w:val="center"/>
              <w:rPr>
                <w:rStyle w:val="Style5"/>
                <w:rFonts w:ascii="Arial" w:hAnsi="Arial" w:cs="Arial"/>
                <w:b/>
                <w:sz w:val="16"/>
                <w:szCs w:val="16"/>
              </w:rPr>
            </w:pPr>
            <w:r w:rsidRPr="00C258AD">
              <w:rPr>
                <w:rStyle w:val="Style5"/>
                <w:rFonts w:ascii="Arial" w:hAnsi="Arial" w:cs="Arial"/>
                <w:b/>
                <w:bCs/>
                <w:color w:val="00B050"/>
                <w:sz w:val="16"/>
                <w:szCs w:val="16"/>
              </w:rPr>
              <w:t>Objectif pleinement atteint</w:t>
            </w:r>
          </w:p>
        </w:tc>
      </w:tr>
      <w:tr w:rsidR="00C14A86" w:rsidRPr="00C258AD" w:rsidTr="006364A5">
        <w:trPr>
          <w:cantSplit/>
        </w:trPr>
        <w:tc>
          <w:tcPr>
            <w:tcW w:w="1137" w:type="pct"/>
            <w:shd w:val="clear" w:color="auto" w:fill="FFFFFF"/>
          </w:tcPr>
          <w:p w:rsidR="00C14A86" w:rsidRPr="00C258AD" w:rsidRDefault="00C14A86" w:rsidP="006364A5">
            <w:pPr>
              <w:rPr>
                <w:rFonts w:cs="Arial"/>
                <w:sz w:val="16"/>
                <w:szCs w:val="16"/>
              </w:rPr>
            </w:pPr>
            <w:r w:rsidRPr="00C258AD">
              <w:rPr>
                <w:rFonts w:cs="Arial"/>
                <w:sz w:val="16"/>
                <w:szCs w:val="16"/>
              </w:rPr>
              <w:lastRenderedPageBreak/>
              <w:t>Nombre d’enregistrements</w:t>
            </w:r>
          </w:p>
          <w:p w:rsidR="00C14A86" w:rsidRPr="00C258AD" w:rsidRDefault="00C14A86" w:rsidP="006364A5">
            <w:pPr>
              <w:rPr>
                <w:rFonts w:cs="Arial"/>
                <w:sz w:val="16"/>
                <w:szCs w:val="16"/>
              </w:rPr>
            </w:pPr>
            <w:r w:rsidRPr="00C258AD">
              <w:rPr>
                <w:rFonts w:cs="Arial"/>
                <w:sz w:val="16"/>
                <w:szCs w:val="16"/>
              </w:rPr>
              <w:t>Nombre de renouvellements traités</w:t>
            </w:r>
          </w:p>
          <w:p w:rsidR="00C14A86" w:rsidRPr="00C258AD" w:rsidRDefault="00C14A86" w:rsidP="006364A5">
            <w:pPr>
              <w:rPr>
                <w:rFonts w:cs="Arial"/>
                <w:sz w:val="16"/>
                <w:szCs w:val="16"/>
              </w:rPr>
            </w:pPr>
            <w:r w:rsidRPr="00C258AD">
              <w:rPr>
                <w:rFonts w:cs="Arial"/>
                <w:sz w:val="16"/>
                <w:szCs w:val="16"/>
              </w:rPr>
              <w:t>Nombre de modifications, y compris de désignations postérieures (système de Madrid)</w:t>
            </w:r>
          </w:p>
        </w:tc>
        <w:tc>
          <w:tcPr>
            <w:tcW w:w="1362" w:type="pct"/>
            <w:shd w:val="clear" w:color="auto" w:fill="auto"/>
          </w:tcPr>
          <w:p w:rsidR="00C14A86" w:rsidRPr="00C258AD" w:rsidRDefault="00C14A86" w:rsidP="006364A5">
            <w:pPr>
              <w:rPr>
                <w:rFonts w:cs="Arial"/>
                <w:color w:val="002060"/>
                <w:sz w:val="16"/>
                <w:szCs w:val="16"/>
              </w:rPr>
            </w:pPr>
            <w:r w:rsidRPr="00C258AD">
              <w:rPr>
                <w:rFonts w:cs="Arial"/>
                <w:i/>
                <w:color w:val="002060"/>
                <w:sz w:val="16"/>
                <w:szCs w:val="16"/>
              </w:rPr>
              <w:t>Niveau de référence actualisé à fin 2013</w:t>
            </w:r>
            <w:r w:rsidRPr="00C258AD">
              <w:rPr>
                <w:rFonts w:cs="Arial"/>
                <w:color w:val="002060"/>
                <w:sz w:val="16"/>
                <w:szCs w:val="16"/>
              </w:rPr>
              <w:t> :</w:t>
            </w:r>
          </w:p>
          <w:p w:rsidR="00C14A86" w:rsidRPr="00C258AD" w:rsidRDefault="00C14A86" w:rsidP="006364A5">
            <w:pPr>
              <w:rPr>
                <w:rFonts w:cs="Arial"/>
                <w:color w:val="002060"/>
                <w:sz w:val="16"/>
                <w:szCs w:val="16"/>
              </w:rPr>
            </w:pPr>
          </w:p>
          <w:p w:rsidR="00C14A86" w:rsidRPr="00C258AD" w:rsidRDefault="00C14A86" w:rsidP="006364A5">
            <w:pPr>
              <w:rPr>
                <w:rFonts w:cs="Arial"/>
                <w:color w:val="002060"/>
                <w:sz w:val="16"/>
                <w:szCs w:val="16"/>
              </w:rPr>
            </w:pPr>
            <w:r w:rsidRPr="00C258AD">
              <w:rPr>
                <w:rFonts w:cs="Arial"/>
                <w:color w:val="002060"/>
                <w:sz w:val="16"/>
                <w:szCs w:val="16"/>
              </w:rPr>
              <w:t>2013 : 44 414 enregistrements;</w:t>
            </w:r>
          </w:p>
          <w:p w:rsidR="00C14A86" w:rsidRPr="00C258AD" w:rsidRDefault="00C14A86" w:rsidP="006364A5">
            <w:pPr>
              <w:rPr>
                <w:rFonts w:cs="Arial"/>
                <w:color w:val="002060"/>
                <w:sz w:val="16"/>
                <w:szCs w:val="16"/>
              </w:rPr>
            </w:pPr>
            <w:r w:rsidRPr="00C258AD">
              <w:rPr>
                <w:rFonts w:cs="Arial"/>
                <w:color w:val="002060"/>
                <w:sz w:val="16"/>
                <w:szCs w:val="16"/>
              </w:rPr>
              <w:t>23 014 renouvellements</w:t>
            </w:r>
          </w:p>
          <w:p w:rsidR="00C14A86" w:rsidRPr="00C258AD" w:rsidRDefault="00C14A86" w:rsidP="006364A5">
            <w:pPr>
              <w:rPr>
                <w:rFonts w:cs="Arial"/>
                <w:color w:val="002060"/>
                <w:sz w:val="16"/>
                <w:szCs w:val="16"/>
              </w:rPr>
            </w:pPr>
            <w:r w:rsidRPr="00C258AD">
              <w:rPr>
                <w:rFonts w:cs="Arial"/>
                <w:color w:val="002060"/>
                <w:sz w:val="16"/>
                <w:szCs w:val="16"/>
              </w:rPr>
              <w:t>117 673 modifications, y compris 14 373 désignations postérieures</w:t>
            </w:r>
          </w:p>
          <w:p w:rsidR="00C14A86" w:rsidRPr="00C258AD" w:rsidRDefault="00C14A86" w:rsidP="006364A5">
            <w:pPr>
              <w:rPr>
                <w:rFonts w:cs="Arial"/>
                <w:sz w:val="16"/>
                <w:szCs w:val="16"/>
              </w:rPr>
            </w:pPr>
          </w:p>
          <w:p w:rsidR="00C14A86" w:rsidRPr="00C258AD" w:rsidRDefault="00C14A86" w:rsidP="006364A5">
            <w:pPr>
              <w:rPr>
                <w:rFonts w:cs="Arial"/>
                <w:sz w:val="16"/>
                <w:szCs w:val="16"/>
              </w:rPr>
            </w:pPr>
            <w:r w:rsidRPr="00C258AD">
              <w:rPr>
                <w:rFonts w:cs="Arial"/>
                <w:i/>
                <w:sz w:val="16"/>
                <w:szCs w:val="16"/>
              </w:rPr>
              <w:t>Niveau de référence initial dans le programme et budget 2013</w:t>
            </w:r>
            <w:r w:rsidRPr="00C258AD">
              <w:rPr>
                <w:rFonts w:cs="Arial"/>
                <w:i/>
                <w:sz w:val="16"/>
                <w:szCs w:val="16"/>
              </w:rPr>
              <w:noBreakHyphen/>
              <w:t>2014</w:t>
            </w:r>
            <w:r w:rsidRPr="00C258AD">
              <w:rPr>
                <w:rFonts w:cs="Arial"/>
                <w:sz w:val="16"/>
                <w:szCs w:val="16"/>
              </w:rPr>
              <w:t> :</w:t>
            </w:r>
          </w:p>
          <w:p w:rsidR="00C14A86" w:rsidRPr="00C258AD" w:rsidRDefault="00C14A86" w:rsidP="006364A5">
            <w:pPr>
              <w:rPr>
                <w:rFonts w:cs="Arial"/>
                <w:sz w:val="16"/>
                <w:szCs w:val="16"/>
              </w:rPr>
            </w:pPr>
            <w:r w:rsidRPr="00C258AD">
              <w:rPr>
                <w:rFonts w:cs="Arial"/>
                <w:sz w:val="16"/>
                <w:szCs w:val="16"/>
              </w:rPr>
              <w:t>enregistrements, renouvellements (voir annexe VII)</w:t>
            </w:r>
          </w:p>
          <w:p w:rsidR="00C14A86" w:rsidRPr="00C258AD" w:rsidRDefault="00C14A86" w:rsidP="006364A5">
            <w:pPr>
              <w:rPr>
                <w:rFonts w:cs="Arial"/>
                <w:sz w:val="16"/>
                <w:szCs w:val="16"/>
              </w:rPr>
            </w:pPr>
            <w:r w:rsidRPr="00C258AD">
              <w:rPr>
                <w:rFonts w:cs="Arial"/>
                <w:sz w:val="16"/>
                <w:szCs w:val="16"/>
              </w:rPr>
              <w:t>97 500 modifications ont été inscrites dans le registre (2012)</w:t>
            </w:r>
          </w:p>
        </w:tc>
        <w:tc>
          <w:tcPr>
            <w:tcW w:w="846" w:type="pct"/>
            <w:shd w:val="clear" w:color="auto" w:fill="auto"/>
            <w:tcMar>
              <w:top w:w="110" w:type="dxa"/>
            </w:tcMar>
          </w:tcPr>
          <w:p w:rsidR="00C14A86" w:rsidRPr="00C258AD" w:rsidRDefault="00C14A86" w:rsidP="006364A5">
            <w:pPr>
              <w:rPr>
                <w:rFonts w:cs="Arial"/>
                <w:sz w:val="16"/>
                <w:szCs w:val="16"/>
                <w:lang w:bidi="th-TH"/>
              </w:rPr>
            </w:pPr>
            <w:r w:rsidRPr="00C258AD">
              <w:rPr>
                <w:rFonts w:cs="Arial"/>
                <w:sz w:val="16"/>
                <w:szCs w:val="16"/>
                <w:lang w:bidi="th-TH"/>
              </w:rPr>
              <w:t>2014 : augmentation de 6,3% des enregistrements et renouvellements</w:t>
            </w:r>
            <w:r w:rsidR="00D72F63">
              <w:rPr>
                <w:rStyle w:val="FootnoteReference"/>
                <w:rFonts w:cs="Arial"/>
                <w:sz w:val="16"/>
                <w:szCs w:val="16"/>
                <w:lang w:bidi="th-TH"/>
              </w:rPr>
              <w:footnoteReference w:id="28"/>
            </w:r>
          </w:p>
          <w:p w:rsidR="00C14A86" w:rsidRPr="00C258AD" w:rsidRDefault="00C14A86" w:rsidP="006364A5">
            <w:pPr>
              <w:rPr>
                <w:rFonts w:cs="Arial"/>
                <w:sz w:val="16"/>
                <w:szCs w:val="16"/>
                <w:lang w:bidi="th-TH"/>
              </w:rPr>
            </w:pPr>
          </w:p>
          <w:p w:rsidR="00C14A86" w:rsidRPr="00C258AD" w:rsidRDefault="00C14A86" w:rsidP="006364A5">
            <w:pPr>
              <w:rPr>
                <w:rFonts w:cs="Arial"/>
                <w:sz w:val="16"/>
                <w:szCs w:val="16"/>
                <w:lang w:bidi="th-TH"/>
              </w:rPr>
            </w:pPr>
          </w:p>
          <w:p w:rsidR="00C14A86" w:rsidRPr="00C258AD" w:rsidRDefault="00C14A86" w:rsidP="006364A5">
            <w:pPr>
              <w:rPr>
                <w:rFonts w:cs="Arial"/>
                <w:sz w:val="16"/>
                <w:szCs w:val="16"/>
                <w:lang w:bidi="th-TH"/>
              </w:rPr>
            </w:pPr>
          </w:p>
          <w:p w:rsidR="00C14A86" w:rsidRPr="00C258AD" w:rsidRDefault="00C14A86" w:rsidP="006364A5">
            <w:pPr>
              <w:rPr>
                <w:rFonts w:cs="Arial"/>
                <w:sz w:val="16"/>
                <w:szCs w:val="16"/>
                <w:lang w:bidi="th-TH"/>
              </w:rPr>
            </w:pPr>
            <w:r w:rsidRPr="00C258AD">
              <w:rPr>
                <w:rFonts w:cs="Arial"/>
                <w:sz w:val="16"/>
                <w:szCs w:val="16"/>
                <w:lang w:bidi="th-TH"/>
              </w:rPr>
              <w:t>2015 : augmentation de 3,3% des enregistrements et renouvellements</w:t>
            </w:r>
          </w:p>
          <w:p w:rsidR="00C14A86" w:rsidRPr="00C258AD" w:rsidRDefault="00C14A86" w:rsidP="006364A5">
            <w:pPr>
              <w:rPr>
                <w:rFonts w:cs="Arial"/>
                <w:sz w:val="16"/>
                <w:szCs w:val="16"/>
                <w:lang w:bidi="th-TH"/>
              </w:rPr>
            </w:pPr>
          </w:p>
          <w:p w:rsidR="00C14A86" w:rsidRPr="00C258AD" w:rsidRDefault="00C14A86" w:rsidP="006364A5">
            <w:pPr>
              <w:rPr>
                <w:rFonts w:cs="Arial"/>
                <w:sz w:val="16"/>
                <w:szCs w:val="16"/>
                <w:lang w:bidi="th-TH"/>
              </w:rPr>
            </w:pPr>
          </w:p>
          <w:p w:rsidR="00C14A86" w:rsidRPr="00C258AD" w:rsidRDefault="00C14A86" w:rsidP="006364A5">
            <w:pPr>
              <w:rPr>
                <w:rFonts w:cs="Arial"/>
                <w:sz w:val="16"/>
                <w:szCs w:val="16"/>
                <w:lang w:bidi="th-TH"/>
              </w:rPr>
            </w:pPr>
          </w:p>
          <w:p w:rsidR="00C14A86" w:rsidRPr="00C258AD" w:rsidRDefault="00C14A86" w:rsidP="006364A5">
            <w:pPr>
              <w:rPr>
                <w:rFonts w:cs="Arial"/>
                <w:sz w:val="16"/>
                <w:szCs w:val="16"/>
                <w:lang w:bidi="th-TH"/>
              </w:rPr>
            </w:pPr>
          </w:p>
          <w:p w:rsidR="00C14A86" w:rsidRPr="00C258AD" w:rsidRDefault="00C14A86" w:rsidP="006364A5">
            <w:pPr>
              <w:rPr>
                <w:rFonts w:cs="Arial"/>
                <w:sz w:val="16"/>
                <w:szCs w:val="16"/>
                <w:lang w:bidi="th-TH"/>
              </w:rPr>
            </w:pPr>
            <w:r w:rsidRPr="00C258AD">
              <w:rPr>
                <w:rFonts w:cs="Arial"/>
                <w:sz w:val="16"/>
                <w:szCs w:val="16"/>
                <w:lang w:bidi="th-TH"/>
              </w:rPr>
              <w:t>Nombre total d’enregistrements : 92 500</w:t>
            </w:r>
          </w:p>
          <w:p w:rsidR="00C14A86" w:rsidRPr="00C258AD" w:rsidRDefault="00C14A86" w:rsidP="006364A5">
            <w:pPr>
              <w:rPr>
                <w:rFonts w:cs="Arial"/>
                <w:sz w:val="16"/>
                <w:szCs w:val="16"/>
                <w:lang w:bidi="th-TH"/>
              </w:rPr>
            </w:pPr>
          </w:p>
          <w:p w:rsidR="00C14A86" w:rsidRPr="00C258AD" w:rsidRDefault="00C14A86" w:rsidP="006364A5">
            <w:pPr>
              <w:rPr>
                <w:rFonts w:cs="Arial"/>
                <w:sz w:val="16"/>
                <w:szCs w:val="16"/>
                <w:lang w:bidi="th-TH"/>
              </w:rPr>
            </w:pPr>
            <w:r w:rsidRPr="00C258AD">
              <w:rPr>
                <w:rFonts w:cs="Arial"/>
                <w:sz w:val="16"/>
                <w:szCs w:val="16"/>
                <w:lang w:bidi="th-TH"/>
              </w:rPr>
              <w:t>Nombre total de renouvellements 49 000</w:t>
            </w:r>
          </w:p>
          <w:p w:rsidR="00C14A86" w:rsidRPr="00C258AD" w:rsidRDefault="00C14A86" w:rsidP="006364A5">
            <w:pPr>
              <w:rPr>
                <w:rFonts w:cs="Arial"/>
                <w:sz w:val="16"/>
                <w:szCs w:val="16"/>
              </w:rPr>
            </w:pPr>
          </w:p>
          <w:p w:rsidR="00C14A86" w:rsidRPr="00C258AD" w:rsidRDefault="00C14A86" w:rsidP="006364A5">
            <w:pPr>
              <w:rPr>
                <w:rFonts w:cs="Arial"/>
                <w:sz w:val="16"/>
                <w:szCs w:val="16"/>
              </w:rPr>
            </w:pPr>
            <w:r w:rsidRPr="00C258AD">
              <w:rPr>
                <w:rFonts w:cs="Arial"/>
                <w:sz w:val="16"/>
                <w:szCs w:val="16"/>
              </w:rPr>
              <w:t>Nombre total de modifications 200 000, y compris 35 000 désignations postérieures</w:t>
            </w:r>
          </w:p>
        </w:tc>
        <w:tc>
          <w:tcPr>
            <w:tcW w:w="1052" w:type="pct"/>
            <w:shd w:val="clear" w:color="auto" w:fill="FFFFFF"/>
            <w:tcMar>
              <w:top w:w="110" w:type="dxa"/>
            </w:tcMar>
          </w:tcPr>
          <w:p w:rsidR="00C14A86" w:rsidRPr="00C258AD" w:rsidRDefault="00C14A86" w:rsidP="006364A5">
            <w:pPr>
              <w:rPr>
                <w:rFonts w:cs="Arial"/>
                <w:sz w:val="16"/>
                <w:szCs w:val="16"/>
                <w:lang w:bidi="th-TH"/>
              </w:rPr>
            </w:pPr>
            <w:r w:rsidRPr="00C258AD">
              <w:rPr>
                <w:rFonts w:cs="Arial"/>
                <w:sz w:val="16"/>
                <w:szCs w:val="16"/>
                <w:lang w:bidi="th-TH"/>
              </w:rPr>
              <w:t>2014 : augmentation de 1,1% des enregistrements et renouvellements par rapport à 2013 :</w:t>
            </w:r>
          </w:p>
          <w:p w:rsidR="00C14A86" w:rsidRPr="00C258AD" w:rsidRDefault="00C14A86" w:rsidP="006364A5">
            <w:pPr>
              <w:rPr>
                <w:rFonts w:cs="Arial"/>
                <w:spacing w:val="-2"/>
                <w:sz w:val="16"/>
                <w:szCs w:val="16"/>
                <w:lang w:bidi="th-TH"/>
              </w:rPr>
            </w:pPr>
            <w:r w:rsidRPr="00C258AD">
              <w:rPr>
                <w:rFonts w:cs="Arial"/>
                <w:spacing w:val="-2"/>
                <w:sz w:val="16"/>
                <w:szCs w:val="16"/>
                <w:lang w:bidi="th-TH"/>
              </w:rPr>
              <w:t>- 42 430</w:t>
            </w:r>
            <w:r w:rsidRPr="00C258AD">
              <w:rPr>
                <w:rFonts w:cs="Arial"/>
                <w:i/>
                <w:spacing w:val="-2"/>
                <w:sz w:val="16"/>
                <w:szCs w:val="16"/>
                <w:lang w:bidi="th-TH"/>
              </w:rPr>
              <w:t xml:space="preserve"> </w:t>
            </w:r>
            <w:r w:rsidRPr="00C258AD">
              <w:rPr>
                <w:rFonts w:cs="Arial"/>
                <w:spacing w:val="-2"/>
                <w:sz w:val="16"/>
                <w:szCs w:val="16"/>
                <w:lang w:bidi="th-TH"/>
              </w:rPr>
              <w:t>enregistrements</w:t>
            </w:r>
          </w:p>
          <w:p w:rsidR="00C14A86" w:rsidRPr="00C258AD" w:rsidRDefault="00C14A86" w:rsidP="006364A5">
            <w:pPr>
              <w:rPr>
                <w:rFonts w:cs="Arial"/>
                <w:spacing w:val="-4"/>
                <w:sz w:val="16"/>
                <w:szCs w:val="16"/>
                <w:lang w:bidi="th-TH"/>
              </w:rPr>
            </w:pPr>
            <w:r w:rsidRPr="00C258AD">
              <w:rPr>
                <w:rFonts w:cs="Arial"/>
                <w:spacing w:val="-4"/>
                <w:sz w:val="16"/>
                <w:szCs w:val="16"/>
                <w:lang w:bidi="th-TH"/>
              </w:rPr>
              <w:t>- 25 729 renouvellements</w:t>
            </w:r>
          </w:p>
          <w:p w:rsidR="00C14A86" w:rsidRPr="00C258AD" w:rsidRDefault="00C14A86" w:rsidP="006364A5">
            <w:pPr>
              <w:rPr>
                <w:rFonts w:cs="Arial"/>
                <w:sz w:val="16"/>
                <w:szCs w:val="16"/>
                <w:lang w:bidi="th-TH"/>
              </w:rPr>
            </w:pPr>
          </w:p>
          <w:p w:rsidR="00C14A86" w:rsidRPr="00C258AD" w:rsidRDefault="00C14A86" w:rsidP="006364A5">
            <w:pPr>
              <w:rPr>
                <w:rFonts w:cs="Arial"/>
                <w:sz w:val="16"/>
                <w:szCs w:val="16"/>
                <w:lang w:bidi="th-TH"/>
              </w:rPr>
            </w:pPr>
            <w:r w:rsidRPr="00C258AD">
              <w:rPr>
                <w:rFonts w:cs="Arial"/>
                <w:sz w:val="16"/>
                <w:szCs w:val="16"/>
                <w:lang w:bidi="th-TH"/>
              </w:rPr>
              <w:t>2015 : augmentation de 12,2% par rapport aux objectifs de nombres d’enregistrements et de renouvellements de 2014</w:t>
            </w:r>
            <w:r w:rsidRPr="00C258AD">
              <w:rPr>
                <w:rStyle w:val="FootnoteReference"/>
                <w:rFonts w:eastAsia="SimSun" w:cs="Arial"/>
                <w:sz w:val="16"/>
                <w:szCs w:val="16"/>
                <w:lang w:bidi="th-TH"/>
              </w:rPr>
              <w:footnoteReference w:id="29"/>
            </w:r>
          </w:p>
          <w:p w:rsidR="00C14A86" w:rsidRPr="00C258AD" w:rsidRDefault="00C14A86" w:rsidP="006364A5">
            <w:pPr>
              <w:tabs>
                <w:tab w:val="left" w:pos="198"/>
              </w:tabs>
              <w:rPr>
                <w:rFonts w:cs="Arial"/>
                <w:spacing w:val="-2"/>
                <w:sz w:val="16"/>
                <w:szCs w:val="16"/>
                <w:lang w:bidi="th-TH"/>
              </w:rPr>
            </w:pPr>
            <w:r w:rsidRPr="00C258AD">
              <w:rPr>
                <w:rFonts w:cs="Arial"/>
                <w:spacing w:val="-2"/>
                <w:sz w:val="16"/>
                <w:szCs w:val="16"/>
                <w:lang w:bidi="th-TH"/>
              </w:rPr>
              <w:t>- 51 938 enregistrements</w:t>
            </w:r>
          </w:p>
          <w:p w:rsidR="00C14A86" w:rsidRPr="00C258AD" w:rsidRDefault="00C14A86" w:rsidP="006364A5">
            <w:pPr>
              <w:tabs>
                <w:tab w:val="left" w:pos="198"/>
              </w:tabs>
              <w:rPr>
                <w:rFonts w:cs="Arial"/>
                <w:spacing w:val="-4"/>
                <w:sz w:val="16"/>
                <w:szCs w:val="16"/>
                <w:lang w:bidi="th-TH"/>
              </w:rPr>
            </w:pPr>
            <w:r w:rsidRPr="00C258AD">
              <w:rPr>
                <w:rFonts w:cs="Arial"/>
                <w:spacing w:val="-4"/>
                <w:sz w:val="16"/>
                <w:szCs w:val="16"/>
                <w:lang w:bidi="th-TH"/>
              </w:rPr>
              <w:t>- 28 502 renouvellements</w:t>
            </w:r>
          </w:p>
          <w:p w:rsidR="00C14A86" w:rsidRPr="00C258AD" w:rsidRDefault="00C14A86" w:rsidP="006364A5">
            <w:pPr>
              <w:rPr>
                <w:rFonts w:cs="Arial"/>
                <w:sz w:val="16"/>
                <w:szCs w:val="16"/>
                <w:lang w:bidi="th-TH"/>
              </w:rPr>
            </w:pPr>
          </w:p>
          <w:p w:rsidR="00C14A86" w:rsidRPr="00C258AD" w:rsidRDefault="00C14A86" w:rsidP="006364A5">
            <w:pPr>
              <w:rPr>
                <w:rFonts w:cs="Arial"/>
                <w:sz w:val="16"/>
                <w:szCs w:val="16"/>
                <w:lang w:bidi="th-TH"/>
              </w:rPr>
            </w:pPr>
            <w:r w:rsidRPr="00C258AD">
              <w:rPr>
                <w:rFonts w:cs="Arial"/>
                <w:sz w:val="16"/>
                <w:szCs w:val="16"/>
                <w:lang w:bidi="th-TH"/>
              </w:rPr>
              <w:t>Nombre total d’enregistrements pour 2014</w:t>
            </w:r>
            <w:r w:rsidRPr="00C258AD">
              <w:rPr>
                <w:rFonts w:cs="Arial"/>
                <w:sz w:val="16"/>
                <w:szCs w:val="16"/>
                <w:lang w:bidi="th-TH"/>
              </w:rPr>
              <w:noBreakHyphen/>
              <w:t>2015 : 94 368.</w:t>
            </w:r>
          </w:p>
          <w:p w:rsidR="00C14A86" w:rsidRPr="00C258AD" w:rsidRDefault="00C14A86" w:rsidP="006364A5">
            <w:pPr>
              <w:rPr>
                <w:rFonts w:cs="Arial"/>
                <w:sz w:val="16"/>
                <w:szCs w:val="16"/>
                <w:lang w:bidi="th-TH"/>
              </w:rPr>
            </w:pPr>
          </w:p>
          <w:p w:rsidR="00C14A86" w:rsidRPr="00C258AD" w:rsidRDefault="00C14A86" w:rsidP="006364A5">
            <w:pPr>
              <w:rPr>
                <w:rFonts w:cs="Arial"/>
                <w:sz w:val="16"/>
                <w:szCs w:val="16"/>
                <w:lang w:bidi="th-TH"/>
              </w:rPr>
            </w:pPr>
            <w:r w:rsidRPr="00C258AD">
              <w:rPr>
                <w:rFonts w:cs="Arial"/>
                <w:sz w:val="16"/>
                <w:szCs w:val="16"/>
                <w:lang w:bidi="th-TH"/>
              </w:rPr>
              <w:t>Nombre total de renouvellements pour 2014–2015 : 54 230.</w:t>
            </w:r>
          </w:p>
          <w:p w:rsidR="00C14A86" w:rsidRPr="00C258AD" w:rsidRDefault="00C14A86" w:rsidP="006364A5">
            <w:pPr>
              <w:rPr>
                <w:rFonts w:cs="Arial"/>
                <w:sz w:val="16"/>
                <w:szCs w:val="16"/>
                <w:lang w:bidi="th-TH"/>
              </w:rPr>
            </w:pPr>
          </w:p>
          <w:p w:rsidR="00C14A86" w:rsidRPr="00C258AD" w:rsidRDefault="00C14A86" w:rsidP="006364A5">
            <w:pPr>
              <w:rPr>
                <w:rFonts w:cs="Arial"/>
                <w:sz w:val="16"/>
                <w:szCs w:val="16"/>
                <w:lang w:bidi="th-TH"/>
              </w:rPr>
            </w:pPr>
            <w:r w:rsidRPr="00C258AD">
              <w:rPr>
                <w:rFonts w:cs="Arial"/>
                <w:sz w:val="16"/>
                <w:szCs w:val="16"/>
                <w:lang w:bidi="th-TH"/>
              </w:rPr>
              <w:t>Nombre total de modifications pour 2014–2015 : 220 469, y compris 35 937 désignations postérieures.</w:t>
            </w:r>
          </w:p>
        </w:tc>
        <w:tc>
          <w:tcPr>
            <w:tcW w:w="603" w:type="pct"/>
            <w:shd w:val="clear" w:color="auto" w:fill="auto"/>
            <w:tcMar>
              <w:top w:w="110" w:type="dxa"/>
            </w:tcMar>
          </w:tcPr>
          <w:p w:rsidR="00C14A86" w:rsidRPr="00C258AD" w:rsidRDefault="00C14A86" w:rsidP="006364A5">
            <w:pPr>
              <w:keepNext/>
              <w:keepLines/>
              <w:jc w:val="center"/>
              <w:rPr>
                <w:rStyle w:val="Style5"/>
                <w:rFonts w:ascii="Arial" w:hAnsi="Arial" w:cs="Arial"/>
                <w:b/>
                <w:sz w:val="16"/>
                <w:szCs w:val="16"/>
              </w:rPr>
            </w:pPr>
            <w:r w:rsidRPr="00C258AD">
              <w:rPr>
                <w:rStyle w:val="Style5"/>
                <w:rFonts w:ascii="Arial" w:hAnsi="Arial" w:cs="Arial"/>
                <w:b/>
                <w:color w:val="FF0000"/>
                <w:sz w:val="16"/>
                <w:szCs w:val="16"/>
              </w:rPr>
              <w:t>Objectif pas atteint</w:t>
            </w:r>
          </w:p>
          <w:p w:rsidR="00C14A86" w:rsidRPr="00C258AD" w:rsidRDefault="00C14A86" w:rsidP="006364A5">
            <w:pPr>
              <w:keepNext/>
              <w:keepLines/>
              <w:jc w:val="center"/>
              <w:rPr>
                <w:rStyle w:val="Style5"/>
                <w:rFonts w:ascii="Arial" w:hAnsi="Arial" w:cs="Arial"/>
                <w:b/>
                <w:sz w:val="16"/>
                <w:szCs w:val="16"/>
              </w:rPr>
            </w:pPr>
          </w:p>
          <w:p w:rsidR="00C14A86" w:rsidRPr="00C258AD" w:rsidRDefault="00C14A86" w:rsidP="006364A5">
            <w:pPr>
              <w:keepNext/>
              <w:keepLines/>
              <w:jc w:val="center"/>
              <w:rPr>
                <w:rStyle w:val="Style5"/>
                <w:rFonts w:ascii="Arial" w:hAnsi="Arial" w:cs="Arial"/>
                <w:b/>
                <w:sz w:val="16"/>
                <w:szCs w:val="16"/>
              </w:rPr>
            </w:pPr>
          </w:p>
          <w:p w:rsidR="00C14A86" w:rsidRPr="00C258AD" w:rsidRDefault="00C14A86" w:rsidP="006364A5">
            <w:pPr>
              <w:keepNext/>
              <w:keepLines/>
              <w:jc w:val="center"/>
              <w:rPr>
                <w:rStyle w:val="Style5"/>
                <w:rFonts w:ascii="Arial" w:hAnsi="Arial" w:cs="Arial"/>
                <w:b/>
                <w:sz w:val="16"/>
                <w:szCs w:val="16"/>
              </w:rPr>
            </w:pPr>
          </w:p>
          <w:p w:rsidR="00C14A86" w:rsidRPr="00C258AD" w:rsidRDefault="00C14A86" w:rsidP="006364A5">
            <w:pPr>
              <w:keepNext/>
              <w:keepLines/>
              <w:jc w:val="center"/>
              <w:rPr>
                <w:rStyle w:val="Style5"/>
                <w:rFonts w:ascii="Arial" w:hAnsi="Arial" w:cs="Arial"/>
                <w:b/>
                <w:sz w:val="16"/>
                <w:szCs w:val="16"/>
              </w:rPr>
            </w:pPr>
          </w:p>
          <w:p w:rsidR="00C14A86" w:rsidRPr="00C258AD" w:rsidRDefault="00C14A86" w:rsidP="006364A5">
            <w:pPr>
              <w:keepNext/>
              <w:keepLines/>
              <w:jc w:val="center"/>
              <w:rPr>
                <w:rStyle w:val="Style5"/>
                <w:rFonts w:ascii="Arial" w:hAnsi="Arial" w:cs="Arial"/>
                <w:b/>
                <w:sz w:val="16"/>
                <w:szCs w:val="16"/>
              </w:rPr>
            </w:pPr>
          </w:p>
          <w:p w:rsidR="00C14A86" w:rsidRPr="00C258AD" w:rsidRDefault="00C14A86" w:rsidP="006364A5">
            <w:pPr>
              <w:keepNext/>
              <w:keepLines/>
              <w:jc w:val="center"/>
              <w:rPr>
                <w:rStyle w:val="Style5"/>
                <w:rFonts w:ascii="Arial" w:hAnsi="Arial" w:cs="Arial"/>
                <w:b/>
                <w:sz w:val="16"/>
                <w:szCs w:val="16"/>
              </w:rPr>
            </w:pPr>
            <w:r w:rsidRPr="00C258AD">
              <w:rPr>
                <w:rStyle w:val="Style5"/>
                <w:rFonts w:ascii="Arial" w:hAnsi="Arial" w:cs="Arial"/>
                <w:b/>
                <w:bCs/>
                <w:color w:val="00B050"/>
                <w:sz w:val="16"/>
                <w:szCs w:val="16"/>
              </w:rPr>
              <w:t>Objectif pleinement atteint</w:t>
            </w:r>
          </w:p>
          <w:p w:rsidR="00C14A86" w:rsidRPr="00C258AD" w:rsidRDefault="00C14A86" w:rsidP="006364A5">
            <w:pPr>
              <w:keepNext/>
              <w:keepLines/>
              <w:jc w:val="center"/>
              <w:rPr>
                <w:rStyle w:val="Style5"/>
                <w:rFonts w:ascii="Arial" w:hAnsi="Arial" w:cs="Arial"/>
                <w:b/>
                <w:sz w:val="16"/>
                <w:szCs w:val="16"/>
              </w:rPr>
            </w:pPr>
          </w:p>
          <w:p w:rsidR="00C14A86" w:rsidRPr="00C258AD" w:rsidRDefault="00C14A86" w:rsidP="006364A5">
            <w:pPr>
              <w:keepNext/>
              <w:keepLines/>
              <w:jc w:val="center"/>
              <w:rPr>
                <w:rStyle w:val="Style5"/>
                <w:rFonts w:ascii="Arial" w:hAnsi="Arial" w:cs="Arial"/>
                <w:b/>
                <w:sz w:val="16"/>
                <w:szCs w:val="16"/>
              </w:rPr>
            </w:pPr>
          </w:p>
          <w:p w:rsidR="00C14A86" w:rsidRPr="00C258AD" w:rsidRDefault="00C14A86" w:rsidP="006364A5">
            <w:pPr>
              <w:keepNext/>
              <w:keepLines/>
              <w:jc w:val="center"/>
              <w:rPr>
                <w:rStyle w:val="Style5"/>
                <w:rFonts w:ascii="Arial" w:hAnsi="Arial" w:cs="Arial"/>
                <w:b/>
                <w:sz w:val="16"/>
                <w:szCs w:val="16"/>
              </w:rPr>
            </w:pPr>
          </w:p>
          <w:p w:rsidR="00C14A86" w:rsidRPr="00C258AD" w:rsidRDefault="00C14A86" w:rsidP="006364A5">
            <w:pPr>
              <w:keepNext/>
              <w:keepLines/>
              <w:jc w:val="center"/>
              <w:rPr>
                <w:rStyle w:val="Style5"/>
                <w:rFonts w:ascii="Arial" w:hAnsi="Arial" w:cs="Arial"/>
                <w:b/>
                <w:sz w:val="16"/>
                <w:szCs w:val="16"/>
              </w:rPr>
            </w:pPr>
          </w:p>
          <w:p w:rsidR="00C14A86" w:rsidRPr="00C258AD" w:rsidRDefault="00C14A86" w:rsidP="006364A5">
            <w:pPr>
              <w:keepNext/>
              <w:keepLines/>
              <w:jc w:val="center"/>
              <w:rPr>
                <w:rStyle w:val="Style5"/>
                <w:rFonts w:ascii="Arial" w:hAnsi="Arial" w:cs="Arial"/>
                <w:b/>
                <w:sz w:val="16"/>
                <w:szCs w:val="16"/>
              </w:rPr>
            </w:pPr>
          </w:p>
          <w:p w:rsidR="00C14A86" w:rsidRPr="00C258AD" w:rsidRDefault="00C14A86" w:rsidP="006364A5">
            <w:pPr>
              <w:keepNext/>
              <w:keepLines/>
              <w:jc w:val="center"/>
              <w:rPr>
                <w:rStyle w:val="Style5"/>
                <w:rFonts w:ascii="Arial" w:hAnsi="Arial" w:cs="Arial"/>
                <w:b/>
                <w:sz w:val="16"/>
                <w:szCs w:val="16"/>
              </w:rPr>
            </w:pPr>
            <w:r w:rsidRPr="00C258AD">
              <w:rPr>
                <w:rStyle w:val="Style5"/>
                <w:rFonts w:ascii="Arial" w:hAnsi="Arial" w:cs="Arial"/>
                <w:b/>
                <w:bCs/>
                <w:color w:val="00B050"/>
                <w:sz w:val="16"/>
                <w:szCs w:val="16"/>
              </w:rPr>
              <w:t>Objectif pleinement atteint</w:t>
            </w:r>
          </w:p>
          <w:p w:rsidR="00C14A86" w:rsidRPr="00C258AD" w:rsidRDefault="00C14A86" w:rsidP="006364A5">
            <w:pPr>
              <w:keepNext/>
              <w:keepLines/>
              <w:jc w:val="center"/>
              <w:rPr>
                <w:rStyle w:val="Style5"/>
                <w:rFonts w:ascii="Arial" w:hAnsi="Arial" w:cs="Arial"/>
                <w:b/>
                <w:sz w:val="16"/>
                <w:szCs w:val="16"/>
              </w:rPr>
            </w:pPr>
          </w:p>
          <w:p w:rsidR="00C14A86" w:rsidRPr="00C258AD" w:rsidRDefault="00C14A86" w:rsidP="006364A5">
            <w:pPr>
              <w:keepNext/>
              <w:keepLines/>
              <w:jc w:val="center"/>
              <w:rPr>
                <w:rStyle w:val="Style5"/>
                <w:rFonts w:ascii="Arial" w:hAnsi="Arial" w:cs="Arial"/>
                <w:b/>
                <w:sz w:val="16"/>
                <w:szCs w:val="16"/>
              </w:rPr>
            </w:pPr>
            <w:r w:rsidRPr="00C258AD">
              <w:rPr>
                <w:rStyle w:val="Style5"/>
                <w:rFonts w:ascii="Arial" w:hAnsi="Arial" w:cs="Arial"/>
                <w:b/>
                <w:bCs/>
                <w:color w:val="00B050"/>
                <w:sz w:val="16"/>
                <w:szCs w:val="16"/>
              </w:rPr>
              <w:t>Objectif pleinement atteint</w:t>
            </w:r>
          </w:p>
          <w:p w:rsidR="00C14A86" w:rsidRPr="00C258AD" w:rsidRDefault="00C14A86" w:rsidP="006364A5">
            <w:pPr>
              <w:keepNext/>
              <w:keepLines/>
              <w:jc w:val="center"/>
              <w:rPr>
                <w:rStyle w:val="Style5"/>
                <w:rFonts w:ascii="Arial" w:hAnsi="Arial" w:cs="Arial"/>
                <w:b/>
                <w:sz w:val="16"/>
                <w:szCs w:val="16"/>
              </w:rPr>
            </w:pPr>
          </w:p>
          <w:p w:rsidR="00C14A86" w:rsidRPr="00C258AD" w:rsidRDefault="00C14A86" w:rsidP="006364A5">
            <w:pPr>
              <w:keepNext/>
              <w:keepLines/>
              <w:jc w:val="center"/>
              <w:rPr>
                <w:rStyle w:val="Style5"/>
                <w:rFonts w:ascii="Arial" w:hAnsi="Arial" w:cs="Arial"/>
                <w:b/>
                <w:sz w:val="16"/>
                <w:szCs w:val="16"/>
              </w:rPr>
            </w:pPr>
            <w:r w:rsidRPr="00C258AD">
              <w:rPr>
                <w:rStyle w:val="Style5"/>
                <w:rFonts w:ascii="Arial" w:hAnsi="Arial" w:cs="Arial"/>
                <w:b/>
                <w:bCs/>
                <w:color w:val="00B050"/>
                <w:sz w:val="16"/>
                <w:szCs w:val="16"/>
              </w:rPr>
              <w:t>Objectif pleinement atteint</w:t>
            </w:r>
            <w:r w:rsidRPr="00C258AD">
              <w:rPr>
                <w:rStyle w:val="Style5"/>
                <w:rFonts w:ascii="Arial" w:hAnsi="Arial" w:cs="Arial"/>
                <w:b/>
                <w:sz w:val="16"/>
                <w:szCs w:val="16"/>
              </w:rPr>
              <w:t xml:space="preserve"> </w:t>
            </w:r>
          </w:p>
        </w:tc>
      </w:tr>
      <w:tr w:rsidR="00C14A86" w:rsidRPr="00C258AD" w:rsidTr="006364A5">
        <w:trPr>
          <w:cantSplit/>
        </w:trPr>
        <w:tc>
          <w:tcPr>
            <w:tcW w:w="1137" w:type="pct"/>
            <w:shd w:val="clear" w:color="auto" w:fill="FFFFFF"/>
          </w:tcPr>
          <w:p w:rsidR="00C14A86" w:rsidRPr="00C258AD" w:rsidRDefault="00C14A86" w:rsidP="006364A5">
            <w:pPr>
              <w:rPr>
                <w:rFonts w:cs="Arial"/>
                <w:b/>
                <w:bCs/>
                <w:sz w:val="16"/>
                <w:szCs w:val="16"/>
              </w:rPr>
            </w:pPr>
            <w:r w:rsidRPr="00C258AD">
              <w:rPr>
                <w:rFonts w:cs="Arial"/>
                <w:sz w:val="16"/>
                <w:szCs w:val="16"/>
              </w:rPr>
              <w:t>Traduction des demandes dans les délais (système de Madrid)</w:t>
            </w:r>
          </w:p>
        </w:tc>
        <w:tc>
          <w:tcPr>
            <w:tcW w:w="1362" w:type="pct"/>
            <w:shd w:val="clear" w:color="auto" w:fill="auto"/>
          </w:tcPr>
          <w:p w:rsidR="00C14A86" w:rsidRPr="00C258AD" w:rsidRDefault="00C14A86" w:rsidP="006364A5">
            <w:pPr>
              <w:rPr>
                <w:rFonts w:cs="Arial"/>
                <w:b/>
                <w:bCs/>
                <w:sz w:val="16"/>
                <w:szCs w:val="16"/>
              </w:rPr>
            </w:pPr>
            <w:proofErr w:type="spellStart"/>
            <w:r w:rsidRPr="00C258AD">
              <w:rPr>
                <w:rFonts w:cs="Arial"/>
                <w:sz w:val="16"/>
                <w:szCs w:val="16"/>
              </w:rPr>
              <w:t>n.d</w:t>
            </w:r>
            <w:proofErr w:type="spellEnd"/>
            <w:r w:rsidRPr="00C258AD">
              <w:rPr>
                <w:rFonts w:cs="Arial"/>
                <w:sz w:val="16"/>
                <w:szCs w:val="16"/>
              </w:rPr>
              <w:t>.</w:t>
            </w:r>
          </w:p>
        </w:tc>
        <w:tc>
          <w:tcPr>
            <w:tcW w:w="846" w:type="pct"/>
            <w:shd w:val="clear" w:color="auto" w:fill="auto"/>
            <w:tcMar>
              <w:top w:w="110" w:type="dxa"/>
            </w:tcMar>
          </w:tcPr>
          <w:p w:rsidR="00C14A86" w:rsidRPr="00C258AD" w:rsidRDefault="00C14A86" w:rsidP="006364A5">
            <w:pPr>
              <w:rPr>
                <w:rFonts w:cs="Arial"/>
                <w:b/>
                <w:sz w:val="16"/>
                <w:szCs w:val="16"/>
              </w:rPr>
            </w:pPr>
            <w:r w:rsidRPr="00C258AD">
              <w:rPr>
                <w:rFonts w:cs="Arial"/>
                <w:sz w:val="16"/>
                <w:szCs w:val="16"/>
              </w:rPr>
              <w:t>Quatre semaines</w:t>
            </w:r>
          </w:p>
        </w:tc>
        <w:tc>
          <w:tcPr>
            <w:tcW w:w="1052" w:type="pct"/>
            <w:shd w:val="clear" w:color="auto" w:fill="FFFFFF"/>
            <w:tcMar>
              <w:top w:w="110" w:type="dxa"/>
            </w:tcMar>
          </w:tcPr>
          <w:p w:rsidR="00C14A86" w:rsidRPr="00C258AD" w:rsidRDefault="00C14A86" w:rsidP="006364A5">
            <w:pPr>
              <w:rPr>
                <w:rFonts w:cs="Arial"/>
                <w:b/>
                <w:bCs/>
                <w:sz w:val="16"/>
                <w:szCs w:val="16"/>
              </w:rPr>
            </w:pPr>
            <w:r w:rsidRPr="00C258AD">
              <w:rPr>
                <w:rFonts w:cs="Arial"/>
                <w:sz w:val="16"/>
                <w:szCs w:val="16"/>
                <w:lang w:bidi="th-TH"/>
              </w:rPr>
              <w:t>Le délai moyen de traitement est de deux semaines</w:t>
            </w:r>
          </w:p>
        </w:tc>
        <w:tc>
          <w:tcPr>
            <w:tcW w:w="603" w:type="pct"/>
            <w:shd w:val="clear" w:color="auto" w:fill="auto"/>
            <w:tcMar>
              <w:top w:w="110" w:type="dxa"/>
            </w:tcMar>
          </w:tcPr>
          <w:p w:rsidR="00C14A86" w:rsidRPr="00C258AD" w:rsidRDefault="00C14A86" w:rsidP="006364A5">
            <w:pPr>
              <w:jc w:val="center"/>
              <w:rPr>
                <w:rFonts w:cs="Arial"/>
                <w:b/>
                <w:bCs/>
                <w:sz w:val="16"/>
                <w:szCs w:val="16"/>
              </w:rPr>
            </w:pPr>
            <w:r w:rsidRPr="00C258AD">
              <w:rPr>
                <w:rStyle w:val="Style5"/>
                <w:rFonts w:ascii="Arial" w:hAnsi="Arial" w:cs="Arial"/>
                <w:b/>
                <w:bCs/>
                <w:color w:val="00B050"/>
                <w:sz w:val="16"/>
                <w:szCs w:val="16"/>
              </w:rPr>
              <w:t>Objectif pleinement atteint</w:t>
            </w:r>
          </w:p>
        </w:tc>
      </w:tr>
      <w:tr w:rsidR="00C14A86" w:rsidRPr="00C258AD" w:rsidTr="006364A5">
        <w:trPr>
          <w:cantSplit/>
        </w:trPr>
        <w:tc>
          <w:tcPr>
            <w:tcW w:w="1137" w:type="pct"/>
            <w:shd w:val="clear" w:color="auto" w:fill="FFFFFF"/>
          </w:tcPr>
          <w:p w:rsidR="00C14A86" w:rsidRPr="00C258AD" w:rsidRDefault="00C14A86" w:rsidP="006364A5">
            <w:pPr>
              <w:rPr>
                <w:rFonts w:cs="Arial"/>
                <w:sz w:val="16"/>
                <w:szCs w:val="16"/>
              </w:rPr>
            </w:pPr>
            <w:r w:rsidRPr="00C258AD">
              <w:rPr>
                <w:rFonts w:cs="Arial"/>
                <w:sz w:val="16"/>
                <w:szCs w:val="16"/>
              </w:rPr>
              <w:t>Réduction du nombre de corrections (système de Madrid)</w:t>
            </w:r>
          </w:p>
        </w:tc>
        <w:tc>
          <w:tcPr>
            <w:tcW w:w="1362" w:type="pct"/>
            <w:shd w:val="clear" w:color="auto" w:fill="auto"/>
          </w:tcPr>
          <w:p w:rsidR="00C14A86" w:rsidRPr="00C258AD" w:rsidRDefault="00C14A86" w:rsidP="006364A5">
            <w:pPr>
              <w:rPr>
                <w:rFonts w:cs="Arial"/>
                <w:color w:val="002060"/>
                <w:sz w:val="16"/>
                <w:szCs w:val="16"/>
              </w:rPr>
            </w:pPr>
            <w:r w:rsidRPr="00C258AD">
              <w:rPr>
                <w:rFonts w:cs="Arial"/>
                <w:i/>
                <w:color w:val="002060"/>
                <w:sz w:val="16"/>
                <w:szCs w:val="16"/>
              </w:rPr>
              <w:t>Niveau de référence actualisé à fin 2013</w:t>
            </w:r>
            <w:r w:rsidRPr="00C258AD">
              <w:rPr>
                <w:rFonts w:cs="Arial"/>
                <w:color w:val="002060"/>
                <w:sz w:val="16"/>
                <w:szCs w:val="16"/>
              </w:rPr>
              <w:t xml:space="preserve"> : </w:t>
            </w:r>
          </w:p>
          <w:p w:rsidR="00C14A86" w:rsidRPr="00C258AD" w:rsidRDefault="00C14A86" w:rsidP="006364A5">
            <w:pPr>
              <w:rPr>
                <w:rFonts w:cs="Arial"/>
                <w:color w:val="002060"/>
                <w:sz w:val="16"/>
                <w:szCs w:val="16"/>
              </w:rPr>
            </w:pPr>
            <w:r w:rsidRPr="00C258AD">
              <w:rPr>
                <w:rFonts w:cs="Arial"/>
                <w:color w:val="002060"/>
                <w:sz w:val="16"/>
                <w:szCs w:val="16"/>
              </w:rPr>
              <w:t xml:space="preserve">5197 corrections reçues </w:t>
            </w:r>
          </w:p>
          <w:p w:rsidR="00C14A86" w:rsidRPr="00C258AD" w:rsidRDefault="00C14A86" w:rsidP="006364A5">
            <w:pPr>
              <w:rPr>
                <w:rFonts w:cs="Arial"/>
                <w:color w:val="002060"/>
                <w:sz w:val="16"/>
                <w:szCs w:val="16"/>
              </w:rPr>
            </w:pPr>
            <w:r w:rsidRPr="00C258AD">
              <w:rPr>
                <w:rFonts w:cs="Arial"/>
                <w:color w:val="002060"/>
                <w:sz w:val="16"/>
                <w:szCs w:val="16"/>
              </w:rPr>
              <w:t xml:space="preserve">et </w:t>
            </w:r>
          </w:p>
          <w:p w:rsidR="00C14A86" w:rsidRPr="00C258AD" w:rsidRDefault="00C14A86" w:rsidP="006364A5">
            <w:pPr>
              <w:rPr>
                <w:rFonts w:cs="Arial"/>
                <w:i/>
                <w:color w:val="002060"/>
                <w:sz w:val="16"/>
                <w:szCs w:val="16"/>
              </w:rPr>
            </w:pPr>
            <w:r w:rsidRPr="00C258AD">
              <w:rPr>
                <w:rFonts w:cs="Arial"/>
                <w:color w:val="002060"/>
                <w:sz w:val="16"/>
                <w:szCs w:val="16"/>
              </w:rPr>
              <w:t>4499 traitées</w:t>
            </w:r>
          </w:p>
          <w:p w:rsidR="00C14A86" w:rsidRPr="00C258AD" w:rsidRDefault="00C14A86" w:rsidP="006364A5">
            <w:pPr>
              <w:rPr>
                <w:rFonts w:cs="Arial"/>
                <w:color w:val="002060"/>
                <w:sz w:val="16"/>
                <w:szCs w:val="16"/>
              </w:rPr>
            </w:pPr>
          </w:p>
          <w:p w:rsidR="00C14A86" w:rsidRPr="00C258AD" w:rsidRDefault="00C14A86" w:rsidP="006364A5">
            <w:pPr>
              <w:rPr>
                <w:rFonts w:cs="Arial"/>
                <w:sz w:val="16"/>
                <w:szCs w:val="16"/>
              </w:rPr>
            </w:pPr>
            <w:r w:rsidRPr="00C258AD">
              <w:rPr>
                <w:rFonts w:cs="Arial"/>
                <w:i/>
                <w:sz w:val="16"/>
                <w:szCs w:val="16"/>
              </w:rPr>
              <w:t>Niveau de référence initial dans le programme et budget 2013</w:t>
            </w:r>
            <w:r w:rsidRPr="00C258AD">
              <w:rPr>
                <w:rFonts w:cs="Arial"/>
                <w:i/>
                <w:sz w:val="16"/>
                <w:szCs w:val="16"/>
              </w:rPr>
              <w:noBreakHyphen/>
              <w:t>2014</w:t>
            </w:r>
            <w:r w:rsidRPr="00C258AD">
              <w:rPr>
                <w:rFonts w:cs="Arial"/>
                <w:sz w:val="16"/>
                <w:szCs w:val="16"/>
              </w:rPr>
              <w:t> : chiffres relatifs aux corrections en 2012 (5000 demandes)</w:t>
            </w:r>
          </w:p>
        </w:tc>
        <w:tc>
          <w:tcPr>
            <w:tcW w:w="846" w:type="pct"/>
            <w:shd w:val="clear" w:color="auto" w:fill="auto"/>
            <w:tcMar>
              <w:top w:w="110" w:type="dxa"/>
            </w:tcMar>
          </w:tcPr>
          <w:p w:rsidR="00C14A86" w:rsidRPr="00C258AD" w:rsidRDefault="00C14A86" w:rsidP="006364A5">
            <w:pPr>
              <w:rPr>
                <w:rFonts w:cs="Arial"/>
                <w:sz w:val="16"/>
                <w:szCs w:val="16"/>
              </w:rPr>
            </w:pPr>
            <w:r w:rsidRPr="00C258AD">
              <w:rPr>
                <w:rFonts w:cs="Arial"/>
                <w:sz w:val="16"/>
                <w:szCs w:val="16"/>
              </w:rPr>
              <w:t xml:space="preserve">Réduire de 10% le nombre de corrections </w:t>
            </w:r>
          </w:p>
        </w:tc>
        <w:tc>
          <w:tcPr>
            <w:tcW w:w="1052" w:type="pct"/>
            <w:shd w:val="clear" w:color="auto" w:fill="FFFFFF"/>
            <w:tcMar>
              <w:top w:w="110" w:type="dxa"/>
            </w:tcMar>
          </w:tcPr>
          <w:p w:rsidR="00C14A86" w:rsidRPr="00C258AD" w:rsidRDefault="00C14A86" w:rsidP="006364A5">
            <w:pPr>
              <w:rPr>
                <w:rFonts w:cs="Arial"/>
                <w:sz w:val="16"/>
                <w:szCs w:val="16"/>
                <w:lang w:bidi="th-TH"/>
              </w:rPr>
            </w:pPr>
            <w:r w:rsidRPr="00C258AD">
              <w:rPr>
                <w:rFonts w:cs="Arial"/>
                <w:sz w:val="16"/>
                <w:szCs w:val="16"/>
                <w:lang w:bidi="th-TH"/>
              </w:rPr>
              <w:t>Le nombre de corrections a augmenté en 2014</w:t>
            </w:r>
            <w:r w:rsidRPr="00C258AD">
              <w:rPr>
                <w:rFonts w:cs="Arial"/>
                <w:sz w:val="16"/>
                <w:szCs w:val="16"/>
                <w:lang w:bidi="th-TH"/>
              </w:rPr>
              <w:noBreakHyphen/>
              <w:t>2015.</w:t>
            </w:r>
          </w:p>
          <w:p w:rsidR="00C14A86" w:rsidRPr="00C258AD" w:rsidRDefault="00C14A86" w:rsidP="00C14A86">
            <w:pPr>
              <w:pStyle w:val="ListParagraph"/>
              <w:numPr>
                <w:ilvl w:val="0"/>
                <w:numId w:val="66"/>
              </w:numPr>
              <w:rPr>
                <w:rFonts w:cs="Arial"/>
                <w:sz w:val="16"/>
                <w:szCs w:val="16"/>
                <w:lang w:bidi="th-TH"/>
              </w:rPr>
            </w:pPr>
            <w:r w:rsidRPr="00C258AD">
              <w:rPr>
                <w:rFonts w:cs="Arial"/>
                <w:sz w:val="16"/>
                <w:szCs w:val="16"/>
                <w:lang w:bidi="th-TH"/>
              </w:rPr>
              <w:t>2014 : 6073 corrections reçues et 5737 traitées (+17% par rapport à 2013)</w:t>
            </w:r>
          </w:p>
          <w:p w:rsidR="00C14A86" w:rsidRPr="00C258AD" w:rsidRDefault="00C14A86" w:rsidP="00C14A86">
            <w:pPr>
              <w:pStyle w:val="ListParagraph"/>
              <w:numPr>
                <w:ilvl w:val="0"/>
                <w:numId w:val="66"/>
              </w:numPr>
              <w:rPr>
                <w:rFonts w:cs="Arial"/>
                <w:sz w:val="16"/>
                <w:szCs w:val="16"/>
                <w:lang w:bidi="th-TH"/>
              </w:rPr>
            </w:pPr>
            <w:r w:rsidRPr="00C258AD">
              <w:rPr>
                <w:rFonts w:cs="Arial"/>
                <w:sz w:val="16"/>
                <w:szCs w:val="16"/>
                <w:lang w:bidi="th-TH"/>
              </w:rPr>
              <w:t>2015 : 6127 corrections reçues et 5294 traitées (+31% par rapport à l’objectif de 2014)</w:t>
            </w:r>
            <w:r w:rsidRPr="00C258AD">
              <w:rPr>
                <w:rStyle w:val="FootnoteReference"/>
                <w:rFonts w:eastAsia="SimSun" w:cs="Arial"/>
                <w:sz w:val="16"/>
                <w:szCs w:val="16"/>
                <w:lang w:bidi="th-TH"/>
              </w:rPr>
              <w:footnoteReference w:id="30"/>
            </w:r>
          </w:p>
        </w:tc>
        <w:tc>
          <w:tcPr>
            <w:tcW w:w="603" w:type="pct"/>
            <w:shd w:val="clear" w:color="auto" w:fill="auto"/>
            <w:tcMar>
              <w:top w:w="110" w:type="dxa"/>
            </w:tcMar>
          </w:tcPr>
          <w:p w:rsidR="00C14A86" w:rsidRPr="00C258AD" w:rsidRDefault="00C14A86" w:rsidP="006364A5">
            <w:pPr>
              <w:jc w:val="center"/>
              <w:rPr>
                <w:rStyle w:val="Style5"/>
                <w:rFonts w:ascii="Arial" w:hAnsi="Arial" w:cs="Arial"/>
                <w:b/>
                <w:color w:val="00B050"/>
                <w:sz w:val="16"/>
                <w:szCs w:val="16"/>
              </w:rPr>
            </w:pPr>
            <w:r w:rsidRPr="00C258AD">
              <w:rPr>
                <w:rStyle w:val="Style5"/>
                <w:rFonts w:ascii="Arial" w:hAnsi="Arial" w:cs="Arial"/>
                <w:b/>
                <w:color w:val="FF0000"/>
                <w:sz w:val="16"/>
                <w:szCs w:val="16"/>
              </w:rPr>
              <w:t>Objectif pas atteint</w:t>
            </w:r>
          </w:p>
        </w:tc>
      </w:tr>
      <w:tr w:rsidR="00C14A86" w:rsidRPr="00C258AD" w:rsidTr="006364A5">
        <w:trPr>
          <w:cantSplit/>
        </w:trPr>
        <w:tc>
          <w:tcPr>
            <w:tcW w:w="1137" w:type="pct"/>
            <w:shd w:val="clear" w:color="auto" w:fill="FFFFFF"/>
          </w:tcPr>
          <w:p w:rsidR="00C14A86" w:rsidRPr="00C258AD" w:rsidRDefault="00C14A86" w:rsidP="006364A5">
            <w:pPr>
              <w:rPr>
                <w:rFonts w:cs="Arial"/>
                <w:sz w:val="16"/>
                <w:szCs w:val="16"/>
              </w:rPr>
            </w:pPr>
            <w:r w:rsidRPr="00C258AD">
              <w:rPr>
                <w:rFonts w:cs="Arial"/>
                <w:sz w:val="16"/>
                <w:szCs w:val="16"/>
              </w:rPr>
              <w:t>Plus grande satisfaction des clients (Madrid)</w:t>
            </w:r>
          </w:p>
        </w:tc>
        <w:tc>
          <w:tcPr>
            <w:tcW w:w="1362" w:type="pct"/>
            <w:shd w:val="clear" w:color="auto" w:fill="auto"/>
          </w:tcPr>
          <w:p w:rsidR="00C14A86" w:rsidRPr="00C258AD" w:rsidRDefault="00C14A86" w:rsidP="006364A5">
            <w:pPr>
              <w:rPr>
                <w:rFonts w:cs="Arial"/>
                <w:color w:val="002060"/>
                <w:sz w:val="16"/>
                <w:szCs w:val="16"/>
              </w:rPr>
            </w:pPr>
            <w:r w:rsidRPr="00C258AD">
              <w:rPr>
                <w:rFonts w:cs="Arial"/>
                <w:i/>
                <w:color w:val="002060"/>
                <w:sz w:val="16"/>
                <w:szCs w:val="16"/>
              </w:rPr>
              <w:t>Niveau de référence actualisé à fin 2013</w:t>
            </w:r>
            <w:r w:rsidRPr="00C258AD">
              <w:rPr>
                <w:rFonts w:cs="Arial"/>
                <w:color w:val="002060"/>
                <w:sz w:val="16"/>
                <w:szCs w:val="16"/>
              </w:rPr>
              <w:t> : Indice d’orientation vers les services (38)</w:t>
            </w:r>
          </w:p>
          <w:p w:rsidR="00C14A86" w:rsidRPr="00C258AD" w:rsidRDefault="00C14A86" w:rsidP="006364A5">
            <w:pPr>
              <w:rPr>
                <w:rFonts w:cs="Arial"/>
                <w:color w:val="002060"/>
                <w:sz w:val="16"/>
                <w:szCs w:val="16"/>
              </w:rPr>
            </w:pPr>
          </w:p>
          <w:p w:rsidR="00C14A86" w:rsidRPr="00C258AD" w:rsidRDefault="00C14A86" w:rsidP="006364A5">
            <w:pPr>
              <w:rPr>
                <w:rFonts w:cs="Arial"/>
                <w:i/>
                <w:color w:val="002060"/>
                <w:sz w:val="16"/>
                <w:szCs w:val="16"/>
              </w:rPr>
            </w:pPr>
            <w:r w:rsidRPr="00C258AD">
              <w:rPr>
                <w:rFonts w:cs="Arial"/>
                <w:i/>
                <w:sz w:val="16"/>
                <w:szCs w:val="16"/>
              </w:rPr>
              <w:t>Niveau de référence initial dans le programme et budget 2013</w:t>
            </w:r>
            <w:r w:rsidRPr="00C258AD">
              <w:rPr>
                <w:rFonts w:cs="Arial"/>
                <w:i/>
                <w:sz w:val="16"/>
                <w:szCs w:val="16"/>
              </w:rPr>
              <w:noBreakHyphen/>
              <w:t>2014</w:t>
            </w:r>
            <w:r w:rsidRPr="00C258AD">
              <w:rPr>
                <w:rFonts w:cs="Arial"/>
                <w:sz w:val="16"/>
                <w:szCs w:val="16"/>
              </w:rPr>
              <w:t> : enquête 2012 sur l’orientation vers les services à la clientèle.  Indice d’orientation vers les services (79)</w:t>
            </w:r>
            <w:r w:rsidRPr="00C258AD">
              <w:rPr>
                <w:rStyle w:val="FootnoteReference"/>
                <w:rFonts w:eastAsia="SimSun" w:cs="Arial"/>
                <w:sz w:val="16"/>
                <w:szCs w:val="16"/>
              </w:rPr>
              <w:footnoteReference w:id="31"/>
            </w:r>
            <w:r w:rsidRPr="00C258AD">
              <w:rPr>
                <w:rFonts w:cs="Arial"/>
                <w:sz w:val="16"/>
                <w:szCs w:val="16"/>
              </w:rPr>
              <w:t>.</w:t>
            </w:r>
          </w:p>
        </w:tc>
        <w:tc>
          <w:tcPr>
            <w:tcW w:w="846" w:type="pct"/>
            <w:shd w:val="clear" w:color="auto" w:fill="auto"/>
            <w:tcMar>
              <w:top w:w="110" w:type="dxa"/>
            </w:tcMar>
          </w:tcPr>
          <w:p w:rsidR="00C14A86" w:rsidRPr="00C258AD" w:rsidRDefault="00C14A86" w:rsidP="006364A5">
            <w:pPr>
              <w:rPr>
                <w:rFonts w:cs="Arial"/>
                <w:sz w:val="16"/>
                <w:szCs w:val="16"/>
              </w:rPr>
            </w:pPr>
            <w:r w:rsidRPr="00C258AD">
              <w:rPr>
                <w:rFonts w:cs="Arial"/>
                <w:sz w:val="16"/>
                <w:szCs w:val="16"/>
              </w:rPr>
              <w:t>Taux de satisfaction plus élevé dans la prochaine enquête axée sur la réactivité et le respect des délais</w:t>
            </w:r>
          </w:p>
        </w:tc>
        <w:tc>
          <w:tcPr>
            <w:tcW w:w="1052" w:type="pct"/>
            <w:shd w:val="clear" w:color="auto" w:fill="FFFFFF"/>
            <w:tcMar>
              <w:top w:w="110" w:type="dxa"/>
            </w:tcMar>
          </w:tcPr>
          <w:p w:rsidR="00C14A86" w:rsidRPr="00C258AD" w:rsidRDefault="00C14A86" w:rsidP="006364A5">
            <w:pPr>
              <w:rPr>
                <w:rFonts w:cs="Arial"/>
                <w:sz w:val="16"/>
                <w:szCs w:val="16"/>
                <w:lang w:bidi="th-TH"/>
              </w:rPr>
            </w:pPr>
            <w:r w:rsidRPr="00C258AD">
              <w:rPr>
                <w:rFonts w:cs="Arial"/>
                <w:sz w:val="16"/>
                <w:szCs w:val="16"/>
                <w:lang w:bidi="th-TH"/>
              </w:rPr>
              <w:t>2014 : Indice d’orientation vers les services (39).</w:t>
            </w:r>
          </w:p>
          <w:p w:rsidR="00C14A86" w:rsidRPr="00C258AD" w:rsidRDefault="00C14A86" w:rsidP="006364A5">
            <w:pPr>
              <w:rPr>
                <w:rFonts w:cs="Arial"/>
                <w:sz w:val="16"/>
                <w:szCs w:val="16"/>
                <w:lang w:bidi="th-TH"/>
              </w:rPr>
            </w:pPr>
          </w:p>
          <w:p w:rsidR="00C14A86" w:rsidRPr="00C258AD" w:rsidRDefault="00C14A86" w:rsidP="006364A5">
            <w:pPr>
              <w:rPr>
                <w:rFonts w:cs="Arial"/>
                <w:sz w:val="16"/>
                <w:szCs w:val="16"/>
                <w:lang w:bidi="th-TH"/>
              </w:rPr>
            </w:pPr>
          </w:p>
          <w:p w:rsidR="00C14A86" w:rsidRPr="00C258AD" w:rsidRDefault="00C14A86" w:rsidP="006364A5">
            <w:pPr>
              <w:rPr>
                <w:rFonts w:cs="Arial"/>
                <w:sz w:val="16"/>
                <w:szCs w:val="16"/>
                <w:lang w:bidi="th-TH"/>
              </w:rPr>
            </w:pPr>
            <w:r w:rsidRPr="00C258AD">
              <w:rPr>
                <w:rFonts w:cs="Arial"/>
                <w:sz w:val="16"/>
                <w:szCs w:val="16"/>
                <w:lang w:bidi="th-TH"/>
              </w:rPr>
              <w:t>2015 : aucune enquête effectuée pour cette année.</w:t>
            </w:r>
          </w:p>
        </w:tc>
        <w:tc>
          <w:tcPr>
            <w:tcW w:w="603" w:type="pct"/>
            <w:shd w:val="clear" w:color="auto" w:fill="auto"/>
            <w:tcMar>
              <w:top w:w="110" w:type="dxa"/>
            </w:tcMar>
          </w:tcPr>
          <w:p w:rsidR="00C14A86" w:rsidRPr="00C258AD" w:rsidRDefault="00C14A86" w:rsidP="006364A5">
            <w:pPr>
              <w:jc w:val="center"/>
              <w:rPr>
                <w:rStyle w:val="Style5"/>
                <w:rFonts w:ascii="Arial" w:hAnsi="Arial" w:cs="Arial"/>
                <w:b/>
                <w:color w:val="00B050"/>
                <w:sz w:val="16"/>
                <w:szCs w:val="16"/>
              </w:rPr>
            </w:pPr>
            <w:r w:rsidRPr="00C258AD">
              <w:rPr>
                <w:rStyle w:val="Style5"/>
                <w:rFonts w:ascii="Arial" w:hAnsi="Arial" w:cs="Arial"/>
                <w:b/>
                <w:bCs/>
                <w:color w:val="00B050"/>
                <w:sz w:val="16"/>
                <w:szCs w:val="16"/>
              </w:rPr>
              <w:t>Objectif pleinement atteint</w:t>
            </w:r>
          </w:p>
          <w:p w:rsidR="00C14A86" w:rsidRPr="00C258AD" w:rsidRDefault="00C14A86" w:rsidP="006364A5">
            <w:pPr>
              <w:jc w:val="center"/>
              <w:rPr>
                <w:rStyle w:val="Style5"/>
                <w:rFonts w:ascii="Arial" w:hAnsi="Arial" w:cs="Arial"/>
                <w:b/>
                <w:color w:val="00B050"/>
                <w:sz w:val="16"/>
                <w:szCs w:val="16"/>
              </w:rPr>
            </w:pPr>
          </w:p>
          <w:p w:rsidR="00C14A86" w:rsidRPr="00C258AD" w:rsidRDefault="00C14A86" w:rsidP="006364A5">
            <w:pPr>
              <w:jc w:val="center"/>
              <w:rPr>
                <w:rStyle w:val="Style5"/>
                <w:rFonts w:ascii="Arial" w:hAnsi="Arial" w:cs="Arial"/>
                <w:b/>
                <w:color w:val="FF0000"/>
                <w:sz w:val="16"/>
                <w:szCs w:val="16"/>
              </w:rPr>
            </w:pPr>
            <w:r w:rsidRPr="00C258AD">
              <w:rPr>
                <w:rStyle w:val="Style5"/>
                <w:rFonts w:ascii="Arial" w:hAnsi="Arial" w:cs="Arial"/>
                <w:b/>
                <w:bCs/>
                <w:color w:val="808080"/>
                <w:sz w:val="16"/>
                <w:szCs w:val="16"/>
              </w:rPr>
              <w:t>Non évaluable</w:t>
            </w:r>
          </w:p>
        </w:tc>
      </w:tr>
      <w:tr w:rsidR="00C14A86" w:rsidRPr="00C258AD" w:rsidTr="006364A5">
        <w:trPr>
          <w:cantSplit/>
        </w:trPr>
        <w:tc>
          <w:tcPr>
            <w:tcW w:w="1137" w:type="pct"/>
            <w:shd w:val="clear" w:color="auto" w:fill="auto"/>
          </w:tcPr>
          <w:p w:rsidR="00C14A86" w:rsidRPr="00C258AD" w:rsidRDefault="00C14A86" w:rsidP="006364A5">
            <w:pPr>
              <w:rPr>
                <w:rFonts w:cs="Arial"/>
                <w:sz w:val="16"/>
                <w:szCs w:val="16"/>
              </w:rPr>
            </w:pPr>
            <w:r w:rsidRPr="00C258AD">
              <w:rPr>
                <w:rFonts w:cs="Arial"/>
                <w:sz w:val="16"/>
                <w:szCs w:val="16"/>
              </w:rPr>
              <w:lastRenderedPageBreak/>
              <w:t>Recours accru à la communication électronique (système de Madrid)</w:t>
            </w:r>
          </w:p>
        </w:tc>
        <w:tc>
          <w:tcPr>
            <w:tcW w:w="1362" w:type="pct"/>
            <w:shd w:val="clear" w:color="auto" w:fill="auto"/>
          </w:tcPr>
          <w:p w:rsidR="00C14A86" w:rsidRPr="00C258AD" w:rsidRDefault="00C14A86" w:rsidP="006364A5">
            <w:pPr>
              <w:keepNext/>
              <w:rPr>
                <w:rFonts w:cs="Arial"/>
                <w:color w:val="002060"/>
                <w:sz w:val="16"/>
                <w:szCs w:val="16"/>
              </w:rPr>
            </w:pPr>
            <w:r w:rsidRPr="00C258AD">
              <w:rPr>
                <w:rFonts w:cs="Arial"/>
                <w:i/>
                <w:color w:val="002060"/>
                <w:sz w:val="16"/>
                <w:szCs w:val="16"/>
              </w:rPr>
              <w:t>Niveau de référence actualisé à fin 2013 :</w:t>
            </w:r>
            <w:r w:rsidRPr="00C258AD">
              <w:rPr>
                <w:rFonts w:cs="Arial"/>
                <w:color w:val="002060"/>
                <w:sz w:val="16"/>
                <w:szCs w:val="16"/>
              </w:rPr>
              <w:t xml:space="preserve"> 67% des documents reçus par voie électronique</w:t>
            </w:r>
          </w:p>
          <w:p w:rsidR="00C14A86" w:rsidRPr="00C258AD" w:rsidRDefault="00C14A86" w:rsidP="006364A5">
            <w:pPr>
              <w:keepNext/>
              <w:rPr>
                <w:rFonts w:cs="Arial"/>
                <w:color w:val="002060"/>
                <w:sz w:val="16"/>
                <w:szCs w:val="16"/>
              </w:rPr>
            </w:pPr>
          </w:p>
          <w:p w:rsidR="00C14A86" w:rsidRPr="00C258AD" w:rsidRDefault="00C14A86" w:rsidP="006364A5">
            <w:pPr>
              <w:keepNext/>
              <w:rPr>
                <w:rFonts w:cs="Arial"/>
                <w:color w:val="002060"/>
                <w:sz w:val="16"/>
                <w:szCs w:val="16"/>
              </w:rPr>
            </w:pPr>
            <w:r w:rsidRPr="00C258AD">
              <w:rPr>
                <w:rFonts w:cs="Arial"/>
                <w:color w:val="002060"/>
                <w:sz w:val="16"/>
                <w:szCs w:val="16"/>
              </w:rPr>
              <w:t>158 717 notifications par courrier électronique</w:t>
            </w:r>
          </w:p>
          <w:p w:rsidR="00C14A86" w:rsidRPr="00C258AD" w:rsidRDefault="00C14A86" w:rsidP="006364A5">
            <w:pPr>
              <w:keepNext/>
              <w:rPr>
                <w:rFonts w:cs="Arial"/>
                <w:color w:val="002060"/>
                <w:sz w:val="16"/>
                <w:szCs w:val="16"/>
              </w:rPr>
            </w:pPr>
          </w:p>
          <w:p w:rsidR="00C14A86" w:rsidRPr="00C258AD" w:rsidRDefault="00C14A86" w:rsidP="006364A5">
            <w:pPr>
              <w:keepNext/>
              <w:rPr>
                <w:rFonts w:cs="Arial"/>
                <w:color w:val="002060"/>
                <w:sz w:val="16"/>
                <w:szCs w:val="16"/>
              </w:rPr>
            </w:pPr>
            <w:r w:rsidRPr="00C258AD">
              <w:rPr>
                <w:rFonts w:cs="Arial"/>
                <w:color w:val="002060"/>
                <w:sz w:val="16"/>
                <w:szCs w:val="16"/>
              </w:rPr>
              <w:t>714 clients utilisent le Madrid Portfolio Manager</w:t>
            </w:r>
          </w:p>
          <w:p w:rsidR="00C14A86" w:rsidRPr="00C258AD" w:rsidRDefault="00C14A86" w:rsidP="006364A5">
            <w:pPr>
              <w:keepNext/>
              <w:rPr>
                <w:rFonts w:cs="Arial"/>
                <w:color w:val="002060"/>
                <w:sz w:val="16"/>
                <w:szCs w:val="16"/>
              </w:rPr>
            </w:pPr>
          </w:p>
          <w:p w:rsidR="00C14A86" w:rsidRPr="00C258AD" w:rsidRDefault="00C14A86" w:rsidP="006364A5">
            <w:pPr>
              <w:keepNext/>
              <w:rPr>
                <w:rFonts w:cs="Arial"/>
                <w:color w:val="002060"/>
                <w:sz w:val="16"/>
                <w:szCs w:val="16"/>
              </w:rPr>
            </w:pPr>
            <w:r w:rsidRPr="00C258AD">
              <w:rPr>
                <w:rFonts w:cs="Arial"/>
                <w:color w:val="002060"/>
                <w:sz w:val="16"/>
                <w:szCs w:val="16"/>
              </w:rPr>
              <w:t>16 offices envoyant des demandes au format XML</w:t>
            </w:r>
          </w:p>
          <w:p w:rsidR="00C14A86" w:rsidRPr="00C258AD" w:rsidRDefault="00C14A86" w:rsidP="006364A5">
            <w:pPr>
              <w:keepNext/>
              <w:rPr>
                <w:rFonts w:cs="Arial"/>
                <w:sz w:val="16"/>
                <w:szCs w:val="16"/>
              </w:rPr>
            </w:pPr>
          </w:p>
          <w:p w:rsidR="00C14A86" w:rsidRPr="00C258AD" w:rsidRDefault="00C14A86" w:rsidP="006364A5">
            <w:pPr>
              <w:keepNext/>
              <w:rPr>
                <w:rFonts w:cs="Arial"/>
                <w:sz w:val="16"/>
                <w:szCs w:val="16"/>
              </w:rPr>
            </w:pPr>
            <w:r w:rsidRPr="00C258AD">
              <w:rPr>
                <w:rFonts w:cs="Arial"/>
                <w:i/>
                <w:sz w:val="16"/>
                <w:szCs w:val="16"/>
              </w:rPr>
              <w:t>Niveau de référence initial dans le programme et budget 2013</w:t>
            </w:r>
            <w:r w:rsidRPr="00C258AD">
              <w:rPr>
                <w:rFonts w:cs="Arial"/>
                <w:i/>
                <w:sz w:val="16"/>
                <w:szCs w:val="16"/>
              </w:rPr>
              <w:noBreakHyphen/>
              <w:t xml:space="preserve">2014 : </w:t>
            </w:r>
            <w:r w:rsidRPr="00C258AD">
              <w:rPr>
                <w:rFonts w:cs="Arial"/>
                <w:sz w:val="16"/>
                <w:szCs w:val="16"/>
              </w:rPr>
              <w:t>60% des documents reçus par voie électronique;  85 000 marques notifiées par courrier électronique;  200 clients utilisent le Madrid Portfolio Manager;  17 offices envoient des demandes au format XML.</w:t>
            </w:r>
          </w:p>
        </w:tc>
        <w:tc>
          <w:tcPr>
            <w:tcW w:w="846" w:type="pct"/>
            <w:shd w:val="clear" w:color="auto" w:fill="auto"/>
            <w:tcMar>
              <w:top w:w="110" w:type="dxa"/>
            </w:tcMar>
          </w:tcPr>
          <w:p w:rsidR="00C14A86" w:rsidRPr="00C258AD" w:rsidRDefault="00C14A86" w:rsidP="006364A5">
            <w:pPr>
              <w:keepNext/>
              <w:rPr>
                <w:rFonts w:cs="Arial"/>
                <w:sz w:val="16"/>
                <w:szCs w:val="16"/>
              </w:rPr>
            </w:pPr>
            <w:r w:rsidRPr="00C258AD">
              <w:rPr>
                <w:rFonts w:cs="Arial"/>
                <w:sz w:val="16"/>
                <w:szCs w:val="16"/>
              </w:rPr>
              <w:t xml:space="preserve">70% des documents reçus par voie électronique;  110 000 marques notifiées par courrier électronique;  1000 clients utilisent le Madrid Portfolio Manager;  </w:t>
            </w:r>
          </w:p>
          <w:p w:rsidR="00C14A86" w:rsidRPr="00C258AD" w:rsidRDefault="00C14A86" w:rsidP="006364A5">
            <w:pPr>
              <w:keepNext/>
              <w:rPr>
                <w:rFonts w:cs="Arial"/>
                <w:sz w:val="16"/>
                <w:szCs w:val="16"/>
              </w:rPr>
            </w:pPr>
            <w:r w:rsidRPr="00C258AD">
              <w:rPr>
                <w:rFonts w:cs="Arial"/>
                <w:sz w:val="16"/>
                <w:szCs w:val="16"/>
              </w:rPr>
              <w:t>23 offices envoient des demandes au format XML.</w:t>
            </w:r>
          </w:p>
        </w:tc>
        <w:tc>
          <w:tcPr>
            <w:tcW w:w="1052" w:type="pct"/>
            <w:shd w:val="clear" w:color="auto" w:fill="FFFFFF"/>
            <w:tcMar>
              <w:top w:w="110" w:type="dxa"/>
            </w:tcMar>
          </w:tcPr>
          <w:p w:rsidR="00C14A86" w:rsidRPr="00C258AD" w:rsidRDefault="00C14A86" w:rsidP="006364A5">
            <w:pPr>
              <w:keepNext/>
              <w:rPr>
                <w:rFonts w:cs="Arial"/>
                <w:sz w:val="16"/>
                <w:szCs w:val="16"/>
              </w:rPr>
            </w:pPr>
            <w:r w:rsidRPr="00C258AD">
              <w:rPr>
                <w:rFonts w:cs="Arial"/>
                <w:sz w:val="16"/>
                <w:szCs w:val="16"/>
              </w:rPr>
              <w:t>79% des documents reçus par voie électronique;</w:t>
            </w:r>
          </w:p>
          <w:p w:rsidR="00C14A86" w:rsidRPr="00C258AD" w:rsidRDefault="00C14A86" w:rsidP="006364A5">
            <w:pPr>
              <w:keepNext/>
              <w:rPr>
                <w:rFonts w:cs="Arial"/>
                <w:sz w:val="16"/>
                <w:szCs w:val="16"/>
              </w:rPr>
            </w:pPr>
          </w:p>
          <w:p w:rsidR="00C14A86" w:rsidRPr="00C258AD" w:rsidRDefault="00C14A86" w:rsidP="006364A5">
            <w:pPr>
              <w:rPr>
                <w:rFonts w:cs="Arial"/>
                <w:color w:val="000000" w:themeColor="text1"/>
                <w:sz w:val="16"/>
                <w:szCs w:val="16"/>
                <w:lang w:bidi="th-TH"/>
              </w:rPr>
            </w:pPr>
            <w:r w:rsidRPr="00C258AD">
              <w:rPr>
                <w:rFonts w:cs="Arial"/>
                <w:color w:val="000000" w:themeColor="text1"/>
                <w:sz w:val="16"/>
                <w:szCs w:val="16"/>
                <w:lang w:bidi="th-TH"/>
              </w:rPr>
              <w:t>325 000 notifications reçues par courrier électronique (RSD) en 2015 (220 000 en 2014)</w:t>
            </w:r>
          </w:p>
          <w:p w:rsidR="00C14A86" w:rsidRPr="00C258AD" w:rsidRDefault="00C14A86" w:rsidP="006364A5">
            <w:pPr>
              <w:rPr>
                <w:rFonts w:cs="Arial"/>
                <w:color w:val="000000" w:themeColor="text1"/>
                <w:sz w:val="16"/>
                <w:szCs w:val="16"/>
                <w:lang w:bidi="th-TH"/>
              </w:rPr>
            </w:pPr>
          </w:p>
          <w:p w:rsidR="00C14A86" w:rsidRPr="00C258AD" w:rsidRDefault="00C14A86" w:rsidP="006364A5">
            <w:pPr>
              <w:rPr>
                <w:rFonts w:cs="Arial"/>
                <w:color w:val="000000" w:themeColor="text1"/>
                <w:sz w:val="16"/>
                <w:szCs w:val="16"/>
                <w:lang w:bidi="th-TH"/>
              </w:rPr>
            </w:pPr>
            <w:r w:rsidRPr="00C258AD">
              <w:rPr>
                <w:rFonts w:cs="Arial"/>
                <w:color w:val="000000" w:themeColor="text1"/>
                <w:sz w:val="16"/>
                <w:szCs w:val="16"/>
                <w:lang w:bidi="th-TH"/>
              </w:rPr>
              <w:t xml:space="preserve">2 752 clients </w:t>
            </w:r>
            <w:r w:rsidRPr="00C258AD">
              <w:rPr>
                <w:rFonts w:cs="Arial"/>
                <w:sz w:val="16"/>
                <w:szCs w:val="16"/>
              </w:rPr>
              <w:t>utilisent le Madrid Portfolio Manager en </w:t>
            </w:r>
            <w:r w:rsidRPr="00C258AD">
              <w:rPr>
                <w:rFonts w:cs="Arial"/>
                <w:color w:val="000000" w:themeColor="text1"/>
                <w:sz w:val="16"/>
                <w:szCs w:val="16"/>
                <w:lang w:bidi="th-TH"/>
              </w:rPr>
              <w:t>2015 (1 800 en 2014)</w:t>
            </w:r>
          </w:p>
          <w:p w:rsidR="00C14A86" w:rsidRPr="00C258AD" w:rsidRDefault="00C14A86" w:rsidP="006364A5">
            <w:pPr>
              <w:rPr>
                <w:rFonts w:cs="Arial"/>
                <w:color w:val="000000" w:themeColor="text1"/>
                <w:sz w:val="16"/>
                <w:szCs w:val="16"/>
                <w:lang w:bidi="th-TH"/>
              </w:rPr>
            </w:pPr>
          </w:p>
          <w:p w:rsidR="00C14A86" w:rsidRPr="00C258AD" w:rsidRDefault="00C14A86" w:rsidP="006364A5">
            <w:pPr>
              <w:keepNext/>
              <w:rPr>
                <w:rFonts w:cs="Arial"/>
                <w:sz w:val="16"/>
                <w:szCs w:val="16"/>
                <w:lang w:bidi="th-TH"/>
              </w:rPr>
            </w:pPr>
            <w:r w:rsidRPr="00C258AD">
              <w:rPr>
                <w:rFonts w:cs="Arial"/>
                <w:color w:val="000000" w:themeColor="text1"/>
                <w:sz w:val="16"/>
                <w:szCs w:val="16"/>
                <w:lang w:bidi="th-TH"/>
              </w:rPr>
              <w:t>27 </w:t>
            </w:r>
            <w:r w:rsidRPr="00C258AD">
              <w:rPr>
                <w:rFonts w:cs="Arial"/>
                <w:sz w:val="16"/>
                <w:szCs w:val="16"/>
              </w:rPr>
              <w:t>offices envoient des demandes au format XML</w:t>
            </w:r>
            <w:r w:rsidRPr="00C258AD">
              <w:rPr>
                <w:rFonts w:cs="Arial"/>
                <w:color w:val="000000" w:themeColor="text1"/>
                <w:sz w:val="16"/>
                <w:szCs w:val="16"/>
                <w:lang w:bidi="th-TH"/>
              </w:rPr>
              <w:t xml:space="preserve"> en 2015 (24 en 2014)</w:t>
            </w:r>
          </w:p>
        </w:tc>
        <w:tc>
          <w:tcPr>
            <w:tcW w:w="603" w:type="pct"/>
            <w:shd w:val="clear" w:color="auto" w:fill="auto"/>
            <w:tcMar>
              <w:top w:w="110" w:type="dxa"/>
            </w:tcMar>
          </w:tcPr>
          <w:p w:rsidR="00C14A86" w:rsidRPr="00C258AD" w:rsidRDefault="00C14A86" w:rsidP="006364A5">
            <w:pPr>
              <w:jc w:val="center"/>
              <w:rPr>
                <w:rStyle w:val="Style5"/>
                <w:rFonts w:ascii="Arial" w:hAnsi="Arial" w:cs="Arial"/>
                <w:b/>
                <w:color w:val="00B050"/>
                <w:sz w:val="16"/>
                <w:szCs w:val="16"/>
              </w:rPr>
            </w:pPr>
            <w:r w:rsidRPr="00C258AD">
              <w:rPr>
                <w:rStyle w:val="Style5"/>
                <w:rFonts w:ascii="Arial" w:hAnsi="Arial" w:cs="Arial"/>
                <w:b/>
                <w:bCs/>
                <w:color w:val="00B050"/>
                <w:sz w:val="16"/>
                <w:szCs w:val="16"/>
              </w:rPr>
              <w:t>Objectif pleinement atteint</w:t>
            </w:r>
          </w:p>
          <w:p w:rsidR="00C14A86" w:rsidRPr="00C258AD" w:rsidRDefault="00C14A86" w:rsidP="006364A5">
            <w:pPr>
              <w:jc w:val="center"/>
              <w:rPr>
                <w:rStyle w:val="Style5"/>
                <w:rFonts w:ascii="Arial" w:hAnsi="Arial" w:cs="Arial"/>
                <w:b/>
                <w:color w:val="00B050"/>
                <w:sz w:val="16"/>
                <w:szCs w:val="16"/>
              </w:rPr>
            </w:pPr>
          </w:p>
          <w:p w:rsidR="00C14A86" w:rsidRPr="00C258AD" w:rsidRDefault="00C14A86" w:rsidP="006364A5">
            <w:pPr>
              <w:jc w:val="center"/>
              <w:rPr>
                <w:rStyle w:val="Style5"/>
                <w:rFonts w:ascii="Arial" w:hAnsi="Arial" w:cs="Arial"/>
                <w:b/>
                <w:color w:val="00B050"/>
                <w:sz w:val="16"/>
                <w:szCs w:val="16"/>
              </w:rPr>
            </w:pPr>
            <w:r w:rsidRPr="00C258AD">
              <w:rPr>
                <w:rStyle w:val="Style5"/>
                <w:rFonts w:ascii="Arial" w:hAnsi="Arial" w:cs="Arial"/>
                <w:b/>
                <w:bCs/>
                <w:color w:val="00B050"/>
                <w:sz w:val="16"/>
                <w:szCs w:val="16"/>
              </w:rPr>
              <w:t>Objectif pleinement atteint</w:t>
            </w:r>
          </w:p>
          <w:p w:rsidR="00C14A86" w:rsidRPr="00C258AD" w:rsidRDefault="00C14A86" w:rsidP="006364A5">
            <w:pPr>
              <w:jc w:val="center"/>
              <w:rPr>
                <w:rStyle w:val="Style5"/>
                <w:rFonts w:ascii="Arial" w:hAnsi="Arial" w:cs="Arial"/>
                <w:b/>
                <w:color w:val="00B050"/>
                <w:sz w:val="16"/>
                <w:szCs w:val="16"/>
              </w:rPr>
            </w:pPr>
          </w:p>
          <w:p w:rsidR="00C14A86" w:rsidRPr="00C258AD" w:rsidRDefault="00C14A86" w:rsidP="006364A5">
            <w:pPr>
              <w:jc w:val="center"/>
              <w:rPr>
                <w:rStyle w:val="Style5"/>
                <w:rFonts w:ascii="Arial" w:hAnsi="Arial" w:cs="Arial"/>
                <w:b/>
                <w:color w:val="00B050"/>
                <w:sz w:val="16"/>
                <w:szCs w:val="16"/>
              </w:rPr>
            </w:pPr>
          </w:p>
          <w:p w:rsidR="00C14A86" w:rsidRPr="00C258AD" w:rsidRDefault="00C14A86" w:rsidP="006364A5">
            <w:pPr>
              <w:jc w:val="center"/>
              <w:rPr>
                <w:rStyle w:val="Style5"/>
                <w:rFonts w:ascii="Arial" w:hAnsi="Arial" w:cs="Arial"/>
                <w:b/>
                <w:color w:val="00B050"/>
                <w:sz w:val="16"/>
                <w:szCs w:val="16"/>
              </w:rPr>
            </w:pPr>
          </w:p>
          <w:p w:rsidR="00C14A86" w:rsidRPr="00C258AD" w:rsidRDefault="00C14A86" w:rsidP="006364A5">
            <w:pPr>
              <w:jc w:val="center"/>
              <w:rPr>
                <w:rStyle w:val="Style5"/>
                <w:rFonts w:ascii="Arial" w:hAnsi="Arial" w:cs="Arial"/>
                <w:b/>
                <w:color w:val="00B050"/>
                <w:sz w:val="16"/>
                <w:szCs w:val="16"/>
              </w:rPr>
            </w:pPr>
            <w:r w:rsidRPr="00C258AD">
              <w:rPr>
                <w:rStyle w:val="Style5"/>
                <w:rFonts w:ascii="Arial" w:hAnsi="Arial" w:cs="Arial"/>
                <w:b/>
                <w:bCs/>
                <w:color w:val="00B050"/>
                <w:sz w:val="16"/>
                <w:szCs w:val="16"/>
              </w:rPr>
              <w:t>Objectif pleinement atteint</w:t>
            </w:r>
          </w:p>
          <w:p w:rsidR="00C14A86" w:rsidRPr="00C258AD" w:rsidRDefault="00C14A86" w:rsidP="006364A5">
            <w:pPr>
              <w:jc w:val="center"/>
              <w:rPr>
                <w:rStyle w:val="Style5"/>
                <w:rFonts w:ascii="Arial" w:hAnsi="Arial" w:cs="Arial"/>
                <w:b/>
                <w:color w:val="00B050"/>
                <w:sz w:val="16"/>
                <w:szCs w:val="16"/>
              </w:rPr>
            </w:pPr>
          </w:p>
          <w:p w:rsidR="00C14A86" w:rsidRPr="00C258AD" w:rsidRDefault="00C14A86" w:rsidP="006364A5">
            <w:pPr>
              <w:jc w:val="center"/>
              <w:rPr>
                <w:rFonts w:cs="Arial"/>
                <w:bCs/>
                <w:sz w:val="16"/>
                <w:szCs w:val="16"/>
              </w:rPr>
            </w:pPr>
            <w:r w:rsidRPr="00C258AD">
              <w:rPr>
                <w:rStyle w:val="Style5"/>
                <w:rFonts w:ascii="Arial" w:hAnsi="Arial" w:cs="Arial"/>
                <w:b/>
                <w:bCs/>
                <w:color w:val="00B050"/>
                <w:sz w:val="16"/>
                <w:szCs w:val="16"/>
              </w:rPr>
              <w:t>Objectif pleinement atteint</w:t>
            </w:r>
          </w:p>
        </w:tc>
      </w:tr>
      <w:tr w:rsidR="00C14A86" w:rsidRPr="00C258AD" w:rsidTr="006364A5">
        <w:trPr>
          <w:cantSplit/>
        </w:trPr>
        <w:tc>
          <w:tcPr>
            <w:tcW w:w="1137" w:type="pct"/>
            <w:shd w:val="clear" w:color="auto" w:fill="auto"/>
          </w:tcPr>
          <w:p w:rsidR="00C14A86" w:rsidRPr="00C258AD" w:rsidRDefault="00C14A86" w:rsidP="006364A5">
            <w:pPr>
              <w:keepLines/>
              <w:rPr>
                <w:rFonts w:cs="Arial"/>
                <w:sz w:val="16"/>
                <w:szCs w:val="16"/>
              </w:rPr>
            </w:pPr>
            <w:r w:rsidRPr="00C258AD">
              <w:rPr>
                <w:rFonts w:cs="Arial"/>
                <w:sz w:val="16"/>
                <w:szCs w:val="16"/>
              </w:rPr>
              <w:t>Perfectionnement des moyens électroniques de communication et de publication au titre des procédures de Lisbonne</w:t>
            </w:r>
          </w:p>
        </w:tc>
        <w:tc>
          <w:tcPr>
            <w:tcW w:w="1362" w:type="pct"/>
            <w:shd w:val="clear" w:color="auto" w:fill="auto"/>
          </w:tcPr>
          <w:p w:rsidR="00C14A86" w:rsidRPr="00C258AD" w:rsidRDefault="00C14A86" w:rsidP="006364A5">
            <w:pPr>
              <w:keepNext/>
              <w:keepLines/>
              <w:rPr>
                <w:rFonts w:cs="Arial"/>
                <w:sz w:val="16"/>
                <w:szCs w:val="16"/>
              </w:rPr>
            </w:pPr>
            <w:r w:rsidRPr="00C258AD">
              <w:rPr>
                <w:rFonts w:cs="Arial"/>
                <w:sz w:val="16"/>
                <w:szCs w:val="16"/>
              </w:rPr>
              <w:t>Moyens électroniques de communication en place à la fin de 2013</w:t>
            </w:r>
          </w:p>
        </w:tc>
        <w:tc>
          <w:tcPr>
            <w:tcW w:w="846" w:type="pct"/>
            <w:shd w:val="clear" w:color="auto" w:fill="auto"/>
            <w:tcMar>
              <w:top w:w="110" w:type="dxa"/>
            </w:tcMar>
          </w:tcPr>
          <w:p w:rsidR="00C14A86" w:rsidRPr="00C258AD" w:rsidRDefault="00C14A86" w:rsidP="006364A5">
            <w:pPr>
              <w:keepNext/>
              <w:keepLines/>
              <w:rPr>
                <w:rFonts w:cs="Arial"/>
                <w:sz w:val="16"/>
                <w:szCs w:val="16"/>
              </w:rPr>
            </w:pPr>
            <w:r w:rsidRPr="00C258AD">
              <w:rPr>
                <w:rFonts w:cs="Arial"/>
                <w:sz w:val="16"/>
                <w:szCs w:val="16"/>
              </w:rPr>
              <w:t>Système de dépôt électronique et intégration du Bulletin de Lisbonne dans la base de données “</w:t>
            </w:r>
            <w:proofErr w:type="spellStart"/>
            <w:r w:rsidRPr="00C258AD">
              <w:rPr>
                <w:rFonts w:cs="Arial"/>
                <w:sz w:val="16"/>
                <w:szCs w:val="16"/>
              </w:rPr>
              <w:t>Lisbon</w:t>
            </w:r>
            <w:proofErr w:type="spellEnd"/>
            <w:r w:rsidRPr="00C258AD">
              <w:rPr>
                <w:rFonts w:cs="Arial"/>
                <w:sz w:val="16"/>
                <w:szCs w:val="16"/>
              </w:rPr>
              <w:t xml:space="preserve"> Express”</w:t>
            </w:r>
          </w:p>
        </w:tc>
        <w:tc>
          <w:tcPr>
            <w:tcW w:w="1052" w:type="pct"/>
            <w:shd w:val="clear" w:color="auto" w:fill="FFFFFF"/>
            <w:tcMar>
              <w:top w:w="110" w:type="dxa"/>
            </w:tcMar>
          </w:tcPr>
          <w:p w:rsidR="00C14A86" w:rsidRPr="00C258AD" w:rsidRDefault="00C14A86" w:rsidP="006364A5">
            <w:pPr>
              <w:keepNext/>
              <w:keepLines/>
              <w:rPr>
                <w:rFonts w:cs="Arial"/>
                <w:sz w:val="16"/>
                <w:szCs w:val="16"/>
              </w:rPr>
            </w:pPr>
            <w:r w:rsidRPr="00C258AD">
              <w:rPr>
                <w:rFonts w:cs="Arial"/>
                <w:sz w:val="16"/>
                <w:szCs w:val="16"/>
              </w:rPr>
              <w:t>Procédure simplifiée pour les notifications mises en œuvre au moyen du Système de notification des demandes de l’OMPI (WINS)</w:t>
            </w:r>
          </w:p>
        </w:tc>
        <w:tc>
          <w:tcPr>
            <w:tcW w:w="603" w:type="pct"/>
            <w:shd w:val="clear" w:color="auto" w:fill="auto"/>
          </w:tcPr>
          <w:p w:rsidR="00C14A86" w:rsidRPr="00C258AD" w:rsidRDefault="00C14A86" w:rsidP="006364A5">
            <w:pPr>
              <w:keepNext/>
              <w:keepLines/>
              <w:jc w:val="center"/>
              <w:rPr>
                <w:rStyle w:val="Style5"/>
                <w:rFonts w:ascii="Arial" w:hAnsi="Arial" w:cs="Arial"/>
                <w:b/>
                <w:color w:val="E36C0A" w:themeColor="accent6" w:themeShade="BF"/>
                <w:sz w:val="16"/>
                <w:szCs w:val="16"/>
              </w:rPr>
            </w:pPr>
            <w:r w:rsidRPr="00C258AD">
              <w:rPr>
                <w:rStyle w:val="Style5"/>
                <w:rFonts w:ascii="Arial" w:hAnsi="Arial" w:cs="Arial"/>
                <w:b/>
                <w:bCs/>
                <w:color w:val="E26B0A"/>
                <w:sz w:val="16"/>
                <w:szCs w:val="16"/>
              </w:rPr>
              <w:t>Objectif partiellement atteint</w:t>
            </w:r>
          </w:p>
        </w:tc>
      </w:tr>
      <w:tr w:rsidR="00C14A86" w:rsidRPr="00C258AD" w:rsidTr="006364A5">
        <w:trPr>
          <w:cantSplit/>
        </w:trPr>
        <w:tc>
          <w:tcPr>
            <w:tcW w:w="1137" w:type="pct"/>
            <w:shd w:val="clear" w:color="auto" w:fill="auto"/>
          </w:tcPr>
          <w:p w:rsidR="00C14A86" w:rsidRPr="00C258AD" w:rsidRDefault="00C14A86" w:rsidP="006364A5">
            <w:pPr>
              <w:keepLines/>
              <w:rPr>
                <w:rFonts w:cs="Arial"/>
                <w:sz w:val="16"/>
                <w:szCs w:val="16"/>
              </w:rPr>
            </w:pPr>
            <w:r w:rsidRPr="00C258AD">
              <w:rPr>
                <w:rFonts w:cs="Arial"/>
                <w:sz w:val="16"/>
                <w:szCs w:val="16"/>
              </w:rPr>
              <w:t>Perfectionnement du registre international électronique du système de Lisbonne</w:t>
            </w:r>
          </w:p>
        </w:tc>
        <w:tc>
          <w:tcPr>
            <w:tcW w:w="1362" w:type="pct"/>
            <w:shd w:val="clear" w:color="auto" w:fill="auto"/>
          </w:tcPr>
          <w:p w:rsidR="00C14A86" w:rsidRPr="00C258AD" w:rsidRDefault="00C14A86" w:rsidP="006364A5">
            <w:pPr>
              <w:keepNext/>
              <w:keepLines/>
              <w:rPr>
                <w:rFonts w:cs="Arial"/>
                <w:i/>
                <w:color w:val="002060"/>
                <w:sz w:val="16"/>
                <w:szCs w:val="16"/>
              </w:rPr>
            </w:pPr>
            <w:r w:rsidRPr="00C258AD">
              <w:rPr>
                <w:rFonts w:cs="Arial"/>
                <w:i/>
                <w:color w:val="002060"/>
                <w:sz w:val="16"/>
                <w:szCs w:val="16"/>
              </w:rPr>
              <w:t>Niveau de référence actualisé à fin 2013</w:t>
            </w:r>
            <w:r w:rsidRPr="00C258AD">
              <w:rPr>
                <w:rFonts w:cs="Arial"/>
                <w:color w:val="002060"/>
                <w:sz w:val="16"/>
                <w:szCs w:val="16"/>
              </w:rPr>
              <w:t> : application informatique pour un registre international électronique en service depuis l’été 2013</w:t>
            </w:r>
          </w:p>
          <w:p w:rsidR="00C14A86" w:rsidRPr="00C258AD" w:rsidRDefault="00C14A86" w:rsidP="006364A5">
            <w:pPr>
              <w:keepNext/>
              <w:keepLines/>
              <w:rPr>
                <w:rFonts w:cs="Arial"/>
                <w:sz w:val="16"/>
                <w:szCs w:val="16"/>
              </w:rPr>
            </w:pPr>
          </w:p>
          <w:p w:rsidR="00C14A86" w:rsidRPr="00C258AD" w:rsidRDefault="00C14A86" w:rsidP="006364A5">
            <w:pPr>
              <w:keepNext/>
              <w:keepLines/>
              <w:rPr>
                <w:rFonts w:cs="Arial"/>
                <w:sz w:val="16"/>
                <w:szCs w:val="16"/>
              </w:rPr>
            </w:pPr>
            <w:r w:rsidRPr="00C258AD">
              <w:rPr>
                <w:rFonts w:cs="Arial"/>
                <w:i/>
                <w:sz w:val="16"/>
                <w:szCs w:val="16"/>
              </w:rPr>
              <w:t>Niveau de référence initial dans le programme et budget 2013</w:t>
            </w:r>
            <w:r w:rsidRPr="00C258AD">
              <w:rPr>
                <w:rFonts w:cs="Arial"/>
                <w:i/>
                <w:sz w:val="16"/>
                <w:szCs w:val="16"/>
              </w:rPr>
              <w:noBreakHyphen/>
              <w:t xml:space="preserve">2014 : </w:t>
            </w:r>
            <w:r w:rsidRPr="00C258AD">
              <w:rPr>
                <w:rFonts w:cs="Arial"/>
                <w:sz w:val="16"/>
                <w:szCs w:val="16"/>
              </w:rPr>
              <w:t>le registre international électronique (qui doit être) établi en 2013</w:t>
            </w:r>
          </w:p>
        </w:tc>
        <w:tc>
          <w:tcPr>
            <w:tcW w:w="846" w:type="pct"/>
            <w:shd w:val="clear" w:color="auto" w:fill="auto"/>
            <w:tcMar>
              <w:top w:w="110" w:type="dxa"/>
            </w:tcMar>
          </w:tcPr>
          <w:p w:rsidR="00C14A86" w:rsidRPr="00C258AD" w:rsidRDefault="00C14A86" w:rsidP="006364A5">
            <w:pPr>
              <w:keepNext/>
              <w:keepLines/>
              <w:rPr>
                <w:rFonts w:cs="Arial"/>
                <w:sz w:val="16"/>
                <w:szCs w:val="16"/>
                <w:lang w:bidi="th-TH"/>
              </w:rPr>
            </w:pPr>
            <w:r w:rsidRPr="00C258AD">
              <w:rPr>
                <w:rFonts w:cs="Arial"/>
                <w:sz w:val="16"/>
                <w:szCs w:val="16"/>
                <w:lang w:bidi="th-TH"/>
              </w:rPr>
              <w:t>Système électronique reliant le registre international et la base de données “</w:t>
            </w:r>
            <w:proofErr w:type="spellStart"/>
            <w:r w:rsidRPr="00C258AD">
              <w:rPr>
                <w:rFonts w:cs="Arial"/>
                <w:sz w:val="16"/>
                <w:szCs w:val="16"/>
                <w:lang w:bidi="th-TH"/>
              </w:rPr>
              <w:t>Lisbon</w:t>
            </w:r>
            <w:proofErr w:type="spellEnd"/>
            <w:r w:rsidRPr="00C258AD">
              <w:rPr>
                <w:rFonts w:cs="Arial"/>
                <w:sz w:val="16"/>
                <w:szCs w:val="16"/>
                <w:lang w:bidi="th-TH"/>
              </w:rPr>
              <w:t xml:space="preserve"> Express” sur le site Web de l’OMPI</w:t>
            </w:r>
          </w:p>
        </w:tc>
        <w:tc>
          <w:tcPr>
            <w:tcW w:w="1052" w:type="pct"/>
            <w:shd w:val="clear" w:color="auto" w:fill="FFFFFF"/>
            <w:tcMar>
              <w:top w:w="110" w:type="dxa"/>
            </w:tcMar>
          </w:tcPr>
          <w:p w:rsidR="00C14A86" w:rsidRPr="00C258AD" w:rsidRDefault="00C14A86" w:rsidP="006364A5">
            <w:pPr>
              <w:keepNext/>
              <w:keepLines/>
              <w:rPr>
                <w:rFonts w:cs="Arial"/>
                <w:sz w:val="16"/>
                <w:szCs w:val="16"/>
                <w:lang w:bidi="th-TH"/>
              </w:rPr>
            </w:pPr>
            <w:r w:rsidRPr="00C258AD">
              <w:rPr>
                <w:rFonts w:cs="Arial"/>
                <w:sz w:val="16"/>
                <w:szCs w:val="16"/>
                <w:lang w:bidi="th-TH"/>
              </w:rPr>
              <w:t>L’interface électronique reliant le registre international et la base de données “</w:t>
            </w:r>
            <w:proofErr w:type="spellStart"/>
            <w:r w:rsidRPr="00C258AD">
              <w:rPr>
                <w:rFonts w:cs="Arial"/>
                <w:sz w:val="16"/>
                <w:szCs w:val="16"/>
                <w:lang w:bidi="th-TH"/>
              </w:rPr>
              <w:t>Lisbon</w:t>
            </w:r>
            <w:proofErr w:type="spellEnd"/>
            <w:r w:rsidRPr="00C258AD">
              <w:rPr>
                <w:rFonts w:cs="Arial"/>
                <w:sz w:val="16"/>
                <w:szCs w:val="16"/>
                <w:lang w:bidi="th-TH"/>
              </w:rPr>
              <w:t xml:space="preserve"> Express” sur le site Web de l’OMPI a été achevée et déployée en 2014.  </w:t>
            </w:r>
          </w:p>
        </w:tc>
        <w:tc>
          <w:tcPr>
            <w:tcW w:w="603" w:type="pct"/>
            <w:shd w:val="clear" w:color="auto" w:fill="auto"/>
            <w:tcMar>
              <w:top w:w="110" w:type="dxa"/>
            </w:tcMar>
          </w:tcPr>
          <w:p w:rsidR="00C14A86" w:rsidRPr="00C258AD" w:rsidRDefault="00C14A86" w:rsidP="006364A5">
            <w:pPr>
              <w:keepNext/>
              <w:keepLines/>
              <w:jc w:val="center"/>
              <w:rPr>
                <w:rStyle w:val="Style5"/>
                <w:rFonts w:ascii="Arial" w:hAnsi="Arial" w:cs="Arial"/>
                <w:b/>
                <w:color w:val="00B050"/>
                <w:sz w:val="16"/>
                <w:szCs w:val="16"/>
              </w:rPr>
            </w:pPr>
            <w:r w:rsidRPr="00C258AD">
              <w:rPr>
                <w:rStyle w:val="Style5"/>
                <w:rFonts w:ascii="Arial" w:hAnsi="Arial" w:cs="Arial"/>
                <w:b/>
                <w:bCs/>
                <w:color w:val="00B050"/>
                <w:sz w:val="16"/>
                <w:szCs w:val="16"/>
              </w:rPr>
              <w:t>Objectif pleinement atteint</w:t>
            </w:r>
          </w:p>
        </w:tc>
      </w:tr>
    </w:tbl>
    <w:p w:rsidR="00C14A86" w:rsidRPr="00C258AD" w:rsidRDefault="00C14A86" w:rsidP="006364A5">
      <w:pPr>
        <w:rPr>
          <w:caps/>
          <w:sz w:val="22"/>
          <w:szCs w:val="22"/>
        </w:rPr>
      </w:pPr>
    </w:p>
    <w:p w:rsidR="00C14A86" w:rsidRPr="00C258AD" w:rsidRDefault="00C14A86" w:rsidP="006364A5">
      <w:pPr>
        <w:rPr>
          <w:caps/>
          <w:sz w:val="22"/>
          <w:szCs w:val="22"/>
        </w:rPr>
      </w:pPr>
    </w:p>
    <w:p w:rsidR="00C14A86" w:rsidRPr="00C258AD" w:rsidRDefault="00C14A86" w:rsidP="006364A5">
      <w:pPr>
        <w:keepNext/>
        <w:rPr>
          <w:rFonts w:cs="Arial"/>
          <w:caps/>
          <w:sz w:val="22"/>
          <w:szCs w:val="22"/>
        </w:rPr>
      </w:pPr>
      <w:r w:rsidRPr="00C258AD">
        <w:rPr>
          <w:rFonts w:cs="Arial"/>
          <w:caps/>
          <w:sz w:val="22"/>
          <w:szCs w:val="22"/>
        </w:rPr>
        <w:lastRenderedPageBreak/>
        <w:t>Rapport d’évaluation des risques pour l’exercice biennal</w:t>
      </w:r>
    </w:p>
    <w:p w:rsidR="00C14A86" w:rsidRPr="00C258AD" w:rsidRDefault="00C14A86" w:rsidP="006364A5">
      <w:pPr>
        <w:keepNext/>
        <w:keepLines/>
        <w:rPr>
          <w:rFonts w:cs="Arial"/>
          <w:sz w:val="22"/>
          <w:szCs w:val="22"/>
        </w:rPr>
      </w:pPr>
    </w:p>
    <w:tbl>
      <w:tblPr>
        <w:tblW w:w="4944" w:type="pct"/>
        <w:tblCellMar>
          <w:top w:w="113" w:type="dxa"/>
          <w:left w:w="68" w:type="dxa"/>
          <w:bottom w:w="113" w:type="dxa"/>
          <w:right w:w="68" w:type="dxa"/>
        </w:tblCellMar>
        <w:tblLook w:val="01E0" w:firstRow="1" w:lastRow="1" w:firstColumn="1" w:lastColumn="1" w:noHBand="0" w:noVBand="0"/>
      </w:tblPr>
      <w:tblGrid>
        <w:gridCol w:w="2346"/>
        <w:gridCol w:w="2346"/>
        <w:gridCol w:w="2346"/>
        <w:gridCol w:w="2347"/>
      </w:tblGrid>
      <w:tr w:rsidR="00C14A86" w:rsidRPr="00C258AD" w:rsidTr="006364A5">
        <w:trPr>
          <w:cantSplit/>
        </w:trPr>
        <w:tc>
          <w:tcPr>
            <w:tcW w:w="2346" w:type="dxa"/>
            <w:tcBorders>
              <w:top w:val="single" w:sz="4" w:space="0" w:color="auto"/>
              <w:left w:val="single" w:sz="4" w:space="0" w:color="auto"/>
              <w:bottom w:val="single" w:sz="4" w:space="0" w:color="auto"/>
            </w:tcBorders>
            <w:shd w:val="clear" w:color="auto" w:fill="C5D9F1"/>
            <w:vAlign w:val="center"/>
          </w:tcPr>
          <w:p w:rsidR="00C14A86" w:rsidRPr="00C258AD" w:rsidRDefault="00C14A86" w:rsidP="006364A5">
            <w:pPr>
              <w:keepNext/>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46" w:type="dxa"/>
            <w:tcBorders>
              <w:top w:val="single" w:sz="4" w:space="0" w:color="auto"/>
              <w:bottom w:val="single" w:sz="4" w:space="0" w:color="auto"/>
            </w:tcBorders>
            <w:shd w:val="clear" w:color="auto" w:fill="C5D9F1"/>
            <w:vAlign w:val="center"/>
          </w:tcPr>
          <w:p w:rsidR="00C14A86" w:rsidRPr="00C258AD" w:rsidRDefault="00C14A86" w:rsidP="006364A5">
            <w:pPr>
              <w:keepNext/>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46" w:type="dxa"/>
            <w:tcBorders>
              <w:top w:val="single" w:sz="4" w:space="0" w:color="auto"/>
              <w:bottom w:val="single" w:sz="4" w:space="0" w:color="auto"/>
            </w:tcBorders>
            <w:shd w:val="clear" w:color="auto" w:fill="C5D9F1"/>
            <w:vAlign w:val="center"/>
          </w:tcPr>
          <w:p w:rsidR="00C14A86" w:rsidRPr="00C258AD" w:rsidRDefault="00C14A86" w:rsidP="006364A5">
            <w:pPr>
              <w:keepNext/>
              <w:autoSpaceDE w:val="0"/>
              <w:autoSpaceDN w:val="0"/>
              <w:adjustRightInd w:val="0"/>
              <w:ind w:right="-59"/>
              <w:jc w:val="center"/>
              <w:rPr>
                <w:b/>
                <w:bCs/>
                <w:iCs/>
                <w:sz w:val="16"/>
                <w:szCs w:val="16"/>
              </w:rPr>
            </w:pPr>
            <w:r w:rsidRPr="00C258AD">
              <w:rPr>
                <w:b/>
                <w:bCs/>
                <w:iCs/>
                <w:sz w:val="16"/>
                <w:szCs w:val="16"/>
              </w:rPr>
              <w:t>Évolution des risques et des stratégies d’atténuation durant l’exercice biennal</w:t>
            </w:r>
          </w:p>
        </w:tc>
        <w:tc>
          <w:tcPr>
            <w:tcW w:w="2347" w:type="dxa"/>
            <w:tcBorders>
              <w:top w:val="single" w:sz="4" w:space="0" w:color="auto"/>
              <w:bottom w:val="single" w:sz="4" w:space="0" w:color="auto"/>
              <w:right w:val="single" w:sz="4" w:space="0" w:color="auto"/>
            </w:tcBorders>
            <w:shd w:val="clear" w:color="auto" w:fill="C5D9F1"/>
            <w:vAlign w:val="center"/>
          </w:tcPr>
          <w:p w:rsidR="00C14A86" w:rsidRPr="00C258AD" w:rsidRDefault="00C14A86" w:rsidP="006364A5">
            <w:pPr>
              <w:keepNext/>
              <w:autoSpaceDE w:val="0"/>
              <w:autoSpaceDN w:val="0"/>
              <w:adjustRightInd w:val="0"/>
              <w:jc w:val="center"/>
              <w:rPr>
                <w:b/>
                <w:bCs/>
                <w:iCs/>
                <w:sz w:val="16"/>
                <w:szCs w:val="16"/>
              </w:rPr>
            </w:pPr>
            <w:r w:rsidRPr="00C258AD">
              <w:rPr>
                <w:b/>
                <w:bCs/>
                <w:iCs/>
                <w:sz w:val="16"/>
                <w:szCs w:val="16"/>
              </w:rPr>
              <w:t>Incidence sur les résultats du programme</w:t>
            </w:r>
          </w:p>
        </w:tc>
      </w:tr>
      <w:tr w:rsidR="00C14A86" w:rsidRPr="00C258AD" w:rsidTr="006364A5">
        <w:trPr>
          <w:cantSplit/>
        </w:trPr>
        <w:tc>
          <w:tcPr>
            <w:tcW w:w="2346" w:type="dxa"/>
            <w:tcBorders>
              <w:top w:val="single" w:sz="4" w:space="0" w:color="auto"/>
              <w:left w:val="single" w:sz="4" w:space="0" w:color="auto"/>
            </w:tcBorders>
            <w:shd w:val="clear" w:color="auto" w:fill="FFFFFF" w:themeFill="background1"/>
          </w:tcPr>
          <w:p w:rsidR="00C14A86" w:rsidRPr="00C258AD" w:rsidRDefault="00C14A86" w:rsidP="00C14A86">
            <w:pPr>
              <w:rPr>
                <w:sz w:val="16"/>
                <w:szCs w:val="16"/>
              </w:rPr>
            </w:pPr>
            <w:r w:rsidRPr="00C258AD">
              <w:rPr>
                <w:sz w:val="16"/>
                <w:szCs w:val="16"/>
              </w:rPr>
              <w:t>L’utilisation du système de Madrid a diminué en 2009 et a augmenté depuis.  Une “rechute” entraînant une sous</w:t>
            </w:r>
            <w:r w:rsidRPr="00C258AD">
              <w:rPr>
                <w:sz w:val="16"/>
                <w:szCs w:val="16"/>
              </w:rPr>
              <w:noBreakHyphen/>
              <w:t>utilisation du système de Madrid et une diminution des recettes pour l’OMPI est toutefois possible.  D’autres facteurs pourraient également contribuer à une sous</w:t>
            </w:r>
            <w:r w:rsidRPr="00C258AD">
              <w:rPr>
                <w:sz w:val="16"/>
                <w:szCs w:val="16"/>
              </w:rPr>
              <w:noBreakHyphen/>
              <w:t xml:space="preserve">utilisation du système de Madrid, par exemple l’instabilité politique ou sociale ou l’absence d’une infrastructure juridique adéquate.  </w:t>
            </w:r>
          </w:p>
        </w:tc>
        <w:tc>
          <w:tcPr>
            <w:tcW w:w="2346" w:type="dxa"/>
            <w:tcBorders>
              <w:top w:val="single" w:sz="4" w:space="0" w:color="auto"/>
            </w:tcBorders>
            <w:shd w:val="clear" w:color="auto" w:fill="FFFFFF" w:themeFill="background1"/>
          </w:tcPr>
          <w:p w:rsidR="00C14A86" w:rsidRPr="00C258AD" w:rsidRDefault="00C14A86" w:rsidP="00C14A86">
            <w:pPr>
              <w:autoSpaceDE w:val="0"/>
              <w:autoSpaceDN w:val="0"/>
              <w:adjustRightInd w:val="0"/>
              <w:ind w:right="-59"/>
              <w:rPr>
                <w:sz w:val="16"/>
                <w:szCs w:val="16"/>
              </w:rPr>
            </w:pPr>
            <w:r w:rsidRPr="00C258AD">
              <w:rPr>
                <w:sz w:val="16"/>
                <w:szCs w:val="16"/>
              </w:rPr>
              <w:t>Les risques peuvent être atténués par des activités intensives de promotion, afin de maximiser les possibilités d’utilisation du système par les pays – et de réduire ainsi la sous</w:t>
            </w:r>
            <w:r w:rsidRPr="00C258AD">
              <w:rPr>
                <w:sz w:val="16"/>
                <w:szCs w:val="16"/>
              </w:rPr>
              <w:noBreakHyphen/>
              <w:t>utilisation – afin de profiter de l’efficacité accrue et du meilleur rapport coût</w:t>
            </w:r>
            <w:r w:rsidRPr="00C258AD">
              <w:rPr>
                <w:sz w:val="16"/>
                <w:szCs w:val="16"/>
              </w:rPr>
              <w:noBreakHyphen/>
              <w:t>efficacité du système.  Toutefois, dans le cas où une modification de la politique ou du droit des marques à l’échelon national, régional, voire international, s’avérerait nécessaire, la recherche d’une solution pourrait prendre un temps considérable, à supposer qu’une solution puisse être trouvée.</w:t>
            </w:r>
          </w:p>
        </w:tc>
        <w:tc>
          <w:tcPr>
            <w:tcW w:w="2346" w:type="dxa"/>
            <w:tcBorders>
              <w:top w:val="single" w:sz="4" w:space="0" w:color="auto"/>
            </w:tcBorders>
            <w:shd w:val="clear" w:color="auto" w:fill="FFFFFF" w:themeFill="background1"/>
          </w:tcPr>
          <w:p w:rsidR="00C14A86" w:rsidRPr="00C258AD" w:rsidRDefault="00C14A86" w:rsidP="00C14A86">
            <w:pPr>
              <w:autoSpaceDE w:val="0"/>
              <w:autoSpaceDN w:val="0"/>
              <w:adjustRightInd w:val="0"/>
              <w:ind w:right="-59"/>
              <w:rPr>
                <w:sz w:val="16"/>
                <w:szCs w:val="16"/>
              </w:rPr>
            </w:pPr>
            <w:r w:rsidRPr="00C258AD">
              <w:rPr>
                <w:sz w:val="16"/>
                <w:szCs w:val="16"/>
              </w:rPr>
              <w:t>La portée des stratégies d’atténuation a été élargie durant l’exercice biennal, de manière à privilégier également l’amélioration du fonctionnement du système et du service aux utilisateurs, notamment par la modernisation de la plateforme informatique utilisée.  Une analyse des stratégies de dépôt des utilisateurs a également été entreprise en étroite collaboration avec la Division de l’économie et des statistiques.</w:t>
            </w:r>
          </w:p>
          <w:p w:rsidR="00C14A86" w:rsidRPr="00C258AD" w:rsidRDefault="00C14A86" w:rsidP="00C14A86">
            <w:pPr>
              <w:autoSpaceDE w:val="0"/>
              <w:autoSpaceDN w:val="0"/>
              <w:adjustRightInd w:val="0"/>
              <w:ind w:right="-59"/>
              <w:rPr>
                <w:sz w:val="16"/>
                <w:szCs w:val="16"/>
              </w:rPr>
            </w:pPr>
          </w:p>
          <w:p w:rsidR="00C14A86" w:rsidRPr="00C258AD" w:rsidRDefault="00C14A86" w:rsidP="00C14A86">
            <w:pPr>
              <w:autoSpaceDE w:val="0"/>
              <w:autoSpaceDN w:val="0"/>
              <w:adjustRightInd w:val="0"/>
              <w:ind w:right="-59"/>
              <w:rPr>
                <w:sz w:val="16"/>
                <w:szCs w:val="16"/>
              </w:rPr>
            </w:pPr>
            <w:r w:rsidRPr="00C258AD">
              <w:rPr>
                <w:sz w:val="16"/>
                <w:szCs w:val="16"/>
              </w:rPr>
              <w:t>D’importants efforts ont été consacrés à établir une bonne communication avec les parties contractantes sur la manière de faire évoluer le cadre juridique du système, mais il s’est avéré que malgré cela, l’étendue des changements que sont prêtes à accepter certaines de ces parties contractantes reste limitée pour le moment.</w:t>
            </w:r>
          </w:p>
        </w:tc>
        <w:tc>
          <w:tcPr>
            <w:tcW w:w="2347" w:type="dxa"/>
            <w:tcBorders>
              <w:top w:val="single" w:sz="4" w:space="0" w:color="auto"/>
              <w:right w:val="single" w:sz="4" w:space="0" w:color="auto"/>
            </w:tcBorders>
            <w:shd w:val="clear" w:color="auto" w:fill="FFFFFF" w:themeFill="background1"/>
          </w:tcPr>
          <w:p w:rsidR="00C14A86" w:rsidRPr="00C258AD" w:rsidRDefault="00C14A86" w:rsidP="00C14A86">
            <w:pPr>
              <w:autoSpaceDE w:val="0"/>
              <w:autoSpaceDN w:val="0"/>
              <w:adjustRightInd w:val="0"/>
              <w:ind w:right="-59"/>
              <w:rPr>
                <w:sz w:val="16"/>
                <w:szCs w:val="16"/>
              </w:rPr>
            </w:pPr>
            <w:r w:rsidRPr="00C258AD">
              <w:rPr>
                <w:sz w:val="16"/>
                <w:szCs w:val="16"/>
              </w:rPr>
              <w:t>Si le nombre de parties contractantes a été légèrement inférieur à celui escompté, le nombre de pays couverts a été largement supérieur à ce qui était prévu (en raison de l’adhésion du système régional de l’OAPI).  Les dépôts n’ont pas atteint le nombre projeté, mais sont néanmoins restés à un assez bon niveau, compte tenu de la situation économique et de la valeur du franc suisse.</w:t>
            </w:r>
          </w:p>
          <w:p w:rsidR="00C14A86" w:rsidRPr="00C258AD" w:rsidRDefault="00C14A86" w:rsidP="00C14A86">
            <w:pPr>
              <w:autoSpaceDE w:val="0"/>
              <w:autoSpaceDN w:val="0"/>
              <w:adjustRightInd w:val="0"/>
              <w:ind w:right="-59"/>
              <w:rPr>
                <w:sz w:val="16"/>
                <w:szCs w:val="16"/>
              </w:rPr>
            </w:pPr>
          </w:p>
          <w:p w:rsidR="00C14A86" w:rsidRPr="00C258AD" w:rsidRDefault="00C14A86" w:rsidP="00C14A86">
            <w:pPr>
              <w:autoSpaceDE w:val="0"/>
              <w:autoSpaceDN w:val="0"/>
              <w:adjustRightInd w:val="0"/>
              <w:ind w:right="-59"/>
              <w:rPr>
                <w:sz w:val="16"/>
                <w:szCs w:val="16"/>
              </w:rPr>
            </w:pPr>
            <w:r w:rsidRPr="00C258AD">
              <w:rPr>
                <w:sz w:val="16"/>
                <w:szCs w:val="16"/>
              </w:rPr>
              <w:t>L’efficacité des opérations s’est considérablement améliorée en ce qui concerne les délais d’examen, et le nombre d’enregistrements a dépassé l’objectif fixé pour l’exercice biennal.  Le degré de satisfaction de la clientèle semble évoluer dans la bonne direction.  Le nombre d’irrégularités et de corrections est toutefois resté supérieur aux objectifs fixés.</w:t>
            </w:r>
          </w:p>
          <w:p w:rsidR="00C14A86" w:rsidRPr="00C258AD" w:rsidRDefault="00C14A86" w:rsidP="00C14A86">
            <w:pPr>
              <w:autoSpaceDE w:val="0"/>
              <w:autoSpaceDN w:val="0"/>
              <w:adjustRightInd w:val="0"/>
              <w:ind w:right="-59"/>
              <w:rPr>
                <w:sz w:val="16"/>
                <w:szCs w:val="16"/>
              </w:rPr>
            </w:pPr>
          </w:p>
          <w:p w:rsidR="00C14A86" w:rsidRPr="00C258AD" w:rsidRDefault="00C14A86" w:rsidP="00C14A86">
            <w:pPr>
              <w:autoSpaceDE w:val="0"/>
              <w:autoSpaceDN w:val="0"/>
              <w:adjustRightInd w:val="0"/>
              <w:ind w:right="-59"/>
              <w:rPr>
                <w:sz w:val="16"/>
                <w:szCs w:val="16"/>
              </w:rPr>
            </w:pPr>
            <w:r w:rsidRPr="00C258AD">
              <w:rPr>
                <w:sz w:val="16"/>
                <w:szCs w:val="16"/>
              </w:rPr>
              <w:t>La plupart des modifications du cadre juridique proposées par le Bureau international ont été adoptées, mais certaines, parmi les plus fondamentales, se sont heurtées à des résistances politiques.</w:t>
            </w:r>
          </w:p>
        </w:tc>
      </w:tr>
      <w:tr w:rsidR="00C14A86" w:rsidRPr="00C258AD" w:rsidTr="006364A5">
        <w:trPr>
          <w:cantSplit/>
        </w:trPr>
        <w:tc>
          <w:tcPr>
            <w:tcW w:w="2346" w:type="dxa"/>
            <w:tcBorders>
              <w:left w:val="single" w:sz="4" w:space="0" w:color="auto"/>
              <w:bottom w:val="single" w:sz="4" w:space="0" w:color="auto"/>
            </w:tcBorders>
            <w:shd w:val="clear" w:color="auto" w:fill="FFFFFF" w:themeFill="background1"/>
          </w:tcPr>
          <w:p w:rsidR="00C14A86" w:rsidRPr="00C258AD" w:rsidRDefault="00C14A86" w:rsidP="006364A5">
            <w:pPr>
              <w:keepNext/>
              <w:keepLines/>
              <w:rPr>
                <w:sz w:val="16"/>
                <w:szCs w:val="16"/>
              </w:rPr>
            </w:pPr>
            <w:r w:rsidRPr="00C258AD">
              <w:rPr>
                <w:sz w:val="16"/>
                <w:szCs w:val="16"/>
              </w:rPr>
              <w:t>Un certain nombre d’obstacles pourraient entraver la transformation du système de Lisbonne en un système de large portée internationale.  Des doutes pourraient en particulier subsister dans l’esprit des parties prenantes quant aux avantages du système.</w:t>
            </w:r>
          </w:p>
        </w:tc>
        <w:tc>
          <w:tcPr>
            <w:tcW w:w="2346" w:type="dxa"/>
            <w:tcBorders>
              <w:bottom w:val="single" w:sz="4" w:space="0" w:color="auto"/>
            </w:tcBorders>
            <w:shd w:val="clear" w:color="auto" w:fill="FFFFFF" w:themeFill="background1"/>
          </w:tcPr>
          <w:p w:rsidR="00C14A86" w:rsidRPr="00C258AD" w:rsidRDefault="00C14A86" w:rsidP="006364A5">
            <w:pPr>
              <w:keepNext/>
              <w:keepLines/>
              <w:autoSpaceDE w:val="0"/>
              <w:autoSpaceDN w:val="0"/>
              <w:adjustRightInd w:val="0"/>
              <w:ind w:right="-59"/>
              <w:rPr>
                <w:sz w:val="16"/>
                <w:szCs w:val="16"/>
              </w:rPr>
            </w:pPr>
            <w:r w:rsidRPr="00C258AD">
              <w:rPr>
                <w:sz w:val="16"/>
                <w:szCs w:val="16"/>
              </w:rPr>
              <w:t>L’examen tient compte de la manière dont les appellations d’origine et les indications géographiques sont protégées dans les différents pays, sans perdre de vue les principes et objectifs du système de Lisbonne.</w:t>
            </w:r>
          </w:p>
          <w:p w:rsidR="00C14A86" w:rsidRPr="00C258AD" w:rsidRDefault="00C14A86" w:rsidP="006364A5">
            <w:pPr>
              <w:keepNext/>
              <w:keepLines/>
              <w:autoSpaceDE w:val="0"/>
              <w:autoSpaceDN w:val="0"/>
              <w:adjustRightInd w:val="0"/>
              <w:ind w:right="-59"/>
              <w:rPr>
                <w:sz w:val="16"/>
                <w:szCs w:val="16"/>
                <w:lang w:eastAsia="zh-CN"/>
              </w:rPr>
            </w:pPr>
            <w:r w:rsidRPr="00C258AD">
              <w:rPr>
                <w:sz w:val="16"/>
                <w:szCs w:val="16"/>
                <w:lang w:eastAsia="zh-CN"/>
              </w:rPr>
              <w:t>Les activités d’information et de promotion poursuivent le même but, tout en soulignant les avantages du système de Lisbonne et les éléments de flexibilité disponibles, à préciser dans la version révisée de l’Arrangement de Lisbonne.</w:t>
            </w:r>
          </w:p>
        </w:tc>
        <w:tc>
          <w:tcPr>
            <w:tcW w:w="2346" w:type="dxa"/>
            <w:tcBorders>
              <w:bottom w:val="single" w:sz="4" w:space="0" w:color="auto"/>
            </w:tcBorders>
            <w:shd w:val="clear" w:color="auto" w:fill="FFFFFF" w:themeFill="background1"/>
          </w:tcPr>
          <w:p w:rsidR="00C14A86" w:rsidRPr="00C258AD" w:rsidRDefault="00C14A86" w:rsidP="006364A5">
            <w:pPr>
              <w:keepNext/>
              <w:keepLines/>
              <w:autoSpaceDE w:val="0"/>
              <w:autoSpaceDN w:val="0"/>
              <w:adjustRightInd w:val="0"/>
              <w:ind w:right="-59"/>
              <w:rPr>
                <w:sz w:val="16"/>
                <w:szCs w:val="16"/>
              </w:rPr>
            </w:pPr>
            <w:r w:rsidRPr="00C258AD">
              <w:rPr>
                <w:sz w:val="16"/>
                <w:szCs w:val="16"/>
              </w:rPr>
              <w:t>Le risque s’est concrétisé au cours de l’exercice biennal malgré les stratégies d’atténuation mises en œuvre, lesquelles se sont attachées tout particulièrement à continuer à fournir aux diverses parties prenantes un forum international neutre et stimulant où présenter leurs intérêts et en débattre.</w:t>
            </w:r>
          </w:p>
        </w:tc>
        <w:tc>
          <w:tcPr>
            <w:tcW w:w="2347" w:type="dxa"/>
            <w:tcBorders>
              <w:bottom w:val="single" w:sz="4" w:space="0" w:color="auto"/>
              <w:right w:val="single" w:sz="4" w:space="0" w:color="auto"/>
            </w:tcBorders>
            <w:shd w:val="clear" w:color="auto" w:fill="FFFFFF" w:themeFill="background1"/>
          </w:tcPr>
          <w:p w:rsidR="00C14A86" w:rsidRPr="00C258AD" w:rsidRDefault="00C14A86" w:rsidP="006364A5">
            <w:pPr>
              <w:keepNext/>
              <w:keepLines/>
              <w:autoSpaceDE w:val="0"/>
              <w:autoSpaceDN w:val="0"/>
              <w:adjustRightInd w:val="0"/>
              <w:ind w:right="-59"/>
              <w:rPr>
                <w:color w:val="000000"/>
                <w:sz w:val="16"/>
                <w:szCs w:val="16"/>
              </w:rPr>
            </w:pPr>
            <w:r w:rsidRPr="00C258AD">
              <w:rPr>
                <w:color w:val="000000"/>
                <w:sz w:val="16"/>
                <w:szCs w:val="16"/>
              </w:rPr>
              <w:t>L’incidence sur les résultats du programme a été limitée.  Le risque qui s’est concrétisé au cours de l’exercice biennal pourrait, en revanche, rester présent tout au long de l’exercice suivant.</w:t>
            </w:r>
          </w:p>
          <w:p w:rsidR="00C14A86" w:rsidRPr="00C258AD" w:rsidRDefault="00C14A86" w:rsidP="006364A5">
            <w:pPr>
              <w:keepNext/>
              <w:autoSpaceDE w:val="0"/>
              <w:autoSpaceDN w:val="0"/>
              <w:spacing w:line="276" w:lineRule="auto"/>
              <w:ind w:right="-59"/>
              <w:rPr>
                <w:sz w:val="16"/>
                <w:szCs w:val="16"/>
              </w:rPr>
            </w:pPr>
          </w:p>
        </w:tc>
      </w:tr>
    </w:tbl>
    <w:p w:rsidR="00C14A86" w:rsidRPr="00C258AD" w:rsidRDefault="00C14A86" w:rsidP="006364A5">
      <w:pPr>
        <w:rPr>
          <w:caps/>
          <w:sz w:val="22"/>
          <w:szCs w:val="22"/>
        </w:rPr>
      </w:pPr>
    </w:p>
    <w:p w:rsidR="00C14A86" w:rsidRPr="00C258AD" w:rsidRDefault="00C14A86" w:rsidP="006364A5">
      <w:pPr>
        <w:rPr>
          <w:caps/>
          <w:sz w:val="22"/>
          <w:szCs w:val="22"/>
        </w:rPr>
      </w:pPr>
    </w:p>
    <w:p w:rsidR="00C14A86" w:rsidRPr="00C258AD" w:rsidRDefault="00C14A86" w:rsidP="006364A5">
      <w:pPr>
        <w:keepNext/>
        <w:rPr>
          <w:sz w:val="22"/>
        </w:rPr>
      </w:pPr>
      <w:r w:rsidRPr="00C258AD">
        <w:rPr>
          <w:sz w:val="22"/>
        </w:rPr>
        <w:lastRenderedPageBreak/>
        <w:t>UTILISATION DES RESSOURCES</w:t>
      </w:r>
    </w:p>
    <w:p w:rsidR="00C14A86" w:rsidRPr="00C258AD" w:rsidRDefault="00C14A86" w:rsidP="006364A5">
      <w:pPr>
        <w:keepNext/>
        <w:jc w:val="center"/>
      </w:pPr>
    </w:p>
    <w:p w:rsidR="00C14A86" w:rsidRPr="00C258AD" w:rsidRDefault="00C14A86" w:rsidP="006364A5">
      <w:pPr>
        <w:pStyle w:val="NormalWeb"/>
        <w:keepNext/>
        <w:spacing w:before="0" w:beforeAutospacing="0" w:after="0" w:afterAutospacing="0"/>
        <w:jc w:val="center"/>
        <w:rPr>
          <w:sz w:val="20"/>
          <w:szCs w:val="20"/>
        </w:rPr>
      </w:pPr>
      <w:r w:rsidRPr="00C258AD">
        <w:rPr>
          <w:sz w:val="20"/>
          <w:szCs w:val="20"/>
        </w:rPr>
        <w:t>Budget et dépenses effectives (par résultat)</w:t>
      </w:r>
    </w:p>
    <w:p w:rsidR="00C14A86" w:rsidRPr="00C258AD" w:rsidRDefault="00C14A86" w:rsidP="006364A5">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C14A86" w:rsidRPr="00C258AD" w:rsidRDefault="00C14A86" w:rsidP="006364A5">
      <w:pPr>
        <w:keepNext/>
        <w:jc w:val="both"/>
      </w:pPr>
    </w:p>
    <w:tbl>
      <w:tblPr>
        <w:tblW w:w="9080" w:type="dxa"/>
        <w:tblInd w:w="55" w:type="dxa"/>
        <w:tblCellMar>
          <w:top w:w="113" w:type="dxa"/>
          <w:left w:w="70" w:type="dxa"/>
          <w:bottom w:w="113" w:type="dxa"/>
          <w:right w:w="70" w:type="dxa"/>
        </w:tblCellMar>
        <w:tblLook w:val="04A0" w:firstRow="1" w:lastRow="0" w:firstColumn="1" w:lastColumn="0" w:noHBand="0" w:noVBand="1"/>
      </w:tblPr>
      <w:tblGrid>
        <w:gridCol w:w="431"/>
        <w:gridCol w:w="4569"/>
        <w:gridCol w:w="1360"/>
        <w:gridCol w:w="1360"/>
        <w:gridCol w:w="1360"/>
      </w:tblGrid>
      <w:tr w:rsidR="00C14A86" w:rsidRPr="00C258AD" w:rsidTr="006364A5">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C14A86" w:rsidRPr="00C258AD" w:rsidRDefault="00C14A86" w:rsidP="006364A5">
            <w:pPr>
              <w:keepNext/>
              <w:jc w:val="center"/>
              <w:rPr>
                <w:i/>
                <w:iCs/>
                <w:sz w:val="16"/>
                <w:szCs w:val="16"/>
                <w:lang w:eastAsia="fr-FR"/>
              </w:rPr>
            </w:pPr>
            <w:r w:rsidRPr="00C258AD">
              <w:rPr>
                <w:i/>
                <w:iCs/>
                <w:sz w:val="16"/>
                <w:szCs w:val="16"/>
                <w:lang w:eastAsia="fr-FR"/>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C14A86" w:rsidRPr="00C258AD" w:rsidRDefault="00C14A86" w:rsidP="006364A5">
            <w:pPr>
              <w:keepNext/>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Pr="00C258AD">
              <w:rPr>
                <w:i/>
                <w:iCs/>
                <w:sz w:val="16"/>
                <w:szCs w:val="16"/>
                <w:lang w:eastAsia="fr-FR"/>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C14A86" w:rsidRPr="00C258AD" w:rsidRDefault="00C14A86" w:rsidP="006364A5">
            <w:pPr>
              <w:keepNext/>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Pr="00C258AD">
              <w:rPr>
                <w:i/>
                <w:iCs/>
                <w:sz w:val="16"/>
                <w:szCs w:val="16"/>
                <w:lang w:eastAsia="fr-FR"/>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C14A86" w:rsidRPr="00C258AD" w:rsidRDefault="00C14A86" w:rsidP="006364A5">
            <w:pPr>
              <w:keepNext/>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Pr="00C258AD">
              <w:rPr>
                <w:i/>
                <w:iCs/>
                <w:sz w:val="16"/>
                <w:szCs w:val="16"/>
                <w:lang w:eastAsia="fr-FR"/>
              </w:rPr>
              <w:noBreakHyphen/>
              <w:t>2015</w:t>
            </w:r>
          </w:p>
        </w:tc>
      </w:tr>
      <w:tr w:rsidR="00C14A86" w:rsidRPr="00C258AD" w:rsidTr="006364A5">
        <w:trPr>
          <w:cantSplit/>
        </w:trPr>
        <w:tc>
          <w:tcPr>
            <w:tcW w:w="431" w:type="dxa"/>
            <w:tcBorders>
              <w:top w:val="nil"/>
              <w:left w:val="single" w:sz="4" w:space="0" w:color="auto"/>
              <w:bottom w:val="nil"/>
              <w:right w:val="nil"/>
            </w:tcBorders>
            <w:shd w:val="clear" w:color="auto" w:fill="auto"/>
            <w:noWrap/>
            <w:vAlign w:val="center"/>
            <w:hideMark/>
          </w:tcPr>
          <w:p w:rsidR="00C14A86" w:rsidRPr="00C258AD" w:rsidRDefault="00C14A86" w:rsidP="006364A5">
            <w:pPr>
              <w:keepNext/>
              <w:rPr>
                <w:sz w:val="16"/>
                <w:szCs w:val="16"/>
                <w:lang w:eastAsia="fr-FR"/>
              </w:rPr>
            </w:pPr>
            <w:r w:rsidRPr="00C258AD">
              <w:rPr>
                <w:sz w:val="16"/>
                <w:szCs w:val="16"/>
                <w:lang w:eastAsia="fr-FR"/>
              </w:rPr>
              <w:t>II.6</w:t>
            </w:r>
          </w:p>
        </w:tc>
        <w:tc>
          <w:tcPr>
            <w:tcW w:w="4569" w:type="dxa"/>
            <w:tcBorders>
              <w:top w:val="nil"/>
              <w:left w:val="nil"/>
              <w:bottom w:val="nil"/>
              <w:right w:val="nil"/>
            </w:tcBorders>
            <w:shd w:val="clear" w:color="auto" w:fill="auto"/>
            <w:vAlign w:val="center"/>
            <w:hideMark/>
          </w:tcPr>
          <w:p w:rsidR="00C14A86" w:rsidRPr="00C258AD" w:rsidRDefault="00C14A86" w:rsidP="006364A5">
            <w:pPr>
              <w:keepNext/>
              <w:rPr>
                <w:sz w:val="16"/>
                <w:szCs w:val="16"/>
                <w:lang w:eastAsia="fr-FR"/>
              </w:rPr>
            </w:pPr>
            <w:r w:rsidRPr="00C258AD">
              <w:rPr>
                <w:sz w:val="16"/>
                <w:szCs w:val="16"/>
                <w:lang w:eastAsia="fr-FR"/>
              </w:rPr>
              <w:t>Utilisation élargie et améliorée des systèmes de Madrid et de Lisbonne, notamment par les pays en développement et les PMA</w:t>
            </w:r>
          </w:p>
        </w:tc>
        <w:tc>
          <w:tcPr>
            <w:tcW w:w="1360" w:type="dxa"/>
            <w:tcBorders>
              <w:top w:val="nil"/>
              <w:left w:val="nil"/>
              <w:bottom w:val="nil"/>
              <w:right w:val="nil"/>
            </w:tcBorders>
            <w:shd w:val="clear" w:color="auto" w:fill="auto"/>
            <w:vAlign w:val="center"/>
            <w:hideMark/>
          </w:tcPr>
          <w:p w:rsidR="00C14A86" w:rsidRPr="00C258AD" w:rsidRDefault="00C14A86" w:rsidP="006364A5">
            <w:pPr>
              <w:keepNext/>
              <w:jc w:val="right"/>
              <w:rPr>
                <w:sz w:val="16"/>
                <w:szCs w:val="16"/>
                <w:lang w:eastAsia="fr-FR"/>
              </w:rPr>
            </w:pPr>
            <w:r w:rsidRPr="00C258AD">
              <w:rPr>
                <w:sz w:val="16"/>
                <w:szCs w:val="16"/>
                <w:lang w:eastAsia="fr-FR"/>
              </w:rPr>
              <w:t>14 313</w:t>
            </w:r>
          </w:p>
        </w:tc>
        <w:tc>
          <w:tcPr>
            <w:tcW w:w="1360" w:type="dxa"/>
            <w:tcBorders>
              <w:top w:val="nil"/>
              <w:left w:val="nil"/>
              <w:bottom w:val="nil"/>
              <w:right w:val="nil"/>
            </w:tcBorders>
            <w:shd w:val="clear" w:color="auto" w:fill="auto"/>
            <w:vAlign w:val="center"/>
            <w:hideMark/>
          </w:tcPr>
          <w:p w:rsidR="00C14A86" w:rsidRPr="00C258AD" w:rsidRDefault="00C14A86" w:rsidP="006364A5">
            <w:pPr>
              <w:keepNext/>
              <w:jc w:val="right"/>
              <w:rPr>
                <w:sz w:val="16"/>
                <w:szCs w:val="16"/>
                <w:lang w:eastAsia="fr-FR"/>
              </w:rPr>
            </w:pPr>
            <w:r w:rsidRPr="00C258AD">
              <w:rPr>
                <w:sz w:val="16"/>
                <w:szCs w:val="16"/>
                <w:lang w:eastAsia="fr-FR"/>
              </w:rPr>
              <w:t>16 543</w:t>
            </w:r>
          </w:p>
        </w:tc>
        <w:tc>
          <w:tcPr>
            <w:tcW w:w="1360" w:type="dxa"/>
            <w:tcBorders>
              <w:top w:val="nil"/>
              <w:left w:val="nil"/>
              <w:bottom w:val="nil"/>
              <w:right w:val="single" w:sz="4" w:space="0" w:color="auto"/>
            </w:tcBorders>
            <w:shd w:val="clear" w:color="auto" w:fill="auto"/>
            <w:vAlign w:val="center"/>
            <w:hideMark/>
          </w:tcPr>
          <w:p w:rsidR="00C14A86" w:rsidRPr="00C258AD" w:rsidRDefault="00C14A86" w:rsidP="006364A5">
            <w:pPr>
              <w:keepNext/>
              <w:jc w:val="right"/>
              <w:rPr>
                <w:sz w:val="16"/>
                <w:szCs w:val="16"/>
                <w:lang w:eastAsia="fr-FR"/>
              </w:rPr>
            </w:pPr>
            <w:r w:rsidRPr="00C258AD">
              <w:rPr>
                <w:sz w:val="16"/>
                <w:szCs w:val="16"/>
                <w:lang w:eastAsia="fr-FR"/>
              </w:rPr>
              <w:t>15 784</w:t>
            </w:r>
          </w:p>
        </w:tc>
      </w:tr>
      <w:tr w:rsidR="00C14A86" w:rsidRPr="00C258AD" w:rsidTr="006364A5">
        <w:trPr>
          <w:cantSplit/>
        </w:trPr>
        <w:tc>
          <w:tcPr>
            <w:tcW w:w="431" w:type="dxa"/>
            <w:tcBorders>
              <w:top w:val="nil"/>
              <w:left w:val="single" w:sz="4" w:space="0" w:color="auto"/>
              <w:bottom w:val="nil"/>
              <w:right w:val="nil"/>
            </w:tcBorders>
            <w:shd w:val="clear" w:color="auto" w:fill="auto"/>
            <w:noWrap/>
            <w:vAlign w:val="center"/>
            <w:hideMark/>
          </w:tcPr>
          <w:p w:rsidR="00C14A86" w:rsidRPr="00C258AD" w:rsidRDefault="00C14A86" w:rsidP="006364A5">
            <w:pPr>
              <w:keepNext/>
              <w:rPr>
                <w:sz w:val="16"/>
                <w:szCs w:val="16"/>
                <w:lang w:eastAsia="fr-FR"/>
              </w:rPr>
            </w:pPr>
            <w:r w:rsidRPr="00C258AD">
              <w:rPr>
                <w:sz w:val="16"/>
                <w:szCs w:val="16"/>
                <w:lang w:eastAsia="fr-FR"/>
              </w:rPr>
              <w:t>II.7</w:t>
            </w:r>
          </w:p>
        </w:tc>
        <w:tc>
          <w:tcPr>
            <w:tcW w:w="4569" w:type="dxa"/>
            <w:tcBorders>
              <w:top w:val="nil"/>
              <w:left w:val="nil"/>
              <w:bottom w:val="nil"/>
              <w:right w:val="nil"/>
            </w:tcBorders>
            <w:shd w:val="clear" w:color="auto" w:fill="auto"/>
            <w:vAlign w:val="center"/>
            <w:hideMark/>
          </w:tcPr>
          <w:p w:rsidR="00C14A86" w:rsidRPr="00C258AD" w:rsidRDefault="00C14A86" w:rsidP="006364A5">
            <w:pPr>
              <w:keepNext/>
              <w:rPr>
                <w:sz w:val="16"/>
                <w:szCs w:val="16"/>
                <w:lang w:eastAsia="fr-FR"/>
              </w:rPr>
            </w:pPr>
            <w:r w:rsidRPr="00C258AD">
              <w:rPr>
                <w:sz w:val="16"/>
                <w:szCs w:val="16"/>
                <w:lang w:eastAsia="fr-FR"/>
              </w:rPr>
              <w:t>Amélioration de la productivité et de la qualité de service des opérations des systèmes de Madrid et de Lisbonne</w:t>
            </w:r>
          </w:p>
        </w:tc>
        <w:tc>
          <w:tcPr>
            <w:tcW w:w="1360" w:type="dxa"/>
            <w:tcBorders>
              <w:top w:val="nil"/>
              <w:left w:val="nil"/>
              <w:bottom w:val="nil"/>
              <w:right w:val="nil"/>
            </w:tcBorders>
            <w:shd w:val="clear" w:color="auto" w:fill="auto"/>
            <w:vAlign w:val="center"/>
            <w:hideMark/>
          </w:tcPr>
          <w:p w:rsidR="00C14A86" w:rsidRPr="00C258AD" w:rsidRDefault="00C14A86" w:rsidP="006364A5">
            <w:pPr>
              <w:keepNext/>
              <w:jc w:val="right"/>
              <w:rPr>
                <w:sz w:val="16"/>
                <w:szCs w:val="16"/>
                <w:lang w:eastAsia="fr-FR"/>
              </w:rPr>
            </w:pPr>
            <w:r w:rsidRPr="00C258AD">
              <w:rPr>
                <w:sz w:val="16"/>
                <w:szCs w:val="16"/>
                <w:lang w:eastAsia="fr-FR"/>
              </w:rPr>
              <w:t>40 932</w:t>
            </w:r>
          </w:p>
        </w:tc>
        <w:tc>
          <w:tcPr>
            <w:tcW w:w="1360" w:type="dxa"/>
            <w:tcBorders>
              <w:top w:val="nil"/>
              <w:left w:val="nil"/>
              <w:bottom w:val="nil"/>
              <w:right w:val="nil"/>
            </w:tcBorders>
            <w:shd w:val="clear" w:color="auto" w:fill="auto"/>
            <w:vAlign w:val="center"/>
            <w:hideMark/>
          </w:tcPr>
          <w:p w:rsidR="00C14A86" w:rsidRPr="00C258AD" w:rsidRDefault="00C14A86" w:rsidP="006364A5">
            <w:pPr>
              <w:keepNext/>
              <w:jc w:val="right"/>
              <w:rPr>
                <w:sz w:val="16"/>
                <w:szCs w:val="16"/>
                <w:lang w:eastAsia="fr-FR"/>
              </w:rPr>
            </w:pPr>
            <w:r w:rsidRPr="00C258AD">
              <w:rPr>
                <w:sz w:val="16"/>
                <w:szCs w:val="16"/>
                <w:lang w:eastAsia="fr-FR"/>
              </w:rPr>
              <w:t>40 885</w:t>
            </w:r>
          </w:p>
        </w:tc>
        <w:tc>
          <w:tcPr>
            <w:tcW w:w="1360" w:type="dxa"/>
            <w:tcBorders>
              <w:top w:val="nil"/>
              <w:left w:val="nil"/>
              <w:bottom w:val="nil"/>
              <w:right w:val="single" w:sz="4" w:space="0" w:color="auto"/>
            </w:tcBorders>
            <w:shd w:val="clear" w:color="auto" w:fill="auto"/>
            <w:vAlign w:val="center"/>
            <w:hideMark/>
          </w:tcPr>
          <w:p w:rsidR="00C14A86" w:rsidRPr="00C258AD" w:rsidRDefault="00C14A86" w:rsidP="006364A5">
            <w:pPr>
              <w:keepNext/>
              <w:jc w:val="right"/>
              <w:rPr>
                <w:sz w:val="16"/>
                <w:szCs w:val="16"/>
                <w:lang w:eastAsia="fr-FR"/>
              </w:rPr>
            </w:pPr>
            <w:r w:rsidRPr="00C258AD">
              <w:rPr>
                <w:sz w:val="16"/>
                <w:szCs w:val="16"/>
                <w:lang w:eastAsia="fr-FR"/>
              </w:rPr>
              <w:t>39 925</w:t>
            </w:r>
          </w:p>
        </w:tc>
      </w:tr>
      <w:tr w:rsidR="00C14A86" w:rsidRPr="00C258AD" w:rsidTr="006364A5">
        <w:trPr>
          <w:cantSplit/>
        </w:trPr>
        <w:tc>
          <w:tcPr>
            <w:tcW w:w="431" w:type="dxa"/>
            <w:tcBorders>
              <w:top w:val="single" w:sz="4" w:space="0" w:color="auto"/>
              <w:left w:val="single" w:sz="4" w:space="0" w:color="auto"/>
              <w:bottom w:val="single" w:sz="4" w:space="0" w:color="auto"/>
              <w:right w:val="nil"/>
            </w:tcBorders>
            <w:shd w:val="clear" w:color="auto" w:fill="C5D9F1"/>
            <w:noWrap/>
            <w:vAlign w:val="bottom"/>
            <w:hideMark/>
          </w:tcPr>
          <w:p w:rsidR="00C14A86" w:rsidRPr="00C258AD" w:rsidRDefault="00C14A86" w:rsidP="006364A5">
            <w:pPr>
              <w:rPr>
                <w:sz w:val="16"/>
                <w:szCs w:val="16"/>
                <w:lang w:eastAsia="fr-FR"/>
              </w:rPr>
            </w:pPr>
            <w:r w:rsidRPr="00C258AD">
              <w:rPr>
                <w:sz w:val="16"/>
                <w:szCs w:val="16"/>
                <w:lang w:eastAsia="fr-FR"/>
              </w:rPr>
              <w:t> </w:t>
            </w:r>
          </w:p>
        </w:tc>
        <w:tc>
          <w:tcPr>
            <w:tcW w:w="4569" w:type="dxa"/>
            <w:tcBorders>
              <w:top w:val="single" w:sz="4" w:space="0" w:color="auto"/>
              <w:left w:val="nil"/>
              <w:bottom w:val="single" w:sz="4" w:space="0" w:color="auto"/>
              <w:right w:val="single" w:sz="4" w:space="0" w:color="auto"/>
            </w:tcBorders>
            <w:shd w:val="clear" w:color="auto" w:fill="C5D9F1"/>
            <w:noWrap/>
            <w:vAlign w:val="bottom"/>
            <w:hideMark/>
          </w:tcPr>
          <w:p w:rsidR="00C14A86" w:rsidRPr="00C258AD" w:rsidRDefault="00C14A86" w:rsidP="006364A5">
            <w:pPr>
              <w:rPr>
                <w:b/>
                <w:bCs/>
                <w:sz w:val="16"/>
                <w:szCs w:val="16"/>
                <w:lang w:eastAsia="fr-FR"/>
              </w:rPr>
            </w:pPr>
            <w:r w:rsidRPr="00C258AD">
              <w:rPr>
                <w:b/>
                <w:bCs/>
                <w:sz w:val="16"/>
                <w:szCs w:val="16"/>
                <w:lang w:eastAsia="fr-FR"/>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C14A86" w:rsidRPr="00C258AD" w:rsidRDefault="00C14A86" w:rsidP="006364A5">
            <w:pPr>
              <w:jc w:val="right"/>
              <w:rPr>
                <w:b/>
                <w:bCs/>
                <w:sz w:val="16"/>
                <w:szCs w:val="16"/>
                <w:lang w:eastAsia="fr-FR"/>
              </w:rPr>
            </w:pPr>
            <w:r w:rsidRPr="00C258AD">
              <w:rPr>
                <w:b/>
                <w:bCs/>
                <w:sz w:val="16"/>
                <w:szCs w:val="16"/>
                <w:lang w:eastAsia="fr-FR"/>
              </w:rPr>
              <w:t>55 245</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C14A86" w:rsidRPr="00C258AD" w:rsidRDefault="00C14A86" w:rsidP="006364A5">
            <w:pPr>
              <w:jc w:val="right"/>
              <w:rPr>
                <w:b/>
                <w:bCs/>
                <w:sz w:val="16"/>
                <w:szCs w:val="16"/>
                <w:lang w:eastAsia="fr-FR"/>
              </w:rPr>
            </w:pPr>
            <w:r w:rsidRPr="00C258AD">
              <w:rPr>
                <w:b/>
                <w:bCs/>
                <w:sz w:val="16"/>
                <w:szCs w:val="16"/>
                <w:lang w:eastAsia="fr-FR"/>
              </w:rPr>
              <w:t>57 428</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C14A86" w:rsidRPr="00C258AD" w:rsidRDefault="00C14A86" w:rsidP="006364A5">
            <w:pPr>
              <w:jc w:val="right"/>
              <w:rPr>
                <w:b/>
                <w:bCs/>
                <w:sz w:val="16"/>
                <w:szCs w:val="16"/>
                <w:lang w:eastAsia="fr-FR"/>
              </w:rPr>
            </w:pPr>
            <w:r w:rsidRPr="00C258AD">
              <w:rPr>
                <w:b/>
                <w:bCs/>
                <w:sz w:val="16"/>
                <w:szCs w:val="16"/>
                <w:lang w:eastAsia="fr-FR"/>
              </w:rPr>
              <w:t>55 709</w:t>
            </w:r>
          </w:p>
        </w:tc>
      </w:tr>
    </w:tbl>
    <w:p w:rsidR="00C14A86" w:rsidRPr="00C258AD" w:rsidRDefault="00C14A86" w:rsidP="006364A5"/>
    <w:p w:rsidR="00C14A86" w:rsidRPr="00C258AD" w:rsidRDefault="00C14A86" w:rsidP="006364A5"/>
    <w:p w:rsidR="00C14A86" w:rsidRPr="00C258AD" w:rsidRDefault="00C14A86" w:rsidP="006364A5">
      <w:pPr>
        <w:pStyle w:val="NormalWeb"/>
        <w:keepNext/>
        <w:keepLines/>
        <w:spacing w:before="0" w:beforeAutospacing="0" w:after="0" w:afterAutospacing="0"/>
        <w:jc w:val="center"/>
        <w:rPr>
          <w:sz w:val="20"/>
          <w:szCs w:val="20"/>
        </w:rPr>
      </w:pPr>
      <w:r w:rsidRPr="00C258AD">
        <w:rPr>
          <w:sz w:val="20"/>
          <w:szCs w:val="20"/>
        </w:rPr>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C14A86" w:rsidRPr="00C258AD" w:rsidRDefault="00C14A86" w:rsidP="006364A5">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C14A86" w:rsidRPr="00C258AD" w:rsidRDefault="00C14A86" w:rsidP="006364A5">
      <w:pPr>
        <w:keepNext/>
      </w:pPr>
    </w:p>
    <w:tbl>
      <w:tblPr>
        <w:tblW w:w="9070" w:type="dxa"/>
        <w:tblInd w:w="55" w:type="dxa"/>
        <w:tblCellMar>
          <w:top w:w="113" w:type="dxa"/>
          <w:left w:w="70" w:type="dxa"/>
          <w:bottom w:w="113" w:type="dxa"/>
          <w:right w:w="70" w:type="dxa"/>
        </w:tblCellMar>
        <w:tblLook w:val="04A0" w:firstRow="1" w:lastRow="0" w:firstColumn="1" w:lastColumn="0" w:noHBand="0" w:noVBand="1"/>
      </w:tblPr>
      <w:tblGrid>
        <w:gridCol w:w="2400"/>
        <w:gridCol w:w="1655"/>
        <w:gridCol w:w="1656"/>
        <w:gridCol w:w="1656"/>
        <w:gridCol w:w="1703"/>
      </w:tblGrid>
      <w:tr w:rsidR="00C14A86" w:rsidRPr="00C258AD" w:rsidTr="006364A5">
        <w:trPr>
          <w:cantSplit/>
        </w:trPr>
        <w:tc>
          <w:tcPr>
            <w:tcW w:w="2400"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C14A86" w:rsidRPr="00C258AD" w:rsidRDefault="00C14A86" w:rsidP="006364A5">
            <w:pPr>
              <w:keepNext/>
              <w:rPr>
                <w:color w:val="000000"/>
                <w:sz w:val="16"/>
                <w:szCs w:val="18"/>
                <w:lang w:eastAsia="fr-FR"/>
              </w:rPr>
            </w:pPr>
            <w:r w:rsidRPr="00C258AD">
              <w:rPr>
                <w:color w:val="000000"/>
                <w:sz w:val="16"/>
                <w:szCs w:val="18"/>
                <w:lang w:eastAsia="fr-FR"/>
              </w:rPr>
              <w:t> </w:t>
            </w:r>
          </w:p>
        </w:tc>
        <w:tc>
          <w:tcPr>
            <w:tcW w:w="2080" w:type="dxa"/>
            <w:tcBorders>
              <w:top w:val="single" w:sz="4" w:space="0" w:color="auto"/>
              <w:left w:val="nil"/>
              <w:bottom w:val="nil"/>
              <w:right w:val="single" w:sz="4" w:space="0" w:color="auto"/>
            </w:tcBorders>
            <w:shd w:val="clear" w:color="auto" w:fill="C5D9F1"/>
            <w:vAlign w:val="center"/>
            <w:hideMark/>
          </w:tcPr>
          <w:p w:rsidR="00C14A86" w:rsidRPr="00C258AD" w:rsidRDefault="00C14A86" w:rsidP="006364A5">
            <w:pPr>
              <w:keepNext/>
              <w:jc w:val="center"/>
              <w:rPr>
                <w:b/>
                <w:bCs/>
                <w:color w:val="000000"/>
                <w:sz w:val="16"/>
                <w:szCs w:val="18"/>
                <w:lang w:eastAsia="fr-FR"/>
              </w:rPr>
            </w:pPr>
            <w:r w:rsidRPr="00C258AD">
              <w:rPr>
                <w:b/>
                <w:bCs/>
                <w:color w:val="000000"/>
                <w:sz w:val="16"/>
                <w:szCs w:val="18"/>
                <w:lang w:eastAsia="fr-FR"/>
              </w:rPr>
              <w:t>Budget 2014</w:t>
            </w:r>
            <w:r w:rsidRPr="00C258AD">
              <w:rPr>
                <w:b/>
                <w:bCs/>
                <w:color w:val="000000"/>
                <w:sz w:val="16"/>
                <w:szCs w:val="18"/>
                <w:lang w:eastAsia="fr-FR"/>
              </w:rPr>
              <w:noBreakHyphen/>
              <w:t>2015 approuvé</w:t>
            </w:r>
          </w:p>
        </w:tc>
        <w:tc>
          <w:tcPr>
            <w:tcW w:w="2080" w:type="dxa"/>
            <w:tcBorders>
              <w:top w:val="single" w:sz="4" w:space="0" w:color="auto"/>
              <w:left w:val="nil"/>
              <w:bottom w:val="nil"/>
              <w:right w:val="single" w:sz="4" w:space="0" w:color="auto"/>
            </w:tcBorders>
            <w:shd w:val="clear" w:color="auto" w:fill="C5D9F1"/>
            <w:vAlign w:val="center"/>
            <w:hideMark/>
          </w:tcPr>
          <w:p w:rsidR="00C14A86" w:rsidRPr="00C258AD" w:rsidRDefault="00C14A86" w:rsidP="006364A5">
            <w:pPr>
              <w:keepNext/>
              <w:jc w:val="center"/>
              <w:rPr>
                <w:b/>
                <w:bCs/>
                <w:color w:val="000000"/>
                <w:sz w:val="16"/>
                <w:szCs w:val="18"/>
                <w:lang w:eastAsia="fr-FR"/>
              </w:rPr>
            </w:pPr>
            <w:r w:rsidRPr="00C258AD">
              <w:rPr>
                <w:b/>
                <w:bCs/>
                <w:color w:val="000000"/>
                <w:sz w:val="16"/>
                <w:szCs w:val="18"/>
                <w:lang w:eastAsia="fr-FR"/>
              </w:rPr>
              <w:t>Budget final 2014</w:t>
            </w:r>
            <w:r w:rsidRPr="00C258AD">
              <w:rPr>
                <w:b/>
                <w:bCs/>
                <w:color w:val="000000"/>
                <w:sz w:val="16"/>
                <w:szCs w:val="18"/>
                <w:lang w:eastAsia="fr-FR"/>
              </w:rPr>
              <w:noBreakHyphen/>
              <w:t>2015</w:t>
            </w:r>
            <w:r w:rsidRPr="00C258AD">
              <w:rPr>
                <w:b/>
                <w:bCs/>
                <w:color w:val="000000"/>
                <w:sz w:val="16"/>
                <w:szCs w:val="18"/>
                <w:lang w:eastAsia="fr-FR"/>
              </w:rPr>
              <w:br/>
              <w:t>après virements</w:t>
            </w:r>
          </w:p>
        </w:tc>
        <w:tc>
          <w:tcPr>
            <w:tcW w:w="2080" w:type="dxa"/>
            <w:tcBorders>
              <w:top w:val="single" w:sz="4" w:space="0" w:color="auto"/>
              <w:left w:val="nil"/>
              <w:bottom w:val="nil"/>
              <w:right w:val="single" w:sz="4" w:space="0" w:color="auto"/>
            </w:tcBorders>
            <w:shd w:val="clear" w:color="auto" w:fill="C5D9F1"/>
            <w:vAlign w:val="center"/>
            <w:hideMark/>
          </w:tcPr>
          <w:p w:rsidR="00C14A86" w:rsidRPr="00C258AD" w:rsidRDefault="00C14A86" w:rsidP="006364A5">
            <w:pPr>
              <w:keepNext/>
              <w:jc w:val="center"/>
              <w:rPr>
                <w:b/>
                <w:bCs/>
                <w:color w:val="000000"/>
                <w:sz w:val="16"/>
                <w:szCs w:val="18"/>
                <w:lang w:eastAsia="fr-FR"/>
              </w:rPr>
            </w:pPr>
            <w:r w:rsidRPr="00C258AD">
              <w:rPr>
                <w:b/>
                <w:bCs/>
                <w:color w:val="000000"/>
                <w:sz w:val="16"/>
                <w:szCs w:val="18"/>
                <w:lang w:eastAsia="fr-FR"/>
              </w:rPr>
              <w:t xml:space="preserve">Dépenses </w:t>
            </w:r>
            <w:r w:rsidRPr="00C258AD">
              <w:rPr>
                <w:b/>
                <w:bCs/>
                <w:color w:val="000000"/>
                <w:sz w:val="16"/>
                <w:szCs w:val="18"/>
                <w:lang w:eastAsia="fr-FR"/>
              </w:rPr>
              <w:br/>
              <w:t>2014</w:t>
            </w:r>
            <w:r w:rsidRPr="00C258AD">
              <w:rPr>
                <w:b/>
                <w:bCs/>
                <w:color w:val="000000"/>
                <w:sz w:val="16"/>
                <w:szCs w:val="18"/>
                <w:lang w:eastAsia="fr-FR"/>
              </w:rPr>
              <w:noBreakHyphen/>
              <w:t>2015</w:t>
            </w:r>
          </w:p>
        </w:tc>
        <w:tc>
          <w:tcPr>
            <w:tcW w:w="2080" w:type="dxa"/>
            <w:tcBorders>
              <w:top w:val="single" w:sz="4" w:space="0" w:color="auto"/>
              <w:left w:val="nil"/>
              <w:bottom w:val="nil"/>
              <w:right w:val="single" w:sz="4" w:space="0" w:color="auto"/>
            </w:tcBorders>
            <w:shd w:val="clear" w:color="auto" w:fill="C5D9F1"/>
            <w:vAlign w:val="center"/>
            <w:hideMark/>
          </w:tcPr>
          <w:p w:rsidR="00C14A86" w:rsidRPr="00C258AD" w:rsidRDefault="00C14A86" w:rsidP="006364A5">
            <w:pPr>
              <w:keepNext/>
              <w:jc w:val="center"/>
              <w:rPr>
                <w:b/>
                <w:bCs/>
                <w:color w:val="000000"/>
                <w:sz w:val="16"/>
                <w:szCs w:val="18"/>
                <w:lang w:eastAsia="fr-FR"/>
              </w:rPr>
            </w:pPr>
            <w:r w:rsidRPr="00C258AD">
              <w:rPr>
                <w:b/>
                <w:bCs/>
                <w:color w:val="000000"/>
                <w:sz w:val="16"/>
                <w:szCs w:val="18"/>
                <w:lang w:eastAsia="fr-FR"/>
              </w:rPr>
              <w:t>Taux d’utilisation (%)</w:t>
            </w:r>
          </w:p>
        </w:tc>
      </w:tr>
      <w:tr w:rsidR="00C14A86" w:rsidRPr="00C258AD" w:rsidTr="006364A5">
        <w:trPr>
          <w:cantSplit/>
        </w:trPr>
        <w:tc>
          <w:tcPr>
            <w:tcW w:w="2400" w:type="dxa"/>
            <w:tcBorders>
              <w:top w:val="nil"/>
              <w:left w:val="single" w:sz="4" w:space="0" w:color="auto"/>
              <w:bottom w:val="single" w:sz="4" w:space="0" w:color="auto"/>
              <w:right w:val="single" w:sz="4" w:space="0" w:color="auto"/>
            </w:tcBorders>
            <w:shd w:val="clear" w:color="auto" w:fill="auto"/>
            <w:noWrap/>
            <w:vAlign w:val="center"/>
            <w:hideMark/>
          </w:tcPr>
          <w:p w:rsidR="00C14A86" w:rsidRPr="00C258AD" w:rsidRDefault="00C14A86" w:rsidP="006364A5">
            <w:pPr>
              <w:keepNext/>
              <w:rPr>
                <w:color w:val="000000"/>
                <w:sz w:val="16"/>
                <w:szCs w:val="18"/>
                <w:lang w:eastAsia="fr-FR"/>
              </w:rPr>
            </w:pPr>
            <w:r w:rsidRPr="00C258AD">
              <w:rPr>
                <w:color w:val="000000"/>
                <w:sz w:val="16"/>
                <w:szCs w:val="18"/>
                <w:lang w:eastAsia="fr-FR"/>
              </w:rPr>
              <w:t xml:space="preserve">Dépenses de personnel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C14A86" w:rsidRPr="00C258AD" w:rsidRDefault="00C14A86" w:rsidP="006364A5">
            <w:pPr>
              <w:keepNext/>
              <w:jc w:val="center"/>
              <w:rPr>
                <w:color w:val="000000"/>
                <w:sz w:val="16"/>
                <w:szCs w:val="18"/>
                <w:lang w:eastAsia="fr-FR"/>
              </w:rPr>
            </w:pPr>
            <w:r w:rsidRPr="00C258AD">
              <w:rPr>
                <w:color w:val="000000"/>
                <w:sz w:val="16"/>
                <w:szCs w:val="18"/>
                <w:lang w:eastAsia="fr-FR"/>
              </w:rPr>
              <w:t>43 365</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C14A86" w:rsidRPr="00C258AD" w:rsidRDefault="00C14A86" w:rsidP="006364A5">
            <w:pPr>
              <w:keepNext/>
              <w:jc w:val="center"/>
              <w:rPr>
                <w:color w:val="000000"/>
                <w:sz w:val="16"/>
                <w:szCs w:val="18"/>
                <w:lang w:eastAsia="fr-FR"/>
              </w:rPr>
            </w:pPr>
            <w:r w:rsidRPr="00C258AD">
              <w:rPr>
                <w:color w:val="000000"/>
                <w:sz w:val="16"/>
                <w:szCs w:val="18"/>
                <w:lang w:eastAsia="fr-FR"/>
              </w:rPr>
              <w:t>42 939</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C14A86" w:rsidRPr="00C258AD" w:rsidRDefault="00C14A86" w:rsidP="006364A5">
            <w:pPr>
              <w:keepNext/>
              <w:jc w:val="center"/>
              <w:rPr>
                <w:color w:val="000000"/>
                <w:sz w:val="16"/>
                <w:szCs w:val="18"/>
                <w:lang w:eastAsia="fr-FR"/>
              </w:rPr>
            </w:pPr>
            <w:r w:rsidRPr="00C258AD">
              <w:rPr>
                <w:color w:val="000000"/>
                <w:sz w:val="16"/>
                <w:szCs w:val="18"/>
                <w:lang w:eastAsia="fr-FR"/>
              </w:rPr>
              <w:t>42 356</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C14A86" w:rsidRPr="00C258AD" w:rsidRDefault="00C14A86" w:rsidP="006364A5">
            <w:pPr>
              <w:keepNext/>
              <w:jc w:val="center"/>
              <w:rPr>
                <w:color w:val="000000"/>
                <w:sz w:val="16"/>
                <w:szCs w:val="18"/>
                <w:lang w:eastAsia="fr-FR"/>
              </w:rPr>
            </w:pPr>
            <w:r w:rsidRPr="00C258AD">
              <w:rPr>
                <w:color w:val="000000"/>
                <w:sz w:val="16"/>
                <w:szCs w:val="18"/>
                <w:lang w:eastAsia="fr-FR"/>
              </w:rPr>
              <w:t>99%</w:t>
            </w:r>
          </w:p>
        </w:tc>
      </w:tr>
      <w:tr w:rsidR="00C14A86" w:rsidRPr="00C258AD" w:rsidTr="006364A5">
        <w:trPr>
          <w:cantSplit/>
        </w:trPr>
        <w:tc>
          <w:tcPr>
            <w:tcW w:w="2400" w:type="dxa"/>
            <w:tcBorders>
              <w:top w:val="nil"/>
              <w:left w:val="single" w:sz="4" w:space="0" w:color="auto"/>
              <w:bottom w:val="single" w:sz="4" w:space="0" w:color="auto"/>
              <w:right w:val="single" w:sz="4" w:space="0" w:color="auto"/>
            </w:tcBorders>
            <w:shd w:val="clear" w:color="auto" w:fill="auto"/>
            <w:noWrap/>
            <w:vAlign w:val="center"/>
            <w:hideMark/>
          </w:tcPr>
          <w:p w:rsidR="00C14A86" w:rsidRPr="00C258AD" w:rsidRDefault="00C14A86" w:rsidP="006364A5">
            <w:pPr>
              <w:keepNext/>
              <w:rPr>
                <w:color w:val="000000"/>
                <w:sz w:val="16"/>
                <w:szCs w:val="18"/>
                <w:lang w:eastAsia="fr-FR"/>
              </w:rPr>
            </w:pPr>
            <w:r w:rsidRPr="00C258AD">
              <w:rPr>
                <w:color w:val="000000"/>
                <w:sz w:val="16"/>
                <w:szCs w:val="18"/>
                <w:lang w:eastAsia="fr-FR"/>
              </w:rPr>
              <w:t xml:space="preserve">Autres dépenses </w:t>
            </w:r>
          </w:p>
        </w:tc>
        <w:tc>
          <w:tcPr>
            <w:tcW w:w="2080" w:type="dxa"/>
            <w:tcBorders>
              <w:top w:val="nil"/>
              <w:left w:val="nil"/>
              <w:bottom w:val="single" w:sz="4" w:space="0" w:color="auto"/>
              <w:right w:val="single" w:sz="4" w:space="0" w:color="auto"/>
            </w:tcBorders>
            <w:shd w:val="clear" w:color="auto" w:fill="auto"/>
            <w:vAlign w:val="center"/>
            <w:hideMark/>
          </w:tcPr>
          <w:p w:rsidR="00C14A86" w:rsidRPr="00C258AD" w:rsidRDefault="00C14A86" w:rsidP="006364A5">
            <w:pPr>
              <w:keepNext/>
              <w:jc w:val="center"/>
              <w:rPr>
                <w:color w:val="000000"/>
                <w:sz w:val="16"/>
                <w:szCs w:val="18"/>
                <w:lang w:eastAsia="fr-FR"/>
              </w:rPr>
            </w:pPr>
            <w:r w:rsidRPr="00C258AD">
              <w:rPr>
                <w:color w:val="000000"/>
                <w:sz w:val="16"/>
                <w:szCs w:val="18"/>
                <w:lang w:eastAsia="fr-FR"/>
              </w:rPr>
              <w:t>11 880</w:t>
            </w:r>
          </w:p>
        </w:tc>
        <w:tc>
          <w:tcPr>
            <w:tcW w:w="2080" w:type="dxa"/>
            <w:tcBorders>
              <w:top w:val="nil"/>
              <w:left w:val="nil"/>
              <w:bottom w:val="single" w:sz="4" w:space="0" w:color="auto"/>
              <w:right w:val="single" w:sz="4" w:space="0" w:color="auto"/>
            </w:tcBorders>
            <w:shd w:val="clear" w:color="auto" w:fill="auto"/>
            <w:vAlign w:val="center"/>
            <w:hideMark/>
          </w:tcPr>
          <w:p w:rsidR="00C14A86" w:rsidRPr="00C258AD" w:rsidRDefault="00C14A86" w:rsidP="006364A5">
            <w:pPr>
              <w:keepNext/>
              <w:jc w:val="center"/>
              <w:rPr>
                <w:color w:val="000000"/>
                <w:sz w:val="16"/>
                <w:szCs w:val="18"/>
                <w:lang w:eastAsia="fr-FR"/>
              </w:rPr>
            </w:pPr>
            <w:r w:rsidRPr="00C258AD">
              <w:rPr>
                <w:color w:val="000000"/>
                <w:sz w:val="16"/>
                <w:szCs w:val="18"/>
                <w:lang w:eastAsia="fr-FR"/>
              </w:rPr>
              <w:t>14 489</w:t>
            </w:r>
          </w:p>
        </w:tc>
        <w:tc>
          <w:tcPr>
            <w:tcW w:w="2080" w:type="dxa"/>
            <w:tcBorders>
              <w:top w:val="nil"/>
              <w:left w:val="nil"/>
              <w:bottom w:val="single" w:sz="4" w:space="0" w:color="auto"/>
              <w:right w:val="single" w:sz="4" w:space="0" w:color="auto"/>
            </w:tcBorders>
            <w:shd w:val="clear" w:color="auto" w:fill="auto"/>
            <w:vAlign w:val="center"/>
            <w:hideMark/>
          </w:tcPr>
          <w:p w:rsidR="00C14A86" w:rsidRPr="00C258AD" w:rsidRDefault="00C14A86" w:rsidP="006364A5">
            <w:pPr>
              <w:keepNext/>
              <w:jc w:val="center"/>
              <w:rPr>
                <w:color w:val="000000"/>
                <w:sz w:val="16"/>
                <w:szCs w:val="18"/>
                <w:lang w:eastAsia="fr-FR"/>
              </w:rPr>
            </w:pPr>
            <w:r w:rsidRPr="00C258AD">
              <w:rPr>
                <w:color w:val="000000"/>
                <w:sz w:val="16"/>
                <w:szCs w:val="18"/>
                <w:lang w:eastAsia="fr-FR"/>
              </w:rPr>
              <w:t>13 353</w:t>
            </w:r>
          </w:p>
        </w:tc>
        <w:tc>
          <w:tcPr>
            <w:tcW w:w="2080" w:type="dxa"/>
            <w:tcBorders>
              <w:top w:val="nil"/>
              <w:left w:val="nil"/>
              <w:bottom w:val="single" w:sz="4" w:space="0" w:color="auto"/>
              <w:right w:val="single" w:sz="4" w:space="0" w:color="auto"/>
            </w:tcBorders>
            <w:shd w:val="clear" w:color="auto" w:fill="auto"/>
            <w:vAlign w:val="center"/>
            <w:hideMark/>
          </w:tcPr>
          <w:p w:rsidR="00C14A86" w:rsidRPr="00C258AD" w:rsidRDefault="00C14A86" w:rsidP="006364A5">
            <w:pPr>
              <w:keepNext/>
              <w:jc w:val="center"/>
              <w:rPr>
                <w:color w:val="000000"/>
                <w:sz w:val="16"/>
                <w:szCs w:val="18"/>
                <w:lang w:eastAsia="fr-FR"/>
              </w:rPr>
            </w:pPr>
            <w:r w:rsidRPr="00C258AD">
              <w:rPr>
                <w:color w:val="000000"/>
                <w:sz w:val="16"/>
                <w:szCs w:val="18"/>
                <w:lang w:eastAsia="fr-FR"/>
              </w:rPr>
              <w:t>92%</w:t>
            </w:r>
          </w:p>
        </w:tc>
      </w:tr>
      <w:tr w:rsidR="00C14A86" w:rsidRPr="00C258AD" w:rsidTr="006364A5">
        <w:trPr>
          <w:cantSplit/>
        </w:trPr>
        <w:tc>
          <w:tcPr>
            <w:tcW w:w="2400" w:type="dxa"/>
            <w:tcBorders>
              <w:top w:val="nil"/>
              <w:left w:val="single" w:sz="4" w:space="0" w:color="auto"/>
              <w:bottom w:val="single" w:sz="4" w:space="0" w:color="auto"/>
              <w:right w:val="single" w:sz="4" w:space="0" w:color="auto"/>
            </w:tcBorders>
            <w:shd w:val="clear" w:color="auto" w:fill="auto"/>
            <w:noWrap/>
            <w:vAlign w:val="center"/>
            <w:hideMark/>
          </w:tcPr>
          <w:p w:rsidR="00C14A86" w:rsidRPr="00C258AD" w:rsidRDefault="00C14A86" w:rsidP="006364A5">
            <w:pPr>
              <w:keepNext/>
              <w:jc w:val="right"/>
              <w:rPr>
                <w:b/>
                <w:bCs/>
                <w:color w:val="000000"/>
                <w:sz w:val="16"/>
                <w:szCs w:val="18"/>
                <w:lang w:eastAsia="fr-FR"/>
              </w:rPr>
            </w:pPr>
            <w:r w:rsidRPr="00C258AD">
              <w:rPr>
                <w:b/>
                <w:bCs/>
                <w:color w:val="000000"/>
                <w:sz w:val="16"/>
                <w:szCs w:val="18"/>
                <w:lang w:eastAsia="fr-FR"/>
              </w:rPr>
              <w:t xml:space="preserve">TOTAL </w:t>
            </w:r>
          </w:p>
        </w:tc>
        <w:tc>
          <w:tcPr>
            <w:tcW w:w="2080" w:type="dxa"/>
            <w:tcBorders>
              <w:top w:val="nil"/>
              <w:left w:val="nil"/>
              <w:bottom w:val="single" w:sz="4" w:space="0" w:color="auto"/>
              <w:right w:val="single" w:sz="4" w:space="0" w:color="auto"/>
            </w:tcBorders>
            <w:shd w:val="clear" w:color="auto" w:fill="auto"/>
            <w:vAlign w:val="center"/>
            <w:hideMark/>
          </w:tcPr>
          <w:p w:rsidR="00C14A86" w:rsidRPr="00C258AD" w:rsidRDefault="00C14A86" w:rsidP="006364A5">
            <w:pPr>
              <w:keepNext/>
              <w:jc w:val="center"/>
              <w:rPr>
                <w:b/>
                <w:bCs/>
                <w:color w:val="000000"/>
                <w:sz w:val="16"/>
                <w:szCs w:val="18"/>
                <w:lang w:eastAsia="fr-FR"/>
              </w:rPr>
            </w:pPr>
            <w:r w:rsidRPr="00C258AD">
              <w:rPr>
                <w:b/>
                <w:bCs/>
                <w:color w:val="000000"/>
                <w:sz w:val="16"/>
                <w:szCs w:val="18"/>
                <w:lang w:eastAsia="fr-FR"/>
              </w:rPr>
              <w:t>55 245</w:t>
            </w:r>
          </w:p>
        </w:tc>
        <w:tc>
          <w:tcPr>
            <w:tcW w:w="2080" w:type="dxa"/>
            <w:tcBorders>
              <w:top w:val="nil"/>
              <w:left w:val="nil"/>
              <w:bottom w:val="single" w:sz="4" w:space="0" w:color="auto"/>
              <w:right w:val="single" w:sz="4" w:space="0" w:color="auto"/>
            </w:tcBorders>
            <w:shd w:val="clear" w:color="auto" w:fill="auto"/>
            <w:vAlign w:val="center"/>
            <w:hideMark/>
          </w:tcPr>
          <w:p w:rsidR="00C14A86" w:rsidRPr="00C258AD" w:rsidRDefault="00C14A86" w:rsidP="006364A5">
            <w:pPr>
              <w:keepNext/>
              <w:jc w:val="center"/>
              <w:rPr>
                <w:b/>
                <w:bCs/>
                <w:color w:val="000000"/>
                <w:sz w:val="16"/>
                <w:szCs w:val="18"/>
                <w:lang w:eastAsia="fr-FR"/>
              </w:rPr>
            </w:pPr>
            <w:r w:rsidRPr="00C258AD">
              <w:rPr>
                <w:b/>
                <w:bCs/>
                <w:color w:val="000000"/>
                <w:sz w:val="16"/>
                <w:szCs w:val="18"/>
                <w:lang w:eastAsia="fr-FR"/>
              </w:rPr>
              <w:t>57 428</w:t>
            </w:r>
          </w:p>
        </w:tc>
        <w:tc>
          <w:tcPr>
            <w:tcW w:w="2080" w:type="dxa"/>
            <w:tcBorders>
              <w:top w:val="nil"/>
              <w:left w:val="nil"/>
              <w:bottom w:val="single" w:sz="4" w:space="0" w:color="auto"/>
              <w:right w:val="single" w:sz="4" w:space="0" w:color="auto"/>
            </w:tcBorders>
            <w:shd w:val="clear" w:color="auto" w:fill="auto"/>
            <w:vAlign w:val="center"/>
            <w:hideMark/>
          </w:tcPr>
          <w:p w:rsidR="00C14A86" w:rsidRPr="00C258AD" w:rsidRDefault="00C14A86" w:rsidP="006364A5">
            <w:pPr>
              <w:keepNext/>
              <w:jc w:val="center"/>
              <w:rPr>
                <w:b/>
                <w:bCs/>
                <w:color w:val="000000"/>
                <w:sz w:val="16"/>
                <w:szCs w:val="18"/>
                <w:lang w:eastAsia="fr-FR"/>
              </w:rPr>
            </w:pPr>
            <w:r w:rsidRPr="00C258AD">
              <w:rPr>
                <w:b/>
                <w:bCs/>
                <w:color w:val="000000"/>
                <w:sz w:val="16"/>
                <w:szCs w:val="18"/>
                <w:lang w:eastAsia="fr-FR"/>
              </w:rPr>
              <w:t>55 709</w:t>
            </w:r>
          </w:p>
        </w:tc>
        <w:tc>
          <w:tcPr>
            <w:tcW w:w="2080" w:type="dxa"/>
            <w:tcBorders>
              <w:top w:val="nil"/>
              <w:left w:val="nil"/>
              <w:bottom w:val="single" w:sz="4" w:space="0" w:color="auto"/>
              <w:right w:val="single" w:sz="4" w:space="0" w:color="auto"/>
            </w:tcBorders>
            <w:shd w:val="clear" w:color="auto" w:fill="auto"/>
            <w:vAlign w:val="center"/>
            <w:hideMark/>
          </w:tcPr>
          <w:p w:rsidR="00C14A86" w:rsidRPr="00C258AD" w:rsidRDefault="00C14A86" w:rsidP="006364A5">
            <w:pPr>
              <w:keepNext/>
              <w:jc w:val="center"/>
              <w:rPr>
                <w:b/>
                <w:bCs/>
                <w:color w:val="000000"/>
                <w:sz w:val="16"/>
                <w:szCs w:val="18"/>
                <w:lang w:eastAsia="fr-FR"/>
              </w:rPr>
            </w:pPr>
            <w:r w:rsidRPr="00C258AD">
              <w:rPr>
                <w:b/>
                <w:bCs/>
                <w:color w:val="000000"/>
                <w:sz w:val="16"/>
                <w:szCs w:val="18"/>
                <w:lang w:eastAsia="fr-FR"/>
              </w:rPr>
              <w:t>97%</w:t>
            </w:r>
          </w:p>
        </w:tc>
      </w:tr>
    </w:tbl>
    <w:p w:rsidR="00C14A86" w:rsidRPr="00C258AD" w:rsidRDefault="00C14A86" w:rsidP="006364A5">
      <w:pPr>
        <w:widowControl w:val="0"/>
        <w:autoSpaceDE w:val="0"/>
        <w:autoSpaceDN w:val="0"/>
        <w:adjustRightInd w:val="0"/>
        <w:jc w:val="both"/>
      </w:pPr>
    </w:p>
    <w:p w:rsidR="00C14A86" w:rsidRPr="00C258AD" w:rsidRDefault="00C14A86" w:rsidP="006364A5">
      <w:pPr>
        <w:widowControl w:val="0"/>
        <w:autoSpaceDE w:val="0"/>
        <w:autoSpaceDN w:val="0"/>
        <w:adjustRightInd w:val="0"/>
        <w:jc w:val="both"/>
      </w:pPr>
    </w:p>
    <w:p w:rsidR="00C14A86" w:rsidRPr="00C258AD" w:rsidRDefault="00C14A86" w:rsidP="006364A5">
      <w:pPr>
        <w:rPr>
          <w:u w:val="single"/>
        </w:rPr>
      </w:pPr>
      <w:r w:rsidRPr="00C258AD">
        <w:t>A.</w:t>
      </w:r>
      <w:r w:rsidRPr="00C258AD">
        <w:tab/>
      </w:r>
      <w:r w:rsidRPr="00C258AD">
        <w:rPr>
          <w:u w:val="single"/>
        </w:rPr>
        <w:t>Budget final 2014</w:t>
      </w:r>
      <w:r w:rsidRPr="00C258AD">
        <w:rPr>
          <w:u w:val="single"/>
        </w:rPr>
        <w:noBreakHyphen/>
        <w:t>2015 après virements</w:t>
      </w:r>
    </w:p>
    <w:p w:rsidR="00C14A86" w:rsidRPr="00C258AD" w:rsidRDefault="00C14A86" w:rsidP="006364A5">
      <w:pPr>
        <w:rPr>
          <w:u w:val="single"/>
        </w:rPr>
      </w:pPr>
    </w:p>
    <w:p w:rsidR="00C14A86" w:rsidRPr="00C258AD" w:rsidRDefault="00C14A86" w:rsidP="006364A5">
      <w:pPr>
        <w:rPr>
          <w:lang w:eastAsia="ko-KR"/>
        </w:rPr>
      </w:pPr>
      <w:r w:rsidRPr="00C258AD">
        <w:rPr>
          <w:lang w:eastAsia="ko-KR"/>
        </w:rPr>
        <w:t>6.11</w:t>
      </w:r>
      <w:r w:rsidRPr="00C258AD">
        <w:rPr>
          <w:lang w:eastAsia="ko-KR"/>
        </w:rPr>
        <w:tab/>
        <w:t>Le budget final après virements au titre du résultat II.6 (Utilisation élargie et améliorée des systèmes de Madrid et de Lisbonne, notamment par les pays en développement et les PMA) tient compte d’un ajustement à la hausse principalement dû i) au virement de fonds supplémentaires pour appuyer l’initiative de réforme, y compris l’expansion du programme de bourses dans le cadre du système de Madrid, ii) au virement de fonds destinés à la convocation d’une conférence diplomatique pour l’adoption d’un Arrangement de Lisbonne révisé sur les appellations d’origine et les indications géographiques et iii) au virement de fonds du programme 31 au programme 6 pour les travaux informatiques, ainsi que pour couvrir les coûts de participation d’un nombre accru de délégués aux Assemblées des Unions de Madrid, de La Haye et de Lisbonne, par suite de la croissance de ces systèmes.</w:t>
      </w:r>
    </w:p>
    <w:p w:rsidR="00C14A86" w:rsidRPr="00C258AD" w:rsidRDefault="00C14A86" w:rsidP="006364A5">
      <w:pPr>
        <w:rPr>
          <w:lang w:eastAsia="ko-KR"/>
        </w:rPr>
      </w:pPr>
    </w:p>
    <w:p w:rsidR="00C14A86" w:rsidRPr="00C258AD" w:rsidRDefault="00C14A86" w:rsidP="006364A5">
      <w:pPr>
        <w:rPr>
          <w:rFonts w:cs="Arial"/>
          <w:lang w:eastAsia="ko-KR"/>
        </w:rPr>
      </w:pPr>
      <w:r w:rsidRPr="00C258AD">
        <w:rPr>
          <w:lang w:eastAsia="ko-KR"/>
        </w:rPr>
        <w:t>6.12</w:t>
      </w:r>
      <w:r w:rsidRPr="00C258AD">
        <w:rPr>
          <w:lang w:eastAsia="ko-KR"/>
        </w:rPr>
        <w:tab/>
        <w:t>La baisse nette des ressources en personnel dans le budget final 2014</w:t>
      </w:r>
      <w:r w:rsidRPr="00C258AD">
        <w:rPr>
          <w:lang w:eastAsia="ko-KR"/>
        </w:rPr>
        <w:noBreakHyphen/>
        <w:t>2015 après virements traduit le passage à un mode de dotation plus souple et modulable pour les opérations de Madrid, dans le cadre de l’initiative de réforme.</w:t>
      </w:r>
    </w:p>
    <w:p w:rsidR="00C14A86" w:rsidRPr="00C258AD" w:rsidRDefault="00C14A86" w:rsidP="006364A5">
      <w:pPr>
        <w:autoSpaceDE w:val="0"/>
        <w:autoSpaceDN w:val="0"/>
        <w:jc w:val="both"/>
        <w:rPr>
          <w:lang w:eastAsia="ko-KR"/>
        </w:rPr>
      </w:pPr>
    </w:p>
    <w:p w:rsidR="00C14A86" w:rsidRPr="00C258AD" w:rsidRDefault="00C14A86" w:rsidP="006364A5">
      <w:pPr>
        <w:autoSpaceDE w:val="0"/>
        <w:autoSpaceDN w:val="0"/>
        <w:jc w:val="both"/>
        <w:rPr>
          <w:lang w:eastAsia="ko-KR"/>
        </w:rPr>
      </w:pPr>
    </w:p>
    <w:p w:rsidR="00C14A86" w:rsidRPr="00C258AD" w:rsidRDefault="00C14A86" w:rsidP="006364A5">
      <w:pPr>
        <w:jc w:val="both"/>
        <w:rPr>
          <w:u w:val="single"/>
          <w:lang w:eastAsia="ko-KR"/>
        </w:rPr>
      </w:pPr>
      <w:r w:rsidRPr="00C258AD">
        <w:rPr>
          <w:lang w:eastAsia="ko-KR"/>
        </w:rPr>
        <w:t>B.</w:t>
      </w:r>
      <w:r w:rsidRPr="00C258AD">
        <w:rPr>
          <w:lang w:eastAsia="ko-KR"/>
        </w:rPr>
        <w:tab/>
      </w:r>
      <w:r w:rsidRPr="00C258AD">
        <w:rPr>
          <w:u w:val="single"/>
          <w:lang w:eastAsia="ko-KR"/>
        </w:rPr>
        <w:t>Utilisation du budget en 2014</w:t>
      </w:r>
      <w:r w:rsidRPr="00C258AD">
        <w:rPr>
          <w:u w:val="single"/>
          <w:lang w:eastAsia="ko-KR"/>
        </w:rPr>
        <w:noBreakHyphen/>
        <w:t>2015</w:t>
      </w:r>
    </w:p>
    <w:p w:rsidR="00C14A86" w:rsidRPr="00C258AD" w:rsidRDefault="00C14A86" w:rsidP="006364A5">
      <w:pPr>
        <w:tabs>
          <w:tab w:val="left" w:pos="709"/>
        </w:tabs>
        <w:jc w:val="both"/>
        <w:rPr>
          <w:u w:val="single"/>
          <w:lang w:eastAsia="ko-KR"/>
        </w:rPr>
      </w:pPr>
    </w:p>
    <w:p w:rsidR="00C14A86" w:rsidRPr="00C258AD" w:rsidRDefault="00C14A86" w:rsidP="006364A5">
      <w:r w:rsidRPr="00C258AD">
        <w:rPr>
          <w:lang w:eastAsia="ko-KR"/>
        </w:rPr>
        <w:t>6.13</w:t>
      </w:r>
      <w:r w:rsidRPr="00C258AD">
        <w:rPr>
          <w:lang w:eastAsia="ko-KR"/>
        </w:rPr>
        <w:tab/>
        <w:t>L’utilisation du budget se situe dans la fourchette escomptée pour l’exercice biennal.</w:t>
      </w:r>
    </w:p>
    <w:p w:rsidR="006E2BB1" w:rsidRPr="00C258AD" w:rsidRDefault="007212D8" w:rsidP="007212D8">
      <w:r w:rsidRPr="00C258AD">
        <w:br w:type="page"/>
      </w:r>
    </w:p>
    <w:p w:rsidR="006E2658" w:rsidRPr="00C258AD" w:rsidRDefault="006E2658" w:rsidP="006E2658">
      <w:pPr>
        <w:pStyle w:val="Heading4"/>
      </w:pPr>
      <w:bookmarkStart w:id="80" w:name="_Toc421694907"/>
      <w:bookmarkStart w:id="81" w:name="_Toc422404222"/>
      <w:bookmarkStart w:id="82" w:name="_Toc423352870"/>
      <w:r w:rsidRPr="00C258AD">
        <w:lastRenderedPageBreak/>
        <w:t>Annexe du programme 6 : indicateurs relatifs aux opérations du système de Madrid</w:t>
      </w:r>
      <w:bookmarkEnd w:id="80"/>
      <w:bookmarkEnd w:id="81"/>
      <w:bookmarkEnd w:id="82"/>
    </w:p>
    <w:p w:rsidR="006E2658" w:rsidRPr="00C258AD" w:rsidRDefault="006E2658" w:rsidP="00927E1F">
      <w:pPr>
        <w:autoSpaceDE w:val="0"/>
        <w:autoSpaceDN w:val="0"/>
        <w:jc w:val="both"/>
      </w:pPr>
    </w:p>
    <w:p w:rsidR="006E2658" w:rsidRPr="00C258AD" w:rsidRDefault="006E2658" w:rsidP="00927E1F">
      <w:pPr>
        <w:autoSpaceDE w:val="0"/>
        <w:autoSpaceDN w:val="0"/>
        <w:jc w:val="both"/>
      </w:pPr>
    </w:p>
    <w:p w:rsidR="006E2658" w:rsidRPr="00C258AD" w:rsidRDefault="006E2658" w:rsidP="00927E1F">
      <w:pPr>
        <w:rPr>
          <w:sz w:val="22"/>
          <w:lang w:bidi="th-TH"/>
        </w:rPr>
      </w:pPr>
      <w:r w:rsidRPr="00C258AD">
        <w:rPr>
          <w:sz w:val="22"/>
          <w:lang w:bidi="th-TH"/>
        </w:rPr>
        <w:t>INDICATEURS D’EXÉCUTION POUR LE RÉSULTAT ESCOMPTÉ</w:t>
      </w:r>
    </w:p>
    <w:p w:rsidR="006E2658" w:rsidRPr="00C258AD" w:rsidRDefault="006E2658" w:rsidP="00927E1F">
      <w:pPr>
        <w:tabs>
          <w:tab w:val="left" w:pos="1525"/>
          <w:tab w:val="right" w:pos="2835"/>
        </w:tabs>
        <w:spacing w:after="60"/>
        <w:rPr>
          <w:sz w:val="22"/>
        </w:rPr>
      </w:pPr>
      <w:r w:rsidRPr="00C258AD">
        <w:rPr>
          <w:sz w:val="22"/>
        </w:rPr>
        <w:t>“</w:t>
      </w:r>
      <w:r w:rsidRPr="00C258AD">
        <w:rPr>
          <w:caps/>
          <w:sz w:val="22"/>
          <w:lang w:bidi="th-TH"/>
        </w:rPr>
        <w:t>Amélioration de la productivité et de la qualité de service des opérations du système de Madrid</w:t>
      </w:r>
      <w:r w:rsidRPr="00C258AD">
        <w:rPr>
          <w:sz w:val="22"/>
        </w:rPr>
        <w:t>”</w:t>
      </w:r>
    </w:p>
    <w:p w:rsidR="006E2658" w:rsidRPr="00C258AD" w:rsidRDefault="006E2658" w:rsidP="00927E1F">
      <w:pPr>
        <w:rPr>
          <w:b/>
        </w:rPr>
      </w:pPr>
    </w:p>
    <w:p w:rsidR="006E2658" w:rsidRPr="00C258AD" w:rsidRDefault="006E2658" w:rsidP="006E2658">
      <w:pPr>
        <w:pStyle w:val="ListParagraph"/>
        <w:numPr>
          <w:ilvl w:val="0"/>
          <w:numId w:val="73"/>
        </w:numPr>
        <w:tabs>
          <w:tab w:val="left" w:pos="567"/>
        </w:tabs>
        <w:ind w:left="0" w:firstLine="0"/>
        <w:contextualSpacing/>
        <w:jc w:val="both"/>
      </w:pPr>
      <w:r w:rsidRPr="00C258AD">
        <w:t>Les facteurs à examiner aux fins de l’évaluation des indicateurs d’exécution pour le résultat escompté “Amélioration de la productivité et de la qualité de service des opérations du système de Madrid” sont les suivants :</w:t>
      </w:r>
    </w:p>
    <w:p w:rsidR="006E2658" w:rsidRPr="00C258AD" w:rsidRDefault="006E2658" w:rsidP="00927E1F">
      <w:pPr>
        <w:jc w:val="both"/>
      </w:pPr>
    </w:p>
    <w:p w:rsidR="006E2658" w:rsidRPr="00C258AD" w:rsidRDefault="006E2658" w:rsidP="006E2658">
      <w:pPr>
        <w:numPr>
          <w:ilvl w:val="0"/>
          <w:numId w:val="63"/>
        </w:numPr>
        <w:tabs>
          <w:tab w:val="clear" w:pos="720"/>
          <w:tab w:val="num" w:pos="1701"/>
        </w:tabs>
        <w:spacing w:after="120"/>
        <w:ind w:left="1701" w:hanging="567"/>
        <w:jc w:val="both"/>
      </w:pPr>
      <w:r w:rsidRPr="00C258AD">
        <w:t>la charge de travail du système de Madrid;</w:t>
      </w:r>
    </w:p>
    <w:p w:rsidR="006E2658" w:rsidRPr="00C258AD" w:rsidRDefault="006E2658" w:rsidP="006E2658">
      <w:pPr>
        <w:numPr>
          <w:ilvl w:val="0"/>
          <w:numId w:val="63"/>
        </w:numPr>
        <w:tabs>
          <w:tab w:val="clear" w:pos="720"/>
          <w:tab w:val="num" w:pos="1701"/>
        </w:tabs>
        <w:spacing w:after="120"/>
        <w:ind w:left="1701" w:hanging="567"/>
        <w:jc w:val="both"/>
      </w:pPr>
      <w:r w:rsidRPr="00C258AD">
        <w:t>la composition de cette charge de travail;</w:t>
      </w:r>
    </w:p>
    <w:p w:rsidR="006E2658" w:rsidRPr="00C258AD" w:rsidRDefault="006E2658" w:rsidP="006E2658">
      <w:pPr>
        <w:numPr>
          <w:ilvl w:val="0"/>
          <w:numId w:val="63"/>
        </w:numPr>
        <w:tabs>
          <w:tab w:val="clear" w:pos="720"/>
          <w:tab w:val="num" w:pos="1701"/>
        </w:tabs>
        <w:spacing w:after="120"/>
        <w:ind w:left="1701" w:hanging="567"/>
        <w:jc w:val="both"/>
      </w:pPr>
      <w:r w:rsidRPr="00C258AD">
        <w:t>les effectifs affectés au traitement de cette charge de travail;</w:t>
      </w:r>
    </w:p>
    <w:p w:rsidR="006E2658" w:rsidRPr="00C258AD" w:rsidRDefault="006E2658" w:rsidP="006E2658">
      <w:pPr>
        <w:numPr>
          <w:ilvl w:val="0"/>
          <w:numId w:val="63"/>
        </w:numPr>
        <w:tabs>
          <w:tab w:val="clear" w:pos="720"/>
          <w:tab w:val="num" w:pos="1701"/>
        </w:tabs>
        <w:spacing w:after="120"/>
        <w:ind w:left="1701" w:hanging="567"/>
        <w:jc w:val="both"/>
      </w:pPr>
      <w:r w:rsidRPr="00C258AD">
        <w:t>le degré d’automatisation;  et</w:t>
      </w:r>
    </w:p>
    <w:p w:rsidR="006E2658" w:rsidRPr="00C258AD" w:rsidRDefault="006E2658" w:rsidP="006E2658">
      <w:pPr>
        <w:numPr>
          <w:ilvl w:val="0"/>
          <w:numId w:val="63"/>
        </w:numPr>
        <w:tabs>
          <w:tab w:val="clear" w:pos="720"/>
          <w:tab w:val="num" w:pos="1701"/>
        </w:tabs>
        <w:spacing w:after="120"/>
        <w:ind w:left="1701" w:hanging="567"/>
        <w:jc w:val="both"/>
      </w:pPr>
      <w:r w:rsidRPr="00C258AD">
        <w:t>le coût total de production.</w:t>
      </w:r>
    </w:p>
    <w:p w:rsidR="006E2658" w:rsidRPr="00C258AD" w:rsidRDefault="006E2658" w:rsidP="00927E1F">
      <w:pPr>
        <w:jc w:val="both"/>
      </w:pPr>
    </w:p>
    <w:p w:rsidR="006E2658" w:rsidRPr="00C258AD" w:rsidRDefault="006E2658" w:rsidP="006E2658">
      <w:pPr>
        <w:pStyle w:val="ListParagraph"/>
        <w:numPr>
          <w:ilvl w:val="0"/>
          <w:numId w:val="68"/>
        </w:numPr>
        <w:ind w:left="360" w:hanging="360"/>
        <w:contextualSpacing/>
        <w:jc w:val="both"/>
        <w:rPr>
          <w:b/>
        </w:rPr>
      </w:pPr>
      <w:r w:rsidRPr="00C258AD">
        <w:rPr>
          <w:b/>
        </w:rPr>
        <w:t>Documents reçus</w:t>
      </w:r>
    </w:p>
    <w:p w:rsidR="006E2658" w:rsidRPr="00C258AD" w:rsidRDefault="006E2658" w:rsidP="00927E1F">
      <w:pPr>
        <w:jc w:val="both"/>
      </w:pPr>
    </w:p>
    <w:p w:rsidR="006E2658" w:rsidRPr="00C258AD" w:rsidRDefault="006E2658" w:rsidP="006E2658">
      <w:pPr>
        <w:pStyle w:val="ListParagraph"/>
        <w:numPr>
          <w:ilvl w:val="0"/>
          <w:numId w:val="73"/>
        </w:numPr>
        <w:tabs>
          <w:tab w:val="left" w:pos="567"/>
        </w:tabs>
        <w:ind w:left="0" w:firstLine="0"/>
        <w:contextualSpacing/>
        <w:jc w:val="both"/>
      </w:pPr>
      <w:r w:rsidRPr="00C258AD">
        <w:t>Le Bureau international reçoit six catégories différentes de documents, à savoir les demandes internationales, les renouvellements, les désignations postérieures, les modifications, les décisions et les corrections.  La tendance la plus récente en ce qui concerne le nombre de documents reçu pour chacune de ces catégories est indiquée ci</w:t>
      </w:r>
      <w:r w:rsidRPr="00C258AD">
        <w:noBreakHyphen/>
        <w:t>dessous.  Des renseignements supplémentaires sont également fournis concernant les demandes internationales, par exemple le nombre moyen de classes et la longueur moyenne des demandes.  Pour des raisons techniques, certains indicateurs montrent des données fondées sur des documents traités plutôt que sur des documents reçus.  Les retards de traitement peuvent ainsi avoir une incidence sur certains indicateurs.  Cela s’applique en particulier à l’année 2015, dans la mesure où une part importante de ces retards a été éliminée au cours de cette année.</w:t>
      </w:r>
    </w:p>
    <w:p w:rsidR="006E2658" w:rsidRPr="00C258AD" w:rsidRDefault="006E2658" w:rsidP="00927E1F">
      <w:pPr>
        <w:jc w:val="both"/>
      </w:pPr>
    </w:p>
    <w:p w:rsidR="006E2658" w:rsidRPr="00C258AD" w:rsidRDefault="006E2658" w:rsidP="00927E1F">
      <w:pPr>
        <w:jc w:val="both"/>
        <w:rPr>
          <w:u w:val="single"/>
        </w:rPr>
      </w:pPr>
      <w:r w:rsidRPr="00C258AD">
        <w:rPr>
          <w:u w:val="single"/>
        </w:rPr>
        <w:t>Demandes internationales</w:t>
      </w:r>
    </w:p>
    <w:p w:rsidR="006E2658" w:rsidRPr="00C258AD" w:rsidRDefault="006E2658" w:rsidP="00927E1F">
      <w:r w:rsidRPr="00C258AD">
        <w:rPr>
          <w:noProof/>
          <w:lang w:val="en-US"/>
        </w:rPr>
        <w:drawing>
          <wp:inline distT="0" distB="0" distL="0" distR="0" wp14:anchorId="03FE9FA1" wp14:editId="5A3E98FC">
            <wp:extent cx="5940425" cy="2742328"/>
            <wp:effectExtent l="0" t="0" r="3175" b="127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940425" cy="2742328"/>
                    </a:xfrm>
                    <a:prstGeom prst="rect">
                      <a:avLst/>
                    </a:prstGeom>
                    <a:noFill/>
                    <a:ln>
                      <a:noFill/>
                    </a:ln>
                  </pic:spPr>
                </pic:pic>
              </a:graphicData>
            </a:graphic>
          </wp:inline>
        </w:drawing>
      </w:r>
    </w:p>
    <w:p w:rsidR="006E2658" w:rsidRPr="00C258AD" w:rsidRDefault="006E2658" w:rsidP="00927E1F"/>
    <w:p w:rsidR="006E2658" w:rsidRPr="00C258AD" w:rsidRDefault="006E2658" w:rsidP="006E2658">
      <w:pPr>
        <w:numPr>
          <w:ilvl w:val="0"/>
          <w:numId w:val="63"/>
        </w:numPr>
        <w:tabs>
          <w:tab w:val="clear" w:pos="720"/>
        </w:tabs>
        <w:spacing w:after="120"/>
        <w:ind w:left="1134" w:hanging="567"/>
        <w:jc w:val="both"/>
      </w:pPr>
      <w:r w:rsidRPr="00C258AD">
        <w:t>Le Bureau international a reçu 49 273 demandes en 2015, soit une augmentation de 2,9% par rapport à 2014.  Le nombre total des demandes reçues au cours de l’exercice biennal 2014</w:t>
      </w:r>
      <w:r w:rsidRPr="00C258AD">
        <w:noBreakHyphen/>
        <w:t>2015 a été supérieur de 7% à celui de l’exercice 2012</w:t>
      </w:r>
      <w:r w:rsidRPr="00C258AD">
        <w:noBreakHyphen/>
        <w:t>2013.</w:t>
      </w:r>
    </w:p>
    <w:p w:rsidR="006E2658" w:rsidRPr="00C258AD" w:rsidRDefault="006E2658" w:rsidP="006E2658">
      <w:pPr>
        <w:numPr>
          <w:ilvl w:val="0"/>
          <w:numId w:val="63"/>
        </w:numPr>
        <w:tabs>
          <w:tab w:val="clear" w:pos="720"/>
        </w:tabs>
        <w:spacing w:after="120"/>
        <w:ind w:left="1134" w:hanging="567"/>
        <w:jc w:val="both"/>
      </w:pPr>
      <w:r w:rsidRPr="00C258AD">
        <w:t>Le nombre des demandes reçues a augmenté de façon constante depuis 2010.</w:t>
      </w:r>
    </w:p>
    <w:p w:rsidR="006E2658" w:rsidRPr="00C258AD" w:rsidRDefault="006E2658" w:rsidP="00927E1F">
      <w:pPr>
        <w:jc w:val="both"/>
      </w:pPr>
    </w:p>
    <w:p w:rsidR="006E2658" w:rsidRPr="00C258AD" w:rsidRDefault="006E2658" w:rsidP="00927E1F">
      <w:pPr>
        <w:keepNext/>
        <w:keepLines/>
        <w:tabs>
          <w:tab w:val="left" w:pos="1701"/>
        </w:tabs>
        <w:ind w:left="284"/>
        <w:jc w:val="both"/>
        <w:rPr>
          <w:i/>
        </w:rPr>
      </w:pPr>
      <w:r w:rsidRPr="00C258AD">
        <w:rPr>
          <w:i/>
        </w:rPr>
        <w:lastRenderedPageBreak/>
        <w:t>Répartition des demandes par langue de dépôt</w:t>
      </w:r>
    </w:p>
    <w:p w:rsidR="006E2658" w:rsidRPr="00C258AD" w:rsidRDefault="006E2658" w:rsidP="00927E1F">
      <w:pPr>
        <w:keepNext/>
        <w:keepLines/>
        <w:tabs>
          <w:tab w:val="left" w:pos="1701"/>
        </w:tabs>
        <w:jc w:val="both"/>
      </w:pPr>
    </w:p>
    <w:p w:rsidR="006E2658" w:rsidRPr="00C258AD" w:rsidRDefault="006E2658" w:rsidP="00927E1F">
      <w:r w:rsidRPr="00C258AD">
        <w:rPr>
          <w:noProof/>
          <w:lang w:val="en-US"/>
        </w:rPr>
        <w:drawing>
          <wp:inline distT="0" distB="0" distL="0" distR="0" wp14:anchorId="2E7FEFE9" wp14:editId="7D239ADA">
            <wp:extent cx="5940425" cy="2973572"/>
            <wp:effectExtent l="0" t="0" r="317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940425" cy="2973572"/>
                    </a:xfrm>
                    <a:prstGeom prst="rect">
                      <a:avLst/>
                    </a:prstGeom>
                    <a:noFill/>
                    <a:ln>
                      <a:noFill/>
                    </a:ln>
                  </pic:spPr>
                </pic:pic>
              </a:graphicData>
            </a:graphic>
          </wp:inline>
        </w:drawing>
      </w:r>
    </w:p>
    <w:p w:rsidR="006E2658" w:rsidRPr="00C258AD" w:rsidRDefault="006E2658" w:rsidP="006E2658">
      <w:pPr>
        <w:keepNext/>
        <w:keepLines/>
        <w:numPr>
          <w:ilvl w:val="0"/>
          <w:numId w:val="63"/>
        </w:numPr>
        <w:tabs>
          <w:tab w:val="clear" w:pos="720"/>
        </w:tabs>
        <w:spacing w:after="120"/>
        <w:ind w:left="1134" w:hanging="567"/>
        <w:jc w:val="both"/>
      </w:pPr>
      <w:r w:rsidRPr="00C258AD">
        <w:t>En 2015, 80% des demandes internationales ont été déposées en anglais.  Cette proportion est restée la même qu’en 2014, mais a été supérieure de 15 points de pourcentage à ce qu’elle était en 2008, puisque 65% de toutes les demandes avaient été déposées en anglais cette année</w:t>
      </w:r>
      <w:r w:rsidRPr="00C258AD">
        <w:noBreakHyphen/>
        <w:t>là.</w:t>
      </w:r>
    </w:p>
    <w:p w:rsidR="006E2658" w:rsidRPr="00C258AD" w:rsidRDefault="006E2658" w:rsidP="00927E1F">
      <w:pPr>
        <w:jc w:val="both"/>
      </w:pPr>
    </w:p>
    <w:p w:rsidR="006E2658" w:rsidRPr="00C258AD" w:rsidRDefault="006E2658" w:rsidP="00927E1F">
      <w:pPr>
        <w:jc w:val="both"/>
      </w:pPr>
    </w:p>
    <w:p w:rsidR="006E2658" w:rsidRPr="00C258AD" w:rsidRDefault="006E2658" w:rsidP="00927E1F">
      <w:pPr>
        <w:keepNext/>
        <w:keepLines/>
        <w:tabs>
          <w:tab w:val="left" w:pos="1701"/>
        </w:tabs>
        <w:ind w:left="284"/>
        <w:jc w:val="both"/>
        <w:rPr>
          <w:i/>
        </w:rPr>
      </w:pPr>
      <w:r w:rsidRPr="00C258AD">
        <w:rPr>
          <w:i/>
        </w:rPr>
        <w:t>Nombre moyen de désignations par enregistrement</w:t>
      </w:r>
    </w:p>
    <w:p w:rsidR="006E2658" w:rsidRPr="00C258AD" w:rsidRDefault="006E2658" w:rsidP="00927E1F">
      <w:pPr>
        <w:spacing w:after="120"/>
        <w:jc w:val="both"/>
      </w:pPr>
      <w:r w:rsidRPr="00C258AD">
        <w:rPr>
          <w:noProof/>
          <w:lang w:val="en-US"/>
        </w:rPr>
        <w:drawing>
          <wp:inline distT="0" distB="0" distL="0" distR="0" wp14:anchorId="59F89BE6" wp14:editId="3181A664">
            <wp:extent cx="5940425" cy="2933358"/>
            <wp:effectExtent l="0" t="0" r="3175" b="63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40425" cy="2933358"/>
                    </a:xfrm>
                    <a:prstGeom prst="rect">
                      <a:avLst/>
                    </a:prstGeom>
                    <a:noFill/>
                    <a:ln>
                      <a:noFill/>
                    </a:ln>
                  </pic:spPr>
                </pic:pic>
              </a:graphicData>
            </a:graphic>
          </wp:inline>
        </w:drawing>
      </w:r>
    </w:p>
    <w:p w:rsidR="006E2658" w:rsidRPr="00C258AD" w:rsidRDefault="006E2658" w:rsidP="006E2658">
      <w:pPr>
        <w:numPr>
          <w:ilvl w:val="0"/>
          <w:numId w:val="63"/>
        </w:numPr>
        <w:tabs>
          <w:tab w:val="clear" w:pos="720"/>
        </w:tabs>
        <w:spacing w:after="120"/>
        <w:ind w:left="1134" w:hanging="567"/>
        <w:jc w:val="both"/>
      </w:pPr>
      <w:r w:rsidRPr="00C258AD">
        <w:t>En moyenne, 7,7 désignations ont été faites pour les demandes enregistrées en 2015</w:t>
      </w:r>
      <w:r w:rsidRPr="00C258AD">
        <w:rPr>
          <w:rFonts w:cs="Arial"/>
          <w:szCs w:val="20"/>
        </w:rPr>
        <w:t>, soit près d’une de plus que la moyenne de 2014</w:t>
      </w:r>
      <w:r w:rsidRPr="00C258AD">
        <w:t>.</w:t>
      </w:r>
    </w:p>
    <w:p w:rsidR="006E2658" w:rsidRPr="00C258AD" w:rsidRDefault="006E2658" w:rsidP="00927E1F">
      <w:pPr>
        <w:tabs>
          <w:tab w:val="num" w:pos="1134"/>
        </w:tabs>
        <w:spacing w:after="120"/>
        <w:ind w:left="993" w:hanging="426"/>
        <w:jc w:val="both"/>
      </w:pPr>
    </w:p>
    <w:p w:rsidR="006E2658" w:rsidRPr="00C258AD" w:rsidRDefault="006E2658" w:rsidP="00927E1F">
      <w:pPr>
        <w:keepNext/>
        <w:keepLines/>
        <w:tabs>
          <w:tab w:val="left" w:pos="1701"/>
        </w:tabs>
        <w:ind w:left="284"/>
        <w:jc w:val="both"/>
        <w:rPr>
          <w:i/>
        </w:rPr>
      </w:pPr>
      <w:r w:rsidRPr="00C258AD">
        <w:rPr>
          <w:i/>
        </w:rPr>
        <w:lastRenderedPageBreak/>
        <w:t>Nombre moyen de classes par enregistrement</w:t>
      </w:r>
    </w:p>
    <w:p w:rsidR="006E2658" w:rsidRPr="00C258AD" w:rsidRDefault="006E2658" w:rsidP="00927E1F">
      <w:r w:rsidRPr="00C258AD">
        <w:rPr>
          <w:noProof/>
          <w:lang w:val="en-US"/>
        </w:rPr>
        <w:drawing>
          <wp:inline distT="0" distB="0" distL="0" distR="0" wp14:anchorId="55D90A04" wp14:editId="0262246F">
            <wp:extent cx="5940425" cy="2801730"/>
            <wp:effectExtent l="0" t="0" r="3175"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940425" cy="2801730"/>
                    </a:xfrm>
                    <a:prstGeom prst="rect">
                      <a:avLst/>
                    </a:prstGeom>
                    <a:noFill/>
                    <a:ln>
                      <a:noFill/>
                    </a:ln>
                  </pic:spPr>
                </pic:pic>
              </a:graphicData>
            </a:graphic>
          </wp:inline>
        </w:drawing>
      </w:r>
    </w:p>
    <w:p w:rsidR="006E2658" w:rsidRPr="00C258AD" w:rsidRDefault="006E2658" w:rsidP="006E2658">
      <w:pPr>
        <w:keepNext/>
        <w:keepLines/>
        <w:numPr>
          <w:ilvl w:val="0"/>
          <w:numId w:val="63"/>
        </w:numPr>
        <w:tabs>
          <w:tab w:val="clear" w:pos="720"/>
        </w:tabs>
        <w:spacing w:after="120"/>
        <w:ind w:left="1134" w:hanging="567"/>
        <w:jc w:val="both"/>
      </w:pPr>
      <w:r w:rsidRPr="00C258AD">
        <w:t>En moyenne, 2,5 classes ont été indiquées pour les demandes enregistrées en 2015.</w:t>
      </w:r>
    </w:p>
    <w:p w:rsidR="006E2658" w:rsidRPr="00C258AD" w:rsidRDefault="006E2658" w:rsidP="00927E1F">
      <w:pPr>
        <w:jc w:val="both"/>
      </w:pPr>
    </w:p>
    <w:p w:rsidR="006E2658" w:rsidRPr="00C258AD" w:rsidRDefault="006E2658" w:rsidP="00927E1F">
      <w:pPr>
        <w:tabs>
          <w:tab w:val="left" w:pos="1701"/>
        </w:tabs>
        <w:ind w:left="284"/>
        <w:jc w:val="both"/>
        <w:rPr>
          <w:i/>
        </w:rPr>
      </w:pPr>
      <w:r w:rsidRPr="00C258AD">
        <w:rPr>
          <w:i/>
        </w:rPr>
        <w:t>Longueur moyenne des demandes</w:t>
      </w:r>
    </w:p>
    <w:p w:rsidR="006E2658" w:rsidRPr="00C258AD" w:rsidRDefault="006E2658" w:rsidP="00927E1F">
      <w:pPr>
        <w:jc w:val="both"/>
      </w:pPr>
    </w:p>
    <w:p w:rsidR="006E2658" w:rsidRPr="00C258AD" w:rsidRDefault="006E2658" w:rsidP="006E2658">
      <w:pPr>
        <w:pStyle w:val="ListParagraph"/>
        <w:numPr>
          <w:ilvl w:val="0"/>
          <w:numId w:val="73"/>
        </w:numPr>
        <w:tabs>
          <w:tab w:val="left" w:pos="567"/>
        </w:tabs>
        <w:ind w:left="0" w:firstLine="0"/>
        <w:contextualSpacing/>
        <w:jc w:val="both"/>
      </w:pPr>
      <w:r w:rsidRPr="00C258AD">
        <w:t>La longueur des demandes est déterminée par le nombre total de mots utilisés par le déposant a) dans la description de la marque, b) dans la liste des produits et services et c) dans toute mention de limitation s’y rapportant.  Le Bureau international traduit ces trois éléments en français, anglais ou espagnol, selon la langue d’origine des demandes, pour que ces dernières soient disponibles dans les trois langues du système de Madrid.</w:t>
      </w:r>
    </w:p>
    <w:p w:rsidR="006E2658" w:rsidRPr="00C258AD" w:rsidRDefault="006E2658" w:rsidP="00927E1F">
      <w:pPr>
        <w:jc w:val="both"/>
      </w:pPr>
    </w:p>
    <w:p w:rsidR="006E2658" w:rsidRPr="00C258AD" w:rsidRDefault="006E2658" w:rsidP="00927E1F">
      <w:r w:rsidRPr="00C258AD">
        <w:rPr>
          <w:noProof/>
          <w:lang w:val="en-US"/>
        </w:rPr>
        <w:drawing>
          <wp:inline distT="0" distB="0" distL="0" distR="0" wp14:anchorId="0A1C55CC" wp14:editId="7C1431AC">
            <wp:extent cx="5940425" cy="2976234"/>
            <wp:effectExtent l="0" t="0" r="317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940425" cy="2976234"/>
                    </a:xfrm>
                    <a:prstGeom prst="rect">
                      <a:avLst/>
                    </a:prstGeom>
                    <a:noFill/>
                    <a:ln>
                      <a:noFill/>
                    </a:ln>
                  </pic:spPr>
                </pic:pic>
              </a:graphicData>
            </a:graphic>
          </wp:inline>
        </w:drawing>
      </w:r>
    </w:p>
    <w:p w:rsidR="006E2658" w:rsidRPr="00C258AD" w:rsidRDefault="006E2658" w:rsidP="006E2658">
      <w:pPr>
        <w:numPr>
          <w:ilvl w:val="0"/>
          <w:numId w:val="63"/>
        </w:numPr>
        <w:tabs>
          <w:tab w:val="clear" w:pos="720"/>
        </w:tabs>
        <w:spacing w:after="120"/>
        <w:ind w:left="1134" w:hanging="567"/>
        <w:jc w:val="both"/>
      </w:pPr>
      <w:r w:rsidRPr="00C258AD">
        <w:t>En 2015, la longueur moyenne d’une demande était de 209 mots, par rapport à 239 mots en 2014.  Cela représente une diminution de 12,4% par rapport à 2014.</w:t>
      </w:r>
    </w:p>
    <w:p w:rsidR="006E2658" w:rsidRPr="00C258AD" w:rsidRDefault="006E2658" w:rsidP="006E2658">
      <w:pPr>
        <w:numPr>
          <w:ilvl w:val="0"/>
          <w:numId w:val="63"/>
        </w:numPr>
        <w:tabs>
          <w:tab w:val="clear" w:pos="720"/>
        </w:tabs>
        <w:spacing w:after="120"/>
        <w:ind w:left="1134" w:hanging="567"/>
        <w:jc w:val="both"/>
      </w:pPr>
      <w:r w:rsidRPr="00C258AD">
        <w:t>Bien que certaines parties des travaux de traduction et de classification soient automatisées, la longueur des demandes a une incidence importante sur la charge de travail du Bureau international lorsqu’elle connaît des augmentations telles que celles observées au cours de la période 2011</w:t>
      </w:r>
      <w:r w:rsidRPr="00C258AD">
        <w:noBreakHyphen/>
        <w:t>2014.</w:t>
      </w:r>
    </w:p>
    <w:p w:rsidR="006E2658" w:rsidRPr="00C258AD" w:rsidRDefault="006E2658" w:rsidP="00927E1F"/>
    <w:p w:rsidR="006E2658" w:rsidRPr="00C258AD" w:rsidRDefault="006E2658" w:rsidP="00927E1F">
      <w:pPr>
        <w:keepNext/>
        <w:keepLines/>
        <w:tabs>
          <w:tab w:val="left" w:pos="1701"/>
        </w:tabs>
        <w:ind w:left="284"/>
        <w:jc w:val="both"/>
        <w:rPr>
          <w:i/>
        </w:rPr>
      </w:pPr>
      <w:r w:rsidRPr="00C258AD">
        <w:rPr>
          <w:i/>
        </w:rPr>
        <w:lastRenderedPageBreak/>
        <w:t>Répartition des demandes régulières et irrégulières</w:t>
      </w:r>
    </w:p>
    <w:p w:rsidR="006E2658" w:rsidRPr="00C258AD" w:rsidRDefault="006E2658" w:rsidP="00927E1F">
      <w:pPr>
        <w:spacing w:after="120"/>
        <w:jc w:val="both"/>
      </w:pPr>
      <w:r w:rsidRPr="00C258AD">
        <w:rPr>
          <w:noProof/>
          <w:lang w:val="en-US"/>
        </w:rPr>
        <w:drawing>
          <wp:inline distT="0" distB="0" distL="0" distR="0" wp14:anchorId="2DC29E05" wp14:editId="1E34EAD4">
            <wp:extent cx="5940425" cy="3039715"/>
            <wp:effectExtent l="0" t="0" r="3175" b="889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940425" cy="3039715"/>
                    </a:xfrm>
                    <a:prstGeom prst="rect">
                      <a:avLst/>
                    </a:prstGeom>
                    <a:noFill/>
                    <a:ln>
                      <a:noFill/>
                    </a:ln>
                  </pic:spPr>
                </pic:pic>
              </a:graphicData>
            </a:graphic>
          </wp:inline>
        </w:drawing>
      </w:r>
    </w:p>
    <w:p w:rsidR="006E2658" w:rsidRPr="00C258AD" w:rsidRDefault="006E2658" w:rsidP="006E2658">
      <w:pPr>
        <w:numPr>
          <w:ilvl w:val="0"/>
          <w:numId w:val="63"/>
        </w:numPr>
        <w:tabs>
          <w:tab w:val="clear" w:pos="720"/>
        </w:tabs>
        <w:spacing w:after="120"/>
        <w:ind w:left="1134" w:hanging="567"/>
        <w:jc w:val="both"/>
      </w:pPr>
      <w:r w:rsidRPr="00C258AD">
        <w:t>La proportion des demandes régulières est restée stable entre 2011 et 2014, mais a connu une baisse de cinq points de pourcentage en 2015.</w:t>
      </w:r>
    </w:p>
    <w:p w:rsidR="006E2658" w:rsidRPr="00C258AD" w:rsidRDefault="006E2658" w:rsidP="00927E1F">
      <w:pPr>
        <w:jc w:val="both"/>
      </w:pPr>
    </w:p>
    <w:p w:rsidR="006E2658" w:rsidRPr="00C258AD" w:rsidRDefault="006E2658" w:rsidP="00927E1F">
      <w:pPr>
        <w:jc w:val="both"/>
        <w:rPr>
          <w:u w:val="single"/>
        </w:rPr>
      </w:pPr>
      <w:r w:rsidRPr="00C258AD">
        <w:rPr>
          <w:u w:val="single"/>
        </w:rPr>
        <w:t>Renouvellements</w:t>
      </w:r>
    </w:p>
    <w:p w:rsidR="006E2658" w:rsidRPr="00C258AD" w:rsidRDefault="006E2658" w:rsidP="00927E1F">
      <w:pPr>
        <w:spacing w:after="120"/>
        <w:jc w:val="both"/>
      </w:pPr>
      <w:r w:rsidRPr="00C258AD">
        <w:rPr>
          <w:noProof/>
          <w:lang w:val="en-US"/>
        </w:rPr>
        <w:drawing>
          <wp:inline distT="0" distB="0" distL="0" distR="0" wp14:anchorId="6F2185A7" wp14:editId="7411522C">
            <wp:extent cx="5940425" cy="3004828"/>
            <wp:effectExtent l="0" t="0" r="3175" b="508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940425" cy="3004828"/>
                    </a:xfrm>
                    <a:prstGeom prst="rect">
                      <a:avLst/>
                    </a:prstGeom>
                    <a:noFill/>
                    <a:ln>
                      <a:noFill/>
                    </a:ln>
                  </pic:spPr>
                </pic:pic>
              </a:graphicData>
            </a:graphic>
          </wp:inline>
        </w:drawing>
      </w:r>
    </w:p>
    <w:p w:rsidR="006E2658" w:rsidRPr="00C258AD" w:rsidRDefault="006E2658" w:rsidP="006E2658">
      <w:pPr>
        <w:numPr>
          <w:ilvl w:val="0"/>
          <w:numId w:val="63"/>
        </w:numPr>
        <w:tabs>
          <w:tab w:val="clear" w:pos="720"/>
          <w:tab w:val="num" w:pos="1560"/>
        </w:tabs>
        <w:spacing w:after="120"/>
        <w:ind w:left="1134" w:hanging="567"/>
        <w:jc w:val="both"/>
      </w:pPr>
      <w:r w:rsidRPr="00C258AD">
        <w:t>En 2015, le Bureau international a enregistré 28 502 renouvellements, ce qui représente une hausse de 11% par rapport à 2014.  Le nombre total des renouvellements traités au cours de l’exercice biennal 2014</w:t>
      </w:r>
      <w:r w:rsidRPr="00C258AD">
        <w:noBreakHyphen/>
        <w:t>2015 était en augmentation de 21% par rapport à l’exercice biennal 2012</w:t>
      </w:r>
      <w:r w:rsidRPr="00C258AD">
        <w:noBreakHyphen/>
        <w:t>2013.</w:t>
      </w:r>
    </w:p>
    <w:p w:rsidR="006E2658" w:rsidRPr="00C258AD" w:rsidRDefault="006E2658" w:rsidP="00927E1F">
      <w:pPr>
        <w:spacing w:after="120"/>
        <w:ind w:left="993" w:hanging="426"/>
        <w:jc w:val="both"/>
      </w:pPr>
    </w:p>
    <w:p w:rsidR="006E2658" w:rsidRPr="00C258AD" w:rsidRDefault="006E2658" w:rsidP="00927E1F">
      <w:pPr>
        <w:keepNext/>
        <w:keepLines/>
        <w:jc w:val="both"/>
        <w:rPr>
          <w:u w:val="single"/>
        </w:rPr>
      </w:pPr>
      <w:r w:rsidRPr="00C258AD">
        <w:rPr>
          <w:u w:val="single"/>
        </w:rPr>
        <w:lastRenderedPageBreak/>
        <w:t>Désignations postérieures</w:t>
      </w:r>
    </w:p>
    <w:p w:rsidR="006E2658" w:rsidRPr="00C258AD" w:rsidRDefault="006E2658" w:rsidP="00927E1F">
      <w:r w:rsidRPr="00C258AD">
        <w:rPr>
          <w:noProof/>
          <w:lang w:val="en-US"/>
        </w:rPr>
        <w:drawing>
          <wp:inline distT="0" distB="0" distL="0" distR="0" wp14:anchorId="578A6196" wp14:editId="72CE9E37">
            <wp:extent cx="5940425" cy="2995986"/>
            <wp:effectExtent l="0" t="0" r="3175" b="0"/>
            <wp:docPr id="967" name="Picture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940425" cy="2995986"/>
                    </a:xfrm>
                    <a:prstGeom prst="rect">
                      <a:avLst/>
                    </a:prstGeom>
                    <a:noFill/>
                    <a:ln>
                      <a:noFill/>
                    </a:ln>
                  </pic:spPr>
                </pic:pic>
              </a:graphicData>
            </a:graphic>
          </wp:inline>
        </w:drawing>
      </w:r>
    </w:p>
    <w:p w:rsidR="006E2658" w:rsidRPr="00C258AD" w:rsidRDefault="006E2658" w:rsidP="006E2658">
      <w:pPr>
        <w:keepNext/>
        <w:keepLines/>
        <w:numPr>
          <w:ilvl w:val="0"/>
          <w:numId w:val="63"/>
        </w:numPr>
        <w:tabs>
          <w:tab w:val="clear" w:pos="720"/>
        </w:tabs>
        <w:spacing w:after="120"/>
        <w:ind w:left="1134" w:hanging="567"/>
        <w:jc w:val="both"/>
      </w:pPr>
      <w:r w:rsidRPr="00C258AD">
        <w:t>En 2015, le Bureau international a enregistré 17 937 désignations postérieures, soit une hausse de 3,6% par rapport à 2014.</w:t>
      </w:r>
    </w:p>
    <w:p w:rsidR="006E2658" w:rsidRPr="00C258AD" w:rsidRDefault="006E2658" w:rsidP="00927E1F"/>
    <w:p w:rsidR="006E2658" w:rsidRPr="00C258AD" w:rsidRDefault="006E2658" w:rsidP="00927E1F"/>
    <w:p w:rsidR="006E2658" w:rsidRPr="00C258AD" w:rsidRDefault="006E2658" w:rsidP="00927E1F">
      <w:pPr>
        <w:jc w:val="both"/>
        <w:rPr>
          <w:u w:val="single"/>
        </w:rPr>
      </w:pPr>
      <w:r w:rsidRPr="00C258AD">
        <w:rPr>
          <w:u w:val="single"/>
        </w:rPr>
        <w:t>Modifications</w:t>
      </w:r>
    </w:p>
    <w:p w:rsidR="006E2658" w:rsidRPr="00C258AD" w:rsidRDefault="006E2658" w:rsidP="00927E1F">
      <w:pPr>
        <w:spacing w:after="120"/>
      </w:pPr>
      <w:r w:rsidRPr="00C258AD">
        <w:rPr>
          <w:noProof/>
          <w:lang w:val="en-US"/>
        </w:rPr>
        <w:drawing>
          <wp:inline distT="0" distB="0" distL="0" distR="0" wp14:anchorId="7B98A54E" wp14:editId="2A0A8ECF">
            <wp:extent cx="5940425" cy="2863308"/>
            <wp:effectExtent l="0" t="0" r="3175" b="0"/>
            <wp:docPr id="969" name="Picture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940425" cy="2863308"/>
                    </a:xfrm>
                    <a:prstGeom prst="rect">
                      <a:avLst/>
                    </a:prstGeom>
                    <a:noFill/>
                    <a:ln>
                      <a:noFill/>
                    </a:ln>
                  </pic:spPr>
                </pic:pic>
              </a:graphicData>
            </a:graphic>
          </wp:inline>
        </w:drawing>
      </w:r>
    </w:p>
    <w:p w:rsidR="006E2658" w:rsidRPr="00C258AD" w:rsidRDefault="006E2658" w:rsidP="006E2658">
      <w:pPr>
        <w:numPr>
          <w:ilvl w:val="0"/>
          <w:numId w:val="63"/>
        </w:numPr>
        <w:tabs>
          <w:tab w:val="clear" w:pos="720"/>
        </w:tabs>
        <w:spacing w:after="120"/>
        <w:ind w:left="1134" w:hanging="567"/>
        <w:jc w:val="both"/>
      </w:pPr>
      <w:r w:rsidRPr="00C258AD">
        <w:t>En 2015, le Bureau international a reçu 41 363 demandes de modifications, ce qui représente une augmentation de 6,6% par rapport à 2014.</w:t>
      </w:r>
    </w:p>
    <w:p w:rsidR="006E2658" w:rsidRPr="00C258AD" w:rsidRDefault="006E2658" w:rsidP="00927E1F">
      <w:pPr>
        <w:spacing w:after="120"/>
        <w:jc w:val="both"/>
      </w:pPr>
    </w:p>
    <w:p w:rsidR="006E2658" w:rsidRPr="00C258AD" w:rsidRDefault="006E2658" w:rsidP="00927E1F">
      <w:pPr>
        <w:keepNext/>
        <w:keepLines/>
        <w:ind w:left="-360" w:firstLine="360"/>
        <w:jc w:val="both"/>
        <w:rPr>
          <w:u w:val="single"/>
        </w:rPr>
      </w:pPr>
      <w:r w:rsidRPr="00C258AD">
        <w:rPr>
          <w:u w:val="single"/>
        </w:rPr>
        <w:lastRenderedPageBreak/>
        <w:t>Décisions</w:t>
      </w:r>
    </w:p>
    <w:p w:rsidR="006E2658" w:rsidRPr="00C258AD" w:rsidRDefault="006E2658" w:rsidP="00927E1F">
      <w:pPr>
        <w:keepNext/>
        <w:keepLines/>
        <w:spacing w:after="120"/>
        <w:jc w:val="both"/>
      </w:pPr>
      <w:r w:rsidRPr="00C258AD">
        <w:rPr>
          <w:noProof/>
          <w:lang w:val="en-US"/>
        </w:rPr>
        <w:drawing>
          <wp:inline distT="0" distB="0" distL="0" distR="0" wp14:anchorId="72155D35" wp14:editId="38A5BB6E">
            <wp:extent cx="5940425" cy="3129877"/>
            <wp:effectExtent l="0" t="0" r="3175" b="0"/>
            <wp:docPr id="970" name="Picture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940425" cy="3129877"/>
                    </a:xfrm>
                    <a:prstGeom prst="rect">
                      <a:avLst/>
                    </a:prstGeom>
                    <a:noFill/>
                    <a:ln>
                      <a:noFill/>
                    </a:ln>
                  </pic:spPr>
                </pic:pic>
              </a:graphicData>
            </a:graphic>
          </wp:inline>
        </w:drawing>
      </w:r>
    </w:p>
    <w:p w:rsidR="006E2658" w:rsidRPr="00C258AD" w:rsidRDefault="006E2658" w:rsidP="006E2658">
      <w:pPr>
        <w:keepNext/>
        <w:keepLines/>
        <w:numPr>
          <w:ilvl w:val="0"/>
          <w:numId w:val="63"/>
        </w:numPr>
        <w:tabs>
          <w:tab w:val="clear" w:pos="720"/>
        </w:tabs>
        <w:spacing w:after="120"/>
        <w:ind w:left="1134" w:hanging="567"/>
        <w:jc w:val="both"/>
      </w:pPr>
      <w:r w:rsidRPr="00C258AD">
        <w:t>En 2015, le nombre de décisions enregistrées a augmenté de 4% par rapport à 2014, pour totaliser 541 964.  Le nombre de décisions traitées a sensiblement augmenté depuis 2010.</w:t>
      </w:r>
    </w:p>
    <w:p w:rsidR="006E2658" w:rsidRPr="00C258AD" w:rsidRDefault="006E2658" w:rsidP="006E2658">
      <w:pPr>
        <w:numPr>
          <w:ilvl w:val="0"/>
          <w:numId w:val="63"/>
        </w:numPr>
        <w:tabs>
          <w:tab w:val="clear" w:pos="720"/>
        </w:tabs>
        <w:spacing w:after="120"/>
        <w:ind w:left="1134" w:hanging="567"/>
        <w:jc w:val="both"/>
      </w:pPr>
      <w:r w:rsidRPr="00C258AD">
        <w:t>En 2015, 68% des décisions ont été traitées automatiquement</w:t>
      </w:r>
      <w:r w:rsidRPr="00C258AD">
        <w:rPr>
          <w:rFonts w:cs="Arial"/>
          <w:szCs w:val="20"/>
        </w:rPr>
        <w:t>;  cette proportion est en augmentation constante depuis que le traitement automatique de la majorité des décisions a débuté, en 2011.</w:t>
      </w:r>
    </w:p>
    <w:p w:rsidR="006E2658" w:rsidRPr="00C258AD" w:rsidRDefault="006E2658" w:rsidP="00927E1F">
      <w:pPr>
        <w:jc w:val="both"/>
      </w:pPr>
    </w:p>
    <w:p w:rsidR="006E2658" w:rsidRPr="00C258AD" w:rsidRDefault="006E2658" w:rsidP="00927E1F">
      <w:pPr>
        <w:jc w:val="both"/>
      </w:pPr>
    </w:p>
    <w:p w:rsidR="006E2658" w:rsidRPr="00C258AD" w:rsidRDefault="006E2658" w:rsidP="00927E1F">
      <w:pPr>
        <w:jc w:val="both"/>
        <w:rPr>
          <w:u w:val="single"/>
        </w:rPr>
      </w:pPr>
      <w:r w:rsidRPr="00C258AD">
        <w:rPr>
          <w:u w:val="single"/>
        </w:rPr>
        <w:t>Corrections</w:t>
      </w:r>
    </w:p>
    <w:p w:rsidR="006E2658" w:rsidRPr="00C258AD" w:rsidRDefault="006E2658" w:rsidP="00927E1F">
      <w:pPr>
        <w:spacing w:after="120"/>
        <w:jc w:val="both"/>
      </w:pPr>
      <w:r w:rsidRPr="00C258AD">
        <w:rPr>
          <w:noProof/>
          <w:lang w:val="en-US"/>
        </w:rPr>
        <w:drawing>
          <wp:inline distT="0" distB="0" distL="0" distR="0" wp14:anchorId="49144A7F" wp14:editId="2A7AB451">
            <wp:extent cx="5940425" cy="2668134"/>
            <wp:effectExtent l="0" t="0" r="3175" b="0"/>
            <wp:docPr id="971" name="Picture 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940425" cy="2668134"/>
                    </a:xfrm>
                    <a:prstGeom prst="rect">
                      <a:avLst/>
                    </a:prstGeom>
                    <a:noFill/>
                    <a:ln>
                      <a:noFill/>
                    </a:ln>
                  </pic:spPr>
                </pic:pic>
              </a:graphicData>
            </a:graphic>
          </wp:inline>
        </w:drawing>
      </w:r>
    </w:p>
    <w:p w:rsidR="006E2658" w:rsidRPr="00C258AD" w:rsidRDefault="006E2658" w:rsidP="006E2658">
      <w:pPr>
        <w:numPr>
          <w:ilvl w:val="0"/>
          <w:numId w:val="63"/>
        </w:numPr>
        <w:tabs>
          <w:tab w:val="clear" w:pos="720"/>
        </w:tabs>
        <w:spacing w:after="120"/>
        <w:ind w:left="1134" w:hanging="567"/>
        <w:jc w:val="both"/>
      </w:pPr>
      <w:r w:rsidRPr="00C258AD">
        <w:t>En 2014, le Bureau international a enregistré 6127 corrections.  Cela représente une hausse de 0,9% par rapport à 2014.</w:t>
      </w:r>
    </w:p>
    <w:p w:rsidR="006E2658" w:rsidRPr="00C258AD" w:rsidRDefault="006E2658" w:rsidP="006E2658">
      <w:pPr>
        <w:pStyle w:val="ListParagraph"/>
        <w:keepNext/>
        <w:keepLines/>
        <w:numPr>
          <w:ilvl w:val="0"/>
          <w:numId w:val="68"/>
        </w:numPr>
        <w:ind w:left="567" w:hanging="567"/>
        <w:contextualSpacing/>
        <w:jc w:val="both"/>
        <w:rPr>
          <w:b/>
        </w:rPr>
      </w:pPr>
      <w:r w:rsidRPr="00C258AD">
        <w:rPr>
          <w:b/>
        </w:rPr>
        <w:lastRenderedPageBreak/>
        <w:t>Charge de travail globale</w:t>
      </w:r>
    </w:p>
    <w:p w:rsidR="006E2658" w:rsidRPr="00C258AD" w:rsidRDefault="006E2658" w:rsidP="00927E1F">
      <w:pPr>
        <w:keepNext/>
        <w:keepLines/>
        <w:jc w:val="both"/>
      </w:pPr>
    </w:p>
    <w:p w:rsidR="006E2658" w:rsidRPr="00C258AD" w:rsidRDefault="006E2658" w:rsidP="006E2658">
      <w:pPr>
        <w:pStyle w:val="ListParagraph"/>
        <w:keepNext/>
        <w:keepLines/>
        <w:numPr>
          <w:ilvl w:val="0"/>
          <w:numId w:val="73"/>
        </w:numPr>
        <w:tabs>
          <w:tab w:val="left" w:pos="567"/>
        </w:tabs>
        <w:ind w:left="0" w:firstLine="0"/>
        <w:contextualSpacing/>
        <w:jc w:val="both"/>
      </w:pPr>
      <w:r w:rsidRPr="00C258AD">
        <w:t>La charge de travail globale représente le nombre total pondéré de documents traités par le Bureau international.  Les six catégories de documents sont incluses (les demandes, les renouvellements, les désignations postérieures, les modifications, les décisions et les corrections).</w:t>
      </w:r>
    </w:p>
    <w:p w:rsidR="006E2658" w:rsidRPr="00C258AD" w:rsidRDefault="006E2658" w:rsidP="00927E1F">
      <w:pPr>
        <w:keepNext/>
        <w:keepLines/>
        <w:jc w:val="both"/>
      </w:pPr>
    </w:p>
    <w:p w:rsidR="006E2658" w:rsidRPr="00C258AD" w:rsidRDefault="006E2658" w:rsidP="006E2658">
      <w:pPr>
        <w:pStyle w:val="ListParagraph"/>
        <w:keepNext/>
        <w:keepLines/>
        <w:numPr>
          <w:ilvl w:val="0"/>
          <w:numId w:val="73"/>
        </w:numPr>
        <w:tabs>
          <w:tab w:val="left" w:pos="567"/>
        </w:tabs>
        <w:ind w:left="0" w:firstLine="0"/>
        <w:contextualSpacing/>
        <w:jc w:val="both"/>
      </w:pPr>
      <w:r w:rsidRPr="00C258AD">
        <w:t>Étant donné que le traitement des différentes catégories de documents ne requiert pas les mêmes ressources, chacune est pondérée différemment.  Selon ce système de pondération, on considère que dans le temps nécessaire au traitement d’une demande internationale, un examinateur peut traiter 1,6 renouvellement, 1,8 désignation postérieure, 1,8 modification ou 10 décisions.  De la même façon, on considère que dans le temps nécessaire au traitement d’une demande internationale, un employé chargé du traitement automatique peut traiter 17 documents.</w:t>
      </w:r>
    </w:p>
    <w:p w:rsidR="006E2658" w:rsidRPr="00C258AD" w:rsidRDefault="006E2658" w:rsidP="00927E1F"/>
    <w:p w:rsidR="006E2658" w:rsidRPr="00C258AD" w:rsidRDefault="006E2658" w:rsidP="00927E1F">
      <w:r w:rsidRPr="00C258AD">
        <w:rPr>
          <w:noProof/>
          <w:lang w:val="en-US"/>
        </w:rPr>
        <w:drawing>
          <wp:inline distT="0" distB="0" distL="0" distR="0" wp14:anchorId="40645A86" wp14:editId="64F18B03">
            <wp:extent cx="5940425" cy="3312163"/>
            <wp:effectExtent l="0" t="0" r="3175" b="2540"/>
            <wp:docPr id="972" name="Picture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940425" cy="3312163"/>
                    </a:xfrm>
                    <a:prstGeom prst="rect">
                      <a:avLst/>
                    </a:prstGeom>
                    <a:noFill/>
                    <a:ln>
                      <a:noFill/>
                    </a:ln>
                  </pic:spPr>
                </pic:pic>
              </a:graphicData>
            </a:graphic>
          </wp:inline>
        </w:drawing>
      </w:r>
    </w:p>
    <w:p w:rsidR="006E2658" w:rsidRPr="00C258AD" w:rsidRDefault="006E2658" w:rsidP="006E2658">
      <w:pPr>
        <w:numPr>
          <w:ilvl w:val="0"/>
          <w:numId w:val="63"/>
        </w:numPr>
        <w:tabs>
          <w:tab w:val="clear" w:pos="720"/>
        </w:tabs>
        <w:spacing w:after="120"/>
        <w:ind w:left="1134" w:hanging="567"/>
        <w:jc w:val="both"/>
      </w:pPr>
      <w:r w:rsidRPr="00C258AD">
        <w:t>En 2015, la charge de travail globale a augmenté de 11% par rapport à 2014.  Les demandes, les décisions et les modifications ont représenté près de 80% de la charge de travail globale, laquelle a connu au cours de l’exercice biennal 2014</w:t>
      </w:r>
      <w:r w:rsidRPr="00C258AD">
        <w:noBreakHyphen/>
        <w:t>2015 une augmentation de 10% par rapport à l’exercice biennal 2012</w:t>
      </w:r>
      <w:r w:rsidRPr="00C258AD">
        <w:noBreakHyphen/>
        <w:t>2013.</w:t>
      </w:r>
    </w:p>
    <w:p w:rsidR="006E2658" w:rsidRPr="00C258AD" w:rsidRDefault="006E2658" w:rsidP="006E2658">
      <w:pPr>
        <w:numPr>
          <w:ilvl w:val="0"/>
          <w:numId w:val="63"/>
        </w:numPr>
        <w:tabs>
          <w:tab w:val="clear" w:pos="720"/>
        </w:tabs>
        <w:spacing w:after="120"/>
        <w:ind w:left="1134" w:hanging="567"/>
        <w:jc w:val="both"/>
      </w:pPr>
      <w:r w:rsidRPr="00C258AD">
        <w:t>L’augmentation observée en 2015 est principalement attribuable à la hausse du nombre de demandes et de renouvellements, tandis que la forte augmentation de la charge de travail constatée entre 2011 et 2013 était due essentiellement à la hausse du nombre de décisions.</w:t>
      </w:r>
    </w:p>
    <w:p w:rsidR="006E2658" w:rsidRPr="00C258AD" w:rsidRDefault="006E2658" w:rsidP="00927E1F"/>
    <w:p w:rsidR="006E2658" w:rsidRPr="00C258AD" w:rsidRDefault="006E2658" w:rsidP="00927E1F"/>
    <w:p w:rsidR="006E2658" w:rsidRPr="00C258AD" w:rsidRDefault="006E2658" w:rsidP="006E2658">
      <w:pPr>
        <w:pStyle w:val="ListParagraph"/>
        <w:keepNext/>
        <w:keepLines/>
        <w:numPr>
          <w:ilvl w:val="0"/>
          <w:numId w:val="68"/>
        </w:numPr>
        <w:ind w:left="567" w:hanging="567"/>
        <w:contextualSpacing/>
        <w:jc w:val="both"/>
        <w:rPr>
          <w:b/>
        </w:rPr>
      </w:pPr>
      <w:r w:rsidRPr="00C258AD">
        <w:rPr>
          <w:b/>
        </w:rPr>
        <w:lastRenderedPageBreak/>
        <w:t>Mode de transmission des documents reçus</w:t>
      </w:r>
    </w:p>
    <w:p w:rsidR="006E2658" w:rsidRPr="00C258AD" w:rsidRDefault="006E2658" w:rsidP="00927E1F">
      <w:pPr>
        <w:keepNext/>
        <w:keepLines/>
        <w:jc w:val="both"/>
        <w:rPr>
          <w:b/>
        </w:rPr>
      </w:pPr>
    </w:p>
    <w:p w:rsidR="006E2658" w:rsidRPr="00C258AD" w:rsidRDefault="006E2658" w:rsidP="00927E1F">
      <w:r w:rsidRPr="00C258AD">
        <w:rPr>
          <w:noProof/>
          <w:lang w:val="en-US"/>
        </w:rPr>
        <w:drawing>
          <wp:inline distT="0" distB="0" distL="0" distR="0" wp14:anchorId="216EE51B" wp14:editId="36580FAE">
            <wp:extent cx="5940425" cy="2781558"/>
            <wp:effectExtent l="0" t="0" r="3175" b="0"/>
            <wp:docPr id="973" name="Picture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940425" cy="2781558"/>
                    </a:xfrm>
                    <a:prstGeom prst="rect">
                      <a:avLst/>
                    </a:prstGeom>
                    <a:noFill/>
                    <a:ln>
                      <a:noFill/>
                    </a:ln>
                  </pic:spPr>
                </pic:pic>
              </a:graphicData>
            </a:graphic>
          </wp:inline>
        </w:drawing>
      </w:r>
    </w:p>
    <w:p w:rsidR="006E2658" w:rsidRPr="00C258AD" w:rsidRDefault="006E2658" w:rsidP="006E2658">
      <w:pPr>
        <w:numPr>
          <w:ilvl w:val="0"/>
          <w:numId w:val="63"/>
        </w:numPr>
        <w:tabs>
          <w:tab w:val="clear" w:pos="720"/>
        </w:tabs>
        <w:spacing w:after="120"/>
        <w:ind w:left="1134" w:hanging="567"/>
        <w:jc w:val="both"/>
      </w:pPr>
      <w:r w:rsidRPr="00C258AD">
        <w:t xml:space="preserve">En 2015, 79% des documents reçus ont été transmis au Bureau international par voie électronique, ce qui représente une augmentation de cinq points de pourcentage </w:t>
      </w:r>
      <w:r w:rsidRPr="00C258AD">
        <w:rPr>
          <w:rFonts w:cs="Arial"/>
          <w:szCs w:val="20"/>
        </w:rPr>
        <w:t>par rapport à 2014.</w:t>
      </w:r>
    </w:p>
    <w:p w:rsidR="006E2658" w:rsidRPr="00C258AD" w:rsidRDefault="006E2658" w:rsidP="00927E1F">
      <w:pPr>
        <w:tabs>
          <w:tab w:val="num" w:pos="993"/>
        </w:tabs>
        <w:jc w:val="both"/>
      </w:pPr>
    </w:p>
    <w:p w:rsidR="006E2658" w:rsidRPr="00C258AD" w:rsidRDefault="006E2658" w:rsidP="00927E1F">
      <w:pPr>
        <w:tabs>
          <w:tab w:val="num" w:pos="993"/>
        </w:tabs>
        <w:jc w:val="both"/>
      </w:pPr>
    </w:p>
    <w:p w:rsidR="006E2658" w:rsidRPr="00C258AD" w:rsidRDefault="006E2658" w:rsidP="006E2658">
      <w:pPr>
        <w:pStyle w:val="ListParagraph"/>
        <w:keepNext/>
        <w:keepLines/>
        <w:numPr>
          <w:ilvl w:val="0"/>
          <w:numId w:val="68"/>
        </w:numPr>
        <w:ind w:left="567" w:hanging="567"/>
        <w:contextualSpacing/>
        <w:jc w:val="both"/>
        <w:rPr>
          <w:b/>
        </w:rPr>
      </w:pPr>
      <w:r w:rsidRPr="00C258AD">
        <w:rPr>
          <w:b/>
        </w:rPr>
        <w:t>Traitement</w:t>
      </w:r>
    </w:p>
    <w:p w:rsidR="006E2658" w:rsidRPr="00C258AD" w:rsidRDefault="006E2658" w:rsidP="00927E1F">
      <w:pPr>
        <w:keepNext/>
        <w:keepLines/>
        <w:jc w:val="both"/>
      </w:pPr>
    </w:p>
    <w:p w:rsidR="006E2658" w:rsidRPr="00C258AD" w:rsidRDefault="006E2658" w:rsidP="00927E1F">
      <w:pPr>
        <w:ind w:left="-360" w:firstLine="360"/>
        <w:jc w:val="both"/>
        <w:rPr>
          <w:u w:val="single"/>
        </w:rPr>
      </w:pPr>
      <w:r w:rsidRPr="00C258AD">
        <w:rPr>
          <w:u w:val="single"/>
        </w:rPr>
        <w:t>Coût de production total</w:t>
      </w:r>
    </w:p>
    <w:p w:rsidR="006E2658" w:rsidRPr="00C258AD" w:rsidRDefault="006E2658" w:rsidP="00927E1F">
      <w:pPr>
        <w:jc w:val="both"/>
      </w:pPr>
    </w:p>
    <w:p w:rsidR="006E2658" w:rsidRPr="00C258AD" w:rsidRDefault="006E2658" w:rsidP="006E2658">
      <w:pPr>
        <w:pStyle w:val="ListParagraph"/>
        <w:numPr>
          <w:ilvl w:val="0"/>
          <w:numId w:val="73"/>
        </w:numPr>
        <w:tabs>
          <w:tab w:val="left" w:pos="567"/>
        </w:tabs>
        <w:ind w:left="0" w:firstLine="0"/>
        <w:contextualSpacing/>
        <w:jc w:val="both"/>
      </w:pPr>
      <w:r w:rsidRPr="00C258AD">
        <w:rPr>
          <w:rFonts w:cs="Arial"/>
        </w:rPr>
        <w:t>Le coût de production total comprend les dépenses se rapportant exclusivement au système de Madrid et celles relatives aux activités de soutien à ce système.</w:t>
      </w:r>
    </w:p>
    <w:p w:rsidR="006E2658" w:rsidRPr="00C258AD" w:rsidRDefault="006E2658" w:rsidP="00927E1F">
      <w:pPr>
        <w:pStyle w:val="ListParagraph"/>
        <w:numPr>
          <w:ilvl w:val="0"/>
          <w:numId w:val="0"/>
        </w:numPr>
        <w:tabs>
          <w:tab w:val="left" w:pos="567"/>
        </w:tabs>
        <w:contextualSpacing/>
        <w:jc w:val="both"/>
      </w:pPr>
    </w:p>
    <w:p w:rsidR="006E2658" w:rsidRPr="00C258AD" w:rsidRDefault="006E2658" w:rsidP="006E2658">
      <w:pPr>
        <w:pStyle w:val="ListParagraph"/>
        <w:numPr>
          <w:ilvl w:val="0"/>
          <w:numId w:val="73"/>
        </w:numPr>
        <w:tabs>
          <w:tab w:val="left" w:pos="567"/>
        </w:tabs>
        <w:ind w:left="0" w:firstLine="0"/>
        <w:contextualSpacing/>
        <w:jc w:val="both"/>
      </w:pPr>
      <w:r w:rsidRPr="00C258AD">
        <w:rPr>
          <w:rFonts w:cs="Arial"/>
        </w:rPr>
        <w:t>Les dépenses se rapportant exclusivement au système de Madrid comptent pour environ 96% des dépenses du programme 6 (systèmes de Madrid et de Lisbonne)</w:t>
      </w:r>
      <w:r w:rsidRPr="00C258AD">
        <w:rPr>
          <w:rStyle w:val="FootnoteReference"/>
          <w:rFonts w:eastAsia="SimSun"/>
        </w:rPr>
        <w:footnoteReference w:id="32"/>
      </w:r>
      <w:r w:rsidRPr="00C258AD">
        <w:rPr>
          <w:rFonts w:cs="Arial"/>
        </w:rPr>
        <w:t>.  Les dépenses consacrées au Service d’enregistrement de Lisbonne sont exclues du coût de production total du système de Madrid</w:t>
      </w:r>
      <w:r w:rsidRPr="00C258AD">
        <w:rPr>
          <w:rStyle w:val="FootnoteReference"/>
          <w:rFonts w:eastAsia="SimSun"/>
        </w:rPr>
        <w:footnoteReference w:id="33"/>
      </w:r>
      <w:r w:rsidRPr="00C258AD">
        <w:rPr>
          <w:rFonts w:cs="Arial"/>
        </w:rPr>
        <w:t>.</w:t>
      </w:r>
    </w:p>
    <w:p w:rsidR="006E2658" w:rsidRPr="00C258AD" w:rsidRDefault="006E2658" w:rsidP="00927E1F">
      <w:pPr>
        <w:pStyle w:val="ListParagraph"/>
        <w:numPr>
          <w:ilvl w:val="0"/>
          <w:numId w:val="0"/>
        </w:numPr>
        <w:tabs>
          <w:tab w:val="left" w:pos="567"/>
        </w:tabs>
        <w:contextualSpacing/>
        <w:jc w:val="both"/>
      </w:pPr>
    </w:p>
    <w:p w:rsidR="006E2658" w:rsidRPr="00C258AD" w:rsidRDefault="006E2658" w:rsidP="006E2658">
      <w:pPr>
        <w:pStyle w:val="ListParagraph"/>
        <w:numPr>
          <w:ilvl w:val="0"/>
          <w:numId w:val="73"/>
        </w:numPr>
        <w:tabs>
          <w:tab w:val="left" w:pos="567"/>
        </w:tabs>
        <w:ind w:left="0" w:firstLine="0"/>
        <w:contextualSpacing/>
        <w:jc w:val="both"/>
      </w:pPr>
      <w:r w:rsidRPr="00C258AD">
        <w:rPr>
          <w:rFonts w:cs="Arial"/>
        </w:rPr>
        <w:t>Les dépenses relatives aux activités de soutien au système de Madrid comprennent les sommes consacrées aux services généraux suivants : services de conférences et services linguistiques, construction, direction générale, finances et budget, services d’appui généraux, gestion des ressources humaines, supervision interne, informatique ainsi que sûreté et sécurité.  Une faible partie de ces dépenses (coûts d’hébergement de serveurs au Centre international de calcul des Nations Unies (UNICC) et une partie des coûts de la Section des recettes aux finances) est affectée directement au système de Madrid, tandis que le reste de ces dépenses attribuable au système de Madrid est calculé selon le nombre des effectifs (y compris les fonctionnaires titulaires d’un contrat à durée déterminée, les fonctionnaires temporaires et les boursiers).</w:t>
      </w:r>
    </w:p>
    <w:p w:rsidR="006E2658" w:rsidRPr="00C258AD" w:rsidRDefault="006E2658" w:rsidP="00927E1F">
      <w:pPr>
        <w:tabs>
          <w:tab w:val="left" w:pos="567"/>
        </w:tabs>
        <w:jc w:val="both"/>
      </w:pPr>
    </w:p>
    <w:p w:rsidR="006E2658" w:rsidRPr="00C258AD" w:rsidRDefault="006E2658" w:rsidP="00927E1F">
      <w:pPr>
        <w:jc w:val="both"/>
      </w:pPr>
      <w:r w:rsidRPr="00C258AD">
        <w:rPr>
          <w:noProof/>
          <w:lang w:val="en-US"/>
        </w:rPr>
        <w:lastRenderedPageBreak/>
        <w:drawing>
          <wp:inline distT="0" distB="0" distL="0" distR="0" wp14:anchorId="6B5E5C00" wp14:editId="1DFC6B61">
            <wp:extent cx="5940425" cy="3517923"/>
            <wp:effectExtent l="0" t="0" r="3175" b="6350"/>
            <wp:docPr id="974" name="Picture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940425" cy="3517923"/>
                    </a:xfrm>
                    <a:prstGeom prst="rect">
                      <a:avLst/>
                    </a:prstGeom>
                    <a:noFill/>
                    <a:ln>
                      <a:noFill/>
                    </a:ln>
                  </pic:spPr>
                </pic:pic>
              </a:graphicData>
            </a:graphic>
          </wp:inline>
        </w:drawing>
      </w:r>
    </w:p>
    <w:p w:rsidR="006E2658" w:rsidRPr="00C258AD" w:rsidRDefault="006E2658" w:rsidP="006E2658">
      <w:pPr>
        <w:pStyle w:val="ListParagraph"/>
        <w:numPr>
          <w:ilvl w:val="0"/>
          <w:numId w:val="70"/>
        </w:numPr>
        <w:ind w:left="1134" w:hanging="567"/>
        <w:contextualSpacing/>
        <w:jc w:val="both"/>
      </w:pPr>
      <w:r w:rsidRPr="00C258AD">
        <w:t>Le coût de production total est estimé à 46,3 millions de francs suisses pour 2015, ce qui représente une hausse de 11% par rapport à 2014.  Le coût de production total de l’exercice biennal 2014</w:t>
      </w:r>
      <w:r w:rsidRPr="00C258AD">
        <w:noBreakHyphen/>
        <w:t>2015 est en augmentation de 10% par rapport à l’exercice biennal 2012</w:t>
      </w:r>
      <w:r w:rsidRPr="00C258AD">
        <w:noBreakHyphen/>
        <w:t>2013.</w:t>
      </w:r>
    </w:p>
    <w:p w:rsidR="006E2658" w:rsidRPr="00C258AD" w:rsidRDefault="006E2658" w:rsidP="00927E1F">
      <w:pPr>
        <w:jc w:val="both"/>
      </w:pPr>
    </w:p>
    <w:p w:rsidR="006E2658" w:rsidRPr="00C258AD" w:rsidRDefault="006E2658" w:rsidP="006E2658">
      <w:pPr>
        <w:pStyle w:val="ListParagraph"/>
        <w:numPr>
          <w:ilvl w:val="0"/>
          <w:numId w:val="70"/>
        </w:numPr>
        <w:ind w:left="1134" w:hanging="567"/>
        <w:contextualSpacing/>
        <w:jc w:val="both"/>
      </w:pPr>
      <w:r w:rsidRPr="00C258AD">
        <w:t>En 2015, les coûts directs ont représenté 61% du total des coûts.</w:t>
      </w:r>
    </w:p>
    <w:p w:rsidR="006E2658" w:rsidRPr="00C258AD" w:rsidRDefault="006E2658" w:rsidP="00927E1F">
      <w:pPr>
        <w:jc w:val="both"/>
      </w:pPr>
    </w:p>
    <w:p w:rsidR="006E2658" w:rsidRPr="00C258AD" w:rsidRDefault="006E2658" w:rsidP="00927E1F">
      <w:pPr>
        <w:jc w:val="both"/>
      </w:pPr>
    </w:p>
    <w:p w:rsidR="006E2658" w:rsidRPr="00C258AD" w:rsidRDefault="006E2658" w:rsidP="00927E1F">
      <w:pPr>
        <w:jc w:val="both"/>
        <w:rPr>
          <w:u w:val="single"/>
        </w:rPr>
      </w:pPr>
      <w:r w:rsidRPr="00C258AD">
        <w:rPr>
          <w:u w:val="single"/>
        </w:rPr>
        <w:t>Coût unitaire</w:t>
      </w:r>
    </w:p>
    <w:p w:rsidR="006E2658" w:rsidRPr="00C258AD" w:rsidRDefault="006E2658" w:rsidP="00927E1F">
      <w:pPr>
        <w:jc w:val="both"/>
      </w:pPr>
    </w:p>
    <w:p w:rsidR="006E2658" w:rsidRPr="00C258AD" w:rsidRDefault="006E2658" w:rsidP="006E2658">
      <w:pPr>
        <w:pStyle w:val="ListParagraph"/>
        <w:numPr>
          <w:ilvl w:val="0"/>
          <w:numId w:val="73"/>
        </w:numPr>
        <w:tabs>
          <w:tab w:val="left" w:pos="567"/>
        </w:tabs>
        <w:ind w:left="0" w:firstLine="0"/>
        <w:contextualSpacing/>
        <w:jc w:val="both"/>
      </w:pPr>
      <w:r w:rsidRPr="00C258AD">
        <w:t>L’efficacité du Bureau international dans le traitement des opérations peut être mesurée à l’aide du coût unitaire, défini comme le coût moyen d’une unité produite.</w:t>
      </w:r>
    </w:p>
    <w:p w:rsidR="006E2658" w:rsidRPr="00C258AD" w:rsidRDefault="006E2658" w:rsidP="00927E1F">
      <w:pPr>
        <w:tabs>
          <w:tab w:val="left" w:pos="567"/>
        </w:tabs>
        <w:ind w:left="360"/>
        <w:jc w:val="both"/>
      </w:pPr>
    </w:p>
    <w:p w:rsidR="006E2658" w:rsidRPr="00C258AD" w:rsidRDefault="006E2658" w:rsidP="006E2658">
      <w:pPr>
        <w:pStyle w:val="ListParagraph"/>
        <w:numPr>
          <w:ilvl w:val="0"/>
          <w:numId w:val="73"/>
        </w:numPr>
        <w:tabs>
          <w:tab w:val="left" w:pos="567"/>
        </w:tabs>
        <w:ind w:left="0" w:firstLine="0"/>
        <w:contextualSpacing/>
        <w:jc w:val="both"/>
      </w:pPr>
      <w:r w:rsidRPr="00C258AD">
        <w:t>Étant donné que le Bureau international est chargé d’enregistrer de nouvelles demandes et de maintenir les enregistrements existants, il convient d’utiliser une unité de production qui comprend un ensemble d’opérations.  Deux indicateurs de coût unitaire sont présentés ci</w:t>
      </w:r>
      <w:r w:rsidRPr="00C258AD">
        <w:noBreakHyphen/>
        <w:t>dessous, déterminés en fonction de deux unités de production différentes.</w:t>
      </w:r>
    </w:p>
    <w:p w:rsidR="006E2658" w:rsidRPr="00C258AD" w:rsidRDefault="006E2658" w:rsidP="00927E1F">
      <w:pPr>
        <w:tabs>
          <w:tab w:val="left" w:pos="567"/>
        </w:tabs>
        <w:ind w:left="360"/>
        <w:jc w:val="both"/>
      </w:pPr>
    </w:p>
    <w:p w:rsidR="006E2658" w:rsidRPr="00C258AD" w:rsidRDefault="006E2658" w:rsidP="006E2658">
      <w:pPr>
        <w:pStyle w:val="ListParagraph"/>
        <w:numPr>
          <w:ilvl w:val="0"/>
          <w:numId w:val="73"/>
        </w:numPr>
        <w:tabs>
          <w:tab w:val="left" w:pos="567"/>
        </w:tabs>
        <w:ind w:left="0" w:firstLine="0"/>
        <w:contextualSpacing/>
        <w:jc w:val="both"/>
      </w:pPr>
      <w:r w:rsidRPr="00C258AD">
        <w:t>Dans le cadre des efforts déployés par le Bureau international afin de constamment perfectionner sa méthode de calcul des coûts unitaires, celle</w:t>
      </w:r>
      <w:r w:rsidRPr="00C258AD">
        <w:noBreakHyphen/>
        <w:t>ci a été révisée dans le programme et budget pour 2016</w:t>
      </w:r>
      <w:r w:rsidRPr="00C258AD">
        <w:noBreakHyphen/>
        <w:t>2017 afin de mieux prendre en considération le coût du traitement de la charge de travail effectuée dans le cadre du système de Madrid par le Bureau international :</w:t>
      </w:r>
    </w:p>
    <w:p w:rsidR="006E2658" w:rsidRPr="00C258AD" w:rsidRDefault="006E2658" w:rsidP="00927E1F">
      <w:pPr>
        <w:tabs>
          <w:tab w:val="left" w:pos="567"/>
        </w:tabs>
        <w:ind w:left="360"/>
        <w:jc w:val="both"/>
      </w:pPr>
    </w:p>
    <w:p w:rsidR="006E2658" w:rsidRPr="00C258AD" w:rsidRDefault="006E2658" w:rsidP="006E2658">
      <w:pPr>
        <w:pStyle w:val="ListParagraph"/>
        <w:numPr>
          <w:ilvl w:val="0"/>
          <w:numId w:val="69"/>
        </w:numPr>
        <w:ind w:left="1134" w:hanging="567"/>
        <w:contextualSpacing/>
        <w:jc w:val="both"/>
      </w:pPr>
      <w:r w:rsidRPr="00C258AD">
        <w:t>La méthode de calcul des coûts directs et indirects du système de Madrid a été alignée sur celles utilisées pour calculer les coûts unitaires des systèmes du PCT et de La Haye.</w:t>
      </w:r>
    </w:p>
    <w:p w:rsidR="006E2658" w:rsidRPr="00C258AD" w:rsidRDefault="006E2658" w:rsidP="00927E1F">
      <w:pPr>
        <w:ind w:left="360"/>
        <w:jc w:val="both"/>
      </w:pPr>
    </w:p>
    <w:p w:rsidR="006E2658" w:rsidRPr="00C258AD" w:rsidRDefault="006E2658" w:rsidP="006E2658">
      <w:pPr>
        <w:pStyle w:val="ListParagraph"/>
        <w:numPr>
          <w:ilvl w:val="0"/>
          <w:numId w:val="69"/>
        </w:numPr>
        <w:ind w:left="1134" w:hanging="567"/>
        <w:contextualSpacing/>
        <w:jc w:val="both"/>
      </w:pPr>
      <w:r w:rsidRPr="00C258AD">
        <w:t>Un système de pondération a été mis en place afin d’obtenir une meilleure approximation du travail réellement nécessaire au traitement des six catégories de documents, compte tenu du fait que certains de ces documents exigent plus de travail que d’autres</w:t>
      </w:r>
      <w:r w:rsidRPr="00C258AD">
        <w:rPr>
          <w:rStyle w:val="FootnoteReference"/>
          <w:rFonts w:eastAsia="SimSun"/>
        </w:rPr>
        <w:footnoteReference w:id="34"/>
      </w:r>
      <w:r w:rsidRPr="00C258AD">
        <w:t>.</w:t>
      </w:r>
    </w:p>
    <w:p w:rsidR="006E2658" w:rsidRPr="00C258AD" w:rsidRDefault="006E2658" w:rsidP="00927E1F">
      <w:pPr>
        <w:ind w:left="360"/>
        <w:jc w:val="both"/>
      </w:pPr>
    </w:p>
    <w:p w:rsidR="006E2658" w:rsidRPr="00C258AD" w:rsidRDefault="006E2658" w:rsidP="006E2658">
      <w:pPr>
        <w:pStyle w:val="ListParagraph"/>
        <w:numPr>
          <w:ilvl w:val="0"/>
          <w:numId w:val="69"/>
        </w:numPr>
        <w:ind w:left="1134" w:hanging="567"/>
        <w:contextualSpacing/>
        <w:jc w:val="both"/>
      </w:pPr>
      <w:r w:rsidRPr="00C258AD">
        <w:t>Le premier coût unitaire a été redéfini pour tenir compte uniquement des nouvelles demandes internationales et renouvellements (le coût unitaire figurant dans le programme et budget pour 2014</w:t>
      </w:r>
      <w:r w:rsidRPr="00C258AD">
        <w:noBreakHyphen/>
        <w:t xml:space="preserve">15 comprenait également les désignations postérieures).  La raison du retrait des désignations postérieures en tant que composante de ce coût unitaire est la volonté de mettre l’accent sur les opérations essentielles du système de Madrid, à savoir les </w:t>
      </w:r>
      <w:r w:rsidRPr="00C258AD">
        <w:lastRenderedPageBreak/>
        <w:t>enregistrements internationaux et leur renouvellement.  Toutes les autres opérations effectuées dans le cadre du système de Madrid (les désignations postérieures, les modifications, les décisions et les corrections) peuvent être considérées comme étant secondaires à ces deux opérations essentielles.  Il est difficile, en outre, de justifier la présence de l’une de ces opérations secondaires parmi les composantes du coût unitaire alors que les autres en sont absentes.</w:t>
      </w:r>
    </w:p>
    <w:p w:rsidR="006E2658" w:rsidRPr="00C258AD" w:rsidRDefault="006E2658" w:rsidP="00927E1F">
      <w:pPr>
        <w:ind w:left="360"/>
      </w:pPr>
    </w:p>
    <w:p w:rsidR="006E2658" w:rsidRPr="00C258AD" w:rsidRDefault="006E2658" w:rsidP="006E2658">
      <w:pPr>
        <w:pStyle w:val="ListParagraph"/>
        <w:numPr>
          <w:ilvl w:val="0"/>
          <w:numId w:val="69"/>
        </w:numPr>
        <w:ind w:left="1134" w:hanging="567"/>
        <w:contextualSpacing/>
        <w:jc w:val="both"/>
      </w:pPr>
      <w:r w:rsidRPr="00C258AD">
        <w:t>Le second coût unitaire est fondé exclusivement sur le nombre de documents inscrits au registre, indépendamment du niveau des ressources nécessaires à leur traitement.</w:t>
      </w:r>
    </w:p>
    <w:p w:rsidR="006E2658" w:rsidRPr="00C258AD" w:rsidRDefault="006E2658" w:rsidP="00927E1F">
      <w:pPr>
        <w:jc w:val="both"/>
      </w:pPr>
    </w:p>
    <w:p w:rsidR="006E2658" w:rsidRPr="00C258AD" w:rsidRDefault="006E2658" w:rsidP="006E2658">
      <w:pPr>
        <w:pStyle w:val="ListParagraph"/>
        <w:numPr>
          <w:ilvl w:val="0"/>
          <w:numId w:val="73"/>
        </w:numPr>
        <w:tabs>
          <w:tab w:val="left" w:pos="567"/>
        </w:tabs>
        <w:ind w:left="0" w:firstLine="0"/>
        <w:contextualSpacing/>
        <w:jc w:val="both"/>
      </w:pPr>
      <w:r w:rsidRPr="00C258AD">
        <w:t>Afin de faciliter la comparaison, les graphiques ci</w:t>
      </w:r>
      <w:r w:rsidRPr="00C258AD">
        <w:noBreakHyphen/>
        <w:t>après montrent l’évolution des deux coûts unitaires de 2008 à 2014 en utilisant l’ancienne méthode, et de 2012 à 2015 en utilisant la nouvelle méthode, ainsi qu’une ventilation de la contribution des coûts directs et indirects.</w:t>
      </w:r>
    </w:p>
    <w:p w:rsidR="006E2658" w:rsidRPr="00C258AD" w:rsidRDefault="006E2658" w:rsidP="00927E1F">
      <w:pPr>
        <w:jc w:val="both"/>
      </w:pPr>
    </w:p>
    <w:p w:rsidR="006E2658" w:rsidRPr="00C258AD" w:rsidRDefault="006E2658" w:rsidP="00927E1F">
      <w:pPr>
        <w:keepNext/>
        <w:keepLines/>
        <w:tabs>
          <w:tab w:val="left" w:pos="1701"/>
        </w:tabs>
        <w:ind w:left="284"/>
        <w:jc w:val="both"/>
        <w:rPr>
          <w:i/>
        </w:rPr>
      </w:pPr>
      <w:r w:rsidRPr="00C258AD">
        <w:rPr>
          <w:i/>
        </w:rPr>
        <w:t>Coût unitaire par nouvel enregistrement ou renouvellement</w:t>
      </w:r>
    </w:p>
    <w:p w:rsidR="006E2658" w:rsidRPr="00C258AD" w:rsidRDefault="006E2658" w:rsidP="00927E1F">
      <w:pPr>
        <w:jc w:val="both"/>
      </w:pPr>
    </w:p>
    <w:p w:rsidR="006E2658" w:rsidRPr="00C258AD" w:rsidRDefault="006E2658" w:rsidP="006E2658">
      <w:pPr>
        <w:pStyle w:val="ListParagraph"/>
        <w:numPr>
          <w:ilvl w:val="0"/>
          <w:numId w:val="73"/>
        </w:numPr>
        <w:tabs>
          <w:tab w:val="left" w:pos="567"/>
        </w:tabs>
        <w:ind w:left="0" w:firstLine="0"/>
        <w:contextualSpacing/>
        <w:jc w:val="both"/>
      </w:pPr>
      <w:r w:rsidRPr="00C258AD">
        <w:t>Les nouveaux enregistrements internationaux comprennent les demandes enregistrées au cours d’une année donnée, et les renouvellements d’enregistrements internationaux comprennent les enregistrements existants qui sont renouvelés au cours d’une année donnée.  Ensemble, ces deux types d’opération constituent le cœur de l’activité du Bureau international.</w:t>
      </w:r>
    </w:p>
    <w:p w:rsidR="006E2658" w:rsidRPr="00C258AD" w:rsidRDefault="006E2658" w:rsidP="00927E1F">
      <w:pPr>
        <w:jc w:val="both"/>
      </w:pPr>
    </w:p>
    <w:p w:rsidR="006E2658" w:rsidRPr="00C258AD" w:rsidRDefault="006E2658" w:rsidP="006E2658">
      <w:pPr>
        <w:pStyle w:val="ListParagraph"/>
        <w:numPr>
          <w:ilvl w:val="0"/>
          <w:numId w:val="73"/>
        </w:numPr>
        <w:tabs>
          <w:tab w:val="left" w:pos="567"/>
        </w:tabs>
        <w:ind w:left="0" w:firstLine="0"/>
        <w:contextualSpacing/>
        <w:jc w:val="both"/>
      </w:pPr>
      <w:r w:rsidRPr="00C258AD">
        <w:t>Étant donné que le traitement de ces deux catégories d’opérations requiert des ressources différentes, elles sont pondérées différemment</w:t>
      </w:r>
      <w:r w:rsidRPr="00C258AD">
        <w:rPr>
          <w:rStyle w:val="FootnoteReference"/>
          <w:rFonts w:eastAsia="SimSun"/>
        </w:rPr>
        <w:footnoteReference w:id="35"/>
      </w:r>
      <w:r w:rsidRPr="00C258AD">
        <w:rPr>
          <w:rStyle w:val="FootnoteReference"/>
          <w:rFonts w:eastAsia="SimSun"/>
        </w:rPr>
        <w:t xml:space="preserve">.  </w:t>
      </w:r>
      <w:r w:rsidRPr="00C258AD">
        <w:t>Le coût unitaire est obtenu en divisant le coût total de production par le nombre d’enregistrements internationaux nouveaux ou renouvelés.</w:t>
      </w:r>
    </w:p>
    <w:p w:rsidR="006E2658" w:rsidRPr="00C258AD" w:rsidRDefault="006E2658" w:rsidP="00927E1F"/>
    <w:tbl>
      <w:tblPr>
        <w:tblStyle w:val="TableGrid"/>
        <w:tblW w:w="0" w:type="auto"/>
        <w:tblCellMar>
          <w:left w:w="0" w:type="dxa"/>
          <w:right w:w="0" w:type="dxa"/>
        </w:tblCellMar>
        <w:tblLook w:val="04A0" w:firstRow="1" w:lastRow="0" w:firstColumn="1" w:lastColumn="0" w:noHBand="0" w:noVBand="1"/>
      </w:tblPr>
      <w:tblGrid>
        <w:gridCol w:w="4773"/>
        <w:gridCol w:w="4592"/>
      </w:tblGrid>
      <w:tr w:rsidR="006E2658" w:rsidRPr="00C258AD" w:rsidTr="00927E1F">
        <w:trPr>
          <w:cantSplit/>
        </w:trPr>
        <w:tc>
          <w:tcPr>
            <w:tcW w:w="4788" w:type="dxa"/>
          </w:tcPr>
          <w:p w:rsidR="006E2658" w:rsidRPr="00C258AD" w:rsidRDefault="006E2658" w:rsidP="00927E1F">
            <w:pPr>
              <w:keepNext/>
              <w:jc w:val="center"/>
            </w:pPr>
            <w:r w:rsidRPr="00C258AD">
              <w:t>Ancienne méthode</w:t>
            </w:r>
          </w:p>
        </w:tc>
        <w:tc>
          <w:tcPr>
            <w:tcW w:w="4788" w:type="dxa"/>
          </w:tcPr>
          <w:p w:rsidR="006E2658" w:rsidRPr="00C258AD" w:rsidRDefault="006E2658" w:rsidP="00927E1F">
            <w:pPr>
              <w:keepNext/>
              <w:jc w:val="center"/>
            </w:pPr>
            <w:r w:rsidRPr="00C258AD">
              <w:t>Nouvelle méthode</w:t>
            </w:r>
          </w:p>
        </w:tc>
      </w:tr>
      <w:tr w:rsidR="006E2658" w:rsidRPr="00C258AD" w:rsidTr="00927E1F">
        <w:trPr>
          <w:cantSplit/>
        </w:trPr>
        <w:tc>
          <w:tcPr>
            <w:tcW w:w="4788" w:type="dxa"/>
            <w:vAlign w:val="center"/>
          </w:tcPr>
          <w:p w:rsidR="006E2658" w:rsidRPr="00C258AD" w:rsidRDefault="006E2658" w:rsidP="00927E1F">
            <w:pPr>
              <w:jc w:val="center"/>
            </w:pPr>
            <w:r w:rsidRPr="00C258AD">
              <w:rPr>
                <w:noProof/>
                <w:lang w:val="en-US"/>
              </w:rPr>
              <w:drawing>
                <wp:inline distT="0" distB="0" distL="0" distR="0" wp14:anchorId="77B039FB" wp14:editId="3EAD58E8">
                  <wp:extent cx="3009756" cy="1978926"/>
                  <wp:effectExtent l="0" t="0" r="635" b="2540"/>
                  <wp:docPr id="975" name="Picture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019726" cy="1985481"/>
                          </a:xfrm>
                          <a:prstGeom prst="rect">
                            <a:avLst/>
                          </a:prstGeom>
                          <a:noFill/>
                          <a:ln>
                            <a:noFill/>
                          </a:ln>
                        </pic:spPr>
                      </pic:pic>
                    </a:graphicData>
                  </a:graphic>
                </wp:inline>
              </w:drawing>
            </w:r>
          </w:p>
        </w:tc>
        <w:tc>
          <w:tcPr>
            <w:tcW w:w="4788" w:type="dxa"/>
            <w:vAlign w:val="center"/>
          </w:tcPr>
          <w:p w:rsidR="006E2658" w:rsidRPr="00C258AD" w:rsidRDefault="006E2658" w:rsidP="00927E1F">
            <w:pPr>
              <w:jc w:val="center"/>
            </w:pPr>
            <w:r w:rsidRPr="00C258AD">
              <w:rPr>
                <w:noProof/>
                <w:lang w:val="en-US"/>
              </w:rPr>
              <w:drawing>
                <wp:inline distT="0" distB="0" distL="0" distR="0" wp14:anchorId="1B388663" wp14:editId="62885017">
                  <wp:extent cx="2720058" cy="2115403"/>
                  <wp:effectExtent l="0" t="0" r="4445" b="0"/>
                  <wp:docPr id="976" name="Picture 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723636" cy="2118186"/>
                          </a:xfrm>
                          <a:prstGeom prst="rect">
                            <a:avLst/>
                          </a:prstGeom>
                          <a:noFill/>
                          <a:ln>
                            <a:noFill/>
                          </a:ln>
                        </pic:spPr>
                      </pic:pic>
                    </a:graphicData>
                  </a:graphic>
                </wp:inline>
              </w:drawing>
            </w:r>
          </w:p>
        </w:tc>
      </w:tr>
    </w:tbl>
    <w:p w:rsidR="006E2658" w:rsidRPr="00C258AD" w:rsidRDefault="006E2658" w:rsidP="00927E1F"/>
    <w:p w:rsidR="006E2658" w:rsidRPr="00C258AD" w:rsidRDefault="006E2658" w:rsidP="006E2658">
      <w:pPr>
        <w:pStyle w:val="ListParagraph"/>
        <w:numPr>
          <w:ilvl w:val="0"/>
          <w:numId w:val="71"/>
        </w:numPr>
        <w:ind w:left="1134" w:hanging="567"/>
        <w:contextualSpacing/>
        <w:jc w:val="both"/>
      </w:pPr>
      <w:r w:rsidRPr="00C258AD">
        <w:t>Le coût moyen du traitement d’un enregistrement international ou d’un renouvellement était de 743 francs suisses en 2015, ce qui représente une baisse de 11% par rapport à 2014.  Le coût unitaire par nouvel enregistrement ou renouvellement de l’exercice biennal 2014</w:t>
      </w:r>
      <w:r w:rsidRPr="00C258AD">
        <w:noBreakHyphen/>
        <w:t>2015 est en baisse de 1% par rapport à celui de l’exercice biennal 2012</w:t>
      </w:r>
      <w:r w:rsidRPr="00C258AD">
        <w:noBreakHyphen/>
        <w:t>2013.</w:t>
      </w:r>
    </w:p>
    <w:p w:rsidR="006E2658" w:rsidRPr="00C258AD" w:rsidRDefault="006E2658" w:rsidP="00927E1F">
      <w:pPr>
        <w:keepNext/>
        <w:keepLines/>
        <w:tabs>
          <w:tab w:val="left" w:pos="1701"/>
        </w:tabs>
        <w:ind w:left="284"/>
        <w:jc w:val="both"/>
        <w:rPr>
          <w:i/>
        </w:rPr>
      </w:pPr>
      <w:r w:rsidRPr="00C258AD">
        <w:rPr>
          <w:i/>
        </w:rPr>
        <w:lastRenderedPageBreak/>
        <w:t>Coût unitaire par document inscrit au registre</w:t>
      </w:r>
    </w:p>
    <w:p w:rsidR="006E2658" w:rsidRPr="00C258AD" w:rsidRDefault="006E2658" w:rsidP="00927E1F">
      <w:pPr>
        <w:keepNext/>
        <w:keepLines/>
        <w:jc w:val="both"/>
      </w:pPr>
    </w:p>
    <w:p w:rsidR="006E2658" w:rsidRPr="00C258AD" w:rsidRDefault="006E2658" w:rsidP="006E2658">
      <w:pPr>
        <w:pStyle w:val="ListParagraph"/>
        <w:keepNext/>
        <w:keepLines/>
        <w:numPr>
          <w:ilvl w:val="0"/>
          <w:numId w:val="73"/>
        </w:numPr>
        <w:tabs>
          <w:tab w:val="left" w:pos="567"/>
        </w:tabs>
        <w:ind w:left="0" w:firstLine="0"/>
        <w:contextualSpacing/>
        <w:jc w:val="both"/>
      </w:pPr>
      <w:r w:rsidRPr="00C258AD">
        <w:t>Les documents inscrits au registre représentent le volume total de la charge de travail (voir “Volume total de la charge de travail” ci</w:t>
      </w:r>
      <w:r w:rsidRPr="00C258AD">
        <w:noBreakHyphen/>
        <w:t>dessus).</w:t>
      </w:r>
    </w:p>
    <w:p w:rsidR="006E2658" w:rsidRPr="00C258AD" w:rsidRDefault="006E2658" w:rsidP="00927E1F">
      <w:pPr>
        <w:keepNext/>
        <w:keepLines/>
        <w:jc w:val="center"/>
      </w:pPr>
    </w:p>
    <w:tbl>
      <w:tblPr>
        <w:tblStyle w:val="TableGrid"/>
        <w:tblW w:w="9606" w:type="dxa"/>
        <w:tblLayout w:type="fixed"/>
        <w:tblLook w:val="04A0" w:firstRow="1" w:lastRow="0" w:firstColumn="1" w:lastColumn="0" w:noHBand="0" w:noVBand="1"/>
      </w:tblPr>
      <w:tblGrid>
        <w:gridCol w:w="5177"/>
        <w:gridCol w:w="4429"/>
      </w:tblGrid>
      <w:tr w:rsidR="006E2658" w:rsidRPr="00C258AD" w:rsidTr="00927E1F">
        <w:trPr>
          <w:cantSplit/>
          <w:trHeight w:val="273"/>
        </w:trPr>
        <w:tc>
          <w:tcPr>
            <w:tcW w:w="5177" w:type="dxa"/>
          </w:tcPr>
          <w:p w:rsidR="006E2658" w:rsidRPr="00C258AD" w:rsidRDefault="006E2658" w:rsidP="00927E1F">
            <w:pPr>
              <w:keepNext/>
              <w:keepLines/>
              <w:jc w:val="center"/>
            </w:pPr>
            <w:r w:rsidRPr="00C258AD">
              <w:t>Ancienne méthode</w:t>
            </w:r>
          </w:p>
        </w:tc>
        <w:tc>
          <w:tcPr>
            <w:tcW w:w="4429" w:type="dxa"/>
          </w:tcPr>
          <w:p w:rsidR="006E2658" w:rsidRPr="00C258AD" w:rsidRDefault="006E2658" w:rsidP="00927E1F">
            <w:pPr>
              <w:keepNext/>
              <w:keepLines/>
              <w:jc w:val="center"/>
            </w:pPr>
            <w:r w:rsidRPr="00C258AD">
              <w:t>Nouvelle méthode</w:t>
            </w:r>
          </w:p>
        </w:tc>
      </w:tr>
      <w:tr w:rsidR="006E2658" w:rsidRPr="00C258AD" w:rsidTr="00927E1F">
        <w:trPr>
          <w:cantSplit/>
          <w:trHeight w:val="3013"/>
        </w:trPr>
        <w:tc>
          <w:tcPr>
            <w:tcW w:w="5177" w:type="dxa"/>
          </w:tcPr>
          <w:p w:rsidR="006E2658" w:rsidRPr="00C258AD" w:rsidRDefault="006E2658" w:rsidP="00927E1F">
            <w:pPr>
              <w:keepNext/>
              <w:keepLines/>
              <w:jc w:val="center"/>
            </w:pPr>
            <w:r w:rsidRPr="00C258AD">
              <w:rPr>
                <w:noProof/>
                <w:lang w:val="en-US"/>
              </w:rPr>
              <w:drawing>
                <wp:inline distT="0" distB="0" distL="0" distR="0" wp14:anchorId="2275712D" wp14:editId="0E8397A1">
                  <wp:extent cx="3148965" cy="200342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148965" cy="2003425"/>
                          </a:xfrm>
                          <a:prstGeom prst="rect">
                            <a:avLst/>
                          </a:prstGeom>
                          <a:noFill/>
                          <a:ln>
                            <a:noFill/>
                          </a:ln>
                        </pic:spPr>
                      </pic:pic>
                    </a:graphicData>
                  </a:graphic>
                </wp:inline>
              </w:drawing>
            </w:r>
          </w:p>
        </w:tc>
        <w:tc>
          <w:tcPr>
            <w:tcW w:w="4429" w:type="dxa"/>
          </w:tcPr>
          <w:p w:rsidR="006E2658" w:rsidRPr="00C258AD" w:rsidRDefault="006E2658" w:rsidP="00927E1F">
            <w:pPr>
              <w:keepNext/>
              <w:keepLines/>
              <w:jc w:val="center"/>
            </w:pPr>
            <w:r w:rsidRPr="00C258AD">
              <w:rPr>
                <w:noProof/>
                <w:lang w:val="en-US"/>
              </w:rPr>
              <w:drawing>
                <wp:inline distT="0" distB="0" distL="0" distR="0" wp14:anchorId="695CAB84" wp14:editId="232CD15A">
                  <wp:extent cx="2715904" cy="2125153"/>
                  <wp:effectExtent l="0" t="0" r="8255" b="8890"/>
                  <wp:docPr id="977" name="Picture 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716039" cy="2125259"/>
                          </a:xfrm>
                          <a:prstGeom prst="rect">
                            <a:avLst/>
                          </a:prstGeom>
                          <a:noFill/>
                          <a:ln>
                            <a:noFill/>
                          </a:ln>
                        </pic:spPr>
                      </pic:pic>
                    </a:graphicData>
                  </a:graphic>
                </wp:inline>
              </w:drawing>
            </w:r>
          </w:p>
        </w:tc>
      </w:tr>
    </w:tbl>
    <w:p w:rsidR="006E2658" w:rsidRPr="00C258AD" w:rsidRDefault="006E2658" w:rsidP="00927E1F"/>
    <w:p w:rsidR="006E2658" w:rsidRPr="00C258AD" w:rsidRDefault="006E2658" w:rsidP="006E2658">
      <w:pPr>
        <w:pStyle w:val="ListParagraph"/>
        <w:keepNext/>
        <w:keepLines/>
        <w:numPr>
          <w:ilvl w:val="0"/>
          <w:numId w:val="71"/>
        </w:numPr>
        <w:ind w:left="1134" w:hanging="567"/>
        <w:contextualSpacing/>
        <w:jc w:val="both"/>
      </w:pPr>
      <w:r w:rsidRPr="00C258AD">
        <w:t>Le coût moyen d’inscription d’un document au registre a connu une légère hausse, passant de 320 francs suisses en 2012 à 323 francs suisses en 2015.  Le coût unitaire par document inscrit au registre au cours de l’exercice biennal 2014</w:t>
      </w:r>
      <w:r w:rsidRPr="00C258AD">
        <w:noBreakHyphen/>
        <w:t>2015 a augmenté de 1% par rapport à celui de l’exercice biennal 2012</w:t>
      </w:r>
      <w:r w:rsidRPr="00C258AD">
        <w:noBreakHyphen/>
        <w:t>2013.</w:t>
      </w:r>
    </w:p>
    <w:p w:rsidR="006E2658" w:rsidRPr="00C258AD" w:rsidRDefault="006E2658" w:rsidP="00927E1F">
      <w:pPr>
        <w:jc w:val="both"/>
      </w:pPr>
    </w:p>
    <w:p w:rsidR="006E2658" w:rsidRPr="00C258AD" w:rsidRDefault="006E2658" w:rsidP="00927E1F">
      <w:pPr>
        <w:jc w:val="both"/>
      </w:pPr>
    </w:p>
    <w:p w:rsidR="006E2658" w:rsidRPr="00C258AD" w:rsidRDefault="006E2658" w:rsidP="006E2658">
      <w:pPr>
        <w:pStyle w:val="ListParagraph"/>
        <w:numPr>
          <w:ilvl w:val="0"/>
          <w:numId w:val="68"/>
        </w:numPr>
        <w:ind w:left="567" w:hanging="567"/>
        <w:contextualSpacing/>
        <w:jc w:val="both"/>
        <w:rPr>
          <w:b/>
        </w:rPr>
      </w:pPr>
      <w:r w:rsidRPr="00C258AD">
        <w:rPr>
          <w:b/>
        </w:rPr>
        <w:t>Productivité de l’examen</w:t>
      </w:r>
    </w:p>
    <w:p w:rsidR="006E2658" w:rsidRPr="00C258AD" w:rsidRDefault="006E2658" w:rsidP="00927E1F">
      <w:pPr>
        <w:jc w:val="both"/>
      </w:pPr>
    </w:p>
    <w:p w:rsidR="006E2658" w:rsidRPr="00C258AD" w:rsidRDefault="006E2658" w:rsidP="006E2658">
      <w:pPr>
        <w:pStyle w:val="ListParagraph"/>
        <w:keepNext/>
        <w:keepLines/>
        <w:numPr>
          <w:ilvl w:val="0"/>
          <w:numId w:val="73"/>
        </w:numPr>
        <w:tabs>
          <w:tab w:val="left" w:pos="567"/>
        </w:tabs>
        <w:ind w:left="0" w:firstLine="0"/>
        <w:contextualSpacing/>
        <w:jc w:val="both"/>
      </w:pPr>
      <w:r w:rsidRPr="00C258AD">
        <w:t>La productivité de l’examen est calculée en divisant le nombre de nouveaux enregistrements internationaux ou renouvellements traités par des examinateurs, par le nombre de membres du personnel ayant participé à l’examen.  Le nombre de membres du personnel comprend les boursiers et les prestataires de services internes et externes.</w:t>
      </w:r>
    </w:p>
    <w:p w:rsidR="006E2658" w:rsidRPr="00C258AD" w:rsidRDefault="006E2658" w:rsidP="00927E1F">
      <w:pPr>
        <w:jc w:val="both"/>
      </w:pPr>
    </w:p>
    <w:p w:rsidR="006E2658" w:rsidRPr="00C258AD" w:rsidRDefault="006E2658" w:rsidP="00927E1F">
      <w:pPr>
        <w:jc w:val="both"/>
      </w:pPr>
      <w:r w:rsidRPr="00C258AD">
        <w:rPr>
          <w:noProof/>
          <w:lang w:val="en-US"/>
        </w:rPr>
        <w:drawing>
          <wp:inline distT="0" distB="0" distL="0" distR="0" wp14:anchorId="096840D7" wp14:editId="7F8C3518">
            <wp:extent cx="5940425" cy="2870976"/>
            <wp:effectExtent l="0" t="0" r="3175" b="5715"/>
            <wp:docPr id="978" name="Picture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940425" cy="2870976"/>
                    </a:xfrm>
                    <a:prstGeom prst="rect">
                      <a:avLst/>
                    </a:prstGeom>
                    <a:noFill/>
                    <a:ln>
                      <a:noFill/>
                    </a:ln>
                  </pic:spPr>
                </pic:pic>
              </a:graphicData>
            </a:graphic>
          </wp:inline>
        </w:drawing>
      </w:r>
    </w:p>
    <w:p w:rsidR="006E2658" w:rsidRPr="00C258AD" w:rsidRDefault="006E2658" w:rsidP="006E2658">
      <w:pPr>
        <w:pStyle w:val="ListParagraph"/>
        <w:numPr>
          <w:ilvl w:val="0"/>
          <w:numId w:val="71"/>
        </w:numPr>
        <w:ind w:left="1134" w:hanging="567"/>
        <w:contextualSpacing/>
        <w:jc w:val="both"/>
      </w:pPr>
      <w:r w:rsidRPr="00C258AD">
        <w:rPr>
          <w:rFonts w:cs="Arial"/>
        </w:rPr>
        <w:t>La productivité de l’examen a augmenté de 17% par rapport à 2014.  Le chiffre de 1039 nouveaux enregistrements internationaux ou renouvellements atteint en 2015 est le plus élevé pour la période 2008 à 2015.</w:t>
      </w:r>
    </w:p>
    <w:p w:rsidR="006E2658" w:rsidRPr="00C258AD" w:rsidRDefault="006E2658" w:rsidP="00927E1F">
      <w:pPr>
        <w:jc w:val="both"/>
      </w:pPr>
    </w:p>
    <w:p w:rsidR="006E2658" w:rsidRPr="00C258AD" w:rsidRDefault="006E2658" w:rsidP="00927E1F">
      <w:pPr>
        <w:jc w:val="both"/>
      </w:pPr>
    </w:p>
    <w:p w:rsidR="006E2658" w:rsidRPr="00C258AD" w:rsidRDefault="006E2658" w:rsidP="006E2658">
      <w:pPr>
        <w:pStyle w:val="ListParagraph"/>
        <w:keepNext/>
        <w:keepLines/>
        <w:numPr>
          <w:ilvl w:val="0"/>
          <w:numId w:val="68"/>
        </w:numPr>
        <w:ind w:left="567" w:hanging="567"/>
        <w:contextualSpacing/>
        <w:jc w:val="both"/>
        <w:rPr>
          <w:b/>
        </w:rPr>
      </w:pPr>
      <w:r w:rsidRPr="00C258AD">
        <w:rPr>
          <w:b/>
        </w:rPr>
        <w:lastRenderedPageBreak/>
        <w:t>Personnel</w:t>
      </w:r>
    </w:p>
    <w:p w:rsidR="006E2658" w:rsidRPr="00C258AD" w:rsidRDefault="006E2658" w:rsidP="00927E1F">
      <w:pPr>
        <w:keepNext/>
        <w:keepLines/>
        <w:jc w:val="both"/>
      </w:pPr>
    </w:p>
    <w:p w:rsidR="006E2658" w:rsidRPr="00C258AD" w:rsidRDefault="006E2658" w:rsidP="00927E1F">
      <w:pPr>
        <w:keepNext/>
        <w:keepLines/>
        <w:rPr>
          <w:rFonts w:cs="Arial"/>
          <w:sz w:val="16"/>
        </w:rPr>
      </w:pPr>
      <w:r w:rsidRPr="00C258AD">
        <w:rPr>
          <w:noProof/>
          <w:lang w:val="en-US"/>
        </w:rPr>
        <w:drawing>
          <wp:inline distT="0" distB="0" distL="0" distR="0" wp14:anchorId="40DDD460" wp14:editId="19294E0E">
            <wp:extent cx="5940425" cy="2847925"/>
            <wp:effectExtent l="0" t="0" r="3175" b="0"/>
            <wp:docPr id="979" name="Picture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940425" cy="2847925"/>
                    </a:xfrm>
                    <a:prstGeom prst="rect">
                      <a:avLst/>
                    </a:prstGeom>
                    <a:noFill/>
                    <a:ln>
                      <a:noFill/>
                    </a:ln>
                  </pic:spPr>
                </pic:pic>
              </a:graphicData>
            </a:graphic>
          </wp:inline>
        </w:drawing>
      </w:r>
      <w:r w:rsidRPr="00C258AD">
        <w:rPr>
          <w:rFonts w:cs="Arial"/>
          <w:sz w:val="16"/>
        </w:rPr>
        <w:t xml:space="preserve">Note : la possibilité de distinguer les membres du personnel du Service d’enregistrement de Lisbonne n’existe que depuis l’exercice biennal 2014 </w:t>
      </w:r>
      <w:r w:rsidRPr="00C258AD">
        <w:rPr>
          <w:rFonts w:cs="Arial"/>
          <w:sz w:val="16"/>
        </w:rPr>
        <w:noBreakHyphen/>
        <w:t>2015.  Pour les années antérieures à 2014, les membres du personnel du Service d’enregistrement de Lisbonne sont compris dans le personnel d’ensemble du système de Madrid.</w:t>
      </w:r>
    </w:p>
    <w:p w:rsidR="006E2658" w:rsidRPr="00C258AD" w:rsidRDefault="006E2658" w:rsidP="00927E1F">
      <w:pPr>
        <w:keepNext/>
        <w:keepLines/>
        <w:jc w:val="both"/>
        <w:rPr>
          <w:rFonts w:cs="Arial"/>
        </w:rPr>
      </w:pPr>
    </w:p>
    <w:p w:rsidR="006E2658" w:rsidRPr="00C258AD" w:rsidRDefault="006E2658" w:rsidP="006E2658">
      <w:pPr>
        <w:pStyle w:val="ListParagraph"/>
        <w:numPr>
          <w:ilvl w:val="0"/>
          <w:numId w:val="71"/>
        </w:numPr>
        <w:spacing w:after="120"/>
        <w:ind w:left="1134" w:hanging="567"/>
        <w:jc w:val="both"/>
        <w:rPr>
          <w:rFonts w:cs="Arial"/>
        </w:rPr>
      </w:pPr>
      <w:r w:rsidRPr="00C258AD">
        <w:rPr>
          <w:rFonts w:cs="Arial"/>
        </w:rPr>
        <w:t>Le nombre d’employés est resté relativement stable entre 2014 et 2015.  Le nombre des ressources modulables a doublé, de huit en 2014 à 16 en 2015.</w:t>
      </w:r>
    </w:p>
    <w:p w:rsidR="006E2658" w:rsidRPr="00C258AD" w:rsidRDefault="006E2658" w:rsidP="006E2658">
      <w:pPr>
        <w:pStyle w:val="ListParagraph"/>
        <w:numPr>
          <w:ilvl w:val="0"/>
          <w:numId w:val="71"/>
        </w:numPr>
        <w:spacing w:after="120"/>
        <w:ind w:left="1134" w:hanging="567"/>
        <w:jc w:val="both"/>
        <w:rPr>
          <w:rFonts w:cs="Arial"/>
        </w:rPr>
      </w:pPr>
      <w:r w:rsidRPr="00C258AD">
        <w:rPr>
          <w:rFonts w:cs="Arial"/>
        </w:rPr>
        <w:t>Le personnel intérimaire ne travaillant pas dans les locaux de l’OMPI n’est pas pris en compte dans cet indicateur.</w:t>
      </w:r>
    </w:p>
    <w:p w:rsidR="006E2658" w:rsidRPr="00C258AD" w:rsidRDefault="006E2658" w:rsidP="00927E1F"/>
    <w:p w:rsidR="006E2658" w:rsidRPr="00C258AD" w:rsidRDefault="006E2658" w:rsidP="00927E1F"/>
    <w:p w:rsidR="006E2658" w:rsidRPr="00C258AD" w:rsidRDefault="006E2658" w:rsidP="006E2658">
      <w:pPr>
        <w:pStyle w:val="ListParagraph"/>
        <w:numPr>
          <w:ilvl w:val="0"/>
          <w:numId w:val="68"/>
        </w:numPr>
        <w:ind w:left="567" w:hanging="567"/>
        <w:contextualSpacing/>
        <w:jc w:val="both"/>
        <w:rPr>
          <w:b/>
        </w:rPr>
      </w:pPr>
      <w:r w:rsidRPr="00C258AD">
        <w:rPr>
          <w:b/>
        </w:rPr>
        <w:t>Délais de traitement</w:t>
      </w:r>
    </w:p>
    <w:p w:rsidR="006E2658" w:rsidRPr="00C258AD" w:rsidRDefault="006E2658" w:rsidP="00927E1F">
      <w:pPr>
        <w:jc w:val="both"/>
      </w:pPr>
    </w:p>
    <w:p w:rsidR="006E2658" w:rsidRPr="00C258AD" w:rsidRDefault="006E2658" w:rsidP="006E2658">
      <w:pPr>
        <w:pStyle w:val="ListParagraph"/>
        <w:numPr>
          <w:ilvl w:val="0"/>
          <w:numId w:val="73"/>
        </w:numPr>
        <w:tabs>
          <w:tab w:val="left" w:pos="567"/>
        </w:tabs>
        <w:ind w:left="0" w:firstLine="0"/>
        <w:contextualSpacing/>
        <w:jc w:val="both"/>
      </w:pPr>
      <w:r w:rsidRPr="00C258AD">
        <w:t>Le délai moyen de traitement pour chacune des six catégories d’opérations effectuées par le Bureau international est indiqué ci</w:t>
      </w:r>
      <w:r w:rsidRPr="00C258AD">
        <w:noBreakHyphen/>
        <w:t>dessous.  Le délai de traitement correspond à l’intervalle entre la date de réception des documents et la date d’inscription.</w:t>
      </w:r>
    </w:p>
    <w:p w:rsidR="006E2658" w:rsidRPr="00C258AD" w:rsidRDefault="006E2658" w:rsidP="00927E1F">
      <w:pPr>
        <w:pStyle w:val="ListParagraph"/>
        <w:numPr>
          <w:ilvl w:val="0"/>
          <w:numId w:val="0"/>
        </w:numPr>
        <w:jc w:val="both"/>
      </w:pPr>
    </w:p>
    <w:tbl>
      <w:tblPr>
        <w:tblStyle w:val="TableGrid"/>
        <w:tblW w:w="0" w:type="auto"/>
        <w:jc w:val="center"/>
        <w:tblLook w:val="04A0" w:firstRow="1" w:lastRow="0" w:firstColumn="1" w:lastColumn="0" w:noHBand="0" w:noVBand="1"/>
      </w:tblPr>
      <w:tblGrid>
        <w:gridCol w:w="4854"/>
        <w:gridCol w:w="4717"/>
      </w:tblGrid>
      <w:tr w:rsidR="006E2658" w:rsidRPr="00C258AD" w:rsidTr="00927E1F">
        <w:trPr>
          <w:trHeight w:val="3298"/>
          <w:jc w:val="center"/>
        </w:trPr>
        <w:tc>
          <w:tcPr>
            <w:tcW w:w="4560" w:type="dxa"/>
          </w:tcPr>
          <w:p w:rsidR="006E2658" w:rsidRPr="00C258AD" w:rsidRDefault="006E2658" w:rsidP="00927E1F">
            <w:r w:rsidRPr="00C258AD">
              <w:rPr>
                <w:noProof/>
                <w:lang w:val="en-US"/>
              </w:rPr>
              <w:drawing>
                <wp:inline distT="0" distB="0" distL="0" distR="0" wp14:anchorId="60A42721" wp14:editId="147E1819">
                  <wp:extent cx="2975212" cy="2257669"/>
                  <wp:effectExtent l="0" t="0" r="0" b="0"/>
                  <wp:docPr id="980" name="Picture 9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980788" cy="2261900"/>
                          </a:xfrm>
                          <a:prstGeom prst="rect">
                            <a:avLst/>
                          </a:prstGeom>
                          <a:noFill/>
                          <a:ln>
                            <a:noFill/>
                          </a:ln>
                        </pic:spPr>
                      </pic:pic>
                    </a:graphicData>
                  </a:graphic>
                </wp:inline>
              </w:drawing>
            </w:r>
          </w:p>
        </w:tc>
        <w:tc>
          <w:tcPr>
            <w:tcW w:w="4591" w:type="dxa"/>
          </w:tcPr>
          <w:p w:rsidR="006E2658" w:rsidRPr="00C258AD" w:rsidRDefault="006E2658" w:rsidP="00927E1F">
            <w:pPr>
              <w:jc w:val="both"/>
            </w:pPr>
            <w:r w:rsidRPr="00C258AD">
              <w:rPr>
                <w:noProof/>
                <w:lang w:val="en-US"/>
              </w:rPr>
              <w:drawing>
                <wp:inline distT="0" distB="0" distL="0" distR="0" wp14:anchorId="446F3B44" wp14:editId="7A4184C7">
                  <wp:extent cx="2967119" cy="2186509"/>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973322" cy="2191080"/>
                          </a:xfrm>
                          <a:prstGeom prst="rect">
                            <a:avLst/>
                          </a:prstGeom>
                          <a:noFill/>
                          <a:ln>
                            <a:noFill/>
                          </a:ln>
                        </pic:spPr>
                      </pic:pic>
                    </a:graphicData>
                  </a:graphic>
                </wp:inline>
              </w:drawing>
            </w:r>
          </w:p>
        </w:tc>
      </w:tr>
      <w:tr w:rsidR="006E2658" w:rsidRPr="00C258AD" w:rsidTr="00927E1F">
        <w:trPr>
          <w:trHeight w:val="3418"/>
          <w:jc w:val="center"/>
        </w:trPr>
        <w:tc>
          <w:tcPr>
            <w:tcW w:w="4560" w:type="dxa"/>
          </w:tcPr>
          <w:p w:rsidR="006E2658" w:rsidRPr="00C258AD" w:rsidRDefault="006E2658" w:rsidP="00927E1F">
            <w:pPr>
              <w:jc w:val="both"/>
            </w:pPr>
            <w:r w:rsidRPr="00C258AD">
              <w:rPr>
                <w:noProof/>
                <w:lang w:val="en-US"/>
              </w:rPr>
              <w:lastRenderedPageBreak/>
              <w:drawing>
                <wp:inline distT="0" distB="0" distL="0" distR="0" wp14:anchorId="3E8FC7C5" wp14:editId="2CEFA59D">
                  <wp:extent cx="2893104" cy="211315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93332" cy="2113322"/>
                          </a:xfrm>
                          <a:prstGeom prst="rect">
                            <a:avLst/>
                          </a:prstGeom>
                          <a:noFill/>
                          <a:ln>
                            <a:noFill/>
                          </a:ln>
                        </pic:spPr>
                      </pic:pic>
                    </a:graphicData>
                  </a:graphic>
                </wp:inline>
              </w:drawing>
            </w:r>
          </w:p>
        </w:tc>
        <w:tc>
          <w:tcPr>
            <w:tcW w:w="4591" w:type="dxa"/>
          </w:tcPr>
          <w:p w:rsidR="006E2658" w:rsidRPr="00C258AD" w:rsidRDefault="006E2658" w:rsidP="00927E1F">
            <w:pPr>
              <w:jc w:val="both"/>
            </w:pPr>
            <w:r w:rsidRPr="00C258AD">
              <w:rPr>
                <w:noProof/>
                <w:lang w:val="en-US"/>
              </w:rPr>
              <w:drawing>
                <wp:inline distT="0" distB="0" distL="0" distR="0" wp14:anchorId="00B131BC" wp14:editId="28CDA788">
                  <wp:extent cx="2838734" cy="2182904"/>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53001" cy="2193875"/>
                          </a:xfrm>
                          <a:prstGeom prst="rect">
                            <a:avLst/>
                          </a:prstGeom>
                          <a:noFill/>
                          <a:ln>
                            <a:noFill/>
                          </a:ln>
                        </pic:spPr>
                      </pic:pic>
                    </a:graphicData>
                  </a:graphic>
                </wp:inline>
              </w:drawing>
            </w:r>
          </w:p>
        </w:tc>
      </w:tr>
      <w:tr w:rsidR="006E2658" w:rsidRPr="00C258AD" w:rsidTr="00927E1F">
        <w:trPr>
          <w:trHeight w:val="3194"/>
          <w:jc w:val="center"/>
        </w:trPr>
        <w:tc>
          <w:tcPr>
            <w:tcW w:w="4560" w:type="dxa"/>
          </w:tcPr>
          <w:p w:rsidR="006E2658" w:rsidRPr="00C258AD" w:rsidRDefault="006E2658" w:rsidP="00927E1F">
            <w:pPr>
              <w:jc w:val="both"/>
            </w:pPr>
            <w:r w:rsidRPr="00C258AD">
              <w:rPr>
                <w:noProof/>
                <w:lang w:val="en-US"/>
              </w:rPr>
              <w:drawing>
                <wp:inline distT="0" distB="0" distL="0" distR="0" wp14:anchorId="74A0C2A7" wp14:editId="5658797D">
                  <wp:extent cx="3057079" cy="2262522"/>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056978" cy="2262447"/>
                          </a:xfrm>
                          <a:prstGeom prst="rect">
                            <a:avLst/>
                          </a:prstGeom>
                          <a:noFill/>
                          <a:ln>
                            <a:noFill/>
                          </a:ln>
                        </pic:spPr>
                      </pic:pic>
                    </a:graphicData>
                  </a:graphic>
                </wp:inline>
              </w:drawing>
            </w:r>
          </w:p>
        </w:tc>
        <w:tc>
          <w:tcPr>
            <w:tcW w:w="4591" w:type="dxa"/>
          </w:tcPr>
          <w:p w:rsidR="006E2658" w:rsidRPr="00C258AD" w:rsidRDefault="006E2658" w:rsidP="00927E1F">
            <w:pPr>
              <w:jc w:val="both"/>
            </w:pPr>
            <w:r w:rsidRPr="00C258AD">
              <w:rPr>
                <w:noProof/>
                <w:lang w:val="en-US"/>
              </w:rPr>
              <w:drawing>
                <wp:inline distT="0" distB="0" distL="0" distR="0" wp14:anchorId="1B399963" wp14:editId="0BBE30CD">
                  <wp:extent cx="2904544" cy="2215290"/>
                  <wp:effectExtent l="0" t="0" r="0" b="0"/>
                  <wp:docPr id="981" name="Picture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905096" cy="2215711"/>
                          </a:xfrm>
                          <a:prstGeom prst="rect">
                            <a:avLst/>
                          </a:prstGeom>
                          <a:noFill/>
                          <a:ln>
                            <a:noFill/>
                          </a:ln>
                        </pic:spPr>
                      </pic:pic>
                    </a:graphicData>
                  </a:graphic>
                </wp:inline>
              </w:drawing>
            </w:r>
          </w:p>
        </w:tc>
      </w:tr>
    </w:tbl>
    <w:p w:rsidR="006E2658" w:rsidRPr="00C258AD" w:rsidRDefault="006E2658" w:rsidP="00927E1F">
      <w:pPr>
        <w:jc w:val="both"/>
      </w:pPr>
    </w:p>
    <w:p w:rsidR="006E2658" w:rsidRPr="00C258AD" w:rsidRDefault="006E2658" w:rsidP="006E2658">
      <w:pPr>
        <w:pStyle w:val="ListParagraph"/>
        <w:numPr>
          <w:ilvl w:val="0"/>
          <w:numId w:val="72"/>
        </w:numPr>
        <w:spacing w:after="120"/>
        <w:ind w:left="1134" w:hanging="567"/>
        <w:jc w:val="both"/>
      </w:pPr>
      <w:r w:rsidRPr="00C258AD">
        <w:t>Par rapport à 2014, le délai moyen de traitement a diminué en </w:t>
      </w:r>
      <w:r w:rsidRPr="00C258AD">
        <w:rPr>
          <w:rFonts w:cs="Arial"/>
        </w:rPr>
        <w:t xml:space="preserve">2015 pour les six catégories d’opérations effectuées par le Bureau international.  Les réductions les plus importantes du délai moyen de traitement concernaient </w:t>
      </w:r>
      <w:r w:rsidRPr="00C258AD">
        <w:t>les corrections, les modifications et les désignations postérieures.</w:t>
      </w:r>
    </w:p>
    <w:p w:rsidR="006E2658" w:rsidRPr="00C258AD" w:rsidRDefault="006E2658" w:rsidP="00927E1F">
      <w:pPr>
        <w:jc w:val="both"/>
      </w:pPr>
    </w:p>
    <w:p w:rsidR="006E2658" w:rsidRPr="00C258AD" w:rsidRDefault="006E2658" w:rsidP="006E2658">
      <w:pPr>
        <w:pStyle w:val="ListParagraph"/>
        <w:numPr>
          <w:ilvl w:val="0"/>
          <w:numId w:val="68"/>
        </w:numPr>
        <w:ind w:left="567" w:hanging="567"/>
        <w:contextualSpacing/>
        <w:jc w:val="both"/>
        <w:rPr>
          <w:rFonts w:cs="Arial"/>
          <w:b/>
        </w:rPr>
      </w:pPr>
      <w:r w:rsidRPr="00C258AD">
        <w:rPr>
          <w:rFonts w:cs="Arial"/>
          <w:b/>
        </w:rPr>
        <w:t>Qualité de l’examen</w:t>
      </w:r>
    </w:p>
    <w:p w:rsidR="006E2658" w:rsidRPr="00C258AD" w:rsidRDefault="006E2658" w:rsidP="00927E1F">
      <w:pPr>
        <w:jc w:val="both"/>
        <w:rPr>
          <w:rFonts w:cs="Arial"/>
          <w:szCs w:val="20"/>
        </w:rPr>
      </w:pPr>
    </w:p>
    <w:p w:rsidR="006E2658" w:rsidRPr="00C258AD" w:rsidRDefault="006E2658" w:rsidP="006E2658">
      <w:pPr>
        <w:pStyle w:val="ListParagraph"/>
        <w:numPr>
          <w:ilvl w:val="0"/>
          <w:numId w:val="73"/>
        </w:numPr>
        <w:tabs>
          <w:tab w:val="left" w:pos="567"/>
        </w:tabs>
        <w:ind w:left="0" w:firstLine="0"/>
        <w:contextualSpacing/>
        <w:jc w:val="both"/>
        <w:rPr>
          <w:rFonts w:cs="Arial"/>
        </w:rPr>
      </w:pPr>
      <w:r w:rsidRPr="00C258AD">
        <w:rPr>
          <w:rFonts w:cs="Arial"/>
        </w:rPr>
        <w:t>Les principaux indicateurs suivants de la qualité globale de l’examen des marques par le Bureau international résultent du contrôle de qualité effectué suite à la mise en œuvre en 2015 du cadre de gestion de la qualité du Service d’enregistrement de Madrid, conformément aux exigences de la norme ISO 9001:2008</w:t>
      </w:r>
      <w:r w:rsidRPr="00C258AD">
        <w:rPr>
          <w:rStyle w:val="FootnoteReference"/>
          <w:rFonts w:eastAsia="SimSun"/>
        </w:rPr>
        <w:footnoteReference w:id="36"/>
      </w:r>
      <w:r w:rsidRPr="00C258AD">
        <w:rPr>
          <w:rFonts w:cs="Arial"/>
        </w:rPr>
        <w:t>.</w:t>
      </w:r>
    </w:p>
    <w:p w:rsidR="006E2658" w:rsidRPr="00C258AD" w:rsidRDefault="006E2658" w:rsidP="00927E1F"/>
    <w:p w:rsidR="006E2658" w:rsidRPr="00C258AD" w:rsidRDefault="006E2658" w:rsidP="006E2658">
      <w:pPr>
        <w:pStyle w:val="ListParagraph"/>
        <w:numPr>
          <w:ilvl w:val="0"/>
          <w:numId w:val="73"/>
        </w:numPr>
        <w:tabs>
          <w:tab w:val="left" w:pos="567"/>
        </w:tabs>
        <w:ind w:left="0" w:firstLine="0"/>
        <w:contextualSpacing/>
        <w:jc w:val="both"/>
        <w:rPr>
          <w:rFonts w:cs="Arial"/>
        </w:rPr>
      </w:pPr>
      <w:r w:rsidRPr="00C258AD">
        <w:rPr>
          <w:rFonts w:cs="Arial"/>
        </w:rPr>
        <w:t>Les informations relatives à la qualité du travail d’examen fourni par le Bureau international proviennent de deux sources :</w:t>
      </w:r>
    </w:p>
    <w:p w:rsidR="006E2658" w:rsidRPr="00C258AD" w:rsidRDefault="006E2658" w:rsidP="00927E1F">
      <w:pPr>
        <w:rPr>
          <w:rFonts w:cs="Arial"/>
        </w:rPr>
      </w:pPr>
    </w:p>
    <w:p w:rsidR="006E2658" w:rsidRPr="00C258AD" w:rsidRDefault="006E2658" w:rsidP="006E2658">
      <w:pPr>
        <w:pStyle w:val="ListParagraph"/>
        <w:numPr>
          <w:ilvl w:val="1"/>
          <w:numId w:val="73"/>
        </w:numPr>
        <w:tabs>
          <w:tab w:val="left" w:pos="567"/>
          <w:tab w:val="left" w:pos="1134"/>
        </w:tabs>
        <w:ind w:left="567" w:firstLine="0"/>
        <w:contextualSpacing/>
        <w:jc w:val="both"/>
        <w:rPr>
          <w:rFonts w:cs="Arial"/>
        </w:rPr>
      </w:pPr>
      <w:r w:rsidRPr="00C258AD">
        <w:rPr>
          <w:rFonts w:cs="Arial"/>
        </w:rPr>
        <w:t>résultats de l’évaluation interne d’échantillons d’examens;  et</w:t>
      </w:r>
    </w:p>
    <w:p w:rsidR="006E2658" w:rsidRPr="00C258AD" w:rsidRDefault="006E2658" w:rsidP="00927E1F">
      <w:pPr>
        <w:pStyle w:val="ListParagraph"/>
        <w:numPr>
          <w:ilvl w:val="0"/>
          <w:numId w:val="0"/>
        </w:numPr>
        <w:tabs>
          <w:tab w:val="left" w:pos="567"/>
          <w:tab w:val="left" w:pos="1134"/>
        </w:tabs>
        <w:ind w:left="567"/>
        <w:jc w:val="both"/>
        <w:rPr>
          <w:rFonts w:cs="Arial"/>
        </w:rPr>
      </w:pPr>
    </w:p>
    <w:p w:rsidR="006E2658" w:rsidRPr="00C258AD" w:rsidRDefault="006E2658" w:rsidP="006E2658">
      <w:pPr>
        <w:pStyle w:val="ListParagraph"/>
        <w:numPr>
          <w:ilvl w:val="1"/>
          <w:numId w:val="73"/>
        </w:numPr>
        <w:tabs>
          <w:tab w:val="left" w:pos="567"/>
          <w:tab w:val="left" w:pos="1134"/>
        </w:tabs>
        <w:ind w:left="567" w:firstLine="0"/>
        <w:contextualSpacing/>
        <w:jc w:val="both"/>
        <w:rPr>
          <w:rFonts w:cs="Arial"/>
        </w:rPr>
      </w:pPr>
      <w:r w:rsidRPr="00C258AD">
        <w:rPr>
          <w:rFonts w:cs="Arial"/>
        </w:rPr>
        <w:t>erreurs du Bureau international confirmées par ce dernier suite à la réception d’une demande de rectification selon la règle 28 du règlement d’exécution commun.</w:t>
      </w:r>
    </w:p>
    <w:p w:rsidR="006E2658" w:rsidRPr="00C258AD" w:rsidRDefault="006E2658" w:rsidP="00927E1F">
      <w:pPr>
        <w:pStyle w:val="ListParagraph"/>
        <w:numPr>
          <w:ilvl w:val="0"/>
          <w:numId w:val="0"/>
        </w:numPr>
        <w:tabs>
          <w:tab w:val="left" w:pos="1134"/>
        </w:tabs>
        <w:ind w:left="567"/>
        <w:rPr>
          <w:rFonts w:cs="Arial"/>
        </w:rPr>
      </w:pPr>
    </w:p>
    <w:p w:rsidR="006E2658" w:rsidRPr="00C258AD" w:rsidRDefault="006E2658" w:rsidP="00927E1F">
      <w:pPr>
        <w:pStyle w:val="ListParagraph"/>
        <w:numPr>
          <w:ilvl w:val="0"/>
          <w:numId w:val="0"/>
        </w:numPr>
        <w:ind w:left="284"/>
        <w:jc w:val="both"/>
        <w:rPr>
          <w:rFonts w:cs="Arial"/>
          <w:i/>
        </w:rPr>
      </w:pPr>
      <w:r w:rsidRPr="00C258AD">
        <w:rPr>
          <w:rFonts w:cs="Arial"/>
          <w:i/>
        </w:rPr>
        <w:t>Évaluation d’échantillons d’examens</w:t>
      </w:r>
    </w:p>
    <w:p w:rsidR="006E2658" w:rsidRPr="00C258AD" w:rsidRDefault="006E2658" w:rsidP="00927E1F">
      <w:pPr>
        <w:tabs>
          <w:tab w:val="left" w:pos="567"/>
        </w:tabs>
        <w:jc w:val="both"/>
        <w:rPr>
          <w:rFonts w:cs="Arial"/>
          <w:szCs w:val="20"/>
        </w:rPr>
      </w:pPr>
    </w:p>
    <w:p w:rsidR="006E2658" w:rsidRPr="00C258AD" w:rsidRDefault="006E2658" w:rsidP="006E2658">
      <w:pPr>
        <w:pStyle w:val="ListParagraph"/>
        <w:numPr>
          <w:ilvl w:val="0"/>
          <w:numId w:val="73"/>
        </w:numPr>
        <w:tabs>
          <w:tab w:val="left" w:pos="567"/>
        </w:tabs>
        <w:ind w:left="0" w:firstLine="0"/>
        <w:contextualSpacing/>
        <w:jc w:val="both"/>
        <w:rPr>
          <w:rFonts w:cs="Arial"/>
        </w:rPr>
      </w:pPr>
      <w:r w:rsidRPr="00C258AD">
        <w:rPr>
          <w:rFonts w:cs="Arial"/>
        </w:rPr>
        <w:t>Un niveau de qualité acceptable est fixé pour chaque examen, et devient l’étalon par rapport auquel est mesurée la qualité des examens de marques.</w:t>
      </w:r>
    </w:p>
    <w:p w:rsidR="006E2658" w:rsidRPr="00C258AD" w:rsidRDefault="006E2658" w:rsidP="00927E1F">
      <w:pPr>
        <w:tabs>
          <w:tab w:val="left" w:pos="567"/>
        </w:tabs>
        <w:jc w:val="both"/>
        <w:rPr>
          <w:rFonts w:cs="Arial"/>
        </w:rPr>
      </w:pPr>
    </w:p>
    <w:p w:rsidR="006E2658" w:rsidRPr="00C258AD" w:rsidRDefault="006E2658" w:rsidP="00927E1F">
      <w:pPr>
        <w:tabs>
          <w:tab w:val="left" w:pos="567"/>
        </w:tabs>
        <w:ind w:left="360"/>
        <w:jc w:val="center"/>
        <w:rPr>
          <w:rFonts w:cs="Arial"/>
          <w:szCs w:val="20"/>
        </w:rPr>
      </w:pPr>
      <w:r w:rsidRPr="00C258AD">
        <w:rPr>
          <w:noProof/>
          <w:lang w:val="en-US"/>
        </w:rPr>
        <w:lastRenderedPageBreak/>
        <w:drawing>
          <wp:inline distT="0" distB="0" distL="0" distR="0" wp14:anchorId="1A62E70A" wp14:editId="5F4637CF">
            <wp:extent cx="4790365" cy="3069465"/>
            <wp:effectExtent l="0" t="0" r="0" b="0"/>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4799015" cy="3075007"/>
                    </a:xfrm>
                    <a:prstGeom prst="rect">
                      <a:avLst/>
                    </a:prstGeom>
                    <a:noFill/>
                    <a:ln>
                      <a:noFill/>
                    </a:ln>
                  </pic:spPr>
                </pic:pic>
              </a:graphicData>
            </a:graphic>
          </wp:inline>
        </w:drawing>
      </w:r>
    </w:p>
    <w:p w:rsidR="006E2658" w:rsidRPr="00C258AD" w:rsidRDefault="006E2658" w:rsidP="006E2658">
      <w:pPr>
        <w:pStyle w:val="ListParagraph"/>
        <w:numPr>
          <w:ilvl w:val="0"/>
          <w:numId w:val="75"/>
        </w:numPr>
        <w:tabs>
          <w:tab w:val="left" w:pos="567"/>
        </w:tabs>
        <w:ind w:left="1134" w:hanging="567"/>
        <w:contextualSpacing/>
        <w:jc w:val="both"/>
        <w:rPr>
          <w:rFonts w:cs="Arial"/>
        </w:rPr>
      </w:pPr>
      <w:r w:rsidRPr="00C258AD">
        <w:rPr>
          <w:rFonts w:cs="Arial"/>
        </w:rPr>
        <w:t>La qualité globale des examens de marques a été inférieure d’un point de pourcentage au niveau de qualité acceptable en 2015.</w:t>
      </w:r>
    </w:p>
    <w:p w:rsidR="006E2658" w:rsidRPr="00C258AD" w:rsidRDefault="006E2658" w:rsidP="00927E1F">
      <w:pPr>
        <w:tabs>
          <w:tab w:val="left" w:pos="567"/>
        </w:tabs>
        <w:jc w:val="both"/>
        <w:rPr>
          <w:rFonts w:cs="Arial"/>
          <w:szCs w:val="20"/>
        </w:rPr>
      </w:pPr>
    </w:p>
    <w:p w:rsidR="006E2658" w:rsidRPr="00C258AD" w:rsidRDefault="006E2658" w:rsidP="00927E1F">
      <w:pPr>
        <w:pStyle w:val="ListParagraph"/>
        <w:numPr>
          <w:ilvl w:val="0"/>
          <w:numId w:val="0"/>
        </w:numPr>
        <w:contextualSpacing/>
        <w:jc w:val="center"/>
        <w:rPr>
          <w:rFonts w:cs="Arial"/>
        </w:rPr>
      </w:pPr>
      <w:r w:rsidRPr="00C258AD">
        <w:rPr>
          <w:noProof/>
          <w:lang w:val="en-US"/>
        </w:rPr>
        <w:drawing>
          <wp:inline distT="0" distB="0" distL="0" distR="0" wp14:anchorId="23D7DD7D" wp14:editId="2B58BD5B">
            <wp:extent cx="4791600" cy="3070256"/>
            <wp:effectExtent l="0" t="0" r="9525" b="0"/>
            <wp:docPr id="983" name="Picture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4791600" cy="3070256"/>
                    </a:xfrm>
                    <a:prstGeom prst="rect">
                      <a:avLst/>
                    </a:prstGeom>
                    <a:noFill/>
                    <a:ln>
                      <a:noFill/>
                    </a:ln>
                  </pic:spPr>
                </pic:pic>
              </a:graphicData>
            </a:graphic>
          </wp:inline>
        </w:drawing>
      </w:r>
    </w:p>
    <w:p w:rsidR="006E2658" w:rsidRPr="00C258AD" w:rsidRDefault="006E2658" w:rsidP="006E2658">
      <w:pPr>
        <w:pStyle w:val="ListParagraph"/>
        <w:numPr>
          <w:ilvl w:val="0"/>
          <w:numId w:val="75"/>
        </w:numPr>
        <w:tabs>
          <w:tab w:val="left" w:pos="567"/>
        </w:tabs>
        <w:ind w:left="1134" w:hanging="567"/>
        <w:contextualSpacing/>
        <w:jc w:val="both"/>
        <w:rPr>
          <w:rFonts w:cs="Arial"/>
        </w:rPr>
      </w:pPr>
      <w:r w:rsidRPr="00C258AD">
        <w:rPr>
          <w:rFonts w:cs="Arial"/>
        </w:rPr>
        <w:t>La qualité globale des examens de forme a atteint le niveau établi pour 2015.  Un problème d’importance toutefois été relevé concernant des erreurs d’inscription des coordonnées des déposants et de leurs mandataires.</w:t>
      </w:r>
    </w:p>
    <w:p w:rsidR="006E2658" w:rsidRPr="00C258AD" w:rsidRDefault="006E2658" w:rsidP="00927E1F">
      <w:pPr>
        <w:tabs>
          <w:tab w:val="left" w:pos="567"/>
        </w:tabs>
        <w:jc w:val="both"/>
        <w:rPr>
          <w:rFonts w:cs="Arial"/>
          <w:szCs w:val="20"/>
        </w:rPr>
      </w:pPr>
    </w:p>
    <w:p w:rsidR="006E2658" w:rsidRPr="00C258AD" w:rsidRDefault="006E2658" w:rsidP="00927E1F">
      <w:pPr>
        <w:pStyle w:val="ListParagraph"/>
        <w:numPr>
          <w:ilvl w:val="0"/>
          <w:numId w:val="0"/>
        </w:numPr>
        <w:contextualSpacing/>
        <w:jc w:val="center"/>
        <w:rPr>
          <w:rFonts w:cs="Arial"/>
        </w:rPr>
      </w:pPr>
      <w:r w:rsidRPr="00C258AD">
        <w:rPr>
          <w:noProof/>
          <w:lang w:val="en-US"/>
        </w:rPr>
        <w:lastRenderedPageBreak/>
        <w:drawing>
          <wp:inline distT="0" distB="0" distL="0" distR="0" wp14:anchorId="066527B3" wp14:editId="71B0B71F">
            <wp:extent cx="4791600" cy="3070256"/>
            <wp:effectExtent l="0" t="0" r="9525" b="0"/>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791600" cy="3070256"/>
                    </a:xfrm>
                    <a:prstGeom prst="rect">
                      <a:avLst/>
                    </a:prstGeom>
                    <a:noFill/>
                    <a:ln>
                      <a:noFill/>
                    </a:ln>
                  </pic:spPr>
                </pic:pic>
              </a:graphicData>
            </a:graphic>
          </wp:inline>
        </w:drawing>
      </w:r>
    </w:p>
    <w:p w:rsidR="006E2658" w:rsidRPr="00C258AD" w:rsidRDefault="006E2658" w:rsidP="006E2658">
      <w:pPr>
        <w:pStyle w:val="ListParagraph"/>
        <w:numPr>
          <w:ilvl w:val="0"/>
          <w:numId w:val="75"/>
        </w:numPr>
        <w:ind w:left="1134" w:hanging="567"/>
        <w:contextualSpacing/>
        <w:jc w:val="both"/>
        <w:rPr>
          <w:rFonts w:cs="Arial"/>
        </w:rPr>
      </w:pPr>
      <w:r w:rsidRPr="00C258AD">
        <w:rPr>
          <w:rFonts w:cs="Arial"/>
        </w:rPr>
        <w:t>La qualité globale de traitement des décisions a été supérieure de deux points de pourcentage à l’objectif fixé pour 2015.</w:t>
      </w:r>
    </w:p>
    <w:p w:rsidR="006E2658" w:rsidRPr="00C258AD" w:rsidRDefault="006E2658" w:rsidP="00927E1F">
      <w:pPr>
        <w:tabs>
          <w:tab w:val="left" w:pos="567"/>
        </w:tabs>
        <w:jc w:val="both"/>
        <w:rPr>
          <w:rFonts w:cs="Arial"/>
          <w:szCs w:val="20"/>
        </w:rPr>
      </w:pPr>
    </w:p>
    <w:p w:rsidR="006E2658" w:rsidRPr="00C258AD" w:rsidRDefault="006E2658" w:rsidP="00927E1F">
      <w:pPr>
        <w:tabs>
          <w:tab w:val="left" w:pos="567"/>
        </w:tabs>
        <w:jc w:val="center"/>
        <w:rPr>
          <w:rFonts w:cs="Arial"/>
          <w:szCs w:val="20"/>
        </w:rPr>
      </w:pPr>
      <w:r w:rsidRPr="00C258AD">
        <w:rPr>
          <w:noProof/>
          <w:lang w:val="en-US"/>
        </w:rPr>
        <w:drawing>
          <wp:inline distT="0" distB="0" distL="0" distR="0" wp14:anchorId="236E09D6" wp14:editId="4F7C2E08">
            <wp:extent cx="4791600" cy="3281989"/>
            <wp:effectExtent l="0" t="0" r="9525" b="0"/>
            <wp:docPr id="985" name="Picture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4791600" cy="3281989"/>
                    </a:xfrm>
                    <a:prstGeom prst="rect">
                      <a:avLst/>
                    </a:prstGeom>
                    <a:noFill/>
                    <a:ln>
                      <a:noFill/>
                    </a:ln>
                  </pic:spPr>
                </pic:pic>
              </a:graphicData>
            </a:graphic>
          </wp:inline>
        </w:drawing>
      </w:r>
    </w:p>
    <w:p w:rsidR="006E2658" w:rsidRPr="00C258AD" w:rsidRDefault="006E2658" w:rsidP="006E2658">
      <w:pPr>
        <w:pStyle w:val="ListParagraph"/>
        <w:numPr>
          <w:ilvl w:val="0"/>
          <w:numId w:val="75"/>
        </w:numPr>
        <w:tabs>
          <w:tab w:val="left" w:pos="567"/>
        </w:tabs>
        <w:ind w:left="1134" w:hanging="567"/>
        <w:contextualSpacing/>
        <w:jc w:val="both"/>
        <w:rPr>
          <w:rFonts w:cs="Arial"/>
        </w:rPr>
      </w:pPr>
      <w:r w:rsidRPr="00C258AD">
        <w:rPr>
          <w:rFonts w:cs="Arial"/>
        </w:rPr>
        <w:t>La qualité globale a atteint l’objectif fixé de 95%.  Toutefois, le même problème a été constaté que pour les examens de forme.</w:t>
      </w:r>
    </w:p>
    <w:p w:rsidR="006E2658" w:rsidRPr="00C258AD" w:rsidRDefault="006E2658" w:rsidP="00927E1F">
      <w:pPr>
        <w:pStyle w:val="ListParagraph"/>
        <w:numPr>
          <w:ilvl w:val="0"/>
          <w:numId w:val="0"/>
        </w:numPr>
        <w:tabs>
          <w:tab w:val="left" w:pos="567"/>
        </w:tabs>
        <w:ind w:left="1080"/>
        <w:jc w:val="both"/>
        <w:rPr>
          <w:rFonts w:cs="Arial"/>
        </w:rPr>
      </w:pPr>
    </w:p>
    <w:p w:rsidR="006E2658" w:rsidRPr="00C258AD" w:rsidRDefault="006E2658" w:rsidP="00927E1F">
      <w:pPr>
        <w:pStyle w:val="ListParagraph"/>
        <w:numPr>
          <w:ilvl w:val="0"/>
          <w:numId w:val="0"/>
        </w:numPr>
        <w:spacing w:after="200"/>
        <w:contextualSpacing/>
        <w:jc w:val="center"/>
        <w:rPr>
          <w:rFonts w:cs="Arial"/>
        </w:rPr>
      </w:pPr>
      <w:r w:rsidRPr="00C258AD">
        <w:rPr>
          <w:noProof/>
          <w:lang w:val="en-US"/>
        </w:rPr>
        <w:lastRenderedPageBreak/>
        <w:drawing>
          <wp:inline distT="0" distB="0" distL="0" distR="0" wp14:anchorId="69FEDA32" wp14:editId="7105A294">
            <wp:extent cx="4791600" cy="3035599"/>
            <wp:effectExtent l="0" t="0" r="9525" b="0"/>
            <wp:docPr id="986" name="Picture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4791600" cy="3035599"/>
                    </a:xfrm>
                    <a:prstGeom prst="rect">
                      <a:avLst/>
                    </a:prstGeom>
                    <a:noFill/>
                    <a:ln>
                      <a:noFill/>
                    </a:ln>
                  </pic:spPr>
                </pic:pic>
              </a:graphicData>
            </a:graphic>
          </wp:inline>
        </w:drawing>
      </w:r>
    </w:p>
    <w:p w:rsidR="006E2658" w:rsidRPr="00C258AD" w:rsidRDefault="006E2658" w:rsidP="006E2658">
      <w:pPr>
        <w:pStyle w:val="ListParagraph"/>
        <w:numPr>
          <w:ilvl w:val="0"/>
          <w:numId w:val="74"/>
        </w:numPr>
        <w:spacing w:after="200"/>
        <w:ind w:left="1134" w:hanging="567"/>
        <w:contextualSpacing/>
        <w:rPr>
          <w:rFonts w:cs="Arial"/>
        </w:rPr>
      </w:pPr>
      <w:r w:rsidRPr="00C258AD">
        <w:rPr>
          <w:rFonts w:cs="Arial"/>
        </w:rPr>
        <w:t>La qualité globale a été inférieure de trois points de pourcentage à l’objectif fixé pour le traitement des renouvellements en 2015.  Le principal problème se situait au niveau du calcul des émoluments et taxes et provenait d’erreurs d’inscription du nombre de classes de produits et services.</w:t>
      </w:r>
    </w:p>
    <w:p w:rsidR="006E2658" w:rsidRPr="00C258AD" w:rsidRDefault="006E2658" w:rsidP="00927E1F">
      <w:pPr>
        <w:ind w:left="284"/>
        <w:rPr>
          <w:rFonts w:cs="Arial"/>
          <w:i/>
          <w:szCs w:val="20"/>
        </w:rPr>
      </w:pPr>
      <w:r w:rsidRPr="00C258AD">
        <w:rPr>
          <w:rFonts w:cs="Arial"/>
          <w:i/>
          <w:szCs w:val="20"/>
        </w:rPr>
        <w:t>Erreurs commises par le Bureau international</w:t>
      </w:r>
    </w:p>
    <w:p w:rsidR="006E2658" w:rsidRPr="00C258AD" w:rsidRDefault="006E2658" w:rsidP="00927E1F">
      <w:pPr>
        <w:jc w:val="center"/>
        <w:rPr>
          <w:rFonts w:cs="Arial"/>
          <w:szCs w:val="20"/>
        </w:rPr>
      </w:pPr>
      <w:r w:rsidRPr="00C258AD">
        <w:rPr>
          <w:noProof/>
          <w:lang w:val="en-US"/>
        </w:rPr>
        <w:drawing>
          <wp:inline distT="0" distB="0" distL="0" distR="0" wp14:anchorId="003AEF9F" wp14:editId="700750CB">
            <wp:extent cx="5315803" cy="3832297"/>
            <wp:effectExtent l="0" t="0" r="0" b="0"/>
            <wp:docPr id="987" name="Picture 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321335" cy="3836285"/>
                    </a:xfrm>
                    <a:prstGeom prst="rect">
                      <a:avLst/>
                    </a:prstGeom>
                    <a:noFill/>
                    <a:ln>
                      <a:noFill/>
                    </a:ln>
                  </pic:spPr>
                </pic:pic>
              </a:graphicData>
            </a:graphic>
          </wp:inline>
        </w:drawing>
      </w:r>
    </w:p>
    <w:p w:rsidR="006E2658" w:rsidRPr="00C258AD" w:rsidRDefault="006E2658" w:rsidP="00927E1F">
      <w:pPr>
        <w:jc w:val="center"/>
        <w:rPr>
          <w:rFonts w:cs="Arial"/>
          <w:szCs w:val="20"/>
        </w:rPr>
      </w:pPr>
    </w:p>
    <w:p w:rsidR="006E2658" w:rsidRPr="00C258AD" w:rsidRDefault="006E2658" w:rsidP="006E2658">
      <w:pPr>
        <w:pStyle w:val="ListParagraph"/>
        <w:numPr>
          <w:ilvl w:val="0"/>
          <w:numId w:val="76"/>
        </w:numPr>
        <w:ind w:left="1134" w:hanging="567"/>
        <w:contextualSpacing/>
        <w:rPr>
          <w:rFonts w:cs="Arial"/>
        </w:rPr>
      </w:pPr>
      <w:r w:rsidRPr="00C258AD">
        <w:rPr>
          <w:rFonts w:cs="Arial"/>
        </w:rPr>
        <w:t>Près d’un tiers des irrégularités concernant le classement relevées en 2015 étaient des erreurs de classement.</w:t>
      </w:r>
    </w:p>
    <w:p w:rsidR="006E2658" w:rsidRPr="00C258AD" w:rsidRDefault="006E2658" w:rsidP="00927E1F">
      <w:pPr>
        <w:jc w:val="center"/>
        <w:rPr>
          <w:rFonts w:cs="Arial"/>
          <w:szCs w:val="20"/>
        </w:rPr>
      </w:pPr>
    </w:p>
    <w:p w:rsidR="006E2658" w:rsidRPr="00C258AD" w:rsidRDefault="006E2658" w:rsidP="00927E1F">
      <w:pPr>
        <w:jc w:val="center"/>
        <w:rPr>
          <w:rFonts w:cs="Arial"/>
          <w:szCs w:val="20"/>
        </w:rPr>
      </w:pPr>
      <w:r w:rsidRPr="00C258AD">
        <w:rPr>
          <w:noProof/>
          <w:lang w:val="en-US"/>
        </w:rPr>
        <w:lastRenderedPageBreak/>
        <w:drawing>
          <wp:inline distT="0" distB="0" distL="0" distR="0" wp14:anchorId="63B37820" wp14:editId="77145FEE">
            <wp:extent cx="5940425" cy="3722923"/>
            <wp:effectExtent l="0" t="0" r="3175" b="0"/>
            <wp:docPr id="988" name="Picture 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940425" cy="3722923"/>
                    </a:xfrm>
                    <a:prstGeom prst="rect">
                      <a:avLst/>
                    </a:prstGeom>
                    <a:noFill/>
                    <a:ln>
                      <a:noFill/>
                    </a:ln>
                  </pic:spPr>
                </pic:pic>
              </a:graphicData>
            </a:graphic>
          </wp:inline>
        </w:drawing>
      </w:r>
    </w:p>
    <w:p w:rsidR="006E2658" w:rsidRPr="00C258AD" w:rsidRDefault="006E2658" w:rsidP="006E2658">
      <w:pPr>
        <w:pStyle w:val="ListParagraph"/>
        <w:numPr>
          <w:ilvl w:val="0"/>
          <w:numId w:val="76"/>
        </w:numPr>
        <w:ind w:left="1134" w:hanging="567"/>
        <w:contextualSpacing/>
        <w:rPr>
          <w:rFonts w:cs="Arial"/>
        </w:rPr>
      </w:pPr>
      <w:r w:rsidRPr="00C258AD">
        <w:rPr>
          <w:rFonts w:cs="Arial"/>
        </w:rPr>
        <w:t>La majorité des corrections effectuées en 2015 au stade de l’examen de forme était due à des erreurs d’inscription de coordonnées de déposants (45,3%) et de mandataires (8,3%).</w:t>
      </w:r>
    </w:p>
    <w:p w:rsidR="006E2658" w:rsidRPr="00C258AD" w:rsidRDefault="006E2658" w:rsidP="00927E1F">
      <w:pPr>
        <w:rPr>
          <w:rFonts w:cs="Arial"/>
        </w:rPr>
      </w:pPr>
    </w:p>
    <w:p w:rsidR="006E2658" w:rsidRPr="00C258AD" w:rsidRDefault="006E2658" w:rsidP="00927E1F">
      <w:pPr>
        <w:jc w:val="center"/>
        <w:rPr>
          <w:rFonts w:cs="Arial"/>
          <w:szCs w:val="20"/>
        </w:rPr>
      </w:pPr>
      <w:r w:rsidRPr="00C258AD">
        <w:rPr>
          <w:noProof/>
          <w:lang w:val="en-US"/>
        </w:rPr>
        <w:drawing>
          <wp:inline distT="0" distB="0" distL="0" distR="0" wp14:anchorId="63B11469" wp14:editId="1B68F004">
            <wp:extent cx="5940425" cy="4206358"/>
            <wp:effectExtent l="0" t="0" r="3175" b="3810"/>
            <wp:docPr id="989" name="Picture 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940425" cy="4206358"/>
                    </a:xfrm>
                    <a:prstGeom prst="rect">
                      <a:avLst/>
                    </a:prstGeom>
                    <a:noFill/>
                    <a:ln>
                      <a:noFill/>
                    </a:ln>
                  </pic:spPr>
                </pic:pic>
              </a:graphicData>
            </a:graphic>
          </wp:inline>
        </w:drawing>
      </w:r>
    </w:p>
    <w:p w:rsidR="006E2658" w:rsidRPr="00C258AD" w:rsidRDefault="006E2658" w:rsidP="006E2658">
      <w:pPr>
        <w:pStyle w:val="ListParagraph"/>
        <w:numPr>
          <w:ilvl w:val="0"/>
          <w:numId w:val="76"/>
        </w:numPr>
        <w:ind w:left="1134" w:hanging="567"/>
        <w:contextualSpacing/>
        <w:rPr>
          <w:rFonts w:cs="Arial"/>
        </w:rPr>
      </w:pPr>
      <w:r w:rsidRPr="00C258AD">
        <w:rPr>
          <w:rFonts w:cs="Arial"/>
        </w:rPr>
        <w:t>Environ 83% des corrections relatives à des modifications effectuées en 2015 concernaient quatre catégories d’opérations, à savoir les désignations postérieures (24,8%), les changements de titulaire (21,7%), les changements de nom ou d’adresse de titulaires (19,3%) et les limitations (16,9%).</w:t>
      </w:r>
    </w:p>
    <w:p w:rsidR="006E2658" w:rsidRPr="00C258AD" w:rsidRDefault="006E2658" w:rsidP="00927E1F">
      <w:pPr>
        <w:rPr>
          <w:rFonts w:cs="Arial"/>
          <w:szCs w:val="20"/>
        </w:rPr>
      </w:pPr>
    </w:p>
    <w:p w:rsidR="006E2658" w:rsidRPr="00C258AD" w:rsidRDefault="006E2658" w:rsidP="00927E1F">
      <w:pPr>
        <w:jc w:val="center"/>
        <w:rPr>
          <w:rFonts w:cs="Arial"/>
          <w:szCs w:val="20"/>
        </w:rPr>
      </w:pPr>
      <w:r w:rsidRPr="00C258AD">
        <w:rPr>
          <w:noProof/>
          <w:lang w:val="en-US"/>
        </w:rPr>
        <w:drawing>
          <wp:inline distT="0" distB="0" distL="0" distR="0" wp14:anchorId="23CC8433" wp14:editId="77F85B96">
            <wp:extent cx="5599785" cy="4078664"/>
            <wp:effectExtent l="0" t="0" r="1270" b="0"/>
            <wp:docPr id="990" name="Picture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600345" cy="4079072"/>
                    </a:xfrm>
                    <a:prstGeom prst="rect">
                      <a:avLst/>
                    </a:prstGeom>
                    <a:noFill/>
                    <a:ln>
                      <a:noFill/>
                    </a:ln>
                  </pic:spPr>
                </pic:pic>
              </a:graphicData>
            </a:graphic>
          </wp:inline>
        </w:drawing>
      </w:r>
    </w:p>
    <w:p w:rsidR="006E2658" w:rsidRPr="00C258AD" w:rsidRDefault="006E2658" w:rsidP="006E2658">
      <w:pPr>
        <w:pStyle w:val="ListParagraph"/>
        <w:numPr>
          <w:ilvl w:val="0"/>
          <w:numId w:val="76"/>
        </w:numPr>
        <w:ind w:left="1134" w:hanging="567"/>
        <w:contextualSpacing/>
        <w:jc w:val="both"/>
      </w:pPr>
      <w:r w:rsidRPr="00C258AD">
        <w:rPr>
          <w:rFonts w:cs="Arial"/>
        </w:rPr>
        <w:t>Les erreurs de calcul d’émoluments et taxes (33,8%) et les erreurs d’inscription de désignations (32,5%) ont représenté ensemble deux tiers des corrections effectuées en 2015 à l’occasion de renouvellements.</w:t>
      </w:r>
    </w:p>
    <w:p w:rsidR="006E2BB1" w:rsidRPr="00C258AD" w:rsidRDefault="007212D8" w:rsidP="007212D8">
      <w:r w:rsidRPr="00C258AD">
        <w:br w:type="page"/>
      </w:r>
    </w:p>
    <w:p w:rsidR="006E2BB1" w:rsidRPr="00C258AD" w:rsidRDefault="00141952" w:rsidP="00305CE5">
      <w:pPr>
        <w:pStyle w:val="Heading3"/>
      </w:pPr>
      <w:bookmarkStart w:id="83" w:name="_Toc422404223"/>
      <w:bookmarkStart w:id="84" w:name="_Toc423352871"/>
      <w:bookmarkStart w:id="85" w:name="_Toc455394184"/>
      <w:r w:rsidRPr="00C258AD">
        <w:lastRenderedPageBreak/>
        <w:t>Programme 31</w:t>
      </w:r>
      <w:r w:rsidRPr="00C258AD">
        <w:tab/>
      </w:r>
      <w:r w:rsidR="00305CE5" w:rsidRPr="00C258AD">
        <w:t>S</w:t>
      </w:r>
      <w:r w:rsidRPr="00C258AD">
        <w:t>ystème de La Haye</w:t>
      </w:r>
      <w:bookmarkEnd w:id="83"/>
      <w:bookmarkEnd w:id="84"/>
      <w:bookmarkEnd w:id="85"/>
    </w:p>
    <w:p w:rsidR="006E2BB1" w:rsidRPr="00C258AD" w:rsidRDefault="006E2BB1" w:rsidP="00141952"/>
    <w:p w:rsidR="006E2BB1" w:rsidRPr="00C258AD" w:rsidRDefault="00141952" w:rsidP="00141952">
      <w:pPr>
        <w:rPr>
          <w:b/>
        </w:rPr>
      </w:pPr>
      <w:r w:rsidRPr="00C258AD">
        <w:rPr>
          <w:b/>
        </w:rPr>
        <w:t>Chef de programme</w:t>
      </w:r>
      <w:r w:rsidRPr="00C258AD">
        <w:rPr>
          <w:b/>
        </w:rPr>
        <w:tab/>
        <w:t>Mme B. Wang</w:t>
      </w:r>
    </w:p>
    <w:p w:rsidR="006E2BB1" w:rsidRPr="00C258AD" w:rsidRDefault="006E2BB1" w:rsidP="00141952"/>
    <w:p w:rsidR="006E2BB1" w:rsidRPr="00C258AD" w:rsidRDefault="006E2BB1" w:rsidP="00141952"/>
    <w:p w:rsidR="006E2BB1" w:rsidRPr="00C258AD" w:rsidRDefault="00141952" w:rsidP="00305CE5">
      <w:pPr>
        <w:keepNext/>
        <w:rPr>
          <w:rFonts w:cs="Arial"/>
          <w:caps/>
          <w:sz w:val="22"/>
          <w:szCs w:val="22"/>
        </w:rPr>
      </w:pPr>
      <w:r w:rsidRPr="00C258AD">
        <w:rPr>
          <w:rFonts w:cs="Arial"/>
          <w:caps/>
          <w:sz w:val="22"/>
          <w:szCs w:val="22"/>
        </w:rPr>
        <w:t>Réalisations au cours de l’exercice biennal 2014</w:t>
      </w:r>
      <w:r w:rsidRPr="00C258AD">
        <w:rPr>
          <w:rFonts w:cs="Arial"/>
          <w:caps/>
          <w:sz w:val="22"/>
          <w:szCs w:val="22"/>
        </w:rPr>
        <w:noBreakHyphen/>
        <w:t>2015</w:t>
      </w:r>
    </w:p>
    <w:p w:rsidR="006E2BB1" w:rsidRPr="00C258AD" w:rsidRDefault="006E2BB1" w:rsidP="00141952">
      <w:pPr>
        <w:jc w:val="both"/>
      </w:pPr>
    </w:p>
    <w:p w:rsidR="006E2BB1" w:rsidRPr="00C258AD" w:rsidRDefault="00141952" w:rsidP="00473433">
      <w:pPr>
        <w:pStyle w:val="ListParagraph"/>
        <w:numPr>
          <w:ilvl w:val="0"/>
          <w:numId w:val="77"/>
        </w:numPr>
        <w:tabs>
          <w:tab w:val="left" w:pos="709"/>
        </w:tabs>
        <w:ind w:left="0" w:firstLine="0"/>
        <w:jc w:val="both"/>
        <w:rPr>
          <w:rFonts w:cs="Arial"/>
        </w:rPr>
      </w:pPr>
      <w:r w:rsidRPr="00C258AD">
        <w:rPr>
          <w:rFonts w:cs="Arial"/>
        </w:rPr>
        <w:t>Le système de La Haye a connu une croissance satisfaisante en 2014</w:t>
      </w:r>
      <w:r w:rsidRPr="00C258AD">
        <w:rPr>
          <w:rFonts w:cs="Arial"/>
        </w:rPr>
        <w:noBreakHyphen/>
        <w:t>2015.</w:t>
      </w:r>
      <w:r w:rsidRPr="00C258AD">
        <w:t xml:space="preserve">  </w:t>
      </w:r>
      <w:r w:rsidRPr="00C258AD">
        <w:rPr>
          <w:rFonts w:cs="Arial"/>
        </w:rPr>
        <w:t>En 2014, la République de Corée, et en 2015, les États</w:t>
      </w:r>
      <w:r w:rsidRPr="00C258AD">
        <w:rPr>
          <w:rFonts w:cs="Arial"/>
        </w:rPr>
        <w:noBreakHyphen/>
        <w:t>Unis d’Amérique, le Japon et le Turkménistan, sont devenus partie à l’Acte de Genève (1999) de l’Arrangement de La Haye concernant l’enregistrement international des dessins et modèles industriels (ci</w:t>
      </w:r>
      <w:r w:rsidRPr="00C258AD">
        <w:rPr>
          <w:rFonts w:cs="Arial"/>
        </w:rPr>
        <w:noBreakHyphen/>
        <w:t>après désigné par l’</w:t>
      </w:r>
      <w:r w:rsidRPr="00C258AD">
        <w:rPr>
          <w:rFonts w:cs="Arial"/>
          <w:cs/>
        </w:rPr>
        <w:t>“</w:t>
      </w:r>
      <w:r w:rsidRPr="00C258AD">
        <w:rPr>
          <w:rFonts w:cs="Arial"/>
        </w:rPr>
        <w:t>Acte de 1999</w:t>
      </w:r>
      <w:r w:rsidRPr="00C258AD">
        <w:rPr>
          <w:rFonts w:cs="Arial"/>
          <w:cs/>
        </w:rPr>
        <w:t>”</w:t>
      </w:r>
      <w:r w:rsidRPr="00C258AD">
        <w:rPr>
          <w:rFonts w:cs="Arial"/>
        </w:rPr>
        <w:t>).  Ces adhésions ont porté à 50 le nombre de parties contractantes à cet acte.  Même si ce nombre restait inférieur à l’objectif visé, les adhésions, particulièrement celles de la République de Corée, des États</w:t>
      </w:r>
      <w:r w:rsidRPr="00C258AD">
        <w:rPr>
          <w:rFonts w:cs="Arial"/>
        </w:rPr>
        <w:noBreakHyphen/>
        <w:t>Unis d’Amérique et du Japon, qui occupent respectivement les troisième, quatrième et cinquième places des juridictions déposant le plus de</w:t>
      </w:r>
      <w:r w:rsidRPr="00C258AD">
        <w:t xml:space="preserve"> </w:t>
      </w:r>
      <w:r w:rsidRPr="00C258AD">
        <w:rPr>
          <w:rFonts w:cs="Arial"/>
        </w:rPr>
        <w:t>dessins et modèles industriels, ont considérablement augmenté l’attrait du système de La Haye.  Ainsi, les demandes internationales ont progressé de plus de 40% en 2015, soit un chiffre bien supérieur à l’augmentation prévue par rapport à 2014.  Pour la fin de l’exercice biennal, cet élargissement avait également conduit des parties contractantes potentielles, y compris des pays liés par les anciens accords, à manifester un vif intérêt à l’égard du système.  À cet égard, à la fin de 2015, il ne manquait plus que deux consentements pour l’extinction de l’Acte de 1934, alors que quatre parties contractantes en dehors de l’Union européenne et de l’Organisation africaine de la propriété intellectuelle (OAPI) restaient liées uniquement par l’Acte de 1960.</w:t>
      </w:r>
    </w:p>
    <w:p w:rsidR="006E2BB1" w:rsidRPr="00C258AD" w:rsidRDefault="006E2BB1" w:rsidP="00141952">
      <w:pPr>
        <w:pStyle w:val="ListParagraph"/>
        <w:numPr>
          <w:ilvl w:val="0"/>
          <w:numId w:val="0"/>
        </w:numPr>
        <w:tabs>
          <w:tab w:val="left" w:pos="709"/>
        </w:tabs>
        <w:jc w:val="both"/>
      </w:pPr>
    </w:p>
    <w:p w:rsidR="006E2BB1" w:rsidRPr="00C258AD" w:rsidRDefault="00141952" w:rsidP="00473433">
      <w:pPr>
        <w:pStyle w:val="ListParagraph"/>
        <w:numPr>
          <w:ilvl w:val="0"/>
          <w:numId w:val="77"/>
        </w:numPr>
        <w:tabs>
          <w:tab w:val="left" w:pos="709"/>
        </w:tabs>
        <w:ind w:left="0" w:firstLine="0"/>
        <w:jc w:val="both"/>
      </w:pPr>
      <w:r w:rsidRPr="00C258AD">
        <w:rPr>
          <w:rFonts w:cs="Arial"/>
        </w:rPr>
        <w:t>Cependant, l’élargissement aux juridictions susmentionnées avait un prix : il avait déclenché l’application de certains des mécanismes les plus complexes du système, comme ceux qui étaient liés à l’exigence d’un serment du créateur ou au paiement en deux parties d’une taxe individuelle, et il avait rendu nécessaire la mise en place de nouvelles fonctionnalités, notamment en lien avec la notion de dessins et modèles connexes.  Pour faire face à cette situation, le système d’examen, le</w:t>
      </w:r>
      <w:r w:rsidRPr="00C258AD">
        <w:t xml:space="preserve"> </w:t>
      </w:r>
      <w:r w:rsidRPr="00C258AD">
        <w:rPr>
          <w:rFonts w:cs="Arial"/>
        </w:rPr>
        <w:t>système de dépôt électronique et les formulaires ont subi plusieurs mises à jour et ajouts successifs, afin de s’adapter progressivement aux nouvelles exigences.  S’agissant des informations destinées aux utilisateurs, la base de données Hague Express a été complètement modifiée et les données relatives au système de La Haye ont été intégrées dans la base de données mondiale sur les dessins et les modèles, ce qui a permis d’améliorer la qualité de l’affichage des informations pour les utilisateurs finaux, les offices et les tiers.  Le guide de La Haye a été complètement converti en format électronique pour être plus accessible, et notamment pour permettre un accès direct à</w:t>
      </w:r>
      <w:r w:rsidRPr="00C258AD">
        <w:t xml:space="preserve"> </w:t>
      </w:r>
      <w:r w:rsidRPr="00C258AD">
        <w:rPr>
          <w:rFonts w:cs="Arial"/>
        </w:rPr>
        <w:t>l’interface de dépôt électronique.  Malgré l’augmentation soudaine des demandes en 2015 et la complexité croissante de celles</w:t>
      </w:r>
      <w:r w:rsidRPr="00C258AD">
        <w:rPr>
          <w:rFonts w:cs="Arial"/>
        </w:rPr>
        <w:noBreakHyphen/>
        <w:t>ci, les</w:t>
      </w:r>
      <w:r w:rsidRPr="00C258AD">
        <w:t xml:space="preserve"> </w:t>
      </w:r>
      <w:r w:rsidRPr="00C258AD">
        <w:rPr>
          <w:rFonts w:cs="Arial"/>
        </w:rPr>
        <w:t>opérations relatives au système de La Haye ont réussi à faire face à cette augmentation et à maintenir des délais conformes à la moyenne des cinq dernières années.  Cela a donné lieu à une baisse de 8% du coût unitaire par dessin ou modèle entre 2014 et 2015 et à une diminution de 22% du coût unitaire par document sur la même période.  Deux nouvelles procédures ont été automatisées, à savoir la réception et le traitement des dépôts indirects par l’Office coréen de la propriété industrielle (KIPO) et l’examen des</w:t>
      </w:r>
      <w:r w:rsidRPr="00C258AD">
        <w:t xml:space="preserve"> </w:t>
      </w:r>
      <w:r w:rsidRPr="00C258AD">
        <w:rPr>
          <w:rFonts w:cs="Arial"/>
        </w:rPr>
        <w:t>déclarations d’octroi d’une protection envoyées par</w:t>
      </w:r>
      <w:r w:rsidRPr="00C258AD">
        <w:t xml:space="preserve"> </w:t>
      </w:r>
      <w:r w:rsidRPr="00C258AD">
        <w:rPr>
          <w:rFonts w:cs="Arial"/>
        </w:rPr>
        <w:t>l’Office de l’harmonisation dans le marché intérieur (OHMI) de l’Union européenne, portant le total des procédures automatisées à quatre.</w:t>
      </w:r>
    </w:p>
    <w:p w:rsidR="006E2BB1" w:rsidRPr="00C258AD" w:rsidRDefault="006E2BB1" w:rsidP="00141952">
      <w:pPr>
        <w:tabs>
          <w:tab w:val="left" w:pos="709"/>
        </w:tabs>
        <w:jc w:val="both"/>
      </w:pPr>
    </w:p>
    <w:p w:rsidR="006E2BB1" w:rsidRPr="00C258AD" w:rsidRDefault="00141952" w:rsidP="00473433">
      <w:pPr>
        <w:pStyle w:val="ListParagraph"/>
        <w:numPr>
          <w:ilvl w:val="0"/>
          <w:numId w:val="77"/>
        </w:numPr>
        <w:tabs>
          <w:tab w:val="left" w:pos="709"/>
        </w:tabs>
        <w:ind w:left="0" w:firstLine="0"/>
        <w:jc w:val="both"/>
        <w:rPr>
          <w:rFonts w:cs="Arial"/>
        </w:rPr>
      </w:pPr>
      <w:r w:rsidRPr="00C258AD">
        <w:rPr>
          <w:rFonts w:cs="Arial"/>
        </w:rPr>
        <w:t>D’importants progrès en vue de l’amélioration du cadre juridique du système de La Haye ont été réalisés au cours de l’exercice biennal 2014</w:t>
      </w:r>
      <w:r w:rsidRPr="00C258AD">
        <w:rPr>
          <w:rFonts w:cs="Arial"/>
        </w:rPr>
        <w:noBreakHyphen/>
        <w:t>2015.  Notamment, suite à la quatrième session du groupe de travail sur le développement juridique du système de La Haye concernant l’enregistrement international des dessins et modèles industriels, l’Assemblée de l’Union de La Haye a adopté des dispositions, entrées en vigueur le 1</w:t>
      </w:r>
      <w:r w:rsidRPr="00C258AD">
        <w:rPr>
          <w:rFonts w:cs="Arial"/>
          <w:vertAlign w:val="superscript"/>
        </w:rPr>
        <w:t>er</w:t>
      </w:r>
      <w:r w:rsidRPr="00C258AD">
        <w:rPr>
          <w:rFonts w:cs="Arial"/>
        </w:rPr>
        <w:t> janvier 2015, introduisant un “mécanisme de retour d’informations”, mettant à la disposition du public des informations relatives aux modifications apportées à un dessin ou modèle industriel qui fait l’objet d’un enregistrement international par suite d’une procédure devant l’Office d’une partie contractante désignée.  En outre, des modifications ont été introduites dans les instructions administratives afin d’accorder davantage de souplesse aux utilisateurs concernant la divulgation de leurs dessins et modèles industriels;  elles sont entrées en vigueur le 1</w:t>
      </w:r>
      <w:r w:rsidRPr="00C258AD">
        <w:rPr>
          <w:rFonts w:cs="Arial"/>
          <w:vertAlign w:val="superscript"/>
        </w:rPr>
        <w:t>er</w:t>
      </w:r>
      <w:r w:rsidRPr="00C258AD">
        <w:rPr>
          <w:rFonts w:cs="Arial"/>
        </w:rPr>
        <w:t> juillet 2014.  Ces deux évolutions ont posé les bases permettant d’avancer sur l’extension tant attendue aux juridictions dans lesquelles un examen de fond est réalisé.  Avec les modifications apportées à l’interface de dépôt électronique, le système de La Haye est maintenant mieux équipé pour faire face aux complexités supplémentaires, ce qui a permis l’adhésion des États</w:t>
      </w:r>
      <w:r w:rsidRPr="00C258AD">
        <w:rPr>
          <w:rFonts w:cs="Arial"/>
        </w:rPr>
        <w:noBreakHyphen/>
        <w:t>Unis d’Amérique, du Japon et de la République de Corée.</w:t>
      </w:r>
    </w:p>
    <w:p w:rsidR="006E2BB1" w:rsidRPr="00C258AD" w:rsidRDefault="006E2BB1" w:rsidP="00141952">
      <w:pPr>
        <w:tabs>
          <w:tab w:val="left" w:pos="709"/>
        </w:tabs>
        <w:jc w:val="both"/>
      </w:pPr>
    </w:p>
    <w:p w:rsidR="006E2BB1" w:rsidRPr="00C258AD" w:rsidRDefault="00141952" w:rsidP="00473433">
      <w:pPr>
        <w:pStyle w:val="ListParagraph"/>
        <w:numPr>
          <w:ilvl w:val="0"/>
          <w:numId w:val="77"/>
        </w:numPr>
        <w:tabs>
          <w:tab w:val="left" w:pos="709"/>
        </w:tabs>
        <w:ind w:left="0" w:firstLine="0"/>
        <w:jc w:val="both"/>
      </w:pPr>
      <w:r w:rsidRPr="00C258AD">
        <w:lastRenderedPageBreak/>
        <w:t>La conception, la planification et la mise en œuvre des activités entreprises dans le cadre du programme 31 s’appuyaient sur les recommandations pertinentes, notamment les recommandations n</w:t>
      </w:r>
      <w:r w:rsidRPr="00C258AD">
        <w:rPr>
          <w:vertAlign w:val="superscript"/>
        </w:rPr>
        <w:t>os</w:t>
      </w:r>
      <w:r w:rsidRPr="00C258AD">
        <w:t> 1 et 6.</w:t>
      </w:r>
    </w:p>
    <w:p w:rsidR="006E2BB1" w:rsidRPr="00C258AD" w:rsidRDefault="006E2BB1" w:rsidP="00141952">
      <w:pPr>
        <w:tabs>
          <w:tab w:val="left" w:pos="709"/>
        </w:tabs>
        <w:rPr>
          <w:bCs/>
        </w:rPr>
      </w:pPr>
    </w:p>
    <w:p w:rsidR="006E2BB1" w:rsidRPr="00C258AD" w:rsidRDefault="006E2BB1" w:rsidP="00141952">
      <w:pPr>
        <w:rPr>
          <w:bCs/>
          <w:szCs w:val="22"/>
        </w:rPr>
      </w:pPr>
    </w:p>
    <w:p w:rsidR="006E2BB1" w:rsidRPr="00C258AD" w:rsidRDefault="00141952" w:rsidP="00305CE5">
      <w:pPr>
        <w:keepNext/>
        <w:rPr>
          <w:rFonts w:cs="Arial"/>
          <w:caps/>
          <w:sz w:val="22"/>
          <w:szCs w:val="22"/>
        </w:rPr>
      </w:pPr>
      <w:r w:rsidRPr="00C258AD">
        <w:rPr>
          <w:rFonts w:cs="Arial"/>
          <w:caps/>
          <w:sz w:val="22"/>
          <w:szCs w:val="22"/>
        </w:rPr>
        <w:t>Données relatives à l’exécution</w:t>
      </w:r>
    </w:p>
    <w:p w:rsidR="00141952" w:rsidRPr="00C258AD" w:rsidRDefault="00141952" w:rsidP="00141952">
      <w:pPr>
        <w:rPr>
          <w:bCs/>
          <w:szCs w:val="22"/>
        </w:rPr>
      </w:pPr>
    </w:p>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132"/>
        <w:gridCol w:w="30"/>
        <w:gridCol w:w="2255"/>
        <w:gridCol w:w="53"/>
        <w:gridCol w:w="1492"/>
        <w:gridCol w:w="25"/>
        <w:gridCol w:w="21"/>
        <w:gridCol w:w="2304"/>
        <w:gridCol w:w="1179"/>
      </w:tblGrid>
      <w:tr w:rsidR="00141952" w:rsidRPr="00C258AD" w:rsidTr="00141952">
        <w:trPr>
          <w:cantSplit/>
        </w:trPr>
        <w:tc>
          <w:tcPr>
            <w:tcW w:w="5000" w:type="pct"/>
            <w:gridSpan w:val="9"/>
            <w:tcBorders>
              <w:top w:val="single" w:sz="4" w:space="0" w:color="auto"/>
              <w:bottom w:val="single" w:sz="4" w:space="0" w:color="auto"/>
            </w:tcBorders>
            <w:shd w:val="clear" w:color="auto" w:fill="C5D9F1"/>
            <w:vAlign w:val="center"/>
          </w:tcPr>
          <w:p w:rsidR="00141952" w:rsidRPr="00C258AD" w:rsidRDefault="00141952" w:rsidP="00141952">
            <w:pPr>
              <w:keepNext/>
              <w:keepLines/>
              <w:rPr>
                <w:b/>
                <w:bCs/>
                <w:sz w:val="16"/>
                <w:szCs w:val="16"/>
              </w:rPr>
            </w:pPr>
            <w:r w:rsidRPr="00C258AD">
              <w:rPr>
                <w:b/>
                <w:sz w:val="16"/>
              </w:rPr>
              <w:t xml:space="preserve">Résultat escompté : </w:t>
            </w:r>
            <w:r w:rsidRPr="00C258AD">
              <w:rPr>
                <w:color w:val="000000"/>
                <w:sz w:val="16"/>
              </w:rPr>
              <w:t>II.4 Utilisation élargie et plus efficace du système de La Haye, notamment par les pays en développement et les PMA</w:t>
            </w:r>
          </w:p>
        </w:tc>
      </w:tr>
      <w:tr w:rsidR="00141952" w:rsidRPr="00C258AD" w:rsidTr="00141952">
        <w:trPr>
          <w:cantSplit/>
        </w:trPr>
        <w:tc>
          <w:tcPr>
            <w:tcW w:w="1123" w:type="pct"/>
            <w:tcBorders>
              <w:top w:val="single" w:sz="4" w:space="0" w:color="auto"/>
              <w:bottom w:val="nil"/>
            </w:tcBorders>
            <w:shd w:val="clear" w:color="auto" w:fill="auto"/>
            <w:vAlign w:val="center"/>
          </w:tcPr>
          <w:p w:rsidR="00141952" w:rsidRPr="00C258AD" w:rsidRDefault="00141952" w:rsidP="00141952">
            <w:pPr>
              <w:jc w:val="center"/>
              <w:rPr>
                <w:sz w:val="16"/>
                <w:szCs w:val="16"/>
              </w:rPr>
            </w:pPr>
            <w:r w:rsidRPr="00C258AD">
              <w:rPr>
                <w:b/>
                <w:sz w:val="16"/>
              </w:rPr>
              <w:t>Indicateurs d’exécution</w:t>
            </w:r>
          </w:p>
        </w:tc>
        <w:tc>
          <w:tcPr>
            <w:tcW w:w="1204" w:type="pct"/>
            <w:gridSpan w:val="2"/>
            <w:tcBorders>
              <w:top w:val="single" w:sz="4" w:space="0" w:color="auto"/>
              <w:bottom w:val="nil"/>
            </w:tcBorders>
            <w:shd w:val="clear" w:color="auto" w:fill="auto"/>
            <w:vAlign w:val="center"/>
          </w:tcPr>
          <w:p w:rsidR="00141952" w:rsidRPr="00C258AD" w:rsidRDefault="00141952" w:rsidP="00141952">
            <w:pPr>
              <w:jc w:val="center"/>
              <w:rPr>
                <w:b/>
                <w:bCs/>
                <w:sz w:val="16"/>
                <w:szCs w:val="16"/>
              </w:rPr>
            </w:pPr>
            <w:r w:rsidRPr="00C258AD">
              <w:rPr>
                <w:b/>
                <w:sz w:val="16"/>
              </w:rPr>
              <w:t>Niveaux de référence</w:t>
            </w:r>
          </w:p>
        </w:tc>
        <w:tc>
          <w:tcPr>
            <w:tcW w:w="814" w:type="pct"/>
            <w:gridSpan w:val="2"/>
            <w:tcBorders>
              <w:top w:val="single" w:sz="4" w:space="0" w:color="auto"/>
              <w:bottom w:val="nil"/>
            </w:tcBorders>
            <w:shd w:val="clear" w:color="auto" w:fill="auto"/>
            <w:tcMar>
              <w:top w:w="110" w:type="dxa"/>
            </w:tcMar>
            <w:vAlign w:val="center"/>
          </w:tcPr>
          <w:p w:rsidR="00141952" w:rsidRPr="00C258AD" w:rsidRDefault="00141952" w:rsidP="00141952">
            <w:pPr>
              <w:jc w:val="center"/>
              <w:rPr>
                <w:b/>
                <w:sz w:val="16"/>
                <w:szCs w:val="16"/>
              </w:rPr>
            </w:pPr>
            <w:r w:rsidRPr="00C258AD">
              <w:rPr>
                <w:b/>
                <w:sz w:val="16"/>
              </w:rPr>
              <w:t>Objectifs visés</w:t>
            </w:r>
          </w:p>
        </w:tc>
        <w:tc>
          <w:tcPr>
            <w:tcW w:w="1238" w:type="pct"/>
            <w:gridSpan w:val="3"/>
            <w:tcBorders>
              <w:top w:val="single" w:sz="4" w:space="0" w:color="auto"/>
              <w:bottom w:val="nil"/>
            </w:tcBorders>
            <w:shd w:val="clear" w:color="auto" w:fill="FFFFFF"/>
            <w:tcMar>
              <w:top w:w="110" w:type="dxa"/>
            </w:tcMar>
            <w:vAlign w:val="center"/>
          </w:tcPr>
          <w:p w:rsidR="00141952" w:rsidRPr="00C258AD" w:rsidRDefault="00141952" w:rsidP="00141952">
            <w:pPr>
              <w:jc w:val="center"/>
              <w:rPr>
                <w:sz w:val="16"/>
                <w:szCs w:val="16"/>
              </w:rPr>
            </w:pPr>
            <w:r w:rsidRPr="00C258AD">
              <w:rPr>
                <w:b/>
                <w:sz w:val="16"/>
              </w:rPr>
              <w:t>Données relatives à l’exécution</w:t>
            </w:r>
          </w:p>
        </w:tc>
        <w:tc>
          <w:tcPr>
            <w:tcW w:w="622" w:type="pct"/>
            <w:tcBorders>
              <w:top w:val="single" w:sz="4" w:space="0" w:color="auto"/>
              <w:bottom w:val="nil"/>
            </w:tcBorders>
            <w:shd w:val="clear" w:color="auto" w:fill="auto"/>
            <w:tcMar>
              <w:top w:w="110" w:type="dxa"/>
            </w:tcMar>
            <w:vAlign w:val="center"/>
          </w:tcPr>
          <w:p w:rsidR="00141952" w:rsidRPr="00C258AD" w:rsidRDefault="00141952" w:rsidP="00141952">
            <w:pPr>
              <w:keepNext/>
              <w:keepLines/>
              <w:jc w:val="center"/>
              <w:rPr>
                <w:b/>
                <w:bCs/>
                <w:sz w:val="16"/>
                <w:szCs w:val="16"/>
              </w:rPr>
            </w:pPr>
            <w:r w:rsidRPr="00C258AD">
              <w:rPr>
                <w:b/>
                <w:sz w:val="16"/>
              </w:rPr>
              <w:t>Code de couleurs</w:t>
            </w:r>
          </w:p>
        </w:tc>
      </w:tr>
      <w:tr w:rsidR="00141952" w:rsidRPr="00C258AD" w:rsidTr="00141952">
        <w:trPr>
          <w:cantSplit/>
        </w:trPr>
        <w:tc>
          <w:tcPr>
            <w:tcW w:w="1123" w:type="pct"/>
            <w:tcBorders>
              <w:top w:val="nil"/>
              <w:bottom w:val="nil"/>
            </w:tcBorders>
            <w:shd w:val="clear" w:color="auto" w:fill="auto"/>
          </w:tcPr>
          <w:p w:rsidR="00141952" w:rsidRPr="00C258AD" w:rsidRDefault="00141952" w:rsidP="00141952">
            <w:pPr>
              <w:rPr>
                <w:color w:val="000000"/>
                <w:sz w:val="16"/>
                <w:szCs w:val="16"/>
              </w:rPr>
            </w:pPr>
            <w:r w:rsidRPr="00C258AD">
              <w:rPr>
                <w:color w:val="000000"/>
                <w:sz w:val="16"/>
              </w:rPr>
              <w:t>Parties contractantes à l’Acte de Genève (1999)</w:t>
            </w:r>
          </w:p>
        </w:tc>
        <w:tc>
          <w:tcPr>
            <w:tcW w:w="1204" w:type="pct"/>
            <w:gridSpan w:val="2"/>
            <w:tcBorders>
              <w:top w:val="nil"/>
              <w:bottom w:val="nil"/>
            </w:tcBorders>
            <w:shd w:val="clear" w:color="auto" w:fill="auto"/>
          </w:tcPr>
          <w:p w:rsidR="006E2BB1" w:rsidRPr="00C258AD" w:rsidRDefault="00141952" w:rsidP="00141952">
            <w:pPr>
              <w:rPr>
                <w:color w:val="002060"/>
                <w:sz w:val="16"/>
                <w:szCs w:val="16"/>
              </w:rPr>
            </w:pPr>
            <w:r w:rsidRPr="00C258AD">
              <w:rPr>
                <w:i/>
                <w:color w:val="002060"/>
                <w:sz w:val="16"/>
              </w:rPr>
              <w:t>Niveau de référence actualisé à fin 2013 : 46 parties contractantes (fin 2013)</w:t>
            </w:r>
          </w:p>
          <w:p w:rsidR="006E2BB1" w:rsidRPr="00C258AD" w:rsidRDefault="006E2BB1" w:rsidP="00141952">
            <w:pPr>
              <w:rPr>
                <w:color w:val="000000"/>
                <w:sz w:val="16"/>
                <w:szCs w:val="16"/>
              </w:rPr>
            </w:pPr>
          </w:p>
          <w:p w:rsidR="00141952" w:rsidRPr="00C258AD" w:rsidRDefault="00141952" w:rsidP="00141952">
            <w:pPr>
              <w:rPr>
                <w:color w:val="000000"/>
                <w:sz w:val="16"/>
                <w:szCs w:val="16"/>
              </w:rPr>
            </w:pPr>
            <w:r w:rsidRPr="00C258AD">
              <w:rPr>
                <w:i/>
                <w:sz w:val="16"/>
              </w:rPr>
              <w:t>Niveau de référence initial dans le programme et budget 2014</w:t>
            </w:r>
            <w:r w:rsidRPr="00C258AD">
              <w:rPr>
                <w:i/>
                <w:sz w:val="16"/>
              </w:rPr>
              <w:noBreakHyphen/>
              <w:t xml:space="preserve">2015 : </w:t>
            </w:r>
            <w:r w:rsidRPr="00C258AD">
              <w:rPr>
                <w:color w:val="000000"/>
                <w:sz w:val="16"/>
              </w:rPr>
              <w:t>45 parties contractantes</w:t>
            </w:r>
          </w:p>
        </w:tc>
        <w:tc>
          <w:tcPr>
            <w:tcW w:w="814" w:type="pct"/>
            <w:gridSpan w:val="2"/>
            <w:tcBorders>
              <w:top w:val="nil"/>
              <w:bottom w:val="nil"/>
            </w:tcBorders>
            <w:shd w:val="clear" w:color="auto" w:fill="auto"/>
            <w:tcMar>
              <w:top w:w="110" w:type="dxa"/>
            </w:tcMar>
          </w:tcPr>
          <w:p w:rsidR="00141952" w:rsidRPr="00C258AD" w:rsidRDefault="00141952" w:rsidP="00141952">
            <w:pPr>
              <w:rPr>
                <w:color w:val="000000"/>
                <w:sz w:val="16"/>
                <w:szCs w:val="16"/>
              </w:rPr>
            </w:pPr>
            <w:r w:rsidRPr="00C258AD">
              <w:rPr>
                <w:sz w:val="16"/>
              </w:rPr>
              <w:t>58 parties contractantes</w:t>
            </w:r>
          </w:p>
        </w:tc>
        <w:tc>
          <w:tcPr>
            <w:tcW w:w="1238" w:type="pct"/>
            <w:gridSpan w:val="3"/>
            <w:tcBorders>
              <w:top w:val="nil"/>
              <w:bottom w:val="nil"/>
            </w:tcBorders>
            <w:shd w:val="clear" w:color="auto" w:fill="FFFFFF"/>
            <w:tcMar>
              <w:top w:w="110" w:type="dxa"/>
            </w:tcMar>
          </w:tcPr>
          <w:p w:rsidR="00141952" w:rsidRPr="00C258AD" w:rsidRDefault="00141952" w:rsidP="00141952">
            <w:pPr>
              <w:rPr>
                <w:sz w:val="16"/>
                <w:szCs w:val="16"/>
              </w:rPr>
            </w:pPr>
            <w:r w:rsidRPr="00C258AD">
              <w:rPr>
                <w:sz w:val="16"/>
              </w:rPr>
              <w:t>50 parties contractantes à l’Acte de Genève (fin 2015)</w:t>
            </w:r>
          </w:p>
        </w:tc>
        <w:tc>
          <w:tcPr>
            <w:tcW w:w="622" w:type="pct"/>
            <w:tcBorders>
              <w:top w:val="nil"/>
              <w:bottom w:val="nil"/>
            </w:tcBorders>
            <w:shd w:val="clear" w:color="auto" w:fill="auto"/>
            <w:tcMar>
              <w:top w:w="110" w:type="dxa"/>
            </w:tcMar>
          </w:tcPr>
          <w:p w:rsidR="00141952" w:rsidRPr="00C258AD" w:rsidRDefault="00141952" w:rsidP="00141952">
            <w:pPr>
              <w:keepNext/>
              <w:keepLines/>
              <w:jc w:val="center"/>
              <w:rPr>
                <w:b/>
                <w:bCs/>
                <w:color w:val="808080"/>
                <w:sz w:val="16"/>
                <w:szCs w:val="16"/>
              </w:rPr>
            </w:pPr>
            <w:r w:rsidRPr="00C258AD">
              <w:rPr>
                <w:b/>
                <w:bCs/>
                <w:color w:val="E26B0A"/>
                <w:sz w:val="16"/>
                <w:szCs w:val="16"/>
              </w:rPr>
              <w:t>Objectif partiellement atteint</w:t>
            </w:r>
          </w:p>
        </w:tc>
      </w:tr>
      <w:tr w:rsidR="00141952" w:rsidRPr="00C258AD" w:rsidTr="00141952">
        <w:trPr>
          <w:cantSplit/>
        </w:trPr>
        <w:tc>
          <w:tcPr>
            <w:tcW w:w="1123" w:type="pct"/>
            <w:tcBorders>
              <w:top w:val="nil"/>
              <w:bottom w:val="nil"/>
            </w:tcBorders>
            <w:shd w:val="clear" w:color="auto" w:fill="auto"/>
          </w:tcPr>
          <w:p w:rsidR="00141952" w:rsidRPr="00C258AD" w:rsidRDefault="00141952" w:rsidP="00141952">
            <w:pPr>
              <w:rPr>
                <w:sz w:val="16"/>
                <w:szCs w:val="16"/>
              </w:rPr>
            </w:pPr>
            <w:r w:rsidRPr="00C258AD">
              <w:rPr>
                <w:sz w:val="16"/>
              </w:rPr>
              <w:t>Nombre d’offices fournissant des informations sur le système de La Haye</w:t>
            </w:r>
          </w:p>
        </w:tc>
        <w:tc>
          <w:tcPr>
            <w:tcW w:w="1204" w:type="pct"/>
            <w:gridSpan w:val="2"/>
            <w:tcBorders>
              <w:top w:val="nil"/>
              <w:bottom w:val="nil"/>
            </w:tcBorders>
            <w:shd w:val="clear" w:color="auto" w:fill="auto"/>
          </w:tcPr>
          <w:p w:rsidR="006E2BB1" w:rsidRPr="00C258AD" w:rsidRDefault="00141952" w:rsidP="00141952">
            <w:pPr>
              <w:rPr>
                <w:i/>
                <w:sz w:val="16"/>
                <w:szCs w:val="16"/>
              </w:rPr>
            </w:pPr>
            <w:r w:rsidRPr="00C258AD">
              <w:rPr>
                <w:i/>
                <w:color w:val="002060"/>
                <w:sz w:val="16"/>
              </w:rPr>
              <w:t>Niveau de référence actualisé à fin 2013 : 42 offices nationaux ou régionaux fournissaient des informations adéquates sur le système de La Haye.  Neuf offices n’avaient pas de site Web.</w:t>
            </w:r>
          </w:p>
          <w:p w:rsidR="006E2BB1" w:rsidRPr="00C258AD" w:rsidRDefault="006E2BB1" w:rsidP="00141952">
            <w:pPr>
              <w:rPr>
                <w:i/>
                <w:sz w:val="16"/>
                <w:szCs w:val="16"/>
              </w:rPr>
            </w:pPr>
          </w:p>
          <w:p w:rsidR="00141952" w:rsidRPr="00C258AD" w:rsidRDefault="00141952" w:rsidP="00141952">
            <w:pPr>
              <w:rPr>
                <w:sz w:val="16"/>
                <w:szCs w:val="16"/>
              </w:rPr>
            </w:pPr>
            <w:r w:rsidRPr="00C258AD">
              <w:rPr>
                <w:i/>
                <w:sz w:val="16"/>
              </w:rPr>
              <w:t>Niveau de référence initial dans le programme et budget 2014</w:t>
            </w:r>
            <w:r w:rsidRPr="00C258AD">
              <w:rPr>
                <w:i/>
                <w:sz w:val="16"/>
              </w:rPr>
              <w:noBreakHyphen/>
              <w:t>2015 : nombre d’offices fournissant de telles informations</w:t>
            </w:r>
          </w:p>
        </w:tc>
        <w:tc>
          <w:tcPr>
            <w:tcW w:w="814" w:type="pct"/>
            <w:gridSpan w:val="2"/>
            <w:tcBorders>
              <w:top w:val="nil"/>
              <w:bottom w:val="nil"/>
            </w:tcBorders>
            <w:shd w:val="clear" w:color="auto" w:fill="auto"/>
            <w:tcMar>
              <w:top w:w="110" w:type="dxa"/>
            </w:tcMar>
          </w:tcPr>
          <w:p w:rsidR="00141952" w:rsidRPr="00C258AD" w:rsidRDefault="00141952" w:rsidP="00141952">
            <w:pPr>
              <w:rPr>
                <w:sz w:val="16"/>
                <w:szCs w:val="16"/>
                <w:lang w:bidi="th-TH"/>
              </w:rPr>
            </w:pPr>
            <w:r w:rsidRPr="00C258AD">
              <w:rPr>
                <w:sz w:val="16"/>
              </w:rPr>
              <w:t>Nombre accru</w:t>
            </w:r>
          </w:p>
        </w:tc>
        <w:tc>
          <w:tcPr>
            <w:tcW w:w="1238" w:type="pct"/>
            <w:gridSpan w:val="3"/>
            <w:tcBorders>
              <w:top w:val="nil"/>
              <w:bottom w:val="nil"/>
            </w:tcBorders>
            <w:shd w:val="clear" w:color="auto" w:fill="FFFFFF"/>
            <w:tcMar>
              <w:top w:w="110" w:type="dxa"/>
            </w:tcMar>
          </w:tcPr>
          <w:p w:rsidR="00141952" w:rsidRPr="00C258AD" w:rsidRDefault="00141952" w:rsidP="00141952">
            <w:pPr>
              <w:rPr>
                <w:sz w:val="16"/>
                <w:szCs w:val="16"/>
                <w:lang w:bidi="th-TH"/>
              </w:rPr>
            </w:pPr>
            <w:r w:rsidRPr="00C258AD">
              <w:rPr>
                <w:sz w:val="16"/>
              </w:rPr>
              <w:t>47 offices nationaux ou régionaux fournissaient des informations sur le système de La Haye fin 2015.  Dix offices n’avaient pas de site Web.</w:t>
            </w:r>
          </w:p>
        </w:tc>
        <w:tc>
          <w:tcPr>
            <w:tcW w:w="622" w:type="pct"/>
            <w:tcBorders>
              <w:top w:val="nil"/>
              <w:bottom w:val="nil"/>
            </w:tcBorders>
            <w:shd w:val="clear" w:color="auto" w:fill="auto"/>
            <w:tcMar>
              <w:top w:w="110" w:type="dxa"/>
            </w:tcMar>
          </w:tcPr>
          <w:p w:rsidR="00141952" w:rsidRPr="00C258AD" w:rsidRDefault="00141952" w:rsidP="00141952">
            <w:pPr>
              <w:keepNext/>
              <w:keepLines/>
              <w:jc w:val="center"/>
              <w:rPr>
                <w:b/>
                <w:bCs/>
                <w:color w:val="808080"/>
                <w:sz w:val="16"/>
                <w:szCs w:val="16"/>
              </w:rPr>
            </w:pPr>
            <w:r w:rsidRPr="00C258AD">
              <w:rPr>
                <w:rFonts w:cs="Arial"/>
                <w:b/>
                <w:bCs/>
                <w:color w:val="00B050"/>
                <w:sz w:val="16"/>
                <w:szCs w:val="16"/>
              </w:rPr>
              <w:t>Objectif pleinement atteint</w:t>
            </w:r>
          </w:p>
        </w:tc>
      </w:tr>
      <w:tr w:rsidR="00141952" w:rsidRPr="00C258AD" w:rsidTr="00141952">
        <w:trPr>
          <w:cantSplit/>
        </w:trPr>
        <w:tc>
          <w:tcPr>
            <w:tcW w:w="1123" w:type="pct"/>
            <w:tcBorders>
              <w:top w:val="nil"/>
              <w:left w:val="single" w:sz="4" w:space="0" w:color="auto"/>
              <w:bottom w:val="single" w:sz="4" w:space="0" w:color="auto"/>
            </w:tcBorders>
            <w:shd w:val="clear" w:color="auto" w:fill="auto"/>
          </w:tcPr>
          <w:p w:rsidR="00141952" w:rsidRPr="00C258AD" w:rsidRDefault="00141952" w:rsidP="00141952">
            <w:pPr>
              <w:rPr>
                <w:sz w:val="16"/>
                <w:szCs w:val="16"/>
              </w:rPr>
            </w:pPr>
            <w:r w:rsidRPr="00C258AD">
              <w:rPr>
                <w:sz w:val="16"/>
              </w:rPr>
              <w:t>Dépôts de demandes et renouvellements au titre du système de La Haye</w:t>
            </w:r>
          </w:p>
        </w:tc>
        <w:tc>
          <w:tcPr>
            <w:tcW w:w="1204" w:type="pct"/>
            <w:gridSpan w:val="2"/>
            <w:tcBorders>
              <w:top w:val="nil"/>
              <w:bottom w:val="single" w:sz="4" w:space="0" w:color="auto"/>
            </w:tcBorders>
            <w:shd w:val="clear" w:color="auto" w:fill="auto"/>
          </w:tcPr>
          <w:p w:rsidR="006E2BB1" w:rsidRPr="00C258AD" w:rsidRDefault="00141952" w:rsidP="00141952">
            <w:pPr>
              <w:rPr>
                <w:i/>
                <w:color w:val="002060"/>
                <w:sz w:val="16"/>
                <w:szCs w:val="16"/>
              </w:rPr>
            </w:pPr>
            <w:r w:rsidRPr="00C258AD">
              <w:rPr>
                <w:i/>
                <w:color w:val="002060"/>
                <w:sz w:val="16"/>
              </w:rPr>
              <w:t xml:space="preserve">Niveau de référence actualisé à fin 2013 : </w:t>
            </w:r>
            <w:r w:rsidRPr="00C258AD">
              <w:rPr>
                <w:i/>
                <w:color w:val="002060"/>
                <w:sz w:val="16"/>
              </w:rPr>
              <w:br/>
              <w:t>Demandes : 2990</w:t>
            </w:r>
          </w:p>
          <w:p w:rsidR="006E2BB1" w:rsidRPr="00C258AD" w:rsidRDefault="00141952" w:rsidP="00141952">
            <w:pPr>
              <w:rPr>
                <w:i/>
                <w:color w:val="002060"/>
                <w:sz w:val="16"/>
                <w:szCs w:val="16"/>
              </w:rPr>
            </w:pPr>
            <w:r w:rsidRPr="00C258AD">
              <w:rPr>
                <w:i/>
                <w:color w:val="002060"/>
                <w:sz w:val="16"/>
              </w:rPr>
              <w:t>Dessins et modèles industriels contenus : 13 172</w:t>
            </w:r>
          </w:p>
          <w:p w:rsidR="006E2BB1" w:rsidRPr="00C258AD" w:rsidRDefault="00141952" w:rsidP="00141952">
            <w:pPr>
              <w:rPr>
                <w:i/>
                <w:color w:val="002060"/>
                <w:sz w:val="16"/>
                <w:szCs w:val="16"/>
              </w:rPr>
            </w:pPr>
            <w:r w:rsidRPr="00C258AD">
              <w:rPr>
                <w:i/>
                <w:color w:val="002060"/>
                <w:sz w:val="16"/>
              </w:rPr>
              <w:t>Renouvellements : 2859</w:t>
            </w:r>
          </w:p>
          <w:p w:rsidR="006E2BB1" w:rsidRPr="00C258AD" w:rsidRDefault="00141952" w:rsidP="00141952">
            <w:pPr>
              <w:rPr>
                <w:i/>
                <w:sz w:val="16"/>
                <w:szCs w:val="16"/>
              </w:rPr>
            </w:pPr>
            <w:r w:rsidRPr="00C258AD">
              <w:rPr>
                <w:i/>
                <w:color w:val="002060"/>
                <w:sz w:val="16"/>
              </w:rPr>
              <w:t>(2013)</w:t>
            </w:r>
          </w:p>
          <w:p w:rsidR="006E2BB1" w:rsidRPr="00C258AD" w:rsidRDefault="006E2BB1" w:rsidP="00141952">
            <w:pPr>
              <w:rPr>
                <w:i/>
                <w:sz w:val="16"/>
                <w:szCs w:val="16"/>
              </w:rPr>
            </w:pPr>
          </w:p>
          <w:p w:rsidR="006E2BB1" w:rsidRPr="00C258AD" w:rsidRDefault="00141952" w:rsidP="00141952">
            <w:pPr>
              <w:rPr>
                <w:i/>
                <w:sz w:val="16"/>
              </w:rPr>
            </w:pPr>
            <w:r w:rsidRPr="00C258AD">
              <w:rPr>
                <w:i/>
                <w:sz w:val="16"/>
              </w:rPr>
              <w:t>Niveau de référence initial dans le programme et budget 2014</w:t>
            </w:r>
            <w:r w:rsidRPr="00C258AD">
              <w:rPr>
                <w:i/>
                <w:sz w:val="16"/>
              </w:rPr>
              <w:noBreakHyphen/>
              <w:t>2015 : Demandes : 2604</w:t>
            </w:r>
          </w:p>
          <w:p w:rsidR="006E2BB1" w:rsidRPr="00C258AD" w:rsidRDefault="00141952" w:rsidP="00141952">
            <w:pPr>
              <w:rPr>
                <w:i/>
                <w:sz w:val="16"/>
              </w:rPr>
            </w:pPr>
            <w:r w:rsidRPr="00C258AD">
              <w:rPr>
                <w:i/>
                <w:sz w:val="16"/>
              </w:rPr>
              <w:t>Dessins et modèles industriels contenus : 12 454</w:t>
            </w:r>
            <w:r w:rsidRPr="00C258AD">
              <w:rPr>
                <w:rStyle w:val="FootnoteReference"/>
                <w:rFonts w:eastAsia="SimSun"/>
                <w:i/>
                <w:sz w:val="16"/>
              </w:rPr>
              <w:footnoteReference w:id="37"/>
            </w:r>
          </w:p>
          <w:p w:rsidR="006E2BB1" w:rsidRPr="00C258AD" w:rsidRDefault="00141952" w:rsidP="00141952">
            <w:pPr>
              <w:rPr>
                <w:i/>
                <w:sz w:val="16"/>
              </w:rPr>
            </w:pPr>
            <w:r w:rsidRPr="00C258AD">
              <w:rPr>
                <w:i/>
                <w:sz w:val="16"/>
              </w:rPr>
              <w:t>Renouvellements : 3120</w:t>
            </w:r>
          </w:p>
          <w:p w:rsidR="00141952" w:rsidRPr="00C258AD" w:rsidRDefault="00141952" w:rsidP="00141952">
            <w:pPr>
              <w:rPr>
                <w:sz w:val="16"/>
                <w:szCs w:val="16"/>
              </w:rPr>
            </w:pPr>
            <w:r w:rsidRPr="00C258AD">
              <w:rPr>
                <w:i/>
                <w:sz w:val="16"/>
              </w:rPr>
              <w:t>(2012)</w:t>
            </w:r>
          </w:p>
        </w:tc>
        <w:tc>
          <w:tcPr>
            <w:tcW w:w="814" w:type="pct"/>
            <w:gridSpan w:val="2"/>
            <w:tcBorders>
              <w:top w:val="nil"/>
              <w:bottom w:val="single" w:sz="4" w:space="0" w:color="auto"/>
            </w:tcBorders>
            <w:shd w:val="clear" w:color="auto" w:fill="auto"/>
            <w:tcMar>
              <w:top w:w="110" w:type="dxa"/>
            </w:tcMar>
          </w:tcPr>
          <w:p w:rsidR="006E2BB1" w:rsidRPr="00C258AD" w:rsidRDefault="00141952" w:rsidP="00141952">
            <w:pPr>
              <w:rPr>
                <w:sz w:val="16"/>
              </w:rPr>
            </w:pPr>
            <w:r w:rsidRPr="00C258AD">
              <w:rPr>
                <w:sz w:val="16"/>
              </w:rPr>
              <w:t>2014</w:t>
            </w:r>
            <w:r w:rsidRPr="00C258AD">
              <w:rPr>
                <w:rStyle w:val="FootnoteReference"/>
                <w:rFonts w:eastAsia="SimSun"/>
                <w:sz w:val="16"/>
              </w:rPr>
              <w:footnoteReference w:id="38"/>
            </w:r>
            <w:r w:rsidRPr="00C258AD">
              <w:rPr>
                <w:sz w:val="16"/>
              </w:rPr>
              <w:t> :</w:t>
            </w:r>
          </w:p>
          <w:p w:rsidR="006E2BB1" w:rsidRPr="00C258AD" w:rsidRDefault="00141952" w:rsidP="00141952">
            <w:pPr>
              <w:rPr>
                <w:sz w:val="16"/>
              </w:rPr>
            </w:pPr>
            <w:proofErr w:type="gramStart"/>
            <w:r w:rsidRPr="00C258AD">
              <w:rPr>
                <w:sz w:val="16"/>
              </w:rPr>
              <w:t>Demandes</w:t>
            </w:r>
            <w:proofErr w:type="gramEnd"/>
            <w:r w:rsidRPr="00C258AD">
              <w:rPr>
                <w:sz w:val="16"/>
              </w:rPr>
              <w:t> :</w:t>
            </w:r>
          </w:p>
          <w:p w:rsidR="006E2BB1" w:rsidRPr="00C258AD" w:rsidRDefault="00141952" w:rsidP="00141952">
            <w:pPr>
              <w:rPr>
                <w:sz w:val="16"/>
              </w:rPr>
            </w:pPr>
            <w:r w:rsidRPr="00C258AD">
              <w:rPr>
                <w:sz w:val="16"/>
              </w:rPr>
              <w:t>augmentation de 33,9%</w:t>
            </w:r>
          </w:p>
          <w:p w:rsidR="006E2BB1" w:rsidRPr="00C258AD" w:rsidRDefault="006E2BB1" w:rsidP="00141952">
            <w:pPr>
              <w:rPr>
                <w:sz w:val="16"/>
              </w:rPr>
            </w:pPr>
          </w:p>
          <w:p w:rsidR="006E2BB1" w:rsidRPr="00C258AD" w:rsidRDefault="00141952" w:rsidP="00141952">
            <w:pPr>
              <w:rPr>
                <w:sz w:val="16"/>
              </w:rPr>
            </w:pPr>
            <w:r w:rsidRPr="00C258AD">
              <w:rPr>
                <w:sz w:val="16"/>
              </w:rPr>
              <w:t>Dessins et modèles industriels contenus : augmentation de 33,9%</w:t>
            </w:r>
          </w:p>
          <w:p w:rsidR="006E2BB1" w:rsidRPr="00C258AD" w:rsidRDefault="006E2BB1" w:rsidP="00141952">
            <w:pPr>
              <w:rPr>
                <w:sz w:val="16"/>
              </w:rPr>
            </w:pPr>
          </w:p>
          <w:p w:rsidR="006E2BB1" w:rsidRPr="00C258AD" w:rsidRDefault="00141952" w:rsidP="00141952">
            <w:pPr>
              <w:rPr>
                <w:sz w:val="16"/>
                <w:szCs w:val="16"/>
              </w:rPr>
            </w:pPr>
            <w:r w:rsidRPr="00C258AD">
              <w:rPr>
                <w:sz w:val="16"/>
              </w:rPr>
              <w:t>Renouvellements :</w:t>
            </w:r>
          </w:p>
          <w:p w:rsidR="006E2BB1" w:rsidRPr="00C258AD" w:rsidRDefault="00141952" w:rsidP="00141952">
            <w:pPr>
              <w:rPr>
                <w:sz w:val="16"/>
              </w:rPr>
            </w:pPr>
            <w:r w:rsidRPr="00C258AD">
              <w:rPr>
                <w:sz w:val="16"/>
              </w:rPr>
              <w:t>baisse de 2,9%</w:t>
            </w:r>
          </w:p>
          <w:p w:rsidR="006E2BB1" w:rsidRPr="00C258AD" w:rsidRDefault="006E2BB1" w:rsidP="00141952">
            <w:pPr>
              <w:rPr>
                <w:sz w:val="16"/>
                <w:szCs w:val="16"/>
              </w:rPr>
            </w:pPr>
          </w:p>
          <w:p w:rsidR="006E2BB1" w:rsidRPr="00C258AD" w:rsidRDefault="00141952" w:rsidP="00141952">
            <w:pPr>
              <w:rPr>
                <w:sz w:val="16"/>
              </w:rPr>
            </w:pPr>
            <w:r w:rsidRPr="00C258AD">
              <w:rPr>
                <w:sz w:val="16"/>
              </w:rPr>
              <w:t>2015 :</w:t>
            </w:r>
          </w:p>
          <w:p w:rsidR="006E2BB1" w:rsidRPr="00C258AD" w:rsidRDefault="00141952" w:rsidP="00141952">
            <w:pPr>
              <w:rPr>
                <w:sz w:val="16"/>
              </w:rPr>
            </w:pPr>
            <w:proofErr w:type="gramStart"/>
            <w:r w:rsidRPr="00C258AD">
              <w:rPr>
                <w:sz w:val="16"/>
              </w:rPr>
              <w:t>Demandes</w:t>
            </w:r>
            <w:proofErr w:type="gramEnd"/>
            <w:r w:rsidRPr="00C258AD">
              <w:rPr>
                <w:sz w:val="16"/>
              </w:rPr>
              <w:t> :</w:t>
            </w:r>
          </w:p>
          <w:p w:rsidR="006E2BB1" w:rsidRPr="00C258AD" w:rsidRDefault="00141952" w:rsidP="00141952">
            <w:pPr>
              <w:rPr>
                <w:sz w:val="16"/>
              </w:rPr>
            </w:pPr>
            <w:r w:rsidRPr="00C258AD">
              <w:rPr>
                <w:sz w:val="16"/>
              </w:rPr>
              <w:t xml:space="preserve">augmentation de 23,4% </w:t>
            </w:r>
          </w:p>
          <w:p w:rsidR="006E2BB1" w:rsidRPr="00C258AD" w:rsidRDefault="006E2BB1" w:rsidP="00141952">
            <w:pPr>
              <w:rPr>
                <w:sz w:val="16"/>
              </w:rPr>
            </w:pPr>
          </w:p>
          <w:p w:rsidR="006E2BB1" w:rsidRPr="00C258AD" w:rsidRDefault="00141952" w:rsidP="00141952">
            <w:pPr>
              <w:rPr>
                <w:sz w:val="16"/>
              </w:rPr>
            </w:pPr>
            <w:r w:rsidRPr="00C258AD">
              <w:rPr>
                <w:sz w:val="16"/>
              </w:rPr>
              <w:t xml:space="preserve">Dessins et modèles industriels contenus : augmentation de 23,5% </w:t>
            </w:r>
          </w:p>
          <w:p w:rsidR="006E2BB1" w:rsidRPr="00C258AD" w:rsidRDefault="006E2BB1" w:rsidP="00141952">
            <w:pPr>
              <w:rPr>
                <w:sz w:val="16"/>
              </w:rPr>
            </w:pPr>
          </w:p>
          <w:p w:rsidR="006E2BB1" w:rsidRPr="00C258AD" w:rsidRDefault="00141952" w:rsidP="00141952">
            <w:pPr>
              <w:rPr>
                <w:sz w:val="16"/>
                <w:szCs w:val="16"/>
              </w:rPr>
            </w:pPr>
            <w:r w:rsidRPr="00C258AD">
              <w:rPr>
                <w:sz w:val="16"/>
              </w:rPr>
              <w:t>Renouvellements :</w:t>
            </w:r>
          </w:p>
          <w:p w:rsidR="00141952" w:rsidRPr="00C258AD" w:rsidRDefault="00141952" w:rsidP="00141952">
            <w:pPr>
              <w:rPr>
                <w:sz w:val="16"/>
                <w:szCs w:val="16"/>
              </w:rPr>
            </w:pPr>
            <w:r w:rsidRPr="00C258AD">
              <w:rPr>
                <w:sz w:val="16"/>
              </w:rPr>
              <w:t>augmentation de 5,5%</w:t>
            </w:r>
          </w:p>
        </w:tc>
        <w:tc>
          <w:tcPr>
            <w:tcW w:w="1238" w:type="pct"/>
            <w:gridSpan w:val="3"/>
            <w:tcBorders>
              <w:top w:val="nil"/>
              <w:bottom w:val="single" w:sz="4" w:space="0" w:color="auto"/>
            </w:tcBorders>
            <w:shd w:val="clear" w:color="auto" w:fill="FFFFFF"/>
            <w:tcMar>
              <w:top w:w="110" w:type="dxa"/>
            </w:tcMar>
          </w:tcPr>
          <w:p w:rsidR="006E2BB1" w:rsidRPr="00C258AD" w:rsidRDefault="00141952" w:rsidP="00141952">
            <w:pPr>
              <w:rPr>
                <w:sz w:val="16"/>
                <w:szCs w:val="16"/>
                <w:lang w:bidi="th-TH"/>
              </w:rPr>
            </w:pPr>
            <w:r w:rsidRPr="00C258AD">
              <w:rPr>
                <w:sz w:val="16"/>
              </w:rPr>
              <w:t>2014 :</w:t>
            </w:r>
          </w:p>
          <w:p w:rsidR="006E2BB1" w:rsidRPr="00C258AD" w:rsidRDefault="00141952" w:rsidP="00141952">
            <w:pPr>
              <w:rPr>
                <w:sz w:val="16"/>
                <w:szCs w:val="16"/>
                <w:lang w:bidi="th-TH"/>
              </w:rPr>
            </w:pPr>
            <w:proofErr w:type="gramStart"/>
            <w:r w:rsidRPr="00C258AD">
              <w:rPr>
                <w:sz w:val="16"/>
              </w:rPr>
              <w:t>Demandes</w:t>
            </w:r>
            <w:proofErr w:type="gramEnd"/>
            <w:r w:rsidRPr="00C258AD">
              <w:rPr>
                <w:sz w:val="16"/>
              </w:rPr>
              <w:t> :</w:t>
            </w:r>
          </w:p>
          <w:p w:rsidR="006E2BB1" w:rsidRPr="00C258AD" w:rsidRDefault="00141952" w:rsidP="00141952">
            <w:pPr>
              <w:rPr>
                <w:sz w:val="16"/>
                <w:szCs w:val="16"/>
                <w:lang w:bidi="th-TH"/>
              </w:rPr>
            </w:pPr>
            <w:r w:rsidRPr="00C258AD">
              <w:rPr>
                <w:sz w:val="16"/>
              </w:rPr>
              <w:t>baisse de 2,2% (2924)</w:t>
            </w:r>
          </w:p>
          <w:p w:rsidR="006E2BB1" w:rsidRPr="00C258AD" w:rsidRDefault="006E2BB1" w:rsidP="00141952">
            <w:pPr>
              <w:rPr>
                <w:sz w:val="16"/>
                <w:szCs w:val="16"/>
                <w:lang w:bidi="th-TH"/>
              </w:rPr>
            </w:pPr>
          </w:p>
          <w:p w:rsidR="006E2BB1" w:rsidRPr="00C258AD" w:rsidRDefault="006E2BB1" w:rsidP="00141952">
            <w:pPr>
              <w:rPr>
                <w:sz w:val="16"/>
                <w:szCs w:val="16"/>
                <w:lang w:bidi="th-TH"/>
              </w:rPr>
            </w:pPr>
          </w:p>
          <w:p w:rsidR="006E2BB1" w:rsidRPr="00C258AD" w:rsidRDefault="00141952" w:rsidP="00141952">
            <w:pPr>
              <w:rPr>
                <w:sz w:val="16"/>
                <w:szCs w:val="16"/>
                <w:lang w:bidi="th-TH"/>
              </w:rPr>
            </w:pPr>
            <w:r w:rsidRPr="00C258AD">
              <w:rPr>
                <w:sz w:val="16"/>
              </w:rPr>
              <w:t>Dessins et modèles industriels contenus :</w:t>
            </w:r>
          </w:p>
          <w:p w:rsidR="006E2BB1" w:rsidRPr="00C258AD" w:rsidRDefault="00141952" w:rsidP="00141952">
            <w:pPr>
              <w:rPr>
                <w:sz w:val="16"/>
                <w:szCs w:val="16"/>
                <w:lang w:bidi="th-TH"/>
              </w:rPr>
            </w:pPr>
            <w:r w:rsidRPr="00C258AD">
              <w:rPr>
                <w:sz w:val="16"/>
              </w:rPr>
              <w:t>augmentation de 9,6% (14 441)</w:t>
            </w:r>
          </w:p>
          <w:p w:rsidR="006E2BB1" w:rsidRPr="00C258AD" w:rsidRDefault="006E2BB1" w:rsidP="00141952">
            <w:pPr>
              <w:rPr>
                <w:sz w:val="16"/>
                <w:szCs w:val="16"/>
                <w:lang w:bidi="th-TH"/>
              </w:rPr>
            </w:pPr>
          </w:p>
          <w:p w:rsidR="006E2BB1" w:rsidRPr="00C258AD" w:rsidRDefault="006E2BB1" w:rsidP="00141952">
            <w:pPr>
              <w:rPr>
                <w:sz w:val="16"/>
                <w:szCs w:val="16"/>
                <w:lang w:bidi="th-TH"/>
              </w:rPr>
            </w:pPr>
          </w:p>
          <w:p w:rsidR="006E2BB1" w:rsidRPr="00C258AD" w:rsidRDefault="00141952" w:rsidP="00141952">
            <w:pPr>
              <w:rPr>
                <w:sz w:val="16"/>
                <w:szCs w:val="16"/>
                <w:lang w:bidi="th-TH"/>
              </w:rPr>
            </w:pPr>
            <w:r w:rsidRPr="00C258AD">
              <w:rPr>
                <w:sz w:val="16"/>
              </w:rPr>
              <w:t>Renouvellements :</w:t>
            </w:r>
          </w:p>
          <w:p w:rsidR="006E2BB1" w:rsidRPr="00C258AD" w:rsidRDefault="00141952" w:rsidP="00141952">
            <w:pPr>
              <w:rPr>
                <w:sz w:val="16"/>
              </w:rPr>
            </w:pPr>
            <w:r w:rsidRPr="00C258AD">
              <w:rPr>
                <w:sz w:val="16"/>
              </w:rPr>
              <w:t>baisse de 5,5% (2703)</w:t>
            </w:r>
          </w:p>
          <w:p w:rsidR="006E2BB1" w:rsidRPr="00C258AD" w:rsidRDefault="006E2BB1" w:rsidP="00141952">
            <w:pPr>
              <w:rPr>
                <w:sz w:val="16"/>
              </w:rPr>
            </w:pPr>
          </w:p>
          <w:p w:rsidR="006E2BB1" w:rsidRPr="00C258AD" w:rsidRDefault="00141952" w:rsidP="00141952">
            <w:pPr>
              <w:rPr>
                <w:rFonts w:cs="Arial"/>
                <w:sz w:val="16"/>
                <w:szCs w:val="16"/>
              </w:rPr>
            </w:pPr>
            <w:r w:rsidRPr="00C258AD">
              <w:rPr>
                <w:rFonts w:cs="Arial"/>
                <w:sz w:val="16"/>
                <w:szCs w:val="16"/>
              </w:rPr>
              <w:t>2015</w:t>
            </w:r>
            <w:r w:rsidRPr="00C258AD">
              <w:rPr>
                <w:rStyle w:val="FootnoteReference"/>
                <w:rFonts w:eastAsia="SimSun"/>
                <w:sz w:val="16"/>
                <w:szCs w:val="16"/>
              </w:rPr>
              <w:footnoteReference w:id="39"/>
            </w:r>
            <w:r w:rsidRPr="00C258AD">
              <w:rPr>
                <w:rFonts w:cs="Arial"/>
                <w:sz w:val="16"/>
                <w:szCs w:val="16"/>
              </w:rPr>
              <w:t> :</w:t>
            </w:r>
          </w:p>
          <w:p w:rsidR="006E2BB1" w:rsidRPr="00C258AD" w:rsidRDefault="00141952" w:rsidP="00141952">
            <w:pPr>
              <w:rPr>
                <w:rFonts w:cs="Arial"/>
                <w:sz w:val="16"/>
                <w:szCs w:val="16"/>
              </w:rPr>
            </w:pPr>
            <w:proofErr w:type="gramStart"/>
            <w:r w:rsidRPr="00C258AD">
              <w:rPr>
                <w:rFonts w:cs="Arial"/>
                <w:sz w:val="16"/>
                <w:szCs w:val="16"/>
              </w:rPr>
              <w:t>Demandes</w:t>
            </w:r>
            <w:proofErr w:type="gramEnd"/>
            <w:r w:rsidRPr="00C258AD">
              <w:rPr>
                <w:rFonts w:cs="Arial"/>
                <w:sz w:val="16"/>
                <w:szCs w:val="16"/>
              </w:rPr>
              <w:t> :</w:t>
            </w:r>
          </w:p>
          <w:p w:rsidR="006E2BB1" w:rsidRPr="00C258AD" w:rsidRDefault="00141952" w:rsidP="00141952">
            <w:pPr>
              <w:rPr>
                <w:rFonts w:cs="Arial"/>
                <w:sz w:val="16"/>
                <w:szCs w:val="16"/>
              </w:rPr>
            </w:pPr>
            <w:r w:rsidRPr="00C258AD">
              <w:rPr>
                <w:sz w:val="16"/>
              </w:rPr>
              <w:t xml:space="preserve">augmentation </w:t>
            </w:r>
            <w:r w:rsidRPr="00C258AD">
              <w:rPr>
                <w:rFonts w:cs="Arial"/>
                <w:sz w:val="16"/>
                <w:szCs w:val="16"/>
              </w:rPr>
              <w:t>de 2,7% par rapport à l’objectif de 2014 (4111)</w:t>
            </w:r>
          </w:p>
          <w:p w:rsidR="006E2BB1" w:rsidRPr="00C258AD" w:rsidRDefault="006E2BB1" w:rsidP="00141952">
            <w:pPr>
              <w:rPr>
                <w:rFonts w:cs="Arial"/>
                <w:sz w:val="16"/>
                <w:szCs w:val="16"/>
              </w:rPr>
            </w:pPr>
          </w:p>
          <w:p w:rsidR="006E2BB1" w:rsidRPr="00C258AD" w:rsidRDefault="00141952" w:rsidP="00141952">
            <w:pPr>
              <w:rPr>
                <w:rFonts w:cs="Arial"/>
                <w:sz w:val="16"/>
                <w:szCs w:val="16"/>
              </w:rPr>
            </w:pPr>
            <w:r w:rsidRPr="00C258AD">
              <w:rPr>
                <w:rFonts w:cs="Arial"/>
                <w:sz w:val="16"/>
                <w:szCs w:val="16"/>
              </w:rPr>
              <w:t>Dessins et modèles industriels contenus :</w:t>
            </w:r>
          </w:p>
          <w:p w:rsidR="006E2BB1" w:rsidRPr="00C258AD" w:rsidRDefault="00141952" w:rsidP="00141952">
            <w:pPr>
              <w:rPr>
                <w:rFonts w:cs="Arial"/>
                <w:sz w:val="16"/>
                <w:szCs w:val="16"/>
              </w:rPr>
            </w:pPr>
            <w:r w:rsidRPr="00C258AD">
              <w:rPr>
                <w:rFonts w:cs="Arial"/>
                <w:sz w:val="16"/>
                <w:szCs w:val="16"/>
              </w:rPr>
              <w:t>baisse de 6,2% par rapport à l’objectif de 2014 (16 435)</w:t>
            </w:r>
          </w:p>
          <w:p w:rsidR="006E2BB1" w:rsidRPr="00C258AD" w:rsidRDefault="006E2BB1" w:rsidP="00141952">
            <w:pPr>
              <w:rPr>
                <w:rFonts w:cs="Arial"/>
                <w:sz w:val="16"/>
                <w:szCs w:val="16"/>
              </w:rPr>
            </w:pPr>
          </w:p>
          <w:p w:rsidR="006E2BB1" w:rsidRPr="00C258AD" w:rsidRDefault="00141952" w:rsidP="00141952">
            <w:pPr>
              <w:rPr>
                <w:rFonts w:cs="Arial"/>
                <w:sz w:val="16"/>
                <w:szCs w:val="16"/>
              </w:rPr>
            </w:pPr>
            <w:r w:rsidRPr="00C258AD">
              <w:rPr>
                <w:rFonts w:cs="Arial"/>
                <w:sz w:val="16"/>
                <w:szCs w:val="16"/>
              </w:rPr>
              <w:t>Renouvellements :</w:t>
            </w:r>
          </w:p>
          <w:p w:rsidR="00141952" w:rsidRPr="00C258AD" w:rsidRDefault="00141952" w:rsidP="00141952">
            <w:pPr>
              <w:rPr>
                <w:sz w:val="16"/>
                <w:szCs w:val="16"/>
              </w:rPr>
            </w:pPr>
            <w:r w:rsidRPr="00C258AD">
              <w:rPr>
                <w:sz w:val="16"/>
              </w:rPr>
              <w:t xml:space="preserve">augmentation de </w:t>
            </w:r>
            <w:r w:rsidRPr="00C258AD">
              <w:rPr>
                <w:rFonts w:cs="Arial"/>
                <w:sz w:val="16"/>
                <w:szCs w:val="16"/>
              </w:rPr>
              <w:t>8,57% par rapport à l’objectif de 2014 (3194)</w:t>
            </w:r>
          </w:p>
        </w:tc>
        <w:tc>
          <w:tcPr>
            <w:tcW w:w="622" w:type="pct"/>
            <w:tcBorders>
              <w:top w:val="nil"/>
              <w:bottom w:val="single" w:sz="4" w:space="0" w:color="auto"/>
              <w:right w:val="single" w:sz="4" w:space="0" w:color="auto"/>
            </w:tcBorders>
            <w:shd w:val="clear" w:color="auto" w:fill="auto"/>
            <w:tcMar>
              <w:top w:w="110" w:type="dxa"/>
            </w:tcMar>
          </w:tcPr>
          <w:p w:rsidR="006E2BB1" w:rsidRPr="00C258AD" w:rsidRDefault="00141952" w:rsidP="00141952">
            <w:pPr>
              <w:keepNext/>
              <w:keepLines/>
              <w:jc w:val="center"/>
              <w:rPr>
                <w:rFonts w:cs="Arial"/>
                <w:b/>
                <w:color w:val="FF0000"/>
                <w:sz w:val="16"/>
                <w:szCs w:val="16"/>
              </w:rPr>
            </w:pPr>
            <w:r w:rsidRPr="00C258AD">
              <w:rPr>
                <w:rFonts w:cs="Arial"/>
                <w:b/>
                <w:color w:val="FF0000"/>
                <w:sz w:val="16"/>
                <w:szCs w:val="16"/>
              </w:rPr>
              <w:t>Objectif pas atteint</w:t>
            </w:r>
          </w:p>
          <w:p w:rsidR="006E2BB1" w:rsidRPr="00C258AD" w:rsidRDefault="006E2BB1" w:rsidP="00141952">
            <w:pPr>
              <w:keepNext/>
              <w:keepLines/>
              <w:jc w:val="center"/>
              <w:rPr>
                <w:rFonts w:cs="Arial"/>
                <w:b/>
                <w:color w:val="FF0000"/>
                <w:sz w:val="16"/>
                <w:szCs w:val="16"/>
              </w:rPr>
            </w:pPr>
          </w:p>
          <w:p w:rsidR="006E2BB1" w:rsidRPr="00C258AD" w:rsidRDefault="006E2BB1" w:rsidP="00141952">
            <w:pPr>
              <w:keepNext/>
              <w:keepLines/>
              <w:jc w:val="center"/>
              <w:rPr>
                <w:b/>
                <w:color w:val="FF0000"/>
                <w:sz w:val="16"/>
              </w:rPr>
            </w:pPr>
          </w:p>
          <w:p w:rsidR="006E2BB1" w:rsidRPr="00C258AD" w:rsidRDefault="006E2BB1" w:rsidP="00141952">
            <w:pPr>
              <w:keepNext/>
              <w:keepLines/>
              <w:jc w:val="center"/>
              <w:rPr>
                <w:b/>
                <w:color w:val="FF0000"/>
                <w:sz w:val="16"/>
              </w:rPr>
            </w:pPr>
          </w:p>
          <w:p w:rsidR="006E2BB1" w:rsidRPr="00C258AD" w:rsidRDefault="00141952" w:rsidP="00141952">
            <w:pPr>
              <w:keepNext/>
              <w:keepLines/>
              <w:jc w:val="center"/>
              <w:rPr>
                <w:rFonts w:cs="Arial"/>
                <w:b/>
                <w:color w:val="FF0000"/>
                <w:sz w:val="16"/>
                <w:szCs w:val="16"/>
              </w:rPr>
            </w:pPr>
            <w:r w:rsidRPr="00C258AD">
              <w:rPr>
                <w:rFonts w:cs="Arial"/>
                <w:b/>
                <w:color w:val="FF0000"/>
                <w:sz w:val="16"/>
                <w:szCs w:val="16"/>
              </w:rPr>
              <w:t>Objectif pas atteint</w:t>
            </w:r>
          </w:p>
          <w:p w:rsidR="006E2BB1" w:rsidRPr="00C258AD" w:rsidRDefault="006E2BB1" w:rsidP="00141952">
            <w:pPr>
              <w:keepNext/>
              <w:keepLines/>
              <w:jc w:val="center"/>
              <w:rPr>
                <w:rFonts w:cs="Arial"/>
                <w:b/>
                <w:color w:val="FF0000"/>
                <w:sz w:val="16"/>
                <w:szCs w:val="16"/>
              </w:rPr>
            </w:pPr>
          </w:p>
          <w:p w:rsidR="006E2BB1" w:rsidRPr="00C258AD" w:rsidRDefault="006E2BB1" w:rsidP="00141952">
            <w:pPr>
              <w:keepNext/>
              <w:keepLines/>
              <w:jc w:val="center"/>
              <w:rPr>
                <w:rFonts w:cs="Arial"/>
                <w:b/>
                <w:color w:val="FF0000"/>
                <w:sz w:val="16"/>
                <w:szCs w:val="16"/>
              </w:rPr>
            </w:pPr>
          </w:p>
          <w:p w:rsidR="006E2BB1" w:rsidRPr="00C258AD" w:rsidRDefault="006E2BB1" w:rsidP="00141952">
            <w:pPr>
              <w:keepNext/>
              <w:keepLines/>
              <w:jc w:val="center"/>
              <w:rPr>
                <w:b/>
                <w:color w:val="FF0000"/>
                <w:sz w:val="16"/>
              </w:rPr>
            </w:pPr>
          </w:p>
          <w:p w:rsidR="006E2BB1" w:rsidRPr="00C258AD" w:rsidRDefault="006E2BB1" w:rsidP="00141952">
            <w:pPr>
              <w:keepNext/>
              <w:keepLines/>
              <w:jc w:val="center"/>
              <w:rPr>
                <w:b/>
                <w:color w:val="FF0000"/>
                <w:sz w:val="16"/>
              </w:rPr>
            </w:pPr>
          </w:p>
          <w:p w:rsidR="006E2BB1" w:rsidRPr="00C258AD" w:rsidRDefault="00141952" w:rsidP="00141952">
            <w:pPr>
              <w:keepNext/>
              <w:keepLines/>
              <w:jc w:val="center"/>
              <w:rPr>
                <w:b/>
                <w:bCs/>
                <w:color w:val="808080"/>
                <w:sz w:val="16"/>
                <w:szCs w:val="16"/>
              </w:rPr>
            </w:pPr>
            <w:r w:rsidRPr="00C258AD">
              <w:rPr>
                <w:b/>
                <w:bCs/>
                <w:color w:val="E26B0A"/>
                <w:sz w:val="16"/>
                <w:szCs w:val="16"/>
              </w:rPr>
              <w:t>Objectif partiellement atteint</w:t>
            </w:r>
          </w:p>
          <w:p w:rsidR="006E2BB1" w:rsidRPr="00C258AD" w:rsidRDefault="006E2BB1" w:rsidP="00141952">
            <w:pPr>
              <w:keepNext/>
              <w:keepLines/>
              <w:jc w:val="center"/>
              <w:rPr>
                <w:rFonts w:cs="Arial"/>
                <w:b/>
                <w:bCs/>
                <w:color w:val="FF0000"/>
                <w:sz w:val="16"/>
                <w:szCs w:val="16"/>
              </w:rPr>
            </w:pPr>
          </w:p>
          <w:p w:rsidR="006E2BB1" w:rsidRPr="00C258AD" w:rsidRDefault="00141952" w:rsidP="00141952">
            <w:pPr>
              <w:keepNext/>
              <w:keepLines/>
              <w:jc w:val="center"/>
              <w:rPr>
                <w:rFonts w:cs="Arial"/>
                <w:b/>
                <w:bCs/>
                <w:color w:val="FF0000"/>
                <w:sz w:val="16"/>
                <w:szCs w:val="16"/>
              </w:rPr>
            </w:pPr>
            <w:r w:rsidRPr="00C258AD">
              <w:rPr>
                <w:rFonts w:cs="Arial"/>
                <w:b/>
                <w:bCs/>
                <w:color w:val="FF0000"/>
                <w:sz w:val="16"/>
                <w:szCs w:val="16"/>
              </w:rPr>
              <w:t>Objectif pas atteint</w:t>
            </w:r>
          </w:p>
          <w:p w:rsidR="006E2BB1" w:rsidRPr="00C258AD" w:rsidRDefault="006E2BB1" w:rsidP="00141952">
            <w:pPr>
              <w:keepNext/>
              <w:keepLines/>
              <w:jc w:val="center"/>
              <w:rPr>
                <w:rFonts w:cs="Arial"/>
                <w:b/>
                <w:bCs/>
                <w:color w:val="FF0000"/>
                <w:sz w:val="16"/>
                <w:szCs w:val="16"/>
              </w:rPr>
            </w:pPr>
          </w:p>
          <w:p w:rsidR="006E2BB1" w:rsidRPr="00C258AD" w:rsidRDefault="006E2BB1" w:rsidP="00141952">
            <w:pPr>
              <w:keepNext/>
              <w:keepLines/>
              <w:jc w:val="center"/>
              <w:rPr>
                <w:rFonts w:cs="Arial"/>
                <w:b/>
                <w:bCs/>
                <w:color w:val="FF0000"/>
                <w:sz w:val="16"/>
                <w:szCs w:val="16"/>
              </w:rPr>
            </w:pPr>
          </w:p>
          <w:p w:rsidR="006E2BB1" w:rsidRPr="00C258AD" w:rsidRDefault="006E2BB1" w:rsidP="00141952">
            <w:pPr>
              <w:keepNext/>
              <w:keepLines/>
              <w:jc w:val="center"/>
              <w:rPr>
                <w:b/>
                <w:bCs/>
                <w:color w:val="808080"/>
                <w:sz w:val="16"/>
                <w:szCs w:val="16"/>
              </w:rPr>
            </w:pPr>
          </w:p>
          <w:p w:rsidR="006E2BB1" w:rsidRPr="00C258AD" w:rsidRDefault="00141952" w:rsidP="00141952">
            <w:pPr>
              <w:keepNext/>
              <w:keepLines/>
              <w:jc w:val="center"/>
              <w:rPr>
                <w:rFonts w:cs="Arial"/>
                <w:b/>
                <w:bCs/>
                <w:color w:val="FF0000"/>
                <w:sz w:val="16"/>
                <w:szCs w:val="16"/>
              </w:rPr>
            </w:pPr>
            <w:r w:rsidRPr="00C258AD">
              <w:rPr>
                <w:rFonts w:cs="Arial"/>
                <w:b/>
                <w:bCs/>
                <w:color w:val="FF0000"/>
                <w:sz w:val="16"/>
                <w:szCs w:val="16"/>
              </w:rPr>
              <w:t>Objectif pas atteint</w:t>
            </w:r>
          </w:p>
          <w:p w:rsidR="006E2BB1" w:rsidRPr="00C258AD" w:rsidRDefault="006E2BB1" w:rsidP="00141952">
            <w:pPr>
              <w:keepNext/>
              <w:keepLines/>
              <w:jc w:val="center"/>
              <w:rPr>
                <w:rFonts w:cs="Arial"/>
                <w:b/>
                <w:bCs/>
                <w:color w:val="FF0000"/>
                <w:sz w:val="16"/>
                <w:szCs w:val="16"/>
              </w:rPr>
            </w:pPr>
          </w:p>
          <w:p w:rsidR="006E2BB1" w:rsidRPr="00C258AD" w:rsidRDefault="006E2BB1" w:rsidP="00141952">
            <w:pPr>
              <w:keepNext/>
              <w:keepLines/>
              <w:jc w:val="center"/>
              <w:rPr>
                <w:b/>
                <w:bCs/>
                <w:color w:val="808080"/>
                <w:sz w:val="16"/>
                <w:szCs w:val="16"/>
              </w:rPr>
            </w:pPr>
          </w:p>
          <w:p w:rsidR="006E2BB1" w:rsidRPr="00C258AD" w:rsidRDefault="006E2BB1" w:rsidP="00141952">
            <w:pPr>
              <w:keepNext/>
              <w:keepLines/>
              <w:jc w:val="center"/>
              <w:rPr>
                <w:b/>
                <w:bCs/>
                <w:color w:val="808080"/>
                <w:sz w:val="16"/>
                <w:szCs w:val="16"/>
              </w:rPr>
            </w:pPr>
          </w:p>
          <w:p w:rsidR="00141952" w:rsidRPr="00C258AD" w:rsidRDefault="00141952" w:rsidP="00141952">
            <w:pPr>
              <w:keepNext/>
              <w:keepLines/>
              <w:jc w:val="center"/>
              <w:rPr>
                <w:b/>
                <w:bCs/>
                <w:color w:val="808080"/>
                <w:sz w:val="16"/>
                <w:szCs w:val="16"/>
              </w:rPr>
            </w:pPr>
            <w:r w:rsidRPr="00C258AD">
              <w:rPr>
                <w:rFonts w:cs="Arial"/>
                <w:b/>
                <w:bCs/>
                <w:color w:val="00B050"/>
                <w:sz w:val="16"/>
                <w:szCs w:val="16"/>
              </w:rPr>
              <w:t>Objectif pleinement atteint</w:t>
            </w:r>
          </w:p>
        </w:tc>
      </w:tr>
      <w:tr w:rsidR="00141952" w:rsidRPr="00C258AD" w:rsidTr="00141952">
        <w:trPr>
          <w:cantSplit/>
        </w:trPr>
        <w:tc>
          <w:tcPr>
            <w:tcW w:w="5000" w:type="pct"/>
            <w:gridSpan w:val="9"/>
            <w:tcBorders>
              <w:top w:val="single" w:sz="4" w:space="0" w:color="auto"/>
              <w:bottom w:val="single" w:sz="4" w:space="0" w:color="auto"/>
            </w:tcBorders>
            <w:shd w:val="clear" w:color="auto" w:fill="C5D9F1"/>
            <w:vAlign w:val="center"/>
          </w:tcPr>
          <w:p w:rsidR="00141952" w:rsidRPr="00C258AD" w:rsidRDefault="00141952" w:rsidP="00141952">
            <w:pPr>
              <w:keepNext/>
              <w:keepLines/>
              <w:rPr>
                <w:b/>
                <w:bCs/>
                <w:sz w:val="16"/>
                <w:szCs w:val="16"/>
              </w:rPr>
            </w:pPr>
            <w:r w:rsidRPr="00C258AD">
              <w:rPr>
                <w:b/>
                <w:sz w:val="16"/>
              </w:rPr>
              <w:lastRenderedPageBreak/>
              <w:t>Résultat escompté :</w:t>
            </w:r>
            <w:r w:rsidRPr="00C258AD">
              <w:rPr>
                <w:color w:val="000000"/>
                <w:sz w:val="16"/>
              </w:rPr>
              <w:t xml:space="preserve"> II.5 Amélioration de la productivité et de la qualité de service des opérations de La Haye</w:t>
            </w:r>
          </w:p>
        </w:tc>
      </w:tr>
      <w:tr w:rsidR="00141952" w:rsidRPr="00C258AD" w:rsidTr="00141952">
        <w:trPr>
          <w:cantSplit/>
        </w:trPr>
        <w:tc>
          <w:tcPr>
            <w:tcW w:w="1139" w:type="pct"/>
            <w:gridSpan w:val="2"/>
            <w:tcBorders>
              <w:top w:val="single" w:sz="4" w:space="0" w:color="auto"/>
            </w:tcBorders>
            <w:shd w:val="clear" w:color="auto" w:fill="auto"/>
            <w:vAlign w:val="center"/>
          </w:tcPr>
          <w:p w:rsidR="00141952" w:rsidRPr="00C258AD" w:rsidRDefault="00141952" w:rsidP="00141952">
            <w:pPr>
              <w:keepNext/>
              <w:jc w:val="center"/>
              <w:rPr>
                <w:sz w:val="16"/>
                <w:szCs w:val="16"/>
              </w:rPr>
            </w:pPr>
            <w:r w:rsidRPr="00C258AD">
              <w:rPr>
                <w:b/>
                <w:sz w:val="16"/>
              </w:rPr>
              <w:t>Indicateurs d’exécution</w:t>
            </w:r>
          </w:p>
        </w:tc>
        <w:tc>
          <w:tcPr>
            <w:tcW w:w="1216" w:type="pct"/>
            <w:gridSpan w:val="2"/>
            <w:tcBorders>
              <w:top w:val="single" w:sz="4" w:space="0" w:color="auto"/>
            </w:tcBorders>
            <w:shd w:val="clear" w:color="auto" w:fill="auto"/>
            <w:vAlign w:val="center"/>
          </w:tcPr>
          <w:p w:rsidR="00141952" w:rsidRPr="00C258AD" w:rsidRDefault="00141952" w:rsidP="00141952">
            <w:pPr>
              <w:keepNext/>
              <w:jc w:val="center"/>
              <w:rPr>
                <w:b/>
                <w:bCs/>
                <w:sz w:val="16"/>
                <w:szCs w:val="16"/>
              </w:rPr>
            </w:pPr>
            <w:r w:rsidRPr="00C258AD">
              <w:rPr>
                <w:b/>
                <w:sz w:val="16"/>
              </w:rPr>
              <w:t>Niveaux de référence</w:t>
            </w:r>
          </w:p>
        </w:tc>
        <w:tc>
          <w:tcPr>
            <w:tcW w:w="799" w:type="pct"/>
            <w:gridSpan w:val="2"/>
            <w:tcBorders>
              <w:top w:val="single" w:sz="4" w:space="0" w:color="auto"/>
            </w:tcBorders>
            <w:shd w:val="clear" w:color="auto" w:fill="auto"/>
            <w:tcMar>
              <w:top w:w="110" w:type="dxa"/>
            </w:tcMar>
            <w:vAlign w:val="center"/>
          </w:tcPr>
          <w:p w:rsidR="00141952" w:rsidRPr="00C258AD" w:rsidRDefault="00141952" w:rsidP="00141952">
            <w:pPr>
              <w:keepNext/>
              <w:jc w:val="center"/>
              <w:rPr>
                <w:b/>
                <w:sz w:val="16"/>
                <w:szCs w:val="16"/>
              </w:rPr>
            </w:pPr>
            <w:r w:rsidRPr="00C258AD">
              <w:rPr>
                <w:b/>
                <w:sz w:val="16"/>
              </w:rPr>
              <w:t>Objectifs visés</w:t>
            </w:r>
          </w:p>
        </w:tc>
        <w:tc>
          <w:tcPr>
            <w:tcW w:w="1225" w:type="pct"/>
            <w:gridSpan w:val="2"/>
            <w:tcBorders>
              <w:top w:val="single" w:sz="4" w:space="0" w:color="auto"/>
            </w:tcBorders>
            <w:shd w:val="clear" w:color="auto" w:fill="FFFFFF"/>
            <w:tcMar>
              <w:top w:w="110" w:type="dxa"/>
            </w:tcMar>
            <w:vAlign w:val="center"/>
          </w:tcPr>
          <w:p w:rsidR="00141952" w:rsidRPr="00C258AD" w:rsidRDefault="00141952" w:rsidP="00141952">
            <w:pPr>
              <w:keepNext/>
              <w:jc w:val="center"/>
              <w:rPr>
                <w:sz w:val="16"/>
                <w:szCs w:val="16"/>
              </w:rPr>
            </w:pPr>
            <w:r w:rsidRPr="00C258AD">
              <w:rPr>
                <w:b/>
                <w:sz w:val="16"/>
              </w:rPr>
              <w:t>Données relatives à l’exécution</w:t>
            </w:r>
          </w:p>
        </w:tc>
        <w:tc>
          <w:tcPr>
            <w:tcW w:w="622" w:type="pct"/>
            <w:tcBorders>
              <w:top w:val="single" w:sz="4" w:space="0" w:color="auto"/>
            </w:tcBorders>
            <w:shd w:val="clear" w:color="auto" w:fill="auto"/>
            <w:tcMar>
              <w:top w:w="110" w:type="dxa"/>
            </w:tcMar>
            <w:vAlign w:val="center"/>
          </w:tcPr>
          <w:p w:rsidR="00141952" w:rsidRPr="00C258AD" w:rsidRDefault="00141952" w:rsidP="00141952">
            <w:pPr>
              <w:keepNext/>
              <w:keepLines/>
              <w:jc w:val="center"/>
              <w:rPr>
                <w:b/>
                <w:bCs/>
                <w:sz w:val="16"/>
                <w:szCs w:val="16"/>
              </w:rPr>
            </w:pPr>
            <w:r w:rsidRPr="00C258AD">
              <w:rPr>
                <w:b/>
                <w:sz w:val="16"/>
              </w:rPr>
              <w:t>Code de couleurs</w:t>
            </w:r>
          </w:p>
        </w:tc>
      </w:tr>
      <w:tr w:rsidR="00141952" w:rsidRPr="00C258AD" w:rsidTr="00141952">
        <w:trPr>
          <w:cantSplit/>
        </w:trPr>
        <w:tc>
          <w:tcPr>
            <w:tcW w:w="1139" w:type="pct"/>
            <w:gridSpan w:val="2"/>
            <w:shd w:val="clear" w:color="auto" w:fill="auto"/>
          </w:tcPr>
          <w:p w:rsidR="00141952" w:rsidRPr="00C258AD" w:rsidRDefault="00141952" w:rsidP="00141952">
            <w:pPr>
              <w:rPr>
                <w:sz w:val="16"/>
                <w:szCs w:val="16"/>
              </w:rPr>
            </w:pPr>
            <w:r w:rsidRPr="00C258AD">
              <w:rPr>
                <w:sz w:val="16"/>
              </w:rPr>
              <w:t>Prédominance de l’Acte de Genève (1999) dans le système de La Haye</w:t>
            </w:r>
          </w:p>
        </w:tc>
        <w:tc>
          <w:tcPr>
            <w:tcW w:w="1216" w:type="pct"/>
            <w:gridSpan w:val="2"/>
            <w:shd w:val="clear" w:color="auto" w:fill="auto"/>
          </w:tcPr>
          <w:p w:rsidR="006E2BB1" w:rsidRPr="00C258AD" w:rsidRDefault="00141952" w:rsidP="00141952">
            <w:pPr>
              <w:rPr>
                <w:color w:val="002060"/>
                <w:sz w:val="16"/>
                <w:szCs w:val="16"/>
              </w:rPr>
            </w:pPr>
            <w:r w:rsidRPr="00C258AD">
              <w:rPr>
                <w:i/>
                <w:color w:val="002060"/>
                <w:sz w:val="16"/>
              </w:rPr>
              <w:t>Niveau de référence actualisé à fin 2013 : il fallait encore trois consentements pour l’extinction de l’Acte de 1934 et quatre parties contractantes en dehors de l’Union européenne et de l’OAPI restaient liées par l’Acte de 1960</w:t>
            </w:r>
          </w:p>
          <w:p w:rsidR="006E2BB1" w:rsidRPr="00C258AD" w:rsidRDefault="006E2BB1" w:rsidP="00141952">
            <w:pPr>
              <w:rPr>
                <w:color w:val="000000"/>
                <w:sz w:val="16"/>
                <w:szCs w:val="16"/>
              </w:rPr>
            </w:pPr>
          </w:p>
          <w:p w:rsidR="00141952" w:rsidRPr="00C258AD" w:rsidRDefault="00141952" w:rsidP="00141952">
            <w:pPr>
              <w:rPr>
                <w:color w:val="000000"/>
                <w:sz w:val="16"/>
                <w:szCs w:val="16"/>
              </w:rPr>
            </w:pPr>
            <w:r w:rsidRPr="00C258AD">
              <w:rPr>
                <w:i/>
                <w:sz w:val="16"/>
              </w:rPr>
              <w:t>Niveau de référence initial dans le programme et budget 2014</w:t>
            </w:r>
            <w:r w:rsidRPr="00C258AD">
              <w:rPr>
                <w:i/>
                <w:sz w:val="16"/>
              </w:rPr>
              <w:noBreakHyphen/>
              <w:t xml:space="preserve">2015 : </w:t>
            </w:r>
            <w:r w:rsidRPr="00C258AD">
              <w:rPr>
                <w:i/>
                <w:color w:val="000000"/>
                <w:sz w:val="16"/>
              </w:rPr>
              <w:t>15 parties à l’Arrangement de La Haye ne sont toujours pas liées par l’Acte de Genève (1999);  cinq consentements à l’extinction de l’Acte de 1934 en attente (fin 2012)</w:t>
            </w:r>
          </w:p>
        </w:tc>
        <w:tc>
          <w:tcPr>
            <w:tcW w:w="799" w:type="pct"/>
            <w:gridSpan w:val="2"/>
            <w:shd w:val="clear" w:color="auto" w:fill="auto"/>
            <w:tcMar>
              <w:top w:w="110" w:type="dxa"/>
            </w:tcMar>
          </w:tcPr>
          <w:p w:rsidR="00141952" w:rsidRPr="00C258AD" w:rsidRDefault="00141952" w:rsidP="00141952">
            <w:pPr>
              <w:rPr>
                <w:sz w:val="16"/>
                <w:szCs w:val="16"/>
                <w:lang w:bidi="th-TH"/>
              </w:rPr>
            </w:pPr>
            <w:r w:rsidRPr="00C258AD">
              <w:rPr>
                <w:sz w:val="16"/>
              </w:rPr>
              <w:t>Aucun pays lié par le seul Acte de La Haye (1960) en dehors de l’Union européenne ou de l’OAPI;  tous les autres consentements (cinq) à l’extinction de l’Acte de 1934 reçus</w:t>
            </w:r>
          </w:p>
        </w:tc>
        <w:tc>
          <w:tcPr>
            <w:tcW w:w="1225" w:type="pct"/>
            <w:gridSpan w:val="2"/>
            <w:shd w:val="clear" w:color="auto" w:fill="FFFFFF"/>
            <w:tcMar>
              <w:top w:w="110" w:type="dxa"/>
            </w:tcMar>
          </w:tcPr>
          <w:p w:rsidR="00141952" w:rsidRPr="00C258AD" w:rsidRDefault="00141952" w:rsidP="00141952">
            <w:pPr>
              <w:rPr>
                <w:sz w:val="16"/>
                <w:szCs w:val="16"/>
                <w:lang w:bidi="th-TH"/>
              </w:rPr>
            </w:pPr>
            <w:r w:rsidRPr="00C258AD">
              <w:rPr>
                <w:sz w:val="16"/>
              </w:rPr>
              <w:t>Un consentement reçu;  il fallait encore deux consentements pour l’extinction de l’Acte de 1934 et quatre parties contractantes en dehors de l’Union européenne et de l’OAPI restaient uniquement liées par l’Acte de 1960.</w:t>
            </w:r>
          </w:p>
        </w:tc>
        <w:tc>
          <w:tcPr>
            <w:tcW w:w="622" w:type="pct"/>
            <w:shd w:val="clear" w:color="auto" w:fill="auto"/>
            <w:tcMar>
              <w:top w:w="110" w:type="dxa"/>
            </w:tcMar>
          </w:tcPr>
          <w:p w:rsidR="00141952" w:rsidRPr="00C258AD" w:rsidRDefault="00141952" w:rsidP="00141952">
            <w:pPr>
              <w:keepNext/>
              <w:keepLines/>
              <w:jc w:val="center"/>
              <w:rPr>
                <w:b/>
                <w:bCs/>
                <w:color w:val="808080"/>
                <w:sz w:val="16"/>
                <w:szCs w:val="16"/>
              </w:rPr>
            </w:pPr>
            <w:r w:rsidRPr="00C258AD">
              <w:rPr>
                <w:rFonts w:cs="Arial"/>
                <w:b/>
                <w:color w:val="FF0000"/>
                <w:sz w:val="16"/>
                <w:szCs w:val="16"/>
              </w:rPr>
              <w:t>Objectif pas atteint</w:t>
            </w:r>
          </w:p>
        </w:tc>
      </w:tr>
      <w:tr w:rsidR="00141952" w:rsidRPr="00C258AD" w:rsidTr="00141952">
        <w:trPr>
          <w:cantSplit/>
        </w:trPr>
        <w:tc>
          <w:tcPr>
            <w:tcW w:w="1139" w:type="pct"/>
            <w:gridSpan w:val="2"/>
            <w:shd w:val="clear" w:color="auto" w:fill="auto"/>
          </w:tcPr>
          <w:p w:rsidR="00141952" w:rsidRPr="00C258AD" w:rsidRDefault="00141952" w:rsidP="00141952">
            <w:pPr>
              <w:rPr>
                <w:color w:val="000000"/>
                <w:sz w:val="16"/>
                <w:szCs w:val="16"/>
              </w:rPr>
            </w:pPr>
            <w:r w:rsidRPr="00C258AD">
              <w:rPr>
                <w:color w:val="000000"/>
                <w:sz w:val="16"/>
              </w:rPr>
              <w:t>Progrès accomplis en vue de l’amélioration du cadre juridique</w:t>
            </w:r>
          </w:p>
        </w:tc>
        <w:tc>
          <w:tcPr>
            <w:tcW w:w="1216" w:type="pct"/>
            <w:gridSpan w:val="2"/>
            <w:shd w:val="clear" w:color="auto" w:fill="auto"/>
          </w:tcPr>
          <w:p w:rsidR="00141952" w:rsidRPr="00C258AD" w:rsidRDefault="00141952" w:rsidP="00141952">
            <w:pPr>
              <w:rPr>
                <w:sz w:val="16"/>
                <w:szCs w:val="16"/>
              </w:rPr>
            </w:pPr>
            <w:r w:rsidRPr="00C258AD">
              <w:rPr>
                <w:i/>
                <w:sz w:val="16"/>
              </w:rPr>
              <w:t>Niveau de référence initial dans le programme et budget 2014</w:t>
            </w:r>
            <w:r w:rsidRPr="00C258AD">
              <w:rPr>
                <w:i/>
                <w:sz w:val="16"/>
              </w:rPr>
              <w:noBreakHyphen/>
              <w:t>2015 : cadre juridique actuel</w:t>
            </w:r>
          </w:p>
        </w:tc>
        <w:tc>
          <w:tcPr>
            <w:tcW w:w="810" w:type="pct"/>
            <w:gridSpan w:val="3"/>
            <w:shd w:val="clear" w:color="auto" w:fill="auto"/>
            <w:tcMar>
              <w:top w:w="110" w:type="dxa"/>
            </w:tcMar>
          </w:tcPr>
          <w:p w:rsidR="00141952" w:rsidRPr="00C258AD" w:rsidRDefault="00141952" w:rsidP="00141952">
            <w:pPr>
              <w:autoSpaceDE w:val="0"/>
              <w:autoSpaceDN w:val="0"/>
              <w:adjustRightInd w:val="0"/>
              <w:rPr>
                <w:sz w:val="16"/>
                <w:szCs w:val="16"/>
              </w:rPr>
            </w:pPr>
            <w:r w:rsidRPr="00C258AD">
              <w:rPr>
                <w:sz w:val="16"/>
              </w:rPr>
              <w:t>Modifications du règlement de La Haye et des instructions administratives, et nouveaux éléments introduits à la suite de l’adhésion de certaines nouvelles parties contractantes.</w:t>
            </w:r>
          </w:p>
        </w:tc>
        <w:tc>
          <w:tcPr>
            <w:tcW w:w="1213" w:type="pct"/>
            <w:shd w:val="clear" w:color="auto" w:fill="FFFFFF"/>
            <w:tcMar>
              <w:top w:w="110" w:type="dxa"/>
            </w:tcMar>
          </w:tcPr>
          <w:p w:rsidR="00141952" w:rsidRPr="00C258AD" w:rsidRDefault="00141952" w:rsidP="00141952">
            <w:pPr>
              <w:rPr>
                <w:sz w:val="16"/>
                <w:szCs w:val="16"/>
              </w:rPr>
            </w:pPr>
            <w:r w:rsidRPr="00C258AD">
              <w:rPr>
                <w:sz w:val="16"/>
              </w:rPr>
              <w:t xml:space="preserve">Des modifications du règlement d’exécution, introduisant, entre autres, un </w:t>
            </w:r>
            <w:r w:rsidRPr="00C258AD">
              <w:rPr>
                <w:sz w:val="16"/>
                <w:szCs w:val="16"/>
                <w:cs/>
              </w:rPr>
              <w:t>“</w:t>
            </w:r>
            <w:r w:rsidRPr="00C258AD">
              <w:rPr>
                <w:sz w:val="16"/>
              </w:rPr>
              <w:t>mécanisme de retour d’informations</w:t>
            </w:r>
            <w:r w:rsidRPr="00C258AD">
              <w:rPr>
                <w:sz w:val="16"/>
                <w:szCs w:val="16"/>
                <w:cs/>
              </w:rPr>
              <w:t>”</w:t>
            </w:r>
            <w:r w:rsidRPr="00C258AD">
              <w:rPr>
                <w:sz w:val="16"/>
              </w:rPr>
              <w:t>, sont entrées en vigueur le 1</w:t>
            </w:r>
            <w:r w:rsidRPr="00C258AD">
              <w:rPr>
                <w:sz w:val="16"/>
                <w:vertAlign w:val="superscript"/>
              </w:rPr>
              <w:t>er</w:t>
            </w:r>
            <w:r w:rsidRPr="00C258AD">
              <w:rPr>
                <w:sz w:val="16"/>
              </w:rPr>
              <w:t xml:space="preserve"> janvier 2015.  </w:t>
            </w:r>
            <w:r w:rsidRPr="00C258AD">
              <w:rPr>
                <w:sz w:val="16"/>
                <w:szCs w:val="16"/>
              </w:rPr>
              <w:t>Des modifications</w:t>
            </w:r>
            <w:r w:rsidRPr="00C258AD">
              <w:rPr>
                <w:color w:val="000000"/>
                <w:sz w:val="16"/>
                <w:szCs w:val="16"/>
              </w:rPr>
              <w:t xml:space="preserve"> de</w:t>
            </w:r>
            <w:r w:rsidRPr="00C258AD">
              <w:rPr>
                <w:color w:val="000000"/>
                <w:sz w:val="16"/>
              </w:rPr>
              <w:t>s instructions administratives</w:t>
            </w:r>
            <w:r w:rsidRPr="00C258AD">
              <w:rPr>
                <w:sz w:val="16"/>
              </w:rPr>
              <w:t>, entre autres, assouplissant certaines exigences concernant des reproductions et des représentations, sont entrées en vigueur le 1</w:t>
            </w:r>
            <w:r w:rsidRPr="00C258AD">
              <w:rPr>
                <w:sz w:val="16"/>
                <w:vertAlign w:val="superscript"/>
              </w:rPr>
              <w:t>er</w:t>
            </w:r>
            <w:r w:rsidRPr="00C258AD">
              <w:rPr>
                <w:sz w:val="16"/>
              </w:rPr>
              <w:t> juillet </w:t>
            </w:r>
            <w:r w:rsidRPr="00C258AD">
              <w:rPr>
                <w:color w:val="000000"/>
                <w:sz w:val="16"/>
              </w:rPr>
              <w:t>2014.</w:t>
            </w:r>
          </w:p>
        </w:tc>
        <w:tc>
          <w:tcPr>
            <w:tcW w:w="622" w:type="pct"/>
            <w:shd w:val="clear" w:color="auto" w:fill="auto"/>
            <w:tcMar>
              <w:top w:w="110" w:type="dxa"/>
            </w:tcMar>
          </w:tcPr>
          <w:p w:rsidR="00141952" w:rsidRPr="00C258AD" w:rsidRDefault="00141952" w:rsidP="00141952">
            <w:pPr>
              <w:keepNext/>
              <w:keepLines/>
              <w:jc w:val="center"/>
              <w:rPr>
                <w:b/>
                <w:bCs/>
                <w:color w:val="808080"/>
                <w:sz w:val="16"/>
                <w:szCs w:val="16"/>
              </w:rPr>
            </w:pPr>
            <w:r w:rsidRPr="00C258AD">
              <w:rPr>
                <w:rFonts w:cs="Arial"/>
                <w:b/>
                <w:bCs/>
                <w:color w:val="00B050"/>
                <w:sz w:val="16"/>
                <w:szCs w:val="16"/>
              </w:rPr>
              <w:t>Objectif pleinement atteint</w:t>
            </w:r>
          </w:p>
        </w:tc>
      </w:tr>
      <w:tr w:rsidR="00141952" w:rsidRPr="00C258AD" w:rsidTr="00141952">
        <w:trPr>
          <w:cantSplit/>
        </w:trPr>
        <w:tc>
          <w:tcPr>
            <w:tcW w:w="1139" w:type="pct"/>
            <w:gridSpan w:val="2"/>
            <w:tcBorders>
              <w:bottom w:val="nil"/>
            </w:tcBorders>
            <w:shd w:val="clear" w:color="auto" w:fill="auto"/>
          </w:tcPr>
          <w:p w:rsidR="00141952" w:rsidRPr="00C258AD" w:rsidRDefault="00141952" w:rsidP="00141952">
            <w:pPr>
              <w:rPr>
                <w:sz w:val="16"/>
                <w:szCs w:val="16"/>
              </w:rPr>
            </w:pPr>
            <w:r w:rsidRPr="00C258AD">
              <w:rPr>
                <w:sz w:val="16"/>
              </w:rPr>
              <w:t>Flexibilité des données enregistrées dans le registre international</w:t>
            </w:r>
          </w:p>
        </w:tc>
        <w:tc>
          <w:tcPr>
            <w:tcW w:w="1216" w:type="pct"/>
            <w:gridSpan w:val="2"/>
            <w:tcBorders>
              <w:bottom w:val="nil"/>
            </w:tcBorders>
            <w:shd w:val="clear" w:color="auto" w:fill="auto"/>
          </w:tcPr>
          <w:p w:rsidR="00141952" w:rsidRPr="00C258AD" w:rsidRDefault="00141952" w:rsidP="00141952">
            <w:pPr>
              <w:rPr>
                <w:sz w:val="16"/>
                <w:szCs w:val="16"/>
              </w:rPr>
            </w:pPr>
            <w:r w:rsidRPr="00C258AD">
              <w:rPr>
                <w:i/>
                <w:sz w:val="16"/>
              </w:rPr>
              <w:t>Niveau de référence initial dans le programme et budget 2014</w:t>
            </w:r>
            <w:r w:rsidRPr="00C258AD">
              <w:rPr>
                <w:i/>
                <w:sz w:val="16"/>
              </w:rPr>
              <w:noBreakHyphen/>
              <w:t>2015 : impossibilité d’enregistrer les éléments fins des dessins</w:t>
            </w:r>
          </w:p>
        </w:tc>
        <w:tc>
          <w:tcPr>
            <w:tcW w:w="810" w:type="pct"/>
            <w:gridSpan w:val="3"/>
            <w:tcBorders>
              <w:bottom w:val="nil"/>
            </w:tcBorders>
            <w:shd w:val="clear" w:color="auto" w:fill="auto"/>
            <w:tcMar>
              <w:top w:w="110" w:type="dxa"/>
            </w:tcMar>
          </w:tcPr>
          <w:p w:rsidR="00141952" w:rsidRPr="00C258AD" w:rsidRDefault="00141952" w:rsidP="00141952">
            <w:pPr>
              <w:rPr>
                <w:sz w:val="16"/>
                <w:szCs w:val="16"/>
              </w:rPr>
            </w:pPr>
            <w:r w:rsidRPr="00C258AD">
              <w:rPr>
                <w:sz w:val="16"/>
              </w:rPr>
              <w:t>Capacité d’enregistrer les éléments fins des dessins</w:t>
            </w:r>
          </w:p>
        </w:tc>
        <w:tc>
          <w:tcPr>
            <w:tcW w:w="1213" w:type="pct"/>
            <w:tcBorders>
              <w:bottom w:val="nil"/>
            </w:tcBorders>
            <w:shd w:val="clear" w:color="auto" w:fill="FFFFFF"/>
            <w:tcMar>
              <w:top w:w="110" w:type="dxa"/>
            </w:tcMar>
          </w:tcPr>
          <w:p w:rsidR="00141952" w:rsidRPr="00C258AD" w:rsidRDefault="00141952" w:rsidP="00141952">
            <w:pPr>
              <w:rPr>
                <w:sz w:val="16"/>
                <w:szCs w:val="16"/>
              </w:rPr>
            </w:pPr>
            <w:r w:rsidRPr="00C258AD">
              <w:rPr>
                <w:rFonts w:cs="Arial"/>
                <w:sz w:val="16"/>
                <w:szCs w:val="16"/>
              </w:rPr>
              <w:t>Des progrès ont été effectués concernant les choix relatifs aux dessins;  pourtant la mise en œuvre était prévue pour après la conversion du principal système informatique, ce qui n’a pas eu lieu au cours de l’exercice biennal : DIRIS.</w:t>
            </w:r>
          </w:p>
        </w:tc>
        <w:tc>
          <w:tcPr>
            <w:tcW w:w="622" w:type="pct"/>
            <w:tcBorders>
              <w:bottom w:val="nil"/>
            </w:tcBorders>
            <w:shd w:val="clear" w:color="auto" w:fill="auto"/>
            <w:tcMar>
              <w:top w:w="110" w:type="dxa"/>
            </w:tcMar>
          </w:tcPr>
          <w:p w:rsidR="00141952" w:rsidRPr="00C258AD" w:rsidRDefault="00141952" w:rsidP="00141952">
            <w:pPr>
              <w:keepNext/>
              <w:keepLines/>
              <w:jc w:val="center"/>
              <w:rPr>
                <w:b/>
                <w:bCs/>
                <w:color w:val="808080"/>
                <w:sz w:val="16"/>
                <w:szCs w:val="16"/>
              </w:rPr>
            </w:pPr>
            <w:r w:rsidRPr="00C258AD">
              <w:rPr>
                <w:rFonts w:cs="Arial"/>
                <w:b/>
                <w:color w:val="FF0000"/>
                <w:sz w:val="16"/>
                <w:szCs w:val="16"/>
              </w:rPr>
              <w:t>Objectif pas atteint</w:t>
            </w:r>
          </w:p>
        </w:tc>
      </w:tr>
      <w:tr w:rsidR="00141952" w:rsidRPr="00C258AD" w:rsidTr="00141952">
        <w:trPr>
          <w:cantSplit/>
        </w:trPr>
        <w:tc>
          <w:tcPr>
            <w:tcW w:w="1139" w:type="pct"/>
            <w:gridSpan w:val="2"/>
            <w:tcBorders>
              <w:top w:val="nil"/>
              <w:bottom w:val="single" w:sz="4" w:space="0" w:color="auto"/>
            </w:tcBorders>
            <w:shd w:val="clear" w:color="auto" w:fill="auto"/>
          </w:tcPr>
          <w:p w:rsidR="00141952" w:rsidRPr="00C258AD" w:rsidRDefault="00141952" w:rsidP="00141952">
            <w:pPr>
              <w:keepNext/>
              <w:keepLines/>
              <w:rPr>
                <w:sz w:val="16"/>
                <w:szCs w:val="16"/>
              </w:rPr>
            </w:pPr>
            <w:r w:rsidRPr="00C258AD">
              <w:rPr>
                <w:color w:val="000000"/>
                <w:sz w:val="16"/>
              </w:rPr>
              <w:t>Nombre de procédures automatisées</w:t>
            </w:r>
          </w:p>
        </w:tc>
        <w:tc>
          <w:tcPr>
            <w:tcW w:w="1216" w:type="pct"/>
            <w:gridSpan w:val="2"/>
            <w:tcBorders>
              <w:top w:val="nil"/>
              <w:bottom w:val="single" w:sz="4" w:space="0" w:color="auto"/>
            </w:tcBorders>
            <w:shd w:val="clear" w:color="auto" w:fill="auto"/>
          </w:tcPr>
          <w:p w:rsidR="006E2BB1" w:rsidRPr="00C258AD" w:rsidRDefault="00141952" w:rsidP="00141952">
            <w:pPr>
              <w:rPr>
                <w:color w:val="002060"/>
                <w:sz w:val="16"/>
                <w:szCs w:val="16"/>
              </w:rPr>
            </w:pPr>
            <w:r w:rsidRPr="00C258AD">
              <w:rPr>
                <w:i/>
                <w:color w:val="002060"/>
                <w:sz w:val="16"/>
              </w:rPr>
              <w:t>Niveau de référence actualisé à fin 2013 : deux (dépôt par voie électronique et renouvellement par voie électronique)</w:t>
            </w:r>
            <w:r w:rsidRPr="00C258AD">
              <w:rPr>
                <w:rStyle w:val="FootnoteReference"/>
                <w:rFonts w:eastAsia="SimSun"/>
                <w:i/>
                <w:color w:val="002060"/>
                <w:sz w:val="16"/>
              </w:rPr>
              <w:footnoteReference w:id="40"/>
            </w:r>
          </w:p>
          <w:p w:rsidR="006E2BB1" w:rsidRPr="00C258AD" w:rsidRDefault="006E2BB1" w:rsidP="00141952">
            <w:pPr>
              <w:keepNext/>
              <w:keepLines/>
              <w:rPr>
                <w:i/>
                <w:sz w:val="16"/>
                <w:szCs w:val="16"/>
              </w:rPr>
            </w:pPr>
          </w:p>
          <w:p w:rsidR="00141952" w:rsidRPr="00C258AD" w:rsidRDefault="00141952" w:rsidP="00141952">
            <w:pPr>
              <w:keepNext/>
              <w:keepLines/>
              <w:rPr>
                <w:sz w:val="16"/>
                <w:szCs w:val="16"/>
              </w:rPr>
            </w:pPr>
            <w:r w:rsidRPr="00C258AD">
              <w:rPr>
                <w:i/>
                <w:sz w:val="16"/>
              </w:rPr>
              <w:t>Niveau de référence initial dans le programme et budget 2014</w:t>
            </w:r>
            <w:r w:rsidRPr="00C258AD">
              <w:rPr>
                <w:i/>
                <w:sz w:val="16"/>
              </w:rPr>
              <w:noBreakHyphen/>
              <w:t>2015 : 2</w:t>
            </w:r>
          </w:p>
        </w:tc>
        <w:tc>
          <w:tcPr>
            <w:tcW w:w="810" w:type="pct"/>
            <w:gridSpan w:val="3"/>
            <w:tcBorders>
              <w:top w:val="nil"/>
              <w:bottom w:val="single" w:sz="4" w:space="0" w:color="auto"/>
            </w:tcBorders>
            <w:shd w:val="clear" w:color="auto" w:fill="auto"/>
            <w:tcMar>
              <w:top w:w="110" w:type="dxa"/>
            </w:tcMar>
          </w:tcPr>
          <w:p w:rsidR="00141952" w:rsidRPr="00C258AD" w:rsidRDefault="00141952" w:rsidP="00141952">
            <w:pPr>
              <w:keepNext/>
              <w:keepLines/>
              <w:autoSpaceDE w:val="0"/>
              <w:autoSpaceDN w:val="0"/>
              <w:adjustRightInd w:val="0"/>
              <w:rPr>
                <w:sz w:val="16"/>
                <w:szCs w:val="16"/>
              </w:rPr>
            </w:pPr>
            <w:r w:rsidRPr="00C258AD">
              <w:rPr>
                <w:sz w:val="16"/>
              </w:rPr>
              <w:t>4</w:t>
            </w:r>
          </w:p>
        </w:tc>
        <w:tc>
          <w:tcPr>
            <w:tcW w:w="1213" w:type="pct"/>
            <w:tcBorders>
              <w:top w:val="nil"/>
              <w:bottom w:val="single" w:sz="4" w:space="0" w:color="auto"/>
            </w:tcBorders>
            <w:shd w:val="clear" w:color="auto" w:fill="FFFFFF"/>
            <w:tcMar>
              <w:top w:w="110" w:type="dxa"/>
            </w:tcMar>
          </w:tcPr>
          <w:p w:rsidR="006E2BB1" w:rsidRPr="00C258AD" w:rsidRDefault="00141952" w:rsidP="00141952">
            <w:pPr>
              <w:rPr>
                <w:sz w:val="16"/>
                <w:szCs w:val="16"/>
              </w:rPr>
            </w:pPr>
            <w:r w:rsidRPr="00C258AD">
              <w:rPr>
                <w:sz w:val="16"/>
              </w:rPr>
              <w:t>2 procédures automatisées supplémentaires en 2014</w:t>
            </w:r>
            <w:r w:rsidRPr="00C258AD">
              <w:rPr>
                <w:sz w:val="16"/>
              </w:rPr>
              <w:noBreakHyphen/>
              <w:t xml:space="preserve">2015 (Déclaration d’octroi de la protection de l’OHMI en 2014 et </w:t>
            </w:r>
            <w:r w:rsidRPr="00C258AD">
              <w:rPr>
                <w:rFonts w:cs="Arial"/>
                <w:sz w:val="16"/>
                <w:szCs w:val="16"/>
              </w:rPr>
              <w:t>réception et traitement des dépôts indirects du KIPO</w:t>
            </w:r>
            <w:r w:rsidRPr="00C258AD">
              <w:rPr>
                <w:sz w:val="16"/>
              </w:rPr>
              <w:t>)</w:t>
            </w:r>
          </w:p>
          <w:p w:rsidR="00141952" w:rsidRPr="00C258AD" w:rsidRDefault="00141952" w:rsidP="00141952">
            <w:pPr>
              <w:rPr>
                <w:sz w:val="16"/>
                <w:szCs w:val="16"/>
              </w:rPr>
            </w:pPr>
            <w:r w:rsidRPr="00C258AD">
              <w:rPr>
                <w:sz w:val="16"/>
              </w:rPr>
              <w:t>(4 en tout)</w:t>
            </w:r>
          </w:p>
        </w:tc>
        <w:tc>
          <w:tcPr>
            <w:tcW w:w="622" w:type="pct"/>
            <w:tcBorders>
              <w:top w:val="nil"/>
              <w:bottom w:val="single" w:sz="4" w:space="0" w:color="auto"/>
            </w:tcBorders>
            <w:shd w:val="clear" w:color="auto" w:fill="auto"/>
            <w:tcMar>
              <w:top w:w="110" w:type="dxa"/>
            </w:tcMar>
          </w:tcPr>
          <w:p w:rsidR="00141952" w:rsidRPr="00C258AD" w:rsidRDefault="00141952" w:rsidP="00141952">
            <w:pPr>
              <w:keepNext/>
              <w:keepLines/>
              <w:jc w:val="center"/>
              <w:rPr>
                <w:b/>
                <w:bCs/>
                <w:color w:val="808080"/>
                <w:sz w:val="16"/>
                <w:szCs w:val="16"/>
              </w:rPr>
            </w:pPr>
            <w:r w:rsidRPr="00C258AD">
              <w:rPr>
                <w:rFonts w:cs="Arial"/>
                <w:b/>
                <w:bCs/>
                <w:color w:val="00B050"/>
                <w:sz w:val="16"/>
                <w:szCs w:val="16"/>
              </w:rPr>
              <w:t>Objectif pleinement atteint</w:t>
            </w:r>
          </w:p>
        </w:tc>
      </w:tr>
    </w:tbl>
    <w:p w:rsidR="006E2BB1" w:rsidRPr="00C258AD" w:rsidRDefault="006E2BB1" w:rsidP="00141952">
      <w:pPr>
        <w:rPr>
          <w:bCs/>
          <w:szCs w:val="22"/>
        </w:rPr>
      </w:pPr>
    </w:p>
    <w:p w:rsidR="006E2BB1" w:rsidRPr="00C258AD" w:rsidRDefault="006E2BB1" w:rsidP="00141952">
      <w:pPr>
        <w:rPr>
          <w:bCs/>
          <w:szCs w:val="22"/>
        </w:rPr>
      </w:pPr>
    </w:p>
    <w:p w:rsidR="006E2BB1" w:rsidRPr="00C258AD" w:rsidRDefault="00141952" w:rsidP="00305CE5">
      <w:pPr>
        <w:keepNext/>
        <w:rPr>
          <w:rFonts w:cs="Arial"/>
          <w:caps/>
          <w:sz w:val="22"/>
          <w:szCs w:val="22"/>
        </w:rPr>
      </w:pPr>
      <w:r w:rsidRPr="00C258AD">
        <w:rPr>
          <w:rFonts w:cs="Arial"/>
          <w:caps/>
          <w:sz w:val="22"/>
          <w:szCs w:val="22"/>
        </w:rPr>
        <w:lastRenderedPageBreak/>
        <w:t>Rapport d’évaluation des risques pour l’exercice biennal</w:t>
      </w:r>
    </w:p>
    <w:p w:rsidR="00141952" w:rsidRPr="00C258AD" w:rsidRDefault="00141952" w:rsidP="00141952">
      <w:pPr>
        <w:keepNext/>
        <w:keepLines/>
        <w:rPr>
          <w:rFonts w:cs="Arial"/>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141952" w:rsidRPr="00C258AD" w:rsidTr="00141952">
        <w:trPr>
          <w:cantSplit/>
        </w:trPr>
        <w:tc>
          <w:tcPr>
            <w:tcW w:w="2372" w:type="dxa"/>
            <w:tcBorders>
              <w:top w:val="single" w:sz="4" w:space="0" w:color="auto"/>
              <w:left w:val="single" w:sz="4" w:space="0" w:color="auto"/>
              <w:bottom w:val="single" w:sz="4" w:space="0" w:color="auto"/>
            </w:tcBorders>
            <w:shd w:val="clear" w:color="auto" w:fill="C5D9F1"/>
            <w:vAlign w:val="center"/>
          </w:tcPr>
          <w:p w:rsidR="00141952" w:rsidRPr="00C258AD" w:rsidRDefault="00141952" w:rsidP="00141952">
            <w:pPr>
              <w:keepNext/>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141952" w:rsidRPr="00C258AD" w:rsidRDefault="00141952" w:rsidP="00141952">
            <w:pPr>
              <w:keepNext/>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141952" w:rsidRPr="00C258AD" w:rsidRDefault="00141952" w:rsidP="00141952">
            <w:pPr>
              <w:keepNext/>
              <w:autoSpaceDE w:val="0"/>
              <w:autoSpaceDN w:val="0"/>
              <w:adjustRightInd w:val="0"/>
              <w:ind w:right="-59"/>
              <w:jc w:val="center"/>
              <w:rPr>
                <w:b/>
                <w:bCs/>
                <w:iCs/>
                <w:sz w:val="16"/>
                <w:szCs w:val="16"/>
              </w:rPr>
            </w:pPr>
            <w:r w:rsidRPr="00C258AD">
              <w:rPr>
                <w:b/>
                <w:bCs/>
                <w:iCs/>
                <w:sz w:val="16"/>
                <w:szCs w:val="16"/>
              </w:rPr>
              <w:t>Évolution des risques et des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141952" w:rsidRPr="00C258AD" w:rsidRDefault="00141952" w:rsidP="00141952">
            <w:pPr>
              <w:keepNext/>
              <w:autoSpaceDE w:val="0"/>
              <w:autoSpaceDN w:val="0"/>
              <w:adjustRightInd w:val="0"/>
              <w:jc w:val="center"/>
              <w:rPr>
                <w:b/>
                <w:bCs/>
                <w:iCs/>
                <w:sz w:val="16"/>
                <w:szCs w:val="16"/>
              </w:rPr>
            </w:pPr>
            <w:r w:rsidRPr="00C258AD">
              <w:rPr>
                <w:b/>
                <w:bCs/>
                <w:iCs/>
                <w:sz w:val="16"/>
                <w:szCs w:val="16"/>
              </w:rPr>
              <w:t>Incidence sur les résultats du programme</w:t>
            </w:r>
          </w:p>
        </w:tc>
      </w:tr>
      <w:tr w:rsidR="00141952" w:rsidRPr="00C258AD" w:rsidTr="00141952">
        <w:tblPrEx>
          <w:tblBorders>
            <w:top w:val="single" w:sz="4" w:space="0" w:color="auto"/>
            <w:left w:val="single" w:sz="4" w:space="0" w:color="auto"/>
            <w:bottom w:val="single" w:sz="4" w:space="0" w:color="auto"/>
            <w:right w:val="single" w:sz="4" w:space="0" w:color="auto"/>
          </w:tblBorders>
        </w:tblPrEx>
        <w:trPr>
          <w:cantSplit/>
        </w:trPr>
        <w:tc>
          <w:tcPr>
            <w:tcW w:w="2372" w:type="dxa"/>
            <w:tcBorders>
              <w:top w:val="single" w:sz="4" w:space="0" w:color="auto"/>
            </w:tcBorders>
            <w:shd w:val="clear" w:color="auto" w:fill="auto"/>
            <w:tcMar>
              <w:top w:w="113" w:type="dxa"/>
              <w:bottom w:w="85" w:type="dxa"/>
            </w:tcMar>
          </w:tcPr>
          <w:p w:rsidR="00141952" w:rsidRPr="00C258AD" w:rsidRDefault="00141952" w:rsidP="00141952">
            <w:pPr>
              <w:keepNext/>
              <w:rPr>
                <w:sz w:val="16"/>
                <w:szCs w:val="16"/>
              </w:rPr>
            </w:pPr>
            <w:r w:rsidRPr="00C258AD">
              <w:rPr>
                <w:sz w:val="16"/>
                <w:szCs w:val="16"/>
              </w:rPr>
              <w:t>Baisse du niveau de satisfaction des clients, par suite de difficultés à faire face à l’augmentation des dépôts et des demandes d’information, ainsi que de la complexité croissante du système, sous l’effet de la mise en œuvre d’éléments à l’appui de l’examen de la nouveauté dans certains offices désignés.</w:t>
            </w:r>
          </w:p>
        </w:tc>
        <w:tc>
          <w:tcPr>
            <w:tcW w:w="2373" w:type="dxa"/>
            <w:tcBorders>
              <w:top w:val="single" w:sz="4" w:space="0" w:color="auto"/>
            </w:tcBorders>
            <w:shd w:val="clear" w:color="auto" w:fill="auto"/>
            <w:tcMar>
              <w:top w:w="113" w:type="dxa"/>
              <w:bottom w:w="85" w:type="dxa"/>
            </w:tcMar>
          </w:tcPr>
          <w:p w:rsidR="00141952" w:rsidRPr="00C258AD" w:rsidRDefault="00141952" w:rsidP="00141952">
            <w:pPr>
              <w:autoSpaceDE w:val="0"/>
              <w:autoSpaceDN w:val="0"/>
              <w:adjustRightInd w:val="0"/>
              <w:ind w:right="-59"/>
              <w:rPr>
                <w:sz w:val="16"/>
                <w:szCs w:val="16"/>
              </w:rPr>
            </w:pPr>
            <w:r w:rsidRPr="00C258AD">
              <w:rPr>
                <w:sz w:val="16"/>
                <w:szCs w:val="16"/>
              </w:rPr>
              <w:t>Accroissement de l’efficacité et de l’efficience de l’administration du système, sous tous ses aspects;  promotion des meilleures pratiques et de la convergence parmi les offices concernés;  mise au point de solutions informatiques pour aider les utilisateurs et les examinateurs des offices et du Bureau international.</w:t>
            </w:r>
          </w:p>
        </w:tc>
        <w:tc>
          <w:tcPr>
            <w:tcW w:w="2373" w:type="dxa"/>
            <w:tcBorders>
              <w:top w:val="single" w:sz="4" w:space="0" w:color="auto"/>
            </w:tcBorders>
          </w:tcPr>
          <w:p w:rsidR="00141952" w:rsidRPr="00C258AD" w:rsidRDefault="00141952" w:rsidP="00141952">
            <w:pPr>
              <w:autoSpaceDE w:val="0"/>
              <w:autoSpaceDN w:val="0"/>
              <w:adjustRightInd w:val="0"/>
              <w:ind w:right="-59"/>
              <w:rPr>
                <w:sz w:val="16"/>
                <w:szCs w:val="16"/>
              </w:rPr>
            </w:pPr>
            <w:r w:rsidRPr="00C258AD">
              <w:rPr>
                <w:sz w:val="16"/>
                <w:szCs w:val="16"/>
              </w:rPr>
              <w:t>Il s’agit d’un risque permanent pour le programme, et les stratégies d’atténuation ont été améliorées au cours de l’exercice biennal grâce à des outils électroniques et des documents d’information, qui ont permis au Bureau international de gérer l’augmentation de 40% des dépôts et aidé à limiter autant que possible les questions et les plaintes des utilisateurs relatives à la complexité croissante du système.</w:t>
            </w:r>
          </w:p>
        </w:tc>
        <w:tc>
          <w:tcPr>
            <w:tcW w:w="2373" w:type="dxa"/>
            <w:tcBorders>
              <w:top w:val="single" w:sz="4" w:space="0" w:color="auto"/>
            </w:tcBorders>
          </w:tcPr>
          <w:p w:rsidR="00141952" w:rsidRPr="00C258AD" w:rsidRDefault="00141952" w:rsidP="00141952">
            <w:pPr>
              <w:autoSpaceDE w:val="0"/>
              <w:autoSpaceDN w:val="0"/>
              <w:adjustRightInd w:val="0"/>
              <w:ind w:right="-59"/>
              <w:rPr>
                <w:sz w:val="16"/>
                <w:szCs w:val="16"/>
              </w:rPr>
            </w:pPr>
            <w:r w:rsidRPr="00C258AD">
              <w:rPr>
                <w:sz w:val="16"/>
                <w:szCs w:val="16"/>
              </w:rPr>
              <w:t>Aucune, l’augmentation des dépôts entre 2014 et 2015 ayant dépassé les attentes, ce qui montre que le système a conservé son attrait général et que la satisfaction des clients n’a pas non plus subi de retombées négatives.</w:t>
            </w:r>
          </w:p>
        </w:tc>
      </w:tr>
    </w:tbl>
    <w:p w:rsidR="006E2BB1" w:rsidRPr="00C258AD" w:rsidRDefault="006E2BB1" w:rsidP="00141952">
      <w:pPr>
        <w:rPr>
          <w:color w:val="000000"/>
          <w:szCs w:val="22"/>
        </w:rPr>
      </w:pPr>
    </w:p>
    <w:p w:rsidR="006E2BB1" w:rsidRPr="00C258AD" w:rsidRDefault="006E2BB1" w:rsidP="00141952">
      <w:pPr>
        <w:rPr>
          <w:color w:val="000000"/>
          <w:szCs w:val="22"/>
        </w:rPr>
      </w:pPr>
    </w:p>
    <w:p w:rsidR="006E2BB1" w:rsidRPr="00C258AD" w:rsidRDefault="00141952" w:rsidP="00305CE5">
      <w:pPr>
        <w:keepNext/>
        <w:rPr>
          <w:rFonts w:cs="Arial"/>
          <w:caps/>
          <w:sz w:val="22"/>
          <w:szCs w:val="22"/>
        </w:rPr>
      </w:pPr>
      <w:r w:rsidRPr="00C258AD">
        <w:rPr>
          <w:rFonts w:cs="Arial"/>
          <w:caps/>
          <w:sz w:val="22"/>
          <w:szCs w:val="22"/>
        </w:rPr>
        <w:t>Utilisation des ressources</w:t>
      </w:r>
    </w:p>
    <w:p w:rsidR="006E2BB1" w:rsidRPr="00C258AD" w:rsidRDefault="006E2BB1" w:rsidP="00141952">
      <w:pPr>
        <w:keepNext/>
        <w:keepLines/>
        <w:jc w:val="center"/>
      </w:pPr>
    </w:p>
    <w:p w:rsidR="006E2BB1" w:rsidRPr="00C258AD" w:rsidRDefault="00141952" w:rsidP="00141952">
      <w:pPr>
        <w:pStyle w:val="NormalWeb"/>
        <w:keepNext/>
        <w:keepLines/>
        <w:spacing w:before="0" w:beforeAutospacing="0" w:after="0" w:afterAutospacing="0"/>
        <w:jc w:val="center"/>
        <w:rPr>
          <w:sz w:val="20"/>
          <w:szCs w:val="20"/>
        </w:rPr>
      </w:pPr>
      <w:r w:rsidRPr="00C258AD">
        <w:rPr>
          <w:sz w:val="20"/>
          <w:szCs w:val="20"/>
        </w:rPr>
        <w:t>Budget et dépenses effectives (par résultat)</w:t>
      </w:r>
    </w:p>
    <w:p w:rsidR="006E2BB1" w:rsidRPr="00C258AD" w:rsidRDefault="00141952" w:rsidP="00141952">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141952" w:rsidRPr="00C258AD" w:rsidRDefault="00141952" w:rsidP="00141952">
      <w:pPr>
        <w:keepNext/>
        <w:keepLines/>
        <w:jc w:val="both"/>
      </w:pPr>
    </w:p>
    <w:tbl>
      <w:tblPr>
        <w:tblW w:w="5000" w:type="pct"/>
        <w:tblCellMar>
          <w:top w:w="113" w:type="dxa"/>
          <w:left w:w="70" w:type="dxa"/>
          <w:bottom w:w="113" w:type="dxa"/>
          <w:right w:w="70" w:type="dxa"/>
        </w:tblCellMar>
        <w:tblLook w:val="04A0" w:firstRow="1" w:lastRow="0" w:firstColumn="1" w:lastColumn="0" w:noHBand="0" w:noVBand="1"/>
      </w:tblPr>
      <w:tblGrid>
        <w:gridCol w:w="451"/>
        <w:gridCol w:w="4778"/>
        <w:gridCol w:w="1422"/>
        <w:gridCol w:w="1422"/>
        <w:gridCol w:w="1422"/>
      </w:tblGrid>
      <w:tr w:rsidR="00141952" w:rsidRPr="00C258AD" w:rsidTr="00141952">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141952" w:rsidRPr="00C258AD" w:rsidRDefault="00141952" w:rsidP="00141952">
            <w:pPr>
              <w:keepNext/>
              <w:keepLines/>
              <w:jc w:val="center"/>
              <w:rPr>
                <w:i/>
                <w:iCs/>
                <w:sz w:val="16"/>
                <w:szCs w:val="16"/>
              </w:rPr>
            </w:pPr>
            <w:r w:rsidRPr="00C258AD">
              <w:rPr>
                <w:i/>
                <w:iCs/>
                <w:sz w:val="16"/>
                <w:szCs w:val="16"/>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141952" w:rsidRPr="00C258AD" w:rsidRDefault="00141952" w:rsidP="00141952">
            <w:pPr>
              <w:keepNext/>
              <w:keepLines/>
              <w:jc w:val="center"/>
              <w:rPr>
                <w:i/>
                <w:iCs/>
                <w:sz w:val="16"/>
                <w:szCs w:val="16"/>
              </w:rPr>
            </w:pPr>
            <w:r w:rsidRPr="00C258AD">
              <w:rPr>
                <w:i/>
                <w:iCs/>
                <w:sz w:val="16"/>
                <w:szCs w:val="16"/>
              </w:rPr>
              <w:t>Budget</w:t>
            </w:r>
            <w:r w:rsidRPr="00C258AD">
              <w:rPr>
                <w:i/>
                <w:iCs/>
                <w:sz w:val="16"/>
                <w:szCs w:val="16"/>
              </w:rPr>
              <w:br/>
              <w:t>2014</w:t>
            </w:r>
            <w:r w:rsidRPr="00C258AD">
              <w:rPr>
                <w:i/>
                <w:iCs/>
                <w:sz w:val="16"/>
                <w:szCs w:val="16"/>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141952" w:rsidRPr="00C258AD" w:rsidRDefault="00141952" w:rsidP="00141952">
            <w:pPr>
              <w:keepNext/>
              <w:keepLines/>
              <w:jc w:val="center"/>
              <w:rPr>
                <w:i/>
                <w:iCs/>
                <w:sz w:val="16"/>
                <w:szCs w:val="16"/>
              </w:rPr>
            </w:pPr>
            <w:r w:rsidRPr="00C258AD">
              <w:rPr>
                <w:i/>
                <w:iCs/>
                <w:sz w:val="16"/>
                <w:szCs w:val="16"/>
              </w:rPr>
              <w:t>Budget final</w:t>
            </w:r>
            <w:r w:rsidRPr="00C258AD">
              <w:rPr>
                <w:i/>
                <w:iCs/>
                <w:sz w:val="16"/>
                <w:szCs w:val="16"/>
              </w:rPr>
              <w:br/>
              <w:t>2014</w:t>
            </w:r>
            <w:r w:rsidRPr="00C258AD">
              <w:rPr>
                <w:i/>
                <w:iCs/>
                <w:sz w:val="16"/>
                <w:szCs w:val="16"/>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141952" w:rsidRPr="00C258AD" w:rsidRDefault="00141952" w:rsidP="00141952">
            <w:pPr>
              <w:keepNext/>
              <w:keepLines/>
              <w:jc w:val="center"/>
              <w:rPr>
                <w:i/>
                <w:iCs/>
                <w:sz w:val="16"/>
                <w:szCs w:val="16"/>
              </w:rPr>
            </w:pPr>
            <w:r w:rsidRPr="00C258AD">
              <w:rPr>
                <w:i/>
                <w:iCs/>
                <w:sz w:val="16"/>
                <w:szCs w:val="16"/>
              </w:rPr>
              <w:t>Dépenses</w:t>
            </w:r>
            <w:r w:rsidRPr="00C258AD">
              <w:rPr>
                <w:i/>
                <w:iCs/>
                <w:sz w:val="16"/>
                <w:szCs w:val="16"/>
              </w:rPr>
              <w:br/>
              <w:t>2014</w:t>
            </w:r>
            <w:r w:rsidRPr="00C258AD">
              <w:rPr>
                <w:i/>
                <w:iCs/>
                <w:sz w:val="16"/>
                <w:szCs w:val="16"/>
              </w:rPr>
              <w:noBreakHyphen/>
              <w:t>2015</w:t>
            </w:r>
          </w:p>
        </w:tc>
      </w:tr>
      <w:tr w:rsidR="00141952" w:rsidRPr="00C258AD" w:rsidTr="00141952">
        <w:trPr>
          <w:cantSplit/>
        </w:trPr>
        <w:tc>
          <w:tcPr>
            <w:tcW w:w="431" w:type="dxa"/>
            <w:tcBorders>
              <w:top w:val="nil"/>
              <w:left w:val="single" w:sz="4" w:space="0" w:color="auto"/>
              <w:bottom w:val="nil"/>
              <w:right w:val="nil"/>
            </w:tcBorders>
            <w:shd w:val="clear" w:color="auto" w:fill="auto"/>
            <w:noWrap/>
            <w:vAlign w:val="center"/>
            <w:hideMark/>
          </w:tcPr>
          <w:p w:rsidR="00141952" w:rsidRPr="00C258AD" w:rsidRDefault="00141952" w:rsidP="00141952">
            <w:pPr>
              <w:rPr>
                <w:sz w:val="16"/>
                <w:szCs w:val="16"/>
              </w:rPr>
            </w:pPr>
            <w:r w:rsidRPr="00C258AD">
              <w:rPr>
                <w:sz w:val="16"/>
                <w:szCs w:val="16"/>
              </w:rPr>
              <w:t>II.4</w:t>
            </w:r>
          </w:p>
        </w:tc>
        <w:tc>
          <w:tcPr>
            <w:tcW w:w="4569" w:type="dxa"/>
            <w:tcBorders>
              <w:top w:val="nil"/>
              <w:left w:val="nil"/>
              <w:bottom w:val="nil"/>
              <w:right w:val="nil"/>
            </w:tcBorders>
            <w:shd w:val="clear" w:color="auto" w:fill="auto"/>
            <w:vAlign w:val="center"/>
            <w:hideMark/>
          </w:tcPr>
          <w:p w:rsidR="00141952" w:rsidRPr="00C258AD" w:rsidRDefault="00141952" w:rsidP="00141952">
            <w:pPr>
              <w:rPr>
                <w:sz w:val="16"/>
                <w:szCs w:val="16"/>
              </w:rPr>
            </w:pPr>
            <w:r w:rsidRPr="00C258AD">
              <w:rPr>
                <w:sz w:val="16"/>
                <w:szCs w:val="16"/>
              </w:rPr>
              <w:t>Utilisation élargie et améliorée du système de La Haye, notamment par les pays en développement et les PMA</w:t>
            </w:r>
          </w:p>
        </w:tc>
        <w:tc>
          <w:tcPr>
            <w:tcW w:w="1360" w:type="dxa"/>
            <w:tcBorders>
              <w:top w:val="nil"/>
              <w:left w:val="nil"/>
              <w:bottom w:val="nil"/>
              <w:right w:val="nil"/>
            </w:tcBorders>
            <w:shd w:val="clear" w:color="auto" w:fill="auto"/>
            <w:vAlign w:val="center"/>
            <w:hideMark/>
          </w:tcPr>
          <w:p w:rsidR="00141952" w:rsidRPr="00C258AD" w:rsidRDefault="00141952" w:rsidP="00141952">
            <w:pPr>
              <w:jc w:val="right"/>
              <w:rPr>
                <w:sz w:val="16"/>
                <w:szCs w:val="16"/>
              </w:rPr>
            </w:pPr>
            <w:r w:rsidRPr="00C258AD">
              <w:rPr>
                <w:sz w:val="16"/>
                <w:szCs w:val="16"/>
              </w:rPr>
              <w:t>5 236</w:t>
            </w:r>
          </w:p>
        </w:tc>
        <w:tc>
          <w:tcPr>
            <w:tcW w:w="1360" w:type="dxa"/>
            <w:tcBorders>
              <w:top w:val="nil"/>
              <w:left w:val="nil"/>
              <w:bottom w:val="nil"/>
              <w:right w:val="nil"/>
            </w:tcBorders>
            <w:shd w:val="clear" w:color="auto" w:fill="auto"/>
            <w:vAlign w:val="center"/>
            <w:hideMark/>
          </w:tcPr>
          <w:p w:rsidR="00141952" w:rsidRPr="00C258AD" w:rsidRDefault="00141952" w:rsidP="00141952">
            <w:pPr>
              <w:jc w:val="right"/>
              <w:rPr>
                <w:sz w:val="16"/>
                <w:szCs w:val="16"/>
              </w:rPr>
            </w:pPr>
            <w:r w:rsidRPr="00C258AD">
              <w:rPr>
                <w:sz w:val="16"/>
                <w:szCs w:val="16"/>
              </w:rPr>
              <w:t>4 903</w:t>
            </w:r>
          </w:p>
        </w:tc>
        <w:tc>
          <w:tcPr>
            <w:tcW w:w="1360" w:type="dxa"/>
            <w:tcBorders>
              <w:top w:val="nil"/>
              <w:left w:val="nil"/>
              <w:bottom w:val="nil"/>
              <w:right w:val="single" w:sz="4" w:space="0" w:color="auto"/>
            </w:tcBorders>
            <w:shd w:val="clear" w:color="auto" w:fill="auto"/>
            <w:vAlign w:val="center"/>
            <w:hideMark/>
          </w:tcPr>
          <w:p w:rsidR="00141952" w:rsidRPr="00C258AD" w:rsidRDefault="00141952" w:rsidP="00141952">
            <w:pPr>
              <w:jc w:val="right"/>
              <w:rPr>
                <w:sz w:val="16"/>
                <w:szCs w:val="16"/>
              </w:rPr>
            </w:pPr>
            <w:r w:rsidRPr="00C258AD">
              <w:rPr>
                <w:sz w:val="16"/>
                <w:szCs w:val="16"/>
              </w:rPr>
              <w:t>4 510</w:t>
            </w:r>
          </w:p>
        </w:tc>
      </w:tr>
      <w:tr w:rsidR="00141952" w:rsidRPr="00C258AD" w:rsidTr="00141952">
        <w:trPr>
          <w:cantSplit/>
        </w:trPr>
        <w:tc>
          <w:tcPr>
            <w:tcW w:w="431" w:type="dxa"/>
            <w:tcBorders>
              <w:top w:val="nil"/>
              <w:left w:val="single" w:sz="4" w:space="0" w:color="auto"/>
              <w:bottom w:val="nil"/>
              <w:right w:val="nil"/>
            </w:tcBorders>
            <w:shd w:val="clear" w:color="auto" w:fill="auto"/>
            <w:noWrap/>
            <w:vAlign w:val="center"/>
            <w:hideMark/>
          </w:tcPr>
          <w:p w:rsidR="00141952" w:rsidRPr="00C258AD" w:rsidRDefault="00141952" w:rsidP="00141952">
            <w:pPr>
              <w:rPr>
                <w:sz w:val="16"/>
                <w:szCs w:val="16"/>
              </w:rPr>
            </w:pPr>
            <w:r w:rsidRPr="00C258AD">
              <w:rPr>
                <w:sz w:val="16"/>
                <w:szCs w:val="16"/>
              </w:rPr>
              <w:t>II.5</w:t>
            </w:r>
          </w:p>
        </w:tc>
        <w:tc>
          <w:tcPr>
            <w:tcW w:w="4569" w:type="dxa"/>
            <w:tcBorders>
              <w:top w:val="nil"/>
              <w:left w:val="nil"/>
              <w:bottom w:val="nil"/>
              <w:right w:val="nil"/>
            </w:tcBorders>
            <w:shd w:val="clear" w:color="auto" w:fill="auto"/>
            <w:vAlign w:val="center"/>
            <w:hideMark/>
          </w:tcPr>
          <w:p w:rsidR="00141952" w:rsidRPr="00C258AD" w:rsidRDefault="00141952" w:rsidP="00141952">
            <w:pPr>
              <w:rPr>
                <w:sz w:val="16"/>
                <w:szCs w:val="16"/>
              </w:rPr>
            </w:pPr>
            <w:r w:rsidRPr="00C258AD">
              <w:rPr>
                <w:sz w:val="16"/>
                <w:szCs w:val="16"/>
              </w:rPr>
              <w:t>Amélioration de la productivité et de la qualité de service des opérations de La Haye</w:t>
            </w:r>
          </w:p>
        </w:tc>
        <w:tc>
          <w:tcPr>
            <w:tcW w:w="1360" w:type="dxa"/>
            <w:tcBorders>
              <w:top w:val="nil"/>
              <w:left w:val="nil"/>
              <w:bottom w:val="nil"/>
              <w:right w:val="nil"/>
            </w:tcBorders>
            <w:shd w:val="clear" w:color="auto" w:fill="auto"/>
            <w:vAlign w:val="center"/>
            <w:hideMark/>
          </w:tcPr>
          <w:p w:rsidR="00141952" w:rsidRPr="00C258AD" w:rsidRDefault="00141952" w:rsidP="00141952">
            <w:pPr>
              <w:jc w:val="right"/>
              <w:rPr>
                <w:sz w:val="16"/>
                <w:szCs w:val="16"/>
              </w:rPr>
            </w:pPr>
            <w:r w:rsidRPr="00C258AD">
              <w:rPr>
                <w:sz w:val="16"/>
                <w:szCs w:val="16"/>
              </w:rPr>
              <w:t>2 351</w:t>
            </w:r>
          </w:p>
        </w:tc>
        <w:tc>
          <w:tcPr>
            <w:tcW w:w="1360" w:type="dxa"/>
            <w:tcBorders>
              <w:top w:val="nil"/>
              <w:left w:val="nil"/>
              <w:bottom w:val="nil"/>
              <w:right w:val="nil"/>
            </w:tcBorders>
            <w:shd w:val="clear" w:color="auto" w:fill="auto"/>
            <w:vAlign w:val="center"/>
            <w:hideMark/>
          </w:tcPr>
          <w:p w:rsidR="00141952" w:rsidRPr="00C258AD" w:rsidRDefault="00141952" w:rsidP="00141952">
            <w:pPr>
              <w:jc w:val="right"/>
              <w:rPr>
                <w:sz w:val="16"/>
                <w:szCs w:val="16"/>
              </w:rPr>
            </w:pPr>
            <w:r w:rsidRPr="00C258AD">
              <w:rPr>
                <w:sz w:val="16"/>
                <w:szCs w:val="16"/>
              </w:rPr>
              <w:t>2 400</w:t>
            </w:r>
          </w:p>
        </w:tc>
        <w:tc>
          <w:tcPr>
            <w:tcW w:w="1360" w:type="dxa"/>
            <w:tcBorders>
              <w:top w:val="nil"/>
              <w:left w:val="nil"/>
              <w:bottom w:val="nil"/>
              <w:right w:val="single" w:sz="4" w:space="0" w:color="auto"/>
            </w:tcBorders>
            <w:shd w:val="clear" w:color="auto" w:fill="auto"/>
            <w:vAlign w:val="center"/>
            <w:hideMark/>
          </w:tcPr>
          <w:p w:rsidR="00141952" w:rsidRPr="00C258AD" w:rsidRDefault="00141952" w:rsidP="00141952">
            <w:pPr>
              <w:jc w:val="right"/>
              <w:rPr>
                <w:sz w:val="16"/>
                <w:szCs w:val="16"/>
              </w:rPr>
            </w:pPr>
            <w:r w:rsidRPr="00C258AD">
              <w:rPr>
                <w:sz w:val="16"/>
                <w:szCs w:val="16"/>
              </w:rPr>
              <w:t>2 399</w:t>
            </w:r>
          </w:p>
        </w:tc>
      </w:tr>
      <w:tr w:rsidR="00141952" w:rsidRPr="00C258AD" w:rsidTr="00141952">
        <w:trPr>
          <w:cantSplit/>
        </w:trPr>
        <w:tc>
          <w:tcPr>
            <w:tcW w:w="431" w:type="dxa"/>
            <w:tcBorders>
              <w:top w:val="single" w:sz="4" w:space="0" w:color="auto"/>
              <w:left w:val="single" w:sz="4" w:space="0" w:color="auto"/>
              <w:bottom w:val="single" w:sz="4" w:space="0" w:color="auto"/>
              <w:right w:val="nil"/>
            </w:tcBorders>
            <w:shd w:val="clear" w:color="auto" w:fill="C5D9F1"/>
            <w:noWrap/>
            <w:vAlign w:val="bottom"/>
            <w:hideMark/>
          </w:tcPr>
          <w:p w:rsidR="00141952" w:rsidRPr="00C258AD" w:rsidRDefault="00141952" w:rsidP="00141952">
            <w:pPr>
              <w:rPr>
                <w:sz w:val="16"/>
                <w:szCs w:val="16"/>
              </w:rPr>
            </w:pPr>
            <w:r w:rsidRPr="00C258AD">
              <w:rPr>
                <w:sz w:val="16"/>
                <w:szCs w:val="16"/>
              </w:rPr>
              <w:t> </w:t>
            </w:r>
          </w:p>
        </w:tc>
        <w:tc>
          <w:tcPr>
            <w:tcW w:w="4569" w:type="dxa"/>
            <w:tcBorders>
              <w:top w:val="single" w:sz="4" w:space="0" w:color="auto"/>
              <w:left w:val="nil"/>
              <w:bottom w:val="single" w:sz="4" w:space="0" w:color="auto"/>
              <w:right w:val="single" w:sz="4" w:space="0" w:color="auto"/>
            </w:tcBorders>
            <w:shd w:val="clear" w:color="auto" w:fill="C5D9F1"/>
            <w:noWrap/>
            <w:vAlign w:val="bottom"/>
            <w:hideMark/>
          </w:tcPr>
          <w:p w:rsidR="00141952" w:rsidRPr="00C258AD" w:rsidRDefault="00141952" w:rsidP="00141952">
            <w:pPr>
              <w:rPr>
                <w:b/>
                <w:bCs/>
                <w:sz w:val="16"/>
                <w:szCs w:val="16"/>
              </w:rPr>
            </w:pPr>
            <w:r w:rsidRPr="00C258AD">
              <w:rPr>
                <w:b/>
                <w:bCs/>
                <w:sz w:val="16"/>
                <w:szCs w:val="16"/>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141952" w:rsidRPr="00C258AD" w:rsidRDefault="00141952" w:rsidP="00141952">
            <w:pPr>
              <w:jc w:val="right"/>
              <w:rPr>
                <w:b/>
                <w:bCs/>
                <w:sz w:val="16"/>
                <w:szCs w:val="16"/>
              </w:rPr>
            </w:pPr>
            <w:r w:rsidRPr="00C258AD">
              <w:rPr>
                <w:b/>
                <w:bCs/>
                <w:sz w:val="16"/>
                <w:szCs w:val="16"/>
              </w:rPr>
              <w:t>7 587</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141952" w:rsidRPr="00C258AD" w:rsidRDefault="00141952" w:rsidP="00141952">
            <w:pPr>
              <w:jc w:val="right"/>
              <w:rPr>
                <w:b/>
                <w:bCs/>
                <w:sz w:val="16"/>
                <w:szCs w:val="16"/>
              </w:rPr>
            </w:pPr>
            <w:r w:rsidRPr="00C258AD">
              <w:rPr>
                <w:b/>
                <w:bCs/>
                <w:sz w:val="16"/>
                <w:szCs w:val="16"/>
              </w:rPr>
              <w:t>7 303</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141952" w:rsidRPr="00C258AD" w:rsidRDefault="00141952" w:rsidP="00141952">
            <w:pPr>
              <w:jc w:val="right"/>
              <w:rPr>
                <w:b/>
                <w:bCs/>
                <w:sz w:val="16"/>
                <w:szCs w:val="16"/>
              </w:rPr>
            </w:pPr>
            <w:r w:rsidRPr="00C258AD">
              <w:rPr>
                <w:b/>
                <w:bCs/>
                <w:sz w:val="16"/>
                <w:szCs w:val="16"/>
              </w:rPr>
              <w:t>6 909</w:t>
            </w:r>
          </w:p>
        </w:tc>
      </w:tr>
    </w:tbl>
    <w:p w:rsidR="006E2BB1" w:rsidRPr="00C258AD" w:rsidRDefault="006E2BB1" w:rsidP="00141952"/>
    <w:p w:rsidR="006E2BB1" w:rsidRPr="00C258AD" w:rsidRDefault="006E2BB1" w:rsidP="00141952"/>
    <w:p w:rsidR="006E2BB1" w:rsidRPr="00C258AD" w:rsidRDefault="00141952" w:rsidP="00141952">
      <w:pPr>
        <w:pStyle w:val="NormalWeb"/>
        <w:keepNext/>
        <w:keepLines/>
        <w:spacing w:before="0" w:beforeAutospacing="0" w:after="0" w:afterAutospacing="0"/>
        <w:jc w:val="center"/>
        <w:rPr>
          <w:sz w:val="20"/>
          <w:szCs w:val="20"/>
        </w:rPr>
      </w:pPr>
      <w:r w:rsidRPr="00C258AD">
        <w:rPr>
          <w:sz w:val="20"/>
          <w:szCs w:val="20"/>
        </w:rPr>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141952" w:rsidP="00141952">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141952" w:rsidRPr="00C258AD" w:rsidRDefault="00141952" w:rsidP="00141952">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141952" w:rsidRPr="00C258AD" w:rsidTr="00141952">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141952" w:rsidRPr="00C258AD" w:rsidRDefault="00141952" w:rsidP="00141952">
            <w:pPr>
              <w:keepNext/>
              <w:rPr>
                <w:color w:val="000000"/>
                <w:sz w:val="16"/>
                <w:szCs w:val="18"/>
              </w:rPr>
            </w:pPr>
            <w:r w:rsidRPr="00C258AD">
              <w:rPr>
                <w:color w:val="000000"/>
                <w:sz w:val="16"/>
                <w:szCs w:val="18"/>
              </w:rPr>
              <w:t> </w:t>
            </w:r>
          </w:p>
        </w:tc>
        <w:tc>
          <w:tcPr>
            <w:tcW w:w="1745" w:type="dxa"/>
            <w:tcBorders>
              <w:top w:val="single" w:sz="4" w:space="0" w:color="auto"/>
              <w:left w:val="nil"/>
              <w:bottom w:val="nil"/>
              <w:right w:val="single" w:sz="4" w:space="0" w:color="auto"/>
            </w:tcBorders>
            <w:shd w:val="clear" w:color="auto" w:fill="C5D9F1"/>
            <w:vAlign w:val="center"/>
            <w:hideMark/>
          </w:tcPr>
          <w:p w:rsidR="00141952" w:rsidRPr="00C258AD" w:rsidRDefault="00141952" w:rsidP="00141952">
            <w:pPr>
              <w:keepNext/>
              <w:jc w:val="center"/>
              <w:rPr>
                <w:b/>
                <w:bCs/>
                <w:color w:val="000000"/>
                <w:sz w:val="16"/>
                <w:szCs w:val="18"/>
              </w:rPr>
            </w:pPr>
            <w:r w:rsidRPr="00C258AD">
              <w:rPr>
                <w:b/>
                <w:bCs/>
                <w:color w:val="000000"/>
                <w:sz w:val="16"/>
                <w:szCs w:val="18"/>
              </w:rPr>
              <w:t>Budget 2014</w:t>
            </w:r>
            <w:r w:rsidRPr="00C258AD">
              <w:rPr>
                <w:b/>
                <w:bCs/>
                <w:color w:val="000000"/>
                <w:sz w:val="16"/>
                <w:szCs w:val="18"/>
              </w:rPr>
              <w:noBreakHyphen/>
              <w:t>2015 approuvé</w:t>
            </w:r>
          </w:p>
        </w:tc>
        <w:tc>
          <w:tcPr>
            <w:tcW w:w="1746" w:type="dxa"/>
            <w:tcBorders>
              <w:top w:val="single" w:sz="4" w:space="0" w:color="auto"/>
              <w:left w:val="nil"/>
              <w:bottom w:val="nil"/>
              <w:right w:val="single" w:sz="4" w:space="0" w:color="auto"/>
            </w:tcBorders>
            <w:shd w:val="clear" w:color="auto" w:fill="C5D9F1"/>
            <w:vAlign w:val="center"/>
            <w:hideMark/>
          </w:tcPr>
          <w:p w:rsidR="00141952" w:rsidRPr="00C258AD" w:rsidRDefault="00141952" w:rsidP="00141952">
            <w:pPr>
              <w:keepNext/>
              <w:jc w:val="center"/>
              <w:rPr>
                <w:b/>
                <w:bCs/>
                <w:color w:val="000000"/>
                <w:sz w:val="16"/>
                <w:szCs w:val="18"/>
              </w:rPr>
            </w:pPr>
            <w:r w:rsidRPr="00C258AD">
              <w:rPr>
                <w:b/>
                <w:bCs/>
                <w:color w:val="000000"/>
                <w:sz w:val="16"/>
                <w:szCs w:val="18"/>
              </w:rPr>
              <w:t>Budget final 2014</w:t>
            </w:r>
            <w:r w:rsidRPr="00C258AD">
              <w:rPr>
                <w:b/>
                <w:bCs/>
                <w:color w:val="000000"/>
                <w:sz w:val="16"/>
                <w:szCs w:val="18"/>
              </w:rPr>
              <w:noBreakHyphen/>
              <w:t>2015</w:t>
            </w:r>
            <w:r w:rsidRPr="00C258AD">
              <w:rPr>
                <w:b/>
                <w:bCs/>
                <w:color w:val="000000"/>
                <w:sz w:val="16"/>
                <w:szCs w:val="18"/>
              </w:rPr>
              <w:br/>
              <w:t>après virements</w:t>
            </w:r>
          </w:p>
        </w:tc>
        <w:tc>
          <w:tcPr>
            <w:tcW w:w="1745" w:type="dxa"/>
            <w:tcBorders>
              <w:top w:val="single" w:sz="4" w:space="0" w:color="auto"/>
              <w:left w:val="nil"/>
              <w:bottom w:val="nil"/>
              <w:right w:val="single" w:sz="4" w:space="0" w:color="auto"/>
            </w:tcBorders>
            <w:shd w:val="clear" w:color="auto" w:fill="C5D9F1"/>
            <w:vAlign w:val="center"/>
            <w:hideMark/>
          </w:tcPr>
          <w:p w:rsidR="00141952" w:rsidRPr="00C258AD" w:rsidRDefault="00141952" w:rsidP="00141952">
            <w:pPr>
              <w:keepNext/>
              <w:jc w:val="center"/>
              <w:rPr>
                <w:b/>
                <w:bCs/>
                <w:color w:val="000000"/>
                <w:sz w:val="16"/>
                <w:szCs w:val="18"/>
              </w:rPr>
            </w:pPr>
            <w:r w:rsidRPr="00C258AD">
              <w:rPr>
                <w:b/>
                <w:bCs/>
                <w:color w:val="000000"/>
                <w:sz w:val="16"/>
                <w:szCs w:val="18"/>
              </w:rPr>
              <w:t>Dépenses 2014</w:t>
            </w:r>
            <w:r w:rsidRPr="00C258AD">
              <w:rPr>
                <w:b/>
                <w:bCs/>
                <w:color w:val="000000"/>
                <w:sz w:val="16"/>
                <w:szCs w:val="18"/>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141952" w:rsidRPr="00C258AD" w:rsidRDefault="00141952" w:rsidP="00141952">
            <w:pPr>
              <w:keepNext/>
              <w:jc w:val="center"/>
              <w:rPr>
                <w:b/>
                <w:bCs/>
                <w:color w:val="000000"/>
                <w:sz w:val="16"/>
                <w:szCs w:val="18"/>
              </w:rPr>
            </w:pPr>
            <w:r w:rsidRPr="00C258AD">
              <w:rPr>
                <w:b/>
                <w:bCs/>
                <w:color w:val="000000"/>
                <w:sz w:val="16"/>
                <w:szCs w:val="18"/>
              </w:rPr>
              <w:t>Taux d’utilisation (%)</w:t>
            </w:r>
          </w:p>
        </w:tc>
      </w:tr>
      <w:tr w:rsidR="00141952" w:rsidRPr="00C258AD" w:rsidTr="00141952">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141952" w:rsidRPr="00C258AD" w:rsidRDefault="00141952" w:rsidP="00141952">
            <w:pPr>
              <w:keepNext/>
              <w:rPr>
                <w:color w:val="000000"/>
                <w:sz w:val="16"/>
                <w:szCs w:val="18"/>
              </w:rPr>
            </w:pPr>
            <w:r w:rsidRPr="00C258AD">
              <w:rPr>
                <w:color w:val="000000"/>
                <w:sz w:val="16"/>
                <w:szCs w:val="18"/>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141952" w:rsidRPr="00C258AD" w:rsidRDefault="00141952" w:rsidP="00141952">
            <w:pPr>
              <w:keepNext/>
              <w:jc w:val="center"/>
              <w:rPr>
                <w:color w:val="000000"/>
                <w:sz w:val="16"/>
                <w:szCs w:val="18"/>
              </w:rPr>
            </w:pPr>
            <w:r w:rsidRPr="00C258AD">
              <w:rPr>
                <w:color w:val="000000"/>
                <w:sz w:val="16"/>
                <w:szCs w:val="18"/>
              </w:rPr>
              <w:t>6 242</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141952" w:rsidRPr="00C258AD" w:rsidRDefault="00141952" w:rsidP="00141952">
            <w:pPr>
              <w:keepNext/>
              <w:jc w:val="center"/>
              <w:rPr>
                <w:color w:val="000000"/>
                <w:sz w:val="16"/>
                <w:szCs w:val="18"/>
              </w:rPr>
            </w:pPr>
            <w:r w:rsidRPr="00C258AD">
              <w:rPr>
                <w:color w:val="000000"/>
                <w:sz w:val="16"/>
                <w:szCs w:val="18"/>
              </w:rPr>
              <w:t>6 281</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141952" w:rsidRPr="00C258AD" w:rsidRDefault="00141952" w:rsidP="00141952">
            <w:pPr>
              <w:keepNext/>
              <w:jc w:val="center"/>
              <w:rPr>
                <w:color w:val="000000"/>
                <w:sz w:val="16"/>
                <w:szCs w:val="18"/>
              </w:rPr>
            </w:pPr>
            <w:r w:rsidRPr="00C258AD">
              <w:rPr>
                <w:color w:val="000000"/>
                <w:sz w:val="16"/>
                <w:szCs w:val="18"/>
              </w:rPr>
              <w:t>6 079</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141952" w:rsidRPr="00C258AD" w:rsidRDefault="00141952" w:rsidP="00141952">
            <w:pPr>
              <w:keepNext/>
              <w:jc w:val="center"/>
              <w:rPr>
                <w:color w:val="000000"/>
                <w:sz w:val="16"/>
                <w:szCs w:val="18"/>
              </w:rPr>
            </w:pPr>
            <w:r w:rsidRPr="00C258AD">
              <w:rPr>
                <w:color w:val="000000"/>
                <w:sz w:val="16"/>
                <w:szCs w:val="18"/>
              </w:rPr>
              <w:t>97%</w:t>
            </w:r>
          </w:p>
        </w:tc>
      </w:tr>
      <w:tr w:rsidR="00141952" w:rsidRPr="00C258AD" w:rsidTr="00141952">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141952" w:rsidRPr="00C258AD" w:rsidRDefault="00141952" w:rsidP="00141952">
            <w:pPr>
              <w:keepNext/>
              <w:rPr>
                <w:color w:val="000000"/>
                <w:sz w:val="16"/>
                <w:szCs w:val="18"/>
              </w:rPr>
            </w:pPr>
            <w:r w:rsidRPr="00C258AD">
              <w:rPr>
                <w:color w:val="000000"/>
                <w:sz w:val="16"/>
                <w:szCs w:val="18"/>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141952" w:rsidRPr="00C258AD" w:rsidRDefault="00141952" w:rsidP="00141952">
            <w:pPr>
              <w:keepNext/>
              <w:jc w:val="center"/>
              <w:rPr>
                <w:color w:val="000000"/>
                <w:sz w:val="16"/>
                <w:szCs w:val="18"/>
              </w:rPr>
            </w:pPr>
            <w:r w:rsidRPr="00C258AD">
              <w:rPr>
                <w:color w:val="000000"/>
                <w:sz w:val="16"/>
                <w:szCs w:val="18"/>
              </w:rPr>
              <w:t>1 346</w:t>
            </w:r>
          </w:p>
        </w:tc>
        <w:tc>
          <w:tcPr>
            <w:tcW w:w="1746" w:type="dxa"/>
            <w:tcBorders>
              <w:top w:val="nil"/>
              <w:left w:val="nil"/>
              <w:bottom w:val="single" w:sz="4" w:space="0" w:color="auto"/>
              <w:right w:val="single" w:sz="4" w:space="0" w:color="auto"/>
            </w:tcBorders>
            <w:shd w:val="clear" w:color="auto" w:fill="auto"/>
            <w:vAlign w:val="center"/>
            <w:hideMark/>
          </w:tcPr>
          <w:p w:rsidR="00141952" w:rsidRPr="00C258AD" w:rsidRDefault="00141952" w:rsidP="00141952">
            <w:pPr>
              <w:keepNext/>
              <w:jc w:val="center"/>
              <w:rPr>
                <w:color w:val="000000"/>
                <w:sz w:val="16"/>
                <w:szCs w:val="18"/>
              </w:rPr>
            </w:pPr>
            <w:r w:rsidRPr="00C258AD">
              <w:rPr>
                <w:color w:val="000000"/>
                <w:sz w:val="16"/>
                <w:szCs w:val="18"/>
              </w:rPr>
              <w:t>1 022</w:t>
            </w:r>
          </w:p>
        </w:tc>
        <w:tc>
          <w:tcPr>
            <w:tcW w:w="1745" w:type="dxa"/>
            <w:tcBorders>
              <w:top w:val="nil"/>
              <w:left w:val="nil"/>
              <w:bottom w:val="single" w:sz="4" w:space="0" w:color="auto"/>
              <w:right w:val="single" w:sz="4" w:space="0" w:color="auto"/>
            </w:tcBorders>
            <w:shd w:val="clear" w:color="auto" w:fill="auto"/>
            <w:vAlign w:val="center"/>
            <w:hideMark/>
          </w:tcPr>
          <w:p w:rsidR="00141952" w:rsidRPr="00C258AD" w:rsidRDefault="00141952" w:rsidP="00141952">
            <w:pPr>
              <w:keepNext/>
              <w:jc w:val="center"/>
              <w:rPr>
                <w:color w:val="000000"/>
                <w:sz w:val="16"/>
                <w:szCs w:val="18"/>
              </w:rPr>
            </w:pPr>
            <w:r w:rsidRPr="00C258AD">
              <w:rPr>
                <w:color w:val="000000"/>
                <w:sz w:val="16"/>
                <w:szCs w:val="18"/>
              </w:rPr>
              <w:t>831</w:t>
            </w:r>
          </w:p>
        </w:tc>
        <w:tc>
          <w:tcPr>
            <w:tcW w:w="1746" w:type="dxa"/>
            <w:tcBorders>
              <w:top w:val="nil"/>
              <w:left w:val="nil"/>
              <w:bottom w:val="single" w:sz="4" w:space="0" w:color="auto"/>
              <w:right w:val="single" w:sz="4" w:space="0" w:color="auto"/>
            </w:tcBorders>
            <w:shd w:val="clear" w:color="auto" w:fill="auto"/>
            <w:vAlign w:val="center"/>
            <w:hideMark/>
          </w:tcPr>
          <w:p w:rsidR="00141952" w:rsidRPr="00C258AD" w:rsidRDefault="00141952" w:rsidP="00141952">
            <w:pPr>
              <w:keepNext/>
              <w:jc w:val="center"/>
              <w:rPr>
                <w:color w:val="000000"/>
                <w:sz w:val="16"/>
                <w:szCs w:val="18"/>
              </w:rPr>
            </w:pPr>
            <w:r w:rsidRPr="00C258AD">
              <w:rPr>
                <w:color w:val="000000"/>
                <w:sz w:val="16"/>
                <w:szCs w:val="18"/>
              </w:rPr>
              <w:t>81%</w:t>
            </w:r>
          </w:p>
        </w:tc>
      </w:tr>
      <w:tr w:rsidR="00141952" w:rsidRPr="00C258AD" w:rsidTr="00141952">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141952" w:rsidRPr="00C258AD" w:rsidRDefault="00141952" w:rsidP="00141952">
            <w:pPr>
              <w:keepNext/>
              <w:jc w:val="right"/>
              <w:rPr>
                <w:b/>
                <w:bCs/>
                <w:color w:val="000000"/>
                <w:sz w:val="16"/>
                <w:szCs w:val="18"/>
              </w:rPr>
            </w:pPr>
            <w:r w:rsidRPr="00C258AD">
              <w:rPr>
                <w:b/>
                <w:bCs/>
                <w:color w:val="000000"/>
                <w:sz w:val="16"/>
                <w:szCs w:val="18"/>
              </w:rPr>
              <w:t>TOTAL</w:t>
            </w:r>
          </w:p>
        </w:tc>
        <w:tc>
          <w:tcPr>
            <w:tcW w:w="1745" w:type="dxa"/>
            <w:tcBorders>
              <w:top w:val="nil"/>
              <w:left w:val="nil"/>
              <w:bottom w:val="single" w:sz="4" w:space="0" w:color="auto"/>
              <w:right w:val="single" w:sz="4" w:space="0" w:color="auto"/>
            </w:tcBorders>
            <w:shd w:val="clear" w:color="auto" w:fill="auto"/>
            <w:vAlign w:val="center"/>
            <w:hideMark/>
          </w:tcPr>
          <w:p w:rsidR="00141952" w:rsidRPr="00C258AD" w:rsidRDefault="00141952" w:rsidP="00141952">
            <w:pPr>
              <w:keepNext/>
              <w:jc w:val="center"/>
              <w:rPr>
                <w:b/>
                <w:bCs/>
                <w:color w:val="000000"/>
                <w:sz w:val="16"/>
                <w:szCs w:val="18"/>
              </w:rPr>
            </w:pPr>
            <w:r w:rsidRPr="00C258AD">
              <w:rPr>
                <w:b/>
                <w:bCs/>
                <w:color w:val="000000"/>
                <w:sz w:val="16"/>
                <w:szCs w:val="18"/>
              </w:rPr>
              <w:t>7 587</w:t>
            </w:r>
          </w:p>
        </w:tc>
        <w:tc>
          <w:tcPr>
            <w:tcW w:w="1746" w:type="dxa"/>
            <w:tcBorders>
              <w:top w:val="nil"/>
              <w:left w:val="nil"/>
              <w:bottom w:val="single" w:sz="4" w:space="0" w:color="auto"/>
              <w:right w:val="single" w:sz="4" w:space="0" w:color="auto"/>
            </w:tcBorders>
            <w:shd w:val="clear" w:color="auto" w:fill="auto"/>
            <w:vAlign w:val="center"/>
            <w:hideMark/>
          </w:tcPr>
          <w:p w:rsidR="00141952" w:rsidRPr="00C258AD" w:rsidRDefault="00141952" w:rsidP="00141952">
            <w:pPr>
              <w:keepNext/>
              <w:jc w:val="center"/>
              <w:rPr>
                <w:b/>
                <w:bCs/>
                <w:color w:val="000000"/>
                <w:sz w:val="16"/>
                <w:szCs w:val="18"/>
              </w:rPr>
            </w:pPr>
            <w:r w:rsidRPr="00C258AD">
              <w:rPr>
                <w:b/>
                <w:bCs/>
                <w:color w:val="000000"/>
                <w:sz w:val="16"/>
                <w:szCs w:val="18"/>
              </w:rPr>
              <w:t>7 303</w:t>
            </w:r>
          </w:p>
        </w:tc>
        <w:tc>
          <w:tcPr>
            <w:tcW w:w="1745" w:type="dxa"/>
            <w:tcBorders>
              <w:top w:val="nil"/>
              <w:left w:val="nil"/>
              <w:bottom w:val="single" w:sz="4" w:space="0" w:color="auto"/>
              <w:right w:val="single" w:sz="4" w:space="0" w:color="auto"/>
            </w:tcBorders>
            <w:shd w:val="clear" w:color="auto" w:fill="auto"/>
            <w:vAlign w:val="center"/>
            <w:hideMark/>
          </w:tcPr>
          <w:p w:rsidR="00141952" w:rsidRPr="00C258AD" w:rsidRDefault="00141952" w:rsidP="00141952">
            <w:pPr>
              <w:keepNext/>
              <w:jc w:val="center"/>
              <w:rPr>
                <w:b/>
                <w:bCs/>
                <w:color w:val="000000"/>
                <w:sz w:val="16"/>
                <w:szCs w:val="18"/>
              </w:rPr>
            </w:pPr>
            <w:r w:rsidRPr="00C258AD">
              <w:rPr>
                <w:b/>
                <w:bCs/>
                <w:color w:val="000000"/>
                <w:sz w:val="16"/>
                <w:szCs w:val="18"/>
              </w:rPr>
              <w:t>6 909</w:t>
            </w:r>
          </w:p>
        </w:tc>
        <w:tc>
          <w:tcPr>
            <w:tcW w:w="1746" w:type="dxa"/>
            <w:tcBorders>
              <w:top w:val="nil"/>
              <w:left w:val="nil"/>
              <w:bottom w:val="single" w:sz="4" w:space="0" w:color="auto"/>
              <w:right w:val="single" w:sz="4" w:space="0" w:color="auto"/>
            </w:tcBorders>
            <w:shd w:val="clear" w:color="auto" w:fill="auto"/>
            <w:vAlign w:val="center"/>
            <w:hideMark/>
          </w:tcPr>
          <w:p w:rsidR="00141952" w:rsidRPr="00C258AD" w:rsidRDefault="00141952" w:rsidP="00141952">
            <w:pPr>
              <w:keepNext/>
              <w:jc w:val="center"/>
              <w:rPr>
                <w:b/>
                <w:bCs/>
                <w:color w:val="000000"/>
                <w:sz w:val="16"/>
                <w:szCs w:val="18"/>
              </w:rPr>
            </w:pPr>
            <w:r w:rsidRPr="00C258AD">
              <w:rPr>
                <w:b/>
                <w:bCs/>
                <w:color w:val="000000"/>
                <w:sz w:val="16"/>
                <w:szCs w:val="18"/>
              </w:rPr>
              <w:t>95%</w:t>
            </w:r>
          </w:p>
        </w:tc>
      </w:tr>
    </w:tbl>
    <w:p w:rsidR="006E2BB1" w:rsidRPr="00C258AD" w:rsidRDefault="006E2BB1" w:rsidP="00141952">
      <w:pPr>
        <w:widowControl w:val="0"/>
        <w:autoSpaceDE w:val="0"/>
        <w:autoSpaceDN w:val="0"/>
        <w:adjustRightInd w:val="0"/>
        <w:jc w:val="both"/>
      </w:pPr>
    </w:p>
    <w:p w:rsidR="006E2BB1" w:rsidRPr="00C258AD" w:rsidRDefault="006E2BB1" w:rsidP="00141952">
      <w:pPr>
        <w:widowControl w:val="0"/>
        <w:autoSpaceDE w:val="0"/>
        <w:autoSpaceDN w:val="0"/>
        <w:adjustRightInd w:val="0"/>
        <w:jc w:val="both"/>
      </w:pPr>
    </w:p>
    <w:p w:rsidR="006E2BB1" w:rsidRPr="00C258AD" w:rsidRDefault="00141952" w:rsidP="00141952">
      <w:pPr>
        <w:rPr>
          <w:u w:val="single"/>
        </w:rPr>
      </w:pPr>
      <w:r w:rsidRPr="00C258AD">
        <w:t>A.</w:t>
      </w:r>
      <w:r w:rsidRPr="00C258AD">
        <w:tab/>
      </w:r>
      <w:r w:rsidRPr="00C258AD">
        <w:rPr>
          <w:u w:val="single"/>
        </w:rPr>
        <w:t>Budget final 2014</w:t>
      </w:r>
      <w:r w:rsidRPr="00C258AD">
        <w:rPr>
          <w:u w:val="single"/>
        </w:rPr>
        <w:noBreakHyphen/>
        <w:t>2015 après virements</w:t>
      </w:r>
    </w:p>
    <w:p w:rsidR="006E2BB1" w:rsidRPr="00C258AD" w:rsidRDefault="006E2BB1" w:rsidP="00141952"/>
    <w:p w:rsidR="006E2BB1" w:rsidRPr="00C258AD" w:rsidRDefault="00141952" w:rsidP="00473433">
      <w:pPr>
        <w:pStyle w:val="ListParagraph"/>
        <w:numPr>
          <w:ilvl w:val="0"/>
          <w:numId w:val="77"/>
        </w:numPr>
        <w:tabs>
          <w:tab w:val="left" w:pos="709"/>
        </w:tabs>
        <w:ind w:left="0" w:firstLine="0"/>
        <w:jc w:val="both"/>
      </w:pPr>
      <w:r w:rsidRPr="00C258AD">
        <w:t>Le budget final 2014</w:t>
      </w:r>
      <w:r w:rsidRPr="00C258AD">
        <w:noBreakHyphen/>
        <w:t>2015 après virements fait apparaître une nette augmentation des dépenses de personnel, principalement en raison : i) du transfert temporaire d’un membre du personnel du programme 10 (Coopération avec certains pays d’Europe et d’Asie) au programme en vue d’apporter un appui supplémentaire lors des réunions du groupe de travail et des activités de promotion;  et ii) du transfert d’autres ressources en personnel, notamment de deux agents temporaires venant des programmes 9 et 19, afin de répondre aux exigences supplémentaires en matière d’examen résultant des adhésions des États</w:t>
      </w:r>
      <w:r w:rsidRPr="00C258AD">
        <w:noBreakHyphen/>
        <w:t>Unis d’Amérique, du Japon et de la République de Corée.  Le résultat II.5 (Amélioration de la productivité et de la qualité de service des opérations de La Haye) illustre cela.</w:t>
      </w:r>
    </w:p>
    <w:p w:rsidR="006E2BB1" w:rsidRPr="00C258AD" w:rsidRDefault="00141952" w:rsidP="00473433">
      <w:pPr>
        <w:pStyle w:val="ListParagraph"/>
        <w:numPr>
          <w:ilvl w:val="0"/>
          <w:numId w:val="77"/>
        </w:numPr>
        <w:tabs>
          <w:tab w:val="left" w:pos="709"/>
        </w:tabs>
        <w:ind w:left="0" w:firstLine="0"/>
        <w:jc w:val="both"/>
      </w:pPr>
      <w:r w:rsidRPr="00C258AD">
        <w:lastRenderedPageBreak/>
        <w:t xml:space="preserve">La nette diminution des dépenses autres que les dépenses de personnel au titre du résultat II.4 (Utilisation élargie et plus efficace du système de La Haye) est principalement due : i) au transfert des dépenses autres que les dépenses de personnel pour un stagiaire (vers le programme 23 (DGRH) qui gère les stagiaires de manière centralisée) afin d’appuyer le travail sur les nouvelles adhésions;  et ii) au transfert de fonds vers le programme 6 (systèmes de Madrid et de Lisbonne) </w:t>
      </w:r>
      <w:r w:rsidRPr="00C258AD">
        <w:rPr>
          <w:rFonts w:cs="Arial"/>
          <w:lang w:eastAsia="ko-KR"/>
        </w:rPr>
        <w:t>pour des travaux informatiques ainsi que pour couvrir le coût des délégués supplémentaires aux assemblées des Unions de Madrid, La Haye et Lisbonne suite à l’élargissement de ces systèmes</w:t>
      </w:r>
      <w:r w:rsidRPr="00C258AD">
        <w:t>.</w:t>
      </w:r>
    </w:p>
    <w:p w:rsidR="006E2BB1" w:rsidRPr="00C258AD" w:rsidRDefault="006E2BB1" w:rsidP="00141952">
      <w:pPr>
        <w:autoSpaceDE w:val="0"/>
        <w:autoSpaceDN w:val="0"/>
        <w:jc w:val="both"/>
      </w:pPr>
    </w:p>
    <w:p w:rsidR="006E2BB1" w:rsidRPr="00C258AD" w:rsidRDefault="006E2BB1" w:rsidP="00141952">
      <w:pPr>
        <w:autoSpaceDE w:val="0"/>
        <w:autoSpaceDN w:val="0"/>
        <w:jc w:val="both"/>
      </w:pPr>
    </w:p>
    <w:p w:rsidR="006E2BB1" w:rsidRPr="00C258AD" w:rsidRDefault="00141952" w:rsidP="00141952">
      <w:pPr>
        <w:keepNext/>
        <w:keepLines/>
        <w:jc w:val="both"/>
        <w:rPr>
          <w:u w:val="single"/>
        </w:rPr>
      </w:pPr>
      <w:r w:rsidRPr="00C258AD">
        <w:t>B.</w:t>
      </w:r>
      <w:r w:rsidRPr="00C258AD">
        <w:tab/>
      </w:r>
      <w:r w:rsidRPr="00C258AD">
        <w:rPr>
          <w:u w:val="single"/>
        </w:rPr>
        <w:t>Utilisation du budget en 2014</w:t>
      </w:r>
      <w:r w:rsidRPr="00C258AD">
        <w:rPr>
          <w:u w:val="single"/>
        </w:rPr>
        <w:noBreakHyphen/>
        <w:t>2015</w:t>
      </w:r>
    </w:p>
    <w:p w:rsidR="006E2BB1" w:rsidRPr="00C258AD" w:rsidRDefault="006E2BB1" w:rsidP="00141952">
      <w:pPr>
        <w:keepNext/>
        <w:keepLines/>
        <w:tabs>
          <w:tab w:val="left" w:pos="709"/>
        </w:tabs>
        <w:jc w:val="both"/>
        <w:rPr>
          <w:u w:val="single"/>
        </w:rPr>
      </w:pPr>
    </w:p>
    <w:p w:rsidR="006E2BB1" w:rsidRPr="00C258AD" w:rsidRDefault="00141952" w:rsidP="00473433">
      <w:pPr>
        <w:pStyle w:val="ListParagraph"/>
        <w:keepNext/>
        <w:keepLines/>
        <w:numPr>
          <w:ilvl w:val="0"/>
          <w:numId w:val="77"/>
        </w:numPr>
        <w:tabs>
          <w:tab w:val="left" w:pos="709"/>
        </w:tabs>
        <w:ind w:left="0" w:firstLine="0"/>
        <w:jc w:val="both"/>
      </w:pPr>
      <w:r w:rsidRPr="00C258AD">
        <w:t>Le taux d’utilisation du budget pour les dépenses autres que les dépenses de personnel s’élève à 81% du budget 2014</w:t>
      </w:r>
      <w:r w:rsidRPr="00C258AD">
        <w:noBreakHyphen/>
        <w:t>2015 après virements.  Cela tient essentiellement à un retard des travaux informatiques lié au report de l’adhésion de certaines parties contractantes dans le cadre du résultat II.4 (Utilisation élargie et plus efficace du système de La Haye).</w:t>
      </w:r>
    </w:p>
    <w:p w:rsidR="006E2BB1" w:rsidRPr="00C258AD" w:rsidRDefault="00141952">
      <w:pPr>
        <w:spacing w:after="200" w:line="276" w:lineRule="auto"/>
      </w:pPr>
      <w:r w:rsidRPr="00C258AD">
        <w:br w:type="page"/>
      </w:r>
    </w:p>
    <w:p w:rsidR="006E2BB1" w:rsidRPr="00C258AD" w:rsidRDefault="00141952" w:rsidP="00EA46D0">
      <w:pPr>
        <w:pStyle w:val="Heading4"/>
      </w:pPr>
      <w:bookmarkStart w:id="86" w:name="_Toc421694908"/>
      <w:bookmarkStart w:id="87" w:name="_Toc422404224"/>
      <w:bookmarkStart w:id="88" w:name="_Toc423352872"/>
      <w:r w:rsidRPr="00C258AD">
        <w:lastRenderedPageBreak/>
        <w:t>Annexe du programme 31 : indicateurs relatifs aux opérations du système de La Haye</w:t>
      </w:r>
      <w:bookmarkEnd w:id="86"/>
      <w:bookmarkEnd w:id="87"/>
      <w:bookmarkEnd w:id="88"/>
    </w:p>
    <w:p w:rsidR="006E2BB1" w:rsidRPr="00C258AD" w:rsidRDefault="006E2BB1" w:rsidP="00141952">
      <w:pPr>
        <w:rPr>
          <w:b/>
        </w:rPr>
      </w:pPr>
    </w:p>
    <w:p w:rsidR="006E2BB1" w:rsidRPr="00C258AD" w:rsidRDefault="006E2BB1" w:rsidP="00141952"/>
    <w:p w:rsidR="006E2BB1" w:rsidRPr="00C258AD" w:rsidRDefault="00141952" w:rsidP="00141952">
      <w:pPr>
        <w:rPr>
          <w:caps/>
          <w:sz w:val="22"/>
        </w:rPr>
      </w:pPr>
      <w:r w:rsidRPr="00C258AD">
        <w:rPr>
          <w:caps/>
          <w:sz w:val="22"/>
        </w:rPr>
        <w:t>INDICATeuRS d’exÉcution pour le rÉsultat escomptÉ</w:t>
      </w:r>
    </w:p>
    <w:p w:rsidR="006E2BB1" w:rsidRPr="00C258AD" w:rsidRDefault="00141952" w:rsidP="00141952">
      <w:pPr>
        <w:rPr>
          <w:sz w:val="22"/>
        </w:rPr>
      </w:pPr>
      <w:r w:rsidRPr="00C258AD">
        <w:rPr>
          <w:sz w:val="22"/>
        </w:rPr>
        <w:t>“AMÉLIORATION DE LA PRODUCTIVITÉ ET DE LA QUALITÉ DE SERVICE DES OPÉRATIONS DU SYSTÈME DE LA HAYE”</w:t>
      </w:r>
    </w:p>
    <w:p w:rsidR="006E2BB1" w:rsidRPr="00C258AD" w:rsidRDefault="006E2BB1" w:rsidP="00141952"/>
    <w:p w:rsidR="006E2BB1" w:rsidRPr="00C258AD" w:rsidRDefault="006E2BB1" w:rsidP="00141952"/>
    <w:p w:rsidR="006E2BB1" w:rsidRPr="00C258AD" w:rsidRDefault="00141952" w:rsidP="00473433">
      <w:pPr>
        <w:pStyle w:val="ListParagraph"/>
        <w:numPr>
          <w:ilvl w:val="0"/>
          <w:numId w:val="85"/>
        </w:numPr>
        <w:tabs>
          <w:tab w:val="left" w:pos="0"/>
          <w:tab w:val="left" w:pos="567"/>
        </w:tabs>
        <w:ind w:left="0" w:firstLine="0"/>
        <w:contextualSpacing/>
        <w:jc w:val="both"/>
      </w:pPr>
      <w:r w:rsidRPr="00C258AD">
        <w:t>En vue d’établir les indicateurs d’exécution pour le résultat escompté “Amélioration de la productivité et de la qualité de service des opérations du système de La Haye”, il convient d’examiner l’évolution des éléments suivants :</w:t>
      </w:r>
    </w:p>
    <w:p w:rsidR="006E2BB1" w:rsidRPr="00C258AD" w:rsidRDefault="006E2BB1" w:rsidP="00141952"/>
    <w:p w:rsidR="006E2BB1" w:rsidRPr="00C258AD" w:rsidRDefault="00141952" w:rsidP="00D72F63">
      <w:pPr>
        <w:numPr>
          <w:ilvl w:val="0"/>
          <w:numId w:val="63"/>
        </w:numPr>
        <w:tabs>
          <w:tab w:val="clear" w:pos="720"/>
        </w:tabs>
        <w:spacing w:after="120"/>
        <w:ind w:left="567" w:firstLine="0"/>
        <w:jc w:val="both"/>
      </w:pPr>
      <w:r w:rsidRPr="00C258AD">
        <w:t>la charge de travail dans le cadre du système de La Haye;</w:t>
      </w:r>
    </w:p>
    <w:p w:rsidR="006E2BB1" w:rsidRPr="00C258AD" w:rsidRDefault="00141952" w:rsidP="00D72F63">
      <w:pPr>
        <w:numPr>
          <w:ilvl w:val="0"/>
          <w:numId w:val="63"/>
        </w:numPr>
        <w:tabs>
          <w:tab w:val="clear" w:pos="720"/>
        </w:tabs>
        <w:spacing w:after="120"/>
        <w:ind w:left="567" w:firstLine="0"/>
        <w:jc w:val="both"/>
      </w:pPr>
      <w:r w:rsidRPr="00C258AD">
        <w:t>les facteurs expliquant cette charge de travail;</w:t>
      </w:r>
    </w:p>
    <w:p w:rsidR="006E2BB1" w:rsidRPr="00C258AD" w:rsidRDefault="00141952" w:rsidP="00D72F63">
      <w:pPr>
        <w:numPr>
          <w:ilvl w:val="0"/>
          <w:numId w:val="63"/>
        </w:numPr>
        <w:tabs>
          <w:tab w:val="clear" w:pos="720"/>
        </w:tabs>
        <w:spacing w:after="120"/>
        <w:ind w:left="567" w:firstLine="0"/>
        <w:jc w:val="both"/>
      </w:pPr>
      <w:r w:rsidRPr="00C258AD">
        <w:t>le degré d’automatisation;  et</w:t>
      </w:r>
    </w:p>
    <w:p w:rsidR="006E2BB1" w:rsidRPr="00C258AD" w:rsidRDefault="00141952" w:rsidP="00141952">
      <w:pPr>
        <w:numPr>
          <w:ilvl w:val="0"/>
          <w:numId w:val="63"/>
        </w:numPr>
        <w:tabs>
          <w:tab w:val="clear" w:pos="720"/>
        </w:tabs>
        <w:ind w:left="567" w:firstLine="0"/>
        <w:jc w:val="both"/>
      </w:pPr>
      <w:r w:rsidRPr="00C258AD">
        <w:t>les ressources prévues pour absorber la charge de travail.</w:t>
      </w:r>
    </w:p>
    <w:p w:rsidR="006E2BB1" w:rsidRPr="00C258AD" w:rsidRDefault="006E2BB1" w:rsidP="00141952">
      <w:pPr>
        <w:jc w:val="both"/>
      </w:pPr>
    </w:p>
    <w:p w:rsidR="006E2BB1" w:rsidRPr="00C258AD" w:rsidRDefault="00141952" w:rsidP="00473433">
      <w:pPr>
        <w:pStyle w:val="ListParagraph"/>
        <w:numPr>
          <w:ilvl w:val="0"/>
          <w:numId w:val="85"/>
        </w:numPr>
        <w:tabs>
          <w:tab w:val="left" w:pos="0"/>
          <w:tab w:val="left" w:pos="567"/>
        </w:tabs>
        <w:ind w:left="0" w:firstLine="0"/>
        <w:contextualSpacing/>
        <w:jc w:val="both"/>
      </w:pPr>
      <w:r w:rsidRPr="00C258AD">
        <w:t>Le Bureau international reçoit essentiellement quatre types de documents, à savoir les demandes internationales, les demandes de renouvellement, les requêtes en inscription de changements et les décisions.  Les dernières tendances concernant chacun de ces documents sont indiquées ci</w:t>
      </w:r>
      <w:r w:rsidRPr="00C258AD">
        <w:noBreakHyphen/>
        <w:t>après.  Des informations supplémentaires sur les demandes reçues, telles que le nombre moyen de dessins ou modèles par demande, sont également fournies.  Pour des raisons techniques, les données fournies dans l’indicateur relatif aux irrégularités sont fondées sur les documents traités plutôt que sur les documents reçus.</w:t>
      </w:r>
    </w:p>
    <w:p w:rsidR="006E2BB1" w:rsidRPr="00C258AD" w:rsidRDefault="006E2BB1" w:rsidP="00141952"/>
    <w:p w:rsidR="006E2BB1" w:rsidRPr="00C258AD" w:rsidRDefault="00141952" w:rsidP="00141952">
      <w:pPr>
        <w:tabs>
          <w:tab w:val="left" w:pos="567"/>
        </w:tabs>
        <w:rPr>
          <w:b/>
        </w:rPr>
      </w:pPr>
      <w:r w:rsidRPr="00C258AD">
        <w:rPr>
          <w:b/>
        </w:rPr>
        <w:t>I.</w:t>
      </w:r>
      <w:r w:rsidRPr="00C258AD">
        <w:rPr>
          <w:b/>
        </w:rPr>
        <w:tab/>
        <w:t>Documents reçus</w:t>
      </w:r>
    </w:p>
    <w:p w:rsidR="006E2BB1" w:rsidRPr="00C258AD" w:rsidRDefault="006E2BB1" w:rsidP="00141952">
      <w:pPr>
        <w:tabs>
          <w:tab w:val="left" w:pos="567"/>
        </w:tabs>
        <w:rPr>
          <w:b/>
        </w:rPr>
      </w:pPr>
    </w:p>
    <w:p w:rsidR="006E2BB1" w:rsidRPr="00C258AD" w:rsidRDefault="00141952" w:rsidP="00141952">
      <w:pPr>
        <w:rPr>
          <w:u w:val="single"/>
        </w:rPr>
      </w:pPr>
      <w:r w:rsidRPr="00C258AD">
        <w:rPr>
          <w:u w:val="single"/>
        </w:rPr>
        <w:t>Demandes reçues</w:t>
      </w:r>
    </w:p>
    <w:p w:rsidR="006E2BB1" w:rsidRPr="00C258AD" w:rsidRDefault="006E2BB1" w:rsidP="00141952">
      <w:pPr>
        <w:rPr>
          <w:u w:val="single"/>
        </w:rPr>
      </w:pPr>
    </w:p>
    <w:p w:rsidR="006E2BB1" w:rsidRPr="00C258AD" w:rsidRDefault="00141952" w:rsidP="00141952">
      <w:pPr>
        <w:jc w:val="center"/>
        <w:rPr>
          <w:u w:val="single"/>
        </w:rPr>
      </w:pPr>
      <w:r w:rsidRPr="00C258AD">
        <w:rPr>
          <w:noProof/>
          <w:lang w:val="en-US"/>
        </w:rPr>
        <w:drawing>
          <wp:inline distT="0" distB="0" distL="0" distR="0" wp14:anchorId="0DDE7924" wp14:editId="2AD9FFEB">
            <wp:extent cx="4271453" cy="2700000"/>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271453" cy="2700000"/>
                    </a:xfrm>
                    <a:prstGeom prst="rect">
                      <a:avLst/>
                    </a:prstGeom>
                    <a:noFill/>
                    <a:ln>
                      <a:noFill/>
                    </a:ln>
                  </pic:spPr>
                </pic:pic>
              </a:graphicData>
            </a:graphic>
          </wp:inline>
        </w:drawing>
      </w:r>
    </w:p>
    <w:p w:rsidR="006E2BB1" w:rsidRPr="00C258AD" w:rsidRDefault="006E2BB1" w:rsidP="00141952">
      <w:pPr>
        <w:jc w:val="center"/>
        <w:rPr>
          <w:u w:val="single"/>
        </w:rPr>
      </w:pPr>
    </w:p>
    <w:p w:rsidR="006E2BB1" w:rsidRPr="00C258AD" w:rsidRDefault="00141952" w:rsidP="00473433">
      <w:pPr>
        <w:pStyle w:val="ListParagraph"/>
        <w:numPr>
          <w:ilvl w:val="0"/>
          <w:numId w:val="78"/>
        </w:numPr>
        <w:ind w:left="1134" w:hanging="567"/>
        <w:jc w:val="both"/>
      </w:pPr>
      <w:r w:rsidRPr="00C258AD">
        <w:t xml:space="preserve">En 2015, le Bureau international a reçu 4111 demandes internationales, soit une augmentation de 41% par rapport à 2014.  Outre les demandes de </w:t>
      </w:r>
      <w:r w:rsidRPr="00C258AD">
        <w:rPr>
          <w:rFonts w:cs="Arial"/>
        </w:rPr>
        <w:t>l’Union européenne (+352 demandes), celles de la République de Corée (+487 demandes), des États</w:t>
      </w:r>
      <w:r w:rsidRPr="00C258AD">
        <w:rPr>
          <w:rFonts w:cs="Arial"/>
        </w:rPr>
        <w:noBreakHyphen/>
        <w:t xml:space="preserve">Unis d’Amérique (+140 demandes) et du Japon (+128 demandes), </w:t>
      </w:r>
      <w:r w:rsidRPr="00C258AD">
        <w:t>trois</w:t>
      </w:r>
      <w:r w:rsidRPr="00C258AD">
        <w:rPr>
          <w:rFonts w:cs="Arial"/>
        </w:rPr>
        <w:t> pays ayant rejoint le système de La Haye en 2014</w:t>
      </w:r>
      <w:r w:rsidRPr="00C258AD">
        <w:rPr>
          <w:rFonts w:cs="Arial"/>
        </w:rPr>
        <w:noBreakHyphen/>
        <w:t>2015, ont aussi contribué à cette augmentation.  Le nombre total de demandes reçues en 2014</w:t>
      </w:r>
      <w:r w:rsidRPr="00C258AD">
        <w:rPr>
          <w:rFonts w:cs="Arial"/>
        </w:rPr>
        <w:noBreakHyphen/>
        <w:t>2015 (7035) a progressé de 26% par rapport à 2012</w:t>
      </w:r>
      <w:r w:rsidRPr="00C258AD">
        <w:rPr>
          <w:rFonts w:cs="Arial"/>
        </w:rPr>
        <w:noBreakHyphen/>
        <w:t>2013 (5594).</w:t>
      </w:r>
    </w:p>
    <w:p w:rsidR="006E2BB1" w:rsidRPr="00C258AD" w:rsidRDefault="006E2BB1" w:rsidP="00141952">
      <w:pPr>
        <w:pStyle w:val="ListParagraph"/>
        <w:numPr>
          <w:ilvl w:val="0"/>
          <w:numId w:val="0"/>
        </w:numPr>
        <w:ind w:left="992"/>
        <w:jc w:val="both"/>
      </w:pPr>
    </w:p>
    <w:p w:rsidR="006E2BB1" w:rsidRPr="00C258AD" w:rsidRDefault="00141952" w:rsidP="00473433">
      <w:pPr>
        <w:pStyle w:val="ListParagraph"/>
        <w:numPr>
          <w:ilvl w:val="0"/>
          <w:numId w:val="78"/>
        </w:numPr>
        <w:ind w:left="1134" w:hanging="567"/>
        <w:contextualSpacing/>
        <w:jc w:val="both"/>
        <w:rPr>
          <w:i/>
        </w:rPr>
      </w:pPr>
      <w:r w:rsidRPr="00C258AD">
        <w:t>En 2015, 93% des demandes ont été déposées par voie électronique, ce qui représente une augmentation de 4% par rapport à 2014.  Le taux de dépôts par voie électronique a augmenté de 14% entre 2011 et 2015, passant de 79% en 2011 à 93% en 2015.</w:t>
      </w:r>
    </w:p>
    <w:p w:rsidR="006E2BB1" w:rsidRPr="00C258AD" w:rsidRDefault="00141952" w:rsidP="00141952">
      <w:pPr>
        <w:keepNext/>
        <w:keepLines/>
        <w:ind w:left="207" w:firstLine="360"/>
        <w:rPr>
          <w:i/>
        </w:rPr>
      </w:pPr>
      <w:r w:rsidRPr="00C258AD">
        <w:rPr>
          <w:i/>
        </w:rPr>
        <w:lastRenderedPageBreak/>
        <w:t>Nombre moyen de dessins ou modèles par demande</w:t>
      </w:r>
    </w:p>
    <w:p w:rsidR="006E2BB1" w:rsidRPr="00C258AD" w:rsidRDefault="006E2BB1" w:rsidP="00141952"/>
    <w:p w:rsidR="006E2BB1" w:rsidRPr="00C258AD" w:rsidRDefault="00141952" w:rsidP="00141952">
      <w:pPr>
        <w:jc w:val="center"/>
      </w:pPr>
      <w:r w:rsidRPr="00C258AD">
        <w:rPr>
          <w:noProof/>
          <w:lang w:val="en-US"/>
        </w:rPr>
        <w:drawing>
          <wp:inline distT="0" distB="0" distL="0" distR="0" wp14:anchorId="083BA9CC" wp14:editId="73EDBF43">
            <wp:extent cx="4278881" cy="2700000"/>
            <wp:effectExtent l="0" t="0" r="762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4278881" cy="2700000"/>
                    </a:xfrm>
                    <a:prstGeom prst="rect">
                      <a:avLst/>
                    </a:prstGeom>
                    <a:noFill/>
                    <a:ln>
                      <a:noFill/>
                    </a:ln>
                  </pic:spPr>
                </pic:pic>
              </a:graphicData>
            </a:graphic>
          </wp:inline>
        </w:drawing>
      </w:r>
    </w:p>
    <w:p w:rsidR="006E2BB1" w:rsidRPr="00C258AD" w:rsidRDefault="006E2BB1" w:rsidP="00141952">
      <w:pPr>
        <w:jc w:val="center"/>
      </w:pPr>
    </w:p>
    <w:p w:rsidR="006E2BB1" w:rsidRPr="00C258AD" w:rsidRDefault="00141952" w:rsidP="00473433">
      <w:pPr>
        <w:pStyle w:val="ListParagraph"/>
        <w:numPr>
          <w:ilvl w:val="0"/>
          <w:numId w:val="79"/>
        </w:numPr>
        <w:ind w:left="1134" w:hanging="567"/>
        <w:contextualSpacing/>
        <w:jc w:val="both"/>
      </w:pPr>
      <w:r w:rsidRPr="00C258AD">
        <w:t xml:space="preserve">En 2015, une demande contenait en moyenne quatre dessins ou modèles, </w:t>
      </w:r>
      <w:r w:rsidRPr="00C258AD">
        <w:rPr>
          <w:rFonts w:cs="Arial"/>
        </w:rPr>
        <w:t>soit près d’un dessin ou modèle de moins par rapport à la moyenne de 2014</w:t>
      </w:r>
      <w:r w:rsidRPr="00C258AD">
        <w:t>.  Entre 2011 et 2015, le nombre moyen de dessins ou modèles par demande a varié entre quatre et cinq.</w:t>
      </w:r>
    </w:p>
    <w:p w:rsidR="006E2BB1" w:rsidRPr="00C258AD" w:rsidRDefault="006E2BB1" w:rsidP="00141952"/>
    <w:p w:rsidR="006E2BB1" w:rsidRPr="00C258AD" w:rsidRDefault="006E2BB1" w:rsidP="00141952"/>
    <w:p w:rsidR="006E2BB1" w:rsidRPr="00C258AD" w:rsidRDefault="00141952" w:rsidP="00141952">
      <w:pPr>
        <w:keepNext/>
        <w:keepLines/>
        <w:ind w:left="207" w:firstLine="360"/>
        <w:rPr>
          <w:i/>
        </w:rPr>
      </w:pPr>
      <w:r w:rsidRPr="00C258AD">
        <w:rPr>
          <w:i/>
        </w:rPr>
        <w:t>Nombre moyen de désignations par demande</w:t>
      </w:r>
    </w:p>
    <w:p w:rsidR="006E2BB1" w:rsidRPr="00C258AD" w:rsidRDefault="006E2BB1" w:rsidP="00141952"/>
    <w:p w:rsidR="006E2BB1" w:rsidRPr="00C258AD" w:rsidRDefault="00141952" w:rsidP="00141952">
      <w:pPr>
        <w:jc w:val="center"/>
      </w:pPr>
      <w:r w:rsidRPr="00C258AD">
        <w:rPr>
          <w:noProof/>
          <w:lang w:val="en-US"/>
        </w:rPr>
        <w:drawing>
          <wp:inline distT="0" distB="0" distL="0" distR="0" wp14:anchorId="02CF6A79" wp14:editId="6A346478">
            <wp:extent cx="4278881" cy="2700000"/>
            <wp:effectExtent l="0" t="0" r="762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4278881" cy="2700000"/>
                    </a:xfrm>
                    <a:prstGeom prst="rect">
                      <a:avLst/>
                    </a:prstGeom>
                    <a:noFill/>
                    <a:ln>
                      <a:noFill/>
                    </a:ln>
                  </pic:spPr>
                </pic:pic>
              </a:graphicData>
            </a:graphic>
          </wp:inline>
        </w:drawing>
      </w:r>
    </w:p>
    <w:p w:rsidR="006E2BB1" w:rsidRPr="00C258AD" w:rsidRDefault="006E2BB1" w:rsidP="00141952"/>
    <w:p w:rsidR="006E2BB1" w:rsidRPr="00C258AD" w:rsidRDefault="00141952" w:rsidP="00473433">
      <w:pPr>
        <w:pStyle w:val="ListParagraph"/>
        <w:numPr>
          <w:ilvl w:val="0"/>
          <w:numId w:val="79"/>
        </w:numPr>
        <w:ind w:left="1134" w:hanging="567"/>
        <w:contextualSpacing/>
        <w:jc w:val="both"/>
      </w:pPr>
      <w:r w:rsidRPr="00C258AD">
        <w:t xml:space="preserve">En 2015, une demande contenait en moyenne 4,5 désignations, </w:t>
      </w:r>
      <w:r w:rsidRPr="00C258AD">
        <w:rPr>
          <w:rFonts w:cs="Arial"/>
        </w:rPr>
        <w:t xml:space="preserve">contre une moyenne d’environ </w:t>
      </w:r>
      <w:r w:rsidRPr="00C258AD">
        <w:t>cinq désignations en 2014.  Ce chiffre représentait le nombre moyen de désignations par demande le plus faible depuis </w:t>
      </w:r>
      <w:r w:rsidRPr="00C258AD">
        <w:rPr>
          <w:rFonts w:cs="Arial"/>
        </w:rPr>
        <w:t>2011</w:t>
      </w:r>
      <w:r w:rsidRPr="00C258AD">
        <w:t>.</w:t>
      </w:r>
    </w:p>
    <w:p w:rsidR="006E2BB1" w:rsidRPr="00C258AD" w:rsidRDefault="006E2BB1" w:rsidP="00141952">
      <w:pPr>
        <w:jc w:val="both"/>
      </w:pPr>
    </w:p>
    <w:p w:rsidR="006E2BB1" w:rsidRPr="00C258AD" w:rsidRDefault="00141952" w:rsidP="00141952">
      <w:pPr>
        <w:keepNext/>
        <w:keepLines/>
        <w:ind w:left="207" w:firstLine="360"/>
        <w:rPr>
          <w:i/>
        </w:rPr>
      </w:pPr>
      <w:r w:rsidRPr="00C258AD">
        <w:rPr>
          <w:i/>
        </w:rPr>
        <w:lastRenderedPageBreak/>
        <w:t>Tendance en ce qui concerne les irrégularités dans les demandes</w:t>
      </w:r>
    </w:p>
    <w:p w:rsidR="006E2BB1" w:rsidRPr="00C258AD" w:rsidRDefault="006E2BB1" w:rsidP="00141952">
      <w:pPr>
        <w:keepNext/>
      </w:pPr>
    </w:p>
    <w:p w:rsidR="006E2BB1" w:rsidRPr="00C258AD" w:rsidRDefault="00141952" w:rsidP="00473433">
      <w:pPr>
        <w:pStyle w:val="ListParagraph"/>
        <w:keepNext/>
        <w:keepLines/>
        <w:numPr>
          <w:ilvl w:val="0"/>
          <w:numId w:val="85"/>
        </w:numPr>
        <w:tabs>
          <w:tab w:val="left" w:pos="0"/>
          <w:tab w:val="left" w:pos="567"/>
        </w:tabs>
        <w:ind w:left="0" w:firstLine="0"/>
        <w:contextualSpacing/>
        <w:jc w:val="both"/>
      </w:pPr>
      <w:r w:rsidRPr="00C258AD">
        <w:t>Les irrégularités dans les demandes ont été regroupées dans les 10 catégories indiquées ci</w:t>
      </w:r>
      <w:r w:rsidRPr="00C258AD">
        <w:noBreakHyphen/>
        <w:t>après.</w:t>
      </w:r>
    </w:p>
    <w:p w:rsidR="006E2BB1" w:rsidRPr="00C258AD" w:rsidRDefault="006E2BB1" w:rsidP="00141952">
      <w:pPr>
        <w:keepNext/>
        <w:keepLines/>
        <w:tabs>
          <w:tab w:val="left" w:pos="0"/>
          <w:tab w:val="left" w:pos="567"/>
        </w:tabs>
        <w:jc w:val="center"/>
        <w:rPr>
          <w:lang w:eastAsia="fr-FR"/>
        </w:rPr>
      </w:pPr>
    </w:p>
    <w:p w:rsidR="006E2BB1" w:rsidRPr="00C258AD" w:rsidRDefault="00141952" w:rsidP="00141952">
      <w:pPr>
        <w:keepNext/>
        <w:keepLines/>
        <w:tabs>
          <w:tab w:val="left" w:pos="0"/>
          <w:tab w:val="left" w:pos="567"/>
        </w:tabs>
        <w:jc w:val="center"/>
      </w:pPr>
      <w:r w:rsidRPr="00C258AD">
        <w:rPr>
          <w:noProof/>
          <w:lang w:val="en-US"/>
        </w:rPr>
        <w:drawing>
          <wp:inline distT="0" distB="0" distL="0" distR="0" wp14:anchorId="76FF387E" wp14:editId="38273601">
            <wp:extent cx="4827217" cy="295200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827217" cy="2952000"/>
                    </a:xfrm>
                    <a:prstGeom prst="rect">
                      <a:avLst/>
                    </a:prstGeom>
                    <a:noFill/>
                    <a:ln>
                      <a:noFill/>
                    </a:ln>
                  </pic:spPr>
                </pic:pic>
              </a:graphicData>
            </a:graphic>
          </wp:inline>
        </w:drawing>
      </w:r>
    </w:p>
    <w:p w:rsidR="006E2BB1" w:rsidRPr="00C258AD" w:rsidRDefault="006E2BB1" w:rsidP="00141952">
      <w:pPr>
        <w:keepNext/>
        <w:keepLines/>
        <w:jc w:val="center"/>
      </w:pPr>
    </w:p>
    <w:p w:rsidR="006E2BB1" w:rsidRPr="00C258AD" w:rsidRDefault="00141952" w:rsidP="00473433">
      <w:pPr>
        <w:pStyle w:val="ListParagraph"/>
        <w:numPr>
          <w:ilvl w:val="0"/>
          <w:numId w:val="79"/>
        </w:numPr>
        <w:ind w:left="1134" w:hanging="567"/>
        <w:jc w:val="both"/>
      </w:pPr>
      <w:r w:rsidRPr="00C258AD">
        <w:t>En 2015, le Bureau international a recensé 2118 irrégularités dans des demandes, en augmentation de 36% par rapport à 2014.</w:t>
      </w:r>
    </w:p>
    <w:p w:rsidR="006E2BB1" w:rsidRPr="00C258AD" w:rsidRDefault="006E2BB1" w:rsidP="00141952">
      <w:pPr>
        <w:jc w:val="both"/>
      </w:pPr>
    </w:p>
    <w:p w:rsidR="006E2BB1" w:rsidRPr="00C258AD" w:rsidRDefault="00141952" w:rsidP="00473433">
      <w:pPr>
        <w:pStyle w:val="ListParagraph"/>
        <w:numPr>
          <w:ilvl w:val="0"/>
          <w:numId w:val="79"/>
        </w:numPr>
        <w:ind w:left="1134" w:hanging="567"/>
        <w:contextualSpacing/>
        <w:jc w:val="both"/>
      </w:pPr>
      <w:r w:rsidRPr="00C258AD">
        <w:rPr>
          <w:rFonts w:cs="Arial"/>
        </w:rPr>
        <w:t>Tous les types d’</w:t>
      </w:r>
      <w:r w:rsidRPr="00C258AD">
        <w:t>irrégularités ont progressé</w:t>
      </w:r>
      <w:r w:rsidRPr="00C258AD">
        <w:rPr>
          <w:rFonts w:cs="Arial"/>
        </w:rPr>
        <w:t xml:space="preserve">, sauf le classement et l’ajournement qui, combinés, représentaient seulement 1,5% du nombre </w:t>
      </w:r>
      <w:r w:rsidRPr="00C258AD">
        <w:t xml:space="preserve">total d’irrégularités dans les demandes.  </w:t>
      </w:r>
      <w:r w:rsidRPr="00C258AD">
        <w:rPr>
          <w:rFonts w:cs="Arial"/>
        </w:rPr>
        <w:t xml:space="preserve">La reproduction (+129 </w:t>
      </w:r>
      <w:r w:rsidRPr="00C258AD">
        <w:t>irrégularités</w:t>
      </w:r>
      <w:r w:rsidRPr="00C258AD">
        <w:rPr>
          <w:rFonts w:cs="Arial"/>
        </w:rPr>
        <w:t xml:space="preserve">), les indications des produits (+105 </w:t>
      </w:r>
      <w:r w:rsidRPr="00C258AD">
        <w:t>irrégularités</w:t>
      </w:r>
      <w:r w:rsidRPr="00C258AD">
        <w:rPr>
          <w:rFonts w:cs="Arial"/>
        </w:rPr>
        <w:t xml:space="preserve">), le pouvoir (+99 </w:t>
      </w:r>
      <w:r w:rsidRPr="00C258AD">
        <w:t>irrégularités</w:t>
      </w:r>
      <w:r w:rsidRPr="00C258AD">
        <w:rPr>
          <w:rFonts w:cs="Arial"/>
        </w:rPr>
        <w:t xml:space="preserve">) et le paiement (+95 </w:t>
      </w:r>
      <w:r w:rsidRPr="00C258AD">
        <w:t>irrégularités</w:t>
      </w:r>
      <w:r w:rsidRPr="00C258AD">
        <w:rPr>
          <w:rFonts w:cs="Arial"/>
        </w:rPr>
        <w:t>) étaient les irrégularités affichant les augmentations les plus nettes en termes de volume en 2015.</w:t>
      </w:r>
    </w:p>
    <w:p w:rsidR="006E2BB1" w:rsidRPr="00C258AD" w:rsidRDefault="006E2BB1" w:rsidP="00141952"/>
    <w:p w:rsidR="006E2BB1" w:rsidRPr="00C258AD" w:rsidRDefault="00141952" w:rsidP="00473433">
      <w:pPr>
        <w:pStyle w:val="ListParagraph"/>
        <w:keepNext/>
        <w:keepLines/>
        <w:numPr>
          <w:ilvl w:val="0"/>
          <w:numId w:val="85"/>
        </w:numPr>
        <w:tabs>
          <w:tab w:val="left" w:pos="0"/>
          <w:tab w:val="left" w:pos="567"/>
        </w:tabs>
        <w:ind w:left="0" w:firstLine="0"/>
        <w:contextualSpacing/>
        <w:jc w:val="both"/>
      </w:pPr>
      <w:r w:rsidRPr="00C258AD">
        <w:rPr>
          <w:rFonts w:cs="Arial"/>
        </w:rPr>
        <w:t>L’évolution de la part des demandes contenant des irrégularités ou des observations quant au fond est illustrée ci</w:t>
      </w:r>
      <w:r w:rsidRPr="00C258AD">
        <w:rPr>
          <w:rFonts w:cs="Arial"/>
        </w:rPr>
        <w:noBreakHyphen/>
        <w:t>dessous.</w:t>
      </w:r>
    </w:p>
    <w:p w:rsidR="006E2BB1" w:rsidRPr="00C258AD" w:rsidRDefault="006E2BB1" w:rsidP="00141952"/>
    <w:p w:rsidR="006E2BB1" w:rsidRPr="00C258AD" w:rsidRDefault="00141952" w:rsidP="00141952">
      <w:pPr>
        <w:jc w:val="center"/>
      </w:pPr>
      <w:r w:rsidRPr="00C258AD">
        <w:rPr>
          <w:noProof/>
          <w:lang w:val="en-US"/>
        </w:rPr>
        <w:drawing>
          <wp:inline distT="0" distB="0" distL="0" distR="0" wp14:anchorId="534FA458" wp14:editId="3160B7F5">
            <wp:extent cx="4678244" cy="2952000"/>
            <wp:effectExtent l="0" t="0" r="8255" b="127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4678244" cy="2952000"/>
                    </a:xfrm>
                    <a:prstGeom prst="rect">
                      <a:avLst/>
                    </a:prstGeom>
                    <a:noFill/>
                    <a:ln>
                      <a:noFill/>
                    </a:ln>
                  </pic:spPr>
                </pic:pic>
              </a:graphicData>
            </a:graphic>
          </wp:inline>
        </w:drawing>
      </w:r>
    </w:p>
    <w:p w:rsidR="006E2BB1" w:rsidRPr="00C258AD" w:rsidRDefault="006E2BB1" w:rsidP="00141952">
      <w:pPr>
        <w:jc w:val="center"/>
      </w:pPr>
    </w:p>
    <w:p w:rsidR="006E2BB1" w:rsidRPr="00C258AD" w:rsidRDefault="00141952" w:rsidP="00141952">
      <w:pPr>
        <w:rPr>
          <w:rFonts w:cs="Arial"/>
        </w:rPr>
      </w:pPr>
      <w:r w:rsidRPr="00C258AD">
        <w:rPr>
          <w:rFonts w:cs="Arial"/>
        </w:rPr>
        <w:t>En 2015, environ 63% des demandes enregistrées contenaient au moins une irrégularité ou observation quant au fond.  Cela représentait une augmentation de 3% par rapport à 2014.</w:t>
      </w:r>
    </w:p>
    <w:p w:rsidR="006E2BB1" w:rsidRPr="00C258AD" w:rsidRDefault="006E2BB1" w:rsidP="00141952"/>
    <w:p w:rsidR="006E2BB1" w:rsidRPr="00C258AD" w:rsidRDefault="00141952" w:rsidP="00141952">
      <w:pPr>
        <w:keepNext/>
        <w:rPr>
          <w:u w:val="single"/>
        </w:rPr>
      </w:pPr>
      <w:r w:rsidRPr="00C258AD">
        <w:rPr>
          <w:u w:val="single"/>
        </w:rPr>
        <w:lastRenderedPageBreak/>
        <w:t>Renouvellements</w:t>
      </w:r>
    </w:p>
    <w:p w:rsidR="006E2BB1" w:rsidRPr="00C258AD" w:rsidRDefault="006E2BB1" w:rsidP="00141952">
      <w:pPr>
        <w:keepNext/>
        <w:jc w:val="center"/>
        <w:rPr>
          <w:u w:val="single"/>
        </w:rPr>
      </w:pPr>
    </w:p>
    <w:p w:rsidR="006E2BB1" w:rsidRPr="00C258AD" w:rsidRDefault="00141952" w:rsidP="00141952">
      <w:pPr>
        <w:jc w:val="center"/>
        <w:rPr>
          <w:u w:val="single"/>
        </w:rPr>
      </w:pPr>
      <w:r w:rsidRPr="00C258AD">
        <w:rPr>
          <w:noProof/>
          <w:lang w:val="en-US"/>
        </w:rPr>
        <w:drawing>
          <wp:inline distT="0" distB="0" distL="0" distR="0" wp14:anchorId="667E12BC" wp14:editId="0DA1A33F">
            <wp:extent cx="4271439" cy="2700000"/>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271439" cy="2700000"/>
                    </a:xfrm>
                    <a:prstGeom prst="rect">
                      <a:avLst/>
                    </a:prstGeom>
                    <a:noFill/>
                    <a:ln>
                      <a:noFill/>
                    </a:ln>
                  </pic:spPr>
                </pic:pic>
              </a:graphicData>
            </a:graphic>
          </wp:inline>
        </w:drawing>
      </w:r>
    </w:p>
    <w:p w:rsidR="006E2BB1" w:rsidRPr="00C258AD" w:rsidRDefault="006E2BB1" w:rsidP="00141952">
      <w:pPr>
        <w:rPr>
          <w:u w:val="single"/>
        </w:rPr>
      </w:pPr>
    </w:p>
    <w:p w:rsidR="006E2BB1" w:rsidRPr="00C258AD" w:rsidRDefault="00141952" w:rsidP="00473433">
      <w:pPr>
        <w:pStyle w:val="ListParagraph"/>
        <w:numPr>
          <w:ilvl w:val="0"/>
          <w:numId w:val="80"/>
        </w:numPr>
        <w:ind w:left="1134" w:hanging="567"/>
        <w:jc w:val="both"/>
      </w:pPr>
      <w:r w:rsidRPr="00C258AD">
        <w:t>En 2015, le nombre de renouvellements a augmenté de 18% par rapport à 2014, passant à 3194 renouvellements.</w:t>
      </w:r>
    </w:p>
    <w:p w:rsidR="006E2BB1" w:rsidRPr="00C258AD" w:rsidRDefault="006E2BB1" w:rsidP="00141952"/>
    <w:p w:rsidR="006E2BB1" w:rsidRPr="00C258AD" w:rsidRDefault="00141952" w:rsidP="00473433">
      <w:pPr>
        <w:pStyle w:val="ListParagraph"/>
        <w:numPr>
          <w:ilvl w:val="0"/>
          <w:numId w:val="80"/>
        </w:numPr>
        <w:ind w:left="1134" w:hanging="567"/>
        <w:contextualSpacing/>
        <w:jc w:val="both"/>
      </w:pPr>
      <w:r w:rsidRPr="00C258AD">
        <w:t>Depuis </w:t>
      </w:r>
      <w:r w:rsidRPr="00C258AD">
        <w:rPr>
          <w:rFonts w:cs="Arial"/>
        </w:rPr>
        <w:t>2012, la majorité des renouvellements sont traités électroniquement;  en 2015, c’était le cas de</w:t>
      </w:r>
      <w:r w:rsidRPr="00C258AD">
        <w:t xml:space="preserve"> </w:t>
      </w:r>
      <w:r w:rsidRPr="00C258AD">
        <w:rPr>
          <w:rFonts w:cs="Arial"/>
        </w:rPr>
        <w:t>73% de l’ensemble des renouvellements, contre 69%</w:t>
      </w:r>
      <w:r w:rsidRPr="00C258AD">
        <w:rPr>
          <w:rStyle w:val="FootnoteReference"/>
          <w:rFonts w:eastAsia="SimSun"/>
        </w:rPr>
        <w:footnoteReference w:id="41"/>
      </w:r>
      <w:r w:rsidRPr="00C258AD">
        <w:rPr>
          <w:rFonts w:cs="Arial"/>
        </w:rPr>
        <w:t xml:space="preserve"> en </w:t>
      </w:r>
      <w:r w:rsidRPr="00C258AD">
        <w:t>2014</w:t>
      </w:r>
      <w:r w:rsidRPr="00C258AD">
        <w:rPr>
          <w:rFonts w:cs="Arial"/>
        </w:rPr>
        <w:t>, soit une augmentation de 4 points de pourcentage.</w:t>
      </w:r>
    </w:p>
    <w:p w:rsidR="006E2BB1" w:rsidRPr="00C258AD" w:rsidRDefault="006E2BB1" w:rsidP="00141952"/>
    <w:p w:rsidR="006E2BB1" w:rsidRPr="00C258AD" w:rsidRDefault="006E2BB1" w:rsidP="00141952"/>
    <w:p w:rsidR="006E2BB1" w:rsidRPr="00C258AD" w:rsidRDefault="00141952" w:rsidP="00141952">
      <w:pPr>
        <w:rPr>
          <w:u w:val="single"/>
        </w:rPr>
      </w:pPr>
      <w:r w:rsidRPr="00C258AD">
        <w:rPr>
          <w:u w:val="single"/>
        </w:rPr>
        <w:t>Changements</w:t>
      </w:r>
    </w:p>
    <w:p w:rsidR="006E2BB1" w:rsidRPr="00C258AD" w:rsidRDefault="006E2BB1" w:rsidP="00141952">
      <w:pPr>
        <w:jc w:val="center"/>
        <w:rPr>
          <w:lang w:eastAsia="fr-FR"/>
        </w:rPr>
      </w:pPr>
    </w:p>
    <w:p w:rsidR="006E2BB1" w:rsidRPr="00C258AD" w:rsidRDefault="00141952" w:rsidP="00141952">
      <w:pPr>
        <w:jc w:val="center"/>
        <w:rPr>
          <w:u w:val="single"/>
        </w:rPr>
      </w:pPr>
      <w:r w:rsidRPr="00C258AD">
        <w:rPr>
          <w:noProof/>
          <w:lang w:val="en-US"/>
        </w:rPr>
        <w:drawing>
          <wp:inline distT="0" distB="0" distL="0" distR="0" wp14:anchorId="0D005F69" wp14:editId="62590979">
            <wp:extent cx="4278881" cy="2700000"/>
            <wp:effectExtent l="0" t="0" r="7620" b="571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4278881" cy="2700000"/>
                    </a:xfrm>
                    <a:prstGeom prst="rect">
                      <a:avLst/>
                    </a:prstGeom>
                    <a:noFill/>
                    <a:ln>
                      <a:noFill/>
                    </a:ln>
                  </pic:spPr>
                </pic:pic>
              </a:graphicData>
            </a:graphic>
          </wp:inline>
        </w:drawing>
      </w:r>
    </w:p>
    <w:p w:rsidR="006E2BB1" w:rsidRPr="00C258AD" w:rsidRDefault="006E2BB1" w:rsidP="00141952">
      <w:pPr>
        <w:jc w:val="center"/>
        <w:rPr>
          <w:sz w:val="18"/>
        </w:rPr>
      </w:pPr>
    </w:p>
    <w:p w:rsidR="006E2BB1" w:rsidRPr="00C258AD" w:rsidRDefault="00141952" w:rsidP="00473433">
      <w:pPr>
        <w:pStyle w:val="ListParagraph"/>
        <w:numPr>
          <w:ilvl w:val="0"/>
          <w:numId w:val="80"/>
        </w:numPr>
        <w:ind w:left="1134" w:hanging="567"/>
        <w:jc w:val="both"/>
      </w:pPr>
      <w:r w:rsidRPr="00C258AD">
        <w:t>Les déposants ont soumis 1018 requêtes en inscription de changements dans des demandes internationales en 2015, soit une baisse de 4% par rapport à 2014.</w:t>
      </w:r>
    </w:p>
    <w:p w:rsidR="006E2BB1" w:rsidRPr="00C258AD" w:rsidRDefault="006E2BB1" w:rsidP="00141952"/>
    <w:p w:rsidR="006E2BB1" w:rsidRPr="00C258AD" w:rsidRDefault="006E2BB1" w:rsidP="00141952"/>
    <w:p w:rsidR="006E2BB1" w:rsidRPr="00C258AD" w:rsidRDefault="00141952" w:rsidP="00141952">
      <w:pPr>
        <w:keepNext/>
        <w:rPr>
          <w:u w:val="single"/>
        </w:rPr>
      </w:pPr>
      <w:r w:rsidRPr="00C258AD">
        <w:rPr>
          <w:u w:val="single"/>
        </w:rPr>
        <w:lastRenderedPageBreak/>
        <w:t>Décisions</w:t>
      </w:r>
    </w:p>
    <w:p w:rsidR="006E2BB1" w:rsidRPr="00C258AD" w:rsidRDefault="006E2BB1" w:rsidP="00141952">
      <w:pPr>
        <w:keepNext/>
        <w:rPr>
          <w:u w:val="single"/>
        </w:rPr>
      </w:pPr>
    </w:p>
    <w:p w:rsidR="006E2BB1" w:rsidRPr="00C258AD" w:rsidRDefault="00141952" w:rsidP="00141952">
      <w:pPr>
        <w:jc w:val="center"/>
        <w:rPr>
          <w:u w:val="single"/>
        </w:rPr>
      </w:pPr>
      <w:r w:rsidRPr="00C258AD">
        <w:rPr>
          <w:noProof/>
          <w:lang w:val="en-US"/>
        </w:rPr>
        <w:drawing>
          <wp:inline distT="0" distB="0" distL="0" distR="0" wp14:anchorId="0CCD47FE" wp14:editId="3A4F975E">
            <wp:extent cx="4278881" cy="2700000"/>
            <wp:effectExtent l="0" t="0" r="7620" b="571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278881" cy="2700000"/>
                    </a:xfrm>
                    <a:prstGeom prst="rect">
                      <a:avLst/>
                    </a:prstGeom>
                    <a:noFill/>
                    <a:ln>
                      <a:noFill/>
                    </a:ln>
                  </pic:spPr>
                </pic:pic>
              </a:graphicData>
            </a:graphic>
          </wp:inline>
        </w:drawing>
      </w:r>
    </w:p>
    <w:p w:rsidR="006E2BB1" w:rsidRPr="00C258AD" w:rsidRDefault="006E2BB1" w:rsidP="00141952">
      <w:pPr>
        <w:jc w:val="center"/>
        <w:rPr>
          <w:sz w:val="18"/>
        </w:rPr>
      </w:pPr>
    </w:p>
    <w:p w:rsidR="006E2BB1" w:rsidRPr="00C258AD" w:rsidRDefault="00141952" w:rsidP="00473433">
      <w:pPr>
        <w:pStyle w:val="ListParagraph"/>
        <w:numPr>
          <w:ilvl w:val="0"/>
          <w:numId w:val="84"/>
        </w:numPr>
        <w:ind w:left="1134" w:hanging="567"/>
      </w:pPr>
      <w:r w:rsidRPr="00C258AD">
        <w:t>Le nombre de décisions reçues en 2015 a augmenté de 25% par rapport à 2014, passant de 3169 à 3961 décisions.</w:t>
      </w:r>
    </w:p>
    <w:p w:rsidR="006E2BB1" w:rsidRPr="00C258AD" w:rsidRDefault="006E2BB1" w:rsidP="00141952"/>
    <w:p w:rsidR="006E2BB1" w:rsidRPr="00C258AD" w:rsidRDefault="00141952" w:rsidP="00473433">
      <w:pPr>
        <w:pStyle w:val="ListParagraph"/>
        <w:numPr>
          <w:ilvl w:val="0"/>
          <w:numId w:val="84"/>
        </w:numPr>
        <w:ind w:left="1134" w:hanging="567"/>
        <w:contextualSpacing/>
      </w:pPr>
      <w:r w:rsidRPr="00C258AD">
        <w:t>Entre 68 et 72% des décisions ont fait l’objet d’un traitement automatisé depuis 2011.</w:t>
      </w:r>
    </w:p>
    <w:p w:rsidR="006E2BB1" w:rsidRPr="00C258AD" w:rsidRDefault="006E2BB1" w:rsidP="00141952"/>
    <w:p w:rsidR="006E2BB1" w:rsidRPr="00C258AD" w:rsidRDefault="006E2BB1" w:rsidP="00141952"/>
    <w:p w:rsidR="006E2BB1" w:rsidRPr="00C258AD" w:rsidRDefault="00141952" w:rsidP="00141952">
      <w:pPr>
        <w:tabs>
          <w:tab w:val="left" w:pos="567"/>
        </w:tabs>
        <w:rPr>
          <w:b/>
        </w:rPr>
      </w:pPr>
      <w:r w:rsidRPr="00C258AD">
        <w:rPr>
          <w:b/>
        </w:rPr>
        <w:t>II.</w:t>
      </w:r>
      <w:r w:rsidRPr="00C258AD">
        <w:rPr>
          <w:b/>
        </w:rPr>
        <w:tab/>
        <w:t>Charge de travail totale</w:t>
      </w:r>
    </w:p>
    <w:p w:rsidR="006E2BB1" w:rsidRPr="00C258AD" w:rsidRDefault="006E2BB1" w:rsidP="00141952"/>
    <w:p w:rsidR="006E2BB1" w:rsidRPr="00C258AD" w:rsidRDefault="00141952" w:rsidP="00473433">
      <w:pPr>
        <w:pStyle w:val="ListParagraph"/>
        <w:numPr>
          <w:ilvl w:val="0"/>
          <w:numId w:val="85"/>
        </w:numPr>
        <w:tabs>
          <w:tab w:val="left" w:pos="0"/>
          <w:tab w:val="left" w:pos="567"/>
        </w:tabs>
        <w:ind w:left="0" w:firstLine="0"/>
        <w:contextualSpacing/>
        <w:jc w:val="both"/>
      </w:pPr>
      <w:r w:rsidRPr="00C258AD">
        <w:t>La charge de travail totale représente le nombre total pondéré de documents reçus par le Bureau international.  Les quatre catégories de documents sont prises en considération (demandes, renouvellements, changements et décisions).</w:t>
      </w:r>
    </w:p>
    <w:p w:rsidR="006E2BB1" w:rsidRPr="00C258AD" w:rsidRDefault="006E2BB1" w:rsidP="00141952">
      <w:pPr>
        <w:jc w:val="both"/>
      </w:pPr>
    </w:p>
    <w:p w:rsidR="006E2BB1" w:rsidRPr="00C258AD" w:rsidRDefault="00141952" w:rsidP="00473433">
      <w:pPr>
        <w:pStyle w:val="ListParagraph"/>
        <w:numPr>
          <w:ilvl w:val="0"/>
          <w:numId w:val="85"/>
        </w:numPr>
        <w:tabs>
          <w:tab w:val="left" w:pos="0"/>
          <w:tab w:val="left" w:pos="567"/>
        </w:tabs>
        <w:ind w:left="0" w:firstLine="0"/>
        <w:contextualSpacing/>
        <w:jc w:val="both"/>
      </w:pPr>
      <w:r w:rsidRPr="00C258AD">
        <w:t>Étant donné que le traitement de ces différents types de documents ne nécessite pas la même quantité de ressources, ceux</w:t>
      </w:r>
      <w:r w:rsidRPr="00C258AD">
        <w:noBreakHyphen/>
        <w:t xml:space="preserve">ci ont été pondérés différemment.  Selon la répartition actuelle, pendant le temps requis pour traiter une demande internationale, un examinateur peut traiter huit demandes de renouvellement, quatre requêtes en inscription d’un changement ou quatre décisions </w:t>
      </w:r>
      <w:r w:rsidRPr="00C258AD">
        <w:rPr>
          <w:rFonts w:cs="Arial"/>
        </w:rPr>
        <w:t>(un rapport de 1:8:4:4 en termes de charge de travail).  En 2014</w:t>
      </w:r>
      <w:r w:rsidRPr="00C258AD">
        <w:rPr>
          <w:rFonts w:cs="Arial"/>
        </w:rPr>
        <w:noBreakHyphen/>
        <w:t>2015, en raison de l’augmentation du niveau de complexité d’autres documents, en particulier de décisions des offices, l’examen global des demandes internationales est lui aussi devenu plus complexe.  Néanmoins, le rapport en termes de charge de travail est resté le même.</w:t>
      </w:r>
    </w:p>
    <w:p w:rsidR="006E2BB1" w:rsidRPr="00C258AD" w:rsidRDefault="006E2BB1" w:rsidP="00141952">
      <w:pPr>
        <w:tabs>
          <w:tab w:val="left" w:pos="0"/>
          <w:tab w:val="left" w:pos="567"/>
        </w:tabs>
        <w:jc w:val="both"/>
      </w:pPr>
    </w:p>
    <w:p w:rsidR="006E2BB1" w:rsidRPr="00C258AD" w:rsidRDefault="00141952" w:rsidP="00141952">
      <w:pPr>
        <w:tabs>
          <w:tab w:val="left" w:pos="0"/>
          <w:tab w:val="left" w:pos="567"/>
        </w:tabs>
        <w:jc w:val="center"/>
      </w:pPr>
      <w:r w:rsidRPr="00C258AD">
        <w:rPr>
          <w:noProof/>
          <w:lang w:val="en-US"/>
        </w:rPr>
        <w:drawing>
          <wp:inline distT="0" distB="0" distL="0" distR="0" wp14:anchorId="1A6EBE8D" wp14:editId="2590F30D">
            <wp:extent cx="5084962" cy="2340000"/>
            <wp:effectExtent l="0" t="0" r="1905"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084962" cy="2340000"/>
                    </a:xfrm>
                    <a:prstGeom prst="rect">
                      <a:avLst/>
                    </a:prstGeom>
                    <a:noFill/>
                    <a:ln>
                      <a:noFill/>
                    </a:ln>
                  </pic:spPr>
                </pic:pic>
              </a:graphicData>
            </a:graphic>
          </wp:inline>
        </w:drawing>
      </w:r>
    </w:p>
    <w:p w:rsidR="006E2BB1" w:rsidRPr="00C258AD" w:rsidRDefault="006E2BB1" w:rsidP="00141952"/>
    <w:p w:rsidR="006E2BB1" w:rsidRPr="00C258AD" w:rsidRDefault="00141952" w:rsidP="00473433">
      <w:pPr>
        <w:pStyle w:val="ListParagraph"/>
        <w:numPr>
          <w:ilvl w:val="0"/>
          <w:numId w:val="81"/>
        </w:numPr>
        <w:ind w:left="1134" w:hanging="567"/>
        <w:contextualSpacing/>
        <w:jc w:val="both"/>
      </w:pPr>
      <w:r w:rsidRPr="00C258AD">
        <w:t>En 2015, la charge de travail totale a augmenté de 35% par rapport à 2014.  La charge de travail totale pour l’exercice biennal a augmenté de 22% par rapport à 2012</w:t>
      </w:r>
      <w:r w:rsidRPr="00C258AD">
        <w:noBreakHyphen/>
        <w:t xml:space="preserve">2013.  Entre </w:t>
      </w:r>
      <w:r w:rsidRPr="00C258AD">
        <w:lastRenderedPageBreak/>
        <w:t>2011 et 2015, l’augmentation de la charge de travail a été essentiellement due à la hausse du nombre de demandes reçues.</w:t>
      </w:r>
    </w:p>
    <w:p w:rsidR="006E2BB1" w:rsidRPr="00C258AD" w:rsidRDefault="006E2BB1" w:rsidP="00141952"/>
    <w:p w:rsidR="006E2BB1" w:rsidRPr="00C258AD" w:rsidRDefault="00141952" w:rsidP="00473433">
      <w:pPr>
        <w:pStyle w:val="ListParagraph"/>
        <w:numPr>
          <w:ilvl w:val="0"/>
          <w:numId w:val="81"/>
        </w:numPr>
        <w:ind w:left="1134" w:hanging="567"/>
        <w:contextualSpacing/>
        <w:jc w:val="both"/>
      </w:pPr>
      <w:r w:rsidRPr="00C258AD">
        <w:rPr>
          <w:rFonts w:cs="Arial"/>
        </w:rPr>
        <w:t>En 2015, les demandes représentaient à elles seules 79% de la charge de travail totale, soit une augmentation de 3% par rapport à 2014.</w:t>
      </w:r>
    </w:p>
    <w:p w:rsidR="006E2BB1" w:rsidRPr="00C258AD" w:rsidRDefault="006E2BB1" w:rsidP="00141952"/>
    <w:p w:rsidR="006E2BB1" w:rsidRPr="00C258AD" w:rsidRDefault="006E2BB1" w:rsidP="00141952"/>
    <w:p w:rsidR="006E2BB1" w:rsidRPr="00C258AD" w:rsidRDefault="00141952" w:rsidP="00141952">
      <w:pPr>
        <w:tabs>
          <w:tab w:val="left" w:pos="567"/>
        </w:tabs>
        <w:rPr>
          <w:b/>
        </w:rPr>
      </w:pPr>
      <w:r w:rsidRPr="00C258AD">
        <w:rPr>
          <w:b/>
        </w:rPr>
        <w:t>III.</w:t>
      </w:r>
      <w:r w:rsidRPr="00C258AD">
        <w:rPr>
          <w:b/>
        </w:rPr>
        <w:tab/>
        <w:t>Coûts de traitement</w:t>
      </w:r>
    </w:p>
    <w:p w:rsidR="006E2BB1" w:rsidRPr="00C258AD" w:rsidRDefault="006E2BB1" w:rsidP="00141952"/>
    <w:p w:rsidR="006E2BB1" w:rsidRPr="00C258AD" w:rsidRDefault="00141952" w:rsidP="00141952">
      <w:pPr>
        <w:rPr>
          <w:u w:val="single"/>
        </w:rPr>
      </w:pPr>
      <w:r w:rsidRPr="00C258AD">
        <w:rPr>
          <w:u w:val="single"/>
        </w:rPr>
        <w:t>Coût total de production</w:t>
      </w:r>
    </w:p>
    <w:p w:rsidR="006E2BB1" w:rsidRPr="00C258AD" w:rsidRDefault="006E2BB1" w:rsidP="00141952"/>
    <w:p w:rsidR="006E2BB1" w:rsidRPr="00C258AD" w:rsidRDefault="00141952" w:rsidP="00473433">
      <w:pPr>
        <w:pStyle w:val="ListParagraph"/>
        <w:numPr>
          <w:ilvl w:val="0"/>
          <w:numId w:val="85"/>
        </w:numPr>
        <w:tabs>
          <w:tab w:val="left" w:pos="0"/>
          <w:tab w:val="left" w:pos="567"/>
        </w:tabs>
        <w:ind w:left="0" w:firstLine="0"/>
        <w:contextualSpacing/>
        <w:jc w:val="both"/>
        <w:rPr>
          <w:vertAlign w:val="superscript"/>
        </w:rPr>
      </w:pPr>
      <w:r w:rsidRPr="00C258AD">
        <w:t>Le coût total de production comprenait les dépenses concernant exclusivement le système de La Haye et les dépenses liées aux activités d’appui au système</w:t>
      </w:r>
      <w:r w:rsidRPr="00C258AD">
        <w:rPr>
          <w:vertAlign w:val="superscript"/>
        </w:rPr>
        <w:footnoteReference w:id="42"/>
      </w:r>
      <w:r w:rsidRPr="00C258AD">
        <w:t>.</w:t>
      </w:r>
    </w:p>
    <w:p w:rsidR="006E2BB1" w:rsidRPr="00C258AD" w:rsidRDefault="006E2BB1" w:rsidP="00141952"/>
    <w:p w:rsidR="006E2BB1" w:rsidRPr="00C258AD" w:rsidRDefault="00141952" w:rsidP="00473433">
      <w:pPr>
        <w:pStyle w:val="ListParagraph"/>
        <w:numPr>
          <w:ilvl w:val="0"/>
          <w:numId w:val="85"/>
        </w:numPr>
        <w:tabs>
          <w:tab w:val="left" w:pos="0"/>
          <w:tab w:val="left" w:pos="567"/>
        </w:tabs>
        <w:ind w:left="0" w:firstLine="0"/>
        <w:contextualSpacing/>
        <w:jc w:val="both"/>
      </w:pPr>
      <w:r w:rsidRPr="00C258AD">
        <w:t>Les dépenses concernant exclusivement le système de La Haye comprennent celles du programme 31 (système de La Haye) et environ 7% des dépenses du Bureau de la vice</w:t>
      </w:r>
      <w:r w:rsidRPr="00C258AD">
        <w:noBreakHyphen/>
        <w:t>directrice générale chargée du Secteur des marques et des dessins et modèles (programme 6 – systèmes de Madrid et de Lisbonne)</w:t>
      </w:r>
      <w:r w:rsidRPr="00C258AD">
        <w:rPr>
          <w:vertAlign w:val="superscript"/>
        </w:rPr>
        <w:footnoteReference w:id="43"/>
      </w:r>
      <w:r w:rsidRPr="00C258AD">
        <w:t>.</w:t>
      </w:r>
    </w:p>
    <w:p w:rsidR="006E2BB1" w:rsidRPr="00C258AD" w:rsidRDefault="006E2BB1" w:rsidP="00141952"/>
    <w:p w:rsidR="006E2BB1" w:rsidRPr="00C258AD" w:rsidRDefault="00141952" w:rsidP="00473433">
      <w:pPr>
        <w:pStyle w:val="ListParagraph"/>
        <w:numPr>
          <w:ilvl w:val="0"/>
          <w:numId w:val="85"/>
        </w:numPr>
        <w:tabs>
          <w:tab w:val="left" w:pos="0"/>
          <w:tab w:val="left" w:pos="567"/>
        </w:tabs>
        <w:ind w:left="0" w:firstLine="0"/>
        <w:contextualSpacing/>
        <w:jc w:val="both"/>
      </w:pPr>
      <w:r w:rsidRPr="00C258AD">
        <w:t>Les dépenses liées aux activités d’appui au système de La Haye sont composées des dépenses des services généraux suivants : services des conférences et services linguistiques, construction, direction générale, finances et budget, services d’appui généraux, gestion des ressources humaines, supervision interne, informatique et sûreté et sécurité.  Une petite part de ces dépenses (coût de l’hébergement des serveurs au CIC et partage des coûts de la Section des recettes de la Division des finances) est directement attribuée au système de La Haye, tandis que le reste de ces dépenses attribuables au système de La Haye est calculé en fonction des effectifs (y compris les fonctionnaires au bénéfice d’un contrat à durée déterminée, les fonctionnaires temporaires et les boursiers).</w:t>
      </w:r>
    </w:p>
    <w:p w:rsidR="006E2BB1" w:rsidRPr="00C258AD" w:rsidRDefault="006E2BB1" w:rsidP="00141952"/>
    <w:p w:rsidR="006E2BB1" w:rsidRPr="00C258AD" w:rsidRDefault="00141952" w:rsidP="00141952">
      <w:pPr>
        <w:jc w:val="center"/>
      </w:pPr>
      <w:r w:rsidRPr="00C258AD">
        <w:rPr>
          <w:noProof/>
          <w:lang w:val="en-US"/>
        </w:rPr>
        <w:drawing>
          <wp:inline distT="0" distB="0" distL="0" distR="0" wp14:anchorId="44C90CAB" wp14:editId="6FF7D8E1">
            <wp:extent cx="4512464" cy="2700000"/>
            <wp:effectExtent l="0" t="0" r="254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4512464" cy="2700000"/>
                    </a:xfrm>
                    <a:prstGeom prst="rect">
                      <a:avLst/>
                    </a:prstGeom>
                    <a:noFill/>
                    <a:ln>
                      <a:noFill/>
                    </a:ln>
                  </pic:spPr>
                </pic:pic>
              </a:graphicData>
            </a:graphic>
          </wp:inline>
        </w:drawing>
      </w:r>
    </w:p>
    <w:p w:rsidR="006E2BB1" w:rsidRPr="00C258AD" w:rsidRDefault="006E2BB1" w:rsidP="00141952"/>
    <w:p w:rsidR="006E2BB1" w:rsidRPr="00C258AD" w:rsidRDefault="00141952" w:rsidP="00473433">
      <w:pPr>
        <w:pStyle w:val="ListParagraph"/>
        <w:numPr>
          <w:ilvl w:val="0"/>
          <w:numId w:val="82"/>
        </w:numPr>
        <w:ind w:left="1134" w:hanging="567"/>
        <w:jc w:val="both"/>
      </w:pPr>
      <w:r w:rsidRPr="00C258AD">
        <w:t xml:space="preserve">Les dépenses totales relatives au traitement dans le cadre du système de La Haye sont estimées à près de 6 millions de francs suisses en 2015.  Cela représente une augmentation de 5% par rapport à 2014.  Les coûts directs et les coûts indirects ont augmenté respectivement de 6% et de 3% en 2014.  </w:t>
      </w:r>
      <w:r w:rsidRPr="00C258AD">
        <w:rPr>
          <w:rFonts w:cs="Arial"/>
        </w:rPr>
        <w:t>Le coût total de production en 2014</w:t>
      </w:r>
      <w:r w:rsidRPr="00C258AD">
        <w:rPr>
          <w:rFonts w:cs="Arial"/>
        </w:rPr>
        <w:noBreakHyphen/>
        <w:t>2015 a augmenté de 3% par rapport à 2012</w:t>
      </w:r>
      <w:r w:rsidRPr="00C258AD">
        <w:rPr>
          <w:rFonts w:cs="Arial"/>
        </w:rPr>
        <w:noBreakHyphen/>
        <w:t>2013.</w:t>
      </w:r>
    </w:p>
    <w:p w:rsidR="006E2BB1" w:rsidRPr="00C258AD" w:rsidRDefault="006E2BB1" w:rsidP="00141952">
      <w:pPr>
        <w:ind w:left="1134" w:hanging="567"/>
      </w:pPr>
    </w:p>
    <w:p w:rsidR="006E2BB1" w:rsidRPr="00C258AD" w:rsidRDefault="00141952" w:rsidP="00473433">
      <w:pPr>
        <w:pStyle w:val="ListParagraph"/>
        <w:numPr>
          <w:ilvl w:val="0"/>
          <w:numId w:val="82"/>
        </w:numPr>
        <w:ind w:left="1134" w:hanging="567"/>
        <w:contextualSpacing/>
        <w:jc w:val="both"/>
      </w:pPr>
      <w:r w:rsidRPr="00C258AD">
        <w:lastRenderedPageBreak/>
        <w:t>En 2015, les coûts directs représentaient 61% des dépenses totales.</w:t>
      </w:r>
    </w:p>
    <w:p w:rsidR="006E2BB1" w:rsidRPr="00C258AD" w:rsidRDefault="006E2BB1" w:rsidP="00141952"/>
    <w:p w:rsidR="006E2BB1" w:rsidRPr="00C258AD" w:rsidRDefault="006E2BB1" w:rsidP="00141952"/>
    <w:p w:rsidR="006E2BB1" w:rsidRPr="00C258AD" w:rsidRDefault="00141952" w:rsidP="00141952">
      <w:pPr>
        <w:keepNext/>
        <w:rPr>
          <w:u w:val="single"/>
        </w:rPr>
      </w:pPr>
      <w:r w:rsidRPr="00C258AD">
        <w:rPr>
          <w:u w:val="single"/>
        </w:rPr>
        <w:t>Coût unitaire</w:t>
      </w:r>
    </w:p>
    <w:p w:rsidR="006E2BB1" w:rsidRPr="00C258AD" w:rsidRDefault="006E2BB1" w:rsidP="00141952">
      <w:pPr>
        <w:rPr>
          <w:u w:val="single"/>
        </w:rPr>
      </w:pPr>
    </w:p>
    <w:p w:rsidR="006E2BB1" w:rsidRPr="00C258AD" w:rsidRDefault="00141952" w:rsidP="00473433">
      <w:pPr>
        <w:pStyle w:val="ListParagraph"/>
        <w:numPr>
          <w:ilvl w:val="0"/>
          <w:numId w:val="85"/>
        </w:numPr>
        <w:tabs>
          <w:tab w:val="left" w:pos="0"/>
          <w:tab w:val="left" w:pos="567"/>
        </w:tabs>
        <w:ind w:left="0" w:firstLine="0"/>
        <w:contextualSpacing/>
        <w:jc w:val="both"/>
      </w:pPr>
      <w:r w:rsidRPr="00C258AD">
        <w:t>L’efficacité du Bureau international dans la réalisation des transactions peut être mesurée au moyen du coût unitaire, qui est défini comme étant le coût moyen d’une unité produite.</w:t>
      </w:r>
    </w:p>
    <w:p w:rsidR="006E2BB1" w:rsidRPr="00C258AD" w:rsidRDefault="006E2BB1" w:rsidP="00141952">
      <w:pPr>
        <w:contextualSpacing/>
        <w:jc w:val="both"/>
      </w:pPr>
    </w:p>
    <w:p w:rsidR="006E2BB1" w:rsidRPr="00C258AD" w:rsidRDefault="00141952" w:rsidP="00473433">
      <w:pPr>
        <w:pStyle w:val="ListParagraph"/>
        <w:numPr>
          <w:ilvl w:val="0"/>
          <w:numId w:val="85"/>
        </w:numPr>
        <w:tabs>
          <w:tab w:val="left" w:pos="0"/>
          <w:tab w:val="left" w:pos="567"/>
        </w:tabs>
        <w:ind w:left="0" w:firstLine="0"/>
        <w:contextualSpacing/>
        <w:jc w:val="both"/>
      </w:pPr>
      <w:r w:rsidRPr="00C258AD">
        <w:t>Étant donné que le Bureau international procède à l’enregistrement des nouvelles demandes et tient à jour les enregistrements en vigueur, il convient de calculer le coût d’une unité produite en tenant compte d’un ensemble de transactions.  Deux indicateurs de coût unitaire sont présentés ci</w:t>
      </w:r>
      <w:r w:rsidRPr="00C258AD">
        <w:noBreakHyphen/>
        <w:t>après au moyen de deux unités produites différentes.</w:t>
      </w:r>
    </w:p>
    <w:p w:rsidR="006E2BB1" w:rsidRPr="00C258AD" w:rsidRDefault="006E2BB1" w:rsidP="00141952"/>
    <w:p w:rsidR="006E2BB1" w:rsidRPr="00C258AD" w:rsidRDefault="00141952" w:rsidP="00473433">
      <w:pPr>
        <w:pStyle w:val="ListParagraph"/>
        <w:numPr>
          <w:ilvl w:val="0"/>
          <w:numId w:val="85"/>
        </w:numPr>
        <w:tabs>
          <w:tab w:val="left" w:pos="0"/>
          <w:tab w:val="left" w:pos="567"/>
        </w:tabs>
        <w:ind w:left="0" w:firstLine="0"/>
        <w:contextualSpacing/>
        <w:jc w:val="both"/>
      </w:pPr>
      <w:r w:rsidRPr="00C258AD">
        <w:t>Au regard des efforts déployés par le Bureau international en vue d’affiner en permanence la méthode de calcul des coûts unitaires, cette méthode a été révisée dans le programme et budget pour l’exercice biennal 2016</w:t>
      </w:r>
      <w:r w:rsidRPr="00C258AD">
        <w:noBreakHyphen/>
        <w:t>2017 de manière à prendre en considération de façon plus précise le coût du traitement au Bureau international des opérations réalisées dans le cadre du système de La Haye</w:t>
      </w:r>
      <w:r w:rsidRPr="00C258AD">
        <w:rPr>
          <w:rStyle w:val="FootnoteReference"/>
          <w:rFonts w:eastAsia="SimSun"/>
        </w:rPr>
        <w:footnoteReference w:id="44"/>
      </w:r>
      <w:r w:rsidRPr="00C258AD">
        <w:t>.</w:t>
      </w:r>
    </w:p>
    <w:p w:rsidR="006E2BB1" w:rsidRDefault="006E2BB1" w:rsidP="00141952"/>
    <w:p w:rsidR="00D72F63" w:rsidRPr="00C258AD" w:rsidRDefault="00D72F63" w:rsidP="00141952"/>
    <w:p w:rsidR="006E2BB1" w:rsidRPr="00C258AD" w:rsidRDefault="00141952" w:rsidP="00141952">
      <w:pPr>
        <w:jc w:val="both"/>
        <w:rPr>
          <w:i/>
        </w:rPr>
      </w:pPr>
      <w:r w:rsidRPr="00C258AD">
        <w:rPr>
          <w:i/>
        </w:rPr>
        <w:t>Coût unitaire par dessin ou modèle nouveau ou renouvelé</w:t>
      </w:r>
    </w:p>
    <w:p w:rsidR="006E2BB1" w:rsidRPr="00C258AD" w:rsidRDefault="006E2BB1" w:rsidP="00141952">
      <w:pPr>
        <w:jc w:val="both"/>
      </w:pPr>
    </w:p>
    <w:p w:rsidR="006E2BB1" w:rsidRPr="00C258AD" w:rsidRDefault="00141952" w:rsidP="00473433">
      <w:pPr>
        <w:pStyle w:val="ListParagraph"/>
        <w:numPr>
          <w:ilvl w:val="0"/>
          <w:numId w:val="85"/>
        </w:numPr>
        <w:tabs>
          <w:tab w:val="left" w:pos="0"/>
          <w:tab w:val="left" w:pos="567"/>
        </w:tabs>
        <w:ind w:left="0" w:firstLine="0"/>
        <w:contextualSpacing/>
        <w:jc w:val="both"/>
      </w:pPr>
      <w:r w:rsidRPr="00C258AD">
        <w:t>Les nouveaux dessins ou modèles consistent en des dessins ou modèles figurant dans les demandes internationales enregistrées pendant une année déterminée et les dessins ou modèles renouvelés consistent en des dessins ou modèles figurant dans les enregistrements internationaux renouvelés pendant une année déterminée.  Les dessins et modèles contenus dans ces deux types de documents illustrent globalement les activités principales du Bureau international.</w:t>
      </w:r>
    </w:p>
    <w:p w:rsidR="006E2BB1" w:rsidRPr="00C258AD" w:rsidRDefault="006E2BB1" w:rsidP="00141952">
      <w:pPr>
        <w:jc w:val="both"/>
      </w:pPr>
    </w:p>
    <w:p w:rsidR="006E2BB1" w:rsidRPr="00C258AD" w:rsidRDefault="00141952" w:rsidP="00473433">
      <w:pPr>
        <w:pStyle w:val="ListParagraph"/>
        <w:numPr>
          <w:ilvl w:val="0"/>
          <w:numId w:val="85"/>
        </w:numPr>
        <w:tabs>
          <w:tab w:val="left" w:pos="0"/>
          <w:tab w:val="left" w:pos="567"/>
        </w:tabs>
        <w:ind w:left="0" w:firstLine="0"/>
        <w:contextualSpacing/>
        <w:jc w:val="both"/>
      </w:pPr>
      <w:r w:rsidRPr="00C258AD">
        <w:t>Étant donné que le traitement des dessins et modèles contenus dans ces deux types de documents ne nécessite pas de faire appel aux mêmes ressources, des facteurs de pondération différents sont utilisés</w:t>
      </w:r>
      <w:r w:rsidRPr="00C258AD">
        <w:rPr>
          <w:rStyle w:val="FootnoteReference"/>
          <w:rFonts w:eastAsia="SimSun"/>
        </w:rPr>
        <w:footnoteReference w:id="45"/>
      </w:r>
      <w:r w:rsidRPr="00C258AD">
        <w:t>.  Pour calculer le coût unitaire, le coût total de production est divisé par le nombre de dessins ou modèles nouveaux ou renouvelés.</w:t>
      </w:r>
    </w:p>
    <w:p w:rsidR="006E2BB1" w:rsidRPr="00C258AD" w:rsidRDefault="006E2BB1" w:rsidP="00141952"/>
    <w:p w:rsidR="00141952" w:rsidRPr="00C258AD" w:rsidRDefault="00141952" w:rsidP="00141952">
      <w:pPr>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left w:w="68" w:type="dxa"/>
          <w:bottom w:w="113" w:type="dxa"/>
          <w:right w:w="68" w:type="dxa"/>
        </w:tblCellMar>
        <w:tblLook w:val="04A0" w:firstRow="1" w:lastRow="0" w:firstColumn="1" w:lastColumn="0" w:noHBand="0" w:noVBand="1"/>
      </w:tblPr>
      <w:tblGrid>
        <w:gridCol w:w="4745"/>
        <w:gridCol w:w="4746"/>
      </w:tblGrid>
      <w:tr w:rsidR="00141952" w:rsidRPr="00C258AD" w:rsidTr="00141952">
        <w:trPr>
          <w:cantSplit/>
        </w:trPr>
        <w:tc>
          <w:tcPr>
            <w:tcW w:w="4745" w:type="dxa"/>
          </w:tcPr>
          <w:p w:rsidR="00141952" w:rsidRPr="00C258AD" w:rsidRDefault="00141952" w:rsidP="00141952">
            <w:pPr>
              <w:keepNext/>
              <w:keepLines/>
              <w:jc w:val="center"/>
            </w:pPr>
            <w:r w:rsidRPr="00C258AD">
              <w:t>Ancienne méthode</w:t>
            </w:r>
          </w:p>
        </w:tc>
        <w:tc>
          <w:tcPr>
            <w:tcW w:w="4746" w:type="dxa"/>
          </w:tcPr>
          <w:p w:rsidR="00141952" w:rsidRPr="00C258AD" w:rsidRDefault="00141952" w:rsidP="00141952">
            <w:pPr>
              <w:keepNext/>
              <w:keepLines/>
              <w:jc w:val="center"/>
            </w:pPr>
            <w:r w:rsidRPr="00C258AD">
              <w:t>Nouvelle méthode</w:t>
            </w:r>
          </w:p>
        </w:tc>
      </w:tr>
      <w:tr w:rsidR="00141952" w:rsidRPr="00C258AD" w:rsidTr="00141952">
        <w:trPr>
          <w:cantSplit/>
        </w:trPr>
        <w:tc>
          <w:tcPr>
            <w:tcW w:w="4745" w:type="dxa"/>
          </w:tcPr>
          <w:p w:rsidR="00141952" w:rsidRPr="00C258AD" w:rsidRDefault="00141952" w:rsidP="00141952">
            <w:pPr>
              <w:keepNext/>
              <w:keepLines/>
              <w:jc w:val="center"/>
            </w:pPr>
            <w:r w:rsidRPr="00C258AD">
              <w:rPr>
                <w:noProof/>
                <w:lang w:val="en-US"/>
              </w:rPr>
              <w:drawing>
                <wp:inline distT="0" distB="0" distL="0" distR="0" wp14:anchorId="12482B00" wp14:editId="75A64AD5">
                  <wp:extent cx="2924810" cy="2037080"/>
                  <wp:effectExtent l="0" t="0" r="8890" b="127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924810" cy="2037080"/>
                          </a:xfrm>
                          <a:prstGeom prst="rect">
                            <a:avLst/>
                          </a:prstGeom>
                          <a:noFill/>
                          <a:ln>
                            <a:noFill/>
                          </a:ln>
                        </pic:spPr>
                      </pic:pic>
                    </a:graphicData>
                  </a:graphic>
                </wp:inline>
              </w:drawing>
            </w:r>
          </w:p>
        </w:tc>
        <w:tc>
          <w:tcPr>
            <w:tcW w:w="4746" w:type="dxa"/>
          </w:tcPr>
          <w:p w:rsidR="00141952" w:rsidRPr="00C258AD" w:rsidRDefault="00141952" w:rsidP="00141952">
            <w:pPr>
              <w:keepNext/>
              <w:keepLines/>
              <w:jc w:val="center"/>
            </w:pPr>
            <w:r w:rsidRPr="00C258AD">
              <w:rPr>
                <w:noProof/>
                <w:lang w:val="en-US"/>
              </w:rPr>
              <w:drawing>
                <wp:inline distT="0" distB="0" distL="0" distR="0" wp14:anchorId="0791B130" wp14:editId="7B472FD0">
                  <wp:extent cx="2924810" cy="1969770"/>
                  <wp:effectExtent l="0" t="0" r="889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924810" cy="1969770"/>
                          </a:xfrm>
                          <a:prstGeom prst="rect">
                            <a:avLst/>
                          </a:prstGeom>
                          <a:noFill/>
                          <a:ln>
                            <a:noFill/>
                          </a:ln>
                        </pic:spPr>
                      </pic:pic>
                    </a:graphicData>
                  </a:graphic>
                </wp:inline>
              </w:drawing>
            </w:r>
          </w:p>
        </w:tc>
      </w:tr>
    </w:tbl>
    <w:p w:rsidR="006E2BB1" w:rsidRPr="00C258AD" w:rsidRDefault="006E2BB1" w:rsidP="00141952"/>
    <w:p w:rsidR="006E2BB1" w:rsidRPr="00C258AD" w:rsidRDefault="00141952" w:rsidP="00473433">
      <w:pPr>
        <w:pStyle w:val="ListParagraph"/>
        <w:numPr>
          <w:ilvl w:val="0"/>
          <w:numId w:val="83"/>
        </w:numPr>
        <w:ind w:left="1134" w:hanging="567"/>
        <w:contextualSpacing/>
        <w:jc w:val="both"/>
      </w:pPr>
      <w:r w:rsidRPr="00C258AD">
        <w:t>Le coût moyen de traitement d’un dessin ou modèle nouveau ou renouvelé s’établissait à 337 francs suisses en 2015, soit une baisse de 8% par rapport à 2014.  Cette baisse résulte d’une forte augmentation (14%) du nombre de dessins ou modèles nouveaux ou renouvelés</w:t>
      </w:r>
      <w:r w:rsidRPr="00C258AD">
        <w:rPr>
          <w:rFonts w:cs="Arial"/>
        </w:rPr>
        <w:t xml:space="preserve"> traités avec la même quantité de ressources qu’en 2014</w:t>
      </w:r>
      <w:r w:rsidRPr="00C258AD">
        <w:t>.</w:t>
      </w:r>
    </w:p>
    <w:p w:rsidR="006E2BB1" w:rsidRPr="00C258AD" w:rsidRDefault="006E2BB1" w:rsidP="00141952"/>
    <w:p w:rsidR="006E2BB1" w:rsidRPr="00C258AD" w:rsidRDefault="00141952" w:rsidP="00473433">
      <w:pPr>
        <w:pStyle w:val="ListParagraph"/>
        <w:numPr>
          <w:ilvl w:val="0"/>
          <w:numId w:val="83"/>
        </w:numPr>
        <w:ind w:left="1134" w:hanging="567"/>
        <w:contextualSpacing/>
        <w:jc w:val="both"/>
      </w:pPr>
      <w:r w:rsidRPr="00C258AD">
        <w:rPr>
          <w:rFonts w:cs="Arial"/>
        </w:rPr>
        <w:lastRenderedPageBreak/>
        <w:t xml:space="preserve">Le coût unitaire moyen de traitement d’un </w:t>
      </w:r>
      <w:r w:rsidRPr="00C258AD">
        <w:t>dessin ou modèle nouveau ou renouvelé</w:t>
      </w:r>
      <w:r w:rsidRPr="00C258AD">
        <w:rPr>
          <w:rFonts w:cs="Arial"/>
        </w:rPr>
        <w:t xml:space="preserve"> au cours de l’exercice biennal 2014</w:t>
      </w:r>
      <w:r w:rsidRPr="00C258AD">
        <w:rPr>
          <w:rFonts w:cs="Arial"/>
        </w:rPr>
        <w:noBreakHyphen/>
        <w:t>2015 (350 francs suisses) a baissé de 12% par rapport à l’exercice 2012</w:t>
      </w:r>
      <w:r w:rsidRPr="00C258AD">
        <w:rPr>
          <w:rFonts w:cs="Arial"/>
        </w:rPr>
        <w:noBreakHyphen/>
        <w:t>2013 (400 francs suisses).</w:t>
      </w:r>
    </w:p>
    <w:p w:rsidR="006E2BB1" w:rsidRPr="00C258AD" w:rsidRDefault="006E2BB1" w:rsidP="00141952"/>
    <w:p w:rsidR="006E2BB1" w:rsidRPr="00C258AD" w:rsidRDefault="006E2BB1" w:rsidP="00141952"/>
    <w:p w:rsidR="006E2BB1" w:rsidRPr="00C258AD" w:rsidRDefault="00141952" w:rsidP="00141952">
      <w:pPr>
        <w:keepNext/>
        <w:jc w:val="both"/>
        <w:rPr>
          <w:i/>
        </w:rPr>
      </w:pPr>
      <w:r w:rsidRPr="00C258AD">
        <w:rPr>
          <w:i/>
        </w:rPr>
        <w:t>Coût unitaire par document inscrit au registre</w:t>
      </w:r>
    </w:p>
    <w:p w:rsidR="006E2BB1" w:rsidRPr="00C258AD" w:rsidRDefault="006E2BB1" w:rsidP="00141952">
      <w:pPr>
        <w:keepNext/>
        <w:jc w:val="both"/>
      </w:pPr>
    </w:p>
    <w:p w:rsidR="006E2BB1" w:rsidRPr="00C258AD" w:rsidRDefault="00141952" w:rsidP="00473433">
      <w:pPr>
        <w:pStyle w:val="ListParagraph"/>
        <w:numPr>
          <w:ilvl w:val="0"/>
          <w:numId w:val="85"/>
        </w:numPr>
        <w:tabs>
          <w:tab w:val="left" w:pos="0"/>
          <w:tab w:val="left" w:pos="567"/>
        </w:tabs>
        <w:ind w:left="0" w:firstLine="0"/>
        <w:contextualSpacing/>
        <w:jc w:val="both"/>
      </w:pPr>
      <w:r w:rsidRPr="00C258AD">
        <w:t>Le nombre de documents inscrits au registre correspond à la charge de travail totale (voir plus haut la partie intitulée “Charge de travail totale”).</w:t>
      </w:r>
    </w:p>
    <w:p w:rsidR="00141952" w:rsidRPr="00C258AD" w:rsidRDefault="00141952" w:rsidP="00141952"/>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left w:w="68" w:type="dxa"/>
          <w:bottom w:w="113" w:type="dxa"/>
          <w:right w:w="68" w:type="dxa"/>
        </w:tblCellMar>
        <w:tblLook w:val="04A0" w:firstRow="1" w:lastRow="0" w:firstColumn="1" w:lastColumn="0" w:noHBand="0" w:noVBand="1"/>
      </w:tblPr>
      <w:tblGrid>
        <w:gridCol w:w="4745"/>
        <w:gridCol w:w="4746"/>
      </w:tblGrid>
      <w:tr w:rsidR="00141952" w:rsidRPr="00C258AD" w:rsidTr="00141952">
        <w:trPr>
          <w:cantSplit/>
        </w:trPr>
        <w:tc>
          <w:tcPr>
            <w:tcW w:w="4745" w:type="dxa"/>
          </w:tcPr>
          <w:p w:rsidR="00141952" w:rsidRPr="00C258AD" w:rsidRDefault="00141952" w:rsidP="00141952">
            <w:pPr>
              <w:jc w:val="center"/>
            </w:pPr>
            <w:r w:rsidRPr="00C258AD">
              <w:t>Ancienne méthode</w:t>
            </w:r>
          </w:p>
        </w:tc>
        <w:tc>
          <w:tcPr>
            <w:tcW w:w="4746" w:type="dxa"/>
          </w:tcPr>
          <w:p w:rsidR="00141952" w:rsidRPr="00C258AD" w:rsidRDefault="00141952" w:rsidP="00141952">
            <w:pPr>
              <w:jc w:val="center"/>
            </w:pPr>
            <w:r w:rsidRPr="00C258AD">
              <w:t>Nouvelle méthode</w:t>
            </w:r>
          </w:p>
        </w:tc>
      </w:tr>
      <w:tr w:rsidR="00141952" w:rsidRPr="00C258AD" w:rsidTr="00141952">
        <w:trPr>
          <w:cantSplit/>
        </w:trPr>
        <w:tc>
          <w:tcPr>
            <w:tcW w:w="4745" w:type="dxa"/>
          </w:tcPr>
          <w:p w:rsidR="00141952" w:rsidRPr="00C258AD" w:rsidRDefault="00141952" w:rsidP="00141952">
            <w:pPr>
              <w:jc w:val="center"/>
            </w:pPr>
            <w:r w:rsidRPr="00C258AD">
              <w:rPr>
                <w:noProof/>
                <w:lang w:val="en-US"/>
              </w:rPr>
              <w:drawing>
                <wp:inline distT="0" distB="0" distL="0" distR="0" wp14:anchorId="7502334C" wp14:editId="7076EAA9">
                  <wp:extent cx="2923540" cy="173863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923540" cy="1738630"/>
                          </a:xfrm>
                          <a:prstGeom prst="rect">
                            <a:avLst/>
                          </a:prstGeom>
                          <a:noFill/>
                          <a:ln>
                            <a:noFill/>
                          </a:ln>
                        </pic:spPr>
                      </pic:pic>
                    </a:graphicData>
                  </a:graphic>
                </wp:inline>
              </w:drawing>
            </w:r>
          </w:p>
        </w:tc>
        <w:tc>
          <w:tcPr>
            <w:tcW w:w="4746" w:type="dxa"/>
          </w:tcPr>
          <w:p w:rsidR="00141952" w:rsidRPr="00C258AD" w:rsidRDefault="00141952" w:rsidP="00141952">
            <w:pPr>
              <w:jc w:val="center"/>
            </w:pPr>
            <w:r w:rsidRPr="00C258AD">
              <w:rPr>
                <w:noProof/>
                <w:lang w:val="en-US"/>
              </w:rPr>
              <w:drawing>
                <wp:inline distT="0" distB="0" distL="0" distR="0" wp14:anchorId="1D153F92" wp14:editId="5334865A">
                  <wp:extent cx="2924810" cy="2016760"/>
                  <wp:effectExtent l="0" t="0" r="889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924810" cy="2016760"/>
                          </a:xfrm>
                          <a:prstGeom prst="rect">
                            <a:avLst/>
                          </a:prstGeom>
                          <a:noFill/>
                          <a:ln>
                            <a:noFill/>
                          </a:ln>
                        </pic:spPr>
                      </pic:pic>
                    </a:graphicData>
                  </a:graphic>
                </wp:inline>
              </w:drawing>
            </w:r>
          </w:p>
        </w:tc>
      </w:tr>
    </w:tbl>
    <w:p w:rsidR="006E2BB1" w:rsidRPr="00C258AD" w:rsidRDefault="006E2BB1" w:rsidP="00141952">
      <w:pPr>
        <w:jc w:val="center"/>
      </w:pPr>
    </w:p>
    <w:p w:rsidR="006E2BB1" w:rsidRPr="00C258AD" w:rsidRDefault="00141952" w:rsidP="00473433">
      <w:pPr>
        <w:pStyle w:val="ListParagraph"/>
        <w:numPr>
          <w:ilvl w:val="0"/>
          <w:numId w:val="83"/>
        </w:numPr>
        <w:ind w:left="1134" w:hanging="567"/>
        <w:contextualSpacing/>
        <w:jc w:val="both"/>
      </w:pPr>
      <w:r w:rsidRPr="00C258AD">
        <w:t xml:space="preserve">Le coût moyen d’inscription d’un document au registre a baissé de 22%, passant de 1483 francs suisses en 2014 à 1153 francs suisses en 2015.  Cette baisse résulte de la forte augmentation (35%) de la charge de travail totale traitée avec les mêmes ressources </w:t>
      </w:r>
      <w:r w:rsidRPr="00C258AD">
        <w:rPr>
          <w:rFonts w:cs="Arial"/>
        </w:rPr>
        <w:t>qu’en 2014</w:t>
      </w:r>
      <w:r w:rsidRPr="00C258AD">
        <w:t>.</w:t>
      </w:r>
    </w:p>
    <w:p w:rsidR="006E2BB1" w:rsidRPr="00C258AD" w:rsidRDefault="006E2BB1" w:rsidP="00141952"/>
    <w:p w:rsidR="006E2BB1" w:rsidRPr="00C258AD" w:rsidRDefault="00141952" w:rsidP="00473433">
      <w:pPr>
        <w:pStyle w:val="ListParagraph"/>
        <w:numPr>
          <w:ilvl w:val="0"/>
          <w:numId w:val="83"/>
        </w:numPr>
        <w:ind w:left="1134" w:hanging="567"/>
        <w:contextualSpacing/>
        <w:jc w:val="both"/>
      </w:pPr>
      <w:r w:rsidRPr="00C258AD">
        <w:rPr>
          <w:rFonts w:cs="Arial"/>
        </w:rPr>
        <w:t>Le coût moyen d’inscription d’un document au registre au cours de l’exercice biennal 2014</w:t>
      </w:r>
      <w:r w:rsidRPr="00C258AD">
        <w:rPr>
          <w:rFonts w:cs="Arial"/>
        </w:rPr>
        <w:noBreakHyphen/>
        <w:t>2015 (1294 francs suisses) a diminué de 15% par rapport à l’exercice 2012</w:t>
      </w:r>
      <w:r w:rsidRPr="00C258AD">
        <w:rPr>
          <w:rFonts w:cs="Arial"/>
        </w:rPr>
        <w:noBreakHyphen/>
        <w:t>2013 (1528 francs suisses).</w:t>
      </w:r>
    </w:p>
    <w:p w:rsidR="006E2BB1" w:rsidRPr="00C258AD" w:rsidRDefault="006E2BB1" w:rsidP="00141952"/>
    <w:p w:rsidR="006E2BB1" w:rsidRPr="00C258AD" w:rsidRDefault="006E2BB1" w:rsidP="00141952"/>
    <w:p w:rsidR="006E2BB1" w:rsidRPr="00C258AD" w:rsidRDefault="00141952" w:rsidP="00141952">
      <w:pPr>
        <w:tabs>
          <w:tab w:val="left" w:pos="567"/>
        </w:tabs>
        <w:rPr>
          <w:b/>
        </w:rPr>
      </w:pPr>
      <w:r w:rsidRPr="00C258AD">
        <w:rPr>
          <w:b/>
        </w:rPr>
        <w:t>III.</w:t>
      </w:r>
      <w:r w:rsidRPr="00C258AD">
        <w:rPr>
          <w:b/>
        </w:rPr>
        <w:tab/>
        <w:t>Délai de traitement des demandes internationales</w:t>
      </w:r>
    </w:p>
    <w:p w:rsidR="006E2BB1" w:rsidRPr="00C258AD" w:rsidRDefault="006E2BB1" w:rsidP="00141952">
      <w:pPr>
        <w:tabs>
          <w:tab w:val="left" w:pos="567"/>
        </w:tabs>
      </w:pPr>
    </w:p>
    <w:p w:rsidR="006E2BB1" w:rsidRPr="00C258AD" w:rsidRDefault="00141952" w:rsidP="00473433">
      <w:pPr>
        <w:pStyle w:val="ListParagraph"/>
        <w:numPr>
          <w:ilvl w:val="0"/>
          <w:numId w:val="85"/>
        </w:numPr>
        <w:tabs>
          <w:tab w:val="left" w:pos="0"/>
          <w:tab w:val="left" w:pos="567"/>
        </w:tabs>
        <w:ind w:left="0" w:firstLine="0"/>
        <w:contextualSpacing/>
        <w:jc w:val="both"/>
      </w:pPr>
      <w:r w:rsidRPr="00C258AD">
        <w:t>Cet indicateur rend compte du temps nécessaire au Bureau international pour traiter les demandes ordinaires.  Le délai de traitement est le temps écoulé entre la date de réception d’une demande et la date de son inscription au registre.</w:t>
      </w:r>
    </w:p>
    <w:p w:rsidR="006E2BB1" w:rsidRPr="00C258AD" w:rsidRDefault="006E2BB1" w:rsidP="00141952">
      <w:pPr>
        <w:tabs>
          <w:tab w:val="left" w:pos="0"/>
          <w:tab w:val="left" w:pos="567"/>
        </w:tabs>
        <w:jc w:val="both"/>
      </w:pPr>
    </w:p>
    <w:p w:rsidR="006E2BB1" w:rsidRPr="00C258AD" w:rsidRDefault="00141952" w:rsidP="00141952">
      <w:pPr>
        <w:tabs>
          <w:tab w:val="left" w:pos="0"/>
          <w:tab w:val="left" w:pos="567"/>
        </w:tabs>
        <w:jc w:val="center"/>
      </w:pPr>
      <w:r w:rsidRPr="00C258AD">
        <w:rPr>
          <w:noProof/>
          <w:lang w:val="en-US"/>
        </w:rPr>
        <w:drawing>
          <wp:inline distT="0" distB="0" distL="0" distR="0" wp14:anchorId="2112FB05" wp14:editId="7034BDDD">
            <wp:extent cx="4202206" cy="2431291"/>
            <wp:effectExtent l="0" t="0" r="8255" b="762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4210683" cy="2436196"/>
                    </a:xfrm>
                    <a:prstGeom prst="rect">
                      <a:avLst/>
                    </a:prstGeom>
                    <a:noFill/>
                    <a:ln>
                      <a:noFill/>
                    </a:ln>
                  </pic:spPr>
                </pic:pic>
              </a:graphicData>
            </a:graphic>
          </wp:inline>
        </w:drawing>
      </w:r>
    </w:p>
    <w:p w:rsidR="006E2BB1" w:rsidRPr="00C258AD" w:rsidRDefault="006E2BB1" w:rsidP="00141952"/>
    <w:p w:rsidR="006E2BB1" w:rsidRPr="00C258AD" w:rsidRDefault="00141952" w:rsidP="00473433">
      <w:pPr>
        <w:pStyle w:val="ListParagraph"/>
        <w:numPr>
          <w:ilvl w:val="0"/>
          <w:numId w:val="83"/>
        </w:numPr>
        <w:ind w:left="1134" w:hanging="567"/>
        <w:jc w:val="both"/>
      </w:pPr>
      <w:r w:rsidRPr="00C258AD">
        <w:lastRenderedPageBreak/>
        <w:t xml:space="preserve">En 2015, la part des demandes ordinaires traitées en moins d’une semaine </w:t>
      </w:r>
      <w:r w:rsidRPr="00C258AD">
        <w:rPr>
          <w:rFonts w:cs="Arial"/>
        </w:rPr>
        <w:t xml:space="preserve">a diminué, s’établissant à 25%, contre </w:t>
      </w:r>
      <w:r w:rsidRPr="00C258AD">
        <w:t>45% en 2014.</w:t>
      </w:r>
      <w:r w:rsidRPr="00C258AD">
        <w:rPr>
          <w:rFonts w:cs="Arial"/>
        </w:rPr>
        <w:t xml:space="preserve">  Entre 2011 et 2015, la part moyenne était de 27%.</w:t>
      </w:r>
    </w:p>
    <w:p w:rsidR="006E2BB1" w:rsidRPr="00C258AD" w:rsidRDefault="006E2BB1" w:rsidP="00141952"/>
    <w:p w:rsidR="006E2BB1" w:rsidRPr="00C258AD" w:rsidRDefault="00141952" w:rsidP="00473433">
      <w:pPr>
        <w:pStyle w:val="ListParagraph"/>
        <w:numPr>
          <w:ilvl w:val="0"/>
          <w:numId w:val="83"/>
        </w:numPr>
        <w:ind w:left="1134" w:hanging="567"/>
        <w:jc w:val="both"/>
      </w:pPr>
      <w:r w:rsidRPr="00C258AD">
        <w:t xml:space="preserve">En 2014, </w:t>
      </w:r>
      <w:r w:rsidRPr="00C258AD">
        <w:rPr>
          <w:rFonts w:cs="Arial"/>
        </w:rPr>
        <w:t>82%</w:t>
      </w:r>
      <w:r w:rsidRPr="00C258AD">
        <w:rPr>
          <w:rStyle w:val="FootnoteReference"/>
          <w:rFonts w:eastAsia="SimSun"/>
        </w:rPr>
        <w:footnoteReference w:id="46"/>
      </w:r>
      <w:r w:rsidRPr="00C258AD">
        <w:rPr>
          <w:rFonts w:cs="Arial"/>
        </w:rPr>
        <w:t xml:space="preserve"> des demandes avaient été traitées dans les deux semaines suivant la date de réception par le Bureau international.  En 2015, </w:t>
      </w:r>
      <w:r w:rsidRPr="00C258AD">
        <w:t>85% des demandes ont été traitées dans un délai de trois semaines à compter de leur réception par le Bureau international.</w:t>
      </w:r>
    </w:p>
    <w:p w:rsidR="006E2BB1" w:rsidRPr="00C258AD" w:rsidRDefault="006E2BB1" w:rsidP="00141952">
      <w:pPr>
        <w:pStyle w:val="Endofdocument-Annex"/>
        <w:rPr>
          <w:lang w:val="fr-FR"/>
        </w:rPr>
      </w:pPr>
    </w:p>
    <w:p w:rsidR="006E2BB1" w:rsidRPr="00C258AD" w:rsidRDefault="006E2BB1" w:rsidP="00141952">
      <w:pPr>
        <w:pStyle w:val="Endofdocument-Annex"/>
        <w:rPr>
          <w:lang w:val="fr-FR"/>
        </w:rPr>
      </w:pPr>
    </w:p>
    <w:p w:rsidR="006E2BB1" w:rsidRPr="00C258AD" w:rsidRDefault="006E2BB1" w:rsidP="00141952">
      <w:pPr>
        <w:pStyle w:val="Endofdocument-Annex"/>
        <w:rPr>
          <w:lang w:val="fr-FR"/>
        </w:rPr>
      </w:pPr>
    </w:p>
    <w:p w:rsidR="006E2BB1" w:rsidRPr="00C258AD" w:rsidRDefault="00141952" w:rsidP="00141952">
      <w:pPr>
        <w:pStyle w:val="Endofdocument-Annex"/>
        <w:rPr>
          <w:lang w:val="fr-FR"/>
        </w:rPr>
      </w:pPr>
      <w:r w:rsidRPr="00C258AD">
        <w:rPr>
          <w:lang w:val="fr-FR"/>
        </w:rPr>
        <w:t>[Fin de l’annexe]</w:t>
      </w:r>
    </w:p>
    <w:p w:rsidR="006E2BB1" w:rsidRPr="00C258AD" w:rsidRDefault="00141952">
      <w:pPr>
        <w:spacing w:after="200" w:line="276" w:lineRule="auto"/>
        <w:rPr>
          <w:rFonts w:cs="Arial"/>
          <w:b/>
          <w:bCs/>
          <w:iCs/>
          <w:caps/>
          <w:sz w:val="22"/>
          <w:szCs w:val="28"/>
        </w:rPr>
      </w:pPr>
      <w:r w:rsidRPr="00C258AD">
        <w:br w:type="page"/>
      </w:r>
    </w:p>
    <w:p w:rsidR="006E2BB1" w:rsidRPr="00C258AD" w:rsidRDefault="00194A9A" w:rsidP="00305CE5">
      <w:pPr>
        <w:pStyle w:val="Heading3"/>
      </w:pPr>
      <w:bookmarkStart w:id="89" w:name="_Toc455394185"/>
      <w:r w:rsidRPr="00C258AD">
        <w:lastRenderedPageBreak/>
        <w:t>Programme 7</w:t>
      </w:r>
      <w:r w:rsidRPr="00C258AD">
        <w:tab/>
        <w:t>‎Arbitrage, médiation et noms de domaine</w:t>
      </w:r>
      <w:bookmarkEnd w:id="72"/>
      <w:bookmarkEnd w:id="73"/>
      <w:bookmarkEnd w:id="89"/>
    </w:p>
    <w:p w:rsidR="006E2BB1" w:rsidRPr="00C258AD" w:rsidRDefault="006E2BB1" w:rsidP="00C9182C"/>
    <w:p w:rsidR="006E2BB1" w:rsidRPr="00C258AD" w:rsidRDefault="00194A9A" w:rsidP="00C9182C">
      <w:pPr>
        <w:tabs>
          <w:tab w:val="left" w:pos="2552"/>
        </w:tabs>
        <w:rPr>
          <w:b/>
          <w:szCs w:val="22"/>
        </w:rPr>
      </w:pPr>
      <w:r w:rsidRPr="00C258AD">
        <w:rPr>
          <w:b/>
          <w:szCs w:val="22"/>
        </w:rPr>
        <w:t>Chef de programme</w:t>
      </w:r>
      <w:r w:rsidRPr="00C258AD">
        <w:rPr>
          <w:b/>
          <w:szCs w:val="22"/>
        </w:rPr>
        <w:tab/>
        <w:t>M. J. Sandage</w:t>
      </w:r>
    </w:p>
    <w:p w:rsidR="006E2BB1" w:rsidRPr="00C258AD" w:rsidRDefault="006E2BB1" w:rsidP="00C9182C"/>
    <w:p w:rsidR="006E2BB1" w:rsidRPr="00C258AD" w:rsidRDefault="006E2BB1" w:rsidP="00C9182C"/>
    <w:p w:rsidR="006E2BB1" w:rsidRPr="00C258AD" w:rsidRDefault="00B76703" w:rsidP="00305CE5">
      <w:pPr>
        <w:keepNext/>
        <w:rPr>
          <w:rFonts w:cs="Arial"/>
          <w:caps/>
          <w:sz w:val="22"/>
          <w:szCs w:val="22"/>
        </w:rPr>
      </w:pPr>
      <w:r w:rsidRPr="00C258AD">
        <w:rPr>
          <w:rFonts w:cs="Arial"/>
          <w:caps/>
          <w:sz w:val="22"/>
          <w:szCs w:val="22"/>
        </w:rPr>
        <w:t>Réalisations au cours de l’exercice biennal 2014-2015</w:t>
      </w:r>
    </w:p>
    <w:p w:rsidR="006E2BB1" w:rsidRPr="00C258AD" w:rsidRDefault="006E2BB1" w:rsidP="00F93DE1"/>
    <w:p w:rsidR="006E2BB1" w:rsidRPr="00C258AD" w:rsidRDefault="00194A9A" w:rsidP="00BB4DBC">
      <w:pPr>
        <w:pStyle w:val="ListParagraph"/>
        <w:numPr>
          <w:ilvl w:val="0"/>
          <w:numId w:val="13"/>
        </w:numPr>
        <w:tabs>
          <w:tab w:val="left" w:pos="709"/>
        </w:tabs>
        <w:ind w:left="0" w:firstLine="0"/>
        <w:jc w:val="both"/>
      </w:pPr>
      <w:r w:rsidRPr="00C258AD">
        <w:t>Le Centre d’arbitrage et de médiation de l’OMPI (ci</w:t>
      </w:r>
      <w:r w:rsidRPr="00C258AD">
        <w:noBreakHyphen/>
        <w:t>après dénommé “Centre”) est reconnu comme une ressource internationale pour le règlement extrajudiciaire rapide et économique des litiges de propriété intellectuelle, y compris ceux relatifs aux noms de domaine sur l’Internet, agissant à la fois en qualité de prestataire de services d’expert administratif et juridique et d’administrateur de litiges.  Le règlement efficace des litiges facilite la protection juridique de la propriété intellectuelle et son utilisation productive à l’échelle internationale.</w:t>
      </w:r>
    </w:p>
    <w:p w:rsidR="006E2BB1" w:rsidRPr="00C258AD" w:rsidRDefault="006E2BB1" w:rsidP="00F93DE1"/>
    <w:p w:rsidR="006E2BB1" w:rsidRPr="00C258AD" w:rsidRDefault="00194A9A" w:rsidP="00BB4DBC">
      <w:pPr>
        <w:pStyle w:val="ListParagraph"/>
        <w:numPr>
          <w:ilvl w:val="0"/>
          <w:numId w:val="13"/>
        </w:numPr>
        <w:tabs>
          <w:tab w:val="left" w:pos="709"/>
        </w:tabs>
        <w:ind w:left="0" w:firstLine="0"/>
        <w:jc w:val="both"/>
      </w:pPr>
      <w:r w:rsidRPr="00C258AD">
        <w:t>Le Centre a assuré la gestion active des affaires soumises à l’OMPI dans différents domaines liés à la propriété intellectuelle au moyen d’une infrastructure moderne d’administration des litiges, en particulier le système de gestion électronique des litiges (ECAF).  À la suite de consultations menées à l’échelle internationale, le Centre a élaboré des versions révisées des règlements d’arbitrage, de médiation et de la procédure d’expertise de l’OMPI</w:t>
      </w:r>
      <w:r w:rsidRPr="00C258AD">
        <w:rPr>
          <w:rStyle w:val="FootnoteReference"/>
          <w:rFonts w:eastAsia="SimSun"/>
        </w:rPr>
        <w:footnoteReference w:id="47"/>
      </w:r>
      <w:r w:rsidRPr="00C258AD">
        <w:t>.  Ces règlements tiennent compte des faits nouveaux intervenus dans le domaine du règlement extrajudiciaire des litiges et renforcent davantage l’efficacité des procédures administrées du point de vue des délais et des coûts.  Compte tenu de l’expérience acquise dans le domaine de l’administration des litiges, un générateur de clauses de l’OMPI en ligne</w:t>
      </w:r>
      <w:r w:rsidRPr="00C258AD">
        <w:rPr>
          <w:rStyle w:val="FootnoteReference"/>
          <w:rFonts w:eastAsia="SimSun"/>
        </w:rPr>
        <w:footnoteReference w:id="48"/>
      </w:r>
      <w:r w:rsidRPr="00C258AD">
        <w:t xml:space="preserve"> a été créé et lancé en 2015.  Le Centre a également organisé des manifestations adaptées aux besoins des entreprises sur le thème de l’arbitrage et de la médiation.</w:t>
      </w:r>
    </w:p>
    <w:p w:rsidR="006E2BB1" w:rsidRPr="00C258AD" w:rsidRDefault="006E2BB1" w:rsidP="00F93DE1"/>
    <w:p w:rsidR="006E2BB1" w:rsidRPr="00C258AD" w:rsidRDefault="00194A9A" w:rsidP="00BB4DBC">
      <w:pPr>
        <w:pStyle w:val="ListParagraph"/>
        <w:numPr>
          <w:ilvl w:val="0"/>
          <w:numId w:val="13"/>
        </w:numPr>
        <w:tabs>
          <w:tab w:val="left" w:pos="709"/>
        </w:tabs>
        <w:ind w:left="0" w:firstLine="0"/>
        <w:jc w:val="both"/>
      </w:pPr>
      <w:r w:rsidRPr="00C258AD">
        <w:t>Les tribunaux nationaux et les services chargés de l’application du droit de la concurrence dans certains ressorts juridiques ont encouragé des parties dans des litiges concernant des normes relatives aux brevets dans le domaine des télécommunications dans différents ressorts juridiques à régler ces litiges par la voie extrajudiciaire.  Grâce à plusieurs projets de collaboration menés avec un certain nombre d’organismes de normalisation, notamment l’Institut européen des normes de télécommunications (IENT) et l’Institut des ingénieurs en électricité et en électronique (IEEE), l’exercice biennal 2014</w:t>
      </w:r>
      <w:r w:rsidRPr="00C258AD">
        <w:noBreakHyphen/>
        <w:t>2015 a connu une augmentation du nombre des demandes de renseignements sur l’utilisation d’accords adaptés aux besoins des entreprises qui peuvent être employés pour soumettre au Centre d’arbitrage et de médiation de l’OMPI un litige concernant la concession de licences dans des conditions équitables, raisonnables et non discriminatoires (conditions FRAND).</w:t>
      </w:r>
    </w:p>
    <w:p w:rsidR="006E2BB1" w:rsidRPr="00C258AD" w:rsidRDefault="006E2BB1" w:rsidP="00F93DE1"/>
    <w:p w:rsidR="006E2BB1" w:rsidRPr="00C258AD" w:rsidRDefault="00194A9A" w:rsidP="00BB4DBC">
      <w:pPr>
        <w:pStyle w:val="ListParagraph"/>
        <w:numPr>
          <w:ilvl w:val="0"/>
          <w:numId w:val="13"/>
        </w:numPr>
        <w:tabs>
          <w:tab w:val="left" w:pos="709"/>
        </w:tabs>
        <w:ind w:left="0" w:firstLine="0"/>
        <w:jc w:val="both"/>
      </w:pPr>
      <w:r w:rsidRPr="00C258AD">
        <w:t xml:space="preserve">Au cours de l’exercice biennal, des mémorandums d’accord ont été signés avec la Direction nationale du droit d’auteur de la Colombie (DNDA), la Direction générale des droits de propriété intellectuelle de l’Indonésie (DGIPR), l’Institut mexicain de la propriété industrielle (IMPI) et l’Office de la propriété intellectuelle des Philippines (IPOPHL), qui s’ajoutent aux accords de collaboration existants avec les États membres.  Ces accords de collaboration portent sur la création de cadres facultatifs de règlement extrajudiciaire des litiges permettant de mettre à la disposition des parties des solutions économiques et modulables pour le règlement de leurs litiges devant les offices concernés en ce qui concerne des droits octroyés ou en instance.  </w:t>
      </w:r>
      <w:r w:rsidRPr="00C258AD">
        <w:rPr>
          <w:rStyle w:val="ONUMEChar"/>
          <w:szCs w:val="22"/>
        </w:rPr>
        <w:t>En 2015, l’Office des brevets et des marques des États</w:t>
      </w:r>
      <w:r w:rsidRPr="00C258AD">
        <w:rPr>
          <w:rStyle w:val="ONUMEChar"/>
          <w:szCs w:val="22"/>
        </w:rPr>
        <w:noBreakHyphen/>
        <w:t>Unis d’Amérique (USPTO) a inscrit le Centre sur la liste des fournisseurs de services de règlement extrajudiciaire des litiges disponibles pour administrer de tels litiges.</w:t>
      </w:r>
    </w:p>
    <w:p w:rsidR="006E2BB1" w:rsidRPr="00C258AD" w:rsidRDefault="006E2BB1" w:rsidP="00F93DE1"/>
    <w:p w:rsidR="006E2BB1" w:rsidRPr="00C258AD" w:rsidRDefault="00194A9A" w:rsidP="00BB4DBC">
      <w:pPr>
        <w:pStyle w:val="ListParagraph"/>
        <w:numPr>
          <w:ilvl w:val="0"/>
          <w:numId w:val="13"/>
        </w:numPr>
        <w:tabs>
          <w:tab w:val="left" w:pos="709"/>
        </w:tabs>
        <w:ind w:left="0" w:firstLine="0"/>
        <w:jc w:val="both"/>
      </w:pPr>
      <w:r w:rsidRPr="00C258AD">
        <w:t>Le Centre a également établi une collaboration avec l’Association brésilienne de la franchise (ABF), l’Association espagnole de la franchise</w:t>
      </w:r>
      <w:r w:rsidRPr="00C258AD">
        <w:rPr>
          <w:rStyle w:val="ONUMEChar"/>
          <w:szCs w:val="22"/>
        </w:rPr>
        <w:t xml:space="preserve"> (</w:t>
      </w:r>
      <w:r w:rsidRPr="00C258AD">
        <w:t>AEF) et la Fédération suisse de la franchise (SFA), et a fourni une assistance au Ministère fédéral allemand de l’économie et de la technologie et à l’Office espagnol des brevets et des marques (OEPM) dans le cadre de l’élaboration d’accords types en matière de R</w:t>
      </w:r>
      <w:r w:rsidRPr="00C258AD">
        <w:noBreakHyphen/>
        <w:t>D assortis de clauses de règlement extrajudiciaire des litiges.  Le Centre a également élaboré une procédure d’urgence pour le règlement des litiges de propriété intellectuelle survenant dans le cadre de salons, utilisée pour la première fois en 2015 lors du Salon international de l’automobile de Genève.</w:t>
      </w:r>
    </w:p>
    <w:p w:rsidR="006E2BB1" w:rsidRPr="00C258AD" w:rsidRDefault="006E2BB1" w:rsidP="00C9182C"/>
    <w:p w:rsidR="006E2BB1" w:rsidRPr="00C258AD" w:rsidRDefault="00194A9A" w:rsidP="00BB4DBC">
      <w:pPr>
        <w:pStyle w:val="ListParagraph"/>
        <w:numPr>
          <w:ilvl w:val="0"/>
          <w:numId w:val="13"/>
        </w:numPr>
        <w:tabs>
          <w:tab w:val="left" w:pos="709"/>
        </w:tabs>
        <w:ind w:left="0" w:firstLine="0"/>
        <w:jc w:val="both"/>
      </w:pPr>
      <w:r w:rsidRPr="00C258AD">
        <w:t xml:space="preserve">Le Centre s’efforce de jouer un rôle de chef de file en matière d’élaboration de solutions pour le règlement extrajudiciaire des litiges concernant l’utilisation non autorisée de la propriété intellectuelle sur l’Internet.  On peut citer à cet égard l’introduction actuellement en cours de 1400 nouveaux domaines </w:t>
      </w:r>
      <w:r w:rsidRPr="00C258AD">
        <w:lastRenderedPageBreak/>
        <w:t>génériques de premier niveau (</w:t>
      </w:r>
      <w:proofErr w:type="spellStart"/>
      <w:r w:rsidRPr="00C258AD">
        <w:t>gTLD</w:t>
      </w:r>
      <w:proofErr w:type="spellEnd"/>
      <w:r w:rsidRPr="00C258AD">
        <w:t xml:space="preserve">) par l’Internet Corporation for </w:t>
      </w:r>
      <w:proofErr w:type="spellStart"/>
      <w:r w:rsidRPr="00C258AD">
        <w:t>Assigned</w:t>
      </w:r>
      <w:proofErr w:type="spellEnd"/>
      <w:r w:rsidRPr="00C258AD">
        <w:t xml:space="preserve"> </w:t>
      </w:r>
      <w:proofErr w:type="spellStart"/>
      <w:r w:rsidRPr="00C258AD">
        <w:t>Names</w:t>
      </w:r>
      <w:proofErr w:type="spellEnd"/>
      <w:r w:rsidRPr="00C258AD">
        <w:t xml:space="preserve"> and </w:t>
      </w:r>
      <w:proofErr w:type="spellStart"/>
      <w:r w:rsidRPr="00C258AD">
        <w:t>Numbers</w:t>
      </w:r>
      <w:proofErr w:type="spellEnd"/>
      <w:r w:rsidRPr="00C258AD">
        <w:t xml:space="preserve"> (ICANN).  En 2014, le Centre a procédé à la mise en œuvre de la procédure de règlement des litiges postérieure à l’attribution adoptée par l’ICANN, un mécanisme fondé sur les marques adopté en 2013 pour encourager un comportement responsable des administrateurs de services d’enregistrement dès lors qu’un domaine est devenu opérationnel.  Le Centre a également contribué à l’élaboration, dans le cadre des Principes directeurs concernant le règlement uniforme des litiges relatifs aux noms de domaine (principes UDRP), de nouvelles dispositions sur le verrouillage des noms de domaine par les bureaux d’enregistrement.</w:t>
      </w:r>
    </w:p>
    <w:p w:rsidR="006E2BB1" w:rsidRPr="00C258AD" w:rsidRDefault="006E2BB1" w:rsidP="00F93DE1"/>
    <w:p w:rsidR="006E2BB1" w:rsidRPr="00C258AD" w:rsidRDefault="00194A9A" w:rsidP="00BB4DBC">
      <w:pPr>
        <w:pStyle w:val="ListParagraph"/>
        <w:numPr>
          <w:ilvl w:val="0"/>
          <w:numId w:val="13"/>
        </w:numPr>
        <w:tabs>
          <w:tab w:val="left" w:pos="709"/>
        </w:tabs>
        <w:ind w:left="0" w:firstLine="0"/>
        <w:jc w:val="both"/>
        <w:rPr>
          <w:bCs/>
        </w:rPr>
      </w:pPr>
      <w:r w:rsidRPr="00C258AD">
        <w:t xml:space="preserve">L’année 2014 a été marquée par le </w:t>
      </w:r>
      <w:r w:rsidRPr="00C258AD">
        <w:rPr>
          <w:rFonts w:eastAsia="Calibri"/>
          <w:sz w:val="21"/>
          <w:szCs w:val="21"/>
        </w:rPr>
        <w:t>quinzième </w:t>
      </w:r>
      <w:r w:rsidRPr="00C258AD">
        <w:t>anniversaire des principes UDRP élaborés par l’OMPI.  Depuis que le Centre a administré le premier litige en vertu des principes UDRP en 1999, plus de 33 000 plaintes</w:t>
      </w:r>
      <w:r w:rsidRPr="00C258AD">
        <w:rPr>
          <w:rStyle w:val="FootnoteReference"/>
          <w:rFonts w:eastAsia="SimSun"/>
        </w:rPr>
        <w:footnoteReference w:id="49"/>
      </w:r>
      <w:r w:rsidRPr="00C258AD">
        <w:t xml:space="preserve"> concernant plus de 61 000 noms de domaine ont été soumises à l’OMPI.  Le nombre de plaintes pour </w:t>
      </w:r>
      <w:proofErr w:type="spellStart"/>
      <w:r w:rsidRPr="00C258AD">
        <w:t>cybersquattage</w:t>
      </w:r>
      <w:proofErr w:type="spellEnd"/>
      <w:r w:rsidRPr="00C258AD">
        <w:t xml:space="preserve"> déposées auprès de l’OMPI par des propriétaires de marques de commerce pour atteinte à leur marque a augmenté de 1,9% en 2014 par rapport à 2013, et de 4,6% en 2015 par rapport à 2014.  Ces chiffres comprennent les premiers litiges administrés en vertu des principes UDRP en relation avec des enregistrements dans des nouveaux </w:t>
      </w:r>
      <w:proofErr w:type="spellStart"/>
      <w:r w:rsidRPr="00C258AD">
        <w:t>gTLD</w:t>
      </w:r>
      <w:proofErr w:type="spellEnd"/>
      <w:r w:rsidRPr="00C258AD">
        <w:t>, qui représentaient 6,8% des noms de domaine en litige en 2014</w:t>
      </w:r>
      <w:r w:rsidRPr="00C258AD">
        <w:noBreakHyphen/>
        <w:t>2015.</w:t>
      </w:r>
    </w:p>
    <w:p w:rsidR="006E2BB1" w:rsidRPr="00C258AD" w:rsidRDefault="006E2BB1" w:rsidP="00F93DE1"/>
    <w:p w:rsidR="006E2BB1" w:rsidRPr="00C258AD" w:rsidRDefault="00194A9A" w:rsidP="00BB4DBC">
      <w:pPr>
        <w:pStyle w:val="ListParagraph"/>
        <w:numPr>
          <w:ilvl w:val="0"/>
          <w:numId w:val="13"/>
        </w:numPr>
        <w:tabs>
          <w:tab w:val="left" w:pos="709"/>
        </w:tabs>
        <w:ind w:left="0" w:firstLine="0"/>
        <w:jc w:val="both"/>
      </w:pPr>
      <w:r w:rsidRPr="00C258AD">
        <w:t>Au cours de l’exercice biennal, le Centre a partagé les meilleures pratiques en matière de règlement des litiges avec les administrateurs de noms de domaine pour les domaines correspondant à des codes de pays (</w:t>
      </w:r>
      <w:proofErr w:type="spellStart"/>
      <w:r w:rsidRPr="00C258AD">
        <w:t>ccTLD</w:t>
      </w:r>
      <w:proofErr w:type="spellEnd"/>
      <w:r w:rsidRPr="00C258AD">
        <w:t>) dans différentes régions.  Le Centre est devenu un prestataire de services pour les domaines .GQ (Guinée équatoriale) et .VG (îles Vierges britanniques), ce qui porte à 71</w:t>
      </w:r>
      <w:r w:rsidRPr="00C258AD">
        <w:rPr>
          <w:rStyle w:val="FootnoteReference"/>
          <w:rFonts w:eastAsia="SimSun"/>
        </w:rPr>
        <w:footnoteReference w:id="50"/>
      </w:r>
      <w:r w:rsidRPr="00C258AD">
        <w:t xml:space="preserve"> le nombre total de </w:t>
      </w:r>
      <w:proofErr w:type="spellStart"/>
      <w:r w:rsidRPr="00C258AD">
        <w:t>ccTLD</w:t>
      </w:r>
      <w:proofErr w:type="spellEnd"/>
      <w:r w:rsidRPr="00C258AD">
        <w:t xml:space="preserve"> pour lesquels l’OMPI fournit des services de cette nature.</w:t>
      </w:r>
    </w:p>
    <w:p w:rsidR="006E2BB1" w:rsidRPr="00C258AD" w:rsidRDefault="006E2BB1" w:rsidP="00F93DE1"/>
    <w:p w:rsidR="006E2BB1" w:rsidRPr="00C258AD" w:rsidRDefault="00194A9A" w:rsidP="00BB4DBC">
      <w:pPr>
        <w:pStyle w:val="ListParagraph"/>
        <w:numPr>
          <w:ilvl w:val="0"/>
          <w:numId w:val="13"/>
        </w:numPr>
        <w:tabs>
          <w:tab w:val="left" w:pos="709"/>
        </w:tabs>
        <w:ind w:left="0" w:firstLine="0"/>
        <w:jc w:val="both"/>
      </w:pPr>
      <w:r w:rsidRPr="00C258AD">
        <w:t>La conception, la planification et la mise en œuvre des activités menées par le Centre s’appuient sur les recommandations pertinentes du Plan d’action pour le développement, notamment les recommandations n</w:t>
      </w:r>
      <w:r w:rsidRPr="00C258AD">
        <w:rPr>
          <w:vertAlign w:val="superscript"/>
        </w:rPr>
        <w:t>os</w:t>
      </w:r>
      <w:r w:rsidRPr="00C258AD">
        <w:t xml:space="preserve"> 1, 6 et 10.  Le Centre a notamment organisé des programmes d’arbitrage et de médiation adaptés aux besoins des responsables et praticiens de la propriété intellectuelle et aidé des offices de propriété intellectuelle à mettre en place des cadres facultatifs de règlement extrajudiciaire des litiges dont ils avaient été saisis.  En outre, il a continué de prêter assistance aux autorités nationales compétentes en matière de </w:t>
      </w:r>
      <w:proofErr w:type="spellStart"/>
      <w:r w:rsidRPr="00C258AD">
        <w:t>ccTLD</w:t>
      </w:r>
      <w:proofErr w:type="spellEnd"/>
      <w:r w:rsidRPr="00C258AD">
        <w:t xml:space="preserve"> pour mettre en place des normes relatives à l’enregistrement et des mécanismes de règlement des litiges adaptés aux besoins des pays en développement et des pays en transition.</w:t>
      </w:r>
    </w:p>
    <w:p w:rsidR="006E2BB1" w:rsidRPr="00C258AD" w:rsidRDefault="006E2BB1" w:rsidP="00C9182C">
      <w:pPr>
        <w:tabs>
          <w:tab w:val="left" w:pos="709"/>
        </w:tabs>
        <w:jc w:val="both"/>
      </w:pPr>
    </w:p>
    <w:p w:rsidR="006E2BB1" w:rsidRPr="00C258AD" w:rsidRDefault="006E2BB1" w:rsidP="00C9182C">
      <w:pPr>
        <w:tabs>
          <w:tab w:val="left" w:pos="709"/>
        </w:tabs>
        <w:jc w:val="both"/>
      </w:pPr>
    </w:p>
    <w:p w:rsidR="006E2BB1" w:rsidRPr="00C258AD" w:rsidRDefault="00194A9A" w:rsidP="00305CE5">
      <w:pPr>
        <w:keepNext/>
        <w:rPr>
          <w:rFonts w:cs="Arial"/>
          <w:caps/>
          <w:sz w:val="22"/>
          <w:szCs w:val="22"/>
        </w:rPr>
      </w:pPr>
      <w:r w:rsidRPr="00C258AD">
        <w:rPr>
          <w:rFonts w:cs="Arial"/>
          <w:caps/>
          <w:sz w:val="22"/>
          <w:szCs w:val="22"/>
        </w:rPr>
        <w:t>Données relatives à l’exécution</w:t>
      </w:r>
    </w:p>
    <w:p w:rsidR="00194A9A" w:rsidRPr="00C258AD" w:rsidRDefault="00194A9A" w:rsidP="00C9182C">
      <w:pPr>
        <w:jc w:val="both"/>
      </w:pPr>
    </w:p>
    <w:tbl>
      <w:tblPr>
        <w:tblW w:w="4884" w:type="pct"/>
        <w:tblInd w:w="108" w:type="dxa"/>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077"/>
        <w:gridCol w:w="2206"/>
        <w:gridCol w:w="1650"/>
        <w:gridCol w:w="2206"/>
        <w:gridCol w:w="1132"/>
      </w:tblGrid>
      <w:tr w:rsidR="00194A9A" w:rsidRPr="00C258AD" w:rsidTr="00C9182C">
        <w:trPr>
          <w:cantSplit/>
        </w:trPr>
        <w:tc>
          <w:tcPr>
            <w:tcW w:w="5000" w:type="pct"/>
            <w:gridSpan w:val="5"/>
            <w:tcBorders>
              <w:top w:val="single" w:sz="4" w:space="0" w:color="auto"/>
              <w:bottom w:val="single" w:sz="4" w:space="0" w:color="auto"/>
            </w:tcBorders>
            <w:shd w:val="clear" w:color="auto" w:fill="C5D9F1"/>
            <w:vAlign w:val="center"/>
          </w:tcPr>
          <w:p w:rsidR="00194A9A" w:rsidRPr="00C258AD" w:rsidRDefault="00194A9A" w:rsidP="00C9182C">
            <w:pPr>
              <w:keepNext/>
              <w:keepLines/>
              <w:rPr>
                <w:b/>
                <w:bCs/>
                <w:sz w:val="16"/>
                <w:szCs w:val="16"/>
              </w:rPr>
            </w:pPr>
            <w:r w:rsidRPr="00C258AD">
              <w:rPr>
                <w:b/>
                <w:bCs/>
                <w:sz w:val="16"/>
                <w:szCs w:val="16"/>
              </w:rPr>
              <w:t>Résultat escompté :</w:t>
            </w:r>
            <w:r w:rsidRPr="00C258AD">
              <w:rPr>
                <w:bCs/>
                <w:sz w:val="16"/>
                <w:szCs w:val="16"/>
              </w:rPr>
              <w:t xml:space="preserve"> </w:t>
            </w:r>
            <w:r w:rsidRPr="00C258AD">
              <w:rPr>
                <w:bCs/>
                <w:sz w:val="16"/>
                <w:szCs w:val="16"/>
              </w:rPr>
              <w:tab/>
              <w:t>II.8 De plus en plus de litiges internationaux ou nationaux de propriété intellectuelle sont évités ou réglés par la médiation, l’arbitrage et les autres modes extrajudiciaires de règlement des litiges de l’OMPI</w:t>
            </w:r>
          </w:p>
        </w:tc>
      </w:tr>
      <w:tr w:rsidR="00194A9A" w:rsidRPr="00C258AD" w:rsidTr="00C9182C">
        <w:trPr>
          <w:cantSplit/>
        </w:trPr>
        <w:tc>
          <w:tcPr>
            <w:tcW w:w="1142" w:type="pct"/>
            <w:tcBorders>
              <w:top w:val="single" w:sz="4" w:space="0" w:color="auto"/>
            </w:tcBorders>
            <w:shd w:val="clear" w:color="auto" w:fill="auto"/>
            <w:vAlign w:val="center"/>
          </w:tcPr>
          <w:p w:rsidR="00194A9A" w:rsidRPr="00C258AD" w:rsidRDefault="00194A9A" w:rsidP="00C9182C">
            <w:pPr>
              <w:jc w:val="center"/>
              <w:rPr>
                <w:sz w:val="16"/>
                <w:szCs w:val="16"/>
              </w:rPr>
            </w:pPr>
            <w:r w:rsidRPr="00C258AD">
              <w:rPr>
                <w:b/>
                <w:sz w:val="16"/>
                <w:szCs w:val="16"/>
              </w:rPr>
              <w:t>Indicateurs d’exécution</w:t>
            </w:r>
          </w:p>
        </w:tc>
        <w:tc>
          <w:tcPr>
            <w:tcW w:w="1211" w:type="pct"/>
            <w:tcBorders>
              <w:top w:val="single" w:sz="4" w:space="0" w:color="auto"/>
            </w:tcBorders>
            <w:shd w:val="clear" w:color="auto" w:fill="auto"/>
            <w:vAlign w:val="center"/>
          </w:tcPr>
          <w:p w:rsidR="00194A9A" w:rsidRPr="00C258AD" w:rsidRDefault="00194A9A" w:rsidP="00C9182C">
            <w:pPr>
              <w:jc w:val="center"/>
              <w:rPr>
                <w:b/>
                <w:bCs/>
                <w:sz w:val="16"/>
                <w:szCs w:val="16"/>
              </w:rPr>
            </w:pPr>
            <w:r w:rsidRPr="00C258AD">
              <w:rPr>
                <w:b/>
                <w:bCs/>
                <w:sz w:val="16"/>
                <w:szCs w:val="16"/>
              </w:rPr>
              <w:t>Niveaux de référence</w:t>
            </w:r>
          </w:p>
        </w:tc>
        <w:tc>
          <w:tcPr>
            <w:tcW w:w="911" w:type="pct"/>
            <w:tcBorders>
              <w:top w:val="single" w:sz="4" w:space="0" w:color="auto"/>
            </w:tcBorders>
            <w:shd w:val="clear" w:color="auto" w:fill="auto"/>
            <w:tcMar>
              <w:top w:w="110" w:type="dxa"/>
            </w:tcMar>
            <w:vAlign w:val="center"/>
          </w:tcPr>
          <w:p w:rsidR="00194A9A" w:rsidRPr="00C258AD" w:rsidRDefault="00194A9A" w:rsidP="00C9182C">
            <w:pPr>
              <w:jc w:val="center"/>
              <w:rPr>
                <w:b/>
                <w:sz w:val="16"/>
                <w:szCs w:val="16"/>
              </w:rPr>
            </w:pPr>
            <w:r w:rsidRPr="00C258AD">
              <w:rPr>
                <w:b/>
                <w:sz w:val="16"/>
                <w:szCs w:val="16"/>
              </w:rPr>
              <w:t>Objectifs visés</w:t>
            </w:r>
          </w:p>
        </w:tc>
        <w:tc>
          <w:tcPr>
            <w:tcW w:w="1211" w:type="pct"/>
            <w:tcBorders>
              <w:top w:val="single" w:sz="4" w:space="0" w:color="auto"/>
            </w:tcBorders>
            <w:shd w:val="clear" w:color="auto" w:fill="auto"/>
            <w:tcMar>
              <w:top w:w="110" w:type="dxa"/>
            </w:tcMar>
            <w:vAlign w:val="center"/>
          </w:tcPr>
          <w:p w:rsidR="00194A9A" w:rsidRPr="00C258AD" w:rsidRDefault="00194A9A" w:rsidP="00C9182C">
            <w:pPr>
              <w:jc w:val="center"/>
              <w:rPr>
                <w:sz w:val="16"/>
                <w:szCs w:val="16"/>
              </w:rPr>
            </w:pPr>
            <w:r w:rsidRPr="00C258AD">
              <w:rPr>
                <w:b/>
                <w:sz w:val="16"/>
                <w:szCs w:val="16"/>
              </w:rPr>
              <w:t>Données relatives à l’exécution</w:t>
            </w:r>
          </w:p>
        </w:tc>
        <w:tc>
          <w:tcPr>
            <w:tcW w:w="525" w:type="pct"/>
            <w:tcBorders>
              <w:top w:val="single" w:sz="4" w:space="0" w:color="auto"/>
            </w:tcBorders>
            <w:shd w:val="clear" w:color="auto" w:fill="auto"/>
            <w:tcMar>
              <w:top w:w="110" w:type="dxa"/>
            </w:tcMar>
            <w:vAlign w:val="center"/>
          </w:tcPr>
          <w:p w:rsidR="00194A9A" w:rsidRPr="00C258AD" w:rsidRDefault="00194A9A" w:rsidP="00C9182C">
            <w:pPr>
              <w:keepNext/>
              <w:keepLines/>
              <w:jc w:val="center"/>
              <w:rPr>
                <w:b/>
                <w:bCs/>
                <w:sz w:val="16"/>
                <w:szCs w:val="16"/>
              </w:rPr>
            </w:pPr>
            <w:r w:rsidRPr="00C258AD">
              <w:rPr>
                <w:b/>
                <w:bCs/>
                <w:sz w:val="16"/>
                <w:szCs w:val="16"/>
              </w:rPr>
              <w:t>Code de couleurs</w:t>
            </w:r>
          </w:p>
        </w:tc>
      </w:tr>
      <w:tr w:rsidR="00194A9A" w:rsidRPr="00C258AD" w:rsidTr="00C9182C">
        <w:trPr>
          <w:cantSplit/>
        </w:trPr>
        <w:tc>
          <w:tcPr>
            <w:tcW w:w="1142" w:type="pct"/>
            <w:vMerge w:val="restart"/>
            <w:shd w:val="clear" w:color="auto" w:fill="auto"/>
          </w:tcPr>
          <w:p w:rsidR="00194A9A" w:rsidRPr="00C258AD" w:rsidRDefault="00194A9A" w:rsidP="00C9182C">
            <w:pPr>
              <w:rPr>
                <w:sz w:val="16"/>
                <w:szCs w:val="16"/>
              </w:rPr>
            </w:pPr>
            <w:r w:rsidRPr="00C258AD">
              <w:rPr>
                <w:sz w:val="16"/>
                <w:szCs w:val="16"/>
              </w:rPr>
              <w:t>Prise en considération accrue de l’utilisation de services de règlement extrajudiciaire des litiges dans les transactions de propriété intellectuelle, notamment par le recours aux procédures de l’OMPI</w:t>
            </w:r>
          </w:p>
        </w:tc>
        <w:tc>
          <w:tcPr>
            <w:tcW w:w="1211" w:type="pct"/>
            <w:shd w:val="clear" w:color="auto" w:fill="auto"/>
          </w:tcPr>
          <w:p w:rsidR="00194A9A" w:rsidRPr="00C258AD" w:rsidRDefault="00194A9A" w:rsidP="00C9182C">
            <w:pPr>
              <w:rPr>
                <w:sz w:val="16"/>
                <w:szCs w:val="16"/>
              </w:rPr>
            </w:pPr>
            <w:r w:rsidRPr="00C258AD">
              <w:rPr>
                <w:i/>
                <w:color w:val="002060"/>
                <w:sz w:val="16"/>
                <w:szCs w:val="16"/>
              </w:rPr>
              <w:t>Niveau de référence actualisé à fin 2013 :</w:t>
            </w:r>
            <w:r w:rsidRPr="00C258AD">
              <w:rPr>
                <w:color w:val="002060"/>
                <w:sz w:val="16"/>
                <w:szCs w:val="16"/>
              </w:rPr>
              <w:t xml:space="preserve"> 375 litiges et 95 bons offices (cumul à la fin de 2013)</w:t>
            </w:r>
          </w:p>
        </w:tc>
        <w:tc>
          <w:tcPr>
            <w:tcW w:w="911" w:type="pct"/>
            <w:shd w:val="clear" w:color="auto" w:fill="auto"/>
            <w:tcMar>
              <w:top w:w="110" w:type="dxa"/>
            </w:tcMar>
          </w:tcPr>
          <w:p w:rsidR="00194A9A" w:rsidRPr="00C258AD" w:rsidRDefault="00194A9A" w:rsidP="00C9182C">
            <w:pPr>
              <w:autoSpaceDE w:val="0"/>
              <w:autoSpaceDN w:val="0"/>
              <w:adjustRightInd w:val="0"/>
              <w:rPr>
                <w:sz w:val="16"/>
                <w:szCs w:val="16"/>
              </w:rPr>
            </w:pPr>
            <w:r w:rsidRPr="00C258AD">
              <w:rPr>
                <w:sz w:val="16"/>
                <w:szCs w:val="16"/>
              </w:rPr>
              <w:t>40 litiges et bons offices supplémentaires</w:t>
            </w:r>
          </w:p>
        </w:tc>
        <w:tc>
          <w:tcPr>
            <w:tcW w:w="1211" w:type="pct"/>
            <w:shd w:val="clear" w:color="auto" w:fill="auto"/>
            <w:tcMar>
              <w:top w:w="110" w:type="dxa"/>
            </w:tcMar>
          </w:tcPr>
          <w:p w:rsidR="006E2BB1" w:rsidRPr="00C258AD" w:rsidRDefault="00194A9A" w:rsidP="00C9182C">
            <w:pPr>
              <w:rPr>
                <w:sz w:val="16"/>
                <w:szCs w:val="16"/>
                <w:lang w:bidi="th-TH"/>
              </w:rPr>
            </w:pPr>
            <w:r w:rsidRPr="00C258AD">
              <w:rPr>
                <w:sz w:val="16"/>
                <w:szCs w:val="16"/>
                <w:lang w:bidi="th-TH"/>
              </w:rPr>
              <w:t>En 2014</w:t>
            </w:r>
            <w:r w:rsidRPr="00C258AD">
              <w:rPr>
                <w:sz w:val="16"/>
                <w:szCs w:val="16"/>
                <w:lang w:bidi="th-TH"/>
              </w:rPr>
              <w:noBreakHyphen/>
              <w:t>2015, 152 litiges supplémentaires et bons offices</w:t>
            </w:r>
          </w:p>
          <w:p w:rsidR="006E2BB1" w:rsidRPr="00C258AD" w:rsidRDefault="006E2BB1" w:rsidP="00C9182C">
            <w:pPr>
              <w:rPr>
                <w:sz w:val="16"/>
                <w:szCs w:val="16"/>
                <w:lang w:bidi="th-TH"/>
              </w:rPr>
            </w:pPr>
          </w:p>
          <w:p w:rsidR="00194A9A" w:rsidRPr="00C258AD" w:rsidRDefault="00194A9A" w:rsidP="00C9182C">
            <w:pPr>
              <w:rPr>
                <w:sz w:val="16"/>
                <w:szCs w:val="16"/>
              </w:rPr>
            </w:pPr>
            <w:r w:rsidRPr="00C258AD">
              <w:rPr>
                <w:sz w:val="16"/>
                <w:szCs w:val="16"/>
                <w:lang w:bidi="th-TH"/>
              </w:rPr>
              <w:t>622 litiges et bons offices (cumul à la fin de 2015)</w:t>
            </w:r>
          </w:p>
        </w:tc>
        <w:tc>
          <w:tcPr>
            <w:tcW w:w="525" w:type="pct"/>
            <w:shd w:val="clear" w:color="auto" w:fill="auto"/>
            <w:tcMar>
              <w:top w:w="110" w:type="dxa"/>
            </w:tcMar>
          </w:tcPr>
          <w:p w:rsidR="00194A9A" w:rsidRPr="00C258AD" w:rsidRDefault="00194A9A" w:rsidP="00C9182C">
            <w:pPr>
              <w:keepNext/>
              <w:keepLines/>
              <w:jc w:val="center"/>
              <w:rPr>
                <w:b/>
                <w:bCs/>
                <w:color w:val="00B050"/>
                <w:sz w:val="16"/>
                <w:szCs w:val="16"/>
              </w:rPr>
            </w:pPr>
            <w:r w:rsidRPr="00C258AD">
              <w:rPr>
                <w:b/>
                <w:bCs/>
                <w:color w:val="00B050"/>
                <w:sz w:val="16"/>
                <w:szCs w:val="16"/>
              </w:rPr>
              <w:t>Objectif pleinement atteint</w:t>
            </w:r>
          </w:p>
        </w:tc>
      </w:tr>
      <w:tr w:rsidR="00194A9A" w:rsidRPr="00C258AD" w:rsidTr="00C9182C">
        <w:trPr>
          <w:cantSplit/>
        </w:trPr>
        <w:tc>
          <w:tcPr>
            <w:tcW w:w="1142" w:type="pct"/>
            <w:vMerge/>
            <w:shd w:val="clear" w:color="auto" w:fill="auto"/>
          </w:tcPr>
          <w:p w:rsidR="00194A9A" w:rsidRPr="00C258AD" w:rsidRDefault="00194A9A" w:rsidP="00C9182C">
            <w:pPr>
              <w:rPr>
                <w:sz w:val="16"/>
                <w:szCs w:val="16"/>
              </w:rPr>
            </w:pPr>
          </w:p>
        </w:tc>
        <w:tc>
          <w:tcPr>
            <w:tcW w:w="1211" w:type="pct"/>
            <w:shd w:val="clear" w:color="auto" w:fill="auto"/>
          </w:tcPr>
          <w:p w:rsidR="00194A9A" w:rsidRPr="00C258AD" w:rsidRDefault="00194A9A" w:rsidP="00C9182C">
            <w:pPr>
              <w:rPr>
                <w:i/>
                <w:color w:val="002060"/>
                <w:sz w:val="16"/>
                <w:szCs w:val="16"/>
              </w:rPr>
            </w:pPr>
            <w:r w:rsidRPr="00C258AD">
              <w:rPr>
                <w:color w:val="002060"/>
                <w:sz w:val="16"/>
                <w:szCs w:val="16"/>
              </w:rPr>
              <w:t>4000 demandes (2012</w:t>
            </w:r>
            <w:r w:rsidRPr="00C258AD">
              <w:rPr>
                <w:color w:val="002060"/>
                <w:sz w:val="16"/>
                <w:szCs w:val="16"/>
              </w:rPr>
              <w:noBreakHyphen/>
              <w:t>2013)</w:t>
            </w:r>
          </w:p>
        </w:tc>
        <w:tc>
          <w:tcPr>
            <w:tcW w:w="911" w:type="pct"/>
            <w:shd w:val="clear" w:color="auto" w:fill="auto"/>
            <w:tcMar>
              <w:top w:w="110" w:type="dxa"/>
            </w:tcMar>
          </w:tcPr>
          <w:p w:rsidR="00194A9A" w:rsidRPr="00C258AD" w:rsidRDefault="00194A9A" w:rsidP="00C9182C">
            <w:pPr>
              <w:autoSpaceDE w:val="0"/>
              <w:autoSpaceDN w:val="0"/>
              <w:adjustRightInd w:val="0"/>
              <w:rPr>
                <w:sz w:val="16"/>
                <w:szCs w:val="16"/>
              </w:rPr>
            </w:pPr>
            <w:r w:rsidRPr="00C258AD">
              <w:rPr>
                <w:sz w:val="16"/>
                <w:szCs w:val="16"/>
              </w:rPr>
              <w:t>4000 demandes supplémentaires</w:t>
            </w:r>
          </w:p>
        </w:tc>
        <w:tc>
          <w:tcPr>
            <w:tcW w:w="1211" w:type="pct"/>
            <w:shd w:val="clear" w:color="auto" w:fill="auto"/>
            <w:tcMar>
              <w:top w:w="110" w:type="dxa"/>
            </w:tcMar>
          </w:tcPr>
          <w:p w:rsidR="00194A9A" w:rsidRPr="00C258AD" w:rsidRDefault="00194A9A" w:rsidP="00C9182C">
            <w:pPr>
              <w:rPr>
                <w:sz w:val="16"/>
                <w:szCs w:val="16"/>
                <w:lang w:bidi="th-TH"/>
              </w:rPr>
            </w:pPr>
            <w:r w:rsidRPr="00C258AD">
              <w:rPr>
                <w:sz w:val="16"/>
                <w:szCs w:val="16"/>
              </w:rPr>
              <w:t>7500 demandes supplémentaires (2014</w:t>
            </w:r>
            <w:r w:rsidRPr="00C258AD">
              <w:rPr>
                <w:sz w:val="16"/>
                <w:szCs w:val="16"/>
              </w:rPr>
              <w:noBreakHyphen/>
              <w:t>2015)</w:t>
            </w:r>
          </w:p>
        </w:tc>
        <w:tc>
          <w:tcPr>
            <w:tcW w:w="525" w:type="pct"/>
            <w:shd w:val="clear" w:color="auto" w:fill="auto"/>
            <w:tcMar>
              <w:top w:w="110" w:type="dxa"/>
            </w:tcMar>
          </w:tcPr>
          <w:p w:rsidR="00194A9A" w:rsidRPr="00C258AD" w:rsidRDefault="00194A9A" w:rsidP="00C9182C">
            <w:pPr>
              <w:keepNext/>
              <w:keepLines/>
              <w:jc w:val="center"/>
              <w:rPr>
                <w:b/>
                <w:bCs/>
                <w:color w:val="00B050"/>
                <w:sz w:val="16"/>
                <w:szCs w:val="16"/>
              </w:rPr>
            </w:pPr>
            <w:r w:rsidRPr="00C258AD">
              <w:rPr>
                <w:b/>
                <w:bCs/>
                <w:color w:val="00B050"/>
                <w:sz w:val="16"/>
                <w:szCs w:val="16"/>
              </w:rPr>
              <w:t>Objectif pleinement atteint</w:t>
            </w:r>
          </w:p>
        </w:tc>
      </w:tr>
      <w:tr w:rsidR="00194A9A" w:rsidRPr="00C258AD" w:rsidTr="00C9182C">
        <w:trPr>
          <w:cantSplit/>
        </w:trPr>
        <w:tc>
          <w:tcPr>
            <w:tcW w:w="1142" w:type="pct"/>
            <w:vMerge/>
            <w:shd w:val="clear" w:color="auto" w:fill="auto"/>
          </w:tcPr>
          <w:p w:rsidR="00194A9A" w:rsidRPr="00C258AD" w:rsidRDefault="00194A9A" w:rsidP="00C9182C">
            <w:pPr>
              <w:rPr>
                <w:sz w:val="16"/>
                <w:szCs w:val="16"/>
              </w:rPr>
            </w:pPr>
          </w:p>
        </w:tc>
        <w:tc>
          <w:tcPr>
            <w:tcW w:w="1211" w:type="pct"/>
            <w:shd w:val="clear" w:color="auto" w:fill="auto"/>
          </w:tcPr>
          <w:p w:rsidR="00194A9A" w:rsidRPr="00C258AD" w:rsidRDefault="00194A9A" w:rsidP="00C9182C">
            <w:pPr>
              <w:rPr>
                <w:i/>
                <w:color w:val="002060"/>
                <w:sz w:val="16"/>
                <w:szCs w:val="16"/>
              </w:rPr>
            </w:pPr>
            <w:r w:rsidRPr="00C258AD">
              <w:rPr>
                <w:color w:val="002060"/>
                <w:sz w:val="16"/>
                <w:szCs w:val="16"/>
              </w:rPr>
              <w:t>3,5 millions de consultations sur l’Internet (2012</w:t>
            </w:r>
            <w:r w:rsidRPr="00C258AD">
              <w:rPr>
                <w:color w:val="002060"/>
                <w:sz w:val="16"/>
                <w:szCs w:val="16"/>
              </w:rPr>
              <w:noBreakHyphen/>
              <w:t>2013)</w:t>
            </w:r>
          </w:p>
        </w:tc>
        <w:tc>
          <w:tcPr>
            <w:tcW w:w="911" w:type="pct"/>
            <w:shd w:val="clear" w:color="auto" w:fill="auto"/>
            <w:tcMar>
              <w:top w:w="110" w:type="dxa"/>
            </w:tcMar>
          </w:tcPr>
          <w:p w:rsidR="00194A9A" w:rsidRPr="00C258AD" w:rsidRDefault="00194A9A" w:rsidP="00C9182C">
            <w:pPr>
              <w:autoSpaceDE w:val="0"/>
              <w:autoSpaceDN w:val="0"/>
              <w:adjustRightInd w:val="0"/>
              <w:rPr>
                <w:sz w:val="16"/>
                <w:szCs w:val="16"/>
              </w:rPr>
            </w:pPr>
            <w:r w:rsidRPr="00C258AD">
              <w:rPr>
                <w:sz w:val="16"/>
                <w:szCs w:val="16"/>
              </w:rPr>
              <w:t>3,5 millions de consultations supplémentaires</w:t>
            </w:r>
          </w:p>
        </w:tc>
        <w:tc>
          <w:tcPr>
            <w:tcW w:w="1211" w:type="pct"/>
            <w:shd w:val="clear" w:color="auto" w:fill="auto"/>
            <w:tcMar>
              <w:top w:w="110" w:type="dxa"/>
            </w:tcMar>
          </w:tcPr>
          <w:p w:rsidR="00194A9A" w:rsidRPr="00C258AD" w:rsidRDefault="00194A9A" w:rsidP="00C9182C">
            <w:pPr>
              <w:rPr>
                <w:sz w:val="16"/>
                <w:szCs w:val="16"/>
                <w:lang w:bidi="th-TH"/>
              </w:rPr>
            </w:pPr>
            <w:r w:rsidRPr="00C258AD">
              <w:rPr>
                <w:sz w:val="16"/>
                <w:szCs w:val="16"/>
              </w:rPr>
              <w:t>3,1 millions de consultations supplémentaires (2014</w:t>
            </w:r>
            <w:r w:rsidRPr="00C258AD">
              <w:rPr>
                <w:sz w:val="16"/>
                <w:szCs w:val="16"/>
              </w:rPr>
              <w:noBreakHyphen/>
              <w:t>2015)</w:t>
            </w:r>
          </w:p>
        </w:tc>
        <w:tc>
          <w:tcPr>
            <w:tcW w:w="525" w:type="pct"/>
            <w:shd w:val="clear" w:color="auto" w:fill="auto"/>
            <w:tcMar>
              <w:top w:w="110" w:type="dxa"/>
            </w:tcMar>
          </w:tcPr>
          <w:p w:rsidR="00194A9A" w:rsidRPr="00C258AD" w:rsidRDefault="00194A9A" w:rsidP="00C9182C">
            <w:pPr>
              <w:keepNext/>
              <w:keepLines/>
              <w:jc w:val="center"/>
              <w:rPr>
                <w:b/>
                <w:bCs/>
                <w:color w:val="00B050"/>
                <w:sz w:val="16"/>
                <w:szCs w:val="16"/>
              </w:rPr>
            </w:pPr>
            <w:r w:rsidRPr="00C258AD">
              <w:rPr>
                <w:b/>
                <w:bCs/>
                <w:color w:val="00B050"/>
                <w:sz w:val="16"/>
                <w:szCs w:val="16"/>
              </w:rPr>
              <w:t>Objectif pleinement atteint</w:t>
            </w:r>
          </w:p>
        </w:tc>
      </w:tr>
      <w:tr w:rsidR="00194A9A" w:rsidRPr="00C258AD" w:rsidTr="00C9182C">
        <w:trPr>
          <w:cantSplit/>
        </w:trPr>
        <w:tc>
          <w:tcPr>
            <w:tcW w:w="1142" w:type="pct"/>
            <w:vMerge/>
            <w:shd w:val="clear" w:color="auto" w:fill="auto"/>
          </w:tcPr>
          <w:p w:rsidR="00194A9A" w:rsidRPr="00C258AD" w:rsidRDefault="00194A9A" w:rsidP="00C9182C">
            <w:pPr>
              <w:rPr>
                <w:sz w:val="16"/>
                <w:szCs w:val="16"/>
              </w:rPr>
            </w:pPr>
          </w:p>
        </w:tc>
        <w:tc>
          <w:tcPr>
            <w:tcW w:w="1211" w:type="pct"/>
            <w:shd w:val="clear" w:color="auto" w:fill="auto"/>
          </w:tcPr>
          <w:p w:rsidR="00194A9A" w:rsidRPr="00C258AD" w:rsidRDefault="00194A9A" w:rsidP="00C9182C">
            <w:pPr>
              <w:rPr>
                <w:i/>
                <w:color w:val="002060"/>
                <w:sz w:val="16"/>
                <w:szCs w:val="16"/>
              </w:rPr>
            </w:pPr>
            <w:r w:rsidRPr="00C258AD">
              <w:rPr>
                <w:color w:val="002060"/>
                <w:sz w:val="16"/>
                <w:szCs w:val="16"/>
              </w:rPr>
              <w:t>408 participants à des manifestations standard du Centre (2012</w:t>
            </w:r>
            <w:r w:rsidRPr="00C258AD">
              <w:rPr>
                <w:color w:val="002060"/>
                <w:sz w:val="16"/>
                <w:szCs w:val="16"/>
              </w:rPr>
              <w:noBreakHyphen/>
              <w:t>2013)</w:t>
            </w:r>
          </w:p>
        </w:tc>
        <w:tc>
          <w:tcPr>
            <w:tcW w:w="911" w:type="pct"/>
            <w:shd w:val="clear" w:color="auto" w:fill="auto"/>
            <w:tcMar>
              <w:top w:w="110" w:type="dxa"/>
            </w:tcMar>
          </w:tcPr>
          <w:p w:rsidR="00194A9A" w:rsidRPr="00C258AD" w:rsidRDefault="00194A9A" w:rsidP="00C9182C">
            <w:pPr>
              <w:autoSpaceDE w:val="0"/>
              <w:autoSpaceDN w:val="0"/>
              <w:adjustRightInd w:val="0"/>
              <w:rPr>
                <w:sz w:val="16"/>
                <w:szCs w:val="16"/>
              </w:rPr>
            </w:pPr>
            <w:r w:rsidRPr="00C258AD">
              <w:rPr>
                <w:sz w:val="16"/>
                <w:szCs w:val="16"/>
              </w:rPr>
              <w:t>250 participants à des manifestations standard du Centre</w:t>
            </w:r>
          </w:p>
        </w:tc>
        <w:tc>
          <w:tcPr>
            <w:tcW w:w="1211" w:type="pct"/>
            <w:shd w:val="clear" w:color="auto" w:fill="auto"/>
            <w:tcMar>
              <w:top w:w="110" w:type="dxa"/>
            </w:tcMar>
          </w:tcPr>
          <w:p w:rsidR="00194A9A" w:rsidRPr="00C258AD" w:rsidRDefault="00194A9A" w:rsidP="00C9182C">
            <w:pPr>
              <w:rPr>
                <w:sz w:val="16"/>
                <w:szCs w:val="16"/>
                <w:lang w:bidi="th-TH"/>
              </w:rPr>
            </w:pPr>
            <w:r w:rsidRPr="00C258AD">
              <w:rPr>
                <w:sz w:val="16"/>
                <w:szCs w:val="16"/>
              </w:rPr>
              <w:t>262 participants à des manifestations standard du Centre (2014</w:t>
            </w:r>
            <w:r w:rsidRPr="00C258AD">
              <w:rPr>
                <w:sz w:val="16"/>
                <w:szCs w:val="16"/>
              </w:rPr>
              <w:noBreakHyphen/>
              <w:t>2015)</w:t>
            </w:r>
          </w:p>
        </w:tc>
        <w:tc>
          <w:tcPr>
            <w:tcW w:w="525" w:type="pct"/>
            <w:shd w:val="clear" w:color="auto" w:fill="auto"/>
            <w:tcMar>
              <w:top w:w="110" w:type="dxa"/>
            </w:tcMar>
          </w:tcPr>
          <w:p w:rsidR="00194A9A" w:rsidRPr="00C258AD" w:rsidRDefault="00194A9A" w:rsidP="00C9182C">
            <w:pPr>
              <w:keepNext/>
              <w:keepLines/>
              <w:jc w:val="center"/>
              <w:rPr>
                <w:b/>
                <w:bCs/>
                <w:color w:val="00B050"/>
                <w:sz w:val="16"/>
                <w:szCs w:val="16"/>
              </w:rPr>
            </w:pPr>
            <w:r w:rsidRPr="00C258AD">
              <w:rPr>
                <w:b/>
                <w:bCs/>
                <w:color w:val="00B050"/>
                <w:sz w:val="16"/>
                <w:szCs w:val="16"/>
              </w:rPr>
              <w:t>Objectif pleinement atteint</w:t>
            </w:r>
          </w:p>
        </w:tc>
      </w:tr>
      <w:tr w:rsidR="00194A9A" w:rsidRPr="00C258AD" w:rsidTr="00C9182C">
        <w:trPr>
          <w:cantSplit/>
        </w:trPr>
        <w:tc>
          <w:tcPr>
            <w:tcW w:w="1142" w:type="pct"/>
            <w:vMerge/>
            <w:shd w:val="clear" w:color="auto" w:fill="auto"/>
          </w:tcPr>
          <w:p w:rsidR="00194A9A" w:rsidRPr="00C258AD" w:rsidRDefault="00194A9A" w:rsidP="00C9182C">
            <w:pPr>
              <w:rPr>
                <w:sz w:val="16"/>
                <w:szCs w:val="16"/>
              </w:rPr>
            </w:pPr>
          </w:p>
        </w:tc>
        <w:tc>
          <w:tcPr>
            <w:tcW w:w="1211" w:type="pct"/>
            <w:shd w:val="clear" w:color="auto" w:fill="auto"/>
          </w:tcPr>
          <w:p w:rsidR="00194A9A" w:rsidRPr="00C258AD" w:rsidRDefault="00194A9A" w:rsidP="00C9182C">
            <w:pPr>
              <w:rPr>
                <w:i/>
                <w:color w:val="002060"/>
                <w:sz w:val="16"/>
                <w:szCs w:val="16"/>
              </w:rPr>
            </w:pPr>
            <w:r w:rsidRPr="00C258AD">
              <w:rPr>
                <w:color w:val="002060"/>
                <w:sz w:val="16"/>
                <w:szCs w:val="16"/>
              </w:rPr>
              <w:t>4000 participants à des manifestations extérieures du Centre (2012</w:t>
            </w:r>
            <w:r w:rsidRPr="00C258AD">
              <w:rPr>
                <w:color w:val="002060"/>
                <w:sz w:val="16"/>
                <w:szCs w:val="16"/>
              </w:rPr>
              <w:noBreakHyphen/>
              <w:t>2013)</w:t>
            </w:r>
          </w:p>
        </w:tc>
        <w:tc>
          <w:tcPr>
            <w:tcW w:w="911" w:type="pct"/>
            <w:shd w:val="clear" w:color="auto" w:fill="auto"/>
            <w:tcMar>
              <w:top w:w="110" w:type="dxa"/>
            </w:tcMar>
          </w:tcPr>
          <w:p w:rsidR="00194A9A" w:rsidRPr="00C258AD" w:rsidRDefault="00194A9A" w:rsidP="00C9182C">
            <w:pPr>
              <w:autoSpaceDE w:val="0"/>
              <w:autoSpaceDN w:val="0"/>
              <w:adjustRightInd w:val="0"/>
              <w:rPr>
                <w:sz w:val="16"/>
                <w:szCs w:val="16"/>
              </w:rPr>
            </w:pPr>
            <w:r w:rsidRPr="00C258AD">
              <w:rPr>
                <w:sz w:val="16"/>
                <w:szCs w:val="16"/>
              </w:rPr>
              <w:t>6000 participants à des manifestations extérieures du Centre</w:t>
            </w:r>
          </w:p>
        </w:tc>
        <w:tc>
          <w:tcPr>
            <w:tcW w:w="1211" w:type="pct"/>
            <w:shd w:val="clear" w:color="auto" w:fill="auto"/>
            <w:tcMar>
              <w:top w:w="110" w:type="dxa"/>
            </w:tcMar>
          </w:tcPr>
          <w:p w:rsidR="00194A9A" w:rsidRPr="00C258AD" w:rsidRDefault="00194A9A" w:rsidP="00C9182C">
            <w:pPr>
              <w:rPr>
                <w:sz w:val="16"/>
                <w:szCs w:val="16"/>
                <w:lang w:bidi="th-TH"/>
              </w:rPr>
            </w:pPr>
            <w:r w:rsidRPr="00C258AD">
              <w:rPr>
                <w:sz w:val="16"/>
                <w:szCs w:val="16"/>
              </w:rPr>
              <w:t>9670 participants à des manifestations extérieures du Centre</w:t>
            </w:r>
          </w:p>
        </w:tc>
        <w:tc>
          <w:tcPr>
            <w:tcW w:w="525" w:type="pct"/>
            <w:shd w:val="clear" w:color="auto" w:fill="auto"/>
            <w:tcMar>
              <w:top w:w="110" w:type="dxa"/>
            </w:tcMar>
          </w:tcPr>
          <w:p w:rsidR="00194A9A" w:rsidRPr="00C258AD" w:rsidRDefault="00194A9A" w:rsidP="00C9182C">
            <w:pPr>
              <w:keepNext/>
              <w:keepLines/>
              <w:jc w:val="center"/>
              <w:rPr>
                <w:b/>
                <w:bCs/>
                <w:color w:val="00B050"/>
                <w:sz w:val="16"/>
                <w:szCs w:val="16"/>
              </w:rPr>
            </w:pPr>
            <w:r w:rsidRPr="00C258AD">
              <w:rPr>
                <w:b/>
                <w:bCs/>
                <w:color w:val="00B050"/>
                <w:sz w:val="16"/>
                <w:szCs w:val="16"/>
              </w:rPr>
              <w:t>Objectif pleinement atteint</w:t>
            </w:r>
          </w:p>
        </w:tc>
      </w:tr>
      <w:tr w:rsidR="00194A9A" w:rsidRPr="00C258AD" w:rsidTr="00C9182C">
        <w:trPr>
          <w:cantSplit/>
        </w:trPr>
        <w:tc>
          <w:tcPr>
            <w:tcW w:w="1142" w:type="pct"/>
            <w:vMerge/>
            <w:shd w:val="clear" w:color="auto" w:fill="auto"/>
          </w:tcPr>
          <w:p w:rsidR="00194A9A" w:rsidRPr="00C258AD" w:rsidRDefault="00194A9A" w:rsidP="00C9182C">
            <w:pPr>
              <w:rPr>
                <w:sz w:val="16"/>
                <w:szCs w:val="16"/>
              </w:rPr>
            </w:pPr>
          </w:p>
        </w:tc>
        <w:tc>
          <w:tcPr>
            <w:tcW w:w="1211" w:type="pct"/>
            <w:shd w:val="clear" w:color="auto" w:fill="auto"/>
          </w:tcPr>
          <w:p w:rsidR="006E2BB1" w:rsidRPr="00C258AD" w:rsidRDefault="00194A9A" w:rsidP="00C9182C">
            <w:pPr>
              <w:rPr>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284 litiges et 79 bons offices (cumul à la fin de 2012)</w:t>
            </w:r>
          </w:p>
          <w:p w:rsidR="006E2BB1" w:rsidRPr="00C258AD" w:rsidRDefault="00194A9A" w:rsidP="00C9182C">
            <w:pPr>
              <w:rPr>
                <w:sz w:val="16"/>
                <w:szCs w:val="16"/>
              </w:rPr>
            </w:pPr>
            <w:r w:rsidRPr="00C258AD">
              <w:rPr>
                <w:sz w:val="16"/>
                <w:szCs w:val="16"/>
              </w:rPr>
              <w:t>4000 demandes (2010</w:t>
            </w:r>
            <w:r w:rsidRPr="00C258AD">
              <w:rPr>
                <w:sz w:val="16"/>
                <w:szCs w:val="16"/>
              </w:rPr>
              <w:noBreakHyphen/>
              <w:t>2011)</w:t>
            </w:r>
          </w:p>
          <w:p w:rsidR="006E2BB1" w:rsidRPr="00C258AD" w:rsidRDefault="00194A9A" w:rsidP="00C9182C">
            <w:pPr>
              <w:rPr>
                <w:sz w:val="16"/>
                <w:szCs w:val="16"/>
              </w:rPr>
            </w:pPr>
            <w:r w:rsidRPr="00C258AD">
              <w:rPr>
                <w:sz w:val="16"/>
                <w:szCs w:val="16"/>
              </w:rPr>
              <w:t>Consultations sur l’Internet : 30 millions (cumul à la fin de 2012)</w:t>
            </w:r>
          </w:p>
          <w:p w:rsidR="006E2BB1" w:rsidRPr="00C258AD" w:rsidRDefault="00194A9A" w:rsidP="00C9182C">
            <w:pPr>
              <w:rPr>
                <w:sz w:val="16"/>
                <w:szCs w:val="16"/>
              </w:rPr>
            </w:pPr>
            <w:r w:rsidRPr="00C258AD">
              <w:rPr>
                <w:sz w:val="16"/>
                <w:szCs w:val="16"/>
              </w:rPr>
              <w:t>276 participants à des manifestations standard du Centre (2010</w:t>
            </w:r>
            <w:r w:rsidRPr="00C258AD">
              <w:rPr>
                <w:sz w:val="16"/>
                <w:szCs w:val="16"/>
              </w:rPr>
              <w:noBreakHyphen/>
              <w:t>2011)</w:t>
            </w:r>
          </w:p>
          <w:p w:rsidR="00194A9A" w:rsidRPr="00C258AD" w:rsidRDefault="00194A9A" w:rsidP="00C9182C">
            <w:pPr>
              <w:rPr>
                <w:color w:val="002060"/>
                <w:sz w:val="16"/>
                <w:szCs w:val="16"/>
              </w:rPr>
            </w:pPr>
            <w:r w:rsidRPr="00C258AD">
              <w:rPr>
                <w:sz w:val="16"/>
                <w:szCs w:val="16"/>
              </w:rPr>
              <w:t>3000 participants à des manifestations extérieures du Centre (2010</w:t>
            </w:r>
            <w:r w:rsidRPr="00C258AD">
              <w:rPr>
                <w:sz w:val="16"/>
                <w:szCs w:val="16"/>
              </w:rPr>
              <w:noBreakHyphen/>
              <w:t>2011)</w:t>
            </w:r>
          </w:p>
        </w:tc>
        <w:tc>
          <w:tcPr>
            <w:tcW w:w="911" w:type="pct"/>
            <w:shd w:val="clear" w:color="auto" w:fill="auto"/>
            <w:tcMar>
              <w:top w:w="110" w:type="dxa"/>
            </w:tcMar>
          </w:tcPr>
          <w:p w:rsidR="00194A9A" w:rsidRPr="00C258AD" w:rsidRDefault="00194A9A" w:rsidP="00C9182C">
            <w:pPr>
              <w:autoSpaceDE w:val="0"/>
              <w:autoSpaceDN w:val="0"/>
              <w:adjustRightInd w:val="0"/>
              <w:rPr>
                <w:sz w:val="16"/>
                <w:szCs w:val="16"/>
              </w:rPr>
            </w:pPr>
          </w:p>
        </w:tc>
        <w:tc>
          <w:tcPr>
            <w:tcW w:w="1211" w:type="pct"/>
            <w:shd w:val="clear" w:color="auto" w:fill="auto"/>
            <w:tcMar>
              <w:top w:w="110" w:type="dxa"/>
            </w:tcMar>
          </w:tcPr>
          <w:p w:rsidR="00194A9A" w:rsidRPr="00C258AD" w:rsidRDefault="00194A9A" w:rsidP="00C9182C">
            <w:pPr>
              <w:rPr>
                <w:sz w:val="16"/>
                <w:szCs w:val="16"/>
              </w:rPr>
            </w:pPr>
          </w:p>
        </w:tc>
        <w:tc>
          <w:tcPr>
            <w:tcW w:w="525" w:type="pct"/>
            <w:shd w:val="clear" w:color="auto" w:fill="auto"/>
            <w:tcMar>
              <w:top w:w="110" w:type="dxa"/>
            </w:tcMar>
          </w:tcPr>
          <w:p w:rsidR="00194A9A" w:rsidRPr="00C258AD" w:rsidRDefault="00194A9A" w:rsidP="00C9182C">
            <w:pPr>
              <w:keepNext/>
              <w:keepLines/>
              <w:jc w:val="center"/>
              <w:rPr>
                <w:b/>
                <w:bCs/>
                <w:color w:val="00B050"/>
                <w:sz w:val="16"/>
                <w:szCs w:val="16"/>
              </w:rPr>
            </w:pPr>
          </w:p>
        </w:tc>
      </w:tr>
      <w:tr w:rsidR="00194A9A" w:rsidRPr="00C258AD" w:rsidTr="00C9182C">
        <w:trPr>
          <w:cantSplit/>
        </w:trPr>
        <w:tc>
          <w:tcPr>
            <w:tcW w:w="1142" w:type="pct"/>
            <w:shd w:val="clear" w:color="auto" w:fill="auto"/>
          </w:tcPr>
          <w:p w:rsidR="00194A9A" w:rsidRPr="00C258AD" w:rsidRDefault="00194A9A" w:rsidP="00C9182C">
            <w:pPr>
              <w:rPr>
                <w:sz w:val="16"/>
                <w:szCs w:val="16"/>
              </w:rPr>
            </w:pPr>
            <w:r w:rsidRPr="00C258AD">
              <w:rPr>
                <w:sz w:val="16"/>
                <w:szCs w:val="16"/>
              </w:rPr>
              <w:t>Politiques de règlement extrajudiciaire des litiges à l’élaboration et la mise en œuvre desquelles le Centre a contribué</w:t>
            </w:r>
          </w:p>
        </w:tc>
        <w:tc>
          <w:tcPr>
            <w:tcW w:w="1211" w:type="pct"/>
            <w:shd w:val="clear" w:color="auto" w:fill="auto"/>
          </w:tcPr>
          <w:p w:rsidR="006E2BB1" w:rsidRPr="00C258AD" w:rsidRDefault="00194A9A" w:rsidP="00C9182C">
            <w:pPr>
              <w:rPr>
                <w:color w:val="002060"/>
                <w:sz w:val="16"/>
                <w:szCs w:val="16"/>
              </w:rPr>
            </w:pPr>
            <w:r w:rsidRPr="00C258AD">
              <w:rPr>
                <w:i/>
                <w:color w:val="002060"/>
                <w:sz w:val="16"/>
                <w:szCs w:val="16"/>
              </w:rPr>
              <w:t xml:space="preserve">Niveau de référence actualisé à fin 2013 : </w:t>
            </w:r>
            <w:r w:rsidRPr="00C258AD">
              <w:rPr>
                <w:color w:val="002060"/>
                <w:sz w:val="16"/>
                <w:szCs w:val="16"/>
              </w:rPr>
              <w:t>10 programmes adoptés (AGICOA, EGEDA, ETSI, Film and Media, ICOM, INPI</w:t>
            </w:r>
            <w:r w:rsidRPr="00C258AD">
              <w:rPr>
                <w:color w:val="002060"/>
                <w:sz w:val="16"/>
                <w:szCs w:val="16"/>
              </w:rPr>
              <w:noBreakHyphen/>
              <w:t>BR, IPAG, IPOS(M), IPOS(ED), ITPGRFA, KCC, KOCCA) (cumul à la fin de 2013)</w:t>
            </w:r>
            <w:r w:rsidRPr="00C258AD">
              <w:rPr>
                <w:rStyle w:val="FootnoteReference"/>
                <w:rFonts w:eastAsia="SimSun"/>
                <w:color w:val="002060"/>
                <w:sz w:val="16"/>
                <w:szCs w:val="16"/>
              </w:rPr>
              <w:footnoteReference w:id="51"/>
            </w:r>
          </w:p>
          <w:p w:rsidR="006E2BB1" w:rsidRPr="00C258AD" w:rsidRDefault="006E2BB1" w:rsidP="00C9182C">
            <w:pPr>
              <w:rPr>
                <w:sz w:val="16"/>
                <w:szCs w:val="16"/>
              </w:rPr>
            </w:pPr>
          </w:p>
          <w:p w:rsidR="00194A9A" w:rsidRPr="00C258AD" w:rsidRDefault="00194A9A" w:rsidP="00C9182C">
            <w:pPr>
              <w:rPr>
                <w:sz w:val="16"/>
                <w:szCs w:val="16"/>
              </w:rPr>
            </w:pPr>
            <w:r w:rsidRPr="00C258AD">
              <w:rPr>
                <w:i/>
                <w:sz w:val="16"/>
                <w:szCs w:val="16"/>
              </w:rPr>
              <w:t>Niveau de référence initial dans le programme et budget 2014</w:t>
            </w:r>
            <w:r w:rsidRPr="00C258AD">
              <w:rPr>
                <w:i/>
                <w:sz w:val="16"/>
                <w:szCs w:val="16"/>
              </w:rPr>
              <w:noBreakHyphen/>
              <w:t xml:space="preserve">2015 : </w:t>
            </w:r>
            <w:r w:rsidRPr="00C258AD">
              <w:rPr>
                <w:sz w:val="16"/>
                <w:szCs w:val="16"/>
              </w:rPr>
              <w:t>6 programmes adoptés (AGICOA, EGEDA, Film and Media, ICOM, IPOS, ITPGRFA) (cumul à la fin de 2012)</w:t>
            </w:r>
          </w:p>
        </w:tc>
        <w:tc>
          <w:tcPr>
            <w:tcW w:w="911" w:type="pct"/>
            <w:shd w:val="clear" w:color="auto" w:fill="auto"/>
            <w:tcMar>
              <w:top w:w="110" w:type="dxa"/>
            </w:tcMar>
          </w:tcPr>
          <w:p w:rsidR="00194A9A" w:rsidRPr="00C258AD" w:rsidRDefault="00194A9A" w:rsidP="00C9182C">
            <w:pPr>
              <w:rPr>
                <w:sz w:val="16"/>
                <w:szCs w:val="16"/>
              </w:rPr>
            </w:pPr>
            <w:r w:rsidRPr="00C258AD">
              <w:rPr>
                <w:sz w:val="16"/>
                <w:szCs w:val="16"/>
              </w:rPr>
              <w:t>1 à 3 programmes supplémentaires</w:t>
            </w:r>
          </w:p>
        </w:tc>
        <w:tc>
          <w:tcPr>
            <w:tcW w:w="1211" w:type="pct"/>
            <w:shd w:val="clear" w:color="auto" w:fill="auto"/>
            <w:tcMar>
              <w:top w:w="110" w:type="dxa"/>
            </w:tcMar>
          </w:tcPr>
          <w:p w:rsidR="006E2BB1" w:rsidRPr="00C258AD" w:rsidRDefault="00194A9A" w:rsidP="00C9182C">
            <w:pPr>
              <w:rPr>
                <w:sz w:val="16"/>
                <w:szCs w:val="16"/>
              </w:rPr>
            </w:pPr>
            <w:r w:rsidRPr="00C258AD">
              <w:rPr>
                <w:sz w:val="16"/>
                <w:szCs w:val="16"/>
              </w:rPr>
              <w:t>8 programmes supplémentaires en 2014</w:t>
            </w:r>
            <w:r w:rsidRPr="00C258AD">
              <w:rPr>
                <w:sz w:val="16"/>
                <w:szCs w:val="16"/>
              </w:rPr>
              <w:noBreakHyphen/>
              <w:t>2015 (AEF, DGIPR, DNDA, IEEE, IMPI, IPOPHL, SFA)</w:t>
            </w:r>
          </w:p>
          <w:p w:rsidR="00194A9A" w:rsidRPr="00C258AD" w:rsidRDefault="00194A9A" w:rsidP="00C9182C">
            <w:pPr>
              <w:rPr>
                <w:sz w:val="16"/>
                <w:szCs w:val="16"/>
              </w:rPr>
            </w:pPr>
            <w:r w:rsidRPr="00C258AD">
              <w:rPr>
                <w:sz w:val="16"/>
                <w:szCs w:val="16"/>
              </w:rPr>
              <w:t>(20 au total à la fin de 2015)</w:t>
            </w:r>
          </w:p>
        </w:tc>
        <w:tc>
          <w:tcPr>
            <w:tcW w:w="525" w:type="pct"/>
            <w:shd w:val="clear" w:color="auto" w:fill="auto"/>
            <w:tcMar>
              <w:top w:w="110" w:type="dxa"/>
            </w:tcMar>
          </w:tcPr>
          <w:p w:rsidR="00194A9A" w:rsidRPr="00C258AD" w:rsidRDefault="00194A9A" w:rsidP="00C9182C">
            <w:pPr>
              <w:keepNext/>
              <w:keepLines/>
              <w:jc w:val="center"/>
              <w:rPr>
                <w:bCs/>
                <w:color w:val="00B050"/>
                <w:sz w:val="16"/>
                <w:szCs w:val="16"/>
              </w:rPr>
            </w:pPr>
            <w:r w:rsidRPr="00C258AD">
              <w:rPr>
                <w:b/>
                <w:bCs/>
                <w:color w:val="00B050"/>
                <w:sz w:val="16"/>
                <w:szCs w:val="16"/>
              </w:rPr>
              <w:t>Objectif pleinement atteint</w:t>
            </w:r>
          </w:p>
        </w:tc>
      </w:tr>
      <w:tr w:rsidR="00194A9A" w:rsidRPr="00C258AD" w:rsidTr="00C9182C">
        <w:trPr>
          <w:cantSplit/>
        </w:trPr>
        <w:tc>
          <w:tcPr>
            <w:tcW w:w="5000" w:type="pct"/>
            <w:gridSpan w:val="5"/>
            <w:tcBorders>
              <w:top w:val="single" w:sz="4" w:space="0" w:color="auto"/>
              <w:bottom w:val="single" w:sz="4" w:space="0" w:color="auto"/>
            </w:tcBorders>
            <w:shd w:val="clear" w:color="auto" w:fill="C5D9F1"/>
            <w:vAlign w:val="center"/>
          </w:tcPr>
          <w:p w:rsidR="00194A9A" w:rsidRPr="00C258AD" w:rsidRDefault="00194A9A" w:rsidP="00C9182C">
            <w:pPr>
              <w:keepNext/>
              <w:keepLines/>
              <w:rPr>
                <w:b/>
                <w:bCs/>
                <w:sz w:val="16"/>
                <w:szCs w:val="16"/>
              </w:rPr>
            </w:pPr>
            <w:r w:rsidRPr="00C258AD">
              <w:rPr>
                <w:b/>
                <w:bCs/>
                <w:sz w:val="16"/>
                <w:szCs w:val="16"/>
              </w:rPr>
              <w:t xml:space="preserve">Résultat escompté : </w:t>
            </w:r>
            <w:r w:rsidRPr="00C258AD">
              <w:rPr>
                <w:bCs/>
                <w:sz w:val="16"/>
                <w:szCs w:val="16"/>
              </w:rPr>
              <w:t xml:space="preserve">II.9 Protection efficace de la propriété intellectuelle dans les </w:t>
            </w:r>
            <w:proofErr w:type="spellStart"/>
            <w:r w:rsidRPr="00C258AD">
              <w:rPr>
                <w:bCs/>
                <w:sz w:val="16"/>
                <w:szCs w:val="16"/>
              </w:rPr>
              <w:t>gTLD</w:t>
            </w:r>
            <w:proofErr w:type="spellEnd"/>
            <w:r w:rsidRPr="00C258AD">
              <w:rPr>
                <w:bCs/>
                <w:sz w:val="16"/>
                <w:szCs w:val="16"/>
              </w:rPr>
              <w:t xml:space="preserve"> et les </w:t>
            </w:r>
            <w:proofErr w:type="spellStart"/>
            <w:r w:rsidRPr="00C258AD">
              <w:rPr>
                <w:bCs/>
                <w:sz w:val="16"/>
                <w:szCs w:val="16"/>
              </w:rPr>
              <w:t>ccTLD</w:t>
            </w:r>
            <w:proofErr w:type="spellEnd"/>
          </w:p>
        </w:tc>
      </w:tr>
      <w:tr w:rsidR="00194A9A" w:rsidRPr="00C258AD" w:rsidTr="00C9182C">
        <w:trPr>
          <w:cantSplit/>
        </w:trPr>
        <w:tc>
          <w:tcPr>
            <w:tcW w:w="1142" w:type="pct"/>
            <w:tcBorders>
              <w:top w:val="single" w:sz="4" w:space="0" w:color="auto"/>
            </w:tcBorders>
            <w:shd w:val="clear" w:color="auto" w:fill="auto"/>
            <w:vAlign w:val="center"/>
          </w:tcPr>
          <w:p w:rsidR="00194A9A" w:rsidRPr="00C258AD" w:rsidRDefault="00194A9A" w:rsidP="00C9182C">
            <w:pPr>
              <w:keepNext/>
              <w:keepLines/>
              <w:jc w:val="center"/>
              <w:rPr>
                <w:sz w:val="16"/>
                <w:szCs w:val="16"/>
              </w:rPr>
            </w:pPr>
            <w:r w:rsidRPr="00C258AD">
              <w:rPr>
                <w:b/>
                <w:sz w:val="16"/>
                <w:szCs w:val="16"/>
              </w:rPr>
              <w:t>Indicateurs d’exécution</w:t>
            </w:r>
          </w:p>
        </w:tc>
        <w:tc>
          <w:tcPr>
            <w:tcW w:w="1211" w:type="pct"/>
            <w:tcBorders>
              <w:top w:val="single" w:sz="4" w:space="0" w:color="auto"/>
            </w:tcBorders>
            <w:shd w:val="clear" w:color="auto" w:fill="auto"/>
            <w:vAlign w:val="center"/>
          </w:tcPr>
          <w:p w:rsidR="00194A9A" w:rsidRPr="00C258AD" w:rsidRDefault="00194A9A" w:rsidP="00C9182C">
            <w:pPr>
              <w:keepNext/>
              <w:keepLines/>
              <w:jc w:val="center"/>
              <w:rPr>
                <w:b/>
                <w:bCs/>
                <w:sz w:val="16"/>
                <w:szCs w:val="16"/>
              </w:rPr>
            </w:pPr>
            <w:r w:rsidRPr="00C258AD">
              <w:rPr>
                <w:b/>
                <w:bCs/>
                <w:sz w:val="16"/>
                <w:szCs w:val="16"/>
              </w:rPr>
              <w:t>Niveaux de référence</w:t>
            </w:r>
          </w:p>
        </w:tc>
        <w:tc>
          <w:tcPr>
            <w:tcW w:w="911" w:type="pct"/>
            <w:tcBorders>
              <w:top w:val="single" w:sz="4" w:space="0" w:color="auto"/>
            </w:tcBorders>
            <w:shd w:val="clear" w:color="auto" w:fill="auto"/>
            <w:tcMar>
              <w:top w:w="110" w:type="dxa"/>
            </w:tcMar>
            <w:vAlign w:val="center"/>
          </w:tcPr>
          <w:p w:rsidR="00194A9A" w:rsidRPr="00C258AD" w:rsidRDefault="00194A9A" w:rsidP="00C9182C">
            <w:pPr>
              <w:keepNext/>
              <w:keepLines/>
              <w:jc w:val="center"/>
              <w:rPr>
                <w:b/>
                <w:sz w:val="16"/>
                <w:szCs w:val="16"/>
              </w:rPr>
            </w:pPr>
            <w:r w:rsidRPr="00C258AD">
              <w:rPr>
                <w:b/>
                <w:sz w:val="16"/>
                <w:szCs w:val="16"/>
              </w:rPr>
              <w:t>Objectifs visés</w:t>
            </w:r>
          </w:p>
        </w:tc>
        <w:tc>
          <w:tcPr>
            <w:tcW w:w="1211" w:type="pct"/>
            <w:tcBorders>
              <w:top w:val="single" w:sz="4" w:space="0" w:color="auto"/>
            </w:tcBorders>
            <w:shd w:val="clear" w:color="auto" w:fill="auto"/>
            <w:tcMar>
              <w:top w:w="110" w:type="dxa"/>
            </w:tcMar>
            <w:vAlign w:val="center"/>
          </w:tcPr>
          <w:p w:rsidR="00194A9A" w:rsidRPr="00C258AD" w:rsidRDefault="00194A9A" w:rsidP="00C9182C">
            <w:pPr>
              <w:keepNext/>
              <w:keepLines/>
              <w:jc w:val="center"/>
              <w:rPr>
                <w:sz w:val="16"/>
                <w:szCs w:val="16"/>
              </w:rPr>
            </w:pPr>
            <w:r w:rsidRPr="00C258AD">
              <w:rPr>
                <w:b/>
                <w:sz w:val="16"/>
                <w:szCs w:val="16"/>
              </w:rPr>
              <w:t>Données relatives à l’exécution</w:t>
            </w:r>
          </w:p>
        </w:tc>
        <w:tc>
          <w:tcPr>
            <w:tcW w:w="525" w:type="pct"/>
            <w:tcBorders>
              <w:top w:val="single" w:sz="4" w:space="0" w:color="auto"/>
            </w:tcBorders>
            <w:shd w:val="clear" w:color="auto" w:fill="auto"/>
            <w:tcMar>
              <w:top w:w="110" w:type="dxa"/>
            </w:tcMar>
            <w:vAlign w:val="center"/>
          </w:tcPr>
          <w:p w:rsidR="00194A9A" w:rsidRPr="00C258AD" w:rsidRDefault="00194A9A" w:rsidP="00C9182C">
            <w:pPr>
              <w:keepNext/>
              <w:keepLines/>
              <w:jc w:val="center"/>
              <w:rPr>
                <w:b/>
                <w:bCs/>
                <w:sz w:val="16"/>
                <w:szCs w:val="16"/>
              </w:rPr>
            </w:pPr>
            <w:r w:rsidRPr="00C258AD">
              <w:rPr>
                <w:b/>
                <w:bCs/>
                <w:sz w:val="16"/>
                <w:szCs w:val="16"/>
              </w:rPr>
              <w:t>Code de couleurs</w:t>
            </w:r>
          </w:p>
        </w:tc>
      </w:tr>
      <w:tr w:rsidR="00194A9A" w:rsidRPr="00C258AD" w:rsidTr="00C9182C">
        <w:trPr>
          <w:cantSplit/>
        </w:trPr>
        <w:tc>
          <w:tcPr>
            <w:tcW w:w="1142" w:type="pct"/>
            <w:shd w:val="clear" w:color="auto" w:fill="auto"/>
          </w:tcPr>
          <w:p w:rsidR="00194A9A" w:rsidRPr="00C258AD" w:rsidRDefault="00194A9A" w:rsidP="00C9182C">
            <w:pPr>
              <w:rPr>
                <w:sz w:val="16"/>
                <w:szCs w:val="16"/>
                <w:lang w:bidi="th-TH"/>
              </w:rPr>
            </w:pPr>
            <w:r w:rsidRPr="00C258AD">
              <w:rPr>
                <w:sz w:val="16"/>
                <w:szCs w:val="16"/>
                <w:lang w:bidi="th-TH"/>
              </w:rPr>
              <w:t xml:space="preserve">Nombre de litiges relatifs à des </w:t>
            </w:r>
            <w:proofErr w:type="spellStart"/>
            <w:r w:rsidRPr="00C258AD">
              <w:rPr>
                <w:sz w:val="16"/>
                <w:szCs w:val="16"/>
                <w:lang w:bidi="th-TH"/>
              </w:rPr>
              <w:t>gTLD</w:t>
            </w:r>
            <w:proofErr w:type="spellEnd"/>
            <w:r w:rsidRPr="00C258AD">
              <w:rPr>
                <w:sz w:val="16"/>
                <w:szCs w:val="16"/>
                <w:lang w:bidi="th-TH"/>
              </w:rPr>
              <w:t xml:space="preserve"> administrés selon les principes UDRP</w:t>
            </w:r>
          </w:p>
        </w:tc>
        <w:tc>
          <w:tcPr>
            <w:tcW w:w="1211" w:type="pct"/>
            <w:shd w:val="clear" w:color="auto" w:fill="auto"/>
          </w:tcPr>
          <w:p w:rsidR="006E2BB1" w:rsidRPr="00C258AD" w:rsidRDefault="00194A9A" w:rsidP="00C9182C">
            <w:pPr>
              <w:rPr>
                <w:color w:val="002060"/>
                <w:sz w:val="16"/>
                <w:szCs w:val="16"/>
              </w:rPr>
            </w:pPr>
            <w:r w:rsidRPr="00C258AD">
              <w:rPr>
                <w:i/>
                <w:color w:val="002060"/>
                <w:sz w:val="16"/>
                <w:szCs w:val="16"/>
              </w:rPr>
              <w:t xml:space="preserve">Niveau de référence actualisé à fin 2013 : </w:t>
            </w:r>
            <w:r w:rsidRPr="00C258AD">
              <w:rPr>
                <w:color w:val="002060"/>
                <w:sz w:val="16"/>
                <w:szCs w:val="16"/>
              </w:rPr>
              <w:t xml:space="preserve">24 901 litiges relatifs à des </w:t>
            </w:r>
            <w:proofErr w:type="spellStart"/>
            <w:r w:rsidRPr="00C258AD">
              <w:rPr>
                <w:color w:val="002060"/>
                <w:sz w:val="16"/>
                <w:szCs w:val="16"/>
              </w:rPr>
              <w:t>gTLD</w:t>
            </w:r>
            <w:proofErr w:type="spellEnd"/>
            <w:r w:rsidRPr="00C258AD">
              <w:rPr>
                <w:color w:val="002060"/>
                <w:sz w:val="16"/>
                <w:szCs w:val="16"/>
              </w:rPr>
              <w:t xml:space="preserve"> administrés par le Centre (cumul à la fin de 2013)</w:t>
            </w:r>
          </w:p>
          <w:p w:rsidR="006E2BB1" w:rsidRPr="00C258AD" w:rsidRDefault="006E2BB1" w:rsidP="00C9182C">
            <w:pPr>
              <w:rPr>
                <w:i/>
                <w:sz w:val="16"/>
                <w:szCs w:val="16"/>
              </w:rPr>
            </w:pPr>
          </w:p>
          <w:p w:rsidR="00194A9A" w:rsidRPr="00C258AD" w:rsidRDefault="00194A9A" w:rsidP="00C9182C">
            <w:pPr>
              <w:rPr>
                <w:sz w:val="16"/>
                <w:szCs w:val="16"/>
              </w:rPr>
            </w:pPr>
            <w:r w:rsidRPr="00C258AD">
              <w:rPr>
                <w:i/>
                <w:sz w:val="16"/>
                <w:szCs w:val="16"/>
              </w:rPr>
              <w:t>Niveau de référence initial dans le programme et budget 2014</w:t>
            </w:r>
            <w:r w:rsidRPr="00C258AD">
              <w:rPr>
                <w:i/>
                <w:sz w:val="16"/>
                <w:szCs w:val="16"/>
              </w:rPr>
              <w:noBreakHyphen/>
              <w:t xml:space="preserve">2015 : </w:t>
            </w:r>
            <w:r w:rsidRPr="00C258AD">
              <w:rPr>
                <w:sz w:val="16"/>
                <w:szCs w:val="16"/>
              </w:rPr>
              <w:t xml:space="preserve">22 644 litiges relatifs à des </w:t>
            </w:r>
            <w:proofErr w:type="spellStart"/>
            <w:r w:rsidRPr="00C258AD">
              <w:rPr>
                <w:sz w:val="16"/>
                <w:szCs w:val="16"/>
              </w:rPr>
              <w:t>gTLD</w:t>
            </w:r>
            <w:proofErr w:type="spellEnd"/>
            <w:r w:rsidRPr="00C258AD">
              <w:rPr>
                <w:sz w:val="16"/>
                <w:szCs w:val="16"/>
              </w:rPr>
              <w:t xml:space="preserve"> administrés par le Centre (cumul à la fin de 2012)</w:t>
            </w:r>
          </w:p>
        </w:tc>
        <w:tc>
          <w:tcPr>
            <w:tcW w:w="911" w:type="pct"/>
            <w:shd w:val="clear" w:color="auto" w:fill="auto"/>
            <w:tcMar>
              <w:top w:w="110" w:type="dxa"/>
            </w:tcMar>
          </w:tcPr>
          <w:p w:rsidR="00194A9A" w:rsidRPr="00C258AD" w:rsidRDefault="00194A9A" w:rsidP="00C9182C">
            <w:pPr>
              <w:autoSpaceDE w:val="0"/>
              <w:autoSpaceDN w:val="0"/>
              <w:adjustRightInd w:val="0"/>
              <w:rPr>
                <w:sz w:val="16"/>
                <w:szCs w:val="16"/>
              </w:rPr>
            </w:pPr>
            <w:r w:rsidRPr="00C258AD">
              <w:rPr>
                <w:sz w:val="16"/>
                <w:szCs w:val="16"/>
              </w:rPr>
              <w:t>3000 litiges supplémentaires</w:t>
            </w:r>
          </w:p>
        </w:tc>
        <w:tc>
          <w:tcPr>
            <w:tcW w:w="1211" w:type="pct"/>
            <w:shd w:val="clear" w:color="auto" w:fill="auto"/>
            <w:tcMar>
              <w:top w:w="110" w:type="dxa"/>
            </w:tcMar>
          </w:tcPr>
          <w:p w:rsidR="006E2BB1" w:rsidRPr="00C258AD" w:rsidRDefault="00194A9A" w:rsidP="00C9182C">
            <w:pPr>
              <w:rPr>
                <w:sz w:val="16"/>
                <w:szCs w:val="16"/>
                <w:lang w:bidi="th-TH"/>
              </w:rPr>
            </w:pPr>
            <w:r w:rsidRPr="00C258AD">
              <w:rPr>
                <w:sz w:val="16"/>
                <w:szCs w:val="16"/>
                <w:lang w:bidi="th-TH"/>
              </w:rPr>
              <w:t xml:space="preserve">4666 litiges relatifs à des </w:t>
            </w:r>
            <w:proofErr w:type="spellStart"/>
            <w:r w:rsidRPr="00C258AD">
              <w:rPr>
                <w:sz w:val="16"/>
                <w:szCs w:val="16"/>
                <w:lang w:bidi="th-TH"/>
              </w:rPr>
              <w:t>gTLD</w:t>
            </w:r>
            <w:proofErr w:type="spellEnd"/>
            <w:r w:rsidRPr="00C258AD">
              <w:rPr>
                <w:sz w:val="16"/>
                <w:szCs w:val="16"/>
                <w:lang w:bidi="th-TH"/>
              </w:rPr>
              <w:t xml:space="preserve"> supplémentaires en 2014</w:t>
            </w:r>
            <w:r w:rsidRPr="00C258AD">
              <w:rPr>
                <w:sz w:val="16"/>
                <w:szCs w:val="16"/>
                <w:lang w:bidi="th-TH"/>
              </w:rPr>
              <w:noBreakHyphen/>
              <w:t>2015</w:t>
            </w:r>
          </w:p>
          <w:p w:rsidR="00194A9A" w:rsidRPr="00C258AD" w:rsidRDefault="00194A9A" w:rsidP="00C9182C">
            <w:pPr>
              <w:rPr>
                <w:sz w:val="16"/>
                <w:szCs w:val="16"/>
                <w:lang w:bidi="th-TH"/>
              </w:rPr>
            </w:pPr>
            <w:r w:rsidRPr="00C258AD">
              <w:rPr>
                <w:sz w:val="16"/>
                <w:szCs w:val="16"/>
                <w:lang w:bidi="th-TH"/>
              </w:rPr>
              <w:t xml:space="preserve">(29 567 litiges relatifs à des </w:t>
            </w:r>
            <w:proofErr w:type="spellStart"/>
            <w:r w:rsidRPr="00C258AD">
              <w:rPr>
                <w:sz w:val="16"/>
                <w:szCs w:val="16"/>
                <w:lang w:bidi="th-TH"/>
              </w:rPr>
              <w:t>gTLD</w:t>
            </w:r>
            <w:proofErr w:type="spellEnd"/>
            <w:r w:rsidRPr="00C258AD">
              <w:rPr>
                <w:sz w:val="16"/>
                <w:szCs w:val="16"/>
                <w:lang w:bidi="th-TH"/>
              </w:rPr>
              <w:t xml:space="preserve"> au total)</w:t>
            </w:r>
          </w:p>
        </w:tc>
        <w:tc>
          <w:tcPr>
            <w:tcW w:w="525" w:type="pct"/>
            <w:shd w:val="clear" w:color="auto" w:fill="auto"/>
            <w:tcMar>
              <w:top w:w="110" w:type="dxa"/>
            </w:tcMar>
          </w:tcPr>
          <w:p w:rsidR="00194A9A" w:rsidRPr="00C258AD" w:rsidRDefault="00194A9A" w:rsidP="00C9182C">
            <w:pPr>
              <w:keepNext/>
              <w:keepLines/>
              <w:jc w:val="center"/>
              <w:rPr>
                <w:bCs/>
                <w:color w:val="00B050"/>
                <w:sz w:val="16"/>
                <w:szCs w:val="16"/>
              </w:rPr>
            </w:pPr>
            <w:r w:rsidRPr="00C258AD">
              <w:rPr>
                <w:b/>
                <w:bCs/>
                <w:color w:val="00B050"/>
                <w:sz w:val="16"/>
                <w:szCs w:val="16"/>
              </w:rPr>
              <w:t>Objectif pleinement atteint</w:t>
            </w:r>
          </w:p>
        </w:tc>
      </w:tr>
      <w:tr w:rsidR="00194A9A" w:rsidRPr="00C258AD" w:rsidTr="00C9182C">
        <w:trPr>
          <w:cantSplit/>
        </w:trPr>
        <w:tc>
          <w:tcPr>
            <w:tcW w:w="1142" w:type="pct"/>
            <w:shd w:val="clear" w:color="auto" w:fill="auto"/>
          </w:tcPr>
          <w:p w:rsidR="00194A9A" w:rsidRPr="00C258AD" w:rsidRDefault="00194A9A" w:rsidP="00C9182C">
            <w:pPr>
              <w:rPr>
                <w:sz w:val="16"/>
                <w:szCs w:val="16"/>
                <w:lang w:bidi="th-TH"/>
              </w:rPr>
            </w:pPr>
            <w:r w:rsidRPr="00C258AD">
              <w:rPr>
                <w:sz w:val="16"/>
                <w:szCs w:val="16"/>
                <w:lang w:bidi="th-TH"/>
              </w:rPr>
              <w:lastRenderedPageBreak/>
              <w:t xml:space="preserve">Nombre de litiges relatifs aux </w:t>
            </w:r>
            <w:proofErr w:type="spellStart"/>
            <w:r w:rsidRPr="00C258AD">
              <w:rPr>
                <w:sz w:val="16"/>
                <w:szCs w:val="16"/>
                <w:lang w:bidi="th-TH"/>
              </w:rPr>
              <w:t>ccTLD</w:t>
            </w:r>
            <w:proofErr w:type="spellEnd"/>
            <w:r w:rsidRPr="00C258AD">
              <w:rPr>
                <w:sz w:val="16"/>
                <w:szCs w:val="16"/>
                <w:lang w:bidi="th-TH"/>
              </w:rPr>
              <w:t xml:space="preserve"> réglés selon les principes UDRP</w:t>
            </w:r>
          </w:p>
        </w:tc>
        <w:tc>
          <w:tcPr>
            <w:tcW w:w="1211" w:type="pct"/>
            <w:shd w:val="clear" w:color="auto" w:fill="auto"/>
          </w:tcPr>
          <w:p w:rsidR="006E2BB1" w:rsidRPr="00C258AD" w:rsidRDefault="00194A9A" w:rsidP="00C9182C">
            <w:pPr>
              <w:rPr>
                <w:i/>
                <w:color w:val="002060"/>
                <w:sz w:val="16"/>
                <w:szCs w:val="16"/>
              </w:rPr>
            </w:pPr>
            <w:r w:rsidRPr="00C258AD">
              <w:rPr>
                <w:i/>
                <w:color w:val="002060"/>
                <w:sz w:val="16"/>
                <w:szCs w:val="16"/>
              </w:rPr>
              <w:t>Niveau de référence actualisé à fin 2013 :</w:t>
            </w:r>
            <w:r w:rsidRPr="00C258AD">
              <w:rPr>
                <w:color w:val="002060"/>
                <w:sz w:val="16"/>
                <w:szCs w:val="16"/>
              </w:rPr>
              <w:t xml:space="preserve"> 2798 litiges portant uniquement sur des </w:t>
            </w:r>
            <w:proofErr w:type="spellStart"/>
            <w:r w:rsidRPr="00C258AD">
              <w:rPr>
                <w:color w:val="002060"/>
                <w:sz w:val="16"/>
                <w:szCs w:val="16"/>
              </w:rPr>
              <w:t>ccTLD</w:t>
            </w:r>
            <w:proofErr w:type="spellEnd"/>
            <w:r w:rsidRPr="00C258AD">
              <w:rPr>
                <w:color w:val="002060"/>
                <w:sz w:val="16"/>
                <w:szCs w:val="16"/>
              </w:rPr>
              <w:t xml:space="preserve"> administrés par le Centre (cumul à la fin de 2013)</w:t>
            </w:r>
            <w:r w:rsidRPr="00C258AD">
              <w:rPr>
                <w:rStyle w:val="FootnoteReference"/>
                <w:rFonts w:eastAsia="SimSun"/>
                <w:color w:val="002060"/>
                <w:sz w:val="16"/>
                <w:szCs w:val="16"/>
              </w:rPr>
              <w:footnoteReference w:id="52"/>
            </w:r>
          </w:p>
          <w:p w:rsidR="006E2BB1" w:rsidRPr="00C258AD" w:rsidRDefault="006E2BB1" w:rsidP="00C9182C">
            <w:pPr>
              <w:rPr>
                <w:i/>
                <w:color w:val="002060"/>
                <w:sz w:val="16"/>
                <w:szCs w:val="16"/>
              </w:rPr>
            </w:pPr>
          </w:p>
          <w:p w:rsidR="00194A9A" w:rsidRPr="00C258AD" w:rsidRDefault="00194A9A" w:rsidP="00C9182C">
            <w:pPr>
              <w:rPr>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2470 litiges portant uniquement sur des </w:t>
            </w:r>
            <w:proofErr w:type="spellStart"/>
            <w:r w:rsidRPr="00C258AD">
              <w:rPr>
                <w:sz w:val="16"/>
                <w:szCs w:val="16"/>
              </w:rPr>
              <w:t>ccTLD</w:t>
            </w:r>
            <w:proofErr w:type="spellEnd"/>
            <w:r w:rsidRPr="00C258AD">
              <w:rPr>
                <w:sz w:val="16"/>
                <w:szCs w:val="16"/>
              </w:rPr>
              <w:t xml:space="preserve"> administrés par le Centre (cumul à la fin de 2012)</w:t>
            </w:r>
          </w:p>
        </w:tc>
        <w:tc>
          <w:tcPr>
            <w:tcW w:w="911" w:type="pct"/>
            <w:shd w:val="clear" w:color="auto" w:fill="auto"/>
            <w:tcMar>
              <w:top w:w="110" w:type="dxa"/>
            </w:tcMar>
          </w:tcPr>
          <w:p w:rsidR="00194A9A" w:rsidRPr="00C258AD" w:rsidRDefault="00194A9A" w:rsidP="00C9182C">
            <w:pPr>
              <w:rPr>
                <w:sz w:val="16"/>
                <w:szCs w:val="16"/>
              </w:rPr>
            </w:pPr>
            <w:r w:rsidRPr="00C258AD">
              <w:rPr>
                <w:sz w:val="16"/>
                <w:szCs w:val="16"/>
              </w:rPr>
              <w:t>350 litiges supplémentaires</w:t>
            </w:r>
          </w:p>
        </w:tc>
        <w:tc>
          <w:tcPr>
            <w:tcW w:w="1211" w:type="pct"/>
            <w:shd w:val="clear" w:color="auto" w:fill="auto"/>
            <w:tcMar>
              <w:top w:w="110" w:type="dxa"/>
            </w:tcMar>
          </w:tcPr>
          <w:p w:rsidR="006E2BB1" w:rsidRPr="00C258AD" w:rsidRDefault="00194A9A" w:rsidP="00C9182C">
            <w:pPr>
              <w:rPr>
                <w:sz w:val="16"/>
                <w:szCs w:val="16"/>
                <w:lang w:bidi="th-TH"/>
              </w:rPr>
            </w:pPr>
            <w:r w:rsidRPr="00C258AD">
              <w:rPr>
                <w:sz w:val="16"/>
                <w:szCs w:val="16"/>
                <w:lang w:bidi="th-TH"/>
              </w:rPr>
              <w:t xml:space="preserve">722 litiges portant sur des </w:t>
            </w:r>
            <w:proofErr w:type="spellStart"/>
            <w:r w:rsidRPr="00C258AD">
              <w:rPr>
                <w:sz w:val="16"/>
                <w:szCs w:val="16"/>
                <w:lang w:bidi="th-TH"/>
              </w:rPr>
              <w:t>ccTLD</w:t>
            </w:r>
            <w:proofErr w:type="spellEnd"/>
            <w:r w:rsidRPr="00C258AD">
              <w:rPr>
                <w:sz w:val="16"/>
                <w:szCs w:val="16"/>
                <w:lang w:bidi="th-TH"/>
              </w:rPr>
              <w:t xml:space="preserve"> supplémentaires en 2014</w:t>
            </w:r>
            <w:r w:rsidRPr="00C258AD">
              <w:rPr>
                <w:sz w:val="16"/>
                <w:szCs w:val="16"/>
                <w:lang w:bidi="th-TH"/>
              </w:rPr>
              <w:noBreakHyphen/>
              <w:t>2015</w:t>
            </w:r>
          </w:p>
          <w:p w:rsidR="00194A9A" w:rsidRPr="00C258AD" w:rsidRDefault="00194A9A" w:rsidP="00C9182C">
            <w:pPr>
              <w:rPr>
                <w:sz w:val="16"/>
                <w:szCs w:val="16"/>
                <w:lang w:bidi="th-TH"/>
              </w:rPr>
            </w:pPr>
            <w:r w:rsidRPr="00C258AD">
              <w:rPr>
                <w:sz w:val="16"/>
                <w:szCs w:val="16"/>
                <w:lang w:bidi="th-TH"/>
              </w:rPr>
              <w:t>(3520 au total)</w:t>
            </w:r>
          </w:p>
        </w:tc>
        <w:tc>
          <w:tcPr>
            <w:tcW w:w="525" w:type="pct"/>
            <w:shd w:val="clear" w:color="auto" w:fill="auto"/>
          </w:tcPr>
          <w:p w:rsidR="00194A9A" w:rsidRPr="00C258AD" w:rsidRDefault="00194A9A" w:rsidP="00C9182C">
            <w:pPr>
              <w:keepNext/>
              <w:keepLines/>
              <w:jc w:val="center"/>
              <w:rPr>
                <w:b/>
                <w:bCs/>
                <w:color w:val="00B050"/>
                <w:sz w:val="16"/>
                <w:szCs w:val="16"/>
              </w:rPr>
            </w:pPr>
            <w:r w:rsidRPr="00C258AD">
              <w:rPr>
                <w:b/>
                <w:bCs/>
                <w:color w:val="00B050"/>
                <w:sz w:val="16"/>
                <w:szCs w:val="16"/>
              </w:rPr>
              <w:t>Objectif pleinement atteint</w:t>
            </w:r>
          </w:p>
        </w:tc>
      </w:tr>
      <w:tr w:rsidR="00194A9A" w:rsidRPr="00C258AD" w:rsidTr="00C9182C">
        <w:trPr>
          <w:cantSplit/>
        </w:trPr>
        <w:tc>
          <w:tcPr>
            <w:tcW w:w="1142" w:type="pct"/>
            <w:shd w:val="clear" w:color="auto" w:fill="auto"/>
          </w:tcPr>
          <w:p w:rsidR="00194A9A" w:rsidRPr="00C258AD" w:rsidRDefault="00194A9A" w:rsidP="00C9182C">
            <w:pPr>
              <w:rPr>
                <w:sz w:val="16"/>
                <w:szCs w:val="16"/>
                <w:lang w:bidi="th-TH"/>
              </w:rPr>
            </w:pPr>
            <w:r w:rsidRPr="00C258AD">
              <w:rPr>
                <w:sz w:val="16"/>
                <w:szCs w:val="16"/>
                <w:lang w:bidi="th-TH"/>
              </w:rPr>
              <w:t>Politiques de règlement des litiges dans le système des noms de domaine à l’élaboration et à la mise en œuvre desquelles le Centre a contribué</w:t>
            </w:r>
          </w:p>
        </w:tc>
        <w:tc>
          <w:tcPr>
            <w:tcW w:w="1211" w:type="pct"/>
            <w:shd w:val="clear" w:color="auto" w:fill="auto"/>
          </w:tcPr>
          <w:p w:rsidR="006E2BB1" w:rsidRPr="00C258AD" w:rsidRDefault="00194A9A" w:rsidP="00C9182C">
            <w:pPr>
              <w:rPr>
                <w:i/>
                <w:color w:val="002060"/>
                <w:sz w:val="16"/>
                <w:szCs w:val="16"/>
              </w:rPr>
            </w:pPr>
            <w:r w:rsidRPr="00C258AD">
              <w:rPr>
                <w:i/>
                <w:color w:val="002060"/>
                <w:sz w:val="16"/>
                <w:szCs w:val="16"/>
              </w:rPr>
              <w:t xml:space="preserve">Niveau de référence actualisé à fin 2013 : </w:t>
            </w:r>
            <w:r w:rsidRPr="00C258AD">
              <w:rPr>
                <w:color w:val="002060"/>
                <w:sz w:val="16"/>
                <w:szCs w:val="16"/>
              </w:rPr>
              <w:t>Principes UDRP, procédure de règlement des litiges antérieure à l’attribution, procédure de règlement des litiges postérieure à l’attribution (cumul à la fin de 2013)</w:t>
            </w:r>
          </w:p>
          <w:p w:rsidR="006E2BB1" w:rsidRPr="00C258AD" w:rsidRDefault="006E2BB1" w:rsidP="00C9182C">
            <w:pPr>
              <w:rPr>
                <w:i/>
                <w:color w:val="002060"/>
                <w:sz w:val="16"/>
                <w:szCs w:val="16"/>
              </w:rPr>
            </w:pPr>
          </w:p>
          <w:p w:rsidR="00194A9A" w:rsidRPr="00C258AD" w:rsidRDefault="00194A9A" w:rsidP="00C9182C">
            <w:pPr>
              <w:rPr>
                <w:sz w:val="16"/>
                <w:szCs w:val="16"/>
              </w:rPr>
            </w:pPr>
            <w:r w:rsidRPr="00C258AD">
              <w:rPr>
                <w:i/>
                <w:sz w:val="16"/>
                <w:szCs w:val="16"/>
              </w:rPr>
              <w:t>Niveau de référence initial dans le programme et budget 2014</w:t>
            </w:r>
            <w:r w:rsidRPr="00C258AD">
              <w:rPr>
                <w:i/>
                <w:sz w:val="16"/>
                <w:szCs w:val="16"/>
              </w:rPr>
              <w:noBreakHyphen/>
              <w:t xml:space="preserve">2015 : </w:t>
            </w:r>
            <w:r w:rsidRPr="00C258AD">
              <w:rPr>
                <w:sz w:val="16"/>
                <w:szCs w:val="16"/>
              </w:rPr>
              <w:t>Principes UDRP, procédure de règlement des litiges antérieure à l’attribution (cumul à la fin de 2012)</w:t>
            </w:r>
          </w:p>
        </w:tc>
        <w:tc>
          <w:tcPr>
            <w:tcW w:w="911" w:type="pct"/>
            <w:shd w:val="clear" w:color="auto" w:fill="auto"/>
            <w:tcMar>
              <w:top w:w="110" w:type="dxa"/>
            </w:tcMar>
          </w:tcPr>
          <w:p w:rsidR="00194A9A" w:rsidRPr="00C258AD" w:rsidRDefault="00194A9A" w:rsidP="00C9182C">
            <w:pPr>
              <w:rPr>
                <w:sz w:val="16"/>
                <w:szCs w:val="16"/>
              </w:rPr>
            </w:pPr>
            <w:r w:rsidRPr="00C258AD">
              <w:rPr>
                <w:sz w:val="16"/>
                <w:szCs w:val="16"/>
              </w:rPr>
              <w:t>Mise en œuvre au sein du système des noms de domaine des recommandations de l’OMPI en matière de principes et de procédures</w:t>
            </w:r>
          </w:p>
        </w:tc>
        <w:tc>
          <w:tcPr>
            <w:tcW w:w="1211" w:type="pct"/>
            <w:shd w:val="clear" w:color="auto" w:fill="auto"/>
            <w:tcMar>
              <w:top w:w="110" w:type="dxa"/>
            </w:tcMar>
          </w:tcPr>
          <w:p w:rsidR="006E2BB1" w:rsidRPr="00C258AD" w:rsidRDefault="00194A9A" w:rsidP="00C9182C">
            <w:pPr>
              <w:rPr>
                <w:sz w:val="16"/>
                <w:szCs w:val="16"/>
                <w:lang w:bidi="th-TH"/>
              </w:rPr>
            </w:pPr>
            <w:r w:rsidRPr="00C258AD">
              <w:rPr>
                <w:sz w:val="16"/>
                <w:szCs w:val="16"/>
                <w:lang w:bidi="th-TH"/>
              </w:rPr>
              <w:t>Actualisation des principes UDRP compte tenu des nouvelles dispositions sur le verrouillage des noms de domaine par les bureaux d’enregistrement (2015)</w:t>
            </w:r>
          </w:p>
          <w:p w:rsidR="006E2BB1" w:rsidRPr="00C258AD" w:rsidRDefault="006E2BB1" w:rsidP="00C9182C">
            <w:pPr>
              <w:rPr>
                <w:sz w:val="16"/>
                <w:szCs w:val="16"/>
                <w:lang w:bidi="th-TH"/>
              </w:rPr>
            </w:pPr>
          </w:p>
          <w:p w:rsidR="00194A9A" w:rsidRPr="00C258AD" w:rsidRDefault="00194A9A" w:rsidP="00C9182C">
            <w:pPr>
              <w:rPr>
                <w:sz w:val="16"/>
                <w:szCs w:val="16"/>
                <w:lang w:bidi="th-TH"/>
              </w:rPr>
            </w:pPr>
            <w:r w:rsidRPr="00C258AD">
              <w:rPr>
                <w:sz w:val="16"/>
                <w:szCs w:val="16"/>
                <w:lang w:bidi="th-TH"/>
              </w:rPr>
              <w:t>Principes UDRP, procédure de l’ICANN de règlement des litiges antérieure à l’attribution, procédure de l’ICANN de règlement des litiges postérieure à l’attribution (cumul à la fin de 2015);  pas de politiques ou de recommandations supplémentaires à mettre en œuvre.</w:t>
            </w:r>
          </w:p>
        </w:tc>
        <w:tc>
          <w:tcPr>
            <w:tcW w:w="525" w:type="pct"/>
            <w:shd w:val="clear" w:color="auto" w:fill="auto"/>
            <w:tcMar>
              <w:top w:w="110" w:type="dxa"/>
            </w:tcMar>
          </w:tcPr>
          <w:p w:rsidR="00194A9A" w:rsidRPr="00C258AD" w:rsidRDefault="00194A9A" w:rsidP="00C9182C">
            <w:pPr>
              <w:keepNext/>
              <w:keepLines/>
              <w:jc w:val="center"/>
              <w:rPr>
                <w:b/>
                <w:bCs/>
                <w:color w:val="00B050"/>
                <w:sz w:val="16"/>
                <w:szCs w:val="16"/>
              </w:rPr>
            </w:pPr>
            <w:r w:rsidRPr="00C258AD">
              <w:rPr>
                <w:b/>
                <w:bCs/>
                <w:color w:val="00B050"/>
                <w:sz w:val="16"/>
                <w:szCs w:val="16"/>
              </w:rPr>
              <w:t>Objectif pleinement atteint</w:t>
            </w:r>
          </w:p>
        </w:tc>
      </w:tr>
      <w:tr w:rsidR="00194A9A" w:rsidRPr="00C258AD" w:rsidTr="00C9182C">
        <w:trPr>
          <w:cantSplit/>
        </w:trPr>
        <w:tc>
          <w:tcPr>
            <w:tcW w:w="1142" w:type="pct"/>
            <w:shd w:val="clear" w:color="auto" w:fill="auto"/>
          </w:tcPr>
          <w:p w:rsidR="00194A9A" w:rsidRPr="00C258AD" w:rsidRDefault="00194A9A" w:rsidP="00C9182C">
            <w:pPr>
              <w:rPr>
                <w:sz w:val="16"/>
                <w:szCs w:val="16"/>
              </w:rPr>
            </w:pPr>
            <w:r w:rsidRPr="00C258AD">
              <w:rPr>
                <w:sz w:val="16"/>
                <w:szCs w:val="16"/>
              </w:rPr>
              <w:t xml:space="preserve">Nombre d’administrateurs de </w:t>
            </w:r>
            <w:proofErr w:type="spellStart"/>
            <w:r w:rsidRPr="00C258AD">
              <w:rPr>
                <w:sz w:val="16"/>
                <w:szCs w:val="16"/>
              </w:rPr>
              <w:t>ccTLD</w:t>
            </w:r>
            <w:proofErr w:type="spellEnd"/>
            <w:r w:rsidRPr="00C258AD">
              <w:rPr>
                <w:sz w:val="16"/>
                <w:szCs w:val="16"/>
              </w:rPr>
              <w:t xml:space="preserve"> dotés de mécanismes de protection de la propriété intellectuelle conçus ou administrés avec l’aide de l’OMPI et conformes aux normes internationales</w:t>
            </w:r>
          </w:p>
        </w:tc>
        <w:tc>
          <w:tcPr>
            <w:tcW w:w="1211" w:type="pct"/>
            <w:shd w:val="clear" w:color="auto" w:fill="auto"/>
          </w:tcPr>
          <w:p w:rsidR="006E2BB1" w:rsidRPr="00C258AD" w:rsidRDefault="00194A9A" w:rsidP="00C9182C">
            <w:pPr>
              <w:rPr>
                <w:i/>
                <w:color w:val="002060"/>
                <w:sz w:val="16"/>
                <w:szCs w:val="16"/>
              </w:rPr>
            </w:pPr>
            <w:r w:rsidRPr="00C258AD">
              <w:rPr>
                <w:i/>
                <w:color w:val="002060"/>
                <w:sz w:val="16"/>
                <w:szCs w:val="16"/>
              </w:rPr>
              <w:t xml:space="preserve">Niveau de référence actualisé à fin 2013 : </w:t>
            </w:r>
            <w:r w:rsidRPr="00C258AD">
              <w:rPr>
                <w:color w:val="002060"/>
                <w:sz w:val="16"/>
                <w:szCs w:val="16"/>
              </w:rPr>
              <w:t xml:space="preserve">70 administrateurs de </w:t>
            </w:r>
            <w:proofErr w:type="spellStart"/>
            <w:r w:rsidRPr="00C258AD">
              <w:rPr>
                <w:color w:val="002060"/>
                <w:sz w:val="16"/>
                <w:szCs w:val="16"/>
              </w:rPr>
              <w:t>ccTLD</w:t>
            </w:r>
            <w:proofErr w:type="spellEnd"/>
            <w:r w:rsidRPr="00C258AD">
              <w:rPr>
                <w:color w:val="002060"/>
                <w:sz w:val="16"/>
                <w:szCs w:val="16"/>
              </w:rPr>
              <w:t xml:space="preserve"> (cumul à la fin de 2013)</w:t>
            </w:r>
          </w:p>
          <w:p w:rsidR="006E2BB1" w:rsidRPr="00C258AD" w:rsidRDefault="006E2BB1" w:rsidP="00C9182C">
            <w:pPr>
              <w:rPr>
                <w:i/>
                <w:sz w:val="16"/>
                <w:szCs w:val="16"/>
              </w:rPr>
            </w:pPr>
          </w:p>
          <w:p w:rsidR="00194A9A" w:rsidRPr="00C258AD" w:rsidRDefault="00194A9A" w:rsidP="00C9182C">
            <w:pPr>
              <w:rPr>
                <w:i/>
                <w:sz w:val="16"/>
                <w:szCs w:val="16"/>
              </w:rPr>
            </w:pPr>
            <w:r w:rsidRPr="00C258AD">
              <w:rPr>
                <w:i/>
                <w:sz w:val="16"/>
                <w:szCs w:val="16"/>
              </w:rPr>
              <w:t>Niveau de référence initial dans le programme et budget 2014</w:t>
            </w:r>
            <w:r w:rsidRPr="00C258AD">
              <w:rPr>
                <w:i/>
                <w:sz w:val="16"/>
                <w:szCs w:val="16"/>
              </w:rPr>
              <w:noBreakHyphen/>
              <w:t xml:space="preserve">2015 : </w:t>
            </w:r>
            <w:r w:rsidRPr="00C258AD">
              <w:rPr>
                <w:sz w:val="16"/>
                <w:szCs w:val="16"/>
              </w:rPr>
              <w:t xml:space="preserve">67 administrateurs de </w:t>
            </w:r>
            <w:proofErr w:type="spellStart"/>
            <w:r w:rsidRPr="00C258AD">
              <w:rPr>
                <w:sz w:val="16"/>
                <w:szCs w:val="16"/>
              </w:rPr>
              <w:t>ccTLD</w:t>
            </w:r>
            <w:proofErr w:type="spellEnd"/>
            <w:r w:rsidRPr="00C258AD">
              <w:rPr>
                <w:sz w:val="16"/>
                <w:szCs w:val="16"/>
              </w:rPr>
              <w:t xml:space="preserve"> (cumul à la fin de 2012)</w:t>
            </w:r>
          </w:p>
        </w:tc>
        <w:tc>
          <w:tcPr>
            <w:tcW w:w="911" w:type="pct"/>
            <w:shd w:val="clear" w:color="auto" w:fill="auto"/>
            <w:tcMar>
              <w:top w:w="110" w:type="dxa"/>
            </w:tcMar>
          </w:tcPr>
          <w:p w:rsidR="00194A9A" w:rsidRPr="00C258AD" w:rsidRDefault="00194A9A" w:rsidP="00C9182C">
            <w:pPr>
              <w:rPr>
                <w:sz w:val="16"/>
                <w:szCs w:val="16"/>
              </w:rPr>
            </w:pPr>
            <w:r w:rsidRPr="00C258AD">
              <w:rPr>
                <w:sz w:val="16"/>
                <w:szCs w:val="16"/>
              </w:rPr>
              <w:t>Quatre nouveaux administrateurs</w:t>
            </w:r>
          </w:p>
        </w:tc>
        <w:tc>
          <w:tcPr>
            <w:tcW w:w="1211" w:type="pct"/>
            <w:shd w:val="clear" w:color="auto" w:fill="auto"/>
            <w:tcMar>
              <w:top w:w="110" w:type="dxa"/>
            </w:tcMar>
          </w:tcPr>
          <w:p w:rsidR="006E2BB1" w:rsidRPr="00C258AD" w:rsidRDefault="00194A9A" w:rsidP="00C9182C">
            <w:pPr>
              <w:rPr>
                <w:sz w:val="16"/>
                <w:szCs w:val="16"/>
                <w:lang w:bidi="th-TH"/>
              </w:rPr>
            </w:pPr>
            <w:r w:rsidRPr="00C258AD">
              <w:rPr>
                <w:sz w:val="16"/>
                <w:szCs w:val="16"/>
                <w:lang w:bidi="th-TH"/>
              </w:rPr>
              <w:t>En 2014</w:t>
            </w:r>
            <w:r w:rsidRPr="00C258AD">
              <w:rPr>
                <w:sz w:val="16"/>
                <w:szCs w:val="16"/>
                <w:lang w:bidi="th-TH"/>
              </w:rPr>
              <w:noBreakHyphen/>
              <w:t>2015, deux nouveaux administrateurs (.GC, .VG)</w:t>
            </w:r>
          </w:p>
          <w:p w:rsidR="00194A9A" w:rsidRPr="00C258AD" w:rsidRDefault="00194A9A" w:rsidP="00C9182C">
            <w:pPr>
              <w:rPr>
                <w:sz w:val="16"/>
                <w:szCs w:val="16"/>
                <w:lang w:bidi="th-TH"/>
              </w:rPr>
            </w:pPr>
            <w:r w:rsidRPr="00C258AD">
              <w:rPr>
                <w:sz w:val="16"/>
                <w:szCs w:val="16"/>
                <w:lang w:bidi="th-TH"/>
              </w:rPr>
              <w:t>(71 au total après un retrait)</w:t>
            </w:r>
          </w:p>
        </w:tc>
        <w:tc>
          <w:tcPr>
            <w:tcW w:w="525" w:type="pct"/>
            <w:shd w:val="clear" w:color="auto" w:fill="auto"/>
            <w:tcMar>
              <w:top w:w="110" w:type="dxa"/>
            </w:tcMar>
          </w:tcPr>
          <w:p w:rsidR="00194A9A" w:rsidRPr="00C258AD" w:rsidRDefault="00194A9A" w:rsidP="00C9182C">
            <w:pPr>
              <w:keepNext/>
              <w:keepLines/>
              <w:jc w:val="center"/>
              <w:rPr>
                <w:rStyle w:val="Style5"/>
                <w:b/>
                <w:color w:val="00B050"/>
                <w:sz w:val="16"/>
                <w:szCs w:val="16"/>
              </w:rPr>
            </w:pPr>
            <w:r w:rsidRPr="00C258AD">
              <w:rPr>
                <w:b/>
                <w:bCs/>
                <w:color w:val="E26B0A"/>
                <w:sz w:val="16"/>
                <w:szCs w:val="16"/>
              </w:rPr>
              <w:t>Objectif partiellement atteint</w:t>
            </w:r>
          </w:p>
        </w:tc>
      </w:tr>
    </w:tbl>
    <w:p w:rsidR="006E2BB1" w:rsidRPr="00C258AD" w:rsidRDefault="006E2BB1" w:rsidP="00C9182C">
      <w:pPr>
        <w:rPr>
          <w:sz w:val="22"/>
          <w:szCs w:val="22"/>
        </w:rPr>
      </w:pPr>
    </w:p>
    <w:p w:rsidR="006E2BB1" w:rsidRPr="00C258AD" w:rsidRDefault="006E2BB1" w:rsidP="00C9182C">
      <w:pPr>
        <w:rPr>
          <w:sz w:val="22"/>
          <w:szCs w:val="22"/>
        </w:rPr>
      </w:pPr>
    </w:p>
    <w:p w:rsidR="006E2BB1" w:rsidRPr="00C258AD" w:rsidRDefault="00194A9A" w:rsidP="00305CE5">
      <w:pPr>
        <w:keepNext/>
        <w:rPr>
          <w:rFonts w:cs="Arial"/>
          <w:caps/>
          <w:sz w:val="22"/>
          <w:szCs w:val="22"/>
        </w:rPr>
      </w:pPr>
      <w:r w:rsidRPr="00C258AD">
        <w:rPr>
          <w:rFonts w:cs="Arial"/>
          <w:caps/>
          <w:sz w:val="22"/>
          <w:szCs w:val="22"/>
        </w:rPr>
        <w:lastRenderedPageBreak/>
        <w:t>Rapport d’évaluation des risques pour l’exercice biennal</w:t>
      </w:r>
    </w:p>
    <w:p w:rsidR="00194A9A" w:rsidRPr="00C258AD" w:rsidRDefault="00194A9A" w:rsidP="00C9182C">
      <w:pPr>
        <w:keepNext/>
        <w:keepLines/>
        <w:rPr>
          <w:color w:val="000000"/>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194A9A" w:rsidRPr="00C258AD" w:rsidTr="00C9182C">
        <w:trPr>
          <w:cantSplit/>
        </w:trPr>
        <w:tc>
          <w:tcPr>
            <w:tcW w:w="2372" w:type="dxa"/>
            <w:tcBorders>
              <w:top w:val="single" w:sz="4" w:space="0" w:color="auto"/>
              <w:left w:val="single" w:sz="4" w:space="0" w:color="auto"/>
              <w:bottom w:val="single" w:sz="4" w:space="0" w:color="auto"/>
            </w:tcBorders>
            <w:shd w:val="clear" w:color="auto" w:fill="C5D9F1"/>
            <w:tcMar>
              <w:top w:w="113" w:type="dxa"/>
              <w:bottom w:w="113" w:type="dxa"/>
            </w:tcMar>
            <w:vAlign w:val="center"/>
          </w:tcPr>
          <w:p w:rsidR="00194A9A" w:rsidRPr="00C258AD" w:rsidRDefault="00194A9A" w:rsidP="00C9182C">
            <w:pPr>
              <w:keepNext/>
              <w:keepLines/>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tcMar>
              <w:top w:w="113" w:type="dxa"/>
              <w:bottom w:w="113" w:type="dxa"/>
            </w:tcMar>
            <w:vAlign w:val="center"/>
          </w:tcPr>
          <w:p w:rsidR="00194A9A" w:rsidRPr="00C258AD" w:rsidRDefault="00194A9A" w:rsidP="00C9182C">
            <w:pPr>
              <w:keepNext/>
              <w:keepLines/>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194A9A" w:rsidRPr="00C258AD" w:rsidRDefault="00194A9A" w:rsidP="00C9182C">
            <w:pPr>
              <w:keepNext/>
              <w:keepLines/>
              <w:jc w:val="center"/>
              <w:rPr>
                <w:b/>
                <w:bCs/>
                <w:sz w:val="16"/>
                <w:szCs w:val="16"/>
              </w:rPr>
            </w:pPr>
            <w:r w:rsidRPr="00C258AD">
              <w:rPr>
                <w:b/>
                <w:bCs/>
                <w:iCs/>
                <w:sz w:val="16"/>
                <w:szCs w:val="16"/>
              </w:rPr>
              <w:t>Évolution des risques et des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194A9A" w:rsidRPr="00C258AD" w:rsidRDefault="00194A9A" w:rsidP="00C9182C">
            <w:pPr>
              <w:keepNext/>
              <w:keepLines/>
              <w:jc w:val="center"/>
              <w:rPr>
                <w:b/>
                <w:bCs/>
                <w:sz w:val="16"/>
                <w:szCs w:val="16"/>
              </w:rPr>
            </w:pPr>
            <w:r w:rsidRPr="00C258AD">
              <w:rPr>
                <w:b/>
                <w:bCs/>
                <w:iCs/>
                <w:sz w:val="16"/>
                <w:szCs w:val="16"/>
              </w:rPr>
              <w:t>Incidence sur l’exécution du programme</w:t>
            </w:r>
          </w:p>
        </w:tc>
      </w:tr>
      <w:tr w:rsidR="00194A9A" w:rsidRPr="00C258AD" w:rsidTr="00C9182C">
        <w:tblPrEx>
          <w:tblBorders>
            <w:top w:val="single" w:sz="4" w:space="0" w:color="auto"/>
            <w:left w:val="single" w:sz="4" w:space="0" w:color="auto"/>
            <w:bottom w:val="single" w:sz="4" w:space="0" w:color="auto"/>
            <w:right w:val="single" w:sz="4" w:space="0" w:color="auto"/>
          </w:tblBorders>
        </w:tblPrEx>
        <w:trPr>
          <w:cantSplit/>
        </w:trPr>
        <w:tc>
          <w:tcPr>
            <w:tcW w:w="2372" w:type="dxa"/>
            <w:tcBorders>
              <w:top w:val="single" w:sz="4" w:space="0" w:color="auto"/>
            </w:tcBorders>
            <w:shd w:val="clear" w:color="auto" w:fill="auto"/>
            <w:tcMar>
              <w:top w:w="113" w:type="dxa"/>
              <w:bottom w:w="113" w:type="dxa"/>
            </w:tcMar>
          </w:tcPr>
          <w:p w:rsidR="00194A9A" w:rsidRPr="00C258AD" w:rsidRDefault="00194A9A" w:rsidP="00F93DE1">
            <w:pPr>
              <w:rPr>
                <w:sz w:val="16"/>
                <w:szCs w:val="16"/>
              </w:rPr>
            </w:pPr>
            <w:r w:rsidRPr="00C258AD">
              <w:rPr>
                <w:sz w:val="16"/>
                <w:szCs w:val="16"/>
              </w:rPr>
              <w:t>L’évolution des ressources par rapport à d’autres prestataires de services de règlement extrajudiciaire des litiges a une incidence sur la reconnaissance des services d’arbitrage et de médiation de l’OMPI par le marché.</w:t>
            </w:r>
          </w:p>
        </w:tc>
        <w:tc>
          <w:tcPr>
            <w:tcW w:w="2373" w:type="dxa"/>
            <w:tcBorders>
              <w:top w:val="single" w:sz="4" w:space="0" w:color="auto"/>
            </w:tcBorders>
            <w:shd w:val="clear" w:color="auto" w:fill="auto"/>
            <w:tcMar>
              <w:top w:w="113" w:type="dxa"/>
              <w:bottom w:w="113" w:type="dxa"/>
            </w:tcMar>
          </w:tcPr>
          <w:p w:rsidR="00194A9A" w:rsidRPr="00C258AD" w:rsidRDefault="00194A9A" w:rsidP="00F93DE1">
            <w:pPr>
              <w:autoSpaceDE w:val="0"/>
              <w:autoSpaceDN w:val="0"/>
              <w:adjustRightInd w:val="0"/>
              <w:ind w:right="-59"/>
              <w:rPr>
                <w:sz w:val="16"/>
                <w:szCs w:val="16"/>
              </w:rPr>
            </w:pPr>
            <w:r w:rsidRPr="00C258AD">
              <w:rPr>
                <w:sz w:val="16"/>
                <w:szCs w:val="16"/>
              </w:rPr>
              <w:t>L’OMPI continuera de promouvoir le rôle du Centre d’arbitrage et de médiation en tant que spécialiste du règlement extrajudiciaire des litiges en matière de propriété intellectuelle, en intensifiant sa collaboration, par exemple par des partenariats plus réguliers avec des associations de propriété intellectuelle et connexes, en mettant au maximum à profit la présence du Centre à Singapour pour accroître l’activité régionale, et par le renforcement de sa collaboration avec d’autres départements de l’OMPI.  En outre, ce risque peut être atténué grâce à la participation d’intermédiaires neutres de l’OMPI à des manifestations et à l’exploitation des études réalisées sur les nouvelles pratiques et attentes des utilisateurs.</w:t>
            </w:r>
          </w:p>
        </w:tc>
        <w:tc>
          <w:tcPr>
            <w:tcW w:w="2373" w:type="dxa"/>
            <w:tcBorders>
              <w:top w:val="single" w:sz="4" w:space="0" w:color="auto"/>
            </w:tcBorders>
          </w:tcPr>
          <w:p w:rsidR="00194A9A" w:rsidRPr="00C258AD" w:rsidRDefault="00194A9A" w:rsidP="00F93DE1">
            <w:pPr>
              <w:autoSpaceDE w:val="0"/>
              <w:autoSpaceDN w:val="0"/>
              <w:adjustRightInd w:val="0"/>
              <w:ind w:right="-59"/>
              <w:rPr>
                <w:iCs/>
                <w:sz w:val="16"/>
                <w:szCs w:val="16"/>
              </w:rPr>
            </w:pPr>
            <w:r w:rsidRPr="00C258AD">
              <w:rPr>
                <w:iCs/>
                <w:sz w:val="16"/>
                <w:szCs w:val="16"/>
              </w:rPr>
              <w:t>L’arrivée de nouveaux prestataires de services de règlement extrajudiciaire des litiges à l’échelle internationale, notamment dans le domaine de la propriété intellectuelle, soulève de nouvelles préoccupations quant à la reconnaissance des services de l’OMPI par le marché.  En 2014</w:t>
            </w:r>
            <w:r w:rsidRPr="00C258AD">
              <w:rPr>
                <w:iCs/>
                <w:sz w:val="16"/>
                <w:szCs w:val="16"/>
              </w:rPr>
              <w:noBreakHyphen/>
              <w:t>2015, l’OMPI a appliqué ses plans d’atténuation des risques en prenant des mesures au niveau juridique, en mettant en œuvre des activités de promotion et également en tirant parti des bureaux extérieurs de l’OMPI dans le domaine du règlement extrajudiciaire des litiges de propriété intellectuelle.</w:t>
            </w:r>
          </w:p>
        </w:tc>
        <w:tc>
          <w:tcPr>
            <w:tcW w:w="2373" w:type="dxa"/>
            <w:tcBorders>
              <w:top w:val="single" w:sz="4" w:space="0" w:color="auto"/>
            </w:tcBorders>
          </w:tcPr>
          <w:p w:rsidR="00194A9A" w:rsidRPr="00C258AD" w:rsidRDefault="00194A9A" w:rsidP="00F93DE1">
            <w:pPr>
              <w:autoSpaceDE w:val="0"/>
              <w:autoSpaceDN w:val="0"/>
              <w:adjustRightInd w:val="0"/>
              <w:ind w:right="-59"/>
              <w:rPr>
                <w:iCs/>
                <w:sz w:val="16"/>
                <w:szCs w:val="16"/>
              </w:rPr>
            </w:pPr>
            <w:r w:rsidRPr="00C258AD">
              <w:rPr>
                <w:iCs/>
                <w:sz w:val="16"/>
                <w:szCs w:val="16"/>
              </w:rPr>
              <w:t>Faire le lien entre les aspects juridiques relatifs à la propriété intellectuelle et ceux relatifs au règlement extrajudiciaire des litiges reste difficile, à la fois en ce qui concerne les parties prenantes et les pratiques en matière de litiges.  Cependant, les mesures prises par l’OMPI, et notamment les plans d’atténuation mis en œuvre, ont contribué à assurer la réalisation des résultats escomptés pour l’exercice biennal.</w:t>
            </w:r>
          </w:p>
        </w:tc>
      </w:tr>
      <w:tr w:rsidR="00194A9A" w:rsidRPr="00C258AD" w:rsidTr="00C9182C">
        <w:tblPrEx>
          <w:tblBorders>
            <w:top w:val="single" w:sz="4" w:space="0" w:color="auto"/>
            <w:left w:val="single" w:sz="4" w:space="0" w:color="auto"/>
            <w:bottom w:val="single" w:sz="4" w:space="0" w:color="auto"/>
            <w:right w:val="single" w:sz="4" w:space="0" w:color="auto"/>
          </w:tblBorders>
        </w:tblPrEx>
        <w:trPr>
          <w:cantSplit/>
        </w:trPr>
        <w:tc>
          <w:tcPr>
            <w:tcW w:w="2372" w:type="dxa"/>
            <w:shd w:val="clear" w:color="auto" w:fill="auto"/>
            <w:tcMar>
              <w:top w:w="113" w:type="dxa"/>
              <w:bottom w:w="113" w:type="dxa"/>
            </w:tcMar>
          </w:tcPr>
          <w:p w:rsidR="00194A9A" w:rsidRPr="00C258AD" w:rsidRDefault="00194A9A" w:rsidP="00C9182C">
            <w:pPr>
              <w:rPr>
                <w:rFonts w:cs="ArialMT"/>
                <w:iCs/>
                <w:sz w:val="16"/>
                <w:szCs w:val="16"/>
              </w:rPr>
            </w:pPr>
            <w:r w:rsidRPr="00C258AD">
              <w:rPr>
                <w:rFonts w:cs="ArialMT"/>
                <w:iCs/>
                <w:sz w:val="16"/>
                <w:szCs w:val="16"/>
              </w:rPr>
              <w:t>La fragmentation du système des noms de domaine et la concurrence en son sein, ainsi que les processus d’élaboration de politiques de l’ICANN, exercent des pressions sur les normes centralisées (y compris les principes UDRP) et sur la primauté du Centre;  l’expansion du système des noms de domaine et le recours accru au règlement extrajudiciaire des litiges relatifs au DNS compromettent le rôle du Centre dans l’administration des litiges et l’élaboration de politiques.</w:t>
            </w:r>
          </w:p>
        </w:tc>
        <w:tc>
          <w:tcPr>
            <w:tcW w:w="2373" w:type="dxa"/>
            <w:shd w:val="clear" w:color="auto" w:fill="auto"/>
            <w:tcMar>
              <w:top w:w="113" w:type="dxa"/>
              <w:bottom w:w="113" w:type="dxa"/>
            </w:tcMar>
          </w:tcPr>
          <w:p w:rsidR="00194A9A" w:rsidRPr="00C258AD" w:rsidRDefault="00194A9A" w:rsidP="00C9182C">
            <w:pPr>
              <w:autoSpaceDE w:val="0"/>
              <w:autoSpaceDN w:val="0"/>
              <w:adjustRightInd w:val="0"/>
              <w:ind w:right="-59"/>
              <w:rPr>
                <w:iCs/>
                <w:sz w:val="16"/>
                <w:szCs w:val="16"/>
              </w:rPr>
            </w:pPr>
            <w:r w:rsidRPr="00C258AD">
              <w:rPr>
                <w:iCs/>
                <w:sz w:val="16"/>
                <w:szCs w:val="16"/>
              </w:rPr>
              <w:t>Donner la priorité à l’allocation de ressources en faveur de l’administration des litiges et de l’élaboration de politiques, afin de trouver un équilibre entre “rester sur le marché” et “ajouter une valeur spécifique à l’OMPI”.</w:t>
            </w:r>
          </w:p>
        </w:tc>
        <w:tc>
          <w:tcPr>
            <w:tcW w:w="2373" w:type="dxa"/>
          </w:tcPr>
          <w:p w:rsidR="00194A9A" w:rsidRPr="00C258AD" w:rsidRDefault="00194A9A" w:rsidP="00C9182C">
            <w:pPr>
              <w:autoSpaceDE w:val="0"/>
              <w:autoSpaceDN w:val="0"/>
              <w:adjustRightInd w:val="0"/>
              <w:ind w:right="-59"/>
              <w:rPr>
                <w:iCs/>
                <w:sz w:val="16"/>
                <w:szCs w:val="16"/>
              </w:rPr>
            </w:pPr>
            <w:r w:rsidRPr="00C258AD">
              <w:rPr>
                <w:iCs/>
                <w:sz w:val="16"/>
                <w:szCs w:val="16"/>
              </w:rPr>
              <w:t>Ce risque s’est accru au cours de l’exercice biennal, car l’ICANN continue d’accréditer de nouvelles institutions de règlement des litiges selon les principes UDRP et d’approuver l’expansion du DNS, ce qui a une incidence sur la fourniture centralisée de services de règlement extrajudiciaire des litiges.  L’ICANN a également engagé un processus d’examen des mécanismes de protection des droits dans le cadre du DNS, y compris des principes UDRP.  L’OMPI suit de près l’évolution de la situation du point de vue des règlements extrajudiciaires des litiges dans le cadre du DNS et continue d’appliquer sa stratégie d’atténuation.  Cette dernière a en outre bénéficié des retards pris dans le cadre du processus d’examen engagé par l’ICANN ainsi que du temps nécessaire aux exploitants des nouveaux domaines pour décider d’intégrer leurs propres mécanismes de gestion des droits.</w:t>
            </w:r>
          </w:p>
        </w:tc>
        <w:tc>
          <w:tcPr>
            <w:tcW w:w="2373" w:type="dxa"/>
          </w:tcPr>
          <w:p w:rsidR="00194A9A" w:rsidRPr="00C258AD" w:rsidRDefault="00194A9A" w:rsidP="00C9182C">
            <w:pPr>
              <w:autoSpaceDE w:val="0"/>
              <w:autoSpaceDN w:val="0"/>
              <w:adjustRightInd w:val="0"/>
              <w:ind w:right="-59"/>
              <w:rPr>
                <w:iCs/>
                <w:sz w:val="16"/>
                <w:szCs w:val="16"/>
              </w:rPr>
            </w:pPr>
            <w:r w:rsidRPr="00C258AD">
              <w:rPr>
                <w:iCs/>
                <w:sz w:val="16"/>
                <w:szCs w:val="16"/>
              </w:rPr>
              <w:t xml:space="preserve">Les résultats escomptés pour cet exercice biennal n’ont pas souffert de l’évolution de ce risque, et grâce à la stratégie d’atténuation en place, le nombre de dossiers traités par l’OMPI selon les principes UDRP a augmenté au cours de l’exercice biennal.  </w:t>
            </w:r>
          </w:p>
        </w:tc>
      </w:tr>
    </w:tbl>
    <w:p w:rsidR="006E2BB1" w:rsidRPr="00C258AD" w:rsidRDefault="006E2BB1" w:rsidP="00C9182C">
      <w:pPr>
        <w:rPr>
          <w:sz w:val="22"/>
          <w:szCs w:val="22"/>
        </w:rPr>
      </w:pPr>
    </w:p>
    <w:p w:rsidR="006E2BB1" w:rsidRPr="00C258AD" w:rsidRDefault="006E2BB1" w:rsidP="00C9182C">
      <w:pPr>
        <w:rPr>
          <w:sz w:val="22"/>
          <w:szCs w:val="22"/>
        </w:rPr>
      </w:pPr>
    </w:p>
    <w:p w:rsidR="006E2BB1" w:rsidRPr="00C258AD" w:rsidRDefault="00194A9A" w:rsidP="00C9182C">
      <w:pPr>
        <w:rPr>
          <w:caps/>
          <w:sz w:val="22"/>
        </w:rPr>
      </w:pPr>
      <w:r w:rsidRPr="00C258AD">
        <w:br w:type="page"/>
      </w:r>
    </w:p>
    <w:p w:rsidR="006E2BB1" w:rsidRPr="00C258AD" w:rsidRDefault="00194A9A" w:rsidP="00305CE5">
      <w:pPr>
        <w:keepNext/>
        <w:rPr>
          <w:rFonts w:cs="Arial"/>
          <w:caps/>
          <w:sz w:val="22"/>
          <w:szCs w:val="22"/>
        </w:rPr>
      </w:pPr>
      <w:r w:rsidRPr="00C258AD">
        <w:rPr>
          <w:rFonts w:cs="Arial"/>
          <w:caps/>
          <w:sz w:val="22"/>
          <w:szCs w:val="22"/>
        </w:rPr>
        <w:lastRenderedPageBreak/>
        <w:t>Utilisation des ressources</w:t>
      </w:r>
    </w:p>
    <w:p w:rsidR="006E2BB1" w:rsidRPr="00C258AD" w:rsidRDefault="006E2BB1" w:rsidP="00C9182C">
      <w:pPr>
        <w:jc w:val="center"/>
      </w:pPr>
    </w:p>
    <w:p w:rsidR="006E2BB1" w:rsidRPr="00C258AD" w:rsidRDefault="00194A9A" w:rsidP="00C9182C">
      <w:pPr>
        <w:pStyle w:val="NormalWeb"/>
        <w:keepNext/>
        <w:spacing w:before="0" w:beforeAutospacing="0" w:after="0" w:afterAutospacing="0"/>
        <w:jc w:val="center"/>
        <w:rPr>
          <w:sz w:val="20"/>
          <w:szCs w:val="20"/>
        </w:rPr>
      </w:pPr>
      <w:r w:rsidRPr="00C258AD">
        <w:rPr>
          <w:sz w:val="20"/>
          <w:szCs w:val="20"/>
        </w:rPr>
        <w:t>Budget et dépenses effectives (par résultat)</w:t>
      </w:r>
    </w:p>
    <w:p w:rsidR="006E2BB1" w:rsidRPr="00C258AD" w:rsidRDefault="00194A9A" w:rsidP="00C9182C">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194A9A" w:rsidRPr="00C258AD" w:rsidRDefault="00194A9A" w:rsidP="00C9182C">
      <w:pPr>
        <w:keepNext/>
        <w:jc w:val="both"/>
      </w:pPr>
    </w:p>
    <w:tbl>
      <w:tblPr>
        <w:tblW w:w="9080" w:type="dxa"/>
        <w:tblInd w:w="55" w:type="dxa"/>
        <w:tblCellMar>
          <w:top w:w="113" w:type="dxa"/>
          <w:left w:w="70" w:type="dxa"/>
          <w:bottom w:w="113" w:type="dxa"/>
          <w:right w:w="70" w:type="dxa"/>
        </w:tblCellMar>
        <w:tblLook w:val="04A0" w:firstRow="1" w:lastRow="0" w:firstColumn="1" w:lastColumn="0" w:noHBand="0" w:noVBand="1"/>
      </w:tblPr>
      <w:tblGrid>
        <w:gridCol w:w="433"/>
        <w:gridCol w:w="4567"/>
        <w:gridCol w:w="1360"/>
        <w:gridCol w:w="1360"/>
        <w:gridCol w:w="1360"/>
      </w:tblGrid>
      <w:tr w:rsidR="00194A9A" w:rsidRPr="00C258AD" w:rsidTr="00C9182C">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194A9A" w:rsidRPr="00C258AD" w:rsidRDefault="00194A9A" w:rsidP="00C9182C">
            <w:pPr>
              <w:jc w:val="center"/>
              <w:rPr>
                <w:i/>
                <w:iCs/>
                <w:sz w:val="16"/>
                <w:szCs w:val="16"/>
                <w:lang w:eastAsia="fr-FR"/>
              </w:rPr>
            </w:pPr>
            <w:r w:rsidRPr="00C258AD">
              <w:rPr>
                <w:i/>
                <w:iCs/>
                <w:sz w:val="16"/>
                <w:szCs w:val="16"/>
                <w:lang w:eastAsia="fr-FR"/>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194A9A" w:rsidRPr="00C258AD" w:rsidRDefault="00194A9A" w:rsidP="00C9182C">
            <w:pPr>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Pr="00C258AD">
              <w:rPr>
                <w:i/>
                <w:iCs/>
                <w:sz w:val="16"/>
                <w:szCs w:val="16"/>
                <w:lang w:eastAsia="fr-FR"/>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194A9A" w:rsidRPr="00C258AD" w:rsidRDefault="00194A9A" w:rsidP="00C9182C">
            <w:pPr>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Pr="00C258AD">
              <w:rPr>
                <w:i/>
                <w:iCs/>
                <w:sz w:val="16"/>
                <w:szCs w:val="16"/>
                <w:lang w:eastAsia="fr-FR"/>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194A9A" w:rsidRPr="00C258AD" w:rsidRDefault="00194A9A" w:rsidP="00C9182C">
            <w:pPr>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Pr="00C258AD">
              <w:rPr>
                <w:i/>
                <w:iCs/>
                <w:sz w:val="16"/>
                <w:szCs w:val="16"/>
                <w:lang w:eastAsia="fr-FR"/>
              </w:rPr>
              <w:noBreakHyphen/>
              <w:t>2015</w:t>
            </w:r>
          </w:p>
        </w:tc>
      </w:tr>
      <w:tr w:rsidR="00194A9A" w:rsidRPr="00C258AD" w:rsidTr="00C9182C">
        <w:trPr>
          <w:cantSplit/>
        </w:trPr>
        <w:tc>
          <w:tcPr>
            <w:tcW w:w="433" w:type="dxa"/>
            <w:tcBorders>
              <w:top w:val="nil"/>
              <w:left w:val="single" w:sz="4" w:space="0" w:color="auto"/>
              <w:bottom w:val="nil"/>
              <w:right w:val="nil"/>
            </w:tcBorders>
            <w:shd w:val="clear" w:color="auto" w:fill="auto"/>
            <w:noWrap/>
            <w:vAlign w:val="center"/>
            <w:hideMark/>
          </w:tcPr>
          <w:p w:rsidR="00194A9A" w:rsidRPr="00C258AD" w:rsidRDefault="00194A9A" w:rsidP="00C9182C">
            <w:pPr>
              <w:rPr>
                <w:sz w:val="16"/>
                <w:szCs w:val="16"/>
                <w:lang w:eastAsia="fr-FR"/>
              </w:rPr>
            </w:pPr>
            <w:r w:rsidRPr="00C258AD">
              <w:rPr>
                <w:sz w:val="16"/>
                <w:szCs w:val="16"/>
                <w:lang w:eastAsia="fr-FR"/>
              </w:rPr>
              <w:t>II.8</w:t>
            </w:r>
          </w:p>
        </w:tc>
        <w:tc>
          <w:tcPr>
            <w:tcW w:w="4567" w:type="dxa"/>
            <w:tcBorders>
              <w:top w:val="nil"/>
              <w:left w:val="nil"/>
              <w:bottom w:val="nil"/>
              <w:right w:val="nil"/>
            </w:tcBorders>
            <w:shd w:val="clear" w:color="auto" w:fill="auto"/>
            <w:vAlign w:val="center"/>
            <w:hideMark/>
          </w:tcPr>
          <w:p w:rsidR="00194A9A" w:rsidRPr="00C258AD" w:rsidRDefault="00194A9A" w:rsidP="00C9182C">
            <w:pPr>
              <w:rPr>
                <w:sz w:val="16"/>
                <w:szCs w:val="16"/>
                <w:lang w:eastAsia="fr-FR"/>
              </w:rPr>
            </w:pPr>
            <w:r w:rsidRPr="00C258AD">
              <w:rPr>
                <w:sz w:val="16"/>
                <w:szCs w:val="16"/>
                <w:lang w:eastAsia="fr-FR"/>
              </w:rPr>
              <w:t>De plus en plus de litiges internationaux ou nationaux de propriété intellectuelle sont évités ou réglés par la médiation, l’arbitrage et d’autres modes extrajudiciaires de règlement des litiges de l’OMPI</w:t>
            </w:r>
          </w:p>
        </w:tc>
        <w:tc>
          <w:tcPr>
            <w:tcW w:w="1360" w:type="dxa"/>
            <w:tcBorders>
              <w:top w:val="nil"/>
              <w:left w:val="nil"/>
              <w:bottom w:val="nil"/>
              <w:right w:val="nil"/>
            </w:tcBorders>
            <w:shd w:val="clear" w:color="auto" w:fill="auto"/>
            <w:vAlign w:val="center"/>
            <w:hideMark/>
          </w:tcPr>
          <w:p w:rsidR="00194A9A" w:rsidRPr="00C258AD" w:rsidRDefault="00194A9A" w:rsidP="00C9182C">
            <w:pPr>
              <w:jc w:val="right"/>
              <w:rPr>
                <w:sz w:val="16"/>
                <w:szCs w:val="16"/>
                <w:lang w:eastAsia="fr-FR"/>
              </w:rPr>
            </w:pPr>
            <w:r w:rsidRPr="00C258AD">
              <w:rPr>
                <w:sz w:val="16"/>
                <w:szCs w:val="16"/>
                <w:lang w:eastAsia="fr-FR"/>
              </w:rPr>
              <w:t>3 286</w:t>
            </w:r>
          </w:p>
        </w:tc>
        <w:tc>
          <w:tcPr>
            <w:tcW w:w="1360" w:type="dxa"/>
            <w:tcBorders>
              <w:top w:val="nil"/>
              <w:left w:val="nil"/>
              <w:bottom w:val="nil"/>
              <w:right w:val="nil"/>
            </w:tcBorders>
            <w:shd w:val="clear" w:color="auto" w:fill="auto"/>
            <w:vAlign w:val="center"/>
            <w:hideMark/>
          </w:tcPr>
          <w:p w:rsidR="00194A9A" w:rsidRPr="00C258AD" w:rsidRDefault="00194A9A" w:rsidP="00C9182C">
            <w:pPr>
              <w:jc w:val="right"/>
              <w:rPr>
                <w:sz w:val="16"/>
                <w:szCs w:val="16"/>
                <w:lang w:eastAsia="fr-FR"/>
              </w:rPr>
            </w:pPr>
            <w:r w:rsidRPr="00C258AD">
              <w:rPr>
                <w:sz w:val="16"/>
                <w:szCs w:val="16"/>
                <w:lang w:eastAsia="fr-FR"/>
              </w:rPr>
              <w:t>3 510</w:t>
            </w:r>
          </w:p>
        </w:tc>
        <w:tc>
          <w:tcPr>
            <w:tcW w:w="1360" w:type="dxa"/>
            <w:tcBorders>
              <w:top w:val="nil"/>
              <w:left w:val="nil"/>
              <w:bottom w:val="nil"/>
              <w:right w:val="single" w:sz="4" w:space="0" w:color="auto"/>
            </w:tcBorders>
            <w:shd w:val="clear" w:color="auto" w:fill="auto"/>
            <w:vAlign w:val="center"/>
            <w:hideMark/>
          </w:tcPr>
          <w:p w:rsidR="00194A9A" w:rsidRPr="00C258AD" w:rsidRDefault="00194A9A" w:rsidP="00C9182C">
            <w:pPr>
              <w:jc w:val="right"/>
              <w:rPr>
                <w:sz w:val="16"/>
                <w:szCs w:val="16"/>
                <w:lang w:eastAsia="fr-FR"/>
              </w:rPr>
            </w:pPr>
            <w:r w:rsidRPr="00C258AD">
              <w:rPr>
                <w:sz w:val="16"/>
                <w:szCs w:val="16"/>
                <w:lang w:eastAsia="fr-FR"/>
              </w:rPr>
              <w:t>3 052</w:t>
            </w:r>
          </w:p>
        </w:tc>
      </w:tr>
      <w:tr w:rsidR="00194A9A" w:rsidRPr="00C258AD" w:rsidTr="00C9182C">
        <w:trPr>
          <w:cantSplit/>
        </w:trPr>
        <w:tc>
          <w:tcPr>
            <w:tcW w:w="433" w:type="dxa"/>
            <w:tcBorders>
              <w:top w:val="nil"/>
              <w:left w:val="single" w:sz="4" w:space="0" w:color="auto"/>
              <w:bottom w:val="nil"/>
              <w:right w:val="nil"/>
            </w:tcBorders>
            <w:shd w:val="clear" w:color="auto" w:fill="auto"/>
            <w:noWrap/>
            <w:vAlign w:val="center"/>
            <w:hideMark/>
          </w:tcPr>
          <w:p w:rsidR="00194A9A" w:rsidRPr="00C258AD" w:rsidRDefault="00194A9A" w:rsidP="00C9182C">
            <w:pPr>
              <w:rPr>
                <w:sz w:val="16"/>
                <w:szCs w:val="16"/>
                <w:lang w:eastAsia="fr-FR"/>
              </w:rPr>
            </w:pPr>
            <w:r w:rsidRPr="00C258AD">
              <w:rPr>
                <w:sz w:val="16"/>
                <w:szCs w:val="16"/>
                <w:lang w:eastAsia="fr-FR"/>
              </w:rPr>
              <w:t>II.9</w:t>
            </w:r>
          </w:p>
        </w:tc>
        <w:tc>
          <w:tcPr>
            <w:tcW w:w="4567" w:type="dxa"/>
            <w:tcBorders>
              <w:top w:val="nil"/>
              <w:left w:val="nil"/>
              <w:bottom w:val="nil"/>
              <w:right w:val="nil"/>
            </w:tcBorders>
            <w:shd w:val="clear" w:color="auto" w:fill="auto"/>
            <w:vAlign w:val="center"/>
            <w:hideMark/>
          </w:tcPr>
          <w:p w:rsidR="00194A9A" w:rsidRPr="00C258AD" w:rsidRDefault="00194A9A" w:rsidP="00C9182C">
            <w:pPr>
              <w:rPr>
                <w:sz w:val="16"/>
                <w:szCs w:val="16"/>
                <w:lang w:eastAsia="fr-FR"/>
              </w:rPr>
            </w:pPr>
            <w:r w:rsidRPr="00C258AD">
              <w:rPr>
                <w:sz w:val="16"/>
                <w:szCs w:val="16"/>
                <w:lang w:eastAsia="fr-FR"/>
              </w:rPr>
              <w:t xml:space="preserve">Protection efficace de la propriété intellectuelle dans les </w:t>
            </w:r>
            <w:proofErr w:type="spellStart"/>
            <w:r w:rsidRPr="00C258AD">
              <w:rPr>
                <w:sz w:val="16"/>
                <w:szCs w:val="16"/>
                <w:lang w:eastAsia="fr-FR"/>
              </w:rPr>
              <w:t>gTLD</w:t>
            </w:r>
            <w:proofErr w:type="spellEnd"/>
            <w:r w:rsidRPr="00C258AD">
              <w:rPr>
                <w:sz w:val="16"/>
                <w:szCs w:val="16"/>
                <w:lang w:eastAsia="fr-FR"/>
              </w:rPr>
              <w:t xml:space="preserve"> et les </w:t>
            </w:r>
            <w:proofErr w:type="spellStart"/>
            <w:r w:rsidRPr="00C258AD">
              <w:rPr>
                <w:sz w:val="16"/>
                <w:szCs w:val="16"/>
                <w:lang w:eastAsia="fr-FR"/>
              </w:rPr>
              <w:t>ccTLD</w:t>
            </w:r>
            <w:proofErr w:type="spellEnd"/>
          </w:p>
        </w:tc>
        <w:tc>
          <w:tcPr>
            <w:tcW w:w="1360" w:type="dxa"/>
            <w:tcBorders>
              <w:top w:val="nil"/>
              <w:left w:val="nil"/>
              <w:bottom w:val="nil"/>
              <w:right w:val="nil"/>
            </w:tcBorders>
            <w:shd w:val="clear" w:color="auto" w:fill="auto"/>
            <w:vAlign w:val="center"/>
            <w:hideMark/>
          </w:tcPr>
          <w:p w:rsidR="00194A9A" w:rsidRPr="00C258AD" w:rsidRDefault="00194A9A" w:rsidP="00C9182C">
            <w:pPr>
              <w:jc w:val="right"/>
              <w:rPr>
                <w:sz w:val="16"/>
                <w:szCs w:val="16"/>
                <w:lang w:eastAsia="fr-FR"/>
              </w:rPr>
            </w:pPr>
            <w:r w:rsidRPr="00C258AD">
              <w:rPr>
                <w:sz w:val="16"/>
                <w:szCs w:val="16"/>
                <w:lang w:eastAsia="fr-FR"/>
              </w:rPr>
              <w:t>7 889</w:t>
            </w:r>
          </w:p>
        </w:tc>
        <w:tc>
          <w:tcPr>
            <w:tcW w:w="1360" w:type="dxa"/>
            <w:tcBorders>
              <w:top w:val="nil"/>
              <w:left w:val="nil"/>
              <w:bottom w:val="nil"/>
              <w:right w:val="nil"/>
            </w:tcBorders>
            <w:shd w:val="clear" w:color="auto" w:fill="auto"/>
            <w:vAlign w:val="center"/>
            <w:hideMark/>
          </w:tcPr>
          <w:p w:rsidR="00194A9A" w:rsidRPr="00C258AD" w:rsidRDefault="00194A9A" w:rsidP="00C9182C">
            <w:pPr>
              <w:jc w:val="right"/>
              <w:rPr>
                <w:sz w:val="16"/>
                <w:szCs w:val="16"/>
                <w:lang w:eastAsia="fr-FR"/>
              </w:rPr>
            </w:pPr>
            <w:r w:rsidRPr="00C258AD">
              <w:rPr>
                <w:sz w:val="16"/>
                <w:szCs w:val="16"/>
                <w:lang w:eastAsia="fr-FR"/>
              </w:rPr>
              <w:t>7 437</w:t>
            </w:r>
          </w:p>
        </w:tc>
        <w:tc>
          <w:tcPr>
            <w:tcW w:w="1360" w:type="dxa"/>
            <w:tcBorders>
              <w:top w:val="nil"/>
              <w:left w:val="nil"/>
              <w:bottom w:val="nil"/>
              <w:right w:val="single" w:sz="4" w:space="0" w:color="auto"/>
            </w:tcBorders>
            <w:shd w:val="clear" w:color="auto" w:fill="auto"/>
            <w:vAlign w:val="center"/>
            <w:hideMark/>
          </w:tcPr>
          <w:p w:rsidR="00194A9A" w:rsidRPr="00C258AD" w:rsidRDefault="00194A9A" w:rsidP="00C9182C">
            <w:pPr>
              <w:jc w:val="right"/>
              <w:rPr>
                <w:sz w:val="16"/>
                <w:szCs w:val="16"/>
                <w:lang w:eastAsia="fr-FR"/>
              </w:rPr>
            </w:pPr>
            <w:r w:rsidRPr="00C258AD">
              <w:rPr>
                <w:sz w:val="16"/>
                <w:szCs w:val="16"/>
                <w:lang w:eastAsia="fr-FR"/>
              </w:rPr>
              <w:t>6 827</w:t>
            </w:r>
          </w:p>
        </w:tc>
      </w:tr>
      <w:tr w:rsidR="00194A9A" w:rsidRPr="00C258AD" w:rsidTr="00C9182C">
        <w:trPr>
          <w:cantSplit/>
        </w:trPr>
        <w:tc>
          <w:tcPr>
            <w:tcW w:w="433" w:type="dxa"/>
            <w:tcBorders>
              <w:top w:val="single" w:sz="4" w:space="0" w:color="auto"/>
              <w:left w:val="single" w:sz="4" w:space="0" w:color="auto"/>
              <w:bottom w:val="single" w:sz="4" w:space="0" w:color="auto"/>
              <w:right w:val="nil"/>
            </w:tcBorders>
            <w:shd w:val="clear" w:color="auto" w:fill="C5D9F1"/>
            <w:noWrap/>
            <w:vAlign w:val="bottom"/>
            <w:hideMark/>
          </w:tcPr>
          <w:p w:rsidR="00194A9A" w:rsidRPr="00C258AD" w:rsidRDefault="00194A9A" w:rsidP="00C9182C">
            <w:pPr>
              <w:rPr>
                <w:sz w:val="16"/>
                <w:szCs w:val="16"/>
                <w:lang w:eastAsia="fr-FR"/>
              </w:rPr>
            </w:pPr>
            <w:r w:rsidRPr="00C258AD">
              <w:rPr>
                <w:sz w:val="16"/>
                <w:szCs w:val="16"/>
                <w:lang w:eastAsia="fr-FR"/>
              </w:rPr>
              <w:t> </w:t>
            </w:r>
          </w:p>
        </w:tc>
        <w:tc>
          <w:tcPr>
            <w:tcW w:w="4567" w:type="dxa"/>
            <w:tcBorders>
              <w:top w:val="single" w:sz="4" w:space="0" w:color="auto"/>
              <w:left w:val="nil"/>
              <w:bottom w:val="single" w:sz="4" w:space="0" w:color="auto"/>
              <w:right w:val="single" w:sz="4" w:space="0" w:color="auto"/>
            </w:tcBorders>
            <w:shd w:val="clear" w:color="auto" w:fill="C5D9F1"/>
            <w:noWrap/>
            <w:vAlign w:val="bottom"/>
            <w:hideMark/>
          </w:tcPr>
          <w:p w:rsidR="00194A9A" w:rsidRPr="00C258AD" w:rsidRDefault="00194A9A" w:rsidP="00C9182C">
            <w:pPr>
              <w:rPr>
                <w:b/>
                <w:bCs/>
                <w:sz w:val="16"/>
                <w:szCs w:val="16"/>
                <w:lang w:eastAsia="fr-FR"/>
              </w:rPr>
            </w:pPr>
            <w:r w:rsidRPr="00C258AD">
              <w:rPr>
                <w:b/>
                <w:bCs/>
                <w:sz w:val="16"/>
                <w:szCs w:val="16"/>
                <w:lang w:eastAsia="fr-FR"/>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194A9A" w:rsidRPr="00C258AD" w:rsidRDefault="00194A9A" w:rsidP="00C9182C">
            <w:pPr>
              <w:jc w:val="right"/>
              <w:rPr>
                <w:b/>
                <w:bCs/>
                <w:sz w:val="16"/>
                <w:szCs w:val="16"/>
                <w:lang w:eastAsia="fr-FR"/>
              </w:rPr>
            </w:pPr>
            <w:r w:rsidRPr="00C258AD">
              <w:rPr>
                <w:b/>
                <w:bCs/>
                <w:sz w:val="16"/>
                <w:szCs w:val="16"/>
                <w:lang w:eastAsia="fr-FR"/>
              </w:rPr>
              <w:t>11 175</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194A9A" w:rsidRPr="00C258AD" w:rsidRDefault="00194A9A" w:rsidP="00C9182C">
            <w:pPr>
              <w:jc w:val="right"/>
              <w:rPr>
                <w:b/>
                <w:bCs/>
                <w:sz w:val="16"/>
                <w:szCs w:val="16"/>
                <w:lang w:eastAsia="fr-FR"/>
              </w:rPr>
            </w:pPr>
            <w:r w:rsidRPr="00C258AD">
              <w:rPr>
                <w:b/>
                <w:bCs/>
                <w:sz w:val="16"/>
                <w:szCs w:val="16"/>
                <w:lang w:eastAsia="fr-FR"/>
              </w:rPr>
              <w:t>10 947</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194A9A" w:rsidRPr="00C258AD" w:rsidRDefault="00194A9A" w:rsidP="00C9182C">
            <w:pPr>
              <w:jc w:val="right"/>
              <w:rPr>
                <w:b/>
                <w:bCs/>
                <w:sz w:val="16"/>
                <w:szCs w:val="16"/>
                <w:lang w:eastAsia="fr-FR"/>
              </w:rPr>
            </w:pPr>
            <w:r w:rsidRPr="00C258AD">
              <w:rPr>
                <w:b/>
                <w:bCs/>
                <w:sz w:val="16"/>
                <w:szCs w:val="16"/>
                <w:lang w:eastAsia="fr-FR"/>
              </w:rPr>
              <w:t>9 879</w:t>
            </w:r>
          </w:p>
        </w:tc>
      </w:tr>
    </w:tbl>
    <w:p w:rsidR="006E2BB1" w:rsidRPr="00C258AD" w:rsidRDefault="006E2BB1" w:rsidP="00C9182C"/>
    <w:p w:rsidR="006E2BB1" w:rsidRPr="00C258AD" w:rsidRDefault="006E2BB1" w:rsidP="00C9182C"/>
    <w:p w:rsidR="006E2BB1" w:rsidRPr="00C258AD" w:rsidRDefault="00194A9A" w:rsidP="00C9182C">
      <w:pPr>
        <w:pStyle w:val="NormalWeb"/>
        <w:keepNext/>
        <w:keepLines/>
        <w:spacing w:before="0" w:beforeAutospacing="0" w:after="0" w:afterAutospacing="0"/>
        <w:jc w:val="center"/>
        <w:rPr>
          <w:sz w:val="20"/>
          <w:szCs w:val="20"/>
        </w:rPr>
      </w:pPr>
      <w:r w:rsidRPr="00C258AD">
        <w:rPr>
          <w:sz w:val="20"/>
          <w:szCs w:val="20"/>
        </w:rPr>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194A9A" w:rsidP="00C9182C">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194A9A" w:rsidRPr="00C258AD" w:rsidRDefault="00194A9A" w:rsidP="00C9182C">
      <w:pPr>
        <w:keepNext/>
      </w:pPr>
    </w:p>
    <w:tbl>
      <w:tblPr>
        <w:tblW w:w="9070" w:type="dxa"/>
        <w:tblInd w:w="55" w:type="dxa"/>
        <w:tblCellMar>
          <w:top w:w="113" w:type="dxa"/>
          <w:left w:w="70" w:type="dxa"/>
          <w:bottom w:w="113" w:type="dxa"/>
          <w:right w:w="70" w:type="dxa"/>
        </w:tblCellMar>
        <w:tblLook w:val="04A0" w:firstRow="1" w:lastRow="0" w:firstColumn="1" w:lastColumn="0" w:noHBand="0" w:noVBand="1"/>
      </w:tblPr>
      <w:tblGrid>
        <w:gridCol w:w="2400"/>
        <w:gridCol w:w="1655"/>
        <w:gridCol w:w="1656"/>
        <w:gridCol w:w="1656"/>
        <w:gridCol w:w="1703"/>
      </w:tblGrid>
      <w:tr w:rsidR="00194A9A" w:rsidRPr="00C258AD" w:rsidTr="00C9182C">
        <w:trPr>
          <w:cantSplit/>
        </w:trPr>
        <w:tc>
          <w:tcPr>
            <w:tcW w:w="2400"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194A9A" w:rsidRPr="00C258AD" w:rsidRDefault="00194A9A" w:rsidP="00C9182C">
            <w:pPr>
              <w:rPr>
                <w:color w:val="000000"/>
                <w:sz w:val="16"/>
                <w:szCs w:val="18"/>
                <w:lang w:eastAsia="fr-FR"/>
              </w:rPr>
            </w:pPr>
            <w:r w:rsidRPr="00C258AD">
              <w:rPr>
                <w:color w:val="000000"/>
                <w:sz w:val="16"/>
                <w:szCs w:val="18"/>
                <w:lang w:eastAsia="fr-FR"/>
              </w:rPr>
              <w:t> </w:t>
            </w:r>
          </w:p>
        </w:tc>
        <w:tc>
          <w:tcPr>
            <w:tcW w:w="2080" w:type="dxa"/>
            <w:tcBorders>
              <w:top w:val="single" w:sz="4" w:space="0" w:color="auto"/>
              <w:left w:val="nil"/>
              <w:bottom w:val="nil"/>
              <w:right w:val="single" w:sz="4" w:space="0" w:color="auto"/>
            </w:tcBorders>
            <w:shd w:val="clear" w:color="auto" w:fill="C5D9F1"/>
            <w:vAlign w:val="center"/>
            <w:hideMark/>
          </w:tcPr>
          <w:p w:rsidR="00194A9A" w:rsidRPr="00C258AD" w:rsidRDefault="00194A9A" w:rsidP="00C9182C">
            <w:pPr>
              <w:jc w:val="center"/>
              <w:rPr>
                <w:b/>
                <w:bCs/>
                <w:color w:val="000000"/>
                <w:sz w:val="16"/>
                <w:szCs w:val="18"/>
                <w:lang w:eastAsia="fr-FR"/>
              </w:rPr>
            </w:pPr>
            <w:r w:rsidRPr="00C258AD">
              <w:rPr>
                <w:b/>
                <w:bCs/>
                <w:color w:val="000000"/>
                <w:sz w:val="16"/>
                <w:szCs w:val="18"/>
                <w:lang w:eastAsia="fr-FR"/>
              </w:rPr>
              <w:t>Budget 2014</w:t>
            </w:r>
            <w:r w:rsidRPr="00C258AD">
              <w:rPr>
                <w:b/>
                <w:bCs/>
                <w:color w:val="000000"/>
                <w:sz w:val="16"/>
                <w:szCs w:val="18"/>
                <w:lang w:eastAsia="fr-FR"/>
              </w:rPr>
              <w:noBreakHyphen/>
              <w:t>2015 approuvé</w:t>
            </w:r>
          </w:p>
        </w:tc>
        <w:tc>
          <w:tcPr>
            <w:tcW w:w="2080" w:type="dxa"/>
            <w:tcBorders>
              <w:top w:val="single" w:sz="4" w:space="0" w:color="auto"/>
              <w:left w:val="nil"/>
              <w:bottom w:val="nil"/>
              <w:right w:val="single" w:sz="4" w:space="0" w:color="auto"/>
            </w:tcBorders>
            <w:shd w:val="clear" w:color="auto" w:fill="C5D9F1"/>
            <w:vAlign w:val="center"/>
            <w:hideMark/>
          </w:tcPr>
          <w:p w:rsidR="00194A9A" w:rsidRPr="00C258AD" w:rsidRDefault="00194A9A" w:rsidP="00C9182C">
            <w:pPr>
              <w:jc w:val="center"/>
              <w:rPr>
                <w:b/>
                <w:bCs/>
                <w:color w:val="000000"/>
                <w:sz w:val="16"/>
                <w:szCs w:val="18"/>
                <w:lang w:eastAsia="fr-FR"/>
              </w:rPr>
            </w:pPr>
            <w:r w:rsidRPr="00C258AD">
              <w:rPr>
                <w:b/>
                <w:bCs/>
                <w:color w:val="000000"/>
                <w:sz w:val="16"/>
                <w:szCs w:val="18"/>
                <w:lang w:eastAsia="fr-FR"/>
              </w:rPr>
              <w:t>Budget final 2014</w:t>
            </w:r>
            <w:r w:rsidRPr="00C258AD">
              <w:rPr>
                <w:b/>
                <w:bCs/>
                <w:color w:val="000000"/>
                <w:sz w:val="16"/>
                <w:szCs w:val="18"/>
                <w:lang w:eastAsia="fr-FR"/>
              </w:rPr>
              <w:noBreakHyphen/>
              <w:t>2015</w:t>
            </w:r>
            <w:r w:rsidRPr="00C258AD">
              <w:rPr>
                <w:b/>
                <w:bCs/>
                <w:color w:val="000000"/>
                <w:sz w:val="16"/>
                <w:szCs w:val="18"/>
                <w:lang w:eastAsia="fr-FR"/>
              </w:rPr>
              <w:br/>
              <w:t>après virements</w:t>
            </w:r>
          </w:p>
        </w:tc>
        <w:tc>
          <w:tcPr>
            <w:tcW w:w="2080" w:type="dxa"/>
            <w:tcBorders>
              <w:top w:val="single" w:sz="4" w:space="0" w:color="auto"/>
              <w:left w:val="nil"/>
              <w:bottom w:val="nil"/>
              <w:right w:val="single" w:sz="4" w:space="0" w:color="auto"/>
            </w:tcBorders>
            <w:shd w:val="clear" w:color="auto" w:fill="C5D9F1"/>
            <w:vAlign w:val="center"/>
            <w:hideMark/>
          </w:tcPr>
          <w:p w:rsidR="00194A9A" w:rsidRPr="00C258AD" w:rsidRDefault="00194A9A" w:rsidP="00C9182C">
            <w:pPr>
              <w:jc w:val="center"/>
              <w:rPr>
                <w:b/>
                <w:bCs/>
                <w:color w:val="000000"/>
                <w:sz w:val="16"/>
                <w:szCs w:val="18"/>
                <w:lang w:eastAsia="fr-FR"/>
              </w:rPr>
            </w:pPr>
            <w:r w:rsidRPr="00C258AD">
              <w:rPr>
                <w:b/>
                <w:bCs/>
                <w:color w:val="000000"/>
                <w:sz w:val="16"/>
                <w:szCs w:val="18"/>
                <w:lang w:eastAsia="fr-FR"/>
              </w:rPr>
              <w:t xml:space="preserve">Dépenses </w:t>
            </w:r>
            <w:r w:rsidRPr="00C258AD">
              <w:rPr>
                <w:b/>
                <w:bCs/>
                <w:color w:val="000000"/>
                <w:sz w:val="16"/>
                <w:szCs w:val="18"/>
                <w:lang w:eastAsia="fr-FR"/>
              </w:rPr>
              <w:br/>
              <w:t>2014</w:t>
            </w:r>
            <w:r w:rsidRPr="00C258AD">
              <w:rPr>
                <w:b/>
                <w:bCs/>
                <w:color w:val="000000"/>
                <w:sz w:val="16"/>
                <w:szCs w:val="18"/>
                <w:lang w:eastAsia="fr-FR"/>
              </w:rPr>
              <w:noBreakHyphen/>
              <w:t>2015</w:t>
            </w:r>
          </w:p>
        </w:tc>
        <w:tc>
          <w:tcPr>
            <w:tcW w:w="2080" w:type="dxa"/>
            <w:tcBorders>
              <w:top w:val="single" w:sz="4" w:space="0" w:color="auto"/>
              <w:left w:val="nil"/>
              <w:bottom w:val="nil"/>
              <w:right w:val="single" w:sz="4" w:space="0" w:color="auto"/>
            </w:tcBorders>
            <w:shd w:val="clear" w:color="auto" w:fill="C5D9F1"/>
            <w:vAlign w:val="center"/>
            <w:hideMark/>
          </w:tcPr>
          <w:p w:rsidR="00194A9A" w:rsidRPr="00C258AD" w:rsidRDefault="00194A9A" w:rsidP="00C9182C">
            <w:pPr>
              <w:jc w:val="center"/>
              <w:rPr>
                <w:b/>
                <w:bCs/>
                <w:color w:val="000000"/>
                <w:sz w:val="16"/>
                <w:szCs w:val="18"/>
                <w:lang w:eastAsia="fr-FR"/>
              </w:rPr>
            </w:pPr>
            <w:r w:rsidRPr="00C258AD">
              <w:rPr>
                <w:b/>
                <w:bCs/>
                <w:color w:val="000000"/>
                <w:sz w:val="16"/>
                <w:szCs w:val="18"/>
                <w:lang w:eastAsia="fr-FR"/>
              </w:rPr>
              <w:t>Taux d’utilisation (%)</w:t>
            </w:r>
          </w:p>
        </w:tc>
      </w:tr>
      <w:tr w:rsidR="00194A9A" w:rsidRPr="00C258AD" w:rsidTr="00C9182C">
        <w:trPr>
          <w:cantSplit/>
        </w:trPr>
        <w:tc>
          <w:tcPr>
            <w:tcW w:w="2400" w:type="dxa"/>
            <w:tcBorders>
              <w:top w:val="nil"/>
              <w:left w:val="single" w:sz="4" w:space="0" w:color="auto"/>
              <w:bottom w:val="single" w:sz="4" w:space="0" w:color="auto"/>
              <w:right w:val="single" w:sz="4" w:space="0" w:color="auto"/>
            </w:tcBorders>
            <w:shd w:val="clear" w:color="auto" w:fill="auto"/>
            <w:noWrap/>
            <w:vAlign w:val="center"/>
            <w:hideMark/>
          </w:tcPr>
          <w:p w:rsidR="00194A9A" w:rsidRPr="00C258AD" w:rsidRDefault="00194A9A" w:rsidP="00C9182C">
            <w:pPr>
              <w:rPr>
                <w:color w:val="000000"/>
                <w:sz w:val="16"/>
                <w:szCs w:val="18"/>
                <w:lang w:eastAsia="fr-FR"/>
              </w:rPr>
            </w:pPr>
            <w:r w:rsidRPr="00C258AD">
              <w:rPr>
                <w:color w:val="000000"/>
                <w:sz w:val="16"/>
                <w:szCs w:val="18"/>
                <w:lang w:eastAsia="fr-FR"/>
              </w:rPr>
              <w:t xml:space="preserve">Dépenses de personnel </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color w:val="000000"/>
                <w:sz w:val="16"/>
                <w:szCs w:val="18"/>
                <w:lang w:eastAsia="fr-FR"/>
              </w:rPr>
            </w:pPr>
            <w:r w:rsidRPr="00C258AD">
              <w:rPr>
                <w:color w:val="000000"/>
                <w:sz w:val="16"/>
                <w:szCs w:val="18"/>
                <w:lang w:eastAsia="fr-FR"/>
              </w:rPr>
              <w:t>8 065</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color w:val="000000"/>
                <w:sz w:val="16"/>
                <w:szCs w:val="18"/>
                <w:lang w:eastAsia="fr-FR"/>
              </w:rPr>
            </w:pPr>
            <w:r w:rsidRPr="00C258AD">
              <w:rPr>
                <w:color w:val="000000"/>
                <w:sz w:val="16"/>
                <w:szCs w:val="18"/>
                <w:lang w:eastAsia="fr-FR"/>
              </w:rPr>
              <w:t>7 963</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color w:val="000000"/>
                <w:sz w:val="16"/>
                <w:szCs w:val="18"/>
                <w:lang w:eastAsia="fr-FR"/>
              </w:rPr>
            </w:pPr>
            <w:r w:rsidRPr="00C258AD">
              <w:rPr>
                <w:color w:val="000000"/>
                <w:sz w:val="16"/>
                <w:szCs w:val="18"/>
                <w:lang w:eastAsia="fr-FR"/>
              </w:rPr>
              <w:t>7 475</w:t>
            </w:r>
          </w:p>
        </w:tc>
        <w:tc>
          <w:tcPr>
            <w:tcW w:w="2080" w:type="dxa"/>
            <w:tcBorders>
              <w:top w:val="single" w:sz="4" w:space="0" w:color="auto"/>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color w:val="000000"/>
                <w:sz w:val="16"/>
                <w:szCs w:val="18"/>
                <w:lang w:eastAsia="fr-FR"/>
              </w:rPr>
            </w:pPr>
            <w:r w:rsidRPr="00C258AD">
              <w:rPr>
                <w:color w:val="000000"/>
                <w:sz w:val="16"/>
                <w:szCs w:val="18"/>
                <w:lang w:eastAsia="fr-FR"/>
              </w:rPr>
              <w:t>94%</w:t>
            </w:r>
          </w:p>
        </w:tc>
      </w:tr>
      <w:tr w:rsidR="00194A9A" w:rsidRPr="00C258AD" w:rsidTr="00C9182C">
        <w:trPr>
          <w:cantSplit/>
        </w:trPr>
        <w:tc>
          <w:tcPr>
            <w:tcW w:w="2400" w:type="dxa"/>
            <w:tcBorders>
              <w:top w:val="nil"/>
              <w:left w:val="single" w:sz="4" w:space="0" w:color="auto"/>
              <w:bottom w:val="single" w:sz="4" w:space="0" w:color="auto"/>
              <w:right w:val="single" w:sz="4" w:space="0" w:color="auto"/>
            </w:tcBorders>
            <w:shd w:val="clear" w:color="auto" w:fill="auto"/>
            <w:noWrap/>
            <w:vAlign w:val="center"/>
            <w:hideMark/>
          </w:tcPr>
          <w:p w:rsidR="00194A9A" w:rsidRPr="00C258AD" w:rsidRDefault="00194A9A" w:rsidP="00C9182C">
            <w:pPr>
              <w:rPr>
                <w:color w:val="000000"/>
                <w:sz w:val="16"/>
                <w:szCs w:val="18"/>
                <w:lang w:eastAsia="fr-FR"/>
              </w:rPr>
            </w:pPr>
            <w:r w:rsidRPr="00C258AD">
              <w:rPr>
                <w:color w:val="000000"/>
                <w:sz w:val="16"/>
                <w:szCs w:val="18"/>
                <w:lang w:eastAsia="fr-FR"/>
              </w:rPr>
              <w:t xml:space="preserve">Autres dépenses </w:t>
            </w:r>
          </w:p>
        </w:tc>
        <w:tc>
          <w:tcPr>
            <w:tcW w:w="2080" w:type="dxa"/>
            <w:tcBorders>
              <w:top w:val="nil"/>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color w:val="000000"/>
                <w:sz w:val="16"/>
                <w:szCs w:val="18"/>
                <w:lang w:eastAsia="fr-FR"/>
              </w:rPr>
            </w:pPr>
            <w:r w:rsidRPr="00C258AD">
              <w:rPr>
                <w:color w:val="000000"/>
                <w:sz w:val="16"/>
                <w:szCs w:val="18"/>
                <w:lang w:eastAsia="fr-FR"/>
              </w:rPr>
              <w:t>3 109</w:t>
            </w:r>
          </w:p>
        </w:tc>
        <w:tc>
          <w:tcPr>
            <w:tcW w:w="2080" w:type="dxa"/>
            <w:tcBorders>
              <w:top w:val="nil"/>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color w:val="000000"/>
                <w:sz w:val="16"/>
                <w:szCs w:val="18"/>
                <w:lang w:eastAsia="fr-FR"/>
              </w:rPr>
            </w:pPr>
            <w:r w:rsidRPr="00C258AD">
              <w:rPr>
                <w:color w:val="000000"/>
                <w:sz w:val="16"/>
                <w:szCs w:val="18"/>
                <w:lang w:eastAsia="fr-FR"/>
              </w:rPr>
              <w:t>2 984</w:t>
            </w:r>
          </w:p>
        </w:tc>
        <w:tc>
          <w:tcPr>
            <w:tcW w:w="2080" w:type="dxa"/>
            <w:tcBorders>
              <w:top w:val="nil"/>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color w:val="000000"/>
                <w:sz w:val="16"/>
                <w:szCs w:val="18"/>
                <w:lang w:eastAsia="fr-FR"/>
              </w:rPr>
            </w:pPr>
            <w:r w:rsidRPr="00C258AD">
              <w:rPr>
                <w:color w:val="000000"/>
                <w:sz w:val="16"/>
                <w:szCs w:val="18"/>
                <w:lang w:eastAsia="fr-FR"/>
              </w:rPr>
              <w:t>2 404</w:t>
            </w:r>
          </w:p>
        </w:tc>
        <w:tc>
          <w:tcPr>
            <w:tcW w:w="2080" w:type="dxa"/>
            <w:tcBorders>
              <w:top w:val="nil"/>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color w:val="000000"/>
                <w:sz w:val="16"/>
                <w:szCs w:val="18"/>
                <w:lang w:eastAsia="fr-FR"/>
              </w:rPr>
            </w:pPr>
            <w:r w:rsidRPr="00C258AD">
              <w:rPr>
                <w:color w:val="000000"/>
                <w:sz w:val="16"/>
                <w:szCs w:val="18"/>
                <w:lang w:eastAsia="fr-FR"/>
              </w:rPr>
              <w:t>81%</w:t>
            </w:r>
          </w:p>
        </w:tc>
      </w:tr>
      <w:tr w:rsidR="00194A9A" w:rsidRPr="00C258AD" w:rsidTr="00C9182C">
        <w:trPr>
          <w:cantSplit/>
        </w:trPr>
        <w:tc>
          <w:tcPr>
            <w:tcW w:w="2400" w:type="dxa"/>
            <w:tcBorders>
              <w:top w:val="nil"/>
              <w:left w:val="single" w:sz="4" w:space="0" w:color="auto"/>
              <w:bottom w:val="single" w:sz="4" w:space="0" w:color="auto"/>
              <w:right w:val="single" w:sz="4" w:space="0" w:color="auto"/>
            </w:tcBorders>
            <w:shd w:val="clear" w:color="auto" w:fill="auto"/>
            <w:noWrap/>
            <w:vAlign w:val="center"/>
            <w:hideMark/>
          </w:tcPr>
          <w:p w:rsidR="00194A9A" w:rsidRPr="00C258AD" w:rsidRDefault="00194A9A" w:rsidP="00C9182C">
            <w:pPr>
              <w:jc w:val="right"/>
              <w:rPr>
                <w:b/>
                <w:bCs/>
                <w:color w:val="000000"/>
                <w:sz w:val="16"/>
                <w:szCs w:val="18"/>
                <w:lang w:eastAsia="fr-FR"/>
              </w:rPr>
            </w:pPr>
            <w:r w:rsidRPr="00C258AD">
              <w:rPr>
                <w:b/>
                <w:bCs/>
                <w:color w:val="000000"/>
                <w:sz w:val="16"/>
                <w:szCs w:val="18"/>
                <w:lang w:eastAsia="fr-FR"/>
              </w:rPr>
              <w:t xml:space="preserve">TOTAL </w:t>
            </w:r>
          </w:p>
        </w:tc>
        <w:tc>
          <w:tcPr>
            <w:tcW w:w="2080" w:type="dxa"/>
            <w:tcBorders>
              <w:top w:val="nil"/>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b/>
                <w:bCs/>
                <w:color w:val="000000"/>
                <w:sz w:val="16"/>
                <w:szCs w:val="18"/>
                <w:lang w:eastAsia="fr-FR"/>
              </w:rPr>
            </w:pPr>
            <w:r w:rsidRPr="00C258AD">
              <w:rPr>
                <w:b/>
                <w:bCs/>
                <w:color w:val="000000"/>
                <w:sz w:val="16"/>
                <w:szCs w:val="18"/>
                <w:lang w:eastAsia="fr-FR"/>
              </w:rPr>
              <w:t>11 175</w:t>
            </w:r>
          </w:p>
        </w:tc>
        <w:tc>
          <w:tcPr>
            <w:tcW w:w="2080" w:type="dxa"/>
            <w:tcBorders>
              <w:top w:val="nil"/>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b/>
                <w:bCs/>
                <w:color w:val="000000"/>
                <w:sz w:val="16"/>
                <w:szCs w:val="18"/>
                <w:lang w:eastAsia="fr-FR"/>
              </w:rPr>
            </w:pPr>
            <w:r w:rsidRPr="00C258AD">
              <w:rPr>
                <w:b/>
                <w:bCs/>
                <w:color w:val="000000"/>
                <w:sz w:val="16"/>
                <w:szCs w:val="18"/>
                <w:lang w:eastAsia="fr-FR"/>
              </w:rPr>
              <w:t>10 947</w:t>
            </w:r>
          </w:p>
        </w:tc>
        <w:tc>
          <w:tcPr>
            <w:tcW w:w="2080" w:type="dxa"/>
            <w:tcBorders>
              <w:top w:val="nil"/>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b/>
                <w:bCs/>
                <w:color w:val="000000"/>
                <w:sz w:val="16"/>
                <w:szCs w:val="18"/>
                <w:lang w:eastAsia="fr-FR"/>
              </w:rPr>
            </w:pPr>
            <w:r w:rsidRPr="00C258AD">
              <w:rPr>
                <w:b/>
                <w:bCs/>
                <w:color w:val="000000"/>
                <w:sz w:val="16"/>
                <w:szCs w:val="18"/>
                <w:lang w:eastAsia="fr-FR"/>
              </w:rPr>
              <w:t>9 879</w:t>
            </w:r>
          </w:p>
        </w:tc>
        <w:tc>
          <w:tcPr>
            <w:tcW w:w="2080" w:type="dxa"/>
            <w:tcBorders>
              <w:top w:val="nil"/>
              <w:left w:val="nil"/>
              <w:bottom w:val="single" w:sz="4" w:space="0" w:color="auto"/>
              <w:right w:val="single" w:sz="4" w:space="0" w:color="auto"/>
            </w:tcBorders>
            <w:shd w:val="clear" w:color="auto" w:fill="auto"/>
            <w:vAlign w:val="center"/>
            <w:hideMark/>
          </w:tcPr>
          <w:p w:rsidR="00194A9A" w:rsidRPr="00C258AD" w:rsidRDefault="00194A9A" w:rsidP="00C9182C">
            <w:pPr>
              <w:jc w:val="center"/>
              <w:rPr>
                <w:b/>
                <w:bCs/>
                <w:color w:val="000000"/>
                <w:sz w:val="16"/>
                <w:szCs w:val="18"/>
                <w:lang w:eastAsia="fr-FR"/>
              </w:rPr>
            </w:pPr>
            <w:r w:rsidRPr="00C258AD">
              <w:rPr>
                <w:b/>
                <w:bCs/>
                <w:color w:val="000000"/>
                <w:sz w:val="16"/>
                <w:szCs w:val="18"/>
                <w:lang w:eastAsia="fr-FR"/>
              </w:rPr>
              <w:t>90%</w:t>
            </w:r>
          </w:p>
        </w:tc>
      </w:tr>
    </w:tbl>
    <w:p w:rsidR="006E2BB1" w:rsidRPr="00C258AD" w:rsidRDefault="006E2BB1" w:rsidP="00C9182C">
      <w:pPr>
        <w:widowControl w:val="0"/>
        <w:autoSpaceDE w:val="0"/>
        <w:autoSpaceDN w:val="0"/>
        <w:adjustRightInd w:val="0"/>
        <w:jc w:val="both"/>
      </w:pPr>
    </w:p>
    <w:p w:rsidR="006E2BB1" w:rsidRPr="00C258AD" w:rsidRDefault="006E2BB1" w:rsidP="00C9182C">
      <w:pPr>
        <w:widowControl w:val="0"/>
        <w:autoSpaceDE w:val="0"/>
        <w:autoSpaceDN w:val="0"/>
        <w:adjustRightInd w:val="0"/>
        <w:jc w:val="both"/>
      </w:pPr>
    </w:p>
    <w:p w:rsidR="006E2BB1" w:rsidRPr="00C258AD" w:rsidRDefault="00194A9A" w:rsidP="00C9182C">
      <w:pPr>
        <w:rPr>
          <w:u w:val="single"/>
        </w:rPr>
      </w:pPr>
      <w:r w:rsidRPr="00C258AD">
        <w:t>A.</w:t>
      </w:r>
      <w:r w:rsidRPr="00C258AD">
        <w:tab/>
      </w:r>
      <w:r w:rsidRPr="00C258AD">
        <w:rPr>
          <w:u w:val="single"/>
        </w:rPr>
        <w:t>Budget final 2014</w:t>
      </w:r>
      <w:r w:rsidRPr="00C258AD">
        <w:rPr>
          <w:u w:val="single"/>
        </w:rPr>
        <w:noBreakHyphen/>
        <w:t>2015 après virements</w:t>
      </w:r>
    </w:p>
    <w:p w:rsidR="006E2BB1" w:rsidRPr="00C258AD" w:rsidRDefault="006E2BB1" w:rsidP="00C9182C">
      <w:pPr>
        <w:rPr>
          <w:u w:val="single"/>
        </w:rPr>
      </w:pPr>
    </w:p>
    <w:p w:rsidR="006E2BB1" w:rsidRPr="00C258AD" w:rsidRDefault="00194A9A" w:rsidP="00BB4DBC">
      <w:pPr>
        <w:pStyle w:val="ListParagraph"/>
        <w:numPr>
          <w:ilvl w:val="0"/>
          <w:numId w:val="13"/>
        </w:numPr>
        <w:tabs>
          <w:tab w:val="left" w:pos="709"/>
        </w:tabs>
        <w:ind w:left="0" w:firstLine="0"/>
        <w:jc w:val="both"/>
      </w:pPr>
      <w:r w:rsidRPr="00C258AD">
        <w:t>Cette hausse des ressources dans le cadre du résultat escompté II.8 (Litiges relatifs à la propriété intellectuelle internationaux et nationaux) traduit le mouvement des ressources en personnel destiné à mieux gérer les demandes de services de règlement extrajudiciaire des litiges, en particulier en réponse aux demandes des États membres.</w:t>
      </w:r>
    </w:p>
    <w:p w:rsidR="006E2BB1" w:rsidRPr="00C258AD" w:rsidRDefault="006E2BB1" w:rsidP="00F93DE1"/>
    <w:p w:rsidR="006E2BB1" w:rsidRPr="00C258AD" w:rsidRDefault="006E2BB1" w:rsidP="00F93DE1"/>
    <w:p w:rsidR="006E2BB1" w:rsidRPr="00C258AD" w:rsidRDefault="00194A9A" w:rsidP="00C9182C">
      <w:pPr>
        <w:jc w:val="both"/>
        <w:rPr>
          <w:u w:val="single"/>
          <w:lang w:eastAsia="ko-KR"/>
        </w:rPr>
      </w:pPr>
      <w:r w:rsidRPr="00C258AD">
        <w:rPr>
          <w:lang w:eastAsia="ko-KR"/>
        </w:rPr>
        <w:t>B.</w:t>
      </w:r>
      <w:r w:rsidRPr="00C258AD">
        <w:rPr>
          <w:lang w:eastAsia="ko-KR"/>
        </w:rPr>
        <w:tab/>
      </w:r>
      <w:r w:rsidRPr="00C258AD">
        <w:rPr>
          <w:u w:val="single"/>
          <w:lang w:eastAsia="ko-KR"/>
        </w:rPr>
        <w:t>Utilisation du budget en 2014</w:t>
      </w:r>
      <w:r w:rsidRPr="00C258AD">
        <w:rPr>
          <w:u w:val="single"/>
          <w:lang w:eastAsia="ko-KR"/>
        </w:rPr>
        <w:noBreakHyphen/>
        <w:t>2015</w:t>
      </w:r>
    </w:p>
    <w:p w:rsidR="006E2BB1" w:rsidRPr="00C258AD" w:rsidRDefault="006E2BB1" w:rsidP="00C9182C">
      <w:pPr>
        <w:jc w:val="both"/>
        <w:rPr>
          <w:u w:val="single"/>
          <w:lang w:eastAsia="ko-KR"/>
        </w:rPr>
      </w:pPr>
    </w:p>
    <w:p w:rsidR="006E2BB1" w:rsidRPr="00C258AD" w:rsidRDefault="00194A9A" w:rsidP="00BB4DBC">
      <w:pPr>
        <w:pStyle w:val="ListParagraph"/>
        <w:numPr>
          <w:ilvl w:val="0"/>
          <w:numId w:val="13"/>
        </w:numPr>
        <w:tabs>
          <w:tab w:val="left" w:pos="709"/>
        </w:tabs>
        <w:ind w:left="0" w:firstLine="0"/>
        <w:jc w:val="both"/>
        <w:rPr>
          <w:lang w:eastAsia="ko-KR"/>
        </w:rPr>
      </w:pPr>
      <w:r w:rsidRPr="00C258AD">
        <w:t>Le taux d’utilisation du budget pour l’exercice biennal s’est élevé à 81%.  Ce chiffre résulte principalement i) des économies réalisées dans le cadre du budget ordinaire en ce qui concerne les missions des fonctionnaires et les voyages de tiers sous le résultat escompté II.8 (litiges internationaux ou nationaux de propriété intellectuelle) grâce aux financements supplémentaires provenant du fonds fiduciaire coréen;  ii) des vacances de postes dans le cadre du programme de bourse durant l’exercice biennal;  et iii) de la diminution du nombre de consultants et de prestataires externes à la suite de la restructuration de certaines fonctions informatiques.</w:t>
      </w:r>
    </w:p>
    <w:p w:rsidR="006E2BB1" w:rsidRPr="00C258AD" w:rsidRDefault="002D4597">
      <w:pPr>
        <w:spacing w:after="200" w:line="276" w:lineRule="auto"/>
        <w:rPr>
          <w:lang w:eastAsia="ko-KR"/>
        </w:rPr>
      </w:pPr>
      <w:r w:rsidRPr="00C258AD">
        <w:rPr>
          <w:lang w:eastAsia="ko-KR"/>
        </w:rPr>
        <w:br w:type="page"/>
      </w:r>
    </w:p>
    <w:p w:rsidR="00E5009E" w:rsidRPr="00C258AD" w:rsidRDefault="00E5009E" w:rsidP="00E5009E">
      <w:pPr>
        <w:pStyle w:val="ListParagraph"/>
        <w:numPr>
          <w:ilvl w:val="0"/>
          <w:numId w:val="0"/>
        </w:numPr>
      </w:pPr>
      <w:bookmarkStart w:id="90" w:name="_Toc422404227"/>
      <w:bookmarkStart w:id="91" w:name="_Toc423352875"/>
    </w:p>
    <w:p w:rsidR="00E5009E" w:rsidRPr="00C258AD" w:rsidRDefault="00E5009E" w:rsidP="00E5009E">
      <w:pPr>
        <w:pStyle w:val="StyleHeading214ptAuto"/>
        <w:jc w:val="center"/>
        <w:rPr>
          <w:lang w:val="fr-FR"/>
        </w:rPr>
      </w:pPr>
      <w:bookmarkStart w:id="92" w:name="_Toc455394186"/>
      <w:r w:rsidRPr="00C258AD">
        <w:rPr>
          <w:lang w:val="fr-FR"/>
        </w:rPr>
        <w:t>Objectif stratégique III</w:t>
      </w:r>
      <w:bookmarkEnd w:id="92"/>
    </w:p>
    <w:p w:rsidR="00E5009E" w:rsidRPr="00C258AD" w:rsidRDefault="00E5009E" w:rsidP="00E5009E"/>
    <w:p w:rsidR="00E5009E" w:rsidRPr="00C258AD" w:rsidRDefault="00E5009E" w:rsidP="00E5009E">
      <w:pPr>
        <w:jc w:val="center"/>
        <w:rPr>
          <w:caps/>
        </w:rPr>
      </w:pPr>
      <w:r w:rsidRPr="00C258AD">
        <w:rPr>
          <w:b/>
          <w:caps/>
        </w:rPr>
        <w:t>Favoriser l’utilisation de la propriété intellectuelle au service du développement</w:t>
      </w:r>
    </w:p>
    <w:p w:rsidR="00E5009E" w:rsidRPr="00C258AD" w:rsidRDefault="00E5009E" w:rsidP="00E5009E">
      <w:pPr>
        <w:jc w:val="center"/>
      </w:pPr>
    </w:p>
    <w:p w:rsidR="00E5009E" w:rsidRPr="00C258AD" w:rsidRDefault="00E5009E" w:rsidP="00E5009E">
      <w:pPr>
        <w:jc w:val="center"/>
      </w:pPr>
    </w:p>
    <w:p w:rsidR="00E5009E" w:rsidRPr="00C258AD" w:rsidRDefault="00E5009E" w:rsidP="00E5009E">
      <w:pPr>
        <w:jc w:val="center"/>
        <w:rPr>
          <w:b/>
        </w:rPr>
      </w:pPr>
      <w:r w:rsidRPr="00C258AD">
        <w:rPr>
          <w:b/>
        </w:rPr>
        <w:t>Tableau de bord de l’exécution du programme biennal</w:t>
      </w:r>
    </w:p>
    <w:p w:rsidR="00E5009E" w:rsidRPr="00C258AD" w:rsidRDefault="00E5009E" w:rsidP="00E5009E">
      <w:pPr>
        <w:rPr>
          <w:b/>
        </w:rPr>
      </w:pPr>
    </w:p>
    <w:p w:rsidR="00E5009E" w:rsidRPr="00C258AD" w:rsidRDefault="00E5009E" w:rsidP="00E5009E">
      <w:pPr>
        <w:autoSpaceDE w:val="0"/>
        <w:autoSpaceDN w:val="0"/>
        <w:adjustRightInd w:val="0"/>
        <w:jc w:val="both"/>
        <w:rPr>
          <w:rFonts w:cs="Arial"/>
        </w:rPr>
      </w:pPr>
      <w:r w:rsidRPr="00C258AD">
        <w:rPr>
          <w:rFonts w:cs="Arial"/>
        </w:rPr>
        <w:t>Le tableau de bord ci</w:t>
      </w:r>
      <w:r w:rsidRPr="00C258AD">
        <w:rPr>
          <w:rFonts w:cs="Arial"/>
        </w:rPr>
        <w:noBreakHyphen/>
        <w:t>dessous présente un résumé de la réalisation des résultats escomptés pour l’exercice biennal 2014</w:t>
      </w:r>
      <w:r w:rsidRPr="00C258AD">
        <w:rPr>
          <w:rFonts w:cs="Arial"/>
        </w:rPr>
        <w:noBreakHyphen/>
        <w:t>2015, telle que mesurée par les indicateurs au titre des programmes contribuant à cet objectif stratégique.</w:t>
      </w:r>
    </w:p>
    <w:p w:rsidR="00E5009E" w:rsidRPr="00C258AD" w:rsidRDefault="00E5009E" w:rsidP="00E5009E">
      <w:pPr>
        <w:jc w:val="center"/>
        <w:rPr>
          <w:rFonts w:cs="Arial"/>
        </w:rPr>
      </w:pPr>
      <w:r w:rsidRPr="00C258AD">
        <w:rPr>
          <w:noProof/>
          <w:lang w:val="en-US"/>
        </w:rPr>
        <w:drawing>
          <wp:inline distT="0" distB="0" distL="0" distR="0" wp14:anchorId="3264B954" wp14:editId="5D269086">
            <wp:extent cx="5940425" cy="2979284"/>
            <wp:effectExtent l="0" t="0" r="317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940425" cy="2979284"/>
                    </a:xfrm>
                    <a:prstGeom prst="rect">
                      <a:avLst/>
                    </a:prstGeom>
                    <a:noFill/>
                    <a:ln>
                      <a:noFill/>
                    </a:ln>
                  </pic:spPr>
                </pic:pic>
              </a:graphicData>
            </a:graphic>
          </wp:inline>
        </w:drawing>
      </w:r>
    </w:p>
    <w:p w:rsidR="00E5009E" w:rsidRPr="00C258AD" w:rsidRDefault="00E5009E" w:rsidP="00E5009E">
      <w:pPr>
        <w:jc w:val="center"/>
      </w:pPr>
    </w:p>
    <w:tbl>
      <w:tblPr>
        <w:tblW w:w="5000" w:type="pct"/>
        <w:tblInd w:w="108" w:type="dxa"/>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714"/>
        <w:gridCol w:w="4213"/>
        <w:gridCol w:w="1442"/>
        <w:gridCol w:w="1122"/>
      </w:tblGrid>
      <w:tr w:rsidR="00E5009E" w:rsidRPr="00C258AD" w:rsidTr="00BB716F">
        <w:trPr>
          <w:cantSplit/>
          <w:tblHeader/>
        </w:trPr>
        <w:tc>
          <w:tcPr>
            <w:tcW w:w="1477" w:type="pct"/>
            <w:tcBorders>
              <w:top w:val="single" w:sz="4" w:space="0" w:color="auto"/>
              <w:bottom w:val="single" w:sz="4" w:space="0" w:color="auto"/>
            </w:tcBorders>
            <w:shd w:val="clear" w:color="auto" w:fill="DAEEF3" w:themeFill="accent5" w:themeFillTint="33"/>
            <w:tcMar>
              <w:top w:w="113" w:type="dxa"/>
              <w:bottom w:w="57" w:type="dxa"/>
            </w:tcMar>
            <w:vAlign w:val="center"/>
          </w:tcPr>
          <w:p w:rsidR="00E5009E" w:rsidRPr="00C258AD" w:rsidRDefault="00E5009E" w:rsidP="00BB716F">
            <w:pPr>
              <w:spacing w:after="120"/>
              <w:jc w:val="center"/>
              <w:rPr>
                <w:rFonts w:cs="Arial"/>
                <w:b/>
                <w:bCs/>
                <w:sz w:val="18"/>
                <w:szCs w:val="18"/>
              </w:rPr>
            </w:pPr>
            <w:r w:rsidRPr="00C258AD">
              <w:rPr>
                <w:rFonts w:cs="Arial"/>
                <w:b/>
                <w:bCs/>
                <w:sz w:val="18"/>
                <w:szCs w:val="18"/>
              </w:rPr>
              <w:t>Résultats escomptés</w:t>
            </w:r>
          </w:p>
        </w:tc>
        <w:tc>
          <w:tcPr>
            <w:tcW w:w="2267" w:type="pct"/>
            <w:tcBorders>
              <w:top w:val="single" w:sz="4" w:space="0" w:color="auto"/>
              <w:bottom w:val="single" w:sz="4" w:space="0" w:color="auto"/>
            </w:tcBorders>
            <w:shd w:val="clear" w:color="auto" w:fill="DAEEF3" w:themeFill="accent5" w:themeFillTint="33"/>
            <w:tcMar>
              <w:top w:w="113" w:type="dxa"/>
              <w:bottom w:w="57" w:type="dxa"/>
            </w:tcMar>
            <w:vAlign w:val="center"/>
          </w:tcPr>
          <w:p w:rsidR="00E5009E" w:rsidRPr="00C258AD" w:rsidRDefault="00E5009E" w:rsidP="00BB716F">
            <w:pPr>
              <w:spacing w:after="120"/>
              <w:jc w:val="center"/>
              <w:rPr>
                <w:rFonts w:cs="Arial"/>
                <w:b/>
                <w:sz w:val="18"/>
                <w:szCs w:val="18"/>
              </w:rPr>
            </w:pPr>
            <w:r w:rsidRPr="00C258AD">
              <w:rPr>
                <w:rFonts w:cs="Arial"/>
                <w:b/>
                <w:sz w:val="18"/>
                <w:szCs w:val="18"/>
              </w:rPr>
              <w:t>Indicateurs d’exécution</w:t>
            </w:r>
          </w:p>
        </w:tc>
        <w:tc>
          <w:tcPr>
            <w:tcW w:w="735" w:type="pct"/>
            <w:tcBorders>
              <w:top w:val="single" w:sz="4" w:space="0" w:color="auto"/>
              <w:bottom w:val="single" w:sz="4" w:space="0" w:color="auto"/>
            </w:tcBorders>
            <w:shd w:val="clear" w:color="auto" w:fill="DAEEF3" w:themeFill="accent5" w:themeFillTint="33"/>
            <w:tcMar>
              <w:top w:w="113" w:type="dxa"/>
              <w:bottom w:w="57" w:type="dxa"/>
            </w:tcMar>
            <w:vAlign w:val="center"/>
          </w:tcPr>
          <w:p w:rsidR="00E5009E" w:rsidRPr="00C258AD" w:rsidRDefault="00E5009E" w:rsidP="00BB716F">
            <w:pPr>
              <w:spacing w:after="120"/>
              <w:ind w:left="85"/>
              <w:jc w:val="center"/>
              <w:rPr>
                <w:rFonts w:cs="Arial"/>
                <w:sz w:val="18"/>
                <w:szCs w:val="18"/>
              </w:rPr>
            </w:pPr>
            <w:r w:rsidRPr="00C258AD">
              <w:rPr>
                <w:rFonts w:cs="Arial"/>
                <w:b/>
                <w:sz w:val="18"/>
                <w:szCs w:val="18"/>
              </w:rPr>
              <w:t>Programme(s) concerné(s)</w:t>
            </w:r>
          </w:p>
        </w:tc>
        <w:tc>
          <w:tcPr>
            <w:tcW w:w="521" w:type="pct"/>
            <w:tcBorders>
              <w:top w:val="single" w:sz="4" w:space="0" w:color="auto"/>
              <w:bottom w:val="single" w:sz="4" w:space="0" w:color="auto"/>
            </w:tcBorders>
            <w:shd w:val="clear" w:color="auto" w:fill="DAEEF3" w:themeFill="accent5" w:themeFillTint="33"/>
            <w:vAlign w:val="center"/>
          </w:tcPr>
          <w:p w:rsidR="00E5009E" w:rsidRPr="00C258AD" w:rsidRDefault="00E5009E" w:rsidP="00BB716F">
            <w:pPr>
              <w:spacing w:after="120"/>
              <w:ind w:left="85"/>
              <w:jc w:val="center"/>
              <w:rPr>
                <w:rFonts w:cs="Arial"/>
                <w:b/>
                <w:bCs/>
                <w:sz w:val="18"/>
                <w:szCs w:val="18"/>
              </w:rPr>
            </w:pPr>
            <w:r w:rsidRPr="00C258AD">
              <w:rPr>
                <w:rFonts w:cs="Arial"/>
                <w:b/>
                <w:bCs/>
                <w:sz w:val="18"/>
                <w:szCs w:val="18"/>
              </w:rPr>
              <w:t>Code de couleurs</w:t>
            </w:r>
          </w:p>
        </w:tc>
      </w:tr>
      <w:tr w:rsidR="00E5009E" w:rsidRPr="00C258AD" w:rsidTr="00BB716F">
        <w:trPr>
          <w:cantSplit/>
        </w:trPr>
        <w:tc>
          <w:tcPr>
            <w:tcW w:w="1477" w:type="pct"/>
            <w:tcBorders>
              <w:top w:val="single" w:sz="4" w:space="0" w:color="auto"/>
            </w:tcBorders>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5"/>
                <w:szCs w:val="15"/>
              </w:rPr>
              <w:t xml:space="preserve">III.1  Stratégies et plans nationaux en matière d’innovation et de propriété intellectuelle conformes aux objectifs de développement nationaux </w:t>
            </w:r>
          </w:p>
        </w:tc>
        <w:tc>
          <w:tcPr>
            <w:tcW w:w="2267" w:type="pct"/>
            <w:tcBorders>
              <w:top w:val="single" w:sz="4" w:space="0" w:color="auto"/>
            </w:tcBorders>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Nombre de pays ayant entrepris de formuler ou adopter des stratégies et/ou des plans de développement nationaux en matière de propriété intellectuelle</w:t>
            </w:r>
          </w:p>
        </w:tc>
        <w:tc>
          <w:tcPr>
            <w:tcW w:w="735" w:type="pct"/>
            <w:tcBorders>
              <w:top w:val="single" w:sz="4" w:space="0" w:color="auto"/>
            </w:tcBorders>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9</w:t>
            </w:r>
          </w:p>
        </w:tc>
        <w:tc>
          <w:tcPr>
            <w:tcW w:w="521" w:type="pct"/>
            <w:tcBorders>
              <w:top w:val="single" w:sz="4" w:space="0" w:color="auto"/>
            </w:tcBorders>
            <w:shd w:val="clear" w:color="auto" w:fill="FFFFFF"/>
          </w:tcPr>
          <w:p w:rsidR="00E5009E" w:rsidRPr="00C258AD" w:rsidRDefault="00E5009E" w:rsidP="00BB716F">
            <w:pPr>
              <w:jc w:val="center"/>
            </w:pPr>
            <w:r w:rsidRPr="00C258AD">
              <w:rPr>
                <w:rFonts w:cs="Arial"/>
                <w:color w:val="008000"/>
                <w:sz w:val="22"/>
                <w:szCs w:val="22"/>
              </w:rPr>
              <w:sym w:font="Wingdings" w:char="F06C"/>
            </w:r>
            <w:r w:rsidRPr="00C258AD">
              <w:rPr>
                <w:rFonts w:cs="Arial"/>
                <w:color w:val="FF0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Nombre de pays qui ont adopté des stratégies et/ou des plans de développement nationaux en matière de propriété intellectuelle et sont en train de les mettre en œuvre</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9</w:t>
            </w:r>
          </w:p>
        </w:tc>
        <w:tc>
          <w:tcPr>
            <w:tcW w:w="521" w:type="pct"/>
            <w:shd w:val="clear" w:color="auto" w:fill="FFFFFF"/>
          </w:tcPr>
          <w:p w:rsidR="00E5009E" w:rsidRPr="00C258AD" w:rsidRDefault="00E5009E" w:rsidP="00BB716F">
            <w:pPr>
              <w:jc w:val="center"/>
              <w:rPr>
                <w:rFonts w:cs="Arial"/>
                <w:color w:val="FF0000"/>
                <w:sz w:val="22"/>
                <w:szCs w:val="22"/>
              </w:rPr>
            </w:pPr>
            <w:r w:rsidRPr="00C258AD">
              <w:rPr>
                <w:rFonts w:cs="Arial"/>
                <w:color w:val="008000"/>
                <w:sz w:val="22"/>
                <w:szCs w:val="22"/>
              </w:rPr>
              <w:sym w:font="Wingdings" w:char="F06C"/>
            </w:r>
            <w:r w:rsidRPr="00C258AD">
              <w:rPr>
                <w:rFonts w:cs="Arial"/>
                <w:color w:val="FF0000"/>
                <w:sz w:val="22"/>
                <w:szCs w:val="22"/>
              </w:rPr>
              <w:sym w:font="Wingdings" w:char="F06C"/>
            </w:r>
            <w:r w:rsidRPr="00C258AD">
              <w:rPr>
                <w:rFonts w:cs="Arial"/>
                <w:color w:val="008000"/>
                <w:sz w:val="22"/>
                <w:szCs w:val="22"/>
              </w:rPr>
              <w:sym w:font="Wingdings" w:char="F06C"/>
            </w:r>
            <w:r w:rsidRPr="00C258AD">
              <w:rPr>
                <w:rFonts w:cs="Arial"/>
                <w:color w:val="E26B0A"/>
                <w:sz w:val="22"/>
                <w:szCs w:val="22"/>
              </w:rPr>
              <w:sym w:font="Wingdings" w:char="F06C"/>
            </w: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Nombre d’universités ayant élaboré des politiques en matière de propriété intellectuelle</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10</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477" w:type="pct"/>
            <w:vMerge w:val="restar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Nombre de pays ayant mis en place des stratégies ou plans nationaux en matière de propriété intellectuelle</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10</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477" w:type="pct"/>
            <w:vMerge/>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Nombre de pays dotés de politiques nationales en matière d’innovation en place, en cours ou adoptées</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30</w:t>
            </w:r>
          </w:p>
        </w:tc>
        <w:tc>
          <w:tcPr>
            <w:tcW w:w="521" w:type="pct"/>
            <w:shd w:val="clear" w:color="auto" w:fill="FFFFFF"/>
          </w:tcPr>
          <w:p w:rsidR="00E5009E" w:rsidRPr="00C258AD" w:rsidRDefault="00E5009E" w:rsidP="00BB716F">
            <w:pPr>
              <w:jc w:val="center"/>
              <w:rPr>
                <w:rFonts w:cs="Arial"/>
                <w:color w:val="A6A6A6" w:themeColor="background1" w:themeShade="A6"/>
                <w:sz w:val="22"/>
                <w:szCs w:val="22"/>
              </w:rPr>
            </w:pPr>
            <w:r w:rsidRPr="00C258AD">
              <w:rPr>
                <w:rFonts w:cs="Arial"/>
                <w:color w:val="008000"/>
                <w:sz w:val="22"/>
                <w:szCs w:val="22"/>
              </w:rPr>
              <w:sym w:font="Wingdings" w:char="F06C"/>
            </w:r>
          </w:p>
        </w:tc>
      </w:tr>
      <w:tr w:rsidR="00E5009E" w:rsidRPr="00C258AD" w:rsidTr="00BB716F">
        <w:trPr>
          <w:cantSplit/>
        </w:trPr>
        <w:tc>
          <w:tcPr>
            <w:tcW w:w="1477" w:type="pct"/>
            <w:vMerge w:val="restart"/>
            <w:shd w:val="clear" w:color="auto" w:fill="auto"/>
            <w:tcMar>
              <w:top w:w="113" w:type="dxa"/>
              <w:bottom w:w="57" w:type="dxa"/>
            </w:tcMar>
          </w:tcPr>
          <w:p w:rsidR="00E5009E" w:rsidRPr="00C258AD" w:rsidRDefault="00E5009E" w:rsidP="008808C8">
            <w:pPr>
              <w:keepNext/>
              <w:keepLines/>
              <w:rPr>
                <w:rFonts w:cs="Arial"/>
                <w:sz w:val="16"/>
                <w:szCs w:val="16"/>
              </w:rPr>
            </w:pPr>
            <w:r w:rsidRPr="00C258AD">
              <w:rPr>
                <w:rFonts w:cs="Arial"/>
                <w:sz w:val="16"/>
                <w:szCs w:val="16"/>
              </w:rPr>
              <w:lastRenderedPageBreak/>
              <w:t>III.2  Renforcement des capacités en matière de ressources humaines pour pouvoir répondre aux nombreuses exigences en ce qui concerne l’utilisation efficace de la propriété intellectuelle au service du développement dans les pays en développement, les PMA et les pays en transition</w:t>
            </w:r>
          </w:p>
        </w:tc>
        <w:tc>
          <w:tcPr>
            <w:tcW w:w="2267" w:type="pct"/>
            <w:shd w:val="clear" w:color="auto" w:fill="auto"/>
            <w:tcMar>
              <w:top w:w="113" w:type="dxa"/>
              <w:bottom w:w="57" w:type="dxa"/>
            </w:tcMar>
          </w:tcPr>
          <w:p w:rsidR="00E5009E" w:rsidRPr="00C258AD" w:rsidRDefault="00E5009E" w:rsidP="008808C8">
            <w:pPr>
              <w:keepNext/>
              <w:keepLines/>
              <w:rPr>
                <w:rFonts w:cs="Arial"/>
                <w:sz w:val="16"/>
                <w:szCs w:val="16"/>
              </w:rPr>
            </w:pPr>
            <w:r w:rsidRPr="00C258AD">
              <w:rPr>
                <w:rFonts w:cs="Arial"/>
                <w:sz w:val="16"/>
                <w:szCs w:val="16"/>
              </w:rPr>
              <w:t>Nombre de gouvernements et d’organismes de gestion collective ayant signé un accord avec l’OMPI en vue d’établir une nouvelle norme d’assurance qualité en matière de transparence, de responsabilité et de gouvernance</w:t>
            </w:r>
          </w:p>
        </w:tc>
        <w:tc>
          <w:tcPr>
            <w:tcW w:w="735" w:type="pct"/>
            <w:shd w:val="clear" w:color="auto" w:fill="FFFFFF"/>
            <w:tcMar>
              <w:top w:w="113" w:type="dxa"/>
              <w:bottom w:w="57" w:type="dxa"/>
            </w:tcMar>
          </w:tcPr>
          <w:p w:rsidR="00E5009E" w:rsidRPr="00C258AD" w:rsidRDefault="00E5009E" w:rsidP="008808C8">
            <w:pPr>
              <w:keepNext/>
              <w:keepLines/>
              <w:jc w:val="center"/>
              <w:rPr>
                <w:rFonts w:cs="Arial"/>
                <w:sz w:val="16"/>
                <w:szCs w:val="16"/>
                <w:lang w:bidi="th-TH"/>
              </w:rPr>
            </w:pPr>
            <w:r w:rsidRPr="00C258AD">
              <w:rPr>
                <w:rFonts w:cs="Arial"/>
                <w:sz w:val="16"/>
                <w:szCs w:val="16"/>
                <w:lang w:bidi="th-TH"/>
              </w:rPr>
              <w:t>Programme 3</w:t>
            </w:r>
          </w:p>
        </w:tc>
        <w:tc>
          <w:tcPr>
            <w:tcW w:w="521" w:type="pct"/>
            <w:shd w:val="clear" w:color="auto" w:fill="FFFFFF"/>
          </w:tcPr>
          <w:p w:rsidR="00E5009E" w:rsidRPr="00C258AD" w:rsidRDefault="00E5009E" w:rsidP="008808C8">
            <w:pPr>
              <w:keepNext/>
              <w:keepLines/>
              <w:jc w:val="center"/>
              <w:rPr>
                <w:rFonts w:cs="Arial"/>
                <w:color w:val="008000"/>
                <w:sz w:val="22"/>
                <w:szCs w:val="22"/>
              </w:rPr>
            </w:pPr>
            <w:r w:rsidRPr="00C258AD">
              <w:rPr>
                <w:rFonts w:cs="Arial"/>
                <w:color w:val="008000"/>
                <w:sz w:val="22"/>
                <w:szCs w:val="22"/>
              </w:rPr>
              <w:sym w:font="Wingdings" w:char="F06C"/>
            </w:r>
          </w:p>
        </w:tc>
      </w:tr>
      <w:tr w:rsidR="00E5009E" w:rsidRPr="00C258AD" w:rsidTr="00BB716F">
        <w:trPr>
          <w:cantSplit/>
        </w:trPr>
        <w:tc>
          <w:tcPr>
            <w:tcW w:w="1477" w:type="pct"/>
            <w:vMerge/>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Pourcentage de créateurs satisfaits de la formation fournie sur l’utilisation des données et des informations relatives au droit d’auteur pour une gestion efficace de leurs droits</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3</w:t>
            </w:r>
          </w:p>
        </w:tc>
        <w:tc>
          <w:tcPr>
            <w:tcW w:w="521" w:type="pct"/>
            <w:shd w:val="clear" w:color="auto" w:fill="FFFFFF"/>
          </w:tcPr>
          <w:p w:rsidR="00E5009E" w:rsidRPr="00C258AD" w:rsidRDefault="00E5009E" w:rsidP="00BB716F">
            <w:pPr>
              <w:spacing w:before="40"/>
              <w:jc w:val="center"/>
            </w:pP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Pourcentage d’évaluations positives de la part des participants quant à l’utilité des réunions et ateliers sur le renforcement des capacités en matière de droit d’auteur</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3</w:t>
            </w:r>
          </w:p>
        </w:tc>
        <w:tc>
          <w:tcPr>
            <w:tcW w:w="521" w:type="pct"/>
            <w:shd w:val="clear" w:color="auto" w:fill="FFFFFF"/>
          </w:tcPr>
          <w:p w:rsidR="00E5009E" w:rsidRPr="00C258AD" w:rsidRDefault="00E5009E" w:rsidP="00BB716F">
            <w:pPr>
              <w:spacing w:before="40"/>
              <w:jc w:val="center"/>
            </w:pP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ind w:right="-206"/>
              <w:rPr>
                <w:rFonts w:cs="Arial"/>
                <w:sz w:val="16"/>
                <w:szCs w:val="16"/>
              </w:rPr>
            </w:pPr>
            <w:r w:rsidRPr="00C258AD">
              <w:rPr>
                <w:rFonts w:cs="Arial"/>
                <w:sz w:val="16"/>
                <w:szCs w:val="16"/>
              </w:rPr>
              <w:t>Nombre d’États membres qui prennent des initiatives pour améliorer leur utilisation du système du droit d’auteur afin d’exploiter les possibilités économiques de leurs œuvres et produits culturels</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3</w:t>
            </w:r>
          </w:p>
        </w:tc>
        <w:tc>
          <w:tcPr>
            <w:tcW w:w="521" w:type="pct"/>
            <w:shd w:val="clear" w:color="auto" w:fill="FFFFFF"/>
          </w:tcPr>
          <w:p w:rsidR="00E5009E" w:rsidRPr="00C258AD" w:rsidRDefault="00E5009E" w:rsidP="00BB716F">
            <w:pPr>
              <w:spacing w:before="40"/>
              <w:jc w:val="center"/>
            </w:pP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Pourcentage de participants aux activités de l’OMPI ayant fait part d’un renforcement des capacités en ce qui concerne la compréhension des principes, des systèmes et des instruments de propriété intellectuelle et leur utilisation pour la protection des savoirs traditionnels et des expressions culturelles traditionnelles, et pour la gestion du lien qui existe entre propriété intellectuelle et ressources génétiques</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4</w:t>
            </w:r>
          </w:p>
        </w:tc>
        <w:tc>
          <w:tcPr>
            <w:tcW w:w="521" w:type="pct"/>
            <w:shd w:val="clear" w:color="auto" w:fill="FFFFFF"/>
          </w:tcPr>
          <w:p w:rsidR="00E5009E" w:rsidRPr="00C258AD" w:rsidRDefault="00E5009E" w:rsidP="00BB716F">
            <w:pPr>
              <w:spacing w:before="40"/>
              <w:jc w:val="center"/>
            </w:pP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Pourcentage de participants à des manifestations de l’OMPI qui font part de leur satisfaction à l’égard du contenu et de l’organisation de ces manifestations</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9</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Pourcentage de participants à des ateliers de l’OMPI qui mettent en pratique, dans le cadre de leur travail ou de leur entreprise, les compétences acquises.</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9</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r w:rsidRPr="00C258AD">
              <w:rPr>
                <w:rFonts w:cs="Arial"/>
                <w:color w:val="A6A6A6" w:themeColor="background1" w:themeShade="A6"/>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Pourcentage d’experts nationaux/régionaux en propriété intellectuelle faisant office d’animateurs de manifestations de l’OMPI</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9</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r w:rsidRPr="00C258AD">
              <w:rPr>
                <w:rFonts w:cs="Arial"/>
                <w:color w:val="E26B0A"/>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 xml:space="preserve">Nombre de pays à économie en transition ayant mis en place des programmes et/ou cours de formation annuels en matière de propriété intellectuelle à l’intention de spécialistes de la propriété intellectuelle </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10</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Pourcentage de professionnels formés en matière de propriété intellectuelle et de fonctionnaires des offices de propriété intellectuelle qui utilisent des compétences améliorées dans le cadre de leurs activités professionnelles</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10</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Portefeuille révisé de cours de formation en matière de propriété intellectuelle à l’intention de pays en développement, de PMA et de pays à économie en transition/pertinence du contenu des cours de formation au regard des besoins de renforcement de capacités des pays en développement, des PMA et des pays à économie en transition</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11</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Accès amélioré et multilingue à l’apprentissage en ligne relatif à divers aspects de la propriété intellectuelle à l’intention des pays en développement, des PMA et des pays à économie en transition/pertinence du contenu du portefeuille de cours d’apprentissage en ligne au regard des besoins de renforcement de capacités des pays en développement, des PMA et des pays à économie en transition</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11</w:t>
            </w:r>
          </w:p>
        </w:tc>
        <w:tc>
          <w:tcPr>
            <w:tcW w:w="521" w:type="pct"/>
            <w:shd w:val="clear" w:color="auto" w:fill="FFFFFF"/>
          </w:tcPr>
          <w:p w:rsidR="00E5009E" w:rsidRPr="00C258AD" w:rsidRDefault="00E5009E" w:rsidP="00BB716F">
            <w:pPr>
              <w:jc w:val="center"/>
              <w:rPr>
                <w:rFonts w:cs="Arial"/>
                <w:color w:val="008000"/>
                <w:sz w:val="22"/>
                <w:szCs w:val="22"/>
              </w:rPr>
            </w:pP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Accès amélioré à l’enseignement supérieur en matière de propriété intellectuelle dans les pays en développement, les PMA et les pays à économie en transition/nombre d’universités de pays en développement, de PMA et de pays à économie en transition qui proposent de nouveaux programmes d’enseignement en matière de propriété intellectuelle</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11</w:t>
            </w:r>
          </w:p>
        </w:tc>
        <w:tc>
          <w:tcPr>
            <w:tcW w:w="521" w:type="pct"/>
            <w:shd w:val="clear" w:color="auto" w:fill="FFFFFF"/>
          </w:tcPr>
          <w:p w:rsidR="00E5009E" w:rsidRPr="00C258AD" w:rsidRDefault="00E5009E" w:rsidP="00BB716F">
            <w:pPr>
              <w:jc w:val="center"/>
              <w:rPr>
                <w:rFonts w:cs="Arial"/>
                <w:color w:val="008000"/>
                <w:sz w:val="22"/>
                <w:szCs w:val="22"/>
              </w:rPr>
            </w:pPr>
            <w:r w:rsidRPr="00C258AD">
              <w:rPr>
                <w:rFonts w:cs="Arial"/>
                <w:color w:val="E26B0A"/>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Mise en place progressive d’un réseau d’experts en propriété intellectuelle dans les pays en développement, les PMA et les pays à économie en transition</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11</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Nombre de projets de création de nouvelles académies amorcés après la conclusion de la phase pilote</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11</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Pourcentage de participants formés qui font état de leur satisfaction à l’égard de l’utilité de la formation reçue et de sa pertinence pour leur vie professionnelle</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17</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Pourcentage du public ciblé qui a acquis des connaissances de base concernant un système équilibré de la propriété intellectuelle grâce à des activités de l’OMPI</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17</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Nombre de pays participant au Programme d’attribution de prix de l’OMPI</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17</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Nombre de dispositions prises pour l’hébergement de scientifiques de pays en développement</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18</w:t>
            </w:r>
          </w:p>
        </w:tc>
        <w:tc>
          <w:tcPr>
            <w:tcW w:w="521" w:type="pct"/>
            <w:shd w:val="clear" w:color="auto" w:fill="FFFFFF"/>
          </w:tcPr>
          <w:p w:rsidR="00E5009E" w:rsidRPr="00C258AD" w:rsidRDefault="00E5009E" w:rsidP="00BB716F">
            <w:pPr>
              <w:jc w:val="center"/>
            </w:pPr>
            <w:r w:rsidRPr="00C258AD">
              <w:rPr>
                <w:rFonts w:cs="Arial"/>
                <w:color w:val="FF0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Pourcentage de décideurs, de fonctionnaires gouvernementaux, de spécialistes de la propriété intellectuelle et de participants à des ateliers ciblés ayant une connaissance accrue des organismes de gestion collective du droit d’auteur, et de la manière d’utiliser efficacement la propriété intellectuelle au service du développement</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20</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Pourcentage de professionnels formés en matière de propriété intellectuelle qui utilisent des compétences améliorées dans le cadre de leurs activités professionnelles</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30</w:t>
            </w:r>
          </w:p>
        </w:tc>
        <w:tc>
          <w:tcPr>
            <w:tcW w:w="521" w:type="pct"/>
            <w:shd w:val="clear" w:color="auto" w:fill="FFFFFF"/>
          </w:tcPr>
          <w:p w:rsidR="00E5009E" w:rsidRPr="00C258AD" w:rsidRDefault="00E5009E" w:rsidP="00BB716F">
            <w:pPr>
              <w:jc w:val="center"/>
              <w:rPr>
                <w:rFonts w:cs="Arial"/>
                <w:color w:val="A6A6A6" w:themeColor="background1" w:themeShade="A6"/>
                <w:sz w:val="22"/>
                <w:szCs w:val="22"/>
              </w:rPr>
            </w:pPr>
            <w:r w:rsidRPr="00C258AD">
              <w:rPr>
                <w:rFonts w:cs="Arial"/>
                <w:color w:val="008000"/>
                <w:sz w:val="22"/>
                <w:szCs w:val="22"/>
              </w:rPr>
              <w:sym w:font="Wingdings" w:char="F06C"/>
            </w:r>
          </w:p>
        </w:tc>
      </w:tr>
      <w:tr w:rsidR="00E5009E" w:rsidRPr="00C258AD" w:rsidTr="00BB716F">
        <w:trPr>
          <w:cantSplit/>
        </w:trPr>
        <w:tc>
          <w:tcPr>
            <w:tcW w:w="1477" w:type="pct"/>
            <w:vMerge w:val="restar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III.3  Intégration des recommandations du Plan d’action pour le développement dans les travaux de l’OMPI</w:t>
            </w: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Nombre de recommandations du Plan d’action pour le développement qui ont été mises en œuvre par le CDIP dans des projets, des activités et des études</w:t>
            </w:r>
          </w:p>
          <w:p w:rsidR="00E5009E" w:rsidRPr="00C258AD" w:rsidRDefault="00E5009E" w:rsidP="00BB716F">
            <w:pPr>
              <w:rPr>
                <w:rFonts w:cs="Arial"/>
                <w:sz w:val="16"/>
                <w:szCs w:val="16"/>
              </w:rPr>
            </w:pP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8</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477" w:type="pct"/>
            <w:vMerge/>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 xml:space="preserve">Taux de satisfaction, parmi les États membres, à l’égard des résultats des projets, activités et études </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8</w:t>
            </w:r>
          </w:p>
        </w:tc>
        <w:tc>
          <w:tcPr>
            <w:tcW w:w="521" w:type="pct"/>
            <w:shd w:val="clear" w:color="auto" w:fill="FFFFFF"/>
          </w:tcPr>
          <w:p w:rsidR="00E5009E" w:rsidRPr="00C258AD" w:rsidRDefault="00E5009E" w:rsidP="00BB716F">
            <w:pPr>
              <w:jc w:val="center"/>
              <w:rPr>
                <w:rFonts w:cs="Arial"/>
                <w:color w:val="A6A6A6" w:themeColor="background1" w:themeShade="A6"/>
                <w:sz w:val="22"/>
                <w:szCs w:val="22"/>
              </w:rPr>
            </w:pP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Mise en œuvre du mécanisme de coordination tel qu’approuvé par les États membres</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8</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Nombre de programmes dans lesquels des recommandations du Plan d’action pour le développement sont intégrées dans les travaux ordinaires de l’OMPI</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8</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 xml:space="preserve">Nombre de projets du Plan d’action pour le développement qui </w:t>
            </w:r>
            <w:proofErr w:type="gramStart"/>
            <w:r w:rsidRPr="00C258AD">
              <w:rPr>
                <w:rFonts w:cs="Arial"/>
                <w:sz w:val="16"/>
                <w:szCs w:val="16"/>
              </w:rPr>
              <w:t>ont</w:t>
            </w:r>
            <w:proofErr w:type="gramEnd"/>
            <w:r w:rsidRPr="00C258AD">
              <w:rPr>
                <w:rFonts w:cs="Arial"/>
                <w:sz w:val="16"/>
                <w:szCs w:val="16"/>
              </w:rPr>
              <w:t xml:space="preserve"> été intégrés dans les travaux ordinaires de l’OMPI et manière dont cela a été fait (établissement de normes, assistance technique et prestation de services)</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8</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477" w:type="pct"/>
            <w:vMerge w:val="restar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Système efficace en place pour la planification, le suivi et l’évaluation de la mise en œuvre des recommandations du Plan d’action pour le développement</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8</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477" w:type="pct"/>
            <w:vMerge/>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Pourcentage de projets relevant du Plan d’action pour le développement qui ont fait l’objet d’une évaluation indépendante</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8</w:t>
            </w:r>
          </w:p>
        </w:tc>
        <w:tc>
          <w:tcPr>
            <w:tcW w:w="521" w:type="pct"/>
            <w:shd w:val="clear" w:color="auto" w:fill="FFFFFF"/>
          </w:tcPr>
          <w:p w:rsidR="00E5009E" w:rsidRPr="00C258AD" w:rsidRDefault="00E5009E" w:rsidP="00BB716F">
            <w:pPr>
              <w:jc w:val="center"/>
              <w:rPr>
                <w:rFonts w:cs="Arial"/>
                <w:color w:val="A6A6A6" w:themeColor="background1" w:themeShade="A6"/>
                <w:sz w:val="22"/>
                <w:szCs w:val="22"/>
              </w:rPr>
            </w:pP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keepNext/>
              <w:keepLines/>
              <w:tabs>
                <w:tab w:val="right" w:pos="2835"/>
              </w:tabs>
              <w:spacing w:after="60"/>
              <w:rPr>
                <w:rFonts w:cs="Arial"/>
                <w:sz w:val="16"/>
                <w:szCs w:val="16"/>
              </w:rPr>
            </w:pPr>
            <w:r w:rsidRPr="00C258AD">
              <w:rPr>
                <w:rFonts w:cs="Arial"/>
                <w:sz w:val="15"/>
                <w:szCs w:val="15"/>
              </w:rPr>
              <w:t>III.4  Mécanismes et programmes de coopération renforcés, adaptés aux besoins des pays en développement et des PMA</w:t>
            </w:r>
          </w:p>
        </w:tc>
        <w:tc>
          <w:tcPr>
            <w:tcW w:w="2267" w:type="pct"/>
            <w:shd w:val="clear" w:color="auto" w:fill="auto"/>
            <w:tcMar>
              <w:top w:w="113" w:type="dxa"/>
              <w:bottom w:w="57" w:type="dxa"/>
            </w:tcMar>
          </w:tcPr>
          <w:p w:rsidR="00E5009E" w:rsidRPr="00C258AD" w:rsidRDefault="00E5009E" w:rsidP="00BB716F">
            <w:pPr>
              <w:keepNext/>
              <w:keepLines/>
              <w:rPr>
                <w:rFonts w:cs="Arial"/>
                <w:sz w:val="16"/>
                <w:szCs w:val="16"/>
              </w:rPr>
            </w:pPr>
            <w:r w:rsidRPr="00C258AD">
              <w:rPr>
                <w:rFonts w:cs="Arial"/>
                <w:sz w:val="16"/>
                <w:szCs w:val="16"/>
              </w:rPr>
              <w:t>Nombre de mécanismes et programmes de coopération, et de partenariats nouveaux ou renforcés ayant bénéficié d’une aide en vue de la promotion ou du renforcement de la coopération régionale ou infrarégionale en matière de propriété intellectuelle</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9</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FF0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keepNext/>
              <w:keepLines/>
              <w:rPr>
                <w:rFonts w:cs="Arial"/>
                <w:sz w:val="16"/>
                <w:szCs w:val="16"/>
              </w:rPr>
            </w:pPr>
            <w:r w:rsidRPr="00C258AD">
              <w:rPr>
                <w:rFonts w:cs="Arial"/>
                <w:sz w:val="16"/>
                <w:szCs w:val="16"/>
              </w:rPr>
              <w:t>Nombre de partenariats établis où la partie dispensant l’assistance est originaire d’un pays développé</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10</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r w:rsidRPr="00C258AD">
              <w:rPr>
                <w:rFonts w:cs="Arial"/>
                <w:color w:val="FF0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keepNext/>
              <w:keepLines/>
              <w:rPr>
                <w:rFonts w:cs="Arial"/>
                <w:sz w:val="16"/>
                <w:szCs w:val="16"/>
              </w:rPr>
            </w:pPr>
            <w:r w:rsidRPr="00C258AD">
              <w:rPr>
                <w:rFonts w:cs="Arial"/>
                <w:sz w:val="16"/>
                <w:szCs w:val="16"/>
              </w:rPr>
              <w:t>III.5 Meilleure connaissance du Plan d’action pour le développement de la part des États membres, des organisations intergouvernementales, de la société civile et d’autres parties prenantes</w:t>
            </w:r>
          </w:p>
        </w:tc>
        <w:tc>
          <w:tcPr>
            <w:tcW w:w="2267" w:type="pct"/>
            <w:shd w:val="clear" w:color="auto" w:fill="auto"/>
            <w:tcMar>
              <w:top w:w="113" w:type="dxa"/>
              <w:bottom w:w="57" w:type="dxa"/>
            </w:tcMar>
          </w:tcPr>
          <w:p w:rsidR="00E5009E" w:rsidRPr="00C258AD" w:rsidRDefault="00E5009E" w:rsidP="00BB716F">
            <w:pPr>
              <w:keepNext/>
              <w:keepLines/>
              <w:rPr>
                <w:rFonts w:cs="Arial"/>
                <w:sz w:val="16"/>
                <w:szCs w:val="16"/>
              </w:rPr>
            </w:pPr>
            <w:r w:rsidRPr="00C258AD">
              <w:rPr>
                <w:rFonts w:cs="Arial"/>
                <w:sz w:val="16"/>
                <w:szCs w:val="16"/>
              </w:rPr>
              <w:t>Nombre de pays demandant une assistance technique dans le cadre des projets du Plan d’action pour le développement et manifestant leur intérêt pour des activités en rapport avec le Plan d’action pour le développement</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8</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keepNext/>
              <w:keepLines/>
              <w:rPr>
                <w:rFonts w:cs="Arial"/>
                <w:sz w:val="16"/>
                <w:szCs w:val="16"/>
              </w:rPr>
            </w:pPr>
            <w:r w:rsidRPr="00C258AD">
              <w:rPr>
                <w:rFonts w:cs="Arial"/>
                <w:sz w:val="16"/>
                <w:szCs w:val="16"/>
              </w:rPr>
              <w:t>Pourcentage des participants à des réunions de l’OMPI (États membres, organisations intergouvernementales, société civile et autres parties prenantes) satisfaits des informations reçues sur les recommandations du Plan d’action pour le développement</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8</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477" w:type="pct"/>
            <w:vMerge w:val="restart"/>
            <w:shd w:val="clear" w:color="auto" w:fill="auto"/>
            <w:tcMar>
              <w:top w:w="113" w:type="dxa"/>
              <w:bottom w:w="57" w:type="dxa"/>
            </w:tcMar>
          </w:tcPr>
          <w:p w:rsidR="00E5009E" w:rsidRPr="00C258AD" w:rsidRDefault="00E5009E" w:rsidP="00BB716F">
            <w:pPr>
              <w:rPr>
                <w:rFonts w:cs="Arial"/>
                <w:sz w:val="16"/>
                <w:szCs w:val="16"/>
              </w:rPr>
            </w:pPr>
            <w:r w:rsidRPr="00C258AD">
              <w:rPr>
                <w:rFonts w:cs="Arial"/>
                <w:sz w:val="16"/>
                <w:szCs w:val="16"/>
              </w:rPr>
              <w:t>III.6  Renforcement des capacités des PME s’agissant de mettre la propriété intellectuelle au service de l’innovation</w:t>
            </w:r>
          </w:p>
        </w:tc>
        <w:tc>
          <w:tcPr>
            <w:tcW w:w="2267" w:type="pct"/>
            <w:vMerge w:val="restart"/>
            <w:shd w:val="clear" w:color="auto" w:fill="auto"/>
            <w:tcMar>
              <w:top w:w="113" w:type="dxa"/>
              <w:bottom w:w="57" w:type="dxa"/>
            </w:tcMar>
          </w:tcPr>
          <w:p w:rsidR="00E5009E" w:rsidRPr="00C258AD" w:rsidRDefault="00E5009E" w:rsidP="00BB716F">
            <w:pPr>
              <w:rPr>
                <w:rFonts w:cs="Arial"/>
                <w:sz w:val="16"/>
                <w:szCs w:val="16"/>
                <w:lang w:bidi="th-TH"/>
              </w:rPr>
            </w:pPr>
            <w:r w:rsidRPr="00C258AD">
              <w:rPr>
                <w:rFonts w:cs="Arial"/>
                <w:sz w:val="16"/>
                <w:szCs w:val="16"/>
                <w:lang w:bidi="th-TH"/>
              </w:rPr>
              <w:t>Pourcentage des participants à des programmes de formation visant les institutions d’appui aux PME qui se sont dits satisfaits du contenu et de l’organisation de ces événements</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10</w:t>
            </w:r>
          </w:p>
        </w:tc>
        <w:tc>
          <w:tcPr>
            <w:tcW w:w="521" w:type="pct"/>
            <w:shd w:val="clear" w:color="auto" w:fill="FFFFFF"/>
          </w:tcPr>
          <w:p w:rsidR="00E5009E" w:rsidRPr="00C258AD" w:rsidRDefault="00E5009E" w:rsidP="00BB716F">
            <w:pPr>
              <w:jc w:val="center"/>
              <w:rPr>
                <w:rFonts w:cs="Arial"/>
                <w:color w:val="A6A6A6" w:themeColor="background1" w:themeShade="A6"/>
                <w:sz w:val="22"/>
                <w:szCs w:val="22"/>
              </w:rPr>
            </w:pPr>
            <w:r w:rsidRPr="00C258AD">
              <w:rPr>
                <w:rFonts w:cs="Arial"/>
                <w:color w:val="008000"/>
                <w:sz w:val="22"/>
                <w:szCs w:val="22"/>
              </w:rPr>
              <w:sym w:font="Wingdings" w:char="F06C"/>
            </w:r>
          </w:p>
        </w:tc>
      </w:tr>
      <w:tr w:rsidR="00E5009E" w:rsidRPr="00C258AD" w:rsidTr="00BB716F">
        <w:trPr>
          <w:cantSplit/>
        </w:trPr>
        <w:tc>
          <w:tcPr>
            <w:tcW w:w="1477" w:type="pct"/>
            <w:vMerge/>
            <w:shd w:val="clear" w:color="auto" w:fill="auto"/>
            <w:tcMar>
              <w:top w:w="113" w:type="dxa"/>
              <w:bottom w:w="57" w:type="dxa"/>
            </w:tcMar>
          </w:tcPr>
          <w:p w:rsidR="00E5009E" w:rsidRPr="00C258AD" w:rsidRDefault="00E5009E" w:rsidP="00BB716F">
            <w:pPr>
              <w:rPr>
                <w:rFonts w:cs="Arial"/>
                <w:sz w:val="16"/>
                <w:szCs w:val="16"/>
              </w:rPr>
            </w:pPr>
          </w:p>
        </w:tc>
        <w:tc>
          <w:tcPr>
            <w:tcW w:w="2267" w:type="pct"/>
            <w:vMerge/>
            <w:shd w:val="clear" w:color="auto" w:fill="auto"/>
            <w:tcMar>
              <w:top w:w="113" w:type="dxa"/>
              <w:bottom w:w="57" w:type="dxa"/>
            </w:tcMar>
          </w:tcPr>
          <w:p w:rsidR="00E5009E" w:rsidRPr="00C258AD" w:rsidRDefault="00E5009E" w:rsidP="00BB716F">
            <w:pPr>
              <w:rPr>
                <w:rFonts w:cs="Arial"/>
                <w:sz w:val="16"/>
                <w:szCs w:val="16"/>
              </w:rPr>
            </w:pP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30</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477" w:type="pct"/>
            <w:vMerge w:val="restart"/>
            <w:shd w:val="clear" w:color="auto" w:fill="auto"/>
            <w:tcMar>
              <w:top w:w="113" w:type="dxa"/>
              <w:bottom w:w="57" w:type="dxa"/>
            </w:tcMar>
          </w:tcPr>
          <w:p w:rsidR="00E5009E" w:rsidRPr="00C258AD" w:rsidRDefault="00E5009E" w:rsidP="00BB716F">
            <w:pPr>
              <w:keepNext/>
              <w:keepLines/>
              <w:rPr>
                <w:rFonts w:cs="Arial"/>
                <w:sz w:val="16"/>
                <w:szCs w:val="16"/>
              </w:rPr>
            </w:pPr>
          </w:p>
        </w:tc>
        <w:tc>
          <w:tcPr>
            <w:tcW w:w="2267" w:type="pct"/>
            <w:vMerge w:val="restart"/>
            <w:shd w:val="clear" w:color="auto" w:fill="auto"/>
            <w:tcMar>
              <w:top w:w="113" w:type="dxa"/>
              <w:bottom w:w="57" w:type="dxa"/>
            </w:tcMar>
          </w:tcPr>
          <w:p w:rsidR="00E5009E" w:rsidRPr="00C258AD" w:rsidRDefault="00E5009E" w:rsidP="00BB716F">
            <w:pPr>
              <w:keepNext/>
              <w:keepLines/>
              <w:rPr>
                <w:rFonts w:cs="Arial"/>
                <w:sz w:val="16"/>
                <w:szCs w:val="16"/>
              </w:rPr>
            </w:pPr>
            <w:r w:rsidRPr="00C258AD">
              <w:rPr>
                <w:rFonts w:cs="Arial"/>
                <w:sz w:val="16"/>
                <w:szCs w:val="16"/>
              </w:rPr>
              <w:t xml:space="preserve">Pourcentage d’institutions d’appui aux PME ayant obtenu une formation qui </w:t>
            </w:r>
            <w:proofErr w:type="gramStart"/>
            <w:r w:rsidRPr="00C258AD">
              <w:rPr>
                <w:rFonts w:cs="Arial"/>
                <w:sz w:val="16"/>
                <w:szCs w:val="16"/>
              </w:rPr>
              <w:t>fournissent</w:t>
            </w:r>
            <w:proofErr w:type="gramEnd"/>
            <w:r w:rsidRPr="00C258AD">
              <w:rPr>
                <w:rFonts w:cs="Arial"/>
                <w:sz w:val="16"/>
                <w:szCs w:val="16"/>
              </w:rPr>
              <w:t xml:space="preserve"> des informations sur la propriété intellectuelle et des services d’appui, d’orientation et de consultation sur la gestion des actifs de propriété intellectuelle</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10</w:t>
            </w:r>
          </w:p>
        </w:tc>
        <w:tc>
          <w:tcPr>
            <w:tcW w:w="521" w:type="pct"/>
            <w:shd w:val="clear" w:color="auto" w:fill="FFFFFF"/>
          </w:tcPr>
          <w:p w:rsidR="00E5009E" w:rsidRPr="00C258AD" w:rsidRDefault="00E5009E" w:rsidP="00BB716F">
            <w:pPr>
              <w:keepNext/>
              <w:keepLines/>
              <w:jc w:val="center"/>
              <w:rPr>
                <w:rFonts w:cs="Arial"/>
                <w:color w:val="A6A6A6" w:themeColor="background1" w:themeShade="A6"/>
                <w:sz w:val="22"/>
                <w:szCs w:val="22"/>
              </w:rPr>
            </w:pPr>
            <w:r w:rsidRPr="00C258AD">
              <w:rPr>
                <w:rFonts w:cs="Arial"/>
                <w:color w:val="008000"/>
                <w:sz w:val="22"/>
                <w:szCs w:val="22"/>
              </w:rPr>
              <w:sym w:font="Wingdings" w:char="F06C"/>
            </w:r>
          </w:p>
        </w:tc>
      </w:tr>
      <w:tr w:rsidR="00E5009E" w:rsidRPr="00C258AD" w:rsidTr="00BB716F">
        <w:trPr>
          <w:cantSplit/>
        </w:trPr>
        <w:tc>
          <w:tcPr>
            <w:tcW w:w="1477" w:type="pct"/>
            <w:vMerge/>
            <w:shd w:val="clear" w:color="auto" w:fill="auto"/>
            <w:tcMar>
              <w:top w:w="113" w:type="dxa"/>
              <w:bottom w:w="57" w:type="dxa"/>
            </w:tcMar>
          </w:tcPr>
          <w:p w:rsidR="00E5009E" w:rsidRPr="00C258AD" w:rsidRDefault="00E5009E" w:rsidP="00BB716F">
            <w:pPr>
              <w:keepNext/>
              <w:keepLines/>
              <w:rPr>
                <w:rFonts w:cs="Arial"/>
                <w:sz w:val="16"/>
                <w:szCs w:val="16"/>
              </w:rPr>
            </w:pPr>
          </w:p>
        </w:tc>
        <w:tc>
          <w:tcPr>
            <w:tcW w:w="2267" w:type="pct"/>
            <w:vMerge/>
            <w:shd w:val="clear" w:color="auto" w:fill="auto"/>
            <w:tcMar>
              <w:top w:w="113" w:type="dxa"/>
              <w:bottom w:w="57" w:type="dxa"/>
            </w:tcMar>
          </w:tcPr>
          <w:p w:rsidR="00E5009E" w:rsidRPr="00C258AD" w:rsidRDefault="00E5009E" w:rsidP="00BB716F">
            <w:pPr>
              <w:keepNext/>
              <w:keepLines/>
              <w:rPr>
                <w:rFonts w:cs="Arial"/>
                <w:sz w:val="16"/>
                <w:szCs w:val="16"/>
                <w:lang w:bidi="th-TH"/>
              </w:rPr>
            </w:pP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30</w:t>
            </w:r>
          </w:p>
        </w:tc>
        <w:tc>
          <w:tcPr>
            <w:tcW w:w="521" w:type="pct"/>
            <w:shd w:val="clear" w:color="auto" w:fill="FFFFFF"/>
          </w:tcPr>
          <w:p w:rsidR="00E5009E" w:rsidRPr="00C258AD" w:rsidRDefault="00E5009E" w:rsidP="00BB716F">
            <w:pPr>
              <w:jc w:val="center"/>
            </w:pPr>
            <w:r w:rsidRPr="00C258AD">
              <w:rPr>
                <w:rFonts w:cs="Arial"/>
                <w:color w:val="008000"/>
                <w:sz w:val="22"/>
                <w:szCs w:val="22"/>
              </w:rPr>
              <w:sym w:font="Wingdings" w:char="F06C"/>
            </w:r>
          </w:p>
        </w:tc>
      </w:tr>
      <w:tr w:rsidR="00E5009E" w:rsidRPr="00C258AD" w:rsidTr="00BB716F">
        <w:trPr>
          <w:cantSplit/>
        </w:trPr>
        <w:tc>
          <w:tcPr>
            <w:tcW w:w="1477" w:type="pct"/>
            <w:vMerge w:val="restart"/>
            <w:shd w:val="clear" w:color="auto" w:fill="auto"/>
            <w:tcMar>
              <w:top w:w="113" w:type="dxa"/>
              <w:bottom w:w="57" w:type="dxa"/>
            </w:tcMar>
          </w:tcPr>
          <w:p w:rsidR="00E5009E" w:rsidRPr="00C258AD" w:rsidRDefault="00E5009E" w:rsidP="00BB716F">
            <w:pPr>
              <w:keepNext/>
              <w:keepLines/>
              <w:rPr>
                <w:rFonts w:cs="Arial"/>
                <w:sz w:val="16"/>
                <w:szCs w:val="16"/>
              </w:rPr>
            </w:pPr>
          </w:p>
        </w:tc>
        <w:tc>
          <w:tcPr>
            <w:tcW w:w="2267" w:type="pct"/>
            <w:vMerge w:val="restart"/>
            <w:shd w:val="clear" w:color="auto" w:fill="auto"/>
            <w:tcMar>
              <w:top w:w="113" w:type="dxa"/>
              <w:bottom w:w="57" w:type="dxa"/>
            </w:tcMar>
          </w:tcPr>
          <w:p w:rsidR="00E5009E" w:rsidRPr="00C258AD" w:rsidRDefault="00E5009E" w:rsidP="00BB716F">
            <w:pPr>
              <w:keepNext/>
              <w:keepLines/>
              <w:rPr>
                <w:rFonts w:cs="Arial"/>
                <w:sz w:val="16"/>
                <w:szCs w:val="16"/>
              </w:rPr>
            </w:pPr>
            <w:r w:rsidRPr="00C258AD">
              <w:rPr>
                <w:rFonts w:cs="Arial"/>
                <w:sz w:val="16"/>
                <w:szCs w:val="16"/>
              </w:rPr>
              <w:t>Nombre de pays ayant établi des programmes de formation en matière de propriété intellectuelle à l’intention des PME</w:t>
            </w:r>
          </w:p>
        </w:tc>
        <w:tc>
          <w:tcPr>
            <w:tcW w:w="735" w:type="pct"/>
            <w:shd w:val="clear" w:color="auto" w:fill="FFFFFF"/>
            <w:tcMar>
              <w:top w:w="113" w:type="dxa"/>
              <w:bottom w:w="57" w:type="dxa"/>
            </w:tcMar>
          </w:tcPr>
          <w:p w:rsidR="00E5009E" w:rsidRPr="00C258AD" w:rsidRDefault="00E5009E" w:rsidP="00BB716F">
            <w:pPr>
              <w:keepNext/>
              <w:keepLines/>
              <w:jc w:val="center"/>
              <w:rPr>
                <w:rFonts w:cs="Arial"/>
                <w:sz w:val="16"/>
                <w:szCs w:val="16"/>
                <w:lang w:bidi="th-TH"/>
              </w:rPr>
            </w:pPr>
            <w:r w:rsidRPr="00C258AD">
              <w:rPr>
                <w:rFonts w:cs="Arial"/>
                <w:sz w:val="16"/>
                <w:szCs w:val="16"/>
                <w:lang w:bidi="th-TH"/>
              </w:rPr>
              <w:t>Programme 10</w:t>
            </w:r>
          </w:p>
        </w:tc>
        <w:tc>
          <w:tcPr>
            <w:tcW w:w="521" w:type="pct"/>
            <w:shd w:val="clear" w:color="auto" w:fill="FFFFFF"/>
          </w:tcPr>
          <w:p w:rsidR="00E5009E" w:rsidRPr="00C258AD" w:rsidRDefault="00E5009E" w:rsidP="00BB716F">
            <w:pPr>
              <w:jc w:val="center"/>
              <w:rPr>
                <w:rFonts w:cs="Arial"/>
                <w:color w:val="A6A6A6" w:themeColor="background1" w:themeShade="A6"/>
                <w:sz w:val="22"/>
                <w:szCs w:val="22"/>
              </w:rPr>
            </w:pPr>
            <w:r w:rsidRPr="00C258AD">
              <w:rPr>
                <w:rFonts w:cs="Arial"/>
                <w:color w:val="A6A6A6" w:themeColor="background1" w:themeShade="A6"/>
                <w:sz w:val="22"/>
                <w:szCs w:val="22"/>
              </w:rPr>
              <w:sym w:font="Wingdings" w:char="F06C"/>
            </w:r>
          </w:p>
        </w:tc>
      </w:tr>
      <w:tr w:rsidR="00E5009E" w:rsidRPr="00C258AD" w:rsidTr="00BB716F">
        <w:trPr>
          <w:cantSplit/>
        </w:trPr>
        <w:tc>
          <w:tcPr>
            <w:tcW w:w="1477" w:type="pct"/>
            <w:vMerge/>
            <w:shd w:val="clear" w:color="auto" w:fill="auto"/>
            <w:tcMar>
              <w:top w:w="113" w:type="dxa"/>
              <w:bottom w:w="57" w:type="dxa"/>
            </w:tcMar>
          </w:tcPr>
          <w:p w:rsidR="00E5009E" w:rsidRPr="00C258AD" w:rsidRDefault="00E5009E" w:rsidP="00BB716F">
            <w:pPr>
              <w:keepNext/>
              <w:keepLines/>
              <w:rPr>
                <w:rFonts w:cs="Arial"/>
                <w:sz w:val="16"/>
                <w:szCs w:val="16"/>
              </w:rPr>
            </w:pPr>
          </w:p>
        </w:tc>
        <w:tc>
          <w:tcPr>
            <w:tcW w:w="2267" w:type="pct"/>
            <w:vMerge/>
            <w:shd w:val="clear" w:color="auto" w:fill="auto"/>
            <w:tcMar>
              <w:top w:w="113" w:type="dxa"/>
              <w:bottom w:w="57" w:type="dxa"/>
            </w:tcMar>
          </w:tcPr>
          <w:p w:rsidR="00E5009E" w:rsidRPr="00C258AD" w:rsidRDefault="00E5009E" w:rsidP="00BB716F">
            <w:pPr>
              <w:keepNext/>
              <w:keepLines/>
              <w:rPr>
                <w:rFonts w:cs="Arial"/>
                <w:sz w:val="16"/>
                <w:szCs w:val="16"/>
              </w:rPr>
            </w:pP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30</w:t>
            </w:r>
          </w:p>
        </w:tc>
        <w:tc>
          <w:tcPr>
            <w:tcW w:w="521" w:type="pct"/>
            <w:shd w:val="clear" w:color="auto" w:fill="FFFFFF"/>
          </w:tcPr>
          <w:p w:rsidR="00E5009E" w:rsidRPr="00C258AD" w:rsidRDefault="00E5009E" w:rsidP="00BB716F">
            <w:pPr>
              <w:jc w:val="center"/>
            </w:pPr>
            <w:r w:rsidRPr="00C258AD">
              <w:rPr>
                <w:rFonts w:cs="Arial"/>
                <w:color w:val="A6A6A6" w:themeColor="background1" w:themeShade="A6"/>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keepNext/>
              <w:keepLines/>
              <w:rPr>
                <w:rFonts w:cs="Arial"/>
                <w:sz w:val="16"/>
                <w:szCs w:val="16"/>
              </w:rPr>
            </w:pPr>
          </w:p>
        </w:tc>
        <w:tc>
          <w:tcPr>
            <w:tcW w:w="2267" w:type="pct"/>
            <w:shd w:val="clear" w:color="auto" w:fill="auto"/>
            <w:tcMar>
              <w:top w:w="113" w:type="dxa"/>
              <w:bottom w:w="57" w:type="dxa"/>
            </w:tcMar>
          </w:tcPr>
          <w:p w:rsidR="00E5009E" w:rsidRPr="00C258AD" w:rsidRDefault="00E5009E" w:rsidP="00BB716F">
            <w:pPr>
              <w:keepNext/>
              <w:keepLines/>
              <w:rPr>
                <w:rFonts w:cs="Arial"/>
                <w:sz w:val="16"/>
                <w:szCs w:val="16"/>
              </w:rPr>
            </w:pPr>
            <w:r w:rsidRPr="00C258AD">
              <w:rPr>
                <w:rFonts w:cs="Arial"/>
                <w:sz w:val="16"/>
                <w:szCs w:val="16"/>
              </w:rPr>
              <w:t>Nombre d’abonnements au bulletin des PME</w:t>
            </w:r>
          </w:p>
        </w:tc>
        <w:tc>
          <w:tcPr>
            <w:tcW w:w="735" w:type="pct"/>
            <w:shd w:val="clear" w:color="auto" w:fill="FFFFFF"/>
            <w:tcMar>
              <w:top w:w="113" w:type="dxa"/>
              <w:bottom w:w="57" w:type="dxa"/>
            </w:tcMar>
          </w:tcPr>
          <w:p w:rsidR="00E5009E" w:rsidRPr="00C258AD" w:rsidRDefault="00E5009E" w:rsidP="00BB716F">
            <w:pPr>
              <w:keepNext/>
              <w:keepLines/>
              <w:jc w:val="center"/>
              <w:rPr>
                <w:rFonts w:cs="Arial"/>
                <w:sz w:val="16"/>
                <w:szCs w:val="16"/>
                <w:lang w:bidi="th-TH"/>
              </w:rPr>
            </w:pPr>
            <w:r w:rsidRPr="00C258AD">
              <w:rPr>
                <w:rFonts w:cs="Arial"/>
                <w:sz w:val="16"/>
                <w:szCs w:val="16"/>
                <w:lang w:bidi="th-TH"/>
              </w:rPr>
              <w:t>Programme 30</w:t>
            </w:r>
          </w:p>
        </w:tc>
        <w:tc>
          <w:tcPr>
            <w:tcW w:w="521" w:type="pct"/>
            <w:shd w:val="clear" w:color="auto" w:fill="FFFFFF"/>
          </w:tcPr>
          <w:p w:rsidR="00E5009E" w:rsidRPr="00C258AD" w:rsidRDefault="00E5009E" w:rsidP="00BB716F">
            <w:pPr>
              <w:jc w:val="center"/>
            </w:pPr>
            <w:r w:rsidRPr="00C258AD">
              <w:rPr>
                <w:rFonts w:cs="Arial"/>
                <w:color w:val="A6A6A6" w:themeColor="background1" w:themeShade="A6"/>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keepNext/>
              <w:keepLines/>
              <w:rPr>
                <w:rFonts w:cs="Arial"/>
                <w:sz w:val="16"/>
                <w:szCs w:val="16"/>
              </w:rPr>
            </w:pPr>
            <w:r w:rsidRPr="00C258AD">
              <w:rPr>
                <w:rFonts w:cs="Arial"/>
                <w:sz w:val="16"/>
                <w:szCs w:val="16"/>
                <w:lang w:bidi="th-TH"/>
              </w:rPr>
              <w:t xml:space="preserve">Nombre de téléchargements de supports et directives concernant les PME </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30</w:t>
            </w:r>
          </w:p>
        </w:tc>
        <w:tc>
          <w:tcPr>
            <w:tcW w:w="521" w:type="pct"/>
            <w:shd w:val="clear" w:color="auto" w:fill="FFFFFF"/>
          </w:tcPr>
          <w:p w:rsidR="00E5009E" w:rsidRPr="00C258AD" w:rsidRDefault="00E5009E" w:rsidP="00BB716F">
            <w:pPr>
              <w:jc w:val="center"/>
            </w:pPr>
            <w:r w:rsidRPr="00C258AD">
              <w:rPr>
                <w:rFonts w:cs="Arial"/>
                <w:color w:val="A6A6A6" w:themeColor="background1" w:themeShade="A6"/>
                <w:sz w:val="22"/>
                <w:szCs w:val="22"/>
              </w:rPr>
              <w:sym w:font="Wingdings" w:char="F06C"/>
            </w:r>
          </w:p>
        </w:tc>
      </w:tr>
      <w:tr w:rsidR="00E5009E" w:rsidRPr="00C258AD" w:rsidTr="00BB716F">
        <w:trPr>
          <w:cantSplit/>
        </w:trPr>
        <w:tc>
          <w:tcPr>
            <w:tcW w:w="1477" w:type="pct"/>
            <w:shd w:val="clear" w:color="auto" w:fill="auto"/>
            <w:tcMar>
              <w:top w:w="113" w:type="dxa"/>
              <w:bottom w:w="57" w:type="dxa"/>
            </w:tcMar>
          </w:tcPr>
          <w:p w:rsidR="00E5009E" w:rsidRPr="00C258AD" w:rsidRDefault="00E5009E" w:rsidP="00BB716F">
            <w:pPr>
              <w:rPr>
                <w:rFonts w:cs="Arial"/>
                <w:sz w:val="16"/>
                <w:szCs w:val="16"/>
              </w:rPr>
            </w:pPr>
          </w:p>
        </w:tc>
        <w:tc>
          <w:tcPr>
            <w:tcW w:w="2267" w:type="pct"/>
            <w:shd w:val="clear" w:color="auto" w:fill="auto"/>
            <w:tcMar>
              <w:top w:w="113" w:type="dxa"/>
              <w:bottom w:w="57" w:type="dxa"/>
            </w:tcMar>
          </w:tcPr>
          <w:p w:rsidR="00E5009E" w:rsidRPr="00C258AD" w:rsidRDefault="00E5009E" w:rsidP="00BB716F">
            <w:pPr>
              <w:keepNext/>
              <w:keepLines/>
              <w:rPr>
                <w:rFonts w:cs="Arial"/>
                <w:sz w:val="16"/>
                <w:szCs w:val="16"/>
                <w:lang w:bidi="th-TH"/>
              </w:rPr>
            </w:pPr>
            <w:r w:rsidRPr="00C258AD">
              <w:rPr>
                <w:rFonts w:cs="Arial"/>
                <w:sz w:val="16"/>
                <w:szCs w:val="16"/>
              </w:rPr>
              <w:t xml:space="preserve">Nombre d’études de cas relatives aux PME consultées au moyen de la base de données IP </w:t>
            </w:r>
            <w:proofErr w:type="spellStart"/>
            <w:r w:rsidRPr="00C258AD">
              <w:rPr>
                <w:rFonts w:cs="Arial"/>
                <w:sz w:val="16"/>
                <w:szCs w:val="16"/>
              </w:rPr>
              <w:t>Advantage</w:t>
            </w:r>
            <w:proofErr w:type="spellEnd"/>
            <w:r w:rsidRPr="00C258AD">
              <w:rPr>
                <w:rFonts w:cs="Arial"/>
                <w:sz w:val="16"/>
                <w:szCs w:val="16"/>
              </w:rPr>
              <w:t xml:space="preserve"> ou d’une autre base de données pertinente</w:t>
            </w:r>
          </w:p>
        </w:tc>
        <w:tc>
          <w:tcPr>
            <w:tcW w:w="735" w:type="pct"/>
            <w:shd w:val="clear" w:color="auto" w:fill="FFFFFF"/>
            <w:tcMar>
              <w:top w:w="113" w:type="dxa"/>
              <w:bottom w:w="57" w:type="dxa"/>
            </w:tcMar>
          </w:tcPr>
          <w:p w:rsidR="00E5009E" w:rsidRPr="00C258AD" w:rsidRDefault="00E5009E" w:rsidP="00BB716F">
            <w:pPr>
              <w:jc w:val="center"/>
              <w:rPr>
                <w:rFonts w:cs="Arial"/>
                <w:sz w:val="16"/>
                <w:szCs w:val="16"/>
                <w:lang w:bidi="th-TH"/>
              </w:rPr>
            </w:pPr>
            <w:r w:rsidRPr="00C258AD">
              <w:rPr>
                <w:rFonts w:cs="Arial"/>
                <w:sz w:val="16"/>
                <w:szCs w:val="16"/>
                <w:lang w:bidi="th-TH"/>
              </w:rPr>
              <w:t>Programme 30</w:t>
            </w:r>
          </w:p>
        </w:tc>
        <w:tc>
          <w:tcPr>
            <w:tcW w:w="521" w:type="pct"/>
            <w:shd w:val="clear" w:color="auto" w:fill="FFFFFF"/>
          </w:tcPr>
          <w:p w:rsidR="00E5009E" w:rsidRPr="00C258AD" w:rsidRDefault="00E5009E" w:rsidP="00BB716F">
            <w:pPr>
              <w:jc w:val="center"/>
            </w:pPr>
            <w:r w:rsidRPr="00C258AD">
              <w:rPr>
                <w:rFonts w:cs="Arial"/>
                <w:color w:val="A6A6A6" w:themeColor="background1" w:themeShade="A6"/>
                <w:sz w:val="22"/>
                <w:szCs w:val="22"/>
              </w:rPr>
              <w:sym w:font="Wingdings" w:char="F06C"/>
            </w:r>
          </w:p>
        </w:tc>
      </w:tr>
    </w:tbl>
    <w:p w:rsidR="006E2BB1" w:rsidRPr="00C258AD" w:rsidRDefault="00141952" w:rsidP="00141952">
      <w:r w:rsidRPr="00C258AD">
        <w:br w:type="page"/>
      </w:r>
    </w:p>
    <w:p w:rsidR="006E2BB1" w:rsidRPr="00C258AD" w:rsidRDefault="00BB4DBC" w:rsidP="00305CE5">
      <w:pPr>
        <w:pStyle w:val="Heading3"/>
      </w:pPr>
      <w:bookmarkStart w:id="93" w:name="_Toc455394187"/>
      <w:r w:rsidRPr="00C258AD">
        <w:lastRenderedPageBreak/>
        <w:t>Programme 8 ‏</w:t>
      </w:r>
      <w:r w:rsidRPr="00C258AD">
        <w:tab/>
        <w:t>‎Coordination du Plan d‏’‎action pour le développement</w:t>
      </w:r>
      <w:bookmarkEnd w:id="90"/>
      <w:bookmarkEnd w:id="91"/>
      <w:bookmarkEnd w:id="93"/>
    </w:p>
    <w:p w:rsidR="006E2BB1" w:rsidRPr="00C258AD" w:rsidRDefault="006E2BB1" w:rsidP="001A4D6C"/>
    <w:p w:rsidR="006E2BB1" w:rsidRPr="00C258AD" w:rsidRDefault="00BB4DBC" w:rsidP="001A4D6C">
      <w:pPr>
        <w:rPr>
          <w:b/>
        </w:rPr>
      </w:pPr>
      <w:r w:rsidRPr="00C258AD">
        <w:rPr>
          <w:b/>
        </w:rPr>
        <w:t>Chef de programme</w:t>
      </w:r>
      <w:r w:rsidRPr="00C258AD">
        <w:rPr>
          <w:b/>
        </w:rPr>
        <w:tab/>
        <w:t>M. M. Matus</w:t>
      </w:r>
    </w:p>
    <w:p w:rsidR="006E2BB1" w:rsidRPr="00C258AD" w:rsidRDefault="006E2BB1" w:rsidP="001A4D6C"/>
    <w:p w:rsidR="006E2BB1" w:rsidRPr="00C258AD" w:rsidRDefault="006E2BB1" w:rsidP="001A4D6C"/>
    <w:p w:rsidR="006E2BB1" w:rsidRPr="00C258AD" w:rsidRDefault="00BB4DBC" w:rsidP="00305CE5">
      <w:pPr>
        <w:keepNext/>
        <w:rPr>
          <w:rFonts w:cs="Arial"/>
          <w:caps/>
          <w:sz w:val="22"/>
          <w:szCs w:val="22"/>
        </w:rPr>
      </w:pPr>
      <w:r w:rsidRPr="00C258AD">
        <w:rPr>
          <w:rFonts w:cs="Arial"/>
          <w:caps/>
          <w:sz w:val="22"/>
          <w:szCs w:val="22"/>
        </w:rPr>
        <w:t>Réalisations au cours de l’exercice biennal 2014</w:t>
      </w:r>
      <w:r w:rsidRPr="00C258AD">
        <w:rPr>
          <w:rFonts w:cs="Arial"/>
          <w:caps/>
          <w:sz w:val="22"/>
          <w:szCs w:val="22"/>
        </w:rPr>
        <w:noBreakHyphen/>
        <w:t>2015</w:t>
      </w:r>
    </w:p>
    <w:p w:rsidR="006E2BB1" w:rsidRPr="00C258AD" w:rsidRDefault="006E2BB1" w:rsidP="001A4D6C">
      <w:pPr>
        <w:jc w:val="both"/>
        <w:rPr>
          <w:sz w:val="22"/>
        </w:rPr>
      </w:pPr>
    </w:p>
    <w:p w:rsidR="006E2BB1" w:rsidRPr="00C258AD" w:rsidRDefault="00BB4DBC" w:rsidP="00BB4DBC">
      <w:pPr>
        <w:pStyle w:val="ListParagraph"/>
        <w:numPr>
          <w:ilvl w:val="0"/>
          <w:numId w:val="44"/>
        </w:numPr>
        <w:tabs>
          <w:tab w:val="left" w:pos="709"/>
        </w:tabs>
        <w:ind w:left="0" w:firstLine="0"/>
        <w:jc w:val="both"/>
      </w:pPr>
      <w:r w:rsidRPr="00C258AD">
        <w:t>Au cours de l’exercice biennal 2014</w:t>
      </w:r>
      <w:r w:rsidRPr="00C258AD">
        <w:noBreakHyphen/>
        <w:t xml:space="preserve">2015, l’équipe chargée du programme a continué de coordonner la mise en œuvre du Plan d’action pour le développement de l’OMPI, en facilitant les travaux du Comité du développement et de la propriété intellectuelle (CDIP) à ses treizième et quatorzième sessions tenues en 2014 et à ses </w:t>
      </w:r>
      <w:r w:rsidRPr="00C258AD">
        <w:rPr>
          <w:rFonts w:eastAsia="Calibri"/>
        </w:rPr>
        <w:t>quinzième et seizième sessions tenues en 2015</w:t>
      </w:r>
      <w:r w:rsidRPr="00C258AD">
        <w:t>;  la mise en œuvre par projet des recommandations du Plan d’action pour le développement;  une intégration des principes du Plan d’action pour le développement dans les activités de l’Organisation;  et plusieurs activités visant à aider les États membres à tirer parti de la mise en œuvre du Plan d’action pour le développement.</w:t>
      </w:r>
    </w:p>
    <w:p w:rsidR="006E2BB1" w:rsidRPr="00C258AD" w:rsidRDefault="006E2BB1" w:rsidP="001A4D6C">
      <w:pPr>
        <w:tabs>
          <w:tab w:val="left" w:pos="709"/>
        </w:tabs>
        <w:jc w:val="both"/>
      </w:pPr>
    </w:p>
    <w:p w:rsidR="006E2BB1" w:rsidRPr="00C258AD" w:rsidRDefault="00BB4DBC" w:rsidP="00BB4DBC">
      <w:pPr>
        <w:pStyle w:val="ListParagraph"/>
        <w:numPr>
          <w:ilvl w:val="0"/>
          <w:numId w:val="44"/>
        </w:numPr>
        <w:tabs>
          <w:tab w:val="left" w:pos="709"/>
        </w:tabs>
        <w:ind w:left="0" w:firstLine="0"/>
        <w:jc w:val="both"/>
      </w:pPr>
      <w:r w:rsidRPr="00C258AD">
        <w:t>En 2014</w:t>
      </w:r>
      <w:r w:rsidRPr="00C258AD">
        <w:noBreakHyphen/>
        <w:t>2015, le CDIP a examiné : i) deux rapports annuels du Directeur général sur la mise en œuvre du Plan d’action pour le développement;  ii) deux rapports sur l’état d’avancement de la mise en œuvre des recommandations dont la mise en place immédiate était préconisée et des projets du Plan d’action pour le développement;  iii) 11 projets de rapports indépendants et un projet de rapport d’auto</w:t>
      </w:r>
      <w:r w:rsidRPr="00C258AD">
        <w:noBreakHyphen/>
        <w:t xml:space="preserve">évaluation;  et iv) un document sur la décision de l’Assemblée générale de l’OMPI relative aux questions concernant le CDIP.  De plus, le comité a approuvé : i) des propositions pour la deuxième phase de deux projets terminés et évalués;  ii) trois nouvelles propositions de projets, dont une de l’Égypte sur la propriété intellectuelle et le tourisme;  et iii) des nouvelles activités dans le domaine de l’utilisation du droit d’auteur pour promouvoir l’accès à l’information et aux contenus créatifs.  Le comité a également examiné : i) un document transmis par l’Assemblée générale sur la description de la contribution des organes compétents de l’OMPI à la mise en œuvre des recommandations du Plan d’action pour le développement;  ii) un rapport révisé sur la mesure des progrès accomplis dans la réalisation des objectifs du Millénaire pour le développement (OMD) dans les autres organismes et institutions spécialisées des Nations Unies et sur la contribution de l’OMPI à la mise en œuvre des OMD;  iii) un document sur l’OMPI et le </w:t>
      </w:r>
      <w:r w:rsidRPr="00C258AD">
        <w:rPr>
          <w:rStyle w:val="Emphasis"/>
        </w:rPr>
        <w:t>Programme</w:t>
      </w:r>
      <w:r w:rsidRPr="00C258AD">
        <w:rPr>
          <w:rStyle w:val="st1"/>
          <w:rFonts w:cs="Arial"/>
        </w:rPr>
        <w:t xml:space="preserve"> de développement pour l’après</w:t>
      </w:r>
      <w:r w:rsidRPr="00C258AD">
        <w:rPr>
          <w:rStyle w:val="st1"/>
          <w:rFonts w:cs="Arial"/>
        </w:rPr>
        <w:noBreakHyphen/>
        <w:t>2015</w:t>
      </w:r>
      <w:r w:rsidRPr="00C258AD">
        <w:t>;  et iv) le Rapport sur le Forum d’experts de l’OMPI sur le transfert international de technologie.  Le comité a en outre examiné le cinquième document sur les éléments de flexibilité relatifs aux brevets dans le cadre juridique multilatéral et la mise en œuvre législative aux niveaux national et régional et un rapport sur la mise à jour de la base de données consacrée aux éléments de flexibilité.  Les discussions à propos d’une étude extérieure sur l’assistance technique fournie par l’OMPI dans le domaine de la coopération pour le développement se sont poursuivies au cours de l’exercice biennal et des informations actualisées sur la réponse de la direction à l’étude extérieure ont été fournies.  De plus, le comité a approuvé le cahier des charges de l’étude indépendante sur la mise en œuvre des recommandations du Plan d’action pour le développement et a pris une décision sur la convocation de la conférence internationale sur la propriété intellectuelle et le développement.  En ce qui concerne les études, le comité a également examiné : i) huit études entreprises dans le contexte du projet sur la propriété intellectuelle et le développement socioéconomique;  ii) six études au titre du Projet relatif à la propriété intellectuelle et au transfert de technologie : élaborer des solutions face aux défis communs;  iii) deux études au titre du Projet de partenariat ouvert et de modèles fondés sur la propriété intellectuelle;  iv) quatre études au titre du projet sur la propriété intellectuelle et l’économie informelle;  v) une étude dans le contexte du projet sur le renforcement et le développement du secteur audiovisuel au Burkina Faso et dans certains pays africains;  et vi) trois études effectuées dans le cadre du projet sur la structure d’appui à l’innovation et au transfert de technologie à l’intention des institutions nationales.  Le CDIP a continué de bénéficier d’une participation croissante des organisations intergouvernementales et des ONG.  Fin 2015, 59 observateurs ont participé aux activités du comité.</w:t>
      </w:r>
    </w:p>
    <w:p w:rsidR="006E2BB1" w:rsidRPr="00C258AD" w:rsidRDefault="006E2BB1" w:rsidP="001A4D6C">
      <w:pPr>
        <w:tabs>
          <w:tab w:val="left" w:pos="709"/>
        </w:tabs>
        <w:jc w:val="both"/>
      </w:pPr>
    </w:p>
    <w:p w:rsidR="006E2BB1" w:rsidRPr="00C258AD" w:rsidRDefault="00BB4DBC" w:rsidP="00BB4DBC">
      <w:pPr>
        <w:pStyle w:val="ListParagraph"/>
        <w:numPr>
          <w:ilvl w:val="0"/>
          <w:numId w:val="44"/>
        </w:numPr>
        <w:ind w:left="0" w:firstLine="0"/>
        <w:jc w:val="both"/>
      </w:pPr>
      <w:r w:rsidRPr="00C258AD">
        <w:t>En 2014</w:t>
      </w:r>
      <w:r w:rsidRPr="00C258AD">
        <w:noBreakHyphen/>
        <w:t xml:space="preserve">2015, en plus d’apporter un appui au CDIP, le programme a permis de lancer les travaux relatifs à la convocation de la Conférence internationale sur la propriété intellectuelle et le développement en 2016, de coordonner les travaux liés à l’étude indépendante sur la mise en œuvre des recommandations du Plan d’action pour le développement et de faciliter la mise en œuvre des activités relevant du Plan d’action pour le développement dans les États membres.  L’équipe chargée du programme a également poursuivi ses efforts pour garantir la mise en œuvre efficace des 19 recommandations dont la mise en œuvre immédiate était requise;  pour coordonner le suivi et l’évaluation de la mise en œuvre des projets approuvés par le CDIP;  et a maintenu sa responsabilité </w:t>
      </w:r>
      <w:r w:rsidRPr="00C258AD">
        <w:lastRenderedPageBreak/>
        <w:t>pour la coordination de la mise en œuvre des 45 recommandations du Plan d’action de l’OMPI pour le développement.</w:t>
      </w:r>
    </w:p>
    <w:p w:rsidR="006E2BB1" w:rsidRPr="00C258AD" w:rsidRDefault="006E2BB1" w:rsidP="001A4D6C">
      <w:pPr>
        <w:autoSpaceDE w:val="0"/>
        <w:autoSpaceDN w:val="0"/>
        <w:adjustRightInd w:val="0"/>
        <w:jc w:val="both"/>
      </w:pPr>
    </w:p>
    <w:p w:rsidR="006E2BB1" w:rsidRPr="00C258AD" w:rsidRDefault="006E2BB1" w:rsidP="001A4D6C">
      <w:pPr>
        <w:autoSpaceDE w:val="0"/>
        <w:autoSpaceDN w:val="0"/>
        <w:adjustRightInd w:val="0"/>
        <w:jc w:val="both"/>
      </w:pPr>
    </w:p>
    <w:p w:rsidR="006E2BB1" w:rsidRPr="00C258AD" w:rsidRDefault="00BB4DBC" w:rsidP="00305CE5">
      <w:pPr>
        <w:keepNext/>
        <w:rPr>
          <w:rFonts w:cs="Arial"/>
          <w:caps/>
          <w:sz w:val="22"/>
          <w:szCs w:val="22"/>
        </w:rPr>
      </w:pPr>
      <w:r w:rsidRPr="00C258AD">
        <w:rPr>
          <w:rFonts w:cs="Arial"/>
          <w:caps/>
          <w:sz w:val="22"/>
          <w:szCs w:val="22"/>
        </w:rPr>
        <w:t>Données relatives à l’exécution</w:t>
      </w:r>
    </w:p>
    <w:p w:rsidR="00BB4DBC" w:rsidRPr="00C258AD" w:rsidRDefault="00BB4DBC" w:rsidP="001A4D6C">
      <w:pPr>
        <w:keepNext/>
        <w:jc w:val="both"/>
        <w:rPr>
          <w:bCs/>
        </w:rPr>
      </w:pPr>
    </w:p>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088"/>
        <w:gridCol w:w="2084"/>
        <w:gridCol w:w="1940"/>
        <w:gridCol w:w="2375"/>
        <w:gridCol w:w="1004"/>
      </w:tblGrid>
      <w:tr w:rsidR="00BB4DBC" w:rsidRPr="00C258AD" w:rsidTr="001A4D6C">
        <w:trPr>
          <w:cantSplit/>
        </w:trPr>
        <w:tc>
          <w:tcPr>
            <w:tcW w:w="5000" w:type="pct"/>
            <w:gridSpan w:val="5"/>
            <w:tcBorders>
              <w:top w:val="single" w:sz="4" w:space="0" w:color="auto"/>
              <w:bottom w:val="single" w:sz="4" w:space="0" w:color="auto"/>
            </w:tcBorders>
            <w:shd w:val="clear" w:color="auto" w:fill="C5D9F1"/>
            <w:vAlign w:val="center"/>
          </w:tcPr>
          <w:p w:rsidR="00BB4DBC" w:rsidRPr="00C258AD" w:rsidRDefault="00BB4DBC" w:rsidP="001A4D6C">
            <w:pPr>
              <w:keepNext/>
              <w:rPr>
                <w:b/>
                <w:sz w:val="16"/>
                <w:szCs w:val="16"/>
              </w:rPr>
            </w:pPr>
            <w:r w:rsidRPr="00C258AD">
              <w:rPr>
                <w:b/>
                <w:sz w:val="16"/>
                <w:szCs w:val="16"/>
              </w:rPr>
              <w:t>Résultat escompté :</w:t>
            </w:r>
            <w:r w:rsidRPr="00C258AD">
              <w:rPr>
                <w:sz w:val="16"/>
                <w:szCs w:val="16"/>
              </w:rPr>
              <w:t xml:space="preserve"> III.3 Intégration des recommandations du Plan d’action pour le développement dans les travaux de l’OMPI</w:t>
            </w:r>
          </w:p>
        </w:tc>
      </w:tr>
      <w:tr w:rsidR="00BB4DBC" w:rsidRPr="00C258AD" w:rsidTr="001A4D6C">
        <w:trPr>
          <w:cantSplit/>
        </w:trPr>
        <w:tc>
          <w:tcPr>
            <w:tcW w:w="1100" w:type="pct"/>
            <w:tcBorders>
              <w:top w:val="single" w:sz="4" w:space="0" w:color="auto"/>
            </w:tcBorders>
            <w:shd w:val="clear" w:color="auto" w:fill="auto"/>
            <w:vAlign w:val="center"/>
          </w:tcPr>
          <w:p w:rsidR="00BB4DBC" w:rsidRPr="00C258AD" w:rsidRDefault="00BB4DBC" w:rsidP="001A4D6C">
            <w:pPr>
              <w:jc w:val="center"/>
              <w:rPr>
                <w:b/>
                <w:sz w:val="16"/>
                <w:szCs w:val="16"/>
              </w:rPr>
            </w:pPr>
            <w:r w:rsidRPr="00C258AD">
              <w:rPr>
                <w:b/>
                <w:sz w:val="16"/>
                <w:szCs w:val="16"/>
              </w:rPr>
              <w:t>Indicateurs d’exécution</w:t>
            </w:r>
          </w:p>
        </w:tc>
        <w:tc>
          <w:tcPr>
            <w:tcW w:w="1098" w:type="pct"/>
            <w:tcBorders>
              <w:top w:val="single" w:sz="4" w:space="0" w:color="auto"/>
            </w:tcBorders>
            <w:shd w:val="clear" w:color="auto" w:fill="auto"/>
            <w:vAlign w:val="center"/>
          </w:tcPr>
          <w:p w:rsidR="00BB4DBC" w:rsidRPr="00C258AD" w:rsidRDefault="00BB4DBC" w:rsidP="001A4D6C">
            <w:pPr>
              <w:jc w:val="center"/>
              <w:rPr>
                <w:b/>
                <w:bCs/>
                <w:sz w:val="16"/>
                <w:szCs w:val="16"/>
              </w:rPr>
            </w:pPr>
            <w:r w:rsidRPr="00C258AD">
              <w:rPr>
                <w:b/>
                <w:bCs/>
                <w:sz w:val="16"/>
                <w:szCs w:val="16"/>
              </w:rPr>
              <w:t>Niveaux de référence</w:t>
            </w:r>
          </w:p>
        </w:tc>
        <w:tc>
          <w:tcPr>
            <w:tcW w:w="1022" w:type="pct"/>
            <w:tcBorders>
              <w:top w:val="single" w:sz="4" w:space="0" w:color="auto"/>
            </w:tcBorders>
            <w:shd w:val="clear" w:color="auto" w:fill="auto"/>
            <w:tcMar>
              <w:top w:w="110" w:type="dxa"/>
            </w:tcMar>
            <w:vAlign w:val="center"/>
          </w:tcPr>
          <w:p w:rsidR="00BB4DBC" w:rsidRPr="00C258AD" w:rsidRDefault="00BB4DBC" w:rsidP="001A4D6C">
            <w:pPr>
              <w:jc w:val="center"/>
              <w:rPr>
                <w:b/>
                <w:sz w:val="16"/>
                <w:szCs w:val="16"/>
              </w:rPr>
            </w:pPr>
            <w:r w:rsidRPr="00C258AD">
              <w:rPr>
                <w:b/>
                <w:sz w:val="16"/>
                <w:szCs w:val="16"/>
              </w:rPr>
              <w:t>Objectifs visés</w:t>
            </w:r>
          </w:p>
        </w:tc>
        <w:tc>
          <w:tcPr>
            <w:tcW w:w="1251" w:type="pct"/>
            <w:tcBorders>
              <w:top w:val="single" w:sz="4" w:space="0" w:color="auto"/>
            </w:tcBorders>
            <w:shd w:val="clear" w:color="auto" w:fill="FFFFFF"/>
            <w:tcMar>
              <w:top w:w="110" w:type="dxa"/>
            </w:tcMar>
            <w:vAlign w:val="center"/>
          </w:tcPr>
          <w:p w:rsidR="00BB4DBC" w:rsidRPr="00C258AD" w:rsidRDefault="00BB4DBC" w:rsidP="001A4D6C">
            <w:pPr>
              <w:jc w:val="center"/>
              <w:rPr>
                <w:b/>
                <w:sz w:val="16"/>
                <w:szCs w:val="16"/>
              </w:rPr>
            </w:pPr>
            <w:r w:rsidRPr="00C258AD">
              <w:rPr>
                <w:b/>
                <w:sz w:val="16"/>
                <w:szCs w:val="16"/>
              </w:rPr>
              <w:t>Données relatives à l’exécution</w:t>
            </w:r>
          </w:p>
        </w:tc>
        <w:tc>
          <w:tcPr>
            <w:tcW w:w="529" w:type="pct"/>
            <w:tcBorders>
              <w:top w:val="single" w:sz="4" w:space="0" w:color="auto"/>
            </w:tcBorders>
            <w:shd w:val="clear" w:color="auto" w:fill="auto"/>
            <w:tcMar>
              <w:top w:w="110" w:type="dxa"/>
            </w:tcMar>
            <w:vAlign w:val="center"/>
          </w:tcPr>
          <w:p w:rsidR="00BB4DBC" w:rsidRPr="00C258AD" w:rsidRDefault="00BB4DBC" w:rsidP="001A4D6C">
            <w:pPr>
              <w:keepNext/>
              <w:keepLines/>
              <w:jc w:val="center"/>
              <w:rPr>
                <w:b/>
                <w:bCs/>
                <w:sz w:val="16"/>
                <w:szCs w:val="16"/>
              </w:rPr>
            </w:pPr>
            <w:r w:rsidRPr="00C258AD">
              <w:rPr>
                <w:b/>
                <w:bCs/>
                <w:sz w:val="16"/>
                <w:szCs w:val="16"/>
              </w:rPr>
              <w:t>Code de couleurs</w:t>
            </w:r>
          </w:p>
        </w:tc>
      </w:tr>
      <w:tr w:rsidR="00BB4DBC" w:rsidRPr="00C258AD" w:rsidTr="001A4D6C">
        <w:trPr>
          <w:cantSplit/>
        </w:trPr>
        <w:tc>
          <w:tcPr>
            <w:tcW w:w="1100" w:type="pct"/>
            <w:shd w:val="clear" w:color="auto" w:fill="auto"/>
          </w:tcPr>
          <w:p w:rsidR="00BB4DBC" w:rsidRPr="00C258AD" w:rsidRDefault="00BB4DBC" w:rsidP="001A4D6C">
            <w:pPr>
              <w:rPr>
                <w:sz w:val="16"/>
                <w:szCs w:val="16"/>
                <w:lang w:bidi="th-TH"/>
              </w:rPr>
            </w:pPr>
            <w:r w:rsidRPr="00C258AD">
              <w:rPr>
                <w:sz w:val="16"/>
                <w:szCs w:val="16"/>
                <w:lang w:bidi="th-TH"/>
              </w:rPr>
              <w:t>Nombre de recommandations du Plan d’action pour le développement qui ont été mises en œuvre par le CDIP dans des projets, des activités et des études</w:t>
            </w:r>
          </w:p>
        </w:tc>
        <w:tc>
          <w:tcPr>
            <w:tcW w:w="1098" w:type="pct"/>
            <w:shd w:val="clear" w:color="auto" w:fill="auto"/>
          </w:tcPr>
          <w:p w:rsidR="006E2BB1" w:rsidRPr="00C258AD" w:rsidRDefault="00BB4DBC" w:rsidP="001A4D6C">
            <w:pPr>
              <w:rPr>
                <w:sz w:val="16"/>
                <w:szCs w:val="16"/>
                <w:lang w:bidi="th-TH"/>
              </w:rPr>
            </w:pPr>
            <w:r w:rsidRPr="00C258AD">
              <w:rPr>
                <w:i/>
                <w:color w:val="002060"/>
                <w:sz w:val="16"/>
                <w:szCs w:val="16"/>
                <w:lang w:bidi="th-TH"/>
              </w:rPr>
              <w:t>Niveau de référence actualisé à fin 2013 :</w:t>
            </w:r>
            <w:r w:rsidRPr="00C258AD">
              <w:rPr>
                <w:color w:val="002060"/>
                <w:sz w:val="16"/>
                <w:szCs w:val="16"/>
                <w:lang w:bidi="th-TH"/>
              </w:rPr>
              <w:t xml:space="preserve"> 45 recommandations du Plan d’action pour le développement</w:t>
            </w:r>
          </w:p>
          <w:p w:rsidR="006E2BB1" w:rsidRPr="00C258AD" w:rsidRDefault="006E2BB1" w:rsidP="001A4D6C">
            <w:pPr>
              <w:rPr>
                <w:i/>
                <w:sz w:val="16"/>
                <w:szCs w:val="16"/>
              </w:rPr>
            </w:pPr>
          </w:p>
          <w:p w:rsidR="00BB4DBC" w:rsidRPr="00C258AD" w:rsidRDefault="00BB4DBC" w:rsidP="001A4D6C">
            <w:pPr>
              <w:rPr>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42 recommandations examinées par le comité en décembre 2011</w:t>
            </w:r>
          </w:p>
        </w:tc>
        <w:tc>
          <w:tcPr>
            <w:tcW w:w="1022" w:type="pct"/>
            <w:shd w:val="clear" w:color="auto" w:fill="auto"/>
            <w:tcMar>
              <w:top w:w="110" w:type="dxa"/>
            </w:tcMar>
          </w:tcPr>
          <w:p w:rsidR="00BB4DBC" w:rsidRPr="00C258AD" w:rsidRDefault="00BB4DBC" w:rsidP="001A4D6C">
            <w:pPr>
              <w:rPr>
                <w:sz w:val="16"/>
                <w:szCs w:val="16"/>
                <w:lang w:bidi="th-TH"/>
              </w:rPr>
            </w:pPr>
            <w:r w:rsidRPr="00C258AD">
              <w:rPr>
                <w:sz w:val="16"/>
                <w:szCs w:val="16"/>
                <w:lang w:bidi="th-TH"/>
              </w:rPr>
              <w:t>45 recommandations examinées par le CDIP</w:t>
            </w:r>
          </w:p>
        </w:tc>
        <w:tc>
          <w:tcPr>
            <w:tcW w:w="1251" w:type="pct"/>
            <w:shd w:val="clear" w:color="auto" w:fill="FFFFFF"/>
            <w:tcMar>
              <w:top w:w="110" w:type="dxa"/>
            </w:tcMar>
          </w:tcPr>
          <w:p w:rsidR="00BB4DBC" w:rsidRPr="00C258AD" w:rsidRDefault="00BB4DBC" w:rsidP="001A4D6C">
            <w:pPr>
              <w:rPr>
                <w:sz w:val="16"/>
                <w:szCs w:val="16"/>
                <w:lang w:bidi="th-TH"/>
              </w:rPr>
            </w:pPr>
            <w:r w:rsidRPr="00C258AD">
              <w:rPr>
                <w:sz w:val="16"/>
                <w:szCs w:val="16"/>
                <w:lang w:bidi="th-TH"/>
              </w:rPr>
              <w:t>45 recommandations du Plan d’action pour le développement examinées d’après le rapport sur l’état d’avancement (CDIP/14/2 et CDIP/16/2)</w:t>
            </w:r>
          </w:p>
        </w:tc>
        <w:tc>
          <w:tcPr>
            <w:tcW w:w="529" w:type="pct"/>
            <w:shd w:val="clear" w:color="auto" w:fill="auto"/>
            <w:tcMar>
              <w:top w:w="110" w:type="dxa"/>
            </w:tcMar>
          </w:tcPr>
          <w:p w:rsidR="00BB4DBC" w:rsidRPr="00C258AD" w:rsidRDefault="00BB4DBC" w:rsidP="001A4D6C">
            <w:pPr>
              <w:keepNext/>
              <w:keepLines/>
              <w:jc w:val="center"/>
              <w:rPr>
                <w:b/>
                <w:bCs/>
                <w:sz w:val="16"/>
                <w:szCs w:val="16"/>
              </w:rPr>
            </w:pPr>
            <w:r w:rsidRPr="00C258AD">
              <w:rPr>
                <w:rFonts w:cs="Arial"/>
                <w:b/>
                <w:bCs/>
                <w:color w:val="00B050"/>
                <w:sz w:val="16"/>
                <w:szCs w:val="16"/>
              </w:rPr>
              <w:t>Objectif pleinement atteint</w:t>
            </w:r>
          </w:p>
        </w:tc>
      </w:tr>
      <w:tr w:rsidR="00BB4DBC" w:rsidRPr="00C258AD" w:rsidTr="001A4D6C">
        <w:trPr>
          <w:cantSplit/>
        </w:trPr>
        <w:tc>
          <w:tcPr>
            <w:tcW w:w="1100" w:type="pct"/>
            <w:shd w:val="clear" w:color="auto" w:fill="auto"/>
          </w:tcPr>
          <w:p w:rsidR="00BB4DBC" w:rsidRPr="00C258AD" w:rsidRDefault="00BB4DBC" w:rsidP="001A4D6C">
            <w:pPr>
              <w:rPr>
                <w:sz w:val="16"/>
                <w:szCs w:val="16"/>
                <w:lang w:bidi="th-TH"/>
              </w:rPr>
            </w:pPr>
            <w:r w:rsidRPr="00C258AD">
              <w:rPr>
                <w:sz w:val="16"/>
                <w:szCs w:val="16"/>
                <w:lang w:bidi="th-TH"/>
              </w:rPr>
              <w:t>Taux de satisfaction des États membres concernant les résultats des projets, activités et études</w:t>
            </w:r>
          </w:p>
        </w:tc>
        <w:tc>
          <w:tcPr>
            <w:tcW w:w="1098" w:type="pct"/>
            <w:shd w:val="clear" w:color="auto" w:fill="auto"/>
          </w:tcPr>
          <w:p w:rsidR="00BB4DBC" w:rsidRPr="00C258AD" w:rsidRDefault="00BB4DBC" w:rsidP="001A4D6C">
            <w:pPr>
              <w:rPr>
                <w:i/>
                <w:sz w:val="16"/>
                <w:szCs w:val="16"/>
              </w:rPr>
            </w:pPr>
            <w:r w:rsidRPr="00C258AD">
              <w:rPr>
                <w:sz w:val="16"/>
                <w:szCs w:val="16"/>
              </w:rPr>
              <w:t>80%</w:t>
            </w:r>
          </w:p>
        </w:tc>
        <w:tc>
          <w:tcPr>
            <w:tcW w:w="1022" w:type="pct"/>
            <w:shd w:val="clear" w:color="auto" w:fill="auto"/>
            <w:tcMar>
              <w:top w:w="110" w:type="dxa"/>
            </w:tcMar>
          </w:tcPr>
          <w:p w:rsidR="00BB4DBC" w:rsidRPr="00C258AD" w:rsidRDefault="00BB4DBC" w:rsidP="001A4D6C">
            <w:pPr>
              <w:autoSpaceDE w:val="0"/>
              <w:autoSpaceDN w:val="0"/>
              <w:adjustRightInd w:val="0"/>
              <w:rPr>
                <w:sz w:val="16"/>
                <w:szCs w:val="16"/>
              </w:rPr>
            </w:pPr>
            <w:r w:rsidRPr="00C258AD">
              <w:rPr>
                <w:sz w:val="16"/>
                <w:szCs w:val="16"/>
              </w:rPr>
              <w:t>80%</w:t>
            </w:r>
          </w:p>
        </w:tc>
        <w:tc>
          <w:tcPr>
            <w:tcW w:w="1251" w:type="pct"/>
            <w:shd w:val="clear" w:color="auto" w:fill="FFFFFF"/>
            <w:tcMar>
              <w:top w:w="110" w:type="dxa"/>
            </w:tcMar>
          </w:tcPr>
          <w:p w:rsidR="00BB4DBC" w:rsidRPr="00C258AD" w:rsidRDefault="00BB4DBC" w:rsidP="001A4D6C">
            <w:pPr>
              <w:rPr>
                <w:spacing w:val="-2"/>
                <w:sz w:val="16"/>
                <w:szCs w:val="16"/>
                <w:lang w:bidi="th-TH"/>
              </w:rPr>
            </w:pPr>
            <w:r w:rsidRPr="00C258AD">
              <w:rPr>
                <w:color w:val="000000"/>
                <w:spacing w:val="-2"/>
                <w:sz w:val="16"/>
                <w:szCs w:val="16"/>
                <w:lang w:bidi="th-TH"/>
              </w:rPr>
              <w:t>Compte tenu des discussions du CDIP sur i) deux rapports annuels du Directeur général sur la mise en œuvre du Plan d’action pour le développement</w:t>
            </w:r>
            <w:r w:rsidRPr="00C258AD">
              <w:rPr>
                <w:color w:val="000000"/>
                <w:spacing w:val="-2"/>
                <w:sz w:val="16"/>
              </w:rPr>
              <w:t xml:space="preserve">;  </w:t>
            </w:r>
            <w:r w:rsidRPr="00C258AD">
              <w:rPr>
                <w:color w:val="000000"/>
                <w:spacing w:val="-2"/>
                <w:sz w:val="16"/>
                <w:szCs w:val="16"/>
                <w:lang w:bidi="th-TH"/>
              </w:rPr>
              <w:t>ii)</w:t>
            </w:r>
            <w:r w:rsidRPr="00C258AD">
              <w:rPr>
                <w:color w:val="000000"/>
                <w:spacing w:val="-2"/>
                <w:sz w:val="16"/>
              </w:rPr>
              <w:t> </w:t>
            </w:r>
            <w:r w:rsidRPr="00C258AD">
              <w:rPr>
                <w:color w:val="000000"/>
                <w:spacing w:val="-2"/>
                <w:sz w:val="16"/>
                <w:szCs w:val="16"/>
                <w:lang w:bidi="th-TH"/>
              </w:rPr>
              <w:t>deux rapports sur l’état d’avancement de la mise en œuvre des recommandations dont la mise en place immédiate était préconisée et des projets du Plan d’action pour le développement</w:t>
            </w:r>
            <w:r w:rsidRPr="00C258AD">
              <w:rPr>
                <w:color w:val="000000"/>
                <w:spacing w:val="-2"/>
                <w:sz w:val="16"/>
              </w:rPr>
              <w:t xml:space="preserve">;  </w:t>
            </w:r>
            <w:r w:rsidRPr="00C258AD">
              <w:rPr>
                <w:color w:val="000000"/>
                <w:spacing w:val="-2"/>
                <w:sz w:val="16"/>
                <w:szCs w:val="16"/>
                <w:lang w:bidi="th-TH"/>
              </w:rPr>
              <w:t>et iii) 11 projets de rapports indépendants et un projet de rapport d’auto</w:t>
            </w:r>
            <w:r w:rsidRPr="00C258AD">
              <w:rPr>
                <w:rFonts w:eastAsia="MS Gothic" w:cs="Arial"/>
                <w:color w:val="000000"/>
                <w:spacing w:val="-2"/>
                <w:sz w:val="16"/>
                <w:szCs w:val="16"/>
                <w:lang w:bidi="th-TH"/>
              </w:rPr>
              <w:noBreakHyphen/>
            </w:r>
            <w:r w:rsidRPr="00C258AD">
              <w:rPr>
                <w:rFonts w:cs="Arial"/>
                <w:color w:val="000000"/>
                <w:spacing w:val="-2"/>
                <w:sz w:val="16"/>
                <w:szCs w:val="16"/>
                <w:lang w:bidi="th-TH"/>
              </w:rPr>
              <w:t>é</w:t>
            </w:r>
            <w:r w:rsidRPr="00C258AD">
              <w:rPr>
                <w:color w:val="000000"/>
                <w:spacing w:val="-2"/>
                <w:sz w:val="16"/>
                <w:szCs w:val="16"/>
                <w:lang w:bidi="th-TH"/>
              </w:rPr>
              <w:t xml:space="preserve">valuation, les </w:t>
            </w:r>
            <w:r w:rsidRPr="00C258AD">
              <w:rPr>
                <w:rFonts w:cs="Arial"/>
                <w:color w:val="000000"/>
                <w:spacing w:val="-2"/>
                <w:sz w:val="16"/>
                <w:szCs w:val="16"/>
                <w:lang w:bidi="th-TH"/>
              </w:rPr>
              <w:t>É</w:t>
            </w:r>
            <w:r w:rsidRPr="00C258AD">
              <w:rPr>
                <w:color w:val="000000"/>
                <w:spacing w:val="-2"/>
                <w:sz w:val="16"/>
                <w:szCs w:val="16"/>
                <w:lang w:bidi="th-TH"/>
              </w:rPr>
              <w:t>tats membres se sont dits satisfaits du r</w:t>
            </w:r>
            <w:r w:rsidRPr="00C258AD">
              <w:rPr>
                <w:rFonts w:cs="Arial"/>
                <w:color w:val="000000"/>
                <w:spacing w:val="-2"/>
                <w:sz w:val="16"/>
                <w:szCs w:val="16"/>
                <w:lang w:bidi="th-TH"/>
              </w:rPr>
              <w:t>é</w:t>
            </w:r>
            <w:r w:rsidRPr="00C258AD">
              <w:rPr>
                <w:color w:val="000000"/>
                <w:spacing w:val="-2"/>
                <w:sz w:val="16"/>
                <w:szCs w:val="16"/>
                <w:lang w:bidi="th-TH"/>
              </w:rPr>
              <w:t>sultat des projets, activit</w:t>
            </w:r>
            <w:r w:rsidRPr="00C258AD">
              <w:rPr>
                <w:rFonts w:cs="Arial"/>
                <w:color w:val="000000"/>
                <w:spacing w:val="-2"/>
                <w:sz w:val="16"/>
                <w:szCs w:val="16"/>
                <w:lang w:bidi="th-TH"/>
              </w:rPr>
              <w:t>é</w:t>
            </w:r>
            <w:r w:rsidRPr="00C258AD">
              <w:rPr>
                <w:color w:val="000000"/>
                <w:spacing w:val="-2"/>
                <w:sz w:val="16"/>
                <w:szCs w:val="16"/>
                <w:lang w:bidi="th-TH"/>
              </w:rPr>
              <w:t xml:space="preserve">s et </w:t>
            </w:r>
            <w:r w:rsidRPr="00C258AD">
              <w:rPr>
                <w:rFonts w:cs="Arial"/>
                <w:color w:val="000000"/>
                <w:spacing w:val="-2"/>
                <w:sz w:val="16"/>
                <w:szCs w:val="16"/>
                <w:lang w:bidi="th-TH"/>
              </w:rPr>
              <w:t>é</w:t>
            </w:r>
            <w:r w:rsidRPr="00C258AD">
              <w:rPr>
                <w:color w:val="000000"/>
                <w:spacing w:val="-2"/>
                <w:sz w:val="16"/>
                <w:szCs w:val="16"/>
                <w:lang w:bidi="th-TH"/>
              </w:rPr>
              <w:t>tudes dans 83% des cas.</w:t>
            </w:r>
          </w:p>
        </w:tc>
        <w:tc>
          <w:tcPr>
            <w:tcW w:w="529" w:type="pct"/>
            <w:shd w:val="clear" w:color="auto" w:fill="auto"/>
            <w:tcMar>
              <w:top w:w="110" w:type="dxa"/>
            </w:tcMar>
          </w:tcPr>
          <w:p w:rsidR="00BB4DBC" w:rsidRPr="00C258AD" w:rsidRDefault="00BB4DBC" w:rsidP="001A4D6C">
            <w:pPr>
              <w:keepNext/>
              <w:keepLines/>
              <w:jc w:val="center"/>
              <w:rPr>
                <w:b/>
                <w:bCs/>
                <w:sz w:val="16"/>
                <w:szCs w:val="16"/>
              </w:rPr>
            </w:pPr>
            <w:r w:rsidRPr="00C258AD">
              <w:rPr>
                <w:rFonts w:cs="Arial"/>
                <w:b/>
                <w:bCs/>
                <w:color w:val="00B050"/>
                <w:sz w:val="16"/>
                <w:szCs w:val="16"/>
              </w:rPr>
              <w:t>Objectif pleinement atteint</w:t>
            </w:r>
          </w:p>
        </w:tc>
      </w:tr>
      <w:tr w:rsidR="00BB4DBC" w:rsidRPr="00C258AD" w:rsidTr="001A4D6C">
        <w:trPr>
          <w:cantSplit/>
        </w:trPr>
        <w:tc>
          <w:tcPr>
            <w:tcW w:w="1100" w:type="pct"/>
            <w:shd w:val="clear" w:color="auto" w:fill="auto"/>
          </w:tcPr>
          <w:p w:rsidR="00BB4DBC" w:rsidRPr="00C258AD" w:rsidRDefault="00BB4DBC" w:rsidP="001A4D6C">
            <w:pPr>
              <w:rPr>
                <w:sz w:val="16"/>
                <w:szCs w:val="16"/>
                <w:lang w:bidi="th-TH"/>
              </w:rPr>
            </w:pPr>
            <w:r w:rsidRPr="00C258AD">
              <w:rPr>
                <w:sz w:val="16"/>
                <w:szCs w:val="16"/>
                <w:lang w:bidi="th-TH"/>
              </w:rPr>
              <w:t>Mise en œuvre du mécanisme de coordination approuvé par les États membres</w:t>
            </w:r>
          </w:p>
        </w:tc>
        <w:tc>
          <w:tcPr>
            <w:tcW w:w="1098" w:type="pct"/>
            <w:shd w:val="clear" w:color="auto" w:fill="auto"/>
          </w:tcPr>
          <w:p w:rsidR="006E2BB1" w:rsidRPr="00C258AD" w:rsidRDefault="00BB4DBC" w:rsidP="001A4D6C">
            <w:pPr>
              <w:rPr>
                <w:sz w:val="16"/>
                <w:szCs w:val="16"/>
                <w:lang w:bidi="th-TH"/>
              </w:rPr>
            </w:pPr>
            <w:r w:rsidRPr="00C258AD">
              <w:rPr>
                <w:i/>
                <w:color w:val="002060"/>
                <w:sz w:val="16"/>
                <w:szCs w:val="16"/>
                <w:lang w:bidi="th-TH"/>
              </w:rPr>
              <w:t>Niveau de référence actualisé à fin 2013 :</w:t>
            </w:r>
            <w:r w:rsidRPr="00C258AD">
              <w:rPr>
                <w:color w:val="002060"/>
                <w:sz w:val="16"/>
                <w:szCs w:val="16"/>
              </w:rPr>
              <w:t xml:space="preserve"> deux rapports annuels aux assemblées sur la description de la contribution des organes de l’OMPI à la mise en œuvre des recommandations respectives du Plan d’action pour le développement examinées par le CDIP (WO/GA/41/12 et WO/GA/43/10)</w:t>
            </w:r>
            <w:r w:rsidRPr="00C258AD">
              <w:rPr>
                <w:rStyle w:val="FootnoteReference"/>
                <w:rFonts w:eastAsia="SimSun"/>
                <w:color w:val="002060"/>
                <w:sz w:val="16"/>
                <w:szCs w:val="16"/>
              </w:rPr>
              <w:footnoteReference w:id="53"/>
            </w:r>
            <w:r w:rsidRPr="00C258AD">
              <w:rPr>
                <w:color w:val="002060"/>
                <w:sz w:val="16"/>
                <w:szCs w:val="16"/>
              </w:rPr>
              <w:t>.</w:t>
            </w:r>
          </w:p>
          <w:p w:rsidR="006E2BB1" w:rsidRPr="00C258AD" w:rsidRDefault="006E2BB1" w:rsidP="001A4D6C">
            <w:pPr>
              <w:rPr>
                <w:i/>
                <w:sz w:val="16"/>
                <w:szCs w:val="16"/>
              </w:rPr>
            </w:pPr>
          </w:p>
          <w:p w:rsidR="00BB4DBC" w:rsidRPr="00C258AD" w:rsidRDefault="00BB4DBC" w:rsidP="001A4D6C">
            <w:pPr>
              <w:rPr>
                <w:sz w:val="16"/>
                <w:szCs w:val="16"/>
                <w:lang w:bidi="th-TH"/>
              </w:rPr>
            </w:pPr>
            <w:r w:rsidRPr="00C258AD">
              <w:rPr>
                <w:i/>
                <w:sz w:val="16"/>
                <w:szCs w:val="16"/>
                <w:lang w:bidi="th-TH"/>
              </w:rPr>
              <w:t>Niveau de référence initial dans le programme et budget 2014</w:t>
            </w:r>
            <w:r w:rsidRPr="00C258AD">
              <w:rPr>
                <w:i/>
                <w:sz w:val="16"/>
                <w:szCs w:val="16"/>
                <w:lang w:bidi="th-TH"/>
              </w:rPr>
              <w:noBreakHyphen/>
              <w:t>2015 :</w:t>
            </w:r>
            <w:r w:rsidRPr="00C258AD">
              <w:rPr>
                <w:sz w:val="16"/>
                <w:szCs w:val="16"/>
                <w:lang w:bidi="th-TH"/>
              </w:rPr>
              <w:t xml:space="preserve"> mécanismes de coordination et modalités de suivi, d’évaluation et d’établissement de rapports approuvés par le comité en avril 2010</w:t>
            </w:r>
          </w:p>
        </w:tc>
        <w:tc>
          <w:tcPr>
            <w:tcW w:w="1022" w:type="pct"/>
            <w:shd w:val="clear" w:color="auto" w:fill="auto"/>
            <w:tcMar>
              <w:top w:w="110" w:type="dxa"/>
            </w:tcMar>
          </w:tcPr>
          <w:p w:rsidR="00BB4DBC" w:rsidRPr="00C258AD" w:rsidRDefault="00BB4DBC" w:rsidP="001A4D6C">
            <w:pPr>
              <w:autoSpaceDE w:val="0"/>
              <w:autoSpaceDN w:val="0"/>
              <w:adjustRightInd w:val="0"/>
              <w:rPr>
                <w:sz w:val="16"/>
                <w:szCs w:val="16"/>
              </w:rPr>
            </w:pPr>
            <w:r w:rsidRPr="00C258AD">
              <w:rPr>
                <w:sz w:val="16"/>
                <w:szCs w:val="16"/>
              </w:rPr>
              <w:t>Mécanismes de coordination mis en œuvre conformément à la décision prise par les États membres</w:t>
            </w:r>
          </w:p>
        </w:tc>
        <w:tc>
          <w:tcPr>
            <w:tcW w:w="1251" w:type="pct"/>
            <w:shd w:val="clear" w:color="auto" w:fill="FFFFFF"/>
            <w:tcMar>
              <w:top w:w="110" w:type="dxa"/>
            </w:tcMar>
          </w:tcPr>
          <w:p w:rsidR="00BB4DBC" w:rsidRPr="00C258AD" w:rsidRDefault="00BB4DBC" w:rsidP="001A4D6C">
            <w:pPr>
              <w:rPr>
                <w:sz w:val="16"/>
                <w:szCs w:val="16"/>
                <w:lang w:bidi="th-TH"/>
              </w:rPr>
            </w:pPr>
            <w:r w:rsidRPr="00C258AD">
              <w:rPr>
                <w:sz w:val="16"/>
                <w:szCs w:val="16"/>
                <w:lang w:bidi="th-TH"/>
              </w:rPr>
              <w:t xml:space="preserve">Mécanismes de coordination mis en œuvre conformément à la décision des États membres, comme indiqué dans les rapports du Directeur général sur la mise en œuvre du Plan d’action pour le développement (CDIP/15/2 et CDIP/17/2) </w:t>
            </w:r>
          </w:p>
        </w:tc>
        <w:tc>
          <w:tcPr>
            <w:tcW w:w="529" w:type="pct"/>
            <w:shd w:val="clear" w:color="auto" w:fill="auto"/>
            <w:tcMar>
              <w:top w:w="110" w:type="dxa"/>
            </w:tcMar>
          </w:tcPr>
          <w:p w:rsidR="00BB4DBC" w:rsidRPr="00C258AD" w:rsidRDefault="00BB4DBC" w:rsidP="001A4D6C">
            <w:pPr>
              <w:keepNext/>
              <w:keepLines/>
              <w:jc w:val="center"/>
              <w:rPr>
                <w:b/>
                <w:bCs/>
                <w:color w:val="00B050"/>
                <w:sz w:val="16"/>
                <w:szCs w:val="16"/>
              </w:rPr>
            </w:pPr>
            <w:r w:rsidRPr="00C258AD">
              <w:rPr>
                <w:rFonts w:cs="Arial"/>
                <w:b/>
                <w:bCs/>
                <w:color w:val="00B050"/>
                <w:sz w:val="16"/>
                <w:szCs w:val="16"/>
              </w:rPr>
              <w:t>Objectif pleinement atteint</w:t>
            </w:r>
          </w:p>
        </w:tc>
      </w:tr>
      <w:tr w:rsidR="00BB4DBC" w:rsidRPr="00C258AD" w:rsidTr="001A4D6C">
        <w:trPr>
          <w:cantSplit/>
        </w:trPr>
        <w:tc>
          <w:tcPr>
            <w:tcW w:w="1100" w:type="pct"/>
            <w:shd w:val="clear" w:color="auto" w:fill="auto"/>
          </w:tcPr>
          <w:p w:rsidR="00BB4DBC" w:rsidRPr="00C258AD" w:rsidRDefault="00BB4DBC" w:rsidP="001A4D6C">
            <w:pPr>
              <w:rPr>
                <w:sz w:val="16"/>
                <w:szCs w:val="16"/>
                <w:lang w:bidi="th-TH"/>
              </w:rPr>
            </w:pPr>
            <w:r w:rsidRPr="00C258AD">
              <w:rPr>
                <w:sz w:val="16"/>
                <w:szCs w:val="16"/>
                <w:lang w:bidi="th-TH"/>
              </w:rPr>
              <w:lastRenderedPageBreak/>
              <w:t>Nombre de programmes dans lesquels des recommandations du Plan d’action pour le développement sont intégrées dans les activités ordinaires de l’OMPI</w:t>
            </w:r>
          </w:p>
        </w:tc>
        <w:tc>
          <w:tcPr>
            <w:tcW w:w="1098" w:type="pct"/>
            <w:shd w:val="clear" w:color="auto" w:fill="auto"/>
          </w:tcPr>
          <w:p w:rsidR="006E2BB1" w:rsidRPr="00C258AD" w:rsidRDefault="00BB4DBC" w:rsidP="001A4D6C">
            <w:pPr>
              <w:rPr>
                <w:sz w:val="16"/>
                <w:szCs w:val="16"/>
                <w:lang w:bidi="th-TH"/>
              </w:rPr>
            </w:pPr>
            <w:r w:rsidRPr="00C258AD">
              <w:rPr>
                <w:i/>
                <w:color w:val="002060"/>
                <w:sz w:val="16"/>
                <w:szCs w:val="16"/>
                <w:lang w:bidi="th-TH"/>
              </w:rPr>
              <w:t>Niveau de référence actualisé à fin 2013 :</w:t>
            </w:r>
            <w:r w:rsidRPr="00C258AD">
              <w:rPr>
                <w:color w:val="002060"/>
                <w:sz w:val="16"/>
                <w:szCs w:val="16"/>
                <w:lang w:bidi="th-TH"/>
              </w:rPr>
              <w:t xml:space="preserve"> 23 programmes incluent des activités relatives au Plan d’action pour le développement (totalement ou en partie)</w:t>
            </w:r>
          </w:p>
          <w:p w:rsidR="006E2BB1" w:rsidRPr="00C258AD" w:rsidRDefault="006E2BB1" w:rsidP="001A4D6C">
            <w:pPr>
              <w:rPr>
                <w:i/>
                <w:sz w:val="16"/>
                <w:szCs w:val="16"/>
              </w:rPr>
            </w:pPr>
          </w:p>
          <w:p w:rsidR="00BB4DBC" w:rsidRPr="00C258AD" w:rsidRDefault="00BB4DBC" w:rsidP="001A4D6C">
            <w:pPr>
              <w:rPr>
                <w:sz w:val="16"/>
                <w:szCs w:val="16"/>
                <w:lang w:bidi="th-TH"/>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à déterminer</w:t>
            </w:r>
          </w:p>
        </w:tc>
        <w:tc>
          <w:tcPr>
            <w:tcW w:w="1022" w:type="pct"/>
            <w:shd w:val="clear" w:color="auto" w:fill="auto"/>
            <w:tcMar>
              <w:top w:w="110" w:type="dxa"/>
            </w:tcMar>
          </w:tcPr>
          <w:p w:rsidR="00BB4DBC" w:rsidRPr="00C258AD" w:rsidRDefault="00BB4DBC" w:rsidP="001A4D6C">
            <w:pPr>
              <w:autoSpaceDE w:val="0"/>
              <w:autoSpaceDN w:val="0"/>
              <w:adjustRightInd w:val="0"/>
              <w:rPr>
                <w:sz w:val="16"/>
                <w:szCs w:val="16"/>
              </w:rPr>
            </w:pPr>
            <w:r w:rsidRPr="00C258AD">
              <w:rPr>
                <w:sz w:val="16"/>
                <w:szCs w:val="16"/>
              </w:rPr>
              <w:t>20</w:t>
            </w:r>
          </w:p>
        </w:tc>
        <w:tc>
          <w:tcPr>
            <w:tcW w:w="1251" w:type="pct"/>
            <w:shd w:val="clear" w:color="auto" w:fill="FFFFFF"/>
            <w:tcMar>
              <w:top w:w="110" w:type="dxa"/>
            </w:tcMar>
          </w:tcPr>
          <w:p w:rsidR="00BB4DBC" w:rsidRPr="00C258AD" w:rsidRDefault="00BB4DBC" w:rsidP="001A4D6C">
            <w:pPr>
              <w:rPr>
                <w:sz w:val="16"/>
                <w:szCs w:val="16"/>
              </w:rPr>
            </w:pPr>
            <w:r w:rsidRPr="00C258AD">
              <w:rPr>
                <w:sz w:val="16"/>
                <w:szCs w:val="16"/>
              </w:rPr>
              <w:t>23 programmes du programme et budget pour 2014</w:t>
            </w:r>
            <w:r w:rsidRPr="00C258AD">
              <w:rPr>
                <w:sz w:val="16"/>
                <w:szCs w:val="16"/>
              </w:rPr>
              <w:noBreakHyphen/>
              <w:t>2015 témoignent de l’intégration du Plan d’action pour le développement dans les activités</w:t>
            </w:r>
          </w:p>
        </w:tc>
        <w:tc>
          <w:tcPr>
            <w:tcW w:w="529" w:type="pct"/>
            <w:shd w:val="clear" w:color="auto" w:fill="auto"/>
            <w:tcMar>
              <w:top w:w="110" w:type="dxa"/>
            </w:tcMar>
          </w:tcPr>
          <w:p w:rsidR="00BB4DBC" w:rsidRPr="00C258AD" w:rsidRDefault="00BB4DBC" w:rsidP="001A4D6C">
            <w:pPr>
              <w:keepNext/>
              <w:keepLines/>
              <w:jc w:val="center"/>
              <w:rPr>
                <w:b/>
                <w:bCs/>
                <w:sz w:val="16"/>
                <w:szCs w:val="16"/>
              </w:rPr>
            </w:pPr>
            <w:r w:rsidRPr="00C258AD">
              <w:rPr>
                <w:rFonts w:cs="Arial"/>
                <w:b/>
                <w:bCs/>
                <w:color w:val="00B050"/>
                <w:sz w:val="16"/>
                <w:szCs w:val="16"/>
              </w:rPr>
              <w:t>Objectif pleinement atteint</w:t>
            </w:r>
          </w:p>
        </w:tc>
      </w:tr>
      <w:tr w:rsidR="00BB4DBC" w:rsidRPr="00C258AD" w:rsidTr="001A4D6C">
        <w:trPr>
          <w:cantSplit/>
        </w:trPr>
        <w:tc>
          <w:tcPr>
            <w:tcW w:w="1100" w:type="pct"/>
            <w:shd w:val="clear" w:color="auto" w:fill="auto"/>
          </w:tcPr>
          <w:p w:rsidR="00BB4DBC" w:rsidRPr="00C258AD" w:rsidRDefault="00BB4DBC" w:rsidP="001A4D6C">
            <w:pPr>
              <w:rPr>
                <w:sz w:val="16"/>
                <w:szCs w:val="16"/>
                <w:lang w:bidi="th-TH"/>
              </w:rPr>
            </w:pPr>
            <w:r w:rsidRPr="00C258AD">
              <w:rPr>
                <w:sz w:val="16"/>
                <w:szCs w:val="16"/>
                <w:lang w:bidi="th-TH"/>
              </w:rPr>
              <w:t xml:space="preserve">Nombre de projets du Plan d’action pour le développement qui </w:t>
            </w:r>
            <w:proofErr w:type="gramStart"/>
            <w:r w:rsidRPr="00C258AD">
              <w:rPr>
                <w:sz w:val="16"/>
                <w:szCs w:val="16"/>
                <w:lang w:bidi="th-TH"/>
              </w:rPr>
              <w:t>ont</w:t>
            </w:r>
            <w:proofErr w:type="gramEnd"/>
            <w:r w:rsidRPr="00C258AD">
              <w:rPr>
                <w:sz w:val="16"/>
                <w:szCs w:val="16"/>
                <w:lang w:bidi="th-TH"/>
              </w:rPr>
              <w:t xml:space="preserve"> été intégrés dans les activités ordinaires de l’OMPI et manière dont cela a été fait (établissement de normes, assistance technique et prestation de services)</w:t>
            </w:r>
          </w:p>
        </w:tc>
        <w:tc>
          <w:tcPr>
            <w:tcW w:w="1098" w:type="pct"/>
            <w:shd w:val="clear" w:color="auto" w:fill="auto"/>
          </w:tcPr>
          <w:p w:rsidR="006E2BB1" w:rsidRPr="00C258AD" w:rsidRDefault="00BB4DBC" w:rsidP="001A4D6C">
            <w:pPr>
              <w:rPr>
                <w:sz w:val="16"/>
                <w:szCs w:val="16"/>
                <w:lang w:bidi="th-TH"/>
              </w:rPr>
            </w:pPr>
            <w:r w:rsidRPr="00C258AD">
              <w:rPr>
                <w:i/>
                <w:color w:val="002060"/>
                <w:sz w:val="16"/>
                <w:szCs w:val="16"/>
                <w:lang w:bidi="th-TH"/>
              </w:rPr>
              <w:t>Niveau de référence actualisé à fin 2013 :</w:t>
            </w:r>
            <w:r w:rsidRPr="00C258AD">
              <w:rPr>
                <w:color w:val="002060"/>
                <w:sz w:val="16"/>
                <w:szCs w:val="16"/>
                <w:lang w:bidi="th-TH"/>
              </w:rPr>
              <w:t xml:space="preserve"> 6 projets du Plan d’action pour le développement intégrés dans les activités ordinaires de l’OMPI</w:t>
            </w:r>
          </w:p>
          <w:p w:rsidR="006E2BB1" w:rsidRPr="00C258AD" w:rsidRDefault="006E2BB1" w:rsidP="001A4D6C">
            <w:pPr>
              <w:rPr>
                <w:i/>
                <w:sz w:val="16"/>
                <w:szCs w:val="16"/>
              </w:rPr>
            </w:pPr>
          </w:p>
          <w:p w:rsidR="00BB4DBC" w:rsidRPr="00C258AD" w:rsidRDefault="00BB4DBC" w:rsidP="001A4D6C">
            <w:pPr>
              <w:rPr>
                <w:i/>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à déterminer</w:t>
            </w:r>
          </w:p>
        </w:tc>
        <w:tc>
          <w:tcPr>
            <w:tcW w:w="1022" w:type="pct"/>
            <w:shd w:val="clear" w:color="auto" w:fill="auto"/>
            <w:tcMar>
              <w:top w:w="110" w:type="dxa"/>
            </w:tcMar>
          </w:tcPr>
          <w:p w:rsidR="00BB4DBC" w:rsidRPr="00C258AD" w:rsidRDefault="00BB4DBC" w:rsidP="001A4D6C">
            <w:pPr>
              <w:autoSpaceDE w:val="0"/>
              <w:autoSpaceDN w:val="0"/>
              <w:adjustRightInd w:val="0"/>
              <w:rPr>
                <w:sz w:val="16"/>
                <w:szCs w:val="16"/>
              </w:rPr>
            </w:pPr>
            <w:r w:rsidRPr="00C258AD">
              <w:rPr>
                <w:sz w:val="16"/>
                <w:szCs w:val="16"/>
              </w:rPr>
              <w:t>12 en tout</w:t>
            </w:r>
          </w:p>
        </w:tc>
        <w:tc>
          <w:tcPr>
            <w:tcW w:w="1251" w:type="pct"/>
            <w:shd w:val="clear" w:color="auto" w:fill="FFFFFF"/>
            <w:tcMar>
              <w:top w:w="110" w:type="dxa"/>
            </w:tcMar>
          </w:tcPr>
          <w:p w:rsidR="006E2BB1" w:rsidRPr="00C258AD" w:rsidRDefault="00BB4DBC" w:rsidP="001A4D6C">
            <w:pPr>
              <w:rPr>
                <w:sz w:val="16"/>
                <w:szCs w:val="16"/>
              </w:rPr>
            </w:pPr>
            <w:r w:rsidRPr="00C258AD">
              <w:rPr>
                <w:sz w:val="16"/>
                <w:szCs w:val="16"/>
              </w:rPr>
              <w:t>Quatre projets supplémentaires du Plan d’action pour le développement ont été intégrés en 2014</w:t>
            </w:r>
            <w:r w:rsidRPr="00C258AD">
              <w:rPr>
                <w:sz w:val="16"/>
                <w:szCs w:val="16"/>
              </w:rPr>
              <w:noBreakHyphen/>
              <w:t>2015 (10 en tout).</w:t>
            </w:r>
          </w:p>
          <w:p w:rsidR="006E2BB1" w:rsidRPr="00C258AD" w:rsidRDefault="00BB4DBC" w:rsidP="00BB4DBC">
            <w:pPr>
              <w:pStyle w:val="ListParagraph"/>
              <w:numPr>
                <w:ilvl w:val="0"/>
                <w:numId w:val="43"/>
              </w:numPr>
              <w:rPr>
                <w:sz w:val="16"/>
                <w:szCs w:val="16"/>
              </w:rPr>
            </w:pPr>
            <w:r w:rsidRPr="00C258AD">
              <w:rPr>
                <w:sz w:val="16"/>
                <w:szCs w:val="16"/>
              </w:rPr>
              <w:t>création de nouvelles académies nationales de propriété intellectuelle, au titre du programme 11 (assistance technique)</w:t>
            </w:r>
          </w:p>
          <w:p w:rsidR="006E2BB1" w:rsidRPr="00C258AD" w:rsidRDefault="00BB4DBC" w:rsidP="00BB4DBC">
            <w:pPr>
              <w:pStyle w:val="ListParagraph"/>
              <w:numPr>
                <w:ilvl w:val="0"/>
                <w:numId w:val="43"/>
              </w:numPr>
              <w:rPr>
                <w:sz w:val="16"/>
                <w:szCs w:val="16"/>
              </w:rPr>
            </w:pPr>
            <w:r w:rsidRPr="00C258AD">
              <w:rPr>
                <w:sz w:val="16"/>
                <w:szCs w:val="16"/>
              </w:rPr>
              <w:t>accès à des bases de données spécialisées et appui, au titre du programme 14 (assistance technique)</w:t>
            </w:r>
          </w:p>
          <w:p w:rsidR="006E2BB1" w:rsidRPr="00C258AD" w:rsidRDefault="00BB4DBC" w:rsidP="00BB4DBC">
            <w:pPr>
              <w:pStyle w:val="ListParagraph"/>
              <w:numPr>
                <w:ilvl w:val="0"/>
                <w:numId w:val="43"/>
              </w:numPr>
              <w:rPr>
                <w:sz w:val="16"/>
                <w:szCs w:val="16"/>
              </w:rPr>
            </w:pPr>
            <w:r w:rsidRPr="00C258AD">
              <w:rPr>
                <w:sz w:val="16"/>
                <w:szCs w:val="16"/>
              </w:rPr>
              <w:t>élaboration d’instruments d’accès à l’information en matière de brevets, au titre du programme 14 (accès aux connaissances)</w:t>
            </w:r>
          </w:p>
          <w:p w:rsidR="00BB4DBC" w:rsidRPr="00C258AD" w:rsidRDefault="00BB4DBC" w:rsidP="00BB4DBC">
            <w:pPr>
              <w:pStyle w:val="ListParagraph"/>
              <w:numPr>
                <w:ilvl w:val="0"/>
                <w:numId w:val="43"/>
              </w:numPr>
              <w:rPr>
                <w:sz w:val="16"/>
                <w:szCs w:val="16"/>
              </w:rPr>
            </w:pPr>
            <w:r w:rsidRPr="00C258AD">
              <w:rPr>
                <w:sz w:val="16"/>
                <w:szCs w:val="16"/>
              </w:rPr>
              <w:t>propriété intellectuelle et commercialisation de produits, au titre du programme 9 (assistance technique et renforcement des capacités)</w:t>
            </w:r>
          </w:p>
        </w:tc>
        <w:tc>
          <w:tcPr>
            <w:tcW w:w="529" w:type="pct"/>
            <w:shd w:val="clear" w:color="auto" w:fill="auto"/>
            <w:tcMar>
              <w:top w:w="110" w:type="dxa"/>
            </w:tcMar>
          </w:tcPr>
          <w:p w:rsidR="00BB4DBC" w:rsidRPr="00C258AD" w:rsidRDefault="00BB4DBC" w:rsidP="001A4D6C">
            <w:pPr>
              <w:keepNext/>
              <w:keepLines/>
              <w:jc w:val="center"/>
              <w:rPr>
                <w:b/>
                <w:bCs/>
                <w:sz w:val="16"/>
                <w:szCs w:val="16"/>
              </w:rPr>
            </w:pPr>
            <w:r w:rsidRPr="00C258AD">
              <w:rPr>
                <w:rFonts w:cs="Arial"/>
                <w:b/>
                <w:bCs/>
                <w:color w:val="00B050"/>
                <w:sz w:val="16"/>
                <w:szCs w:val="16"/>
              </w:rPr>
              <w:t>Objectif pleinement atteint</w:t>
            </w:r>
          </w:p>
        </w:tc>
      </w:tr>
      <w:tr w:rsidR="00BB4DBC" w:rsidRPr="00C258AD" w:rsidTr="001A4D6C">
        <w:trPr>
          <w:cantSplit/>
        </w:trPr>
        <w:tc>
          <w:tcPr>
            <w:tcW w:w="1100" w:type="pct"/>
            <w:shd w:val="clear" w:color="auto" w:fill="auto"/>
          </w:tcPr>
          <w:p w:rsidR="00BB4DBC" w:rsidRPr="00C258AD" w:rsidRDefault="00BB4DBC" w:rsidP="001A4D6C">
            <w:pPr>
              <w:rPr>
                <w:sz w:val="16"/>
                <w:szCs w:val="16"/>
                <w:lang w:bidi="th-TH"/>
              </w:rPr>
            </w:pPr>
            <w:r w:rsidRPr="00C258AD">
              <w:rPr>
                <w:sz w:val="16"/>
                <w:szCs w:val="16"/>
                <w:lang w:bidi="th-TH"/>
              </w:rPr>
              <w:t>Système efficace en place pour la planification, le suivi et l’évaluation de la mise en œuvre des recommandations du Plan d’action pour le développement</w:t>
            </w:r>
          </w:p>
        </w:tc>
        <w:tc>
          <w:tcPr>
            <w:tcW w:w="1098" w:type="pct"/>
            <w:shd w:val="clear" w:color="auto" w:fill="auto"/>
          </w:tcPr>
          <w:p w:rsidR="006E2BB1" w:rsidRPr="00C258AD" w:rsidRDefault="00BB4DBC" w:rsidP="001A4D6C">
            <w:pPr>
              <w:rPr>
                <w:sz w:val="16"/>
                <w:szCs w:val="16"/>
                <w:lang w:bidi="th-TH"/>
              </w:rPr>
            </w:pPr>
            <w:r w:rsidRPr="00C258AD">
              <w:rPr>
                <w:i/>
                <w:color w:val="002060"/>
                <w:sz w:val="16"/>
                <w:szCs w:val="16"/>
                <w:lang w:bidi="th-TH"/>
              </w:rPr>
              <w:t>Niveau de référence actualisé à fin 2013 :</w:t>
            </w:r>
            <w:r w:rsidRPr="00C258AD">
              <w:rPr>
                <w:color w:val="002060"/>
                <w:sz w:val="16"/>
                <w:szCs w:val="16"/>
                <w:lang w:bidi="th-TH"/>
              </w:rPr>
              <w:t xml:space="preserve"> système centralisé efficace pour la planification, le suivi et l’évaluation de la mise en œuvre des recommandations du Plan d’action pour le développement</w:t>
            </w:r>
          </w:p>
          <w:p w:rsidR="006E2BB1" w:rsidRPr="00C258AD" w:rsidRDefault="006E2BB1" w:rsidP="001A4D6C">
            <w:pPr>
              <w:rPr>
                <w:i/>
                <w:sz w:val="16"/>
                <w:szCs w:val="16"/>
              </w:rPr>
            </w:pPr>
          </w:p>
          <w:p w:rsidR="00BB4DBC" w:rsidRPr="00C258AD" w:rsidRDefault="00BB4DBC" w:rsidP="001A4D6C">
            <w:pPr>
              <w:rPr>
                <w:i/>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à déterminer</w:t>
            </w:r>
          </w:p>
        </w:tc>
        <w:tc>
          <w:tcPr>
            <w:tcW w:w="1022" w:type="pct"/>
            <w:shd w:val="clear" w:color="auto" w:fill="auto"/>
            <w:tcMar>
              <w:top w:w="110" w:type="dxa"/>
            </w:tcMar>
          </w:tcPr>
          <w:p w:rsidR="00BB4DBC" w:rsidRPr="00C258AD" w:rsidRDefault="00BB4DBC" w:rsidP="001A4D6C">
            <w:pPr>
              <w:autoSpaceDE w:val="0"/>
              <w:autoSpaceDN w:val="0"/>
              <w:adjustRightInd w:val="0"/>
              <w:rPr>
                <w:sz w:val="16"/>
                <w:szCs w:val="16"/>
              </w:rPr>
            </w:pPr>
            <w:r w:rsidRPr="00C258AD">
              <w:rPr>
                <w:sz w:val="16"/>
                <w:szCs w:val="16"/>
              </w:rPr>
              <w:t>Tous les programmes sont dotés d’un système efficace de planification, de suivi et d’évaluation de la mise en œuvre des recommandations du Plan d’action pour le développement</w:t>
            </w:r>
          </w:p>
        </w:tc>
        <w:tc>
          <w:tcPr>
            <w:tcW w:w="1251" w:type="pct"/>
            <w:shd w:val="clear" w:color="auto" w:fill="FFFFFF"/>
            <w:tcMar>
              <w:top w:w="110" w:type="dxa"/>
            </w:tcMar>
          </w:tcPr>
          <w:p w:rsidR="00BB4DBC" w:rsidRPr="00C258AD" w:rsidRDefault="00BB4DBC" w:rsidP="001A4D6C">
            <w:pPr>
              <w:rPr>
                <w:sz w:val="16"/>
                <w:szCs w:val="16"/>
              </w:rPr>
            </w:pPr>
            <w:r w:rsidRPr="00C258AD">
              <w:rPr>
                <w:sz w:val="16"/>
                <w:szCs w:val="16"/>
              </w:rPr>
              <w:t>Tous les programmes concernés sont dotés d’un système efficace de planification, de suivi et d’évaluation de la mise en œuvre des recommandations du Plan d’action pour le développement</w:t>
            </w:r>
            <w:r w:rsidRPr="00C258AD" w:rsidDel="006E7476">
              <w:rPr>
                <w:sz w:val="16"/>
                <w:szCs w:val="16"/>
              </w:rPr>
              <w:t xml:space="preserve"> </w:t>
            </w:r>
          </w:p>
        </w:tc>
        <w:tc>
          <w:tcPr>
            <w:tcW w:w="529" w:type="pct"/>
            <w:shd w:val="clear" w:color="auto" w:fill="auto"/>
            <w:tcMar>
              <w:top w:w="110" w:type="dxa"/>
            </w:tcMar>
          </w:tcPr>
          <w:p w:rsidR="00BB4DBC" w:rsidRPr="00C258AD" w:rsidRDefault="00BB4DBC" w:rsidP="001A4D6C">
            <w:pPr>
              <w:keepNext/>
              <w:keepLines/>
              <w:jc w:val="center"/>
              <w:rPr>
                <w:b/>
                <w:bCs/>
                <w:color w:val="00B050"/>
                <w:sz w:val="16"/>
                <w:szCs w:val="16"/>
              </w:rPr>
            </w:pPr>
            <w:r w:rsidRPr="00C258AD">
              <w:rPr>
                <w:rFonts w:cs="Arial"/>
                <w:b/>
                <w:bCs/>
                <w:color w:val="00B050"/>
                <w:sz w:val="16"/>
                <w:szCs w:val="16"/>
              </w:rPr>
              <w:t>Objectif pleinement atteint</w:t>
            </w:r>
          </w:p>
        </w:tc>
      </w:tr>
      <w:tr w:rsidR="00BB4DBC" w:rsidRPr="00C258AD" w:rsidTr="001A4D6C">
        <w:trPr>
          <w:cantSplit/>
        </w:trPr>
        <w:tc>
          <w:tcPr>
            <w:tcW w:w="1100" w:type="pct"/>
            <w:tcBorders>
              <w:bottom w:val="single" w:sz="4" w:space="0" w:color="auto"/>
            </w:tcBorders>
            <w:shd w:val="clear" w:color="auto" w:fill="auto"/>
          </w:tcPr>
          <w:p w:rsidR="006E2BB1" w:rsidRPr="00C258AD" w:rsidRDefault="00BB4DBC" w:rsidP="001A4D6C">
            <w:pPr>
              <w:rPr>
                <w:sz w:val="16"/>
                <w:szCs w:val="16"/>
                <w:lang w:bidi="th-TH"/>
              </w:rPr>
            </w:pPr>
            <w:r w:rsidRPr="00C258AD">
              <w:rPr>
                <w:sz w:val="16"/>
                <w:szCs w:val="16"/>
                <w:lang w:bidi="th-TH"/>
              </w:rPr>
              <w:t>Pourcentage de projets du Plan d’action pour le développement qui ont été</w:t>
            </w:r>
          </w:p>
          <w:p w:rsidR="00BB4DBC" w:rsidRPr="00C258AD" w:rsidRDefault="00BB4DBC" w:rsidP="001A4D6C">
            <w:pPr>
              <w:rPr>
                <w:sz w:val="16"/>
                <w:szCs w:val="16"/>
                <w:lang w:bidi="th-TH"/>
              </w:rPr>
            </w:pPr>
            <w:r w:rsidRPr="00C258AD">
              <w:rPr>
                <w:sz w:val="16"/>
                <w:szCs w:val="16"/>
                <w:lang w:bidi="th-TH"/>
              </w:rPr>
              <w:t>évalués de manière indépendante</w:t>
            </w:r>
          </w:p>
        </w:tc>
        <w:tc>
          <w:tcPr>
            <w:tcW w:w="1098" w:type="pct"/>
            <w:tcBorders>
              <w:bottom w:val="single" w:sz="4" w:space="0" w:color="auto"/>
            </w:tcBorders>
            <w:shd w:val="clear" w:color="auto" w:fill="auto"/>
          </w:tcPr>
          <w:p w:rsidR="006E2BB1" w:rsidRPr="00C258AD" w:rsidRDefault="00BB4DBC" w:rsidP="001A4D6C">
            <w:pPr>
              <w:rPr>
                <w:sz w:val="16"/>
                <w:szCs w:val="16"/>
                <w:lang w:bidi="th-TH"/>
              </w:rPr>
            </w:pPr>
            <w:r w:rsidRPr="00C258AD">
              <w:rPr>
                <w:i/>
                <w:color w:val="002060"/>
                <w:sz w:val="16"/>
                <w:szCs w:val="16"/>
                <w:lang w:bidi="th-TH"/>
              </w:rPr>
              <w:t>Niveau de référence actualisé à fin 2013 :</w:t>
            </w:r>
            <w:r w:rsidRPr="00C258AD">
              <w:rPr>
                <w:color w:val="002060"/>
                <w:sz w:val="16"/>
                <w:szCs w:val="16"/>
                <w:lang w:bidi="th-TH"/>
              </w:rPr>
              <w:t xml:space="preserve"> 100%;  14 rapports d’évaluation examinés par le CDIP (évalués durant l’exercice biennal 2012</w:t>
            </w:r>
            <w:r w:rsidRPr="00C258AD">
              <w:rPr>
                <w:color w:val="002060"/>
                <w:sz w:val="16"/>
                <w:szCs w:val="16"/>
                <w:lang w:bidi="th-TH"/>
              </w:rPr>
              <w:noBreakHyphen/>
              <w:t>2013)</w:t>
            </w:r>
            <w:r w:rsidRPr="00C258AD">
              <w:rPr>
                <w:sz w:val="16"/>
                <w:szCs w:val="16"/>
                <w:lang w:bidi="th-TH"/>
              </w:rPr>
              <w:t>.</w:t>
            </w:r>
          </w:p>
          <w:p w:rsidR="006E2BB1" w:rsidRPr="00C258AD" w:rsidRDefault="006E2BB1" w:rsidP="001A4D6C">
            <w:pPr>
              <w:rPr>
                <w:i/>
                <w:sz w:val="16"/>
                <w:szCs w:val="16"/>
              </w:rPr>
            </w:pPr>
          </w:p>
          <w:p w:rsidR="00BB4DBC" w:rsidRPr="00C258AD" w:rsidRDefault="00BB4DBC" w:rsidP="001A4D6C">
            <w:pPr>
              <w:rPr>
                <w:i/>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100%</w:t>
            </w:r>
          </w:p>
        </w:tc>
        <w:tc>
          <w:tcPr>
            <w:tcW w:w="1022" w:type="pct"/>
            <w:tcBorders>
              <w:bottom w:val="single" w:sz="4" w:space="0" w:color="auto"/>
            </w:tcBorders>
            <w:shd w:val="clear" w:color="auto" w:fill="auto"/>
            <w:tcMar>
              <w:top w:w="110" w:type="dxa"/>
            </w:tcMar>
          </w:tcPr>
          <w:p w:rsidR="00BB4DBC" w:rsidRPr="00C258AD" w:rsidRDefault="00BB4DBC" w:rsidP="001A4D6C">
            <w:pPr>
              <w:autoSpaceDE w:val="0"/>
              <w:autoSpaceDN w:val="0"/>
              <w:adjustRightInd w:val="0"/>
              <w:rPr>
                <w:sz w:val="16"/>
                <w:szCs w:val="16"/>
              </w:rPr>
            </w:pPr>
            <w:r w:rsidRPr="00C258AD">
              <w:rPr>
                <w:sz w:val="16"/>
                <w:szCs w:val="16"/>
              </w:rPr>
              <w:t>100%</w:t>
            </w:r>
          </w:p>
        </w:tc>
        <w:tc>
          <w:tcPr>
            <w:tcW w:w="1251" w:type="pct"/>
            <w:tcBorders>
              <w:bottom w:val="single" w:sz="4" w:space="0" w:color="auto"/>
            </w:tcBorders>
            <w:shd w:val="clear" w:color="auto" w:fill="FFFFFF"/>
            <w:tcMar>
              <w:top w:w="110" w:type="dxa"/>
            </w:tcMar>
          </w:tcPr>
          <w:p w:rsidR="006E2BB1" w:rsidRPr="00C258AD" w:rsidRDefault="00BB4DBC" w:rsidP="001A4D6C">
            <w:pPr>
              <w:rPr>
                <w:sz w:val="16"/>
                <w:szCs w:val="16"/>
              </w:rPr>
            </w:pPr>
            <w:r w:rsidRPr="00C258AD">
              <w:rPr>
                <w:sz w:val="16"/>
                <w:szCs w:val="16"/>
              </w:rPr>
              <w:t>100% : 11 projets terminés ont été évalués de manière indépendante et examinés par le CDIP en 2014</w:t>
            </w:r>
            <w:r w:rsidRPr="00C258AD">
              <w:rPr>
                <w:sz w:val="16"/>
                <w:szCs w:val="16"/>
              </w:rPr>
              <w:noBreakHyphen/>
              <w:t>2015 :</w:t>
            </w:r>
          </w:p>
          <w:p w:rsidR="006E2BB1" w:rsidRPr="00C258AD" w:rsidRDefault="00BB4DBC" w:rsidP="00BB4DBC">
            <w:pPr>
              <w:pStyle w:val="ListParagraph"/>
              <w:numPr>
                <w:ilvl w:val="0"/>
                <w:numId w:val="43"/>
              </w:numPr>
              <w:rPr>
                <w:sz w:val="16"/>
                <w:szCs w:val="16"/>
              </w:rPr>
            </w:pPr>
            <w:r w:rsidRPr="00C258AD">
              <w:rPr>
                <w:sz w:val="16"/>
                <w:szCs w:val="16"/>
              </w:rPr>
              <w:t>8 en 2014</w:t>
            </w:r>
          </w:p>
          <w:p w:rsidR="00BB4DBC" w:rsidRPr="00C258AD" w:rsidRDefault="00BB4DBC" w:rsidP="00BB4DBC">
            <w:pPr>
              <w:pStyle w:val="ListParagraph"/>
              <w:numPr>
                <w:ilvl w:val="0"/>
                <w:numId w:val="43"/>
              </w:numPr>
              <w:rPr>
                <w:sz w:val="16"/>
                <w:szCs w:val="16"/>
              </w:rPr>
            </w:pPr>
            <w:r w:rsidRPr="00C258AD">
              <w:rPr>
                <w:sz w:val="16"/>
                <w:szCs w:val="16"/>
              </w:rPr>
              <w:t>3 en 2015</w:t>
            </w:r>
          </w:p>
        </w:tc>
        <w:tc>
          <w:tcPr>
            <w:tcW w:w="529" w:type="pct"/>
            <w:tcBorders>
              <w:bottom w:val="single" w:sz="4" w:space="0" w:color="auto"/>
            </w:tcBorders>
            <w:shd w:val="clear" w:color="auto" w:fill="auto"/>
            <w:tcMar>
              <w:top w:w="110" w:type="dxa"/>
            </w:tcMar>
          </w:tcPr>
          <w:p w:rsidR="00BB4DBC" w:rsidRPr="00C258AD" w:rsidRDefault="00BB4DBC" w:rsidP="001A4D6C">
            <w:pPr>
              <w:keepNext/>
              <w:keepLines/>
              <w:jc w:val="center"/>
              <w:rPr>
                <w:b/>
                <w:bCs/>
                <w:color w:val="00B050"/>
                <w:sz w:val="16"/>
                <w:szCs w:val="16"/>
              </w:rPr>
            </w:pPr>
            <w:r w:rsidRPr="00C258AD">
              <w:rPr>
                <w:rFonts w:cs="Arial"/>
                <w:b/>
                <w:bCs/>
                <w:color w:val="00B050"/>
                <w:sz w:val="16"/>
                <w:szCs w:val="16"/>
              </w:rPr>
              <w:t>Objectif pleinement atteint</w:t>
            </w:r>
          </w:p>
        </w:tc>
      </w:tr>
      <w:tr w:rsidR="00BB4DBC" w:rsidRPr="00C258AD" w:rsidTr="001A4D6C">
        <w:trPr>
          <w:cantSplit/>
        </w:trPr>
        <w:tc>
          <w:tcPr>
            <w:tcW w:w="5000" w:type="pct"/>
            <w:gridSpan w:val="5"/>
            <w:tcBorders>
              <w:top w:val="single" w:sz="4" w:space="0" w:color="auto"/>
              <w:bottom w:val="single" w:sz="4" w:space="0" w:color="auto"/>
            </w:tcBorders>
            <w:shd w:val="clear" w:color="auto" w:fill="C5D9F1"/>
            <w:vAlign w:val="center"/>
          </w:tcPr>
          <w:p w:rsidR="00BB4DBC" w:rsidRPr="00C258AD" w:rsidRDefault="00BB4DBC" w:rsidP="001A4D6C">
            <w:pPr>
              <w:keepNext/>
              <w:rPr>
                <w:b/>
                <w:sz w:val="16"/>
                <w:szCs w:val="16"/>
              </w:rPr>
            </w:pPr>
            <w:r w:rsidRPr="00C258AD">
              <w:rPr>
                <w:b/>
                <w:sz w:val="16"/>
                <w:szCs w:val="16"/>
              </w:rPr>
              <w:lastRenderedPageBreak/>
              <w:t>Résultat escompté :</w:t>
            </w:r>
            <w:r w:rsidRPr="00C258AD">
              <w:rPr>
                <w:sz w:val="16"/>
                <w:szCs w:val="16"/>
              </w:rPr>
              <w:t xml:space="preserve"> III.5 Meilleure connaissance du Plan d’action pour le développement de la part des États membres, des organisations intergouvernementales, de la société civile et d’autres parties prenantes</w:t>
            </w:r>
          </w:p>
        </w:tc>
      </w:tr>
      <w:tr w:rsidR="00BB4DBC" w:rsidRPr="00C258AD" w:rsidTr="001A4D6C">
        <w:trPr>
          <w:cantSplit/>
        </w:trPr>
        <w:tc>
          <w:tcPr>
            <w:tcW w:w="1100" w:type="pct"/>
            <w:tcBorders>
              <w:top w:val="single" w:sz="4" w:space="0" w:color="auto"/>
            </w:tcBorders>
            <w:shd w:val="clear" w:color="auto" w:fill="auto"/>
            <w:vAlign w:val="center"/>
          </w:tcPr>
          <w:p w:rsidR="00BB4DBC" w:rsidRPr="00C258AD" w:rsidRDefault="00BB4DBC" w:rsidP="001A4D6C">
            <w:pPr>
              <w:keepNext/>
              <w:jc w:val="center"/>
              <w:rPr>
                <w:b/>
                <w:sz w:val="16"/>
                <w:szCs w:val="16"/>
              </w:rPr>
            </w:pPr>
            <w:r w:rsidRPr="00C258AD">
              <w:rPr>
                <w:b/>
                <w:sz w:val="16"/>
                <w:szCs w:val="16"/>
              </w:rPr>
              <w:t>Indicateurs d’exécution</w:t>
            </w:r>
          </w:p>
        </w:tc>
        <w:tc>
          <w:tcPr>
            <w:tcW w:w="1098" w:type="pct"/>
            <w:tcBorders>
              <w:top w:val="single" w:sz="4" w:space="0" w:color="auto"/>
            </w:tcBorders>
            <w:shd w:val="clear" w:color="auto" w:fill="auto"/>
            <w:vAlign w:val="center"/>
          </w:tcPr>
          <w:p w:rsidR="00BB4DBC" w:rsidRPr="00C258AD" w:rsidRDefault="00BB4DBC" w:rsidP="001A4D6C">
            <w:pPr>
              <w:keepNext/>
              <w:jc w:val="center"/>
              <w:rPr>
                <w:b/>
                <w:bCs/>
                <w:sz w:val="16"/>
                <w:szCs w:val="16"/>
              </w:rPr>
            </w:pPr>
            <w:r w:rsidRPr="00C258AD">
              <w:rPr>
                <w:b/>
                <w:bCs/>
                <w:sz w:val="16"/>
                <w:szCs w:val="16"/>
              </w:rPr>
              <w:t>Niveaux de référence</w:t>
            </w:r>
          </w:p>
        </w:tc>
        <w:tc>
          <w:tcPr>
            <w:tcW w:w="1022" w:type="pct"/>
            <w:tcBorders>
              <w:top w:val="single" w:sz="4" w:space="0" w:color="auto"/>
            </w:tcBorders>
            <w:shd w:val="clear" w:color="auto" w:fill="auto"/>
            <w:tcMar>
              <w:top w:w="110" w:type="dxa"/>
            </w:tcMar>
            <w:vAlign w:val="center"/>
          </w:tcPr>
          <w:p w:rsidR="00BB4DBC" w:rsidRPr="00C258AD" w:rsidRDefault="00BB4DBC" w:rsidP="001A4D6C">
            <w:pPr>
              <w:keepNext/>
              <w:jc w:val="center"/>
              <w:rPr>
                <w:b/>
                <w:sz w:val="16"/>
                <w:szCs w:val="16"/>
              </w:rPr>
            </w:pPr>
            <w:r w:rsidRPr="00C258AD">
              <w:rPr>
                <w:b/>
                <w:sz w:val="16"/>
                <w:szCs w:val="16"/>
              </w:rPr>
              <w:t>Objectifs visés</w:t>
            </w:r>
          </w:p>
        </w:tc>
        <w:tc>
          <w:tcPr>
            <w:tcW w:w="1251" w:type="pct"/>
            <w:tcBorders>
              <w:top w:val="single" w:sz="4" w:space="0" w:color="auto"/>
            </w:tcBorders>
            <w:shd w:val="clear" w:color="auto" w:fill="FFFFFF"/>
            <w:tcMar>
              <w:top w:w="110" w:type="dxa"/>
            </w:tcMar>
            <w:vAlign w:val="center"/>
          </w:tcPr>
          <w:p w:rsidR="00BB4DBC" w:rsidRPr="00C258AD" w:rsidRDefault="00BB4DBC" w:rsidP="001A4D6C">
            <w:pPr>
              <w:keepNext/>
              <w:jc w:val="center"/>
              <w:rPr>
                <w:b/>
                <w:sz w:val="16"/>
                <w:szCs w:val="16"/>
              </w:rPr>
            </w:pPr>
            <w:r w:rsidRPr="00C258AD">
              <w:rPr>
                <w:b/>
                <w:sz w:val="16"/>
                <w:szCs w:val="16"/>
              </w:rPr>
              <w:t>Données relatives à l’exécution</w:t>
            </w:r>
          </w:p>
        </w:tc>
        <w:tc>
          <w:tcPr>
            <w:tcW w:w="529" w:type="pct"/>
            <w:tcBorders>
              <w:top w:val="single" w:sz="4" w:space="0" w:color="auto"/>
            </w:tcBorders>
            <w:shd w:val="clear" w:color="auto" w:fill="auto"/>
            <w:tcMar>
              <w:top w:w="110" w:type="dxa"/>
            </w:tcMar>
            <w:vAlign w:val="center"/>
          </w:tcPr>
          <w:p w:rsidR="00BB4DBC" w:rsidRPr="00C258AD" w:rsidRDefault="00BB4DBC" w:rsidP="001A4D6C">
            <w:pPr>
              <w:keepNext/>
              <w:keepLines/>
              <w:jc w:val="center"/>
              <w:rPr>
                <w:b/>
                <w:bCs/>
                <w:sz w:val="16"/>
                <w:szCs w:val="16"/>
              </w:rPr>
            </w:pPr>
            <w:r w:rsidRPr="00C258AD">
              <w:rPr>
                <w:b/>
                <w:bCs/>
                <w:sz w:val="16"/>
                <w:szCs w:val="16"/>
              </w:rPr>
              <w:t>Code de couleurs</w:t>
            </w:r>
          </w:p>
        </w:tc>
      </w:tr>
      <w:tr w:rsidR="00BB4DBC" w:rsidRPr="00C258AD" w:rsidTr="001A4D6C">
        <w:trPr>
          <w:cantSplit/>
        </w:trPr>
        <w:tc>
          <w:tcPr>
            <w:tcW w:w="1100" w:type="pct"/>
            <w:shd w:val="clear" w:color="auto" w:fill="FFFFFF"/>
          </w:tcPr>
          <w:p w:rsidR="00BB4DBC" w:rsidRPr="00C258AD" w:rsidRDefault="00BB4DBC" w:rsidP="001A4D6C">
            <w:pPr>
              <w:rPr>
                <w:sz w:val="16"/>
                <w:szCs w:val="16"/>
                <w:lang w:bidi="th-TH"/>
              </w:rPr>
            </w:pPr>
            <w:r w:rsidRPr="00C258AD">
              <w:rPr>
                <w:sz w:val="16"/>
                <w:szCs w:val="16"/>
                <w:lang w:bidi="th-TH"/>
              </w:rPr>
              <w:t>Nombre de pays demandant une assistance technique dans le cadre des projets du Plan d’action pour le développement et manifestant leur intérêt pour des activités en rapport avec le Plan d’action pour le développement</w:t>
            </w:r>
          </w:p>
        </w:tc>
        <w:tc>
          <w:tcPr>
            <w:tcW w:w="1098" w:type="pct"/>
            <w:shd w:val="clear" w:color="auto" w:fill="auto"/>
          </w:tcPr>
          <w:p w:rsidR="006E2BB1" w:rsidRPr="00C258AD" w:rsidRDefault="00BB4DBC" w:rsidP="001A4D6C">
            <w:pPr>
              <w:rPr>
                <w:sz w:val="16"/>
                <w:szCs w:val="16"/>
                <w:lang w:bidi="th-TH"/>
              </w:rPr>
            </w:pPr>
            <w:r w:rsidRPr="00C258AD">
              <w:rPr>
                <w:i/>
                <w:color w:val="002060"/>
                <w:sz w:val="16"/>
                <w:szCs w:val="16"/>
                <w:lang w:bidi="th-TH"/>
              </w:rPr>
              <w:t>Niveau de référence actualisé à fin 2013 :</w:t>
            </w:r>
            <w:r w:rsidRPr="00C258AD">
              <w:rPr>
                <w:color w:val="002060"/>
                <w:sz w:val="16"/>
                <w:szCs w:val="16"/>
                <w:lang w:bidi="th-TH"/>
              </w:rPr>
              <w:t xml:space="preserve"> projets et activités en rapport avec le Plan d’action pour le développement dans 50 pays</w:t>
            </w:r>
          </w:p>
          <w:p w:rsidR="006E2BB1" w:rsidRPr="00C258AD" w:rsidRDefault="006E2BB1" w:rsidP="001A4D6C">
            <w:pPr>
              <w:rPr>
                <w:i/>
                <w:sz w:val="16"/>
                <w:szCs w:val="16"/>
              </w:rPr>
            </w:pPr>
          </w:p>
          <w:p w:rsidR="00BB4DBC" w:rsidRPr="00C258AD" w:rsidRDefault="00BB4DBC" w:rsidP="001A4D6C">
            <w:pPr>
              <w:rPr>
                <w:sz w:val="16"/>
                <w:szCs w:val="16"/>
                <w:lang w:bidi="th-TH"/>
              </w:rPr>
            </w:pPr>
            <w:r w:rsidRPr="00C258AD">
              <w:rPr>
                <w:i/>
                <w:sz w:val="16"/>
                <w:szCs w:val="16"/>
                <w:lang w:bidi="th-TH"/>
              </w:rPr>
              <w:t>Niveau de référence initial dans le programme et budget 2014</w:t>
            </w:r>
            <w:r w:rsidRPr="00C258AD">
              <w:rPr>
                <w:i/>
                <w:sz w:val="16"/>
                <w:szCs w:val="16"/>
                <w:lang w:bidi="th-TH"/>
              </w:rPr>
              <w:noBreakHyphen/>
              <w:t>2015 :</w:t>
            </w:r>
            <w:r w:rsidRPr="00C258AD">
              <w:rPr>
                <w:sz w:val="16"/>
                <w:szCs w:val="16"/>
                <w:lang w:bidi="th-TH"/>
              </w:rPr>
              <w:t xml:space="preserve"> projets et activités en rapport avec le Plan d’action pour le développement dans 43 pays (avril 2013)</w:t>
            </w:r>
          </w:p>
        </w:tc>
        <w:tc>
          <w:tcPr>
            <w:tcW w:w="1022" w:type="pct"/>
            <w:shd w:val="clear" w:color="auto" w:fill="auto"/>
            <w:tcMar>
              <w:top w:w="110" w:type="dxa"/>
            </w:tcMar>
          </w:tcPr>
          <w:p w:rsidR="00BB4DBC" w:rsidRPr="00C258AD" w:rsidRDefault="00BB4DBC" w:rsidP="001A4D6C">
            <w:pPr>
              <w:rPr>
                <w:sz w:val="16"/>
                <w:szCs w:val="16"/>
                <w:lang w:bidi="th-TH"/>
              </w:rPr>
            </w:pPr>
            <w:r w:rsidRPr="00C258AD">
              <w:rPr>
                <w:sz w:val="16"/>
                <w:szCs w:val="16"/>
                <w:lang w:bidi="th-TH"/>
              </w:rPr>
              <w:t>Projets et activités en rapport avec le Plan d’action pour le développement dans 50 pays</w:t>
            </w:r>
          </w:p>
        </w:tc>
        <w:tc>
          <w:tcPr>
            <w:tcW w:w="1251" w:type="pct"/>
            <w:shd w:val="clear" w:color="auto" w:fill="FFFFFF"/>
            <w:tcMar>
              <w:top w:w="110" w:type="dxa"/>
            </w:tcMar>
          </w:tcPr>
          <w:p w:rsidR="00BB4DBC" w:rsidRPr="00C258AD" w:rsidRDefault="00BB4DBC" w:rsidP="001A4D6C">
            <w:pPr>
              <w:rPr>
                <w:sz w:val="16"/>
                <w:szCs w:val="16"/>
                <w:lang w:bidi="th-TH"/>
              </w:rPr>
            </w:pPr>
            <w:r w:rsidRPr="00C258AD">
              <w:rPr>
                <w:sz w:val="16"/>
                <w:szCs w:val="16"/>
                <w:lang w:bidi="th-TH"/>
              </w:rPr>
              <w:t>53 pays en développement ont participé à la mise en œuvre de projets du Plan d’action pour le développement.</w:t>
            </w:r>
          </w:p>
        </w:tc>
        <w:tc>
          <w:tcPr>
            <w:tcW w:w="529" w:type="pct"/>
            <w:shd w:val="clear" w:color="auto" w:fill="auto"/>
            <w:tcMar>
              <w:top w:w="110" w:type="dxa"/>
            </w:tcMar>
          </w:tcPr>
          <w:p w:rsidR="00BB4DBC" w:rsidRPr="00C258AD" w:rsidRDefault="00BB4DBC" w:rsidP="001A4D6C">
            <w:pPr>
              <w:keepNext/>
              <w:keepLines/>
              <w:jc w:val="center"/>
              <w:rPr>
                <w:b/>
                <w:bCs/>
                <w:sz w:val="16"/>
                <w:szCs w:val="16"/>
              </w:rPr>
            </w:pPr>
            <w:r w:rsidRPr="00C258AD">
              <w:rPr>
                <w:rFonts w:cs="Arial"/>
                <w:b/>
                <w:bCs/>
                <w:color w:val="00B050"/>
                <w:sz w:val="16"/>
                <w:szCs w:val="16"/>
              </w:rPr>
              <w:t>Objectif pleinement atteint</w:t>
            </w:r>
          </w:p>
        </w:tc>
      </w:tr>
      <w:tr w:rsidR="00BB4DBC" w:rsidRPr="00C258AD" w:rsidTr="001A4D6C">
        <w:trPr>
          <w:cantSplit/>
        </w:trPr>
        <w:tc>
          <w:tcPr>
            <w:tcW w:w="1100" w:type="pct"/>
            <w:shd w:val="clear" w:color="auto" w:fill="auto"/>
          </w:tcPr>
          <w:p w:rsidR="00BB4DBC" w:rsidRPr="00C258AD" w:rsidRDefault="00BB4DBC" w:rsidP="001A4D6C">
            <w:pPr>
              <w:rPr>
                <w:sz w:val="16"/>
                <w:szCs w:val="16"/>
                <w:lang w:bidi="th-TH"/>
              </w:rPr>
            </w:pPr>
            <w:r w:rsidRPr="00C258AD">
              <w:rPr>
                <w:sz w:val="16"/>
                <w:szCs w:val="16"/>
                <w:lang w:bidi="th-TH"/>
              </w:rPr>
              <w:t>Pourcentage des participants de réunions de l’OMPI (États membres, organisations intergouvernementales, société civile et autres parties prenantes) satisfaits des informations reçues sur les recommandations du Plan d’action pour le développement</w:t>
            </w:r>
          </w:p>
        </w:tc>
        <w:tc>
          <w:tcPr>
            <w:tcW w:w="1098" w:type="pct"/>
            <w:shd w:val="clear" w:color="auto" w:fill="auto"/>
          </w:tcPr>
          <w:p w:rsidR="00BB4DBC" w:rsidRPr="00C258AD" w:rsidRDefault="00BB4DBC" w:rsidP="001A4D6C">
            <w:pPr>
              <w:rPr>
                <w:sz w:val="16"/>
                <w:szCs w:val="16"/>
                <w:lang w:bidi="th-TH"/>
              </w:rPr>
            </w:pPr>
            <w:proofErr w:type="spellStart"/>
            <w:r w:rsidRPr="00C258AD">
              <w:rPr>
                <w:sz w:val="16"/>
                <w:szCs w:val="16"/>
                <w:lang w:bidi="th-TH"/>
              </w:rPr>
              <w:t>n.d</w:t>
            </w:r>
            <w:proofErr w:type="spellEnd"/>
            <w:r w:rsidRPr="00C258AD">
              <w:rPr>
                <w:sz w:val="16"/>
                <w:szCs w:val="16"/>
                <w:lang w:bidi="th-TH"/>
              </w:rPr>
              <w:t>.</w:t>
            </w:r>
          </w:p>
        </w:tc>
        <w:tc>
          <w:tcPr>
            <w:tcW w:w="1022" w:type="pct"/>
            <w:shd w:val="clear" w:color="auto" w:fill="auto"/>
            <w:tcMar>
              <w:top w:w="110" w:type="dxa"/>
            </w:tcMar>
          </w:tcPr>
          <w:p w:rsidR="00BB4DBC" w:rsidRPr="00C258AD" w:rsidRDefault="00BB4DBC" w:rsidP="001A4D6C">
            <w:pPr>
              <w:rPr>
                <w:sz w:val="16"/>
                <w:szCs w:val="16"/>
                <w:lang w:bidi="th-TH"/>
              </w:rPr>
            </w:pPr>
            <w:r w:rsidRPr="00C258AD">
              <w:rPr>
                <w:sz w:val="16"/>
                <w:szCs w:val="16"/>
                <w:lang w:bidi="th-TH"/>
              </w:rPr>
              <w:t>80%</w:t>
            </w:r>
          </w:p>
        </w:tc>
        <w:tc>
          <w:tcPr>
            <w:tcW w:w="1251" w:type="pct"/>
            <w:shd w:val="clear" w:color="auto" w:fill="FFFFFF"/>
            <w:tcMar>
              <w:top w:w="110" w:type="dxa"/>
            </w:tcMar>
          </w:tcPr>
          <w:p w:rsidR="00BB4DBC" w:rsidRPr="00C258AD" w:rsidRDefault="00BB4DBC" w:rsidP="001A4D6C">
            <w:pPr>
              <w:rPr>
                <w:sz w:val="16"/>
                <w:szCs w:val="16"/>
                <w:lang w:bidi="th-TH"/>
              </w:rPr>
            </w:pPr>
            <w:r w:rsidRPr="00C258AD">
              <w:rPr>
                <w:sz w:val="16"/>
                <w:szCs w:val="16"/>
              </w:rPr>
              <w:t>78,57%</w:t>
            </w:r>
          </w:p>
        </w:tc>
        <w:tc>
          <w:tcPr>
            <w:tcW w:w="529" w:type="pct"/>
            <w:shd w:val="clear" w:color="auto" w:fill="auto"/>
          </w:tcPr>
          <w:p w:rsidR="00BB4DBC" w:rsidRPr="00C258AD" w:rsidRDefault="00BB4DBC" w:rsidP="001A4D6C">
            <w:pPr>
              <w:keepNext/>
              <w:keepLines/>
              <w:jc w:val="center"/>
              <w:rPr>
                <w:b/>
                <w:bCs/>
                <w:sz w:val="16"/>
                <w:szCs w:val="16"/>
              </w:rPr>
            </w:pPr>
            <w:r w:rsidRPr="00C258AD">
              <w:rPr>
                <w:rFonts w:cs="Arial"/>
                <w:b/>
                <w:bCs/>
                <w:color w:val="00B050"/>
                <w:sz w:val="16"/>
                <w:szCs w:val="16"/>
              </w:rPr>
              <w:t>Objectif pleinement atteint</w:t>
            </w:r>
          </w:p>
        </w:tc>
      </w:tr>
    </w:tbl>
    <w:p w:rsidR="006E2BB1" w:rsidRPr="00C258AD" w:rsidRDefault="006E2BB1" w:rsidP="001A4D6C">
      <w:pPr>
        <w:jc w:val="both"/>
        <w:rPr>
          <w:bCs/>
        </w:rPr>
      </w:pPr>
    </w:p>
    <w:p w:rsidR="006E2BB1" w:rsidRPr="00C258AD" w:rsidRDefault="006E2BB1" w:rsidP="001A4D6C">
      <w:pPr>
        <w:jc w:val="both"/>
        <w:rPr>
          <w:bCs/>
        </w:rPr>
      </w:pPr>
    </w:p>
    <w:p w:rsidR="006E2BB1" w:rsidRPr="00C258AD" w:rsidRDefault="00BB4DBC" w:rsidP="00305CE5">
      <w:pPr>
        <w:keepNext/>
        <w:rPr>
          <w:rFonts w:cs="Arial"/>
          <w:caps/>
          <w:sz w:val="22"/>
          <w:szCs w:val="22"/>
        </w:rPr>
      </w:pPr>
      <w:r w:rsidRPr="00C258AD">
        <w:rPr>
          <w:rFonts w:cs="Arial"/>
          <w:caps/>
          <w:sz w:val="22"/>
          <w:szCs w:val="22"/>
        </w:rPr>
        <w:t>Rapport d’évaluation des risques pour l’exercice biennal</w:t>
      </w:r>
    </w:p>
    <w:p w:rsidR="00BB4DBC" w:rsidRPr="00C258AD" w:rsidRDefault="00BB4DBC" w:rsidP="001A4D6C">
      <w:pPr>
        <w:keepNext/>
        <w:keepLines/>
        <w:rPr>
          <w:color w:val="000000"/>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BB4DBC" w:rsidRPr="00C258AD" w:rsidTr="001A4D6C">
        <w:trPr>
          <w:cantSplit/>
        </w:trPr>
        <w:tc>
          <w:tcPr>
            <w:tcW w:w="2372" w:type="dxa"/>
            <w:tcBorders>
              <w:top w:val="single" w:sz="4" w:space="0" w:color="auto"/>
              <w:left w:val="single" w:sz="4" w:space="0" w:color="auto"/>
              <w:bottom w:val="single" w:sz="4" w:space="0" w:color="auto"/>
            </w:tcBorders>
            <w:shd w:val="clear" w:color="auto" w:fill="C5D9F1"/>
            <w:tcMar>
              <w:top w:w="113" w:type="dxa"/>
              <w:bottom w:w="113" w:type="dxa"/>
            </w:tcMar>
            <w:vAlign w:val="center"/>
          </w:tcPr>
          <w:p w:rsidR="00BB4DBC" w:rsidRPr="00C258AD" w:rsidRDefault="00BB4DBC" w:rsidP="001A4D6C">
            <w:pPr>
              <w:keepNext/>
              <w:keepLines/>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tcMar>
              <w:top w:w="113" w:type="dxa"/>
              <w:bottom w:w="113" w:type="dxa"/>
            </w:tcMar>
            <w:vAlign w:val="center"/>
          </w:tcPr>
          <w:p w:rsidR="00BB4DBC" w:rsidRPr="00C258AD" w:rsidRDefault="00BB4DBC" w:rsidP="001A4D6C">
            <w:pPr>
              <w:keepNext/>
              <w:keepLines/>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BB4DBC" w:rsidRPr="00C258AD" w:rsidRDefault="00BB4DBC" w:rsidP="001A4D6C">
            <w:pPr>
              <w:keepNext/>
              <w:keepLines/>
              <w:jc w:val="center"/>
              <w:rPr>
                <w:b/>
                <w:bCs/>
                <w:sz w:val="16"/>
                <w:szCs w:val="16"/>
              </w:rPr>
            </w:pPr>
            <w:r w:rsidRPr="00C258AD">
              <w:rPr>
                <w:b/>
                <w:bCs/>
                <w:iCs/>
                <w:sz w:val="16"/>
                <w:szCs w:val="16"/>
              </w:rPr>
              <w:t>Évolution des risques et des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BB4DBC" w:rsidRPr="00C258AD" w:rsidRDefault="00BB4DBC" w:rsidP="001A4D6C">
            <w:pPr>
              <w:keepNext/>
              <w:keepLines/>
              <w:jc w:val="center"/>
              <w:rPr>
                <w:b/>
                <w:bCs/>
                <w:sz w:val="16"/>
                <w:szCs w:val="16"/>
              </w:rPr>
            </w:pPr>
            <w:r w:rsidRPr="00C258AD">
              <w:rPr>
                <w:b/>
                <w:bCs/>
                <w:iCs/>
                <w:sz w:val="16"/>
                <w:szCs w:val="16"/>
              </w:rPr>
              <w:t>Incidence sur l’exécution du programme</w:t>
            </w:r>
          </w:p>
        </w:tc>
      </w:tr>
      <w:tr w:rsidR="00BB4DBC" w:rsidRPr="00C258AD" w:rsidTr="001A4D6C">
        <w:tblPrEx>
          <w:tblBorders>
            <w:top w:val="single" w:sz="4" w:space="0" w:color="auto"/>
            <w:left w:val="single" w:sz="4" w:space="0" w:color="auto"/>
            <w:bottom w:val="single" w:sz="4" w:space="0" w:color="auto"/>
            <w:right w:val="single" w:sz="4" w:space="0" w:color="auto"/>
          </w:tblBorders>
        </w:tblPrEx>
        <w:trPr>
          <w:cantSplit/>
        </w:trPr>
        <w:tc>
          <w:tcPr>
            <w:tcW w:w="2372" w:type="dxa"/>
            <w:tcBorders>
              <w:top w:val="single" w:sz="4" w:space="0" w:color="auto"/>
            </w:tcBorders>
            <w:shd w:val="clear" w:color="auto" w:fill="auto"/>
            <w:tcMar>
              <w:top w:w="113" w:type="dxa"/>
              <w:bottom w:w="85" w:type="dxa"/>
            </w:tcMar>
          </w:tcPr>
          <w:p w:rsidR="00BB4DBC" w:rsidRPr="00C258AD" w:rsidRDefault="00BB4DBC" w:rsidP="001A4D6C">
            <w:pPr>
              <w:keepNext/>
              <w:keepLines/>
              <w:autoSpaceDE w:val="0"/>
              <w:autoSpaceDN w:val="0"/>
              <w:adjustRightInd w:val="0"/>
              <w:ind w:right="-59"/>
              <w:rPr>
                <w:sz w:val="16"/>
                <w:szCs w:val="16"/>
              </w:rPr>
            </w:pPr>
            <w:r w:rsidRPr="00C258AD">
              <w:rPr>
                <w:sz w:val="16"/>
                <w:szCs w:val="16"/>
              </w:rPr>
              <w:t xml:space="preserve">L’absence de suivi systématique et de mise en œuvre des recommandations du Plan d’action pour le développement pourrait se traduire par des occasions manquées et une prise en compte insuffisante des “enseignements tirés”.  </w:t>
            </w:r>
          </w:p>
        </w:tc>
        <w:tc>
          <w:tcPr>
            <w:tcW w:w="2373" w:type="dxa"/>
            <w:tcBorders>
              <w:top w:val="single" w:sz="4" w:space="0" w:color="auto"/>
            </w:tcBorders>
            <w:shd w:val="clear" w:color="auto" w:fill="auto"/>
            <w:tcMar>
              <w:top w:w="113" w:type="dxa"/>
              <w:bottom w:w="85" w:type="dxa"/>
            </w:tcMar>
          </w:tcPr>
          <w:p w:rsidR="00BB4DBC" w:rsidRPr="00C258AD" w:rsidRDefault="00BB4DBC" w:rsidP="001A4D6C">
            <w:pPr>
              <w:keepNext/>
              <w:keepLines/>
              <w:autoSpaceDE w:val="0"/>
              <w:autoSpaceDN w:val="0"/>
              <w:adjustRightInd w:val="0"/>
              <w:ind w:right="-59"/>
              <w:rPr>
                <w:sz w:val="16"/>
                <w:szCs w:val="16"/>
              </w:rPr>
            </w:pPr>
            <w:r w:rsidRPr="00C258AD">
              <w:rPr>
                <w:sz w:val="16"/>
                <w:szCs w:val="16"/>
              </w:rPr>
              <w:t>Un suivi amélioré et plus rigoureux de la mise en œuvre des recommandations du Plan d’action pour le développement, assuré par la Division de la coordination du Plan d’action pour le développement</w:t>
            </w:r>
          </w:p>
        </w:tc>
        <w:tc>
          <w:tcPr>
            <w:tcW w:w="2373" w:type="dxa"/>
            <w:tcBorders>
              <w:top w:val="single" w:sz="4" w:space="0" w:color="auto"/>
            </w:tcBorders>
          </w:tcPr>
          <w:p w:rsidR="00BB4DBC" w:rsidRPr="00C258AD" w:rsidRDefault="00BB4DBC" w:rsidP="001A4D6C">
            <w:pPr>
              <w:keepNext/>
              <w:keepLines/>
              <w:autoSpaceDE w:val="0"/>
              <w:autoSpaceDN w:val="0"/>
              <w:adjustRightInd w:val="0"/>
              <w:ind w:right="-59"/>
              <w:rPr>
                <w:sz w:val="16"/>
                <w:szCs w:val="16"/>
              </w:rPr>
            </w:pPr>
            <w:r w:rsidRPr="00C258AD">
              <w:rPr>
                <w:sz w:val="16"/>
                <w:szCs w:val="16"/>
              </w:rPr>
              <w:t xml:space="preserve">Les stratégies d’atténuation ont été pleinement mises en </w:t>
            </w:r>
            <w:r w:rsidRPr="00C258AD">
              <w:rPr>
                <w:rFonts w:cs="Arial"/>
                <w:sz w:val="16"/>
                <w:szCs w:val="16"/>
              </w:rPr>
              <w:t>œ</w:t>
            </w:r>
            <w:r w:rsidRPr="00C258AD">
              <w:rPr>
                <w:sz w:val="16"/>
                <w:szCs w:val="16"/>
              </w:rPr>
              <w:t>uvre de sorte que le risque ne s’est pas matérialisé</w:t>
            </w:r>
            <w:r w:rsidRPr="00C258AD">
              <w:rPr>
                <w:sz w:val="16"/>
              </w:rPr>
              <w:t>.</w:t>
            </w:r>
          </w:p>
        </w:tc>
        <w:tc>
          <w:tcPr>
            <w:tcW w:w="2373" w:type="dxa"/>
            <w:tcBorders>
              <w:top w:val="single" w:sz="4" w:space="0" w:color="auto"/>
            </w:tcBorders>
          </w:tcPr>
          <w:p w:rsidR="00BB4DBC" w:rsidRPr="00C258AD" w:rsidRDefault="00BB4DBC" w:rsidP="001A4D6C">
            <w:pPr>
              <w:keepNext/>
              <w:keepLines/>
              <w:autoSpaceDE w:val="0"/>
              <w:autoSpaceDN w:val="0"/>
              <w:adjustRightInd w:val="0"/>
              <w:ind w:right="-59"/>
              <w:rPr>
                <w:sz w:val="16"/>
                <w:szCs w:val="16"/>
              </w:rPr>
            </w:pPr>
            <w:r w:rsidRPr="00C258AD">
              <w:rPr>
                <w:sz w:val="16"/>
                <w:szCs w:val="16"/>
              </w:rPr>
              <w:t>Le risque et son évolution n’ont pas eu d’incidence concrète sur l’exécution du programme durant l’exercice 2014</w:t>
            </w:r>
            <w:r w:rsidRPr="00C258AD">
              <w:rPr>
                <w:sz w:val="16"/>
                <w:szCs w:val="16"/>
              </w:rPr>
              <w:noBreakHyphen/>
              <w:t>2015.</w:t>
            </w:r>
          </w:p>
        </w:tc>
      </w:tr>
    </w:tbl>
    <w:p w:rsidR="006E2BB1" w:rsidRPr="00C258AD" w:rsidRDefault="006E2BB1" w:rsidP="001A4D6C">
      <w:pPr>
        <w:jc w:val="both"/>
        <w:rPr>
          <w:bCs/>
        </w:rPr>
      </w:pPr>
    </w:p>
    <w:p w:rsidR="006E2BB1" w:rsidRPr="00C258AD" w:rsidRDefault="006E2BB1" w:rsidP="001A4D6C">
      <w:pPr>
        <w:jc w:val="both"/>
      </w:pPr>
    </w:p>
    <w:p w:rsidR="006E2BB1" w:rsidRPr="00C258AD" w:rsidRDefault="00BB4DBC" w:rsidP="00305CE5">
      <w:pPr>
        <w:keepNext/>
        <w:rPr>
          <w:rFonts w:cs="Arial"/>
          <w:caps/>
          <w:sz w:val="22"/>
          <w:szCs w:val="22"/>
        </w:rPr>
      </w:pPr>
      <w:r w:rsidRPr="00C258AD">
        <w:rPr>
          <w:rFonts w:cs="Arial"/>
          <w:caps/>
          <w:sz w:val="22"/>
          <w:szCs w:val="22"/>
        </w:rPr>
        <w:lastRenderedPageBreak/>
        <w:t>Utilisation des ressources</w:t>
      </w:r>
    </w:p>
    <w:p w:rsidR="006E2BB1" w:rsidRPr="00C258AD" w:rsidRDefault="006E2BB1" w:rsidP="001A4D6C">
      <w:pPr>
        <w:keepNext/>
        <w:jc w:val="center"/>
      </w:pPr>
    </w:p>
    <w:p w:rsidR="006E2BB1" w:rsidRPr="00C258AD" w:rsidRDefault="00BB4DBC" w:rsidP="001A4D6C">
      <w:pPr>
        <w:pStyle w:val="NormalWeb"/>
        <w:keepNext/>
        <w:spacing w:before="0" w:beforeAutospacing="0" w:after="0" w:afterAutospacing="0"/>
        <w:jc w:val="center"/>
        <w:rPr>
          <w:sz w:val="20"/>
          <w:szCs w:val="20"/>
        </w:rPr>
      </w:pPr>
      <w:r w:rsidRPr="00C258AD">
        <w:rPr>
          <w:sz w:val="20"/>
          <w:szCs w:val="20"/>
        </w:rPr>
        <w:t>Budget et dépenses effectives (par résultat)</w:t>
      </w:r>
    </w:p>
    <w:p w:rsidR="006E2BB1" w:rsidRPr="00C258AD" w:rsidRDefault="00BB4DBC" w:rsidP="001A4D6C">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BB4DBC" w:rsidRPr="00C258AD" w:rsidRDefault="00BB4DBC" w:rsidP="001A4D6C">
      <w:pPr>
        <w:keepNext/>
        <w:jc w:val="both"/>
      </w:pPr>
    </w:p>
    <w:tbl>
      <w:tblPr>
        <w:tblW w:w="5000" w:type="pct"/>
        <w:tblCellMar>
          <w:top w:w="113" w:type="dxa"/>
          <w:left w:w="70" w:type="dxa"/>
          <w:bottom w:w="113" w:type="dxa"/>
          <w:right w:w="70" w:type="dxa"/>
        </w:tblCellMar>
        <w:tblLook w:val="04A0" w:firstRow="1" w:lastRow="0" w:firstColumn="1" w:lastColumn="0" w:noHBand="0" w:noVBand="1"/>
      </w:tblPr>
      <w:tblGrid>
        <w:gridCol w:w="484"/>
        <w:gridCol w:w="4598"/>
        <w:gridCol w:w="1471"/>
        <w:gridCol w:w="1471"/>
        <w:gridCol w:w="1471"/>
      </w:tblGrid>
      <w:tr w:rsidR="00BB4DBC" w:rsidRPr="00C258AD" w:rsidTr="001A4D6C">
        <w:trPr>
          <w:cantSplit/>
        </w:trPr>
        <w:tc>
          <w:tcPr>
            <w:tcW w:w="47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BB4DBC" w:rsidRPr="00C258AD" w:rsidRDefault="00BB4DBC" w:rsidP="001A4D6C">
            <w:pPr>
              <w:keepNext/>
              <w:jc w:val="center"/>
              <w:rPr>
                <w:i/>
                <w:iCs/>
                <w:sz w:val="16"/>
                <w:szCs w:val="16"/>
                <w:lang w:eastAsia="fr-FR"/>
              </w:rPr>
            </w:pPr>
            <w:r w:rsidRPr="00C258AD">
              <w:rPr>
                <w:i/>
                <w:iCs/>
                <w:sz w:val="16"/>
                <w:szCs w:val="16"/>
                <w:lang w:eastAsia="fr-FR"/>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BB4DBC" w:rsidRPr="00C258AD" w:rsidRDefault="00BB4DBC" w:rsidP="001A4D6C">
            <w:pPr>
              <w:keepNext/>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Pr="00C258AD">
              <w:rPr>
                <w:i/>
                <w:iCs/>
                <w:sz w:val="16"/>
                <w:szCs w:val="16"/>
                <w:lang w:eastAsia="fr-FR"/>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BB4DBC" w:rsidRPr="00C258AD" w:rsidRDefault="00BB4DBC" w:rsidP="001A4D6C">
            <w:pPr>
              <w:keepNext/>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Pr="00C258AD">
              <w:rPr>
                <w:i/>
                <w:iCs/>
                <w:sz w:val="16"/>
                <w:szCs w:val="16"/>
                <w:lang w:eastAsia="fr-FR"/>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BB4DBC" w:rsidRPr="00C258AD" w:rsidRDefault="00BB4DBC" w:rsidP="001A4D6C">
            <w:pPr>
              <w:keepNext/>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Pr="00C258AD">
              <w:rPr>
                <w:i/>
                <w:iCs/>
                <w:sz w:val="16"/>
                <w:szCs w:val="16"/>
                <w:lang w:eastAsia="fr-FR"/>
              </w:rPr>
              <w:noBreakHyphen/>
              <w:t>2015</w:t>
            </w:r>
          </w:p>
        </w:tc>
      </w:tr>
      <w:tr w:rsidR="00BB4DBC" w:rsidRPr="00C258AD" w:rsidTr="001A4D6C">
        <w:trPr>
          <w:cantSplit/>
        </w:trPr>
        <w:tc>
          <w:tcPr>
            <w:tcW w:w="448" w:type="dxa"/>
            <w:tcBorders>
              <w:top w:val="nil"/>
              <w:left w:val="single" w:sz="4" w:space="0" w:color="auto"/>
              <w:bottom w:val="nil"/>
              <w:right w:val="nil"/>
            </w:tcBorders>
            <w:shd w:val="clear" w:color="auto" w:fill="auto"/>
            <w:noWrap/>
            <w:vAlign w:val="center"/>
            <w:hideMark/>
          </w:tcPr>
          <w:p w:rsidR="00BB4DBC" w:rsidRPr="00C258AD" w:rsidRDefault="00BB4DBC" w:rsidP="001A4D6C">
            <w:pPr>
              <w:keepNext/>
              <w:rPr>
                <w:sz w:val="16"/>
                <w:szCs w:val="16"/>
                <w:lang w:eastAsia="fr-FR"/>
              </w:rPr>
            </w:pPr>
            <w:r w:rsidRPr="00C258AD">
              <w:rPr>
                <w:sz w:val="16"/>
                <w:szCs w:val="16"/>
                <w:lang w:eastAsia="fr-FR"/>
              </w:rPr>
              <w:t>III.3</w:t>
            </w:r>
          </w:p>
        </w:tc>
        <w:tc>
          <w:tcPr>
            <w:tcW w:w="4252" w:type="dxa"/>
            <w:tcBorders>
              <w:top w:val="nil"/>
              <w:left w:val="nil"/>
              <w:bottom w:val="nil"/>
              <w:right w:val="nil"/>
            </w:tcBorders>
            <w:shd w:val="clear" w:color="auto" w:fill="auto"/>
            <w:vAlign w:val="center"/>
            <w:hideMark/>
          </w:tcPr>
          <w:p w:rsidR="00BB4DBC" w:rsidRPr="00C258AD" w:rsidRDefault="00BB4DBC" w:rsidP="001A4D6C">
            <w:pPr>
              <w:keepNext/>
              <w:rPr>
                <w:sz w:val="16"/>
                <w:szCs w:val="16"/>
                <w:lang w:eastAsia="fr-FR"/>
              </w:rPr>
            </w:pPr>
            <w:r w:rsidRPr="00C258AD">
              <w:rPr>
                <w:sz w:val="16"/>
                <w:szCs w:val="16"/>
                <w:lang w:eastAsia="fr-FR"/>
              </w:rPr>
              <w:t>Intégration des recommandations du Plan d’action pour le développement dans les travaux de l’OMPI</w:t>
            </w:r>
          </w:p>
        </w:tc>
        <w:tc>
          <w:tcPr>
            <w:tcW w:w="1360" w:type="dxa"/>
            <w:tcBorders>
              <w:top w:val="nil"/>
              <w:left w:val="nil"/>
              <w:bottom w:val="nil"/>
              <w:right w:val="nil"/>
            </w:tcBorders>
            <w:shd w:val="clear" w:color="auto" w:fill="auto"/>
            <w:vAlign w:val="center"/>
            <w:hideMark/>
          </w:tcPr>
          <w:p w:rsidR="00BB4DBC" w:rsidRPr="00C258AD" w:rsidRDefault="00BB4DBC" w:rsidP="001A4D6C">
            <w:pPr>
              <w:keepNext/>
              <w:jc w:val="right"/>
              <w:rPr>
                <w:sz w:val="16"/>
                <w:szCs w:val="16"/>
                <w:lang w:eastAsia="fr-FR"/>
              </w:rPr>
            </w:pPr>
            <w:r w:rsidRPr="00C258AD">
              <w:rPr>
                <w:sz w:val="16"/>
                <w:szCs w:val="16"/>
                <w:lang w:eastAsia="fr-FR"/>
              </w:rPr>
              <w:t>3 832</w:t>
            </w:r>
          </w:p>
        </w:tc>
        <w:tc>
          <w:tcPr>
            <w:tcW w:w="1360" w:type="dxa"/>
            <w:tcBorders>
              <w:top w:val="nil"/>
              <w:left w:val="nil"/>
              <w:bottom w:val="nil"/>
              <w:right w:val="nil"/>
            </w:tcBorders>
            <w:shd w:val="clear" w:color="auto" w:fill="auto"/>
            <w:noWrap/>
            <w:vAlign w:val="center"/>
            <w:hideMark/>
          </w:tcPr>
          <w:p w:rsidR="00BB4DBC" w:rsidRPr="00C258AD" w:rsidRDefault="00BB4DBC" w:rsidP="001A4D6C">
            <w:pPr>
              <w:keepNext/>
              <w:jc w:val="right"/>
              <w:rPr>
                <w:sz w:val="16"/>
                <w:szCs w:val="16"/>
                <w:lang w:eastAsia="fr-FR"/>
              </w:rPr>
            </w:pPr>
            <w:r w:rsidRPr="00C258AD">
              <w:rPr>
                <w:sz w:val="16"/>
                <w:szCs w:val="16"/>
                <w:lang w:eastAsia="fr-FR"/>
              </w:rPr>
              <w:t>3 069</w:t>
            </w:r>
          </w:p>
        </w:tc>
        <w:tc>
          <w:tcPr>
            <w:tcW w:w="1360" w:type="dxa"/>
            <w:tcBorders>
              <w:top w:val="nil"/>
              <w:left w:val="nil"/>
              <w:bottom w:val="nil"/>
              <w:right w:val="single" w:sz="4" w:space="0" w:color="auto"/>
            </w:tcBorders>
            <w:shd w:val="clear" w:color="auto" w:fill="auto"/>
            <w:noWrap/>
            <w:vAlign w:val="center"/>
            <w:hideMark/>
          </w:tcPr>
          <w:p w:rsidR="00BB4DBC" w:rsidRPr="00C258AD" w:rsidRDefault="00BB4DBC" w:rsidP="001A4D6C">
            <w:pPr>
              <w:keepNext/>
              <w:jc w:val="right"/>
              <w:rPr>
                <w:sz w:val="16"/>
                <w:szCs w:val="16"/>
                <w:lang w:eastAsia="fr-FR"/>
              </w:rPr>
            </w:pPr>
            <w:r w:rsidRPr="00C258AD">
              <w:rPr>
                <w:sz w:val="16"/>
                <w:szCs w:val="16"/>
                <w:lang w:eastAsia="fr-FR"/>
              </w:rPr>
              <w:t>2 731</w:t>
            </w:r>
          </w:p>
        </w:tc>
      </w:tr>
      <w:tr w:rsidR="00BB4DBC" w:rsidRPr="00C258AD" w:rsidTr="001A4D6C">
        <w:trPr>
          <w:cantSplit/>
        </w:trPr>
        <w:tc>
          <w:tcPr>
            <w:tcW w:w="448" w:type="dxa"/>
            <w:tcBorders>
              <w:top w:val="nil"/>
              <w:left w:val="single" w:sz="4" w:space="0" w:color="auto"/>
              <w:bottom w:val="nil"/>
              <w:right w:val="nil"/>
            </w:tcBorders>
            <w:shd w:val="clear" w:color="auto" w:fill="auto"/>
            <w:noWrap/>
            <w:vAlign w:val="center"/>
            <w:hideMark/>
          </w:tcPr>
          <w:p w:rsidR="00BB4DBC" w:rsidRPr="00C258AD" w:rsidRDefault="00BB4DBC" w:rsidP="001A4D6C">
            <w:pPr>
              <w:keepNext/>
              <w:rPr>
                <w:sz w:val="16"/>
                <w:szCs w:val="16"/>
                <w:lang w:eastAsia="fr-FR"/>
              </w:rPr>
            </w:pPr>
            <w:r w:rsidRPr="00C258AD">
              <w:rPr>
                <w:sz w:val="16"/>
                <w:szCs w:val="16"/>
                <w:lang w:eastAsia="fr-FR"/>
              </w:rPr>
              <w:t>III.5</w:t>
            </w:r>
          </w:p>
        </w:tc>
        <w:tc>
          <w:tcPr>
            <w:tcW w:w="4252" w:type="dxa"/>
            <w:tcBorders>
              <w:top w:val="nil"/>
              <w:left w:val="nil"/>
              <w:bottom w:val="nil"/>
              <w:right w:val="nil"/>
            </w:tcBorders>
            <w:shd w:val="clear" w:color="auto" w:fill="auto"/>
            <w:vAlign w:val="center"/>
            <w:hideMark/>
          </w:tcPr>
          <w:p w:rsidR="00BB4DBC" w:rsidRPr="00C258AD" w:rsidRDefault="00BB4DBC" w:rsidP="001A4D6C">
            <w:pPr>
              <w:keepNext/>
              <w:rPr>
                <w:sz w:val="16"/>
                <w:szCs w:val="16"/>
                <w:lang w:eastAsia="fr-FR"/>
              </w:rPr>
            </w:pPr>
            <w:r w:rsidRPr="00C258AD">
              <w:rPr>
                <w:sz w:val="16"/>
                <w:szCs w:val="16"/>
                <w:lang w:eastAsia="fr-FR"/>
              </w:rPr>
              <w:t>Meilleure connaissance du Plan d’action pour le développement de la part des États membres, des organisations intergouvernementales, de la société civile et d’autres parties prenantes</w:t>
            </w:r>
          </w:p>
        </w:tc>
        <w:tc>
          <w:tcPr>
            <w:tcW w:w="1360" w:type="dxa"/>
            <w:tcBorders>
              <w:top w:val="nil"/>
              <w:left w:val="nil"/>
              <w:bottom w:val="nil"/>
              <w:right w:val="nil"/>
            </w:tcBorders>
            <w:shd w:val="clear" w:color="auto" w:fill="auto"/>
            <w:vAlign w:val="center"/>
            <w:hideMark/>
          </w:tcPr>
          <w:p w:rsidR="00BB4DBC" w:rsidRPr="00C258AD" w:rsidRDefault="00BB4DBC" w:rsidP="001A4D6C">
            <w:pPr>
              <w:keepNext/>
              <w:jc w:val="right"/>
              <w:rPr>
                <w:sz w:val="16"/>
                <w:szCs w:val="16"/>
                <w:lang w:eastAsia="fr-FR"/>
              </w:rPr>
            </w:pPr>
            <w:r w:rsidRPr="00C258AD">
              <w:rPr>
                <w:sz w:val="16"/>
                <w:szCs w:val="16"/>
                <w:lang w:eastAsia="fr-FR"/>
              </w:rPr>
              <w:t>509</w:t>
            </w:r>
          </w:p>
        </w:tc>
        <w:tc>
          <w:tcPr>
            <w:tcW w:w="1360" w:type="dxa"/>
            <w:tcBorders>
              <w:top w:val="nil"/>
              <w:left w:val="nil"/>
              <w:bottom w:val="nil"/>
              <w:right w:val="nil"/>
            </w:tcBorders>
            <w:shd w:val="clear" w:color="auto" w:fill="auto"/>
            <w:vAlign w:val="center"/>
            <w:hideMark/>
          </w:tcPr>
          <w:p w:rsidR="00BB4DBC" w:rsidRPr="00C258AD" w:rsidRDefault="00BB4DBC" w:rsidP="001A4D6C">
            <w:pPr>
              <w:keepNext/>
              <w:jc w:val="right"/>
              <w:rPr>
                <w:sz w:val="16"/>
                <w:szCs w:val="16"/>
                <w:lang w:eastAsia="fr-FR"/>
              </w:rPr>
            </w:pPr>
            <w:r w:rsidRPr="00C258AD">
              <w:rPr>
                <w:sz w:val="16"/>
                <w:szCs w:val="16"/>
                <w:lang w:eastAsia="fr-FR"/>
              </w:rPr>
              <w:t>450</w:t>
            </w:r>
          </w:p>
        </w:tc>
        <w:tc>
          <w:tcPr>
            <w:tcW w:w="1360" w:type="dxa"/>
            <w:tcBorders>
              <w:top w:val="nil"/>
              <w:left w:val="nil"/>
              <w:bottom w:val="nil"/>
              <w:right w:val="single" w:sz="4" w:space="0" w:color="auto"/>
            </w:tcBorders>
            <w:shd w:val="clear" w:color="auto" w:fill="auto"/>
            <w:noWrap/>
            <w:vAlign w:val="center"/>
            <w:hideMark/>
          </w:tcPr>
          <w:p w:rsidR="00BB4DBC" w:rsidRPr="00C258AD" w:rsidRDefault="00BB4DBC" w:rsidP="001A4D6C">
            <w:pPr>
              <w:keepNext/>
              <w:jc w:val="right"/>
              <w:rPr>
                <w:sz w:val="16"/>
                <w:szCs w:val="16"/>
                <w:lang w:eastAsia="fr-FR"/>
              </w:rPr>
            </w:pPr>
            <w:r w:rsidRPr="00C258AD">
              <w:rPr>
                <w:sz w:val="16"/>
                <w:szCs w:val="16"/>
                <w:lang w:eastAsia="fr-FR"/>
              </w:rPr>
              <w:t>408</w:t>
            </w:r>
          </w:p>
        </w:tc>
      </w:tr>
      <w:tr w:rsidR="00BB4DBC" w:rsidRPr="00C258AD" w:rsidTr="001A4D6C">
        <w:trPr>
          <w:cantSplit/>
        </w:trPr>
        <w:tc>
          <w:tcPr>
            <w:tcW w:w="448" w:type="dxa"/>
            <w:tcBorders>
              <w:top w:val="single" w:sz="4" w:space="0" w:color="auto"/>
              <w:left w:val="single" w:sz="4" w:space="0" w:color="auto"/>
              <w:bottom w:val="single" w:sz="4" w:space="0" w:color="auto"/>
              <w:right w:val="nil"/>
            </w:tcBorders>
            <w:shd w:val="clear" w:color="auto" w:fill="C5D9F1"/>
            <w:noWrap/>
            <w:vAlign w:val="bottom"/>
            <w:hideMark/>
          </w:tcPr>
          <w:p w:rsidR="00BB4DBC" w:rsidRPr="00C258AD" w:rsidRDefault="00BB4DBC" w:rsidP="001A4D6C">
            <w:pPr>
              <w:rPr>
                <w:sz w:val="16"/>
                <w:szCs w:val="16"/>
                <w:lang w:eastAsia="fr-FR"/>
              </w:rPr>
            </w:pPr>
            <w:r w:rsidRPr="00C258AD">
              <w:rPr>
                <w:sz w:val="16"/>
                <w:szCs w:val="16"/>
                <w:lang w:eastAsia="fr-FR"/>
              </w:rPr>
              <w:t> </w:t>
            </w:r>
          </w:p>
        </w:tc>
        <w:tc>
          <w:tcPr>
            <w:tcW w:w="4252" w:type="dxa"/>
            <w:tcBorders>
              <w:top w:val="single" w:sz="4" w:space="0" w:color="auto"/>
              <w:left w:val="nil"/>
              <w:bottom w:val="single" w:sz="4" w:space="0" w:color="auto"/>
              <w:right w:val="single" w:sz="4" w:space="0" w:color="auto"/>
            </w:tcBorders>
            <w:shd w:val="clear" w:color="auto" w:fill="C5D9F1"/>
            <w:noWrap/>
            <w:vAlign w:val="bottom"/>
            <w:hideMark/>
          </w:tcPr>
          <w:p w:rsidR="00BB4DBC" w:rsidRPr="00C258AD" w:rsidRDefault="00BB4DBC" w:rsidP="001A4D6C">
            <w:pPr>
              <w:rPr>
                <w:b/>
                <w:bCs/>
                <w:sz w:val="16"/>
                <w:szCs w:val="16"/>
                <w:lang w:eastAsia="fr-FR"/>
              </w:rPr>
            </w:pPr>
            <w:r w:rsidRPr="00C258AD">
              <w:rPr>
                <w:b/>
                <w:bCs/>
                <w:sz w:val="16"/>
                <w:szCs w:val="16"/>
                <w:lang w:eastAsia="fr-FR"/>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BB4DBC" w:rsidRPr="00C258AD" w:rsidRDefault="00BB4DBC" w:rsidP="001A4D6C">
            <w:pPr>
              <w:jc w:val="right"/>
              <w:rPr>
                <w:b/>
                <w:bCs/>
                <w:sz w:val="16"/>
                <w:szCs w:val="16"/>
                <w:lang w:eastAsia="fr-FR"/>
              </w:rPr>
            </w:pPr>
            <w:r w:rsidRPr="00C258AD">
              <w:rPr>
                <w:b/>
                <w:bCs/>
                <w:sz w:val="16"/>
                <w:szCs w:val="16"/>
                <w:lang w:eastAsia="fr-FR"/>
              </w:rPr>
              <w:t>4 341</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BB4DBC" w:rsidRPr="00C258AD" w:rsidRDefault="00BB4DBC" w:rsidP="001A4D6C">
            <w:pPr>
              <w:jc w:val="right"/>
              <w:rPr>
                <w:b/>
                <w:bCs/>
                <w:sz w:val="16"/>
                <w:szCs w:val="16"/>
                <w:lang w:eastAsia="fr-FR"/>
              </w:rPr>
            </w:pPr>
            <w:r w:rsidRPr="00C258AD">
              <w:rPr>
                <w:b/>
                <w:bCs/>
                <w:sz w:val="16"/>
                <w:szCs w:val="16"/>
                <w:lang w:eastAsia="fr-FR"/>
              </w:rPr>
              <w:t>3 519</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BB4DBC" w:rsidRPr="00C258AD" w:rsidRDefault="00BB4DBC" w:rsidP="001A4D6C">
            <w:pPr>
              <w:jc w:val="right"/>
              <w:rPr>
                <w:b/>
                <w:bCs/>
                <w:sz w:val="16"/>
                <w:szCs w:val="16"/>
                <w:lang w:eastAsia="fr-FR"/>
              </w:rPr>
            </w:pPr>
            <w:r w:rsidRPr="00C258AD">
              <w:rPr>
                <w:b/>
                <w:bCs/>
                <w:sz w:val="16"/>
                <w:szCs w:val="16"/>
                <w:lang w:eastAsia="fr-FR"/>
              </w:rPr>
              <w:t>3 138</w:t>
            </w:r>
          </w:p>
        </w:tc>
      </w:tr>
    </w:tbl>
    <w:p w:rsidR="006E2BB1" w:rsidRPr="00C258AD" w:rsidRDefault="006E2BB1" w:rsidP="001A4D6C"/>
    <w:p w:rsidR="006E2BB1" w:rsidRPr="00C258AD" w:rsidRDefault="006E2BB1" w:rsidP="001A4D6C"/>
    <w:p w:rsidR="006E2BB1" w:rsidRPr="00C258AD" w:rsidRDefault="00BB4DBC" w:rsidP="001A4D6C">
      <w:pPr>
        <w:pStyle w:val="NormalWeb"/>
        <w:keepNext/>
        <w:keepLines/>
        <w:spacing w:before="0" w:beforeAutospacing="0" w:after="0" w:afterAutospacing="0"/>
        <w:jc w:val="center"/>
        <w:rPr>
          <w:sz w:val="20"/>
          <w:szCs w:val="20"/>
        </w:rPr>
      </w:pPr>
      <w:r w:rsidRPr="00C258AD">
        <w:rPr>
          <w:sz w:val="20"/>
          <w:szCs w:val="20"/>
        </w:rPr>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BB4DBC" w:rsidP="001A4D6C">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BB4DBC" w:rsidRPr="00C258AD" w:rsidRDefault="00BB4DBC" w:rsidP="001A4D6C">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BB4DBC" w:rsidRPr="00C258AD" w:rsidTr="001A4D6C">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BB4DBC" w:rsidRPr="00C258AD" w:rsidRDefault="00BB4DBC" w:rsidP="001A4D6C">
            <w:pPr>
              <w:rPr>
                <w:sz w:val="16"/>
                <w:szCs w:val="18"/>
                <w:lang w:eastAsia="fr-FR"/>
              </w:rPr>
            </w:pPr>
            <w:r w:rsidRPr="00C258AD">
              <w:rPr>
                <w:sz w:val="16"/>
                <w:szCs w:val="18"/>
                <w:lang w:eastAsia="fr-FR"/>
              </w:rPr>
              <w:t> </w:t>
            </w:r>
          </w:p>
        </w:tc>
        <w:tc>
          <w:tcPr>
            <w:tcW w:w="1745" w:type="dxa"/>
            <w:tcBorders>
              <w:top w:val="single" w:sz="4" w:space="0" w:color="auto"/>
              <w:left w:val="nil"/>
              <w:bottom w:val="nil"/>
              <w:right w:val="single" w:sz="4" w:space="0" w:color="auto"/>
            </w:tcBorders>
            <w:shd w:val="clear" w:color="auto" w:fill="C5D9F1"/>
            <w:vAlign w:val="center"/>
            <w:hideMark/>
          </w:tcPr>
          <w:p w:rsidR="00BB4DBC" w:rsidRPr="00C258AD" w:rsidRDefault="00BB4DBC" w:rsidP="001A4D6C">
            <w:pPr>
              <w:jc w:val="center"/>
              <w:rPr>
                <w:b/>
                <w:bCs/>
                <w:sz w:val="16"/>
                <w:szCs w:val="18"/>
                <w:lang w:eastAsia="fr-FR"/>
              </w:rPr>
            </w:pPr>
            <w:r w:rsidRPr="00C258AD">
              <w:rPr>
                <w:b/>
                <w:bCs/>
                <w:sz w:val="16"/>
                <w:szCs w:val="18"/>
                <w:lang w:eastAsia="fr-FR"/>
              </w:rPr>
              <w:t>Budget 2014</w:t>
            </w:r>
            <w:r w:rsidRPr="00C258AD">
              <w:rPr>
                <w:b/>
                <w:bCs/>
                <w:sz w:val="16"/>
                <w:szCs w:val="18"/>
                <w:lang w:eastAsia="fr-FR"/>
              </w:rPr>
              <w:noBreakHyphen/>
              <w:t>2015 approuvé</w:t>
            </w:r>
          </w:p>
        </w:tc>
        <w:tc>
          <w:tcPr>
            <w:tcW w:w="1746" w:type="dxa"/>
            <w:tcBorders>
              <w:top w:val="single" w:sz="4" w:space="0" w:color="auto"/>
              <w:left w:val="nil"/>
              <w:bottom w:val="nil"/>
              <w:right w:val="single" w:sz="4" w:space="0" w:color="auto"/>
            </w:tcBorders>
            <w:shd w:val="clear" w:color="auto" w:fill="C5D9F1"/>
            <w:vAlign w:val="center"/>
            <w:hideMark/>
          </w:tcPr>
          <w:p w:rsidR="00BB4DBC" w:rsidRPr="00C258AD" w:rsidRDefault="00BB4DBC" w:rsidP="001A4D6C">
            <w:pPr>
              <w:jc w:val="center"/>
              <w:rPr>
                <w:b/>
                <w:bCs/>
                <w:sz w:val="16"/>
                <w:szCs w:val="18"/>
                <w:lang w:eastAsia="fr-FR"/>
              </w:rPr>
            </w:pPr>
            <w:r w:rsidRPr="00C258AD">
              <w:rPr>
                <w:b/>
                <w:bCs/>
                <w:sz w:val="16"/>
                <w:szCs w:val="18"/>
                <w:lang w:eastAsia="fr-FR"/>
              </w:rPr>
              <w:t>Budget final 2014</w:t>
            </w:r>
            <w:r w:rsidRPr="00C258AD">
              <w:rPr>
                <w:b/>
                <w:bCs/>
                <w:sz w:val="16"/>
                <w:szCs w:val="18"/>
                <w:lang w:eastAsia="fr-FR"/>
              </w:rPr>
              <w:noBreakHyphen/>
              <w:t>2015</w:t>
            </w:r>
            <w:r w:rsidRPr="00C258AD">
              <w:rPr>
                <w:b/>
                <w:bCs/>
                <w:sz w:val="16"/>
                <w:szCs w:val="18"/>
                <w:lang w:eastAsia="fr-FR"/>
              </w:rPr>
              <w:br/>
              <w:t>après virements</w:t>
            </w:r>
          </w:p>
        </w:tc>
        <w:tc>
          <w:tcPr>
            <w:tcW w:w="1745" w:type="dxa"/>
            <w:tcBorders>
              <w:top w:val="single" w:sz="4" w:space="0" w:color="auto"/>
              <w:left w:val="nil"/>
              <w:bottom w:val="nil"/>
              <w:right w:val="single" w:sz="4" w:space="0" w:color="auto"/>
            </w:tcBorders>
            <w:shd w:val="clear" w:color="auto" w:fill="C5D9F1"/>
            <w:vAlign w:val="center"/>
            <w:hideMark/>
          </w:tcPr>
          <w:p w:rsidR="00BB4DBC" w:rsidRPr="00C258AD" w:rsidRDefault="00BB4DBC" w:rsidP="001A4D6C">
            <w:pPr>
              <w:jc w:val="center"/>
              <w:rPr>
                <w:b/>
                <w:bCs/>
                <w:sz w:val="16"/>
                <w:szCs w:val="18"/>
                <w:lang w:eastAsia="fr-FR"/>
              </w:rPr>
            </w:pPr>
            <w:r w:rsidRPr="00C258AD">
              <w:rPr>
                <w:b/>
                <w:bCs/>
                <w:sz w:val="16"/>
                <w:szCs w:val="18"/>
                <w:lang w:eastAsia="fr-FR"/>
              </w:rPr>
              <w:t xml:space="preserve">Dépenses </w:t>
            </w:r>
            <w:r w:rsidRPr="00C258AD">
              <w:rPr>
                <w:b/>
                <w:bCs/>
                <w:sz w:val="16"/>
                <w:szCs w:val="18"/>
                <w:lang w:eastAsia="fr-FR"/>
              </w:rPr>
              <w:br/>
              <w:t>2014</w:t>
            </w:r>
            <w:r w:rsidRPr="00C258AD">
              <w:rPr>
                <w:b/>
                <w:bCs/>
                <w:sz w:val="16"/>
                <w:szCs w:val="18"/>
                <w:lang w:eastAsia="fr-FR"/>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BB4DBC" w:rsidRPr="00C258AD" w:rsidRDefault="00BB4DBC" w:rsidP="001A4D6C">
            <w:pPr>
              <w:jc w:val="center"/>
              <w:rPr>
                <w:b/>
                <w:bCs/>
                <w:sz w:val="16"/>
                <w:szCs w:val="18"/>
                <w:lang w:eastAsia="fr-FR"/>
              </w:rPr>
            </w:pPr>
            <w:r w:rsidRPr="00C258AD">
              <w:rPr>
                <w:b/>
                <w:bCs/>
                <w:sz w:val="16"/>
                <w:szCs w:val="18"/>
                <w:lang w:eastAsia="fr-FR"/>
              </w:rPr>
              <w:t>Taux d’utilisation (%)</w:t>
            </w:r>
          </w:p>
        </w:tc>
      </w:tr>
      <w:tr w:rsidR="00BB4DBC"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BB4DBC" w:rsidRPr="00C258AD" w:rsidRDefault="00BB4DBC" w:rsidP="001A4D6C">
            <w:pPr>
              <w:rPr>
                <w:sz w:val="16"/>
                <w:szCs w:val="18"/>
                <w:lang w:eastAsia="fr-FR"/>
              </w:rPr>
            </w:pPr>
            <w:r w:rsidRPr="00C258AD">
              <w:rPr>
                <w:sz w:val="16"/>
                <w:szCs w:val="18"/>
                <w:lang w:eastAsia="fr-FR"/>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BB4DBC" w:rsidRPr="00C258AD" w:rsidRDefault="00BB4DBC" w:rsidP="001A4D6C">
            <w:pPr>
              <w:jc w:val="center"/>
              <w:rPr>
                <w:sz w:val="16"/>
                <w:szCs w:val="18"/>
                <w:lang w:eastAsia="fr-FR"/>
              </w:rPr>
            </w:pPr>
            <w:r w:rsidRPr="00C258AD">
              <w:rPr>
                <w:sz w:val="16"/>
                <w:szCs w:val="18"/>
                <w:lang w:eastAsia="fr-FR"/>
              </w:rPr>
              <w:t>3 093</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BB4DBC" w:rsidRPr="00C258AD" w:rsidRDefault="00BB4DBC" w:rsidP="001A4D6C">
            <w:pPr>
              <w:jc w:val="center"/>
              <w:rPr>
                <w:sz w:val="16"/>
                <w:szCs w:val="18"/>
                <w:lang w:eastAsia="fr-FR"/>
              </w:rPr>
            </w:pPr>
            <w:r w:rsidRPr="00C258AD">
              <w:rPr>
                <w:sz w:val="16"/>
                <w:szCs w:val="18"/>
                <w:lang w:eastAsia="fr-FR"/>
              </w:rPr>
              <w:t>2 312</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BB4DBC" w:rsidRPr="00C258AD" w:rsidRDefault="00BB4DBC" w:rsidP="001A4D6C">
            <w:pPr>
              <w:jc w:val="center"/>
              <w:rPr>
                <w:sz w:val="16"/>
                <w:szCs w:val="18"/>
                <w:lang w:eastAsia="fr-FR"/>
              </w:rPr>
            </w:pPr>
            <w:r w:rsidRPr="00C258AD">
              <w:rPr>
                <w:sz w:val="16"/>
                <w:szCs w:val="18"/>
                <w:lang w:eastAsia="fr-FR"/>
              </w:rPr>
              <w:t>2 093</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BB4DBC" w:rsidRPr="00C258AD" w:rsidRDefault="00BB4DBC" w:rsidP="001A4D6C">
            <w:pPr>
              <w:jc w:val="center"/>
              <w:rPr>
                <w:sz w:val="16"/>
                <w:szCs w:val="18"/>
                <w:lang w:eastAsia="fr-FR"/>
              </w:rPr>
            </w:pPr>
            <w:r w:rsidRPr="00C258AD">
              <w:rPr>
                <w:sz w:val="16"/>
                <w:szCs w:val="18"/>
                <w:lang w:eastAsia="fr-FR"/>
              </w:rPr>
              <w:t>91%</w:t>
            </w:r>
          </w:p>
        </w:tc>
      </w:tr>
      <w:tr w:rsidR="00BB4DBC"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BB4DBC" w:rsidRPr="00C258AD" w:rsidRDefault="00BB4DBC" w:rsidP="001A4D6C">
            <w:pPr>
              <w:rPr>
                <w:sz w:val="16"/>
                <w:szCs w:val="18"/>
                <w:lang w:eastAsia="fr-FR"/>
              </w:rPr>
            </w:pPr>
            <w:r w:rsidRPr="00C258AD">
              <w:rPr>
                <w:sz w:val="16"/>
                <w:szCs w:val="18"/>
                <w:lang w:eastAsia="fr-FR"/>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BB4DBC" w:rsidRPr="00C258AD" w:rsidRDefault="00BB4DBC" w:rsidP="001A4D6C">
            <w:pPr>
              <w:jc w:val="center"/>
              <w:rPr>
                <w:sz w:val="16"/>
                <w:szCs w:val="18"/>
                <w:lang w:eastAsia="fr-FR"/>
              </w:rPr>
            </w:pPr>
            <w:r w:rsidRPr="00C258AD">
              <w:rPr>
                <w:sz w:val="16"/>
                <w:szCs w:val="18"/>
                <w:lang w:eastAsia="fr-FR"/>
              </w:rPr>
              <w:t>1 248</w:t>
            </w:r>
          </w:p>
        </w:tc>
        <w:tc>
          <w:tcPr>
            <w:tcW w:w="1746" w:type="dxa"/>
            <w:tcBorders>
              <w:top w:val="nil"/>
              <w:left w:val="nil"/>
              <w:bottom w:val="single" w:sz="4" w:space="0" w:color="auto"/>
              <w:right w:val="single" w:sz="4" w:space="0" w:color="auto"/>
            </w:tcBorders>
            <w:shd w:val="clear" w:color="auto" w:fill="auto"/>
            <w:vAlign w:val="center"/>
            <w:hideMark/>
          </w:tcPr>
          <w:p w:rsidR="00BB4DBC" w:rsidRPr="00C258AD" w:rsidRDefault="00BB4DBC" w:rsidP="001A4D6C">
            <w:pPr>
              <w:jc w:val="center"/>
              <w:rPr>
                <w:sz w:val="16"/>
                <w:szCs w:val="18"/>
                <w:lang w:eastAsia="fr-FR"/>
              </w:rPr>
            </w:pPr>
            <w:r w:rsidRPr="00C258AD">
              <w:rPr>
                <w:sz w:val="16"/>
                <w:szCs w:val="18"/>
                <w:lang w:eastAsia="fr-FR"/>
              </w:rPr>
              <w:t>1 207</w:t>
            </w:r>
          </w:p>
        </w:tc>
        <w:tc>
          <w:tcPr>
            <w:tcW w:w="1745" w:type="dxa"/>
            <w:tcBorders>
              <w:top w:val="nil"/>
              <w:left w:val="nil"/>
              <w:bottom w:val="single" w:sz="4" w:space="0" w:color="auto"/>
              <w:right w:val="single" w:sz="4" w:space="0" w:color="auto"/>
            </w:tcBorders>
            <w:shd w:val="clear" w:color="auto" w:fill="auto"/>
            <w:vAlign w:val="center"/>
            <w:hideMark/>
          </w:tcPr>
          <w:p w:rsidR="00BB4DBC" w:rsidRPr="00C258AD" w:rsidRDefault="00BB4DBC" w:rsidP="001A4D6C">
            <w:pPr>
              <w:jc w:val="center"/>
              <w:rPr>
                <w:sz w:val="16"/>
                <w:szCs w:val="18"/>
                <w:lang w:eastAsia="fr-FR"/>
              </w:rPr>
            </w:pPr>
            <w:r w:rsidRPr="00C258AD">
              <w:rPr>
                <w:sz w:val="16"/>
                <w:szCs w:val="18"/>
                <w:lang w:eastAsia="fr-FR"/>
              </w:rPr>
              <w:t>1 046</w:t>
            </w:r>
          </w:p>
        </w:tc>
        <w:tc>
          <w:tcPr>
            <w:tcW w:w="1746" w:type="dxa"/>
            <w:tcBorders>
              <w:top w:val="nil"/>
              <w:left w:val="nil"/>
              <w:bottom w:val="single" w:sz="4" w:space="0" w:color="auto"/>
              <w:right w:val="single" w:sz="4" w:space="0" w:color="auto"/>
            </w:tcBorders>
            <w:shd w:val="clear" w:color="auto" w:fill="auto"/>
            <w:vAlign w:val="center"/>
            <w:hideMark/>
          </w:tcPr>
          <w:p w:rsidR="00BB4DBC" w:rsidRPr="00C258AD" w:rsidRDefault="00BB4DBC" w:rsidP="001A4D6C">
            <w:pPr>
              <w:jc w:val="center"/>
              <w:rPr>
                <w:sz w:val="16"/>
                <w:szCs w:val="18"/>
                <w:lang w:eastAsia="fr-FR"/>
              </w:rPr>
            </w:pPr>
            <w:r w:rsidRPr="00C258AD">
              <w:rPr>
                <w:sz w:val="16"/>
                <w:szCs w:val="18"/>
                <w:lang w:eastAsia="fr-FR"/>
              </w:rPr>
              <w:t>87%</w:t>
            </w:r>
          </w:p>
        </w:tc>
      </w:tr>
      <w:tr w:rsidR="00BB4DBC"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BB4DBC" w:rsidRPr="00C258AD" w:rsidRDefault="00BB4DBC" w:rsidP="001A4D6C">
            <w:pPr>
              <w:jc w:val="right"/>
              <w:rPr>
                <w:b/>
                <w:bCs/>
                <w:sz w:val="16"/>
                <w:szCs w:val="18"/>
                <w:lang w:eastAsia="fr-FR"/>
              </w:rPr>
            </w:pPr>
            <w:r w:rsidRPr="00C258AD">
              <w:rPr>
                <w:b/>
                <w:bCs/>
                <w:sz w:val="16"/>
                <w:szCs w:val="18"/>
                <w:lang w:eastAsia="fr-FR"/>
              </w:rPr>
              <w:t xml:space="preserve">TOTAL </w:t>
            </w:r>
          </w:p>
        </w:tc>
        <w:tc>
          <w:tcPr>
            <w:tcW w:w="1745" w:type="dxa"/>
            <w:tcBorders>
              <w:top w:val="nil"/>
              <w:left w:val="nil"/>
              <w:bottom w:val="single" w:sz="4" w:space="0" w:color="auto"/>
              <w:right w:val="single" w:sz="4" w:space="0" w:color="auto"/>
            </w:tcBorders>
            <w:shd w:val="clear" w:color="auto" w:fill="auto"/>
            <w:vAlign w:val="center"/>
            <w:hideMark/>
          </w:tcPr>
          <w:p w:rsidR="00BB4DBC" w:rsidRPr="00C258AD" w:rsidRDefault="00BB4DBC" w:rsidP="001A4D6C">
            <w:pPr>
              <w:jc w:val="center"/>
              <w:rPr>
                <w:b/>
                <w:bCs/>
                <w:sz w:val="16"/>
                <w:szCs w:val="18"/>
                <w:lang w:eastAsia="fr-FR"/>
              </w:rPr>
            </w:pPr>
            <w:r w:rsidRPr="00C258AD">
              <w:rPr>
                <w:b/>
                <w:bCs/>
                <w:sz w:val="16"/>
                <w:szCs w:val="18"/>
                <w:lang w:eastAsia="fr-FR"/>
              </w:rPr>
              <w:t>4 341</w:t>
            </w:r>
          </w:p>
        </w:tc>
        <w:tc>
          <w:tcPr>
            <w:tcW w:w="1746" w:type="dxa"/>
            <w:tcBorders>
              <w:top w:val="nil"/>
              <w:left w:val="nil"/>
              <w:bottom w:val="single" w:sz="4" w:space="0" w:color="auto"/>
              <w:right w:val="single" w:sz="4" w:space="0" w:color="auto"/>
            </w:tcBorders>
            <w:shd w:val="clear" w:color="auto" w:fill="auto"/>
            <w:vAlign w:val="center"/>
            <w:hideMark/>
          </w:tcPr>
          <w:p w:rsidR="00BB4DBC" w:rsidRPr="00C258AD" w:rsidRDefault="00BB4DBC" w:rsidP="001A4D6C">
            <w:pPr>
              <w:jc w:val="center"/>
              <w:rPr>
                <w:b/>
                <w:bCs/>
                <w:sz w:val="16"/>
                <w:szCs w:val="18"/>
                <w:lang w:eastAsia="fr-FR"/>
              </w:rPr>
            </w:pPr>
            <w:r w:rsidRPr="00C258AD">
              <w:rPr>
                <w:b/>
                <w:bCs/>
                <w:sz w:val="16"/>
                <w:szCs w:val="18"/>
                <w:lang w:eastAsia="fr-FR"/>
              </w:rPr>
              <w:t>3 519</w:t>
            </w:r>
          </w:p>
        </w:tc>
        <w:tc>
          <w:tcPr>
            <w:tcW w:w="1745" w:type="dxa"/>
            <w:tcBorders>
              <w:top w:val="nil"/>
              <w:left w:val="nil"/>
              <w:bottom w:val="single" w:sz="4" w:space="0" w:color="auto"/>
              <w:right w:val="single" w:sz="4" w:space="0" w:color="auto"/>
            </w:tcBorders>
            <w:shd w:val="clear" w:color="auto" w:fill="auto"/>
            <w:vAlign w:val="center"/>
            <w:hideMark/>
          </w:tcPr>
          <w:p w:rsidR="00BB4DBC" w:rsidRPr="00C258AD" w:rsidRDefault="00BB4DBC" w:rsidP="001A4D6C">
            <w:pPr>
              <w:jc w:val="center"/>
              <w:rPr>
                <w:b/>
                <w:bCs/>
                <w:sz w:val="16"/>
                <w:szCs w:val="18"/>
                <w:lang w:eastAsia="fr-FR"/>
              </w:rPr>
            </w:pPr>
            <w:r w:rsidRPr="00C258AD">
              <w:rPr>
                <w:b/>
                <w:bCs/>
                <w:sz w:val="16"/>
                <w:szCs w:val="18"/>
                <w:lang w:eastAsia="fr-FR"/>
              </w:rPr>
              <w:t>3 138</w:t>
            </w:r>
          </w:p>
        </w:tc>
        <w:tc>
          <w:tcPr>
            <w:tcW w:w="1746" w:type="dxa"/>
            <w:tcBorders>
              <w:top w:val="nil"/>
              <w:left w:val="nil"/>
              <w:bottom w:val="single" w:sz="4" w:space="0" w:color="auto"/>
              <w:right w:val="single" w:sz="4" w:space="0" w:color="auto"/>
            </w:tcBorders>
            <w:shd w:val="clear" w:color="auto" w:fill="auto"/>
            <w:vAlign w:val="center"/>
            <w:hideMark/>
          </w:tcPr>
          <w:p w:rsidR="00BB4DBC" w:rsidRPr="00C258AD" w:rsidRDefault="00BB4DBC" w:rsidP="001A4D6C">
            <w:pPr>
              <w:jc w:val="center"/>
              <w:rPr>
                <w:b/>
                <w:bCs/>
                <w:sz w:val="16"/>
                <w:szCs w:val="18"/>
                <w:lang w:eastAsia="fr-FR"/>
              </w:rPr>
            </w:pPr>
            <w:r w:rsidRPr="00C258AD">
              <w:rPr>
                <w:b/>
                <w:bCs/>
                <w:sz w:val="16"/>
                <w:szCs w:val="18"/>
                <w:lang w:eastAsia="fr-FR"/>
              </w:rPr>
              <w:t>89%</w:t>
            </w:r>
          </w:p>
        </w:tc>
      </w:tr>
    </w:tbl>
    <w:p w:rsidR="006E2BB1" w:rsidRPr="00C258AD" w:rsidRDefault="006E2BB1" w:rsidP="001A4D6C">
      <w:pPr>
        <w:widowControl w:val="0"/>
        <w:autoSpaceDE w:val="0"/>
        <w:autoSpaceDN w:val="0"/>
        <w:adjustRightInd w:val="0"/>
        <w:jc w:val="both"/>
      </w:pPr>
    </w:p>
    <w:p w:rsidR="006E2BB1" w:rsidRPr="00C258AD" w:rsidRDefault="006E2BB1" w:rsidP="001A4D6C">
      <w:pPr>
        <w:widowControl w:val="0"/>
        <w:autoSpaceDE w:val="0"/>
        <w:autoSpaceDN w:val="0"/>
        <w:adjustRightInd w:val="0"/>
        <w:jc w:val="both"/>
      </w:pPr>
    </w:p>
    <w:p w:rsidR="006E2BB1" w:rsidRPr="00C258AD" w:rsidRDefault="00BB4DBC" w:rsidP="001A4D6C">
      <w:pPr>
        <w:jc w:val="both"/>
        <w:rPr>
          <w:u w:val="single"/>
        </w:rPr>
      </w:pPr>
      <w:r w:rsidRPr="00C258AD">
        <w:t>A.</w:t>
      </w:r>
      <w:r w:rsidRPr="00C258AD">
        <w:tab/>
      </w:r>
      <w:r w:rsidRPr="00C258AD">
        <w:rPr>
          <w:u w:val="single"/>
        </w:rPr>
        <w:t>Budget final 2014</w:t>
      </w:r>
      <w:r w:rsidRPr="00C258AD">
        <w:rPr>
          <w:u w:val="single"/>
        </w:rPr>
        <w:noBreakHyphen/>
        <w:t>2015 après virements</w:t>
      </w:r>
    </w:p>
    <w:p w:rsidR="006E2BB1" w:rsidRPr="00C258AD" w:rsidRDefault="006E2BB1" w:rsidP="001A4D6C">
      <w:pPr>
        <w:jc w:val="both"/>
        <w:rPr>
          <w:u w:val="single"/>
        </w:rPr>
      </w:pPr>
    </w:p>
    <w:p w:rsidR="006E2BB1" w:rsidRPr="00C258AD" w:rsidRDefault="00BB4DBC" w:rsidP="00BB4DBC">
      <w:pPr>
        <w:pStyle w:val="ListParagraph"/>
        <w:numPr>
          <w:ilvl w:val="0"/>
          <w:numId w:val="44"/>
        </w:numPr>
        <w:tabs>
          <w:tab w:val="left" w:pos="709"/>
        </w:tabs>
        <w:ind w:left="0" w:firstLine="0"/>
        <w:jc w:val="both"/>
        <w:rPr>
          <w:lang w:eastAsia="ko-KR"/>
        </w:rPr>
      </w:pPr>
      <w:r w:rsidRPr="00C258AD">
        <w:rPr>
          <w:lang w:eastAsia="ko-KR"/>
        </w:rPr>
        <w:t>La diminution observée dans le budget final 2014</w:t>
      </w:r>
      <w:r w:rsidRPr="00C258AD">
        <w:rPr>
          <w:lang w:eastAsia="ko-KR"/>
        </w:rPr>
        <w:noBreakHyphen/>
        <w:t>2015 après virements s’explique principalement par le redéploiement de ressources en personnel hors du programme (un poste).</w:t>
      </w:r>
    </w:p>
    <w:p w:rsidR="006E2BB1" w:rsidRPr="00C258AD" w:rsidRDefault="006E2BB1" w:rsidP="001A4D6C">
      <w:pPr>
        <w:autoSpaceDE w:val="0"/>
        <w:autoSpaceDN w:val="0"/>
        <w:adjustRightInd w:val="0"/>
        <w:jc w:val="both"/>
        <w:rPr>
          <w:lang w:eastAsia="ko-KR"/>
        </w:rPr>
      </w:pPr>
    </w:p>
    <w:p w:rsidR="006E2BB1" w:rsidRPr="00C258AD" w:rsidRDefault="006E2BB1" w:rsidP="001A4D6C">
      <w:pPr>
        <w:autoSpaceDE w:val="0"/>
        <w:autoSpaceDN w:val="0"/>
        <w:jc w:val="both"/>
        <w:rPr>
          <w:lang w:eastAsia="ko-KR"/>
        </w:rPr>
      </w:pPr>
    </w:p>
    <w:p w:rsidR="006E2BB1" w:rsidRPr="00C258AD" w:rsidRDefault="00BB4DBC" w:rsidP="001A4D6C">
      <w:pPr>
        <w:jc w:val="both"/>
        <w:rPr>
          <w:u w:val="single"/>
          <w:lang w:eastAsia="ko-KR"/>
        </w:rPr>
      </w:pPr>
      <w:r w:rsidRPr="00C258AD">
        <w:rPr>
          <w:lang w:eastAsia="ko-KR"/>
        </w:rPr>
        <w:t>B.</w:t>
      </w:r>
      <w:r w:rsidRPr="00C258AD">
        <w:rPr>
          <w:lang w:eastAsia="ko-KR"/>
        </w:rPr>
        <w:tab/>
      </w:r>
      <w:r w:rsidRPr="00C258AD">
        <w:rPr>
          <w:u w:val="single"/>
          <w:lang w:eastAsia="ko-KR"/>
        </w:rPr>
        <w:t>Utilisation du budget en 2014</w:t>
      </w:r>
      <w:r w:rsidRPr="00C258AD">
        <w:rPr>
          <w:u w:val="single"/>
          <w:lang w:eastAsia="ko-KR"/>
        </w:rPr>
        <w:noBreakHyphen/>
        <w:t>2015</w:t>
      </w:r>
    </w:p>
    <w:p w:rsidR="006E2BB1" w:rsidRPr="00C258AD" w:rsidRDefault="006E2BB1" w:rsidP="001A4D6C">
      <w:pPr>
        <w:autoSpaceDE w:val="0"/>
        <w:autoSpaceDN w:val="0"/>
        <w:jc w:val="both"/>
      </w:pPr>
    </w:p>
    <w:p w:rsidR="006E2BB1" w:rsidRPr="00C258AD" w:rsidRDefault="00BB4DBC" w:rsidP="00BB4DBC">
      <w:pPr>
        <w:pStyle w:val="ListParagraph"/>
        <w:numPr>
          <w:ilvl w:val="0"/>
          <w:numId w:val="44"/>
        </w:numPr>
        <w:tabs>
          <w:tab w:val="left" w:pos="709"/>
        </w:tabs>
        <w:ind w:left="0" w:firstLine="0"/>
        <w:jc w:val="both"/>
      </w:pPr>
      <w:r w:rsidRPr="00C258AD">
        <w:rPr>
          <w:color w:val="000000"/>
        </w:rPr>
        <w:t xml:space="preserve">La baisse des dépenses de personnel est liée à la procédure de recrutement pour un poste vacant.  La baisse des autres dépenses s’explique principalement par le retard, accepté par les </w:t>
      </w:r>
      <w:r w:rsidRPr="00C258AD">
        <w:rPr>
          <w:rFonts w:cs="Arial"/>
          <w:color w:val="000000"/>
        </w:rPr>
        <w:t>É</w:t>
      </w:r>
      <w:r w:rsidRPr="00C258AD">
        <w:rPr>
          <w:color w:val="000000"/>
        </w:rPr>
        <w:t>tats membres, pris dans l’étude indépendante sur la mise en œuvre des recommandations du Plan d’action pour le développement.</w:t>
      </w:r>
    </w:p>
    <w:p w:rsidR="006E2BB1" w:rsidRPr="00C258AD" w:rsidRDefault="006E2BB1" w:rsidP="00066B9C">
      <w:pPr>
        <w:rPr>
          <w:lang w:eastAsia="ko-KR"/>
        </w:rPr>
      </w:pPr>
    </w:p>
    <w:p w:rsidR="006E2BB1" w:rsidRPr="00C258AD" w:rsidRDefault="002D4597">
      <w:pPr>
        <w:spacing w:after="200" w:line="276" w:lineRule="auto"/>
        <w:rPr>
          <w:rFonts w:cs="Arial"/>
          <w:b/>
          <w:bCs/>
          <w:iCs/>
          <w:caps/>
          <w:sz w:val="22"/>
          <w:szCs w:val="28"/>
          <w:lang w:eastAsia="ko-KR"/>
        </w:rPr>
      </w:pPr>
      <w:r w:rsidRPr="00C258AD">
        <w:rPr>
          <w:lang w:eastAsia="ko-KR"/>
        </w:rPr>
        <w:br w:type="page"/>
      </w:r>
    </w:p>
    <w:p w:rsidR="00E472AA" w:rsidRPr="00C258AD" w:rsidRDefault="00DF6C76" w:rsidP="00DF6C76">
      <w:pPr>
        <w:pStyle w:val="Heading3"/>
      </w:pPr>
      <w:bookmarkStart w:id="94" w:name="_Toc422404228"/>
      <w:bookmarkStart w:id="95" w:name="_Toc423352876"/>
      <w:bookmarkStart w:id="96" w:name="_Toc455394188"/>
      <w:bookmarkStart w:id="97" w:name="_Toc392610038"/>
      <w:r w:rsidRPr="00C258AD">
        <w:lastRenderedPageBreak/>
        <w:t xml:space="preserve">Programme </w:t>
      </w:r>
      <w:r w:rsidR="00E472AA" w:rsidRPr="00C258AD">
        <w:t>9</w:t>
      </w:r>
      <w:r w:rsidR="00E472AA" w:rsidRPr="00C258AD">
        <w:tab/>
      </w:r>
      <w:r w:rsidRPr="00C258AD">
        <w:t>Afrique, pays arabes, Asie et pacifIque, pays d’Amérique latine et des Caraïbes, pays les moins avancés</w:t>
      </w:r>
      <w:bookmarkEnd w:id="94"/>
      <w:bookmarkEnd w:id="95"/>
      <w:bookmarkEnd w:id="96"/>
    </w:p>
    <w:p w:rsidR="00E472AA" w:rsidRPr="00C258AD" w:rsidRDefault="00E472AA" w:rsidP="00927E1F">
      <w:pPr>
        <w:tabs>
          <w:tab w:val="left" w:pos="1985"/>
        </w:tabs>
      </w:pPr>
    </w:p>
    <w:p w:rsidR="00E472AA" w:rsidRPr="00C258AD" w:rsidRDefault="00E472AA" w:rsidP="00E472AA">
      <w:pPr>
        <w:rPr>
          <w:b/>
          <w:szCs w:val="22"/>
        </w:rPr>
      </w:pPr>
      <w:r w:rsidRPr="00C258AD">
        <w:rPr>
          <w:b/>
        </w:rPr>
        <w:t>Chef de programme</w:t>
      </w:r>
      <w:r w:rsidRPr="00C258AD">
        <w:rPr>
          <w:b/>
        </w:rPr>
        <w:tab/>
        <w:t>M. M. Matus</w:t>
      </w:r>
    </w:p>
    <w:p w:rsidR="00E472AA" w:rsidRPr="00C258AD" w:rsidRDefault="00E472AA" w:rsidP="00927E1F"/>
    <w:p w:rsidR="00E472AA" w:rsidRPr="00C258AD" w:rsidRDefault="00E472AA" w:rsidP="00927E1F"/>
    <w:p w:rsidR="00E472AA" w:rsidRPr="00C258AD" w:rsidRDefault="00E472AA" w:rsidP="00927E1F">
      <w:pPr>
        <w:keepNext/>
        <w:rPr>
          <w:caps/>
          <w:sz w:val="22"/>
          <w:szCs w:val="22"/>
        </w:rPr>
      </w:pPr>
      <w:r w:rsidRPr="00C258AD">
        <w:rPr>
          <w:caps/>
          <w:sz w:val="22"/>
          <w:szCs w:val="22"/>
        </w:rPr>
        <w:t>Réalisations au cours de l’exercice biennal 2014</w:t>
      </w:r>
      <w:r w:rsidRPr="00C258AD">
        <w:rPr>
          <w:caps/>
          <w:sz w:val="22"/>
          <w:szCs w:val="22"/>
        </w:rPr>
        <w:noBreakHyphen/>
        <w:t>2015</w:t>
      </w:r>
    </w:p>
    <w:p w:rsidR="00E472AA" w:rsidRPr="00C258AD" w:rsidRDefault="00E472AA" w:rsidP="00927E1F">
      <w:pPr>
        <w:rPr>
          <w:bCs/>
        </w:rPr>
      </w:pPr>
    </w:p>
    <w:p w:rsidR="00E472AA" w:rsidRPr="00C258AD" w:rsidRDefault="00E472AA" w:rsidP="00DF2EEF">
      <w:pPr>
        <w:pStyle w:val="ListParagraph"/>
        <w:numPr>
          <w:ilvl w:val="0"/>
          <w:numId w:val="103"/>
        </w:numPr>
        <w:tabs>
          <w:tab w:val="left" w:pos="709"/>
        </w:tabs>
        <w:ind w:left="0" w:firstLine="0"/>
        <w:contextualSpacing/>
        <w:jc w:val="both"/>
        <w:rPr>
          <w:rFonts w:eastAsia="SimSun"/>
        </w:rPr>
      </w:pPr>
      <w:r w:rsidRPr="00C258AD">
        <w:t>L’objectif stratégique III de l’OMPI, qui est de favoriser l’utilisation de la propriété intellectuelle au service du développement, a continué d’influencer l’assistance technique et le soutien que le programme fournit aux États membres en fonction de leurs particularités et de leurs besoins pendant tout l’exercice biennal.  Premier lien entre les États membres bénéficiaires et les différents programmes de l’OMPI, le programme 9 a continué à fournir une assistance technique cohérente, coordonnée, axée sur les besoins et adaptée à chaque pays.  Globalement, la conception, la planification et la mise en œuvre des activités de coopération technique se sont appuyées sur les recommandations pertinentes du Plan d’action pour le développement, en particulier les recommandations du groupe A concernant l’assistance technique et le renforcement des capacités.  Conformément également aux recommandations du Plan d’action pour le développement, les divers programmes spécialisés de l’Organisation ont continué en 2014</w:t>
      </w:r>
      <w:r w:rsidRPr="00C258AD">
        <w:noBreakHyphen/>
        <w:t>2015 à offrir des activités rationalisées, axées sur le développement aux pays en développement et aux PMA, afin de renforcer encore davantage la coopération technique au sein de l’OMPI.</w:t>
      </w:r>
    </w:p>
    <w:p w:rsidR="00E472AA" w:rsidRPr="00C258AD" w:rsidRDefault="00E472AA" w:rsidP="00927E1F">
      <w:pPr>
        <w:tabs>
          <w:tab w:val="left" w:pos="709"/>
        </w:tabs>
        <w:jc w:val="both"/>
        <w:rPr>
          <w:bCs/>
        </w:rPr>
      </w:pPr>
    </w:p>
    <w:p w:rsidR="00E472AA" w:rsidRPr="00C258AD" w:rsidRDefault="00E472AA" w:rsidP="00DF2EEF">
      <w:pPr>
        <w:pStyle w:val="ListParagraph"/>
        <w:numPr>
          <w:ilvl w:val="0"/>
          <w:numId w:val="103"/>
        </w:numPr>
        <w:tabs>
          <w:tab w:val="left" w:pos="709"/>
        </w:tabs>
        <w:ind w:left="0" w:firstLine="0"/>
        <w:jc w:val="both"/>
        <w:rPr>
          <w:rFonts w:eastAsia="SimSun"/>
          <w:bCs/>
        </w:rPr>
      </w:pPr>
      <w:r w:rsidRPr="00C258AD">
        <w:t xml:space="preserve">L’OMPI a continué d’aider les pays en développement et les PMA dans la conception, l’élaboration et la mise en œuvre de stratégies nationales en matière de propriété intellectuelle qui sont à la fois cohérentes avec leurs plans généraux de développement et capables de stimuler l’innovation et la créativité.  L’application d’une méthodologie à la fois normalisée et souple et une panoplie d’outils de formulation de plans et stratégies de propriété intellectuelle à l’échelle nationale, élaborés dans le cadre du projet du Plan d’action pour le développement relatif au renforcement des capacités des institutions et des utilisateurs aux niveaux national, </w:t>
      </w:r>
      <w:proofErr w:type="spellStart"/>
      <w:r w:rsidRPr="00C258AD">
        <w:t>sous</w:t>
      </w:r>
      <w:r w:rsidRPr="00C258AD">
        <w:noBreakHyphen/>
        <w:t>régional</w:t>
      </w:r>
      <w:proofErr w:type="spellEnd"/>
      <w:r w:rsidRPr="00C258AD">
        <w:t xml:space="preserve"> et régional en 2012, ont continué à guider la procédure.  De ce fait, 15 pays (six en Afrique, cinq dans la région Asie et Pacifique et quatre dans la région Amérique latine et Caraïbes) ont lancé la procédure visant à formuler des plans et stratégies de propriété intellectuelle à l’échelle nationale, et 13 pays (quatre en Afrique, deux dans les pays arabes, trois dans la région Asie et Pacifique et quatre dans la région Amérique latine et Caraïbes) étaient encore à la phase de formulation ou d’adoption fin 2014.  À la fin de l’exercice biennal 2014</w:t>
      </w:r>
      <w:r w:rsidRPr="00C258AD">
        <w:noBreakHyphen/>
        <w:t>2015, les plans et stratégies de propriété intellectuelle à l’échelle nationale avaient été adoptés ou étaient en cours de mise en œuvre dans 44 pays au total (26 en Afrique, deux dans les pays arabes, huit dans la région Asie et Pacifique et huit dans la région Amérique latine et Caraïbes), 19 d’entre eux étant des PMA.</w:t>
      </w:r>
    </w:p>
    <w:p w:rsidR="00E472AA" w:rsidRPr="00C258AD" w:rsidRDefault="00E472AA" w:rsidP="00927E1F">
      <w:pPr>
        <w:tabs>
          <w:tab w:val="left" w:pos="709"/>
        </w:tabs>
        <w:jc w:val="both"/>
        <w:rPr>
          <w:bCs/>
        </w:rPr>
      </w:pPr>
    </w:p>
    <w:p w:rsidR="00E472AA" w:rsidRPr="00C258AD" w:rsidRDefault="00E472AA" w:rsidP="00DF2EEF">
      <w:pPr>
        <w:pStyle w:val="ListParagraph"/>
        <w:numPr>
          <w:ilvl w:val="0"/>
          <w:numId w:val="103"/>
        </w:numPr>
        <w:tabs>
          <w:tab w:val="left" w:pos="709"/>
        </w:tabs>
        <w:ind w:left="0" w:firstLine="0"/>
        <w:jc w:val="both"/>
      </w:pPr>
      <w:r w:rsidRPr="00C258AD">
        <w:rPr>
          <w:bCs/>
        </w:rPr>
        <w:t xml:space="preserve">Pour la première fois, l’OMPI a joué un rôle considérable dans l’aide apportée à un groupe régional pour définir un cadre exhaustif de propriété intellectuelle.  </w:t>
      </w:r>
      <w:r w:rsidRPr="00C258AD">
        <w:t>En octobre 2014, un coordonnateur de chaque pays de l’Association des nations de l’Asie du Sud</w:t>
      </w:r>
      <w:r w:rsidRPr="00C258AD">
        <w:noBreakHyphen/>
        <w:t>Est (ASEAN) a participé à un atelier de réflexion sur l’élaboration du programme stratégique sur les droits de propriété intellectuelle de l’ASEAN pour la période 2016</w:t>
      </w:r>
      <w:r w:rsidRPr="00C258AD">
        <w:noBreakHyphen/>
        <w:t>2025, conformément à la stratégie de la Communauté économique de l’ASEAN pour 2016</w:t>
      </w:r>
      <w:r w:rsidRPr="00C258AD">
        <w:noBreakHyphen/>
        <w:t>2025.</w:t>
      </w:r>
    </w:p>
    <w:p w:rsidR="00E472AA" w:rsidRPr="00C258AD" w:rsidRDefault="00E472AA" w:rsidP="00927E1F">
      <w:pPr>
        <w:tabs>
          <w:tab w:val="left" w:pos="709"/>
        </w:tabs>
        <w:jc w:val="both"/>
        <w:rPr>
          <w:bCs/>
        </w:rPr>
      </w:pPr>
    </w:p>
    <w:p w:rsidR="00E472AA" w:rsidRPr="00C258AD" w:rsidRDefault="00E472AA" w:rsidP="00DF2EEF">
      <w:pPr>
        <w:pStyle w:val="ListParagraph"/>
        <w:numPr>
          <w:ilvl w:val="0"/>
          <w:numId w:val="103"/>
        </w:numPr>
        <w:tabs>
          <w:tab w:val="left" w:pos="709"/>
        </w:tabs>
        <w:ind w:left="0" w:firstLine="0"/>
        <w:jc w:val="both"/>
        <w:rPr>
          <w:rFonts w:eastAsia="SimSun"/>
          <w:bCs/>
        </w:rPr>
      </w:pPr>
      <w:r w:rsidRPr="00C258AD">
        <w:t xml:space="preserve">Renforcer les capacités en matière de ressources humaines pour pouvoir répondre aux nombreuses exigences en ce qui concerne l’utilisation efficace de la propriété intellectuelle au service du développement et promouvoir l’innovation et la créativité restaient des priorités au cours de l’exercice biennal.  Des programmes de renforcement des capacités et de développement des compétences adaptés ont été fournis à des groupes cibles spécifiques tels que des fonctionnaires d’État, des décideurs, des spécialistes de la propriété intellectuelle, des agents chargés de l’application des droits, des chercheurs et universitaires ou des chefs d’entreprise et des industriels, ainsi que des PME, et ce, à l’échelle nationale, </w:t>
      </w:r>
      <w:proofErr w:type="spellStart"/>
      <w:r w:rsidRPr="00C258AD">
        <w:t>sous</w:t>
      </w:r>
      <w:r w:rsidRPr="00C258AD">
        <w:noBreakHyphen/>
        <w:t>régionale</w:t>
      </w:r>
      <w:proofErr w:type="spellEnd"/>
      <w:r w:rsidRPr="00C258AD">
        <w:t xml:space="preserve"> et régionale.</w:t>
      </w:r>
    </w:p>
    <w:p w:rsidR="00E472AA" w:rsidRPr="00C258AD" w:rsidRDefault="00E472AA" w:rsidP="00927E1F">
      <w:pPr>
        <w:tabs>
          <w:tab w:val="left" w:pos="709"/>
        </w:tabs>
        <w:jc w:val="both"/>
        <w:rPr>
          <w:bCs/>
        </w:rPr>
      </w:pPr>
    </w:p>
    <w:p w:rsidR="00E472AA" w:rsidRPr="00C258AD" w:rsidRDefault="00E472AA" w:rsidP="00DF2EEF">
      <w:pPr>
        <w:pStyle w:val="ListParagraph"/>
        <w:numPr>
          <w:ilvl w:val="0"/>
          <w:numId w:val="103"/>
        </w:numPr>
        <w:tabs>
          <w:tab w:val="left" w:pos="709"/>
        </w:tabs>
        <w:ind w:left="0" w:firstLine="0"/>
        <w:jc w:val="both"/>
        <w:rPr>
          <w:rFonts w:eastAsia="SimSun"/>
          <w:bCs/>
        </w:rPr>
      </w:pPr>
      <w:r w:rsidRPr="00C258AD">
        <w:t>En 2014</w:t>
      </w:r>
      <w:r w:rsidRPr="00C258AD">
        <w:noBreakHyphen/>
        <w:t xml:space="preserve">2015, l’OMPI a continué à renforcer son assistance auprès des offices de propriété intellectuelle des pays en développement et des PMA afin de leur permettre de fournir une modernisation du système de la propriété intellectuelle et des services d’infrastructure technique rentables et de grande qualité à leurs parties prenantes, créant ainsi un environnement plus favorable à une utilisation efficace des informations relatives à la propriété intellectuelle, notamment par les institutions chargées de l’administration des droits de propriété intellectuelle, le système d’innovation national et le secteur de la production.  Fin 2015, quelque 70 offices de propriété intellectuelle utilisaient les solutions opérationnelles </w:t>
      </w:r>
      <w:r w:rsidRPr="00C258AD">
        <w:lastRenderedPageBreak/>
        <w:t>de l’OMPI destinées aux offices de propriété intellectuelle dans les différentes régions : 24 en Afrique, 14 dans les pays arabes, 13 dans la région Asie et Pacifique et 19 dans la région Amérique latine et Caraïbes (pour plus de détails, reportez</w:t>
      </w:r>
      <w:r w:rsidRPr="00C258AD">
        <w:noBreakHyphen/>
        <w:t>vous au programme 15).</w:t>
      </w:r>
    </w:p>
    <w:p w:rsidR="00E472AA" w:rsidRPr="00C258AD" w:rsidRDefault="00E472AA" w:rsidP="00927E1F">
      <w:pPr>
        <w:tabs>
          <w:tab w:val="left" w:pos="709"/>
        </w:tabs>
        <w:jc w:val="both"/>
        <w:rPr>
          <w:bCs/>
        </w:rPr>
      </w:pPr>
    </w:p>
    <w:p w:rsidR="00E472AA" w:rsidRPr="00C258AD" w:rsidRDefault="00E472AA" w:rsidP="00DF2EEF">
      <w:pPr>
        <w:pStyle w:val="ListParagraph"/>
        <w:numPr>
          <w:ilvl w:val="0"/>
          <w:numId w:val="103"/>
        </w:numPr>
        <w:tabs>
          <w:tab w:val="left" w:pos="709"/>
        </w:tabs>
        <w:ind w:left="0" w:firstLine="0"/>
        <w:jc w:val="both"/>
        <w:rPr>
          <w:rFonts w:eastAsia="SimSun"/>
          <w:bCs/>
        </w:rPr>
      </w:pPr>
      <w:r w:rsidRPr="00C258AD">
        <w:t>Faciliter l’accès aux bases de données mondiales d’informations technologiques a également continué d’être une priorité fondamentale.  Au cours de l’exercice biennal, l’accent a été placé sur le renforcement des centres d’appui à la technologie et à l’innovation (CATI) existants en vue d’assurer une viabilité à long terme.  Sur les 49 CATI établis dans les différentes régions, quelque 24 ont été jugés viables à la fin de 2015 : 10 en Afrique (dont huit dans des PMA);  trois dans des pays arabes;  quatre dans la région Asie et Pacifique (dont un dans des PMA) et sept dans la région Amérique latine et Caraïbes (pour plus de détails, reportez</w:t>
      </w:r>
      <w:r w:rsidRPr="00C258AD">
        <w:noBreakHyphen/>
        <w:t>vous au programme 14).</w:t>
      </w:r>
    </w:p>
    <w:p w:rsidR="00E472AA" w:rsidRPr="00C258AD" w:rsidRDefault="00E472AA" w:rsidP="00927E1F">
      <w:pPr>
        <w:tabs>
          <w:tab w:val="left" w:pos="709"/>
        </w:tabs>
        <w:jc w:val="both"/>
        <w:rPr>
          <w:bCs/>
        </w:rPr>
      </w:pPr>
    </w:p>
    <w:p w:rsidR="00E472AA" w:rsidRPr="00C258AD" w:rsidRDefault="00E472AA" w:rsidP="00DF2EEF">
      <w:pPr>
        <w:pStyle w:val="ListParagraph"/>
        <w:numPr>
          <w:ilvl w:val="0"/>
          <w:numId w:val="103"/>
        </w:numPr>
        <w:tabs>
          <w:tab w:val="left" w:pos="709"/>
        </w:tabs>
        <w:ind w:left="0" w:firstLine="0"/>
        <w:jc w:val="both"/>
        <w:rPr>
          <w:bCs/>
        </w:rPr>
      </w:pPr>
      <w:r w:rsidRPr="00C258AD">
        <w:rPr>
          <w:bCs/>
        </w:rPr>
        <w:t>L’OMPI a également renforcé sa collaboration avec les PMA afin de définir un cadre pour les politiques nationales en matière d’innovation</w:t>
      </w:r>
      <w:r w:rsidRPr="00C258AD">
        <w:t xml:space="preserve">;  </w:t>
      </w:r>
      <w:r w:rsidRPr="00C258AD">
        <w:rPr>
          <w:bCs/>
        </w:rPr>
        <w:t>évaluer les besoins en compétences techniques</w:t>
      </w:r>
      <w:r w:rsidRPr="00C258AD">
        <w:t xml:space="preserve">;  </w:t>
      </w:r>
      <w:r w:rsidRPr="00C258AD">
        <w:rPr>
          <w:bCs/>
        </w:rPr>
        <w:t>faciliter l’accès aux plateformes mondiales d’information technique et scientifique</w:t>
      </w:r>
      <w:r w:rsidRPr="00C258AD">
        <w:t xml:space="preserve">;  </w:t>
      </w:r>
      <w:r w:rsidRPr="00C258AD">
        <w:rPr>
          <w:bCs/>
        </w:rPr>
        <w:t>créer une infrastructure d’appui à l’innovation</w:t>
      </w:r>
      <w:r w:rsidRPr="00C258AD">
        <w:t xml:space="preserve">;  </w:t>
      </w:r>
      <w:r w:rsidRPr="00C258AD">
        <w:rPr>
          <w:bCs/>
        </w:rPr>
        <w:t>soutenir les inventaires et le renforcement des capacités dans les savoirs traditionnels.  Dans le cadre de la phase II du projet du Plan d’action, concernant le renforcement des capacités d’utilisation de l’information technique et scientifique axée sur les technologies appropriées pour répondre à certains enjeux de développement, des mémorandums d’accord ont été signés avec quatre PMA (Éthiopie, Ouganda, République</w:t>
      </w:r>
      <w:r w:rsidRPr="00C258AD">
        <w:rPr>
          <w:bCs/>
        </w:rPr>
        <w:noBreakHyphen/>
        <w:t>Unie de Tanzanie et Rwanda), et fin 2015, le projet avait démarré dans trois d’entre eux (Éthiopie, République</w:t>
      </w:r>
      <w:r w:rsidRPr="00C258AD">
        <w:rPr>
          <w:bCs/>
        </w:rPr>
        <w:noBreakHyphen/>
        <w:t>Unie de Tanzanie et Rwanda).</w:t>
      </w:r>
    </w:p>
    <w:p w:rsidR="00E472AA" w:rsidRPr="00C258AD" w:rsidRDefault="00E472AA" w:rsidP="00E472AA">
      <w:pPr>
        <w:pStyle w:val="ListParagraph"/>
        <w:numPr>
          <w:ilvl w:val="0"/>
          <w:numId w:val="0"/>
        </w:numPr>
        <w:ind w:left="720"/>
        <w:jc w:val="both"/>
        <w:rPr>
          <w:bCs/>
        </w:rPr>
      </w:pPr>
    </w:p>
    <w:p w:rsidR="00E472AA" w:rsidRPr="00C258AD" w:rsidRDefault="00E472AA" w:rsidP="00DF2EEF">
      <w:pPr>
        <w:pStyle w:val="ListParagraph"/>
        <w:numPr>
          <w:ilvl w:val="0"/>
          <w:numId w:val="103"/>
        </w:numPr>
        <w:tabs>
          <w:tab w:val="left" w:pos="709"/>
        </w:tabs>
        <w:ind w:left="0" w:firstLine="0"/>
        <w:jc w:val="both"/>
        <w:rPr>
          <w:bCs/>
        </w:rPr>
      </w:pPr>
      <w:r w:rsidRPr="00C258AD">
        <w:rPr>
          <w:bCs/>
        </w:rPr>
        <w:t>De même, l’OMPI a travaillé en étroite collaboration avec le Bureau du Haut Représentant pour les pays les moins avancés, les pays en développement sans littoral et les petits États insulaires en développement dans le cadre de la mise en œuvre du programme d’action d’Istanbul.  En 2014, à l’occasion de la conférence ministérielle des PMA qui s’est tenue au Bénin, l’OMPI a mis sur pied un programme de partenariat interrégional en collaboration avec l’Union internationale des télécommunications (UIT), le Fonds d’équipement des Nations Unies (FENU) et l’Organisation des Nations Unies pour le développement industriel (ONUDI)</w:t>
      </w:r>
      <w:r w:rsidRPr="00C258AD">
        <w:t xml:space="preserve">.  </w:t>
      </w:r>
      <w:r w:rsidRPr="00C258AD">
        <w:rPr>
          <w:bCs/>
        </w:rPr>
        <w:t>En 2015, deux nouveaux forums de partenariat et de coopération ont été organisés avec la Commission économique et sociale pour l’Asie et le Pacifique (CESAP) et la Commission économique pour l’Afrique (CEA)</w:t>
      </w:r>
      <w:r w:rsidRPr="00C258AD">
        <w:t xml:space="preserve">.  </w:t>
      </w:r>
      <w:r w:rsidRPr="00C258AD">
        <w:rPr>
          <w:bCs/>
        </w:rPr>
        <w:t>Le partenariat avec la CESAP a entraîné une proposition pour la signature d’un mémorandum d’accord entre les deux organisations, portant sur le renforcement des capacités et le développement des institutions des PMA d’Afrique et d’Asie.</w:t>
      </w:r>
    </w:p>
    <w:p w:rsidR="00E472AA" w:rsidRPr="00C258AD" w:rsidRDefault="00E472AA" w:rsidP="00E472AA">
      <w:pPr>
        <w:pStyle w:val="ListParagraph"/>
        <w:numPr>
          <w:ilvl w:val="0"/>
          <w:numId w:val="0"/>
        </w:numPr>
        <w:ind w:left="720"/>
        <w:rPr>
          <w:bCs/>
        </w:rPr>
      </w:pPr>
    </w:p>
    <w:p w:rsidR="00E472AA" w:rsidRPr="00C258AD" w:rsidRDefault="00E472AA" w:rsidP="00DF2EEF">
      <w:pPr>
        <w:pStyle w:val="ListParagraph"/>
        <w:numPr>
          <w:ilvl w:val="0"/>
          <w:numId w:val="103"/>
        </w:numPr>
        <w:tabs>
          <w:tab w:val="left" w:pos="709"/>
        </w:tabs>
        <w:ind w:left="0" w:firstLine="0"/>
        <w:jc w:val="both"/>
        <w:rPr>
          <w:bCs/>
        </w:rPr>
      </w:pPr>
      <w:r w:rsidRPr="00C258AD">
        <w:t xml:space="preserve">En coopération avec le Gouvernement suédois (Office suédois des brevets et de l’enregistrement), l’OMPI a poursuivi le programme international de formation annuel sur la propriété intellectuelle dans l’économie mondiale pour l’utilisation de la propriété intellectuelle aux fins du développement dans les PMA, lancé en 2004.  </w:t>
      </w:r>
      <w:r w:rsidRPr="00C258AD">
        <w:rPr>
          <w:bCs/>
        </w:rPr>
        <w:t>L’Agence suédoise de coopération pour le développement international (SIDA) a procédé à une évaluation indépendante</w:t>
      </w:r>
      <w:r w:rsidRPr="00C258AD">
        <w:rPr>
          <w:rStyle w:val="FootnoteReference"/>
          <w:rFonts w:eastAsia="SimSun"/>
          <w:bCs/>
        </w:rPr>
        <w:footnoteReference w:id="54"/>
      </w:r>
      <w:r w:rsidRPr="00C258AD">
        <w:rPr>
          <w:bCs/>
        </w:rPr>
        <w:t xml:space="preserve"> du programme entre février 2014 et février 2015 afin de mesurer sa pertinence, son efficacité, sa durabilité et son influence au cours des 10 dernières années.  Au vu des conclusions de l’évaluation, qui étaient globalement très positives, le programme sera proposé deux fois par an à partir de 2016.</w:t>
      </w:r>
    </w:p>
    <w:p w:rsidR="00E472AA" w:rsidRPr="00C258AD" w:rsidRDefault="00E472AA" w:rsidP="00E472AA">
      <w:pPr>
        <w:pStyle w:val="ListParagraph"/>
        <w:numPr>
          <w:ilvl w:val="0"/>
          <w:numId w:val="0"/>
        </w:numPr>
        <w:tabs>
          <w:tab w:val="left" w:pos="709"/>
        </w:tabs>
        <w:contextualSpacing/>
        <w:jc w:val="both"/>
        <w:rPr>
          <w:bCs/>
        </w:rPr>
      </w:pPr>
    </w:p>
    <w:p w:rsidR="00E472AA" w:rsidRPr="00C258AD" w:rsidRDefault="00E472AA" w:rsidP="00DF2EEF">
      <w:pPr>
        <w:pStyle w:val="ListParagraph"/>
        <w:numPr>
          <w:ilvl w:val="0"/>
          <w:numId w:val="103"/>
        </w:numPr>
        <w:tabs>
          <w:tab w:val="left" w:pos="709"/>
        </w:tabs>
        <w:ind w:left="0" w:firstLine="0"/>
        <w:jc w:val="both"/>
        <w:rPr>
          <w:bCs/>
        </w:rPr>
      </w:pPr>
      <w:r w:rsidRPr="00C258AD">
        <w:rPr>
          <w:bCs/>
        </w:rPr>
        <w:t>Le projet de renforcement de la coopération Sud</w:t>
      </w:r>
      <w:r w:rsidRPr="00C258AD">
        <w:rPr>
          <w:bCs/>
        </w:rPr>
        <w:noBreakHyphen/>
        <w:t>Sud dans le domaine de la propriété intellectuelle au service du développement parmi les pays en développement et les pays les moins avancés, qui s’est achevé et a été évalué en 2014, a été prolongé jusqu’en juin 2015</w:t>
      </w:r>
      <w:r w:rsidRPr="00C258AD">
        <w:t xml:space="preserve">.  </w:t>
      </w:r>
      <w:r w:rsidRPr="00C258AD">
        <w:rPr>
          <w:bCs/>
        </w:rPr>
        <w:t xml:space="preserve">Un </w:t>
      </w:r>
      <w:proofErr w:type="spellStart"/>
      <w:r w:rsidRPr="00C258AD">
        <w:rPr>
          <w:bCs/>
        </w:rPr>
        <w:t>coordonateur</w:t>
      </w:r>
      <w:proofErr w:type="spellEnd"/>
      <w:r w:rsidRPr="00C258AD">
        <w:rPr>
          <w:bCs/>
        </w:rPr>
        <w:t xml:space="preserve"> pour la coopération a été désigné par la suite dans le Secteur du développement.  En mai 2014, une page Web dédiée à la coopération Sud</w:t>
      </w:r>
      <w:r w:rsidRPr="00C258AD">
        <w:rPr>
          <w:bCs/>
        </w:rPr>
        <w:noBreakHyphen/>
        <w:t>Sud</w:t>
      </w:r>
      <w:r w:rsidRPr="00C258AD">
        <w:rPr>
          <w:rStyle w:val="FootnoteReference"/>
          <w:rFonts w:eastAsia="SimSun"/>
          <w:bCs/>
        </w:rPr>
        <w:footnoteReference w:id="55"/>
      </w:r>
      <w:r w:rsidRPr="00C258AD">
        <w:rPr>
          <w:bCs/>
        </w:rPr>
        <w:t>, a été lancée officiellement.  Elle contient des plateformes Web, une base de données (IP</w:t>
      </w:r>
      <w:r w:rsidRPr="00C258AD">
        <w:rPr>
          <w:bCs/>
        </w:rPr>
        <w:noBreakHyphen/>
        <w:t>TAD) et une liste de consultants (IP</w:t>
      </w:r>
      <w:r w:rsidRPr="00C258AD">
        <w:rPr>
          <w:bCs/>
        </w:rPr>
        <w:noBreakHyphen/>
        <w:t>ROC) exerçant des activités liées à cette coopération.  Une étude a été menée sur les critères définissant les activités de l’OMPI dans le cadre de la coopération compte tenu de la définition de la coopération Sud</w:t>
      </w:r>
      <w:r w:rsidRPr="00C258AD">
        <w:rPr>
          <w:bCs/>
        </w:rPr>
        <w:noBreakHyphen/>
        <w:t>Sud et du mandat de l’OMPI.  Ainsi, la liste de ces activités a été dressée pour l’exercice biennal 2014</w:t>
      </w:r>
      <w:r w:rsidRPr="00C258AD">
        <w:rPr>
          <w:bCs/>
        </w:rPr>
        <w:noBreakHyphen/>
        <w:t>2015 en utilisant la base de données d’assistance technique en matière de propriété intellectuelle (IP</w:t>
      </w:r>
      <w:r w:rsidRPr="00C258AD">
        <w:rPr>
          <w:bCs/>
        </w:rPr>
        <w:noBreakHyphen/>
        <w:t>TAD)</w:t>
      </w:r>
      <w:r w:rsidRPr="00C258AD">
        <w:rPr>
          <w:vertAlign w:val="superscript"/>
        </w:rPr>
        <w:footnoteReference w:id="56"/>
      </w:r>
      <w:r w:rsidRPr="00C258AD">
        <w:rPr>
          <w:bCs/>
        </w:rPr>
        <w:t>.</w:t>
      </w:r>
    </w:p>
    <w:p w:rsidR="00E472AA" w:rsidRPr="00C258AD" w:rsidRDefault="00E472AA" w:rsidP="00E472AA">
      <w:pPr>
        <w:pStyle w:val="ListParagraph"/>
        <w:numPr>
          <w:ilvl w:val="0"/>
          <w:numId w:val="0"/>
        </w:numPr>
        <w:contextualSpacing/>
        <w:jc w:val="both"/>
        <w:rPr>
          <w:bCs/>
        </w:rPr>
      </w:pPr>
    </w:p>
    <w:p w:rsidR="00E472AA" w:rsidRPr="00C258AD" w:rsidRDefault="00E472AA" w:rsidP="00DF2EEF">
      <w:pPr>
        <w:pStyle w:val="ListParagraph"/>
        <w:numPr>
          <w:ilvl w:val="0"/>
          <w:numId w:val="103"/>
        </w:numPr>
        <w:tabs>
          <w:tab w:val="left" w:pos="709"/>
        </w:tabs>
        <w:ind w:left="0" w:firstLine="0"/>
        <w:jc w:val="both"/>
        <w:rPr>
          <w:bCs/>
        </w:rPr>
      </w:pPr>
      <w:r w:rsidRPr="00C258AD">
        <w:rPr>
          <w:bCs/>
        </w:rPr>
        <w:lastRenderedPageBreak/>
        <w:t>Le programme a également continué à soutenir un certain nombre de demandes d’assistance concernant la protection et la commercialisation des produits d’origine grâce, par exemple, à des formations spécialisées et des initiatives multipartites avec des partenaires régionaux et internationaux, notamment aux Caraïbes, au Cambodge et dans la République</w:t>
      </w:r>
      <w:r w:rsidRPr="00C258AD">
        <w:rPr>
          <w:bCs/>
        </w:rPr>
        <w:noBreakHyphen/>
        <w:t xml:space="preserve">Unie de Tanzanie, aux fins d’améliorer les capacités des parties intéressées.  En outre, une étude intitulée </w:t>
      </w:r>
      <w:r w:rsidRPr="00C258AD">
        <w:rPr>
          <w:bCs/>
          <w:i/>
        </w:rPr>
        <w:t>L’industrie de la mode et du design en Afrique et sa valorisation par la propriété intellectuelle</w:t>
      </w:r>
      <w:r w:rsidRPr="00C258AD">
        <w:rPr>
          <w:vertAlign w:val="superscript"/>
        </w:rPr>
        <w:footnoteReference w:id="57"/>
      </w:r>
      <w:r w:rsidRPr="00C258AD">
        <w:rPr>
          <w:bCs/>
        </w:rPr>
        <w:t>, menée dans sept pays africains (Afrique du Sud, Cameroun, Éthiopie, Ghana, Nigéria, Sénégal et Zimbabwe), a été publiée pour la Conférence ministérielle sur la propriété intellectuelle pour une Afrique émergente, qui a eu lieu à Dakar, Sénégal, du 3 au 5 novembre 2015, avec le concours de l’Union africaine, le Gouvernement du Sénégal et l’Office des brevets du Japon dans le cadre du Fonds fiduciaire du Japon.</w:t>
      </w:r>
    </w:p>
    <w:p w:rsidR="00E472AA" w:rsidRPr="00C258AD" w:rsidRDefault="00E472AA" w:rsidP="00E472AA">
      <w:pPr>
        <w:pStyle w:val="ListParagraph"/>
        <w:numPr>
          <w:ilvl w:val="0"/>
          <w:numId w:val="0"/>
        </w:numPr>
        <w:tabs>
          <w:tab w:val="left" w:pos="709"/>
        </w:tabs>
        <w:contextualSpacing/>
        <w:jc w:val="both"/>
        <w:rPr>
          <w:bCs/>
        </w:rPr>
      </w:pPr>
    </w:p>
    <w:p w:rsidR="00E472AA" w:rsidRPr="00C258AD" w:rsidRDefault="00E472AA" w:rsidP="00DF2EEF">
      <w:pPr>
        <w:pStyle w:val="ListParagraph"/>
        <w:numPr>
          <w:ilvl w:val="0"/>
          <w:numId w:val="103"/>
        </w:numPr>
        <w:tabs>
          <w:tab w:val="left" w:pos="709"/>
        </w:tabs>
        <w:ind w:left="0" w:firstLine="0"/>
        <w:jc w:val="both"/>
        <w:rPr>
          <w:bCs/>
        </w:rPr>
      </w:pPr>
      <w:r w:rsidRPr="00C258AD">
        <w:rPr>
          <w:bCs/>
        </w:rPr>
        <w:t>La Déclaration de Dakar sur la propriété intellectuelle pour l’Afrique, qui a été adoptée lors de cette même conférence, a fourni un cadre pour la coopération entre l’OMPI et l’Union africaine pour la mise en œuvre sur le continent d’activités dans le domaine de la propriété intellectuelle.  En outre, les activités de coopération avec les deux organisations régionales de la propriété intellectuelle (ARIPO et OAPI) ont continué à être renforcées.</w:t>
      </w:r>
    </w:p>
    <w:p w:rsidR="00E472AA" w:rsidRPr="00C258AD" w:rsidRDefault="00E472AA" w:rsidP="00E472AA">
      <w:pPr>
        <w:pStyle w:val="ListParagraph"/>
        <w:numPr>
          <w:ilvl w:val="0"/>
          <w:numId w:val="0"/>
        </w:numPr>
        <w:contextualSpacing/>
        <w:jc w:val="both"/>
        <w:rPr>
          <w:bCs/>
        </w:rPr>
      </w:pPr>
    </w:p>
    <w:p w:rsidR="00E472AA" w:rsidRPr="00C258AD" w:rsidRDefault="00E472AA" w:rsidP="00DF2EEF">
      <w:pPr>
        <w:pStyle w:val="ListParagraph"/>
        <w:numPr>
          <w:ilvl w:val="0"/>
          <w:numId w:val="103"/>
        </w:numPr>
        <w:tabs>
          <w:tab w:val="left" w:pos="709"/>
        </w:tabs>
        <w:ind w:left="0" w:firstLine="0"/>
        <w:jc w:val="both"/>
        <w:rPr>
          <w:bCs/>
        </w:rPr>
      </w:pPr>
      <w:r w:rsidRPr="00C258AD">
        <w:rPr>
          <w:bCs/>
        </w:rPr>
        <w:t>En 2015, l’OMPI a organisé la septième réunion de coordination régionale des directeurs des offices arabes de propriété intellectuelle, ainsi que deux réunions de haut niveau des directeurs des offices de propriété intellectuelle et des responsables des institutions de science et de technologie d’Amérique centrale et d’Amérique latine.  En Asie, la Conférence des directeurs d’offices de propriété intellectuelle (HIPOC) est devenue la nouvelle plateforme pour échanger idées et expériences.  Le partenariat avec la Banque interaméricaine de développement (BID) a conduit à la création du projet REACH (</w:t>
      </w:r>
      <w:proofErr w:type="spellStart"/>
      <w:r w:rsidRPr="00C258AD">
        <w:rPr>
          <w:bCs/>
        </w:rPr>
        <w:t>Regional</w:t>
      </w:r>
      <w:proofErr w:type="spellEnd"/>
      <w:r w:rsidRPr="00C258AD">
        <w:rPr>
          <w:bCs/>
        </w:rPr>
        <w:t xml:space="preserve"> Entrepreneurial </w:t>
      </w:r>
      <w:proofErr w:type="spellStart"/>
      <w:r w:rsidRPr="00C258AD">
        <w:rPr>
          <w:bCs/>
        </w:rPr>
        <w:t>Asset</w:t>
      </w:r>
      <w:proofErr w:type="spellEnd"/>
      <w:r w:rsidRPr="00C258AD">
        <w:rPr>
          <w:bCs/>
        </w:rPr>
        <w:t xml:space="preserve"> </w:t>
      </w:r>
      <w:proofErr w:type="spellStart"/>
      <w:r w:rsidRPr="00C258AD">
        <w:rPr>
          <w:bCs/>
        </w:rPr>
        <w:t>Commercialization</w:t>
      </w:r>
      <w:proofErr w:type="spellEnd"/>
      <w:r w:rsidRPr="00C258AD">
        <w:rPr>
          <w:bCs/>
        </w:rPr>
        <w:t xml:space="preserve"> Hub) pour les Caraïbes, qui vise à favoriser la gestion effective d’actifs tangibles par la création de trois centres de soutien, dans trois domaines commerciaux précis</w:t>
      </w:r>
      <w:r w:rsidRPr="00C258AD">
        <w:t> :</w:t>
      </w:r>
      <w:r w:rsidRPr="00C258AD">
        <w:rPr>
          <w:bCs/>
        </w:rPr>
        <w:t xml:space="preserve"> la gestion de la technologie, l’industrie de la création et la création de marques.</w:t>
      </w:r>
    </w:p>
    <w:p w:rsidR="00E472AA" w:rsidRPr="00C258AD" w:rsidRDefault="00E472AA" w:rsidP="00E472AA">
      <w:pPr>
        <w:pStyle w:val="ListParagraph"/>
        <w:numPr>
          <w:ilvl w:val="0"/>
          <w:numId w:val="0"/>
        </w:numPr>
        <w:tabs>
          <w:tab w:val="left" w:pos="709"/>
        </w:tabs>
        <w:rPr>
          <w:bCs/>
        </w:rPr>
      </w:pPr>
    </w:p>
    <w:p w:rsidR="00E472AA" w:rsidRPr="00C258AD" w:rsidRDefault="00E472AA" w:rsidP="00DF2EEF">
      <w:pPr>
        <w:pStyle w:val="ListParagraph"/>
        <w:numPr>
          <w:ilvl w:val="0"/>
          <w:numId w:val="103"/>
        </w:numPr>
        <w:tabs>
          <w:tab w:val="left" w:pos="709"/>
        </w:tabs>
        <w:ind w:left="0" w:firstLine="0"/>
        <w:jc w:val="both"/>
        <w:rPr>
          <w:bCs/>
        </w:rPr>
      </w:pPr>
      <w:r w:rsidRPr="00C258AD">
        <w:rPr>
          <w:bCs/>
        </w:rPr>
        <w:t>En 2014</w:t>
      </w:r>
      <w:r w:rsidRPr="00C258AD">
        <w:rPr>
          <w:bCs/>
        </w:rPr>
        <w:noBreakHyphen/>
        <w:t>2015, le programme a favorisé et coordonné en interne l’adhésion de plusieurs pays et groupes régionaux à des traités et conventions administrés par l’OMPI : deux en Afrique (OAPI et Zimbabwe) et trois dans des pays arabes (Algérie, Émirats arabes unis et Koweït).</w:t>
      </w:r>
    </w:p>
    <w:p w:rsidR="00E472AA" w:rsidRPr="00C258AD" w:rsidRDefault="00E472AA" w:rsidP="00E472AA">
      <w:pPr>
        <w:pStyle w:val="ListParagraph"/>
        <w:numPr>
          <w:ilvl w:val="0"/>
          <w:numId w:val="0"/>
        </w:numPr>
        <w:tabs>
          <w:tab w:val="left" w:pos="709"/>
        </w:tabs>
        <w:jc w:val="both"/>
      </w:pPr>
    </w:p>
    <w:p w:rsidR="00E472AA" w:rsidRPr="00C258AD" w:rsidRDefault="00E472AA" w:rsidP="00DF2EEF">
      <w:pPr>
        <w:pStyle w:val="ListParagraph"/>
        <w:numPr>
          <w:ilvl w:val="0"/>
          <w:numId w:val="103"/>
        </w:numPr>
        <w:tabs>
          <w:tab w:val="left" w:pos="709"/>
        </w:tabs>
        <w:ind w:left="0" w:firstLine="0"/>
        <w:jc w:val="both"/>
      </w:pPr>
      <w:r w:rsidRPr="00C258AD">
        <w:t>Le programme continuait à coordonner et à favoriser l’assistance technique aux pays en développement et aux PMA en ce qui concerne la formulation et la modernisation de leur législation dans le domaine de la propriété intellectuelle, compte tenu des impératifs nationaux spécifiques et des éléments de flexibilité internationaux.</w:t>
      </w:r>
    </w:p>
    <w:p w:rsidR="00E472AA" w:rsidRPr="00C258AD" w:rsidRDefault="00E472AA" w:rsidP="00E472AA">
      <w:pPr>
        <w:pStyle w:val="ListParagraph"/>
        <w:numPr>
          <w:ilvl w:val="0"/>
          <w:numId w:val="0"/>
        </w:numPr>
        <w:tabs>
          <w:tab w:val="left" w:pos="709"/>
        </w:tabs>
        <w:jc w:val="both"/>
      </w:pPr>
    </w:p>
    <w:p w:rsidR="00E472AA" w:rsidRPr="00C258AD" w:rsidRDefault="00E472AA" w:rsidP="00DF2EEF">
      <w:pPr>
        <w:pStyle w:val="ListParagraph"/>
        <w:numPr>
          <w:ilvl w:val="0"/>
          <w:numId w:val="103"/>
        </w:numPr>
        <w:tabs>
          <w:tab w:val="left" w:pos="709"/>
        </w:tabs>
        <w:ind w:left="0" w:firstLine="0"/>
        <w:jc w:val="both"/>
      </w:pPr>
      <w:r w:rsidRPr="00C258AD">
        <w:t xml:space="preserve">Afin de permettre aux États membres de faire des choix mieux éclairés concernant les domaines prioritaires de l’OMPI, le </w:t>
      </w:r>
      <w:r w:rsidRPr="00C258AD">
        <w:rPr>
          <w:i/>
        </w:rPr>
        <w:t>Manuel de l’assistance technique fournie par l’OMPI</w:t>
      </w:r>
      <w:r w:rsidRPr="00C258AD">
        <w:t xml:space="preserve"> (finalisé en 2013) a été publié dans les six langues officielles des Nations Unies en 2014 et mis en ligne</w:t>
      </w:r>
      <w:r w:rsidRPr="00C258AD">
        <w:rPr>
          <w:rStyle w:val="FootnoteReference"/>
          <w:rFonts w:eastAsia="SimSun"/>
        </w:rPr>
        <w:footnoteReference w:id="58"/>
      </w:r>
      <w:r w:rsidRPr="00C258AD">
        <w:t xml:space="preserve"> (pour plus de détails, reportez</w:t>
      </w:r>
      <w:r w:rsidRPr="00C258AD">
        <w:noBreakHyphen/>
        <w:t xml:space="preserve">vous aux programmes 1, 2, 3 et 4).  </w:t>
      </w:r>
      <w:r w:rsidRPr="00C258AD">
        <w:rPr>
          <w:bCs/>
        </w:rPr>
        <w:t xml:space="preserve">En 2014, les pays d’Amérique centrale et la République dominicaine ont également adopté le </w:t>
      </w:r>
      <w:proofErr w:type="spellStart"/>
      <w:r w:rsidRPr="00C258AD">
        <w:rPr>
          <w:bCs/>
          <w:i/>
        </w:rPr>
        <w:t>Harmonized</w:t>
      </w:r>
      <w:proofErr w:type="spellEnd"/>
      <w:r w:rsidRPr="00C258AD">
        <w:rPr>
          <w:bCs/>
          <w:i/>
        </w:rPr>
        <w:t xml:space="preserve"> </w:t>
      </w:r>
      <w:proofErr w:type="spellStart"/>
      <w:r w:rsidRPr="00C258AD">
        <w:rPr>
          <w:bCs/>
          <w:i/>
        </w:rPr>
        <w:t>Manual</w:t>
      </w:r>
      <w:proofErr w:type="spellEnd"/>
      <w:r w:rsidRPr="00C258AD">
        <w:rPr>
          <w:bCs/>
          <w:i/>
        </w:rPr>
        <w:t xml:space="preserve"> on </w:t>
      </w:r>
      <w:proofErr w:type="spellStart"/>
      <w:r w:rsidRPr="00C258AD">
        <w:rPr>
          <w:bCs/>
          <w:i/>
        </w:rPr>
        <w:t>Trademark</w:t>
      </w:r>
      <w:proofErr w:type="spellEnd"/>
      <w:r w:rsidRPr="00C258AD">
        <w:rPr>
          <w:bCs/>
          <w:i/>
        </w:rPr>
        <w:t xml:space="preserve"> </w:t>
      </w:r>
      <w:proofErr w:type="spellStart"/>
      <w:r w:rsidRPr="00C258AD">
        <w:rPr>
          <w:bCs/>
          <w:i/>
        </w:rPr>
        <w:t>Examination</w:t>
      </w:r>
      <w:proofErr w:type="spellEnd"/>
      <w:r w:rsidRPr="00C258AD">
        <w:rPr>
          <w:bCs/>
        </w:rPr>
        <w:t xml:space="preserve">, un outil qui contribue à la qualité du travail et à l’harmonisation des pratiques dans les offices de propriété intellectuelle de ces régions.  La brochure intitulée </w:t>
      </w:r>
      <w:r w:rsidRPr="00C258AD">
        <w:rPr>
          <w:bCs/>
          <w:i/>
        </w:rPr>
        <w:t>Services et outils de l’OMPI</w:t>
      </w:r>
      <w:r w:rsidRPr="00C258AD">
        <w:rPr>
          <w:bCs/>
        </w:rPr>
        <w:t xml:space="preserve"> </w:t>
      </w:r>
      <w:r w:rsidRPr="00C258AD">
        <w:rPr>
          <w:bCs/>
          <w:i/>
        </w:rPr>
        <w:t>pour le développement</w:t>
      </w:r>
      <w:r w:rsidRPr="00C258AD">
        <w:rPr>
          <w:bCs/>
        </w:rPr>
        <w:t>, publiée en 2007, a été mise à jour en 2015 et traduite en français et en espagnol.  Ces outils permettent aux États membres de faire des choix plus judicieux en ce qui concerne les domaines prioritaires de l’OMPI.</w:t>
      </w:r>
    </w:p>
    <w:p w:rsidR="00E472AA" w:rsidRPr="00C258AD" w:rsidRDefault="00E472AA" w:rsidP="00927E1F">
      <w:pPr>
        <w:tabs>
          <w:tab w:val="left" w:pos="709"/>
        </w:tabs>
        <w:jc w:val="both"/>
        <w:rPr>
          <w:bCs/>
        </w:rPr>
      </w:pPr>
    </w:p>
    <w:p w:rsidR="00E472AA" w:rsidRPr="00C258AD" w:rsidRDefault="00E472AA" w:rsidP="00DF2EEF">
      <w:pPr>
        <w:pStyle w:val="ListParagraph"/>
        <w:numPr>
          <w:ilvl w:val="0"/>
          <w:numId w:val="103"/>
        </w:numPr>
        <w:tabs>
          <w:tab w:val="left" w:pos="709"/>
        </w:tabs>
        <w:ind w:left="0" w:firstLine="0"/>
        <w:jc w:val="both"/>
      </w:pPr>
      <w:r w:rsidRPr="00C258AD">
        <w:t>L’utilisation de bases de données spécialisées s’est poursuivie pour appuyer la fourniture de l’assistance technique, en particulier les bases de données dédiées à l’assistance technique en matière de propriété intellectuelle (IP</w:t>
      </w:r>
      <w:r w:rsidRPr="00C258AD">
        <w:noBreakHyphen/>
        <w:t>TAD) et la liste des consultants (IP</w:t>
      </w:r>
      <w:r w:rsidRPr="00C258AD">
        <w:noBreakHyphen/>
        <w:t>ROC), y compris les interfaces permettant d’enregistrer des informations sur la coopération Sud</w:t>
      </w:r>
      <w:r w:rsidRPr="00C258AD">
        <w:noBreakHyphen/>
        <w:t>Sud et la base de données de mise en parallèle des besoins de développement liés à la propriété intellectuelle (IP</w:t>
      </w:r>
      <w:r w:rsidRPr="00C258AD">
        <w:noBreakHyphen/>
        <w:t>DMD).  L’année 2014 a aussi vu le déploiement de la base de données spécialisée relative aux stratégies nationales en matière de propriété intellectuelle (NIPS</w:t>
      </w:r>
      <w:r w:rsidRPr="00C258AD">
        <w:noBreakHyphen/>
        <w:t xml:space="preserve">D), élaborée en 2013 pour saisir des données pertinentes pour la phase d’évaluation du niveau de référence de l’élaboration d’une stratégie nationale en matière de propriété intellectuelle, comme l’exigeait le nombre croissant de pays ayant recours à la méthodologie de l’OMPI pour élaborer des stratégies en matière de propriété intellectuelle.  Dans un effort visant à optimiser le potentiel de ces bases de données, leur utilisation a été suivie de près et le retour d’information des </w:t>
      </w:r>
      <w:r w:rsidRPr="00C258AD">
        <w:lastRenderedPageBreak/>
        <w:t xml:space="preserve">utilisateurs encouragé tout au long de l’exercice biennal afin de glaner des renseignements visant à améliorer encore les systèmes pour les rendre plus conviviaux, et recenser des approches plus stratégiques pour promouvoir leur utilisation dans différents pays.  </w:t>
      </w:r>
      <w:r w:rsidRPr="00C258AD">
        <w:rPr>
          <w:bCs/>
        </w:rPr>
        <w:t>Cependant, le nombre de pays utilisant les bases de données dédiées à l’assistance technique en matière de propriété intellectuelle (IP</w:t>
      </w:r>
      <w:r w:rsidRPr="00C258AD">
        <w:rPr>
          <w:bCs/>
        </w:rPr>
        <w:noBreakHyphen/>
        <w:t>TAD) et la liste des consultants (IP</w:t>
      </w:r>
      <w:r w:rsidRPr="00C258AD">
        <w:rPr>
          <w:bCs/>
        </w:rPr>
        <w:noBreakHyphen/>
        <w:t>ROC) a diminué non seulement en 2014 (moins 10% par rapport à 2013), mais aussi en 2015 (moins 28% par rapport à 2014)</w:t>
      </w:r>
      <w:r w:rsidRPr="00C258AD">
        <w:t>;</w:t>
      </w:r>
      <w:r w:rsidRPr="00C258AD">
        <w:rPr>
          <w:bCs/>
        </w:rPr>
        <w:t xml:space="preserve"> </w:t>
      </w:r>
      <w:r w:rsidRPr="00C258AD">
        <w:t xml:space="preserve"> </w:t>
      </w:r>
      <w:r w:rsidRPr="00C258AD">
        <w:rPr>
          <w:bCs/>
        </w:rPr>
        <w:t>aucune concordance n’avait été établie dans la base de données IP</w:t>
      </w:r>
      <w:r w:rsidRPr="00C258AD">
        <w:rPr>
          <w:bCs/>
        </w:rPr>
        <w:noBreakHyphen/>
        <w:t>DMD à la fin 2015, et les premiers résultats concernant l’utilisation de la NIPS</w:t>
      </w:r>
      <w:r w:rsidRPr="00C258AD">
        <w:rPr>
          <w:bCs/>
        </w:rPr>
        <w:noBreakHyphen/>
        <w:t>D montrent que la base de données n’est pas utilisée efficacement.</w:t>
      </w:r>
    </w:p>
    <w:p w:rsidR="00E472AA" w:rsidRPr="00C258AD" w:rsidRDefault="00E472AA" w:rsidP="00927E1F">
      <w:pPr>
        <w:tabs>
          <w:tab w:val="left" w:pos="709"/>
        </w:tabs>
        <w:jc w:val="both"/>
        <w:rPr>
          <w:bCs/>
        </w:rPr>
      </w:pPr>
    </w:p>
    <w:p w:rsidR="00E472AA" w:rsidRPr="00C258AD" w:rsidRDefault="00E472AA" w:rsidP="00927E1F">
      <w:pPr>
        <w:rPr>
          <w:bCs/>
        </w:rPr>
      </w:pPr>
    </w:p>
    <w:p w:rsidR="00E472AA" w:rsidRPr="00C258AD" w:rsidRDefault="00E472AA" w:rsidP="00E472AA">
      <w:pPr>
        <w:rPr>
          <w:szCs w:val="22"/>
        </w:rPr>
      </w:pPr>
      <w:r w:rsidRPr="00C258AD">
        <w:t>DONNÉES RELATIVES À L’EXÉCUTION</w:t>
      </w:r>
    </w:p>
    <w:p w:rsidR="00E472AA" w:rsidRPr="00C258AD" w:rsidRDefault="00E472AA" w:rsidP="00927E1F">
      <w:pPr>
        <w:keepNext/>
        <w:rPr>
          <w:bCs/>
        </w:rPr>
      </w:pPr>
    </w:p>
    <w:tbl>
      <w:tblPr>
        <w:tblW w:w="5202" w:type="pct"/>
        <w:tblInd w:w="57" w:type="dxa"/>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1337"/>
        <w:gridCol w:w="2223"/>
        <w:gridCol w:w="187"/>
        <w:gridCol w:w="12"/>
        <w:gridCol w:w="121"/>
        <w:gridCol w:w="1798"/>
        <w:gridCol w:w="620"/>
        <w:gridCol w:w="13"/>
        <w:gridCol w:w="2431"/>
        <w:gridCol w:w="186"/>
        <w:gridCol w:w="946"/>
      </w:tblGrid>
      <w:tr w:rsidR="00E472AA" w:rsidRPr="00C258AD" w:rsidTr="00927E1F">
        <w:trPr>
          <w:cantSplit/>
        </w:trPr>
        <w:tc>
          <w:tcPr>
            <w:tcW w:w="9874" w:type="dxa"/>
            <w:gridSpan w:val="11"/>
            <w:tcBorders>
              <w:top w:val="single" w:sz="4" w:space="0" w:color="auto"/>
              <w:bottom w:val="single" w:sz="4" w:space="0" w:color="auto"/>
            </w:tcBorders>
            <w:shd w:val="clear" w:color="auto" w:fill="C5D9F1"/>
            <w:vAlign w:val="center"/>
          </w:tcPr>
          <w:p w:rsidR="00E472AA" w:rsidRPr="00C258AD" w:rsidRDefault="00E472AA" w:rsidP="00927E1F">
            <w:pPr>
              <w:keepNext/>
              <w:rPr>
                <w:b/>
                <w:bCs/>
                <w:sz w:val="16"/>
                <w:szCs w:val="16"/>
              </w:rPr>
            </w:pPr>
            <w:r w:rsidRPr="00C258AD">
              <w:rPr>
                <w:b/>
                <w:sz w:val="16"/>
                <w:szCs w:val="16"/>
              </w:rPr>
              <w:t xml:space="preserve">Résultat escompté : </w:t>
            </w:r>
            <w:r w:rsidRPr="00C258AD">
              <w:rPr>
                <w:sz w:val="16"/>
                <w:szCs w:val="16"/>
              </w:rPr>
              <w:t>I.2 Cadres législatifs, réglementaires et politiques de propriété intellectuelle adaptés et équilibrés</w:t>
            </w:r>
          </w:p>
        </w:tc>
      </w:tr>
      <w:tr w:rsidR="00E472AA" w:rsidRPr="00C258AD" w:rsidTr="00927E1F">
        <w:trPr>
          <w:cantSplit/>
        </w:trPr>
        <w:tc>
          <w:tcPr>
            <w:tcW w:w="1337" w:type="dxa"/>
            <w:tcBorders>
              <w:top w:val="single" w:sz="4" w:space="0" w:color="auto"/>
            </w:tcBorders>
            <w:shd w:val="clear" w:color="auto" w:fill="auto"/>
            <w:vAlign w:val="center"/>
          </w:tcPr>
          <w:p w:rsidR="00E472AA" w:rsidRPr="00C258AD" w:rsidRDefault="00E472AA" w:rsidP="00927E1F">
            <w:pPr>
              <w:keepNext/>
              <w:jc w:val="center"/>
              <w:rPr>
                <w:sz w:val="16"/>
                <w:szCs w:val="16"/>
              </w:rPr>
            </w:pPr>
            <w:r w:rsidRPr="00C258AD">
              <w:rPr>
                <w:b/>
                <w:sz w:val="16"/>
                <w:szCs w:val="16"/>
              </w:rPr>
              <w:t>Indicateurs d’exécution</w:t>
            </w:r>
          </w:p>
        </w:tc>
        <w:tc>
          <w:tcPr>
            <w:tcW w:w="2543" w:type="dxa"/>
            <w:gridSpan w:val="4"/>
            <w:tcBorders>
              <w:top w:val="single" w:sz="4" w:space="0" w:color="auto"/>
            </w:tcBorders>
            <w:shd w:val="clear" w:color="auto" w:fill="auto"/>
            <w:vAlign w:val="center"/>
          </w:tcPr>
          <w:p w:rsidR="00E472AA" w:rsidRPr="00C258AD" w:rsidRDefault="00E472AA" w:rsidP="00927E1F">
            <w:pPr>
              <w:keepNext/>
              <w:jc w:val="center"/>
              <w:rPr>
                <w:b/>
                <w:bCs/>
                <w:sz w:val="16"/>
                <w:szCs w:val="16"/>
              </w:rPr>
            </w:pPr>
            <w:r w:rsidRPr="00C258AD">
              <w:rPr>
                <w:b/>
                <w:sz w:val="16"/>
                <w:szCs w:val="16"/>
              </w:rPr>
              <w:t>Niveaux de référence</w:t>
            </w:r>
          </w:p>
        </w:tc>
        <w:tc>
          <w:tcPr>
            <w:tcW w:w="2431" w:type="dxa"/>
            <w:gridSpan w:val="3"/>
            <w:tcBorders>
              <w:top w:val="single" w:sz="4" w:space="0" w:color="auto"/>
            </w:tcBorders>
            <w:shd w:val="clear" w:color="auto" w:fill="auto"/>
            <w:tcMar>
              <w:top w:w="110" w:type="dxa"/>
            </w:tcMar>
            <w:vAlign w:val="center"/>
          </w:tcPr>
          <w:p w:rsidR="00E472AA" w:rsidRPr="00C258AD" w:rsidRDefault="00E472AA" w:rsidP="00927E1F">
            <w:pPr>
              <w:keepNext/>
              <w:jc w:val="center"/>
              <w:rPr>
                <w:b/>
                <w:sz w:val="16"/>
                <w:szCs w:val="16"/>
              </w:rPr>
            </w:pPr>
            <w:r w:rsidRPr="00C258AD">
              <w:rPr>
                <w:b/>
                <w:sz w:val="16"/>
                <w:szCs w:val="16"/>
              </w:rPr>
              <w:t>Objectifs visés</w:t>
            </w:r>
          </w:p>
        </w:tc>
        <w:tc>
          <w:tcPr>
            <w:tcW w:w="2431" w:type="dxa"/>
            <w:tcBorders>
              <w:top w:val="single" w:sz="4" w:space="0" w:color="auto"/>
            </w:tcBorders>
            <w:shd w:val="clear" w:color="auto" w:fill="FFFFFF"/>
            <w:tcMar>
              <w:top w:w="110" w:type="dxa"/>
            </w:tcMar>
            <w:vAlign w:val="center"/>
          </w:tcPr>
          <w:p w:rsidR="00E472AA" w:rsidRPr="00C258AD" w:rsidRDefault="00E472AA" w:rsidP="00927E1F">
            <w:pPr>
              <w:keepNext/>
              <w:jc w:val="center"/>
              <w:rPr>
                <w:sz w:val="16"/>
                <w:szCs w:val="16"/>
              </w:rPr>
            </w:pPr>
            <w:r w:rsidRPr="00C258AD">
              <w:rPr>
                <w:b/>
                <w:sz w:val="16"/>
                <w:szCs w:val="16"/>
              </w:rPr>
              <w:t>Données relatives à l’exécution</w:t>
            </w:r>
          </w:p>
        </w:tc>
        <w:tc>
          <w:tcPr>
            <w:tcW w:w="1132" w:type="dxa"/>
            <w:gridSpan w:val="2"/>
            <w:tcBorders>
              <w:top w:val="single" w:sz="4" w:space="0" w:color="auto"/>
            </w:tcBorders>
            <w:shd w:val="clear" w:color="auto" w:fill="auto"/>
            <w:tcMar>
              <w:top w:w="110" w:type="dxa"/>
            </w:tcMar>
            <w:vAlign w:val="center"/>
          </w:tcPr>
          <w:p w:rsidR="00E472AA" w:rsidRPr="00C258AD" w:rsidRDefault="00E472AA" w:rsidP="00927E1F">
            <w:pPr>
              <w:keepNext/>
              <w:keepLines/>
              <w:jc w:val="center"/>
              <w:rPr>
                <w:b/>
                <w:bCs/>
                <w:sz w:val="16"/>
                <w:szCs w:val="16"/>
              </w:rPr>
            </w:pPr>
            <w:r w:rsidRPr="00C258AD">
              <w:rPr>
                <w:b/>
                <w:sz w:val="16"/>
                <w:szCs w:val="16"/>
              </w:rPr>
              <w:t>Code de couleurs</w:t>
            </w:r>
          </w:p>
        </w:tc>
      </w:tr>
      <w:tr w:rsidR="00E472AA" w:rsidRPr="00C258AD" w:rsidTr="00927E1F">
        <w:trPr>
          <w:cantSplit/>
        </w:trPr>
        <w:tc>
          <w:tcPr>
            <w:tcW w:w="1337" w:type="dxa"/>
            <w:shd w:val="clear" w:color="auto" w:fill="auto"/>
          </w:tcPr>
          <w:p w:rsidR="00E472AA" w:rsidRPr="00C258AD" w:rsidRDefault="00E472AA" w:rsidP="00927E1F">
            <w:pPr>
              <w:rPr>
                <w:sz w:val="16"/>
                <w:szCs w:val="16"/>
              </w:rPr>
            </w:pPr>
            <w:r w:rsidRPr="00C258AD">
              <w:rPr>
                <w:sz w:val="16"/>
                <w:szCs w:val="16"/>
              </w:rPr>
              <w:t>Nombre et pourcentage d’États membres satisfaits de la qualité des conseils juridiques fournis concernant les brevets, les modèles d’utilité, les secrets d’affaires et les circuits intégrés</w:t>
            </w:r>
          </w:p>
        </w:tc>
        <w:tc>
          <w:tcPr>
            <w:tcW w:w="2543" w:type="dxa"/>
            <w:gridSpan w:val="4"/>
            <w:shd w:val="clear" w:color="auto" w:fill="auto"/>
          </w:tcPr>
          <w:p w:rsidR="00E472AA" w:rsidRPr="00C258AD" w:rsidRDefault="00E472AA" w:rsidP="00927E1F">
            <w:pPr>
              <w:rPr>
                <w:color w:val="002060"/>
                <w:sz w:val="16"/>
                <w:szCs w:val="16"/>
                <w:lang w:bidi="th-TH"/>
              </w:rPr>
            </w:pPr>
            <w:r w:rsidRPr="00C258AD">
              <w:rPr>
                <w:i/>
                <w:color w:val="002060"/>
                <w:sz w:val="16"/>
                <w:szCs w:val="16"/>
              </w:rPr>
              <w:t>Niveau de référence actualisé</w:t>
            </w:r>
            <w:r w:rsidRPr="00C258AD">
              <w:rPr>
                <w:sz w:val="16"/>
                <w:szCs w:val="16"/>
              </w:rPr>
              <w:br/>
            </w:r>
            <w:r w:rsidRPr="00C258AD">
              <w:rPr>
                <w:i/>
                <w:color w:val="002060"/>
                <w:sz w:val="16"/>
                <w:szCs w:val="16"/>
              </w:rPr>
              <w:t>fin 2013 : neuf </w:t>
            </w:r>
            <w:r w:rsidRPr="00C258AD">
              <w:rPr>
                <w:color w:val="002060"/>
                <w:sz w:val="16"/>
                <w:szCs w:val="16"/>
              </w:rPr>
              <w:t>États membres (90%), sur la base d’une étude menée par la Division de la supervision interne en 2013</w:t>
            </w:r>
          </w:p>
          <w:p w:rsidR="00E472AA" w:rsidRPr="00C258AD" w:rsidRDefault="00E472AA" w:rsidP="00927E1F">
            <w:pPr>
              <w:rPr>
                <w:i/>
                <w:sz w:val="16"/>
                <w:szCs w:val="16"/>
                <w:lang w:bidi="th-TH"/>
              </w:rPr>
            </w:pPr>
          </w:p>
          <w:p w:rsidR="00E472AA" w:rsidRPr="00C258AD" w:rsidRDefault="00E472AA" w:rsidP="00927E1F">
            <w:pPr>
              <w:rPr>
                <w:sz w:val="16"/>
                <w:szCs w:val="16"/>
                <w:lang w:bidi="th-TH"/>
              </w:rPr>
            </w:pPr>
            <w:r w:rsidRPr="00C258AD">
              <w:rPr>
                <w:i/>
                <w:sz w:val="16"/>
                <w:szCs w:val="16"/>
              </w:rPr>
              <w:t xml:space="preserve">Niveau de référence initial </w:t>
            </w:r>
            <w:r w:rsidRPr="00C258AD">
              <w:rPr>
                <w:sz w:val="16"/>
                <w:szCs w:val="16"/>
              </w:rPr>
              <w:br/>
              <w:t>Programme et budget 2014</w:t>
            </w:r>
            <w:r w:rsidRPr="00C258AD">
              <w:rPr>
                <w:sz w:val="16"/>
                <w:szCs w:val="16"/>
              </w:rPr>
              <w:noBreakHyphen/>
              <w:t>2015 :</w:t>
            </w:r>
            <w:r w:rsidRPr="00C258AD">
              <w:rPr>
                <w:i/>
                <w:sz w:val="16"/>
                <w:szCs w:val="16"/>
              </w:rPr>
              <w:t xml:space="preserve"> </w:t>
            </w:r>
            <w:r w:rsidRPr="00C258AD">
              <w:rPr>
                <w:sz w:val="16"/>
                <w:szCs w:val="16"/>
              </w:rPr>
              <w:t>Études 2012</w:t>
            </w:r>
          </w:p>
        </w:tc>
        <w:tc>
          <w:tcPr>
            <w:tcW w:w="2431" w:type="dxa"/>
            <w:gridSpan w:val="3"/>
            <w:shd w:val="clear" w:color="auto" w:fill="auto"/>
            <w:tcMar>
              <w:top w:w="110" w:type="dxa"/>
            </w:tcMar>
          </w:tcPr>
          <w:p w:rsidR="00E472AA" w:rsidRPr="00C258AD" w:rsidRDefault="00E472AA" w:rsidP="00927E1F">
            <w:pPr>
              <w:rPr>
                <w:sz w:val="16"/>
                <w:szCs w:val="16"/>
                <w:lang w:bidi="th-TH"/>
              </w:rPr>
            </w:pPr>
            <w:r w:rsidRPr="00C258AD">
              <w:rPr>
                <w:sz w:val="16"/>
                <w:szCs w:val="16"/>
              </w:rPr>
              <w:t>90%</w:t>
            </w:r>
          </w:p>
        </w:tc>
        <w:tc>
          <w:tcPr>
            <w:tcW w:w="2431" w:type="dxa"/>
            <w:shd w:val="clear" w:color="auto" w:fill="FFFFFF"/>
            <w:tcMar>
              <w:top w:w="110" w:type="dxa"/>
            </w:tcMar>
          </w:tcPr>
          <w:p w:rsidR="00E472AA" w:rsidRPr="00C258AD" w:rsidRDefault="00E472AA" w:rsidP="00927E1F">
            <w:pPr>
              <w:pStyle w:val="ListParagraph"/>
              <w:ind w:left="0"/>
              <w:rPr>
                <w:sz w:val="16"/>
                <w:szCs w:val="16"/>
              </w:rPr>
            </w:pPr>
            <w:r w:rsidRPr="00C258AD">
              <w:rPr>
                <w:sz w:val="16"/>
                <w:szCs w:val="16"/>
              </w:rPr>
              <w:t>En 2014</w:t>
            </w:r>
            <w:r w:rsidRPr="00C258AD">
              <w:rPr>
                <w:sz w:val="16"/>
                <w:szCs w:val="16"/>
              </w:rPr>
              <w:noBreakHyphen/>
              <w:t>2015, 7 participants ont indiqué en moyenne un taux de satisfaction de 94% (Afrique 3;  pays arabes 1;  Asie et Pacifique 2;  Amérique latine et Caraïbes 1)</w:t>
            </w:r>
            <w:r w:rsidRPr="00C258AD">
              <w:rPr>
                <w:rStyle w:val="FootnoteReference"/>
                <w:rFonts w:eastAsia="SimSun"/>
                <w:sz w:val="16"/>
                <w:szCs w:val="16"/>
                <w:lang w:bidi="th-TH"/>
              </w:rPr>
              <w:footnoteReference w:id="59"/>
            </w:r>
            <w:r w:rsidRPr="00C258AD">
              <w:rPr>
                <w:sz w:val="16"/>
                <w:szCs w:val="16"/>
              </w:rPr>
              <w:t>.</w:t>
            </w:r>
          </w:p>
        </w:tc>
        <w:tc>
          <w:tcPr>
            <w:tcW w:w="1132" w:type="dxa"/>
            <w:gridSpan w:val="2"/>
            <w:shd w:val="clear" w:color="auto" w:fill="auto"/>
            <w:tcMar>
              <w:top w:w="110" w:type="dxa"/>
            </w:tcMar>
          </w:tcPr>
          <w:p w:rsidR="00E472AA" w:rsidRPr="00C258AD" w:rsidRDefault="00E472AA" w:rsidP="00927E1F">
            <w:pPr>
              <w:keepNext/>
              <w:keepLines/>
              <w:jc w:val="center"/>
              <w:rPr>
                <w:b/>
                <w:bCs/>
                <w:color w:val="00B050"/>
                <w:sz w:val="16"/>
                <w:szCs w:val="16"/>
              </w:rPr>
            </w:pPr>
            <w:r w:rsidRPr="00C258AD">
              <w:rPr>
                <w:b/>
                <w:bCs/>
                <w:color w:val="00B050"/>
                <w:sz w:val="16"/>
              </w:rPr>
              <w:t>Objectif pleinement atteint</w:t>
            </w:r>
          </w:p>
        </w:tc>
      </w:tr>
      <w:tr w:rsidR="00E472AA" w:rsidRPr="00C258AD" w:rsidTr="00927E1F">
        <w:trPr>
          <w:cantSplit/>
        </w:trPr>
        <w:tc>
          <w:tcPr>
            <w:tcW w:w="1337" w:type="dxa"/>
            <w:shd w:val="clear" w:color="auto" w:fill="auto"/>
          </w:tcPr>
          <w:p w:rsidR="00E472AA" w:rsidRPr="00C258AD" w:rsidRDefault="00E472AA" w:rsidP="00927E1F">
            <w:pPr>
              <w:rPr>
                <w:sz w:val="16"/>
                <w:szCs w:val="16"/>
              </w:rPr>
            </w:pPr>
            <w:r w:rsidRPr="00C258AD">
              <w:rPr>
                <w:sz w:val="16"/>
                <w:szCs w:val="16"/>
              </w:rPr>
              <w:t>Nombre et pourcentage d’États membres et d’organisations régionales ayant donné un retour d’information positif sur les conseils législatifs fournis dans le domaine des marques, des dessins et modèles industriels et des indications géographiques</w:t>
            </w:r>
          </w:p>
        </w:tc>
        <w:tc>
          <w:tcPr>
            <w:tcW w:w="2543" w:type="dxa"/>
            <w:gridSpan w:val="4"/>
            <w:shd w:val="clear" w:color="auto" w:fill="auto"/>
          </w:tcPr>
          <w:p w:rsidR="00E472AA" w:rsidRPr="00C258AD" w:rsidRDefault="00E472AA" w:rsidP="00927E1F">
            <w:pPr>
              <w:ind w:leftChars="-6" w:left="2" w:hangingChars="9" w:hanging="14"/>
              <w:rPr>
                <w:sz w:val="16"/>
                <w:szCs w:val="16"/>
                <w:lang w:bidi="th-TH"/>
              </w:rPr>
            </w:pPr>
            <w:r w:rsidRPr="00C258AD">
              <w:rPr>
                <w:i/>
                <w:color w:val="002060"/>
                <w:sz w:val="16"/>
                <w:szCs w:val="16"/>
              </w:rPr>
              <w:t>Niveau de référence actualisé</w:t>
            </w:r>
            <w:r w:rsidRPr="00C258AD">
              <w:rPr>
                <w:sz w:val="16"/>
                <w:szCs w:val="16"/>
              </w:rPr>
              <w:br/>
            </w:r>
            <w:r w:rsidRPr="00C258AD">
              <w:rPr>
                <w:i/>
                <w:color w:val="002060"/>
                <w:sz w:val="16"/>
                <w:szCs w:val="16"/>
              </w:rPr>
              <w:t xml:space="preserve">fin 2013 : </w:t>
            </w:r>
            <w:r w:rsidRPr="00C258AD">
              <w:rPr>
                <w:color w:val="002060"/>
                <w:sz w:val="16"/>
                <w:szCs w:val="16"/>
              </w:rPr>
              <w:t>Retour d’information positif reçu de neuf pays sur 13.  Quatre pays n’ont pas répondu.</w:t>
            </w:r>
          </w:p>
          <w:p w:rsidR="00E472AA" w:rsidRPr="00C258AD" w:rsidRDefault="00E472AA" w:rsidP="00927E1F">
            <w:pPr>
              <w:ind w:leftChars="-6" w:left="2" w:hangingChars="9" w:hanging="14"/>
              <w:rPr>
                <w:i/>
                <w:sz w:val="16"/>
                <w:szCs w:val="16"/>
                <w:lang w:bidi="th-TH"/>
              </w:rPr>
            </w:pPr>
          </w:p>
          <w:p w:rsidR="00E472AA" w:rsidRPr="00C258AD" w:rsidRDefault="00E472AA" w:rsidP="00927E1F">
            <w:pPr>
              <w:ind w:leftChars="-6" w:left="2" w:hangingChars="9" w:hanging="14"/>
              <w:rPr>
                <w:sz w:val="16"/>
                <w:szCs w:val="16"/>
                <w:lang w:bidi="th-TH"/>
              </w:rPr>
            </w:pPr>
            <w:r w:rsidRPr="00C258AD">
              <w:rPr>
                <w:i/>
                <w:sz w:val="16"/>
                <w:szCs w:val="16"/>
              </w:rPr>
              <w:t xml:space="preserve">Niveau de référence initial </w:t>
            </w:r>
            <w:r w:rsidRPr="00C258AD">
              <w:rPr>
                <w:sz w:val="16"/>
                <w:szCs w:val="16"/>
              </w:rPr>
              <w:br/>
              <w:t>Programme et budget 2014</w:t>
            </w:r>
            <w:r w:rsidRPr="00C258AD">
              <w:rPr>
                <w:sz w:val="16"/>
                <w:szCs w:val="16"/>
              </w:rPr>
              <w:noBreakHyphen/>
              <w:t>2015 :</w:t>
            </w:r>
            <w:r w:rsidRPr="00C258AD">
              <w:rPr>
                <w:i/>
                <w:sz w:val="16"/>
                <w:szCs w:val="16"/>
              </w:rPr>
              <w:t xml:space="preserve"> trois </w:t>
            </w:r>
            <w:r w:rsidRPr="00C258AD">
              <w:rPr>
                <w:sz w:val="16"/>
                <w:szCs w:val="16"/>
              </w:rPr>
              <w:t>États membres/organisations régionales ayant donné un retour d’information positif sur les conseils législatifs reçus en 2012</w:t>
            </w:r>
          </w:p>
          <w:p w:rsidR="00E472AA" w:rsidRPr="00C258AD" w:rsidRDefault="00E472AA" w:rsidP="00927E1F">
            <w:pPr>
              <w:ind w:leftChars="-6" w:left="2" w:hangingChars="9" w:hanging="14"/>
              <w:rPr>
                <w:sz w:val="16"/>
                <w:szCs w:val="16"/>
                <w:lang w:bidi="th-TH"/>
              </w:rPr>
            </w:pPr>
          </w:p>
        </w:tc>
        <w:tc>
          <w:tcPr>
            <w:tcW w:w="2431" w:type="dxa"/>
            <w:gridSpan w:val="3"/>
            <w:shd w:val="clear" w:color="auto" w:fill="auto"/>
            <w:tcMar>
              <w:top w:w="110" w:type="dxa"/>
            </w:tcMar>
          </w:tcPr>
          <w:p w:rsidR="00E472AA" w:rsidRPr="00C258AD" w:rsidRDefault="00E472AA" w:rsidP="00927E1F">
            <w:pPr>
              <w:autoSpaceDE w:val="0"/>
              <w:autoSpaceDN w:val="0"/>
              <w:adjustRightInd w:val="0"/>
              <w:rPr>
                <w:sz w:val="16"/>
                <w:szCs w:val="16"/>
              </w:rPr>
            </w:pPr>
            <w:r w:rsidRPr="00C258AD">
              <w:rPr>
                <w:sz w:val="16"/>
                <w:szCs w:val="16"/>
              </w:rPr>
              <w:t>Retour d’information positif reçu de la part de 10 États membres/organisations régionales (ventilation régionale)</w:t>
            </w:r>
          </w:p>
        </w:tc>
        <w:tc>
          <w:tcPr>
            <w:tcW w:w="2431" w:type="dxa"/>
            <w:shd w:val="clear" w:color="auto" w:fill="FFFFFF"/>
            <w:tcMar>
              <w:top w:w="110" w:type="dxa"/>
            </w:tcMar>
          </w:tcPr>
          <w:p w:rsidR="00E472AA" w:rsidRPr="00C258AD" w:rsidRDefault="00E472AA" w:rsidP="00927E1F">
            <w:pPr>
              <w:rPr>
                <w:sz w:val="16"/>
                <w:szCs w:val="16"/>
                <w:lang w:bidi="th-TH"/>
              </w:rPr>
            </w:pPr>
            <w:r w:rsidRPr="00C258AD">
              <w:rPr>
                <w:sz w:val="16"/>
                <w:szCs w:val="16"/>
              </w:rPr>
              <w:t>Des conseils ont été fournis à 30 États membres/organisations régionales (Afrique 8;  pays arabes 1;  Asie et Pacifique 14;  Amérique latine et Caraïbes 6)</w:t>
            </w:r>
          </w:p>
          <w:p w:rsidR="00E472AA" w:rsidRPr="00C258AD" w:rsidRDefault="00E472AA" w:rsidP="00927E1F">
            <w:pPr>
              <w:rPr>
                <w:sz w:val="16"/>
                <w:szCs w:val="16"/>
                <w:lang w:bidi="th-TH"/>
              </w:rPr>
            </w:pPr>
          </w:p>
          <w:p w:rsidR="00E472AA" w:rsidRPr="00C258AD" w:rsidRDefault="00E472AA" w:rsidP="00927E1F">
            <w:pPr>
              <w:rPr>
                <w:sz w:val="16"/>
                <w:szCs w:val="16"/>
              </w:rPr>
            </w:pPr>
            <w:r w:rsidRPr="00C258AD">
              <w:rPr>
                <w:sz w:val="16"/>
                <w:szCs w:val="16"/>
              </w:rPr>
              <w:t>Dix États membres ou organisations régionales ont donné un retour d’information.  Tous (100%) ont fait part de leur satisfaction à l’égard des conseils fournis.</w:t>
            </w:r>
          </w:p>
        </w:tc>
        <w:tc>
          <w:tcPr>
            <w:tcW w:w="1132" w:type="dxa"/>
            <w:gridSpan w:val="2"/>
            <w:shd w:val="clear" w:color="auto" w:fill="auto"/>
            <w:tcMar>
              <w:top w:w="110" w:type="dxa"/>
            </w:tcMar>
          </w:tcPr>
          <w:p w:rsidR="00E472AA" w:rsidRPr="00C258AD" w:rsidRDefault="00E472AA" w:rsidP="00927E1F">
            <w:pPr>
              <w:keepNext/>
              <w:keepLines/>
              <w:jc w:val="center"/>
              <w:rPr>
                <w:bCs/>
                <w:color w:val="808080"/>
                <w:sz w:val="16"/>
                <w:szCs w:val="16"/>
              </w:rPr>
            </w:pPr>
            <w:r w:rsidRPr="00C258AD">
              <w:rPr>
                <w:b/>
                <w:bCs/>
                <w:color w:val="00B050"/>
                <w:sz w:val="16"/>
              </w:rPr>
              <w:t>Objectif pleinement atteint</w:t>
            </w:r>
          </w:p>
        </w:tc>
      </w:tr>
      <w:tr w:rsidR="00E472AA" w:rsidRPr="00C258AD" w:rsidTr="00927E1F">
        <w:trPr>
          <w:cantSplit/>
        </w:trPr>
        <w:tc>
          <w:tcPr>
            <w:tcW w:w="1337" w:type="dxa"/>
            <w:tcBorders>
              <w:bottom w:val="single" w:sz="4" w:space="0" w:color="auto"/>
            </w:tcBorders>
            <w:shd w:val="clear" w:color="auto" w:fill="auto"/>
          </w:tcPr>
          <w:p w:rsidR="00E472AA" w:rsidRPr="00C258AD" w:rsidRDefault="00E472AA" w:rsidP="00927E1F">
            <w:pPr>
              <w:rPr>
                <w:sz w:val="16"/>
                <w:szCs w:val="16"/>
              </w:rPr>
            </w:pPr>
            <w:r w:rsidRPr="00C258AD">
              <w:rPr>
                <w:sz w:val="16"/>
                <w:szCs w:val="16"/>
              </w:rPr>
              <w:t>Nombre ou pourcentage de pays ayant donné un retour d’information positif sur les conseils fournis par l’OMPI dans le domaine législatif</w:t>
            </w:r>
          </w:p>
        </w:tc>
        <w:tc>
          <w:tcPr>
            <w:tcW w:w="2543" w:type="dxa"/>
            <w:gridSpan w:val="4"/>
            <w:tcBorders>
              <w:bottom w:val="single" w:sz="4" w:space="0" w:color="auto"/>
            </w:tcBorders>
            <w:shd w:val="clear" w:color="auto" w:fill="auto"/>
          </w:tcPr>
          <w:p w:rsidR="00E472AA" w:rsidRPr="00C258AD" w:rsidRDefault="00E472AA" w:rsidP="00927E1F">
            <w:pPr>
              <w:ind w:left="1"/>
              <w:rPr>
                <w:sz w:val="16"/>
                <w:szCs w:val="16"/>
                <w:lang w:bidi="th-TH"/>
              </w:rPr>
            </w:pPr>
            <w:r w:rsidRPr="00C258AD">
              <w:rPr>
                <w:sz w:val="16"/>
                <w:szCs w:val="16"/>
              </w:rPr>
              <w:t>Aucun retour d’information n’a encore été collecté</w:t>
            </w:r>
          </w:p>
        </w:tc>
        <w:tc>
          <w:tcPr>
            <w:tcW w:w="2431" w:type="dxa"/>
            <w:gridSpan w:val="3"/>
            <w:tcBorders>
              <w:bottom w:val="single" w:sz="4" w:space="0" w:color="auto"/>
            </w:tcBorders>
            <w:shd w:val="clear" w:color="auto" w:fill="auto"/>
            <w:tcMar>
              <w:top w:w="110" w:type="dxa"/>
            </w:tcMar>
          </w:tcPr>
          <w:p w:rsidR="00E472AA" w:rsidRPr="00C258AD" w:rsidRDefault="00E472AA" w:rsidP="00927E1F">
            <w:pPr>
              <w:autoSpaceDE w:val="0"/>
              <w:autoSpaceDN w:val="0"/>
              <w:adjustRightInd w:val="0"/>
              <w:rPr>
                <w:sz w:val="16"/>
                <w:szCs w:val="16"/>
              </w:rPr>
            </w:pPr>
            <w:r w:rsidRPr="00C258AD">
              <w:rPr>
                <w:sz w:val="16"/>
                <w:szCs w:val="16"/>
              </w:rPr>
              <w:t>15 pays (ventilation régionale)</w:t>
            </w:r>
          </w:p>
        </w:tc>
        <w:tc>
          <w:tcPr>
            <w:tcW w:w="2431" w:type="dxa"/>
            <w:tcBorders>
              <w:bottom w:val="single" w:sz="4" w:space="0" w:color="auto"/>
            </w:tcBorders>
            <w:shd w:val="clear" w:color="auto" w:fill="FFFFFF"/>
            <w:tcMar>
              <w:top w:w="110" w:type="dxa"/>
            </w:tcMar>
          </w:tcPr>
          <w:p w:rsidR="00E472AA" w:rsidRPr="00C258AD" w:rsidRDefault="00E472AA" w:rsidP="00927E1F">
            <w:pPr>
              <w:pStyle w:val="ListParagraph"/>
              <w:ind w:left="0"/>
              <w:rPr>
                <w:sz w:val="16"/>
                <w:szCs w:val="16"/>
              </w:rPr>
            </w:pPr>
            <w:r w:rsidRPr="00C258AD">
              <w:rPr>
                <w:sz w:val="16"/>
                <w:szCs w:val="16"/>
              </w:rPr>
              <w:t>23 pays ont reçu des conseils législatifs en 2014</w:t>
            </w:r>
            <w:r w:rsidRPr="00C258AD">
              <w:rPr>
                <w:sz w:val="16"/>
                <w:szCs w:val="16"/>
              </w:rPr>
              <w:noBreakHyphen/>
              <w:t>2015.  (Afrique 9;  pays arabes 3;  Asie et Pacifique 5;  Amérique latine et Caraïbes 6).</w:t>
            </w:r>
          </w:p>
          <w:p w:rsidR="00E472AA" w:rsidRPr="00C258AD" w:rsidRDefault="00E472AA" w:rsidP="00927E1F">
            <w:pPr>
              <w:pStyle w:val="ListParagraph"/>
              <w:ind w:left="0"/>
              <w:rPr>
                <w:sz w:val="16"/>
                <w:szCs w:val="16"/>
              </w:rPr>
            </w:pPr>
          </w:p>
          <w:p w:rsidR="00E472AA" w:rsidRPr="00C258AD" w:rsidRDefault="00E472AA" w:rsidP="00927E1F">
            <w:pPr>
              <w:pStyle w:val="ListParagraph"/>
              <w:ind w:left="0"/>
              <w:rPr>
                <w:sz w:val="16"/>
                <w:szCs w:val="16"/>
              </w:rPr>
            </w:pPr>
            <w:r w:rsidRPr="00C258AD">
              <w:rPr>
                <w:sz w:val="16"/>
                <w:szCs w:val="16"/>
                <w:lang w:bidi="th-TH"/>
              </w:rPr>
              <w:t>100% des réponses valides du sondage étaient des avis positifs (5 ou 6 sur une échelle allant de 1 à 6) sur le service de conseils législatifs de l’OMPI en matière de droit d’auteur.</w:t>
            </w:r>
          </w:p>
        </w:tc>
        <w:tc>
          <w:tcPr>
            <w:tcW w:w="1132" w:type="dxa"/>
            <w:gridSpan w:val="2"/>
            <w:tcBorders>
              <w:bottom w:val="single" w:sz="4" w:space="0" w:color="auto"/>
            </w:tcBorders>
            <w:shd w:val="clear" w:color="auto" w:fill="auto"/>
            <w:tcMar>
              <w:top w:w="110" w:type="dxa"/>
            </w:tcMar>
          </w:tcPr>
          <w:p w:rsidR="00E472AA" w:rsidRPr="00C258AD" w:rsidRDefault="00E472AA" w:rsidP="00927E1F">
            <w:pPr>
              <w:jc w:val="center"/>
              <w:rPr>
                <w:b/>
                <w:color w:val="0070C0"/>
                <w:sz w:val="16"/>
                <w:szCs w:val="16"/>
              </w:rPr>
            </w:pPr>
            <w:r w:rsidRPr="00C258AD">
              <w:rPr>
                <w:b/>
                <w:bCs/>
                <w:color w:val="00B050"/>
                <w:sz w:val="16"/>
              </w:rPr>
              <w:t>Objectif pleinement atteint</w:t>
            </w:r>
          </w:p>
        </w:tc>
      </w:tr>
      <w:tr w:rsidR="00E472AA" w:rsidRPr="00C258AD" w:rsidTr="00927E1F">
        <w:trPr>
          <w:cantSplit/>
        </w:trPr>
        <w:tc>
          <w:tcPr>
            <w:tcW w:w="9874" w:type="dxa"/>
            <w:gridSpan w:val="11"/>
            <w:tcBorders>
              <w:top w:val="single" w:sz="4" w:space="0" w:color="auto"/>
              <w:bottom w:val="single" w:sz="4" w:space="0" w:color="auto"/>
            </w:tcBorders>
            <w:shd w:val="clear" w:color="auto" w:fill="C5D9F1"/>
            <w:vAlign w:val="center"/>
          </w:tcPr>
          <w:p w:rsidR="00E472AA" w:rsidRPr="00C258AD" w:rsidRDefault="00E472AA" w:rsidP="00927E1F">
            <w:pPr>
              <w:keepNext/>
              <w:rPr>
                <w:b/>
                <w:bCs/>
                <w:sz w:val="16"/>
                <w:szCs w:val="16"/>
              </w:rPr>
            </w:pPr>
            <w:r w:rsidRPr="00C258AD">
              <w:rPr>
                <w:b/>
                <w:sz w:val="16"/>
                <w:szCs w:val="16"/>
              </w:rPr>
              <w:lastRenderedPageBreak/>
              <w:t xml:space="preserve">Résultat escompté : </w:t>
            </w:r>
            <w:r w:rsidRPr="00C258AD">
              <w:rPr>
                <w:sz w:val="16"/>
                <w:szCs w:val="16"/>
              </w:rPr>
              <w:t>III.1 Stratégies et plans nationaux en matière d’innovation et de propriété intellectuelle conformes aux objectifs de développement nationaux</w:t>
            </w:r>
          </w:p>
        </w:tc>
      </w:tr>
      <w:tr w:rsidR="00E472AA" w:rsidRPr="00C258AD" w:rsidTr="00927E1F">
        <w:trPr>
          <w:cantSplit/>
        </w:trPr>
        <w:tc>
          <w:tcPr>
            <w:tcW w:w="1337" w:type="dxa"/>
            <w:tcBorders>
              <w:top w:val="single" w:sz="4" w:space="0" w:color="auto"/>
            </w:tcBorders>
            <w:shd w:val="clear" w:color="auto" w:fill="auto"/>
            <w:vAlign w:val="center"/>
          </w:tcPr>
          <w:p w:rsidR="00E472AA" w:rsidRPr="00C258AD" w:rsidRDefault="00E472AA" w:rsidP="00927E1F">
            <w:pPr>
              <w:keepNext/>
              <w:jc w:val="center"/>
              <w:rPr>
                <w:sz w:val="16"/>
                <w:szCs w:val="16"/>
              </w:rPr>
            </w:pPr>
            <w:r w:rsidRPr="00C258AD">
              <w:rPr>
                <w:b/>
                <w:sz w:val="16"/>
                <w:szCs w:val="16"/>
              </w:rPr>
              <w:t>Indicateurs d’exécution</w:t>
            </w:r>
          </w:p>
        </w:tc>
        <w:tc>
          <w:tcPr>
            <w:tcW w:w="2422" w:type="dxa"/>
            <w:gridSpan w:val="3"/>
            <w:tcBorders>
              <w:top w:val="single" w:sz="4" w:space="0" w:color="auto"/>
            </w:tcBorders>
            <w:shd w:val="clear" w:color="auto" w:fill="auto"/>
            <w:vAlign w:val="center"/>
          </w:tcPr>
          <w:p w:rsidR="00E472AA" w:rsidRPr="00C258AD" w:rsidRDefault="00E472AA" w:rsidP="00927E1F">
            <w:pPr>
              <w:keepNext/>
              <w:jc w:val="center"/>
              <w:rPr>
                <w:b/>
                <w:bCs/>
                <w:sz w:val="16"/>
                <w:szCs w:val="16"/>
              </w:rPr>
            </w:pPr>
            <w:r w:rsidRPr="00C258AD">
              <w:rPr>
                <w:b/>
                <w:sz w:val="16"/>
                <w:szCs w:val="16"/>
              </w:rPr>
              <w:t>Niveaux de référence</w:t>
            </w:r>
          </w:p>
        </w:tc>
        <w:tc>
          <w:tcPr>
            <w:tcW w:w="2552" w:type="dxa"/>
            <w:gridSpan w:val="4"/>
            <w:tcBorders>
              <w:top w:val="single" w:sz="4" w:space="0" w:color="auto"/>
            </w:tcBorders>
            <w:shd w:val="clear" w:color="auto" w:fill="auto"/>
            <w:tcMar>
              <w:top w:w="110" w:type="dxa"/>
            </w:tcMar>
            <w:vAlign w:val="center"/>
          </w:tcPr>
          <w:p w:rsidR="00E472AA" w:rsidRPr="00C258AD" w:rsidRDefault="00E472AA" w:rsidP="00927E1F">
            <w:pPr>
              <w:keepNext/>
              <w:jc w:val="center"/>
              <w:rPr>
                <w:b/>
                <w:sz w:val="16"/>
                <w:szCs w:val="16"/>
              </w:rPr>
            </w:pPr>
            <w:r w:rsidRPr="00C258AD">
              <w:rPr>
                <w:b/>
                <w:sz w:val="16"/>
                <w:szCs w:val="16"/>
              </w:rPr>
              <w:t>Objectifs visés</w:t>
            </w:r>
          </w:p>
        </w:tc>
        <w:tc>
          <w:tcPr>
            <w:tcW w:w="2431" w:type="dxa"/>
            <w:tcBorders>
              <w:top w:val="single" w:sz="4" w:space="0" w:color="auto"/>
            </w:tcBorders>
            <w:shd w:val="clear" w:color="auto" w:fill="FFFFFF"/>
            <w:tcMar>
              <w:top w:w="110" w:type="dxa"/>
            </w:tcMar>
            <w:vAlign w:val="center"/>
          </w:tcPr>
          <w:p w:rsidR="00E472AA" w:rsidRPr="00C258AD" w:rsidRDefault="00E472AA" w:rsidP="00927E1F">
            <w:pPr>
              <w:keepNext/>
              <w:jc w:val="center"/>
              <w:rPr>
                <w:sz w:val="16"/>
                <w:szCs w:val="16"/>
              </w:rPr>
            </w:pPr>
            <w:r w:rsidRPr="00C258AD">
              <w:rPr>
                <w:b/>
                <w:sz w:val="16"/>
                <w:szCs w:val="16"/>
              </w:rPr>
              <w:t>Données relatives à l’exécution</w:t>
            </w:r>
          </w:p>
        </w:tc>
        <w:tc>
          <w:tcPr>
            <w:tcW w:w="1132" w:type="dxa"/>
            <w:gridSpan w:val="2"/>
            <w:tcBorders>
              <w:top w:val="single" w:sz="4" w:space="0" w:color="auto"/>
            </w:tcBorders>
            <w:shd w:val="clear" w:color="auto" w:fill="auto"/>
            <w:tcMar>
              <w:top w:w="110" w:type="dxa"/>
            </w:tcMar>
            <w:vAlign w:val="center"/>
          </w:tcPr>
          <w:p w:rsidR="00E472AA" w:rsidRPr="00C258AD" w:rsidRDefault="00E472AA" w:rsidP="00927E1F">
            <w:pPr>
              <w:keepNext/>
              <w:keepLines/>
              <w:jc w:val="center"/>
              <w:rPr>
                <w:b/>
                <w:bCs/>
                <w:sz w:val="16"/>
                <w:szCs w:val="16"/>
              </w:rPr>
            </w:pPr>
            <w:r w:rsidRPr="00C258AD">
              <w:rPr>
                <w:b/>
                <w:sz w:val="16"/>
                <w:szCs w:val="16"/>
              </w:rPr>
              <w:t>Code de couleurs</w:t>
            </w:r>
          </w:p>
        </w:tc>
      </w:tr>
      <w:tr w:rsidR="00E472AA" w:rsidRPr="00C258AD" w:rsidTr="00927E1F">
        <w:trPr>
          <w:cantSplit/>
        </w:trPr>
        <w:tc>
          <w:tcPr>
            <w:tcW w:w="1337" w:type="dxa"/>
            <w:shd w:val="clear" w:color="auto" w:fill="FFFFFF"/>
          </w:tcPr>
          <w:p w:rsidR="00E472AA" w:rsidRPr="00C258AD" w:rsidRDefault="00E472AA" w:rsidP="00927E1F">
            <w:pPr>
              <w:rPr>
                <w:sz w:val="16"/>
                <w:szCs w:val="16"/>
                <w:lang w:bidi="th-TH"/>
              </w:rPr>
            </w:pPr>
            <w:r w:rsidRPr="00C258AD">
              <w:rPr>
                <w:sz w:val="16"/>
                <w:szCs w:val="16"/>
              </w:rPr>
              <w:t>Nombre de pays qui sont en train de formuler/adopter des stratégies et/ou des plans de développement nationaux en matière de propriété intellectuelle</w:t>
            </w:r>
          </w:p>
        </w:tc>
        <w:tc>
          <w:tcPr>
            <w:tcW w:w="2422" w:type="dxa"/>
            <w:gridSpan w:val="3"/>
            <w:shd w:val="clear" w:color="auto" w:fill="auto"/>
          </w:tcPr>
          <w:p w:rsidR="00E472AA" w:rsidRPr="00C258AD" w:rsidRDefault="00E472AA" w:rsidP="00927E1F">
            <w:pPr>
              <w:rPr>
                <w:i/>
                <w:color w:val="002060"/>
                <w:sz w:val="16"/>
                <w:szCs w:val="16"/>
              </w:rPr>
            </w:pPr>
            <w:r w:rsidRPr="00C258AD">
              <w:rPr>
                <w:i/>
                <w:color w:val="002060"/>
                <w:sz w:val="16"/>
                <w:szCs w:val="16"/>
              </w:rPr>
              <w:t>Niveau de référence actualisé fin 2013 :</w:t>
            </w:r>
          </w:p>
          <w:p w:rsidR="00E472AA" w:rsidRPr="00C258AD" w:rsidRDefault="00E472AA" w:rsidP="00927E1F">
            <w:pPr>
              <w:rPr>
                <w:color w:val="002060"/>
                <w:sz w:val="16"/>
                <w:szCs w:val="16"/>
              </w:rPr>
            </w:pPr>
            <w:r w:rsidRPr="00C258AD">
              <w:rPr>
                <w:color w:val="002060"/>
                <w:sz w:val="16"/>
                <w:szCs w:val="16"/>
              </w:rPr>
              <w:t>Afrique : 18 pays au total (Botswana, Burundi, Cameroun, Congo, Guinée équatoriale, Éthiopie</w:t>
            </w:r>
            <w:r w:rsidRPr="00C258AD">
              <w:rPr>
                <w:rStyle w:val="FootnoteReference"/>
                <w:rFonts w:eastAsia="SimSun"/>
                <w:color w:val="002060"/>
                <w:sz w:val="16"/>
                <w:szCs w:val="16"/>
              </w:rPr>
              <w:footnoteReference w:id="60"/>
            </w:r>
            <w:r w:rsidRPr="00C258AD">
              <w:rPr>
                <w:color w:val="002060"/>
                <w:sz w:val="16"/>
                <w:szCs w:val="16"/>
              </w:rPr>
              <w:t>, Gambie, Kenya, Lesotho, Malawi, Mali, Maurice, Seychelles, Sierra Leone, Togo, République centrafricaine, République</w:t>
            </w:r>
            <w:r w:rsidRPr="00C258AD">
              <w:rPr>
                <w:color w:val="002060"/>
                <w:sz w:val="16"/>
                <w:szCs w:val="16"/>
              </w:rPr>
              <w:noBreakHyphen/>
              <w:t>Unie de Tanzanie, Tchad)</w:t>
            </w:r>
          </w:p>
          <w:p w:rsidR="00E472AA" w:rsidRPr="00C258AD" w:rsidRDefault="00E472AA" w:rsidP="00927E1F">
            <w:pPr>
              <w:rPr>
                <w:color w:val="002060"/>
                <w:sz w:val="16"/>
                <w:szCs w:val="16"/>
              </w:rPr>
            </w:pPr>
          </w:p>
          <w:p w:rsidR="00E472AA" w:rsidRPr="00C258AD" w:rsidRDefault="00E472AA" w:rsidP="00927E1F">
            <w:pPr>
              <w:rPr>
                <w:color w:val="002060"/>
                <w:sz w:val="16"/>
                <w:szCs w:val="16"/>
              </w:rPr>
            </w:pPr>
            <w:r w:rsidRPr="00C258AD">
              <w:rPr>
                <w:color w:val="002060"/>
                <w:sz w:val="16"/>
                <w:szCs w:val="16"/>
              </w:rPr>
              <w:t>Pays arabes : six pays au total</w:t>
            </w:r>
            <w:r w:rsidRPr="00C258AD">
              <w:rPr>
                <w:rStyle w:val="FootnoteReference"/>
                <w:rFonts w:eastAsia="SimSun"/>
                <w:color w:val="002060"/>
                <w:sz w:val="16"/>
                <w:szCs w:val="16"/>
              </w:rPr>
              <w:footnoteReference w:id="61"/>
            </w:r>
            <w:r w:rsidRPr="00C258AD">
              <w:rPr>
                <w:color w:val="002060"/>
                <w:sz w:val="16"/>
                <w:szCs w:val="16"/>
              </w:rPr>
              <w:t xml:space="preserve"> (Algérie</w:t>
            </w:r>
            <w:r w:rsidRPr="00C258AD">
              <w:rPr>
                <w:rStyle w:val="FootnoteReference"/>
                <w:rFonts w:eastAsia="SimSun"/>
                <w:color w:val="002060"/>
                <w:sz w:val="16"/>
                <w:szCs w:val="16"/>
              </w:rPr>
              <w:footnoteReference w:id="62"/>
            </w:r>
            <w:r w:rsidRPr="00C258AD">
              <w:rPr>
                <w:color w:val="002060"/>
                <w:sz w:val="16"/>
                <w:szCs w:val="16"/>
              </w:rPr>
              <w:t>, Émirats arabes unis, Oman, Qatar</w:t>
            </w:r>
            <w:r w:rsidRPr="00C258AD">
              <w:rPr>
                <w:rStyle w:val="FootnoteReference"/>
                <w:rFonts w:eastAsia="SimSun"/>
                <w:color w:val="002060"/>
                <w:sz w:val="16"/>
                <w:szCs w:val="16"/>
              </w:rPr>
              <w:footnoteReference w:id="63"/>
            </w:r>
            <w:r w:rsidRPr="00C258AD">
              <w:rPr>
                <w:color w:val="002060"/>
                <w:sz w:val="16"/>
                <w:szCs w:val="16"/>
              </w:rPr>
              <w:t>, Soudan, Yémen)</w:t>
            </w:r>
          </w:p>
          <w:p w:rsidR="00E472AA" w:rsidRPr="00C258AD" w:rsidRDefault="00E472AA" w:rsidP="00927E1F">
            <w:pPr>
              <w:rPr>
                <w:color w:val="002060"/>
                <w:sz w:val="16"/>
                <w:szCs w:val="16"/>
              </w:rPr>
            </w:pPr>
          </w:p>
          <w:p w:rsidR="00E472AA" w:rsidRPr="00C258AD" w:rsidRDefault="00E472AA" w:rsidP="00927E1F">
            <w:pPr>
              <w:rPr>
                <w:color w:val="002060"/>
                <w:sz w:val="16"/>
                <w:szCs w:val="16"/>
              </w:rPr>
            </w:pPr>
            <w:r w:rsidRPr="00C258AD">
              <w:rPr>
                <w:color w:val="002060"/>
                <w:sz w:val="16"/>
                <w:szCs w:val="16"/>
              </w:rPr>
              <w:t>Asie et Pacifique : 12 pays au total (Bangladesh, Bhoutan, Cambodge, Fidji, Îles Salomon, Mongolie, Papouasie</w:t>
            </w:r>
            <w:r w:rsidRPr="00C258AD">
              <w:rPr>
                <w:color w:val="002060"/>
                <w:sz w:val="16"/>
                <w:szCs w:val="16"/>
              </w:rPr>
              <w:noBreakHyphen/>
              <w:t>Nouvelle</w:t>
            </w:r>
            <w:r w:rsidRPr="00C258AD">
              <w:rPr>
                <w:color w:val="002060"/>
                <w:sz w:val="16"/>
                <w:szCs w:val="16"/>
              </w:rPr>
              <w:noBreakHyphen/>
              <w:t>Guinée, Samoa, Sri Lanka, Tonga, Vanuatu, Viet Nam)</w:t>
            </w:r>
          </w:p>
          <w:p w:rsidR="00E472AA" w:rsidRPr="00C258AD" w:rsidRDefault="00E472AA" w:rsidP="00927E1F">
            <w:pPr>
              <w:rPr>
                <w:color w:val="002060"/>
                <w:sz w:val="16"/>
                <w:szCs w:val="16"/>
              </w:rPr>
            </w:pPr>
          </w:p>
          <w:p w:rsidR="00E472AA" w:rsidRPr="00C258AD" w:rsidRDefault="00E472AA" w:rsidP="00927E1F">
            <w:pPr>
              <w:rPr>
                <w:color w:val="002060"/>
                <w:sz w:val="16"/>
                <w:szCs w:val="16"/>
              </w:rPr>
            </w:pPr>
            <w:r w:rsidRPr="00C258AD">
              <w:rPr>
                <w:color w:val="002060"/>
                <w:sz w:val="16"/>
                <w:szCs w:val="16"/>
              </w:rPr>
              <w:t>Amérique latine et Caraïbes : 11 pays au total (</w:t>
            </w:r>
            <w:r w:rsidRPr="00C258AD">
              <w:rPr>
                <w:sz w:val="16"/>
                <w:szCs w:val="16"/>
              </w:rPr>
              <w:t>Barbade, Costa Rica, El Salvador, Équateur, Guatemala, Honduras, Nicaragua, Panama, République dominicaine, Saint</w:t>
            </w:r>
            <w:r w:rsidRPr="00C258AD">
              <w:rPr>
                <w:sz w:val="16"/>
                <w:szCs w:val="16"/>
              </w:rPr>
              <w:noBreakHyphen/>
              <w:t>Kitts</w:t>
            </w:r>
            <w:r w:rsidRPr="00C258AD">
              <w:rPr>
                <w:sz w:val="16"/>
                <w:szCs w:val="16"/>
              </w:rPr>
              <w:noBreakHyphen/>
              <w:t>et</w:t>
            </w:r>
            <w:r w:rsidRPr="00C258AD">
              <w:rPr>
                <w:sz w:val="16"/>
                <w:szCs w:val="16"/>
              </w:rPr>
              <w:noBreakHyphen/>
              <w:t>Nevis, Trinité</w:t>
            </w:r>
            <w:r w:rsidRPr="00C258AD">
              <w:rPr>
                <w:sz w:val="16"/>
                <w:szCs w:val="16"/>
              </w:rPr>
              <w:noBreakHyphen/>
              <w:t>et</w:t>
            </w:r>
            <w:r w:rsidRPr="00C258AD">
              <w:rPr>
                <w:sz w:val="16"/>
                <w:szCs w:val="16"/>
              </w:rPr>
              <w:noBreakHyphen/>
              <w:t>Tobago)</w:t>
            </w:r>
          </w:p>
          <w:p w:rsidR="00E472AA" w:rsidRPr="00C258AD" w:rsidRDefault="00E472AA" w:rsidP="00927E1F">
            <w:pPr>
              <w:rPr>
                <w:color w:val="002060"/>
                <w:sz w:val="16"/>
                <w:szCs w:val="16"/>
              </w:rPr>
            </w:pPr>
          </w:p>
          <w:p w:rsidR="00E472AA" w:rsidRPr="00C258AD" w:rsidRDefault="00E472AA" w:rsidP="00927E1F">
            <w:pPr>
              <w:rPr>
                <w:color w:val="002060"/>
                <w:sz w:val="16"/>
                <w:szCs w:val="16"/>
              </w:rPr>
            </w:pPr>
            <w:r w:rsidRPr="00C258AD">
              <w:rPr>
                <w:color w:val="002060"/>
                <w:sz w:val="16"/>
                <w:szCs w:val="16"/>
              </w:rPr>
              <w:t>19 PMA inclus dans la ventilation régionale ci</w:t>
            </w:r>
            <w:r w:rsidRPr="00C258AD">
              <w:rPr>
                <w:color w:val="002060"/>
                <w:sz w:val="16"/>
                <w:szCs w:val="16"/>
              </w:rPr>
              <w:noBreakHyphen/>
              <w:t>dessus</w:t>
            </w:r>
          </w:p>
          <w:p w:rsidR="00E472AA" w:rsidRPr="00C258AD" w:rsidRDefault="00E472AA" w:rsidP="00927E1F">
            <w:pPr>
              <w:rPr>
                <w:color w:val="002060"/>
                <w:sz w:val="16"/>
                <w:szCs w:val="16"/>
              </w:rPr>
            </w:pPr>
          </w:p>
          <w:p w:rsidR="00E472AA" w:rsidRPr="00C258AD" w:rsidRDefault="00E472AA" w:rsidP="00927E1F">
            <w:pPr>
              <w:rPr>
                <w:sz w:val="16"/>
                <w:szCs w:val="16"/>
                <w:lang w:bidi="th-TH"/>
              </w:rPr>
            </w:pPr>
            <w:r w:rsidRPr="00C258AD">
              <w:rPr>
                <w:i/>
                <w:sz w:val="16"/>
                <w:szCs w:val="16"/>
              </w:rPr>
              <w:t>Niveau de référence initial</w:t>
            </w:r>
          </w:p>
          <w:p w:rsidR="00E472AA" w:rsidRPr="00C258AD" w:rsidRDefault="00E472AA" w:rsidP="00927E1F">
            <w:pPr>
              <w:rPr>
                <w:sz w:val="16"/>
                <w:szCs w:val="16"/>
                <w:lang w:bidi="th-TH"/>
              </w:rPr>
            </w:pPr>
            <w:r w:rsidRPr="00C258AD">
              <w:rPr>
                <w:i/>
                <w:sz w:val="16"/>
                <w:szCs w:val="16"/>
              </w:rPr>
              <w:t>Programme et budget 2014</w:t>
            </w:r>
            <w:r w:rsidRPr="00C258AD">
              <w:rPr>
                <w:i/>
                <w:sz w:val="16"/>
                <w:szCs w:val="16"/>
              </w:rPr>
              <w:noBreakHyphen/>
              <w:t>2015 :</w:t>
            </w:r>
          </w:p>
          <w:p w:rsidR="00E472AA" w:rsidRPr="00C258AD" w:rsidRDefault="00E472AA" w:rsidP="00927E1F">
            <w:pPr>
              <w:rPr>
                <w:sz w:val="16"/>
                <w:szCs w:val="16"/>
              </w:rPr>
            </w:pPr>
            <w:r w:rsidRPr="00C258AD">
              <w:rPr>
                <w:sz w:val="16"/>
                <w:szCs w:val="16"/>
              </w:rPr>
              <w:t>Afrique (12 pays au total)</w:t>
            </w: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Pays arabes (4)</w:t>
            </w: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Asie et Pacifique (8)</w:t>
            </w: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Amérique latine et Caraïbes (9)</w:t>
            </w: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5 PMA inclus dans la ventilation régionale ci</w:t>
            </w:r>
            <w:r w:rsidRPr="00C258AD">
              <w:rPr>
                <w:sz w:val="16"/>
                <w:szCs w:val="16"/>
              </w:rPr>
              <w:noBreakHyphen/>
              <w:t>dessus</w:t>
            </w:r>
          </w:p>
        </w:tc>
        <w:tc>
          <w:tcPr>
            <w:tcW w:w="2552" w:type="dxa"/>
            <w:gridSpan w:val="4"/>
            <w:shd w:val="clear" w:color="auto" w:fill="auto"/>
            <w:tcMar>
              <w:top w:w="110" w:type="dxa"/>
            </w:tcMar>
          </w:tcPr>
          <w:p w:rsidR="00E472AA" w:rsidRPr="00C258AD" w:rsidRDefault="00E472AA" w:rsidP="00927E1F">
            <w:pPr>
              <w:rPr>
                <w:sz w:val="16"/>
                <w:szCs w:val="16"/>
                <w:lang w:bidi="th-TH"/>
              </w:rPr>
            </w:pPr>
            <w:r w:rsidRPr="00C258AD">
              <w:rPr>
                <w:sz w:val="16"/>
                <w:szCs w:val="16"/>
              </w:rPr>
              <w:t>Afrique (18 pays au total)</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Pays arabes (7 pays au total)</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Asie et Pacifique (13 pays au total)</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Amérique latine et Caraïbes (13 pays au total)</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10 PMA inclus dans la ventilation régionale ci</w:t>
            </w:r>
            <w:r w:rsidRPr="00C258AD">
              <w:rPr>
                <w:sz w:val="16"/>
                <w:szCs w:val="16"/>
              </w:rPr>
              <w:noBreakHyphen/>
              <w:t>dessus</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tc>
        <w:tc>
          <w:tcPr>
            <w:tcW w:w="2431" w:type="dxa"/>
            <w:shd w:val="clear" w:color="auto" w:fill="FFFFFF"/>
            <w:tcMar>
              <w:top w:w="110" w:type="dxa"/>
            </w:tcMar>
          </w:tcPr>
          <w:p w:rsidR="00E472AA" w:rsidRPr="00C258AD" w:rsidRDefault="00E472AA" w:rsidP="00927E1F">
            <w:pPr>
              <w:rPr>
                <w:sz w:val="16"/>
                <w:szCs w:val="16"/>
                <w:lang w:bidi="th-TH"/>
              </w:rPr>
            </w:pPr>
            <w:r w:rsidRPr="00C258AD">
              <w:rPr>
                <w:sz w:val="16"/>
                <w:szCs w:val="16"/>
              </w:rPr>
              <w:t>Afrique (6 pays supplémentaires) : Bénin, Madagascar, Niger, Ouganda, République démocratique du Congo</w:t>
            </w:r>
            <w:r w:rsidRPr="00C258AD">
              <w:rPr>
                <w:rStyle w:val="FootnoteReference"/>
                <w:rFonts w:eastAsia="SimSun"/>
                <w:sz w:val="16"/>
                <w:szCs w:val="16"/>
              </w:rPr>
              <w:footnoteReference w:id="64"/>
            </w:r>
            <w:r w:rsidRPr="00C258AD">
              <w:rPr>
                <w:sz w:val="16"/>
                <w:szCs w:val="16"/>
              </w:rPr>
              <w:t>, Swaziland (24 pays au total)</w:t>
            </w: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Pays arabes (pas de pays supplémentaire);</w:t>
            </w:r>
          </w:p>
          <w:p w:rsidR="00E472AA" w:rsidRPr="00C258AD" w:rsidRDefault="00E472AA" w:rsidP="00E472AA">
            <w:pPr>
              <w:pStyle w:val="ListParagraph"/>
              <w:numPr>
                <w:ilvl w:val="0"/>
                <w:numId w:val="86"/>
              </w:numPr>
              <w:rPr>
                <w:sz w:val="16"/>
                <w:szCs w:val="16"/>
                <w:lang w:bidi="th-TH"/>
              </w:rPr>
            </w:pPr>
            <w:r w:rsidRPr="00C258AD">
              <w:rPr>
                <w:sz w:val="16"/>
                <w:szCs w:val="16"/>
              </w:rPr>
              <w:t>Émirats arabes unis (pas de progrès);</w:t>
            </w:r>
          </w:p>
          <w:p w:rsidR="00E472AA" w:rsidRPr="00C258AD" w:rsidRDefault="00E472AA" w:rsidP="00E472AA">
            <w:pPr>
              <w:pStyle w:val="ListParagraph"/>
              <w:numPr>
                <w:ilvl w:val="0"/>
                <w:numId w:val="86"/>
              </w:numPr>
              <w:rPr>
                <w:sz w:val="16"/>
                <w:szCs w:val="16"/>
                <w:lang w:bidi="th-TH"/>
              </w:rPr>
            </w:pPr>
            <w:r w:rsidRPr="00C258AD">
              <w:rPr>
                <w:sz w:val="16"/>
                <w:szCs w:val="16"/>
              </w:rPr>
              <w:t>Yémen (procédure retardée en raison de la situation politique)</w:t>
            </w:r>
          </w:p>
          <w:p w:rsidR="00E472AA" w:rsidRPr="00C258AD" w:rsidRDefault="00E472AA" w:rsidP="00927E1F">
            <w:pPr>
              <w:rPr>
                <w:sz w:val="16"/>
                <w:szCs w:val="16"/>
                <w:lang w:bidi="th-TH"/>
              </w:rPr>
            </w:pPr>
            <w:r w:rsidRPr="00C258AD">
              <w:rPr>
                <w:sz w:val="16"/>
                <w:szCs w:val="16"/>
                <w:lang w:bidi="th-TH"/>
              </w:rPr>
              <w:t>(6 pays au total)</w:t>
            </w:r>
          </w:p>
          <w:p w:rsidR="00E472AA" w:rsidRPr="00C258AD" w:rsidRDefault="00E472AA" w:rsidP="00927E1F">
            <w:pPr>
              <w:rPr>
                <w:sz w:val="16"/>
                <w:szCs w:val="16"/>
                <w:lang w:bidi="th-TH"/>
              </w:rPr>
            </w:pPr>
          </w:p>
          <w:p w:rsidR="00E472AA" w:rsidRPr="00C258AD" w:rsidRDefault="00E472AA" w:rsidP="00927E1F">
            <w:pPr>
              <w:rPr>
                <w:sz w:val="16"/>
                <w:szCs w:val="16"/>
              </w:rPr>
            </w:pPr>
            <w:r w:rsidRPr="00C258AD">
              <w:rPr>
                <w:sz w:val="16"/>
                <w:szCs w:val="16"/>
              </w:rPr>
              <w:t xml:space="preserve">Asie et Pacifique (5 pays supplémentaires) : </w:t>
            </w:r>
            <w:proofErr w:type="spellStart"/>
            <w:r w:rsidRPr="00C258AD">
              <w:rPr>
                <w:sz w:val="16"/>
                <w:szCs w:val="16"/>
              </w:rPr>
              <w:t>Brunéi</w:t>
            </w:r>
            <w:proofErr w:type="spellEnd"/>
            <w:r w:rsidRPr="00C258AD">
              <w:rPr>
                <w:sz w:val="16"/>
                <w:szCs w:val="16"/>
              </w:rPr>
              <w:t xml:space="preserve"> Darussalam, Îles Cook, Myanmar et République populaire démocratique de Corée.</w:t>
            </w:r>
          </w:p>
          <w:p w:rsidR="00E472AA" w:rsidRPr="00C258AD" w:rsidRDefault="00E472AA" w:rsidP="00927E1F">
            <w:pPr>
              <w:rPr>
                <w:sz w:val="16"/>
                <w:szCs w:val="16"/>
                <w:lang w:bidi="th-TH"/>
              </w:rPr>
            </w:pPr>
            <w:r w:rsidRPr="00C258AD">
              <w:rPr>
                <w:sz w:val="16"/>
                <w:szCs w:val="16"/>
              </w:rPr>
              <w:t>(17 pays au total)</w:t>
            </w: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Amérique latine et Caraïbes (4 pays supplémentaires) : Chili, Grenade, Paraguay et Pérou</w:t>
            </w:r>
          </w:p>
          <w:p w:rsidR="00E472AA" w:rsidRPr="00C258AD" w:rsidRDefault="00E472AA" w:rsidP="00927E1F">
            <w:pPr>
              <w:rPr>
                <w:sz w:val="16"/>
                <w:szCs w:val="16"/>
                <w:lang w:bidi="th-TH"/>
              </w:rPr>
            </w:pPr>
            <w:r w:rsidRPr="00C258AD">
              <w:rPr>
                <w:sz w:val="16"/>
                <w:szCs w:val="16"/>
              </w:rPr>
              <w:t>(15 pays au total)</w:t>
            </w: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24 PMA inclus dans la ventilation cumulative régionale ci</w:t>
            </w:r>
            <w:r w:rsidRPr="00C258AD">
              <w:rPr>
                <w:sz w:val="16"/>
                <w:szCs w:val="16"/>
              </w:rPr>
              <w:noBreakHyphen/>
              <w:t>dessus</w:t>
            </w:r>
          </w:p>
        </w:tc>
        <w:tc>
          <w:tcPr>
            <w:tcW w:w="1132" w:type="dxa"/>
            <w:gridSpan w:val="2"/>
            <w:shd w:val="clear" w:color="auto" w:fill="auto"/>
            <w:tcMar>
              <w:top w:w="110" w:type="dxa"/>
            </w:tcMar>
          </w:tcPr>
          <w:p w:rsidR="00E472AA" w:rsidRPr="00C258AD" w:rsidRDefault="00E472AA" w:rsidP="00927E1F">
            <w:pPr>
              <w:keepNext/>
              <w:keepLines/>
              <w:jc w:val="center"/>
              <w:rPr>
                <w:b/>
                <w:color w:val="00B050"/>
                <w:sz w:val="16"/>
                <w:szCs w:val="16"/>
              </w:rPr>
            </w:pPr>
            <w:r w:rsidRPr="00C258AD">
              <w:rPr>
                <w:b/>
                <w:bCs/>
                <w:color w:val="00B050"/>
                <w:sz w:val="16"/>
              </w:rPr>
              <w:t>Objectif pleinement atteint</w:t>
            </w: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
                <w:bCs/>
                <w:color w:val="FF0000"/>
                <w:sz w:val="16"/>
              </w:rPr>
            </w:pPr>
            <w:r w:rsidRPr="00C258AD">
              <w:rPr>
                <w:b/>
                <w:bCs/>
                <w:color w:val="FF0000"/>
                <w:sz w:val="16"/>
              </w:rPr>
              <w:t>Objectif pas atteint</w:t>
            </w:r>
          </w:p>
          <w:p w:rsidR="00E472AA" w:rsidRPr="00C258AD" w:rsidRDefault="00E472AA" w:rsidP="00927E1F">
            <w:pPr>
              <w:keepNext/>
              <w:keepLines/>
              <w:jc w:val="center"/>
              <w:rPr>
                <w:b/>
                <w:bCs/>
                <w:color w:val="FF0000"/>
                <w:sz w:val="16"/>
              </w:rPr>
            </w:pPr>
          </w:p>
          <w:p w:rsidR="00E472AA" w:rsidRPr="00C258AD" w:rsidRDefault="00E472AA" w:rsidP="00927E1F">
            <w:pPr>
              <w:keepNext/>
              <w:keepLines/>
              <w:jc w:val="center"/>
              <w:rPr>
                <w:b/>
                <w:bCs/>
                <w:color w:val="FF0000"/>
                <w:sz w:val="16"/>
              </w:rPr>
            </w:pPr>
          </w:p>
          <w:p w:rsidR="00E472AA" w:rsidRPr="00C258AD" w:rsidRDefault="00E472AA" w:rsidP="00927E1F">
            <w:pPr>
              <w:keepNext/>
              <w:keepLines/>
              <w:jc w:val="center"/>
              <w:rPr>
                <w:b/>
                <w:bCs/>
                <w:color w:val="FF0000"/>
                <w:sz w:val="16"/>
              </w:rPr>
            </w:pPr>
          </w:p>
          <w:p w:rsidR="00E472AA" w:rsidRPr="00C258AD" w:rsidRDefault="00E472AA" w:rsidP="00927E1F">
            <w:pPr>
              <w:keepNext/>
              <w:keepLines/>
              <w:jc w:val="center"/>
              <w:rPr>
                <w:b/>
                <w:bCs/>
                <w:color w:val="FF0000"/>
                <w:sz w:val="16"/>
              </w:rPr>
            </w:pPr>
          </w:p>
          <w:p w:rsidR="00E472AA" w:rsidRPr="00C258AD" w:rsidRDefault="00E472AA" w:rsidP="00927E1F">
            <w:pPr>
              <w:keepNext/>
              <w:keepLines/>
              <w:jc w:val="center"/>
              <w:rPr>
                <w:b/>
                <w:bCs/>
                <w:color w:val="FF0000"/>
                <w:sz w:val="16"/>
              </w:rPr>
            </w:pPr>
          </w:p>
          <w:p w:rsidR="00E472AA" w:rsidRPr="00C258AD" w:rsidRDefault="00E472AA" w:rsidP="00927E1F">
            <w:pPr>
              <w:keepNext/>
              <w:keepLines/>
              <w:jc w:val="center"/>
              <w:rPr>
                <w:b/>
                <w:bCs/>
                <w:color w:val="FF0000"/>
                <w:sz w:val="16"/>
              </w:rPr>
            </w:pPr>
          </w:p>
          <w:p w:rsidR="00E472AA" w:rsidRPr="00C258AD" w:rsidRDefault="00E472AA" w:rsidP="00927E1F">
            <w:pPr>
              <w:keepNext/>
              <w:keepLines/>
              <w:jc w:val="center"/>
              <w:rPr>
                <w:b/>
                <w:bCs/>
                <w:color w:val="FF0000"/>
                <w:sz w:val="16"/>
              </w:rPr>
            </w:pPr>
          </w:p>
          <w:p w:rsidR="00E472AA" w:rsidRPr="00C258AD" w:rsidRDefault="00E472AA" w:rsidP="00927E1F">
            <w:pPr>
              <w:keepNext/>
              <w:keepLines/>
              <w:jc w:val="center"/>
              <w:rPr>
                <w:b/>
                <w:color w:val="00B050"/>
                <w:sz w:val="16"/>
                <w:szCs w:val="16"/>
              </w:rPr>
            </w:pPr>
            <w:r w:rsidRPr="00C258AD">
              <w:rPr>
                <w:b/>
                <w:bCs/>
                <w:color w:val="00B050"/>
                <w:sz w:val="16"/>
              </w:rPr>
              <w:t>Objectif pleinement atteint</w:t>
            </w: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
                <w:color w:val="00B050"/>
                <w:sz w:val="16"/>
                <w:szCs w:val="16"/>
              </w:rPr>
            </w:pPr>
            <w:r w:rsidRPr="00C258AD">
              <w:rPr>
                <w:b/>
                <w:bCs/>
                <w:color w:val="00B050"/>
                <w:sz w:val="16"/>
              </w:rPr>
              <w:t>Objectif pleinement atteint</w:t>
            </w: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
                <w:color w:val="00B050"/>
                <w:sz w:val="16"/>
                <w:szCs w:val="16"/>
              </w:rPr>
            </w:pPr>
            <w:r w:rsidRPr="00C258AD">
              <w:rPr>
                <w:b/>
                <w:bCs/>
                <w:color w:val="00B050"/>
                <w:sz w:val="16"/>
              </w:rPr>
              <w:t>Objectif pleinement atteint</w:t>
            </w: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tc>
      </w:tr>
      <w:tr w:rsidR="00E472AA" w:rsidRPr="00C258AD" w:rsidTr="00927E1F">
        <w:trPr>
          <w:cantSplit/>
        </w:trPr>
        <w:tc>
          <w:tcPr>
            <w:tcW w:w="1337" w:type="dxa"/>
            <w:tcBorders>
              <w:bottom w:val="single" w:sz="4" w:space="0" w:color="auto"/>
            </w:tcBorders>
            <w:shd w:val="clear" w:color="auto" w:fill="auto"/>
          </w:tcPr>
          <w:p w:rsidR="00E472AA" w:rsidRPr="00C258AD" w:rsidRDefault="00E472AA" w:rsidP="00927E1F">
            <w:pPr>
              <w:rPr>
                <w:sz w:val="16"/>
                <w:szCs w:val="16"/>
                <w:lang w:bidi="th-TH"/>
              </w:rPr>
            </w:pPr>
            <w:r w:rsidRPr="00C258AD">
              <w:rPr>
                <w:sz w:val="16"/>
                <w:szCs w:val="16"/>
              </w:rPr>
              <w:lastRenderedPageBreak/>
              <w:t>Nombre de pays qui ont adopté des stratégies et/ou des plans de développement nationaux en matière de propriété intellectuelle et sont en train de les mettre en œuvre</w:t>
            </w:r>
          </w:p>
        </w:tc>
        <w:tc>
          <w:tcPr>
            <w:tcW w:w="2422" w:type="dxa"/>
            <w:gridSpan w:val="3"/>
            <w:tcBorders>
              <w:bottom w:val="single" w:sz="4" w:space="0" w:color="auto"/>
            </w:tcBorders>
            <w:shd w:val="clear" w:color="auto" w:fill="auto"/>
          </w:tcPr>
          <w:p w:rsidR="00E472AA" w:rsidRPr="00C258AD" w:rsidRDefault="00E472AA" w:rsidP="00927E1F">
            <w:pPr>
              <w:rPr>
                <w:color w:val="002060"/>
                <w:sz w:val="16"/>
                <w:szCs w:val="16"/>
              </w:rPr>
            </w:pPr>
            <w:r w:rsidRPr="00C258AD">
              <w:rPr>
                <w:i/>
                <w:color w:val="002060"/>
                <w:sz w:val="16"/>
                <w:szCs w:val="16"/>
              </w:rPr>
              <w:t>Niveau de référence actualisé fin 2013 :</w:t>
            </w:r>
          </w:p>
          <w:p w:rsidR="00E472AA" w:rsidRPr="00C258AD" w:rsidRDefault="00E472AA" w:rsidP="00927E1F">
            <w:pPr>
              <w:rPr>
                <w:color w:val="002060"/>
                <w:sz w:val="16"/>
                <w:szCs w:val="16"/>
              </w:rPr>
            </w:pPr>
            <w:r w:rsidRPr="00C258AD">
              <w:rPr>
                <w:color w:val="002060"/>
                <w:sz w:val="16"/>
                <w:szCs w:val="16"/>
              </w:rPr>
              <w:t>Afrique (9 pays au total) : Comores, Ghana,</w:t>
            </w:r>
            <w:r w:rsidRPr="00C258AD">
              <w:rPr>
                <w:sz w:val="16"/>
                <w:szCs w:val="16"/>
              </w:rPr>
              <w:t xml:space="preserve"> </w:t>
            </w:r>
            <w:r w:rsidRPr="00C258AD">
              <w:rPr>
                <w:color w:val="002060"/>
                <w:sz w:val="16"/>
                <w:szCs w:val="16"/>
              </w:rPr>
              <w:t>Kenya, Libéria, Maurice, Mozambique, Sénégal, Seychelles, Zambie</w:t>
            </w:r>
          </w:p>
          <w:p w:rsidR="00E472AA" w:rsidRPr="00C258AD" w:rsidRDefault="00E472AA" w:rsidP="00927E1F">
            <w:pPr>
              <w:rPr>
                <w:color w:val="002060"/>
                <w:sz w:val="16"/>
                <w:szCs w:val="16"/>
              </w:rPr>
            </w:pPr>
          </w:p>
          <w:p w:rsidR="00E472AA" w:rsidRPr="00C258AD" w:rsidRDefault="00E472AA" w:rsidP="00927E1F">
            <w:pPr>
              <w:rPr>
                <w:color w:val="002060"/>
                <w:sz w:val="16"/>
                <w:szCs w:val="16"/>
              </w:rPr>
            </w:pPr>
            <w:r w:rsidRPr="00C258AD">
              <w:rPr>
                <w:color w:val="002060"/>
                <w:sz w:val="16"/>
                <w:szCs w:val="16"/>
              </w:rPr>
              <w:t>Pays arabes (2 pays au total) Oman, Soudan;</w:t>
            </w:r>
          </w:p>
          <w:p w:rsidR="00E472AA" w:rsidRPr="00C258AD" w:rsidRDefault="00E472AA" w:rsidP="00927E1F">
            <w:pPr>
              <w:rPr>
                <w:color w:val="002060"/>
                <w:sz w:val="16"/>
                <w:szCs w:val="16"/>
              </w:rPr>
            </w:pPr>
          </w:p>
          <w:p w:rsidR="00E472AA" w:rsidRPr="00C258AD" w:rsidRDefault="00E472AA" w:rsidP="00927E1F">
            <w:pPr>
              <w:rPr>
                <w:color w:val="002060"/>
                <w:sz w:val="16"/>
                <w:szCs w:val="16"/>
              </w:rPr>
            </w:pPr>
            <w:r w:rsidRPr="00C258AD">
              <w:rPr>
                <w:color w:val="002060"/>
                <w:sz w:val="16"/>
                <w:szCs w:val="16"/>
              </w:rPr>
              <w:t>Asie et Pacifique (3 pays au total)</w:t>
            </w:r>
            <w:r w:rsidRPr="00C258AD">
              <w:rPr>
                <w:rStyle w:val="FootnoteReference"/>
                <w:rFonts w:eastAsia="SimSun"/>
                <w:sz w:val="16"/>
              </w:rPr>
              <w:footnoteReference w:id="65"/>
            </w:r>
            <w:r w:rsidRPr="00C258AD">
              <w:rPr>
                <w:rStyle w:val="FootnoteReference"/>
                <w:rFonts w:eastAsia="SimSun"/>
              </w:rPr>
              <w:t> :</w:t>
            </w:r>
            <w:r w:rsidRPr="00C258AD">
              <w:rPr>
                <w:color w:val="002060"/>
                <w:sz w:val="16"/>
                <w:szCs w:val="16"/>
              </w:rPr>
              <w:t xml:space="preserve"> Fidji, Papouasie</w:t>
            </w:r>
            <w:r w:rsidRPr="00C258AD">
              <w:rPr>
                <w:color w:val="002060"/>
                <w:sz w:val="16"/>
                <w:szCs w:val="16"/>
              </w:rPr>
              <w:noBreakHyphen/>
              <w:t>Nouvelle</w:t>
            </w:r>
            <w:r w:rsidRPr="00C258AD">
              <w:rPr>
                <w:color w:val="002060"/>
                <w:sz w:val="16"/>
                <w:szCs w:val="16"/>
              </w:rPr>
              <w:noBreakHyphen/>
              <w:t>Guinée, Samoa</w:t>
            </w:r>
          </w:p>
          <w:p w:rsidR="00E472AA" w:rsidRPr="00C258AD" w:rsidRDefault="00E472AA" w:rsidP="00927E1F">
            <w:pPr>
              <w:rPr>
                <w:color w:val="002060"/>
                <w:sz w:val="16"/>
                <w:szCs w:val="16"/>
              </w:rPr>
            </w:pPr>
          </w:p>
          <w:p w:rsidR="00E472AA" w:rsidRPr="00C258AD" w:rsidRDefault="00E472AA" w:rsidP="00927E1F">
            <w:pPr>
              <w:rPr>
                <w:sz w:val="16"/>
                <w:szCs w:val="16"/>
              </w:rPr>
            </w:pPr>
            <w:r w:rsidRPr="00C258AD">
              <w:rPr>
                <w:color w:val="002060"/>
                <w:sz w:val="16"/>
                <w:szCs w:val="16"/>
              </w:rPr>
              <w:t xml:space="preserve">Amérique latine et Caraïbes (3 pays au total) : </w:t>
            </w:r>
            <w:r w:rsidRPr="00C258AD">
              <w:rPr>
                <w:sz w:val="16"/>
                <w:szCs w:val="16"/>
              </w:rPr>
              <w:t>Costa Rica, Honduras, République dominicaine</w:t>
            </w:r>
          </w:p>
          <w:p w:rsidR="00E472AA" w:rsidRPr="00C258AD" w:rsidRDefault="00E472AA" w:rsidP="00927E1F">
            <w:pPr>
              <w:rPr>
                <w:color w:val="002060"/>
                <w:sz w:val="16"/>
                <w:szCs w:val="16"/>
              </w:rPr>
            </w:pPr>
          </w:p>
          <w:p w:rsidR="00E472AA" w:rsidRPr="00C258AD" w:rsidRDefault="00E472AA" w:rsidP="00927E1F">
            <w:pPr>
              <w:rPr>
                <w:sz w:val="16"/>
                <w:szCs w:val="16"/>
                <w:lang w:bidi="th-TH"/>
              </w:rPr>
            </w:pPr>
            <w:r w:rsidRPr="00C258AD">
              <w:rPr>
                <w:sz w:val="16"/>
                <w:szCs w:val="16"/>
              </w:rPr>
              <w:t>7 PMA inclus dans la ventilation régionale ci</w:t>
            </w:r>
            <w:r w:rsidRPr="00C258AD">
              <w:rPr>
                <w:sz w:val="16"/>
                <w:szCs w:val="16"/>
              </w:rPr>
              <w:noBreakHyphen/>
              <w:t>dessus</w:t>
            </w:r>
          </w:p>
          <w:p w:rsidR="00E472AA" w:rsidRPr="00C258AD" w:rsidRDefault="00E472AA" w:rsidP="00927E1F">
            <w:pPr>
              <w:rPr>
                <w:color w:val="002060"/>
                <w:sz w:val="16"/>
                <w:szCs w:val="16"/>
              </w:rPr>
            </w:pPr>
          </w:p>
          <w:p w:rsidR="00E472AA" w:rsidRPr="00C258AD" w:rsidRDefault="00E472AA" w:rsidP="00927E1F">
            <w:pPr>
              <w:rPr>
                <w:color w:val="002060"/>
                <w:sz w:val="16"/>
                <w:szCs w:val="16"/>
              </w:rPr>
            </w:pPr>
          </w:p>
          <w:p w:rsidR="00E472AA" w:rsidRPr="00C258AD" w:rsidRDefault="00E472AA" w:rsidP="00927E1F">
            <w:pPr>
              <w:rPr>
                <w:sz w:val="16"/>
                <w:szCs w:val="16"/>
                <w:lang w:bidi="th-TH"/>
              </w:rPr>
            </w:pPr>
            <w:r w:rsidRPr="00C258AD">
              <w:rPr>
                <w:i/>
                <w:sz w:val="16"/>
                <w:szCs w:val="16"/>
              </w:rPr>
              <w:t>Niveau de référence initial</w:t>
            </w:r>
          </w:p>
          <w:p w:rsidR="00E472AA" w:rsidRPr="00C258AD" w:rsidRDefault="00E472AA" w:rsidP="00927E1F">
            <w:pPr>
              <w:rPr>
                <w:sz w:val="16"/>
                <w:szCs w:val="16"/>
                <w:lang w:bidi="th-TH"/>
              </w:rPr>
            </w:pPr>
            <w:r w:rsidRPr="00C258AD">
              <w:rPr>
                <w:i/>
                <w:sz w:val="16"/>
                <w:szCs w:val="16"/>
              </w:rPr>
              <w:t>Programme et budget 2014</w:t>
            </w:r>
            <w:r w:rsidRPr="00C258AD">
              <w:rPr>
                <w:i/>
                <w:sz w:val="16"/>
                <w:szCs w:val="16"/>
              </w:rPr>
              <w:noBreakHyphen/>
              <w:t>2015 :</w:t>
            </w:r>
          </w:p>
          <w:p w:rsidR="00E472AA" w:rsidRPr="00C258AD" w:rsidRDefault="00E472AA" w:rsidP="00927E1F">
            <w:pPr>
              <w:rPr>
                <w:sz w:val="16"/>
                <w:szCs w:val="16"/>
                <w:lang w:bidi="th-TH"/>
              </w:rPr>
            </w:pPr>
            <w:r w:rsidRPr="00C258AD">
              <w:rPr>
                <w:sz w:val="16"/>
                <w:szCs w:val="16"/>
              </w:rPr>
              <w:t>Afrique (4)</w:t>
            </w: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Pays arabes (3)</w:t>
            </w: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Asie et Pacifique (3)</w:t>
            </w: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Amérique latine et Caraïbes (4)</w:t>
            </w: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5 PMA inclus dans la ventilation régionale ci</w:t>
            </w:r>
            <w:r w:rsidRPr="00C258AD">
              <w:rPr>
                <w:sz w:val="16"/>
                <w:szCs w:val="16"/>
              </w:rPr>
              <w:noBreakHyphen/>
              <w:t>dessus</w:t>
            </w:r>
          </w:p>
        </w:tc>
        <w:tc>
          <w:tcPr>
            <w:tcW w:w="2552" w:type="dxa"/>
            <w:gridSpan w:val="4"/>
            <w:tcBorders>
              <w:bottom w:val="single" w:sz="4" w:space="0" w:color="auto"/>
            </w:tcBorders>
            <w:shd w:val="clear" w:color="auto" w:fill="auto"/>
            <w:tcMar>
              <w:top w:w="110" w:type="dxa"/>
            </w:tcMar>
          </w:tcPr>
          <w:p w:rsidR="00E472AA" w:rsidRPr="00C258AD" w:rsidRDefault="00E472AA" w:rsidP="00927E1F">
            <w:pPr>
              <w:rPr>
                <w:sz w:val="16"/>
                <w:szCs w:val="16"/>
                <w:lang w:bidi="th-TH"/>
              </w:rPr>
            </w:pPr>
            <w:r w:rsidRPr="00C258AD">
              <w:rPr>
                <w:sz w:val="16"/>
                <w:szCs w:val="16"/>
              </w:rPr>
              <w:t>Afrique (6 pays au total)</w:t>
            </w: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Pays arabes (6 pays au total)</w:t>
            </w: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Asie et Pacifique (7 pays au total)</w:t>
            </w: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Amérique latine et Caraïbes (12)</w:t>
            </w:r>
          </w:p>
          <w:p w:rsidR="00E472AA" w:rsidRPr="00C258AD" w:rsidRDefault="00E472AA" w:rsidP="00927E1F">
            <w:pPr>
              <w:rPr>
                <w:sz w:val="16"/>
                <w:szCs w:val="16"/>
                <w:lang w:bidi="th-TH"/>
              </w:rPr>
            </w:pPr>
          </w:p>
          <w:p w:rsidR="00E472AA" w:rsidRPr="00C258AD" w:rsidRDefault="00E472AA" w:rsidP="008808C8">
            <w:pPr>
              <w:rPr>
                <w:sz w:val="16"/>
                <w:szCs w:val="16"/>
                <w:lang w:bidi="th-TH"/>
              </w:rPr>
            </w:pPr>
            <w:r w:rsidRPr="00C258AD">
              <w:rPr>
                <w:sz w:val="16"/>
                <w:szCs w:val="16"/>
              </w:rPr>
              <w:t>11 PMA inclus dans la ventilation régionale ci</w:t>
            </w:r>
            <w:r w:rsidRPr="00C258AD">
              <w:rPr>
                <w:sz w:val="16"/>
                <w:szCs w:val="16"/>
              </w:rPr>
              <w:noBreakHyphen/>
              <w:t>dessus</w:t>
            </w:r>
          </w:p>
        </w:tc>
        <w:tc>
          <w:tcPr>
            <w:tcW w:w="2431" w:type="dxa"/>
            <w:tcBorders>
              <w:bottom w:val="single" w:sz="4" w:space="0" w:color="auto"/>
            </w:tcBorders>
            <w:shd w:val="clear" w:color="auto" w:fill="FFFFFF"/>
            <w:tcMar>
              <w:top w:w="110" w:type="dxa"/>
            </w:tcMar>
          </w:tcPr>
          <w:p w:rsidR="00E472AA" w:rsidRPr="00C258AD" w:rsidRDefault="00E472AA" w:rsidP="00927E1F">
            <w:pPr>
              <w:rPr>
                <w:sz w:val="16"/>
                <w:szCs w:val="16"/>
                <w:lang w:bidi="th-TH"/>
              </w:rPr>
            </w:pPr>
            <w:r w:rsidRPr="00C258AD">
              <w:rPr>
                <w:sz w:val="16"/>
                <w:szCs w:val="16"/>
              </w:rPr>
              <w:t>Afrique (17 pays supplémentaires en 2014</w:t>
            </w:r>
            <w:r w:rsidRPr="00C258AD">
              <w:rPr>
                <w:sz w:val="16"/>
                <w:szCs w:val="16"/>
              </w:rPr>
              <w:noBreakHyphen/>
              <w:t>2015) : Botswana, Burundi, Cameroun, Congo, Côte d’Ivoire, Éthiopie, Lesotho, Malawi, Mali, République démocratique du Congo, Rwanda, Sao Tomé</w:t>
            </w:r>
            <w:r w:rsidRPr="00C258AD">
              <w:rPr>
                <w:sz w:val="16"/>
                <w:szCs w:val="16"/>
              </w:rPr>
              <w:noBreakHyphen/>
              <w:t>et</w:t>
            </w:r>
            <w:r w:rsidRPr="00C258AD">
              <w:rPr>
                <w:sz w:val="16"/>
                <w:szCs w:val="16"/>
              </w:rPr>
              <w:noBreakHyphen/>
              <w:t>Principe, Swaziland, Tchad, Togo, République</w:t>
            </w:r>
            <w:r w:rsidRPr="00C258AD">
              <w:rPr>
                <w:sz w:val="16"/>
                <w:szCs w:val="16"/>
              </w:rPr>
              <w:noBreakHyphen/>
              <w:t>Unie de Tanzanie, Zimbabwe</w:t>
            </w:r>
          </w:p>
          <w:p w:rsidR="00E472AA" w:rsidRPr="00C258AD" w:rsidRDefault="00E472AA" w:rsidP="00927E1F">
            <w:pPr>
              <w:rPr>
                <w:sz w:val="16"/>
                <w:szCs w:val="16"/>
              </w:rPr>
            </w:pPr>
            <w:r w:rsidRPr="00C258AD">
              <w:rPr>
                <w:sz w:val="16"/>
                <w:szCs w:val="16"/>
              </w:rPr>
              <w:t>(26 pays au total)</w:t>
            </w:r>
          </w:p>
          <w:p w:rsidR="00E472AA" w:rsidRPr="00C258AD" w:rsidRDefault="00E472AA" w:rsidP="00927E1F">
            <w:pPr>
              <w:rPr>
                <w:sz w:val="16"/>
                <w:szCs w:val="16"/>
                <w:lang w:bidi="th-TH"/>
              </w:rPr>
            </w:pPr>
          </w:p>
          <w:p w:rsidR="00E472AA" w:rsidRPr="00C258AD" w:rsidRDefault="00E472AA" w:rsidP="00927E1F">
            <w:pPr>
              <w:rPr>
                <w:sz w:val="16"/>
                <w:szCs w:val="16"/>
              </w:rPr>
            </w:pPr>
            <w:r w:rsidRPr="00C258AD">
              <w:rPr>
                <w:sz w:val="16"/>
                <w:szCs w:val="16"/>
              </w:rPr>
              <w:t>Pays arabes (pas de pays supplémentaire en 2014</w:t>
            </w:r>
            <w:r w:rsidRPr="00C258AD">
              <w:rPr>
                <w:sz w:val="16"/>
                <w:szCs w:val="16"/>
              </w:rPr>
              <w:noBreakHyphen/>
              <w:t>2015)</w:t>
            </w:r>
          </w:p>
          <w:p w:rsidR="00E472AA" w:rsidRPr="00C258AD" w:rsidRDefault="00E472AA" w:rsidP="00927E1F">
            <w:pPr>
              <w:rPr>
                <w:sz w:val="16"/>
                <w:szCs w:val="16"/>
                <w:lang w:bidi="th-TH"/>
              </w:rPr>
            </w:pPr>
            <w:r w:rsidRPr="00C258AD">
              <w:rPr>
                <w:sz w:val="16"/>
                <w:szCs w:val="16"/>
              </w:rPr>
              <w:t>(2 pays au total)</w:t>
            </w: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Asie et Pacifique (5 pays supplémentaires en 2014</w:t>
            </w:r>
            <w:r w:rsidRPr="00C258AD">
              <w:rPr>
                <w:sz w:val="16"/>
                <w:szCs w:val="16"/>
              </w:rPr>
              <w:noBreakHyphen/>
              <w:t>2015) : Cambodge, Mongolie, Sri Lanka, Tonga, Vanuatu</w:t>
            </w:r>
          </w:p>
          <w:p w:rsidR="00E472AA" w:rsidRPr="00C258AD" w:rsidRDefault="00E472AA" w:rsidP="00927E1F">
            <w:pPr>
              <w:rPr>
                <w:sz w:val="16"/>
                <w:szCs w:val="16"/>
                <w:lang w:bidi="th-TH"/>
              </w:rPr>
            </w:pPr>
            <w:r w:rsidRPr="00C258AD">
              <w:rPr>
                <w:sz w:val="16"/>
                <w:szCs w:val="16"/>
              </w:rPr>
              <w:t>(8 pays au total)</w:t>
            </w: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Amérique latine et Caraïbes (4 pays supplémentaires en 2014</w:t>
            </w:r>
            <w:r w:rsidRPr="00C258AD">
              <w:rPr>
                <w:sz w:val="16"/>
                <w:szCs w:val="16"/>
              </w:rPr>
              <w:noBreakHyphen/>
              <w:t>2015) : Barbade, El Salvador, Guatemala, Saint</w:t>
            </w:r>
            <w:r w:rsidRPr="00C258AD">
              <w:rPr>
                <w:sz w:val="16"/>
                <w:szCs w:val="16"/>
              </w:rPr>
              <w:noBreakHyphen/>
              <w:t>Kitts</w:t>
            </w:r>
            <w:r w:rsidRPr="00C258AD">
              <w:rPr>
                <w:sz w:val="16"/>
                <w:szCs w:val="16"/>
              </w:rPr>
              <w:noBreakHyphen/>
              <w:t>et</w:t>
            </w:r>
            <w:r w:rsidRPr="00C258AD">
              <w:rPr>
                <w:sz w:val="16"/>
                <w:szCs w:val="16"/>
              </w:rPr>
              <w:noBreakHyphen/>
              <w:t>Nevis</w:t>
            </w:r>
          </w:p>
          <w:p w:rsidR="00E472AA" w:rsidRPr="00C258AD" w:rsidRDefault="00E472AA" w:rsidP="00927E1F">
            <w:pPr>
              <w:rPr>
                <w:sz w:val="16"/>
                <w:szCs w:val="16"/>
                <w:lang w:bidi="th-TH"/>
              </w:rPr>
            </w:pPr>
            <w:r w:rsidRPr="00C258AD">
              <w:rPr>
                <w:sz w:val="16"/>
                <w:szCs w:val="16"/>
              </w:rPr>
              <w:t>(8 pays au total) :</w:t>
            </w:r>
          </w:p>
          <w:p w:rsidR="00E472AA" w:rsidRPr="00C258AD" w:rsidRDefault="00E472AA" w:rsidP="00927E1F">
            <w:pPr>
              <w:rPr>
                <w:sz w:val="16"/>
                <w:szCs w:val="16"/>
                <w:lang w:bidi="th-TH"/>
              </w:rPr>
            </w:pPr>
          </w:p>
          <w:p w:rsidR="00E472AA" w:rsidRPr="00C258AD" w:rsidRDefault="00E472AA" w:rsidP="008808C8">
            <w:pPr>
              <w:rPr>
                <w:sz w:val="16"/>
                <w:szCs w:val="16"/>
                <w:lang w:bidi="th-TH"/>
              </w:rPr>
            </w:pPr>
            <w:r w:rsidRPr="00C258AD">
              <w:rPr>
                <w:sz w:val="16"/>
                <w:szCs w:val="16"/>
              </w:rPr>
              <w:t>19 PMA inclus dans la ventilation régionale cumulée ci</w:t>
            </w:r>
            <w:r w:rsidRPr="00C258AD">
              <w:rPr>
                <w:sz w:val="16"/>
                <w:szCs w:val="16"/>
              </w:rPr>
              <w:noBreakHyphen/>
              <w:t>dessus</w:t>
            </w:r>
          </w:p>
        </w:tc>
        <w:tc>
          <w:tcPr>
            <w:tcW w:w="1132" w:type="dxa"/>
            <w:gridSpan w:val="2"/>
            <w:tcBorders>
              <w:bottom w:val="single" w:sz="4" w:space="0" w:color="auto"/>
            </w:tcBorders>
            <w:shd w:val="clear" w:color="auto" w:fill="auto"/>
          </w:tcPr>
          <w:p w:rsidR="00E472AA" w:rsidRPr="00C258AD" w:rsidRDefault="00E472AA" w:rsidP="00927E1F">
            <w:pPr>
              <w:keepNext/>
              <w:keepLines/>
              <w:jc w:val="center"/>
              <w:rPr>
                <w:b/>
                <w:color w:val="00B050"/>
                <w:sz w:val="16"/>
                <w:szCs w:val="16"/>
              </w:rPr>
            </w:pPr>
            <w:r w:rsidRPr="00C258AD">
              <w:rPr>
                <w:b/>
                <w:bCs/>
                <w:color w:val="00B050"/>
                <w:sz w:val="16"/>
              </w:rPr>
              <w:t>Objectif pleinement atteint</w:t>
            </w: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r w:rsidRPr="00C258AD">
              <w:rPr>
                <w:b/>
                <w:bCs/>
                <w:color w:val="FF0000"/>
                <w:sz w:val="16"/>
              </w:rPr>
              <w:t>Objectif pas atteint</w:t>
            </w: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r w:rsidRPr="00C258AD">
              <w:rPr>
                <w:b/>
                <w:bCs/>
                <w:color w:val="00B050"/>
                <w:sz w:val="16"/>
              </w:rPr>
              <w:t>Objectif pleinement atteint</w:t>
            </w: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Default="00E472AA" w:rsidP="00927E1F">
            <w:pPr>
              <w:keepNext/>
              <w:keepLines/>
              <w:jc w:val="center"/>
              <w:rPr>
                <w:bCs/>
                <w:color w:val="008000"/>
                <w:sz w:val="16"/>
                <w:szCs w:val="16"/>
              </w:rPr>
            </w:pPr>
          </w:p>
          <w:p w:rsidR="008808C8" w:rsidRPr="00C258AD" w:rsidRDefault="008808C8"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r w:rsidRPr="00C258AD">
              <w:rPr>
                <w:b/>
                <w:bCs/>
                <w:color w:val="E26B0A"/>
                <w:sz w:val="16"/>
              </w:rPr>
              <w:t>Objectif partiellement atteint</w:t>
            </w: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p>
          <w:p w:rsidR="00E472AA" w:rsidRPr="00C258AD" w:rsidRDefault="00E472AA" w:rsidP="00927E1F">
            <w:pPr>
              <w:keepNext/>
              <w:keepLines/>
              <w:jc w:val="center"/>
              <w:rPr>
                <w:bCs/>
                <w:color w:val="008000"/>
                <w:sz w:val="16"/>
                <w:szCs w:val="16"/>
              </w:rPr>
            </w:pPr>
            <w:r w:rsidRPr="00C258AD">
              <w:rPr>
                <w:b/>
                <w:bCs/>
                <w:color w:val="00B050"/>
                <w:sz w:val="16"/>
              </w:rPr>
              <w:t>Objectif pleinement atteint</w:t>
            </w:r>
            <w:r w:rsidRPr="00C258AD">
              <w:rPr>
                <w:bCs/>
                <w:color w:val="008000"/>
                <w:sz w:val="16"/>
                <w:szCs w:val="16"/>
              </w:rPr>
              <w:t xml:space="preserve"> </w:t>
            </w:r>
          </w:p>
        </w:tc>
      </w:tr>
      <w:tr w:rsidR="00E472AA" w:rsidRPr="00C258AD" w:rsidTr="00927E1F">
        <w:trPr>
          <w:cantSplit/>
        </w:trPr>
        <w:tc>
          <w:tcPr>
            <w:tcW w:w="9874" w:type="dxa"/>
            <w:gridSpan w:val="11"/>
            <w:tcBorders>
              <w:top w:val="single" w:sz="4" w:space="0" w:color="auto"/>
              <w:bottom w:val="single" w:sz="4" w:space="0" w:color="auto"/>
            </w:tcBorders>
            <w:shd w:val="clear" w:color="auto" w:fill="C5D9F1"/>
            <w:vAlign w:val="center"/>
          </w:tcPr>
          <w:p w:rsidR="00E472AA" w:rsidRPr="00C258AD" w:rsidRDefault="00E472AA" w:rsidP="00927E1F">
            <w:pPr>
              <w:keepNext/>
              <w:rPr>
                <w:b/>
                <w:bCs/>
                <w:sz w:val="16"/>
                <w:szCs w:val="16"/>
              </w:rPr>
            </w:pPr>
            <w:r w:rsidRPr="00C258AD">
              <w:rPr>
                <w:b/>
                <w:sz w:val="16"/>
                <w:szCs w:val="16"/>
              </w:rPr>
              <w:t xml:space="preserve">Résultat escompté : </w:t>
            </w:r>
            <w:r w:rsidRPr="00C258AD">
              <w:rPr>
                <w:sz w:val="16"/>
                <w:szCs w:val="16"/>
              </w:rPr>
              <w:t>III.2 Mise en valeur des ressources humaines pour répondre aux diverses exigences en matière d’utilisation efficace de la propriété intellectuelle au service du développement dans les pays en développement, les PMA et les pays en transition</w:t>
            </w:r>
          </w:p>
        </w:tc>
      </w:tr>
      <w:tr w:rsidR="00E472AA" w:rsidRPr="00C258AD" w:rsidTr="00927E1F">
        <w:trPr>
          <w:cantSplit/>
        </w:trPr>
        <w:tc>
          <w:tcPr>
            <w:tcW w:w="1337" w:type="dxa"/>
            <w:tcBorders>
              <w:top w:val="single" w:sz="4" w:space="0" w:color="auto"/>
            </w:tcBorders>
            <w:shd w:val="clear" w:color="auto" w:fill="auto"/>
            <w:vAlign w:val="center"/>
          </w:tcPr>
          <w:p w:rsidR="00E472AA" w:rsidRPr="00C258AD" w:rsidRDefault="00E472AA" w:rsidP="00927E1F">
            <w:pPr>
              <w:keepNext/>
              <w:jc w:val="center"/>
              <w:rPr>
                <w:sz w:val="16"/>
                <w:szCs w:val="16"/>
              </w:rPr>
            </w:pPr>
            <w:r w:rsidRPr="00C258AD">
              <w:rPr>
                <w:b/>
                <w:sz w:val="16"/>
                <w:szCs w:val="16"/>
              </w:rPr>
              <w:t>Indicateurs d’exécution</w:t>
            </w:r>
          </w:p>
        </w:tc>
        <w:tc>
          <w:tcPr>
            <w:tcW w:w="2422" w:type="dxa"/>
            <w:gridSpan w:val="3"/>
            <w:tcBorders>
              <w:top w:val="single" w:sz="4" w:space="0" w:color="auto"/>
            </w:tcBorders>
            <w:shd w:val="clear" w:color="auto" w:fill="auto"/>
            <w:vAlign w:val="center"/>
          </w:tcPr>
          <w:p w:rsidR="00E472AA" w:rsidRPr="00C258AD" w:rsidRDefault="00E472AA" w:rsidP="00927E1F">
            <w:pPr>
              <w:keepNext/>
              <w:jc w:val="center"/>
              <w:rPr>
                <w:b/>
                <w:bCs/>
                <w:sz w:val="16"/>
                <w:szCs w:val="16"/>
              </w:rPr>
            </w:pPr>
            <w:r w:rsidRPr="00C258AD">
              <w:rPr>
                <w:b/>
                <w:sz w:val="16"/>
                <w:szCs w:val="16"/>
              </w:rPr>
              <w:t>Niveaux de référence</w:t>
            </w:r>
          </w:p>
        </w:tc>
        <w:tc>
          <w:tcPr>
            <w:tcW w:w="2552" w:type="dxa"/>
            <w:gridSpan w:val="4"/>
            <w:tcBorders>
              <w:top w:val="single" w:sz="4" w:space="0" w:color="auto"/>
            </w:tcBorders>
            <w:shd w:val="clear" w:color="auto" w:fill="auto"/>
            <w:tcMar>
              <w:top w:w="110" w:type="dxa"/>
            </w:tcMar>
            <w:vAlign w:val="center"/>
          </w:tcPr>
          <w:p w:rsidR="00E472AA" w:rsidRPr="00C258AD" w:rsidRDefault="00E472AA" w:rsidP="00927E1F">
            <w:pPr>
              <w:keepNext/>
              <w:jc w:val="center"/>
              <w:rPr>
                <w:b/>
                <w:sz w:val="16"/>
                <w:szCs w:val="16"/>
              </w:rPr>
            </w:pPr>
            <w:r w:rsidRPr="00C258AD">
              <w:rPr>
                <w:b/>
                <w:sz w:val="16"/>
                <w:szCs w:val="16"/>
              </w:rPr>
              <w:t>Objectifs visés</w:t>
            </w:r>
          </w:p>
        </w:tc>
        <w:tc>
          <w:tcPr>
            <w:tcW w:w="2431" w:type="dxa"/>
            <w:tcBorders>
              <w:top w:val="single" w:sz="4" w:space="0" w:color="auto"/>
            </w:tcBorders>
            <w:shd w:val="clear" w:color="auto" w:fill="FFFFFF"/>
            <w:tcMar>
              <w:top w:w="110" w:type="dxa"/>
            </w:tcMar>
            <w:vAlign w:val="center"/>
          </w:tcPr>
          <w:p w:rsidR="00E472AA" w:rsidRPr="00C258AD" w:rsidRDefault="00E472AA" w:rsidP="00927E1F">
            <w:pPr>
              <w:keepNext/>
              <w:jc w:val="center"/>
              <w:rPr>
                <w:sz w:val="16"/>
                <w:szCs w:val="16"/>
              </w:rPr>
            </w:pPr>
            <w:r w:rsidRPr="00C258AD">
              <w:rPr>
                <w:b/>
                <w:sz w:val="16"/>
                <w:szCs w:val="16"/>
              </w:rPr>
              <w:t>Données relatives à l’exécution</w:t>
            </w:r>
          </w:p>
        </w:tc>
        <w:tc>
          <w:tcPr>
            <w:tcW w:w="1132" w:type="dxa"/>
            <w:gridSpan w:val="2"/>
            <w:tcBorders>
              <w:top w:val="single" w:sz="4" w:space="0" w:color="auto"/>
            </w:tcBorders>
            <w:shd w:val="clear" w:color="auto" w:fill="auto"/>
            <w:tcMar>
              <w:top w:w="110" w:type="dxa"/>
            </w:tcMar>
            <w:vAlign w:val="center"/>
          </w:tcPr>
          <w:p w:rsidR="00E472AA" w:rsidRPr="00C258AD" w:rsidRDefault="00E472AA" w:rsidP="00927E1F">
            <w:pPr>
              <w:keepNext/>
              <w:keepLines/>
              <w:jc w:val="center"/>
              <w:rPr>
                <w:b/>
                <w:bCs/>
                <w:sz w:val="16"/>
                <w:szCs w:val="16"/>
              </w:rPr>
            </w:pPr>
            <w:r w:rsidRPr="00C258AD">
              <w:rPr>
                <w:b/>
                <w:sz w:val="16"/>
                <w:szCs w:val="16"/>
              </w:rPr>
              <w:t>Code de couleurs</w:t>
            </w:r>
          </w:p>
        </w:tc>
      </w:tr>
      <w:tr w:rsidR="00E472AA" w:rsidRPr="00C258AD" w:rsidTr="00927E1F">
        <w:trPr>
          <w:cantSplit/>
        </w:trPr>
        <w:tc>
          <w:tcPr>
            <w:tcW w:w="1337" w:type="dxa"/>
            <w:shd w:val="clear" w:color="auto" w:fill="FFFFFF"/>
          </w:tcPr>
          <w:p w:rsidR="00E472AA" w:rsidRPr="00C258AD" w:rsidRDefault="00E472AA" w:rsidP="00927E1F">
            <w:pPr>
              <w:rPr>
                <w:sz w:val="16"/>
                <w:szCs w:val="16"/>
                <w:lang w:bidi="th-TH"/>
              </w:rPr>
            </w:pPr>
            <w:r w:rsidRPr="00C258AD">
              <w:rPr>
                <w:sz w:val="16"/>
                <w:szCs w:val="16"/>
              </w:rPr>
              <w:t>Pourcentage de participants à des manifestations de l’OMPI qui font part de leur satisfaction à l’égard du contenu et de l’organisation de ces manifestations</w:t>
            </w:r>
          </w:p>
        </w:tc>
        <w:tc>
          <w:tcPr>
            <w:tcW w:w="2422" w:type="dxa"/>
            <w:gridSpan w:val="3"/>
            <w:shd w:val="clear" w:color="auto" w:fill="auto"/>
          </w:tcPr>
          <w:p w:rsidR="00E472AA" w:rsidRPr="00C258AD" w:rsidRDefault="00E472AA" w:rsidP="00927E1F">
            <w:pPr>
              <w:rPr>
                <w:i/>
                <w:color w:val="002060"/>
                <w:sz w:val="16"/>
                <w:szCs w:val="16"/>
              </w:rPr>
            </w:pPr>
            <w:r w:rsidRPr="00C258AD">
              <w:rPr>
                <w:i/>
                <w:color w:val="002060"/>
                <w:sz w:val="16"/>
                <w:szCs w:val="16"/>
              </w:rPr>
              <w:t>Niveau de référence actualisé fin 2013 :</w:t>
            </w:r>
          </w:p>
          <w:p w:rsidR="00E472AA" w:rsidRPr="00C258AD" w:rsidRDefault="00E472AA" w:rsidP="00927E1F">
            <w:pPr>
              <w:rPr>
                <w:color w:val="002060"/>
                <w:sz w:val="16"/>
                <w:szCs w:val="16"/>
              </w:rPr>
            </w:pPr>
            <w:r w:rsidRPr="00C258AD">
              <w:rPr>
                <w:color w:val="002060"/>
                <w:sz w:val="16"/>
                <w:szCs w:val="16"/>
              </w:rPr>
              <w:t>Asie et Pacifique (65%);  PMA (60%)</w:t>
            </w:r>
          </w:p>
          <w:p w:rsidR="00E472AA" w:rsidRPr="00C258AD" w:rsidRDefault="00E472AA" w:rsidP="00927E1F">
            <w:pPr>
              <w:rPr>
                <w:i/>
                <w:sz w:val="16"/>
                <w:szCs w:val="16"/>
                <w:lang w:bidi="th-TH"/>
              </w:rPr>
            </w:pPr>
          </w:p>
          <w:p w:rsidR="00E472AA" w:rsidRPr="00C258AD" w:rsidRDefault="00E472AA" w:rsidP="008808C8">
            <w:pPr>
              <w:rPr>
                <w:sz w:val="16"/>
                <w:szCs w:val="16"/>
                <w:lang w:bidi="th-TH"/>
              </w:rPr>
            </w:pPr>
            <w:r w:rsidRPr="00C258AD">
              <w:rPr>
                <w:i/>
                <w:sz w:val="16"/>
                <w:szCs w:val="16"/>
              </w:rPr>
              <w:t>Niveau de référence initial Programme et budget 2014</w:t>
            </w:r>
            <w:r w:rsidRPr="00C258AD">
              <w:rPr>
                <w:i/>
                <w:sz w:val="16"/>
                <w:szCs w:val="16"/>
              </w:rPr>
              <w:noBreakHyphen/>
              <w:t>2015 :</w:t>
            </w:r>
            <w:r w:rsidRPr="00C258AD">
              <w:rPr>
                <w:sz w:val="16"/>
                <w:szCs w:val="16"/>
              </w:rPr>
              <w:t xml:space="preserve"> Pas de données disponibles</w:t>
            </w:r>
          </w:p>
        </w:tc>
        <w:tc>
          <w:tcPr>
            <w:tcW w:w="2552" w:type="dxa"/>
            <w:gridSpan w:val="4"/>
            <w:shd w:val="clear" w:color="auto" w:fill="auto"/>
            <w:tcMar>
              <w:top w:w="110" w:type="dxa"/>
            </w:tcMar>
          </w:tcPr>
          <w:p w:rsidR="00E472AA" w:rsidRPr="00C258AD" w:rsidRDefault="00E472AA" w:rsidP="00927E1F">
            <w:pPr>
              <w:rPr>
                <w:sz w:val="16"/>
                <w:szCs w:val="16"/>
                <w:lang w:bidi="th-TH"/>
              </w:rPr>
            </w:pPr>
            <w:r w:rsidRPr="00C258AD">
              <w:rPr>
                <w:sz w:val="16"/>
                <w:szCs w:val="16"/>
              </w:rPr>
              <w:t>Afrique (70%)</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Pays arabes (80%)</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Asie et Pacifique (65%)</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Amérique latine et Caraïbes (80%)</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PMA (80%)</w:t>
            </w:r>
          </w:p>
        </w:tc>
        <w:tc>
          <w:tcPr>
            <w:tcW w:w="2431" w:type="dxa"/>
            <w:shd w:val="clear" w:color="auto" w:fill="FFFFFF"/>
            <w:tcMar>
              <w:top w:w="110" w:type="dxa"/>
            </w:tcMar>
          </w:tcPr>
          <w:p w:rsidR="00E472AA" w:rsidRPr="00C258AD" w:rsidRDefault="00E472AA" w:rsidP="00927E1F">
            <w:pPr>
              <w:rPr>
                <w:sz w:val="16"/>
                <w:szCs w:val="16"/>
                <w:lang w:bidi="th-TH"/>
              </w:rPr>
            </w:pPr>
            <w:r w:rsidRPr="00C258AD">
              <w:rPr>
                <w:sz w:val="16"/>
                <w:szCs w:val="16"/>
              </w:rPr>
              <w:t>Afrique (75%)</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Pays arabes (90%)</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Asie et Pacifique (95%)</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Amérique latine et Caraïbes (80%)</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PMA (85%)</w:t>
            </w:r>
          </w:p>
        </w:tc>
        <w:tc>
          <w:tcPr>
            <w:tcW w:w="1132" w:type="dxa"/>
            <w:gridSpan w:val="2"/>
            <w:shd w:val="clear" w:color="auto" w:fill="auto"/>
            <w:tcMar>
              <w:top w:w="110" w:type="dxa"/>
            </w:tcMar>
          </w:tcPr>
          <w:p w:rsidR="00E472AA" w:rsidRPr="00C258AD" w:rsidRDefault="00E472AA" w:rsidP="00927E1F">
            <w:pPr>
              <w:keepNext/>
              <w:keepLines/>
              <w:jc w:val="center"/>
              <w:rPr>
                <w:b/>
                <w:bCs/>
                <w:color w:val="00B050"/>
                <w:sz w:val="16"/>
              </w:rPr>
            </w:pPr>
            <w:r w:rsidRPr="00C258AD">
              <w:rPr>
                <w:b/>
                <w:bCs/>
                <w:color w:val="00B050"/>
                <w:sz w:val="16"/>
              </w:rPr>
              <w:t>Objectif pleinement atteint</w:t>
            </w:r>
          </w:p>
          <w:p w:rsidR="00E472AA" w:rsidRPr="00C258AD" w:rsidRDefault="00E472AA" w:rsidP="00927E1F">
            <w:pPr>
              <w:keepNext/>
              <w:keepLines/>
              <w:jc w:val="center"/>
              <w:rPr>
                <w:b/>
                <w:bCs/>
                <w:color w:val="00B050"/>
                <w:sz w:val="16"/>
              </w:rPr>
            </w:pPr>
          </w:p>
          <w:p w:rsidR="00E472AA" w:rsidRPr="00C258AD" w:rsidRDefault="00E472AA" w:rsidP="00927E1F">
            <w:pPr>
              <w:keepNext/>
              <w:keepLines/>
              <w:jc w:val="center"/>
              <w:rPr>
                <w:b/>
                <w:bCs/>
                <w:color w:val="00B050"/>
                <w:sz w:val="16"/>
              </w:rPr>
            </w:pPr>
            <w:r w:rsidRPr="00C258AD">
              <w:rPr>
                <w:b/>
                <w:bCs/>
                <w:color w:val="00B050"/>
                <w:sz w:val="16"/>
              </w:rPr>
              <w:t>Objectif pleinement atteint</w:t>
            </w:r>
          </w:p>
          <w:p w:rsidR="00E472AA" w:rsidRPr="00C258AD" w:rsidRDefault="00E472AA" w:rsidP="00927E1F">
            <w:pPr>
              <w:keepNext/>
              <w:keepLines/>
              <w:jc w:val="center"/>
              <w:rPr>
                <w:b/>
                <w:bCs/>
                <w:color w:val="00B050"/>
                <w:sz w:val="16"/>
              </w:rPr>
            </w:pPr>
          </w:p>
          <w:p w:rsidR="00E472AA" w:rsidRPr="00C258AD" w:rsidRDefault="00E472AA" w:rsidP="00927E1F">
            <w:pPr>
              <w:keepNext/>
              <w:keepLines/>
              <w:jc w:val="center"/>
              <w:rPr>
                <w:b/>
                <w:bCs/>
                <w:color w:val="00B050"/>
                <w:sz w:val="16"/>
              </w:rPr>
            </w:pPr>
            <w:r w:rsidRPr="00C258AD">
              <w:rPr>
                <w:b/>
                <w:bCs/>
                <w:color w:val="00B050"/>
                <w:sz w:val="16"/>
              </w:rPr>
              <w:t>Objectif pleinement atteint</w:t>
            </w:r>
          </w:p>
          <w:p w:rsidR="00E472AA" w:rsidRPr="00C258AD" w:rsidRDefault="00E472AA" w:rsidP="00927E1F">
            <w:pPr>
              <w:keepNext/>
              <w:keepLines/>
              <w:jc w:val="center"/>
              <w:rPr>
                <w:b/>
                <w:bCs/>
                <w:color w:val="00B050"/>
                <w:sz w:val="16"/>
              </w:rPr>
            </w:pPr>
          </w:p>
          <w:p w:rsidR="00E472AA" w:rsidRPr="00C258AD" w:rsidRDefault="00E472AA" w:rsidP="00927E1F">
            <w:pPr>
              <w:keepNext/>
              <w:keepLines/>
              <w:jc w:val="center"/>
              <w:rPr>
                <w:b/>
                <w:bCs/>
                <w:color w:val="00B050"/>
                <w:sz w:val="16"/>
              </w:rPr>
            </w:pPr>
            <w:r w:rsidRPr="00C258AD">
              <w:rPr>
                <w:b/>
                <w:bCs/>
                <w:color w:val="00B050"/>
                <w:sz w:val="16"/>
              </w:rPr>
              <w:t>Objectif pleinement atteint</w:t>
            </w:r>
          </w:p>
          <w:p w:rsidR="00E472AA" w:rsidRPr="00C258AD" w:rsidRDefault="00E472AA" w:rsidP="00927E1F">
            <w:pPr>
              <w:keepNext/>
              <w:keepLines/>
              <w:jc w:val="center"/>
              <w:rPr>
                <w:b/>
                <w:bCs/>
                <w:color w:val="00B050"/>
                <w:sz w:val="16"/>
              </w:rPr>
            </w:pPr>
          </w:p>
          <w:p w:rsidR="00E472AA" w:rsidRPr="00C258AD" w:rsidRDefault="00E472AA" w:rsidP="00927E1F">
            <w:pPr>
              <w:keepNext/>
              <w:keepLines/>
              <w:jc w:val="center"/>
              <w:rPr>
                <w:b/>
                <w:bCs/>
                <w:color w:val="008000"/>
                <w:sz w:val="16"/>
                <w:szCs w:val="16"/>
              </w:rPr>
            </w:pPr>
            <w:r w:rsidRPr="00C258AD">
              <w:rPr>
                <w:b/>
                <w:bCs/>
                <w:color w:val="00B050"/>
                <w:sz w:val="16"/>
              </w:rPr>
              <w:t>Objectif pleinement atteint</w:t>
            </w:r>
          </w:p>
        </w:tc>
      </w:tr>
      <w:tr w:rsidR="00E472AA" w:rsidRPr="00C258AD" w:rsidTr="00927E1F">
        <w:trPr>
          <w:cantSplit/>
        </w:trPr>
        <w:tc>
          <w:tcPr>
            <w:tcW w:w="1337" w:type="dxa"/>
            <w:shd w:val="clear" w:color="auto" w:fill="FFFFFF"/>
          </w:tcPr>
          <w:p w:rsidR="00E472AA" w:rsidRPr="00C258AD" w:rsidRDefault="00E472AA" w:rsidP="00927E1F">
            <w:pPr>
              <w:rPr>
                <w:sz w:val="16"/>
                <w:szCs w:val="16"/>
                <w:lang w:bidi="th-TH"/>
              </w:rPr>
            </w:pPr>
            <w:r w:rsidRPr="00C258AD">
              <w:rPr>
                <w:sz w:val="16"/>
                <w:szCs w:val="16"/>
              </w:rPr>
              <w:lastRenderedPageBreak/>
              <w:t>Pourcentage de participants à des ateliers de l’OMPI qui mettent en pratique, dans le cadre de leur travail ou de leur entreprise, les compétences ou connaissances acquises</w:t>
            </w:r>
          </w:p>
        </w:tc>
        <w:tc>
          <w:tcPr>
            <w:tcW w:w="2422" w:type="dxa"/>
            <w:gridSpan w:val="3"/>
            <w:shd w:val="clear" w:color="auto" w:fill="auto"/>
          </w:tcPr>
          <w:p w:rsidR="00E472AA" w:rsidRPr="00C258AD" w:rsidRDefault="00E472AA" w:rsidP="00927E1F">
            <w:pPr>
              <w:rPr>
                <w:color w:val="002060"/>
                <w:sz w:val="16"/>
                <w:szCs w:val="16"/>
              </w:rPr>
            </w:pPr>
            <w:r w:rsidRPr="00C258AD">
              <w:rPr>
                <w:i/>
                <w:color w:val="002060"/>
                <w:sz w:val="16"/>
                <w:szCs w:val="16"/>
              </w:rPr>
              <w:t xml:space="preserve">Niveau de référence actualisé fin 2013 : </w:t>
            </w:r>
            <w:r w:rsidRPr="00C258AD">
              <w:rPr>
                <w:color w:val="002060"/>
                <w:sz w:val="16"/>
                <w:szCs w:val="16"/>
              </w:rPr>
              <w:t xml:space="preserve">Afrique : </w:t>
            </w:r>
            <w:r w:rsidRPr="00C258AD">
              <w:rPr>
                <w:sz w:val="16"/>
                <w:szCs w:val="16"/>
              </w:rPr>
              <w:t>Informations non disponibles</w:t>
            </w:r>
          </w:p>
          <w:p w:rsidR="00E472AA" w:rsidRPr="00C258AD" w:rsidRDefault="00E472AA" w:rsidP="00927E1F">
            <w:pPr>
              <w:rPr>
                <w:color w:val="002060"/>
                <w:sz w:val="16"/>
                <w:szCs w:val="16"/>
              </w:rPr>
            </w:pPr>
            <w:r w:rsidRPr="00C258AD">
              <w:rPr>
                <w:color w:val="002060"/>
                <w:sz w:val="16"/>
                <w:szCs w:val="16"/>
              </w:rPr>
              <w:t xml:space="preserve">Pays arabes : </w:t>
            </w:r>
            <w:r w:rsidRPr="00C258AD">
              <w:rPr>
                <w:sz w:val="16"/>
                <w:szCs w:val="16"/>
              </w:rPr>
              <w:t>Informations non disponibles</w:t>
            </w:r>
          </w:p>
          <w:p w:rsidR="00E472AA" w:rsidRPr="00C258AD" w:rsidRDefault="00E472AA" w:rsidP="00927E1F">
            <w:pPr>
              <w:rPr>
                <w:color w:val="002060"/>
                <w:sz w:val="16"/>
                <w:szCs w:val="16"/>
              </w:rPr>
            </w:pPr>
            <w:r w:rsidRPr="00C258AD">
              <w:rPr>
                <w:color w:val="002060"/>
                <w:sz w:val="16"/>
                <w:szCs w:val="16"/>
              </w:rPr>
              <w:t>Asie et Pacifique : 65%;</w:t>
            </w:r>
          </w:p>
          <w:p w:rsidR="00E472AA" w:rsidRPr="00C258AD" w:rsidRDefault="00E472AA" w:rsidP="00927E1F">
            <w:pPr>
              <w:rPr>
                <w:color w:val="002060"/>
                <w:sz w:val="16"/>
                <w:szCs w:val="16"/>
              </w:rPr>
            </w:pPr>
            <w:r w:rsidRPr="00C258AD">
              <w:rPr>
                <w:color w:val="002060"/>
                <w:sz w:val="16"/>
                <w:szCs w:val="16"/>
              </w:rPr>
              <w:t xml:space="preserve">Amérique latine et Caraïbes : </w:t>
            </w:r>
            <w:r w:rsidRPr="00C258AD">
              <w:rPr>
                <w:sz w:val="16"/>
                <w:szCs w:val="16"/>
              </w:rPr>
              <w:t>Informations non disponibles;</w:t>
            </w:r>
          </w:p>
          <w:p w:rsidR="00E472AA" w:rsidRPr="00C258AD" w:rsidRDefault="00E472AA" w:rsidP="00927E1F">
            <w:pPr>
              <w:rPr>
                <w:color w:val="002060"/>
                <w:sz w:val="16"/>
                <w:szCs w:val="16"/>
              </w:rPr>
            </w:pPr>
            <w:r w:rsidRPr="00C258AD">
              <w:rPr>
                <w:color w:val="002060"/>
                <w:sz w:val="16"/>
                <w:szCs w:val="16"/>
              </w:rPr>
              <w:t xml:space="preserve">PMA : </w:t>
            </w:r>
            <w:r w:rsidRPr="00C258AD">
              <w:rPr>
                <w:sz w:val="16"/>
                <w:szCs w:val="16"/>
              </w:rPr>
              <w:t>Informations non disponibles</w:t>
            </w:r>
          </w:p>
          <w:p w:rsidR="00E472AA" w:rsidRPr="00C258AD" w:rsidRDefault="00E472AA" w:rsidP="00927E1F">
            <w:pPr>
              <w:rPr>
                <w:i/>
                <w:sz w:val="16"/>
                <w:szCs w:val="16"/>
                <w:lang w:bidi="th-TH"/>
              </w:rPr>
            </w:pPr>
          </w:p>
          <w:p w:rsidR="00E472AA" w:rsidRPr="00C258AD" w:rsidRDefault="00E472AA" w:rsidP="00927E1F">
            <w:pPr>
              <w:rPr>
                <w:sz w:val="16"/>
                <w:szCs w:val="16"/>
              </w:rPr>
            </w:pPr>
            <w:r w:rsidRPr="00C258AD">
              <w:rPr>
                <w:i/>
                <w:sz w:val="16"/>
                <w:szCs w:val="16"/>
              </w:rPr>
              <w:t>Niveau de référence initial Programme et budget 2014</w:t>
            </w:r>
            <w:r w:rsidRPr="00C258AD">
              <w:rPr>
                <w:i/>
                <w:sz w:val="16"/>
                <w:szCs w:val="16"/>
              </w:rPr>
              <w:noBreakHyphen/>
              <w:t>2015 :</w:t>
            </w:r>
          </w:p>
          <w:p w:rsidR="00E472AA" w:rsidRPr="00C258AD" w:rsidRDefault="00E472AA" w:rsidP="00927E1F">
            <w:pPr>
              <w:rPr>
                <w:sz w:val="16"/>
                <w:szCs w:val="16"/>
                <w:lang w:bidi="th-TH"/>
              </w:rPr>
            </w:pPr>
            <w:r w:rsidRPr="00C258AD">
              <w:rPr>
                <w:sz w:val="16"/>
                <w:szCs w:val="16"/>
              </w:rPr>
              <w:t>Afrique : Informations non disponibles;</w:t>
            </w:r>
          </w:p>
          <w:p w:rsidR="00E472AA" w:rsidRPr="00C258AD" w:rsidRDefault="00E472AA" w:rsidP="00927E1F">
            <w:pPr>
              <w:rPr>
                <w:sz w:val="16"/>
                <w:szCs w:val="16"/>
                <w:lang w:bidi="th-TH"/>
              </w:rPr>
            </w:pPr>
            <w:r w:rsidRPr="00C258AD">
              <w:rPr>
                <w:sz w:val="16"/>
                <w:szCs w:val="16"/>
              </w:rPr>
              <w:t>Pays arabes : Informations non disponibles;</w:t>
            </w:r>
          </w:p>
          <w:p w:rsidR="00E472AA" w:rsidRPr="00C258AD" w:rsidRDefault="00E472AA" w:rsidP="00927E1F">
            <w:pPr>
              <w:rPr>
                <w:sz w:val="16"/>
                <w:szCs w:val="16"/>
                <w:lang w:bidi="th-TH"/>
              </w:rPr>
            </w:pPr>
            <w:r w:rsidRPr="00C258AD">
              <w:rPr>
                <w:sz w:val="16"/>
                <w:szCs w:val="16"/>
              </w:rPr>
              <w:t>Asie et Pacifique (65%);</w:t>
            </w:r>
          </w:p>
          <w:p w:rsidR="00E472AA" w:rsidRPr="00C258AD" w:rsidRDefault="00E472AA" w:rsidP="00927E1F">
            <w:pPr>
              <w:rPr>
                <w:sz w:val="16"/>
                <w:szCs w:val="16"/>
                <w:lang w:bidi="th-TH"/>
              </w:rPr>
            </w:pPr>
            <w:r w:rsidRPr="00C258AD">
              <w:rPr>
                <w:sz w:val="16"/>
                <w:szCs w:val="16"/>
              </w:rPr>
              <w:t>Amérique latine et Caraïbes : Informations non disponibles;</w:t>
            </w:r>
          </w:p>
          <w:p w:rsidR="00E472AA" w:rsidRPr="00C258AD" w:rsidRDefault="00E472AA" w:rsidP="00927E1F">
            <w:pPr>
              <w:rPr>
                <w:i/>
                <w:color w:val="002060"/>
                <w:sz w:val="16"/>
                <w:szCs w:val="16"/>
              </w:rPr>
            </w:pPr>
            <w:r w:rsidRPr="00C258AD">
              <w:rPr>
                <w:sz w:val="16"/>
                <w:szCs w:val="16"/>
              </w:rPr>
              <w:t>PMA : Informations non disponibles</w:t>
            </w:r>
          </w:p>
        </w:tc>
        <w:tc>
          <w:tcPr>
            <w:tcW w:w="2552" w:type="dxa"/>
            <w:gridSpan w:val="4"/>
            <w:shd w:val="clear" w:color="auto" w:fill="auto"/>
            <w:tcMar>
              <w:top w:w="110" w:type="dxa"/>
            </w:tcMar>
          </w:tcPr>
          <w:p w:rsidR="00E472AA" w:rsidRPr="00C258AD" w:rsidRDefault="00E472AA" w:rsidP="00927E1F">
            <w:pPr>
              <w:rPr>
                <w:sz w:val="16"/>
                <w:szCs w:val="16"/>
                <w:lang w:bidi="th-TH"/>
              </w:rPr>
            </w:pPr>
            <w:r w:rsidRPr="00C258AD">
              <w:rPr>
                <w:sz w:val="16"/>
                <w:szCs w:val="16"/>
              </w:rPr>
              <w:t>Afrique (70%)</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Pays arabes (70%)</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Asie et Pacifique (65%)</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Amérique latine et Caraïbes (30%)</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8808C8">
            <w:pPr>
              <w:rPr>
                <w:sz w:val="16"/>
                <w:szCs w:val="16"/>
                <w:lang w:bidi="th-TH"/>
              </w:rPr>
            </w:pPr>
            <w:r w:rsidRPr="00C258AD">
              <w:rPr>
                <w:sz w:val="16"/>
                <w:szCs w:val="16"/>
              </w:rPr>
              <w:t>PMA (80%)</w:t>
            </w:r>
          </w:p>
        </w:tc>
        <w:tc>
          <w:tcPr>
            <w:tcW w:w="2431" w:type="dxa"/>
            <w:shd w:val="clear" w:color="auto" w:fill="FFFFFF"/>
            <w:tcMar>
              <w:top w:w="110" w:type="dxa"/>
            </w:tcMar>
          </w:tcPr>
          <w:p w:rsidR="00E472AA" w:rsidRPr="00C258AD" w:rsidRDefault="00E472AA" w:rsidP="00927E1F">
            <w:pPr>
              <w:rPr>
                <w:sz w:val="16"/>
                <w:szCs w:val="16"/>
                <w:lang w:bidi="th-TH"/>
              </w:rPr>
            </w:pPr>
            <w:r w:rsidRPr="00C258AD">
              <w:rPr>
                <w:sz w:val="16"/>
                <w:szCs w:val="16"/>
              </w:rPr>
              <w:t>Afrique (70%)</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Pays arabes : non disponible</w:t>
            </w:r>
            <w:r w:rsidRPr="00C258AD">
              <w:rPr>
                <w:rStyle w:val="FootnoteReference"/>
                <w:rFonts w:eastAsia="SimSun"/>
                <w:bCs/>
                <w:sz w:val="16"/>
                <w:szCs w:val="16"/>
              </w:rPr>
              <w:footnoteReference w:id="66"/>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Asie et Pacifique (91%)</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Amérique latine et Caraïbes (40%)</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PMA (90%)</w:t>
            </w:r>
          </w:p>
        </w:tc>
        <w:tc>
          <w:tcPr>
            <w:tcW w:w="1132" w:type="dxa"/>
            <w:gridSpan w:val="2"/>
            <w:shd w:val="clear" w:color="auto" w:fill="auto"/>
            <w:tcMar>
              <w:top w:w="110" w:type="dxa"/>
            </w:tcMar>
          </w:tcPr>
          <w:p w:rsidR="00E472AA" w:rsidRPr="00C258AD" w:rsidRDefault="00E472AA" w:rsidP="00927E1F">
            <w:pPr>
              <w:keepNext/>
              <w:keepLines/>
              <w:jc w:val="center"/>
              <w:rPr>
                <w:b/>
                <w:bCs/>
                <w:color w:val="00B050"/>
                <w:sz w:val="16"/>
              </w:rPr>
            </w:pPr>
            <w:r w:rsidRPr="00C258AD">
              <w:rPr>
                <w:b/>
                <w:bCs/>
                <w:color w:val="00B050"/>
                <w:sz w:val="16"/>
              </w:rPr>
              <w:t>Objectif pleinement atteint</w:t>
            </w:r>
          </w:p>
          <w:p w:rsidR="00E472AA" w:rsidRPr="00C258AD" w:rsidRDefault="00E472AA" w:rsidP="00927E1F">
            <w:pPr>
              <w:keepNext/>
              <w:keepLines/>
              <w:jc w:val="center"/>
              <w:rPr>
                <w:b/>
                <w:bCs/>
                <w:color w:val="00B050"/>
                <w:sz w:val="16"/>
              </w:rPr>
            </w:pPr>
          </w:p>
          <w:p w:rsidR="00E472AA" w:rsidRPr="00C258AD" w:rsidRDefault="00E472AA" w:rsidP="00927E1F">
            <w:pPr>
              <w:keepNext/>
              <w:keepLines/>
              <w:jc w:val="center"/>
              <w:rPr>
                <w:b/>
                <w:bCs/>
                <w:color w:val="00B050"/>
                <w:sz w:val="16"/>
              </w:rPr>
            </w:pPr>
            <w:r w:rsidRPr="00C258AD">
              <w:rPr>
                <w:b/>
                <w:bCs/>
                <w:color w:val="808080"/>
                <w:sz w:val="16"/>
              </w:rPr>
              <w:t>Non évaluable</w:t>
            </w:r>
          </w:p>
          <w:p w:rsidR="00E472AA" w:rsidRPr="00C258AD" w:rsidRDefault="00E472AA" w:rsidP="00927E1F">
            <w:pPr>
              <w:keepNext/>
              <w:keepLines/>
              <w:jc w:val="center"/>
              <w:rPr>
                <w:b/>
                <w:bCs/>
                <w:color w:val="00B050"/>
                <w:sz w:val="16"/>
              </w:rPr>
            </w:pPr>
          </w:p>
          <w:p w:rsidR="00E472AA" w:rsidRPr="00C258AD" w:rsidRDefault="00E472AA" w:rsidP="00927E1F">
            <w:pPr>
              <w:keepNext/>
              <w:keepLines/>
              <w:jc w:val="center"/>
              <w:rPr>
                <w:b/>
                <w:bCs/>
                <w:color w:val="00B050"/>
                <w:sz w:val="16"/>
              </w:rPr>
            </w:pPr>
            <w:r w:rsidRPr="00C258AD">
              <w:rPr>
                <w:b/>
                <w:bCs/>
                <w:color w:val="00B050"/>
                <w:sz w:val="16"/>
              </w:rPr>
              <w:t>Objectif pleinement atteint</w:t>
            </w:r>
          </w:p>
          <w:p w:rsidR="00E472AA" w:rsidRPr="00C258AD" w:rsidRDefault="00E472AA" w:rsidP="00927E1F">
            <w:pPr>
              <w:keepNext/>
              <w:keepLines/>
              <w:jc w:val="center"/>
              <w:rPr>
                <w:b/>
                <w:bCs/>
                <w:color w:val="00B050"/>
                <w:sz w:val="16"/>
              </w:rPr>
            </w:pPr>
          </w:p>
          <w:p w:rsidR="00E472AA" w:rsidRPr="00C258AD" w:rsidRDefault="00E472AA" w:rsidP="00927E1F">
            <w:pPr>
              <w:keepNext/>
              <w:keepLines/>
              <w:jc w:val="center"/>
              <w:rPr>
                <w:b/>
                <w:bCs/>
                <w:color w:val="00B050"/>
                <w:sz w:val="16"/>
              </w:rPr>
            </w:pPr>
            <w:r w:rsidRPr="00C258AD">
              <w:rPr>
                <w:b/>
                <w:bCs/>
                <w:color w:val="00B050"/>
                <w:sz w:val="16"/>
              </w:rPr>
              <w:t>Objectif pleinement atteint</w:t>
            </w:r>
          </w:p>
          <w:p w:rsidR="00E472AA" w:rsidRPr="00C258AD" w:rsidRDefault="00E472AA" w:rsidP="00927E1F">
            <w:pPr>
              <w:keepNext/>
              <w:keepLines/>
              <w:jc w:val="center"/>
              <w:rPr>
                <w:b/>
                <w:bCs/>
                <w:color w:val="00B050"/>
                <w:sz w:val="16"/>
              </w:rPr>
            </w:pPr>
          </w:p>
          <w:p w:rsidR="00E472AA" w:rsidRPr="00C258AD" w:rsidRDefault="00E472AA" w:rsidP="00927E1F">
            <w:pPr>
              <w:keepNext/>
              <w:keepLines/>
              <w:jc w:val="center"/>
              <w:rPr>
                <w:b/>
                <w:bCs/>
                <w:color w:val="00B050"/>
                <w:sz w:val="16"/>
                <w:szCs w:val="16"/>
              </w:rPr>
            </w:pPr>
            <w:r w:rsidRPr="00C258AD">
              <w:rPr>
                <w:b/>
                <w:bCs/>
                <w:color w:val="00B050"/>
                <w:sz w:val="16"/>
              </w:rPr>
              <w:t>Objectif pleinement atteint</w:t>
            </w:r>
            <w:r w:rsidRPr="00C258AD">
              <w:rPr>
                <w:b/>
                <w:bCs/>
                <w:color w:val="00B050"/>
                <w:sz w:val="16"/>
                <w:szCs w:val="16"/>
              </w:rPr>
              <w:t xml:space="preserve"> </w:t>
            </w:r>
          </w:p>
        </w:tc>
      </w:tr>
      <w:tr w:rsidR="00E472AA" w:rsidRPr="00C258AD" w:rsidTr="00927E1F">
        <w:trPr>
          <w:cantSplit/>
        </w:trPr>
        <w:tc>
          <w:tcPr>
            <w:tcW w:w="1337" w:type="dxa"/>
            <w:tcBorders>
              <w:bottom w:val="single" w:sz="4" w:space="0" w:color="auto"/>
            </w:tcBorders>
            <w:shd w:val="clear" w:color="auto" w:fill="FFFFFF"/>
          </w:tcPr>
          <w:p w:rsidR="00E472AA" w:rsidRPr="00C258AD" w:rsidRDefault="00E472AA" w:rsidP="00927E1F">
            <w:pPr>
              <w:rPr>
                <w:sz w:val="16"/>
                <w:szCs w:val="16"/>
                <w:lang w:bidi="th-TH"/>
              </w:rPr>
            </w:pPr>
            <w:r w:rsidRPr="00C258AD">
              <w:rPr>
                <w:sz w:val="16"/>
                <w:szCs w:val="16"/>
              </w:rPr>
              <w:t>Pourcentage d’experts nationaux et régionaux en propriété intellectuelle faisant office d’animateurs de manifestations de l’OMPI</w:t>
            </w:r>
          </w:p>
        </w:tc>
        <w:tc>
          <w:tcPr>
            <w:tcW w:w="2422" w:type="dxa"/>
            <w:gridSpan w:val="3"/>
            <w:tcBorders>
              <w:bottom w:val="single" w:sz="4" w:space="0" w:color="auto"/>
            </w:tcBorders>
            <w:shd w:val="clear" w:color="auto" w:fill="auto"/>
          </w:tcPr>
          <w:p w:rsidR="00E472AA" w:rsidRPr="00C258AD" w:rsidRDefault="00E472AA" w:rsidP="00927E1F">
            <w:pPr>
              <w:rPr>
                <w:i/>
                <w:color w:val="002060"/>
                <w:sz w:val="16"/>
                <w:szCs w:val="16"/>
              </w:rPr>
            </w:pPr>
            <w:r w:rsidRPr="00C258AD">
              <w:rPr>
                <w:i/>
                <w:color w:val="002060"/>
                <w:sz w:val="16"/>
                <w:szCs w:val="16"/>
              </w:rPr>
              <w:t>Niveau de référence actualisé fin 2013 :</w:t>
            </w:r>
          </w:p>
          <w:p w:rsidR="00E472AA" w:rsidRPr="00C258AD" w:rsidRDefault="00E472AA" w:rsidP="00927E1F">
            <w:pPr>
              <w:rPr>
                <w:color w:val="002060"/>
                <w:sz w:val="16"/>
                <w:szCs w:val="16"/>
              </w:rPr>
            </w:pPr>
            <w:r w:rsidRPr="00C258AD">
              <w:rPr>
                <w:color w:val="002060"/>
                <w:sz w:val="16"/>
                <w:szCs w:val="16"/>
              </w:rPr>
              <w:t>Afrique : (70%)</w:t>
            </w:r>
          </w:p>
          <w:p w:rsidR="00E472AA" w:rsidRPr="00C258AD" w:rsidRDefault="00E472AA" w:rsidP="00927E1F">
            <w:pPr>
              <w:rPr>
                <w:color w:val="002060"/>
                <w:sz w:val="16"/>
                <w:szCs w:val="16"/>
              </w:rPr>
            </w:pPr>
            <w:r w:rsidRPr="00C258AD">
              <w:rPr>
                <w:color w:val="002060"/>
                <w:sz w:val="16"/>
                <w:szCs w:val="16"/>
              </w:rPr>
              <w:t>Pays arabes (50%)</w:t>
            </w:r>
          </w:p>
          <w:p w:rsidR="00E472AA" w:rsidRPr="00C258AD" w:rsidRDefault="00E472AA" w:rsidP="00927E1F">
            <w:pPr>
              <w:rPr>
                <w:sz w:val="16"/>
                <w:szCs w:val="16"/>
                <w:lang w:bidi="th-TH"/>
              </w:rPr>
            </w:pPr>
            <w:r w:rsidRPr="00C258AD">
              <w:rPr>
                <w:sz w:val="16"/>
                <w:szCs w:val="16"/>
              </w:rPr>
              <w:t>Asie et Pacifique : Données non disponibles</w:t>
            </w:r>
          </w:p>
          <w:p w:rsidR="00E472AA" w:rsidRPr="00C258AD" w:rsidRDefault="00E472AA" w:rsidP="00927E1F">
            <w:pPr>
              <w:rPr>
                <w:sz w:val="16"/>
                <w:szCs w:val="16"/>
                <w:lang w:bidi="th-TH"/>
              </w:rPr>
            </w:pPr>
            <w:r w:rsidRPr="00C258AD">
              <w:rPr>
                <w:sz w:val="16"/>
                <w:szCs w:val="16"/>
              </w:rPr>
              <w:t>Amérique latine et Caraïbes (70%)</w:t>
            </w:r>
          </w:p>
          <w:p w:rsidR="00E472AA" w:rsidRPr="00C258AD" w:rsidRDefault="00E472AA" w:rsidP="00927E1F">
            <w:pPr>
              <w:rPr>
                <w:color w:val="002060"/>
                <w:sz w:val="16"/>
                <w:szCs w:val="16"/>
              </w:rPr>
            </w:pPr>
            <w:r w:rsidRPr="00C258AD">
              <w:rPr>
                <w:sz w:val="16"/>
                <w:szCs w:val="16"/>
              </w:rPr>
              <w:t>PMA (60%)</w:t>
            </w:r>
          </w:p>
          <w:p w:rsidR="00E472AA" w:rsidRPr="00C258AD" w:rsidRDefault="00E472AA" w:rsidP="00927E1F">
            <w:pPr>
              <w:rPr>
                <w:i/>
                <w:color w:val="002060"/>
                <w:sz w:val="16"/>
                <w:szCs w:val="16"/>
              </w:rPr>
            </w:pPr>
          </w:p>
          <w:p w:rsidR="00E472AA" w:rsidRPr="00C258AD" w:rsidRDefault="00E472AA" w:rsidP="00927E1F">
            <w:pPr>
              <w:rPr>
                <w:i/>
                <w:sz w:val="16"/>
                <w:szCs w:val="16"/>
              </w:rPr>
            </w:pPr>
            <w:r w:rsidRPr="00C258AD">
              <w:rPr>
                <w:i/>
                <w:sz w:val="16"/>
                <w:szCs w:val="16"/>
              </w:rPr>
              <w:t>Niveau de référence initial Programme et budget 2014</w:t>
            </w:r>
            <w:r w:rsidRPr="00C258AD">
              <w:rPr>
                <w:i/>
                <w:sz w:val="16"/>
                <w:szCs w:val="16"/>
              </w:rPr>
              <w:noBreakHyphen/>
              <w:t>2015 :</w:t>
            </w:r>
          </w:p>
          <w:p w:rsidR="00E472AA" w:rsidRPr="00C258AD" w:rsidRDefault="00E472AA" w:rsidP="00927E1F">
            <w:pPr>
              <w:rPr>
                <w:sz w:val="16"/>
                <w:szCs w:val="16"/>
                <w:lang w:bidi="th-TH"/>
              </w:rPr>
            </w:pPr>
            <w:r w:rsidRPr="00C258AD">
              <w:rPr>
                <w:sz w:val="16"/>
                <w:szCs w:val="16"/>
              </w:rPr>
              <w:t>Afrique (65%)</w:t>
            </w:r>
          </w:p>
          <w:p w:rsidR="00E472AA" w:rsidRPr="00C258AD" w:rsidRDefault="00E472AA" w:rsidP="00927E1F">
            <w:pPr>
              <w:rPr>
                <w:sz w:val="16"/>
                <w:szCs w:val="16"/>
                <w:lang w:bidi="th-TH"/>
              </w:rPr>
            </w:pPr>
            <w:r w:rsidRPr="00C258AD">
              <w:rPr>
                <w:sz w:val="16"/>
                <w:szCs w:val="16"/>
              </w:rPr>
              <w:t>Pays arabes (70%)</w:t>
            </w:r>
          </w:p>
          <w:p w:rsidR="00E472AA" w:rsidRPr="00C258AD" w:rsidRDefault="00E472AA" w:rsidP="00927E1F">
            <w:pPr>
              <w:rPr>
                <w:sz w:val="16"/>
                <w:szCs w:val="16"/>
                <w:lang w:bidi="th-TH"/>
              </w:rPr>
            </w:pPr>
            <w:r w:rsidRPr="00C258AD">
              <w:rPr>
                <w:sz w:val="16"/>
                <w:szCs w:val="16"/>
              </w:rPr>
              <w:t>Asie et Pacifique : Données non disponibles</w:t>
            </w:r>
          </w:p>
          <w:p w:rsidR="00E472AA" w:rsidRPr="00C258AD" w:rsidRDefault="00E472AA" w:rsidP="00927E1F">
            <w:pPr>
              <w:rPr>
                <w:sz w:val="16"/>
                <w:szCs w:val="16"/>
                <w:lang w:bidi="th-TH"/>
              </w:rPr>
            </w:pPr>
            <w:r w:rsidRPr="00C258AD">
              <w:rPr>
                <w:sz w:val="16"/>
                <w:szCs w:val="16"/>
              </w:rPr>
              <w:t>Amérique latine et Caraïbes (70%)</w:t>
            </w:r>
          </w:p>
          <w:p w:rsidR="00E472AA" w:rsidRPr="00C258AD" w:rsidRDefault="00E472AA" w:rsidP="00927E1F">
            <w:pPr>
              <w:rPr>
                <w:i/>
                <w:color w:val="002060"/>
                <w:sz w:val="16"/>
                <w:szCs w:val="16"/>
              </w:rPr>
            </w:pPr>
            <w:r w:rsidRPr="00C258AD">
              <w:rPr>
                <w:sz w:val="16"/>
                <w:szCs w:val="16"/>
              </w:rPr>
              <w:t>PMA (70%)</w:t>
            </w:r>
          </w:p>
        </w:tc>
        <w:tc>
          <w:tcPr>
            <w:tcW w:w="2552" w:type="dxa"/>
            <w:gridSpan w:val="4"/>
            <w:tcBorders>
              <w:bottom w:val="single" w:sz="4" w:space="0" w:color="auto"/>
            </w:tcBorders>
            <w:shd w:val="clear" w:color="auto" w:fill="auto"/>
            <w:tcMar>
              <w:top w:w="110" w:type="dxa"/>
            </w:tcMar>
          </w:tcPr>
          <w:p w:rsidR="00E472AA" w:rsidRPr="00C258AD" w:rsidRDefault="00E472AA" w:rsidP="00927E1F">
            <w:pPr>
              <w:rPr>
                <w:sz w:val="16"/>
                <w:szCs w:val="16"/>
                <w:lang w:bidi="th-TH"/>
              </w:rPr>
            </w:pPr>
            <w:r w:rsidRPr="00C258AD">
              <w:rPr>
                <w:sz w:val="16"/>
                <w:szCs w:val="16"/>
              </w:rPr>
              <w:t>Afrique (75%)</w:t>
            </w:r>
          </w:p>
          <w:p w:rsidR="00E472AA" w:rsidRPr="00C258AD" w:rsidRDefault="00E472AA" w:rsidP="00927E1F">
            <w:pPr>
              <w:rPr>
                <w:sz w:val="16"/>
                <w:szCs w:val="16"/>
                <w:lang w:bidi="th-TH"/>
              </w:rPr>
            </w:pPr>
          </w:p>
          <w:p w:rsidR="00E472AA" w:rsidRDefault="00E472AA" w:rsidP="00927E1F">
            <w:pPr>
              <w:rPr>
                <w:sz w:val="16"/>
                <w:szCs w:val="16"/>
                <w:lang w:bidi="th-TH"/>
              </w:rPr>
            </w:pPr>
          </w:p>
          <w:p w:rsidR="008808C8" w:rsidRPr="00C258AD" w:rsidRDefault="008808C8" w:rsidP="00927E1F">
            <w:pPr>
              <w:rPr>
                <w:sz w:val="16"/>
                <w:szCs w:val="16"/>
                <w:lang w:bidi="th-TH"/>
              </w:rPr>
            </w:pPr>
          </w:p>
          <w:p w:rsidR="00E472AA" w:rsidRPr="00C258AD" w:rsidRDefault="00E472AA" w:rsidP="00927E1F">
            <w:pPr>
              <w:rPr>
                <w:sz w:val="16"/>
                <w:szCs w:val="16"/>
                <w:lang w:bidi="th-TH"/>
              </w:rPr>
            </w:pPr>
            <w:r w:rsidRPr="00C258AD">
              <w:rPr>
                <w:sz w:val="16"/>
                <w:szCs w:val="16"/>
              </w:rPr>
              <w:t>Pays arabes (80%)</w:t>
            </w:r>
          </w:p>
          <w:p w:rsidR="00E472AA" w:rsidRPr="00C258AD" w:rsidRDefault="00E472AA" w:rsidP="00927E1F">
            <w:pPr>
              <w:rPr>
                <w:sz w:val="16"/>
                <w:szCs w:val="16"/>
                <w:lang w:bidi="th-TH"/>
              </w:rPr>
            </w:pPr>
          </w:p>
          <w:p w:rsidR="00E472AA" w:rsidRDefault="00E472AA" w:rsidP="00927E1F">
            <w:pPr>
              <w:rPr>
                <w:sz w:val="16"/>
                <w:szCs w:val="16"/>
                <w:lang w:bidi="th-TH"/>
              </w:rPr>
            </w:pPr>
          </w:p>
          <w:p w:rsidR="008808C8" w:rsidRPr="00C258AD" w:rsidRDefault="008808C8" w:rsidP="00927E1F">
            <w:pPr>
              <w:rPr>
                <w:sz w:val="16"/>
                <w:szCs w:val="16"/>
                <w:lang w:bidi="th-TH"/>
              </w:rPr>
            </w:pPr>
          </w:p>
          <w:p w:rsidR="00E472AA" w:rsidRPr="00C258AD" w:rsidRDefault="00E472AA" w:rsidP="00927E1F">
            <w:pPr>
              <w:rPr>
                <w:sz w:val="16"/>
                <w:szCs w:val="16"/>
                <w:lang w:bidi="th-TH"/>
              </w:rPr>
            </w:pPr>
            <w:r w:rsidRPr="00C258AD">
              <w:rPr>
                <w:sz w:val="16"/>
                <w:szCs w:val="16"/>
              </w:rPr>
              <w:t>Asie et Pacifique (55%)</w:t>
            </w:r>
          </w:p>
          <w:p w:rsidR="00E472AA" w:rsidRPr="00C258AD" w:rsidRDefault="00E472AA" w:rsidP="00927E1F">
            <w:pPr>
              <w:rPr>
                <w:sz w:val="16"/>
                <w:szCs w:val="16"/>
                <w:lang w:bidi="th-TH"/>
              </w:rPr>
            </w:pPr>
          </w:p>
          <w:p w:rsidR="00E472AA" w:rsidRDefault="00E472AA" w:rsidP="00927E1F">
            <w:pPr>
              <w:rPr>
                <w:sz w:val="16"/>
                <w:szCs w:val="16"/>
                <w:lang w:bidi="th-TH"/>
              </w:rPr>
            </w:pPr>
          </w:p>
          <w:p w:rsidR="008808C8" w:rsidRPr="00C258AD" w:rsidRDefault="008808C8" w:rsidP="00927E1F">
            <w:pPr>
              <w:rPr>
                <w:sz w:val="16"/>
                <w:szCs w:val="16"/>
                <w:lang w:bidi="th-TH"/>
              </w:rPr>
            </w:pPr>
          </w:p>
          <w:p w:rsidR="00E472AA" w:rsidRPr="00C258AD" w:rsidRDefault="00E472AA" w:rsidP="00927E1F">
            <w:pPr>
              <w:rPr>
                <w:sz w:val="16"/>
                <w:szCs w:val="16"/>
                <w:lang w:bidi="th-TH"/>
              </w:rPr>
            </w:pPr>
            <w:r w:rsidRPr="00C258AD">
              <w:rPr>
                <w:sz w:val="16"/>
                <w:szCs w:val="16"/>
              </w:rPr>
              <w:t>Amérique latine et Caraïbes (80%)</w:t>
            </w:r>
          </w:p>
          <w:p w:rsidR="00E472AA" w:rsidRDefault="00E472AA" w:rsidP="00927E1F">
            <w:pPr>
              <w:rPr>
                <w:sz w:val="16"/>
                <w:szCs w:val="16"/>
                <w:lang w:bidi="th-TH"/>
              </w:rPr>
            </w:pPr>
          </w:p>
          <w:p w:rsidR="008808C8" w:rsidRPr="00C258AD" w:rsidRDefault="008808C8" w:rsidP="00927E1F">
            <w:pPr>
              <w:rPr>
                <w:sz w:val="16"/>
                <w:szCs w:val="16"/>
                <w:lang w:bidi="th-TH"/>
              </w:rPr>
            </w:pPr>
          </w:p>
          <w:p w:rsidR="00E472AA" w:rsidRPr="00C258AD" w:rsidRDefault="00E472AA" w:rsidP="00927E1F">
            <w:pPr>
              <w:rPr>
                <w:sz w:val="16"/>
                <w:szCs w:val="16"/>
                <w:lang w:bidi="th-TH"/>
              </w:rPr>
            </w:pPr>
            <w:r w:rsidRPr="00C258AD">
              <w:rPr>
                <w:sz w:val="16"/>
                <w:szCs w:val="16"/>
              </w:rPr>
              <w:t>PMA (80%)</w:t>
            </w:r>
          </w:p>
        </w:tc>
        <w:tc>
          <w:tcPr>
            <w:tcW w:w="2431" w:type="dxa"/>
            <w:tcBorders>
              <w:bottom w:val="single" w:sz="4" w:space="0" w:color="auto"/>
            </w:tcBorders>
            <w:shd w:val="clear" w:color="auto" w:fill="FFFFFF"/>
            <w:tcMar>
              <w:top w:w="110" w:type="dxa"/>
            </w:tcMar>
          </w:tcPr>
          <w:p w:rsidR="00E472AA" w:rsidRPr="00C258AD" w:rsidRDefault="00E472AA" w:rsidP="00927E1F">
            <w:pPr>
              <w:rPr>
                <w:sz w:val="16"/>
                <w:szCs w:val="16"/>
                <w:lang w:bidi="th-TH"/>
              </w:rPr>
            </w:pPr>
            <w:r w:rsidRPr="00C258AD">
              <w:rPr>
                <w:sz w:val="16"/>
                <w:szCs w:val="16"/>
              </w:rPr>
              <w:t>Afrique (75%)</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Pays arabes (55%)</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Asie et Pacifique (66%)</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Amérique latine et Caraïbes (80%)</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PMA (85%)</w:t>
            </w:r>
          </w:p>
        </w:tc>
        <w:tc>
          <w:tcPr>
            <w:tcW w:w="1132" w:type="dxa"/>
            <w:gridSpan w:val="2"/>
            <w:tcBorders>
              <w:bottom w:val="single" w:sz="4" w:space="0" w:color="auto"/>
            </w:tcBorders>
            <w:shd w:val="clear" w:color="auto" w:fill="auto"/>
            <w:tcMar>
              <w:top w:w="110" w:type="dxa"/>
            </w:tcMar>
          </w:tcPr>
          <w:p w:rsidR="00E472AA" w:rsidRPr="00C258AD" w:rsidRDefault="00E472AA" w:rsidP="00927E1F">
            <w:pPr>
              <w:keepNext/>
              <w:keepLines/>
              <w:jc w:val="center"/>
              <w:rPr>
                <w:b/>
                <w:bCs/>
                <w:color w:val="00B050"/>
                <w:sz w:val="16"/>
              </w:rPr>
            </w:pPr>
            <w:r w:rsidRPr="00C258AD">
              <w:rPr>
                <w:b/>
                <w:bCs/>
                <w:color w:val="00B050"/>
                <w:sz w:val="16"/>
              </w:rPr>
              <w:t>Objectif pleinement atteint</w:t>
            </w:r>
          </w:p>
          <w:p w:rsidR="00E472AA" w:rsidRPr="00C258AD" w:rsidRDefault="00E472AA" w:rsidP="00927E1F">
            <w:pPr>
              <w:keepNext/>
              <w:keepLines/>
              <w:jc w:val="center"/>
              <w:rPr>
                <w:b/>
                <w:bCs/>
                <w:color w:val="00B050"/>
                <w:sz w:val="16"/>
              </w:rPr>
            </w:pPr>
          </w:p>
          <w:p w:rsidR="00E472AA" w:rsidRPr="00C258AD" w:rsidRDefault="00E472AA" w:rsidP="00927E1F">
            <w:pPr>
              <w:keepNext/>
              <w:keepLines/>
              <w:ind w:left="-57" w:right="-57"/>
              <w:jc w:val="center"/>
              <w:rPr>
                <w:b/>
                <w:bCs/>
                <w:color w:val="00B050"/>
                <w:sz w:val="16"/>
              </w:rPr>
            </w:pPr>
            <w:r w:rsidRPr="00C258AD">
              <w:rPr>
                <w:b/>
                <w:bCs/>
                <w:color w:val="E26B0A"/>
                <w:sz w:val="16"/>
              </w:rPr>
              <w:t>Objectif partiellement atteint</w:t>
            </w:r>
          </w:p>
          <w:p w:rsidR="00E472AA" w:rsidRPr="00C258AD" w:rsidRDefault="00E472AA" w:rsidP="00927E1F">
            <w:pPr>
              <w:keepNext/>
              <w:keepLines/>
              <w:jc w:val="center"/>
              <w:rPr>
                <w:b/>
                <w:bCs/>
                <w:color w:val="00B050"/>
                <w:sz w:val="16"/>
              </w:rPr>
            </w:pPr>
          </w:p>
          <w:p w:rsidR="00E472AA" w:rsidRPr="00C258AD" w:rsidRDefault="00E472AA" w:rsidP="00927E1F">
            <w:pPr>
              <w:keepNext/>
              <w:keepLines/>
              <w:jc w:val="center"/>
              <w:rPr>
                <w:b/>
                <w:bCs/>
                <w:color w:val="00B050"/>
                <w:sz w:val="16"/>
              </w:rPr>
            </w:pPr>
            <w:r w:rsidRPr="00C258AD">
              <w:rPr>
                <w:b/>
                <w:bCs/>
                <w:color w:val="00B050"/>
                <w:sz w:val="16"/>
              </w:rPr>
              <w:t>Objectif pleinement atteint</w:t>
            </w:r>
          </w:p>
          <w:p w:rsidR="00E472AA" w:rsidRPr="00C258AD" w:rsidRDefault="00E472AA" w:rsidP="00927E1F">
            <w:pPr>
              <w:keepNext/>
              <w:keepLines/>
              <w:jc w:val="center"/>
              <w:rPr>
                <w:b/>
                <w:bCs/>
                <w:color w:val="00B050"/>
                <w:sz w:val="16"/>
              </w:rPr>
            </w:pPr>
          </w:p>
          <w:p w:rsidR="00E472AA" w:rsidRPr="00C258AD" w:rsidRDefault="00E472AA" w:rsidP="00927E1F">
            <w:pPr>
              <w:keepNext/>
              <w:keepLines/>
              <w:jc w:val="center"/>
              <w:rPr>
                <w:b/>
                <w:bCs/>
                <w:color w:val="00B050"/>
                <w:sz w:val="16"/>
              </w:rPr>
            </w:pPr>
            <w:r w:rsidRPr="00C258AD">
              <w:rPr>
                <w:b/>
                <w:bCs/>
                <w:color w:val="00B050"/>
                <w:sz w:val="16"/>
              </w:rPr>
              <w:t>Objectif pleinement atteint</w:t>
            </w:r>
          </w:p>
          <w:p w:rsidR="00E472AA" w:rsidRPr="00C258AD" w:rsidRDefault="00E472AA" w:rsidP="00927E1F">
            <w:pPr>
              <w:keepNext/>
              <w:keepLines/>
              <w:jc w:val="center"/>
              <w:rPr>
                <w:b/>
                <w:bCs/>
                <w:color w:val="00B050"/>
                <w:sz w:val="16"/>
              </w:rPr>
            </w:pPr>
          </w:p>
          <w:p w:rsidR="00E472AA" w:rsidRPr="00C258AD" w:rsidRDefault="00E472AA" w:rsidP="00927E1F">
            <w:pPr>
              <w:keepNext/>
              <w:keepLines/>
              <w:jc w:val="center"/>
              <w:rPr>
                <w:b/>
                <w:bCs/>
                <w:color w:val="00B050"/>
                <w:sz w:val="16"/>
                <w:szCs w:val="16"/>
              </w:rPr>
            </w:pPr>
            <w:r w:rsidRPr="00C258AD">
              <w:rPr>
                <w:b/>
                <w:bCs/>
                <w:color w:val="00B050"/>
                <w:sz w:val="16"/>
              </w:rPr>
              <w:t>Objectif pleinement atteint</w:t>
            </w:r>
          </w:p>
        </w:tc>
      </w:tr>
      <w:tr w:rsidR="00E472AA" w:rsidRPr="00C258AD" w:rsidTr="00927E1F">
        <w:trPr>
          <w:cantSplit/>
        </w:trPr>
        <w:tc>
          <w:tcPr>
            <w:tcW w:w="9874" w:type="dxa"/>
            <w:gridSpan w:val="11"/>
            <w:tcBorders>
              <w:top w:val="single" w:sz="4" w:space="0" w:color="auto"/>
              <w:bottom w:val="single" w:sz="4" w:space="0" w:color="auto"/>
            </w:tcBorders>
            <w:shd w:val="clear" w:color="auto" w:fill="C5D9F1"/>
            <w:vAlign w:val="center"/>
          </w:tcPr>
          <w:p w:rsidR="00E472AA" w:rsidRPr="00C258AD" w:rsidRDefault="00E472AA" w:rsidP="00927E1F">
            <w:pPr>
              <w:keepNext/>
              <w:rPr>
                <w:b/>
                <w:bCs/>
                <w:sz w:val="16"/>
                <w:szCs w:val="16"/>
              </w:rPr>
            </w:pPr>
            <w:r w:rsidRPr="00C258AD">
              <w:rPr>
                <w:b/>
                <w:sz w:val="16"/>
                <w:szCs w:val="16"/>
              </w:rPr>
              <w:lastRenderedPageBreak/>
              <w:t xml:space="preserve">Résultat escompté : </w:t>
            </w:r>
            <w:r w:rsidRPr="00C258AD">
              <w:rPr>
                <w:sz w:val="16"/>
                <w:szCs w:val="16"/>
              </w:rPr>
              <w:t>III.4 Mécanismes et programmes de coopération renforcés, adaptés aux besoins des pays en développement et des PMA</w:t>
            </w:r>
          </w:p>
        </w:tc>
      </w:tr>
      <w:tr w:rsidR="00E472AA" w:rsidRPr="00C258AD" w:rsidTr="00927E1F">
        <w:trPr>
          <w:cantSplit/>
        </w:trPr>
        <w:tc>
          <w:tcPr>
            <w:tcW w:w="1337" w:type="dxa"/>
            <w:tcBorders>
              <w:top w:val="single" w:sz="4" w:space="0" w:color="auto"/>
            </w:tcBorders>
            <w:shd w:val="clear" w:color="auto" w:fill="auto"/>
            <w:vAlign w:val="center"/>
          </w:tcPr>
          <w:p w:rsidR="00E472AA" w:rsidRPr="00C258AD" w:rsidRDefault="00E472AA" w:rsidP="00927E1F">
            <w:pPr>
              <w:keepNext/>
              <w:jc w:val="center"/>
              <w:rPr>
                <w:sz w:val="16"/>
                <w:szCs w:val="16"/>
              </w:rPr>
            </w:pPr>
            <w:r w:rsidRPr="00C258AD">
              <w:rPr>
                <w:b/>
                <w:sz w:val="16"/>
                <w:szCs w:val="16"/>
              </w:rPr>
              <w:t>Indicateurs d’exécution</w:t>
            </w:r>
          </w:p>
        </w:tc>
        <w:tc>
          <w:tcPr>
            <w:tcW w:w="2422" w:type="dxa"/>
            <w:gridSpan w:val="3"/>
            <w:tcBorders>
              <w:top w:val="single" w:sz="4" w:space="0" w:color="auto"/>
            </w:tcBorders>
            <w:shd w:val="clear" w:color="auto" w:fill="auto"/>
            <w:vAlign w:val="center"/>
          </w:tcPr>
          <w:p w:rsidR="00E472AA" w:rsidRPr="00C258AD" w:rsidRDefault="00E472AA" w:rsidP="00927E1F">
            <w:pPr>
              <w:keepNext/>
              <w:jc w:val="center"/>
              <w:rPr>
                <w:b/>
                <w:bCs/>
                <w:sz w:val="16"/>
                <w:szCs w:val="16"/>
              </w:rPr>
            </w:pPr>
            <w:r w:rsidRPr="00C258AD">
              <w:rPr>
                <w:b/>
                <w:sz w:val="16"/>
                <w:szCs w:val="16"/>
              </w:rPr>
              <w:t>Niveaux de référence</w:t>
            </w:r>
          </w:p>
        </w:tc>
        <w:tc>
          <w:tcPr>
            <w:tcW w:w="2552" w:type="dxa"/>
            <w:gridSpan w:val="4"/>
            <w:tcBorders>
              <w:top w:val="single" w:sz="4" w:space="0" w:color="auto"/>
            </w:tcBorders>
            <w:shd w:val="clear" w:color="auto" w:fill="auto"/>
            <w:vAlign w:val="center"/>
          </w:tcPr>
          <w:p w:rsidR="00E472AA" w:rsidRPr="00C258AD" w:rsidRDefault="00E472AA" w:rsidP="00927E1F">
            <w:pPr>
              <w:keepNext/>
              <w:jc w:val="center"/>
              <w:rPr>
                <w:b/>
                <w:sz w:val="16"/>
                <w:szCs w:val="16"/>
              </w:rPr>
            </w:pPr>
            <w:r w:rsidRPr="00C258AD">
              <w:rPr>
                <w:b/>
                <w:sz w:val="16"/>
                <w:szCs w:val="16"/>
              </w:rPr>
              <w:t>Objectifs visés</w:t>
            </w:r>
          </w:p>
        </w:tc>
        <w:tc>
          <w:tcPr>
            <w:tcW w:w="2431" w:type="dxa"/>
            <w:tcBorders>
              <w:top w:val="single" w:sz="4" w:space="0" w:color="auto"/>
            </w:tcBorders>
            <w:shd w:val="clear" w:color="auto" w:fill="auto"/>
            <w:vAlign w:val="center"/>
          </w:tcPr>
          <w:p w:rsidR="00E472AA" w:rsidRPr="00C258AD" w:rsidRDefault="00E472AA" w:rsidP="00927E1F">
            <w:pPr>
              <w:keepNext/>
              <w:jc w:val="center"/>
              <w:rPr>
                <w:sz w:val="16"/>
                <w:szCs w:val="16"/>
              </w:rPr>
            </w:pPr>
            <w:r w:rsidRPr="00C258AD">
              <w:rPr>
                <w:b/>
                <w:sz w:val="16"/>
                <w:szCs w:val="16"/>
              </w:rPr>
              <w:t>Données relatives à l’exécution</w:t>
            </w:r>
          </w:p>
        </w:tc>
        <w:tc>
          <w:tcPr>
            <w:tcW w:w="1132" w:type="dxa"/>
            <w:gridSpan w:val="2"/>
            <w:tcBorders>
              <w:top w:val="single" w:sz="4" w:space="0" w:color="auto"/>
            </w:tcBorders>
            <w:shd w:val="clear" w:color="auto" w:fill="auto"/>
            <w:vAlign w:val="center"/>
          </w:tcPr>
          <w:p w:rsidR="00E472AA" w:rsidRPr="00C258AD" w:rsidRDefault="00E472AA" w:rsidP="00927E1F">
            <w:pPr>
              <w:keepNext/>
              <w:keepLines/>
              <w:jc w:val="center"/>
              <w:rPr>
                <w:b/>
                <w:bCs/>
                <w:sz w:val="16"/>
                <w:szCs w:val="16"/>
              </w:rPr>
            </w:pPr>
            <w:r w:rsidRPr="00C258AD">
              <w:rPr>
                <w:b/>
                <w:sz w:val="16"/>
                <w:szCs w:val="16"/>
              </w:rPr>
              <w:t>Code de couleurs</w:t>
            </w:r>
          </w:p>
        </w:tc>
      </w:tr>
      <w:tr w:rsidR="00E472AA" w:rsidRPr="00C258AD" w:rsidTr="00927E1F">
        <w:trPr>
          <w:cantSplit/>
        </w:trPr>
        <w:tc>
          <w:tcPr>
            <w:tcW w:w="1337" w:type="dxa"/>
            <w:shd w:val="clear" w:color="auto" w:fill="FFFFFF"/>
          </w:tcPr>
          <w:p w:rsidR="00E472AA" w:rsidRPr="00C258AD" w:rsidRDefault="00E472AA" w:rsidP="00927E1F">
            <w:pPr>
              <w:rPr>
                <w:sz w:val="16"/>
                <w:szCs w:val="16"/>
                <w:lang w:bidi="th-TH"/>
              </w:rPr>
            </w:pPr>
            <w:r w:rsidRPr="00C258AD">
              <w:rPr>
                <w:sz w:val="16"/>
                <w:szCs w:val="16"/>
              </w:rPr>
              <w:t xml:space="preserve">Nombre de mécanismes et programmes de coopération, et de partenariats nouveaux ou renforcés ayant bénéficié d’une aide en vue de la promotion ou du renforcement de la coopération régionale ou </w:t>
            </w:r>
            <w:proofErr w:type="spellStart"/>
            <w:r w:rsidRPr="00C258AD">
              <w:rPr>
                <w:sz w:val="16"/>
                <w:szCs w:val="16"/>
              </w:rPr>
              <w:t>sous</w:t>
            </w:r>
            <w:r w:rsidRPr="00C258AD">
              <w:rPr>
                <w:sz w:val="16"/>
                <w:szCs w:val="16"/>
              </w:rPr>
              <w:noBreakHyphen/>
              <w:t>régionale</w:t>
            </w:r>
            <w:proofErr w:type="spellEnd"/>
            <w:r w:rsidRPr="00C258AD">
              <w:rPr>
                <w:sz w:val="16"/>
                <w:szCs w:val="16"/>
              </w:rPr>
              <w:t xml:space="preserve"> en matière de propriété intellectuelle</w:t>
            </w:r>
          </w:p>
        </w:tc>
        <w:tc>
          <w:tcPr>
            <w:tcW w:w="2422" w:type="dxa"/>
            <w:gridSpan w:val="3"/>
            <w:shd w:val="clear" w:color="auto" w:fill="auto"/>
          </w:tcPr>
          <w:p w:rsidR="00E472AA" w:rsidRPr="00C258AD" w:rsidRDefault="00E472AA" w:rsidP="00927E1F">
            <w:pPr>
              <w:rPr>
                <w:sz w:val="16"/>
                <w:szCs w:val="16"/>
                <w:lang w:bidi="th-TH"/>
              </w:rPr>
            </w:pPr>
            <w:r w:rsidRPr="00C258AD">
              <w:rPr>
                <w:sz w:val="16"/>
                <w:szCs w:val="16"/>
              </w:rPr>
              <w:t>Afrique (3)</w:t>
            </w:r>
          </w:p>
          <w:p w:rsidR="00E472AA" w:rsidRPr="00C258AD" w:rsidRDefault="00E472AA" w:rsidP="00927E1F">
            <w:pPr>
              <w:rPr>
                <w:sz w:val="16"/>
                <w:szCs w:val="16"/>
                <w:lang w:bidi="th-TH"/>
              </w:rPr>
            </w:pPr>
            <w:r w:rsidRPr="00C258AD">
              <w:rPr>
                <w:sz w:val="16"/>
                <w:szCs w:val="16"/>
              </w:rPr>
              <w:t>Pays arabes (2)</w:t>
            </w:r>
          </w:p>
          <w:p w:rsidR="00E472AA" w:rsidRPr="00C258AD" w:rsidRDefault="00E472AA" w:rsidP="00927E1F">
            <w:pPr>
              <w:rPr>
                <w:sz w:val="16"/>
                <w:szCs w:val="16"/>
                <w:lang w:bidi="th-TH"/>
              </w:rPr>
            </w:pPr>
            <w:r w:rsidRPr="00C258AD">
              <w:rPr>
                <w:sz w:val="16"/>
                <w:szCs w:val="16"/>
              </w:rPr>
              <w:t>Asie et Pacifique (4)</w:t>
            </w:r>
          </w:p>
          <w:p w:rsidR="00E472AA" w:rsidRPr="00C258AD" w:rsidRDefault="00E472AA" w:rsidP="00927E1F">
            <w:pPr>
              <w:rPr>
                <w:sz w:val="16"/>
                <w:szCs w:val="16"/>
              </w:rPr>
            </w:pPr>
            <w:r w:rsidRPr="00C258AD">
              <w:rPr>
                <w:sz w:val="16"/>
                <w:szCs w:val="16"/>
              </w:rPr>
              <w:t>Amérique latine et Caraïbes (3)</w:t>
            </w:r>
          </w:p>
          <w:p w:rsidR="00E472AA" w:rsidRPr="00C258AD" w:rsidRDefault="00E472AA" w:rsidP="00927E1F">
            <w:pPr>
              <w:rPr>
                <w:sz w:val="16"/>
                <w:szCs w:val="16"/>
                <w:lang w:bidi="th-TH"/>
              </w:rPr>
            </w:pPr>
            <w:r w:rsidRPr="00C258AD">
              <w:rPr>
                <w:sz w:val="16"/>
                <w:szCs w:val="16"/>
                <w:lang w:bidi="th-TH"/>
              </w:rPr>
              <w:t>2 PMA inclus dans la ventilation régionale ci</w:t>
            </w:r>
            <w:r w:rsidRPr="00C258AD">
              <w:rPr>
                <w:sz w:val="16"/>
                <w:szCs w:val="16"/>
                <w:lang w:bidi="th-TH"/>
              </w:rPr>
              <w:noBreakHyphen/>
              <w:t>dessus</w:t>
            </w:r>
          </w:p>
          <w:p w:rsidR="00E472AA" w:rsidRPr="00C258AD" w:rsidRDefault="00E472AA" w:rsidP="00927E1F">
            <w:pPr>
              <w:rPr>
                <w:color w:val="002060"/>
                <w:sz w:val="16"/>
                <w:szCs w:val="16"/>
              </w:rPr>
            </w:pPr>
            <w:r w:rsidRPr="00C258AD">
              <w:rPr>
                <w:sz w:val="16"/>
                <w:szCs w:val="16"/>
              </w:rPr>
              <w:t>Projets technologiques appropriés dans trois PMA</w:t>
            </w:r>
          </w:p>
        </w:tc>
        <w:tc>
          <w:tcPr>
            <w:tcW w:w="2552" w:type="dxa"/>
            <w:gridSpan w:val="4"/>
            <w:shd w:val="clear" w:color="auto" w:fill="auto"/>
            <w:tcMar>
              <w:top w:w="110" w:type="dxa"/>
            </w:tcMar>
          </w:tcPr>
          <w:p w:rsidR="00E472AA" w:rsidRPr="00C258AD" w:rsidRDefault="00E472AA" w:rsidP="00927E1F">
            <w:pPr>
              <w:rPr>
                <w:sz w:val="16"/>
                <w:szCs w:val="16"/>
                <w:lang w:bidi="th-TH"/>
              </w:rPr>
            </w:pPr>
            <w:r w:rsidRPr="00C258AD">
              <w:rPr>
                <w:sz w:val="16"/>
                <w:szCs w:val="16"/>
              </w:rPr>
              <w:t>Afrique (2)</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Pays arabes (1)</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Asie et Pacifique (4)</w:t>
            </w:r>
          </w:p>
          <w:p w:rsidR="00E472AA" w:rsidRPr="00C258AD" w:rsidRDefault="00E472AA" w:rsidP="00927E1F">
            <w:pPr>
              <w:keepNext/>
              <w:rPr>
                <w:sz w:val="16"/>
                <w:szCs w:val="16"/>
              </w:rPr>
            </w:pPr>
          </w:p>
          <w:p w:rsidR="00E472AA" w:rsidRPr="00C258AD" w:rsidRDefault="00E472AA" w:rsidP="00927E1F">
            <w:pPr>
              <w:keepNext/>
              <w:rPr>
                <w:sz w:val="16"/>
                <w:szCs w:val="16"/>
              </w:rPr>
            </w:pPr>
          </w:p>
          <w:p w:rsidR="00E472AA" w:rsidRPr="00C258AD" w:rsidRDefault="00E472AA" w:rsidP="00927E1F">
            <w:pPr>
              <w:keepNext/>
              <w:rPr>
                <w:sz w:val="16"/>
                <w:szCs w:val="16"/>
              </w:rPr>
            </w:pPr>
          </w:p>
          <w:p w:rsidR="00E472AA" w:rsidRPr="00C258AD" w:rsidRDefault="00E472AA" w:rsidP="00927E1F">
            <w:pPr>
              <w:keepNext/>
              <w:rPr>
                <w:sz w:val="16"/>
                <w:szCs w:val="16"/>
                <w:lang w:bidi="th-TH"/>
              </w:rPr>
            </w:pPr>
            <w:r w:rsidRPr="00C258AD">
              <w:rPr>
                <w:sz w:val="16"/>
                <w:szCs w:val="16"/>
              </w:rPr>
              <w:t>Amérique latine et Caraïbes (7)</w:t>
            </w:r>
          </w:p>
          <w:p w:rsidR="00E472AA" w:rsidRPr="00C258AD" w:rsidRDefault="00E472AA" w:rsidP="00927E1F">
            <w:pPr>
              <w:keepNext/>
              <w:rPr>
                <w:sz w:val="16"/>
                <w:szCs w:val="16"/>
                <w:lang w:bidi="th-TH"/>
              </w:rPr>
            </w:pPr>
          </w:p>
          <w:p w:rsidR="00E472AA" w:rsidRPr="00C258AD" w:rsidRDefault="00E472AA" w:rsidP="00927E1F">
            <w:pPr>
              <w:keepNext/>
              <w:rPr>
                <w:sz w:val="16"/>
                <w:szCs w:val="16"/>
                <w:lang w:bidi="th-TH"/>
              </w:rPr>
            </w:pPr>
          </w:p>
          <w:p w:rsidR="00E472AA" w:rsidRPr="00C258AD" w:rsidRDefault="00E472AA" w:rsidP="00927E1F">
            <w:pPr>
              <w:keepNext/>
              <w:rPr>
                <w:sz w:val="16"/>
                <w:szCs w:val="16"/>
                <w:lang w:bidi="th-TH"/>
              </w:rPr>
            </w:pPr>
          </w:p>
          <w:p w:rsidR="00E472AA" w:rsidRPr="00C258AD" w:rsidRDefault="00E472AA" w:rsidP="00927E1F">
            <w:pPr>
              <w:rPr>
                <w:sz w:val="16"/>
                <w:szCs w:val="16"/>
                <w:lang w:bidi="th-TH"/>
              </w:rPr>
            </w:pPr>
            <w:r w:rsidRPr="00C258AD">
              <w:rPr>
                <w:sz w:val="16"/>
                <w:szCs w:val="16"/>
                <w:lang w:bidi="th-TH"/>
              </w:rPr>
              <w:t>4 PMA inclus dans la ventilation régionale ci</w:t>
            </w:r>
            <w:r w:rsidRPr="00C258AD">
              <w:rPr>
                <w:sz w:val="16"/>
                <w:szCs w:val="16"/>
                <w:lang w:bidi="th-TH"/>
              </w:rPr>
              <w:noBreakHyphen/>
              <w:t>dessus</w:t>
            </w:r>
          </w:p>
          <w:p w:rsidR="00E472AA" w:rsidRPr="00C258AD" w:rsidRDefault="00E472AA" w:rsidP="00927E1F">
            <w:pPr>
              <w:keepNext/>
              <w:rPr>
                <w:sz w:val="16"/>
                <w:szCs w:val="16"/>
                <w:lang w:bidi="th-TH"/>
              </w:rPr>
            </w:pPr>
          </w:p>
          <w:p w:rsidR="00E472AA" w:rsidRPr="00C258AD" w:rsidRDefault="00E472AA" w:rsidP="00927E1F">
            <w:pPr>
              <w:keepNext/>
              <w:rPr>
                <w:sz w:val="16"/>
                <w:szCs w:val="16"/>
                <w:lang w:bidi="th-TH"/>
              </w:rPr>
            </w:pPr>
          </w:p>
          <w:p w:rsidR="00E472AA" w:rsidRPr="00C258AD" w:rsidRDefault="00E472AA" w:rsidP="00927E1F">
            <w:pPr>
              <w:rPr>
                <w:sz w:val="16"/>
                <w:szCs w:val="16"/>
                <w:lang w:bidi="th-TH"/>
              </w:rPr>
            </w:pPr>
            <w:r w:rsidRPr="00C258AD">
              <w:rPr>
                <w:sz w:val="16"/>
                <w:szCs w:val="16"/>
              </w:rPr>
              <w:t>Projets technologiques appropriés dans quatre PMA au minimum</w:t>
            </w:r>
          </w:p>
          <w:p w:rsidR="00E472AA" w:rsidRPr="00C258AD" w:rsidRDefault="00E472AA" w:rsidP="00927E1F">
            <w:pPr>
              <w:rPr>
                <w:sz w:val="16"/>
                <w:szCs w:val="16"/>
                <w:lang w:bidi="th-TH"/>
              </w:rPr>
            </w:pPr>
          </w:p>
        </w:tc>
        <w:tc>
          <w:tcPr>
            <w:tcW w:w="2431" w:type="dxa"/>
            <w:shd w:val="clear" w:color="auto" w:fill="FFFFFF"/>
            <w:tcMar>
              <w:top w:w="110" w:type="dxa"/>
            </w:tcMar>
          </w:tcPr>
          <w:p w:rsidR="00E472AA" w:rsidRPr="00C258AD" w:rsidRDefault="00E472AA" w:rsidP="00927E1F">
            <w:pPr>
              <w:keepNext/>
              <w:keepLines/>
              <w:rPr>
                <w:sz w:val="16"/>
                <w:szCs w:val="16"/>
                <w:lang w:bidi="th-TH"/>
              </w:rPr>
            </w:pPr>
            <w:r w:rsidRPr="00C258AD">
              <w:rPr>
                <w:sz w:val="16"/>
                <w:szCs w:val="16"/>
              </w:rPr>
              <w:t>Afrique (2) : i) Mémorandum d’accord signé avec l’Organisation internationale de la Francophonie</w:t>
            </w:r>
            <w:r w:rsidRPr="00C258AD">
              <w:rPr>
                <w:i/>
                <w:sz w:val="16"/>
                <w:szCs w:val="16"/>
              </w:rPr>
              <w:t xml:space="preserve"> </w:t>
            </w:r>
            <w:r w:rsidRPr="00C258AD">
              <w:rPr>
                <w:sz w:val="16"/>
                <w:szCs w:val="16"/>
              </w:rPr>
              <w:t xml:space="preserve">(OIF) en mai 2014;  </w:t>
            </w:r>
            <w:r w:rsidRPr="00C258AD">
              <w:rPr>
                <w:sz w:val="16"/>
                <w:szCs w:val="16"/>
                <w:lang w:bidi="th-TH"/>
              </w:rPr>
              <w:t>ii)</w:t>
            </w:r>
            <w:r w:rsidRPr="00C258AD">
              <w:rPr>
                <w:sz w:val="16"/>
                <w:szCs w:val="16"/>
              </w:rPr>
              <w:t> </w:t>
            </w:r>
            <w:r w:rsidRPr="00C258AD">
              <w:rPr>
                <w:sz w:val="16"/>
                <w:szCs w:val="16"/>
                <w:lang w:bidi="th-TH"/>
              </w:rPr>
              <w:t xml:space="preserve">Coopération entre l’Union africaine et l’OMPI dans le cadre de la </w:t>
            </w:r>
            <w:r w:rsidRPr="00C258AD">
              <w:rPr>
                <w:i/>
                <w:sz w:val="16"/>
                <w:szCs w:val="16"/>
                <w:lang w:bidi="th-TH"/>
              </w:rPr>
              <w:t>Déclaration de</w:t>
            </w:r>
            <w:r w:rsidRPr="00C258AD">
              <w:rPr>
                <w:sz w:val="16"/>
                <w:szCs w:val="16"/>
                <w:lang w:bidi="th-TH"/>
              </w:rPr>
              <w:t xml:space="preserve"> </w:t>
            </w:r>
            <w:r w:rsidRPr="00C258AD">
              <w:rPr>
                <w:i/>
                <w:sz w:val="16"/>
                <w:szCs w:val="16"/>
                <w:lang w:bidi="th-TH"/>
              </w:rPr>
              <w:t>Dakar sur la propriété intellectuelle pour l’Afrique</w:t>
            </w:r>
            <w:r w:rsidRPr="00C258AD">
              <w:rPr>
                <w:rStyle w:val="FootnoteReference"/>
                <w:rFonts w:eastAsia="SimSun"/>
                <w:i/>
                <w:sz w:val="16"/>
                <w:szCs w:val="16"/>
                <w:lang w:bidi="th-TH"/>
              </w:rPr>
              <w:footnoteReference w:id="67"/>
            </w:r>
          </w:p>
          <w:p w:rsidR="00E472AA" w:rsidRPr="00C258AD" w:rsidRDefault="00E472AA" w:rsidP="00927E1F">
            <w:pPr>
              <w:keepNext/>
              <w:keepLines/>
              <w:rPr>
                <w:sz w:val="16"/>
                <w:szCs w:val="16"/>
                <w:lang w:bidi="th-TH"/>
              </w:rPr>
            </w:pPr>
          </w:p>
          <w:p w:rsidR="00E472AA" w:rsidRPr="00C258AD" w:rsidRDefault="00E472AA" w:rsidP="00927E1F">
            <w:pPr>
              <w:keepNext/>
              <w:keepLines/>
              <w:rPr>
                <w:sz w:val="16"/>
                <w:szCs w:val="16"/>
                <w:lang w:bidi="th-TH"/>
              </w:rPr>
            </w:pPr>
            <w:r w:rsidRPr="00C258AD">
              <w:rPr>
                <w:sz w:val="16"/>
                <w:szCs w:val="16"/>
                <w:lang w:bidi="th-TH"/>
              </w:rPr>
              <w:t>Pays arabes (1) : Mémorandum d’accord signé avec l’</w:t>
            </w:r>
            <w:proofErr w:type="spellStart"/>
            <w:r w:rsidRPr="00C258AD">
              <w:rPr>
                <w:sz w:val="16"/>
                <w:szCs w:val="16"/>
                <w:lang w:bidi="th-TH"/>
              </w:rPr>
              <w:t>Emirates</w:t>
            </w:r>
            <w:proofErr w:type="spellEnd"/>
            <w:r w:rsidRPr="00C258AD">
              <w:rPr>
                <w:sz w:val="16"/>
                <w:szCs w:val="16"/>
                <w:lang w:bidi="th-TH"/>
              </w:rPr>
              <w:t xml:space="preserve"> Intellectual Property Association (EIPA), UAE, en octobre 2015</w:t>
            </w:r>
            <w:r w:rsidRPr="00C258AD">
              <w:rPr>
                <w:rStyle w:val="FootnoteReference"/>
                <w:rFonts w:eastAsia="SimSun"/>
                <w:sz w:val="16"/>
              </w:rPr>
              <w:footnoteReference w:id="68"/>
            </w:r>
            <w:r w:rsidRPr="00C258AD">
              <w:rPr>
                <w:sz w:val="16"/>
                <w:szCs w:val="16"/>
                <w:lang w:bidi="th-TH"/>
              </w:rPr>
              <w:t>.</w:t>
            </w:r>
          </w:p>
          <w:p w:rsidR="00E472AA" w:rsidRPr="00C258AD" w:rsidRDefault="00E472AA" w:rsidP="00927E1F">
            <w:pPr>
              <w:keepNext/>
              <w:keepLines/>
              <w:rPr>
                <w:sz w:val="16"/>
                <w:szCs w:val="16"/>
                <w:lang w:bidi="th-TH"/>
              </w:rPr>
            </w:pPr>
          </w:p>
          <w:p w:rsidR="00E472AA" w:rsidRPr="00C258AD" w:rsidRDefault="00E472AA" w:rsidP="00927E1F">
            <w:pPr>
              <w:keepNext/>
              <w:keepLines/>
              <w:rPr>
                <w:sz w:val="16"/>
                <w:szCs w:val="16"/>
                <w:lang w:bidi="th-TH"/>
              </w:rPr>
            </w:pPr>
            <w:r w:rsidRPr="00C258AD">
              <w:rPr>
                <w:sz w:val="16"/>
                <w:szCs w:val="16"/>
                <w:lang w:bidi="th-TH"/>
              </w:rPr>
              <w:t>Asie et Pacifique (1) :</w:t>
            </w:r>
          </w:p>
          <w:p w:rsidR="00E472AA" w:rsidRPr="00C258AD" w:rsidRDefault="00E472AA" w:rsidP="00927E1F">
            <w:pPr>
              <w:keepNext/>
              <w:keepLines/>
              <w:rPr>
                <w:sz w:val="16"/>
                <w:szCs w:val="16"/>
              </w:rPr>
            </w:pPr>
            <w:r w:rsidRPr="00C258AD">
              <w:rPr>
                <w:sz w:val="16"/>
                <w:szCs w:val="16"/>
              </w:rPr>
              <w:t>i) l’Association des nations de l’Asie du Sud</w:t>
            </w:r>
            <w:r w:rsidRPr="00C258AD">
              <w:rPr>
                <w:sz w:val="16"/>
                <w:szCs w:val="16"/>
              </w:rPr>
              <w:noBreakHyphen/>
              <w:t>Est (ASEAN)</w:t>
            </w:r>
            <w:r w:rsidRPr="00C258AD">
              <w:rPr>
                <w:rStyle w:val="FootnoteReference"/>
                <w:rFonts w:eastAsia="SimSun"/>
                <w:sz w:val="16"/>
              </w:rPr>
              <w:footnoteReference w:id="69"/>
            </w:r>
            <w:r w:rsidRPr="00C258AD">
              <w:rPr>
                <w:rStyle w:val="FootnoteReference"/>
                <w:rFonts w:eastAsia="SimSun"/>
              </w:rPr>
              <w:t>;</w:t>
            </w:r>
          </w:p>
          <w:p w:rsidR="00E472AA" w:rsidRPr="00C258AD" w:rsidRDefault="00E472AA" w:rsidP="00927E1F">
            <w:pPr>
              <w:keepNext/>
              <w:keepLines/>
              <w:rPr>
                <w:sz w:val="16"/>
                <w:szCs w:val="16"/>
                <w:lang w:bidi="th-TH"/>
              </w:rPr>
            </w:pPr>
          </w:p>
          <w:p w:rsidR="00E472AA" w:rsidRPr="00C258AD" w:rsidRDefault="00E472AA" w:rsidP="00927E1F">
            <w:pPr>
              <w:keepNext/>
              <w:keepLines/>
              <w:rPr>
                <w:sz w:val="16"/>
                <w:szCs w:val="16"/>
                <w:lang w:bidi="th-TH"/>
              </w:rPr>
            </w:pPr>
            <w:r w:rsidRPr="00C258AD">
              <w:rPr>
                <w:sz w:val="16"/>
                <w:szCs w:val="16"/>
              </w:rPr>
              <w:t>Amérique latine et Caraïbes </w:t>
            </w:r>
            <w:r w:rsidRPr="00C258AD">
              <w:rPr>
                <w:sz w:val="16"/>
              </w:rPr>
              <w:t>:</w:t>
            </w:r>
            <w:r w:rsidRPr="00C258AD">
              <w:rPr>
                <w:sz w:val="16"/>
                <w:szCs w:val="16"/>
                <w:lang w:bidi="th-TH"/>
              </w:rPr>
              <w:t xml:space="preserve"> 6</w:t>
            </w:r>
            <w:r w:rsidRPr="00C258AD">
              <w:rPr>
                <w:sz w:val="16"/>
              </w:rPr>
              <w:t xml:space="preserve"> </w:t>
            </w:r>
            <w:r w:rsidRPr="00C258AD">
              <w:rPr>
                <w:sz w:val="16"/>
                <w:szCs w:val="16"/>
                <w:lang w:bidi="th-TH"/>
              </w:rPr>
              <w:t>projets en cours</w:t>
            </w:r>
            <w:r w:rsidRPr="00C258AD">
              <w:rPr>
                <w:rStyle w:val="FootnoteReference"/>
                <w:rFonts w:eastAsia="SimSun"/>
                <w:sz w:val="16"/>
                <w:szCs w:val="16"/>
                <w:lang w:bidi="th-TH"/>
              </w:rPr>
              <w:footnoteReference w:id="70"/>
            </w:r>
          </w:p>
          <w:p w:rsidR="00E472AA" w:rsidRPr="00C258AD" w:rsidRDefault="00E472AA" w:rsidP="00927E1F">
            <w:pPr>
              <w:keepNext/>
              <w:keepLines/>
              <w:rPr>
                <w:sz w:val="16"/>
                <w:szCs w:val="16"/>
                <w:lang w:bidi="th-TH"/>
              </w:rPr>
            </w:pPr>
          </w:p>
          <w:p w:rsidR="00E472AA" w:rsidRPr="00C258AD" w:rsidRDefault="00E472AA" w:rsidP="00927E1F">
            <w:pPr>
              <w:keepNext/>
              <w:keepLines/>
              <w:rPr>
                <w:sz w:val="16"/>
                <w:szCs w:val="16"/>
                <w:lang w:bidi="th-TH"/>
              </w:rPr>
            </w:pPr>
            <w:r w:rsidRPr="00C258AD">
              <w:rPr>
                <w:sz w:val="16"/>
                <w:szCs w:val="16"/>
                <w:lang w:bidi="th-TH"/>
              </w:rPr>
              <w:t>4 des organisations dans la ventilation par région ci</w:t>
            </w:r>
            <w:r w:rsidRPr="00C258AD">
              <w:rPr>
                <w:sz w:val="16"/>
                <w:szCs w:val="16"/>
                <w:lang w:bidi="th-TH"/>
              </w:rPr>
              <w:noBreakHyphen/>
              <w:t>dessus comprennent des PMA</w:t>
            </w:r>
          </w:p>
          <w:p w:rsidR="00E472AA" w:rsidRPr="00C258AD" w:rsidRDefault="00E472AA" w:rsidP="00927E1F">
            <w:pPr>
              <w:keepNext/>
              <w:keepLines/>
              <w:rPr>
                <w:sz w:val="16"/>
                <w:szCs w:val="16"/>
              </w:rPr>
            </w:pPr>
          </w:p>
          <w:p w:rsidR="00E472AA" w:rsidRPr="00C258AD" w:rsidRDefault="00E472AA" w:rsidP="00927E1F">
            <w:pPr>
              <w:rPr>
                <w:sz w:val="16"/>
                <w:szCs w:val="16"/>
                <w:lang w:bidi="th-TH"/>
              </w:rPr>
            </w:pPr>
            <w:r w:rsidRPr="00C258AD">
              <w:rPr>
                <w:sz w:val="16"/>
                <w:szCs w:val="16"/>
              </w:rPr>
              <w:t>Dans le cadre de la Phase II du projet du Plan d’action sur le renforcement des capacités d’utilisation de l’information technique et scientifique axée sur les technologies appropriées pour répondre à certains enjeux de développement, des mémorandums d’accord ont été signés avec 4 PMA (Éthiopie, Ouganda, République</w:t>
            </w:r>
            <w:r w:rsidRPr="00C258AD">
              <w:rPr>
                <w:sz w:val="16"/>
                <w:szCs w:val="16"/>
              </w:rPr>
              <w:noBreakHyphen/>
              <w:t>Unie de Tanzanie, Rwanda), et fin 2015, le projet avait démarré dans 3 PMA (Éthiopie, République</w:t>
            </w:r>
            <w:r w:rsidRPr="00C258AD">
              <w:rPr>
                <w:sz w:val="16"/>
                <w:szCs w:val="16"/>
              </w:rPr>
              <w:noBreakHyphen/>
              <w:t xml:space="preserve">Unie de Tanzanie, Rwanda).  </w:t>
            </w:r>
          </w:p>
        </w:tc>
        <w:tc>
          <w:tcPr>
            <w:tcW w:w="1132" w:type="dxa"/>
            <w:gridSpan w:val="2"/>
            <w:shd w:val="clear" w:color="auto" w:fill="auto"/>
            <w:tcMar>
              <w:top w:w="110" w:type="dxa"/>
            </w:tcMar>
          </w:tcPr>
          <w:p w:rsidR="00E472AA" w:rsidRPr="00C258AD" w:rsidRDefault="00E472AA" w:rsidP="00927E1F">
            <w:pPr>
              <w:keepNext/>
              <w:keepLines/>
              <w:jc w:val="center"/>
              <w:rPr>
                <w:b/>
                <w:bCs/>
                <w:color w:val="00B050"/>
                <w:sz w:val="16"/>
              </w:rPr>
            </w:pPr>
            <w:r w:rsidRPr="00C258AD">
              <w:rPr>
                <w:b/>
                <w:bCs/>
                <w:color w:val="00B050"/>
                <w:sz w:val="16"/>
              </w:rPr>
              <w:t>Objectif pleinement atteint</w:t>
            </w:r>
          </w:p>
          <w:p w:rsidR="00E472AA" w:rsidRPr="00C258AD" w:rsidRDefault="00E472AA" w:rsidP="00927E1F">
            <w:pPr>
              <w:keepNext/>
              <w:keepLines/>
              <w:jc w:val="center"/>
              <w:rPr>
                <w:b/>
                <w:bCs/>
                <w:color w:val="00B050"/>
                <w:sz w:val="16"/>
              </w:rPr>
            </w:pPr>
          </w:p>
          <w:p w:rsidR="00E472AA" w:rsidRPr="00C258AD" w:rsidRDefault="00E472AA" w:rsidP="00927E1F">
            <w:pPr>
              <w:keepNext/>
              <w:keepLines/>
              <w:jc w:val="center"/>
              <w:rPr>
                <w:b/>
                <w:bCs/>
                <w:color w:val="00B050"/>
                <w:sz w:val="16"/>
              </w:rPr>
            </w:pPr>
          </w:p>
          <w:p w:rsidR="00E472AA" w:rsidRPr="00C258AD" w:rsidRDefault="00E472AA" w:rsidP="00927E1F">
            <w:pPr>
              <w:keepNext/>
              <w:keepLines/>
              <w:jc w:val="center"/>
              <w:rPr>
                <w:b/>
                <w:color w:val="00B050"/>
                <w:sz w:val="16"/>
                <w:szCs w:val="16"/>
              </w:rPr>
            </w:pPr>
          </w:p>
          <w:p w:rsidR="00E472AA" w:rsidRPr="00C258AD" w:rsidRDefault="00E472AA" w:rsidP="00927E1F">
            <w:pPr>
              <w:keepNext/>
              <w:keepLines/>
              <w:jc w:val="center"/>
              <w:rPr>
                <w:b/>
                <w:bCs/>
                <w:color w:val="00B050"/>
                <w:sz w:val="16"/>
              </w:rPr>
            </w:pPr>
          </w:p>
          <w:p w:rsidR="00E472AA" w:rsidRDefault="00E472AA" w:rsidP="00927E1F">
            <w:pPr>
              <w:keepNext/>
              <w:keepLines/>
              <w:jc w:val="center"/>
              <w:rPr>
                <w:b/>
                <w:bCs/>
                <w:color w:val="00B050"/>
                <w:sz w:val="16"/>
              </w:rPr>
            </w:pPr>
          </w:p>
          <w:p w:rsidR="008808C8" w:rsidRPr="00C258AD" w:rsidRDefault="008808C8" w:rsidP="00927E1F">
            <w:pPr>
              <w:keepNext/>
              <w:keepLines/>
              <w:jc w:val="center"/>
              <w:rPr>
                <w:b/>
                <w:bCs/>
                <w:color w:val="00B050"/>
                <w:sz w:val="16"/>
              </w:rPr>
            </w:pPr>
          </w:p>
          <w:p w:rsidR="00E472AA" w:rsidRPr="00C258AD" w:rsidRDefault="00E472AA" w:rsidP="00927E1F">
            <w:pPr>
              <w:keepNext/>
              <w:keepLines/>
              <w:jc w:val="center"/>
              <w:rPr>
                <w:b/>
                <w:bCs/>
                <w:color w:val="00B050"/>
                <w:sz w:val="16"/>
              </w:rPr>
            </w:pPr>
          </w:p>
          <w:p w:rsidR="00E472AA" w:rsidRPr="00C258AD" w:rsidRDefault="00E472AA" w:rsidP="00927E1F">
            <w:pPr>
              <w:keepNext/>
              <w:keepLines/>
              <w:jc w:val="center"/>
              <w:rPr>
                <w:b/>
                <w:color w:val="00B050"/>
                <w:sz w:val="16"/>
                <w:szCs w:val="16"/>
              </w:rPr>
            </w:pPr>
            <w:r w:rsidRPr="00C258AD">
              <w:rPr>
                <w:b/>
                <w:bCs/>
                <w:color w:val="00B050"/>
                <w:sz w:val="16"/>
              </w:rPr>
              <w:t>Objectif pleinement atteint</w:t>
            </w:r>
          </w:p>
          <w:p w:rsidR="00E472AA" w:rsidRPr="00C258AD" w:rsidRDefault="00E472AA" w:rsidP="00927E1F">
            <w:pPr>
              <w:keepNext/>
              <w:keepLines/>
              <w:jc w:val="center"/>
              <w:rPr>
                <w:b/>
                <w:bCs/>
                <w:color w:val="00B050"/>
                <w:sz w:val="16"/>
              </w:rPr>
            </w:pPr>
          </w:p>
          <w:p w:rsidR="008808C8" w:rsidRPr="00C258AD" w:rsidRDefault="008808C8" w:rsidP="00927E1F">
            <w:pPr>
              <w:keepNext/>
              <w:keepLines/>
              <w:jc w:val="center"/>
              <w:rPr>
                <w:b/>
                <w:bCs/>
                <w:color w:val="00B050"/>
                <w:sz w:val="16"/>
              </w:rPr>
            </w:pPr>
          </w:p>
          <w:p w:rsidR="00E472AA" w:rsidRPr="00C258AD" w:rsidRDefault="00E472AA" w:rsidP="00927E1F">
            <w:pPr>
              <w:keepNext/>
              <w:keepLines/>
              <w:jc w:val="center"/>
              <w:rPr>
                <w:b/>
                <w:bCs/>
                <w:color w:val="00B050"/>
                <w:sz w:val="16"/>
              </w:rPr>
            </w:pPr>
            <w:r w:rsidRPr="00C258AD">
              <w:rPr>
                <w:b/>
                <w:bCs/>
                <w:color w:val="FF0000"/>
                <w:sz w:val="16"/>
              </w:rPr>
              <w:t>Objectif pas atteint</w:t>
            </w:r>
          </w:p>
          <w:p w:rsidR="00E472AA" w:rsidRPr="00C258AD" w:rsidRDefault="00E472AA" w:rsidP="00927E1F">
            <w:pPr>
              <w:keepNext/>
              <w:keepLines/>
              <w:jc w:val="center"/>
              <w:rPr>
                <w:b/>
                <w:bCs/>
                <w:color w:val="00B050"/>
                <w:sz w:val="16"/>
              </w:rPr>
            </w:pPr>
          </w:p>
          <w:p w:rsidR="00E472AA" w:rsidRDefault="00E472AA" w:rsidP="00927E1F">
            <w:pPr>
              <w:keepNext/>
              <w:keepLines/>
              <w:jc w:val="center"/>
              <w:rPr>
                <w:b/>
                <w:bCs/>
                <w:color w:val="00B050"/>
                <w:sz w:val="16"/>
              </w:rPr>
            </w:pPr>
          </w:p>
          <w:p w:rsidR="00E472AA" w:rsidRPr="00C258AD" w:rsidRDefault="00E472AA" w:rsidP="00927E1F">
            <w:pPr>
              <w:keepNext/>
              <w:keepLines/>
              <w:jc w:val="center"/>
              <w:rPr>
                <w:b/>
                <w:color w:val="00B050"/>
                <w:sz w:val="16"/>
                <w:szCs w:val="16"/>
              </w:rPr>
            </w:pPr>
            <w:r w:rsidRPr="00C258AD">
              <w:rPr>
                <w:b/>
                <w:bCs/>
                <w:color w:val="00B050"/>
                <w:sz w:val="16"/>
              </w:rPr>
              <w:t>Objectif pleinement atteint</w:t>
            </w:r>
          </w:p>
          <w:p w:rsidR="00E472AA" w:rsidRDefault="00E472AA" w:rsidP="00927E1F">
            <w:pPr>
              <w:keepNext/>
              <w:keepLines/>
              <w:jc w:val="center"/>
              <w:rPr>
                <w:b/>
                <w:bCs/>
                <w:color w:val="00B050"/>
                <w:sz w:val="16"/>
              </w:rPr>
            </w:pPr>
          </w:p>
          <w:p w:rsidR="008808C8" w:rsidRDefault="008808C8" w:rsidP="00927E1F">
            <w:pPr>
              <w:keepNext/>
              <w:keepLines/>
              <w:jc w:val="center"/>
              <w:rPr>
                <w:b/>
                <w:bCs/>
                <w:color w:val="00B050"/>
                <w:sz w:val="16"/>
              </w:rPr>
            </w:pPr>
          </w:p>
          <w:p w:rsidR="008808C8" w:rsidRDefault="008808C8" w:rsidP="00927E1F">
            <w:pPr>
              <w:keepNext/>
              <w:keepLines/>
              <w:jc w:val="center"/>
              <w:rPr>
                <w:b/>
                <w:bCs/>
                <w:color w:val="00B050"/>
                <w:sz w:val="16"/>
              </w:rPr>
            </w:pPr>
          </w:p>
          <w:p w:rsidR="008808C8" w:rsidRPr="00C258AD" w:rsidRDefault="008808C8" w:rsidP="00927E1F">
            <w:pPr>
              <w:keepNext/>
              <w:keepLines/>
              <w:jc w:val="center"/>
              <w:rPr>
                <w:b/>
                <w:bCs/>
                <w:color w:val="00B050"/>
                <w:sz w:val="16"/>
              </w:rPr>
            </w:pPr>
          </w:p>
          <w:p w:rsidR="00E472AA" w:rsidRPr="00C258AD" w:rsidRDefault="00E472AA" w:rsidP="00927E1F">
            <w:pPr>
              <w:keepNext/>
              <w:keepLines/>
              <w:jc w:val="center"/>
              <w:rPr>
                <w:b/>
                <w:color w:val="00B050"/>
                <w:sz w:val="16"/>
                <w:szCs w:val="16"/>
              </w:rPr>
            </w:pPr>
            <w:r w:rsidRPr="00C258AD">
              <w:rPr>
                <w:b/>
                <w:bCs/>
                <w:color w:val="00B050"/>
                <w:sz w:val="16"/>
              </w:rPr>
              <w:t>Objectif pleinement atteint</w:t>
            </w:r>
          </w:p>
          <w:p w:rsidR="00E472AA" w:rsidRPr="00C258AD" w:rsidRDefault="00E472AA" w:rsidP="00927E1F">
            <w:pPr>
              <w:keepNext/>
              <w:keepLines/>
              <w:jc w:val="center"/>
              <w:rPr>
                <w:b/>
                <w:bCs/>
                <w:color w:val="FF0000"/>
                <w:sz w:val="16"/>
                <w:szCs w:val="16"/>
              </w:rPr>
            </w:pPr>
          </w:p>
        </w:tc>
      </w:tr>
      <w:tr w:rsidR="00E472AA" w:rsidRPr="00C258AD" w:rsidTr="00927E1F">
        <w:trPr>
          <w:cantSplit/>
        </w:trPr>
        <w:tc>
          <w:tcPr>
            <w:tcW w:w="9874" w:type="dxa"/>
            <w:gridSpan w:val="11"/>
            <w:tcBorders>
              <w:top w:val="single" w:sz="4" w:space="0" w:color="auto"/>
              <w:bottom w:val="single" w:sz="4" w:space="0" w:color="auto"/>
            </w:tcBorders>
            <w:shd w:val="clear" w:color="auto" w:fill="C5D9F1"/>
          </w:tcPr>
          <w:p w:rsidR="00E472AA" w:rsidRPr="00C258AD" w:rsidRDefault="00E472AA" w:rsidP="00927E1F">
            <w:pPr>
              <w:keepNext/>
              <w:keepLines/>
              <w:tabs>
                <w:tab w:val="left" w:pos="1452"/>
              </w:tabs>
              <w:rPr>
                <w:b/>
                <w:bCs/>
                <w:color w:val="00B050"/>
                <w:sz w:val="16"/>
                <w:szCs w:val="16"/>
              </w:rPr>
            </w:pPr>
            <w:r w:rsidRPr="00C258AD">
              <w:rPr>
                <w:b/>
                <w:sz w:val="16"/>
                <w:szCs w:val="16"/>
              </w:rPr>
              <w:lastRenderedPageBreak/>
              <w:t xml:space="preserve">Résultat escompté : </w:t>
            </w:r>
            <w:r w:rsidRPr="00C258AD">
              <w:rPr>
                <w:sz w:val="16"/>
                <w:szCs w:val="16"/>
              </w:rPr>
              <w:t>IV.2 Amélioration de l’accessibilité et de l’utilisation de l’information en matière de propriété intellectuelle par les institutions compétentes et le public afin de promouvoir l’innovation et la créativité</w:t>
            </w:r>
          </w:p>
        </w:tc>
      </w:tr>
      <w:tr w:rsidR="00E472AA" w:rsidRPr="00C258AD" w:rsidTr="00927E1F">
        <w:trPr>
          <w:cantSplit/>
        </w:trPr>
        <w:tc>
          <w:tcPr>
            <w:tcW w:w="1337" w:type="dxa"/>
            <w:tcBorders>
              <w:top w:val="single" w:sz="4" w:space="0" w:color="auto"/>
            </w:tcBorders>
            <w:shd w:val="clear" w:color="auto" w:fill="auto"/>
            <w:vAlign w:val="center"/>
          </w:tcPr>
          <w:p w:rsidR="00E472AA" w:rsidRPr="00C258AD" w:rsidRDefault="00E472AA" w:rsidP="00927E1F">
            <w:pPr>
              <w:keepNext/>
              <w:jc w:val="center"/>
              <w:rPr>
                <w:sz w:val="16"/>
                <w:szCs w:val="16"/>
              </w:rPr>
            </w:pPr>
            <w:r w:rsidRPr="00C258AD">
              <w:rPr>
                <w:b/>
                <w:sz w:val="16"/>
                <w:szCs w:val="16"/>
              </w:rPr>
              <w:t>Indicateurs d’exécution</w:t>
            </w:r>
          </w:p>
        </w:tc>
        <w:tc>
          <w:tcPr>
            <w:tcW w:w="2410" w:type="dxa"/>
            <w:gridSpan w:val="2"/>
            <w:tcBorders>
              <w:top w:val="single" w:sz="4" w:space="0" w:color="auto"/>
            </w:tcBorders>
            <w:shd w:val="clear" w:color="auto" w:fill="auto"/>
            <w:vAlign w:val="center"/>
          </w:tcPr>
          <w:p w:rsidR="00E472AA" w:rsidRPr="00C258AD" w:rsidRDefault="00E472AA" w:rsidP="00927E1F">
            <w:pPr>
              <w:keepNext/>
              <w:jc w:val="center"/>
              <w:rPr>
                <w:b/>
                <w:bCs/>
                <w:sz w:val="16"/>
                <w:szCs w:val="16"/>
              </w:rPr>
            </w:pPr>
            <w:r w:rsidRPr="00C258AD">
              <w:rPr>
                <w:b/>
                <w:sz w:val="16"/>
                <w:szCs w:val="16"/>
              </w:rPr>
              <w:t>Niveaux de référence</w:t>
            </w:r>
          </w:p>
        </w:tc>
        <w:tc>
          <w:tcPr>
            <w:tcW w:w="2551" w:type="dxa"/>
            <w:gridSpan w:val="4"/>
            <w:tcBorders>
              <w:top w:val="single" w:sz="4" w:space="0" w:color="auto"/>
            </w:tcBorders>
            <w:shd w:val="clear" w:color="auto" w:fill="auto"/>
            <w:vAlign w:val="center"/>
          </w:tcPr>
          <w:p w:rsidR="00E472AA" w:rsidRPr="00C258AD" w:rsidRDefault="00E472AA" w:rsidP="00927E1F">
            <w:pPr>
              <w:keepNext/>
              <w:jc w:val="center"/>
              <w:rPr>
                <w:b/>
                <w:sz w:val="16"/>
                <w:szCs w:val="16"/>
              </w:rPr>
            </w:pPr>
            <w:r w:rsidRPr="00C258AD">
              <w:rPr>
                <w:b/>
                <w:sz w:val="16"/>
                <w:szCs w:val="16"/>
              </w:rPr>
              <w:t>Objectifs visés</w:t>
            </w:r>
          </w:p>
        </w:tc>
        <w:tc>
          <w:tcPr>
            <w:tcW w:w="2444" w:type="dxa"/>
            <w:gridSpan w:val="2"/>
            <w:tcBorders>
              <w:top w:val="single" w:sz="4" w:space="0" w:color="auto"/>
            </w:tcBorders>
            <w:shd w:val="clear" w:color="auto" w:fill="auto"/>
            <w:vAlign w:val="center"/>
          </w:tcPr>
          <w:p w:rsidR="00E472AA" w:rsidRPr="00C258AD" w:rsidRDefault="00E472AA" w:rsidP="00927E1F">
            <w:pPr>
              <w:keepNext/>
              <w:jc w:val="center"/>
              <w:rPr>
                <w:sz w:val="16"/>
                <w:szCs w:val="16"/>
              </w:rPr>
            </w:pPr>
            <w:r w:rsidRPr="00C258AD">
              <w:rPr>
                <w:b/>
                <w:sz w:val="16"/>
                <w:szCs w:val="16"/>
              </w:rPr>
              <w:t>Données relatives à l’exécution</w:t>
            </w:r>
          </w:p>
        </w:tc>
        <w:tc>
          <w:tcPr>
            <w:tcW w:w="1132" w:type="dxa"/>
            <w:gridSpan w:val="2"/>
            <w:tcBorders>
              <w:top w:val="single" w:sz="4" w:space="0" w:color="auto"/>
            </w:tcBorders>
            <w:shd w:val="clear" w:color="auto" w:fill="auto"/>
            <w:vAlign w:val="center"/>
          </w:tcPr>
          <w:p w:rsidR="00E472AA" w:rsidRPr="00C258AD" w:rsidRDefault="00E472AA" w:rsidP="00927E1F">
            <w:pPr>
              <w:keepNext/>
              <w:keepLines/>
              <w:jc w:val="center"/>
              <w:rPr>
                <w:b/>
                <w:bCs/>
                <w:sz w:val="16"/>
                <w:szCs w:val="16"/>
              </w:rPr>
            </w:pPr>
            <w:r w:rsidRPr="00C258AD">
              <w:rPr>
                <w:b/>
                <w:sz w:val="16"/>
                <w:szCs w:val="16"/>
              </w:rPr>
              <w:t>Code de couleurs</w:t>
            </w:r>
          </w:p>
        </w:tc>
      </w:tr>
      <w:tr w:rsidR="00E472AA" w:rsidRPr="00C258AD" w:rsidTr="00927E1F">
        <w:trPr>
          <w:cantSplit/>
        </w:trPr>
        <w:tc>
          <w:tcPr>
            <w:tcW w:w="1337" w:type="dxa"/>
            <w:shd w:val="clear" w:color="auto" w:fill="FFFFFF"/>
          </w:tcPr>
          <w:p w:rsidR="00E472AA" w:rsidRPr="00C258AD" w:rsidRDefault="00E472AA" w:rsidP="00927E1F">
            <w:pPr>
              <w:rPr>
                <w:sz w:val="16"/>
                <w:szCs w:val="16"/>
                <w:lang w:bidi="th-TH"/>
              </w:rPr>
            </w:pPr>
            <w:r w:rsidRPr="00C258AD">
              <w:rPr>
                <w:sz w:val="16"/>
                <w:szCs w:val="16"/>
              </w:rPr>
              <w:t>Nombre de réseaux nationaux de centres de technologie et d’appui à l’innovation durables</w:t>
            </w:r>
          </w:p>
        </w:tc>
        <w:tc>
          <w:tcPr>
            <w:tcW w:w="2410" w:type="dxa"/>
            <w:gridSpan w:val="2"/>
            <w:shd w:val="clear" w:color="auto" w:fill="auto"/>
          </w:tcPr>
          <w:p w:rsidR="00E472AA" w:rsidRPr="00C258AD" w:rsidRDefault="00E472AA" w:rsidP="00927E1F">
            <w:pPr>
              <w:rPr>
                <w:color w:val="002060"/>
                <w:sz w:val="16"/>
                <w:szCs w:val="16"/>
              </w:rPr>
            </w:pPr>
            <w:r w:rsidRPr="00C258AD">
              <w:rPr>
                <w:i/>
                <w:color w:val="002060"/>
                <w:sz w:val="16"/>
                <w:szCs w:val="16"/>
              </w:rPr>
              <w:t xml:space="preserve">Niveau de référence actualisé fin 2013 : </w:t>
            </w:r>
            <w:r w:rsidRPr="00C258AD">
              <w:rPr>
                <w:color w:val="002060"/>
                <w:sz w:val="16"/>
                <w:szCs w:val="16"/>
              </w:rPr>
              <w:t>14 centres de technologie et d’appui à l’innovation durables (sur 36 créés)</w:t>
            </w:r>
          </w:p>
          <w:p w:rsidR="00E472AA" w:rsidRPr="00C258AD" w:rsidRDefault="00E472AA" w:rsidP="00927E1F">
            <w:pPr>
              <w:rPr>
                <w:i/>
                <w:color w:val="002060"/>
                <w:sz w:val="16"/>
                <w:szCs w:val="16"/>
              </w:rPr>
            </w:pPr>
          </w:p>
          <w:p w:rsidR="00E472AA" w:rsidRPr="00C258AD" w:rsidRDefault="00E472AA" w:rsidP="00927E1F">
            <w:pPr>
              <w:rPr>
                <w:i/>
                <w:sz w:val="16"/>
                <w:szCs w:val="16"/>
                <w:lang w:bidi="th-TH"/>
              </w:rPr>
            </w:pPr>
            <w:r w:rsidRPr="00C258AD">
              <w:rPr>
                <w:i/>
                <w:sz w:val="16"/>
                <w:szCs w:val="16"/>
              </w:rPr>
              <w:t>Niveau de référence initial Programme et budget 2014</w:t>
            </w:r>
            <w:r w:rsidRPr="00C258AD">
              <w:rPr>
                <w:i/>
                <w:sz w:val="16"/>
                <w:szCs w:val="16"/>
              </w:rPr>
              <w:noBreakHyphen/>
              <w:t>2015 :</w:t>
            </w:r>
          </w:p>
          <w:p w:rsidR="00E472AA" w:rsidRPr="00C258AD" w:rsidRDefault="00E472AA" w:rsidP="00927E1F">
            <w:pPr>
              <w:rPr>
                <w:i/>
                <w:sz w:val="16"/>
                <w:szCs w:val="16"/>
              </w:rPr>
            </w:pPr>
            <w:r w:rsidRPr="00C258AD">
              <w:rPr>
                <w:i/>
                <w:sz w:val="16"/>
                <w:szCs w:val="16"/>
                <w:lang w:bidi="th-TH"/>
              </w:rPr>
              <w:t>14 réseaux nationaux de CATI :</w:t>
            </w:r>
          </w:p>
          <w:p w:rsidR="00E472AA" w:rsidRPr="00C258AD" w:rsidRDefault="00E472AA" w:rsidP="00927E1F">
            <w:pPr>
              <w:rPr>
                <w:sz w:val="16"/>
                <w:szCs w:val="16"/>
                <w:lang w:bidi="th-TH"/>
              </w:rPr>
            </w:pPr>
            <w:r w:rsidRPr="00C258AD">
              <w:rPr>
                <w:sz w:val="16"/>
                <w:szCs w:val="16"/>
              </w:rPr>
              <w:t>Afrique (6)</w:t>
            </w:r>
          </w:p>
          <w:p w:rsidR="00E472AA" w:rsidRPr="00C258AD" w:rsidRDefault="00E472AA" w:rsidP="00927E1F">
            <w:pPr>
              <w:rPr>
                <w:sz w:val="16"/>
                <w:szCs w:val="16"/>
                <w:lang w:bidi="th-TH"/>
              </w:rPr>
            </w:pPr>
            <w:r w:rsidRPr="00C258AD">
              <w:rPr>
                <w:sz w:val="16"/>
                <w:szCs w:val="16"/>
              </w:rPr>
              <w:t>Pays arabes (2)</w:t>
            </w:r>
          </w:p>
          <w:p w:rsidR="00E472AA" w:rsidRPr="00C258AD" w:rsidRDefault="00E472AA" w:rsidP="00927E1F">
            <w:pPr>
              <w:rPr>
                <w:sz w:val="16"/>
                <w:szCs w:val="16"/>
                <w:lang w:bidi="th-TH"/>
              </w:rPr>
            </w:pPr>
            <w:r w:rsidRPr="00C258AD">
              <w:rPr>
                <w:sz w:val="16"/>
                <w:szCs w:val="16"/>
              </w:rPr>
              <w:t>Asie et Pacifique (2)</w:t>
            </w:r>
          </w:p>
          <w:p w:rsidR="00E472AA" w:rsidRPr="00C258AD" w:rsidRDefault="00E472AA" w:rsidP="00927E1F">
            <w:pPr>
              <w:rPr>
                <w:sz w:val="16"/>
                <w:szCs w:val="16"/>
                <w:lang w:bidi="th-TH"/>
              </w:rPr>
            </w:pPr>
            <w:r w:rsidRPr="00C258AD">
              <w:rPr>
                <w:sz w:val="16"/>
                <w:szCs w:val="16"/>
              </w:rPr>
              <w:t>Amérique latine et Caraïbes (4)</w:t>
            </w:r>
          </w:p>
          <w:p w:rsidR="00E472AA" w:rsidRPr="00C258AD" w:rsidRDefault="00E472AA" w:rsidP="00927E1F">
            <w:pPr>
              <w:rPr>
                <w:i/>
                <w:color w:val="002060"/>
                <w:sz w:val="16"/>
                <w:szCs w:val="16"/>
              </w:rPr>
            </w:pPr>
            <w:r w:rsidRPr="00C258AD">
              <w:rPr>
                <w:sz w:val="16"/>
                <w:szCs w:val="16"/>
              </w:rPr>
              <w:t>6 PMA inclus dans la ventilation régionale ci</w:t>
            </w:r>
            <w:r w:rsidRPr="00C258AD">
              <w:rPr>
                <w:sz w:val="16"/>
                <w:szCs w:val="16"/>
              </w:rPr>
              <w:noBreakHyphen/>
              <w:t>dessus</w:t>
            </w:r>
          </w:p>
        </w:tc>
        <w:tc>
          <w:tcPr>
            <w:tcW w:w="2551" w:type="dxa"/>
            <w:gridSpan w:val="4"/>
            <w:shd w:val="clear" w:color="auto" w:fill="auto"/>
            <w:tcMar>
              <w:top w:w="110" w:type="dxa"/>
            </w:tcMar>
          </w:tcPr>
          <w:p w:rsidR="00E472AA" w:rsidRPr="00C258AD" w:rsidRDefault="00E472AA" w:rsidP="00927E1F">
            <w:pPr>
              <w:rPr>
                <w:sz w:val="16"/>
                <w:szCs w:val="16"/>
                <w:lang w:bidi="th-TH"/>
              </w:rPr>
            </w:pPr>
            <w:r w:rsidRPr="00C258AD">
              <w:rPr>
                <w:sz w:val="16"/>
                <w:szCs w:val="16"/>
                <w:lang w:bidi="th-TH"/>
              </w:rPr>
              <w:t>23 réseaux nationaux de CATI (données cumulées) :</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Afrique (10</w:t>
            </w:r>
            <w:r w:rsidRPr="00C258AD">
              <w:rPr>
                <w:sz w:val="16"/>
                <w:szCs w:val="16"/>
                <w:lang w:bidi="th-TH"/>
              </w:rPr>
              <w:t xml:space="preserve"> dont 8 PMA</w:t>
            </w:r>
            <w:r w:rsidRPr="00C258AD">
              <w:rPr>
                <w:sz w:val="16"/>
                <w:szCs w:val="16"/>
              </w:rPr>
              <w:t>)</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Pays arabes (3)</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Asie et Pacifique (</w:t>
            </w:r>
            <w:r w:rsidRPr="00C258AD">
              <w:rPr>
                <w:sz w:val="16"/>
                <w:szCs w:val="16"/>
                <w:lang w:bidi="th-TH"/>
              </w:rPr>
              <w:t>4 dont 2 PMA</w:t>
            </w:r>
            <w:r w:rsidRPr="00C258AD">
              <w:rPr>
                <w:sz w:val="16"/>
                <w:szCs w:val="16"/>
              </w:rPr>
              <w:t>)</w:t>
            </w: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p>
          <w:p w:rsidR="00E472AA" w:rsidRPr="00C258AD" w:rsidRDefault="00E472AA" w:rsidP="00927E1F">
            <w:pPr>
              <w:rPr>
                <w:sz w:val="16"/>
                <w:szCs w:val="16"/>
                <w:lang w:bidi="th-TH"/>
              </w:rPr>
            </w:pPr>
            <w:r w:rsidRPr="00C258AD">
              <w:rPr>
                <w:sz w:val="16"/>
                <w:szCs w:val="16"/>
              </w:rPr>
              <w:t>Amérique latine et Caraïbes (6)</w:t>
            </w:r>
          </w:p>
          <w:p w:rsidR="00E472AA" w:rsidRPr="00C258AD" w:rsidRDefault="00E472AA" w:rsidP="00927E1F">
            <w:pPr>
              <w:rPr>
                <w:sz w:val="16"/>
                <w:szCs w:val="16"/>
                <w:lang w:bidi="th-TH"/>
              </w:rPr>
            </w:pPr>
          </w:p>
        </w:tc>
        <w:tc>
          <w:tcPr>
            <w:tcW w:w="2444" w:type="dxa"/>
            <w:gridSpan w:val="2"/>
            <w:shd w:val="clear" w:color="auto" w:fill="FFFFFF"/>
            <w:tcMar>
              <w:top w:w="110" w:type="dxa"/>
            </w:tcMar>
          </w:tcPr>
          <w:p w:rsidR="00E472AA" w:rsidRPr="00C258AD" w:rsidRDefault="00E472AA" w:rsidP="00927E1F">
            <w:pPr>
              <w:rPr>
                <w:sz w:val="16"/>
                <w:szCs w:val="16"/>
              </w:rPr>
            </w:pPr>
            <w:r w:rsidRPr="00C258AD">
              <w:rPr>
                <w:sz w:val="16"/>
                <w:szCs w:val="16"/>
              </w:rPr>
              <w:t>24 réseaux nationaux durables sur 49 officiellement créés (</w:t>
            </w:r>
            <w:r w:rsidRPr="00C258AD">
              <w:rPr>
                <w:sz w:val="16"/>
                <w:szCs w:val="16"/>
                <w:lang w:bidi="th-TH"/>
              </w:rPr>
              <w:t>données cumulées) :</w:t>
            </w:r>
          </w:p>
          <w:p w:rsidR="00E472AA" w:rsidRPr="00C258AD" w:rsidRDefault="00E472AA" w:rsidP="00927E1F">
            <w:pPr>
              <w:rPr>
                <w:sz w:val="16"/>
                <w:szCs w:val="16"/>
              </w:rPr>
            </w:pPr>
          </w:p>
          <w:p w:rsidR="00E472AA" w:rsidRPr="00C258AD" w:rsidRDefault="00E472AA" w:rsidP="00927E1F">
            <w:pPr>
              <w:rPr>
                <w:sz w:val="16"/>
                <w:szCs w:val="16"/>
              </w:rPr>
            </w:pPr>
            <w:r w:rsidRPr="00C258AD">
              <w:rPr>
                <w:sz w:val="16"/>
                <w:szCs w:val="16"/>
              </w:rPr>
              <w:t>Afrique (10, dont 8 PMA)</w:t>
            </w:r>
          </w:p>
          <w:p w:rsidR="00E472AA" w:rsidRPr="00C258AD" w:rsidRDefault="00E472AA" w:rsidP="00927E1F">
            <w:pPr>
              <w:rPr>
                <w:sz w:val="16"/>
                <w:szCs w:val="16"/>
              </w:rPr>
            </w:pPr>
          </w:p>
          <w:p w:rsidR="00E472AA" w:rsidRPr="00C258AD" w:rsidRDefault="00E472AA" w:rsidP="00927E1F">
            <w:pPr>
              <w:rPr>
                <w:sz w:val="16"/>
                <w:szCs w:val="16"/>
              </w:rPr>
            </w:pPr>
          </w:p>
          <w:p w:rsidR="00E472AA" w:rsidRPr="00C258AD" w:rsidRDefault="00E472AA" w:rsidP="00927E1F">
            <w:pPr>
              <w:rPr>
                <w:sz w:val="16"/>
                <w:szCs w:val="16"/>
              </w:rPr>
            </w:pPr>
          </w:p>
          <w:p w:rsidR="00E472AA" w:rsidRPr="00C258AD" w:rsidRDefault="00E472AA" w:rsidP="00927E1F">
            <w:pPr>
              <w:rPr>
                <w:sz w:val="16"/>
                <w:szCs w:val="16"/>
              </w:rPr>
            </w:pPr>
            <w:r w:rsidRPr="00C258AD">
              <w:rPr>
                <w:sz w:val="16"/>
                <w:szCs w:val="16"/>
              </w:rPr>
              <w:t>Pays arabes (3)</w:t>
            </w:r>
          </w:p>
          <w:p w:rsidR="00E472AA" w:rsidRPr="00C258AD" w:rsidRDefault="00E472AA" w:rsidP="00927E1F">
            <w:pPr>
              <w:rPr>
                <w:sz w:val="16"/>
                <w:szCs w:val="16"/>
              </w:rPr>
            </w:pPr>
          </w:p>
          <w:p w:rsidR="00E472AA" w:rsidRPr="00C258AD" w:rsidRDefault="00E472AA" w:rsidP="00927E1F">
            <w:pPr>
              <w:rPr>
                <w:sz w:val="16"/>
                <w:szCs w:val="16"/>
              </w:rPr>
            </w:pPr>
          </w:p>
          <w:p w:rsidR="00E472AA" w:rsidRPr="00C258AD" w:rsidRDefault="00E472AA" w:rsidP="00927E1F">
            <w:pPr>
              <w:rPr>
                <w:sz w:val="16"/>
                <w:szCs w:val="16"/>
              </w:rPr>
            </w:pPr>
          </w:p>
          <w:p w:rsidR="00E472AA" w:rsidRPr="00C258AD" w:rsidRDefault="00E472AA" w:rsidP="00927E1F">
            <w:pPr>
              <w:rPr>
                <w:sz w:val="16"/>
                <w:szCs w:val="16"/>
              </w:rPr>
            </w:pPr>
            <w:r w:rsidRPr="00C258AD">
              <w:rPr>
                <w:sz w:val="16"/>
                <w:szCs w:val="16"/>
              </w:rPr>
              <w:t>Asie et Pacifique (4, dont 1 PMA)</w:t>
            </w:r>
          </w:p>
          <w:p w:rsidR="00E472AA" w:rsidRPr="00C258AD" w:rsidRDefault="00E472AA" w:rsidP="00927E1F">
            <w:pPr>
              <w:rPr>
                <w:sz w:val="16"/>
                <w:szCs w:val="16"/>
              </w:rPr>
            </w:pPr>
          </w:p>
          <w:p w:rsidR="00E472AA" w:rsidRPr="00C258AD" w:rsidRDefault="00E472AA" w:rsidP="00927E1F">
            <w:pPr>
              <w:rPr>
                <w:sz w:val="16"/>
                <w:szCs w:val="16"/>
              </w:rPr>
            </w:pPr>
          </w:p>
          <w:p w:rsidR="00E472AA" w:rsidRPr="00C258AD" w:rsidRDefault="00E472AA" w:rsidP="00927E1F">
            <w:pPr>
              <w:rPr>
                <w:sz w:val="16"/>
                <w:szCs w:val="16"/>
              </w:rPr>
            </w:pPr>
            <w:r w:rsidRPr="00C258AD">
              <w:rPr>
                <w:sz w:val="16"/>
                <w:szCs w:val="16"/>
              </w:rPr>
              <w:t>Amérique latine et Caraïbes (7)</w:t>
            </w:r>
          </w:p>
          <w:p w:rsidR="00E472AA" w:rsidRPr="00C258AD" w:rsidRDefault="00E472AA" w:rsidP="00927E1F">
            <w:pPr>
              <w:rPr>
                <w:sz w:val="16"/>
                <w:szCs w:val="16"/>
              </w:rPr>
            </w:pPr>
          </w:p>
          <w:p w:rsidR="00E472AA" w:rsidRPr="00C258AD" w:rsidRDefault="00E472AA" w:rsidP="00927E1F">
            <w:pPr>
              <w:rPr>
                <w:sz w:val="16"/>
                <w:szCs w:val="16"/>
                <w:lang w:bidi="th-TH"/>
              </w:rPr>
            </w:pPr>
            <w:r w:rsidRPr="00C258AD">
              <w:rPr>
                <w:sz w:val="16"/>
                <w:szCs w:val="16"/>
                <w:lang w:bidi="th-TH"/>
              </w:rPr>
              <w:t>9 PMA inclus dans la ventilation régionale ci</w:t>
            </w:r>
            <w:r w:rsidRPr="00C258AD">
              <w:rPr>
                <w:sz w:val="16"/>
                <w:szCs w:val="16"/>
                <w:lang w:bidi="th-TH"/>
              </w:rPr>
              <w:noBreakHyphen/>
              <w:t>dessus</w:t>
            </w:r>
          </w:p>
        </w:tc>
        <w:tc>
          <w:tcPr>
            <w:tcW w:w="1132" w:type="dxa"/>
            <w:gridSpan w:val="2"/>
            <w:shd w:val="clear" w:color="auto" w:fill="auto"/>
            <w:tcMar>
              <w:top w:w="110" w:type="dxa"/>
            </w:tcMar>
          </w:tcPr>
          <w:p w:rsidR="00E472AA" w:rsidRPr="00C258AD" w:rsidRDefault="00E472AA" w:rsidP="00927E1F">
            <w:pPr>
              <w:keepNext/>
              <w:keepLines/>
              <w:jc w:val="center"/>
              <w:rPr>
                <w:b/>
                <w:bCs/>
                <w:color w:val="00B050"/>
                <w:sz w:val="16"/>
              </w:rPr>
            </w:pPr>
            <w:r w:rsidRPr="00C258AD">
              <w:rPr>
                <w:b/>
                <w:bCs/>
                <w:color w:val="00B050"/>
                <w:sz w:val="16"/>
              </w:rPr>
              <w:t>Objectif pleinement atteint</w:t>
            </w:r>
          </w:p>
          <w:p w:rsidR="00E472AA" w:rsidRPr="00C258AD" w:rsidRDefault="00E472AA" w:rsidP="00927E1F">
            <w:pPr>
              <w:keepNext/>
              <w:keepLines/>
              <w:jc w:val="center"/>
              <w:rPr>
                <w:b/>
                <w:bCs/>
                <w:color w:val="00B050"/>
                <w:sz w:val="16"/>
              </w:rPr>
            </w:pPr>
          </w:p>
          <w:p w:rsidR="00E472AA" w:rsidRPr="00C258AD" w:rsidRDefault="00E472AA" w:rsidP="00927E1F">
            <w:pPr>
              <w:keepNext/>
              <w:keepLines/>
              <w:jc w:val="center"/>
              <w:rPr>
                <w:b/>
                <w:bCs/>
                <w:color w:val="00B050"/>
                <w:sz w:val="16"/>
              </w:rPr>
            </w:pPr>
            <w:r w:rsidRPr="00C258AD">
              <w:rPr>
                <w:b/>
                <w:bCs/>
                <w:color w:val="00B050"/>
                <w:sz w:val="16"/>
              </w:rPr>
              <w:t>Objectif pleinement atteint</w:t>
            </w:r>
          </w:p>
          <w:p w:rsidR="00E472AA" w:rsidRPr="00C258AD" w:rsidRDefault="00E472AA" w:rsidP="00927E1F">
            <w:pPr>
              <w:keepNext/>
              <w:keepLines/>
              <w:jc w:val="center"/>
              <w:rPr>
                <w:b/>
                <w:bCs/>
                <w:color w:val="00B050"/>
                <w:sz w:val="16"/>
              </w:rPr>
            </w:pPr>
          </w:p>
          <w:p w:rsidR="00E472AA" w:rsidRPr="00C258AD" w:rsidRDefault="00E472AA" w:rsidP="00927E1F">
            <w:pPr>
              <w:keepNext/>
              <w:keepLines/>
              <w:jc w:val="center"/>
              <w:rPr>
                <w:b/>
                <w:bCs/>
                <w:color w:val="00B050"/>
                <w:sz w:val="16"/>
              </w:rPr>
            </w:pPr>
            <w:r w:rsidRPr="00C258AD">
              <w:rPr>
                <w:b/>
                <w:bCs/>
                <w:color w:val="00B050"/>
                <w:sz w:val="16"/>
              </w:rPr>
              <w:t>Objectif pleinement atteint</w:t>
            </w:r>
          </w:p>
          <w:p w:rsidR="00E472AA" w:rsidRPr="00C258AD" w:rsidRDefault="00E472AA" w:rsidP="00927E1F">
            <w:pPr>
              <w:keepNext/>
              <w:keepLines/>
              <w:jc w:val="center"/>
              <w:rPr>
                <w:b/>
                <w:bCs/>
                <w:color w:val="00B050"/>
                <w:sz w:val="16"/>
              </w:rPr>
            </w:pPr>
          </w:p>
          <w:p w:rsidR="00E472AA" w:rsidRPr="00C258AD" w:rsidRDefault="00E472AA" w:rsidP="00927E1F">
            <w:pPr>
              <w:keepNext/>
              <w:keepLines/>
              <w:jc w:val="center"/>
              <w:rPr>
                <w:b/>
                <w:bCs/>
                <w:color w:val="00B050"/>
                <w:sz w:val="16"/>
              </w:rPr>
            </w:pPr>
            <w:r w:rsidRPr="00C258AD">
              <w:rPr>
                <w:b/>
                <w:bCs/>
                <w:color w:val="00B050"/>
                <w:sz w:val="16"/>
              </w:rPr>
              <w:t>Objectif pleinement atteint</w:t>
            </w:r>
          </w:p>
          <w:p w:rsidR="00E472AA" w:rsidRPr="00C258AD" w:rsidRDefault="00E472AA" w:rsidP="00927E1F">
            <w:pPr>
              <w:keepNext/>
              <w:keepLines/>
              <w:jc w:val="center"/>
              <w:rPr>
                <w:b/>
                <w:bCs/>
                <w:color w:val="00B050"/>
                <w:sz w:val="16"/>
              </w:rPr>
            </w:pPr>
          </w:p>
          <w:p w:rsidR="00E472AA" w:rsidRPr="00C258AD" w:rsidRDefault="00E472AA" w:rsidP="00927E1F">
            <w:pPr>
              <w:keepNext/>
              <w:keepLines/>
              <w:jc w:val="center"/>
              <w:rPr>
                <w:b/>
                <w:bCs/>
                <w:color w:val="00B050"/>
                <w:sz w:val="16"/>
                <w:szCs w:val="16"/>
              </w:rPr>
            </w:pPr>
            <w:r w:rsidRPr="00C258AD">
              <w:rPr>
                <w:b/>
                <w:bCs/>
                <w:color w:val="00B050"/>
                <w:sz w:val="16"/>
              </w:rPr>
              <w:t>Objectif pleinement atteint</w:t>
            </w:r>
          </w:p>
        </w:tc>
      </w:tr>
      <w:tr w:rsidR="00E472AA" w:rsidRPr="00C258AD" w:rsidTr="00927E1F">
        <w:trPr>
          <w:cantSplit/>
        </w:trPr>
        <w:tc>
          <w:tcPr>
            <w:tcW w:w="1337" w:type="dxa"/>
            <w:shd w:val="clear" w:color="auto" w:fill="FFFFFF"/>
          </w:tcPr>
          <w:p w:rsidR="00E472AA" w:rsidRPr="00C258AD" w:rsidRDefault="00E472AA" w:rsidP="00927E1F">
            <w:pPr>
              <w:rPr>
                <w:sz w:val="16"/>
                <w:szCs w:val="16"/>
                <w:lang w:bidi="th-TH"/>
              </w:rPr>
            </w:pPr>
            <w:r w:rsidRPr="00C258AD">
              <w:rPr>
                <w:sz w:val="16"/>
                <w:szCs w:val="16"/>
              </w:rPr>
              <w:t>Nombre moyen d’utilisateurs ayant bénéficié des services des centres de technologie et d’appui à l’innovation par trimestre et par pays</w:t>
            </w:r>
          </w:p>
        </w:tc>
        <w:tc>
          <w:tcPr>
            <w:tcW w:w="2410" w:type="dxa"/>
            <w:gridSpan w:val="2"/>
            <w:shd w:val="clear" w:color="auto" w:fill="auto"/>
          </w:tcPr>
          <w:p w:rsidR="00E472AA" w:rsidRPr="00C258AD" w:rsidRDefault="00E472AA" w:rsidP="00927E1F">
            <w:pPr>
              <w:rPr>
                <w:color w:val="002060"/>
                <w:sz w:val="16"/>
                <w:szCs w:val="16"/>
              </w:rPr>
            </w:pPr>
            <w:r w:rsidRPr="00C258AD">
              <w:rPr>
                <w:i/>
                <w:color w:val="002060"/>
                <w:sz w:val="16"/>
                <w:szCs w:val="16"/>
              </w:rPr>
              <w:t xml:space="preserve">Niveau de référence actualisé fin 2013 : </w:t>
            </w:r>
            <w:r w:rsidRPr="00C258AD">
              <w:rPr>
                <w:color w:val="002060"/>
                <w:sz w:val="16"/>
                <w:szCs w:val="16"/>
              </w:rPr>
              <w:t>Entre 532 (min.) et 1370 (max.) utilisateurs en moyenne bénéficiant des services de CATI par jour en 2013.</w:t>
            </w:r>
          </w:p>
          <w:p w:rsidR="00E472AA" w:rsidRPr="00C258AD" w:rsidRDefault="00E472AA" w:rsidP="00927E1F">
            <w:pPr>
              <w:rPr>
                <w:i/>
                <w:color w:val="002060"/>
                <w:sz w:val="16"/>
                <w:szCs w:val="16"/>
              </w:rPr>
            </w:pPr>
          </w:p>
          <w:p w:rsidR="00E472AA" w:rsidRPr="00C258AD" w:rsidRDefault="00E472AA" w:rsidP="00927E1F">
            <w:pPr>
              <w:rPr>
                <w:i/>
                <w:sz w:val="16"/>
                <w:szCs w:val="16"/>
                <w:lang w:bidi="th-TH"/>
              </w:rPr>
            </w:pPr>
            <w:r w:rsidRPr="00C258AD">
              <w:rPr>
                <w:i/>
                <w:sz w:val="16"/>
                <w:szCs w:val="16"/>
              </w:rPr>
              <w:t>Niveau de référence initial Programme et budget 2014</w:t>
            </w:r>
            <w:r w:rsidRPr="00C258AD">
              <w:rPr>
                <w:i/>
                <w:sz w:val="16"/>
                <w:szCs w:val="16"/>
              </w:rPr>
              <w:noBreakHyphen/>
              <w:t>2015 :</w:t>
            </w:r>
          </w:p>
          <w:p w:rsidR="00E472AA" w:rsidRPr="00C258AD" w:rsidRDefault="00E472AA" w:rsidP="00927E1F">
            <w:pPr>
              <w:rPr>
                <w:i/>
                <w:color w:val="002060"/>
                <w:sz w:val="16"/>
                <w:szCs w:val="16"/>
              </w:rPr>
            </w:pPr>
            <w:r w:rsidRPr="00C258AD">
              <w:rPr>
                <w:sz w:val="16"/>
                <w:szCs w:val="16"/>
              </w:rPr>
              <w:t xml:space="preserve">200 (min.) </w:t>
            </w:r>
            <w:r w:rsidRPr="00C258AD">
              <w:rPr>
                <w:sz w:val="16"/>
                <w:szCs w:val="16"/>
                <w:cs/>
              </w:rPr>
              <w:t xml:space="preserve">– </w:t>
            </w:r>
            <w:r w:rsidRPr="00C258AD">
              <w:rPr>
                <w:sz w:val="16"/>
                <w:szCs w:val="16"/>
              </w:rPr>
              <w:t>630 (max.)</w:t>
            </w:r>
          </w:p>
        </w:tc>
        <w:tc>
          <w:tcPr>
            <w:tcW w:w="2551" w:type="dxa"/>
            <w:gridSpan w:val="4"/>
            <w:shd w:val="clear" w:color="auto" w:fill="auto"/>
            <w:tcMar>
              <w:top w:w="110" w:type="dxa"/>
            </w:tcMar>
          </w:tcPr>
          <w:p w:rsidR="00E472AA" w:rsidRPr="00C258AD" w:rsidRDefault="00E472AA" w:rsidP="00927E1F">
            <w:pPr>
              <w:rPr>
                <w:sz w:val="16"/>
                <w:szCs w:val="16"/>
                <w:lang w:bidi="th-TH"/>
              </w:rPr>
            </w:pPr>
            <w:r w:rsidRPr="00C258AD">
              <w:rPr>
                <w:sz w:val="16"/>
                <w:szCs w:val="16"/>
              </w:rPr>
              <w:t xml:space="preserve">300 (min.) </w:t>
            </w:r>
            <w:r w:rsidRPr="00C258AD">
              <w:rPr>
                <w:sz w:val="16"/>
                <w:szCs w:val="16"/>
                <w:cs/>
              </w:rPr>
              <w:t xml:space="preserve">– </w:t>
            </w:r>
            <w:r w:rsidRPr="00C258AD">
              <w:rPr>
                <w:sz w:val="16"/>
                <w:szCs w:val="16"/>
              </w:rPr>
              <w:t>750 (max.)</w:t>
            </w:r>
          </w:p>
        </w:tc>
        <w:tc>
          <w:tcPr>
            <w:tcW w:w="2444" w:type="dxa"/>
            <w:gridSpan w:val="2"/>
            <w:shd w:val="clear" w:color="auto" w:fill="FFFFFF"/>
            <w:tcMar>
              <w:top w:w="110" w:type="dxa"/>
            </w:tcMar>
          </w:tcPr>
          <w:p w:rsidR="00E472AA" w:rsidRPr="00C258AD" w:rsidRDefault="00E472AA" w:rsidP="00927E1F">
            <w:pPr>
              <w:rPr>
                <w:sz w:val="16"/>
                <w:szCs w:val="16"/>
                <w:lang w:bidi="th-TH"/>
              </w:rPr>
            </w:pPr>
            <w:r w:rsidRPr="00C258AD">
              <w:rPr>
                <w:sz w:val="16"/>
                <w:szCs w:val="16"/>
              </w:rPr>
              <w:t xml:space="preserve">874 (min.) </w:t>
            </w:r>
            <w:r w:rsidRPr="00C258AD">
              <w:rPr>
                <w:sz w:val="16"/>
                <w:szCs w:val="16"/>
                <w:cs/>
              </w:rPr>
              <w:t xml:space="preserve">– </w:t>
            </w:r>
            <w:r w:rsidRPr="00C258AD">
              <w:rPr>
                <w:sz w:val="16"/>
                <w:szCs w:val="16"/>
              </w:rPr>
              <w:t>2631 (max.)</w:t>
            </w:r>
          </w:p>
        </w:tc>
        <w:tc>
          <w:tcPr>
            <w:tcW w:w="1132" w:type="dxa"/>
            <w:gridSpan w:val="2"/>
            <w:shd w:val="clear" w:color="auto" w:fill="auto"/>
            <w:tcMar>
              <w:top w:w="110" w:type="dxa"/>
            </w:tcMar>
          </w:tcPr>
          <w:p w:rsidR="00E472AA" w:rsidRPr="00C258AD" w:rsidRDefault="00E472AA" w:rsidP="00927E1F">
            <w:pPr>
              <w:keepNext/>
              <w:keepLines/>
              <w:jc w:val="center"/>
              <w:rPr>
                <w:b/>
                <w:bCs/>
                <w:color w:val="00B050"/>
                <w:sz w:val="16"/>
                <w:szCs w:val="16"/>
              </w:rPr>
            </w:pPr>
            <w:r w:rsidRPr="00C258AD">
              <w:rPr>
                <w:b/>
                <w:bCs/>
                <w:color w:val="00B050"/>
                <w:sz w:val="16"/>
              </w:rPr>
              <w:t>Objectif pleinement atteint</w:t>
            </w:r>
          </w:p>
        </w:tc>
      </w:tr>
      <w:tr w:rsidR="00E472AA" w:rsidRPr="00C258AD" w:rsidTr="00927E1F">
        <w:trPr>
          <w:cantSplit/>
        </w:trPr>
        <w:tc>
          <w:tcPr>
            <w:tcW w:w="1337" w:type="dxa"/>
            <w:tcBorders>
              <w:bottom w:val="single" w:sz="4" w:space="0" w:color="auto"/>
            </w:tcBorders>
            <w:shd w:val="clear" w:color="auto" w:fill="FFFFFF"/>
          </w:tcPr>
          <w:p w:rsidR="00E472AA" w:rsidRPr="00C258AD" w:rsidRDefault="00E472AA" w:rsidP="00927E1F">
            <w:pPr>
              <w:rPr>
                <w:sz w:val="16"/>
                <w:szCs w:val="16"/>
                <w:lang w:bidi="th-TH"/>
              </w:rPr>
            </w:pPr>
            <w:r w:rsidRPr="00C258AD">
              <w:rPr>
                <w:sz w:val="16"/>
                <w:szCs w:val="16"/>
              </w:rPr>
              <w:t>Nombre de pays utilisant la base de données de l’assistance technique en matière de propriété intellectuelle (IP</w:t>
            </w:r>
            <w:r w:rsidRPr="00C258AD">
              <w:rPr>
                <w:sz w:val="16"/>
                <w:szCs w:val="16"/>
              </w:rPr>
              <w:noBreakHyphen/>
              <w:t>TAD), la liste des consultants en matière de propriété intellectuelle (IP</w:t>
            </w:r>
            <w:r w:rsidRPr="00C258AD">
              <w:rPr>
                <w:sz w:val="16"/>
                <w:szCs w:val="16"/>
              </w:rPr>
              <w:noBreakHyphen/>
              <w:t>ROC)</w:t>
            </w:r>
          </w:p>
        </w:tc>
        <w:tc>
          <w:tcPr>
            <w:tcW w:w="2410" w:type="dxa"/>
            <w:gridSpan w:val="2"/>
            <w:tcBorders>
              <w:bottom w:val="single" w:sz="4" w:space="0" w:color="auto"/>
            </w:tcBorders>
            <w:shd w:val="clear" w:color="auto" w:fill="auto"/>
          </w:tcPr>
          <w:p w:rsidR="00E472AA" w:rsidRPr="00C258AD" w:rsidRDefault="00E472AA" w:rsidP="00927E1F">
            <w:pPr>
              <w:rPr>
                <w:i/>
                <w:color w:val="002060"/>
                <w:sz w:val="16"/>
                <w:szCs w:val="16"/>
              </w:rPr>
            </w:pPr>
            <w:r w:rsidRPr="00C258AD">
              <w:rPr>
                <w:i/>
                <w:color w:val="002060"/>
                <w:sz w:val="16"/>
                <w:szCs w:val="16"/>
              </w:rPr>
              <w:t>Niveau de référence actualisé fin 2013 :</w:t>
            </w:r>
          </w:p>
          <w:p w:rsidR="00E472AA" w:rsidRPr="00C258AD" w:rsidRDefault="00E472AA" w:rsidP="00927E1F">
            <w:pPr>
              <w:rPr>
                <w:color w:val="002060"/>
                <w:sz w:val="16"/>
                <w:szCs w:val="16"/>
              </w:rPr>
            </w:pPr>
            <w:r w:rsidRPr="00C258AD">
              <w:rPr>
                <w:color w:val="002060"/>
                <w:sz w:val="16"/>
                <w:szCs w:val="16"/>
              </w:rPr>
              <w:t>IP</w:t>
            </w:r>
            <w:r w:rsidRPr="00C258AD">
              <w:rPr>
                <w:color w:val="002060"/>
                <w:sz w:val="16"/>
                <w:szCs w:val="16"/>
              </w:rPr>
              <w:noBreakHyphen/>
              <w:t>TAD : 43 pays</w:t>
            </w:r>
          </w:p>
          <w:p w:rsidR="00E472AA" w:rsidRPr="00C258AD" w:rsidRDefault="00E472AA" w:rsidP="00927E1F">
            <w:pPr>
              <w:rPr>
                <w:color w:val="002060"/>
                <w:sz w:val="16"/>
                <w:szCs w:val="16"/>
              </w:rPr>
            </w:pPr>
            <w:r w:rsidRPr="00C258AD">
              <w:rPr>
                <w:color w:val="002060"/>
                <w:sz w:val="16"/>
                <w:szCs w:val="16"/>
              </w:rPr>
              <w:t>IP</w:t>
            </w:r>
            <w:r w:rsidRPr="00C258AD">
              <w:rPr>
                <w:color w:val="002060"/>
                <w:sz w:val="16"/>
                <w:szCs w:val="16"/>
              </w:rPr>
              <w:noBreakHyphen/>
              <w:t>ROC : huit pays (en 2013)</w:t>
            </w:r>
          </w:p>
          <w:p w:rsidR="00E472AA" w:rsidRPr="00C258AD" w:rsidRDefault="00E472AA" w:rsidP="00927E1F">
            <w:pPr>
              <w:rPr>
                <w:i/>
                <w:color w:val="002060"/>
                <w:sz w:val="16"/>
                <w:szCs w:val="16"/>
              </w:rPr>
            </w:pPr>
          </w:p>
          <w:p w:rsidR="00E472AA" w:rsidRPr="00C258AD" w:rsidRDefault="00E472AA" w:rsidP="00927E1F">
            <w:pPr>
              <w:rPr>
                <w:i/>
                <w:sz w:val="16"/>
                <w:szCs w:val="16"/>
                <w:lang w:bidi="th-TH"/>
              </w:rPr>
            </w:pPr>
            <w:r w:rsidRPr="00C258AD">
              <w:rPr>
                <w:i/>
                <w:sz w:val="16"/>
                <w:szCs w:val="16"/>
              </w:rPr>
              <w:t>Niveau de référence initial Programme et budget 2014</w:t>
            </w:r>
            <w:r w:rsidRPr="00C258AD">
              <w:rPr>
                <w:i/>
                <w:sz w:val="16"/>
                <w:szCs w:val="16"/>
              </w:rPr>
              <w:noBreakHyphen/>
              <w:t xml:space="preserve">2015 : </w:t>
            </w:r>
            <w:r w:rsidRPr="00C258AD">
              <w:rPr>
                <w:sz w:val="16"/>
                <w:szCs w:val="16"/>
              </w:rPr>
              <w:t>60 (en date du 1</w:t>
            </w:r>
            <w:r w:rsidRPr="00C258AD">
              <w:rPr>
                <w:sz w:val="16"/>
                <w:szCs w:val="16"/>
                <w:vertAlign w:val="superscript"/>
              </w:rPr>
              <w:t>er</w:t>
            </w:r>
            <w:r w:rsidRPr="00C258AD">
              <w:rPr>
                <w:sz w:val="16"/>
                <w:szCs w:val="16"/>
              </w:rPr>
              <w:t> mars 2013)</w:t>
            </w:r>
          </w:p>
          <w:p w:rsidR="00E472AA" w:rsidRPr="00C258AD" w:rsidRDefault="00E472AA" w:rsidP="00927E1F">
            <w:pPr>
              <w:rPr>
                <w:i/>
                <w:color w:val="002060"/>
                <w:sz w:val="16"/>
                <w:szCs w:val="16"/>
              </w:rPr>
            </w:pPr>
          </w:p>
        </w:tc>
        <w:tc>
          <w:tcPr>
            <w:tcW w:w="2551" w:type="dxa"/>
            <w:gridSpan w:val="4"/>
            <w:tcBorders>
              <w:bottom w:val="single" w:sz="4" w:space="0" w:color="auto"/>
            </w:tcBorders>
            <w:shd w:val="clear" w:color="auto" w:fill="auto"/>
            <w:tcMar>
              <w:top w:w="110" w:type="dxa"/>
            </w:tcMar>
          </w:tcPr>
          <w:p w:rsidR="00E472AA" w:rsidRPr="00C258AD" w:rsidRDefault="00E472AA" w:rsidP="00927E1F">
            <w:pPr>
              <w:rPr>
                <w:sz w:val="16"/>
                <w:szCs w:val="16"/>
                <w:lang w:bidi="th-TH"/>
              </w:rPr>
            </w:pPr>
            <w:r w:rsidRPr="00C258AD">
              <w:rPr>
                <w:sz w:val="16"/>
                <w:szCs w:val="16"/>
              </w:rPr>
              <w:t>70</w:t>
            </w:r>
          </w:p>
        </w:tc>
        <w:tc>
          <w:tcPr>
            <w:tcW w:w="2444" w:type="dxa"/>
            <w:gridSpan w:val="2"/>
            <w:tcBorders>
              <w:bottom w:val="single" w:sz="4" w:space="0" w:color="auto"/>
            </w:tcBorders>
            <w:shd w:val="clear" w:color="auto" w:fill="FFFFFF"/>
            <w:tcMar>
              <w:top w:w="110" w:type="dxa"/>
            </w:tcMar>
          </w:tcPr>
          <w:p w:rsidR="00E472AA" w:rsidRPr="00C258AD" w:rsidRDefault="00E472AA" w:rsidP="00927E1F">
            <w:pPr>
              <w:rPr>
                <w:sz w:val="16"/>
                <w:szCs w:val="16"/>
              </w:rPr>
            </w:pPr>
            <w:r w:rsidRPr="00C258AD">
              <w:rPr>
                <w:sz w:val="16"/>
                <w:szCs w:val="16"/>
              </w:rPr>
              <w:t>2014 : 14 pays</w:t>
            </w:r>
          </w:p>
          <w:p w:rsidR="00E472AA" w:rsidRPr="00C258AD" w:rsidRDefault="00E472AA" w:rsidP="00927E1F">
            <w:pPr>
              <w:rPr>
                <w:sz w:val="16"/>
                <w:szCs w:val="16"/>
              </w:rPr>
            </w:pPr>
            <w:r w:rsidRPr="00C258AD">
              <w:rPr>
                <w:sz w:val="16"/>
                <w:szCs w:val="16"/>
              </w:rPr>
              <w:t>IP</w:t>
            </w:r>
            <w:r w:rsidRPr="00C258AD">
              <w:rPr>
                <w:sz w:val="16"/>
                <w:szCs w:val="16"/>
              </w:rPr>
              <w:noBreakHyphen/>
              <w:t>TAD : 37 pays</w:t>
            </w:r>
          </w:p>
          <w:p w:rsidR="00E472AA" w:rsidRPr="00C258AD" w:rsidRDefault="00E472AA" w:rsidP="00927E1F">
            <w:pPr>
              <w:rPr>
                <w:sz w:val="16"/>
                <w:szCs w:val="16"/>
              </w:rPr>
            </w:pPr>
            <w:r w:rsidRPr="00C258AD">
              <w:rPr>
                <w:sz w:val="16"/>
                <w:szCs w:val="16"/>
              </w:rPr>
              <w:t>IP</w:t>
            </w:r>
            <w:r w:rsidRPr="00C258AD">
              <w:rPr>
                <w:sz w:val="16"/>
                <w:szCs w:val="16"/>
              </w:rPr>
              <w:noBreakHyphen/>
              <w:t>ROC : 9 pays</w:t>
            </w:r>
          </w:p>
          <w:p w:rsidR="00E472AA" w:rsidRPr="00C258AD" w:rsidRDefault="00E472AA" w:rsidP="00927E1F">
            <w:pPr>
              <w:rPr>
                <w:sz w:val="16"/>
                <w:szCs w:val="16"/>
              </w:rPr>
            </w:pPr>
            <w:r w:rsidRPr="00C258AD">
              <w:rPr>
                <w:sz w:val="16"/>
                <w:szCs w:val="16"/>
              </w:rPr>
              <w:t>(</w:t>
            </w:r>
            <w:r w:rsidRPr="00C258AD">
              <w:rPr>
                <w:sz w:val="16"/>
                <w:szCs w:val="16"/>
              </w:rPr>
              <w:noBreakHyphen/>
              <w:t>10% par rapport à 2013)</w:t>
            </w:r>
          </w:p>
          <w:p w:rsidR="00E472AA" w:rsidRPr="00C258AD" w:rsidRDefault="00E472AA" w:rsidP="00927E1F">
            <w:pPr>
              <w:rPr>
                <w:sz w:val="16"/>
                <w:szCs w:val="16"/>
              </w:rPr>
            </w:pPr>
          </w:p>
          <w:p w:rsidR="00E472AA" w:rsidRPr="00C258AD" w:rsidRDefault="00E472AA" w:rsidP="00927E1F">
            <w:pPr>
              <w:rPr>
                <w:sz w:val="16"/>
                <w:szCs w:val="16"/>
              </w:rPr>
            </w:pPr>
            <w:r w:rsidRPr="00C258AD">
              <w:rPr>
                <w:sz w:val="16"/>
                <w:szCs w:val="16"/>
              </w:rPr>
              <w:t>2015 : 33 pays</w:t>
            </w:r>
          </w:p>
          <w:p w:rsidR="00E472AA" w:rsidRPr="00C258AD" w:rsidRDefault="00E472AA" w:rsidP="00927E1F">
            <w:pPr>
              <w:rPr>
                <w:sz w:val="16"/>
                <w:szCs w:val="16"/>
              </w:rPr>
            </w:pPr>
            <w:r w:rsidRPr="00C258AD">
              <w:rPr>
                <w:sz w:val="16"/>
                <w:szCs w:val="16"/>
              </w:rPr>
              <w:t>IP</w:t>
            </w:r>
            <w:r w:rsidRPr="00C258AD">
              <w:rPr>
                <w:sz w:val="16"/>
                <w:szCs w:val="16"/>
              </w:rPr>
              <w:noBreakHyphen/>
              <w:t>TAD : 29 pays</w:t>
            </w:r>
          </w:p>
          <w:p w:rsidR="00E472AA" w:rsidRPr="00C258AD" w:rsidRDefault="00E472AA" w:rsidP="00927E1F">
            <w:pPr>
              <w:rPr>
                <w:sz w:val="16"/>
                <w:szCs w:val="16"/>
              </w:rPr>
            </w:pPr>
            <w:r w:rsidRPr="00C258AD">
              <w:rPr>
                <w:sz w:val="16"/>
                <w:szCs w:val="16"/>
              </w:rPr>
              <w:t>IP</w:t>
            </w:r>
            <w:r w:rsidRPr="00C258AD">
              <w:rPr>
                <w:sz w:val="16"/>
                <w:szCs w:val="16"/>
              </w:rPr>
              <w:noBreakHyphen/>
              <w:t>ROC : 4 pays</w:t>
            </w:r>
          </w:p>
          <w:p w:rsidR="00E472AA" w:rsidRPr="00C258AD" w:rsidRDefault="00E472AA" w:rsidP="00927E1F">
            <w:pPr>
              <w:rPr>
                <w:sz w:val="16"/>
                <w:szCs w:val="16"/>
                <w:lang w:bidi="th-TH"/>
              </w:rPr>
            </w:pPr>
            <w:r w:rsidRPr="00C258AD">
              <w:rPr>
                <w:sz w:val="16"/>
                <w:szCs w:val="16"/>
              </w:rPr>
              <w:t>(</w:t>
            </w:r>
            <w:r w:rsidRPr="00C258AD">
              <w:rPr>
                <w:sz w:val="16"/>
                <w:szCs w:val="16"/>
              </w:rPr>
              <w:noBreakHyphen/>
              <w:t>28% par rapport à 2014)</w:t>
            </w:r>
          </w:p>
        </w:tc>
        <w:tc>
          <w:tcPr>
            <w:tcW w:w="1132" w:type="dxa"/>
            <w:gridSpan w:val="2"/>
            <w:tcBorders>
              <w:bottom w:val="single" w:sz="4" w:space="0" w:color="auto"/>
            </w:tcBorders>
            <w:shd w:val="clear" w:color="auto" w:fill="auto"/>
            <w:tcMar>
              <w:top w:w="110" w:type="dxa"/>
            </w:tcMar>
          </w:tcPr>
          <w:p w:rsidR="00E472AA" w:rsidRPr="00C258AD" w:rsidRDefault="00E472AA" w:rsidP="00927E1F">
            <w:pPr>
              <w:keepNext/>
              <w:keepLines/>
              <w:jc w:val="center"/>
              <w:rPr>
                <w:b/>
                <w:bCs/>
                <w:color w:val="00B050"/>
                <w:sz w:val="16"/>
                <w:szCs w:val="16"/>
              </w:rPr>
            </w:pPr>
            <w:r w:rsidRPr="00C258AD">
              <w:rPr>
                <w:b/>
                <w:color w:val="FF0000"/>
                <w:sz w:val="16"/>
              </w:rPr>
              <w:t>Objectif pas atteint</w:t>
            </w:r>
          </w:p>
        </w:tc>
      </w:tr>
      <w:tr w:rsidR="00E472AA" w:rsidRPr="00C258AD" w:rsidTr="00927E1F">
        <w:trPr>
          <w:cantSplit/>
        </w:trPr>
        <w:tc>
          <w:tcPr>
            <w:tcW w:w="9874" w:type="dxa"/>
            <w:gridSpan w:val="11"/>
            <w:tcBorders>
              <w:top w:val="single" w:sz="4" w:space="0" w:color="auto"/>
              <w:bottom w:val="single" w:sz="4" w:space="0" w:color="auto"/>
            </w:tcBorders>
            <w:shd w:val="clear" w:color="auto" w:fill="C5D9F1"/>
          </w:tcPr>
          <w:p w:rsidR="00E472AA" w:rsidRPr="00C258AD" w:rsidRDefault="00E472AA" w:rsidP="00927E1F">
            <w:pPr>
              <w:keepNext/>
              <w:rPr>
                <w:b/>
                <w:bCs/>
                <w:color w:val="00B050"/>
                <w:sz w:val="16"/>
                <w:szCs w:val="16"/>
              </w:rPr>
            </w:pPr>
            <w:r w:rsidRPr="00C258AD">
              <w:rPr>
                <w:b/>
                <w:sz w:val="16"/>
                <w:szCs w:val="16"/>
              </w:rPr>
              <w:t xml:space="preserve">Résultat escompté : </w:t>
            </w:r>
            <w:r w:rsidRPr="00C258AD">
              <w:rPr>
                <w:sz w:val="16"/>
                <w:szCs w:val="16"/>
              </w:rPr>
              <w:t>IV.4 Amélioration de l’infrastructure technique et du savoir pour les offices de propriété intellectuelle et les autres institutions de propriété intellectuelle, leur permettant de fournir à leurs parties prenantes des services améliorés (moins chers, plus rapides, de meilleure qualité)</w:t>
            </w:r>
          </w:p>
        </w:tc>
      </w:tr>
      <w:tr w:rsidR="00E472AA" w:rsidRPr="00C258AD" w:rsidTr="00927E1F">
        <w:trPr>
          <w:cantSplit/>
        </w:trPr>
        <w:tc>
          <w:tcPr>
            <w:tcW w:w="1337" w:type="dxa"/>
            <w:tcBorders>
              <w:top w:val="single" w:sz="4" w:space="0" w:color="auto"/>
            </w:tcBorders>
            <w:shd w:val="clear" w:color="auto" w:fill="FFFFFF"/>
            <w:vAlign w:val="center"/>
          </w:tcPr>
          <w:p w:rsidR="00E472AA" w:rsidRPr="00C258AD" w:rsidRDefault="00E472AA" w:rsidP="00927E1F">
            <w:pPr>
              <w:keepNext/>
              <w:jc w:val="center"/>
              <w:rPr>
                <w:sz w:val="16"/>
                <w:szCs w:val="16"/>
              </w:rPr>
            </w:pPr>
            <w:r w:rsidRPr="00C258AD">
              <w:rPr>
                <w:b/>
                <w:sz w:val="16"/>
                <w:szCs w:val="16"/>
              </w:rPr>
              <w:t>Indicateurs d’exécution</w:t>
            </w:r>
          </w:p>
        </w:tc>
        <w:tc>
          <w:tcPr>
            <w:tcW w:w="2223" w:type="dxa"/>
            <w:tcBorders>
              <w:top w:val="single" w:sz="4" w:space="0" w:color="auto"/>
            </w:tcBorders>
            <w:shd w:val="clear" w:color="auto" w:fill="auto"/>
            <w:vAlign w:val="center"/>
          </w:tcPr>
          <w:p w:rsidR="00E472AA" w:rsidRPr="00C258AD" w:rsidRDefault="00E472AA" w:rsidP="00927E1F">
            <w:pPr>
              <w:keepNext/>
              <w:jc w:val="center"/>
              <w:rPr>
                <w:b/>
                <w:bCs/>
                <w:sz w:val="16"/>
                <w:szCs w:val="16"/>
              </w:rPr>
            </w:pPr>
            <w:r w:rsidRPr="00C258AD">
              <w:rPr>
                <w:b/>
                <w:sz w:val="16"/>
                <w:szCs w:val="16"/>
              </w:rPr>
              <w:t>Niveaux de référence</w:t>
            </w:r>
          </w:p>
        </w:tc>
        <w:tc>
          <w:tcPr>
            <w:tcW w:w="2118" w:type="dxa"/>
            <w:gridSpan w:val="4"/>
            <w:tcBorders>
              <w:top w:val="single" w:sz="4" w:space="0" w:color="auto"/>
            </w:tcBorders>
            <w:shd w:val="clear" w:color="auto" w:fill="auto"/>
            <w:tcMar>
              <w:top w:w="110" w:type="dxa"/>
            </w:tcMar>
            <w:vAlign w:val="center"/>
          </w:tcPr>
          <w:p w:rsidR="00E472AA" w:rsidRPr="00C258AD" w:rsidRDefault="00E472AA" w:rsidP="00927E1F">
            <w:pPr>
              <w:keepNext/>
              <w:jc w:val="center"/>
              <w:rPr>
                <w:b/>
                <w:sz w:val="16"/>
                <w:szCs w:val="16"/>
              </w:rPr>
            </w:pPr>
            <w:r w:rsidRPr="00C258AD">
              <w:rPr>
                <w:b/>
                <w:sz w:val="16"/>
                <w:szCs w:val="16"/>
              </w:rPr>
              <w:t>Objectifs visés</w:t>
            </w:r>
          </w:p>
        </w:tc>
        <w:tc>
          <w:tcPr>
            <w:tcW w:w="3250" w:type="dxa"/>
            <w:gridSpan w:val="4"/>
            <w:tcBorders>
              <w:top w:val="single" w:sz="4" w:space="0" w:color="auto"/>
            </w:tcBorders>
            <w:shd w:val="clear" w:color="auto" w:fill="FFFFFF"/>
            <w:tcMar>
              <w:top w:w="110" w:type="dxa"/>
            </w:tcMar>
            <w:vAlign w:val="center"/>
          </w:tcPr>
          <w:p w:rsidR="00E472AA" w:rsidRPr="00C258AD" w:rsidRDefault="00E472AA" w:rsidP="00927E1F">
            <w:pPr>
              <w:keepNext/>
              <w:jc w:val="center"/>
              <w:rPr>
                <w:sz w:val="16"/>
                <w:szCs w:val="16"/>
              </w:rPr>
            </w:pPr>
            <w:r w:rsidRPr="00C258AD">
              <w:rPr>
                <w:b/>
                <w:sz w:val="16"/>
                <w:szCs w:val="16"/>
              </w:rPr>
              <w:t>Données relatives à l’exécution</w:t>
            </w:r>
          </w:p>
        </w:tc>
        <w:tc>
          <w:tcPr>
            <w:tcW w:w="946" w:type="dxa"/>
            <w:tcBorders>
              <w:top w:val="single" w:sz="4" w:space="0" w:color="auto"/>
            </w:tcBorders>
            <w:shd w:val="clear" w:color="auto" w:fill="auto"/>
            <w:tcMar>
              <w:top w:w="110" w:type="dxa"/>
            </w:tcMar>
            <w:vAlign w:val="center"/>
          </w:tcPr>
          <w:p w:rsidR="00E472AA" w:rsidRPr="00C258AD" w:rsidRDefault="00E472AA" w:rsidP="00927E1F">
            <w:pPr>
              <w:keepNext/>
              <w:keepLines/>
              <w:jc w:val="center"/>
              <w:rPr>
                <w:b/>
                <w:bCs/>
                <w:sz w:val="16"/>
                <w:szCs w:val="16"/>
              </w:rPr>
            </w:pPr>
            <w:r w:rsidRPr="00C258AD">
              <w:rPr>
                <w:b/>
                <w:sz w:val="16"/>
                <w:szCs w:val="16"/>
              </w:rPr>
              <w:t>Code de couleurs</w:t>
            </w:r>
          </w:p>
        </w:tc>
      </w:tr>
      <w:tr w:rsidR="00E472AA" w:rsidRPr="00C258AD" w:rsidTr="00927E1F">
        <w:trPr>
          <w:cantSplit/>
        </w:trPr>
        <w:tc>
          <w:tcPr>
            <w:tcW w:w="1337" w:type="dxa"/>
            <w:shd w:val="clear" w:color="auto" w:fill="FFFFFF"/>
          </w:tcPr>
          <w:p w:rsidR="00E472AA" w:rsidRPr="00C258AD" w:rsidRDefault="00E472AA" w:rsidP="00927E1F">
            <w:pPr>
              <w:rPr>
                <w:sz w:val="16"/>
                <w:szCs w:val="16"/>
                <w:lang w:bidi="th-TH"/>
              </w:rPr>
            </w:pPr>
            <w:r w:rsidRPr="00C258AD">
              <w:rPr>
                <w:sz w:val="16"/>
                <w:szCs w:val="16"/>
              </w:rPr>
              <w:t>Niveau de service moyen des offices de propriété intellectuelle bénéficiant d’une assistance (de 1 à 5)</w:t>
            </w:r>
          </w:p>
        </w:tc>
        <w:tc>
          <w:tcPr>
            <w:tcW w:w="2223" w:type="dxa"/>
            <w:shd w:val="clear" w:color="auto" w:fill="auto"/>
          </w:tcPr>
          <w:p w:rsidR="00E472AA" w:rsidRPr="00C258AD" w:rsidRDefault="00E472AA" w:rsidP="00927E1F">
            <w:pPr>
              <w:rPr>
                <w:color w:val="002060"/>
                <w:sz w:val="16"/>
                <w:szCs w:val="16"/>
              </w:rPr>
            </w:pPr>
            <w:r w:rsidRPr="00C258AD">
              <w:rPr>
                <w:i/>
                <w:color w:val="002060"/>
                <w:sz w:val="16"/>
                <w:szCs w:val="16"/>
              </w:rPr>
              <w:t>Niveau de référence actualisé fin 2013 :</w:t>
            </w:r>
            <w:r w:rsidRPr="00C258AD">
              <w:rPr>
                <w:color w:val="002060"/>
                <w:sz w:val="16"/>
                <w:szCs w:val="16"/>
              </w:rPr>
              <w:t xml:space="preserve"> </w:t>
            </w:r>
            <w:r w:rsidRPr="00C258AD">
              <w:rPr>
                <w:color w:val="000000"/>
                <w:sz w:val="16"/>
                <w:szCs w:val="16"/>
              </w:rPr>
              <w:t>2,8</w:t>
            </w:r>
          </w:p>
          <w:p w:rsidR="00E472AA" w:rsidRPr="00C258AD" w:rsidRDefault="00E472AA" w:rsidP="00927E1F">
            <w:pPr>
              <w:rPr>
                <w:i/>
                <w:color w:val="002060"/>
                <w:sz w:val="16"/>
                <w:szCs w:val="16"/>
              </w:rPr>
            </w:pPr>
          </w:p>
          <w:p w:rsidR="00E472AA" w:rsidRPr="00C258AD" w:rsidRDefault="00E472AA" w:rsidP="00927E1F">
            <w:pPr>
              <w:rPr>
                <w:color w:val="002060"/>
                <w:sz w:val="16"/>
                <w:szCs w:val="16"/>
              </w:rPr>
            </w:pPr>
            <w:r w:rsidRPr="00C258AD">
              <w:rPr>
                <w:i/>
                <w:sz w:val="16"/>
                <w:szCs w:val="16"/>
              </w:rPr>
              <w:t>Niveau de référence initial Programme et budget 2014</w:t>
            </w:r>
            <w:r w:rsidRPr="00C258AD">
              <w:rPr>
                <w:i/>
                <w:sz w:val="16"/>
                <w:szCs w:val="16"/>
              </w:rPr>
              <w:noBreakHyphen/>
              <w:t>2015 : à déterminer</w:t>
            </w:r>
          </w:p>
        </w:tc>
        <w:tc>
          <w:tcPr>
            <w:tcW w:w="2118" w:type="dxa"/>
            <w:gridSpan w:val="4"/>
            <w:shd w:val="clear" w:color="auto" w:fill="auto"/>
            <w:tcMar>
              <w:top w:w="110" w:type="dxa"/>
            </w:tcMar>
          </w:tcPr>
          <w:p w:rsidR="00E472AA" w:rsidRPr="00C258AD" w:rsidRDefault="00E472AA" w:rsidP="00927E1F">
            <w:pPr>
              <w:pStyle w:val="Default"/>
              <w:rPr>
                <w:rFonts w:eastAsia="Times New Roman"/>
                <w:color w:val="002060"/>
                <w:sz w:val="16"/>
                <w:szCs w:val="16"/>
              </w:rPr>
            </w:pPr>
            <w:r w:rsidRPr="00C258AD">
              <w:rPr>
                <w:i/>
                <w:color w:val="002060"/>
                <w:sz w:val="16"/>
                <w:szCs w:val="16"/>
              </w:rPr>
              <w:t xml:space="preserve">Objectif défini : </w:t>
            </w:r>
            <w:r w:rsidRPr="00C258AD">
              <w:rPr>
                <w:color w:val="002060"/>
                <w:sz w:val="16"/>
                <w:szCs w:val="16"/>
              </w:rPr>
              <w:t>3</w:t>
            </w:r>
          </w:p>
          <w:p w:rsidR="00E472AA" w:rsidRPr="00C258AD" w:rsidRDefault="00E472AA" w:rsidP="00927E1F">
            <w:pPr>
              <w:pStyle w:val="Default"/>
              <w:rPr>
                <w:rFonts w:eastAsia="Times New Roman"/>
                <w:color w:val="002060"/>
                <w:sz w:val="16"/>
                <w:szCs w:val="16"/>
              </w:rPr>
            </w:pPr>
          </w:p>
          <w:p w:rsidR="00E472AA" w:rsidRPr="00C258AD" w:rsidRDefault="00E472AA" w:rsidP="00927E1F">
            <w:pPr>
              <w:rPr>
                <w:sz w:val="16"/>
                <w:szCs w:val="16"/>
                <w:lang w:bidi="th-TH"/>
              </w:rPr>
            </w:pPr>
            <w:r w:rsidRPr="00C258AD">
              <w:rPr>
                <w:i/>
                <w:sz w:val="16"/>
                <w:szCs w:val="16"/>
              </w:rPr>
              <w:t>Objectif ciblé initial Programme et budget 2014</w:t>
            </w:r>
            <w:r w:rsidRPr="00C258AD">
              <w:rPr>
                <w:i/>
                <w:sz w:val="16"/>
                <w:szCs w:val="16"/>
              </w:rPr>
              <w:noBreakHyphen/>
              <w:t xml:space="preserve">2015 : </w:t>
            </w:r>
            <w:r w:rsidRPr="00C258AD">
              <w:rPr>
                <w:sz w:val="16"/>
                <w:szCs w:val="16"/>
              </w:rPr>
              <w:t>À déterminer</w:t>
            </w:r>
          </w:p>
        </w:tc>
        <w:tc>
          <w:tcPr>
            <w:tcW w:w="3250" w:type="dxa"/>
            <w:gridSpan w:val="4"/>
            <w:shd w:val="clear" w:color="auto" w:fill="FFFFFF"/>
            <w:tcMar>
              <w:top w:w="110" w:type="dxa"/>
            </w:tcMar>
          </w:tcPr>
          <w:p w:rsidR="00E472AA" w:rsidRPr="00C258AD" w:rsidRDefault="00E472AA" w:rsidP="00927E1F">
            <w:pPr>
              <w:rPr>
                <w:color w:val="000000"/>
                <w:sz w:val="16"/>
                <w:szCs w:val="16"/>
              </w:rPr>
            </w:pPr>
            <w:r w:rsidRPr="00C258AD">
              <w:rPr>
                <w:color w:val="000000"/>
                <w:sz w:val="16"/>
                <w:szCs w:val="16"/>
              </w:rPr>
              <w:t>Moyenne globale : 2,9</w:t>
            </w:r>
          </w:p>
          <w:p w:rsidR="00E472AA" w:rsidRPr="00C258AD" w:rsidRDefault="00E472AA" w:rsidP="00E472AA">
            <w:pPr>
              <w:pStyle w:val="ListParagraph"/>
              <w:numPr>
                <w:ilvl w:val="0"/>
                <w:numId w:val="16"/>
              </w:numPr>
              <w:rPr>
                <w:color w:val="000000"/>
                <w:sz w:val="16"/>
                <w:szCs w:val="16"/>
              </w:rPr>
            </w:pPr>
            <w:r w:rsidRPr="00C258AD">
              <w:rPr>
                <w:color w:val="000000"/>
                <w:sz w:val="16"/>
                <w:szCs w:val="16"/>
              </w:rPr>
              <w:t>Afrique : 2,9</w:t>
            </w:r>
          </w:p>
          <w:p w:rsidR="00E472AA" w:rsidRPr="00C258AD" w:rsidRDefault="00E472AA" w:rsidP="00E472AA">
            <w:pPr>
              <w:pStyle w:val="ListParagraph"/>
              <w:numPr>
                <w:ilvl w:val="0"/>
                <w:numId w:val="16"/>
              </w:numPr>
              <w:rPr>
                <w:color w:val="000000"/>
                <w:sz w:val="16"/>
                <w:szCs w:val="16"/>
              </w:rPr>
            </w:pPr>
            <w:r w:rsidRPr="00C258AD">
              <w:rPr>
                <w:color w:val="000000"/>
                <w:sz w:val="16"/>
                <w:szCs w:val="16"/>
              </w:rPr>
              <w:t>Pays arabes : 2,8</w:t>
            </w:r>
          </w:p>
          <w:p w:rsidR="00E472AA" w:rsidRPr="00C258AD" w:rsidRDefault="00E472AA" w:rsidP="00E472AA">
            <w:pPr>
              <w:pStyle w:val="ListParagraph"/>
              <w:numPr>
                <w:ilvl w:val="0"/>
                <w:numId w:val="16"/>
              </w:numPr>
              <w:rPr>
                <w:color w:val="000000"/>
                <w:sz w:val="16"/>
                <w:szCs w:val="16"/>
              </w:rPr>
            </w:pPr>
            <w:r w:rsidRPr="00C258AD">
              <w:rPr>
                <w:color w:val="000000"/>
                <w:sz w:val="16"/>
                <w:szCs w:val="16"/>
              </w:rPr>
              <w:t>Asie et Pacifique : 2,7</w:t>
            </w:r>
          </w:p>
          <w:p w:rsidR="00E472AA" w:rsidRPr="00C258AD" w:rsidRDefault="00E472AA" w:rsidP="00E472AA">
            <w:pPr>
              <w:pStyle w:val="ListParagraph"/>
              <w:numPr>
                <w:ilvl w:val="0"/>
                <w:numId w:val="16"/>
              </w:numPr>
              <w:rPr>
                <w:sz w:val="16"/>
                <w:szCs w:val="16"/>
                <w:lang w:bidi="th-TH"/>
              </w:rPr>
            </w:pPr>
            <w:r w:rsidRPr="00C258AD">
              <w:rPr>
                <w:color w:val="000000"/>
                <w:sz w:val="16"/>
                <w:szCs w:val="16"/>
              </w:rPr>
              <w:t>Amérique latine et Caraïbes : 3</w:t>
            </w:r>
          </w:p>
        </w:tc>
        <w:tc>
          <w:tcPr>
            <w:tcW w:w="946" w:type="dxa"/>
            <w:shd w:val="clear" w:color="auto" w:fill="auto"/>
            <w:tcMar>
              <w:top w:w="110" w:type="dxa"/>
            </w:tcMar>
          </w:tcPr>
          <w:p w:rsidR="00E472AA" w:rsidRPr="00C258AD" w:rsidRDefault="00E472AA" w:rsidP="00927E1F">
            <w:pPr>
              <w:keepNext/>
              <w:keepLines/>
              <w:jc w:val="center"/>
              <w:rPr>
                <w:b/>
                <w:bCs/>
                <w:color w:val="00B050"/>
                <w:sz w:val="16"/>
                <w:szCs w:val="16"/>
              </w:rPr>
            </w:pPr>
            <w:r w:rsidRPr="00C258AD">
              <w:rPr>
                <w:rStyle w:val="Style5"/>
                <w:b/>
                <w:bCs/>
                <w:color w:val="00B050"/>
                <w:sz w:val="16"/>
              </w:rPr>
              <w:t>Objectif pleinement atteint</w:t>
            </w:r>
          </w:p>
        </w:tc>
      </w:tr>
    </w:tbl>
    <w:p w:rsidR="00E472AA" w:rsidRPr="00C258AD" w:rsidRDefault="00E472AA" w:rsidP="00927E1F">
      <w:pPr>
        <w:rPr>
          <w:bCs/>
        </w:rPr>
      </w:pPr>
    </w:p>
    <w:p w:rsidR="00E472AA" w:rsidRPr="00C258AD" w:rsidRDefault="00E472AA" w:rsidP="00927E1F">
      <w:pPr>
        <w:rPr>
          <w:color w:val="000000"/>
          <w:szCs w:val="22"/>
        </w:rPr>
      </w:pPr>
    </w:p>
    <w:p w:rsidR="00E472AA" w:rsidRPr="00C258AD" w:rsidRDefault="00E472AA" w:rsidP="00E472AA">
      <w:pPr>
        <w:keepNext/>
        <w:rPr>
          <w:caps/>
          <w:sz w:val="22"/>
        </w:rPr>
      </w:pPr>
      <w:r w:rsidRPr="00C258AD">
        <w:rPr>
          <w:caps/>
          <w:sz w:val="22"/>
        </w:rPr>
        <w:lastRenderedPageBreak/>
        <w:t>Rapport d’évaluation des risques pour l’exercice biennal</w:t>
      </w:r>
    </w:p>
    <w:p w:rsidR="00E472AA" w:rsidRPr="00C258AD" w:rsidRDefault="00E472AA" w:rsidP="00927E1F">
      <w:pPr>
        <w:keepNext/>
        <w:keepLines/>
        <w:rPr>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E472AA" w:rsidRPr="00C258AD" w:rsidTr="00927E1F">
        <w:trPr>
          <w:cantSplit/>
        </w:trPr>
        <w:tc>
          <w:tcPr>
            <w:tcW w:w="2372" w:type="dxa"/>
            <w:tcBorders>
              <w:top w:val="single" w:sz="4" w:space="0" w:color="auto"/>
              <w:left w:val="single" w:sz="4" w:space="0" w:color="auto"/>
              <w:bottom w:val="single" w:sz="4" w:space="0" w:color="auto"/>
            </w:tcBorders>
            <w:shd w:val="clear" w:color="auto" w:fill="C5D9F1"/>
            <w:vAlign w:val="center"/>
          </w:tcPr>
          <w:p w:rsidR="00E472AA" w:rsidRPr="00C258AD" w:rsidRDefault="00E472AA" w:rsidP="00927E1F">
            <w:pPr>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E472AA" w:rsidRPr="00C258AD" w:rsidRDefault="00E472AA" w:rsidP="00927E1F">
            <w:pPr>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E472AA" w:rsidRPr="00C258AD" w:rsidRDefault="00E472AA" w:rsidP="00927E1F">
            <w:pPr>
              <w:autoSpaceDE w:val="0"/>
              <w:autoSpaceDN w:val="0"/>
              <w:adjustRightInd w:val="0"/>
              <w:ind w:right="-59"/>
              <w:jc w:val="center"/>
              <w:rPr>
                <w:b/>
                <w:bCs/>
                <w:iCs/>
                <w:sz w:val="16"/>
                <w:szCs w:val="16"/>
              </w:rPr>
            </w:pPr>
            <w:r w:rsidRPr="00C258AD">
              <w:rPr>
                <w:b/>
                <w:bCs/>
                <w:iCs/>
                <w:sz w:val="16"/>
                <w:szCs w:val="16"/>
              </w:rPr>
              <w:t>Évolution des risques et des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E472AA" w:rsidRPr="00C258AD" w:rsidRDefault="00E472AA" w:rsidP="00927E1F">
            <w:pPr>
              <w:autoSpaceDE w:val="0"/>
              <w:autoSpaceDN w:val="0"/>
              <w:adjustRightInd w:val="0"/>
              <w:jc w:val="center"/>
              <w:rPr>
                <w:b/>
                <w:bCs/>
                <w:iCs/>
                <w:sz w:val="16"/>
                <w:szCs w:val="16"/>
              </w:rPr>
            </w:pPr>
            <w:r w:rsidRPr="00C258AD">
              <w:rPr>
                <w:b/>
                <w:bCs/>
                <w:iCs/>
                <w:sz w:val="16"/>
                <w:szCs w:val="16"/>
              </w:rPr>
              <w:t>Incidence sur les résultats du programme</w:t>
            </w:r>
          </w:p>
        </w:tc>
      </w:tr>
      <w:tr w:rsidR="00E472AA" w:rsidRPr="00C258AD" w:rsidTr="00927E1F">
        <w:tblPrEx>
          <w:tblBorders>
            <w:top w:val="single" w:sz="4" w:space="0" w:color="auto"/>
            <w:left w:val="single" w:sz="4" w:space="0" w:color="auto"/>
            <w:bottom w:val="single" w:sz="4" w:space="0" w:color="auto"/>
            <w:right w:val="single" w:sz="4" w:space="0" w:color="auto"/>
          </w:tblBorders>
        </w:tblPrEx>
        <w:trPr>
          <w:cantSplit/>
        </w:trPr>
        <w:tc>
          <w:tcPr>
            <w:tcW w:w="2372" w:type="dxa"/>
            <w:tcBorders>
              <w:top w:val="single" w:sz="4" w:space="0" w:color="auto"/>
            </w:tcBorders>
            <w:shd w:val="clear" w:color="auto" w:fill="auto"/>
            <w:tcMar>
              <w:top w:w="113" w:type="dxa"/>
              <w:bottom w:w="85" w:type="dxa"/>
            </w:tcMar>
          </w:tcPr>
          <w:p w:rsidR="00E472AA" w:rsidRPr="00C258AD" w:rsidRDefault="00E472AA" w:rsidP="00927E1F">
            <w:pPr>
              <w:keepNext/>
              <w:keepLines/>
              <w:autoSpaceDE w:val="0"/>
              <w:autoSpaceDN w:val="0"/>
              <w:adjustRightInd w:val="0"/>
              <w:ind w:right="-59"/>
              <w:rPr>
                <w:sz w:val="16"/>
                <w:szCs w:val="16"/>
              </w:rPr>
            </w:pPr>
            <w:r w:rsidRPr="00C258AD">
              <w:rPr>
                <w:sz w:val="16"/>
                <w:szCs w:val="16"/>
              </w:rPr>
              <w:t>Le risque d’instabilité politique dans les États membres présentant des risques élevés liés à la sécurité et une dégradation de celle</w:t>
            </w:r>
            <w:r w:rsidRPr="00C258AD">
              <w:rPr>
                <w:sz w:val="16"/>
                <w:szCs w:val="16"/>
              </w:rPr>
              <w:noBreakHyphen/>
              <w:t>ci peut entraîner l’annulation d’activités ou des retards dans la prestation de services d’assistance technique, ce qui empêcherait le Programme 9 d’atteindre les résultats escomptés.</w:t>
            </w:r>
          </w:p>
        </w:tc>
        <w:tc>
          <w:tcPr>
            <w:tcW w:w="2373" w:type="dxa"/>
            <w:tcBorders>
              <w:top w:val="single" w:sz="4" w:space="0" w:color="auto"/>
            </w:tcBorders>
            <w:shd w:val="clear" w:color="auto" w:fill="auto"/>
            <w:tcMar>
              <w:top w:w="113" w:type="dxa"/>
              <w:bottom w:w="85" w:type="dxa"/>
            </w:tcMar>
          </w:tcPr>
          <w:p w:rsidR="00E472AA" w:rsidRPr="00C258AD" w:rsidRDefault="00E472AA" w:rsidP="00927E1F">
            <w:pPr>
              <w:keepNext/>
              <w:keepLines/>
              <w:autoSpaceDE w:val="0"/>
              <w:autoSpaceDN w:val="0"/>
              <w:adjustRightInd w:val="0"/>
              <w:ind w:right="-59"/>
              <w:rPr>
                <w:sz w:val="16"/>
                <w:szCs w:val="16"/>
              </w:rPr>
            </w:pPr>
            <w:r w:rsidRPr="00C258AD">
              <w:rPr>
                <w:sz w:val="16"/>
                <w:szCs w:val="16"/>
              </w:rPr>
              <w:t>i) Évaluation des risques effectuées selon les besoins et plans nationaux/activités annuelles formulés compte tenu de cette évaluation.</w:t>
            </w:r>
          </w:p>
          <w:p w:rsidR="00E472AA" w:rsidRPr="00C258AD" w:rsidRDefault="00E472AA" w:rsidP="00927E1F">
            <w:pPr>
              <w:keepNext/>
              <w:keepLines/>
              <w:autoSpaceDE w:val="0"/>
              <w:autoSpaceDN w:val="0"/>
              <w:adjustRightInd w:val="0"/>
              <w:ind w:right="-59"/>
              <w:rPr>
                <w:sz w:val="16"/>
                <w:szCs w:val="16"/>
              </w:rPr>
            </w:pPr>
          </w:p>
          <w:p w:rsidR="00E472AA" w:rsidRPr="00C258AD" w:rsidRDefault="00E472AA" w:rsidP="00927E1F">
            <w:pPr>
              <w:keepNext/>
              <w:keepLines/>
              <w:autoSpaceDE w:val="0"/>
              <w:autoSpaceDN w:val="0"/>
              <w:adjustRightInd w:val="0"/>
              <w:ind w:right="-59"/>
              <w:rPr>
                <w:sz w:val="16"/>
                <w:szCs w:val="16"/>
              </w:rPr>
            </w:pPr>
            <w:r w:rsidRPr="00C258AD">
              <w:rPr>
                <w:sz w:val="16"/>
                <w:szCs w:val="16"/>
              </w:rPr>
              <w:t>ii) Surveillance constante, en collaboration avec l’office de propriété intellectuelle et les parties prenantes, afin d’élaborer des plans de rechange.</w:t>
            </w:r>
          </w:p>
        </w:tc>
        <w:tc>
          <w:tcPr>
            <w:tcW w:w="2373" w:type="dxa"/>
            <w:tcBorders>
              <w:top w:val="single" w:sz="4" w:space="0" w:color="auto"/>
            </w:tcBorders>
          </w:tcPr>
          <w:p w:rsidR="00E472AA" w:rsidRPr="00C258AD" w:rsidRDefault="00E472AA" w:rsidP="00927E1F">
            <w:pPr>
              <w:keepNext/>
              <w:keepLines/>
              <w:autoSpaceDE w:val="0"/>
              <w:autoSpaceDN w:val="0"/>
              <w:adjustRightInd w:val="0"/>
              <w:ind w:right="-59"/>
              <w:rPr>
                <w:sz w:val="16"/>
                <w:szCs w:val="16"/>
              </w:rPr>
            </w:pPr>
            <w:r w:rsidRPr="00C258AD">
              <w:rPr>
                <w:sz w:val="16"/>
                <w:szCs w:val="16"/>
              </w:rPr>
              <w:t>Le risque s’est concrétisé à cause d’une situation nationale difficile et des constants changements structurels des institutions de propriété intellectuelle de certains pays arabes.  Dans une certaine mesure, les actions prises pour atténuer les risques ont réussi à offrir de nouvelles options pour la mise en œuvre des activités d’assistance technique, en consultation avec les autorités concernées.</w:t>
            </w:r>
          </w:p>
        </w:tc>
        <w:tc>
          <w:tcPr>
            <w:tcW w:w="2373" w:type="dxa"/>
            <w:tcBorders>
              <w:top w:val="single" w:sz="4" w:space="0" w:color="auto"/>
            </w:tcBorders>
          </w:tcPr>
          <w:p w:rsidR="00E472AA" w:rsidRPr="00C258AD" w:rsidRDefault="00E472AA" w:rsidP="00927E1F">
            <w:pPr>
              <w:keepNext/>
              <w:keepLines/>
              <w:autoSpaceDE w:val="0"/>
              <w:autoSpaceDN w:val="0"/>
              <w:adjustRightInd w:val="0"/>
              <w:ind w:right="-59"/>
              <w:rPr>
                <w:sz w:val="16"/>
                <w:szCs w:val="16"/>
              </w:rPr>
            </w:pPr>
            <w:r w:rsidRPr="00C258AD">
              <w:rPr>
                <w:sz w:val="16"/>
                <w:szCs w:val="16"/>
              </w:rPr>
              <w:t>Les mesures d’atténuation n’ont pas entièrement réussi à limiter l’incidence du risque, ce qui a entraîné la réalisation partielle ou la non</w:t>
            </w:r>
            <w:r w:rsidRPr="00C258AD">
              <w:rPr>
                <w:sz w:val="16"/>
                <w:szCs w:val="16"/>
              </w:rPr>
              <w:noBreakHyphen/>
              <w:t>réalisation de certains objectifs et le report ou la refonte des initiatives en matière d’assistance technique</w:t>
            </w:r>
            <w:r w:rsidRPr="00C258AD">
              <w:rPr>
                <w:sz w:val="16"/>
              </w:rPr>
              <w:t>.</w:t>
            </w:r>
          </w:p>
        </w:tc>
      </w:tr>
      <w:tr w:rsidR="00E472AA" w:rsidRPr="00C258AD" w:rsidTr="00927E1F">
        <w:tblPrEx>
          <w:tblBorders>
            <w:top w:val="single" w:sz="4" w:space="0" w:color="auto"/>
            <w:left w:val="single" w:sz="4" w:space="0" w:color="auto"/>
            <w:bottom w:val="single" w:sz="4" w:space="0" w:color="auto"/>
            <w:right w:val="single" w:sz="4" w:space="0" w:color="auto"/>
          </w:tblBorders>
        </w:tblPrEx>
        <w:trPr>
          <w:cantSplit/>
        </w:trPr>
        <w:tc>
          <w:tcPr>
            <w:tcW w:w="2372" w:type="dxa"/>
            <w:shd w:val="clear" w:color="auto" w:fill="auto"/>
            <w:tcMar>
              <w:top w:w="113" w:type="dxa"/>
              <w:bottom w:w="85" w:type="dxa"/>
            </w:tcMar>
          </w:tcPr>
          <w:p w:rsidR="00E472AA" w:rsidRPr="00C258AD" w:rsidRDefault="00E472AA" w:rsidP="00927E1F">
            <w:pPr>
              <w:keepNext/>
              <w:keepLines/>
              <w:autoSpaceDE w:val="0"/>
              <w:autoSpaceDN w:val="0"/>
              <w:adjustRightInd w:val="0"/>
              <w:ind w:right="-59"/>
              <w:rPr>
                <w:sz w:val="16"/>
                <w:szCs w:val="16"/>
              </w:rPr>
            </w:pPr>
            <w:r w:rsidRPr="00C258AD">
              <w:rPr>
                <w:sz w:val="16"/>
                <w:szCs w:val="16"/>
              </w:rPr>
              <w:t>Des changements politiques, débouchant sur des changements dans la politique de propriété intellectuelle dans le pays, les pouvoirs publics ou la direction générale des offices de propriété intellectuelle, peuvent entraîner la révision des plans de travail des pays concernés, réduire ou retarder la prestation de services, et compromettre ainsi la réalisation des résultats escomptés.</w:t>
            </w:r>
          </w:p>
        </w:tc>
        <w:tc>
          <w:tcPr>
            <w:tcW w:w="2373" w:type="dxa"/>
            <w:shd w:val="clear" w:color="auto" w:fill="auto"/>
            <w:tcMar>
              <w:top w:w="113" w:type="dxa"/>
              <w:bottom w:w="85" w:type="dxa"/>
            </w:tcMar>
          </w:tcPr>
          <w:p w:rsidR="00E472AA" w:rsidRPr="00C258AD" w:rsidRDefault="00E472AA" w:rsidP="00927E1F">
            <w:pPr>
              <w:keepNext/>
              <w:keepLines/>
              <w:autoSpaceDE w:val="0"/>
              <w:autoSpaceDN w:val="0"/>
              <w:adjustRightInd w:val="0"/>
              <w:ind w:right="-59"/>
              <w:rPr>
                <w:sz w:val="16"/>
                <w:szCs w:val="16"/>
              </w:rPr>
            </w:pPr>
            <w:r w:rsidRPr="00C258AD">
              <w:rPr>
                <w:sz w:val="16"/>
                <w:szCs w:val="16"/>
              </w:rPr>
              <w:t>i) Conserver une marge de manœuvre afin de pouvoir faire des ajustements occasionnels dans les plans de travail pour certains pays.</w:t>
            </w:r>
          </w:p>
          <w:p w:rsidR="00E472AA" w:rsidRPr="00C258AD" w:rsidRDefault="00E472AA" w:rsidP="00927E1F">
            <w:pPr>
              <w:keepNext/>
              <w:keepLines/>
              <w:autoSpaceDE w:val="0"/>
              <w:autoSpaceDN w:val="0"/>
              <w:adjustRightInd w:val="0"/>
              <w:ind w:right="-59"/>
              <w:rPr>
                <w:sz w:val="16"/>
                <w:szCs w:val="16"/>
              </w:rPr>
            </w:pPr>
          </w:p>
          <w:p w:rsidR="00E472AA" w:rsidRPr="00C258AD" w:rsidRDefault="00E472AA" w:rsidP="00927E1F">
            <w:pPr>
              <w:keepNext/>
              <w:keepLines/>
              <w:autoSpaceDE w:val="0"/>
              <w:autoSpaceDN w:val="0"/>
              <w:adjustRightInd w:val="0"/>
              <w:ind w:right="-59"/>
              <w:rPr>
                <w:sz w:val="16"/>
                <w:szCs w:val="16"/>
              </w:rPr>
            </w:pPr>
            <w:r w:rsidRPr="00C258AD">
              <w:rPr>
                <w:sz w:val="16"/>
                <w:szCs w:val="16"/>
              </w:rPr>
              <w:t>ii) Encourager et faciliter la formation de consensus sur des stratégies et plans de travail nationaux en matière de propriété intellectuelle</w:t>
            </w:r>
          </w:p>
        </w:tc>
        <w:tc>
          <w:tcPr>
            <w:tcW w:w="2373" w:type="dxa"/>
          </w:tcPr>
          <w:p w:rsidR="00E472AA" w:rsidRPr="00C258AD" w:rsidRDefault="00E472AA" w:rsidP="00927E1F">
            <w:pPr>
              <w:keepNext/>
              <w:keepLines/>
              <w:autoSpaceDE w:val="0"/>
              <w:autoSpaceDN w:val="0"/>
              <w:adjustRightInd w:val="0"/>
              <w:ind w:right="-59"/>
              <w:rPr>
                <w:sz w:val="16"/>
                <w:szCs w:val="16"/>
              </w:rPr>
            </w:pPr>
            <w:r w:rsidRPr="00C258AD">
              <w:rPr>
                <w:sz w:val="16"/>
                <w:szCs w:val="16"/>
              </w:rPr>
              <w:t>Le risque s’est concrétisé dans certains pays.  Les mesures d’atténuation ont pleinement servi à limiter les retombées négatives.  En effet, un dialogue renforcé avec les nouveaux responsables et davantage de flexibilité ont permis d’apporter les ajustements nécessaires aux stratégies nationales de propriété intellectuelle et aux plans de travail.</w:t>
            </w:r>
          </w:p>
        </w:tc>
        <w:tc>
          <w:tcPr>
            <w:tcW w:w="2373" w:type="dxa"/>
          </w:tcPr>
          <w:p w:rsidR="00E472AA" w:rsidRPr="00C258AD" w:rsidRDefault="00E472AA" w:rsidP="00927E1F">
            <w:pPr>
              <w:keepNext/>
              <w:keepLines/>
              <w:autoSpaceDE w:val="0"/>
              <w:autoSpaceDN w:val="0"/>
              <w:adjustRightInd w:val="0"/>
              <w:ind w:right="-59"/>
              <w:rPr>
                <w:sz w:val="16"/>
                <w:szCs w:val="16"/>
              </w:rPr>
            </w:pPr>
            <w:r w:rsidRPr="00C258AD">
              <w:rPr>
                <w:sz w:val="16"/>
                <w:szCs w:val="16"/>
              </w:rPr>
              <w:t>Les mesures d’atténuation ont pleinement servi à limiter l’incidence sur les résultats du programme.</w:t>
            </w:r>
          </w:p>
        </w:tc>
      </w:tr>
    </w:tbl>
    <w:p w:rsidR="00E472AA" w:rsidRPr="00C258AD" w:rsidRDefault="00E472AA" w:rsidP="00927E1F">
      <w:pPr>
        <w:rPr>
          <w:color w:val="000000"/>
          <w:szCs w:val="22"/>
        </w:rPr>
      </w:pPr>
    </w:p>
    <w:p w:rsidR="00E472AA" w:rsidRPr="00C258AD" w:rsidRDefault="00E472AA" w:rsidP="00927E1F">
      <w:pPr>
        <w:rPr>
          <w:color w:val="000000"/>
          <w:szCs w:val="22"/>
        </w:rPr>
      </w:pPr>
    </w:p>
    <w:p w:rsidR="00E472AA" w:rsidRPr="00C258AD" w:rsidRDefault="00E472AA" w:rsidP="00E472AA">
      <w:pPr>
        <w:keepNext/>
        <w:rPr>
          <w:sz w:val="22"/>
        </w:rPr>
      </w:pPr>
      <w:r w:rsidRPr="00C258AD">
        <w:rPr>
          <w:sz w:val="22"/>
        </w:rPr>
        <w:lastRenderedPageBreak/>
        <w:t>UTILISATION DES RESSOURCES</w:t>
      </w:r>
    </w:p>
    <w:p w:rsidR="00E472AA" w:rsidRPr="00C258AD" w:rsidRDefault="00E472AA" w:rsidP="00927E1F">
      <w:pPr>
        <w:keepNext/>
        <w:jc w:val="center"/>
      </w:pPr>
    </w:p>
    <w:p w:rsidR="00E472AA" w:rsidRPr="00C258AD" w:rsidRDefault="00E472AA" w:rsidP="00927E1F">
      <w:pPr>
        <w:pStyle w:val="NormalWeb"/>
        <w:keepNext/>
        <w:spacing w:before="0" w:beforeAutospacing="0" w:after="0" w:afterAutospacing="0"/>
        <w:jc w:val="center"/>
        <w:rPr>
          <w:sz w:val="20"/>
          <w:szCs w:val="20"/>
        </w:rPr>
      </w:pPr>
      <w:r w:rsidRPr="00C258AD">
        <w:rPr>
          <w:sz w:val="20"/>
          <w:szCs w:val="20"/>
        </w:rPr>
        <w:t>Budget et dépenses effectives (par résultat)</w:t>
      </w:r>
    </w:p>
    <w:p w:rsidR="00E472AA" w:rsidRPr="00C258AD" w:rsidRDefault="00E472AA" w:rsidP="00927E1F">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E472AA" w:rsidRPr="00C258AD" w:rsidRDefault="00E472AA" w:rsidP="00927E1F">
      <w:pPr>
        <w:keepNext/>
        <w:jc w:val="both"/>
      </w:pPr>
    </w:p>
    <w:tbl>
      <w:tblPr>
        <w:tblW w:w="5000" w:type="pct"/>
        <w:tblInd w:w="55" w:type="dxa"/>
        <w:tblCellMar>
          <w:top w:w="113" w:type="dxa"/>
          <w:left w:w="70" w:type="dxa"/>
          <w:bottom w:w="113" w:type="dxa"/>
          <w:right w:w="70" w:type="dxa"/>
        </w:tblCellMar>
        <w:tblLook w:val="04A0" w:firstRow="1" w:lastRow="0" w:firstColumn="1" w:lastColumn="0" w:noHBand="0" w:noVBand="1"/>
      </w:tblPr>
      <w:tblGrid>
        <w:gridCol w:w="630"/>
        <w:gridCol w:w="4599"/>
        <w:gridCol w:w="1422"/>
        <w:gridCol w:w="1422"/>
        <w:gridCol w:w="1422"/>
      </w:tblGrid>
      <w:tr w:rsidR="00E472AA" w:rsidRPr="00C258AD" w:rsidTr="00927E1F">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E472AA" w:rsidRPr="00C258AD" w:rsidRDefault="00E472AA" w:rsidP="00927E1F">
            <w:pPr>
              <w:keepNext/>
              <w:jc w:val="center"/>
              <w:rPr>
                <w:i/>
                <w:iCs/>
                <w:sz w:val="16"/>
                <w:szCs w:val="16"/>
              </w:rPr>
            </w:pPr>
            <w:r w:rsidRPr="00C258AD">
              <w:rPr>
                <w:i/>
                <w:iCs/>
                <w:sz w:val="16"/>
                <w:szCs w:val="16"/>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E472AA" w:rsidRPr="00C258AD" w:rsidRDefault="00E472AA" w:rsidP="00927E1F">
            <w:pPr>
              <w:keepNext/>
              <w:jc w:val="center"/>
              <w:rPr>
                <w:i/>
                <w:iCs/>
                <w:sz w:val="16"/>
                <w:szCs w:val="16"/>
              </w:rPr>
            </w:pPr>
            <w:r w:rsidRPr="00C258AD">
              <w:rPr>
                <w:i/>
                <w:iCs/>
                <w:sz w:val="16"/>
                <w:szCs w:val="16"/>
              </w:rPr>
              <w:t>Budget</w:t>
            </w:r>
            <w:r w:rsidRPr="00C258AD">
              <w:rPr>
                <w:i/>
                <w:iCs/>
                <w:sz w:val="16"/>
                <w:szCs w:val="16"/>
              </w:rPr>
              <w:br/>
              <w:t>2014</w:t>
            </w:r>
            <w:r w:rsidRPr="00C258AD">
              <w:rPr>
                <w:i/>
                <w:iCs/>
                <w:sz w:val="16"/>
                <w:szCs w:val="16"/>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E472AA" w:rsidRPr="00C258AD" w:rsidRDefault="00E472AA" w:rsidP="00927E1F">
            <w:pPr>
              <w:keepNext/>
              <w:jc w:val="center"/>
              <w:rPr>
                <w:i/>
                <w:iCs/>
                <w:sz w:val="16"/>
                <w:szCs w:val="16"/>
              </w:rPr>
            </w:pPr>
            <w:r w:rsidRPr="00C258AD">
              <w:rPr>
                <w:i/>
                <w:iCs/>
                <w:sz w:val="16"/>
                <w:szCs w:val="16"/>
              </w:rPr>
              <w:t>Budget final</w:t>
            </w:r>
            <w:r w:rsidRPr="00C258AD">
              <w:rPr>
                <w:i/>
                <w:iCs/>
                <w:sz w:val="16"/>
                <w:szCs w:val="16"/>
              </w:rPr>
              <w:br/>
              <w:t>2014</w:t>
            </w:r>
            <w:r w:rsidRPr="00C258AD">
              <w:rPr>
                <w:i/>
                <w:iCs/>
                <w:sz w:val="16"/>
                <w:szCs w:val="16"/>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E472AA" w:rsidRPr="00C258AD" w:rsidRDefault="00E472AA" w:rsidP="00927E1F">
            <w:pPr>
              <w:keepNext/>
              <w:jc w:val="center"/>
              <w:rPr>
                <w:i/>
                <w:iCs/>
                <w:sz w:val="16"/>
                <w:szCs w:val="16"/>
              </w:rPr>
            </w:pPr>
            <w:r w:rsidRPr="00C258AD">
              <w:rPr>
                <w:i/>
                <w:iCs/>
                <w:sz w:val="16"/>
                <w:szCs w:val="16"/>
              </w:rPr>
              <w:t>Dépenses</w:t>
            </w:r>
            <w:r w:rsidRPr="00C258AD">
              <w:rPr>
                <w:i/>
                <w:iCs/>
                <w:sz w:val="16"/>
                <w:szCs w:val="16"/>
              </w:rPr>
              <w:br/>
              <w:t>2014</w:t>
            </w:r>
            <w:r w:rsidRPr="00C258AD">
              <w:rPr>
                <w:i/>
                <w:iCs/>
                <w:sz w:val="16"/>
                <w:szCs w:val="16"/>
              </w:rPr>
              <w:noBreakHyphen/>
              <w:t>2015</w:t>
            </w:r>
          </w:p>
        </w:tc>
      </w:tr>
      <w:tr w:rsidR="00E472AA" w:rsidRPr="00C258AD" w:rsidTr="00927E1F">
        <w:trPr>
          <w:cantSplit/>
        </w:trPr>
        <w:tc>
          <w:tcPr>
            <w:tcW w:w="602" w:type="dxa"/>
            <w:tcBorders>
              <w:top w:val="nil"/>
              <w:left w:val="single" w:sz="4" w:space="0" w:color="auto"/>
              <w:bottom w:val="nil"/>
              <w:right w:val="nil"/>
            </w:tcBorders>
            <w:shd w:val="clear" w:color="auto" w:fill="auto"/>
            <w:noWrap/>
            <w:vAlign w:val="center"/>
            <w:hideMark/>
          </w:tcPr>
          <w:p w:rsidR="00E472AA" w:rsidRPr="00C258AD" w:rsidRDefault="00E472AA" w:rsidP="00927E1F">
            <w:pPr>
              <w:keepNext/>
              <w:rPr>
                <w:sz w:val="16"/>
                <w:szCs w:val="16"/>
              </w:rPr>
            </w:pPr>
            <w:r w:rsidRPr="00C258AD">
              <w:rPr>
                <w:sz w:val="16"/>
                <w:szCs w:val="16"/>
              </w:rPr>
              <w:t>I.2</w:t>
            </w:r>
          </w:p>
        </w:tc>
        <w:tc>
          <w:tcPr>
            <w:tcW w:w="4398" w:type="dxa"/>
            <w:tcBorders>
              <w:top w:val="nil"/>
              <w:left w:val="nil"/>
              <w:bottom w:val="nil"/>
              <w:right w:val="nil"/>
            </w:tcBorders>
            <w:shd w:val="clear" w:color="auto" w:fill="auto"/>
            <w:vAlign w:val="center"/>
            <w:hideMark/>
          </w:tcPr>
          <w:p w:rsidR="00E472AA" w:rsidRPr="00C258AD" w:rsidRDefault="00E472AA" w:rsidP="00927E1F">
            <w:pPr>
              <w:keepNext/>
              <w:rPr>
                <w:sz w:val="16"/>
                <w:szCs w:val="16"/>
              </w:rPr>
            </w:pPr>
            <w:r w:rsidRPr="00C258AD">
              <w:rPr>
                <w:sz w:val="16"/>
                <w:szCs w:val="16"/>
              </w:rPr>
              <w:t>Cadres législatifs, réglementaires et politiques adaptés et équilibrés en matière de propriété intellectuelle</w:t>
            </w:r>
          </w:p>
        </w:tc>
        <w:tc>
          <w:tcPr>
            <w:tcW w:w="1360" w:type="dxa"/>
            <w:tcBorders>
              <w:top w:val="nil"/>
              <w:left w:val="nil"/>
              <w:bottom w:val="nil"/>
              <w:right w:val="nil"/>
            </w:tcBorders>
            <w:shd w:val="clear" w:color="auto" w:fill="auto"/>
            <w:vAlign w:val="center"/>
            <w:hideMark/>
          </w:tcPr>
          <w:p w:rsidR="00E472AA" w:rsidRPr="00C258AD" w:rsidRDefault="00E472AA" w:rsidP="00927E1F">
            <w:pPr>
              <w:keepNext/>
              <w:jc w:val="right"/>
              <w:rPr>
                <w:sz w:val="16"/>
                <w:szCs w:val="16"/>
              </w:rPr>
            </w:pPr>
            <w:r w:rsidRPr="00C258AD">
              <w:rPr>
                <w:sz w:val="16"/>
                <w:szCs w:val="16"/>
              </w:rPr>
              <w:t>1 079</w:t>
            </w:r>
          </w:p>
        </w:tc>
        <w:tc>
          <w:tcPr>
            <w:tcW w:w="1360" w:type="dxa"/>
            <w:tcBorders>
              <w:top w:val="nil"/>
              <w:left w:val="nil"/>
              <w:bottom w:val="nil"/>
              <w:right w:val="nil"/>
            </w:tcBorders>
            <w:shd w:val="clear" w:color="auto" w:fill="auto"/>
            <w:vAlign w:val="center"/>
            <w:hideMark/>
          </w:tcPr>
          <w:p w:rsidR="00E472AA" w:rsidRPr="00C258AD" w:rsidRDefault="00E472AA" w:rsidP="00927E1F">
            <w:pPr>
              <w:keepNext/>
              <w:jc w:val="right"/>
              <w:rPr>
                <w:sz w:val="16"/>
                <w:szCs w:val="16"/>
              </w:rPr>
            </w:pPr>
            <w:r w:rsidRPr="00C258AD">
              <w:rPr>
                <w:sz w:val="16"/>
                <w:szCs w:val="16"/>
              </w:rPr>
              <w:t>3 139</w:t>
            </w:r>
          </w:p>
        </w:tc>
        <w:tc>
          <w:tcPr>
            <w:tcW w:w="1360" w:type="dxa"/>
            <w:tcBorders>
              <w:top w:val="nil"/>
              <w:left w:val="nil"/>
              <w:bottom w:val="nil"/>
              <w:right w:val="single" w:sz="4" w:space="0" w:color="auto"/>
            </w:tcBorders>
            <w:shd w:val="clear" w:color="auto" w:fill="auto"/>
            <w:vAlign w:val="center"/>
            <w:hideMark/>
          </w:tcPr>
          <w:p w:rsidR="00E472AA" w:rsidRPr="00C258AD" w:rsidRDefault="00E472AA" w:rsidP="00927E1F">
            <w:pPr>
              <w:keepNext/>
              <w:jc w:val="right"/>
              <w:rPr>
                <w:sz w:val="16"/>
                <w:szCs w:val="16"/>
              </w:rPr>
            </w:pPr>
            <w:r w:rsidRPr="00C258AD">
              <w:rPr>
                <w:sz w:val="16"/>
                <w:szCs w:val="16"/>
              </w:rPr>
              <w:t>2 626</w:t>
            </w:r>
          </w:p>
        </w:tc>
      </w:tr>
      <w:tr w:rsidR="00E472AA" w:rsidRPr="00C258AD" w:rsidTr="00927E1F">
        <w:trPr>
          <w:cantSplit/>
        </w:trPr>
        <w:tc>
          <w:tcPr>
            <w:tcW w:w="602" w:type="dxa"/>
            <w:tcBorders>
              <w:top w:val="nil"/>
              <w:left w:val="single" w:sz="4" w:space="0" w:color="auto"/>
              <w:bottom w:val="nil"/>
              <w:right w:val="nil"/>
            </w:tcBorders>
            <w:shd w:val="clear" w:color="auto" w:fill="auto"/>
            <w:noWrap/>
            <w:vAlign w:val="center"/>
            <w:hideMark/>
          </w:tcPr>
          <w:p w:rsidR="00E472AA" w:rsidRPr="00C258AD" w:rsidRDefault="00E472AA" w:rsidP="00927E1F">
            <w:pPr>
              <w:keepNext/>
              <w:rPr>
                <w:sz w:val="16"/>
                <w:szCs w:val="16"/>
              </w:rPr>
            </w:pPr>
            <w:r w:rsidRPr="00C258AD">
              <w:rPr>
                <w:sz w:val="16"/>
                <w:szCs w:val="16"/>
              </w:rPr>
              <w:t>III.1</w:t>
            </w:r>
          </w:p>
        </w:tc>
        <w:tc>
          <w:tcPr>
            <w:tcW w:w="4398" w:type="dxa"/>
            <w:tcBorders>
              <w:top w:val="nil"/>
              <w:left w:val="nil"/>
              <w:bottom w:val="nil"/>
              <w:right w:val="nil"/>
            </w:tcBorders>
            <w:shd w:val="clear" w:color="auto" w:fill="auto"/>
            <w:vAlign w:val="center"/>
            <w:hideMark/>
          </w:tcPr>
          <w:p w:rsidR="00E472AA" w:rsidRPr="00C258AD" w:rsidRDefault="00E472AA" w:rsidP="00927E1F">
            <w:pPr>
              <w:keepNext/>
              <w:rPr>
                <w:sz w:val="16"/>
                <w:szCs w:val="16"/>
              </w:rPr>
            </w:pPr>
            <w:r w:rsidRPr="00C258AD">
              <w:rPr>
                <w:sz w:val="16"/>
                <w:szCs w:val="16"/>
              </w:rPr>
              <w:t>Stratégies et plans nationaux en matière d’innovation et de propriété intellectuelle conformes aux objectifs de développement nationaux</w:t>
            </w:r>
          </w:p>
        </w:tc>
        <w:tc>
          <w:tcPr>
            <w:tcW w:w="1360" w:type="dxa"/>
            <w:tcBorders>
              <w:top w:val="nil"/>
              <w:left w:val="nil"/>
              <w:bottom w:val="nil"/>
              <w:right w:val="nil"/>
            </w:tcBorders>
            <w:shd w:val="clear" w:color="auto" w:fill="auto"/>
            <w:vAlign w:val="center"/>
            <w:hideMark/>
          </w:tcPr>
          <w:p w:rsidR="00E472AA" w:rsidRPr="00C258AD" w:rsidRDefault="00E472AA" w:rsidP="00927E1F">
            <w:pPr>
              <w:keepNext/>
              <w:jc w:val="right"/>
              <w:rPr>
                <w:sz w:val="16"/>
                <w:szCs w:val="16"/>
              </w:rPr>
            </w:pPr>
            <w:r w:rsidRPr="00C258AD">
              <w:rPr>
                <w:sz w:val="16"/>
                <w:szCs w:val="16"/>
              </w:rPr>
              <w:t>10 782</w:t>
            </w:r>
          </w:p>
        </w:tc>
        <w:tc>
          <w:tcPr>
            <w:tcW w:w="1360" w:type="dxa"/>
            <w:tcBorders>
              <w:top w:val="nil"/>
              <w:left w:val="nil"/>
              <w:bottom w:val="nil"/>
              <w:right w:val="nil"/>
            </w:tcBorders>
            <w:shd w:val="clear" w:color="auto" w:fill="auto"/>
            <w:vAlign w:val="center"/>
            <w:hideMark/>
          </w:tcPr>
          <w:p w:rsidR="00E472AA" w:rsidRPr="00C258AD" w:rsidRDefault="00E472AA" w:rsidP="00927E1F">
            <w:pPr>
              <w:keepNext/>
              <w:jc w:val="right"/>
              <w:rPr>
                <w:sz w:val="16"/>
                <w:szCs w:val="16"/>
              </w:rPr>
            </w:pPr>
            <w:r w:rsidRPr="00C258AD">
              <w:rPr>
                <w:sz w:val="16"/>
                <w:szCs w:val="16"/>
              </w:rPr>
              <w:t>7 811</w:t>
            </w:r>
          </w:p>
        </w:tc>
        <w:tc>
          <w:tcPr>
            <w:tcW w:w="1360" w:type="dxa"/>
            <w:tcBorders>
              <w:top w:val="nil"/>
              <w:left w:val="nil"/>
              <w:bottom w:val="nil"/>
              <w:right w:val="single" w:sz="4" w:space="0" w:color="auto"/>
            </w:tcBorders>
            <w:shd w:val="clear" w:color="auto" w:fill="auto"/>
            <w:vAlign w:val="center"/>
            <w:hideMark/>
          </w:tcPr>
          <w:p w:rsidR="00E472AA" w:rsidRPr="00C258AD" w:rsidRDefault="00E472AA" w:rsidP="00927E1F">
            <w:pPr>
              <w:keepNext/>
              <w:jc w:val="right"/>
              <w:rPr>
                <w:sz w:val="16"/>
                <w:szCs w:val="16"/>
              </w:rPr>
            </w:pPr>
            <w:r w:rsidRPr="00C258AD">
              <w:rPr>
                <w:sz w:val="16"/>
                <w:szCs w:val="16"/>
              </w:rPr>
              <w:t>6 902</w:t>
            </w:r>
          </w:p>
        </w:tc>
      </w:tr>
      <w:tr w:rsidR="00E472AA" w:rsidRPr="00C258AD" w:rsidTr="00927E1F">
        <w:trPr>
          <w:cantSplit/>
        </w:trPr>
        <w:tc>
          <w:tcPr>
            <w:tcW w:w="602" w:type="dxa"/>
            <w:tcBorders>
              <w:top w:val="nil"/>
              <w:left w:val="single" w:sz="4" w:space="0" w:color="auto"/>
              <w:bottom w:val="nil"/>
              <w:right w:val="nil"/>
            </w:tcBorders>
            <w:shd w:val="clear" w:color="auto" w:fill="auto"/>
            <w:noWrap/>
            <w:vAlign w:val="center"/>
            <w:hideMark/>
          </w:tcPr>
          <w:p w:rsidR="00E472AA" w:rsidRPr="00C258AD" w:rsidRDefault="00E472AA" w:rsidP="00927E1F">
            <w:pPr>
              <w:keepNext/>
              <w:rPr>
                <w:sz w:val="16"/>
                <w:szCs w:val="16"/>
              </w:rPr>
            </w:pPr>
            <w:r w:rsidRPr="00C258AD">
              <w:rPr>
                <w:sz w:val="16"/>
                <w:szCs w:val="16"/>
              </w:rPr>
              <w:t>III.2</w:t>
            </w:r>
          </w:p>
        </w:tc>
        <w:tc>
          <w:tcPr>
            <w:tcW w:w="4398" w:type="dxa"/>
            <w:tcBorders>
              <w:top w:val="nil"/>
              <w:left w:val="nil"/>
              <w:bottom w:val="nil"/>
              <w:right w:val="nil"/>
            </w:tcBorders>
            <w:shd w:val="clear" w:color="auto" w:fill="auto"/>
            <w:vAlign w:val="center"/>
            <w:hideMark/>
          </w:tcPr>
          <w:p w:rsidR="00E472AA" w:rsidRPr="00C258AD" w:rsidRDefault="00E472AA" w:rsidP="00927E1F">
            <w:pPr>
              <w:keepNext/>
              <w:rPr>
                <w:sz w:val="16"/>
                <w:szCs w:val="16"/>
              </w:rPr>
            </w:pPr>
            <w:r w:rsidRPr="00C258AD">
              <w:rPr>
                <w:sz w:val="16"/>
                <w:szCs w:val="16"/>
              </w:rPr>
              <w:t>Renforcement des capacités en matière de ressources humaines pour pouvoir répondre aux nombreuses exigences en ce qui concerne l’utilisation efficace de la propriété intellectuelle au service du développement dans les pays en développement, les PMA et les pays en transition</w:t>
            </w:r>
          </w:p>
        </w:tc>
        <w:tc>
          <w:tcPr>
            <w:tcW w:w="1360" w:type="dxa"/>
            <w:tcBorders>
              <w:top w:val="nil"/>
              <w:left w:val="nil"/>
              <w:bottom w:val="nil"/>
              <w:right w:val="nil"/>
            </w:tcBorders>
            <w:shd w:val="clear" w:color="auto" w:fill="auto"/>
            <w:vAlign w:val="center"/>
            <w:hideMark/>
          </w:tcPr>
          <w:p w:rsidR="00E472AA" w:rsidRPr="00C258AD" w:rsidRDefault="00E472AA" w:rsidP="00927E1F">
            <w:pPr>
              <w:keepNext/>
              <w:jc w:val="right"/>
              <w:rPr>
                <w:sz w:val="16"/>
                <w:szCs w:val="16"/>
              </w:rPr>
            </w:pPr>
            <w:r w:rsidRPr="00C258AD">
              <w:rPr>
                <w:sz w:val="16"/>
                <w:szCs w:val="16"/>
              </w:rPr>
              <w:t>12 084</w:t>
            </w:r>
          </w:p>
        </w:tc>
        <w:tc>
          <w:tcPr>
            <w:tcW w:w="1360" w:type="dxa"/>
            <w:tcBorders>
              <w:top w:val="nil"/>
              <w:left w:val="nil"/>
              <w:bottom w:val="nil"/>
              <w:right w:val="nil"/>
            </w:tcBorders>
            <w:shd w:val="clear" w:color="auto" w:fill="auto"/>
            <w:vAlign w:val="center"/>
            <w:hideMark/>
          </w:tcPr>
          <w:p w:rsidR="00E472AA" w:rsidRPr="00C258AD" w:rsidRDefault="00E472AA" w:rsidP="00927E1F">
            <w:pPr>
              <w:keepNext/>
              <w:jc w:val="right"/>
              <w:rPr>
                <w:sz w:val="16"/>
                <w:szCs w:val="16"/>
              </w:rPr>
            </w:pPr>
            <w:r w:rsidRPr="00C258AD">
              <w:rPr>
                <w:sz w:val="16"/>
                <w:szCs w:val="16"/>
              </w:rPr>
              <w:t>9 643</w:t>
            </w:r>
          </w:p>
        </w:tc>
        <w:tc>
          <w:tcPr>
            <w:tcW w:w="1360" w:type="dxa"/>
            <w:tcBorders>
              <w:top w:val="nil"/>
              <w:left w:val="nil"/>
              <w:bottom w:val="nil"/>
              <w:right w:val="single" w:sz="4" w:space="0" w:color="auto"/>
            </w:tcBorders>
            <w:shd w:val="clear" w:color="auto" w:fill="auto"/>
            <w:vAlign w:val="center"/>
            <w:hideMark/>
          </w:tcPr>
          <w:p w:rsidR="00E472AA" w:rsidRPr="00C258AD" w:rsidRDefault="00E472AA" w:rsidP="00927E1F">
            <w:pPr>
              <w:keepNext/>
              <w:jc w:val="right"/>
              <w:rPr>
                <w:sz w:val="16"/>
                <w:szCs w:val="16"/>
              </w:rPr>
            </w:pPr>
            <w:r w:rsidRPr="00C258AD">
              <w:rPr>
                <w:sz w:val="16"/>
                <w:szCs w:val="16"/>
              </w:rPr>
              <w:t>9 063</w:t>
            </w:r>
          </w:p>
        </w:tc>
      </w:tr>
      <w:tr w:rsidR="00E472AA" w:rsidRPr="00C258AD" w:rsidTr="00927E1F">
        <w:trPr>
          <w:cantSplit/>
        </w:trPr>
        <w:tc>
          <w:tcPr>
            <w:tcW w:w="602" w:type="dxa"/>
            <w:tcBorders>
              <w:top w:val="nil"/>
              <w:left w:val="single" w:sz="4" w:space="0" w:color="auto"/>
              <w:bottom w:val="nil"/>
              <w:right w:val="nil"/>
            </w:tcBorders>
            <w:shd w:val="clear" w:color="auto" w:fill="auto"/>
            <w:noWrap/>
            <w:vAlign w:val="center"/>
            <w:hideMark/>
          </w:tcPr>
          <w:p w:rsidR="00E472AA" w:rsidRPr="00C258AD" w:rsidRDefault="00E472AA" w:rsidP="00927E1F">
            <w:pPr>
              <w:keepNext/>
              <w:rPr>
                <w:sz w:val="16"/>
                <w:szCs w:val="16"/>
              </w:rPr>
            </w:pPr>
            <w:r w:rsidRPr="00C258AD">
              <w:rPr>
                <w:sz w:val="16"/>
                <w:szCs w:val="16"/>
              </w:rPr>
              <w:t>III.3</w:t>
            </w:r>
          </w:p>
        </w:tc>
        <w:tc>
          <w:tcPr>
            <w:tcW w:w="4398" w:type="dxa"/>
            <w:tcBorders>
              <w:top w:val="nil"/>
              <w:left w:val="nil"/>
              <w:bottom w:val="nil"/>
              <w:right w:val="nil"/>
            </w:tcBorders>
            <w:shd w:val="clear" w:color="auto" w:fill="auto"/>
            <w:vAlign w:val="center"/>
            <w:hideMark/>
          </w:tcPr>
          <w:p w:rsidR="00E472AA" w:rsidRPr="00C258AD" w:rsidRDefault="00E472AA" w:rsidP="00927E1F">
            <w:pPr>
              <w:keepNext/>
              <w:rPr>
                <w:sz w:val="16"/>
                <w:szCs w:val="16"/>
              </w:rPr>
            </w:pPr>
            <w:r w:rsidRPr="00C258AD">
              <w:rPr>
                <w:sz w:val="16"/>
                <w:szCs w:val="16"/>
              </w:rPr>
              <w:t>Intégration des recommandations du Plan d’action pour le développement dans les travaux de l’OMPI</w:t>
            </w:r>
          </w:p>
        </w:tc>
        <w:tc>
          <w:tcPr>
            <w:tcW w:w="1360" w:type="dxa"/>
            <w:tcBorders>
              <w:top w:val="nil"/>
              <w:left w:val="nil"/>
              <w:bottom w:val="nil"/>
              <w:right w:val="nil"/>
            </w:tcBorders>
            <w:shd w:val="clear" w:color="auto" w:fill="auto"/>
            <w:vAlign w:val="center"/>
            <w:hideMark/>
          </w:tcPr>
          <w:p w:rsidR="00E472AA" w:rsidRPr="00C258AD" w:rsidRDefault="00E472AA" w:rsidP="00927E1F">
            <w:pPr>
              <w:keepNext/>
              <w:jc w:val="right"/>
              <w:rPr>
                <w:sz w:val="16"/>
                <w:szCs w:val="16"/>
              </w:rPr>
            </w:pPr>
            <w:r w:rsidRPr="00C258AD">
              <w:rPr>
                <w:sz w:val="16"/>
                <w:szCs w:val="16"/>
              </w:rPr>
              <w:t>367</w:t>
            </w:r>
          </w:p>
        </w:tc>
        <w:tc>
          <w:tcPr>
            <w:tcW w:w="1360" w:type="dxa"/>
            <w:tcBorders>
              <w:top w:val="nil"/>
              <w:left w:val="nil"/>
              <w:bottom w:val="nil"/>
              <w:right w:val="nil"/>
            </w:tcBorders>
            <w:shd w:val="clear" w:color="auto" w:fill="auto"/>
            <w:vAlign w:val="center"/>
            <w:hideMark/>
          </w:tcPr>
          <w:p w:rsidR="00E472AA" w:rsidRPr="00C258AD" w:rsidRDefault="00E472AA" w:rsidP="00927E1F">
            <w:pPr>
              <w:keepNext/>
              <w:jc w:val="right"/>
              <w:rPr>
                <w:sz w:val="16"/>
                <w:szCs w:val="16"/>
              </w:rPr>
            </w:pPr>
            <w:r w:rsidRPr="00C258AD">
              <w:rPr>
                <w:sz w:val="16"/>
                <w:szCs w:val="16"/>
              </w:rPr>
              <w:t>312</w:t>
            </w:r>
          </w:p>
        </w:tc>
        <w:tc>
          <w:tcPr>
            <w:tcW w:w="1360" w:type="dxa"/>
            <w:tcBorders>
              <w:top w:val="nil"/>
              <w:left w:val="nil"/>
              <w:bottom w:val="nil"/>
              <w:right w:val="single" w:sz="4" w:space="0" w:color="auto"/>
            </w:tcBorders>
            <w:shd w:val="clear" w:color="auto" w:fill="auto"/>
            <w:vAlign w:val="center"/>
            <w:hideMark/>
          </w:tcPr>
          <w:p w:rsidR="00E472AA" w:rsidRPr="00C258AD" w:rsidRDefault="00E472AA" w:rsidP="00927E1F">
            <w:pPr>
              <w:keepNext/>
              <w:jc w:val="right"/>
              <w:rPr>
                <w:sz w:val="16"/>
                <w:szCs w:val="16"/>
              </w:rPr>
            </w:pPr>
            <w:r w:rsidRPr="00C258AD">
              <w:rPr>
                <w:sz w:val="16"/>
                <w:szCs w:val="16"/>
              </w:rPr>
              <w:t>241</w:t>
            </w:r>
          </w:p>
        </w:tc>
      </w:tr>
      <w:tr w:rsidR="00E472AA" w:rsidRPr="00C258AD" w:rsidTr="00927E1F">
        <w:trPr>
          <w:cantSplit/>
        </w:trPr>
        <w:tc>
          <w:tcPr>
            <w:tcW w:w="602" w:type="dxa"/>
            <w:tcBorders>
              <w:top w:val="nil"/>
              <w:left w:val="single" w:sz="4" w:space="0" w:color="auto"/>
              <w:bottom w:val="nil"/>
              <w:right w:val="nil"/>
            </w:tcBorders>
            <w:shd w:val="clear" w:color="auto" w:fill="auto"/>
            <w:noWrap/>
            <w:vAlign w:val="center"/>
            <w:hideMark/>
          </w:tcPr>
          <w:p w:rsidR="00E472AA" w:rsidRPr="00C258AD" w:rsidRDefault="00E472AA" w:rsidP="00927E1F">
            <w:pPr>
              <w:keepNext/>
              <w:rPr>
                <w:sz w:val="16"/>
                <w:szCs w:val="16"/>
              </w:rPr>
            </w:pPr>
            <w:r w:rsidRPr="00C258AD">
              <w:rPr>
                <w:sz w:val="16"/>
                <w:szCs w:val="16"/>
              </w:rPr>
              <w:t>III.4</w:t>
            </w:r>
          </w:p>
        </w:tc>
        <w:tc>
          <w:tcPr>
            <w:tcW w:w="4398" w:type="dxa"/>
            <w:tcBorders>
              <w:top w:val="nil"/>
              <w:left w:val="nil"/>
              <w:bottom w:val="nil"/>
              <w:right w:val="nil"/>
            </w:tcBorders>
            <w:shd w:val="clear" w:color="auto" w:fill="auto"/>
            <w:vAlign w:val="center"/>
            <w:hideMark/>
          </w:tcPr>
          <w:p w:rsidR="00E472AA" w:rsidRPr="00C258AD" w:rsidRDefault="00E472AA" w:rsidP="00927E1F">
            <w:pPr>
              <w:keepNext/>
              <w:rPr>
                <w:sz w:val="16"/>
                <w:szCs w:val="16"/>
              </w:rPr>
            </w:pPr>
            <w:r w:rsidRPr="00C258AD">
              <w:rPr>
                <w:sz w:val="16"/>
                <w:szCs w:val="16"/>
              </w:rPr>
              <w:t>Mécanismes et programmes de coopération renforcés, adaptés aux besoins des pays en développement et des PMA</w:t>
            </w:r>
          </w:p>
        </w:tc>
        <w:tc>
          <w:tcPr>
            <w:tcW w:w="1360" w:type="dxa"/>
            <w:tcBorders>
              <w:top w:val="nil"/>
              <w:left w:val="nil"/>
              <w:bottom w:val="nil"/>
              <w:right w:val="nil"/>
            </w:tcBorders>
            <w:shd w:val="clear" w:color="auto" w:fill="auto"/>
            <w:vAlign w:val="center"/>
            <w:hideMark/>
          </w:tcPr>
          <w:p w:rsidR="00E472AA" w:rsidRPr="00C258AD" w:rsidRDefault="00E472AA" w:rsidP="00927E1F">
            <w:pPr>
              <w:keepNext/>
              <w:jc w:val="right"/>
              <w:rPr>
                <w:sz w:val="16"/>
                <w:szCs w:val="16"/>
              </w:rPr>
            </w:pPr>
            <w:r w:rsidRPr="00C258AD">
              <w:rPr>
                <w:sz w:val="16"/>
                <w:szCs w:val="16"/>
              </w:rPr>
              <w:t>4 655</w:t>
            </w:r>
          </w:p>
        </w:tc>
        <w:tc>
          <w:tcPr>
            <w:tcW w:w="1360" w:type="dxa"/>
            <w:tcBorders>
              <w:top w:val="nil"/>
              <w:left w:val="nil"/>
              <w:bottom w:val="nil"/>
              <w:right w:val="nil"/>
            </w:tcBorders>
            <w:shd w:val="clear" w:color="auto" w:fill="auto"/>
            <w:vAlign w:val="center"/>
            <w:hideMark/>
          </w:tcPr>
          <w:p w:rsidR="00E472AA" w:rsidRPr="00C258AD" w:rsidRDefault="00E472AA" w:rsidP="00927E1F">
            <w:pPr>
              <w:keepNext/>
              <w:jc w:val="right"/>
              <w:rPr>
                <w:sz w:val="16"/>
                <w:szCs w:val="16"/>
              </w:rPr>
            </w:pPr>
            <w:r w:rsidRPr="00C258AD">
              <w:rPr>
                <w:sz w:val="16"/>
                <w:szCs w:val="16"/>
              </w:rPr>
              <w:t>4 293</w:t>
            </w:r>
          </w:p>
        </w:tc>
        <w:tc>
          <w:tcPr>
            <w:tcW w:w="1360" w:type="dxa"/>
            <w:tcBorders>
              <w:top w:val="nil"/>
              <w:left w:val="nil"/>
              <w:bottom w:val="nil"/>
              <w:right w:val="single" w:sz="4" w:space="0" w:color="auto"/>
            </w:tcBorders>
            <w:shd w:val="clear" w:color="auto" w:fill="auto"/>
            <w:vAlign w:val="center"/>
            <w:hideMark/>
          </w:tcPr>
          <w:p w:rsidR="00E472AA" w:rsidRPr="00C258AD" w:rsidRDefault="00E472AA" w:rsidP="00927E1F">
            <w:pPr>
              <w:keepNext/>
              <w:jc w:val="right"/>
              <w:rPr>
                <w:sz w:val="16"/>
                <w:szCs w:val="16"/>
              </w:rPr>
            </w:pPr>
            <w:r w:rsidRPr="00C258AD">
              <w:rPr>
                <w:sz w:val="16"/>
                <w:szCs w:val="16"/>
              </w:rPr>
              <w:t>4 366</w:t>
            </w:r>
          </w:p>
        </w:tc>
      </w:tr>
      <w:tr w:rsidR="00E472AA" w:rsidRPr="00C258AD" w:rsidTr="00927E1F">
        <w:trPr>
          <w:cantSplit/>
        </w:trPr>
        <w:tc>
          <w:tcPr>
            <w:tcW w:w="602" w:type="dxa"/>
            <w:tcBorders>
              <w:top w:val="nil"/>
              <w:left w:val="single" w:sz="4" w:space="0" w:color="auto"/>
              <w:bottom w:val="nil"/>
              <w:right w:val="nil"/>
            </w:tcBorders>
            <w:shd w:val="clear" w:color="auto" w:fill="auto"/>
            <w:noWrap/>
            <w:vAlign w:val="center"/>
            <w:hideMark/>
          </w:tcPr>
          <w:p w:rsidR="00E472AA" w:rsidRPr="00C258AD" w:rsidRDefault="00E472AA" w:rsidP="00927E1F">
            <w:pPr>
              <w:keepNext/>
              <w:rPr>
                <w:sz w:val="16"/>
                <w:szCs w:val="16"/>
              </w:rPr>
            </w:pPr>
            <w:r w:rsidRPr="00C258AD">
              <w:rPr>
                <w:sz w:val="16"/>
                <w:szCs w:val="16"/>
              </w:rPr>
              <w:t>IV.2</w:t>
            </w:r>
          </w:p>
        </w:tc>
        <w:tc>
          <w:tcPr>
            <w:tcW w:w="4398" w:type="dxa"/>
            <w:tcBorders>
              <w:top w:val="nil"/>
              <w:left w:val="nil"/>
              <w:bottom w:val="nil"/>
              <w:right w:val="nil"/>
            </w:tcBorders>
            <w:shd w:val="clear" w:color="auto" w:fill="auto"/>
            <w:vAlign w:val="center"/>
            <w:hideMark/>
          </w:tcPr>
          <w:p w:rsidR="00E472AA" w:rsidRPr="00C258AD" w:rsidRDefault="00E472AA" w:rsidP="00927E1F">
            <w:pPr>
              <w:keepNext/>
              <w:rPr>
                <w:sz w:val="16"/>
                <w:szCs w:val="16"/>
              </w:rPr>
            </w:pPr>
            <w:r w:rsidRPr="00C258AD">
              <w:rPr>
                <w:sz w:val="16"/>
                <w:szCs w:val="16"/>
              </w:rPr>
              <w:t>Amélioration de l’accessibilité et de l’utilisation de l’information en matière de propriété intellectuelle par les institutions compétentes et le public afin de promouvoir l’innovation et la créativité</w:t>
            </w:r>
          </w:p>
        </w:tc>
        <w:tc>
          <w:tcPr>
            <w:tcW w:w="1360" w:type="dxa"/>
            <w:tcBorders>
              <w:top w:val="nil"/>
              <w:left w:val="nil"/>
              <w:bottom w:val="nil"/>
              <w:right w:val="nil"/>
            </w:tcBorders>
            <w:shd w:val="clear" w:color="auto" w:fill="auto"/>
            <w:vAlign w:val="center"/>
            <w:hideMark/>
          </w:tcPr>
          <w:p w:rsidR="00E472AA" w:rsidRPr="00C258AD" w:rsidRDefault="00E472AA" w:rsidP="00927E1F">
            <w:pPr>
              <w:keepNext/>
              <w:jc w:val="right"/>
              <w:rPr>
                <w:sz w:val="16"/>
                <w:szCs w:val="16"/>
              </w:rPr>
            </w:pPr>
            <w:r w:rsidRPr="00C258AD">
              <w:rPr>
                <w:sz w:val="16"/>
                <w:szCs w:val="16"/>
              </w:rPr>
              <w:t>965</w:t>
            </w:r>
          </w:p>
        </w:tc>
        <w:tc>
          <w:tcPr>
            <w:tcW w:w="1360" w:type="dxa"/>
            <w:tcBorders>
              <w:top w:val="nil"/>
              <w:left w:val="nil"/>
              <w:bottom w:val="nil"/>
              <w:right w:val="nil"/>
            </w:tcBorders>
            <w:shd w:val="clear" w:color="auto" w:fill="auto"/>
            <w:vAlign w:val="center"/>
            <w:hideMark/>
          </w:tcPr>
          <w:p w:rsidR="00E472AA" w:rsidRPr="00C258AD" w:rsidRDefault="00E472AA" w:rsidP="00927E1F">
            <w:pPr>
              <w:keepNext/>
              <w:jc w:val="right"/>
              <w:rPr>
                <w:sz w:val="16"/>
                <w:szCs w:val="16"/>
              </w:rPr>
            </w:pPr>
            <w:r w:rsidRPr="00C258AD">
              <w:rPr>
                <w:sz w:val="16"/>
                <w:szCs w:val="16"/>
              </w:rPr>
              <w:t>2 309</w:t>
            </w:r>
          </w:p>
        </w:tc>
        <w:tc>
          <w:tcPr>
            <w:tcW w:w="1360" w:type="dxa"/>
            <w:tcBorders>
              <w:top w:val="nil"/>
              <w:left w:val="nil"/>
              <w:bottom w:val="nil"/>
              <w:right w:val="single" w:sz="4" w:space="0" w:color="auto"/>
            </w:tcBorders>
            <w:shd w:val="clear" w:color="auto" w:fill="auto"/>
            <w:vAlign w:val="center"/>
            <w:hideMark/>
          </w:tcPr>
          <w:p w:rsidR="00E472AA" w:rsidRPr="00C258AD" w:rsidRDefault="00E472AA" w:rsidP="00927E1F">
            <w:pPr>
              <w:keepNext/>
              <w:jc w:val="right"/>
              <w:rPr>
                <w:sz w:val="16"/>
                <w:szCs w:val="16"/>
              </w:rPr>
            </w:pPr>
            <w:r w:rsidRPr="00C258AD">
              <w:rPr>
                <w:sz w:val="16"/>
                <w:szCs w:val="16"/>
              </w:rPr>
              <w:t>2 280</w:t>
            </w:r>
          </w:p>
        </w:tc>
      </w:tr>
      <w:tr w:rsidR="00E472AA" w:rsidRPr="00C258AD" w:rsidTr="00927E1F">
        <w:trPr>
          <w:cantSplit/>
        </w:trPr>
        <w:tc>
          <w:tcPr>
            <w:tcW w:w="602" w:type="dxa"/>
            <w:tcBorders>
              <w:top w:val="nil"/>
              <w:left w:val="single" w:sz="4" w:space="0" w:color="auto"/>
              <w:bottom w:val="nil"/>
              <w:right w:val="nil"/>
            </w:tcBorders>
            <w:shd w:val="clear" w:color="auto" w:fill="auto"/>
            <w:noWrap/>
            <w:vAlign w:val="center"/>
            <w:hideMark/>
          </w:tcPr>
          <w:p w:rsidR="00E472AA" w:rsidRPr="00C258AD" w:rsidRDefault="00E472AA" w:rsidP="00927E1F">
            <w:pPr>
              <w:keepNext/>
              <w:rPr>
                <w:sz w:val="16"/>
                <w:szCs w:val="16"/>
              </w:rPr>
            </w:pPr>
            <w:r w:rsidRPr="00C258AD">
              <w:rPr>
                <w:sz w:val="16"/>
                <w:szCs w:val="16"/>
              </w:rPr>
              <w:t>IV.4</w:t>
            </w:r>
          </w:p>
        </w:tc>
        <w:tc>
          <w:tcPr>
            <w:tcW w:w="4398" w:type="dxa"/>
            <w:tcBorders>
              <w:top w:val="nil"/>
              <w:left w:val="nil"/>
              <w:bottom w:val="nil"/>
              <w:right w:val="nil"/>
            </w:tcBorders>
            <w:shd w:val="clear" w:color="auto" w:fill="auto"/>
            <w:vAlign w:val="center"/>
            <w:hideMark/>
          </w:tcPr>
          <w:p w:rsidR="00E472AA" w:rsidRPr="00C258AD" w:rsidRDefault="00E472AA" w:rsidP="00927E1F">
            <w:pPr>
              <w:keepNext/>
              <w:rPr>
                <w:sz w:val="16"/>
                <w:szCs w:val="16"/>
              </w:rPr>
            </w:pPr>
            <w:r w:rsidRPr="00C258AD">
              <w:rPr>
                <w:sz w:val="16"/>
                <w:szCs w:val="16"/>
              </w:rPr>
              <w:t>Amélioration de l’infrastructure technique et du savoir pour les offices de propriété intellectuelle et d’autres institutions de propriété intellectuelle, leur permettant de fournir à leurs parties prenantes des services améliorés (moins chers, plus rapides, de meilleure qualité)</w:t>
            </w:r>
          </w:p>
        </w:tc>
        <w:tc>
          <w:tcPr>
            <w:tcW w:w="1360" w:type="dxa"/>
            <w:tcBorders>
              <w:top w:val="nil"/>
              <w:left w:val="nil"/>
              <w:bottom w:val="nil"/>
              <w:right w:val="nil"/>
            </w:tcBorders>
            <w:shd w:val="clear" w:color="auto" w:fill="auto"/>
            <w:vAlign w:val="center"/>
            <w:hideMark/>
          </w:tcPr>
          <w:p w:rsidR="00E472AA" w:rsidRPr="00C258AD" w:rsidRDefault="00E472AA" w:rsidP="00927E1F">
            <w:pPr>
              <w:keepNext/>
              <w:jc w:val="right"/>
              <w:rPr>
                <w:sz w:val="16"/>
                <w:szCs w:val="16"/>
              </w:rPr>
            </w:pPr>
            <w:r w:rsidRPr="00C258AD">
              <w:rPr>
                <w:sz w:val="16"/>
                <w:szCs w:val="16"/>
              </w:rPr>
              <w:t>2 393</w:t>
            </w:r>
          </w:p>
        </w:tc>
        <w:tc>
          <w:tcPr>
            <w:tcW w:w="1360" w:type="dxa"/>
            <w:tcBorders>
              <w:top w:val="nil"/>
              <w:left w:val="nil"/>
              <w:bottom w:val="nil"/>
              <w:right w:val="nil"/>
            </w:tcBorders>
            <w:shd w:val="clear" w:color="auto" w:fill="auto"/>
            <w:vAlign w:val="center"/>
            <w:hideMark/>
          </w:tcPr>
          <w:p w:rsidR="00E472AA" w:rsidRPr="00C258AD" w:rsidRDefault="00E472AA" w:rsidP="00927E1F">
            <w:pPr>
              <w:keepNext/>
              <w:jc w:val="right"/>
              <w:rPr>
                <w:sz w:val="16"/>
                <w:szCs w:val="16"/>
              </w:rPr>
            </w:pPr>
            <w:r w:rsidRPr="00C258AD">
              <w:rPr>
                <w:sz w:val="16"/>
                <w:szCs w:val="16"/>
              </w:rPr>
              <w:t>3 411</w:t>
            </w:r>
          </w:p>
        </w:tc>
        <w:tc>
          <w:tcPr>
            <w:tcW w:w="1360" w:type="dxa"/>
            <w:tcBorders>
              <w:top w:val="nil"/>
              <w:left w:val="nil"/>
              <w:bottom w:val="nil"/>
              <w:right w:val="single" w:sz="4" w:space="0" w:color="auto"/>
            </w:tcBorders>
            <w:shd w:val="clear" w:color="auto" w:fill="auto"/>
            <w:vAlign w:val="center"/>
            <w:hideMark/>
          </w:tcPr>
          <w:p w:rsidR="00E472AA" w:rsidRPr="00C258AD" w:rsidRDefault="00E472AA" w:rsidP="00927E1F">
            <w:pPr>
              <w:keepNext/>
              <w:jc w:val="right"/>
              <w:rPr>
                <w:sz w:val="16"/>
                <w:szCs w:val="16"/>
              </w:rPr>
            </w:pPr>
            <w:r w:rsidRPr="00C258AD">
              <w:rPr>
                <w:sz w:val="16"/>
                <w:szCs w:val="16"/>
              </w:rPr>
              <w:t>3 127</w:t>
            </w:r>
          </w:p>
        </w:tc>
      </w:tr>
      <w:tr w:rsidR="00E472AA" w:rsidRPr="00C258AD" w:rsidTr="00927E1F">
        <w:trPr>
          <w:cantSplit/>
        </w:trPr>
        <w:tc>
          <w:tcPr>
            <w:tcW w:w="602" w:type="dxa"/>
            <w:tcBorders>
              <w:top w:val="nil"/>
              <w:left w:val="single" w:sz="4" w:space="0" w:color="auto"/>
              <w:bottom w:val="nil"/>
              <w:right w:val="nil"/>
            </w:tcBorders>
            <w:shd w:val="clear" w:color="auto" w:fill="auto"/>
            <w:noWrap/>
            <w:vAlign w:val="center"/>
            <w:hideMark/>
          </w:tcPr>
          <w:p w:rsidR="00E472AA" w:rsidRPr="00C258AD" w:rsidRDefault="00E472AA" w:rsidP="00927E1F">
            <w:pPr>
              <w:keepNext/>
              <w:rPr>
                <w:sz w:val="16"/>
                <w:szCs w:val="16"/>
              </w:rPr>
            </w:pPr>
            <w:r w:rsidRPr="00C258AD">
              <w:rPr>
                <w:sz w:val="16"/>
                <w:szCs w:val="16"/>
              </w:rPr>
              <w:t>VIII.5</w:t>
            </w:r>
          </w:p>
        </w:tc>
        <w:tc>
          <w:tcPr>
            <w:tcW w:w="4398" w:type="dxa"/>
            <w:tcBorders>
              <w:top w:val="nil"/>
              <w:left w:val="nil"/>
              <w:bottom w:val="nil"/>
              <w:right w:val="nil"/>
            </w:tcBorders>
            <w:shd w:val="clear" w:color="auto" w:fill="auto"/>
            <w:vAlign w:val="center"/>
            <w:hideMark/>
          </w:tcPr>
          <w:p w:rsidR="00E472AA" w:rsidRPr="00C258AD" w:rsidRDefault="00E472AA" w:rsidP="00927E1F">
            <w:pPr>
              <w:keepNext/>
              <w:rPr>
                <w:sz w:val="16"/>
                <w:szCs w:val="16"/>
              </w:rPr>
            </w:pPr>
            <w:r w:rsidRPr="00C258AD">
              <w:rPr>
                <w:sz w:val="16"/>
                <w:szCs w:val="16"/>
              </w:rPr>
              <w:t>L’OMPI collabore efficacement avec d’autres processus et instances de négociation de l’ONU et d’autres organisations intergouvernementales</w:t>
            </w:r>
          </w:p>
        </w:tc>
        <w:tc>
          <w:tcPr>
            <w:tcW w:w="1360" w:type="dxa"/>
            <w:tcBorders>
              <w:top w:val="nil"/>
              <w:left w:val="nil"/>
              <w:bottom w:val="nil"/>
              <w:right w:val="nil"/>
            </w:tcBorders>
            <w:shd w:val="clear" w:color="auto" w:fill="auto"/>
            <w:vAlign w:val="center"/>
            <w:hideMark/>
          </w:tcPr>
          <w:p w:rsidR="00E472AA" w:rsidRPr="00C258AD" w:rsidRDefault="00E472AA" w:rsidP="00927E1F">
            <w:pPr>
              <w:keepNext/>
              <w:jc w:val="right"/>
              <w:rPr>
                <w:sz w:val="16"/>
                <w:szCs w:val="16"/>
              </w:rPr>
            </w:pPr>
            <w:r w:rsidRPr="00C258AD">
              <w:rPr>
                <w:sz w:val="16"/>
                <w:szCs w:val="16"/>
              </w:rPr>
              <w:t>–</w:t>
            </w:r>
          </w:p>
        </w:tc>
        <w:tc>
          <w:tcPr>
            <w:tcW w:w="1360" w:type="dxa"/>
            <w:tcBorders>
              <w:top w:val="nil"/>
              <w:left w:val="nil"/>
              <w:bottom w:val="nil"/>
              <w:right w:val="nil"/>
            </w:tcBorders>
            <w:shd w:val="clear" w:color="auto" w:fill="auto"/>
            <w:vAlign w:val="center"/>
            <w:hideMark/>
          </w:tcPr>
          <w:p w:rsidR="00E472AA" w:rsidRPr="00C258AD" w:rsidRDefault="00E472AA" w:rsidP="00927E1F">
            <w:pPr>
              <w:keepNext/>
              <w:jc w:val="right"/>
              <w:rPr>
                <w:sz w:val="16"/>
                <w:szCs w:val="16"/>
              </w:rPr>
            </w:pPr>
            <w:r w:rsidRPr="00C258AD">
              <w:rPr>
                <w:sz w:val="16"/>
                <w:szCs w:val="16"/>
              </w:rPr>
              <w:t>566</w:t>
            </w:r>
          </w:p>
        </w:tc>
        <w:tc>
          <w:tcPr>
            <w:tcW w:w="1360" w:type="dxa"/>
            <w:tcBorders>
              <w:top w:val="nil"/>
              <w:left w:val="nil"/>
              <w:bottom w:val="nil"/>
              <w:right w:val="single" w:sz="4" w:space="0" w:color="auto"/>
            </w:tcBorders>
            <w:shd w:val="clear" w:color="auto" w:fill="auto"/>
            <w:vAlign w:val="center"/>
            <w:hideMark/>
          </w:tcPr>
          <w:p w:rsidR="00E472AA" w:rsidRPr="00C258AD" w:rsidRDefault="00E472AA" w:rsidP="00927E1F">
            <w:pPr>
              <w:keepNext/>
              <w:jc w:val="right"/>
              <w:rPr>
                <w:sz w:val="16"/>
                <w:szCs w:val="16"/>
              </w:rPr>
            </w:pPr>
            <w:r w:rsidRPr="00C258AD">
              <w:rPr>
                <w:sz w:val="16"/>
                <w:szCs w:val="16"/>
              </w:rPr>
              <w:t>463</w:t>
            </w:r>
          </w:p>
        </w:tc>
      </w:tr>
      <w:tr w:rsidR="00E472AA" w:rsidRPr="00C258AD" w:rsidTr="00927E1F">
        <w:trPr>
          <w:cantSplit/>
        </w:trPr>
        <w:tc>
          <w:tcPr>
            <w:tcW w:w="602" w:type="dxa"/>
            <w:tcBorders>
              <w:top w:val="single" w:sz="4" w:space="0" w:color="auto"/>
              <w:left w:val="single" w:sz="4" w:space="0" w:color="auto"/>
              <w:bottom w:val="single" w:sz="4" w:space="0" w:color="auto"/>
              <w:right w:val="nil"/>
            </w:tcBorders>
            <w:shd w:val="clear" w:color="auto" w:fill="C5D9F1"/>
            <w:noWrap/>
            <w:vAlign w:val="bottom"/>
            <w:hideMark/>
          </w:tcPr>
          <w:p w:rsidR="00E472AA" w:rsidRPr="00C258AD" w:rsidRDefault="00E472AA" w:rsidP="00927E1F">
            <w:pPr>
              <w:rPr>
                <w:sz w:val="16"/>
                <w:szCs w:val="16"/>
              </w:rPr>
            </w:pPr>
            <w:r w:rsidRPr="00C258AD">
              <w:rPr>
                <w:sz w:val="16"/>
                <w:szCs w:val="16"/>
              </w:rPr>
              <w:t> </w:t>
            </w:r>
          </w:p>
        </w:tc>
        <w:tc>
          <w:tcPr>
            <w:tcW w:w="4398" w:type="dxa"/>
            <w:tcBorders>
              <w:top w:val="single" w:sz="4" w:space="0" w:color="auto"/>
              <w:left w:val="nil"/>
              <w:bottom w:val="single" w:sz="4" w:space="0" w:color="auto"/>
              <w:right w:val="single" w:sz="4" w:space="0" w:color="auto"/>
            </w:tcBorders>
            <w:shd w:val="clear" w:color="auto" w:fill="C5D9F1"/>
            <w:noWrap/>
            <w:vAlign w:val="bottom"/>
            <w:hideMark/>
          </w:tcPr>
          <w:p w:rsidR="00E472AA" w:rsidRPr="00C258AD" w:rsidRDefault="00E472AA" w:rsidP="00927E1F">
            <w:pPr>
              <w:rPr>
                <w:b/>
                <w:bCs/>
                <w:sz w:val="16"/>
                <w:szCs w:val="16"/>
              </w:rPr>
            </w:pPr>
            <w:r w:rsidRPr="00C258AD">
              <w:rPr>
                <w:b/>
                <w:bCs/>
                <w:sz w:val="16"/>
                <w:szCs w:val="16"/>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E472AA" w:rsidRPr="00C258AD" w:rsidRDefault="00E472AA" w:rsidP="00927E1F">
            <w:pPr>
              <w:jc w:val="right"/>
              <w:rPr>
                <w:b/>
                <w:bCs/>
                <w:sz w:val="16"/>
                <w:szCs w:val="16"/>
              </w:rPr>
            </w:pPr>
            <w:r w:rsidRPr="00C258AD">
              <w:rPr>
                <w:b/>
                <w:bCs/>
                <w:sz w:val="16"/>
                <w:szCs w:val="16"/>
              </w:rPr>
              <w:t>32 325</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E472AA" w:rsidRPr="00C258AD" w:rsidRDefault="00E472AA" w:rsidP="00927E1F">
            <w:pPr>
              <w:jc w:val="right"/>
              <w:rPr>
                <w:b/>
                <w:bCs/>
                <w:sz w:val="16"/>
                <w:szCs w:val="16"/>
              </w:rPr>
            </w:pPr>
            <w:r w:rsidRPr="00C258AD">
              <w:rPr>
                <w:b/>
                <w:bCs/>
                <w:sz w:val="16"/>
                <w:szCs w:val="16"/>
              </w:rPr>
              <w:t>31 485</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E472AA" w:rsidRPr="00C258AD" w:rsidRDefault="00E472AA" w:rsidP="00927E1F">
            <w:pPr>
              <w:jc w:val="right"/>
              <w:rPr>
                <w:b/>
                <w:bCs/>
                <w:sz w:val="16"/>
                <w:szCs w:val="16"/>
              </w:rPr>
            </w:pPr>
            <w:r w:rsidRPr="00C258AD">
              <w:rPr>
                <w:b/>
                <w:bCs/>
                <w:sz w:val="16"/>
                <w:szCs w:val="16"/>
              </w:rPr>
              <w:t>29 067</w:t>
            </w:r>
          </w:p>
        </w:tc>
      </w:tr>
    </w:tbl>
    <w:p w:rsidR="00E472AA" w:rsidRPr="00C258AD" w:rsidRDefault="00E472AA" w:rsidP="00927E1F"/>
    <w:p w:rsidR="00E472AA" w:rsidRPr="00C258AD" w:rsidRDefault="00E472AA" w:rsidP="00927E1F"/>
    <w:p w:rsidR="00E472AA" w:rsidRPr="00C258AD" w:rsidRDefault="00E472AA" w:rsidP="00927E1F">
      <w:pPr>
        <w:pStyle w:val="NormalWeb"/>
        <w:keepNext/>
        <w:keepLines/>
        <w:spacing w:before="0" w:beforeAutospacing="0" w:after="0" w:afterAutospacing="0"/>
        <w:jc w:val="center"/>
        <w:rPr>
          <w:sz w:val="20"/>
          <w:szCs w:val="20"/>
        </w:rPr>
      </w:pPr>
      <w:r w:rsidRPr="00C258AD">
        <w:rPr>
          <w:sz w:val="20"/>
          <w:szCs w:val="20"/>
        </w:rPr>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E472AA" w:rsidRPr="00C258AD" w:rsidRDefault="00E472AA" w:rsidP="00927E1F">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E472AA" w:rsidRPr="00C258AD" w:rsidRDefault="00E472AA" w:rsidP="00927E1F">
      <w:pPr>
        <w:keepNext/>
      </w:pPr>
    </w:p>
    <w:tbl>
      <w:tblPr>
        <w:tblW w:w="5000" w:type="pct"/>
        <w:tblInd w:w="55" w:type="dxa"/>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E472AA" w:rsidRPr="00C258AD" w:rsidTr="00927E1F">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E472AA" w:rsidRPr="00C258AD" w:rsidRDefault="00E472AA" w:rsidP="00927E1F">
            <w:pPr>
              <w:rPr>
                <w:color w:val="000000"/>
                <w:sz w:val="16"/>
                <w:szCs w:val="18"/>
              </w:rPr>
            </w:pPr>
            <w:r w:rsidRPr="00C258AD">
              <w:rPr>
                <w:color w:val="000000"/>
                <w:sz w:val="16"/>
                <w:szCs w:val="18"/>
              </w:rPr>
              <w:t> </w:t>
            </w:r>
          </w:p>
        </w:tc>
        <w:tc>
          <w:tcPr>
            <w:tcW w:w="1745" w:type="dxa"/>
            <w:tcBorders>
              <w:top w:val="single" w:sz="4" w:space="0" w:color="auto"/>
              <w:left w:val="nil"/>
              <w:bottom w:val="nil"/>
              <w:right w:val="single" w:sz="4" w:space="0" w:color="auto"/>
            </w:tcBorders>
            <w:shd w:val="clear" w:color="auto" w:fill="C5D9F1"/>
            <w:vAlign w:val="center"/>
            <w:hideMark/>
          </w:tcPr>
          <w:p w:rsidR="00E472AA" w:rsidRPr="00C258AD" w:rsidRDefault="00E472AA" w:rsidP="00927E1F">
            <w:pPr>
              <w:jc w:val="center"/>
              <w:rPr>
                <w:b/>
                <w:bCs/>
                <w:color w:val="000000"/>
                <w:sz w:val="16"/>
                <w:szCs w:val="18"/>
              </w:rPr>
            </w:pPr>
            <w:r w:rsidRPr="00C258AD">
              <w:rPr>
                <w:b/>
                <w:bCs/>
                <w:color w:val="000000"/>
                <w:sz w:val="16"/>
                <w:szCs w:val="18"/>
              </w:rPr>
              <w:t>Budget 2014</w:t>
            </w:r>
            <w:r w:rsidRPr="00C258AD">
              <w:rPr>
                <w:b/>
                <w:bCs/>
                <w:color w:val="000000"/>
                <w:sz w:val="16"/>
                <w:szCs w:val="18"/>
              </w:rPr>
              <w:noBreakHyphen/>
              <w:t>2015 approuvé</w:t>
            </w:r>
          </w:p>
        </w:tc>
        <w:tc>
          <w:tcPr>
            <w:tcW w:w="1746" w:type="dxa"/>
            <w:tcBorders>
              <w:top w:val="single" w:sz="4" w:space="0" w:color="auto"/>
              <w:left w:val="nil"/>
              <w:bottom w:val="nil"/>
              <w:right w:val="single" w:sz="4" w:space="0" w:color="auto"/>
            </w:tcBorders>
            <w:shd w:val="clear" w:color="auto" w:fill="C5D9F1"/>
            <w:vAlign w:val="center"/>
            <w:hideMark/>
          </w:tcPr>
          <w:p w:rsidR="00E472AA" w:rsidRPr="00C258AD" w:rsidRDefault="00E472AA" w:rsidP="00927E1F">
            <w:pPr>
              <w:jc w:val="center"/>
              <w:rPr>
                <w:b/>
                <w:bCs/>
                <w:color w:val="000000"/>
                <w:sz w:val="16"/>
                <w:szCs w:val="18"/>
              </w:rPr>
            </w:pPr>
            <w:r w:rsidRPr="00C258AD">
              <w:rPr>
                <w:b/>
                <w:bCs/>
                <w:color w:val="000000"/>
                <w:sz w:val="16"/>
                <w:szCs w:val="18"/>
              </w:rPr>
              <w:t>Budget final 2014</w:t>
            </w:r>
            <w:r w:rsidRPr="00C258AD">
              <w:rPr>
                <w:b/>
                <w:bCs/>
                <w:color w:val="000000"/>
                <w:sz w:val="16"/>
                <w:szCs w:val="18"/>
              </w:rPr>
              <w:noBreakHyphen/>
              <w:t>2015</w:t>
            </w:r>
            <w:r w:rsidRPr="00C258AD">
              <w:rPr>
                <w:b/>
                <w:bCs/>
                <w:color w:val="000000"/>
                <w:sz w:val="16"/>
                <w:szCs w:val="18"/>
              </w:rPr>
              <w:br/>
              <w:t>après virements</w:t>
            </w:r>
          </w:p>
        </w:tc>
        <w:tc>
          <w:tcPr>
            <w:tcW w:w="1745" w:type="dxa"/>
            <w:tcBorders>
              <w:top w:val="single" w:sz="4" w:space="0" w:color="auto"/>
              <w:left w:val="nil"/>
              <w:bottom w:val="nil"/>
              <w:right w:val="single" w:sz="4" w:space="0" w:color="auto"/>
            </w:tcBorders>
            <w:shd w:val="clear" w:color="auto" w:fill="C5D9F1"/>
            <w:vAlign w:val="center"/>
            <w:hideMark/>
          </w:tcPr>
          <w:p w:rsidR="00E472AA" w:rsidRPr="00C258AD" w:rsidRDefault="00E472AA" w:rsidP="00927E1F">
            <w:pPr>
              <w:jc w:val="center"/>
              <w:rPr>
                <w:b/>
                <w:bCs/>
                <w:color w:val="000000"/>
                <w:sz w:val="16"/>
                <w:szCs w:val="18"/>
              </w:rPr>
            </w:pPr>
            <w:r w:rsidRPr="00C258AD">
              <w:rPr>
                <w:b/>
                <w:bCs/>
                <w:color w:val="000000"/>
                <w:sz w:val="16"/>
                <w:szCs w:val="18"/>
              </w:rPr>
              <w:t xml:space="preserve">Dépenses </w:t>
            </w:r>
            <w:r w:rsidRPr="00C258AD">
              <w:rPr>
                <w:b/>
                <w:bCs/>
                <w:color w:val="000000"/>
                <w:sz w:val="16"/>
                <w:szCs w:val="18"/>
              </w:rPr>
              <w:br/>
              <w:t>2014</w:t>
            </w:r>
            <w:r w:rsidRPr="00C258AD">
              <w:rPr>
                <w:b/>
                <w:bCs/>
                <w:color w:val="000000"/>
                <w:sz w:val="16"/>
                <w:szCs w:val="18"/>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E472AA" w:rsidRPr="00C258AD" w:rsidRDefault="00E472AA" w:rsidP="00927E1F">
            <w:pPr>
              <w:jc w:val="center"/>
              <w:rPr>
                <w:b/>
                <w:bCs/>
                <w:color w:val="000000"/>
                <w:sz w:val="16"/>
                <w:szCs w:val="18"/>
              </w:rPr>
            </w:pPr>
            <w:r w:rsidRPr="00C258AD">
              <w:rPr>
                <w:b/>
                <w:bCs/>
                <w:color w:val="000000"/>
                <w:sz w:val="16"/>
                <w:szCs w:val="18"/>
              </w:rPr>
              <w:t>Taux d’utilisation (%)</w:t>
            </w:r>
          </w:p>
        </w:tc>
      </w:tr>
      <w:tr w:rsidR="00E472AA" w:rsidRPr="00C258AD" w:rsidTr="00927E1F">
        <w:trPr>
          <w:cantSplit/>
          <w:trHeight w:val="444"/>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E472AA" w:rsidRPr="00C258AD" w:rsidRDefault="00E472AA" w:rsidP="00927E1F">
            <w:pPr>
              <w:rPr>
                <w:color w:val="000000"/>
                <w:sz w:val="16"/>
                <w:szCs w:val="18"/>
              </w:rPr>
            </w:pPr>
            <w:r w:rsidRPr="00C258AD">
              <w:rPr>
                <w:color w:val="000000"/>
                <w:sz w:val="16"/>
                <w:szCs w:val="18"/>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E472AA" w:rsidRPr="00C258AD" w:rsidRDefault="00E472AA" w:rsidP="00927E1F">
            <w:pPr>
              <w:jc w:val="center"/>
              <w:rPr>
                <w:color w:val="000000"/>
                <w:sz w:val="16"/>
                <w:szCs w:val="18"/>
              </w:rPr>
            </w:pPr>
            <w:r w:rsidRPr="00C258AD">
              <w:rPr>
                <w:color w:val="000000"/>
                <w:sz w:val="16"/>
                <w:szCs w:val="18"/>
              </w:rPr>
              <w:t>23 563</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E472AA" w:rsidRPr="00C258AD" w:rsidRDefault="00E472AA" w:rsidP="00927E1F">
            <w:pPr>
              <w:jc w:val="center"/>
              <w:rPr>
                <w:color w:val="000000"/>
                <w:sz w:val="16"/>
                <w:szCs w:val="18"/>
              </w:rPr>
            </w:pPr>
            <w:r w:rsidRPr="00C258AD">
              <w:rPr>
                <w:color w:val="000000"/>
                <w:sz w:val="16"/>
                <w:szCs w:val="18"/>
              </w:rPr>
              <w:t>23 030</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E472AA" w:rsidRPr="00C258AD" w:rsidRDefault="00E472AA" w:rsidP="00927E1F">
            <w:pPr>
              <w:jc w:val="center"/>
              <w:rPr>
                <w:color w:val="000000"/>
                <w:sz w:val="16"/>
                <w:szCs w:val="18"/>
              </w:rPr>
            </w:pPr>
            <w:r w:rsidRPr="00C258AD">
              <w:rPr>
                <w:color w:val="000000"/>
                <w:sz w:val="16"/>
                <w:szCs w:val="18"/>
              </w:rPr>
              <w:t>22 459</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E472AA" w:rsidRPr="00C258AD" w:rsidRDefault="00E472AA" w:rsidP="00927E1F">
            <w:pPr>
              <w:jc w:val="center"/>
              <w:rPr>
                <w:color w:val="000000"/>
                <w:sz w:val="16"/>
                <w:szCs w:val="18"/>
              </w:rPr>
            </w:pPr>
            <w:r w:rsidRPr="00C258AD">
              <w:rPr>
                <w:color w:val="000000"/>
                <w:sz w:val="16"/>
                <w:szCs w:val="18"/>
              </w:rPr>
              <w:t>98%</w:t>
            </w:r>
          </w:p>
        </w:tc>
      </w:tr>
      <w:tr w:rsidR="00E472AA" w:rsidRPr="00C258AD" w:rsidTr="00927E1F">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E472AA" w:rsidRPr="00C258AD" w:rsidRDefault="00E472AA" w:rsidP="00927E1F">
            <w:pPr>
              <w:rPr>
                <w:color w:val="000000"/>
                <w:sz w:val="16"/>
                <w:szCs w:val="18"/>
              </w:rPr>
            </w:pPr>
            <w:r w:rsidRPr="00C258AD">
              <w:rPr>
                <w:color w:val="000000"/>
                <w:sz w:val="16"/>
                <w:szCs w:val="18"/>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E472AA" w:rsidRPr="00C258AD" w:rsidRDefault="00E472AA" w:rsidP="00927E1F">
            <w:pPr>
              <w:jc w:val="center"/>
              <w:rPr>
                <w:color w:val="000000"/>
                <w:sz w:val="16"/>
                <w:szCs w:val="18"/>
              </w:rPr>
            </w:pPr>
            <w:r w:rsidRPr="00C258AD">
              <w:rPr>
                <w:color w:val="000000"/>
                <w:sz w:val="16"/>
                <w:szCs w:val="18"/>
              </w:rPr>
              <w:t>8 762</w:t>
            </w:r>
          </w:p>
        </w:tc>
        <w:tc>
          <w:tcPr>
            <w:tcW w:w="1746" w:type="dxa"/>
            <w:tcBorders>
              <w:top w:val="nil"/>
              <w:left w:val="nil"/>
              <w:bottom w:val="single" w:sz="4" w:space="0" w:color="auto"/>
              <w:right w:val="single" w:sz="4" w:space="0" w:color="auto"/>
            </w:tcBorders>
            <w:shd w:val="clear" w:color="auto" w:fill="auto"/>
            <w:vAlign w:val="center"/>
            <w:hideMark/>
          </w:tcPr>
          <w:p w:rsidR="00E472AA" w:rsidRPr="00C258AD" w:rsidRDefault="00E472AA" w:rsidP="00927E1F">
            <w:pPr>
              <w:jc w:val="center"/>
              <w:rPr>
                <w:color w:val="000000"/>
                <w:sz w:val="16"/>
                <w:szCs w:val="18"/>
              </w:rPr>
            </w:pPr>
            <w:r w:rsidRPr="00C258AD">
              <w:rPr>
                <w:color w:val="000000"/>
                <w:sz w:val="16"/>
                <w:szCs w:val="18"/>
              </w:rPr>
              <w:t>8 454</w:t>
            </w:r>
          </w:p>
        </w:tc>
        <w:tc>
          <w:tcPr>
            <w:tcW w:w="1745" w:type="dxa"/>
            <w:tcBorders>
              <w:top w:val="nil"/>
              <w:left w:val="nil"/>
              <w:bottom w:val="single" w:sz="4" w:space="0" w:color="auto"/>
              <w:right w:val="single" w:sz="4" w:space="0" w:color="auto"/>
            </w:tcBorders>
            <w:shd w:val="clear" w:color="auto" w:fill="auto"/>
            <w:vAlign w:val="center"/>
            <w:hideMark/>
          </w:tcPr>
          <w:p w:rsidR="00E472AA" w:rsidRPr="00C258AD" w:rsidRDefault="00E472AA" w:rsidP="00927E1F">
            <w:pPr>
              <w:jc w:val="center"/>
              <w:rPr>
                <w:color w:val="000000"/>
                <w:sz w:val="16"/>
                <w:szCs w:val="18"/>
              </w:rPr>
            </w:pPr>
            <w:r w:rsidRPr="00C258AD">
              <w:rPr>
                <w:color w:val="000000"/>
                <w:sz w:val="16"/>
                <w:szCs w:val="18"/>
              </w:rPr>
              <w:t>6 608</w:t>
            </w:r>
          </w:p>
        </w:tc>
        <w:tc>
          <w:tcPr>
            <w:tcW w:w="1746" w:type="dxa"/>
            <w:tcBorders>
              <w:top w:val="nil"/>
              <w:left w:val="nil"/>
              <w:bottom w:val="single" w:sz="4" w:space="0" w:color="auto"/>
              <w:right w:val="single" w:sz="4" w:space="0" w:color="auto"/>
            </w:tcBorders>
            <w:shd w:val="clear" w:color="auto" w:fill="auto"/>
            <w:vAlign w:val="center"/>
            <w:hideMark/>
          </w:tcPr>
          <w:p w:rsidR="00E472AA" w:rsidRPr="00C258AD" w:rsidRDefault="00E472AA" w:rsidP="00927E1F">
            <w:pPr>
              <w:jc w:val="center"/>
              <w:rPr>
                <w:color w:val="000000"/>
                <w:sz w:val="16"/>
                <w:szCs w:val="18"/>
              </w:rPr>
            </w:pPr>
            <w:r w:rsidRPr="00C258AD">
              <w:rPr>
                <w:color w:val="000000"/>
                <w:sz w:val="16"/>
                <w:szCs w:val="18"/>
              </w:rPr>
              <w:t>78%</w:t>
            </w:r>
          </w:p>
        </w:tc>
      </w:tr>
      <w:tr w:rsidR="00E472AA" w:rsidRPr="00C258AD" w:rsidTr="00927E1F">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E472AA" w:rsidRPr="00C258AD" w:rsidRDefault="00E472AA" w:rsidP="00927E1F">
            <w:pPr>
              <w:jc w:val="right"/>
              <w:rPr>
                <w:b/>
                <w:bCs/>
                <w:color w:val="000000"/>
                <w:sz w:val="16"/>
                <w:szCs w:val="18"/>
              </w:rPr>
            </w:pPr>
            <w:r w:rsidRPr="00C258AD">
              <w:rPr>
                <w:b/>
                <w:bCs/>
                <w:color w:val="000000"/>
                <w:sz w:val="16"/>
                <w:szCs w:val="18"/>
              </w:rPr>
              <w:t xml:space="preserve">TOTAL </w:t>
            </w:r>
          </w:p>
        </w:tc>
        <w:tc>
          <w:tcPr>
            <w:tcW w:w="1745" w:type="dxa"/>
            <w:tcBorders>
              <w:top w:val="nil"/>
              <w:left w:val="nil"/>
              <w:bottom w:val="single" w:sz="4" w:space="0" w:color="auto"/>
              <w:right w:val="single" w:sz="4" w:space="0" w:color="auto"/>
            </w:tcBorders>
            <w:shd w:val="clear" w:color="auto" w:fill="auto"/>
            <w:vAlign w:val="center"/>
            <w:hideMark/>
          </w:tcPr>
          <w:p w:rsidR="00E472AA" w:rsidRPr="00C258AD" w:rsidRDefault="00E472AA" w:rsidP="00927E1F">
            <w:pPr>
              <w:jc w:val="center"/>
              <w:rPr>
                <w:b/>
                <w:bCs/>
                <w:color w:val="000000"/>
                <w:sz w:val="16"/>
                <w:szCs w:val="18"/>
              </w:rPr>
            </w:pPr>
            <w:r w:rsidRPr="00C258AD">
              <w:rPr>
                <w:b/>
                <w:bCs/>
                <w:color w:val="000000"/>
                <w:sz w:val="16"/>
                <w:szCs w:val="18"/>
              </w:rPr>
              <w:t>32 325</w:t>
            </w:r>
          </w:p>
        </w:tc>
        <w:tc>
          <w:tcPr>
            <w:tcW w:w="1746" w:type="dxa"/>
            <w:tcBorders>
              <w:top w:val="nil"/>
              <w:left w:val="nil"/>
              <w:bottom w:val="single" w:sz="4" w:space="0" w:color="auto"/>
              <w:right w:val="single" w:sz="4" w:space="0" w:color="auto"/>
            </w:tcBorders>
            <w:shd w:val="clear" w:color="auto" w:fill="auto"/>
            <w:vAlign w:val="center"/>
            <w:hideMark/>
          </w:tcPr>
          <w:p w:rsidR="00E472AA" w:rsidRPr="00C258AD" w:rsidRDefault="00E472AA" w:rsidP="00927E1F">
            <w:pPr>
              <w:jc w:val="center"/>
              <w:rPr>
                <w:b/>
                <w:bCs/>
                <w:color w:val="000000"/>
                <w:sz w:val="16"/>
                <w:szCs w:val="18"/>
              </w:rPr>
            </w:pPr>
            <w:r w:rsidRPr="00C258AD">
              <w:rPr>
                <w:b/>
                <w:bCs/>
                <w:color w:val="000000"/>
                <w:sz w:val="16"/>
                <w:szCs w:val="18"/>
              </w:rPr>
              <w:t>31 485</w:t>
            </w:r>
          </w:p>
        </w:tc>
        <w:tc>
          <w:tcPr>
            <w:tcW w:w="1745" w:type="dxa"/>
            <w:tcBorders>
              <w:top w:val="nil"/>
              <w:left w:val="nil"/>
              <w:bottom w:val="single" w:sz="4" w:space="0" w:color="auto"/>
              <w:right w:val="single" w:sz="4" w:space="0" w:color="auto"/>
            </w:tcBorders>
            <w:shd w:val="clear" w:color="auto" w:fill="auto"/>
            <w:vAlign w:val="center"/>
            <w:hideMark/>
          </w:tcPr>
          <w:p w:rsidR="00E472AA" w:rsidRPr="00C258AD" w:rsidRDefault="00E472AA" w:rsidP="00927E1F">
            <w:pPr>
              <w:jc w:val="center"/>
              <w:rPr>
                <w:b/>
                <w:bCs/>
                <w:color w:val="000000"/>
                <w:sz w:val="16"/>
                <w:szCs w:val="18"/>
              </w:rPr>
            </w:pPr>
            <w:r w:rsidRPr="00C258AD">
              <w:rPr>
                <w:b/>
                <w:bCs/>
                <w:color w:val="000000"/>
                <w:sz w:val="16"/>
                <w:szCs w:val="18"/>
              </w:rPr>
              <w:t>29 067</w:t>
            </w:r>
          </w:p>
        </w:tc>
        <w:tc>
          <w:tcPr>
            <w:tcW w:w="1746" w:type="dxa"/>
            <w:tcBorders>
              <w:top w:val="nil"/>
              <w:left w:val="nil"/>
              <w:bottom w:val="single" w:sz="4" w:space="0" w:color="auto"/>
              <w:right w:val="single" w:sz="4" w:space="0" w:color="auto"/>
            </w:tcBorders>
            <w:shd w:val="clear" w:color="auto" w:fill="auto"/>
            <w:vAlign w:val="center"/>
            <w:hideMark/>
          </w:tcPr>
          <w:p w:rsidR="00E472AA" w:rsidRPr="00C258AD" w:rsidRDefault="00E472AA" w:rsidP="00927E1F">
            <w:pPr>
              <w:jc w:val="center"/>
              <w:rPr>
                <w:b/>
                <w:bCs/>
                <w:color w:val="000000"/>
                <w:sz w:val="16"/>
                <w:szCs w:val="18"/>
              </w:rPr>
            </w:pPr>
            <w:r w:rsidRPr="00C258AD">
              <w:rPr>
                <w:b/>
                <w:bCs/>
                <w:color w:val="000000"/>
                <w:sz w:val="16"/>
                <w:szCs w:val="18"/>
              </w:rPr>
              <w:t>92%</w:t>
            </w:r>
          </w:p>
        </w:tc>
      </w:tr>
    </w:tbl>
    <w:p w:rsidR="00E472AA" w:rsidRPr="00C258AD" w:rsidRDefault="00E472AA" w:rsidP="00927E1F">
      <w:pPr>
        <w:widowControl w:val="0"/>
        <w:autoSpaceDE w:val="0"/>
        <w:autoSpaceDN w:val="0"/>
        <w:adjustRightInd w:val="0"/>
        <w:jc w:val="both"/>
      </w:pPr>
    </w:p>
    <w:p w:rsidR="00E472AA" w:rsidRPr="00C258AD" w:rsidRDefault="00E472AA" w:rsidP="00927E1F">
      <w:pPr>
        <w:rPr>
          <w:color w:val="000000"/>
          <w:szCs w:val="18"/>
        </w:rPr>
      </w:pPr>
    </w:p>
    <w:p w:rsidR="00E472AA" w:rsidRPr="00C258AD" w:rsidRDefault="00E472AA" w:rsidP="00927E1F">
      <w:pPr>
        <w:keepNext/>
        <w:tabs>
          <w:tab w:val="left" w:pos="567"/>
        </w:tabs>
        <w:rPr>
          <w:u w:val="single"/>
        </w:rPr>
      </w:pPr>
      <w:r w:rsidRPr="00C258AD">
        <w:t>A.</w:t>
      </w:r>
      <w:r w:rsidRPr="00C258AD">
        <w:tab/>
      </w:r>
      <w:r w:rsidRPr="00C258AD">
        <w:rPr>
          <w:u w:val="single"/>
        </w:rPr>
        <w:t>Budget final 2014</w:t>
      </w:r>
      <w:r w:rsidRPr="00C258AD">
        <w:rPr>
          <w:u w:val="single"/>
        </w:rPr>
        <w:noBreakHyphen/>
        <w:t>2015 après virements</w:t>
      </w:r>
    </w:p>
    <w:p w:rsidR="00E472AA" w:rsidRPr="00C258AD" w:rsidRDefault="00E472AA" w:rsidP="00927E1F">
      <w:pPr>
        <w:keepNext/>
        <w:rPr>
          <w:u w:val="single"/>
        </w:rPr>
      </w:pPr>
    </w:p>
    <w:p w:rsidR="00E472AA" w:rsidRPr="00C258AD" w:rsidRDefault="00E472AA" w:rsidP="00DF2EEF">
      <w:pPr>
        <w:pStyle w:val="ListParagraph"/>
        <w:numPr>
          <w:ilvl w:val="0"/>
          <w:numId w:val="103"/>
        </w:numPr>
        <w:tabs>
          <w:tab w:val="left" w:pos="709"/>
        </w:tabs>
        <w:ind w:left="0" w:firstLine="0"/>
        <w:contextualSpacing/>
        <w:jc w:val="both"/>
      </w:pPr>
      <w:r w:rsidRPr="00C258AD">
        <w:t xml:space="preserve">Le transfert de ressources entre plusieurs résultats escomptés tient compte d’un renforcement de la concentration sur la facilitation et la coordination de : i) les activités de conseils législatifs de l’OMPI dans le domaine des brevets, des marques, des dessins et modèles industriels et du droit d’auteur (résultat escompté I.2, conseils législatifs);  ii) les activités de l’OMPI liées à l’accès et à l’utilisation des </w:t>
      </w:r>
      <w:r w:rsidRPr="00C258AD">
        <w:lastRenderedPageBreak/>
        <w:t>informations relatives à la propriété intellectuelle grâce au nombre croissant de réseaux nationaux de centres de technologie et d’appui à l’innovation durables (résultat escompté IV.2);  et iii) les efforts visant à aider les offices et autres institutions de propriété intellectuelle à élaborer leur infrastructure technique et du savoir (résultat escompté IV.4 Amélioration de l’infrastructure technique et du savoir).</w:t>
      </w:r>
    </w:p>
    <w:p w:rsidR="00E472AA" w:rsidRPr="00C258AD" w:rsidRDefault="00E472AA" w:rsidP="00927E1F"/>
    <w:p w:rsidR="00E472AA" w:rsidRPr="00C258AD" w:rsidRDefault="00E472AA" w:rsidP="00927E1F"/>
    <w:p w:rsidR="00E472AA" w:rsidRPr="00C258AD" w:rsidRDefault="00E472AA" w:rsidP="00927E1F">
      <w:pPr>
        <w:keepNext/>
        <w:tabs>
          <w:tab w:val="left" w:pos="567"/>
        </w:tabs>
        <w:rPr>
          <w:u w:val="single"/>
        </w:rPr>
      </w:pPr>
      <w:r w:rsidRPr="00C258AD">
        <w:t>B.</w:t>
      </w:r>
      <w:r w:rsidRPr="00C258AD">
        <w:tab/>
      </w:r>
      <w:r w:rsidRPr="00C258AD">
        <w:rPr>
          <w:u w:val="single"/>
        </w:rPr>
        <w:t>Utilisation du budget en 2014</w:t>
      </w:r>
      <w:r w:rsidRPr="00C258AD">
        <w:rPr>
          <w:u w:val="single"/>
        </w:rPr>
        <w:noBreakHyphen/>
        <w:t>2015</w:t>
      </w:r>
    </w:p>
    <w:p w:rsidR="00E472AA" w:rsidRPr="00C258AD" w:rsidRDefault="00E472AA" w:rsidP="00927E1F">
      <w:pPr>
        <w:keepNext/>
      </w:pPr>
    </w:p>
    <w:p w:rsidR="00E472AA" w:rsidRPr="00C258AD" w:rsidRDefault="00E472AA" w:rsidP="00DF2EEF">
      <w:pPr>
        <w:pStyle w:val="ListParagraph"/>
        <w:numPr>
          <w:ilvl w:val="0"/>
          <w:numId w:val="103"/>
        </w:numPr>
        <w:tabs>
          <w:tab w:val="left" w:pos="709"/>
        </w:tabs>
        <w:ind w:left="0" w:firstLine="0"/>
        <w:contextualSpacing/>
        <w:jc w:val="both"/>
      </w:pPr>
      <w:r w:rsidRPr="00C258AD">
        <w:t>Le taux d’utilisation des ressources hors personnel a été plus faible que prévu, principalement en raison du report ou de l’annulation de certaines manifestations/activités à la demande de certains États membres ou conformément aux directives de sécurité des Nations Uni</w:t>
      </w:r>
      <w:bookmarkEnd w:id="97"/>
      <w:r w:rsidRPr="00C258AD">
        <w:t xml:space="preserve">es.  </w:t>
      </w:r>
      <w:r w:rsidRPr="00C258AD">
        <w:rPr>
          <w:rFonts w:eastAsia="SimSun"/>
          <w:bCs/>
          <w:lang w:eastAsia="zh-CN"/>
        </w:rPr>
        <w:t xml:space="preserve">Les risques sanitaires et les restrictions de voyages dus à la crise du virus </w:t>
      </w:r>
      <w:proofErr w:type="spellStart"/>
      <w:r w:rsidRPr="00C258AD">
        <w:rPr>
          <w:rFonts w:eastAsia="SimSun"/>
          <w:bCs/>
          <w:lang w:eastAsia="zh-CN"/>
        </w:rPr>
        <w:t>Ebola</w:t>
      </w:r>
      <w:proofErr w:type="spellEnd"/>
      <w:r w:rsidRPr="00C258AD">
        <w:rPr>
          <w:rFonts w:eastAsia="SimSun"/>
          <w:bCs/>
          <w:lang w:eastAsia="zh-CN"/>
        </w:rPr>
        <w:t xml:space="preserve"> ont aussi entraîné l’annulation de diverses activités.  Il a été possible de réduire le nombre de voyages et les coûts connexes en regroupant un nombre croissant d’événements ou en les organisant en marge d’autres manifestations.</w:t>
      </w:r>
    </w:p>
    <w:p w:rsidR="00E472AA" w:rsidRPr="00C258AD" w:rsidRDefault="00E472AA" w:rsidP="00927E1F"/>
    <w:p w:rsidR="006E2BB1" w:rsidRPr="00C258AD" w:rsidRDefault="002D4597">
      <w:pPr>
        <w:spacing w:after="200" w:line="276" w:lineRule="auto"/>
        <w:rPr>
          <w:rFonts w:cs="Arial"/>
          <w:b/>
          <w:bCs/>
          <w:iCs/>
          <w:caps/>
          <w:sz w:val="22"/>
          <w:szCs w:val="28"/>
          <w:lang w:eastAsia="ko-KR"/>
        </w:rPr>
      </w:pPr>
      <w:r w:rsidRPr="00C258AD">
        <w:rPr>
          <w:lang w:eastAsia="ko-KR"/>
        </w:rPr>
        <w:br w:type="page"/>
      </w:r>
    </w:p>
    <w:p w:rsidR="006E2BB1" w:rsidRPr="00C258AD" w:rsidRDefault="00066B9C" w:rsidP="00305CE5">
      <w:pPr>
        <w:pStyle w:val="Heading3"/>
      </w:pPr>
      <w:bookmarkStart w:id="98" w:name="_Toc422404229"/>
      <w:bookmarkStart w:id="99" w:name="_Toc423352877"/>
      <w:bookmarkStart w:id="100" w:name="_Toc455394189"/>
      <w:r w:rsidRPr="00C258AD">
        <w:lastRenderedPageBreak/>
        <w:t>Programme 10</w:t>
      </w:r>
      <w:r w:rsidRPr="00C258AD">
        <w:tab/>
        <w:t>Coopération avec certains pays d’Europe et d’Asie</w:t>
      </w:r>
      <w:bookmarkEnd w:id="98"/>
      <w:bookmarkEnd w:id="99"/>
      <w:bookmarkEnd w:id="100"/>
    </w:p>
    <w:p w:rsidR="006E2BB1" w:rsidRPr="00C258AD" w:rsidRDefault="006E2BB1" w:rsidP="001A4D6C"/>
    <w:p w:rsidR="006E2BB1" w:rsidRPr="00C258AD" w:rsidRDefault="00066B9C" w:rsidP="001A4D6C">
      <w:pPr>
        <w:rPr>
          <w:b/>
          <w:sz w:val="18"/>
        </w:rPr>
      </w:pPr>
      <w:r w:rsidRPr="00C258AD">
        <w:rPr>
          <w:b/>
          <w:bCs/>
          <w:iCs/>
          <w:szCs w:val="22"/>
        </w:rPr>
        <w:t>Chef de programme</w:t>
      </w:r>
      <w:r w:rsidRPr="00C258AD">
        <w:rPr>
          <w:b/>
          <w:szCs w:val="22"/>
        </w:rPr>
        <w:tab/>
        <w:t>Le Directeur général</w:t>
      </w:r>
    </w:p>
    <w:p w:rsidR="006E2BB1" w:rsidRPr="00C258AD" w:rsidRDefault="006E2BB1" w:rsidP="001A4D6C"/>
    <w:p w:rsidR="006E2BB1" w:rsidRPr="00C258AD" w:rsidRDefault="006E2BB1" w:rsidP="001A4D6C"/>
    <w:p w:rsidR="006E2BB1" w:rsidRPr="00C258AD" w:rsidRDefault="00066B9C" w:rsidP="00305CE5">
      <w:pPr>
        <w:keepNext/>
        <w:rPr>
          <w:rFonts w:cs="Arial"/>
          <w:caps/>
          <w:sz w:val="22"/>
          <w:szCs w:val="22"/>
        </w:rPr>
      </w:pPr>
      <w:r w:rsidRPr="00C258AD">
        <w:rPr>
          <w:rFonts w:cs="Arial"/>
          <w:caps/>
          <w:sz w:val="22"/>
          <w:szCs w:val="22"/>
        </w:rPr>
        <w:t>Réalisations au cours de l’exercice biennal 2014</w:t>
      </w:r>
      <w:r w:rsidRPr="00C258AD">
        <w:rPr>
          <w:rFonts w:cs="Arial"/>
          <w:caps/>
          <w:sz w:val="22"/>
          <w:szCs w:val="22"/>
        </w:rPr>
        <w:noBreakHyphen/>
        <w:t>2015</w:t>
      </w:r>
    </w:p>
    <w:p w:rsidR="006E2BB1" w:rsidRPr="00C258AD" w:rsidRDefault="006E2BB1" w:rsidP="001A4D6C">
      <w:pPr>
        <w:jc w:val="both"/>
      </w:pPr>
    </w:p>
    <w:p w:rsidR="006E2BB1" w:rsidRPr="00C258AD" w:rsidRDefault="00066B9C" w:rsidP="00066B9C">
      <w:pPr>
        <w:pStyle w:val="ListParagraph"/>
        <w:numPr>
          <w:ilvl w:val="0"/>
          <w:numId w:val="47"/>
        </w:numPr>
        <w:tabs>
          <w:tab w:val="left" w:pos="709"/>
        </w:tabs>
        <w:ind w:left="0" w:firstLine="0"/>
        <w:jc w:val="both"/>
      </w:pPr>
      <w:r w:rsidRPr="00C258AD">
        <w:rPr>
          <w:szCs w:val="16"/>
          <w:lang w:bidi="th-TH"/>
        </w:rPr>
        <w:t>Au cours de l’exercice biennal 2014</w:t>
      </w:r>
      <w:r w:rsidRPr="00C258AD">
        <w:rPr>
          <w:szCs w:val="16"/>
          <w:lang w:bidi="th-TH"/>
        </w:rPr>
        <w:noBreakHyphen/>
        <w:t xml:space="preserve">2015, les travaux du programme 10 ont continué d’améliorer et de coordonner, avec le concours de tous les secteurs concernés, la mise en œuvre des activités de coopération à long terme et orientées vers les résultats dans les pays en transition.  </w:t>
      </w:r>
      <w:r w:rsidRPr="00C258AD">
        <w:t xml:space="preserve">À cette fin, les activités menées au cours de l’exercice biennal étaient axées sur une planification stratégique sur plusieurs années en vue de </w:t>
      </w:r>
      <w:r w:rsidRPr="00C258AD">
        <w:rPr>
          <w:szCs w:val="16"/>
          <w:lang w:bidi="th-TH"/>
        </w:rPr>
        <w:t>promouvoir l’utilisation du système de propriété intellectuelle de manière à stimuler l’innovation et la créativité en faveur du développement économique, social et culturel</w:t>
      </w:r>
      <w:r w:rsidRPr="00C258AD">
        <w:t>.</w:t>
      </w:r>
    </w:p>
    <w:p w:rsidR="006E2BB1" w:rsidRPr="00C258AD" w:rsidRDefault="006E2BB1" w:rsidP="001A4D6C">
      <w:pPr>
        <w:tabs>
          <w:tab w:val="left" w:pos="709"/>
        </w:tabs>
        <w:jc w:val="both"/>
      </w:pPr>
    </w:p>
    <w:p w:rsidR="006E2BB1" w:rsidRPr="00C258AD" w:rsidRDefault="00066B9C" w:rsidP="00066B9C">
      <w:pPr>
        <w:pStyle w:val="ListParagraph"/>
        <w:numPr>
          <w:ilvl w:val="0"/>
          <w:numId w:val="47"/>
        </w:numPr>
        <w:tabs>
          <w:tab w:val="left" w:pos="709"/>
        </w:tabs>
        <w:ind w:left="0" w:firstLine="0"/>
      </w:pPr>
      <w:r w:rsidRPr="00C258AD">
        <w:t xml:space="preserve">Les activités visant à mieux faire connaître l’importance de l’élaboration et de la mise en œuvre de stratégies nationales à long terme et globales </w:t>
      </w:r>
      <w:r w:rsidRPr="00C258AD">
        <w:rPr>
          <w:szCs w:val="16"/>
          <w:lang w:bidi="th-TH"/>
        </w:rPr>
        <w:t xml:space="preserve">en matière de propriété intellectuelle en vue de satisfaire les besoins des </w:t>
      </w:r>
      <w:r w:rsidRPr="00C258AD">
        <w:t>États membres ou à fournir une assistance à cet égard sont restées une priorité en 2014</w:t>
      </w:r>
      <w:r w:rsidRPr="00C258AD">
        <w:noBreakHyphen/>
        <w:t>2015.  Six pays (Bulgarie, Slovénie, Tadjikistan, Turquie, Turkménistan et Ukraine) ont adopté des stratégies nationales relatives à la propriété intellectuelle et quatre autres (Albanie, Géorgie, Lettonie et Pologne) ont commencé à élaborer une nouvelle stratégie dans ce domaine.  Dans le cadre de ce programme, des évaluations ont aussi été réalisées dans trois pays (</w:t>
      </w:r>
      <w:proofErr w:type="spellStart"/>
      <w:r w:rsidRPr="00C258AD">
        <w:t>Bélarus</w:t>
      </w:r>
      <w:proofErr w:type="spellEnd"/>
      <w:r w:rsidRPr="00C258AD">
        <w:t>, République de Moldova et Serbie) afin d’évaluer les résultats de la mise en œuvre des stratégies en matière de propriété intellectuelle déjà finalisées et d’en tirer les enseignements nécessaires.</w:t>
      </w:r>
    </w:p>
    <w:p w:rsidR="006E2BB1" w:rsidRPr="00C258AD" w:rsidRDefault="006E2BB1" w:rsidP="001A4D6C">
      <w:pPr>
        <w:tabs>
          <w:tab w:val="left" w:pos="709"/>
        </w:tabs>
      </w:pPr>
    </w:p>
    <w:p w:rsidR="006E2BB1" w:rsidRPr="00C258AD" w:rsidRDefault="00066B9C" w:rsidP="00066B9C">
      <w:pPr>
        <w:pStyle w:val="ListParagraph"/>
        <w:numPr>
          <w:ilvl w:val="0"/>
          <w:numId w:val="47"/>
        </w:numPr>
        <w:tabs>
          <w:tab w:val="left" w:pos="709"/>
        </w:tabs>
        <w:autoSpaceDE w:val="0"/>
        <w:autoSpaceDN w:val="0"/>
        <w:ind w:left="0" w:firstLine="0"/>
        <w:jc w:val="both"/>
      </w:pPr>
      <w:r w:rsidRPr="00C258AD">
        <w:t xml:space="preserve">Neuf pays (Fédération de Russie, Kazakhstan, Kirghizistan, Lettonie, Lituanie, Monténégro, République de Moldova, Tadjikistan et Turkménistan) </w:t>
      </w:r>
      <w:r w:rsidRPr="00C258AD">
        <w:rPr>
          <w:szCs w:val="16"/>
          <w:lang w:bidi="th-TH"/>
        </w:rPr>
        <w:t>ont modifié leur législation nationale relative à la propriété intellectuelle ou ont adhéré aux traités administrés par l’OMPI, conformément aux</w:t>
      </w:r>
      <w:r w:rsidRPr="00C258AD">
        <w:t xml:space="preserve"> plans de coopération et </w:t>
      </w:r>
      <w:r w:rsidRPr="00C258AD">
        <w:rPr>
          <w:szCs w:val="16"/>
          <w:lang w:bidi="th-TH"/>
        </w:rPr>
        <w:t>stratégies nationales en la matière</w:t>
      </w:r>
      <w:r w:rsidRPr="00C258AD">
        <w:t>, à l’issue notamment d’activités de sensibilisation menées dans le cadre de l’assistance fournie par l’OMPI.</w:t>
      </w:r>
    </w:p>
    <w:p w:rsidR="006E2BB1" w:rsidRPr="00C258AD" w:rsidRDefault="006E2BB1" w:rsidP="001A4D6C">
      <w:pPr>
        <w:tabs>
          <w:tab w:val="left" w:pos="709"/>
        </w:tabs>
        <w:autoSpaceDE w:val="0"/>
        <w:autoSpaceDN w:val="0"/>
        <w:jc w:val="both"/>
      </w:pPr>
    </w:p>
    <w:p w:rsidR="006E2BB1" w:rsidRPr="00C258AD" w:rsidRDefault="00066B9C" w:rsidP="00066B9C">
      <w:pPr>
        <w:pStyle w:val="ListParagraph"/>
        <w:numPr>
          <w:ilvl w:val="0"/>
          <w:numId w:val="47"/>
        </w:numPr>
        <w:tabs>
          <w:tab w:val="left" w:pos="709"/>
        </w:tabs>
        <w:autoSpaceDE w:val="0"/>
        <w:autoSpaceDN w:val="0"/>
        <w:ind w:left="0" w:firstLine="0"/>
        <w:jc w:val="both"/>
      </w:pPr>
      <w:r w:rsidRPr="00C258AD">
        <w:t xml:space="preserve">Des projets et activités ont été mis en œuvre dans ce domaine en Estonie, en Fédération de Russie, en Lituanie, en Ouzbékistan, en Pologne et en Slovaquie </w:t>
      </w:r>
      <w:r w:rsidRPr="00C258AD">
        <w:rPr>
          <w:szCs w:val="16"/>
          <w:lang w:bidi="th-TH"/>
        </w:rPr>
        <w:t xml:space="preserve">afin d’appuyer l’élaboration de politiques en matière de propriété intellectuelle dans les universités.  </w:t>
      </w:r>
      <w:r w:rsidRPr="00C258AD">
        <w:t>Avec l’aide de l’OMPI, une université en Fédération de Russie et une université en Ouzbékistan ont mis au point des politiques dans ce domaine en 2014.  En outre, le 1</w:t>
      </w:r>
      <w:r w:rsidRPr="00C258AD">
        <w:rPr>
          <w:vertAlign w:val="superscript"/>
        </w:rPr>
        <w:t>er</w:t>
      </w:r>
      <w:r w:rsidRPr="00C258AD">
        <w:t> octobre 2014, la Pologne a adopté une loi sur l’enseignement supérieur en vertu de laquelle tous les établissements d’enseignement supérieur (132 établissements publics et 302 établissements non publics) étaient tenus de mettre en place une politique institutionnelle actualisée en matière de propriété intellectuelle avant le 31 mars 2015.  À la fin de l’exercice biennal, 434 universités ou établissements d’enseignement supérieur en Pologne avaient élaboré de nouvelles politiques de propriété intellectuelle.</w:t>
      </w:r>
    </w:p>
    <w:p w:rsidR="006E2BB1" w:rsidRPr="00C258AD" w:rsidRDefault="006E2BB1" w:rsidP="001A4D6C">
      <w:pPr>
        <w:tabs>
          <w:tab w:val="left" w:pos="709"/>
        </w:tabs>
        <w:autoSpaceDE w:val="0"/>
        <w:autoSpaceDN w:val="0"/>
        <w:jc w:val="both"/>
      </w:pPr>
    </w:p>
    <w:p w:rsidR="006E2BB1" w:rsidRPr="00C258AD" w:rsidRDefault="00066B9C" w:rsidP="00066B9C">
      <w:pPr>
        <w:pStyle w:val="ListParagraph"/>
        <w:numPr>
          <w:ilvl w:val="0"/>
          <w:numId w:val="47"/>
        </w:numPr>
        <w:tabs>
          <w:tab w:val="left" w:pos="709"/>
        </w:tabs>
        <w:autoSpaceDE w:val="0"/>
        <w:autoSpaceDN w:val="0"/>
        <w:ind w:left="0" w:firstLine="0"/>
        <w:jc w:val="both"/>
      </w:pPr>
      <w:r w:rsidRPr="00C258AD">
        <w:t xml:space="preserve">Le programme a continué d’apporter un appui aux pays </w:t>
      </w:r>
      <w:r w:rsidRPr="00C258AD">
        <w:rPr>
          <w:szCs w:val="16"/>
          <w:lang w:bidi="th-TH"/>
        </w:rPr>
        <w:t>en matière de renforcement des</w:t>
      </w:r>
      <w:r w:rsidRPr="00C258AD">
        <w:t xml:space="preserve"> capacités des </w:t>
      </w:r>
      <w:r w:rsidRPr="00C258AD">
        <w:rPr>
          <w:szCs w:val="16"/>
          <w:lang w:bidi="th-TH"/>
        </w:rPr>
        <w:t xml:space="preserve">ressources humaines au niveau national, de sensibilisation et de perfectionnement des connaissances en vue d’une utilisation plus efficace de la propriété intellectuelle pour le développement économique, social et culturel.  </w:t>
      </w:r>
      <w:r w:rsidRPr="00C258AD">
        <w:t>En 2014</w:t>
      </w:r>
      <w:r w:rsidRPr="00C258AD">
        <w:noBreakHyphen/>
        <w:t>2015, plus de 6000 </w:t>
      </w:r>
      <w:r w:rsidRPr="00C258AD">
        <w:rPr>
          <w:szCs w:val="16"/>
          <w:lang w:bidi="th-TH"/>
        </w:rPr>
        <w:t>spécialistes et experts</w:t>
      </w:r>
      <w:r w:rsidRPr="00C258AD">
        <w:rPr>
          <w:rFonts w:cs="Arial"/>
        </w:rPr>
        <w:t>, issus notamment des offices de propriété intellectuelle et autres organismes publics des différents pays, de PME, d’universités et d’instituts de recherche publics,</w:t>
      </w:r>
      <w:r w:rsidRPr="00C258AD">
        <w:rPr>
          <w:szCs w:val="16"/>
          <w:lang w:bidi="th-TH"/>
        </w:rPr>
        <w:t xml:space="preserve"> ont suivi des programmes de formation sur mesure en matière de propriété intellectuelle, qui portaient notamment sur la gestion de la propriété intellectuelle et le</w:t>
      </w:r>
      <w:r w:rsidRPr="00C258AD">
        <w:t xml:space="preserve"> transfert de technologie, </w:t>
      </w:r>
      <w:r w:rsidRPr="00C258AD">
        <w:rPr>
          <w:szCs w:val="16"/>
          <w:lang w:bidi="th-TH"/>
        </w:rPr>
        <w:t>les</w:t>
      </w:r>
      <w:r w:rsidRPr="00C258AD">
        <w:t> </w:t>
      </w:r>
      <w:r w:rsidRPr="00C258AD">
        <w:rPr>
          <w:szCs w:val="16"/>
          <w:lang w:bidi="th-TH"/>
        </w:rPr>
        <w:t>PME,</w:t>
      </w:r>
      <w:r w:rsidRPr="00C258AD">
        <w:t xml:space="preserve"> l’application des droits</w:t>
      </w:r>
      <w:r w:rsidRPr="00C258AD">
        <w:rPr>
          <w:szCs w:val="16"/>
          <w:lang w:bidi="th-TH"/>
        </w:rPr>
        <w:t xml:space="preserve">, le droit d’auteur, l’enseignement de la propriété intellectuelle et les services de l’OMPI.  Dans le cadre d’un certain nombre d’enquêtes de suivi menées </w:t>
      </w:r>
      <w:r w:rsidRPr="00C258AD">
        <w:rPr>
          <w:rFonts w:cs="Arial"/>
        </w:rPr>
        <w:t xml:space="preserve">à l’issue des programmes de formation, les </w:t>
      </w:r>
      <w:r w:rsidRPr="00C258AD">
        <w:t>participants ont d</w:t>
      </w:r>
      <w:r w:rsidRPr="00C258AD">
        <w:rPr>
          <w:szCs w:val="16"/>
          <w:lang w:bidi="th-TH"/>
        </w:rPr>
        <w:t xml:space="preserve">onné un retour d’information positif sur </w:t>
      </w:r>
      <w:r w:rsidRPr="00C258AD">
        <w:t xml:space="preserve">ces activités : 95,8% des répondants ont indiqué leur satisfaction et 82,7% ont confirmé que ces activités leur avaient permis d’améliorer leurs </w:t>
      </w:r>
      <w:r w:rsidRPr="00C258AD">
        <w:rPr>
          <w:szCs w:val="16"/>
          <w:lang w:bidi="th-TH"/>
        </w:rPr>
        <w:t>compétences</w:t>
      </w:r>
      <w:r w:rsidRPr="00C258AD">
        <w:t>.</w:t>
      </w:r>
    </w:p>
    <w:p w:rsidR="006E2BB1" w:rsidRPr="00C258AD" w:rsidRDefault="006E2BB1" w:rsidP="001A4D6C">
      <w:pPr>
        <w:tabs>
          <w:tab w:val="left" w:pos="709"/>
        </w:tabs>
        <w:autoSpaceDE w:val="0"/>
        <w:autoSpaceDN w:val="0"/>
        <w:jc w:val="both"/>
      </w:pPr>
    </w:p>
    <w:p w:rsidR="006E2BB1" w:rsidRPr="00C258AD" w:rsidRDefault="00066B9C" w:rsidP="00066B9C">
      <w:pPr>
        <w:pStyle w:val="ListParagraph"/>
        <w:numPr>
          <w:ilvl w:val="0"/>
          <w:numId w:val="47"/>
        </w:numPr>
        <w:tabs>
          <w:tab w:val="left" w:pos="709"/>
        </w:tabs>
        <w:autoSpaceDE w:val="0"/>
        <w:autoSpaceDN w:val="0"/>
        <w:ind w:left="0" w:firstLine="0"/>
        <w:jc w:val="both"/>
      </w:pPr>
      <w:r w:rsidRPr="00C258AD">
        <w:rPr>
          <w:szCs w:val="16"/>
          <w:lang w:bidi="th-TH"/>
        </w:rPr>
        <w:t>Au cours de l’exercice biennal 2014</w:t>
      </w:r>
      <w:r w:rsidRPr="00C258AD">
        <w:rPr>
          <w:szCs w:val="16"/>
          <w:lang w:bidi="th-TH"/>
        </w:rPr>
        <w:noBreakHyphen/>
        <w:t>2015, des cours d’été de l’OMPI ont été organisés en</w:t>
      </w:r>
      <w:r w:rsidRPr="00C258AD">
        <w:t xml:space="preserve"> Croatie et en Fédération de Russie.</w:t>
      </w:r>
    </w:p>
    <w:p w:rsidR="006E2BB1" w:rsidRPr="00C258AD" w:rsidRDefault="006E2BB1" w:rsidP="001A4D6C">
      <w:pPr>
        <w:tabs>
          <w:tab w:val="left" w:pos="709"/>
        </w:tabs>
        <w:jc w:val="both"/>
      </w:pPr>
    </w:p>
    <w:p w:rsidR="006E2BB1" w:rsidRPr="00C258AD" w:rsidRDefault="00066B9C" w:rsidP="00066B9C">
      <w:pPr>
        <w:pStyle w:val="ListParagraph"/>
        <w:numPr>
          <w:ilvl w:val="0"/>
          <w:numId w:val="47"/>
        </w:numPr>
        <w:tabs>
          <w:tab w:val="left" w:pos="709"/>
        </w:tabs>
        <w:ind w:left="0" w:firstLine="0"/>
        <w:jc w:val="both"/>
      </w:pPr>
      <w:r w:rsidRPr="00C258AD">
        <w:rPr>
          <w:rFonts w:cs="Arial"/>
        </w:rPr>
        <w:t xml:space="preserve">L’aide apportée aux pays en transition en matière d’élaboration de programmes d’enseignement de la propriété intellectuelle et de mise en place de programmes de formation annuels dans ce domaine ou de cours destinés aux spécialistes de la propriété intellectuelle a été renforcée au cours de l’exercice biennal.  En particulier, une aide a été fournie au Gouvernement roumain dans le cadre de l’élaboration </w:t>
      </w:r>
      <w:r w:rsidRPr="00C258AD">
        <w:rPr>
          <w:rFonts w:cs="Arial"/>
        </w:rPr>
        <w:lastRenderedPageBreak/>
        <w:t>d’un cours facultatif sur la propriété intellectuelle destiné à être dispensé dans toutes les écoles secondaires, le Programme relatif au cours facultatif d’enseignement des droits de propriété intellectuelle dans les écoles (Décision concernant le programme destiné aux écoles secondaires), qui a été approuvé et officiellement inscrit au programme scolaire le 27 mars 2015.</w:t>
      </w:r>
    </w:p>
    <w:p w:rsidR="006E2BB1" w:rsidRPr="00C258AD" w:rsidRDefault="006E2BB1" w:rsidP="001A4D6C">
      <w:pPr>
        <w:tabs>
          <w:tab w:val="left" w:pos="709"/>
        </w:tabs>
        <w:jc w:val="both"/>
      </w:pPr>
    </w:p>
    <w:p w:rsidR="006E2BB1" w:rsidRPr="00C258AD" w:rsidRDefault="00066B9C" w:rsidP="00066B9C">
      <w:pPr>
        <w:pStyle w:val="ListParagraph"/>
        <w:numPr>
          <w:ilvl w:val="0"/>
          <w:numId w:val="47"/>
        </w:numPr>
        <w:tabs>
          <w:tab w:val="left" w:pos="709"/>
        </w:tabs>
        <w:ind w:left="0" w:firstLine="0"/>
        <w:jc w:val="both"/>
      </w:pPr>
      <w:r w:rsidRPr="00C258AD">
        <w:t xml:space="preserve">Le programme a continué de renforcer l’action menée pour </w:t>
      </w:r>
      <w:r w:rsidRPr="00C258AD">
        <w:rPr>
          <w:szCs w:val="16"/>
          <w:lang w:bidi="th-TH"/>
        </w:rPr>
        <w:t>améliorer la coordination, la promotion et la prestation des services de l’OMPI,</w:t>
      </w:r>
      <w:r w:rsidRPr="00C258AD">
        <w:t xml:space="preserve"> le but étant que l’utilisation de ces services augmente dans les pays en transition et les pays développés.</w:t>
      </w:r>
    </w:p>
    <w:p w:rsidR="006E2BB1" w:rsidRPr="00C258AD" w:rsidRDefault="006E2BB1" w:rsidP="001A4D6C">
      <w:pPr>
        <w:tabs>
          <w:tab w:val="left" w:pos="709"/>
        </w:tabs>
        <w:jc w:val="both"/>
      </w:pPr>
    </w:p>
    <w:p w:rsidR="006E2BB1" w:rsidRPr="00C258AD" w:rsidRDefault="00066B9C" w:rsidP="00066B9C">
      <w:pPr>
        <w:pStyle w:val="ListParagraph"/>
        <w:numPr>
          <w:ilvl w:val="0"/>
          <w:numId w:val="47"/>
        </w:numPr>
        <w:tabs>
          <w:tab w:val="left" w:pos="709"/>
        </w:tabs>
        <w:ind w:left="0" w:firstLine="0"/>
        <w:jc w:val="both"/>
        <w:rPr>
          <w:rFonts w:cs="Arial"/>
        </w:rPr>
      </w:pPr>
      <w:r w:rsidRPr="00C258AD">
        <w:t>En 2014</w:t>
      </w:r>
      <w:r w:rsidRPr="00C258AD">
        <w:noBreakHyphen/>
        <w:t>2015, quelque 3000 spécialistes issus de 18 pays (Allemagne, Australie, Autriche, Belgique, Espagne, États</w:t>
      </w:r>
      <w:r w:rsidRPr="00C258AD">
        <w:noBreakHyphen/>
        <w:t>Unis d’Amérique, Finlande, France, Irlande, Israël, Italie, Japon, Luxembourg, Nouvelle</w:t>
      </w:r>
      <w:r w:rsidRPr="00C258AD">
        <w:noBreakHyphen/>
        <w:t>Zélande, Pays</w:t>
      </w:r>
      <w:r w:rsidRPr="00C258AD">
        <w:noBreakHyphen/>
        <w:t>Bas, Portugal, Royaume</w:t>
      </w:r>
      <w:r w:rsidRPr="00C258AD">
        <w:noBreakHyphen/>
        <w:t>Uni et Suède) ont pris part à 36 </w:t>
      </w:r>
      <w:r w:rsidRPr="00C258AD">
        <w:rPr>
          <w:szCs w:val="16"/>
          <w:lang w:bidi="th-TH"/>
        </w:rPr>
        <w:t xml:space="preserve">séminaires itinérants consacrés aux services et initiatives de l’OMPI.  </w:t>
      </w:r>
      <w:r w:rsidRPr="00C258AD">
        <w:t xml:space="preserve">Plus de 90% des répondants au sondage étaient d’accord ou tout à fait d’accord avec le fait que le séminaire était bien adapté à leurs activités professionnelles, et plus de 80% des répondants au sondage étaient d’accord ou tout à fait d’accord avec le fait que le séminaire les rendait plus susceptibles d’avoir recours aux services de propriété intellectuelle offerts par l’OMPI ou de les recommander dans l’avenir.  </w:t>
      </w:r>
      <w:r w:rsidRPr="00C258AD">
        <w:rPr>
          <w:rFonts w:cs="Arial"/>
        </w:rPr>
        <w:t>En outre, 98% des personnes ayant répondu aux enquêtes de suivi menées à l’issue des séminaires étaient d’accord ou tout à fait d’accord avec le fait que le séminaire leur avait fait mieux comprendre les services de l’OMPI, 35% étant d’accord ou tout à fait d’accord avec le fait que le recours de leur organisation aux services de l’OMPI avait renforcé leur participation ultérieure au séminaire.</w:t>
      </w:r>
    </w:p>
    <w:p w:rsidR="006E2BB1" w:rsidRPr="00C258AD" w:rsidRDefault="006E2BB1" w:rsidP="001A4D6C">
      <w:pPr>
        <w:tabs>
          <w:tab w:val="left" w:pos="709"/>
        </w:tabs>
        <w:jc w:val="both"/>
      </w:pPr>
    </w:p>
    <w:p w:rsidR="006E2BB1" w:rsidRPr="00C258AD" w:rsidRDefault="00066B9C" w:rsidP="00066B9C">
      <w:pPr>
        <w:pStyle w:val="ListParagraph"/>
        <w:numPr>
          <w:ilvl w:val="0"/>
          <w:numId w:val="47"/>
        </w:numPr>
        <w:tabs>
          <w:tab w:val="left" w:pos="709"/>
        </w:tabs>
        <w:ind w:left="0" w:firstLine="0"/>
        <w:jc w:val="both"/>
      </w:pPr>
      <w:r w:rsidRPr="00C258AD">
        <w:t>Les efforts se sont intensifiés en 2014</w:t>
      </w:r>
      <w:r w:rsidRPr="00C258AD">
        <w:noBreakHyphen/>
        <w:t>2015 pour renforcer les liens institutionnels et promouvoir les partenariats avec les parties prenantes des pays en transition et des pays développés, y compris avec des organisations régionales, des offices de propriété intellectuelle, des ONG et des associations professionnelles représentant les utilisateurs des services de l’OMPI.  À cet égard, le programme a reçu un grand nombre de visites de parties prenantes venues des pays concernés et a organisé des séances d’information sur différentes questions présentant un intérêt.  Un certain nombre de missions exploratoires ont été organisées en vue de mieux évaluer les besoins et demandes des pays concernés et cinq nouveaux mémorandums d’accord ont été signés en 2014</w:t>
      </w:r>
      <w:r w:rsidRPr="00C258AD">
        <w:noBreakHyphen/>
        <w:t>2015 avec des parties prenantes de l’Allemagne, du Danemark, de l’Espagne, de la France et d’Israël.</w:t>
      </w:r>
    </w:p>
    <w:p w:rsidR="006E2BB1" w:rsidRPr="00C258AD" w:rsidRDefault="006E2BB1" w:rsidP="001A4D6C">
      <w:pPr>
        <w:pStyle w:val="ListParagraph"/>
        <w:numPr>
          <w:ilvl w:val="0"/>
          <w:numId w:val="0"/>
        </w:numPr>
        <w:tabs>
          <w:tab w:val="left" w:pos="709"/>
        </w:tabs>
        <w:jc w:val="both"/>
      </w:pPr>
    </w:p>
    <w:p w:rsidR="006E2BB1" w:rsidRPr="00C258AD" w:rsidRDefault="00066B9C" w:rsidP="00066B9C">
      <w:pPr>
        <w:pStyle w:val="ListParagraph"/>
        <w:numPr>
          <w:ilvl w:val="0"/>
          <w:numId w:val="47"/>
        </w:numPr>
        <w:tabs>
          <w:tab w:val="left" w:pos="709"/>
        </w:tabs>
        <w:ind w:left="0" w:firstLine="0"/>
        <w:jc w:val="both"/>
      </w:pPr>
      <w:r w:rsidRPr="00C258AD">
        <w:rPr>
          <w:rFonts w:cs="Arial"/>
        </w:rPr>
        <w:t xml:space="preserve">En vue d’intégrer davantage les préoccupations relatives à l’égalité des sexes dans le programme, la coopération établie avec la World </w:t>
      </w:r>
      <w:proofErr w:type="spellStart"/>
      <w:r w:rsidRPr="00C258AD">
        <w:rPr>
          <w:rFonts w:cs="Arial"/>
        </w:rPr>
        <w:t>Women</w:t>
      </w:r>
      <w:proofErr w:type="spellEnd"/>
      <w:r w:rsidRPr="00C258AD">
        <w:rPr>
          <w:rFonts w:cs="Arial"/>
        </w:rPr>
        <w:t xml:space="preserve"> </w:t>
      </w:r>
      <w:proofErr w:type="spellStart"/>
      <w:r w:rsidRPr="00C258AD">
        <w:rPr>
          <w:rFonts w:cs="Arial"/>
        </w:rPr>
        <w:t>Inventors</w:t>
      </w:r>
      <w:proofErr w:type="spellEnd"/>
      <w:r w:rsidRPr="00C258AD">
        <w:rPr>
          <w:rFonts w:cs="Arial"/>
        </w:rPr>
        <w:t xml:space="preserve"> and Entrepreneurs Association (WWIEA) s’est poursuivie au cours de l’exercice biennal et a donné lieu à l’organisation conjointe d’un programme de formation efficace pour les femmes en Asie centrale, intitulé “International </w:t>
      </w:r>
      <w:proofErr w:type="spellStart"/>
      <w:r w:rsidRPr="00C258AD">
        <w:rPr>
          <w:rFonts w:cs="Arial"/>
        </w:rPr>
        <w:t>Educational</w:t>
      </w:r>
      <w:proofErr w:type="spellEnd"/>
      <w:r w:rsidRPr="00C258AD">
        <w:rPr>
          <w:rFonts w:cs="Arial"/>
        </w:rPr>
        <w:t xml:space="preserve"> Program on </w:t>
      </w:r>
      <w:proofErr w:type="spellStart"/>
      <w:r w:rsidRPr="00C258AD">
        <w:rPr>
          <w:rFonts w:cs="Arial"/>
        </w:rPr>
        <w:t>Idea</w:t>
      </w:r>
      <w:proofErr w:type="spellEnd"/>
      <w:r w:rsidRPr="00C258AD">
        <w:rPr>
          <w:rFonts w:cs="Arial"/>
        </w:rPr>
        <w:t xml:space="preserve">, Invention, Innovation and Intellectual Property – </w:t>
      </w:r>
      <w:proofErr w:type="spellStart"/>
      <w:r w:rsidRPr="00C258AD">
        <w:rPr>
          <w:rFonts w:cs="Arial"/>
        </w:rPr>
        <w:t>Seed</w:t>
      </w:r>
      <w:proofErr w:type="spellEnd"/>
      <w:r w:rsidRPr="00C258AD">
        <w:rPr>
          <w:rFonts w:cs="Arial"/>
        </w:rPr>
        <w:t xml:space="preserve"> Project 2014” (Programme international d’enseignement sur les idées, inventions et innovations en matière de propriété intellectuelle – </w:t>
      </w:r>
      <w:proofErr w:type="spellStart"/>
      <w:r w:rsidRPr="00C258AD">
        <w:rPr>
          <w:rFonts w:cs="Arial"/>
        </w:rPr>
        <w:t>Seed</w:t>
      </w:r>
      <w:proofErr w:type="spellEnd"/>
      <w:r w:rsidRPr="00C258AD">
        <w:rPr>
          <w:rFonts w:cs="Arial"/>
        </w:rPr>
        <w:t xml:space="preserve"> Project 2014), dispensé au mois de novembre.  En outre, plusieurs programmes d’enseignement ont été organisés conjointement pour les femmes de l’</w:t>
      </w:r>
      <w:r w:rsidRPr="00C258AD">
        <w:t xml:space="preserve">Arménie, de l’Azerbaïdjan, du </w:t>
      </w:r>
      <w:proofErr w:type="spellStart"/>
      <w:r w:rsidRPr="00C258AD">
        <w:t>Bélarus</w:t>
      </w:r>
      <w:proofErr w:type="spellEnd"/>
      <w:r w:rsidRPr="00C258AD">
        <w:t xml:space="preserve">, de la Croatie, de la Fédération de Russie, de la Géorgie, du Kazakhstan, de la République de Moldova, de la Serbie et de l’Ukraine.  </w:t>
      </w:r>
      <w:r w:rsidRPr="00C258AD">
        <w:rPr>
          <w:rFonts w:cs="Arial"/>
        </w:rPr>
        <w:t>Ces programmes de formation visaient à renforcer les connaissances des participants sur la créativité, l’innovation, la protection des inventions et la gestion des droits de propriété intellectuelle, et à transmettre aux participants des méthodes d’enseignement afin de leur permettre de partager au niveau national leurs connaissances et compétences renforcées.  En outre, les septième et huitième conférences internationales sur l’innovation et la créativité féminines ont été organisées à Varsovie (Pologne) en mars 2014 et en mars 2015;  ces conférences ont rassemblé quelque 300 participants issus de plus de 20 pays et ont rencontré un vif succès.</w:t>
      </w:r>
    </w:p>
    <w:p w:rsidR="006E2BB1" w:rsidRPr="00C258AD" w:rsidRDefault="006E2BB1" w:rsidP="001A4D6C">
      <w:pPr>
        <w:tabs>
          <w:tab w:val="left" w:pos="709"/>
        </w:tabs>
        <w:autoSpaceDE w:val="0"/>
        <w:autoSpaceDN w:val="0"/>
        <w:jc w:val="both"/>
      </w:pPr>
    </w:p>
    <w:p w:rsidR="006E2BB1" w:rsidRPr="00C258AD" w:rsidRDefault="00066B9C" w:rsidP="00066B9C">
      <w:pPr>
        <w:pStyle w:val="ListParagraph"/>
        <w:numPr>
          <w:ilvl w:val="0"/>
          <w:numId w:val="47"/>
        </w:numPr>
        <w:tabs>
          <w:tab w:val="left" w:pos="709"/>
        </w:tabs>
        <w:autoSpaceDE w:val="0"/>
        <w:autoSpaceDN w:val="0"/>
        <w:ind w:left="0" w:firstLine="0"/>
        <w:jc w:val="both"/>
        <w:rPr>
          <w:rFonts w:cs="Arial"/>
        </w:rPr>
      </w:pPr>
      <w:r w:rsidRPr="00C258AD">
        <w:t>Dans le cadre de sa coopération avec certains pays d’Europe et d’Asie le programme 10 a continué de jouer un rôle clé dans la mise en œuvre du Plan d’action pour le développement de l’OMPI</w:t>
      </w:r>
      <w:r w:rsidRPr="00C258AD">
        <w:rPr>
          <w:rFonts w:cs="Arial"/>
        </w:rPr>
        <w:t>, et les activités du programme ont continué d’être menées en rapport avec les recommandations du Plan d’action pour le développement relatives à l’assistance technique et au renforcement des capacités, plus particulièrement les recommandations n</w:t>
      </w:r>
      <w:r w:rsidRPr="00C258AD">
        <w:rPr>
          <w:rFonts w:cs="Arial"/>
          <w:vertAlign w:val="superscript"/>
        </w:rPr>
        <w:t>os</w:t>
      </w:r>
      <w:r w:rsidRPr="00C258AD">
        <w:rPr>
          <w:rFonts w:cs="Arial"/>
        </w:rPr>
        <w:t> 1, 6, 12, 13 et 14.</w:t>
      </w:r>
    </w:p>
    <w:p w:rsidR="006E2BB1" w:rsidRPr="00C258AD" w:rsidRDefault="006E2BB1" w:rsidP="001A4D6C"/>
    <w:p w:rsidR="006E2BB1" w:rsidRPr="00C258AD" w:rsidRDefault="006E2BB1" w:rsidP="001A4D6C"/>
    <w:p w:rsidR="006E2BB1" w:rsidRPr="00C258AD" w:rsidRDefault="00066B9C" w:rsidP="00305CE5">
      <w:pPr>
        <w:keepNext/>
        <w:rPr>
          <w:rFonts w:cs="Arial"/>
          <w:caps/>
          <w:sz w:val="22"/>
          <w:szCs w:val="22"/>
        </w:rPr>
      </w:pPr>
      <w:r w:rsidRPr="00C258AD">
        <w:rPr>
          <w:rFonts w:cs="Arial"/>
          <w:caps/>
          <w:sz w:val="22"/>
          <w:szCs w:val="22"/>
        </w:rPr>
        <w:lastRenderedPageBreak/>
        <w:t>Données relatives à l’exécution</w:t>
      </w:r>
    </w:p>
    <w:p w:rsidR="00066B9C" w:rsidRPr="00C258AD" w:rsidRDefault="00066B9C" w:rsidP="001A4D6C">
      <w:pPr>
        <w:keepNext/>
      </w:pPr>
    </w:p>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091"/>
        <w:gridCol w:w="2380"/>
        <w:gridCol w:w="1518"/>
        <w:gridCol w:w="2370"/>
        <w:gridCol w:w="15"/>
        <w:gridCol w:w="1117"/>
      </w:tblGrid>
      <w:tr w:rsidR="00066B9C" w:rsidRPr="00C258AD" w:rsidTr="001A4D6C">
        <w:trPr>
          <w:cantSplit/>
        </w:trPr>
        <w:tc>
          <w:tcPr>
            <w:tcW w:w="5000" w:type="pct"/>
            <w:gridSpan w:val="6"/>
            <w:tcBorders>
              <w:top w:val="single" w:sz="4" w:space="0" w:color="auto"/>
              <w:bottom w:val="single" w:sz="4" w:space="0" w:color="auto"/>
            </w:tcBorders>
            <w:shd w:val="clear" w:color="auto" w:fill="C5D9F1"/>
            <w:vAlign w:val="center"/>
          </w:tcPr>
          <w:p w:rsidR="00066B9C" w:rsidRPr="00C258AD" w:rsidRDefault="00066B9C" w:rsidP="001A4D6C">
            <w:pPr>
              <w:keepNext/>
              <w:rPr>
                <w:b/>
                <w:bCs/>
                <w:sz w:val="16"/>
                <w:szCs w:val="16"/>
              </w:rPr>
            </w:pPr>
            <w:r w:rsidRPr="00C258AD">
              <w:rPr>
                <w:b/>
                <w:bCs/>
                <w:sz w:val="16"/>
                <w:szCs w:val="16"/>
              </w:rPr>
              <w:t xml:space="preserve">Résultat escompté : </w:t>
            </w:r>
            <w:r w:rsidRPr="00C258AD">
              <w:rPr>
                <w:sz w:val="16"/>
                <w:szCs w:val="16"/>
                <w:lang w:bidi="th-TH"/>
              </w:rPr>
              <w:t xml:space="preserve">I.2 </w:t>
            </w:r>
            <w:r w:rsidRPr="00C258AD">
              <w:rPr>
                <w:sz w:val="16"/>
                <w:szCs w:val="16"/>
              </w:rPr>
              <w:t>Cadres législatifs, réglementaires et politiques adaptés et équilibrés en matière de propriété intellectuelle</w:t>
            </w:r>
          </w:p>
        </w:tc>
      </w:tr>
      <w:tr w:rsidR="00066B9C" w:rsidRPr="00C258AD" w:rsidTr="001A4D6C">
        <w:trPr>
          <w:cantSplit/>
        </w:trPr>
        <w:tc>
          <w:tcPr>
            <w:tcW w:w="1138" w:type="pct"/>
            <w:tcBorders>
              <w:top w:val="single" w:sz="4" w:space="0" w:color="auto"/>
            </w:tcBorders>
            <w:shd w:val="clear" w:color="auto" w:fill="auto"/>
            <w:vAlign w:val="center"/>
          </w:tcPr>
          <w:p w:rsidR="00066B9C" w:rsidRPr="00C258AD" w:rsidRDefault="00066B9C" w:rsidP="001A4D6C">
            <w:pPr>
              <w:keepNext/>
              <w:jc w:val="center"/>
              <w:rPr>
                <w:sz w:val="16"/>
                <w:szCs w:val="16"/>
              </w:rPr>
            </w:pPr>
            <w:r w:rsidRPr="00C258AD">
              <w:rPr>
                <w:b/>
                <w:bCs/>
                <w:sz w:val="16"/>
                <w:szCs w:val="16"/>
              </w:rPr>
              <w:t>Indicateurs d’exécution</w:t>
            </w:r>
          </w:p>
        </w:tc>
        <w:tc>
          <w:tcPr>
            <w:tcW w:w="1290" w:type="pct"/>
            <w:tcBorders>
              <w:top w:val="single" w:sz="4" w:space="0" w:color="auto"/>
            </w:tcBorders>
            <w:shd w:val="clear" w:color="auto" w:fill="auto"/>
            <w:vAlign w:val="center"/>
          </w:tcPr>
          <w:p w:rsidR="00066B9C" w:rsidRPr="00C258AD" w:rsidRDefault="00066B9C" w:rsidP="001A4D6C">
            <w:pPr>
              <w:keepNext/>
              <w:jc w:val="center"/>
              <w:rPr>
                <w:b/>
                <w:bCs/>
                <w:sz w:val="16"/>
                <w:szCs w:val="16"/>
              </w:rPr>
            </w:pPr>
            <w:r w:rsidRPr="00C258AD">
              <w:rPr>
                <w:b/>
                <w:bCs/>
                <w:sz w:val="16"/>
                <w:szCs w:val="16"/>
              </w:rPr>
              <w:t>Niveaux de référence</w:t>
            </w:r>
          </w:p>
        </w:tc>
        <w:tc>
          <w:tcPr>
            <w:tcW w:w="836" w:type="pct"/>
            <w:tcBorders>
              <w:top w:val="single" w:sz="4" w:space="0" w:color="auto"/>
            </w:tcBorders>
            <w:shd w:val="clear" w:color="auto" w:fill="auto"/>
            <w:tcMar>
              <w:top w:w="110" w:type="dxa"/>
            </w:tcMar>
            <w:vAlign w:val="center"/>
          </w:tcPr>
          <w:p w:rsidR="00066B9C" w:rsidRPr="00C258AD" w:rsidRDefault="00066B9C" w:rsidP="001A4D6C">
            <w:pPr>
              <w:keepNext/>
              <w:jc w:val="center"/>
              <w:rPr>
                <w:b/>
                <w:sz w:val="16"/>
                <w:szCs w:val="16"/>
              </w:rPr>
            </w:pPr>
            <w:r w:rsidRPr="00C258AD">
              <w:rPr>
                <w:b/>
                <w:sz w:val="16"/>
                <w:szCs w:val="16"/>
              </w:rPr>
              <w:t>Objectifs visés</w:t>
            </w:r>
          </w:p>
        </w:tc>
        <w:tc>
          <w:tcPr>
            <w:tcW w:w="1291" w:type="pct"/>
            <w:gridSpan w:val="2"/>
            <w:tcBorders>
              <w:top w:val="single" w:sz="4" w:space="0" w:color="auto"/>
            </w:tcBorders>
            <w:shd w:val="clear" w:color="auto" w:fill="FFFFFF"/>
            <w:tcMar>
              <w:top w:w="110" w:type="dxa"/>
            </w:tcMar>
            <w:vAlign w:val="center"/>
          </w:tcPr>
          <w:p w:rsidR="00066B9C" w:rsidRPr="00C258AD" w:rsidRDefault="00066B9C" w:rsidP="001A4D6C">
            <w:pPr>
              <w:keepNext/>
              <w:jc w:val="center"/>
              <w:rPr>
                <w:sz w:val="16"/>
                <w:szCs w:val="16"/>
              </w:rPr>
            </w:pPr>
            <w:r w:rsidRPr="00C258AD">
              <w:rPr>
                <w:b/>
                <w:bCs/>
                <w:sz w:val="16"/>
                <w:szCs w:val="16"/>
              </w:rPr>
              <w:t>Données relatives à l’exécution</w:t>
            </w:r>
          </w:p>
        </w:tc>
        <w:tc>
          <w:tcPr>
            <w:tcW w:w="445" w:type="pct"/>
            <w:tcBorders>
              <w:top w:val="single" w:sz="4" w:space="0" w:color="auto"/>
            </w:tcBorders>
            <w:shd w:val="clear" w:color="auto" w:fill="auto"/>
            <w:tcMar>
              <w:top w:w="110" w:type="dxa"/>
            </w:tcMar>
            <w:vAlign w:val="center"/>
          </w:tcPr>
          <w:p w:rsidR="00066B9C" w:rsidRPr="00C258AD" w:rsidRDefault="00066B9C" w:rsidP="001A4D6C">
            <w:pPr>
              <w:keepNext/>
              <w:keepLines/>
              <w:jc w:val="center"/>
              <w:rPr>
                <w:b/>
                <w:bCs/>
                <w:sz w:val="16"/>
                <w:szCs w:val="16"/>
              </w:rPr>
            </w:pPr>
            <w:r w:rsidRPr="00C258AD">
              <w:rPr>
                <w:b/>
                <w:bCs/>
                <w:sz w:val="16"/>
                <w:szCs w:val="16"/>
              </w:rPr>
              <w:t>Code de couleurs</w:t>
            </w:r>
          </w:p>
        </w:tc>
      </w:tr>
      <w:tr w:rsidR="00066B9C" w:rsidRPr="00C258AD" w:rsidTr="001A4D6C">
        <w:trPr>
          <w:cantSplit/>
        </w:trPr>
        <w:tc>
          <w:tcPr>
            <w:tcW w:w="1138" w:type="pct"/>
            <w:tcBorders>
              <w:bottom w:val="single" w:sz="4" w:space="0" w:color="auto"/>
            </w:tcBorders>
            <w:shd w:val="clear" w:color="auto" w:fill="auto"/>
          </w:tcPr>
          <w:p w:rsidR="00066B9C" w:rsidRPr="00C258AD" w:rsidRDefault="00066B9C" w:rsidP="001A4D6C">
            <w:pPr>
              <w:rPr>
                <w:sz w:val="16"/>
                <w:szCs w:val="16"/>
                <w:lang w:bidi="th-TH"/>
              </w:rPr>
            </w:pPr>
            <w:r w:rsidRPr="00C258AD">
              <w:rPr>
                <w:sz w:val="16"/>
                <w:szCs w:val="16"/>
              </w:rPr>
              <w:t>Nombre de pays dont la législation et/ou la réglementation a été actualisée</w:t>
            </w:r>
          </w:p>
        </w:tc>
        <w:tc>
          <w:tcPr>
            <w:tcW w:w="1290" w:type="pct"/>
            <w:tcBorders>
              <w:bottom w:val="single" w:sz="4" w:space="0" w:color="auto"/>
            </w:tcBorders>
            <w:shd w:val="clear" w:color="auto" w:fill="auto"/>
          </w:tcPr>
          <w:p w:rsidR="006E2BB1" w:rsidRPr="00C258AD" w:rsidRDefault="00066B9C" w:rsidP="001A4D6C">
            <w:pPr>
              <w:rPr>
                <w:color w:val="002060"/>
                <w:sz w:val="16"/>
                <w:szCs w:val="16"/>
              </w:rPr>
            </w:pPr>
            <w:r w:rsidRPr="00C258AD">
              <w:rPr>
                <w:i/>
                <w:color w:val="002060"/>
                <w:sz w:val="16"/>
                <w:szCs w:val="16"/>
              </w:rPr>
              <w:t xml:space="preserve">Niveau de référence actualisé à fin 2013 : </w:t>
            </w:r>
            <w:r w:rsidRPr="00C258AD">
              <w:rPr>
                <w:color w:val="002060"/>
                <w:sz w:val="16"/>
                <w:szCs w:val="16"/>
              </w:rPr>
              <w:t xml:space="preserve">18 au total : l’Albanie, l’Arménie, le </w:t>
            </w:r>
            <w:proofErr w:type="spellStart"/>
            <w:r w:rsidRPr="00C258AD">
              <w:rPr>
                <w:color w:val="002060"/>
                <w:sz w:val="16"/>
                <w:szCs w:val="16"/>
              </w:rPr>
              <w:t>Bélarus</w:t>
            </w:r>
            <w:proofErr w:type="spellEnd"/>
            <w:r w:rsidRPr="00C258AD">
              <w:rPr>
                <w:color w:val="002060"/>
                <w:sz w:val="16"/>
                <w:szCs w:val="16"/>
              </w:rPr>
              <w:t>, la Bosnie</w:t>
            </w:r>
            <w:r w:rsidRPr="00C258AD">
              <w:rPr>
                <w:color w:val="002060"/>
                <w:sz w:val="16"/>
                <w:szCs w:val="16"/>
              </w:rPr>
              <w:noBreakHyphen/>
              <w:t>Herzégovine, la Pologne, la Roumanie, la Slovénie et le Tadjikistan ont actualisé leur législation nationale relative à la propriété intellectuelle en 2012</w:t>
            </w:r>
            <w:r w:rsidRPr="00C258AD">
              <w:rPr>
                <w:color w:val="002060"/>
                <w:sz w:val="16"/>
                <w:szCs w:val="16"/>
              </w:rPr>
              <w:noBreakHyphen/>
              <w:t>2013.</w:t>
            </w:r>
          </w:p>
          <w:p w:rsidR="006E2BB1" w:rsidRPr="00C258AD" w:rsidRDefault="006E2BB1" w:rsidP="001A4D6C">
            <w:pPr>
              <w:rPr>
                <w:color w:val="002060"/>
                <w:sz w:val="16"/>
                <w:szCs w:val="16"/>
              </w:rPr>
            </w:pPr>
          </w:p>
          <w:p w:rsidR="006E2BB1" w:rsidRPr="00C258AD" w:rsidRDefault="00066B9C" w:rsidP="001A4D6C">
            <w:pPr>
              <w:rPr>
                <w:sz w:val="16"/>
                <w:szCs w:val="16"/>
              </w:rPr>
            </w:pPr>
            <w:r w:rsidRPr="00C258AD">
              <w:rPr>
                <w:color w:val="002060"/>
                <w:sz w:val="16"/>
                <w:szCs w:val="16"/>
              </w:rPr>
              <w:t>Le Kazakhstan et la Fédération de Russie ont entrepris d’apporter des modifications à leur législation.</w:t>
            </w:r>
          </w:p>
          <w:p w:rsidR="006E2BB1" w:rsidRPr="00C258AD" w:rsidRDefault="006E2BB1" w:rsidP="001A4D6C">
            <w:pPr>
              <w:rPr>
                <w:i/>
                <w:sz w:val="16"/>
                <w:szCs w:val="16"/>
              </w:rPr>
            </w:pPr>
          </w:p>
          <w:p w:rsidR="00066B9C" w:rsidRPr="00C258AD" w:rsidRDefault="00066B9C" w:rsidP="001A4D6C">
            <w:pPr>
              <w:rPr>
                <w:sz w:val="16"/>
                <w:szCs w:val="16"/>
              </w:rPr>
            </w:pPr>
            <w:r w:rsidRPr="00C258AD">
              <w:rPr>
                <w:i/>
                <w:sz w:val="16"/>
                <w:szCs w:val="16"/>
                <w:lang w:bidi="th-TH"/>
              </w:rPr>
              <w:t>Niveau de référence initial dans le programme et budget 2014</w:t>
            </w:r>
            <w:r w:rsidRPr="00C258AD">
              <w:rPr>
                <w:i/>
                <w:sz w:val="16"/>
                <w:szCs w:val="16"/>
                <w:lang w:bidi="th-TH"/>
              </w:rPr>
              <w:noBreakHyphen/>
              <w:t xml:space="preserve">2015 : </w:t>
            </w:r>
            <w:r w:rsidRPr="00C258AD">
              <w:rPr>
                <w:sz w:val="16"/>
                <w:szCs w:val="16"/>
                <w:lang w:bidi="th-TH"/>
              </w:rPr>
              <w:t>18 avant la fin de 2013.</w:t>
            </w:r>
            <w:r w:rsidRPr="00C258AD">
              <w:rPr>
                <w:sz w:val="16"/>
                <w:szCs w:val="16"/>
              </w:rPr>
              <w:t xml:space="preserve"> </w:t>
            </w:r>
            <w:r w:rsidRPr="00C258AD">
              <w:rPr>
                <w:sz w:val="16"/>
                <w:szCs w:val="16"/>
                <w:lang w:bidi="th-TH"/>
              </w:rPr>
              <w:t xml:space="preserve"> </w:t>
            </w:r>
          </w:p>
        </w:tc>
        <w:tc>
          <w:tcPr>
            <w:tcW w:w="836" w:type="pct"/>
            <w:tcBorders>
              <w:bottom w:val="single" w:sz="4" w:space="0" w:color="auto"/>
            </w:tcBorders>
            <w:shd w:val="clear" w:color="auto" w:fill="auto"/>
            <w:tcMar>
              <w:top w:w="110" w:type="dxa"/>
            </w:tcMar>
          </w:tcPr>
          <w:p w:rsidR="00066B9C" w:rsidRPr="00C258AD" w:rsidRDefault="00066B9C" w:rsidP="001A4D6C">
            <w:pPr>
              <w:rPr>
                <w:sz w:val="16"/>
                <w:szCs w:val="16"/>
              </w:rPr>
            </w:pPr>
            <w:r w:rsidRPr="00C258AD">
              <w:rPr>
                <w:sz w:val="16"/>
                <w:szCs w:val="16"/>
              </w:rPr>
              <w:t>4 pays supplémentaires</w:t>
            </w:r>
          </w:p>
        </w:tc>
        <w:tc>
          <w:tcPr>
            <w:tcW w:w="1291" w:type="pct"/>
            <w:gridSpan w:val="2"/>
            <w:tcBorders>
              <w:bottom w:val="single" w:sz="4" w:space="0" w:color="auto"/>
            </w:tcBorders>
            <w:shd w:val="clear" w:color="auto" w:fill="FFFFFF"/>
            <w:tcMar>
              <w:top w:w="110" w:type="dxa"/>
            </w:tcMar>
          </w:tcPr>
          <w:p w:rsidR="00066B9C" w:rsidRPr="00C258AD" w:rsidRDefault="00066B9C" w:rsidP="001A4D6C">
            <w:pPr>
              <w:rPr>
                <w:sz w:val="16"/>
                <w:szCs w:val="16"/>
              </w:rPr>
            </w:pPr>
            <w:r w:rsidRPr="00C258AD">
              <w:rPr>
                <w:sz w:val="16"/>
                <w:szCs w:val="16"/>
              </w:rPr>
              <w:t>9 (Fédération de Russie, Kazakhstan, Kirghizistan, Lettonie, Lituanie, Monténégro, République de Moldova, Tadjikistan, Turkménistan)</w:t>
            </w:r>
          </w:p>
        </w:tc>
        <w:tc>
          <w:tcPr>
            <w:tcW w:w="445" w:type="pct"/>
            <w:tcBorders>
              <w:bottom w:val="single" w:sz="4" w:space="0" w:color="auto"/>
            </w:tcBorders>
            <w:shd w:val="clear" w:color="auto" w:fill="auto"/>
            <w:tcMar>
              <w:top w:w="110" w:type="dxa"/>
            </w:tcMar>
          </w:tcPr>
          <w:p w:rsidR="00066B9C" w:rsidRPr="00C258AD" w:rsidRDefault="00066B9C" w:rsidP="001A4D6C">
            <w:pPr>
              <w:keepNext/>
              <w:keepLines/>
              <w:jc w:val="center"/>
              <w:rPr>
                <w:b/>
                <w:bCs/>
                <w:color w:val="00B050"/>
                <w:sz w:val="16"/>
                <w:szCs w:val="16"/>
              </w:rPr>
            </w:pPr>
            <w:r w:rsidRPr="00C258AD">
              <w:rPr>
                <w:rFonts w:cs="Arial"/>
                <w:b/>
                <w:bCs/>
                <w:color w:val="00B050"/>
                <w:sz w:val="16"/>
                <w:szCs w:val="16"/>
              </w:rPr>
              <w:t>Objectif pleinement atteint</w:t>
            </w:r>
          </w:p>
        </w:tc>
      </w:tr>
      <w:tr w:rsidR="00066B9C" w:rsidRPr="00C258AD" w:rsidTr="001A4D6C">
        <w:trPr>
          <w:cantSplit/>
        </w:trPr>
        <w:tc>
          <w:tcPr>
            <w:tcW w:w="5000" w:type="pct"/>
            <w:gridSpan w:val="6"/>
            <w:tcBorders>
              <w:top w:val="single" w:sz="4" w:space="0" w:color="auto"/>
              <w:bottom w:val="single" w:sz="4" w:space="0" w:color="auto"/>
            </w:tcBorders>
            <w:shd w:val="clear" w:color="auto" w:fill="C5D9F1"/>
            <w:vAlign w:val="center"/>
          </w:tcPr>
          <w:p w:rsidR="00066B9C" w:rsidRPr="00C258AD" w:rsidRDefault="00066B9C" w:rsidP="001A4D6C">
            <w:pPr>
              <w:keepNext/>
              <w:keepLines/>
              <w:rPr>
                <w:b/>
                <w:bCs/>
                <w:sz w:val="16"/>
                <w:szCs w:val="16"/>
              </w:rPr>
            </w:pPr>
            <w:r w:rsidRPr="00C258AD">
              <w:rPr>
                <w:b/>
                <w:bCs/>
                <w:sz w:val="16"/>
                <w:szCs w:val="16"/>
              </w:rPr>
              <w:t xml:space="preserve">Résultat escompté : </w:t>
            </w:r>
            <w:r w:rsidRPr="00C258AD">
              <w:rPr>
                <w:sz w:val="16"/>
                <w:szCs w:val="16"/>
                <w:lang w:bidi="th-TH"/>
              </w:rPr>
              <w:t xml:space="preserve">II.1 </w:t>
            </w:r>
            <w:r w:rsidRPr="00C258AD">
              <w:rPr>
                <w:sz w:val="16"/>
                <w:szCs w:val="16"/>
              </w:rPr>
              <w:t>Utilisation accrue de la voie PCT pour le dépôt des demandes internationales de brevet</w:t>
            </w:r>
          </w:p>
        </w:tc>
      </w:tr>
      <w:tr w:rsidR="00066B9C" w:rsidRPr="00C258AD" w:rsidTr="001A4D6C">
        <w:trPr>
          <w:cantSplit/>
        </w:trPr>
        <w:tc>
          <w:tcPr>
            <w:tcW w:w="1138" w:type="pct"/>
            <w:tcBorders>
              <w:top w:val="single" w:sz="4" w:space="0" w:color="auto"/>
            </w:tcBorders>
            <w:shd w:val="clear" w:color="auto" w:fill="auto"/>
            <w:vAlign w:val="center"/>
          </w:tcPr>
          <w:p w:rsidR="00066B9C" w:rsidRPr="00C258AD" w:rsidRDefault="00066B9C" w:rsidP="001A4D6C">
            <w:pPr>
              <w:keepNext/>
              <w:keepLines/>
              <w:jc w:val="center"/>
              <w:rPr>
                <w:sz w:val="16"/>
                <w:szCs w:val="16"/>
              </w:rPr>
            </w:pPr>
            <w:r w:rsidRPr="00C258AD">
              <w:rPr>
                <w:b/>
                <w:bCs/>
                <w:sz w:val="16"/>
                <w:szCs w:val="16"/>
              </w:rPr>
              <w:t>Indicateurs d’exécution</w:t>
            </w:r>
          </w:p>
        </w:tc>
        <w:tc>
          <w:tcPr>
            <w:tcW w:w="1290" w:type="pct"/>
            <w:tcBorders>
              <w:top w:val="single" w:sz="4" w:space="0" w:color="auto"/>
            </w:tcBorders>
            <w:shd w:val="clear" w:color="auto" w:fill="auto"/>
            <w:vAlign w:val="center"/>
          </w:tcPr>
          <w:p w:rsidR="00066B9C" w:rsidRPr="00C258AD" w:rsidRDefault="00066B9C" w:rsidP="001A4D6C">
            <w:pPr>
              <w:keepNext/>
              <w:keepLines/>
              <w:jc w:val="center"/>
              <w:rPr>
                <w:b/>
                <w:bCs/>
                <w:sz w:val="16"/>
                <w:szCs w:val="16"/>
              </w:rPr>
            </w:pPr>
            <w:r w:rsidRPr="00C258AD">
              <w:rPr>
                <w:b/>
                <w:bCs/>
                <w:sz w:val="16"/>
                <w:szCs w:val="16"/>
              </w:rPr>
              <w:t>Niveaux de référence</w:t>
            </w:r>
          </w:p>
        </w:tc>
        <w:tc>
          <w:tcPr>
            <w:tcW w:w="836" w:type="pct"/>
            <w:tcBorders>
              <w:top w:val="single" w:sz="4" w:space="0" w:color="auto"/>
            </w:tcBorders>
            <w:shd w:val="clear" w:color="auto" w:fill="auto"/>
            <w:tcMar>
              <w:top w:w="110" w:type="dxa"/>
            </w:tcMar>
            <w:vAlign w:val="center"/>
          </w:tcPr>
          <w:p w:rsidR="00066B9C" w:rsidRPr="00C258AD" w:rsidRDefault="00066B9C" w:rsidP="001A4D6C">
            <w:pPr>
              <w:keepNext/>
              <w:keepLines/>
              <w:jc w:val="center"/>
              <w:rPr>
                <w:b/>
                <w:sz w:val="16"/>
                <w:szCs w:val="16"/>
              </w:rPr>
            </w:pPr>
            <w:r w:rsidRPr="00C258AD">
              <w:rPr>
                <w:b/>
                <w:sz w:val="16"/>
                <w:szCs w:val="16"/>
              </w:rPr>
              <w:t>Objectifs visés</w:t>
            </w:r>
          </w:p>
        </w:tc>
        <w:tc>
          <w:tcPr>
            <w:tcW w:w="1291" w:type="pct"/>
            <w:gridSpan w:val="2"/>
            <w:tcBorders>
              <w:top w:val="single" w:sz="4" w:space="0" w:color="auto"/>
            </w:tcBorders>
            <w:shd w:val="clear" w:color="auto" w:fill="FFFFFF"/>
            <w:tcMar>
              <w:top w:w="110" w:type="dxa"/>
            </w:tcMar>
            <w:vAlign w:val="center"/>
          </w:tcPr>
          <w:p w:rsidR="00066B9C" w:rsidRPr="00C258AD" w:rsidRDefault="00066B9C" w:rsidP="001A4D6C">
            <w:pPr>
              <w:keepNext/>
              <w:keepLines/>
              <w:jc w:val="center"/>
              <w:rPr>
                <w:sz w:val="16"/>
                <w:szCs w:val="16"/>
              </w:rPr>
            </w:pPr>
            <w:r w:rsidRPr="00C258AD">
              <w:rPr>
                <w:b/>
                <w:bCs/>
                <w:sz w:val="16"/>
                <w:szCs w:val="16"/>
              </w:rPr>
              <w:t>Données relatives à l’exécution</w:t>
            </w:r>
          </w:p>
        </w:tc>
        <w:tc>
          <w:tcPr>
            <w:tcW w:w="445" w:type="pct"/>
            <w:tcBorders>
              <w:top w:val="single" w:sz="4" w:space="0" w:color="auto"/>
            </w:tcBorders>
            <w:shd w:val="clear" w:color="auto" w:fill="auto"/>
            <w:tcMar>
              <w:top w:w="110" w:type="dxa"/>
            </w:tcMar>
            <w:vAlign w:val="center"/>
          </w:tcPr>
          <w:p w:rsidR="00066B9C" w:rsidRPr="00C258AD" w:rsidRDefault="00066B9C" w:rsidP="001A4D6C">
            <w:pPr>
              <w:keepNext/>
              <w:keepLines/>
              <w:jc w:val="center"/>
              <w:rPr>
                <w:b/>
                <w:bCs/>
                <w:sz w:val="16"/>
                <w:szCs w:val="16"/>
              </w:rPr>
            </w:pPr>
            <w:r w:rsidRPr="00C258AD">
              <w:rPr>
                <w:b/>
                <w:bCs/>
                <w:sz w:val="16"/>
                <w:szCs w:val="16"/>
              </w:rPr>
              <w:t>Code de couleurs</w:t>
            </w:r>
          </w:p>
        </w:tc>
      </w:tr>
      <w:tr w:rsidR="00066B9C" w:rsidRPr="00C258AD" w:rsidTr="001A4D6C">
        <w:trPr>
          <w:cantSplit/>
        </w:trPr>
        <w:tc>
          <w:tcPr>
            <w:tcW w:w="1138" w:type="pct"/>
            <w:tcBorders>
              <w:bottom w:val="single" w:sz="4" w:space="0" w:color="auto"/>
            </w:tcBorders>
            <w:shd w:val="clear" w:color="auto" w:fill="auto"/>
          </w:tcPr>
          <w:p w:rsidR="00066B9C" w:rsidRPr="00C258AD" w:rsidRDefault="00066B9C" w:rsidP="001A4D6C">
            <w:pPr>
              <w:rPr>
                <w:sz w:val="16"/>
                <w:szCs w:val="16"/>
              </w:rPr>
            </w:pPr>
            <w:r w:rsidRPr="00C258AD">
              <w:rPr>
                <w:sz w:val="16"/>
                <w:szCs w:val="16"/>
              </w:rPr>
              <w:t>Nombre de demandes selon le PCT originaires de pays en transition et de pays développés</w:t>
            </w:r>
          </w:p>
        </w:tc>
        <w:tc>
          <w:tcPr>
            <w:tcW w:w="1290" w:type="pct"/>
            <w:tcBorders>
              <w:bottom w:val="single" w:sz="4" w:space="0" w:color="auto"/>
            </w:tcBorders>
            <w:shd w:val="clear" w:color="auto" w:fill="auto"/>
          </w:tcPr>
          <w:p w:rsidR="006E2BB1" w:rsidRPr="00C258AD" w:rsidRDefault="00066B9C" w:rsidP="001A4D6C">
            <w:pPr>
              <w:rPr>
                <w:i/>
                <w:color w:val="002060"/>
                <w:sz w:val="16"/>
                <w:szCs w:val="16"/>
              </w:rPr>
            </w:pPr>
            <w:r w:rsidRPr="00C258AD">
              <w:rPr>
                <w:i/>
                <w:color w:val="002060"/>
                <w:sz w:val="16"/>
                <w:szCs w:val="16"/>
              </w:rPr>
              <w:t>Niveau de référence actualisé à fin 2013 :</w:t>
            </w:r>
          </w:p>
          <w:p w:rsidR="006E2BB1" w:rsidRPr="00C258AD" w:rsidRDefault="00066B9C" w:rsidP="001A4D6C">
            <w:pPr>
              <w:rPr>
                <w:color w:val="002060"/>
                <w:sz w:val="16"/>
                <w:szCs w:val="16"/>
              </w:rPr>
            </w:pPr>
            <w:r w:rsidRPr="00C258AD">
              <w:rPr>
                <w:color w:val="002060"/>
                <w:sz w:val="16"/>
                <w:szCs w:val="16"/>
              </w:rPr>
              <w:t>166 517 (2013)</w:t>
            </w:r>
          </w:p>
          <w:p w:rsidR="006E2BB1" w:rsidRPr="00C258AD" w:rsidRDefault="00066B9C" w:rsidP="001A4D6C">
            <w:pPr>
              <w:rPr>
                <w:color w:val="002060"/>
                <w:sz w:val="16"/>
                <w:szCs w:val="16"/>
              </w:rPr>
            </w:pPr>
            <w:r w:rsidRPr="00C258AD">
              <w:rPr>
                <w:color w:val="002060"/>
                <w:sz w:val="16"/>
                <w:szCs w:val="16"/>
              </w:rPr>
              <w:t>160 309 (2012)</w:t>
            </w:r>
          </w:p>
          <w:p w:rsidR="006E2BB1" w:rsidRPr="00C258AD" w:rsidRDefault="006E2BB1" w:rsidP="001A4D6C">
            <w:pPr>
              <w:rPr>
                <w:i/>
                <w:sz w:val="16"/>
                <w:szCs w:val="16"/>
              </w:rPr>
            </w:pPr>
          </w:p>
          <w:p w:rsidR="00066B9C" w:rsidRPr="00C258AD" w:rsidRDefault="00066B9C" w:rsidP="001A4D6C">
            <w:pPr>
              <w:rPr>
                <w:sz w:val="16"/>
                <w:szCs w:val="16"/>
                <w:lang w:bidi="th-TH"/>
              </w:rPr>
            </w:pPr>
            <w:r w:rsidRPr="00C258AD">
              <w:rPr>
                <w:i/>
                <w:sz w:val="16"/>
                <w:szCs w:val="16"/>
              </w:rPr>
              <w:t>Niveau de référence initial dans le programme et budget 2014</w:t>
            </w:r>
            <w:r w:rsidRPr="00C258AD">
              <w:rPr>
                <w:i/>
                <w:sz w:val="16"/>
                <w:szCs w:val="16"/>
              </w:rPr>
              <w:noBreakHyphen/>
              <w:t xml:space="preserve">2015 : </w:t>
            </w:r>
            <w:r w:rsidRPr="00C258AD">
              <w:rPr>
                <w:sz w:val="16"/>
                <w:szCs w:val="16"/>
              </w:rPr>
              <w:t>à déterminer</w:t>
            </w:r>
          </w:p>
        </w:tc>
        <w:tc>
          <w:tcPr>
            <w:tcW w:w="836" w:type="pct"/>
            <w:tcBorders>
              <w:bottom w:val="single" w:sz="4" w:space="0" w:color="auto"/>
            </w:tcBorders>
            <w:shd w:val="clear" w:color="auto" w:fill="auto"/>
            <w:tcMar>
              <w:top w:w="110" w:type="dxa"/>
            </w:tcMar>
          </w:tcPr>
          <w:p w:rsidR="00066B9C" w:rsidRPr="00C258AD" w:rsidRDefault="00066B9C" w:rsidP="001A4D6C">
            <w:pPr>
              <w:rPr>
                <w:sz w:val="16"/>
                <w:szCs w:val="16"/>
              </w:rPr>
            </w:pPr>
            <w:r w:rsidRPr="00C258AD">
              <w:rPr>
                <w:color w:val="000000"/>
                <w:sz w:val="16"/>
                <w:szCs w:val="16"/>
              </w:rPr>
              <w:t>Au</w:t>
            </w:r>
            <w:r w:rsidRPr="00C258AD">
              <w:rPr>
                <w:sz w:val="16"/>
                <w:szCs w:val="16"/>
              </w:rPr>
              <w:t>gmentation de 2%</w:t>
            </w:r>
          </w:p>
        </w:tc>
        <w:tc>
          <w:tcPr>
            <w:tcW w:w="1291" w:type="pct"/>
            <w:gridSpan w:val="2"/>
            <w:tcBorders>
              <w:bottom w:val="single" w:sz="4" w:space="0" w:color="auto"/>
            </w:tcBorders>
            <w:shd w:val="clear" w:color="auto" w:fill="FFFFFF"/>
            <w:tcMar>
              <w:top w:w="110" w:type="dxa"/>
            </w:tcMar>
          </w:tcPr>
          <w:p w:rsidR="006E2BB1" w:rsidRPr="00C258AD" w:rsidRDefault="00066B9C" w:rsidP="001A4D6C">
            <w:pPr>
              <w:rPr>
                <w:color w:val="000000"/>
                <w:sz w:val="16"/>
                <w:szCs w:val="16"/>
                <w:lang w:bidi="th-TH"/>
              </w:rPr>
            </w:pPr>
            <w:r w:rsidRPr="00C258AD">
              <w:rPr>
                <w:color w:val="000000"/>
                <w:sz w:val="16"/>
                <w:szCs w:val="16"/>
                <w:lang w:bidi="th-TH"/>
              </w:rPr>
              <w:t>170 177 (2014)</w:t>
            </w:r>
          </w:p>
          <w:p w:rsidR="006E2BB1" w:rsidRPr="00C258AD" w:rsidRDefault="00066B9C" w:rsidP="001A4D6C">
            <w:pPr>
              <w:rPr>
                <w:color w:val="000000"/>
                <w:sz w:val="16"/>
                <w:szCs w:val="16"/>
                <w:lang w:bidi="th-TH"/>
              </w:rPr>
            </w:pPr>
            <w:r w:rsidRPr="00C258AD">
              <w:rPr>
                <w:color w:val="000000"/>
                <w:sz w:val="16"/>
                <w:szCs w:val="16"/>
                <w:lang w:bidi="th-TH"/>
              </w:rPr>
              <w:t>168 207 (2015)</w:t>
            </w:r>
          </w:p>
          <w:p w:rsidR="00066B9C" w:rsidRPr="00C258AD" w:rsidRDefault="00066B9C" w:rsidP="001A4D6C">
            <w:pPr>
              <w:rPr>
                <w:sz w:val="16"/>
                <w:szCs w:val="16"/>
              </w:rPr>
            </w:pPr>
            <w:r w:rsidRPr="00C258AD">
              <w:rPr>
                <w:color w:val="000000"/>
                <w:sz w:val="16"/>
                <w:szCs w:val="16"/>
                <w:lang w:bidi="th-TH"/>
              </w:rPr>
              <w:t>+3,5%</w:t>
            </w:r>
          </w:p>
        </w:tc>
        <w:tc>
          <w:tcPr>
            <w:tcW w:w="445" w:type="pct"/>
            <w:tcBorders>
              <w:bottom w:val="single" w:sz="4" w:space="0" w:color="auto"/>
            </w:tcBorders>
            <w:shd w:val="clear" w:color="auto" w:fill="auto"/>
            <w:tcMar>
              <w:top w:w="110" w:type="dxa"/>
            </w:tcMar>
          </w:tcPr>
          <w:p w:rsidR="00066B9C" w:rsidRPr="00C258AD" w:rsidRDefault="00066B9C" w:rsidP="001A4D6C">
            <w:pPr>
              <w:keepNext/>
              <w:keepLines/>
              <w:jc w:val="center"/>
              <w:rPr>
                <w:bCs/>
                <w:color w:val="808080"/>
                <w:sz w:val="16"/>
                <w:szCs w:val="16"/>
              </w:rPr>
            </w:pPr>
            <w:r w:rsidRPr="00C258AD">
              <w:rPr>
                <w:rFonts w:cs="Arial"/>
                <w:b/>
                <w:bCs/>
                <w:color w:val="00B050"/>
                <w:sz w:val="16"/>
                <w:szCs w:val="16"/>
              </w:rPr>
              <w:t>Objectif pleinement atteint</w:t>
            </w:r>
          </w:p>
        </w:tc>
      </w:tr>
      <w:tr w:rsidR="00066B9C" w:rsidRPr="00C258AD" w:rsidTr="001A4D6C">
        <w:trPr>
          <w:cantSplit/>
        </w:trPr>
        <w:tc>
          <w:tcPr>
            <w:tcW w:w="5000" w:type="pct"/>
            <w:gridSpan w:val="6"/>
            <w:tcBorders>
              <w:top w:val="single" w:sz="4" w:space="0" w:color="auto"/>
              <w:bottom w:val="single" w:sz="4" w:space="0" w:color="auto"/>
            </w:tcBorders>
            <w:shd w:val="clear" w:color="auto" w:fill="C5D9F1"/>
            <w:vAlign w:val="center"/>
          </w:tcPr>
          <w:p w:rsidR="00066B9C" w:rsidRPr="00C258AD" w:rsidRDefault="00066B9C" w:rsidP="001A4D6C">
            <w:pPr>
              <w:rPr>
                <w:b/>
                <w:bCs/>
                <w:sz w:val="16"/>
                <w:szCs w:val="16"/>
              </w:rPr>
            </w:pPr>
            <w:r w:rsidRPr="00C258AD">
              <w:rPr>
                <w:b/>
                <w:bCs/>
                <w:sz w:val="16"/>
                <w:szCs w:val="16"/>
              </w:rPr>
              <w:t xml:space="preserve">Résultat escompté : </w:t>
            </w:r>
            <w:r w:rsidRPr="00C258AD">
              <w:rPr>
                <w:sz w:val="16"/>
                <w:szCs w:val="16"/>
                <w:lang w:bidi="th-TH"/>
              </w:rPr>
              <w:t xml:space="preserve">II.4 </w:t>
            </w:r>
            <w:r w:rsidRPr="00C258AD">
              <w:rPr>
                <w:sz w:val="16"/>
                <w:szCs w:val="16"/>
              </w:rPr>
              <w:t>Utilisation élargie et améliorée du système de La Haye, notamment par les pays en développement et les PMA</w:t>
            </w:r>
          </w:p>
        </w:tc>
      </w:tr>
      <w:tr w:rsidR="00066B9C" w:rsidRPr="00C258AD" w:rsidTr="001A4D6C">
        <w:trPr>
          <w:cantSplit/>
        </w:trPr>
        <w:tc>
          <w:tcPr>
            <w:tcW w:w="1138" w:type="pct"/>
            <w:tcBorders>
              <w:top w:val="single" w:sz="4" w:space="0" w:color="auto"/>
            </w:tcBorders>
            <w:shd w:val="clear" w:color="auto" w:fill="auto"/>
            <w:vAlign w:val="center"/>
          </w:tcPr>
          <w:p w:rsidR="00066B9C" w:rsidRPr="00C258AD" w:rsidRDefault="00066B9C" w:rsidP="001A4D6C">
            <w:pPr>
              <w:keepNext/>
              <w:keepLines/>
              <w:jc w:val="center"/>
              <w:rPr>
                <w:sz w:val="16"/>
                <w:szCs w:val="16"/>
              </w:rPr>
            </w:pPr>
            <w:r w:rsidRPr="00C258AD">
              <w:rPr>
                <w:b/>
                <w:bCs/>
                <w:sz w:val="16"/>
                <w:szCs w:val="16"/>
              </w:rPr>
              <w:t>Indicateurs d’exécution</w:t>
            </w:r>
          </w:p>
        </w:tc>
        <w:tc>
          <w:tcPr>
            <w:tcW w:w="1290" w:type="pct"/>
            <w:tcBorders>
              <w:top w:val="single" w:sz="4" w:space="0" w:color="auto"/>
            </w:tcBorders>
            <w:shd w:val="clear" w:color="auto" w:fill="auto"/>
            <w:vAlign w:val="center"/>
          </w:tcPr>
          <w:p w:rsidR="00066B9C" w:rsidRPr="00C258AD" w:rsidRDefault="00066B9C" w:rsidP="001A4D6C">
            <w:pPr>
              <w:keepNext/>
              <w:keepLines/>
              <w:jc w:val="center"/>
              <w:rPr>
                <w:b/>
                <w:bCs/>
                <w:sz w:val="16"/>
                <w:szCs w:val="16"/>
              </w:rPr>
            </w:pPr>
            <w:r w:rsidRPr="00C258AD">
              <w:rPr>
                <w:b/>
                <w:bCs/>
                <w:sz w:val="16"/>
                <w:szCs w:val="16"/>
              </w:rPr>
              <w:t>Niveaux de référence</w:t>
            </w:r>
          </w:p>
        </w:tc>
        <w:tc>
          <w:tcPr>
            <w:tcW w:w="836" w:type="pct"/>
            <w:tcBorders>
              <w:top w:val="single" w:sz="4" w:space="0" w:color="auto"/>
            </w:tcBorders>
            <w:shd w:val="clear" w:color="auto" w:fill="auto"/>
            <w:tcMar>
              <w:top w:w="110" w:type="dxa"/>
            </w:tcMar>
            <w:vAlign w:val="center"/>
          </w:tcPr>
          <w:p w:rsidR="00066B9C" w:rsidRPr="00C258AD" w:rsidRDefault="00066B9C" w:rsidP="001A4D6C">
            <w:pPr>
              <w:keepNext/>
              <w:keepLines/>
              <w:jc w:val="center"/>
              <w:rPr>
                <w:b/>
                <w:sz w:val="16"/>
                <w:szCs w:val="16"/>
              </w:rPr>
            </w:pPr>
            <w:r w:rsidRPr="00C258AD">
              <w:rPr>
                <w:b/>
                <w:sz w:val="16"/>
                <w:szCs w:val="16"/>
              </w:rPr>
              <w:t>Objectifs visés</w:t>
            </w:r>
          </w:p>
        </w:tc>
        <w:tc>
          <w:tcPr>
            <w:tcW w:w="1291" w:type="pct"/>
            <w:gridSpan w:val="2"/>
            <w:tcBorders>
              <w:top w:val="single" w:sz="4" w:space="0" w:color="auto"/>
            </w:tcBorders>
            <w:shd w:val="clear" w:color="auto" w:fill="FFFFFF"/>
            <w:tcMar>
              <w:top w:w="110" w:type="dxa"/>
            </w:tcMar>
            <w:vAlign w:val="center"/>
          </w:tcPr>
          <w:p w:rsidR="00066B9C" w:rsidRPr="00C258AD" w:rsidRDefault="00066B9C" w:rsidP="001A4D6C">
            <w:pPr>
              <w:keepNext/>
              <w:keepLines/>
              <w:jc w:val="center"/>
              <w:rPr>
                <w:sz w:val="16"/>
                <w:szCs w:val="16"/>
              </w:rPr>
            </w:pPr>
            <w:r w:rsidRPr="00C258AD">
              <w:rPr>
                <w:b/>
                <w:bCs/>
                <w:sz w:val="16"/>
                <w:szCs w:val="16"/>
              </w:rPr>
              <w:t>Données relatives à l’exécution</w:t>
            </w:r>
          </w:p>
        </w:tc>
        <w:tc>
          <w:tcPr>
            <w:tcW w:w="445" w:type="pct"/>
            <w:tcBorders>
              <w:top w:val="single" w:sz="4" w:space="0" w:color="auto"/>
            </w:tcBorders>
            <w:shd w:val="clear" w:color="auto" w:fill="auto"/>
            <w:tcMar>
              <w:top w:w="110" w:type="dxa"/>
            </w:tcMar>
            <w:vAlign w:val="center"/>
          </w:tcPr>
          <w:p w:rsidR="00066B9C" w:rsidRPr="00C258AD" w:rsidRDefault="00066B9C" w:rsidP="001A4D6C">
            <w:pPr>
              <w:keepNext/>
              <w:keepLines/>
              <w:jc w:val="center"/>
              <w:rPr>
                <w:b/>
                <w:bCs/>
                <w:sz w:val="16"/>
                <w:szCs w:val="16"/>
              </w:rPr>
            </w:pPr>
            <w:r w:rsidRPr="00C258AD">
              <w:rPr>
                <w:b/>
                <w:bCs/>
                <w:sz w:val="16"/>
                <w:szCs w:val="16"/>
              </w:rPr>
              <w:t>Code de couleurs</w:t>
            </w:r>
          </w:p>
        </w:tc>
      </w:tr>
      <w:tr w:rsidR="00066B9C" w:rsidRPr="00C258AD" w:rsidTr="001A4D6C">
        <w:trPr>
          <w:cantSplit/>
        </w:trPr>
        <w:tc>
          <w:tcPr>
            <w:tcW w:w="1138" w:type="pct"/>
            <w:tcBorders>
              <w:bottom w:val="single" w:sz="4" w:space="0" w:color="auto"/>
            </w:tcBorders>
            <w:shd w:val="clear" w:color="auto" w:fill="auto"/>
          </w:tcPr>
          <w:p w:rsidR="00066B9C" w:rsidRPr="00C258AD" w:rsidRDefault="00066B9C" w:rsidP="001A4D6C">
            <w:pPr>
              <w:rPr>
                <w:sz w:val="16"/>
                <w:szCs w:val="16"/>
                <w:lang w:bidi="th-TH"/>
              </w:rPr>
            </w:pPr>
            <w:r w:rsidRPr="00C258AD">
              <w:rPr>
                <w:sz w:val="16"/>
                <w:szCs w:val="16"/>
              </w:rPr>
              <w:t>Nombre de demandes selon le système de La Haye originaires de pays en transition et de pays développés</w:t>
            </w:r>
          </w:p>
        </w:tc>
        <w:tc>
          <w:tcPr>
            <w:tcW w:w="1290" w:type="pct"/>
            <w:tcBorders>
              <w:bottom w:val="single" w:sz="4" w:space="0" w:color="auto"/>
            </w:tcBorders>
            <w:shd w:val="clear" w:color="auto" w:fill="auto"/>
          </w:tcPr>
          <w:p w:rsidR="006E2BB1" w:rsidRPr="00C258AD" w:rsidRDefault="00066B9C" w:rsidP="001A4D6C">
            <w:pPr>
              <w:rPr>
                <w:i/>
                <w:color w:val="002060"/>
                <w:sz w:val="16"/>
                <w:szCs w:val="16"/>
              </w:rPr>
            </w:pPr>
            <w:r w:rsidRPr="00C258AD">
              <w:rPr>
                <w:i/>
                <w:color w:val="002060"/>
                <w:sz w:val="16"/>
                <w:szCs w:val="16"/>
              </w:rPr>
              <w:t>Niveau de référence actualisé à fin 2013 :</w:t>
            </w:r>
          </w:p>
          <w:p w:rsidR="006E2BB1" w:rsidRPr="00C258AD" w:rsidRDefault="00066B9C" w:rsidP="001A4D6C">
            <w:pPr>
              <w:rPr>
                <w:color w:val="002060"/>
                <w:sz w:val="16"/>
                <w:szCs w:val="16"/>
              </w:rPr>
            </w:pPr>
            <w:r w:rsidRPr="00C258AD">
              <w:rPr>
                <w:color w:val="002060"/>
                <w:sz w:val="16"/>
                <w:szCs w:val="16"/>
              </w:rPr>
              <w:t>2927 (2013)</w:t>
            </w:r>
          </w:p>
          <w:p w:rsidR="006E2BB1" w:rsidRPr="00C258AD" w:rsidRDefault="00066B9C" w:rsidP="001A4D6C">
            <w:pPr>
              <w:rPr>
                <w:color w:val="002060"/>
                <w:sz w:val="16"/>
                <w:szCs w:val="16"/>
              </w:rPr>
            </w:pPr>
            <w:r w:rsidRPr="00C258AD">
              <w:rPr>
                <w:color w:val="002060"/>
                <w:sz w:val="16"/>
                <w:szCs w:val="16"/>
              </w:rPr>
              <w:t>2553 (2012)</w:t>
            </w:r>
          </w:p>
          <w:p w:rsidR="006E2BB1" w:rsidRPr="00C258AD" w:rsidRDefault="006E2BB1" w:rsidP="001A4D6C">
            <w:pPr>
              <w:rPr>
                <w:i/>
                <w:sz w:val="16"/>
                <w:szCs w:val="16"/>
              </w:rPr>
            </w:pPr>
          </w:p>
          <w:p w:rsidR="00066B9C" w:rsidRPr="00C258AD" w:rsidRDefault="00066B9C" w:rsidP="001A4D6C">
            <w:pPr>
              <w:rPr>
                <w:sz w:val="16"/>
                <w:szCs w:val="16"/>
                <w:lang w:bidi="th-TH"/>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à déterminer</w:t>
            </w:r>
          </w:p>
        </w:tc>
        <w:tc>
          <w:tcPr>
            <w:tcW w:w="836" w:type="pct"/>
            <w:tcBorders>
              <w:bottom w:val="single" w:sz="4" w:space="0" w:color="auto"/>
            </w:tcBorders>
            <w:shd w:val="clear" w:color="auto" w:fill="auto"/>
            <w:tcMar>
              <w:top w:w="110" w:type="dxa"/>
            </w:tcMar>
          </w:tcPr>
          <w:p w:rsidR="00066B9C" w:rsidRPr="00C258AD" w:rsidRDefault="00066B9C" w:rsidP="001A4D6C">
            <w:pPr>
              <w:rPr>
                <w:sz w:val="16"/>
                <w:szCs w:val="16"/>
                <w:lang w:bidi="th-TH"/>
              </w:rPr>
            </w:pPr>
            <w:r w:rsidRPr="00C258AD">
              <w:rPr>
                <w:color w:val="000000"/>
                <w:sz w:val="16"/>
                <w:szCs w:val="16"/>
                <w:lang w:bidi="th-TH"/>
              </w:rPr>
              <w:t>Au</w:t>
            </w:r>
            <w:r w:rsidRPr="00C258AD">
              <w:rPr>
                <w:sz w:val="16"/>
                <w:szCs w:val="16"/>
                <w:lang w:bidi="th-TH"/>
              </w:rPr>
              <w:t>gmentation de 2%</w:t>
            </w:r>
          </w:p>
        </w:tc>
        <w:tc>
          <w:tcPr>
            <w:tcW w:w="1291" w:type="pct"/>
            <w:gridSpan w:val="2"/>
            <w:tcBorders>
              <w:bottom w:val="single" w:sz="4" w:space="0" w:color="auto"/>
            </w:tcBorders>
            <w:shd w:val="clear" w:color="auto" w:fill="FFFFFF"/>
            <w:tcMar>
              <w:top w:w="110" w:type="dxa"/>
            </w:tcMar>
          </w:tcPr>
          <w:p w:rsidR="006E2BB1" w:rsidRPr="00C258AD" w:rsidRDefault="00066B9C" w:rsidP="001A4D6C">
            <w:pPr>
              <w:rPr>
                <w:rFonts w:cs="Arial"/>
                <w:sz w:val="16"/>
                <w:szCs w:val="16"/>
              </w:rPr>
            </w:pPr>
            <w:r w:rsidRPr="00C258AD">
              <w:rPr>
                <w:rFonts w:cs="Arial"/>
                <w:sz w:val="16"/>
                <w:szCs w:val="16"/>
              </w:rPr>
              <w:t>2776 (2014)</w:t>
            </w:r>
          </w:p>
          <w:p w:rsidR="006E2BB1" w:rsidRPr="00C258AD" w:rsidRDefault="00066B9C" w:rsidP="001A4D6C">
            <w:pPr>
              <w:rPr>
                <w:rFonts w:cs="Arial"/>
                <w:sz w:val="16"/>
                <w:szCs w:val="16"/>
              </w:rPr>
            </w:pPr>
            <w:r w:rsidRPr="00C258AD">
              <w:rPr>
                <w:rFonts w:cs="Arial"/>
                <w:sz w:val="16"/>
                <w:szCs w:val="16"/>
              </w:rPr>
              <w:t>3448 (2015)</w:t>
            </w:r>
          </w:p>
          <w:p w:rsidR="00066B9C" w:rsidRPr="00C258AD" w:rsidRDefault="00066B9C" w:rsidP="001A4D6C">
            <w:pPr>
              <w:rPr>
                <w:sz w:val="16"/>
                <w:szCs w:val="16"/>
              </w:rPr>
            </w:pPr>
            <w:r w:rsidRPr="00C258AD">
              <w:rPr>
                <w:rFonts w:cs="Arial"/>
                <w:sz w:val="16"/>
                <w:szCs w:val="16"/>
              </w:rPr>
              <w:t>+13,6%</w:t>
            </w:r>
          </w:p>
        </w:tc>
        <w:tc>
          <w:tcPr>
            <w:tcW w:w="445" w:type="pct"/>
            <w:tcBorders>
              <w:bottom w:val="single" w:sz="4" w:space="0" w:color="auto"/>
            </w:tcBorders>
            <w:shd w:val="clear" w:color="auto" w:fill="auto"/>
            <w:tcMar>
              <w:top w:w="110" w:type="dxa"/>
            </w:tcMar>
          </w:tcPr>
          <w:p w:rsidR="00066B9C" w:rsidRPr="00C258AD" w:rsidRDefault="00066B9C" w:rsidP="001A4D6C">
            <w:pPr>
              <w:keepNext/>
              <w:keepLines/>
              <w:jc w:val="center"/>
              <w:rPr>
                <w:b/>
                <w:bCs/>
                <w:color w:val="808080"/>
                <w:sz w:val="16"/>
                <w:szCs w:val="16"/>
              </w:rPr>
            </w:pPr>
            <w:r w:rsidRPr="00C258AD">
              <w:rPr>
                <w:rFonts w:cs="Arial"/>
                <w:b/>
                <w:bCs/>
                <w:color w:val="00B050"/>
                <w:sz w:val="16"/>
                <w:szCs w:val="16"/>
              </w:rPr>
              <w:t>Objectif pleinement atteint</w:t>
            </w:r>
          </w:p>
        </w:tc>
      </w:tr>
      <w:tr w:rsidR="00066B9C" w:rsidRPr="00C258AD" w:rsidTr="001A4D6C">
        <w:trPr>
          <w:cantSplit/>
        </w:trPr>
        <w:tc>
          <w:tcPr>
            <w:tcW w:w="5000" w:type="pct"/>
            <w:gridSpan w:val="6"/>
            <w:tcBorders>
              <w:top w:val="single" w:sz="4" w:space="0" w:color="auto"/>
              <w:bottom w:val="single" w:sz="4" w:space="0" w:color="auto"/>
            </w:tcBorders>
            <w:shd w:val="clear" w:color="auto" w:fill="C5D9F1"/>
            <w:vAlign w:val="center"/>
          </w:tcPr>
          <w:p w:rsidR="00066B9C" w:rsidRPr="00C258AD" w:rsidRDefault="00066B9C" w:rsidP="001A4D6C">
            <w:pPr>
              <w:keepNext/>
              <w:rPr>
                <w:b/>
                <w:bCs/>
                <w:sz w:val="16"/>
                <w:szCs w:val="16"/>
              </w:rPr>
            </w:pPr>
            <w:r w:rsidRPr="00C258AD">
              <w:rPr>
                <w:b/>
                <w:bCs/>
                <w:sz w:val="16"/>
                <w:szCs w:val="16"/>
              </w:rPr>
              <w:lastRenderedPageBreak/>
              <w:t xml:space="preserve">Résultat escompté : </w:t>
            </w:r>
            <w:r w:rsidRPr="00C258AD">
              <w:rPr>
                <w:sz w:val="16"/>
                <w:szCs w:val="16"/>
                <w:lang w:bidi="th-TH"/>
              </w:rPr>
              <w:t xml:space="preserve">II.6 </w:t>
            </w:r>
            <w:r w:rsidRPr="00C258AD">
              <w:rPr>
                <w:sz w:val="16"/>
                <w:szCs w:val="16"/>
              </w:rPr>
              <w:t>Utilisation élargie et améliorée des systèmes de Madrid et de Lisbonne, notamment par les pays en développement et les PMA</w:t>
            </w:r>
          </w:p>
        </w:tc>
      </w:tr>
      <w:tr w:rsidR="00066B9C" w:rsidRPr="00C258AD" w:rsidTr="001A4D6C">
        <w:trPr>
          <w:cantSplit/>
        </w:trPr>
        <w:tc>
          <w:tcPr>
            <w:tcW w:w="1138" w:type="pct"/>
            <w:tcBorders>
              <w:top w:val="single" w:sz="4" w:space="0" w:color="auto"/>
            </w:tcBorders>
            <w:shd w:val="clear" w:color="auto" w:fill="auto"/>
            <w:vAlign w:val="center"/>
          </w:tcPr>
          <w:p w:rsidR="00066B9C" w:rsidRPr="00C258AD" w:rsidRDefault="00066B9C" w:rsidP="001A4D6C">
            <w:pPr>
              <w:keepNext/>
              <w:jc w:val="center"/>
              <w:rPr>
                <w:sz w:val="16"/>
                <w:szCs w:val="16"/>
              </w:rPr>
            </w:pPr>
            <w:r w:rsidRPr="00C258AD">
              <w:rPr>
                <w:b/>
                <w:bCs/>
                <w:sz w:val="16"/>
                <w:szCs w:val="16"/>
              </w:rPr>
              <w:t>Indicateurs d’exécution</w:t>
            </w:r>
          </w:p>
        </w:tc>
        <w:tc>
          <w:tcPr>
            <w:tcW w:w="1290" w:type="pct"/>
            <w:tcBorders>
              <w:top w:val="single" w:sz="4" w:space="0" w:color="auto"/>
            </w:tcBorders>
            <w:shd w:val="clear" w:color="auto" w:fill="auto"/>
            <w:vAlign w:val="center"/>
          </w:tcPr>
          <w:p w:rsidR="00066B9C" w:rsidRPr="00C258AD" w:rsidRDefault="00066B9C" w:rsidP="001A4D6C">
            <w:pPr>
              <w:keepNext/>
              <w:jc w:val="center"/>
              <w:rPr>
                <w:b/>
                <w:bCs/>
                <w:sz w:val="16"/>
                <w:szCs w:val="16"/>
              </w:rPr>
            </w:pPr>
            <w:r w:rsidRPr="00C258AD">
              <w:rPr>
                <w:b/>
                <w:bCs/>
                <w:sz w:val="16"/>
                <w:szCs w:val="16"/>
              </w:rPr>
              <w:t>Niveaux de référence</w:t>
            </w:r>
          </w:p>
        </w:tc>
        <w:tc>
          <w:tcPr>
            <w:tcW w:w="836" w:type="pct"/>
            <w:tcBorders>
              <w:top w:val="single" w:sz="4" w:space="0" w:color="auto"/>
            </w:tcBorders>
            <w:shd w:val="clear" w:color="auto" w:fill="auto"/>
            <w:tcMar>
              <w:top w:w="110" w:type="dxa"/>
            </w:tcMar>
            <w:vAlign w:val="center"/>
          </w:tcPr>
          <w:p w:rsidR="00066B9C" w:rsidRPr="00C258AD" w:rsidRDefault="00066B9C" w:rsidP="001A4D6C">
            <w:pPr>
              <w:keepNext/>
              <w:jc w:val="center"/>
              <w:rPr>
                <w:b/>
                <w:sz w:val="16"/>
                <w:szCs w:val="16"/>
              </w:rPr>
            </w:pPr>
            <w:r w:rsidRPr="00C258AD">
              <w:rPr>
                <w:b/>
                <w:sz w:val="16"/>
                <w:szCs w:val="16"/>
              </w:rPr>
              <w:t>Objectifs visés</w:t>
            </w:r>
          </w:p>
        </w:tc>
        <w:tc>
          <w:tcPr>
            <w:tcW w:w="1291" w:type="pct"/>
            <w:gridSpan w:val="2"/>
            <w:tcBorders>
              <w:top w:val="single" w:sz="4" w:space="0" w:color="auto"/>
            </w:tcBorders>
            <w:shd w:val="clear" w:color="auto" w:fill="FFFFFF"/>
            <w:tcMar>
              <w:top w:w="110" w:type="dxa"/>
            </w:tcMar>
            <w:vAlign w:val="center"/>
          </w:tcPr>
          <w:p w:rsidR="00066B9C" w:rsidRPr="00C258AD" w:rsidRDefault="00066B9C" w:rsidP="001A4D6C">
            <w:pPr>
              <w:keepNext/>
              <w:jc w:val="center"/>
              <w:rPr>
                <w:sz w:val="16"/>
                <w:szCs w:val="16"/>
              </w:rPr>
            </w:pPr>
            <w:r w:rsidRPr="00C258AD">
              <w:rPr>
                <w:b/>
                <w:bCs/>
                <w:sz w:val="16"/>
                <w:szCs w:val="16"/>
              </w:rPr>
              <w:t>Données relatives à l’exécution</w:t>
            </w:r>
          </w:p>
        </w:tc>
        <w:tc>
          <w:tcPr>
            <w:tcW w:w="445" w:type="pct"/>
            <w:tcBorders>
              <w:top w:val="single" w:sz="4" w:space="0" w:color="auto"/>
            </w:tcBorders>
            <w:shd w:val="clear" w:color="auto" w:fill="auto"/>
            <w:tcMar>
              <w:top w:w="110" w:type="dxa"/>
            </w:tcMar>
            <w:vAlign w:val="center"/>
          </w:tcPr>
          <w:p w:rsidR="00066B9C" w:rsidRPr="00C258AD" w:rsidRDefault="00066B9C" w:rsidP="001A4D6C">
            <w:pPr>
              <w:keepNext/>
              <w:keepLines/>
              <w:jc w:val="center"/>
              <w:rPr>
                <w:b/>
                <w:bCs/>
                <w:sz w:val="16"/>
                <w:szCs w:val="16"/>
              </w:rPr>
            </w:pPr>
            <w:r w:rsidRPr="00C258AD">
              <w:rPr>
                <w:b/>
                <w:bCs/>
                <w:sz w:val="16"/>
                <w:szCs w:val="16"/>
              </w:rPr>
              <w:t>Code de couleurs</w:t>
            </w:r>
          </w:p>
        </w:tc>
      </w:tr>
      <w:tr w:rsidR="00066B9C" w:rsidRPr="00C258AD" w:rsidTr="001A4D6C">
        <w:trPr>
          <w:cantSplit/>
        </w:trPr>
        <w:tc>
          <w:tcPr>
            <w:tcW w:w="1138" w:type="pct"/>
            <w:tcBorders>
              <w:bottom w:val="single" w:sz="4" w:space="0" w:color="auto"/>
            </w:tcBorders>
            <w:shd w:val="clear" w:color="auto" w:fill="auto"/>
          </w:tcPr>
          <w:p w:rsidR="00066B9C" w:rsidRPr="00C258AD" w:rsidRDefault="00066B9C" w:rsidP="001A4D6C">
            <w:pPr>
              <w:rPr>
                <w:sz w:val="16"/>
                <w:szCs w:val="16"/>
                <w:lang w:bidi="th-TH"/>
              </w:rPr>
            </w:pPr>
            <w:r w:rsidRPr="00C258AD">
              <w:rPr>
                <w:sz w:val="16"/>
                <w:szCs w:val="16"/>
              </w:rPr>
              <w:t>Nombre de demandes selon les systèmes de Madrid et de Lisbonne originaires de pays en transition et de pays développés</w:t>
            </w:r>
          </w:p>
        </w:tc>
        <w:tc>
          <w:tcPr>
            <w:tcW w:w="1290" w:type="pct"/>
            <w:tcBorders>
              <w:bottom w:val="single" w:sz="4" w:space="0" w:color="auto"/>
            </w:tcBorders>
            <w:shd w:val="clear" w:color="auto" w:fill="auto"/>
          </w:tcPr>
          <w:p w:rsidR="006E2BB1" w:rsidRPr="00C258AD" w:rsidRDefault="00066B9C" w:rsidP="001A4D6C">
            <w:pPr>
              <w:rPr>
                <w:i/>
                <w:color w:val="002060"/>
                <w:sz w:val="16"/>
                <w:szCs w:val="16"/>
              </w:rPr>
            </w:pPr>
            <w:r w:rsidRPr="00C258AD">
              <w:rPr>
                <w:i/>
                <w:color w:val="002060"/>
                <w:sz w:val="16"/>
                <w:szCs w:val="16"/>
              </w:rPr>
              <w:t>Niveau de référence actualisé à fin 2013 :</w:t>
            </w:r>
          </w:p>
          <w:p w:rsidR="006E2BB1" w:rsidRPr="00C258AD" w:rsidRDefault="00066B9C" w:rsidP="001A4D6C">
            <w:pPr>
              <w:rPr>
                <w:color w:val="002060"/>
                <w:sz w:val="16"/>
                <w:szCs w:val="16"/>
              </w:rPr>
            </w:pPr>
            <w:r w:rsidRPr="00C258AD">
              <w:rPr>
                <w:color w:val="002060"/>
                <w:sz w:val="16"/>
                <w:szCs w:val="16"/>
              </w:rPr>
              <w:t>Madrid :</w:t>
            </w:r>
          </w:p>
          <w:p w:rsidR="006E2BB1" w:rsidRPr="00C258AD" w:rsidRDefault="00066B9C" w:rsidP="001A4D6C">
            <w:pPr>
              <w:rPr>
                <w:color w:val="002060"/>
                <w:sz w:val="16"/>
                <w:szCs w:val="16"/>
              </w:rPr>
            </w:pPr>
            <w:r w:rsidRPr="00C258AD">
              <w:rPr>
                <w:color w:val="002060"/>
                <w:sz w:val="16"/>
                <w:szCs w:val="16"/>
              </w:rPr>
              <w:t>43 149 (2013)</w:t>
            </w:r>
          </w:p>
          <w:p w:rsidR="006E2BB1" w:rsidRPr="00C258AD" w:rsidRDefault="00066B9C" w:rsidP="001A4D6C">
            <w:pPr>
              <w:rPr>
                <w:color w:val="002060"/>
                <w:sz w:val="16"/>
                <w:szCs w:val="16"/>
              </w:rPr>
            </w:pPr>
            <w:r w:rsidRPr="00C258AD">
              <w:rPr>
                <w:color w:val="002060"/>
                <w:sz w:val="16"/>
                <w:szCs w:val="16"/>
              </w:rPr>
              <w:t>40 640 (2012)</w:t>
            </w:r>
          </w:p>
          <w:p w:rsidR="006E2BB1" w:rsidRPr="00C258AD" w:rsidRDefault="006E2BB1" w:rsidP="001A4D6C">
            <w:pPr>
              <w:rPr>
                <w:color w:val="002060"/>
                <w:sz w:val="16"/>
                <w:szCs w:val="16"/>
              </w:rPr>
            </w:pPr>
          </w:p>
          <w:p w:rsidR="006E2BB1" w:rsidRPr="00C258AD" w:rsidRDefault="00066B9C" w:rsidP="001A4D6C">
            <w:pPr>
              <w:rPr>
                <w:color w:val="002060"/>
                <w:sz w:val="16"/>
                <w:szCs w:val="16"/>
              </w:rPr>
            </w:pPr>
            <w:r w:rsidRPr="00C258AD">
              <w:rPr>
                <w:color w:val="002060"/>
                <w:sz w:val="16"/>
                <w:szCs w:val="16"/>
              </w:rPr>
              <w:t>Lisbonne :</w:t>
            </w:r>
          </w:p>
          <w:p w:rsidR="006E2BB1" w:rsidRPr="00C258AD" w:rsidRDefault="00066B9C" w:rsidP="001A4D6C">
            <w:pPr>
              <w:rPr>
                <w:color w:val="002060"/>
                <w:sz w:val="16"/>
                <w:szCs w:val="16"/>
              </w:rPr>
            </w:pPr>
            <w:r w:rsidRPr="00C258AD">
              <w:rPr>
                <w:color w:val="002060"/>
                <w:sz w:val="16"/>
                <w:szCs w:val="16"/>
              </w:rPr>
              <w:t>749 enregistrements en vigueur sur les 816 au total</w:t>
            </w:r>
          </w:p>
          <w:p w:rsidR="006E2BB1" w:rsidRPr="00C258AD" w:rsidRDefault="006E2BB1" w:rsidP="001A4D6C">
            <w:pPr>
              <w:rPr>
                <w:i/>
                <w:sz w:val="16"/>
                <w:szCs w:val="16"/>
              </w:rPr>
            </w:pPr>
          </w:p>
          <w:p w:rsidR="00066B9C" w:rsidRPr="00C258AD" w:rsidRDefault="00066B9C" w:rsidP="001A4D6C">
            <w:pPr>
              <w:rPr>
                <w:sz w:val="16"/>
                <w:szCs w:val="16"/>
                <w:lang w:bidi="th-TH"/>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à déterminer</w:t>
            </w:r>
          </w:p>
        </w:tc>
        <w:tc>
          <w:tcPr>
            <w:tcW w:w="836" w:type="pct"/>
            <w:tcBorders>
              <w:bottom w:val="single" w:sz="4" w:space="0" w:color="auto"/>
            </w:tcBorders>
            <w:shd w:val="clear" w:color="auto" w:fill="auto"/>
            <w:tcMar>
              <w:top w:w="110" w:type="dxa"/>
            </w:tcMar>
          </w:tcPr>
          <w:p w:rsidR="00066B9C" w:rsidRPr="00C258AD" w:rsidRDefault="00066B9C" w:rsidP="001A4D6C">
            <w:pPr>
              <w:rPr>
                <w:sz w:val="16"/>
                <w:szCs w:val="16"/>
              </w:rPr>
            </w:pPr>
            <w:r w:rsidRPr="00C258AD">
              <w:rPr>
                <w:color w:val="000000"/>
                <w:sz w:val="16"/>
                <w:szCs w:val="16"/>
              </w:rPr>
              <w:t>Aug</w:t>
            </w:r>
            <w:r w:rsidRPr="00C258AD">
              <w:rPr>
                <w:sz w:val="16"/>
                <w:szCs w:val="16"/>
              </w:rPr>
              <w:t>mentation de 2%</w:t>
            </w:r>
          </w:p>
        </w:tc>
        <w:tc>
          <w:tcPr>
            <w:tcW w:w="1291" w:type="pct"/>
            <w:gridSpan w:val="2"/>
            <w:tcBorders>
              <w:bottom w:val="single" w:sz="4" w:space="0" w:color="auto"/>
            </w:tcBorders>
            <w:shd w:val="clear" w:color="auto" w:fill="FFFFFF"/>
            <w:tcMar>
              <w:top w:w="110" w:type="dxa"/>
            </w:tcMar>
          </w:tcPr>
          <w:p w:rsidR="006E2BB1" w:rsidRPr="00C258AD" w:rsidRDefault="00066B9C" w:rsidP="001A4D6C">
            <w:pPr>
              <w:keepNext/>
              <w:keepLines/>
              <w:outlineLvl w:val="4"/>
              <w:rPr>
                <w:sz w:val="16"/>
                <w:szCs w:val="16"/>
                <w:lang w:bidi="th-TH"/>
              </w:rPr>
            </w:pPr>
            <w:r w:rsidRPr="00C258AD">
              <w:rPr>
                <w:sz w:val="16"/>
                <w:szCs w:val="16"/>
                <w:lang w:bidi="th-TH"/>
              </w:rPr>
              <w:t>Madrid :</w:t>
            </w:r>
          </w:p>
          <w:p w:rsidR="006E2BB1" w:rsidRPr="00C258AD" w:rsidRDefault="00066B9C" w:rsidP="001A4D6C">
            <w:pPr>
              <w:rPr>
                <w:color w:val="000000"/>
                <w:sz w:val="16"/>
                <w:szCs w:val="16"/>
                <w:lang w:bidi="th-TH"/>
              </w:rPr>
            </w:pPr>
            <w:r w:rsidRPr="00C258AD">
              <w:rPr>
                <w:color w:val="000000"/>
                <w:sz w:val="16"/>
                <w:szCs w:val="16"/>
                <w:lang w:bidi="th-TH"/>
              </w:rPr>
              <w:t>43 748 (2014)</w:t>
            </w:r>
          </w:p>
          <w:p w:rsidR="006E2BB1" w:rsidRPr="00C258AD" w:rsidRDefault="00066B9C" w:rsidP="001A4D6C">
            <w:pPr>
              <w:rPr>
                <w:color w:val="000000"/>
                <w:sz w:val="16"/>
                <w:szCs w:val="16"/>
                <w:lang w:bidi="th-TH"/>
              </w:rPr>
            </w:pPr>
            <w:r w:rsidRPr="00C258AD">
              <w:rPr>
                <w:color w:val="000000"/>
                <w:sz w:val="16"/>
                <w:szCs w:val="16"/>
                <w:lang w:bidi="th-TH"/>
              </w:rPr>
              <w:t>44 570 (2015)</w:t>
            </w:r>
          </w:p>
          <w:p w:rsidR="006E2BB1" w:rsidRPr="00C258AD" w:rsidRDefault="00066B9C" w:rsidP="001A4D6C">
            <w:pPr>
              <w:rPr>
                <w:sz w:val="16"/>
                <w:szCs w:val="16"/>
                <w:lang w:bidi="th-TH"/>
              </w:rPr>
            </w:pPr>
            <w:r w:rsidRPr="00C258AD">
              <w:rPr>
                <w:color w:val="000000"/>
                <w:sz w:val="16"/>
                <w:szCs w:val="16"/>
                <w:lang w:bidi="th-TH"/>
              </w:rPr>
              <w:t>+5,4%</w:t>
            </w:r>
          </w:p>
          <w:p w:rsidR="006E2BB1" w:rsidRPr="00C258AD" w:rsidRDefault="006E2BB1" w:rsidP="001A4D6C">
            <w:pPr>
              <w:keepNext/>
              <w:keepLines/>
              <w:outlineLvl w:val="4"/>
              <w:rPr>
                <w:sz w:val="16"/>
                <w:szCs w:val="16"/>
                <w:lang w:bidi="th-TH"/>
              </w:rPr>
            </w:pPr>
          </w:p>
          <w:p w:rsidR="006E2BB1" w:rsidRPr="00C258AD" w:rsidRDefault="00066B9C" w:rsidP="001A4D6C">
            <w:pPr>
              <w:keepNext/>
              <w:keepLines/>
              <w:outlineLvl w:val="4"/>
              <w:rPr>
                <w:color w:val="000000"/>
                <w:sz w:val="16"/>
                <w:szCs w:val="16"/>
                <w:lang w:bidi="th-TH"/>
              </w:rPr>
            </w:pPr>
            <w:r w:rsidRPr="00C258AD">
              <w:rPr>
                <w:color w:val="000000"/>
                <w:sz w:val="16"/>
                <w:szCs w:val="16"/>
                <w:lang w:bidi="th-TH"/>
              </w:rPr>
              <w:t>Lisbonne :</w:t>
            </w:r>
          </w:p>
          <w:p w:rsidR="006E2BB1" w:rsidRPr="00C258AD" w:rsidRDefault="00066B9C" w:rsidP="001A4D6C">
            <w:pPr>
              <w:keepNext/>
              <w:keepLines/>
              <w:outlineLvl w:val="4"/>
              <w:rPr>
                <w:color w:val="000000"/>
                <w:sz w:val="16"/>
                <w:szCs w:val="16"/>
                <w:lang w:bidi="th-TH"/>
              </w:rPr>
            </w:pPr>
            <w:r w:rsidRPr="00C258AD">
              <w:rPr>
                <w:color w:val="000000"/>
                <w:sz w:val="16"/>
                <w:szCs w:val="16"/>
                <w:lang w:bidi="th-TH"/>
              </w:rPr>
              <w:t>836 enregistrements en vigueur sur les 931 originaires de pays en transition et de pays développés</w:t>
            </w:r>
          </w:p>
          <w:p w:rsidR="00066B9C" w:rsidRPr="00C258AD" w:rsidRDefault="00066B9C" w:rsidP="001A4D6C">
            <w:pPr>
              <w:keepNext/>
              <w:keepLines/>
              <w:outlineLvl w:val="4"/>
              <w:rPr>
                <w:sz w:val="16"/>
                <w:szCs w:val="16"/>
              </w:rPr>
            </w:pPr>
            <w:r w:rsidRPr="00C258AD">
              <w:rPr>
                <w:color w:val="000000"/>
                <w:sz w:val="16"/>
                <w:szCs w:val="16"/>
                <w:lang w:bidi="th-TH"/>
              </w:rPr>
              <w:t>+11,6%</w:t>
            </w:r>
          </w:p>
        </w:tc>
        <w:tc>
          <w:tcPr>
            <w:tcW w:w="445" w:type="pct"/>
            <w:tcBorders>
              <w:bottom w:val="single" w:sz="4" w:space="0" w:color="auto"/>
            </w:tcBorders>
            <w:shd w:val="clear" w:color="auto" w:fill="auto"/>
            <w:tcMar>
              <w:top w:w="110" w:type="dxa"/>
            </w:tcMar>
          </w:tcPr>
          <w:p w:rsidR="006E2BB1" w:rsidRPr="00C258AD" w:rsidRDefault="00066B9C" w:rsidP="001A4D6C">
            <w:pPr>
              <w:keepNext/>
              <w:keepLines/>
              <w:jc w:val="center"/>
              <w:rPr>
                <w:b/>
                <w:bCs/>
                <w:color w:val="00B050"/>
                <w:sz w:val="16"/>
                <w:szCs w:val="16"/>
              </w:rPr>
            </w:pPr>
            <w:r w:rsidRPr="00C258AD">
              <w:rPr>
                <w:rFonts w:cs="Arial"/>
                <w:b/>
                <w:bCs/>
                <w:color w:val="00B050"/>
                <w:sz w:val="16"/>
                <w:szCs w:val="16"/>
              </w:rPr>
              <w:t>Objectif pleinement atteint</w:t>
            </w:r>
          </w:p>
          <w:p w:rsidR="006E2BB1" w:rsidRPr="00C258AD" w:rsidRDefault="006E2BB1" w:rsidP="001A4D6C">
            <w:pPr>
              <w:keepNext/>
              <w:keepLines/>
              <w:jc w:val="center"/>
              <w:rPr>
                <w:bCs/>
                <w:color w:val="808080"/>
                <w:sz w:val="16"/>
                <w:szCs w:val="16"/>
              </w:rPr>
            </w:pPr>
          </w:p>
          <w:p w:rsidR="006E2BB1" w:rsidRPr="00C258AD" w:rsidRDefault="006E2BB1" w:rsidP="001A4D6C">
            <w:pPr>
              <w:keepNext/>
              <w:keepLines/>
              <w:jc w:val="center"/>
              <w:rPr>
                <w:bCs/>
                <w:color w:val="808080"/>
                <w:sz w:val="16"/>
                <w:szCs w:val="16"/>
              </w:rPr>
            </w:pPr>
          </w:p>
          <w:p w:rsidR="006E2BB1" w:rsidRPr="00C258AD" w:rsidRDefault="00066B9C" w:rsidP="001A4D6C">
            <w:pPr>
              <w:keepNext/>
              <w:keepLines/>
              <w:jc w:val="center"/>
              <w:rPr>
                <w:bCs/>
                <w:color w:val="808080"/>
                <w:sz w:val="16"/>
                <w:szCs w:val="16"/>
              </w:rPr>
            </w:pPr>
            <w:r w:rsidRPr="00C258AD">
              <w:rPr>
                <w:rFonts w:cs="Arial"/>
                <w:b/>
                <w:bCs/>
                <w:color w:val="00B050"/>
                <w:sz w:val="16"/>
                <w:szCs w:val="16"/>
              </w:rPr>
              <w:t>Objectif pleinement atteint</w:t>
            </w:r>
          </w:p>
          <w:p w:rsidR="00066B9C" w:rsidRPr="00C258AD" w:rsidRDefault="00066B9C" w:rsidP="001A4D6C">
            <w:pPr>
              <w:keepNext/>
              <w:keepLines/>
              <w:jc w:val="center"/>
              <w:rPr>
                <w:bCs/>
                <w:color w:val="808080"/>
                <w:sz w:val="16"/>
                <w:szCs w:val="16"/>
              </w:rPr>
            </w:pPr>
          </w:p>
        </w:tc>
      </w:tr>
      <w:tr w:rsidR="00066B9C" w:rsidRPr="00C258AD" w:rsidTr="001A4D6C">
        <w:trPr>
          <w:cantSplit/>
        </w:trPr>
        <w:tc>
          <w:tcPr>
            <w:tcW w:w="5000" w:type="pct"/>
            <w:gridSpan w:val="6"/>
            <w:tcBorders>
              <w:top w:val="single" w:sz="4" w:space="0" w:color="auto"/>
              <w:bottom w:val="single" w:sz="4" w:space="0" w:color="auto"/>
            </w:tcBorders>
            <w:shd w:val="clear" w:color="auto" w:fill="C5D9F1"/>
            <w:vAlign w:val="center"/>
          </w:tcPr>
          <w:p w:rsidR="00066B9C" w:rsidRPr="00C258AD" w:rsidRDefault="00066B9C" w:rsidP="001A4D6C">
            <w:pPr>
              <w:rPr>
                <w:b/>
                <w:bCs/>
                <w:sz w:val="16"/>
                <w:szCs w:val="16"/>
              </w:rPr>
            </w:pPr>
            <w:r w:rsidRPr="00C258AD">
              <w:rPr>
                <w:b/>
                <w:bCs/>
                <w:sz w:val="16"/>
                <w:szCs w:val="16"/>
              </w:rPr>
              <w:t>Résultat escompté</w:t>
            </w:r>
            <w:r w:rsidRPr="00C258AD">
              <w:rPr>
                <w:b/>
                <w:sz w:val="16"/>
                <w:szCs w:val="16"/>
              </w:rPr>
              <w:t> :</w:t>
            </w:r>
            <w:r w:rsidRPr="00C258AD">
              <w:rPr>
                <w:b/>
                <w:bCs/>
                <w:sz w:val="16"/>
                <w:szCs w:val="16"/>
              </w:rPr>
              <w:t xml:space="preserve"> </w:t>
            </w:r>
            <w:r w:rsidRPr="00C258AD">
              <w:rPr>
                <w:sz w:val="16"/>
                <w:szCs w:val="16"/>
                <w:lang w:bidi="th-TH"/>
              </w:rPr>
              <w:t xml:space="preserve">II.8 </w:t>
            </w:r>
            <w:r w:rsidRPr="00C258AD">
              <w:rPr>
                <w:sz w:val="16"/>
                <w:szCs w:val="16"/>
              </w:rPr>
              <w:t>De plus en plus de litiges internationaux ou nationaux de propriété intellectuelle sont évités ou réglés par la médiation, l’arbitrage et d’autres modes extrajudiciaires de règlement des litiges de l’OMPI</w:t>
            </w:r>
          </w:p>
        </w:tc>
      </w:tr>
      <w:tr w:rsidR="00066B9C" w:rsidRPr="00C258AD" w:rsidTr="001A4D6C">
        <w:trPr>
          <w:cantSplit/>
        </w:trPr>
        <w:tc>
          <w:tcPr>
            <w:tcW w:w="1138" w:type="pct"/>
            <w:tcBorders>
              <w:top w:val="single" w:sz="4" w:space="0" w:color="auto"/>
            </w:tcBorders>
            <w:shd w:val="clear" w:color="auto" w:fill="auto"/>
            <w:vAlign w:val="center"/>
          </w:tcPr>
          <w:p w:rsidR="00066B9C" w:rsidRPr="00C258AD" w:rsidRDefault="00066B9C" w:rsidP="001A4D6C">
            <w:pPr>
              <w:keepNext/>
              <w:keepLines/>
              <w:jc w:val="center"/>
              <w:rPr>
                <w:sz w:val="16"/>
                <w:szCs w:val="16"/>
              </w:rPr>
            </w:pPr>
            <w:r w:rsidRPr="00C258AD">
              <w:rPr>
                <w:b/>
                <w:bCs/>
                <w:sz w:val="16"/>
                <w:szCs w:val="16"/>
              </w:rPr>
              <w:t>Indicateurs d’exécution</w:t>
            </w:r>
          </w:p>
        </w:tc>
        <w:tc>
          <w:tcPr>
            <w:tcW w:w="1290" w:type="pct"/>
            <w:tcBorders>
              <w:top w:val="single" w:sz="4" w:space="0" w:color="auto"/>
            </w:tcBorders>
            <w:shd w:val="clear" w:color="auto" w:fill="auto"/>
            <w:vAlign w:val="center"/>
          </w:tcPr>
          <w:p w:rsidR="00066B9C" w:rsidRPr="00C258AD" w:rsidRDefault="00066B9C" w:rsidP="001A4D6C">
            <w:pPr>
              <w:keepNext/>
              <w:keepLines/>
              <w:jc w:val="center"/>
              <w:rPr>
                <w:b/>
                <w:bCs/>
                <w:sz w:val="16"/>
                <w:szCs w:val="16"/>
              </w:rPr>
            </w:pPr>
            <w:r w:rsidRPr="00C258AD">
              <w:rPr>
                <w:b/>
                <w:bCs/>
                <w:sz w:val="16"/>
                <w:szCs w:val="16"/>
              </w:rPr>
              <w:t>Niveaux de référence</w:t>
            </w:r>
          </w:p>
        </w:tc>
        <w:tc>
          <w:tcPr>
            <w:tcW w:w="836" w:type="pct"/>
            <w:tcBorders>
              <w:top w:val="single" w:sz="4" w:space="0" w:color="auto"/>
            </w:tcBorders>
            <w:shd w:val="clear" w:color="auto" w:fill="auto"/>
            <w:tcMar>
              <w:top w:w="110" w:type="dxa"/>
            </w:tcMar>
            <w:vAlign w:val="center"/>
          </w:tcPr>
          <w:p w:rsidR="00066B9C" w:rsidRPr="00C258AD" w:rsidRDefault="00066B9C" w:rsidP="001A4D6C">
            <w:pPr>
              <w:keepNext/>
              <w:keepLines/>
              <w:jc w:val="center"/>
              <w:rPr>
                <w:b/>
                <w:sz w:val="16"/>
                <w:szCs w:val="16"/>
              </w:rPr>
            </w:pPr>
            <w:r w:rsidRPr="00C258AD">
              <w:rPr>
                <w:b/>
                <w:sz w:val="16"/>
                <w:szCs w:val="16"/>
              </w:rPr>
              <w:t>Objectifs visés</w:t>
            </w:r>
          </w:p>
        </w:tc>
        <w:tc>
          <w:tcPr>
            <w:tcW w:w="1291" w:type="pct"/>
            <w:gridSpan w:val="2"/>
            <w:tcBorders>
              <w:top w:val="single" w:sz="4" w:space="0" w:color="auto"/>
            </w:tcBorders>
            <w:shd w:val="clear" w:color="auto" w:fill="FFFFFF"/>
            <w:tcMar>
              <w:top w:w="110" w:type="dxa"/>
            </w:tcMar>
            <w:vAlign w:val="center"/>
          </w:tcPr>
          <w:p w:rsidR="00066B9C" w:rsidRPr="00C258AD" w:rsidRDefault="00066B9C" w:rsidP="001A4D6C">
            <w:pPr>
              <w:keepNext/>
              <w:keepLines/>
              <w:jc w:val="center"/>
              <w:rPr>
                <w:sz w:val="16"/>
                <w:szCs w:val="16"/>
              </w:rPr>
            </w:pPr>
            <w:r w:rsidRPr="00C258AD">
              <w:rPr>
                <w:b/>
                <w:bCs/>
                <w:sz w:val="16"/>
                <w:szCs w:val="16"/>
              </w:rPr>
              <w:t>Données relatives à l’exécution</w:t>
            </w:r>
          </w:p>
        </w:tc>
        <w:tc>
          <w:tcPr>
            <w:tcW w:w="445" w:type="pct"/>
            <w:tcBorders>
              <w:top w:val="single" w:sz="4" w:space="0" w:color="auto"/>
            </w:tcBorders>
            <w:shd w:val="clear" w:color="auto" w:fill="auto"/>
            <w:tcMar>
              <w:top w:w="110" w:type="dxa"/>
            </w:tcMar>
            <w:vAlign w:val="center"/>
          </w:tcPr>
          <w:p w:rsidR="00066B9C" w:rsidRPr="00C258AD" w:rsidRDefault="00066B9C" w:rsidP="001A4D6C">
            <w:pPr>
              <w:keepNext/>
              <w:keepLines/>
              <w:jc w:val="center"/>
              <w:rPr>
                <w:b/>
                <w:bCs/>
                <w:sz w:val="16"/>
                <w:szCs w:val="16"/>
              </w:rPr>
            </w:pPr>
            <w:r w:rsidRPr="00C258AD">
              <w:rPr>
                <w:b/>
                <w:bCs/>
                <w:sz w:val="16"/>
                <w:szCs w:val="16"/>
              </w:rPr>
              <w:t>Code de couleurs</w:t>
            </w:r>
          </w:p>
        </w:tc>
      </w:tr>
      <w:tr w:rsidR="00066B9C" w:rsidRPr="00C258AD" w:rsidTr="001A4D6C">
        <w:trPr>
          <w:cantSplit/>
        </w:trPr>
        <w:tc>
          <w:tcPr>
            <w:tcW w:w="1138" w:type="pct"/>
            <w:tcBorders>
              <w:bottom w:val="single" w:sz="4" w:space="0" w:color="auto"/>
            </w:tcBorders>
            <w:shd w:val="clear" w:color="auto" w:fill="auto"/>
          </w:tcPr>
          <w:p w:rsidR="00066B9C" w:rsidRPr="00C258AD" w:rsidRDefault="00066B9C" w:rsidP="001A4D6C">
            <w:pPr>
              <w:rPr>
                <w:sz w:val="16"/>
                <w:szCs w:val="16"/>
                <w:lang w:bidi="th-TH"/>
              </w:rPr>
            </w:pPr>
            <w:r w:rsidRPr="00C258AD">
              <w:rPr>
                <w:sz w:val="16"/>
                <w:szCs w:val="16"/>
              </w:rPr>
              <w:t>Nombre d’utilisateurs, dans des pays en transition et des pays développés, qui ont recours aux services du Centre d’arbitrage et de médiation</w:t>
            </w:r>
          </w:p>
        </w:tc>
        <w:tc>
          <w:tcPr>
            <w:tcW w:w="1290" w:type="pct"/>
            <w:tcBorders>
              <w:bottom w:val="single" w:sz="4" w:space="0" w:color="auto"/>
            </w:tcBorders>
            <w:shd w:val="clear" w:color="auto" w:fill="auto"/>
          </w:tcPr>
          <w:p w:rsidR="006E2BB1" w:rsidRPr="00C258AD" w:rsidRDefault="00066B9C" w:rsidP="001A4D6C">
            <w:pPr>
              <w:rPr>
                <w:i/>
                <w:color w:val="002060"/>
                <w:sz w:val="16"/>
                <w:szCs w:val="16"/>
              </w:rPr>
            </w:pPr>
            <w:r w:rsidRPr="00C258AD">
              <w:rPr>
                <w:i/>
                <w:color w:val="002060"/>
                <w:sz w:val="16"/>
                <w:szCs w:val="16"/>
              </w:rPr>
              <w:t xml:space="preserve">Niveau de référence actualisé à fin 2013 : </w:t>
            </w:r>
            <w:r w:rsidRPr="00C258AD">
              <w:rPr>
                <w:color w:val="002060"/>
                <w:sz w:val="16"/>
                <w:szCs w:val="16"/>
              </w:rPr>
              <w:t>359 litiges et 51 bons offices impliquant des parties originaires de pays en transition et de pays développés (total à la fin de 2013)</w:t>
            </w:r>
          </w:p>
          <w:p w:rsidR="006E2BB1" w:rsidRPr="00C258AD" w:rsidRDefault="006E2BB1" w:rsidP="001A4D6C">
            <w:pPr>
              <w:rPr>
                <w:i/>
                <w:color w:val="002060"/>
                <w:sz w:val="16"/>
                <w:szCs w:val="16"/>
              </w:rPr>
            </w:pPr>
          </w:p>
          <w:p w:rsidR="00066B9C" w:rsidRPr="00C258AD" w:rsidRDefault="00066B9C" w:rsidP="001A4D6C">
            <w:pPr>
              <w:rPr>
                <w:color w:val="000000"/>
                <w:sz w:val="16"/>
                <w:szCs w:val="16"/>
                <w:lang w:bidi="th-TH"/>
              </w:rPr>
            </w:pPr>
            <w:r w:rsidRPr="00C258AD">
              <w:rPr>
                <w:color w:val="000000"/>
                <w:sz w:val="16"/>
                <w:szCs w:val="16"/>
                <w:lang w:bidi="th-TH"/>
              </w:rPr>
              <w:t>Niveau de référence initial dans le programme et budget 2014</w:t>
            </w:r>
            <w:r w:rsidRPr="00C258AD">
              <w:rPr>
                <w:color w:val="000000"/>
                <w:sz w:val="16"/>
                <w:szCs w:val="16"/>
                <w:lang w:bidi="th-TH"/>
              </w:rPr>
              <w:noBreakHyphen/>
              <w:t>2015 : à déterminer</w:t>
            </w:r>
          </w:p>
        </w:tc>
        <w:tc>
          <w:tcPr>
            <w:tcW w:w="836" w:type="pct"/>
            <w:tcBorders>
              <w:bottom w:val="single" w:sz="4" w:space="0" w:color="auto"/>
            </w:tcBorders>
            <w:shd w:val="clear" w:color="auto" w:fill="auto"/>
            <w:tcMar>
              <w:top w:w="110" w:type="dxa"/>
            </w:tcMar>
          </w:tcPr>
          <w:p w:rsidR="00066B9C" w:rsidRPr="00C258AD" w:rsidRDefault="00066B9C" w:rsidP="001A4D6C">
            <w:pPr>
              <w:rPr>
                <w:sz w:val="16"/>
                <w:szCs w:val="16"/>
                <w:lang w:bidi="th-TH"/>
              </w:rPr>
            </w:pPr>
            <w:r w:rsidRPr="00C258AD">
              <w:rPr>
                <w:color w:val="000000"/>
                <w:sz w:val="16"/>
                <w:szCs w:val="16"/>
                <w:lang w:bidi="th-TH"/>
              </w:rPr>
              <w:t>A</w:t>
            </w:r>
            <w:r w:rsidRPr="00C258AD">
              <w:rPr>
                <w:sz w:val="16"/>
                <w:szCs w:val="16"/>
                <w:lang w:bidi="th-TH"/>
              </w:rPr>
              <w:t>ugmentation de 2%</w:t>
            </w:r>
          </w:p>
        </w:tc>
        <w:tc>
          <w:tcPr>
            <w:tcW w:w="1291" w:type="pct"/>
            <w:gridSpan w:val="2"/>
            <w:tcBorders>
              <w:bottom w:val="single" w:sz="4" w:space="0" w:color="auto"/>
            </w:tcBorders>
            <w:shd w:val="clear" w:color="auto" w:fill="FFFFFF"/>
            <w:tcMar>
              <w:top w:w="110" w:type="dxa"/>
            </w:tcMar>
          </w:tcPr>
          <w:p w:rsidR="006E2BB1" w:rsidRPr="00C258AD" w:rsidRDefault="00066B9C" w:rsidP="001A4D6C">
            <w:pPr>
              <w:rPr>
                <w:color w:val="000000"/>
                <w:sz w:val="16"/>
                <w:szCs w:val="16"/>
                <w:lang w:bidi="th-TH"/>
              </w:rPr>
            </w:pPr>
            <w:r w:rsidRPr="00C258AD">
              <w:rPr>
                <w:color w:val="000000"/>
                <w:sz w:val="16"/>
                <w:szCs w:val="16"/>
                <w:lang w:bidi="th-TH"/>
              </w:rPr>
              <w:t>En 2014</w:t>
            </w:r>
            <w:r w:rsidRPr="00C258AD">
              <w:rPr>
                <w:color w:val="000000"/>
                <w:sz w:val="16"/>
                <w:szCs w:val="16"/>
                <w:lang w:bidi="th-TH"/>
              </w:rPr>
              <w:noBreakHyphen/>
              <w:t>2015, 102 litiges et bons offices supplémentaires impliquant des parties originaires de pays en transition et de pays développés</w:t>
            </w:r>
          </w:p>
          <w:p w:rsidR="006E2BB1" w:rsidRPr="00C258AD" w:rsidRDefault="00066B9C" w:rsidP="001A4D6C">
            <w:pPr>
              <w:rPr>
                <w:color w:val="000000"/>
                <w:sz w:val="16"/>
                <w:szCs w:val="16"/>
                <w:lang w:bidi="th-TH"/>
              </w:rPr>
            </w:pPr>
            <w:r w:rsidRPr="00C258AD">
              <w:rPr>
                <w:color w:val="000000"/>
                <w:sz w:val="16"/>
                <w:szCs w:val="16"/>
                <w:lang w:bidi="th-TH"/>
              </w:rPr>
              <w:t>+24,8%</w:t>
            </w:r>
          </w:p>
          <w:p w:rsidR="006E2BB1" w:rsidRPr="00C258AD" w:rsidRDefault="006E2BB1" w:rsidP="001A4D6C">
            <w:pPr>
              <w:rPr>
                <w:color w:val="000000"/>
                <w:sz w:val="16"/>
                <w:szCs w:val="16"/>
                <w:lang w:bidi="th-TH"/>
              </w:rPr>
            </w:pPr>
          </w:p>
          <w:p w:rsidR="00066B9C" w:rsidRPr="00C258AD" w:rsidRDefault="00066B9C" w:rsidP="001A4D6C">
            <w:pPr>
              <w:rPr>
                <w:sz w:val="16"/>
                <w:szCs w:val="16"/>
                <w:lang w:bidi="th-TH"/>
              </w:rPr>
            </w:pPr>
            <w:r w:rsidRPr="00C258AD">
              <w:rPr>
                <w:color w:val="000000"/>
                <w:sz w:val="16"/>
                <w:szCs w:val="16"/>
                <w:lang w:bidi="th-TH"/>
              </w:rPr>
              <w:t>461 litiges et bons offices impliquant des parties originaires de pays en transition et de pays développés (total cumulé à la fin 2015)</w:t>
            </w:r>
          </w:p>
        </w:tc>
        <w:tc>
          <w:tcPr>
            <w:tcW w:w="445" w:type="pct"/>
            <w:tcBorders>
              <w:bottom w:val="single" w:sz="4" w:space="0" w:color="auto"/>
            </w:tcBorders>
            <w:shd w:val="clear" w:color="auto" w:fill="auto"/>
            <w:tcMar>
              <w:top w:w="110" w:type="dxa"/>
            </w:tcMar>
          </w:tcPr>
          <w:p w:rsidR="00066B9C" w:rsidRPr="00C258AD" w:rsidRDefault="00066B9C" w:rsidP="001A4D6C">
            <w:pPr>
              <w:keepNext/>
              <w:keepLines/>
              <w:jc w:val="center"/>
              <w:rPr>
                <w:bCs/>
                <w:color w:val="808080"/>
                <w:sz w:val="16"/>
                <w:szCs w:val="16"/>
              </w:rPr>
            </w:pPr>
            <w:r w:rsidRPr="00C258AD">
              <w:rPr>
                <w:rFonts w:cs="Arial"/>
                <w:b/>
                <w:bCs/>
                <w:color w:val="00B050"/>
                <w:sz w:val="16"/>
                <w:szCs w:val="16"/>
              </w:rPr>
              <w:t>Objectif pleinement atteint</w:t>
            </w:r>
          </w:p>
        </w:tc>
      </w:tr>
      <w:tr w:rsidR="00066B9C" w:rsidRPr="00C258AD" w:rsidTr="001A4D6C">
        <w:trPr>
          <w:cantSplit/>
        </w:trPr>
        <w:tc>
          <w:tcPr>
            <w:tcW w:w="5000" w:type="pct"/>
            <w:gridSpan w:val="6"/>
            <w:tcBorders>
              <w:top w:val="single" w:sz="4" w:space="0" w:color="auto"/>
              <w:bottom w:val="single" w:sz="4" w:space="0" w:color="auto"/>
            </w:tcBorders>
            <w:shd w:val="clear" w:color="auto" w:fill="C5D9F1"/>
            <w:vAlign w:val="center"/>
          </w:tcPr>
          <w:p w:rsidR="00066B9C" w:rsidRPr="00C258AD" w:rsidRDefault="00066B9C" w:rsidP="001A4D6C">
            <w:pPr>
              <w:keepNext/>
              <w:rPr>
                <w:b/>
                <w:bCs/>
                <w:sz w:val="16"/>
                <w:szCs w:val="16"/>
              </w:rPr>
            </w:pPr>
            <w:r w:rsidRPr="00C258AD">
              <w:rPr>
                <w:b/>
                <w:bCs/>
                <w:sz w:val="16"/>
                <w:szCs w:val="16"/>
              </w:rPr>
              <w:t xml:space="preserve">Résultat escompté : </w:t>
            </w:r>
            <w:r w:rsidRPr="00C258AD">
              <w:rPr>
                <w:sz w:val="16"/>
                <w:szCs w:val="16"/>
                <w:lang w:bidi="th-TH"/>
              </w:rPr>
              <w:t xml:space="preserve">III.1 </w:t>
            </w:r>
            <w:r w:rsidRPr="00C258AD">
              <w:rPr>
                <w:sz w:val="16"/>
                <w:szCs w:val="16"/>
              </w:rPr>
              <w:t>Stratégies et plans nationaux en matière d’innovation et de propriété intellectuelle conformes aux objectifs de développement nationaux</w:t>
            </w:r>
          </w:p>
        </w:tc>
      </w:tr>
      <w:tr w:rsidR="00066B9C" w:rsidRPr="00C258AD" w:rsidTr="001A4D6C">
        <w:trPr>
          <w:cantSplit/>
        </w:trPr>
        <w:tc>
          <w:tcPr>
            <w:tcW w:w="1138" w:type="pct"/>
            <w:tcBorders>
              <w:top w:val="single" w:sz="4" w:space="0" w:color="auto"/>
            </w:tcBorders>
            <w:shd w:val="clear" w:color="auto" w:fill="auto"/>
            <w:vAlign w:val="center"/>
          </w:tcPr>
          <w:p w:rsidR="00066B9C" w:rsidRPr="00C258AD" w:rsidRDefault="00066B9C" w:rsidP="001A4D6C">
            <w:pPr>
              <w:keepNext/>
              <w:keepLines/>
              <w:jc w:val="center"/>
              <w:rPr>
                <w:sz w:val="16"/>
                <w:szCs w:val="16"/>
              </w:rPr>
            </w:pPr>
            <w:r w:rsidRPr="00C258AD">
              <w:rPr>
                <w:b/>
                <w:bCs/>
                <w:sz w:val="16"/>
                <w:szCs w:val="16"/>
              </w:rPr>
              <w:t>Indicateurs d’exécution</w:t>
            </w:r>
          </w:p>
        </w:tc>
        <w:tc>
          <w:tcPr>
            <w:tcW w:w="1290" w:type="pct"/>
            <w:tcBorders>
              <w:top w:val="single" w:sz="4" w:space="0" w:color="auto"/>
            </w:tcBorders>
            <w:shd w:val="clear" w:color="auto" w:fill="auto"/>
            <w:vAlign w:val="center"/>
          </w:tcPr>
          <w:p w:rsidR="00066B9C" w:rsidRPr="00C258AD" w:rsidRDefault="00066B9C" w:rsidP="001A4D6C">
            <w:pPr>
              <w:keepNext/>
              <w:keepLines/>
              <w:jc w:val="center"/>
              <w:rPr>
                <w:b/>
                <w:bCs/>
                <w:sz w:val="16"/>
                <w:szCs w:val="16"/>
              </w:rPr>
            </w:pPr>
            <w:r w:rsidRPr="00C258AD">
              <w:rPr>
                <w:b/>
                <w:bCs/>
                <w:sz w:val="16"/>
                <w:szCs w:val="16"/>
              </w:rPr>
              <w:t>Niveaux de référence</w:t>
            </w:r>
          </w:p>
        </w:tc>
        <w:tc>
          <w:tcPr>
            <w:tcW w:w="836" w:type="pct"/>
            <w:tcBorders>
              <w:top w:val="single" w:sz="4" w:space="0" w:color="auto"/>
            </w:tcBorders>
            <w:shd w:val="clear" w:color="auto" w:fill="auto"/>
            <w:vAlign w:val="center"/>
          </w:tcPr>
          <w:p w:rsidR="00066B9C" w:rsidRPr="00C258AD" w:rsidRDefault="00066B9C" w:rsidP="001A4D6C">
            <w:pPr>
              <w:keepNext/>
              <w:keepLines/>
              <w:jc w:val="center"/>
              <w:rPr>
                <w:b/>
                <w:sz w:val="16"/>
                <w:szCs w:val="16"/>
              </w:rPr>
            </w:pPr>
            <w:r w:rsidRPr="00C258AD">
              <w:rPr>
                <w:b/>
                <w:sz w:val="16"/>
                <w:szCs w:val="16"/>
              </w:rPr>
              <w:t>Objectifs visés</w:t>
            </w:r>
          </w:p>
        </w:tc>
        <w:tc>
          <w:tcPr>
            <w:tcW w:w="1291" w:type="pct"/>
            <w:gridSpan w:val="2"/>
            <w:tcBorders>
              <w:top w:val="single" w:sz="4" w:space="0" w:color="auto"/>
            </w:tcBorders>
            <w:shd w:val="clear" w:color="auto" w:fill="auto"/>
            <w:vAlign w:val="center"/>
          </w:tcPr>
          <w:p w:rsidR="00066B9C" w:rsidRPr="00C258AD" w:rsidRDefault="00066B9C" w:rsidP="001A4D6C">
            <w:pPr>
              <w:keepNext/>
              <w:keepLines/>
              <w:jc w:val="center"/>
              <w:rPr>
                <w:sz w:val="16"/>
                <w:szCs w:val="16"/>
              </w:rPr>
            </w:pPr>
            <w:r w:rsidRPr="00C258AD">
              <w:rPr>
                <w:b/>
                <w:bCs/>
                <w:sz w:val="16"/>
                <w:szCs w:val="16"/>
              </w:rPr>
              <w:t>Données relatives à l’exécution</w:t>
            </w:r>
          </w:p>
        </w:tc>
        <w:tc>
          <w:tcPr>
            <w:tcW w:w="445" w:type="pct"/>
            <w:tcBorders>
              <w:top w:val="single" w:sz="4" w:space="0" w:color="auto"/>
            </w:tcBorders>
            <w:shd w:val="clear" w:color="auto" w:fill="auto"/>
            <w:vAlign w:val="center"/>
          </w:tcPr>
          <w:p w:rsidR="00066B9C" w:rsidRPr="00C258AD" w:rsidRDefault="00066B9C" w:rsidP="001A4D6C">
            <w:pPr>
              <w:keepNext/>
              <w:keepLines/>
              <w:jc w:val="center"/>
              <w:rPr>
                <w:b/>
                <w:bCs/>
                <w:sz w:val="16"/>
                <w:szCs w:val="16"/>
              </w:rPr>
            </w:pPr>
            <w:r w:rsidRPr="00C258AD">
              <w:rPr>
                <w:b/>
                <w:bCs/>
                <w:sz w:val="16"/>
                <w:szCs w:val="16"/>
              </w:rPr>
              <w:t>Code de couleurs</w:t>
            </w:r>
          </w:p>
        </w:tc>
      </w:tr>
      <w:tr w:rsidR="00066B9C" w:rsidRPr="00C258AD" w:rsidTr="001A4D6C">
        <w:trPr>
          <w:cantSplit/>
        </w:trPr>
        <w:tc>
          <w:tcPr>
            <w:tcW w:w="1138" w:type="pct"/>
            <w:shd w:val="clear" w:color="auto" w:fill="auto"/>
          </w:tcPr>
          <w:p w:rsidR="00066B9C" w:rsidRPr="00C258AD" w:rsidRDefault="00066B9C" w:rsidP="001A4D6C">
            <w:pPr>
              <w:rPr>
                <w:sz w:val="16"/>
                <w:szCs w:val="16"/>
                <w:lang w:bidi="th-TH"/>
              </w:rPr>
            </w:pPr>
            <w:r w:rsidRPr="00C258AD">
              <w:rPr>
                <w:sz w:val="16"/>
                <w:szCs w:val="16"/>
              </w:rPr>
              <w:t>Nombre d’universités ayant élaboré des politiques en matière de propriété intellectuelle</w:t>
            </w:r>
          </w:p>
        </w:tc>
        <w:tc>
          <w:tcPr>
            <w:tcW w:w="1290" w:type="pct"/>
            <w:shd w:val="clear" w:color="auto" w:fill="auto"/>
          </w:tcPr>
          <w:p w:rsidR="00066B9C" w:rsidRPr="00C258AD" w:rsidRDefault="00066B9C" w:rsidP="001A4D6C">
            <w:pPr>
              <w:rPr>
                <w:i/>
                <w:color w:val="002060"/>
                <w:sz w:val="16"/>
                <w:szCs w:val="16"/>
              </w:rPr>
            </w:pPr>
            <w:r w:rsidRPr="00C258AD">
              <w:rPr>
                <w:sz w:val="16"/>
                <w:szCs w:val="16"/>
              </w:rPr>
              <w:t>À déterminer</w:t>
            </w:r>
          </w:p>
        </w:tc>
        <w:tc>
          <w:tcPr>
            <w:tcW w:w="836" w:type="pct"/>
            <w:shd w:val="clear" w:color="auto" w:fill="auto"/>
            <w:tcMar>
              <w:top w:w="110" w:type="dxa"/>
            </w:tcMar>
          </w:tcPr>
          <w:p w:rsidR="00066B9C" w:rsidRPr="00C258AD" w:rsidRDefault="00066B9C" w:rsidP="001A4D6C">
            <w:pPr>
              <w:rPr>
                <w:sz w:val="16"/>
                <w:szCs w:val="16"/>
                <w:lang w:bidi="th-TH"/>
              </w:rPr>
            </w:pPr>
            <w:r w:rsidRPr="00C258AD">
              <w:rPr>
                <w:sz w:val="16"/>
                <w:szCs w:val="16"/>
                <w:lang w:bidi="th-TH"/>
              </w:rPr>
              <w:t>30 universités supplémentaires</w:t>
            </w:r>
          </w:p>
        </w:tc>
        <w:tc>
          <w:tcPr>
            <w:tcW w:w="1291" w:type="pct"/>
            <w:gridSpan w:val="2"/>
            <w:shd w:val="clear" w:color="auto" w:fill="FFFFFF"/>
            <w:tcMar>
              <w:top w:w="110" w:type="dxa"/>
            </w:tcMar>
          </w:tcPr>
          <w:p w:rsidR="006E2BB1" w:rsidRPr="00C258AD" w:rsidRDefault="00066B9C" w:rsidP="001A4D6C">
            <w:pPr>
              <w:rPr>
                <w:sz w:val="16"/>
                <w:szCs w:val="16"/>
              </w:rPr>
            </w:pPr>
            <w:r w:rsidRPr="00C258AD">
              <w:rPr>
                <w:sz w:val="16"/>
                <w:szCs w:val="16"/>
              </w:rPr>
              <w:t>436 (Fédération de Russie 1;  Ouzbékistan 1;  Pologne 434).</w:t>
            </w:r>
          </w:p>
          <w:p w:rsidR="006E2BB1" w:rsidRPr="00C258AD" w:rsidRDefault="006E2BB1" w:rsidP="001A4D6C">
            <w:pPr>
              <w:rPr>
                <w:sz w:val="16"/>
                <w:szCs w:val="16"/>
              </w:rPr>
            </w:pPr>
          </w:p>
          <w:p w:rsidR="006E2BB1" w:rsidRPr="00C258AD" w:rsidRDefault="00066B9C" w:rsidP="001A4D6C">
            <w:pPr>
              <w:rPr>
                <w:sz w:val="16"/>
                <w:szCs w:val="16"/>
              </w:rPr>
            </w:pPr>
            <w:r w:rsidRPr="00C258AD">
              <w:rPr>
                <w:sz w:val="16"/>
                <w:szCs w:val="16"/>
              </w:rPr>
              <w:t>Une loi sur l’enseignement supérieur a été adoptée par la Pologne le 1</w:t>
            </w:r>
            <w:r w:rsidRPr="00C258AD">
              <w:rPr>
                <w:sz w:val="16"/>
                <w:szCs w:val="16"/>
                <w:vertAlign w:val="superscript"/>
              </w:rPr>
              <w:t>er</w:t>
            </w:r>
            <w:r w:rsidRPr="00C258AD">
              <w:rPr>
                <w:sz w:val="16"/>
                <w:szCs w:val="16"/>
              </w:rPr>
              <w:t> octobre 2014 en vertu de laquelle tous les établissements d’enseignement supérieur étaient tenus de mettre en place une politique actualisée en matière de propriété intellectuelle avant le 31 mars 2015.</w:t>
            </w:r>
          </w:p>
          <w:p w:rsidR="006E2BB1" w:rsidRPr="00C258AD" w:rsidRDefault="006E2BB1" w:rsidP="001A4D6C">
            <w:pPr>
              <w:rPr>
                <w:sz w:val="16"/>
                <w:szCs w:val="16"/>
              </w:rPr>
            </w:pPr>
          </w:p>
          <w:p w:rsidR="00066B9C" w:rsidRPr="00C258AD" w:rsidRDefault="00066B9C" w:rsidP="001A4D6C">
            <w:pPr>
              <w:rPr>
                <w:sz w:val="16"/>
                <w:szCs w:val="16"/>
                <w:lang w:bidi="th-TH"/>
              </w:rPr>
            </w:pPr>
            <w:r w:rsidRPr="00C258AD">
              <w:rPr>
                <w:sz w:val="16"/>
                <w:szCs w:val="16"/>
                <w:lang w:bidi="th-TH"/>
              </w:rPr>
              <w:t>En 2014</w:t>
            </w:r>
            <w:r w:rsidRPr="00C258AD">
              <w:rPr>
                <w:sz w:val="16"/>
                <w:szCs w:val="16"/>
                <w:lang w:bidi="th-TH"/>
              </w:rPr>
              <w:noBreakHyphen/>
              <w:t>2015, des universités e</w:t>
            </w:r>
            <w:r w:rsidRPr="00C258AD">
              <w:rPr>
                <w:sz w:val="16"/>
                <w:szCs w:val="16"/>
              </w:rPr>
              <w:t>n Estonie, en Lituanie et en Slovaquie élaboraient des politiques en matière de propriété intellectuelle.</w:t>
            </w:r>
            <w:r w:rsidRPr="00C258AD">
              <w:rPr>
                <w:sz w:val="16"/>
                <w:szCs w:val="16"/>
                <w:lang w:bidi="th-TH"/>
              </w:rPr>
              <w:t xml:space="preserve"> </w:t>
            </w:r>
            <w:r w:rsidRPr="00C258AD">
              <w:rPr>
                <w:sz w:val="16"/>
                <w:szCs w:val="16"/>
              </w:rPr>
              <w:t xml:space="preserve"> </w:t>
            </w:r>
          </w:p>
        </w:tc>
        <w:tc>
          <w:tcPr>
            <w:tcW w:w="445" w:type="pct"/>
            <w:shd w:val="clear" w:color="auto" w:fill="auto"/>
            <w:tcMar>
              <w:top w:w="110" w:type="dxa"/>
            </w:tcMar>
          </w:tcPr>
          <w:p w:rsidR="00066B9C" w:rsidRPr="00C258AD" w:rsidRDefault="00066B9C" w:rsidP="001A4D6C">
            <w:pPr>
              <w:keepNext/>
              <w:keepLines/>
              <w:jc w:val="center"/>
              <w:rPr>
                <w:b/>
                <w:bCs/>
                <w:color w:val="00B050"/>
                <w:sz w:val="16"/>
                <w:szCs w:val="16"/>
              </w:rPr>
            </w:pPr>
            <w:r w:rsidRPr="00C258AD">
              <w:rPr>
                <w:rFonts w:cs="Arial"/>
                <w:b/>
                <w:bCs/>
                <w:color w:val="00B050"/>
                <w:sz w:val="16"/>
                <w:szCs w:val="16"/>
              </w:rPr>
              <w:t>Objectif pleinement atteint</w:t>
            </w:r>
          </w:p>
        </w:tc>
      </w:tr>
      <w:tr w:rsidR="00066B9C" w:rsidRPr="00C258AD" w:rsidTr="001A4D6C">
        <w:trPr>
          <w:cantSplit/>
        </w:trPr>
        <w:tc>
          <w:tcPr>
            <w:tcW w:w="1138" w:type="pct"/>
            <w:tcBorders>
              <w:bottom w:val="single" w:sz="4" w:space="0" w:color="auto"/>
            </w:tcBorders>
            <w:shd w:val="clear" w:color="auto" w:fill="auto"/>
          </w:tcPr>
          <w:p w:rsidR="00066B9C" w:rsidRPr="00C258AD" w:rsidRDefault="00066B9C" w:rsidP="001A4D6C">
            <w:pPr>
              <w:rPr>
                <w:sz w:val="16"/>
                <w:szCs w:val="16"/>
                <w:lang w:bidi="th-TH"/>
              </w:rPr>
            </w:pPr>
            <w:r w:rsidRPr="00C258AD">
              <w:rPr>
                <w:sz w:val="16"/>
                <w:szCs w:val="16"/>
              </w:rPr>
              <w:lastRenderedPageBreak/>
              <w:t>Nombre de pays ayant mis en place des stratégies ou plans nationaux en matière de propriété intellectuelle</w:t>
            </w:r>
          </w:p>
        </w:tc>
        <w:tc>
          <w:tcPr>
            <w:tcW w:w="1290" w:type="pct"/>
            <w:tcBorders>
              <w:bottom w:val="single" w:sz="4" w:space="0" w:color="auto"/>
            </w:tcBorders>
            <w:shd w:val="clear" w:color="auto" w:fill="auto"/>
          </w:tcPr>
          <w:p w:rsidR="00066B9C" w:rsidRPr="00C258AD" w:rsidRDefault="00066B9C" w:rsidP="001A4D6C">
            <w:pPr>
              <w:rPr>
                <w:sz w:val="16"/>
                <w:szCs w:val="16"/>
              </w:rPr>
            </w:pPr>
            <w:r w:rsidRPr="00C258AD">
              <w:rPr>
                <w:sz w:val="16"/>
                <w:szCs w:val="16"/>
              </w:rPr>
              <w:t>14 (total à la fin de 2013)</w:t>
            </w:r>
          </w:p>
        </w:tc>
        <w:tc>
          <w:tcPr>
            <w:tcW w:w="836" w:type="pct"/>
            <w:tcBorders>
              <w:bottom w:val="single" w:sz="4" w:space="0" w:color="auto"/>
            </w:tcBorders>
            <w:shd w:val="clear" w:color="auto" w:fill="auto"/>
            <w:tcMar>
              <w:top w:w="110" w:type="dxa"/>
            </w:tcMar>
          </w:tcPr>
          <w:p w:rsidR="00066B9C" w:rsidRPr="00C258AD" w:rsidRDefault="00066B9C" w:rsidP="001A4D6C">
            <w:pPr>
              <w:rPr>
                <w:sz w:val="16"/>
                <w:szCs w:val="16"/>
                <w:lang w:bidi="th-TH"/>
              </w:rPr>
            </w:pPr>
            <w:r w:rsidRPr="00C258AD">
              <w:rPr>
                <w:sz w:val="16"/>
                <w:szCs w:val="16"/>
                <w:lang w:bidi="th-TH"/>
              </w:rPr>
              <w:t>6 pays supplémentaires</w:t>
            </w:r>
          </w:p>
        </w:tc>
        <w:tc>
          <w:tcPr>
            <w:tcW w:w="1291" w:type="pct"/>
            <w:gridSpan w:val="2"/>
            <w:tcBorders>
              <w:bottom w:val="single" w:sz="4" w:space="0" w:color="auto"/>
            </w:tcBorders>
            <w:shd w:val="clear" w:color="auto" w:fill="FFFFFF"/>
            <w:tcMar>
              <w:top w:w="110" w:type="dxa"/>
            </w:tcMar>
          </w:tcPr>
          <w:p w:rsidR="006E2BB1" w:rsidRPr="00C258AD" w:rsidRDefault="00066B9C" w:rsidP="001A4D6C">
            <w:pPr>
              <w:rPr>
                <w:sz w:val="16"/>
                <w:szCs w:val="16"/>
                <w:lang w:bidi="th-TH"/>
              </w:rPr>
            </w:pPr>
            <w:r w:rsidRPr="00C258AD">
              <w:rPr>
                <w:sz w:val="16"/>
                <w:szCs w:val="16"/>
                <w:lang w:bidi="th-TH"/>
              </w:rPr>
              <w:t>6 (</w:t>
            </w:r>
            <w:r w:rsidRPr="00C258AD">
              <w:rPr>
                <w:rFonts w:cs="Arial"/>
                <w:sz w:val="16"/>
                <w:szCs w:val="16"/>
                <w:lang w:bidi="th-TH"/>
              </w:rPr>
              <w:t>Bulgarie, Slovénie, Tadjikistan, Turquie, Turkménistan, Ukraine</w:t>
            </w:r>
            <w:r w:rsidRPr="00C258AD">
              <w:rPr>
                <w:sz w:val="16"/>
                <w:szCs w:val="16"/>
                <w:lang w:bidi="th-TH"/>
              </w:rPr>
              <w:t>)</w:t>
            </w:r>
          </w:p>
          <w:p w:rsidR="006E2BB1" w:rsidRPr="00C258AD" w:rsidRDefault="006E2BB1" w:rsidP="001A4D6C">
            <w:pPr>
              <w:rPr>
                <w:sz w:val="16"/>
                <w:szCs w:val="16"/>
                <w:lang w:bidi="th-TH"/>
              </w:rPr>
            </w:pPr>
          </w:p>
          <w:p w:rsidR="00066B9C" w:rsidRPr="00C258AD" w:rsidRDefault="00066B9C" w:rsidP="001A4D6C">
            <w:pPr>
              <w:rPr>
                <w:sz w:val="16"/>
                <w:szCs w:val="16"/>
                <w:lang w:bidi="th-TH"/>
              </w:rPr>
            </w:pPr>
            <w:r w:rsidRPr="00C258AD">
              <w:rPr>
                <w:sz w:val="16"/>
                <w:szCs w:val="16"/>
                <w:lang w:bidi="th-TH"/>
              </w:rPr>
              <w:t>4 pays (Albanie, Géorgie, Lettonie, Pologne) ont commencé à élaborer des stratégies nationales de propriété intellectuelle.</w:t>
            </w:r>
          </w:p>
        </w:tc>
        <w:tc>
          <w:tcPr>
            <w:tcW w:w="445" w:type="pct"/>
            <w:tcBorders>
              <w:bottom w:val="single" w:sz="4" w:space="0" w:color="auto"/>
            </w:tcBorders>
            <w:shd w:val="clear" w:color="auto" w:fill="auto"/>
            <w:tcMar>
              <w:top w:w="110" w:type="dxa"/>
            </w:tcMar>
          </w:tcPr>
          <w:p w:rsidR="00066B9C" w:rsidRPr="00C258AD" w:rsidRDefault="00066B9C" w:rsidP="001A4D6C">
            <w:pPr>
              <w:keepNext/>
              <w:keepLines/>
              <w:jc w:val="center"/>
              <w:rPr>
                <w:b/>
                <w:bCs/>
                <w:color w:val="00B050"/>
                <w:sz w:val="16"/>
                <w:szCs w:val="16"/>
              </w:rPr>
            </w:pPr>
            <w:r w:rsidRPr="00C258AD">
              <w:rPr>
                <w:rFonts w:cs="Arial"/>
                <w:b/>
                <w:bCs/>
                <w:color w:val="00B050"/>
                <w:sz w:val="16"/>
                <w:szCs w:val="16"/>
              </w:rPr>
              <w:t>Objectif pleinement atteint</w:t>
            </w:r>
          </w:p>
        </w:tc>
      </w:tr>
      <w:tr w:rsidR="00066B9C" w:rsidRPr="00C258AD" w:rsidTr="001A4D6C">
        <w:trPr>
          <w:cantSplit/>
        </w:trPr>
        <w:tc>
          <w:tcPr>
            <w:tcW w:w="5000" w:type="pct"/>
            <w:gridSpan w:val="6"/>
            <w:tcBorders>
              <w:top w:val="single" w:sz="4" w:space="0" w:color="auto"/>
              <w:bottom w:val="single" w:sz="4" w:space="0" w:color="auto"/>
            </w:tcBorders>
            <w:shd w:val="clear" w:color="auto" w:fill="C5D9F1"/>
            <w:vAlign w:val="center"/>
          </w:tcPr>
          <w:p w:rsidR="00066B9C" w:rsidRPr="00C258AD" w:rsidRDefault="00066B9C" w:rsidP="001A4D6C">
            <w:pPr>
              <w:rPr>
                <w:b/>
                <w:bCs/>
                <w:sz w:val="16"/>
                <w:szCs w:val="16"/>
              </w:rPr>
            </w:pPr>
            <w:r w:rsidRPr="00C258AD">
              <w:rPr>
                <w:b/>
                <w:bCs/>
                <w:sz w:val="16"/>
                <w:szCs w:val="16"/>
              </w:rPr>
              <w:t xml:space="preserve">Résultat escompté : </w:t>
            </w:r>
            <w:r w:rsidRPr="00C258AD">
              <w:rPr>
                <w:sz w:val="16"/>
                <w:szCs w:val="16"/>
                <w:lang w:bidi="th-TH"/>
              </w:rPr>
              <w:t xml:space="preserve">III.2 </w:t>
            </w:r>
            <w:r w:rsidRPr="00C258AD">
              <w:rPr>
                <w:sz w:val="16"/>
                <w:szCs w:val="16"/>
              </w:rPr>
              <w:t>Renforcement des capacités en matière de ressources humaines pour pouvoir répondre aux nombreuses exigences en ce qui concerne l’utilisation efficace de la propriété intellectuelle au service du développement dans les pays en développement, les PMA et les pays en transition</w:t>
            </w:r>
          </w:p>
        </w:tc>
      </w:tr>
      <w:tr w:rsidR="00066B9C" w:rsidRPr="00C258AD" w:rsidTr="001A4D6C">
        <w:trPr>
          <w:cantSplit/>
        </w:trPr>
        <w:tc>
          <w:tcPr>
            <w:tcW w:w="1138" w:type="pct"/>
            <w:tcBorders>
              <w:top w:val="single" w:sz="4" w:space="0" w:color="auto"/>
            </w:tcBorders>
            <w:shd w:val="clear" w:color="auto" w:fill="auto"/>
            <w:vAlign w:val="center"/>
          </w:tcPr>
          <w:p w:rsidR="00066B9C" w:rsidRPr="00C258AD" w:rsidRDefault="00066B9C" w:rsidP="001A4D6C">
            <w:pPr>
              <w:keepNext/>
              <w:keepLines/>
              <w:jc w:val="center"/>
              <w:rPr>
                <w:sz w:val="16"/>
                <w:szCs w:val="16"/>
              </w:rPr>
            </w:pPr>
            <w:r w:rsidRPr="00C258AD">
              <w:rPr>
                <w:b/>
                <w:bCs/>
                <w:sz w:val="16"/>
                <w:szCs w:val="16"/>
              </w:rPr>
              <w:t>Indicateurs d’exécution</w:t>
            </w:r>
          </w:p>
        </w:tc>
        <w:tc>
          <w:tcPr>
            <w:tcW w:w="1290" w:type="pct"/>
            <w:tcBorders>
              <w:top w:val="single" w:sz="4" w:space="0" w:color="auto"/>
            </w:tcBorders>
            <w:shd w:val="clear" w:color="auto" w:fill="auto"/>
            <w:vAlign w:val="center"/>
          </w:tcPr>
          <w:p w:rsidR="00066B9C" w:rsidRPr="00C258AD" w:rsidRDefault="00066B9C" w:rsidP="001A4D6C">
            <w:pPr>
              <w:keepNext/>
              <w:keepLines/>
              <w:jc w:val="center"/>
              <w:rPr>
                <w:b/>
                <w:bCs/>
                <w:sz w:val="16"/>
                <w:szCs w:val="16"/>
              </w:rPr>
            </w:pPr>
            <w:r w:rsidRPr="00C258AD">
              <w:rPr>
                <w:b/>
                <w:bCs/>
                <w:sz w:val="16"/>
                <w:szCs w:val="16"/>
              </w:rPr>
              <w:t>Niveaux de référence</w:t>
            </w:r>
          </w:p>
        </w:tc>
        <w:tc>
          <w:tcPr>
            <w:tcW w:w="836" w:type="pct"/>
            <w:tcBorders>
              <w:top w:val="single" w:sz="4" w:space="0" w:color="auto"/>
            </w:tcBorders>
            <w:shd w:val="clear" w:color="auto" w:fill="auto"/>
            <w:vAlign w:val="center"/>
          </w:tcPr>
          <w:p w:rsidR="00066B9C" w:rsidRPr="00C258AD" w:rsidRDefault="00066B9C" w:rsidP="001A4D6C">
            <w:pPr>
              <w:keepNext/>
              <w:keepLines/>
              <w:jc w:val="center"/>
              <w:rPr>
                <w:b/>
                <w:sz w:val="16"/>
                <w:szCs w:val="16"/>
              </w:rPr>
            </w:pPr>
            <w:r w:rsidRPr="00C258AD">
              <w:rPr>
                <w:b/>
                <w:sz w:val="16"/>
                <w:szCs w:val="16"/>
              </w:rPr>
              <w:t>Objectifs visés</w:t>
            </w:r>
          </w:p>
        </w:tc>
        <w:tc>
          <w:tcPr>
            <w:tcW w:w="1291" w:type="pct"/>
            <w:gridSpan w:val="2"/>
            <w:tcBorders>
              <w:top w:val="single" w:sz="4" w:space="0" w:color="auto"/>
            </w:tcBorders>
            <w:shd w:val="clear" w:color="auto" w:fill="auto"/>
            <w:vAlign w:val="center"/>
          </w:tcPr>
          <w:p w:rsidR="00066B9C" w:rsidRPr="00C258AD" w:rsidRDefault="00066B9C" w:rsidP="001A4D6C">
            <w:pPr>
              <w:keepNext/>
              <w:keepLines/>
              <w:jc w:val="center"/>
              <w:rPr>
                <w:sz w:val="16"/>
                <w:szCs w:val="16"/>
              </w:rPr>
            </w:pPr>
            <w:r w:rsidRPr="00C258AD">
              <w:rPr>
                <w:b/>
                <w:bCs/>
                <w:sz w:val="16"/>
                <w:szCs w:val="16"/>
              </w:rPr>
              <w:t>Données relatives à l’exécution</w:t>
            </w:r>
          </w:p>
        </w:tc>
        <w:tc>
          <w:tcPr>
            <w:tcW w:w="445" w:type="pct"/>
            <w:tcBorders>
              <w:top w:val="single" w:sz="4" w:space="0" w:color="auto"/>
            </w:tcBorders>
            <w:shd w:val="clear" w:color="auto" w:fill="auto"/>
            <w:vAlign w:val="center"/>
          </w:tcPr>
          <w:p w:rsidR="00066B9C" w:rsidRPr="00C258AD" w:rsidRDefault="00066B9C" w:rsidP="001A4D6C">
            <w:pPr>
              <w:keepNext/>
              <w:keepLines/>
              <w:jc w:val="center"/>
              <w:rPr>
                <w:b/>
                <w:bCs/>
                <w:sz w:val="16"/>
                <w:szCs w:val="16"/>
              </w:rPr>
            </w:pPr>
            <w:r w:rsidRPr="00C258AD">
              <w:rPr>
                <w:b/>
                <w:bCs/>
                <w:sz w:val="16"/>
                <w:szCs w:val="16"/>
              </w:rPr>
              <w:t>Code de couleurs</w:t>
            </w:r>
          </w:p>
        </w:tc>
      </w:tr>
      <w:tr w:rsidR="00066B9C" w:rsidRPr="00C258AD" w:rsidTr="001A4D6C">
        <w:trPr>
          <w:cantSplit/>
        </w:trPr>
        <w:tc>
          <w:tcPr>
            <w:tcW w:w="1138" w:type="pct"/>
            <w:shd w:val="clear" w:color="auto" w:fill="auto"/>
          </w:tcPr>
          <w:p w:rsidR="00066B9C" w:rsidRPr="00C258AD" w:rsidRDefault="00066B9C" w:rsidP="001A4D6C">
            <w:pPr>
              <w:rPr>
                <w:sz w:val="16"/>
                <w:szCs w:val="16"/>
                <w:lang w:bidi="th-TH"/>
              </w:rPr>
            </w:pPr>
            <w:r w:rsidRPr="00C258AD">
              <w:rPr>
                <w:sz w:val="16"/>
                <w:szCs w:val="16"/>
              </w:rPr>
              <w:t>Nombre de pays en transition ayant mis en place des programmes et/ou cours de formation annuels en matière de propriété intellectuelle à l’intention de spécialistes de la propriété intellectuelle</w:t>
            </w:r>
          </w:p>
        </w:tc>
        <w:tc>
          <w:tcPr>
            <w:tcW w:w="1290" w:type="pct"/>
            <w:shd w:val="clear" w:color="auto" w:fill="auto"/>
          </w:tcPr>
          <w:p w:rsidR="00066B9C" w:rsidRPr="00C258AD" w:rsidRDefault="00066B9C" w:rsidP="001A4D6C">
            <w:pPr>
              <w:rPr>
                <w:i/>
                <w:color w:val="002060"/>
                <w:sz w:val="16"/>
                <w:szCs w:val="16"/>
              </w:rPr>
            </w:pPr>
            <w:r w:rsidRPr="00C258AD">
              <w:rPr>
                <w:sz w:val="16"/>
                <w:szCs w:val="16"/>
              </w:rPr>
              <w:t>À déterminer</w:t>
            </w:r>
          </w:p>
        </w:tc>
        <w:tc>
          <w:tcPr>
            <w:tcW w:w="836" w:type="pct"/>
            <w:shd w:val="clear" w:color="auto" w:fill="auto"/>
            <w:tcMar>
              <w:top w:w="110" w:type="dxa"/>
            </w:tcMar>
          </w:tcPr>
          <w:p w:rsidR="00066B9C" w:rsidRPr="00C258AD" w:rsidRDefault="00066B9C" w:rsidP="001A4D6C">
            <w:pPr>
              <w:rPr>
                <w:sz w:val="16"/>
                <w:szCs w:val="16"/>
                <w:lang w:bidi="th-TH"/>
              </w:rPr>
            </w:pPr>
            <w:r w:rsidRPr="00C258AD">
              <w:rPr>
                <w:sz w:val="16"/>
                <w:szCs w:val="16"/>
                <w:lang w:bidi="th-TH"/>
              </w:rPr>
              <w:t>10</w:t>
            </w:r>
          </w:p>
        </w:tc>
        <w:tc>
          <w:tcPr>
            <w:tcW w:w="1291" w:type="pct"/>
            <w:gridSpan w:val="2"/>
            <w:shd w:val="clear" w:color="auto" w:fill="FFFFFF"/>
            <w:tcMar>
              <w:top w:w="110" w:type="dxa"/>
            </w:tcMar>
          </w:tcPr>
          <w:p w:rsidR="006E2BB1" w:rsidRPr="00C258AD" w:rsidRDefault="00066B9C" w:rsidP="001A4D6C">
            <w:pPr>
              <w:rPr>
                <w:sz w:val="16"/>
                <w:szCs w:val="16"/>
                <w:lang w:bidi="th-TH"/>
              </w:rPr>
            </w:pPr>
            <w:r w:rsidRPr="00C258AD">
              <w:rPr>
                <w:sz w:val="16"/>
                <w:szCs w:val="16"/>
                <w:lang w:bidi="th-TH"/>
              </w:rPr>
              <w:t>9 (Bulgarie, Croatie, Géorgie, Kazakhstan, Pologne, République tchèque, Roumanie, Slovaquie, Turquie)</w:t>
            </w:r>
          </w:p>
          <w:p w:rsidR="006E2BB1" w:rsidRPr="00C258AD" w:rsidRDefault="006E2BB1" w:rsidP="001A4D6C">
            <w:pPr>
              <w:rPr>
                <w:sz w:val="16"/>
                <w:szCs w:val="16"/>
                <w:lang w:bidi="th-TH"/>
              </w:rPr>
            </w:pPr>
          </w:p>
          <w:p w:rsidR="00066B9C" w:rsidRPr="00C258AD" w:rsidRDefault="00066B9C" w:rsidP="001A4D6C">
            <w:pPr>
              <w:rPr>
                <w:sz w:val="16"/>
                <w:szCs w:val="16"/>
                <w:lang w:bidi="th-TH"/>
              </w:rPr>
            </w:pPr>
            <w:r w:rsidRPr="00C258AD">
              <w:rPr>
                <w:rFonts w:cs="Arial"/>
                <w:sz w:val="16"/>
                <w:szCs w:val="16"/>
                <w:lang w:bidi="th-TH"/>
              </w:rPr>
              <w:t>Le 27 mars 2015, le Gouvernement roumain a approuvé le Programme relatif au cours facultatif d’enseignement des droits de propriété intellectuelle dans les écoles (Décision concernant le programme destiné aux écoles secondaires)</w:t>
            </w:r>
          </w:p>
        </w:tc>
        <w:tc>
          <w:tcPr>
            <w:tcW w:w="445" w:type="pct"/>
            <w:shd w:val="clear" w:color="auto" w:fill="auto"/>
            <w:tcMar>
              <w:top w:w="110" w:type="dxa"/>
            </w:tcMar>
          </w:tcPr>
          <w:p w:rsidR="00066B9C" w:rsidRPr="00C258AD" w:rsidRDefault="00066B9C" w:rsidP="001A4D6C">
            <w:pPr>
              <w:keepNext/>
              <w:keepLines/>
              <w:jc w:val="center"/>
              <w:rPr>
                <w:b/>
                <w:bCs/>
                <w:color w:val="00B050"/>
                <w:sz w:val="16"/>
                <w:szCs w:val="16"/>
              </w:rPr>
            </w:pPr>
            <w:r w:rsidRPr="00C258AD">
              <w:rPr>
                <w:rFonts w:cs="Arial"/>
                <w:b/>
                <w:bCs/>
                <w:color w:val="00B050"/>
                <w:sz w:val="16"/>
                <w:szCs w:val="16"/>
              </w:rPr>
              <w:t>Objectif pleinement atteint</w:t>
            </w:r>
          </w:p>
        </w:tc>
      </w:tr>
      <w:tr w:rsidR="00066B9C" w:rsidRPr="00C258AD" w:rsidTr="001A4D6C">
        <w:trPr>
          <w:cantSplit/>
        </w:trPr>
        <w:tc>
          <w:tcPr>
            <w:tcW w:w="1138" w:type="pct"/>
            <w:tcBorders>
              <w:bottom w:val="single" w:sz="4" w:space="0" w:color="auto"/>
            </w:tcBorders>
            <w:shd w:val="clear" w:color="auto" w:fill="auto"/>
          </w:tcPr>
          <w:p w:rsidR="00066B9C" w:rsidRPr="00C258AD" w:rsidRDefault="00066B9C" w:rsidP="001A4D6C">
            <w:pPr>
              <w:rPr>
                <w:sz w:val="16"/>
                <w:szCs w:val="16"/>
                <w:lang w:bidi="th-TH"/>
              </w:rPr>
            </w:pPr>
            <w:r w:rsidRPr="00C258AD">
              <w:rPr>
                <w:sz w:val="16"/>
                <w:szCs w:val="16"/>
              </w:rPr>
              <w:t>Pourcentage de spécialistes de la propriété intellectuelle formés et de fonctionnaires des offices de propriété intellectuelle qui mettent en pratique, dans leur travail, leurs compétences améliorées</w:t>
            </w:r>
          </w:p>
        </w:tc>
        <w:tc>
          <w:tcPr>
            <w:tcW w:w="1290" w:type="pct"/>
            <w:tcBorders>
              <w:bottom w:val="single" w:sz="4" w:space="0" w:color="auto"/>
            </w:tcBorders>
            <w:shd w:val="clear" w:color="auto" w:fill="auto"/>
          </w:tcPr>
          <w:p w:rsidR="006E2BB1" w:rsidRPr="00C258AD" w:rsidRDefault="00066B9C" w:rsidP="001A4D6C">
            <w:pPr>
              <w:rPr>
                <w:color w:val="000000"/>
                <w:sz w:val="16"/>
                <w:szCs w:val="16"/>
                <w:lang w:bidi="th-TH"/>
              </w:rPr>
            </w:pPr>
            <w:r w:rsidRPr="00C258AD">
              <w:rPr>
                <w:i/>
                <w:color w:val="002060"/>
                <w:sz w:val="16"/>
                <w:szCs w:val="16"/>
                <w:lang w:bidi="th-TH"/>
              </w:rPr>
              <w:t xml:space="preserve">Niveau de référence actualisé à fin 2013 : </w:t>
            </w:r>
            <w:r w:rsidRPr="00C258AD">
              <w:rPr>
                <w:color w:val="002060"/>
                <w:sz w:val="16"/>
                <w:szCs w:val="16"/>
                <w:lang w:bidi="th-TH"/>
              </w:rPr>
              <w:t xml:space="preserve">69% des fonctionnaires des offices de propriété intellectuelle </w:t>
            </w:r>
            <w:r w:rsidRPr="00C258AD">
              <w:rPr>
                <w:color w:val="002060"/>
                <w:sz w:val="16"/>
                <w:szCs w:val="16"/>
              </w:rPr>
              <w:t>formés mettaient en pratique, dans leur travail, leurs compétences améliorées</w:t>
            </w:r>
          </w:p>
          <w:p w:rsidR="006E2BB1" w:rsidRPr="00C258AD" w:rsidRDefault="006E2BB1" w:rsidP="001A4D6C">
            <w:pPr>
              <w:rPr>
                <w:i/>
                <w:color w:val="002060"/>
                <w:sz w:val="16"/>
                <w:szCs w:val="16"/>
              </w:rPr>
            </w:pPr>
          </w:p>
          <w:p w:rsidR="00066B9C" w:rsidRPr="00C258AD" w:rsidRDefault="00066B9C" w:rsidP="001A4D6C">
            <w:pPr>
              <w:rPr>
                <w:i/>
                <w:color w:val="002060"/>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40%</w:t>
            </w:r>
          </w:p>
        </w:tc>
        <w:tc>
          <w:tcPr>
            <w:tcW w:w="836" w:type="pct"/>
            <w:tcBorders>
              <w:bottom w:val="single" w:sz="4" w:space="0" w:color="auto"/>
            </w:tcBorders>
            <w:shd w:val="clear" w:color="auto" w:fill="auto"/>
            <w:tcMar>
              <w:top w:w="110" w:type="dxa"/>
            </w:tcMar>
          </w:tcPr>
          <w:p w:rsidR="00066B9C" w:rsidRPr="00C258AD" w:rsidRDefault="00066B9C" w:rsidP="001A4D6C">
            <w:pPr>
              <w:rPr>
                <w:sz w:val="16"/>
                <w:szCs w:val="16"/>
                <w:lang w:bidi="th-TH"/>
              </w:rPr>
            </w:pPr>
            <w:r w:rsidRPr="00C258AD">
              <w:rPr>
                <w:sz w:val="16"/>
                <w:szCs w:val="16"/>
                <w:lang w:bidi="th-TH"/>
              </w:rPr>
              <w:t>50%</w:t>
            </w:r>
          </w:p>
        </w:tc>
        <w:tc>
          <w:tcPr>
            <w:tcW w:w="1291" w:type="pct"/>
            <w:gridSpan w:val="2"/>
            <w:tcBorders>
              <w:bottom w:val="single" w:sz="4" w:space="0" w:color="auto"/>
            </w:tcBorders>
            <w:shd w:val="clear" w:color="auto" w:fill="FFFFFF"/>
            <w:tcMar>
              <w:top w:w="110" w:type="dxa"/>
            </w:tcMar>
          </w:tcPr>
          <w:p w:rsidR="00066B9C" w:rsidRPr="00C258AD" w:rsidRDefault="00066B9C" w:rsidP="001A4D6C">
            <w:pPr>
              <w:rPr>
                <w:sz w:val="16"/>
                <w:szCs w:val="16"/>
                <w:lang w:bidi="th-TH"/>
              </w:rPr>
            </w:pPr>
            <w:r w:rsidRPr="00C258AD">
              <w:rPr>
                <w:color w:val="000000"/>
                <w:sz w:val="16"/>
                <w:szCs w:val="16"/>
                <w:lang w:bidi="th-TH"/>
              </w:rPr>
              <w:t>En 2014</w:t>
            </w:r>
            <w:r w:rsidRPr="00C258AD">
              <w:rPr>
                <w:color w:val="000000"/>
                <w:sz w:val="16"/>
                <w:szCs w:val="16"/>
                <w:lang w:bidi="th-TH"/>
              </w:rPr>
              <w:noBreakHyphen/>
              <w:t xml:space="preserve">2015, 82,7% des </w:t>
            </w:r>
            <w:r w:rsidRPr="00C258AD">
              <w:rPr>
                <w:sz w:val="16"/>
                <w:szCs w:val="16"/>
              </w:rPr>
              <w:t>fonctionnaires des offices de propriété intellectuelle formés mettaient en pratique, dans leur travail, leurs compétences améliorées</w:t>
            </w:r>
          </w:p>
        </w:tc>
        <w:tc>
          <w:tcPr>
            <w:tcW w:w="445" w:type="pct"/>
            <w:tcBorders>
              <w:bottom w:val="single" w:sz="4" w:space="0" w:color="auto"/>
            </w:tcBorders>
            <w:shd w:val="clear" w:color="auto" w:fill="auto"/>
            <w:tcMar>
              <w:top w:w="110" w:type="dxa"/>
            </w:tcMar>
          </w:tcPr>
          <w:p w:rsidR="00066B9C" w:rsidRPr="00C258AD" w:rsidRDefault="00066B9C" w:rsidP="001A4D6C">
            <w:pPr>
              <w:keepNext/>
              <w:keepLines/>
              <w:jc w:val="center"/>
              <w:rPr>
                <w:b/>
                <w:bCs/>
                <w:color w:val="00B050"/>
                <w:sz w:val="16"/>
                <w:szCs w:val="16"/>
              </w:rPr>
            </w:pPr>
            <w:r w:rsidRPr="00C258AD">
              <w:rPr>
                <w:rFonts w:cs="Arial"/>
                <w:b/>
                <w:bCs/>
                <w:color w:val="00B050"/>
                <w:sz w:val="16"/>
                <w:szCs w:val="16"/>
              </w:rPr>
              <w:t>Objectif pleinement atteint</w:t>
            </w:r>
          </w:p>
        </w:tc>
      </w:tr>
      <w:tr w:rsidR="00066B9C" w:rsidRPr="00C258AD" w:rsidTr="001A4D6C">
        <w:trPr>
          <w:cantSplit/>
        </w:trPr>
        <w:tc>
          <w:tcPr>
            <w:tcW w:w="5000" w:type="pct"/>
            <w:gridSpan w:val="6"/>
            <w:tcBorders>
              <w:top w:val="single" w:sz="4" w:space="0" w:color="auto"/>
              <w:bottom w:val="single" w:sz="4" w:space="0" w:color="auto"/>
            </w:tcBorders>
            <w:shd w:val="clear" w:color="auto" w:fill="C5D9F1"/>
            <w:vAlign w:val="center"/>
          </w:tcPr>
          <w:p w:rsidR="00066B9C" w:rsidRPr="00C258AD" w:rsidRDefault="00066B9C" w:rsidP="001A4D6C">
            <w:pPr>
              <w:keepNext/>
              <w:rPr>
                <w:b/>
                <w:bCs/>
                <w:sz w:val="16"/>
                <w:szCs w:val="16"/>
              </w:rPr>
            </w:pPr>
            <w:r w:rsidRPr="00C258AD">
              <w:rPr>
                <w:b/>
                <w:bCs/>
                <w:sz w:val="16"/>
                <w:szCs w:val="16"/>
              </w:rPr>
              <w:t xml:space="preserve">Résultat escompté : </w:t>
            </w:r>
            <w:r w:rsidRPr="00C258AD">
              <w:rPr>
                <w:sz w:val="16"/>
                <w:szCs w:val="16"/>
                <w:lang w:bidi="th-TH"/>
              </w:rPr>
              <w:t xml:space="preserve">III.4 </w:t>
            </w:r>
            <w:r w:rsidRPr="00C258AD">
              <w:rPr>
                <w:sz w:val="16"/>
                <w:szCs w:val="16"/>
              </w:rPr>
              <w:t>Mécanismes et programmes de coopération renforcés, adaptés aux besoins des pays en développement et des PMA</w:t>
            </w:r>
          </w:p>
        </w:tc>
      </w:tr>
      <w:tr w:rsidR="00066B9C" w:rsidRPr="00C258AD" w:rsidTr="001A4D6C">
        <w:trPr>
          <w:cantSplit/>
        </w:trPr>
        <w:tc>
          <w:tcPr>
            <w:tcW w:w="1138" w:type="pct"/>
            <w:tcBorders>
              <w:top w:val="single" w:sz="4" w:space="0" w:color="auto"/>
            </w:tcBorders>
            <w:shd w:val="clear" w:color="auto" w:fill="auto"/>
            <w:vAlign w:val="center"/>
          </w:tcPr>
          <w:p w:rsidR="00066B9C" w:rsidRPr="00C258AD" w:rsidRDefault="00066B9C" w:rsidP="001A4D6C">
            <w:pPr>
              <w:keepNext/>
              <w:keepLines/>
              <w:jc w:val="center"/>
              <w:rPr>
                <w:sz w:val="16"/>
                <w:szCs w:val="16"/>
              </w:rPr>
            </w:pPr>
            <w:r w:rsidRPr="00C258AD">
              <w:rPr>
                <w:b/>
                <w:bCs/>
                <w:sz w:val="16"/>
                <w:szCs w:val="16"/>
              </w:rPr>
              <w:t>Indicateurs d’exécution</w:t>
            </w:r>
          </w:p>
        </w:tc>
        <w:tc>
          <w:tcPr>
            <w:tcW w:w="1290" w:type="pct"/>
            <w:tcBorders>
              <w:top w:val="single" w:sz="4" w:space="0" w:color="auto"/>
            </w:tcBorders>
            <w:shd w:val="clear" w:color="auto" w:fill="auto"/>
            <w:vAlign w:val="center"/>
          </w:tcPr>
          <w:p w:rsidR="00066B9C" w:rsidRPr="00C258AD" w:rsidRDefault="00066B9C" w:rsidP="001A4D6C">
            <w:pPr>
              <w:keepNext/>
              <w:keepLines/>
              <w:jc w:val="center"/>
              <w:rPr>
                <w:b/>
                <w:bCs/>
                <w:sz w:val="16"/>
                <w:szCs w:val="16"/>
              </w:rPr>
            </w:pPr>
            <w:r w:rsidRPr="00C258AD">
              <w:rPr>
                <w:b/>
                <w:bCs/>
                <w:sz w:val="16"/>
                <w:szCs w:val="16"/>
              </w:rPr>
              <w:t>Niveaux de référence</w:t>
            </w:r>
          </w:p>
        </w:tc>
        <w:tc>
          <w:tcPr>
            <w:tcW w:w="836" w:type="pct"/>
            <w:tcBorders>
              <w:top w:val="single" w:sz="4" w:space="0" w:color="auto"/>
            </w:tcBorders>
            <w:shd w:val="clear" w:color="auto" w:fill="auto"/>
            <w:vAlign w:val="center"/>
          </w:tcPr>
          <w:p w:rsidR="00066B9C" w:rsidRPr="00C258AD" w:rsidRDefault="00066B9C" w:rsidP="001A4D6C">
            <w:pPr>
              <w:keepNext/>
              <w:keepLines/>
              <w:jc w:val="center"/>
              <w:rPr>
                <w:b/>
                <w:sz w:val="16"/>
                <w:szCs w:val="16"/>
              </w:rPr>
            </w:pPr>
            <w:r w:rsidRPr="00C258AD">
              <w:rPr>
                <w:b/>
                <w:sz w:val="16"/>
                <w:szCs w:val="16"/>
              </w:rPr>
              <w:t>Objectifs visés</w:t>
            </w:r>
          </w:p>
        </w:tc>
        <w:tc>
          <w:tcPr>
            <w:tcW w:w="1291" w:type="pct"/>
            <w:gridSpan w:val="2"/>
            <w:tcBorders>
              <w:top w:val="single" w:sz="4" w:space="0" w:color="auto"/>
            </w:tcBorders>
            <w:shd w:val="clear" w:color="auto" w:fill="auto"/>
            <w:vAlign w:val="center"/>
          </w:tcPr>
          <w:p w:rsidR="00066B9C" w:rsidRPr="00C258AD" w:rsidRDefault="00066B9C" w:rsidP="001A4D6C">
            <w:pPr>
              <w:keepNext/>
              <w:keepLines/>
              <w:jc w:val="center"/>
              <w:rPr>
                <w:sz w:val="16"/>
                <w:szCs w:val="16"/>
              </w:rPr>
            </w:pPr>
            <w:r w:rsidRPr="00C258AD">
              <w:rPr>
                <w:b/>
                <w:bCs/>
                <w:sz w:val="16"/>
                <w:szCs w:val="16"/>
              </w:rPr>
              <w:t>Données relatives à l’exécution</w:t>
            </w:r>
          </w:p>
        </w:tc>
        <w:tc>
          <w:tcPr>
            <w:tcW w:w="445" w:type="pct"/>
            <w:tcBorders>
              <w:top w:val="single" w:sz="4" w:space="0" w:color="auto"/>
            </w:tcBorders>
            <w:shd w:val="clear" w:color="auto" w:fill="auto"/>
            <w:vAlign w:val="center"/>
          </w:tcPr>
          <w:p w:rsidR="00066B9C" w:rsidRPr="00C258AD" w:rsidRDefault="00066B9C" w:rsidP="001A4D6C">
            <w:pPr>
              <w:keepNext/>
              <w:keepLines/>
              <w:jc w:val="center"/>
              <w:rPr>
                <w:b/>
                <w:bCs/>
                <w:sz w:val="16"/>
                <w:szCs w:val="16"/>
              </w:rPr>
            </w:pPr>
            <w:r w:rsidRPr="00C258AD">
              <w:rPr>
                <w:b/>
                <w:bCs/>
                <w:sz w:val="16"/>
                <w:szCs w:val="16"/>
              </w:rPr>
              <w:t>Code de couleurs</w:t>
            </w:r>
          </w:p>
        </w:tc>
      </w:tr>
      <w:tr w:rsidR="00066B9C" w:rsidRPr="00C258AD" w:rsidTr="001A4D6C">
        <w:trPr>
          <w:cantSplit/>
        </w:trPr>
        <w:tc>
          <w:tcPr>
            <w:tcW w:w="1138" w:type="pct"/>
            <w:tcBorders>
              <w:bottom w:val="single" w:sz="4" w:space="0" w:color="auto"/>
            </w:tcBorders>
            <w:shd w:val="clear" w:color="auto" w:fill="auto"/>
          </w:tcPr>
          <w:p w:rsidR="00066B9C" w:rsidRPr="00C258AD" w:rsidRDefault="00066B9C" w:rsidP="001A4D6C">
            <w:pPr>
              <w:tabs>
                <w:tab w:val="left" w:pos="347"/>
              </w:tabs>
              <w:rPr>
                <w:sz w:val="16"/>
                <w:szCs w:val="16"/>
                <w:lang w:bidi="th-TH"/>
              </w:rPr>
            </w:pPr>
            <w:r w:rsidRPr="00C258AD">
              <w:rPr>
                <w:sz w:val="16"/>
                <w:szCs w:val="16"/>
              </w:rPr>
              <w:t>Nombre de partenariats établis où la partie dispensant l’assistance est originaire d’un pays développé</w:t>
            </w:r>
          </w:p>
        </w:tc>
        <w:tc>
          <w:tcPr>
            <w:tcW w:w="1290" w:type="pct"/>
            <w:tcBorders>
              <w:bottom w:val="single" w:sz="4" w:space="0" w:color="auto"/>
            </w:tcBorders>
            <w:shd w:val="clear" w:color="auto" w:fill="auto"/>
          </w:tcPr>
          <w:p w:rsidR="00066B9C" w:rsidRPr="00C258AD" w:rsidRDefault="00066B9C" w:rsidP="001A4D6C">
            <w:pPr>
              <w:rPr>
                <w:i/>
                <w:color w:val="002060"/>
                <w:sz w:val="16"/>
                <w:szCs w:val="16"/>
              </w:rPr>
            </w:pPr>
            <w:r w:rsidRPr="00C258AD">
              <w:rPr>
                <w:sz w:val="16"/>
                <w:szCs w:val="16"/>
              </w:rPr>
              <w:t>À déterminer</w:t>
            </w:r>
          </w:p>
        </w:tc>
        <w:tc>
          <w:tcPr>
            <w:tcW w:w="836" w:type="pct"/>
            <w:tcBorders>
              <w:bottom w:val="single" w:sz="4" w:space="0" w:color="auto"/>
            </w:tcBorders>
            <w:shd w:val="clear" w:color="auto" w:fill="auto"/>
            <w:tcMar>
              <w:top w:w="110" w:type="dxa"/>
            </w:tcMar>
          </w:tcPr>
          <w:p w:rsidR="00066B9C" w:rsidRPr="00C258AD" w:rsidRDefault="00066B9C" w:rsidP="001A4D6C">
            <w:pPr>
              <w:rPr>
                <w:sz w:val="16"/>
                <w:szCs w:val="16"/>
                <w:lang w:bidi="th-TH"/>
              </w:rPr>
            </w:pPr>
            <w:r w:rsidRPr="00C258AD">
              <w:rPr>
                <w:sz w:val="16"/>
                <w:szCs w:val="16"/>
                <w:lang w:bidi="th-TH"/>
              </w:rPr>
              <w:t>4 mémorandums d’accord supplémentaires;  10 concordances supplémentaires dans la base de données de mise en parallèle</w:t>
            </w:r>
          </w:p>
        </w:tc>
        <w:tc>
          <w:tcPr>
            <w:tcW w:w="1291" w:type="pct"/>
            <w:gridSpan w:val="2"/>
            <w:tcBorders>
              <w:bottom w:val="single" w:sz="4" w:space="0" w:color="auto"/>
            </w:tcBorders>
            <w:shd w:val="clear" w:color="auto" w:fill="FFFFFF"/>
            <w:tcMar>
              <w:top w:w="110" w:type="dxa"/>
            </w:tcMar>
          </w:tcPr>
          <w:p w:rsidR="006E2BB1" w:rsidRPr="00C258AD" w:rsidRDefault="00066B9C" w:rsidP="001A4D6C">
            <w:pPr>
              <w:rPr>
                <w:sz w:val="16"/>
                <w:szCs w:val="16"/>
                <w:lang w:bidi="th-TH"/>
              </w:rPr>
            </w:pPr>
            <w:r w:rsidRPr="00C258AD">
              <w:rPr>
                <w:sz w:val="16"/>
                <w:szCs w:val="16"/>
                <w:lang w:bidi="th-TH"/>
              </w:rPr>
              <w:t>5 nouveaux mémorandums d’accord (Allemagne, Danemark, Espagne, France, Israël)</w:t>
            </w:r>
          </w:p>
          <w:p w:rsidR="006E2BB1" w:rsidRPr="00C258AD" w:rsidRDefault="006E2BB1" w:rsidP="001A4D6C">
            <w:pPr>
              <w:rPr>
                <w:sz w:val="16"/>
                <w:szCs w:val="16"/>
                <w:lang w:bidi="th-TH"/>
              </w:rPr>
            </w:pPr>
          </w:p>
          <w:p w:rsidR="00066B9C" w:rsidRPr="00C258AD" w:rsidRDefault="00066B9C" w:rsidP="001A4D6C">
            <w:pPr>
              <w:rPr>
                <w:sz w:val="16"/>
                <w:szCs w:val="16"/>
                <w:lang w:bidi="th-TH"/>
              </w:rPr>
            </w:pPr>
            <w:r w:rsidRPr="00C258AD">
              <w:rPr>
                <w:sz w:val="16"/>
                <w:szCs w:val="16"/>
                <w:lang w:bidi="th-TH"/>
              </w:rPr>
              <w:t>Un plan ciblé destiné à accroître sensiblement le nombre de téléchargements et de concordances</w:t>
            </w:r>
            <w:r w:rsidRPr="00C258AD">
              <w:rPr>
                <w:rFonts w:cs="Arial"/>
                <w:sz w:val="16"/>
                <w:szCs w:val="16"/>
                <w:lang w:bidi="th-TH"/>
              </w:rPr>
              <w:t xml:space="preserve"> était en cours de mise en œuvre.  Toutefois, les résultats obtenus n’étaient pas encore en évidence à la fin de l’exercice biennal.  </w:t>
            </w:r>
          </w:p>
        </w:tc>
        <w:tc>
          <w:tcPr>
            <w:tcW w:w="445" w:type="pct"/>
            <w:tcBorders>
              <w:bottom w:val="single" w:sz="4" w:space="0" w:color="auto"/>
            </w:tcBorders>
            <w:shd w:val="clear" w:color="auto" w:fill="auto"/>
            <w:tcMar>
              <w:top w:w="110" w:type="dxa"/>
            </w:tcMar>
          </w:tcPr>
          <w:p w:rsidR="006E2BB1" w:rsidRPr="00C258AD" w:rsidRDefault="00066B9C" w:rsidP="001A4D6C">
            <w:pPr>
              <w:keepNext/>
              <w:keepLines/>
              <w:jc w:val="center"/>
              <w:rPr>
                <w:b/>
                <w:bCs/>
                <w:color w:val="00B050"/>
                <w:sz w:val="16"/>
                <w:szCs w:val="16"/>
              </w:rPr>
            </w:pPr>
            <w:r w:rsidRPr="00C258AD">
              <w:rPr>
                <w:rFonts w:cs="Arial"/>
                <w:b/>
                <w:bCs/>
                <w:color w:val="00B050"/>
                <w:sz w:val="16"/>
                <w:szCs w:val="16"/>
              </w:rPr>
              <w:t>Objectif pleinement atteint</w:t>
            </w:r>
          </w:p>
          <w:p w:rsidR="006E2BB1" w:rsidRPr="00C258AD" w:rsidRDefault="006E2BB1" w:rsidP="001A4D6C">
            <w:pPr>
              <w:keepNext/>
              <w:keepLines/>
              <w:jc w:val="center"/>
              <w:rPr>
                <w:b/>
                <w:bCs/>
                <w:color w:val="00B050"/>
                <w:sz w:val="16"/>
                <w:szCs w:val="16"/>
              </w:rPr>
            </w:pPr>
          </w:p>
          <w:p w:rsidR="006E2BB1" w:rsidRPr="00C258AD" w:rsidRDefault="006E2BB1" w:rsidP="001A4D6C">
            <w:pPr>
              <w:keepNext/>
              <w:keepLines/>
              <w:jc w:val="center"/>
              <w:rPr>
                <w:b/>
                <w:bCs/>
                <w:color w:val="00B050"/>
                <w:sz w:val="16"/>
                <w:szCs w:val="16"/>
              </w:rPr>
            </w:pPr>
          </w:p>
          <w:p w:rsidR="00066B9C" w:rsidRPr="00C258AD" w:rsidRDefault="00066B9C" w:rsidP="001A4D6C">
            <w:pPr>
              <w:keepNext/>
              <w:keepLines/>
              <w:jc w:val="center"/>
              <w:rPr>
                <w:b/>
                <w:bCs/>
                <w:color w:val="00B050"/>
                <w:sz w:val="16"/>
                <w:szCs w:val="16"/>
              </w:rPr>
            </w:pPr>
            <w:r w:rsidRPr="00C258AD">
              <w:rPr>
                <w:rFonts w:cs="Arial"/>
                <w:b/>
                <w:bCs/>
                <w:color w:val="FF0000"/>
                <w:sz w:val="16"/>
                <w:szCs w:val="16"/>
              </w:rPr>
              <w:t>Objectif pas atteint</w:t>
            </w:r>
          </w:p>
        </w:tc>
      </w:tr>
      <w:tr w:rsidR="00066B9C" w:rsidRPr="00C258AD" w:rsidTr="001A4D6C">
        <w:trPr>
          <w:cantSplit/>
        </w:trPr>
        <w:tc>
          <w:tcPr>
            <w:tcW w:w="5000" w:type="pct"/>
            <w:gridSpan w:val="6"/>
            <w:tcBorders>
              <w:top w:val="single" w:sz="4" w:space="0" w:color="auto"/>
              <w:bottom w:val="single" w:sz="4" w:space="0" w:color="auto"/>
            </w:tcBorders>
            <w:shd w:val="clear" w:color="auto" w:fill="C5D9F1"/>
            <w:vAlign w:val="center"/>
          </w:tcPr>
          <w:p w:rsidR="00066B9C" w:rsidRPr="00C258AD" w:rsidRDefault="00066B9C" w:rsidP="001A4D6C">
            <w:pPr>
              <w:keepNext/>
              <w:keepLines/>
              <w:rPr>
                <w:b/>
                <w:bCs/>
                <w:sz w:val="16"/>
                <w:szCs w:val="16"/>
              </w:rPr>
            </w:pPr>
            <w:r w:rsidRPr="00C258AD">
              <w:rPr>
                <w:b/>
                <w:bCs/>
                <w:sz w:val="16"/>
                <w:szCs w:val="16"/>
              </w:rPr>
              <w:lastRenderedPageBreak/>
              <w:t xml:space="preserve">Résultat escompté : </w:t>
            </w:r>
            <w:r w:rsidRPr="00C258AD">
              <w:rPr>
                <w:sz w:val="16"/>
                <w:szCs w:val="16"/>
                <w:lang w:bidi="th-TH"/>
              </w:rPr>
              <w:t xml:space="preserve">III.6 </w:t>
            </w:r>
            <w:r w:rsidRPr="00C258AD">
              <w:rPr>
                <w:sz w:val="16"/>
                <w:szCs w:val="16"/>
              </w:rPr>
              <w:t>Renforcement des capacités des PME de mettre la propriété intellectuelle au service de l’innovation</w:t>
            </w:r>
          </w:p>
        </w:tc>
      </w:tr>
      <w:tr w:rsidR="00066B9C" w:rsidRPr="00C258AD" w:rsidTr="001A4D6C">
        <w:trPr>
          <w:cantSplit/>
        </w:trPr>
        <w:tc>
          <w:tcPr>
            <w:tcW w:w="1138" w:type="pct"/>
            <w:tcBorders>
              <w:top w:val="single" w:sz="4" w:space="0" w:color="auto"/>
            </w:tcBorders>
            <w:shd w:val="clear" w:color="auto" w:fill="auto"/>
            <w:vAlign w:val="center"/>
          </w:tcPr>
          <w:p w:rsidR="00066B9C" w:rsidRPr="00C258AD" w:rsidRDefault="00066B9C" w:rsidP="001A4D6C">
            <w:pPr>
              <w:keepNext/>
              <w:keepLines/>
              <w:jc w:val="center"/>
              <w:rPr>
                <w:sz w:val="16"/>
                <w:szCs w:val="16"/>
              </w:rPr>
            </w:pPr>
            <w:r w:rsidRPr="00C258AD">
              <w:rPr>
                <w:b/>
                <w:bCs/>
                <w:sz w:val="16"/>
                <w:szCs w:val="16"/>
              </w:rPr>
              <w:t>Indicateurs d’exécution</w:t>
            </w:r>
          </w:p>
        </w:tc>
        <w:tc>
          <w:tcPr>
            <w:tcW w:w="1290" w:type="pct"/>
            <w:tcBorders>
              <w:top w:val="single" w:sz="4" w:space="0" w:color="auto"/>
            </w:tcBorders>
            <w:shd w:val="clear" w:color="auto" w:fill="auto"/>
            <w:vAlign w:val="center"/>
          </w:tcPr>
          <w:p w:rsidR="00066B9C" w:rsidRPr="00C258AD" w:rsidRDefault="00066B9C" w:rsidP="001A4D6C">
            <w:pPr>
              <w:keepNext/>
              <w:keepLines/>
              <w:jc w:val="center"/>
              <w:rPr>
                <w:b/>
                <w:bCs/>
                <w:sz w:val="16"/>
                <w:szCs w:val="16"/>
              </w:rPr>
            </w:pPr>
            <w:r w:rsidRPr="00C258AD">
              <w:rPr>
                <w:b/>
                <w:bCs/>
                <w:sz w:val="16"/>
                <w:szCs w:val="16"/>
              </w:rPr>
              <w:t>Niveaux de référence</w:t>
            </w:r>
          </w:p>
        </w:tc>
        <w:tc>
          <w:tcPr>
            <w:tcW w:w="836" w:type="pct"/>
            <w:tcBorders>
              <w:top w:val="single" w:sz="4" w:space="0" w:color="auto"/>
            </w:tcBorders>
            <w:shd w:val="clear" w:color="auto" w:fill="auto"/>
            <w:vAlign w:val="center"/>
          </w:tcPr>
          <w:p w:rsidR="00066B9C" w:rsidRPr="00C258AD" w:rsidRDefault="00066B9C" w:rsidP="001A4D6C">
            <w:pPr>
              <w:keepNext/>
              <w:keepLines/>
              <w:jc w:val="center"/>
              <w:rPr>
                <w:b/>
                <w:sz w:val="16"/>
                <w:szCs w:val="16"/>
              </w:rPr>
            </w:pPr>
            <w:r w:rsidRPr="00C258AD">
              <w:rPr>
                <w:b/>
                <w:sz w:val="16"/>
                <w:szCs w:val="16"/>
              </w:rPr>
              <w:t>Objectifs visés</w:t>
            </w:r>
          </w:p>
        </w:tc>
        <w:tc>
          <w:tcPr>
            <w:tcW w:w="1291" w:type="pct"/>
            <w:gridSpan w:val="2"/>
            <w:tcBorders>
              <w:top w:val="single" w:sz="4" w:space="0" w:color="auto"/>
            </w:tcBorders>
            <w:shd w:val="clear" w:color="auto" w:fill="auto"/>
            <w:vAlign w:val="center"/>
          </w:tcPr>
          <w:p w:rsidR="00066B9C" w:rsidRPr="00C258AD" w:rsidRDefault="00066B9C" w:rsidP="001A4D6C">
            <w:pPr>
              <w:keepNext/>
              <w:keepLines/>
              <w:jc w:val="center"/>
              <w:rPr>
                <w:sz w:val="16"/>
                <w:szCs w:val="16"/>
              </w:rPr>
            </w:pPr>
            <w:r w:rsidRPr="00C258AD">
              <w:rPr>
                <w:b/>
                <w:bCs/>
                <w:sz w:val="16"/>
                <w:szCs w:val="16"/>
              </w:rPr>
              <w:t>Données relatives à l’exécution</w:t>
            </w:r>
          </w:p>
        </w:tc>
        <w:tc>
          <w:tcPr>
            <w:tcW w:w="445" w:type="pct"/>
            <w:tcBorders>
              <w:top w:val="single" w:sz="4" w:space="0" w:color="auto"/>
            </w:tcBorders>
            <w:shd w:val="clear" w:color="auto" w:fill="auto"/>
            <w:vAlign w:val="center"/>
          </w:tcPr>
          <w:p w:rsidR="00066B9C" w:rsidRPr="00C258AD" w:rsidRDefault="00066B9C" w:rsidP="001A4D6C">
            <w:pPr>
              <w:keepNext/>
              <w:keepLines/>
              <w:jc w:val="center"/>
              <w:rPr>
                <w:b/>
                <w:bCs/>
                <w:sz w:val="16"/>
                <w:szCs w:val="16"/>
              </w:rPr>
            </w:pPr>
            <w:r w:rsidRPr="00C258AD">
              <w:rPr>
                <w:b/>
                <w:bCs/>
                <w:sz w:val="16"/>
                <w:szCs w:val="16"/>
              </w:rPr>
              <w:t>Code de couleurs</w:t>
            </w:r>
          </w:p>
        </w:tc>
      </w:tr>
      <w:tr w:rsidR="00066B9C" w:rsidRPr="00C258AD" w:rsidTr="001A4D6C">
        <w:trPr>
          <w:cantSplit/>
        </w:trPr>
        <w:tc>
          <w:tcPr>
            <w:tcW w:w="1138" w:type="pct"/>
            <w:shd w:val="clear" w:color="auto" w:fill="auto"/>
          </w:tcPr>
          <w:p w:rsidR="00066B9C" w:rsidRPr="00C258AD" w:rsidRDefault="00066B9C" w:rsidP="001A4D6C">
            <w:pPr>
              <w:tabs>
                <w:tab w:val="left" w:pos="347"/>
              </w:tabs>
              <w:rPr>
                <w:sz w:val="16"/>
                <w:szCs w:val="16"/>
                <w:lang w:bidi="th-TH"/>
              </w:rPr>
            </w:pPr>
            <w:r w:rsidRPr="00C258AD">
              <w:rPr>
                <w:sz w:val="16"/>
                <w:szCs w:val="16"/>
              </w:rPr>
              <w:t>Pourcentage des participants à des programmes de formation visant les institutions d’appui aux PME qui se sont dits satisfaits du contenu et de l’organisation de ces événements</w:t>
            </w:r>
          </w:p>
        </w:tc>
        <w:tc>
          <w:tcPr>
            <w:tcW w:w="1290" w:type="pct"/>
            <w:shd w:val="clear" w:color="auto" w:fill="auto"/>
          </w:tcPr>
          <w:p w:rsidR="00066B9C" w:rsidRPr="00C258AD" w:rsidRDefault="00066B9C" w:rsidP="001A4D6C">
            <w:pPr>
              <w:rPr>
                <w:i/>
                <w:color w:val="002060"/>
                <w:sz w:val="16"/>
                <w:szCs w:val="16"/>
              </w:rPr>
            </w:pPr>
            <w:r w:rsidRPr="00C258AD">
              <w:rPr>
                <w:sz w:val="16"/>
                <w:szCs w:val="16"/>
              </w:rPr>
              <w:t>À déterminer</w:t>
            </w:r>
          </w:p>
        </w:tc>
        <w:tc>
          <w:tcPr>
            <w:tcW w:w="836" w:type="pct"/>
            <w:shd w:val="clear" w:color="auto" w:fill="auto"/>
            <w:tcMar>
              <w:top w:w="110" w:type="dxa"/>
            </w:tcMar>
          </w:tcPr>
          <w:p w:rsidR="006E2BB1" w:rsidRPr="00C258AD" w:rsidRDefault="00066B9C" w:rsidP="001A4D6C">
            <w:pPr>
              <w:rPr>
                <w:color w:val="002060"/>
                <w:sz w:val="16"/>
                <w:szCs w:val="16"/>
                <w:lang w:bidi="th-TH"/>
              </w:rPr>
            </w:pPr>
            <w:r w:rsidRPr="00C258AD">
              <w:rPr>
                <w:i/>
                <w:color w:val="002060"/>
                <w:sz w:val="16"/>
                <w:szCs w:val="16"/>
                <w:lang w:bidi="th-TH"/>
              </w:rPr>
              <w:t>Objectif fixé :</w:t>
            </w:r>
            <w:r w:rsidRPr="00C258AD">
              <w:rPr>
                <w:color w:val="002060"/>
                <w:sz w:val="16"/>
                <w:szCs w:val="16"/>
                <w:lang w:bidi="th-TH"/>
              </w:rPr>
              <w:t xml:space="preserve"> 75%</w:t>
            </w:r>
          </w:p>
          <w:p w:rsidR="006E2BB1" w:rsidRPr="00C258AD" w:rsidRDefault="006E2BB1" w:rsidP="001A4D6C">
            <w:pPr>
              <w:rPr>
                <w:i/>
                <w:color w:val="002060"/>
                <w:sz w:val="16"/>
                <w:szCs w:val="16"/>
              </w:rPr>
            </w:pPr>
          </w:p>
          <w:p w:rsidR="00066B9C" w:rsidRPr="00C258AD" w:rsidRDefault="00066B9C" w:rsidP="001A4D6C">
            <w:pPr>
              <w:rPr>
                <w:sz w:val="16"/>
                <w:szCs w:val="16"/>
                <w:lang w:bidi="th-TH"/>
              </w:rPr>
            </w:pPr>
            <w:r w:rsidRPr="00C258AD">
              <w:rPr>
                <w:i/>
                <w:color w:val="000000"/>
                <w:sz w:val="16"/>
                <w:szCs w:val="16"/>
                <w:lang w:bidi="th-TH"/>
              </w:rPr>
              <w:t>Objectif initial dans le programme et budget 2014</w:t>
            </w:r>
            <w:r w:rsidRPr="00C258AD">
              <w:rPr>
                <w:i/>
                <w:color w:val="000000"/>
                <w:sz w:val="16"/>
                <w:szCs w:val="16"/>
                <w:lang w:bidi="th-TH"/>
              </w:rPr>
              <w:noBreakHyphen/>
              <w:t xml:space="preserve">2015 : </w:t>
            </w:r>
            <w:r w:rsidRPr="00C258AD">
              <w:rPr>
                <w:color w:val="000000"/>
                <w:sz w:val="16"/>
                <w:szCs w:val="16"/>
                <w:lang w:bidi="th-TH"/>
              </w:rPr>
              <w:t>à déterminer</w:t>
            </w:r>
            <w:r w:rsidRPr="00C258AD">
              <w:rPr>
                <w:sz w:val="16"/>
                <w:szCs w:val="16"/>
                <w:lang w:bidi="th-TH"/>
              </w:rPr>
              <w:t xml:space="preserve"> </w:t>
            </w:r>
          </w:p>
        </w:tc>
        <w:tc>
          <w:tcPr>
            <w:tcW w:w="1291" w:type="pct"/>
            <w:gridSpan w:val="2"/>
            <w:shd w:val="clear" w:color="auto" w:fill="FFFFFF"/>
            <w:tcMar>
              <w:top w:w="110" w:type="dxa"/>
            </w:tcMar>
          </w:tcPr>
          <w:p w:rsidR="00066B9C" w:rsidRPr="00C258AD" w:rsidRDefault="00066B9C" w:rsidP="001A4D6C">
            <w:pPr>
              <w:rPr>
                <w:sz w:val="16"/>
                <w:szCs w:val="16"/>
                <w:lang w:bidi="th-TH"/>
              </w:rPr>
            </w:pPr>
            <w:r w:rsidRPr="00C258AD">
              <w:rPr>
                <w:sz w:val="16"/>
                <w:szCs w:val="16"/>
                <w:lang w:bidi="th-TH"/>
              </w:rPr>
              <w:t>97,2%</w:t>
            </w:r>
          </w:p>
        </w:tc>
        <w:tc>
          <w:tcPr>
            <w:tcW w:w="445" w:type="pct"/>
            <w:shd w:val="clear" w:color="auto" w:fill="auto"/>
            <w:tcMar>
              <w:top w:w="110" w:type="dxa"/>
            </w:tcMar>
          </w:tcPr>
          <w:p w:rsidR="00066B9C" w:rsidRPr="00C258AD" w:rsidRDefault="00066B9C" w:rsidP="001A4D6C">
            <w:pPr>
              <w:keepNext/>
              <w:keepLines/>
              <w:jc w:val="center"/>
              <w:rPr>
                <w:b/>
                <w:bCs/>
                <w:color w:val="00B050"/>
                <w:sz w:val="16"/>
                <w:szCs w:val="16"/>
              </w:rPr>
            </w:pPr>
            <w:r w:rsidRPr="00C258AD">
              <w:rPr>
                <w:rFonts w:cs="Arial"/>
                <w:b/>
                <w:bCs/>
                <w:color w:val="00B050"/>
                <w:sz w:val="16"/>
                <w:szCs w:val="16"/>
              </w:rPr>
              <w:t>Objectif pleinement atteint</w:t>
            </w:r>
          </w:p>
        </w:tc>
      </w:tr>
      <w:tr w:rsidR="00066B9C" w:rsidRPr="00C258AD" w:rsidTr="001A4D6C">
        <w:trPr>
          <w:cantSplit/>
        </w:trPr>
        <w:tc>
          <w:tcPr>
            <w:tcW w:w="1138" w:type="pct"/>
            <w:shd w:val="clear" w:color="auto" w:fill="auto"/>
          </w:tcPr>
          <w:p w:rsidR="00066B9C" w:rsidRPr="00C258AD" w:rsidRDefault="00066B9C" w:rsidP="001A4D6C">
            <w:pPr>
              <w:tabs>
                <w:tab w:val="left" w:pos="347"/>
              </w:tabs>
              <w:rPr>
                <w:sz w:val="16"/>
                <w:szCs w:val="16"/>
                <w:lang w:bidi="th-TH"/>
              </w:rPr>
            </w:pPr>
            <w:r w:rsidRPr="00C258AD">
              <w:rPr>
                <w:sz w:val="16"/>
                <w:szCs w:val="16"/>
              </w:rPr>
              <w:t xml:space="preserve">Pourcentage d’institutions d’appui aux PME ayant obtenu une formation qui </w:t>
            </w:r>
            <w:proofErr w:type="gramStart"/>
            <w:r w:rsidRPr="00C258AD">
              <w:rPr>
                <w:sz w:val="16"/>
                <w:szCs w:val="16"/>
              </w:rPr>
              <w:t>fournissent</w:t>
            </w:r>
            <w:proofErr w:type="gramEnd"/>
            <w:r w:rsidRPr="00C258AD">
              <w:rPr>
                <w:sz w:val="16"/>
                <w:szCs w:val="16"/>
              </w:rPr>
              <w:t xml:space="preserve"> des informations sur la propriété intellectuelle et des services d’appui, d’orientation et de consultation sur la gestion des actifs de propriété intellectuelle</w:t>
            </w:r>
          </w:p>
        </w:tc>
        <w:tc>
          <w:tcPr>
            <w:tcW w:w="1290" w:type="pct"/>
            <w:shd w:val="clear" w:color="auto" w:fill="auto"/>
          </w:tcPr>
          <w:p w:rsidR="00066B9C" w:rsidRPr="00C258AD" w:rsidRDefault="00066B9C" w:rsidP="001A4D6C">
            <w:pPr>
              <w:rPr>
                <w:i/>
                <w:color w:val="002060"/>
                <w:sz w:val="16"/>
                <w:szCs w:val="16"/>
              </w:rPr>
            </w:pPr>
            <w:r w:rsidRPr="00C258AD">
              <w:rPr>
                <w:sz w:val="16"/>
                <w:szCs w:val="16"/>
              </w:rPr>
              <w:t>À déterminer</w:t>
            </w:r>
          </w:p>
        </w:tc>
        <w:tc>
          <w:tcPr>
            <w:tcW w:w="836" w:type="pct"/>
            <w:shd w:val="clear" w:color="auto" w:fill="auto"/>
            <w:tcMar>
              <w:top w:w="110" w:type="dxa"/>
            </w:tcMar>
          </w:tcPr>
          <w:p w:rsidR="006E2BB1" w:rsidRPr="00C258AD" w:rsidRDefault="00066B9C" w:rsidP="001A4D6C">
            <w:pPr>
              <w:rPr>
                <w:color w:val="002060"/>
                <w:sz w:val="16"/>
                <w:szCs w:val="16"/>
                <w:lang w:bidi="th-TH"/>
              </w:rPr>
            </w:pPr>
            <w:r w:rsidRPr="00C258AD">
              <w:rPr>
                <w:i/>
                <w:color w:val="002060"/>
                <w:sz w:val="16"/>
                <w:szCs w:val="16"/>
                <w:lang w:bidi="th-TH"/>
              </w:rPr>
              <w:t>Objectif fixé :</w:t>
            </w:r>
            <w:r w:rsidRPr="00C258AD">
              <w:rPr>
                <w:color w:val="002060"/>
                <w:sz w:val="16"/>
                <w:szCs w:val="16"/>
                <w:lang w:bidi="th-TH"/>
              </w:rPr>
              <w:t xml:space="preserve"> 90% (18 institutions d’appui)</w:t>
            </w:r>
          </w:p>
          <w:p w:rsidR="006E2BB1" w:rsidRPr="00C258AD" w:rsidRDefault="006E2BB1" w:rsidP="001A4D6C">
            <w:pPr>
              <w:rPr>
                <w:i/>
                <w:color w:val="002060"/>
                <w:sz w:val="16"/>
                <w:szCs w:val="16"/>
              </w:rPr>
            </w:pPr>
          </w:p>
          <w:p w:rsidR="00066B9C" w:rsidRPr="00C258AD" w:rsidRDefault="00066B9C" w:rsidP="001A4D6C">
            <w:pPr>
              <w:rPr>
                <w:sz w:val="16"/>
                <w:szCs w:val="16"/>
                <w:lang w:bidi="th-TH"/>
              </w:rPr>
            </w:pPr>
            <w:r w:rsidRPr="00C258AD">
              <w:rPr>
                <w:i/>
                <w:color w:val="000000"/>
                <w:sz w:val="16"/>
                <w:szCs w:val="16"/>
                <w:lang w:bidi="th-TH"/>
              </w:rPr>
              <w:t>Objectif initial dans le programme et budget 2014</w:t>
            </w:r>
            <w:r w:rsidRPr="00C258AD">
              <w:rPr>
                <w:i/>
                <w:color w:val="000000"/>
                <w:sz w:val="16"/>
                <w:szCs w:val="16"/>
                <w:lang w:bidi="th-TH"/>
              </w:rPr>
              <w:noBreakHyphen/>
              <w:t>2015 :</w:t>
            </w:r>
            <w:r w:rsidRPr="00C258AD">
              <w:rPr>
                <w:color w:val="000000"/>
                <w:sz w:val="16"/>
                <w:szCs w:val="16"/>
                <w:lang w:bidi="th-TH"/>
              </w:rPr>
              <w:t xml:space="preserve"> à déterminer</w:t>
            </w:r>
            <w:r w:rsidRPr="00C258AD">
              <w:rPr>
                <w:sz w:val="16"/>
                <w:szCs w:val="16"/>
                <w:lang w:bidi="th-TH"/>
              </w:rPr>
              <w:t xml:space="preserve"> </w:t>
            </w:r>
          </w:p>
        </w:tc>
        <w:tc>
          <w:tcPr>
            <w:tcW w:w="1291" w:type="pct"/>
            <w:gridSpan w:val="2"/>
            <w:shd w:val="clear" w:color="auto" w:fill="FFFFFF"/>
            <w:tcMar>
              <w:top w:w="110" w:type="dxa"/>
            </w:tcMar>
          </w:tcPr>
          <w:p w:rsidR="006E2BB1" w:rsidRPr="00C258AD" w:rsidRDefault="00066B9C" w:rsidP="00066B9C">
            <w:pPr>
              <w:pStyle w:val="ListParagraph"/>
              <w:numPr>
                <w:ilvl w:val="0"/>
                <w:numId w:val="48"/>
              </w:numPr>
              <w:rPr>
                <w:sz w:val="16"/>
                <w:szCs w:val="16"/>
                <w:lang w:bidi="th-TH"/>
              </w:rPr>
            </w:pPr>
            <w:r w:rsidRPr="00C258AD">
              <w:rPr>
                <w:sz w:val="16"/>
                <w:szCs w:val="16"/>
                <w:lang w:bidi="th-TH"/>
              </w:rPr>
              <w:t>90% (2014)</w:t>
            </w:r>
          </w:p>
          <w:p w:rsidR="00066B9C" w:rsidRPr="00C258AD" w:rsidRDefault="00066B9C" w:rsidP="00066B9C">
            <w:pPr>
              <w:pStyle w:val="ListParagraph"/>
              <w:numPr>
                <w:ilvl w:val="0"/>
                <w:numId w:val="48"/>
              </w:numPr>
              <w:rPr>
                <w:sz w:val="16"/>
                <w:szCs w:val="16"/>
                <w:lang w:bidi="th-TH"/>
              </w:rPr>
            </w:pPr>
            <w:r w:rsidRPr="00C258AD">
              <w:rPr>
                <w:sz w:val="16"/>
                <w:szCs w:val="16"/>
                <w:lang w:bidi="th-TH"/>
              </w:rPr>
              <w:t>100% (2015)</w:t>
            </w:r>
          </w:p>
        </w:tc>
        <w:tc>
          <w:tcPr>
            <w:tcW w:w="445" w:type="pct"/>
            <w:shd w:val="clear" w:color="auto" w:fill="auto"/>
            <w:tcMar>
              <w:top w:w="110" w:type="dxa"/>
            </w:tcMar>
          </w:tcPr>
          <w:p w:rsidR="00066B9C" w:rsidRPr="00C258AD" w:rsidRDefault="00066B9C" w:rsidP="001A4D6C">
            <w:pPr>
              <w:keepNext/>
              <w:keepLines/>
              <w:jc w:val="center"/>
              <w:rPr>
                <w:b/>
                <w:bCs/>
                <w:color w:val="00B050"/>
                <w:sz w:val="16"/>
                <w:szCs w:val="16"/>
              </w:rPr>
            </w:pPr>
            <w:r w:rsidRPr="00C258AD">
              <w:rPr>
                <w:rFonts w:cs="Arial"/>
                <w:b/>
                <w:bCs/>
                <w:color w:val="00B050"/>
                <w:sz w:val="16"/>
                <w:szCs w:val="16"/>
              </w:rPr>
              <w:t>Objectif pleinement atteint</w:t>
            </w:r>
          </w:p>
        </w:tc>
      </w:tr>
      <w:tr w:rsidR="00066B9C" w:rsidRPr="00C258AD" w:rsidTr="001A4D6C">
        <w:trPr>
          <w:cantSplit/>
        </w:trPr>
        <w:tc>
          <w:tcPr>
            <w:tcW w:w="1138" w:type="pct"/>
            <w:tcBorders>
              <w:bottom w:val="single" w:sz="4" w:space="0" w:color="auto"/>
            </w:tcBorders>
            <w:shd w:val="clear" w:color="auto" w:fill="auto"/>
          </w:tcPr>
          <w:p w:rsidR="00066B9C" w:rsidRPr="00C258AD" w:rsidRDefault="00066B9C" w:rsidP="001A4D6C">
            <w:pPr>
              <w:tabs>
                <w:tab w:val="left" w:pos="347"/>
              </w:tabs>
              <w:rPr>
                <w:sz w:val="16"/>
                <w:szCs w:val="16"/>
                <w:lang w:bidi="th-TH"/>
              </w:rPr>
            </w:pPr>
            <w:r w:rsidRPr="00C258AD">
              <w:rPr>
                <w:sz w:val="16"/>
                <w:szCs w:val="16"/>
              </w:rPr>
              <w:t>Nombre de pays ayant établi des programmes de formation en matière de propriété intellectuelle à l’intention des PME</w:t>
            </w:r>
            <w:r w:rsidRPr="00C258AD">
              <w:rPr>
                <w:sz w:val="16"/>
                <w:szCs w:val="16"/>
                <w:lang w:bidi="th-TH"/>
              </w:rPr>
              <w:t xml:space="preserve"> </w:t>
            </w:r>
          </w:p>
        </w:tc>
        <w:tc>
          <w:tcPr>
            <w:tcW w:w="1290" w:type="pct"/>
            <w:tcBorders>
              <w:bottom w:val="single" w:sz="4" w:space="0" w:color="auto"/>
            </w:tcBorders>
            <w:shd w:val="clear" w:color="auto" w:fill="auto"/>
          </w:tcPr>
          <w:p w:rsidR="00066B9C" w:rsidRPr="00C258AD" w:rsidRDefault="00066B9C" w:rsidP="001A4D6C">
            <w:pPr>
              <w:rPr>
                <w:i/>
                <w:color w:val="002060"/>
                <w:sz w:val="16"/>
                <w:szCs w:val="16"/>
              </w:rPr>
            </w:pPr>
            <w:r w:rsidRPr="00C258AD">
              <w:rPr>
                <w:sz w:val="16"/>
                <w:szCs w:val="16"/>
              </w:rPr>
              <w:t>À déterminer</w:t>
            </w:r>
          </w:p>
        </w:tc>
        <w:tc>
          <w:tcPr>
            <w:tcW w:w="836" w:type="pct"/>
            <w:tcBorders>
              <w:bottom w:val="single" w:sz="4" w:space="0" w:color="auto"/>
            </w:tcBorders>
            <w:shd w:val="clear" w:color="auto" w:fill="auto"/>
            <w:tcMar>
              <w:top w:w="110" w:type="dxa"/>
            </w:tcMar>
          </w:tcPr>
          <w:p w:rsidR="00066B9C" w:rsidRPr="00C258AD" w:rsidRDefault="00066B9C" w:rsidP="001A4D6C">
            <w:pPr>
              <w:rPr>
                <w:sz w:val="16"/>
                <w:szCs w:val="16"/>
                <w:lang w:bidi="th-TH"/>
              </w:rPr>
            </w:pPr>
            <w:r w:rsidRPr="00C258AD">
              <w:rPr>
                <w:sz w:val="16"/>
                <w:szCs w:val="16"/>
              </w:rPr>
              <w:t>À déterminer</w:t>
            </w:r>
          </w:p>
        </w:tc>
        <w:tc>
          <w:tcPr>
            <w:tcW w:w="1291" w:type="pct"/>
            <w:gridSpan w:val="2"/>
            <w:tcBorders>
              <w:bottom w:val="single" w:sz="4" w:space="0" w:color="auto"/>
            </w:tcBorders>
            <w:shd w:val="clear" w:color="auto" w:fill="FFFFFF"/>
            <w:tcMar>
              <w:top w:w="110" w:type="dxa"/>
            </w:tcMar>
          </w:tcPr>
          <w:p w:rsidR="00066B9C" w:rsidRPr="00C258AD" w:rsidRDefault="00066B9C" w:rsidP="001A4D6C">
            <w:pPr>
              <w:rPr>
                <w:sz w:val="16"/>
                <w:szCs w:val="16"/>
                <w:lang w:bidi="th-TH"/>
              </w:rPr>
            </w:pPr>
            <w:r w:rsidRPr="00C258AD">
              <w:rPr>
                <w:sz w:val="16"/>
                <w:szCs w:val="16"/>
                <w:lang w:bidi="th-TH"/>
              </w:rPr>
              <w:t xml:space="preserve">4 (Arménie, </w:t>
            </w:r>
            <w:proofErr w:type="spellStart"/>
            <w:r w:rsidRPr="00C258AD">
              <w:rPr>
                <w:sz w:val="16"/>
                <w:szCs w:val="16"/>
                <w:lang w:bidi="th-TH"/>
              </w:rPr>
              <w:t>Bélarus</w:t>
            </w:r>
            <w:proofErr w:type="spellEnd"/>
            <w:r w:rsidRPr="00C258AD">
              <w:rPr>
                <w:sz w:val="16"/>
                <w:szCs w:val="16"/>
                <w:lang w:bidi="th-TH"/>
              </w:rPr>
              <w:t>, Géorgie, Kazakhstan)</w:t>
            </w:r>
          </w:p>
        </w:tc>
        <w:tc>
          <w:tcPr>
            <w:tcW w:w="445" w:type="pct"/>
            <w:tcBorders>
              <w:bottom w:val="single" w:sz="4" w:space="0" w:color="auto"/>
            </w:tcBorders>
            <w:shd w:val="clear" w:color="auto" w:fill="auto"/>
            <w:tcMar>
              <w:top w:w="110" w:type="dxa"/>
            </w:tcMar>
          </w:tcPr>
          <w:p w:rsidR="00066B9C" w:rsidRPr="00C258AD" w:rsidRDefault="00066B9C" w:rsidP="001A4D6C">
            <w:pPr>
              <w:keepNext/>
              <w:keepLines/>
              <w:jc w:val="center"/>
              <w:rPr>
                <w:b/>
                <w:bCs/>
                <w:color w:val="00B050"/>
                <w:sz w:val="16"/>
                <w:szCs w:val="16"/>
              </w:rPr>
            </w:pPr>
            <w:r w:rsidRPr="00C258AD">
              <w:rPr>
                <w:b/>
                <w:bCs/>
                <w:color w:val="808080"/>
                <w:sz w:val="16"/>
                <w:szCs w:val="16"/>
              </w:rPr>
              <w:t>Non évaluable</w:t>
            </w:r>
          </w:p>
        </w:tc>
      </w:tr>
      <w:tr w:rsidR="00066B9C" w:rsidRPr="00C258AD" w:rsidTr="001A4D6C">
        <w:trPr>
          <w:cantSplit/>
        </w:trPr>
        <w:tc>
          <w:tcPr>
            <w:tcW w:w="5000" w:type="pct"/>
            <w:gridSpan w:val="6"/>
            <w:tcBorders>
              <w:top w:val="single" w:sz="4" w:space="0" w:color="auto"/>
              <w:bottom w:val="single" w:sz="4" w:space="0" w:color="auto"/>
            </w:tcBorders>
            <w:shd w:val="clear" w:color="auto" w:fill="C5D9F1"/>
            <w:vAlign w:val="center"/>
          </w:tcPr>
          <w:p w:rsidR="00066B9C" w:rsidRPr="00C258AD" w:rsidRDefault="00066B9C" w:rsidP="001A4D6C">
            <w:pPr>
              <w:keepNext/>
              <w:rPr>
                <w:b/>
                <w:bCs/>
                <w:sz w:val="16"/>
                <w:szCs w:val="16"/>
              </w:rPr>
            </w:pPr>
            <w:r w:rsidRPr="00C258AD">
              <w:rPr>
                <w:b/>
                <w:bCs/>
                <w:sz w:val="16"/>
                <w:szCs w:val="16"/>
              </w:rPr>
              <w:t xml:space="preserve">Résultat escompté : </w:t>
            </w:r>
            <w:r w:rsidRPr="00C258AD">
              <w:rPr>
                <w:sz w:val="16"/>
                <w:szCs w:val="16"/>
                <w:lang w:bidi="th-TH"/>
              </w:rPr>
              <w:t xml:space="preserve">IV.2 </w:t>
            </w:r>
            <w:r w:rsidRPr="00C258AD">
              <w:rPr>
                <w:sz w:val="16"/>
                <w:szCs w:val="16"/>
              </w:rPr>
              <w:t>Amélioration de l’accessibilité et de l’utilisation de l’information en matière de propriété intellectuelle par les institutions compétentes et le public afin de promouvoir l’innovation et la créativité</w:t>
            </w:r>
          </w:p>
        </w:tc>
      </w:tr>
      <w:tr w:rsidR="00066B9C" w:rsidRPr="00C258AD" w:rsidTr="001A4D6C">
        <w:trPr>
          <w:cantSplit/>
        </w:trPr>
        <w:tc>
          <w:tcPr>
            <w:tcW w:w="1138" w:type="pct"/>
            <w:tcBorders>
              <w:top w:val="single" w:sz="4" w:space="0" w:color="auto"/>
            </w:tcBorders>
            <w:shd w:val="clear" w:color="auto" w:fill="auto"/>
            <w:vAlign w:val="center"/>
          </w:tcPr>
          <w:p w:rsidR="00066B9C" w:rsidRPr="00C258AD" w:rsidRDefault="00066B9C" w:rsidP="001A4D6C">
            <w:pPr>
              <w:keepNext/>
              <w:keepLines/>
              <w:jc w:val="center"/>
              <w:rPr>
                <w:sz w:val="16"/>
                <w:szCs w:val="16"/>
              </w:rPr>
            </w:pPr>
            <w:r w:rsidRPr="00C258AD">
              <w:rPr>
                <w:b/>
                <w:bCs/>
                <w:sz w:val="16"/>
                <w:szCs w:val="16"/>
              </w:rPr>
              <w:t>Indicateurs d’exécution</w:t>
            </w:r>
          </w:p>
        </w:tc>
        <w:tc>
          <w:tcPr>
            <w:tcW w:w="1290" w:type="pct"/>
            <w:tcBorders>
              <w:top w:val="single" w:sz="4" w:space="0" w:color="auto"/>
            </w:tcBorders>
            <w:shd w:val="clear" w:color="auto" w:fill="auto"/>
            <w:vAlign w:val="center"/>
          </w:tcPr>
          <w:p w:rsidR="00066B9C" w:rsidRPr="00C258AD" w:rsidRDefault="00066B9C" w:rsidP="001A4D6C">
            <w:pPr>
              <w:keepNext/>
              <w:keepLines/>
              <w:jc w:val="center"/>
              <w:rPr>
                <w:b/>
                <w:bCs/>
                <w:sz w:val="16"/>
                <w:szCs w:val="16"/>
              </w:rPr>
            </w:pPr>
            <w:r w:rsidRPr="00C258AD">
              <w:rPr>
                <w:b/>
                <w:bCs/>
                <w:sz w:val="16"/>
                <w:szCs w:val="16"/>
              </w:rPr>
              <w:t>Niveaux de référence</w:t>
            </w:r>
          </w:p>
        </w:tc>
        <w:tc>
          <w:tcPr>
            <w:tcW w:w="836" w:type="pct"/>
            <w:tcBorders>
              <w:top w:val="single" w:sz="4" w:space="0" w:color="auto"/>
            </w:tcBorders>
            <w:shd w:val="clear" w:color="auto" w:fill="auto"/>
            <w:vAlign w:val="center"/>
          </w:tcPr>
          <w:p w:rsidR="00066B9C" w:rsidRPr="00C258AD" w:rsidRDefault="00066B9C" w:rsidP="001A4D6C">
            <w:pPr>
              <w:keepNext/>
              <w:keepLines/>
              <w:jc w:val="center"/>
              <w:rPr>
                <w:b/>
                <w:sz w:val="16"/>
                <w:szCs w:val="16"/>
              </w:rPr>
            </w:pPr>
            <w:r w:rsidRPr="00C258AD">
              <w:rPr>
                <w:b/>
                <w:sz w:val="16"/>
                <w:szCs w:val="16"/>
              </w:rPr>
              <w:t>Objectifs visés</w:t>
            </w:r>
          </w:p>
        </w:tc>
        <w:tc>
          <w:tcPr>
            <w:tcW w:w="1285" w:type="pct"/>
            <w:tcBorders>
              <w:top w:val="single" w:sz="4" w:space="0" w:color="auto"/>
            </w:tcBorders>
            <w:shd w:val="clear" w:color="auto" w:fill="auto"/>
            <w:vAlign w:val="center"/>
          </w:tcPr>
          <w:p w:rsidR="00066B9C" w:rsidRPr="00C258AD" w:rsidRDefault="00066B9C" w:rsidP="001A4D6C">
            <w:pPr>
              <w:keepNext/>
              <w:keepLines/>
              <w:jc w:val="center"/>
              <w:rPr>
                <w:sz w:val="16"/>
                <w:szCs w:val="16"/>
              </w:rPr>
            </w:pPr>
            <w:r w:rsidRPr="00C258AD">
              <w:rPr>
                <w:b/>
                <w:bCs/>
                <w:sz w:val="16"/>
                <w:szCs w:val="16"/>
              </w:rPr>
              <w:t>Données relatives à l’exécution</w:t>
            </w:r>
          </w:p>
        </w:tc>
        <w:tc>
          <w:tcPr>
            <w:tcW w:w="451" w:type="pct"/>
            <w:gridSpan w:val="2"/>
            <w:tcBorders>
              <w:top w:val="single" w:sz="4" w:space="0" w:color="auto"/>
            </w:tcBorders>
            <w:shd w:val="clear" w:color="auto" w:fill="auto"/>
            <w:vAlign w:val="center"/>
          </w:tcPr>
          <w:p w:rsidR="00066B9C" w:rsidRPr="00C258AD" w:rsidRDefault="00066B9C" w:rsidP="001A4D6C">
            <w:pPr>
              <w:keepNext/>
              <w:keepLines/>
              <w:jc w:val="center"/>
              <w:rPr>
                <w:b/>
                <w:bCs/>
                <w:sz w:val="16"/>
                <w:szCs w:val="16"/>
              </w:rPr>
            </w:pPr>
            <w:r w:rsidRPr="00C258AD">
              <w:rPr>
                <w:b/>
                <w:bCs/>
                <w:sz w:val="16"/>
                <w:szCs w:val="16"/>
              </w:rPr>
              <w:t>Code de couleurs</w:t>
            </w:r>
          </w:p>
        </w:tc>
      </w:tr>
      <w:tr w:rsidR="00066B9C" w:rsidRPr="00C258AD" w:rsidTr="001A4D6C">
        <w:trPr>
          <w:cantSplit/>
        </w:trPr>
        <w:tc>
          <w:tcPr>
            <w:tcW w:w="1138" w:type="pct"/>
            <w:shd w:val="clear" w:color="auto" w:fill="auto"/>
          </w:tcPr>
          <w:p w:rsidR="00066B9C" w:rsidRPr="00C258AD" w:rsidRDefault="00066B9C" w:rsidP="001A4D6C">
            <w:pPr>
              <w:tabs>
                <w:tab w:val="left" w:pos="347"/>
              </w:tabs>
              <w:rPr>
                <w:sz w:val="16"/>
                <w:szCs w:val="16"/>
                <w:lang w:bidi="th-TH"/>
              </w:rPr>
            </w:pPr>
            <w:r w:rsidRPr="00C258AD">
              <w:rPr>
                <w:sz w:val="16"/>
                <w:szCs w:val="16"/>
              </w:rPr>
              <w:t xml:space="preserve">Nombre de bureaux de transfert de technologie et/ou de centres d’information sur la propriété intellectuelle établis </w:t>
            </w:r>
          </w:p>
        </w:tc>
        <w:tc>
          <w:tcPr>
            <w:tcW w:w="1290" w:type="pct"/>
            <w:shd w:val="clear" w:color="auto" w:fill="auto"/>
          </w:tcPr>
          <w:p w:rsidR="006E2BB1" w:rsidRPr="00C258AD" w:rsidRDefault="00066B9C" w:rsidP="001A4D6C">
            <w:pPr>
              <w:rPr>
                <w:color w:val="002060"/>
                <w:sz w:val="16"/>
                <w:szCs w:val="16"/>
                <w:lang w:bidi="th-TH"/>
              </w:rPr>
            </w:pPr>
            <w:r w:rsidRPr="00C258AD">
              <w:rPr>
                <w:i/>
                <w:color w:val="002060"/>
                <w:sz w:val="16"/>
                <w:szCs w:val="16"/>
                <w:lang w:bidi="th-TH"/>
              </w:rPr>
              <w:t>Niveau de référence actualisé à fin 2013 :</w:t>
            </w:r>
            <w:r w:rsidRPr="00C258AD">
              <w:rPr>
                <w:color w:val="002060"/>
                <w:sz w:val="16"/>
                <w:szCs w:val="16"/>
                <w:lang w:bidi="th-TH"/>
              </w:rPr>
              <w:t xml:space="preserve"> </w:t>
            </w:r>
            <w:r w:rsidRPr="00C258AD">
              <w:rPr>
                <w:color w:val="002060"/>
                <w:sz w:val="16"/>
                <w:szCs w:val="16"/>
              </w:rPr>
              <w:t>deux</w:t>
            </w:r>
            <w:r w:rsidRPr="00C258AD">
              <w:rPr>
                <w:color w:val="002060"/>
                <w:sz w:val="16"/>
                <w:szCs w:val="16"/>
                <w:lang w:bidi="th-TH"/>
              </w:rPr>
              <w:t xml:space="preserve"> universités/institutions en Géorgie ont bénéficié d’une assistance directe pour développer un écosystème, une politique et une infrastructure de transfert de connaissance dans la région CCEA (certains pays d’Europe et d’Asie) : l’Université d’État de Tbilissi </w:t>
            </w:r>
            <w:proofErr w:type="spellStart"/>
            <w:r w:rsidRPr="00C258AD">
              <w:rPr>
                <w:color w:val="002060"/>
                <w:sz w:val="16"/>
                <w:szCs w:val="16"/>
                <w:lang w:bidi="th-TH"/>
              </w:rPr>
              <w:t>Ivane</w:t>
            </w:r>
            <w:proofErr w:type="spellEnd"/>
            <w:r w:rsidRPr="00C258AD">
              <w:rPr>
                <w:color w:val="002060"/>
                <w:sz w:val="16"/>
                <w:szCs w:val="16"/>
                <w:lang w:bidi="th-TH"/>
              </w:rPr>
              <w:t xml:space="preserve"> </w:t>
            </w:r>
            <w:proofErr w:type="spellStart"/>
            <w:r w:rsidRPr="00C258AD">
              <w:rPr>
                <w:color w:val="002060"/>
                <w:sz w:val="16"/>
                <w:szCs w:val="16"/>
                <w:lang w:bidi="th-TH"/>
              </w:rPr>
              <w:t>Javkhishvili</w:t>
            </w:r>
            <w:proofErr w:type="spellEnd"/>
            <w:r w:rsidRPr="00C258AD">
              <w:rPr>
                <w:color w:val="002060"/>
                <w:sz w:val="16"/>
                <w:szCs w:val="16"/>
                <w:lang w:bidi="th-TH"/>
              </w:rPr>
              <w:t xml:space="preserve"> et le Centre géorgien de transfert de technologie, suivis par le plan d’action pour le développement.</w:t>
            </w:r>
          </w:p>
          <w:p w:rsidR="006E2BB1" w:rsidRPr="00C258AD" w:rsidRDefault="006E2BB1" w:rsidP="001A4D6C">
            <w:pPr>
              <w:rPr>
                <w:i/>
                <w:color w:val="002060"/>
                <w:sz w:val="16"/>
                <w:szCs w:val="16"/>
              </w:rPr>
            </w:pPr>
          </w:p>
          <w:p w:rsidR="00066B9C" w:rsidRPr="00C258AD" w:rsidRDefault="00066B9C" w:rsidP="001A4D6C">
            <w:pPr>
              <w:rPr>
                <w:i/>
                <w:color w:val="002060"/>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à déterminer</w:t>
            </w:r>
          </w:p>
        </w:tc>
        <w:tc>
          <w:tcPr>
            <w:tcW w:w="836" w:type="pct"/>
            <w:shd w:val="clear" w:color="auto" w:fill="auto"/>
            <w:tcMar>
              <w:top w:w="110" w:type="dxa"/>
            </w:tcMar>
          </w:tcPr>
          <w:p w:rsidR="00066B9C" w:rsidRPr="00C258AD" w:rsidRDefault="00066B9C" w:rsidP="001A4D6C">
            <w:pPr>
              <w:rPr>
                <w:sz w:val="16"/>
                <w:szCs w:val="16"/>
                <w:lang w:bidi="th-TH"/>
              </w:rPr>
            </w:pPr>
            <w:r w:rsidRPr="00C258AD">
              <w:rPr>
                <w:sz w:val="16"/>
                <w:szCs w:val="16"/>
                <w:lang w:bidi="th-TH"/>
              </w:rPr>
              <w:t>6 bureaux de transfert de technologie et/ou centres d’information sur la propriété intellectuelle supplémentaires</w:t>
            </w:r>
          </w:p>
        </w:tc>
        <w:tc>
          <w:tcPr>
            <w:tcW w:w="1285" w:type="pct"/>
            <w:shd w:val="clear" w:color="auto" w:fill="FFFFFF"/>
            <w:tcMar>
              <w:top w:w="110" w:type="dxa"/>
            </w:tcMar>
          </w:tcPr>
          <w:p w:rsidR="00066B9C" w:rsidRPr="00C258AD" w:rsidRDefault="00066B9C" w:rsidP="001A4D6C">
            <w:pPr>
              <w:rPr>
                <w:sz w:val="16"/>
                <w:szCs w:val="16"/>
                <w:lang w:bidi="th-TH"/>
              </w:rPr>
            </w:pPr>
            <w:r w:rsidRPr="00C258AD">
              <w:rPr>
                <w:sz w:val="16"/>
                <w:szCs w:val="16"/>
                <w:lang w:bidi="th-TH"/>
              </w:rPr>
              <w:t>51 nouveaux centres d’appui à la technologie et à l’innovation (CATI) établis en Fédération de Russie</w:t>
            </w:r>
          </w:p>
        </w:tc>
        <w:tc>
          <w:tcPr>
            <w:tcW w:w="451" w:type="pct"/>
            <w:gridSpan w:val="2"/>
            <w:shd w:val="clear" w:color="auto" w:fill="auto"/>
            <w:tcMar>
              <w:top w:w="110" w:type="dxa"/>
            </w:tcMar>
          </w:tcPr>
          <w:p w:rsidR="00066B9C" w:rsidRPr="00C258AD" w:rsidRDefault="00066B9C" w:rsidP="001A4D6C">
            <w:pPr>
              <w:keepNext/>
              <w:keepLines/>
              <w:jc w:val="center"/>
              <w:rPr>
                <w:b/>
                <w:bCs/>
                <w:color w:val="00B050"/>
                <w:sz w:val="16"/>
                <w:szCs w:val="16"/>
              </w:rPr>
            </w:pPr>
            <w:r w:rsidRPr="00C258AD">
              <w:rPr>
                <w:rFonts w:cs="Arial"/>
                <w:b/>
                <w:bCs/>
                <w:color w:val="00B050"/>
                <w:sz w:val="16"/>
                <w:szCs w:val="16"/>
              </w:rPr>
              <w:t>Objectif pleinement atteint</w:t>
            </w:r>
          </w:p>
        </w:tc>
      </w:tr>
      <w:tr w:rsidR="00066B9C" w:rsidRPr="00C258AD" w:rsidTr="001A4D6C">
        <w:trPr>
          <w:cantSplit/>
        </w:trPr>
        <w:tc>
          <w:tcPr>
            <w:tcW w:w="1138" w:type="pct"/>
            <w:shd w:val="clear" w:color="auto" w:fill="auto"/>
          </w:tcPr>
          <w:p w:rsidR="00066B9C" w:rsidRPr="00C258AD" w:rsidRDefault="00066B9C" w:rsidP="001A4D6C">
            <w:pPr>
              <w:tabs>
                <w:tab w:val="left" w:pos="347"/>
              </w:tabs>
              <w:rPr>
                <w:sz w:val="16"/>
                <w:szCs w:val="16"/>
                <w:lang w:bidi="th-TH"/>
              </w:rPr>
            </w:pPr>
            <w:r w:rsidRPr="00C258AD">
              <w:rPr>
                <w:sz w:val="16"/>
                <w:szCs w:val="16"/>
                <w:lang w:eastAsia="fr-FR"/>
              </w:rPr>
              <w:lastRenderedPageBreak/>
              <w:t xml:space="preserve">Nombre de réseaux nationaux de </w:t>
            </w:r>
            <w:r w:rsidRPr="00C258AD">
              <w:rPr>
                <w:sz w:val="16"/>
                <w:szCs w:val="16"/>
                <w:lang w:bidi="th-TH"/>
              </w:rPr>
              <w:t>centres d’appui à la technologie et à l’innovation durables</w:t>
            </w:r>
          </w:p>
        </w:tc>
        <w:tc>
          <w:tcPr>
            <w:tcW w:w="1290" w:type="pct"/>
            <w:shd w:val="clear" w:color="auto" w:fill="auto"/>
          </w:tcPr>
          <w:p w:rsidR="006E2BB1" w:rsidRPr="00C258AD" w:rsidRDefault="00066B9C" w:rsidP="001A4D6C">
            <w:pPr>
              <w:rPr>
                <w:color w:val="002060"/>
                <w:sz w:val="16"/>
                <w:szCs w:val="16"/>
                <w:lang w:bidi="th-TH"/>
              </w:rPr>
            </w:pPr>
            <w:r w:rsidRPr="00C258AD">
              <w:rPr>
                <w:i/>
                <w:color w:val="002060"/>
                <w:sz w:val="16"/>
                <w:szCs w:val="16"/>
                <w:lang w:bidi="th-TH"/>
              </w:rPr>
              <w:t xml:space="preserve">Niveau de référence actualisé à fin 2013 : </w:t>
            </w:r>
            <w:r w:rsidRPr="00C258AD">
              <w:rPr>
                <w:color w:val="002060"/>
                <w:sz w:val="16"/>
                <w:szCs w:val="16"/>
                <w:lang w:bidi="th-TH"/>
              </w:rPr>
              <w:t>1 réseau de centres d’appui à la technologie et à l’innovation durable (sur les 3 établis)</w:t>
            </w:r>
          </w:p>
          <w:p w:rsidR="006E2BB1" w:rsidRPr="00C258AD" w:rsidRDefault="006E2BB1" w:rsidP="001A4D6C">
            <w:pPr>
              <w:rPr>
                <w:i/>
                <w:sz w:val="16"/>
                <w:szCs w:val="16"/>
              </w:rPr>
            </w:pPr>
          </w:p>
          <w:p w:rsidR="006E2BB1" w:rsidRPr="00C258AD" w:rsidRDefault="00066B9C" w:rsidP="001A4D6C">
            <w:pPr>
              <w:rPr>
                <w:sz w:val="16"/>
                <w:szCs w:val="16"/>
              </w:rPr>
            </w:pPr>
            <w:r w:rsidRPr="00C258AD">
              <w:rPr>
                <w:i/>
                <w:sz w:val="16"/>
                <w:szCs w:val="16"/>
              </w:rPr>
              <w:t>Niveau de référence initial dans le programme et budget 2014</w:t>
            </w:r>
            <w:r w:rsidRPr="00C258AD">
              <w:rPr>
                <w:i/>
                <w:sz w:val="16"/>
                <w:szCs w:val="16"/>
              </w:rPr>
              <w:noBreakHyphen/>
              <w:t xml:space="preserve">2015 : </w:t>
            </w:r>
            <w:r w:rsidRPr="00C258AD">
              <w:rPr>
                <w:sz w:val="16"/>
                <w:szCs w:val="16"/>
              </w:rPr>
              <w:t xml:space="preserve">1 réseau national de </w:t>
            </w:r>
            <w:r w:rsidRPr="00C258AD">
              <w:rPr>
                <w:sz w:val="16"/>
                <w:szCs w:val="16"/>
                <w:lang w:bidi="th-TH"/>
              </w:rPr>
              <w:t xml:space="preserve">centres d’appui à la technologie et à l’innovation </w:t>
            </w:r>
            <w:r w:rsidRPr="00C258AD">
              <w:rPr>
                <w:sz w:val="16"/>
                <w:szCs w:val="16"/>
              </w:rPr>
              <w:t>(cumul à la fin du premier trimestre 2013) :</w:t>
            </w:r>
          </w:p>
          <w:p w:rsidR="00066B9C" w:rsidRPr="00C258AD" w:rsidRDefault="00066B9C" w:rsidP="001A4D6C">
            <w:pPr>
              <w:rPr>
                <w:i/>
                <w:sz w:val="16"/>
                <w:szCs w:val="16"/>
              </w:rPr>
            </w:pPr>
            <w:r w:rsidRPr="00C258AD">
              <w:rPr>
                <w:i/>
                <w:sz w:val="16"/>
                <w:szCs w:val="16"/>
              </w:rPr>
              <w:t>certains pays d’Europe et d’Asie (1)</w:t>
            </w:r>
          </w:p>
        </w:tc>
        <w:tc>
          <w:tcPr>
            <w:tcW w:w="836" w:type="pct"/>
            <w:shd w:val="clear" w:color="auto" w:fill="auto"/>
            <w:tcMar>
              <w:top w:w="110" w:type="dxa"/>
            </w:tcMar>
          </w:tcPr>
          <w:p w:rsidR="006E2BB1" w:rsidRPr="00C258AD" w:rsidRDefault="00066B9C" w:rsidP="001A4D6C">
            <w:pPr>
              <w:rPr>
                <w:sz w:val="16"/>
                <w:szCs w:val="16"/>
                <w:lang w:bidi="th-TH"/>
              </w:rPr>
            </w:pPr>
            <w:r w:rsidRPr="00C258AD">
              <w:rPr>
                <w:sz w:val="16"/>
                <w:szCs w:val="16"/>
                <w:lang w:bidi="th-TH"/>
              </w:rPr>
              <w:t>2 réseaux nationaux de centres d’appui à la technologie et à l’innovation (en tout) :</w:t>
            </w:r>
          </w:p>
          <w:p w:rsidR="00066B9C" w:rsidRPr="00C258AD" w:rsidRDefault="00066B9C" w:rsidP="001A4D6C">
            <w:pPr>
              <w:rPr>
                <w:sz w:val="16"/>
                <w:szCs w:val="16"/>
                <w:lang w:bidi="th-TH"/>
              </w:rPr>
            </w:pPr>
            <w:r w:rsidRPr="00C258AD">
              <w:rPr>
                <w:sz w:val="16"/>
                <w:szCs w:val="16"/>
                <w:lang w:bidi="th-TH"/>
              </w:rPr>
              <w:t>certains pays d’Europe et d’Asie (2)</w:t>
            </w:r>
          </w:p>
        </w:tc>
        <w:tc>
          <w:tcPr>
            <w:tcW w:w="1285" w:type="pct"/>
            <w:shd w:val="clear" w:color="auto" w:fill="FFFFFF"/>
            <w:tcMar>
              <w:top w:w="110" w:type="dxa"/>
            </w:tcMar>
          </w:tcPr>
          <w:p w:rsidR="00066B9C" w:rsidRPr="00C258AD" w:rsidRDefault="00066B9C" w:rsidP="001A4D6C">
            <w:pPr>
              <w:rPr>
                <w:sz w:val="16"/>
                <w:szCs w:val="16"/>
                <w:lang w:bidi="th-TH"/>
              </w:rPr>
            </w:pPr>
            <w:r w:rsidRPr="00C258AD">
              <w:rPr>
                <w:sz w:val="16"/>
                <w:szCs w:val="16"/>
                <w:lang w:bidi="th-TH"/>
              </w:rPr>
              <w:t>Certains pays d’Europe et d’Asie (1)</w:t>
            </w:r>
          </w:p>
        </w:tc>
        <w:tc>
          <w:tcPr>
            <w:tcW w:w="451" w:type="pct"/>
            <w:gridSpan w:val="2"/>
            <w:shd w:val="clear" w:color="auto" w:fill="auto"/>
            <w:tcMar>
              <w:top w:w="110" w:type="dxa"/>
            </w:tcMar>
          </w:tcPr>
          <w:p w:rsidR="00066B9C" w:rsidRPr="00C258AD" w:rsidRDefault="00066B9C" w:rsidP="001A4D6C">
            <w:pPr>
              <w:keepNext/>
              <w:keepLines/>
              <w:jc w:val="center"/>
              <w:outlineLvl w:val="7"/>
              <w:rPr>
                <w:b/>
                <w:bCs/>
                <w:color w:val="00B050"/>
                <w:sz w:val="16"/>
                <w:szCs w:val="16"/>
              </w:rPr>
            </w:pPr>
            <w:r w:rsidRPr="00C258AD">
              <w:rPr>
                <w:b/>
                <w:bCs/>
                <w:color w:val="E26B0A"/>
                <w:sz w:val="16"/>
                <w:szCs w:val="16"/>
              </w:rPr>
              <w:t>Objectif partiellement atteint</w:t>
            </w:r>
          </w:p>
        </w:tc>
      </w:tr>
      <w:tr w:rsidR="00066B9C" w:rsidRPr="00C258AD" w:rsidTr="001A4D6C">
        <w:trPr>
          <w:cantSplit/>
        </w:trPr>
        <w:tc>
          <w:tcPr>
            <w:tcW w:w="1138" w:type="pct"/>
            <w:tcBorders>
              <w:bottom w:val="single" w:sz="4" w:space="0" w:color="auto"/>
            </w:tcBorders>
            <w:shd w:val="clear" w:color="auto" w:fill="auto"/>
          </w:tcPr>
          <w:p w:rsidR="00066B9C" w:rsidRPr="00C258AD" w:rsidRDefault="00066B9C" w:rsidP="001A4D6C">
            <w:pPr>
              <w:tabs>
                <w:tab w:val="left" w:pos="347"/>
              </w:tabs>
              <w:rPr>
                <w:sz w:val="16"/>
                <w:szCs w:val="16"/>
                <w:lang w:bidi="th-TH"/>
              </w:rPr>
            </w:pPr>
            <w:r w:rsidRPr="00C258AD">
              <w:rPr>
                <w:sz w:val="16"/>
                <w:szCs w:val="16"/>
                <w:lang w:eastAsia="fr-FR"/>
              </w:rPr>
              <w:t xml:space="preserve">Nombre moyen d’utilisateurs ayant bénéficié des services des </w:t>
            </w:r>
            <w:r w:rsidRPr="00C258AD">
              <w:rPr>
                <w:sz w:val="16"/>
                <w:szCs w:val="16"/>
                <w:lang w:bidi="th-TH"/>
              </w:rPr>
              <w:t xml:space="preserve">centres d’appui à la technologie et à l’innovation </w:t>
            </w:r>
            <w:r w:rsidRPr="00C258AD">
              <w:rPr>
                <w:sz w:val="16"/>
                <w:szCs w:val="16"/>
                <w:lang w:eastAsia="fr-FR"/>
              </w:rPr>
              <w:t>par trimestre et par pays</w:t>
            </w:r>
          </w:p>
        </w:tc>
        <w:tc>
          <w:tcPr>
            <w:tcW w:w="1290" w:type="pct"/>
            <w:tcBorders>
              <w:bottom w:val="single" w:sz="4" w:space="0" w:color="auto"/>
            </w:tcBorders>
            <w:shd w:val="clear" w:color="auto" w:fill="auto"/>
          </w:tcPr>
          <w:p w:rsidR="006E2BB1" w:rsidRPr="00C258AD" w:rsidRDefault="00066B9C" w:rsidP="001A4D6C">
            <w:pPr>
              <w:rPr>
                <w:color w:val="002060"/>
                <w:sz w:val="16"/>
                <w:szCs w:val="16"/>
                <w:lang w:bidi="th-TH"/>
              </w:rPr>
            </w:pPr>
            <w:r w:rsidRPr="00C258AD">
              <w:rPr>
                <w:i/>
                <w:color w:val="002060"/>
                <w:sz w:val="16"/>
                <w:szCs w:val="16"/>
                <w:lang w:bidi="th-TH"/>
              </w:rPr>
              <w:t xml:space="preserve">Niveau de référence actualisé à fin 2013 : </w:t>
            </w:r>
            <w:r w:rsidRPr="00C258AD">
              <w:rPr>
                <w:color w:val="002060"/>
                <w:sz w:val="16"/>
                <w:szCs w:val="16"/>
                <w:lang w:bidi="th-TH"/>
              </w:rPr>
              <w:t xml:space="preserve">entre 532 (min.) et 1370 (max.) utilisateurs en moyenne ont </w:t>
            </w:r>
            <w:r w:rsidRPr="00C258AD">
              <w:rPr>
                <w:color w:val="002060"/>
                <w:sz w:val="16"/>
                <w:szCs w:val="16"/>
                <w:lang w:eastAsia="fr-FR"/>
              </w:rPr>
              <w:t>bénéficié</w:t>
            </w:r>
            <w:r w:rsidRPr="00C258AD">
              <w:rPr>
                <w:color w:val="002060"/>
                <w:sz w:val="16"/>
                <w:szCs w:val="16"/>
                <w:lang w:bidi="th-TH"/>
              </w:rPr>
              <w:t xml:space="preserve"> des services de CATI par jour en 2013.</w:t>
            </w:r>
          </w:p>
          <w:p w:rsidR="006E2BB1" w:rsidRPr="00C258AD" w:rsidRDefault="006E2BB1" w:rsidP="001A4D6C">
            <w:pPr>
              <w:rPr>
                <w:i/>
                <w:sz w:val="16"/>
                <w:szCs w:val="16"/>
              </w:rPr>
            </w:pPr>
          </w:p>
          <w:p w:rsidR="00066B9C" w:rsidRPr="00C258AD" w:rsidRDefault="00066B9C" w:rsidP="001A4D6C">
            <w:pPr>
              <w:rPr>
                <w:i/>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entre 200 (min.) et 630 (max.)</w:t>
            </w:r>
          </w:p>
        </w:tc>
        <w:tc>
          <w:tcPr>
            <w:tcW w:w="836" w:type="pct"/>
            <w:tcBorders>
              <w:bottom w:val="single" w:sz="4" w:space="0" w:color="auto"/>
            </w:tcBorders>
            <w:shd w:val="clear" w:color="auto" w:fill="auto"/>
            <w:tcMar>
              <w:top w:w="110" w:type="dxa"/>
            </w:tcMar>
          </w:tcPr>
          <w:p w:rsidR="00066B9C" w:rsidRPr="00C258AD" w:rsidRDefault="00066B9C" w:rsidP="001A4D6C">
            <w:pPr>
              <w:rPr>
                <w:sz w:val="16"/>
                <w:szCs w:val="16"/>
                <w:lang w:bidi="th-TH"/>
              </w:rPr>
            </w:pPr>
            <w:r w:rsidRPr="00C258AD">
              <w:rPr>
                <w:sz w:val="16"/>
                <w:szCs w:val="16"/>
                <w:lang w:bidi="th-TH"/>
              </w:rPr>
              <w:t>300 (min.) – 750 (max.)</w:t>
            </w:r>
          </w:p>
        </w:tc>
        <w:tc>
          <w:tcPr>
            <w:tcW w:w="1285" w:type="pct"/>
            <w:tcBorders>
              <w:bottom w:val="single" w:sz="4" w:space="0" w:color="auto"/>
            </w:tcBorders>
            <w:shd w:val="clear" w:color="auto" w:fill="FFFFFF"/>
            <w:tcMar>
              <w:top w:w="110" w:type="dxa"/>
            </w:tcMar>
          </w:tcPr>
          <w:p w:rsidR="00066B9C" w:rsidRPr="00C258AD" w:rsidRDefault="00066B9C" w:rsidP="001A4D6C">
            <w:pPr>
              <w:rPr>
                <w:sz w:val="16"/>
                <w:szCs w:val="16"/>
                <w:lang w:bidi="th-TH"/>
              </w:rPr>
            </w:pPr>
            <w:r w:rsidRPr="00C258AD">
              <w:rPr>
                <w:sz w:val="16"/>
                <w:szCs w:val="16"/>
                <w:lang w:bidi="th-TH"/>
              </w:rPr>
              <w:t>874 (min.) – 2631 (max.)</w:t>
            </w:r>
          </w:p>
        </w:tc>
        <w:tc>
          <w:tcPr>
            <w:tcW w:w="451" w:type="pct"/>
            <w:gridSpan w:val="2"/>
            <w:tcBorders>
              <w:bottom w:val="single" w:sz="4" w:space="0" w:color="auto"/>
            </w:tcBorders>
            <w:shd w:val="clear" w:color="auto" w:fill="auto"/>
            <w:tcMar>
              <w:top w:w="110" w:type="dxa"/>
            </w:tcMar>
          </w:tcPr>
          <w:p w:rsidR="00066B9C" w:rsidRPr="008808C8" w:rsidRDefault="00066B9C" w:rsidP="001A4D6C">
            <w:pPr>
              <w:keepNext/>
              <w:keepLines/>
              <w:jc w:val="center"/>
              <w:rPr>
                <w:rFonts w:cs="Arial"/>
                <w:b/>
                <w:bCs/>
                <w:color w:val="00B050"/>
                <w:sz w:val="16"/>
                <w:szCs w:val="16"/>
              </w:rPr>
            </w:pPr>
            <w:r w:rsidRPr="008808C8">
              <w:rPr>
                <w:rStyle w:val="Style5"/>
                <w:rFonts w:ascii="Arial" w:hAnsi="Arial" w:cs="Arial"/>
                <w:b/>
                <w:bCs/>
                <w:color w:val="00B050"/>
                <w:sz w:val="16"/>
                <w:szCs w:val="16"/>
              </w:rPr>
              <w:t>Objectif pleinement atteint</w:t>
            </w:r>
          </w:p>
        </w:tc>
      </w:tr>
      <w:tr w:rsidR="00066B9C" w:rsidRPr="00C258AD" w:rsidTr="001A4D6C">
        <w:trPr>
          <w:cantSplit/>
        </w:trPr>
        <w:tc>
          <w:tcPr>
            <w:tcW w:w="5000" w:type="pct"/>
            <w:gridSpan w:val="6"/>
            <w:tcBorders>
              <w:top w:val="single" w:sz="4" w:space="0" w:color="auto"/>
              <w:bottom w:val="single" w:sz="4" w:space="0" w:color="auto"/>
            </w:tcBorders>
            <w:shd w:val="clear" w:color="auto" w:fill="C5D9F1"/>
            <w:vAlign w:val="center"/>
          </w:tcPr>
          <w:p w:rsidR="00066B9C" w:rsidRPr="00C258AD" w:rsidRDefault="00066B9C" w:rsidP="001A4D6C">
            <w:pPr>
              <w:rPr>
                <w:b/>
                <w:bCs/>
                <w:sz w:val="16"/>
                <w:szCs w:val="16"/>
              </w:rPr>
            </w:pPr>
            <w:r w:rsidRPr="00C258AD">
              <w:rPr>
                <w:b/>
                <w:bCs/>
                <w:sz w:val="16"/>
                <w:szCs w:val="16"/>
              </w:rPr>
              <w:t xml:space="preserve">Résultat escompté : </w:t>
            </w:r>
            <w:r w:rsidRPr="00C258AD">
              <w:rPr>
                <w:sz w:val="16"/>
                <w:szCs w:val="16"/>
                <w:lang w:bidi="th-TH"/>
              </w:rPr>
              <w:t xml:space="preserve">IV.4 </w:t>
            </w:r>
            <w:r w:rsidRPr="00C258AD">
              <w:rPr>
                <w:sz w:val="16"/>
                <w:szCs w:val="16"/>
              </w:rPr>
              <w:t xml:space="preserve">Amélioration de l’infrastructure technique et du savoir pour les offices de propriété intellectuelle et d’autres institutions de propriété intellectuelle, leur permettant de fournir à leurs parties prenantes des services améliorés (moins chers, plus rapides, de meilleure qualité) </w:t>
            </w:r>
          </w:p>
        </w:tc>
      </w:tr>
      <w:tr w:rsidR="00066B9C" w:rsidRPr="00C258AD" w:rsidTr="001A4D6C">
        <w:trPr>
          <w:cantSplit/>
        </w:trPr>
        <w:tc>
          <w:tcPr>
            <w:tcW w:w="1138" w:type="pct"/>
            <w:tcBorders>
              <w:top w:val="single" w:sz="4" w:space="0" w:color="auto"/>
            </w:tcBorders>
            <w:shd w:val="clear" w:color="auto" w:fill="auto"/>
            <w:vAlign w:val="center"/>
          </w:tcPr>
          <w:p w:rsidR="00066B9C" w:rsidRPr="00C258AD" w:rsidRDefault="00066B9C" w:rsidP="001A4D6C">
            <w:pPr>
              <w:keepNext/>
              <w:keepLines/>
              <w:jc w:val="center"/>
              <w:rPr>
                <w:sz w:val="16"/>
                <w:szCs w:val="16"/>
              </w:rPr>
            </w:pPr>
            <w:r w:rsidRPr="00C258AD">
              <w:rPr>
                <w:b/>
                <w:bCs/>
                <w:sz w:val="16"/>
                <w:szCs w:val="16"/>
              </w:rPr>
              <w:t>Indicateurs d’exécution</w:t>
            </w:r>
          </w:p>
        </w:tc>
        <w:tc>
          <w:tcPr>
            <w:tcW w:w="1290" w:type="pct"/>
            <w:tcBorders>
              <w:top w:val="single" w:sz="4" w:space="0" w:color="auto"/>
            </w:tcBorders>
            <w:shd w:val="clear" w:color="auto" w:fill="auto"/>
            <w:vAlign w:val="center"/>
          </w:tcPr>
          <w:p w:rsidR="00066B9C" w:rsidRPr="00C258AD" w:rsidRDefault="00066B9C" w:rsidP="001A4D6C">
            <w:pPr>
              <w:keepNext/>
              <w:keepLines/>
              <w:jc w:val="center"/>
              <w:rPr>
                <w:b/>
                <w:bCs/>
                <w:sz w:val="16"/>
                <w:szCs w:val="16"/>
              </w:rPr>
            </w:pPr>
            <w:r w:rsidRPr="00C258AD">
              <w:rPr>
                <w:b/>
                <w:bCs/>
                <w:sz w:val="16"/>
                <w:szCs w:val="16"/>
              </w:rPr>
              <w:t>Niveaux de référence</w:t>
            </w:r>
          </w:p>
        </w:tc>
        <w:tc>
          <w:tcPr>
            <w:tcW w:w="836" w:type="pct"/>
            <w:tcBorders>
              <w:top w:val="single" w:sz="4" w:space="0" w:color="auto"/>
            </w:tcBorders>
            <w:shd w:val="clear" w:color="auto" w:fill="auto"/>
            <w:vAlign w:val="center"/>
          </w:tcPr>
          <w:p w:rsidR="00066B9C" w:rsidRPr="00C258AD" w:rsidRDefault="00066B9C" w:rsidP="001A4D6C">
            <w:pPr>
              <w:keepNext/>
              <w:keepLines/>
              <w:jc w:val="center"/>
              <w:rPr>
                <w:b/>
                <w:sz w:val="16"/>
                <w:szCs w:val="16"/>
              </w:rPr>
            </w:pPr>
            <w:r w:rsidRPr="00C258AD">
              <w:rPr>
                <w:b/>
                <w:sz w:val="16"/>
                <w:szCs w:val="16"/>
              </w:rPr>
              <w:t>Objectifs visés</w:t>
            </w:r>
          </w:p>
        </w:tc>
        <w:tc>
          <w:tcPr>
            <w:tcW w:w="1285" w:type="pct"/>
            <w:tcBorders>
              <w:top w:val="single" w:sz="4" w:space="0" w:color="auto"/>
            </w:tcBorders>
            <w:shd w:val="clear" w:color="auto" w:fill="auto"/>
            <w:vAlign w:val="center"/>
          </w:tcPr>
          <w:p w:rsidR="00066B9C" w:rsidRPr="00C258AD" w:rsidRDefault="00066B9C" w:rsidP="001A4D6C">
            <w:pPr>
              <w:keepNext/>
              <w:keepLines/>
              <w:jc w:val="center"/>
              <w:rPr>
                <w:sz w:val="16"/>
                <w:szCs w:val="16"/>
              </w:rPr>
            </w:pPr>
            <w:r w:rsidRPr="00C258AD">
              <w:rPr>
                <w:b/>
                <w:bCs/>
                <w:sz w:val="16"/>
                <w:szCs w:val="16"/>
              </w:rPr>
              <w:t>Données relatives à l’exécution</w:t>
            </w:r>
          </w:p>
        </w:tc>
        <w:tc>
          <w:tcPr>
            <w:tcW w:w="451" w:type="pct"/>
            <w:gridSpan w:val="2"/>
            <w:tcBorders>
              <w:top w:val="single" w:sz="4" w:space="0" w:color="auto"/>
            </w:tcBorders>
            <w:shd w:val="clear" w:color="auto" w:fill="auto"/>
            <w:vAlign w:val="center"/>
          </w:tcPr>
          <w:p w:rsidR="00066B9C" w:rsidRPr="00C258AD" w:rsidRDefault="00066B9C" w:rsidP="001A4D6C">
            <w:pPr>
              <w:keepNext/>
              <w:keepLines/>
              <w:jc w:val="center"/>
              <w:rPr>
                <w:b/>
                <w:bCs/>
                <w:sz w:val="16"/>
                <w:szCs w:val="16"/>
              </w:rPr>
            </w:pPr>
            <w:r w:rsidRPr="00C258AD">
              <w:rPr>
                <w:b/>
                <w:bCs/>
                <w:sz w:val="16"/>
                <w:szCs w:val="16"/>
              </w:rPr>
              <w:t>Code de couleurs</w:t>
            </w:r>
          </w:p>
        </w:tc>
      </w:tr>
      <w:tr w:rsidR="00066B9C" w:rsidRPr="00C258AD" w:rsidTr="001A4D6C">
        <w:trPr>
          <w:cantSplit/>
        </w:trPr>
        <w:tc>
          <w:tcPr>
            <w:tcW w:w="1138" w:type="pct"/>
            <w:shd w:val="clear" w:color="auto" w:fill="auto"/>
          </w:tcPr>
          <w:p w:rsidR="00066B9C" w:rsidRPr="00C258AD" w:rsidRDefault="00066B9C" w:rsidP="001A4D6C">
            <w:pPr>
              <w:tabs>
                <w:tab w:val="left" w:pos="347"/>
              </w:tabs>
              <w:rPr>
                <w:sz w:val="16"/>
                <w:szCs w:val="16"/>
                <w:lang w:bidi="th-TH"/>
              </w:rPr>
            </w:pPr>
            <w:r w:rsidRPr="00C258AD">
              <w:rPr>
                <w:sz w:val="16"/>
                <w:szCs w:val="16"/>
              </w:rPr>
              <w:t>Niveau de service moyen des offices de propriété intellectuelle bénéficiant d’une assistance (de 1 à 5)</w:t>
            </w:r>
          </w:p>
        </w:tc>
        <w:tc>
          <w:tcPr>
            <w:tcW w:w="1290" w:type="pct"/>
            <w:shd w:val="clear" w:color="auto" w:fill="auto"/>
          </w:tcPr>
          <w:p w:rsidR="006E2BB1" w:rsidRPr="00C258AD" w:rsidRDefault="00066B9C" w:rsidP="001A4D6C">
            <w:pPr>
              <w:rPr>
                <w:color w:val="002060"/>
                <w:sz w:val="16"/>
                <w:szCs w:val="16"/>
                <w:lang w:bidi="th-TH"/>
              </w:rPr>
            </w:pPr>
            <w:r w:rsidRPr="00C258AD">
              <w:rPr>
                <w:i/>
                <w:color w:val="002060"/>
                <w:sz w:val="16"/>
                <w:szCs w:val="16"/>
              </w:rPr>
              <w:t xml:space="preserve">Niveau de référence actualisé à fin 2013 : </w:t>
            </w:r>
            <w:r w:rsidRPr="00C258AD">
              <w:rPr>
                <w:color w:val="002060"/>
                <w:sz w:val="16"/>
                <w:szCs w:val="16"/>
              </w:rPr>
              <w:t>3</w:t>
            </w:r>
          </w:p>
          <w:p w:rsidR="006E2BB1" w:rsidRPr="00C258AD" w:rsidRDefault="006E2BB1" w:rsidP="001A4D6C">
            <w:pPr>
              <w:rPr>
                <w:i/>
                <w:color w:val="002060"/>
                <w:sz w:val="16"/>
                <w:szCs w:val="16"/>
              </w:rPr>
            </w:pPr>
          </w:p>
          <w:p w:rsidR="00066B9C" w:rsidRPr="00C258AD" w:rsidRDefault="00066B9C" w:rsidP="001A4D6C">
            <w:pPr>
              <w:rPr>
                <w:i/>
                <w:color w:val="002060"/>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à déterminer</w:t>
            </w:r>
          </w:p>
        </w:tc>
        <w:tc>
          <w:tcPr>
            <w:tcW w:w="836" w:type="pct"/>
            <w:shd w:val="clear" w:color="auto" w:fill="auto"/>
            <w:tcMar>
              <w:top w:w="110" w:type="dxa"/>
            </w:tcMar>
          </w:tcPr>
          <w:p w:rsidR="006E2BB1" w:rsidRPr="00C258AD" w:rsidRDefault="00066B9C" w:rsidP="001A4D6C">
            <w:pPr>
              <w:pStyle w:val="Default"/>
              <w:rPr>
                <w:rFonts w:eastAsia="Times New Roman"/>
                <w:color w:val="002060"/>
                <w:sz w:val="16"/>
                <w:szCs w:val="16"/>
              </w:rPr>
            </w:pPr>
            <w:r w:rsidRPr="00C258AD">
              <w:rPr>
                <w:i/>
                <w:color w:val="002060"/>
                <w:sz w:val="16"/>
                <w:szCs w:val="16"/>
                <w:lang w:bidi="th-TH"/>
              </w:rPr>
              <w:t>Objectif fixé :</w:t>
            </w:r>
            <w:r w:rsidRPr="00C258AD">
              <w:rPr>
                <w:color w:val="002060"/>
                <w:sz w:val="16"/>
                <w:szCs w:val="16"/>
                <w:lang w:bidi="th-TH"/>
              </w:rPr>
              <w:t xml:space="preserve"> </w:t>
            </w:r>
            <w:r w:rsidRPr="00C258AD">
              <w:rPr>
                <w:rFonts w:eastAsia="Times New Roman"/>
                <w:color w:val="002060"/>
                <w:sz w:val="16"/>
                <w:szCs w:val="16"/>
              </w:rPr>
              <w:t>3</w:t>
            </w:r>
          </w:p>
          <w:p w:rsidR="006E2BB1" w:rsidRPr="00C258AD" w:rsidRDefault="006E2BB1" w:rsidP="001A4D6C">
            <w:pPr>
              <w:rPr>
                <w:i/>
                <w:color w:val="002060"/>
                <w:sz w:val="16"/>
                <w:szCs w:val="16"/>
              </w:rPr>
            </w:pPr>
          </w:p>
          <w:p w:rsidR="00066B9C" w:rsidRPr="00C258AD" w:rsidRDefault="00066B9C" w:rsidP="001A4D6C">
            <w:pPr>
              <w:rPr>
                <w:sz w:val="16"/>
                <w:szCs w:val="16"/>
                <w:lang w:bidi="th-TH"/>
              </w:rPr>
            </w:pPr>
            <w:r w:rsidRPr="00C258AD">
              <w:rPr>
                <w:i/>
                <w:sz w:val="16"/>
                <w:szCs w:val="16"/>
                <w:lang w:bidi="th-TH"/>
              </w:rPr>
              <w:t>Objectif initial dans le programme et budget 2014</w:t>
            </w:r>
            <w:r w:rsidRPr="00C258AD">
              <w:rPr>
                <w:i/>
                <w:sz w:val="16"/>
                <w:szCs w:val="16"/>
                <w:lang w:bidi="th-TH"/>
              </w:rPr>
              <w:noBreakHyphen/>
              <w:t>2015 :</w:t>
            </w:r>
            <w:r w:rsidRPr="00C258AD">
              <w:rPr>
                <w:sz w:val="16"/>
                <w:szCs w:val="16"/>
                <w:lang w:bidi="th-TH"/>
              </w:rPr>
              <w:t xml:space="preserve"> </w:t>
            </w:r>
            <w:r w:rsidRPr="00C258AD">
              <w:rPr>
                <w:sz w:val="16"/>
                <w:szCs w:val="16"/>
              </w:rPr>
              <w:t>À déterminer</w:t>
            </w:r>
          </w:p>
        </w:tc>
        <w:tc>
          <w:tcPr>
            <w:tcW w:w="1285" w:type="pct"/>
            <w:shd w:val="clear" w:color="auto" w:fill="FFFFFF"/>
            <w:tcMar>
              <w:top w:w="110" w:type="dxa"/>
            </w:tcMar>
          </w:tcPr>
          <w:p w:rsidR="00066B9C" w:rsidRPr="00C258AD" w:rsidRDefault="00066B9C" w:rsidP="001A4D6C">
            <w:pPr>
              <w:rPr>
                <w:sz w:val="16"/>
                <w:szCs w:val="16"/>
                <w:lang w:bidi="th-TH"/>
              </w:rPr>
            </w:pPr>
            <w:r w:rsidRPr="00C258AD">
              <w:rPr>
                <w:sz w:val="16"/>
                <w:szCs w:val="16"/>
                <w:lang w:bidi="th-TH"/>
              </w:rPr>
              <w:t>Certains pays d’Europe et d’Asie :</w:t>
            </w:r>
            <w:r w:rsidRPr="00C258AD">
              <w:rPr>
                <w:sz w:val="16"/>
                <w:szCs w:val="16"/>
              </w:rPr>
              <w:t xml:space="preserve"> 3,3</w:t>
            </w:r>
          </w:p>
        </w:tc>
        <w:tc>
          <w:tcPr>
            <w:tcW w:w="451" w:type="pct"/>
            <w:gridSpan w:val="2"/>
            <w:shd w:val="clear" w:color="auto" w:fill="auto"/>
            <w:tcMar>
              <w:top w:w="110" w:type="dxa"/>
            </w:tcMar>
          </w:tcPr>
          <w:p w:rsidR="00066B9C" w:rsidRPr="008808C8" w:rsidRDefault="00066B9C" w:rsidP="001A4D6C">
            <w:pPr>
              <w:keepNext/>
              <w:keepLines/>
              <w:jc w:val="center"/>
              <w:rPr>
                <w:rFonts w:cs="Arial"/>
                <w:b/>
                <w:bCs/>
                <w:color w:val="00B050"/>
                <w:sz w:val="16"/>
                <w:szCs w:val="16"/>
              </w:rPr>
            </w:pPr>
            <w:r w:rsidRPr="008808C8">
              <w:rPr>
                <w:rStyle w:val="Style5"/>
                <w:rFonts w:ascii="Arial" w:hAnsi="Arial" w:cs="Arial"/>
                <w:b/>
                <w:bCs/>
                <w:color w:val="00B050"/>
                <w:sz w:val="16"/>
                <w:szCs w:val="16"/>
              </w:rPr>
              <w:t>Objectif pleinement atteint</w:t>
            </w:r>
          </w:p>
        </w:tc>
      </w:tr>
    </w:tbl>
    <w:p w:rsidR="006E2BB1" w:rsidRPr="00C258AD" w:rsidRDefault="006E2BB1" w:rsidP="001A4D6C">
      <w:pPr>
        <w:rPr>
          <w:color w:val="000000"/>
          <w:sz w:val="22"/>
          <w:szCs w:val="22"/>
        </w:rPr>
      </w:pPr>
    </w:p>
    <w:p w:rsidR="006E2BB1" w:rsidRPr="00C258AD" w:rsidRDefault="006E2BB1" w:rsidP="001A4D6C">
      <w:pPr>
        <w:rPr>
          <w:color w:val="000000"/>
          <w:sz w:val="22"/>
          <w:szCs w:val="22"/>
        </w:rPr>
      </w:pPr>
    </w:p>
    <w:p w:rsidR="006E2BB1" w:rsidRPr="00C258AD" w:rsidRDefault="00066B9C" w:rsidP="00305CE5">
      <w:pPr>
        <w:keepNext/>
        <w:rPr>
          <w:rFonts w:cs="Arial"/>
          <w:caps/>
          <w:sz w:val="22"/>
          <w:szCs w:val="22"/>
        </w:rPr>
      </w:pPr>
      <w:r w:rsidRPr="00C258AD">
        <w:rPr>
          <w:rFonts w:cs="Arial"/>
          <w:caps/>
          <w:sz w:val="22"/>
          <w:szCs w:val="22"/>
        </w:rPr>
        <w:t>Rapport d’évaluation des risques pour l’exercice biennal</w:t>
      </w:r>
    </w:p>
    <w:p w:rsidR="00066B9C" w:rsidRPr="00C258AD" w:rsidRDefault="00066B9C" w:rsidP="001A4D6C">
      <w:pPr>
        <w:keepNext/>
        <w:keepLines/>
        <w:rPr>
          <w:rFonts w:cs="Arial"/>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066B9C" w:rsidRPr="00C258AD" w:rsidTr="001A4D6C">
        <w:trPr>
          <w:cantSplit/>
        </w:trPr>
        <w:tc>
          <w:tcPr>
            <w:tcW w:w="2372" w:type="dxa"/>
            <w:tcBorders>
              <w:top w:val="single" w:sz="4" w:space="0" w:color="auto"/>
              <w:left w:val="single" w:sz="4" w:space="0" w:color="auto"/>
              <w:bottom w:val="single" w:sz="4" w:space="0" w:color="auto"/>
            </w:tcBorders>
            <w:shd w:val="clear" w:color="auto" w:fill="C5D9F1"/>
            <w:vAlign w:val="center"/>
          </w:tcPr>
          <w:p w:rsidR="00066B9C" w:rsidRPr="00C258AD" w:rsidRDefault="00066B9C" w:rsidP="001A4D6C">
            <w:pPr>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066B9C" w:rsidRPr="00C258AD" w:rsidRDefault="00066B9C" w:rsidP="001A4D6C">
            <w:pPr>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066B9C" w:rsidRPr="00C258AD" w:rsidRDefault="00066B9C" w:rsidP="001A4D6C">
            <w:pPr>
              <w:autoSpaceDE w:val="0"/>
              <w:autoSpaceDN w:val="0"/>
              <w:adjustRightInd w:val="0"/>
              <w:ind w:right="-59"/>
              <w:jc w:val="center"/>
              <w:rPr>
                <w:b/>
                <w:bCs/>
                <w:iCs/>
                <w:sz w:val="16"/>
                <w:szCs w:val="16"/>
              </w:rPr>
            </w:pPr>
            <w:r w:rsidRPr="00C258AD">
              <w:rPr>
                <w:b/>
                <w:bCs/>
                <w:iCs/>
                <w:sz w:val="16"/>
                <w:szCs w:val="16"/>
              </w:rPr>
              <w:t>Évolution des risques et des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066B9C" w:rsidRPr="00C258AD" w:rsidRDefault="00066B9C" w:rsidP="001A4D6C">
            <w:pPr>
              <w:autoSpaceDE w:val="0"/>
              <w:autoSpaceDN w:val="0"/>
              <w:adjustRightInd w:val="0"/>
              <w:jc w:val="center"/>
              <w:rPr>
                <w:b/>
                <w:bCs/>
                <w:iCs/>
                <w:sz w:val="16"/>
                <w:szCs w:val="16"/>
              </w:rPr>
            </w:pPr>
            <w:r w:rsidRPr="00C258AD">
              <w:rPr>
                <w:b/>
                <w:bCs/>
                <w:iCs/>
                <w:sz w:val="16"/>
                <w:szCs w:val="16"/>
              </w:rPr>
              <w:t>Incidence sur les résultats du programme</w:t>
            </w:r>
          </w:p>
        </w:tc>
      </w:tr>
      <w:tr w:rsidR="00066B9C" w:rsidRPr="00C258AD" w:rsidTr="001A4D6C">
        <w:tblPrEx>
          <w:tblBorders>
            <w:top w:val="single" w:sz="4" w:space="0" w:color="auto"/>
            <w:left w:val="single" w:sz="4" w:space="0" w:color="auto"/>
            <w:bottom w:val="single" w:sz="4" w:space="0" w:color="auto"/>
            <w:right w:val="single" w:sz="4" w:space="0" w:color="auto"/>
            <w:insideH w:val="single" w:sz="4" w:space="0" w:color="auto"/>
          </w:tblBorders>
        </w:tblPrEx>
        <w:trPr>
          <w:cantSplit/>
        </w:trPr>
        <w:tc>
          <w:tcPr>
            <w:tcW w:w="2372" w:type="dxa"/>
            <w:shd w:val="clear" w:color="auto" w:fill="auto"/>
            <w:tcMar>
              <w:top w:w="113" w:type="dxa"/>
            </w:tcMar>
          </w:tcPr>
          <w:p w:rsidR="00066B9C" w:rsidRPr="00C258AD" w:rsidRDefault="00066B9C" w:rsidP="001A4D6C">
            <w:pPr>
              <w:keepNext/>
              <w:keepLines/>
              <w:autoSpaceDE w:val="0"/>
              <w:autoSpaceDN w:val="0"/>
              <w:adjustRightInd w:val="0"/>
              <w:ind w:right="-59"/>
              <w:rPr>
                <w:sz w:val="16"/>
                <w:szCs w:val="16"/>
              </w:rPr>
            </w:pPr>
            <w:r w:rsidRPr="00C258AD">
              <w:rPr>
                <w:sz w:val="16"/>
                <w:szCs w:val="16"/>
              </w:rPr>
              <w:t>Des changements économiques et politiques pourraient compromettre ou ralentir la mise en œuvre des stratégies nationales en matière de propriété intellectuelle.</w:t>
            </w:r>
          </w:p>
        </w:tc>
        <w:tc>
          <w:tcPr>
            <w:tcW w:w="2373" w:type="dxa"/>
            <w:shd w:val="clear" w:color="auto" w:fill="auto"/>
            <w:tcMar>
              <w:top w:w="113" w:type="dxa"/>
            </w:tcMar>
          </w:tcPr>
          <w:p w:rsidR="00066B9C" w:rsidRPr="00C258AD" w:rsidRDefault="00066B9C" w:rsidP="001A4D6C">
            <w:pPr>
              <w:keepNext/>
              <w:keepLines/>
              <w:autoSpaceDE w:val="0"/>
              <w:autoSpaceDN w:val="0"/>
              <w:adjustRightInd w:val="0"/>
              <w:ind w:right="-59"/>
              <w:rPr>
                <w:sz w:val="16"/>
                <w:szCs w:val="16"/>
              </w:rPr>
            </w:pPr>
            <w:r w:rsidRPr="00C258AD">
              <w:rPr>
                <w:sz w:val="16"/>
                <w:szCs w:val="16"/>
              </w:rPr>
              <w:t xml:space="preserve">Entretenir des relations avec toutes les parties prenantes dans les pays et procéder à une planification prévoyante à tous les niveaux.  Prévoir une marge de manœuvre dans les plans de coopération.  </w:t>
            </w:r>
          </w:p>
        </w:tc>
        <w:tc>
          <w:tcPr>
            <w:tcW w:w="2373" w:type="dxa"/>
          </w:tcPr>
          <w:p w:rsidR="00066B9C" w:rsidRPr="00C258AD" w:rsidRDefault="00066B9C" w:rsidP="001A4D6C">
            <w:pPr>
              <w:rPr>
                <w:sz w:val="16"/>
                <w:szCs w:val="16"/>
              </w:rPr>
            </w:pPr>
            <w:r w:rsidRPr="00C258AD">
              <w:rPr>
                <w:sz w:val="16"/>
                <w:szCs w:val="16"/>
              </w:rPr>
              <w:t xml:space="preserve">Le risque est continu et a une incidence sur la planification de certaines activités.  Toutefois, conformément au plan d’atténuation des risques, une étroite collaboration avec les parties prenantes concernées a été maintenue.  En outre, une approche flexible dans l’élaboration et la mise en œuvre des plans de coopération, ainsi qu’un suivi attentif de la situation ont permis de réduire les effets négatifs.  </w:t>
            </w:r>
          </w:p>
        </w:tc>
        <w:tc>
          <w:tcPr>
            <w:tcW w:w="2373" w:type="dxa"/>
          </w:tcPr>
          <w:p w:rsidR="00066B9C" w:rsidRPr="00C258AD" w:rsidRDefault="00066B9C" w:rsidP="001A4D6C">
            <w:pPr>
              <w:autoSpaceDE w:val="0"/>
              <w:autoSpaceDN w:val="0"/>
              <w:adjustRightInd w:val="0"/>
              <w:ind w:right="-59"/>
              <w:rPr>
                <w:sz w:val="16"/>
                <w:szCs w:val="16"/>
              </w:rPr>
            </w:pPr>
            <w:r w:rsidRPr="00C258AD">
              <w:rPr>
                <w:sz w:val="16"/>
                <w:szCs w:val="16"/>
                <w:lang w:eastAsia="zh-CN"/>
              </w:rPr>
              <w:t>Ce risque et cette évolution n’ont eu aucune incidence significative sur l’exécution du programme en 2014</w:t>
            </w:r>
            <w:r w:rsidRPr="00C258AD">
              <w:rPr>
                <w:sz w:val="16"/>
                <w:szCs w:val="16"/>
                <w:lang w:eastAsia="zh-CN"/>
              </w:rPr>
              <w:noBreakHyphen/>
              <w:t xml:space="preserve">2015 compte tenu de la mise en place de mesures d’atténuation efficaces.  </w:t>
            </w:r>
          </w:p>
        </w:tc>
      </w:tr>
    </w:tbl>
    <w:p w:rsidR="006E2BB1" w:rsidRPr="00C258AD" w:rsidRDefault="006E2BB1" w:rsidP="001A4D6C">
      <w:pPr>
        <w:rPr>
          <w:color w:val="000000"/>
          <w:sz w:val="22"/>
          <w:szCs w:val="22"/>
        </w:rPr>
      </w:pPr>
    </w:p>
    <w:p w:rsidR="006E2BB1" w:rsidRPr="00C258AD" w:rsidRDefault="006E2BB1" w:rsidP="001A4D6C">
      <w:pPr>
        <w:rPr>
          <w:color w:val="000000"/>
          <w:sz w:val="22"/>
          <w:szCs w:val="22"/>
        </w:rPr>
      </w:pPr>
    </w:p>
    <w:p w:rsidR="006E2BB1" w:rsidRPr="00C258AD" w:rsidRDefault="00066B9C" w:rsidP="001A4D6C">
      <w:pPr>
        <w:rPr>
          <w:caps/>
          <w:sz w:val="22"/>
        </w:rPr>
      </w:pPr>
      <w:r w:rsidRPr="00C258AD">
        <w:br w:type="page"/>
      </w:r>
    </w:p>
    <w:p w:rsidR="006E2BB1" w:rsidRPr="00C258AD" w:rsidRDefault="00066B9C" w:rsidP="00305CE5">
      <w:pPr>
        <w:keepNext/>
        <w:rPr>
          <w:rFonts w:cs="Arial"/>
          <w:caps/>
          <w:sz w:val="22"/>
          <w:szCs w:val="22"/>
        </w:rPr>
      </w:pPr>
      <w:r w:rsidRPr="00C258AD">
        <w:rPr>
          <w:rFonts w:cs="Arial"/>
          <w:caps/>
          <w:sz w:val="22"/>
          <w:szCs w:val="22"/>
        </w:rPr>
        <w:lastRenderedPageBreak/>
        <w:t>Utilisation des ressources</w:t>
      </w:r>
    </w:p>
    <w:p w:rsidR="006E2BB1" w:rsidRPr="00C258AD" w:rsidRDefault="006E2BB1" w:rsidP="001A4D6C">
      <w:pPr>
        <w:keepNext/>
        <w:jc w:val="center"/>
      </w:pPr>
    </w:p>
    <w:p w:rsidR="006E2BB1" w:rsidRPr="00C258AD" w:rsidRDefault="00066B9C" w:rsidP="001A4D6C">
      <w:pPr>
        <w:pStyle w:val="NormalWeb"/>
        <w:keepNext/>
        <w:spacing w:before="0" w:beforeAutospacing="0" w:after="0" w:afterAutospacing="0"/>
        <w:jc w:val="center"/>
        <w:rPr>
          <w:sz w:val="20"/>
          <w:szCs w:val="20"/>
        </w:rPr>
      </w:pPr>
      <w:r w:rsidRPr="00C258AD">
        <w:rPr>
          <w:sz w:val="20"/>
          <w:szCs w:val="20"/>
        </w:rPr>
        <w:t>Budget et dépenses effectives (par résultat)</w:t>
      </w:r>
    </w:p>
    <w:p w:rsidR="006E2BB1" w:rsidRPr="00C258AD" w:rsidRDefault="00066B9C" w:rsidP="001A4D6C">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066B9C" w:rsidRPr="00C258AD" w:rsidRDefault="00066B9C" w:rsidP="001A4D6C">
      <w:pPr>
        <w:keepNext/>
        <w:jc w:val="both"/>
      </w:pPr>
    </w:p>
    <w:tbl>
      <w:tblPr>
        <w:tblW w:w="5000" w:type="pct"/>
        <w:tblCellMar>
          <w:top w:w="113" w:type="dxa"/>
          <w:left w:w="70" w:type="dxa"/>
          <w:bottom w:w="113" w:type="dxa"/>
          <w:right w:w="70" w:type="dxa"/>
        </w:tblCellMar>
        <w:tblLook w:val="04A0" w:firstRow="1" w:lastRow="0" w:firstColumn="1" w:lastColumn="0" w:noHBand="0" w:noVBand="1"/>
      </w:tblPr>
      <w:tblGrid>
        <w:gridCol w:w="546"/>
        <w:gridCol w:w="4683"/>
        <w:gridCol w:w="1422"/>
        <w:gridCol w:w="1422"/>
        <w:gridCol w:w="1422"/>
      </w:tblGrid>
      <w:tr w:rsidR="00066B9C" w:rsidRPr="00C258AD" w:rsidTr="001A4D6C">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066B9C" w:rsidRPr="00C258AD" w:rsidRDefault="00066B9C" w:rsidP="001A4D6C">
            <w:pPr>
              <w:jc w:val="center"/>
              <w:rPr>
                <w:i/>
                <w:iCs/>
                <w:sz w:val="16"/>
                <w:szCs w:val="16"/>
                <w:lang w:eastAsia="fr-FR"/>
              </w:rPr>
            </w:pPr>
            <w:r w:rsidRPr="00C258AD">
              <w:rPr>
                <w:i/>
                <w:iCs/>
                <w:sz w:val="16"/>
                <w:szCs w:val="16"/>
                <w:lang w:eastAsia="fr-FR"/>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066B9C" w:rsidRPr="00C258AD" w:rsidRDefault="00066B9C" w:rsidP="001A4D6C">
            <w:pPr>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Pr="00C258AD">
              <w:rPr>
                <w:i/>
                <w:iCs/>
                <w:sz w:val="16"/>
                <w:szCs w:val="16"/>
                <w:lang w:eastAsia="fr-FR"/>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066B9C" w:rsidRPr="00C258AD" w:rsidRDefault="00066B9C" w:rsidP="001A4D6C">
            <w:pPr>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Pr="00C258AD">
              <w:rPr>
                <w:i/>
                <w:iCs/>
                <w:sz w:val="16"/>
                <w:szCs w:val="16"/>
                <w:lang w:eastAsia="fr-FR"/>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066B9C" w:rsidRPr="00C258AD" w:rsidRDefault="00066B9C" w:rsidP="001A4D6C">
            <w:pPr>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Pr="00C258AD">
              <w:rPr>
                <w:i/>
                <w:iCs/>
                <w:sz w:val="16"/>
                <w:szCs w:val="16"/>
                <w:lang w:eastAsia="fr-FR"/>
              </w:rPr>
              <w:noBreakHyphen/>
              <w:t>2015</w:t>
            </w:r>
          </w:p>
        </w:tc>
      </w:tr>
      <w:tr w:rsidR="00066B9C" w:rsidRPr="00C258AD" w:rsidTr="001A4D6C">
        <w:trPr>
          <w:cantSplit/>
        </w:trPr>
        <w:tc>
          <w:tcPr>
            <w:tcW w:w="522" w:type="dxa"/>
            <w:tcBorders>
              <w:top w:val="nil"/>
              <w:left w:val="single" w:sz="4" w:space="0" w:color="auto"/>
              <w:bottom w:val="nil"/>
              <w:right w:val="nil"/>
            </w:tcBorders>
            <w:shd w:val="clear" w:color="auto" w:fill="auto"/>
            <w:noWrap/>
            <w:vAlign w:val="center"/>
            <w:hideMark/>
          </w:tcPr>
          <w:p w:rsidR="00066B9C" w:rsidRPr="00C258AD" w:rsidRDefault="00066B9C" w:rsidP="001A4D6C">
            <w:pPr>
              <w:rPr>
                <w:sz w:val="16"/>
                <w:szCs w:val="16"/>
                <w:lang w:eastAsia="fr-FR"/>
              </w:rPr>
            </w:pPr>
            <w:r w:rsidRPr="00C258AD">
              <w:rPr>
                <w:sz w:val="16"/>
                <w:szCs w:val="16"/>
                <w:lang w:eastAsia="fr-FR"/>
              </w:rPr>
              <w:t>I.2</w:t>
            </w:r>
          </w:p>
        </w:tc>
        <w:tc>
          <w:tcPr>
            <w:tcW w:w="4478" w:type="dxa"/>
            <w:tcBorders>
              <w:top w:val="nil"/>
              <w:left w:val="nil"/>
              <w:bottom w:val="nil"/>
              <w:right w:val="nil"/>
            </w:tcBorders>
            <w:shd w:val="clear" w:color="auto" w:fill="auto"/>
            <w:vAlign w:val="center"/>
            <w:hideMark/>
          </w:tcPr>
          <w:p w:rsidR="00066B9C" w:rsidRPr="00C258AD" w:rsidRDefault="00066B9C" w:rsidP="001A4D6C">
            <w:pPr>
              <w:rPr>
                <w:sz w:val="16"/>
                <w:szCs w:val="16"/>
                <w:lang w:eastAsia="fr-FR"/>
              </w:rPr>
            </w:pPr>
            <w:r w:rsidRPr="00C258AD">
              <w:rPr>
                <w:sz w:val="16"/>
                <w:szCs w:val="16"/>
                <w:lang w:eastAsia="fr-FR"/>
              </w:rPr>
              <w:t>Cadres législatifs, réglementaires et politiques adaptés et équilibrés en matière de propriété intellectuelle</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755</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831</w:t>
            </w:r>
          </w:p>
        </w:tc>
        <w:tc>
          <w:tcPr>
            <w:tcW w:w="1360" w:type="dxa"/>
            <w:tcBorders>
              <w:top w:val="nil"/>
              <w:left w:val="nil"/>
              <w:bottom w:val="nil"/>
              <w:right w:val="single" w:sz="4" w:space="0" w:color="auto"/>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742</w:t>
            </w:r>
          </w:p>
        </w:tc>
      </w:tr>
      <w:tr w:rsidR="00066B9C" w:rsidRPr="00C258AD" w:rsidTr="001A4D6C">
        <w:trPr>
          <w:cantSplit/>
        </w:trPr>
        <w:tc>
          <w:tcPr>
            <w:tcW w:w="522" w:type="dxa"/>
            <w:tcBorders>
              <w:top w:val="nil"/>
              <w:left w:val="single" w:sz="4" w:space="0" w:color="auto"/>
              <w:bottom w:val="nil"/>
              <w:right w:val="nil"/>
            </w:tcBorders>
            <w:shd w:val="clear" w:color="auto" w:fill="auto"/>
            <w:noWrap/>
            <w:vAlign w:val="center"/>
            <w:hideMark/>
          </w:tcPr>
          <w:p w:rsidR="00066B9C" w:rsidRPr="00C258AD" w:rsidRDefault="00066B9C" w:rsidP="001A4D6C">
            <w:pPr>
              <w:rPr>
                <w:sz w:val="16"/>
                <w:szCs w:val="16"/>
                <w:lang w:eastAsia="fr-FR"/>
              </w:rPr>
            </w:pPr>
            <w:r w:rsidRPr="00C258AD">
              <w:rPr>
                <w:sz w:val="16"/>
                <w:szCs w:val="16"/>
                <w:lang w:eastAsia="fr-FR"/>
              </w:rPr>
              <w:t>II.1</w:t>
            </w:r>
          </w:p>
        </w:tc>
        <w:tc>
          <w:tcPr>
            <w:tcW w:w="4478" w:type="dxa"/>
            <w:tcBorders>
              <w:top w:val="nil"/>
              <w:left w:val="nil"/>
              <w:bottom w:val="nil"/>
              <w:right w:val="nil"/>
            </w:tcBorders>
            <w:shd w:val="clear" w:color="auto" w:fill="auto"/>
            <w:vAlign w:val="center"/>
            <w:hideMark/>
          </w:tcPr>
          <w:p w:rsidR="00066B9C" w:rsidRPr="00C258AD" w:rsidRDefault="00066B9C" w:rsidP="001A4D6C">
            <w:pPr>
              <w:rPr>
                <w:sz w:val="16"/>
                <w:szCs w:val="16"/>
                <w:lang w:eastAsia="fr-FR"/>
              </w:rPr>
            </w:pPr>
            <w:r w:rsidRPr="00C258AD">
              <w:rPr>
                <w:sz w:val="16"/>
                <w:szCs w:val="16"/>
                <w:lang w:eastAsia="fr-FR"/>
              </w:rPr>
              <w:t>Utilisation accrue de la voie PCT pour le dépôt des demandes internationales de brevet</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1 157</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996</w:t>
            </w:r>
          </w:p>
        </w:tc>
        <w:tc>
          <w:tcPr>
            <w:tcW w:w="1360" w:type="dxa"/>
            <w:tcBorders>
              <w:top w:val="nil"/>
              <w:left w:val="nil"/>
              <w:bottom w:val="nil"/>
              <w:right w:val="single" w:sz="4" w:space="0" w:color="auto"/>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867</w:t>
            </w:r>
          </w:p>
        </w:tc>
      </w:tr>
      <w:tr w:rsidR="00066B9C" w:rsidRPr="00C258AD" w:rsidTr="001A4D6C">
        <w:trPr>
          <w:cantSplit/>
        </w:trPr>
        <w:tc>
          <w:tcPr>
            <w:tcW w:w="522" w:type="dxa"/>
            <w:tcBorders>
              <w:top w:val="nil"/>
              <w:left w:val="single" w:sz="4" w:space="0" w:color="auto"/>
              <w:bottom w:val="nil"/>
              <w:right w:val="nil"/>
            </w:tcBorders>
            <w:shd w:val="clear" w:color="auto" w:fill="auto"/>
            <w:noWrap/>
            <w:vAlign w:val="center"/>
            <w:hideMark/>
          </w:tcPr>
          <w:p w:rsidR="00066B9C" w:rsidRPr="00C258AD" w:rsidRDefault="00066B9C" w:rsidP="001A4D6C">
            <w:pPr>
              <w:rPr>
                <w:sz w:val="16"/>
                <w:szCs w:val="16"/>
                <w:lang w:eastAsia="fr-FR"/>
              </w:rPr>
            </w:pPr>
            <w:r w:rsidRPr="00C258AD">
              <w:rPr>
                <w:sz w:val="16"/>
                <w:szCs w:val="16"/>
                <w:lang w:eastAsia="fr-FR"/>
              </w:rPr>
              <w:t>II.4</w:t>
            </w:r>
          </w:p>
        </w:tc>
        <w:tc>
          <w:tcPr>
            <w:tcW w:w="4478" w:type="dxa"/>
            <w:tcBorders>
              <w:top w:val="nil"/>
              <w:left w:val="nil"/>
              <w:bottom w:val="nil"/>
              <w:right w:val="nil"/>
            </w:tcBorders>
            <w:shd w:val="clear" w:color="auto" w:fill="auto"/>
            <w:vAlign w:val="center"/>
            <w:hideMark/>
          </w:tcPr>
          <w:p w:rsidR="00066B9C" w:rsidRPr="00C258AD" w:rsidRDefault="00066B9C" w:rsidP="001A4D6C">
            <w:pPr>
              <w:rPr>
                <w:sz w:val="16"/>
                <w:szCs w:val="16"/>
                <w:lang w:eastAsia="fr-FR"/>
              </w:rPr>
            </w:pPr>
            <w:r w:rsidRPr="00C258AD">
              <w:rPr>
                <w:sz w:val="16"/>
                <w:szCs w:val="16"/>
                <w:lang w:eastAsia="fr-FR"/>
              </w:rPr>
              <w:t>Utilisation élargie et améliorée du système de La Haye, notamment par les pays en développement et les PMA</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231</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567</w:t>
            </w:r>
          </w:p>
        </w:tc>
        <w:tc>
          <w:tcPr>
            <w:tcW w:w="1360" w:type="dxa"/>
            <w:tcBorders>
              <w:top w:val="nil"/>
              <w:left w:val="nil"/>
              <w:bottom w:val="nil"/>
              <w:right w:val="single" w:sz="4" w:space="0" w:color="auto"/>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519</w:t>
            </w:r>
          </w:p>
        </w:tc>
      </w:tr>
      <w:tr w:rsidR="00066B9C" w:rsidRPr="00C258AD" w:rsidTr="001A4D6C">
        <w:trPr>
          <w:cantSplit/>
        </w:trPr>
        <w:tc>
          <w:tcPr>
            <w:tcW w:w="522" w:type="dxa"/>
            <w:tcBorders>
              <w:top w:val="nil"/>
              <w:left w:val="single" w:sz="4" w:space="0" w:color="auto"/>
              <w:bottom w:val="nil"/>
              <w:right w:val="nil"/>
            </w:tcBorders>
            <w:shd w:val="clear" w:color="auto" w:fill="auto"/>
            <w:noWrap/>
            <w:vAlign w:val="center"/>
            <w:hideMark/>
          </w:tcPr>
          <w:p w:rsidR="00066B9C" w:rsidRPr="00C258AD" w:rsidRDefault="00066B9C" w:rsidP="001A4D6C">
            <w:pPr>
              <w:rPr>
                <w:sz w:val="16"/>
                <w:szCs w:val="16"/>
                <w:lang w:eastAsia="fr-FR"/>
              </w:rPr>
            </w:pPr>
            <w:r w:rsidRPr="00C258AD">
              <w:rPr>
                <w:sz w:val="16"/>
                <w:szCs w:val="16"/>
                <w:lang w:eastAsia="fr-FR"/>
              </w:rPr>
              <w:t>II.6</w:t>
            </w:r>
          </w:p>
        </w:tc>
        <w:tc>
          <w:tcPr>
            <w:tcW w:w="4478" w:type="dxa"/>
            <w:tcBorders>
              <w:top w:val="nil"/>
              <w:left w:val="nil"/>
              <w:bottom w:val="nil"/>
              <w:right w:val="nil"/>
            </w:tcBorders>
            <w:shd w:val="clear" w:color="auto" w:fill="auto"/>
            <w:vAlign w:val="center"/>
            <w:hideMark/>
          </w:tcPr>
          <w:p w:rsidR="00066B9C" w:rsidRPr="00C258AD" w:rsidRDefault="00066B9C" w:rsidP="001A4D6C">
            <w:pPr>
              <w:rPr>
                <w:sz w:val="16"/>
                <w:szCs w:val="16"/>
                <w:lang w:eastAsia="fr-FR"/>
              </w:rPr>
            </w:pPr>
            <w:r w:rsidRPr="00C258AD">
              <w:rPr>
                <w:sz w:val="16"/>
                <w:szCs w:val="16"/>
                <w:lang w:eastAsia="fr-FR"/>
              </w:rPr>
              <w:t>Utilisation élargie et améliorée des systèmes de Madrid et de Lisbonne, notamment par les pays en développement et les PMA</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231</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463</w:t>
            </w:r>
          </w:p>
        </w:tc>
        <w:tc>
          <w:tcPr>
            <w:tcW w:w="1360" w:type="dxa"/>
            <w:tcBorders>
              <w:top w:val="nil"/>
              <w:left w:val="nil"/>
              <w:bottom w:val="nil"/>
              <w:right w:val="single" w:sz="4" w:space="0" w:color="auto"/>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432</w:t>
            </w:r>
          </w:p>
        </w:tc>
      </w:tr>
      <w:tr w:rsidR="00066B9C" w:rsidRPr="00C258AD" w:rsidTr="001A4D6C">
        <w:trPr>
          <w:cantSplit/>
        </w:trPr>
        <w:tc>
          <w:tcPr>
            <w:tcW w:w="522" w:type="dxa"/>
            <w:tcBorders>
              <w:top w:val="nil"/>
              <w:left w:val="single" w:sz="4" w:space="0" w:color="auto"/>
              <w:bottom w:val="nil"/>
              <w:right w:val="nil"/>
            </w:tcBorders>
            <w:shd w:val="clear" w:color="auto" w:fill="auto"/>
            <w:noWrap/>
            <w:vAlign w:val="center"/>
            <w:hideMark/>
          </w:tcPr>
          <w:p w:rsidR="00066B9C" w:rsidRPr="00C258AD" w:rsidRDefault="00066B9C" w:rsidP="001A4D6C">
            <w:pPr>
              <w:rPr>
                <w:sz w:val="16"/>
                <w:szCs w:val="16"/>
                <w:lang w:eastAsia="fr-FR"/>
              </w:rPr>
            </w:pPr>
            <w:r w:rsidRPr="00C258AD">
              <w:rPr>
                <w:sz w:val="16"/>
                <w:szCs w:val="16"/>
                <w:lang w:eastAsia="fr-FR"/>
              </w:rPr>
              <w:t>II.8</w:t>
            </w:r>
          </w:p>
        </w:tc>
        <w:tc>
          <w:tcPr>
            <w:tcW w:w="4478" w:type="dxa"/>
            <w:tcBorders>
              <w:top w:val="nil"/>
              <w:left w:val="nil"/>
              <w:bottom w:val="nil"/>
              <w:right w:val="nil"/>
            </w:tcBorders>
            <w:shd w:val="clear" w:color="auto" w:fill="auto"/>
            <w:vAlign w:val="center"/>
            <w:hideMark/>
          </w:tcPr>
          <w:p w:rsidR="00066B9C" w:rsidRPr="00C258AD" w:rsidRDefault="00066B9C" w:rsidP="001A4D6C">
            <w:pPr>
              <w:rPr>
                <w:sz w:val="16"/>
                <w:szCs w:val="16"/>
                <w:lang w:eastAsia="fr-FR"/>
              </w:rPr>
            </w:pPr>
            <w:r w:rsidRPr="00C258AD">
              <w:rPr>
                <w:sz w:val="16"/>
                <w:szCs w:val="16"/>
                <w:lang w:eastAsia="fr-FR"/>
              </w:rPr>
              <w:t>De plus en plus de litiges internationaux ou nationaux de propriété intellectuelle sont évités ou réglés par la médiation, l’arbitrage et d’autres modes extrajudiciaires de règlement des litiges de l’OMPI</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149</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420</w:t>
            </w:r>
          </w:p>
        </w:tc>
        <w:tc>
          <w:tcPr>
            <w:tcW w:w="1360" w:type="dxa"/>
            <w:tcBorders>
              <w:top w:val="nil"/>
              <w:left w:val="nil"/>
              <w:bottom w:val="nil"/>
              <w:right w:val="single" w:sz="4" w:space="0" w:color="auto"/>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389</w:t>
            </w:r>
          </w:p>
        </w:tc>
      </w:tr>
      <w:tr w:rsidR="00066B9C" w:rsidRPr="00C258AD" w:rsidTr="001A4D6C">
        <w:trPr>
          <w:cantSplit/>
        </w:trPr>
        <w:tc>
          <w:tcPr>
            <w:tcW w:w="522" w:type="dxa"/>
            <w:tcBorders>
              <w:top w:val="nil"/>
              <w:left w:val="single" w:sz="4" w:space="0" w:color="auto"/>
              <w:bottom w:val="nil"/>
              <w:right w:val="nil"/>
            </w:tcBorders>
            <w:shd w:val="clear" w:color="auto" w:fill="auto"/>
            <w:noWrap/>
            <w:vAlign w:val="center"/>
            <w:hideMark/>
          </w:tcPr>
          <w:p w:rsidR="00066B9C" w:rsidRPr="00C258AD" w:rsidRDefault="00066B9C" w:rsidP="001A4D6C">
            <w:pPr>
              <w:rPr>
                <w:sz w:val="16"/>
                <w:szCs w:val="16"/>
                <w:lang w:eastAsia="fr-FR"/>
              </w:rPr>
            </w:pPr>
            <w:r w:rsidRPr="00C258AD">
              <w:rPr>
                <w:sz w:val="16"/>
                <w:szCs w:val="16"/>
                <w:lang w:eastAsia="fr-FR"/>
              </w:rPr>
              <w:t>III.1</w:t>
            </w:r>
          </w:p>
        </w:tc>
        <w:tc>
          <w:tcPr>
            <w:tcW w:w="4478" w:type="dxa"/>
            <w:tcBorders>
              <w:top w:val="nil"/>
              <w:left w:val="nil"/>
              <w:bottom w:val="nil"/>
              <w:right w:val="nil"/>
            </w:tcBorders>
            <w:shd w:val="clear" w:color="auto" w:fill="auto"/>
            <w:vAlign w:val="center"/>
            <w:hideMark/>
          </w:tcPr>
          <w:p w:rsidR="00066B9C" w:rsidRPr="00C258AD" w:rsidRDefault="00066B9C" w:rsidP="001A4D6C">
            <w:pPr>
              <w:rPr>
                <w:sz w:val="16"/>
                <w:szCs w:val="16"/>
                <w:lang w:eastAsia="fr-FR"/>
              </w:rPr>
            </w:pPr>
            <w:r w:rsidRPr="00C258AD">
              <w:rPr>
                <w:sz w:val="16"/>
                <w:szCs w:val="16"/>
                <w:lang w:eastAsia="fr-FR"/>
              </w:rPr>
              <w:t>Stratégies et plans nationaux en matière d’innovation et de propriété intellectuelle conformes aux objectifs de développement nationaux</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2 584</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1 920</w:t>
            </w:r>
          </w:p>
        </w:tc>
        <w:tc>
          <w:tcPr>
            <w:tcW w:w="1360" w:type="dxa"/>
            <w:tcBorders>
              <w:top w:val="nil"/>
              <w:left w:val="nil"/>
              <w:bottom w:val="nil"/>
              <w:right w:val="single" w:sz="4" w:space="0" w:color="auto"/>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1 806</w:t>
            </w:r>
          </w:p>
        </w:tc>
      </w:tr>
      <w:tr w:rsidR="00066B9C" w:rsidRPr="00C258AD" w:rsidTr="001A4D6C">
        <w:trPr>
          <w:cantSplit/>
        </w:trPr>
        <w:tc>
          <w:tcPr>
            <w:tcW w:w="522" w:type="dxa"/>
            <w:tcBorders>
              <w:top w:val="nil"/>
              <w:left w:val="single" w:sz="4" w:space="0" w:color="auto"/>
              <w:bottom w:val="nil"/>
              <w:right w:val="nil"/>
            </w:tcBorders>
            <w:shd w:val="clear" w:color="auto" w:fill="auto"/>
            <w:noWrap/>
            <w:vAlign w:val="center"/>
            <w:hideMark/>
          </w:tcPr>
          <w:p w:rsidR="00066B9C" w:rsidRPr="00C258AD" w:rsidRDefault="00066B9C" w:rsidP="001A4D6C">
            <w:pPr>
              <w:rPr>
                <w:sz w:val="16"/>
                <w:szCs w:val="16"/>
                <w:lang w:eastAsia="fr-FR"/>
              </w:rPr>
            </w:pPr>
            <w:r w:rsidRPr="00C258AD">
              <w:rPr>
                <w:sz w:val="16"/>
                <w:szCs w:val="16"/>
                <w:lang w:eastAsia="fr-FR"/>
              </w:rPr>
              <w:t>III.2</w:t>
            </w:r>
          </w:p>
        </w:tc>
        <w:tc>
          <w:tcPr>
            <w:tcW w:w="4478" w:type="dxa"/>
            <w:tcBorders>
              <w:top w:val="nil"/>
              <w:left w:val="nil"/>
              <w:bottom w:val="nil"/>
              <w:right w:val="nil"/>
            </w:tcBorders>
            <w:shd w:val="clear" w:color="auto" w:fill="auto"/>
            <w:vAlign w:val="center"/>
            <w:hideMark/>
          </w:tcPr>
          <w:p w:rsidR="00066B9C" w:rsidRPr="00C258AD" w:rsidRDefault="00066B9C" w:rsidP="001A4D6C">
            <w:pPr>
              <w:rPr>
                <w:sz w:val="16"/>
                <w:szCs w:val="16"/>
                <w:lang w:eastAsia="fr-FR"/>
              </w:rPr>
            </w:pPr>
            <w:r w:rsidRPr="00C258AD">
              <w:rPr>
                <w:sz w:val="16"/>
                <w:szCs w:val="16"/>
                <w:lang w:eastAsia="fr-FR"/>
              </w:rPr>
              <w:t>Renforcement des capacités en matière de ressources humaines pour pouvoir répondre aux nombreuses exigences en ce qui concerne l’utilisation efficace de la propriété intellectuelle au service du développement dans les pays en développement, les PMA et les pays en transition</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1 455</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947</w:t>
            </w:r>
          </w:p>
        </w:tc>
        <w:tc>
          <w:tcPr>
            <w:tcW w:w="1360" w:type="dxa"/>
            <w:tcBorders>
              <w:top w:val="nil"/>
              <w:left w:val="nil"/>
              <w:bottom w:val="nil"/>
              <w:right w:val="single" w:sz="4" w:space="0" w:color="auto"/>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871</w:t>
            </w:r>
          </w:p>
        </w:tc>
      </w:tr>
      <w:tr w:rsidR="00066B9C" w:rsidRPr="00C258AD" w:rsidTr="001A4D6C">
        <w:trPr>
          <w:cantSplit/>
        </w:trPr>
        <w:tc>
          <w:tcPr>
            <w:tcW w:w="522" w:type="dxa"/>
            <w:tcBorders>
              <w:top w:val="nil"/>
              <w:left w:val="single" w:sz="4" w:space="0" w:color="auto"/>
              <w:bottom w:val="nil"/>
              <w:right w:val="nil"/>
            </w:tcBorders>
            <w:shd w:val="clear" w:color="auto" w:fill="auto"/>
            <w:noWrap/>
            <w:vAlign w:val="center"/>
            <w:hideMark/>
          </w:tcPr>
          <w:p w:rsidR="00066B9C" w:rsidRPr="00C258AD" w:rsidRDefault="00066B9C" w:rsidP="001A4D6C">
            <w:pPr>
              <w:rPr>
                <w:sz w:val="16"/>
                <w:szCs w:val="16"/>
                <w:lang w:eastAsia="fr-FR"/>
              </w:rPr>
            </w:pPr>
            <w:r w:rsidRPr="00C258AD">
              <w:rPr>
                <w:sz w:val="16"/>
                <w:szCs w:val="16"/>
                <w:lang w:eastAsia="fr-FR"/>
              </w:rPr>
              <w:t>III.4</w:t>
            </w:r>
          </w:p>
        </w:tc>
        <w:tc>
          <w:tcPr>
            <w:tcW w:w="4478" w:type="dxa"/>
            <w:tcBorders>
              <w:top w:val="nil"/>
              <w:left w:val="nil"/>
              <w:bottom w:val="nil"/>
              <w:right w:val="nil"/>
            </w:tcBorders>
            <w:shd w:val="clear" w:color="auto" w:fill="auto"/>
            <w:vAlign w:val="center"/>
            <w:hideMark/>
          </w:tcPr>
          <w:p w:rsidR="00066B9C" w:rsidRPr="00C258AD" w:rsidRDefault="00066B9C" w:rsidP="001A4D6C">
            <w:pPr>
              <w:rPr>
                <w:sz w:val="16"/>
                <w:szCs w:val="16"/>
                <w:lang w:eastAsia="fr-FR"/>
              </w:rPr>
            </w:pPr>
            <w:r w:rsidRPr="00C258AD">
              <w:rPr>
                <w:sz w:val="16"/>
                <w:szCs w:val="16"/>
                <w:lang w:eastAsia="fr-FR"/>
              </w:rPr>
              <w:t>Mécanismes et programmes de coopération renforcés, adaptés aux besoins des pays en développement et des PMA</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256</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364</w:t>
            </w:r>
          </w:p>
        </w:tc>
        <w:tc>
          <w:tcPr>
            <w:tcW w:w="1360" w:type="dxa"/>
            <w:tcBorders>
              <w:top w:val="nil"/>
              <w:left w:val="nil"/>
              <w:bottom w:val="nil"/>
              <w:right w:val="single" w:sz="4" w:space="0" w:color="auto"/>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338</w:t>
            </w:r>
          </w:p>
        </w:tc>
      </w:tr>
      <w:tr w:rsidR="00066B9C" w:rsidRPr="00C258AD" w:rsidTr="001A4D6C">
        <w:trPr>
          <w:cantSplit/>
        </w:trPr>
        <w:tc>
          <w:tcPr>
            <w:tcW w:w="522" w:type="dxa"/>
            <w:tcBorders>
              <w:top w:val="nil"/>
              <w:left w:val="single" w:sz="4" w:space="0" w:color="auto"/>
              <w:bottom w:val="nil"/>
              <w:right w:val="nil"/>
            </w:tcBorders>
            <w:shd w:val="clear" w:color="auto" w:fill="auto"/>
            <w:noWrap/>
            <w:vAlign w:val="center"/>
            <w:hideMark/>
          </w:tcPr>
          <w:p w:rsidR="00066B9C" w:rsidRPr="00C258AD" w:rsidRDefault="00066B9C" w:rsidP="001A4D6C">
            <w:pPr>
              <w:rPr>
                <w:sz w:val="16"/>
                <w:szCs w:val="16"/>
                <w:lang w:eastAsia="fr-FR"/>
              </w:rPr>
            </w:pPr>
            <w:r w:rsidRPr="00C258AD">
              <w:rPr>
                <w:sz w:val="16"/>
                <w:szCs w:val="16"/>
                <w:lang w:eastAsia="fr-FR"/>
              </w:rPr>
              <w:t>III.6</w:t>
            </w:r>
          </w:p>
        </w:tc>
        <w:tc>
          <w:tcPr>
            <w:tcW w:w="4478" w:type="dxa"/>
            <w:tcBorders>
              <w:top w:val="nil"/>
              <w:left w:val="nil"/>
              <w:bottom w:val="nil"/>
              <w:right w:val="nil"/>
            </w:tcBorders>
            <w:shd w:val="clear" w:color="auto" w:fill="auto"/>
            <w:vAlign w:val="center"/>
            <w:hideMark/>
          </w:tcPr>
          <w:p w:rsidR="00066B9C" w:rsidRPr="00C258AD" w:rsidRDefault="00066B9C" w:rsidP="001A4D6C">
            <w:pPr>
              <w:rPr>
                <w:sz w:val="16"/>
                <w:szCs w:val="16"/>
                <w:lang w:eastAsia="fr-FR"/>
              </w:rPr>
            </w:pPr>
            <w:r w:rsidRPr="00C258AD">
              <w:rPr>
                <w:sz w:val="16"/>
                <w:szCs w:val="16"/>
                <w:lang w:eastAsia="fr-FR"/>
              </w:rPr>
              <w:t>Renforcement des capacités des PME de mettre la propriété intellectuelle au service de l’innovation</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578</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772</w:t>
            </w:r>
          </w:p>
        </w:tc>
        <w:tc>
          <w:tcPr>
            <w:tcW w:w="1360" w:type="dxa"/>
            <w:tcBorders>
              <w:top w:val="nil"/>
              <w:left w:val="nil"/>
              <w:bottom w:val="nil"/>
              <w:right w:val="single" w:sz="4" w:space="0" w:color="auto"/>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696</w:t>
            </w:r>
          </w:p>
        </w:tc>
      </w:tr>
      <w:tr w:rsidR="00066B9C" w:rsidRPr="00C258AD" w:rsidTr="001A4D6C">
        <w:trPr>
          <w:cantSplit/>
        </w:trPr>
        <w:tc>
          <w:tcPr>
            <w:tcW w:w="522" w:type="dxa"/>
            <w:tcBorders>
              <w:top w:val="nil"/>
              <w:left w:val="single" w:sz="4" w:space="0" w:color="auto"/>
              <w:bottom w:val="nil"/>
              <w:right w:val="nil"/>
            </w:tcBorders>
            <w:shd w:val="clear" w:color="auto" w:fill="auto"/>
            <w:noWrap/>
            <w:vAlign w:val="center"/>
            <w:hideMark/>
          </w:tcPr>
          <w:p w:rsidR="00066B9C" w:rsidRPr="00C258AD" w:rsidRDefault="00066B9C" w:rsidP="001A4D6C">
            <w:pPr>
              <w:rPr>
                <w:sz w:val="16"/>
                <w:szCs w:val="16"/>
                <w:lang w:eastAsia="fr-FR"/>
              </w:rPr>
            </w:pPr>
            <w:r w:rsidRPr="00C258AD">
              <w:rPr>
                <w:sz w:val="16"/>
                <w:szCs w:val="16"/>
                <w:lang w:eastAsia="fr-FR"/>
              </w:rPr>
              <w:t>IV.2</w:t>
            </w:r>
          </w:p>
        </w:tc>
        <w:tc>
          <w:tcPr>
            <w:tcW w:w="4478" w:type="dxa"/>
            <w:tcBorders>
              <w:top w:val="nil"/>
              <w:left w:val="nil"/>
              <w:bottom w:val="nil"/>
              <w:right w:val="nil"/>
            </w:tcBorders>
            <w:shd w:val="clear" w:color="auto" w:fill="auto"/>
            <w:vAlign w:val="center"/>
            <w:hideMark/>
          </w:tcPr>
          <w:p w:rsidR="00066B9C" w:rsidRPr="00C258AD" w:rsidRDefault="00066B9C" w:rsidP="001A4D6C">
            <w:pPr>
              <w:rPr>
                <w:sz w:val="16"/>
                <w:szCs w:val="16"/>
                <w:lang w:eastAsia="fr-FR"/>
              </w:rPr>
            </w:pPr>
            <w:r w:rsidRPr="00C258AD">
              <w:rPr>
                <w:sz w:val="16"/>
                <w:szCs w:val="16"/>
                <w:lang w:eastAsia="fr-FR"/>
              </w:rPr>
              <w:t>Amélioration de l’accessibilité et de l’utilisation de l’information en matière de propriété intellectuelle par les institutions compétentes et le public afin de promouvoir l’innovation et la créativité</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666</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816</w:t>
            </w:r>
          </w:p>
        </w:tc>
        <w:tc>
          <w:tcPr>
            <w:tcW w:w="1360" w:type="dxa"/>
            <w:tcBorders>
              <w:top w:val="nil"/>
              <w:left w:val="nil"/>
              <w:bottom w:val="nil"/>
              <w:right w:val="single" w:sz="4" w:space="0" w:color="auto"/>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757</w:t>
            </w:r>
          </w:p>
        </w:tc>
      </w:tr>
      <w:tr w:rsidR="00066B9C" w:rsidRPr="00C258AD" w:rsidTr="001A4D6C">
        <w:trPr>
          <w:cantSplit/>
        </w:trPr>
        <w:tc>
          <w:tcPr>
            <w:tcW w:w="522" w:type="dxa"/>
            <w:tcBorders>
              <w:top w:val="nil"/>
              <w:left w:val="single" w:sz="4" w:space="0" w:color="auto"/>
              <w:bottom w:val="nil"/>
              <w:right w:val="nil"/>
            </w:tcBorders>
            <w:shd w:val="clear" w:color="auto" w:fill="auto"/>
            <w:noWrap/>
            <w:vAlign w:val="center"/>
            <w:hideMark/>
          </w:tcPr>
          <w:p w:rsidR="00066B9C" w:rsidRPr="00C258AD" w:rsidRDefault="00066B9C" w:rsidP="001A4D6C">
            <w:pPr>
              <w:rPr>
                <w:sz w:val="16"/>
                <w:szCs w:val="16"/>
                <w:lang w:eastAsia="fr-FR"/>
              </w:rPr>
            </w:pPr>
            <w:r w:rsidRPr="00C258AD">
              <w:rPr>
                <w:sz w:val="16"/>
                <w:szCs w:val="16"/>
                <w:lang w:eastAsia="fr-FR"/>
              </w:rPr>
              <w:t>IV.4</w:t>
            </w:r>
          </w:p>
        </w:tc>
        <w:tc>
          <w:tcPr>
            <w:tcW w:w="4478" w:type="dxa"/>
            <w:tcBorders>
              <w:top w:val="nil"/>
              <w:left w:val="nil"/>
              <w:bottom w:val="nil"/>
              <w:right w:val="nil"/>
            </w:tcBorders>
            <w:shd w:val="clear" w:color="auto" w:fill="auto"/>
            <w:vAlign w:val="center"/>
            <w:hideMark/>
          </w:tcPr>
          <w:p w:rsidR="00066B9C" w:rsidRPr="00C258AD" w:rsidRDefault="00066B9C" w:rsidP="001A4D6C">
            <w:pPr>
              <w:rPr>
                <w:sz w:val="16"/>
                <w:szCs w:val="16"/>
                <w:lang w:eastAsia="fr-FR"/>
              </w:rPr>
            </w:pPr>
            <w:r w:rsidRPr="00C258AD">
              <w:rPr>
                <w:sz w:val="16"/>
                <w:szCs w:val="16"/>
                <w:lang w:eastAsia="fr-FR"/>
              </w:rPr>
              <w:t>Amélioration de l’infrastructure technique et du savoir pour les offices de propriété intellectuelle et d’autres institutions de propriété intellectuelle, leur permettant de fournir à leurs parties prenantes des services améliorés (moins chers, plus rapides, de meilleure qualité)</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380</w:t>
            </w:r>
          </w:p>
        </w:tc>
        <w:tc>
          <w:tcPr>
            <w:tcW w:w="1360"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243</w:t>
            </w:r>
          </w:p>
        </w:tc>
        <w:tc>
          <w:tcPr>
            <w:tcW w:w="1360" w:type="dxa"/>
            <w:tcBorders>
              <w:top w:val="nil"/>
              <w:left w:val="nil"/>
              <w:bottom w:val="single" w:sz="4" w:space="0" w:color="auto"/>
              <w:right w:val="single" w:sz="4" w:space="0" w:color="auto"/>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227</w:t>
            </w:r>
          </w:p>
        </w:tc>
      </w:tr>
      <w:tr w:rsidR="00066B9C" w:rsidRPr="00C258AD" w:rsidTr="001A4D6C">
        <w:trPr>
          <w:cantSplit/>
        </w:trPr>
        <w:tc>
          <w:tcPr>
            <w:tcW w:w="522" w:type="dxa"/>
            <w:tcBorders>
              <w:top w:val="single" w:sz="4" w:space="0" w:color="auto"/>
              <w:left w:val="single" w:sz="4" w:space="0" w:color="auto"/>
              <w:bottom w:val="single" w:sz="4" w:space="0" w:color="auto"/>
              <w:right w:val="nil"/>
            </w:tcBorders>
            <w:shd w:val="clear" w:color="auto" w:fill="C5D9F1"/>
            <w:noWrap/>
            <w:vAlign w:val="bottom"/>
            <w:hideMark/>
          </w:tcPr>
          <w:p w:rsidR="00066B9C" w:rsidRPr="00C258AD" w:rsidRDefault="00066B9C" w:rsidP="001A4D6C">
            <w:pPr>
              <w:rPr>
                <w:sz w:val="16"/>
                <w:szCs w:val="16"/>
                <w:lang w:eastAsia="fr-FR"/>
              </w:rPr>
            </w:pPr>
            <w:r w:rsidRPr="00C258AD">
              <w:rPr>
                <w:sz w:val="16"/>
                <w:szCs w:val="16"/>
                <w:lang w:eastAsia="fr-FR"/>
              </w:rPr>
              <w:t> </w:t>
            </w:r>
          </w:p>
        </w:tc>
        <w:tc>
          <w:tcPr>
            <w:tcW w:w="4478" w:type="dxa"/>
            <w:tcBorders>
              <w:top w:val="single" w:sz="4" w:space="0" w:color="auto"/>
              <w:left w:val="nil"/>
              <w:bottom w:val="single" w:sz="4" w:space="0" w:color="auto"/>
              <w:right w:val="single" w:sz="4" w:space="0" w:color="auto"/>
            </w:tcBorders>
            <w:shd w:val="clear" w:color="auto" w:fill="C5D9F1"/>
            <w:noWrap/>
            <w:vAlign w:val="bottom"/>
            <w:hideMark/>
          </w:tcPr>
          <w:p w:rsidR="00066B9C" w:rsidRPr="00C258AD" w:rsidRDefault="00066B9C" w:rsidP="001A4D6C">
            <w:pPr>
              <w:rPr>
                <w:b/>
                <w:bCs/>
                <w:sz w:val="16"/>
                <w:szCs w:val="16"/>
                <w:lang w:eastAsia="fr-FR"/>
              </w:rPr>
            </w:pPr>
            <w:r w:rsidRPr="00C258AD">
              <w:rPr>
                <w:b/>
                <w:bCs/>
                <w:sz w:val="16"/>
                <w:szCs w:val="16"/>
                <w:lang w:eastAsia="fr-FR"/>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066B9C" w:rsidRPr="00C258AD" w:rsidRDefault="00066B9C" w:rsidP="001A4D6C">
            <w:pPr>
              <w:jc w:val="right"/>
              <w:rPr>
                <w:b/>
                <w:bCs/>
                <w:sz w:val="16"/>
                <w:szCs w:val="16"/>
                <w:lang w:eastAsia="fr-FR"/>
              </w:rPr>
            </w:pPr>
            <w:r w:rsidRPr="00C258AD">
              <w:rPr>
                <w:b/>
                <w:bCs/>
                <w:sz w:val="16"/>
                <w:szCs w:val="16"/>
                <w:lang w:eastAsia="fr-FR"/>
              </w:rPr>
              <w:t>8 443</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066B9C" w:rsidRPr="00C258AD" w:rsidRDefault="00066B9C" w:rsidP="001A4D6C">
            <w:pPr>
              <w:jc w:val="right"/>
              <w:rPr>
                <w:b/>
                <w:bCs/>
                <w:sz w:val="16"/>
                <w:szCs w:val="16"/>
                <w:lang w:eastAsia="fr-FR"/>
              </w:rPr>
            </w:pPr>
            <w:r w:rsidRPr="00C258AD">
              <w:rPr>
                <w:b/>
                <w:bCs/>
                <w:sz w:val="16"/>
                <w:szCs w:val="16"/>
                <w:lang w:eastAsia="fr-FR"/>
              </w:rPr>
              <w:t>8 338</w:t>
            </w:r>
          </w:p>
        </w:tc>
        <w:tc>
          <w:tcPr>
            <w:tcW w:w="1360" w:type="dxa"/>
            <w:tcBorders>
              <w:top w:val="nil"/>
              <w:left w:val="nil"/>
              <w:bottom w:val="single" w:sz="4" w:space="0" w:color="auto"/>
              <w:right w:val="single" w:sz="4" w:space="0" w:color="auto"/>
            </w:tcBorders>
            <w:shd w:val="clear" w:color="auto" w:fill="C5D9F1"/>
            <w:noWrap/>
            <w:vAlign w:val="bottom"/>
            <w:hideMark/>
          </w:tcPr>
          <w:p w:rsidR="00066B9C" w:rsidRPr="00C258AD" w:rsidRDefault="00066B9C" w:rsidP="001A4D6C">
            <w:pPr>
              <w:jc w:val="right"/>
              <w:rPr>
                <w:b/>
                <w:bCs/>
                <w:sz w:val="16"/>
                <w:szCs w:val="16"/>
                <w:lang w:eastAsia="fr-FR"/>
              </w:rPr>
            </w:pPr>
            <w:r w:rsidRPr="00C258AD">
              <w:rPr>
                <w:b/>
                <w:bCs/>
                <w:sz w:val="16"/>
                <w:szCs w:val="16"/>
                <w:lang w:eastAsia="fr-FR"/>
              </w:rPr>
              <w:t>7 644</w:t>
            </w:r>
          </w:p>
        </w:tc>
      </w:tr>
    </w:tbl>
    <w:p w:rsidR="006E2BB1" w:rsidRPr="00C258AD" w:rsidRDefault="006E2BB1" w:rsidP="001A4D6C"/>
    <w:p w:rsidR="006E2BB1" w:rsidRPr="00C258AD" w:rsidRDefault="006E2BB1" w:rsidP="001A4D6C"/>
    <w:p w:rsidR="006E2BB1" w:rsidRPr="00C258AD" w:rsidRDefault="00066B9C" w:rsidP="00066B9C">
      <w:pPr>
        <w:pStyle w:val="NormalWeb"/>
        <w:keepNext/>
        <w:spacing w:before="0" w:beforeAutospacing="0" w:after="0" w:afterAutospacing="0"/>
        <w:jc w:val="center"/>
        <w:rPr>
          <w:sz w:val="20"/>
          <w:szCs w:val="20"/>
        </w:rPr>
      </w:pPr>
      <w:r w:rsidRPr="00C258AD">
        <w:rPr>
          <w:sz w:val="20"/>
          <w:szCs w:val="20"/>
        </w:rPr>
        <w:lastRenderedPageBreak/>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066B9C" w:rsidP="00066B9C">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066B9C" w:rsidRPr="00C258AD" w:rsidRDefault="00066B9C" w:rsidP="00066B9C">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066B9C" w:rsidRPr="00C258AD" w:rsidTr="001A4D6C">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066B9C" w:rsidRPr="00C258AD" w:rsidRDefault="00066B9C" w:rsidP="00066B9C">
            <w:pPr>
              <w:keepNext/>
              <w:rPr>
                <w:color w:val="000000"/>
                <w:sz w:val="16"/>
                <w:szCs w:val="18"/>
                <w:lang w:eastAsia="fr-FR"/>
              </w:rPr>
            </w:pPr>
            <w:r w:rsidRPr="00C258AD">
              <w:rPr>
                <w:color w:val="000000"/>
                <w:sz w:val="16"/>
                <w:szCs w:val="18"/>
                <w:lang w:eastAsia="fr-FR"/>
              </w:rPr>
              <w:t> </w:t>
            </w:r>
          </w:p>
        </w:tc>
        <w:tc>
          <w:tcPr>
            <w:tcW w:w="1745" w:type="dxa"/>
            <w:tcBorders>
              <w:top w:val="single" w:sz="4" w:space="0" w:color="auto"/>
              <w:left w:val="nil"/>
              <w:bottom w:val="nil"/>
              <w:right w:val="single" w:sz="4" w:space="0" w:color="auto"/>
            </w:tcBorders>
            <w:shd w:val="clear" w:color="auto" w:fill="C5D9F1"/>
            <w:vAlign w:val="center"/>
            <w:hideMark/>
          </w:tcPr>
          <w:p w:rsidR="00066B9C" w:rsidRPr="00C258AD" w:rsidRDefault="00066B9C" w:rsidP="00066B9C">
            <w:pPr>
              <w:keepNext/>
              <w:jc w:val="center"/>
              <w:rPr>
                <w:b/>
                <w:bCs/>
                <w:color w:val="000000"/>
                <w:sz w:val="16"/>
                <w:szCs w:val="18"/>
                <w:lang w:eastAsia="fr-FR"/>
              </w:rPr>
            </w:pPr>
            <w:r w:rsidRPr="00C258AD">
              <w:rPr>
                <w:b/>
                <w:bCs/>
                <w:color w:val="000000"/>
                <w:sz w:val="16"/>
                <w:szCs w:val="18"/>
                <w:lang w:eastAsia="fr-FR"/>
              </w:rPr>
              <w:t>Budget 2014</w:t>
            </w:r>
            <w:r w:rsidRPr="00C258AD">
              <w:rPr>
                <w:b/>
                <w:bCs/>
                <w:color w:val="000000"/>
                <w:sz w:val="16"/>
                <w:szCs w:val="18"/>
                <w:lang w:eastAsia="fr-FR"/>
              </w:rPr>
              <w:noBreakHyphen/>
              <w:t>2015 approuvé</w:t>
            </w:r>
          </w:p>
        </w:tc>
        <w:tc>
          <w:tcPr>
            <w:tcW w:w="1746" w:type="dxa"/>
            <w:tcBorders>
              <w:top w:val="single" w:sz="4" w:space="0" w:color="auto"/>
              <w:left w:val="nil"/>
              <w:bottom w:val="nil"/>
              <w:right w:val="single" w:sz="4" w:space="0" w:color="auto"/>
            </w:tcBorders>
            <w:shd w:val="clear" w:color="auto" w:fill="C5D9F1"/>
            <w:vAlign w:val="center"/>
            <w:hideMark/>
          </w:tcPr>
          <w:p w:rsidR="00066B9C" w:rsidRPr="00C258AD" w:rsidRDefault="00066B9C" w:rsidP="00066B9C">
            <w:pPr>
              <w:keepNext/>
              <w:jc w:val="center"/>
              <w:rPr>
                <w:b/>
                <w:bCs/>
                <w:color w:val="000000"/>
                <w:sz w:val="16"/>
                <w:szCs w:val="18"/>
                <w:lang w:eastAsia="fr-FR"/>
              </w:rPr>
            </w:pPr>
            <w:r w:rsidRPr="00C258AD">
              <w:rPr>
                <w:b/>
                <w:bCs/>
                <w:color w:val="000000"/>
                <w:sz w:val="16"/>
                <w:szCs w:val="18"/>
                <w:lang w:eastAsia="fr-FR"/>
              </w:rPr>
              <w:t>Budget final 2014</w:t>
            </w:r>
            <w:r w:rsidRPr="00C258AD">
              <w:rPr>
                <w:b/>
                <w:bCs/>
                <w:color w:val="000000"/>
                <w:sz w:val="16"/>
                <w:szCs w:val="18"/>
                <w:lang w:eastAsia="fr-FR"/>
              </w:rPr>
              <w:noBreakHyphen/>
              <w:t>2015</w:t>
            </w:r>
            <w:r w:rsidRPr="00C258AD">
              <w:rPr>
                <w:b/>
                <w:bCs/>
                <w:color w:val="000000"/>
                <w:sz w:val="16"/>
                <w:szCs w:val="18"/>
                <w:lang w:eastAsia="fr-FR"/>
              </w:rPr>
              <w:br/>
              <w:t>après virements</w:t>
            </w:r>
          </w:p>
        </w:tc>
        <w:tc>
          <w:tcPr>
            <w:tcW w:w="1745" w:type="dxa"/>
            <w:tcBorders>
              <w:top w:val="single" w:sz="4" w:space="0" w:color="auto"/>
              <w:left w:val="nil"/>
              <w:bottom w:val="nil"/>
              <w:right w:val="single" w:sz="4" w:space="0" w:color="auto"/>
            </w:tcBorders>
            <w:shd w:val="clear" w:color="auto" w:fill="C5D9F1"/>
            <w:vAlign w:val="center"/>
            <w:hideMark/>
          </w:tcPr>
          <w:p w:rsidR="00066B9C" w:rsidRPr="00C258AD" w:rsidRDefault="00066B9C" w:rsidP="00066B9C">
            <w:pPr>
              <w:keepNext/>
              <w:jc w:val="center"/>
              <w:rPr>
                <w:b/>
                <w:bCs/>
                <w:color w:val="000000"/>
                <w:sz w:val="16"/>
                <w:szCs w:val="18"/>
                <w:lang w:eastAsia="fr-FR"/>
              </w:rPr>
            </w:pPr>
            <w:r w:rsidRPr="00C258AD">
              <w:rPr>
                <w:b/>
                <w:bCs/>
                <w:color w:val="000000"/>
                <w:sz w:val="16"/>
                <w:szCs w:val="18"/>
                <w:lang w:eastAsia="fr-FR"/>
              </w:rPr>
              <w:t xml:space="preserve">Dépenses </w:t>
            </w:r>
            <w:r w:rsidRPr="00C258AD">
              <w:rPr>
                <w:b/>
                <w:bCs/>
                <w:color w:val="000000"/>
                <w:sz w:val="16"/>
                <w:szCs w:val="18"/>
                <w:lang w:eastAsia="fr-FR"/>
              </w:rPr>
              <w:br/>
              <w:t>2014</w:t>
            </w:r>
            <w:r w:rsidRPr="00C258AD">
              <w:rPr>
                <w:b/>
                <w:bCs/>
                <w:color w:val="000000"/>
                <w:sz w:val="16"/>
                <w:szCs w:val="18"/>
                <w:lang w:eastAsia="fr-FR"/>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066B9C" w:rsidRPr="00C258AD" w:rsidRDefault="00066B9C" w:rsidP="00066B9C">
            <w:pPr>
              <w:keepNext/>
              <w:jc w:val="center"/>
              <w:rPr>
                <w:b/>
                <w:bCs/>
                <w:color w:val="000000"/>
                <w:sz w:val="16"/>
                <w:szCs w:val="18"/>
                <w:lang w:eastAsia="fr-FR"/>
              </w:rPr>
            </w:pPr>
            <w:r w:rsidRPr="00C258AD">
              <w:rPr>
                <w:b/>
                <w:bCs/>
                <w:color w:val="000000"/>
                <w:sz w:val="16"/>
                <w:szCs w:val="18"/>
                <w:lang w:eastAsia="fr-FR"/>
              </w:rPr>
              <w:t>Taux d’utilisation (%)</w:t>
            </w:r>
          </w:p>
        </w:tc>
      </w:tr>
      <w:tr w:rsidR="00066B9C"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066B9C" w:rsidRPr="00C258AD" w:rsidRDefault="00066B9C" w:rsidP="00066B9C">
            <w:pPr>
              <w:keepNext/>
              <w:rPr>
                <w:color w:val="000000"/>
                <w:sz w:val="16"/>
                <w:szCs w:val="18"/>
                <w:lang w:eastAsia="fr-FR"/>
              </w:rPr>
            </w:pPr>
            <w:r w:rsidRPr="00C258AD">
              <w:rPr>
                <w:color w:val="000000"/>
                <w:sz w:val="16"/>
                <w:szCs w:val="18"/>
                <w:lang w:eastAsia="fr-FR"/>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066B9C" w:rsidRPr="00C258AD" w:rsidRDefault="00066B9C" w:rsidP="00066B9C">
            <w:pPr>
              <w:keepNext/>
              <w:jc w:val="center"/>
              <w:rPr>
                <w:color w:val="000000"/>
                <w:sz w:val="16"/>
                <w:szCs w:val="18"/>
                <w:lang w:eastAsia="fr-FR"/>
              </w:rPr>
            </w:pPr>
            <w:r w:rsidRPr="00C258AD">
              <w:rPr>
                <w:color w:val="000000"/>
                <w:sz w:val="16"/>
                <w:szCs w:val="18"/>
                <w:lang w:eastAsia="fr-FR"/>
              </w:rPr>
              <w:t>6 405</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066B9C" w:rsidRPr="00C258AD" w:rsidRDefault="00066B9C" w:rsidP="00066B9C">
            <w:pPr>
              <w:keepNext/>
              <w:jc w:val="center"/>
              <w:rPr>
                <w:color w:val="000000"/>
                <w:sz w:val="16"/>
                <w:szCs w:val="18"/>
                <w:lang w:eastAsia="fr-FR"/>
              </w:rPr>
            </w:pPr>
            <w:r w:rsidRPr="00C258AD">
              <w:rPr>
                <w:color w:val="000000"/>
                <w:sz w:val="16"/>
                <w:szCs w:val="18"/>
                <w:lang w:eastAsia="fr-FR"/>
              </w:rPr>
              <w:t>6 351</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066B9C" w:rsidRPr="00C258AD" w:rsidRDefault="00066B9C" w:rsidP="00066B9C">
            <w:pPr>
              <w:keepNext/>
              <w:jc w:val="center"/>
              <w:rPr>
                <w:color w:val="000000"/>
                <w:sz w:val="16"/>
                <w:szCs w:val="18"/>
                <w:lang w:eastAsia="fr-FR"/>
              </w:rPr>
            </w:pPr>
            <w:r w:rsidRPr="00C258AD">
              <w:rPr>
                <w:color w:val="000000"/>
                <w:sz w:val="16"/>
                <w:szCs w:val="18"/>
                <w:lang w:eastAsia="fr-FR"/>
              </w:rPr>
              <w:t>5 908</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066B9C" w:rsidRPr="00C258AD" w:rsidRDefault="00066B9C" w:rsidP="00066B9C">
            <w:pPr>
              <w:keepNext/>
              <w:jc w:val="center"/>
              <w:rPr>
                <w:color w:val="000000"/>
                <w:sz w:val="16"/>
                <w:szCs w:val="18"/>
                <w:lang w:eastAsia="fr-FR"/>
              </w:rPr>
            </w:pPr>
            <w:r w:rsidRPr="00C258AD">
              <w:rPr>
                <w:color w:val="000000"/>
                <w:sz w:val="16"/>
                <w:szCs w:val="18"/>
                <w:lang w:eastAsia="fr-FR"/>
              </w:rPr>
              <w:t>93%</w:t>
            </w:r>
          </w:p>
        </w:tc>
      </w:tr>
      <w:tr w:rsidR="00066B9C"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066B9C" w:rsidRPr="00C258AD" w:rsidRDefault="00066B9C" w:rsidP="00066B9C">
            <w:pPr>
              <w:keepNext/>
              <w:rPr>
                <w:color w:val="000000"/>
                <w:sz w:val="16"/>
                <w:szCs w:val="18"/>
                <w:lang w:eastAsia="fr-FR"/>
              </w:rPr>
            </w:pPr>
            <w:r w:rsidRPr="00C258AD">
              <w:rPr>
                <w:color w:val="000000"/>
                <w:sz w:val="16"/>
                <w:szCs w:val="18"/>
                <w:lang w:eastAsia="fr-FR"/>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066B9C" w:rsidRPr="00C258AD" w:rsidRDefault="00066B9C" w:rsidP="00066B9C">
            <w:pPr>
              <w:keepNext/>
              <w:jc w:val="center"/>
              <w:rPr>
                <w:color w:val="000000"/>
                <w:sz w:val="16"/>
                <w:szCs w:val="18"/>
                <w:lang w:eastAsia="fr-FR"/>
              </w:rPr>
            </w:pPr>
            <w:r w:rsidRPr="00C258AD">
              <w:rPr>
                <w:color w:val="000000"/>
                <w:sz w:val="16"/>
                <w:szCs w:val="18"/>
                <w:lang w:eastAsia="fr-FR"/>
              </w:rPr>
              <w:t>2 039</w:t>
            </w:r>
          </w:p>
        </w:tc>
        <w:tc>
          <w:tcPr>
            <w:tcW w:w="1746" w:type="dxa"/>
            <w:tcBorders>
              <w:top w:val="nil"/>
              <w:left w:val="nil"/>
              <w:bottom w:val="single" w:sz="4" w:space="0" w:color="auto"/>
              <w:right w:val="single" w:sz="4" w:space="0" w:color="auto"/>
            </w:tcBorders>
            <w:shd w:val="clear" w:color="auto" w:fill="auto"/>
            <w:vAlign w:val="center"/>
            <w:hideMark/>
          </w:tcPr>
          <w:p w:rsidR="00066B9C" w:rsidRPr="00C258AD" w:rsidRDefault="00066B9C" w:rsidP="00066B9C">
            <w:pPr>
              <w:keepNext/>
              <w:jc w:val="center"/>
              <w:rPr>
                <w:color w:val="000000"/>
                <w:sz w:val="16"/>
                <w:szCs w:val="18"/>
                <w:lang w:eastAsia="fr-FR"/>
              </w:rPr>
            </w:pPr>
            <w:r w:rsidRPr="00C258AD">
              <w:rPr>
                <w:color w:val="000000"/>
                <w:sz w:val="16"/>
                <w:szCs w:val="18"/>
                <w:lang w:eastAsia="fr-FR"/>
              </w:rPr>
              <w:t>1 987</w:t>
            </w:r>
          </w:p>
        </w:tc>
        <w:tc>
          <w:tcPr>
            <w:tcW w:w="1745" w:type="dxa"/>
            <w:tcBorders>
              <w:top w:val="nil"/>
              <w:left w:val="nil"/>
              <w:bottom w:val="single" w:sz="4" w:space="0" w:color="auto"/>
              <w:right w:val="single" w:sz="4" w:space="0" w:color="auto"/>
            </w:tcBorders>
            <w:shd w:val="clear" w:color="auto" w:fill="auto"/>
            <w:vAlign w:val="center"/>
            <w:hideMark/>
          </w:tcPr>
          <w:p w:rsidR="00066B9C" w:rsidRPr="00C258AD" w:rsidRDefault="00066B9C" w:rsidP="00066B9C">
            <w:pPr>
              <w:keepNext/>
              <w:jc w:val="center"/>
              <w:rPr>
                <w:color w:val="000000"/>
                <w:sz w:val="16"/>
                <w:szCs w:val="18"/>
                <w:lang w:eastAsia="fr-FR"/>
              </w:rPr>
            </w:pPr>
            <w:r w:rsidRPr="00C258AD">
              <w:rPr>
                <w:color w:val="000000"/>
                <w:sz w:val="16"/>
                <w:szCs w:val="18"/>
                <w:lang w:eastAsia="fr-FR"/>
              </w:rPr>
              <w:t>1 736</w:t>
            </w:r>
          </w:p>
        </w:tc>
        <w:tc>
          <w:tcPr>
            <w:tcW w:w="1746" w:type="dxa"/>
            <w:tcBorders>
              <w:top w:val="nil"/>
              <w:left w:val="nil"/>
              <w:bottom w:val="single" w:sz="4" w:space="0" w:color="auto"/>
              <w:right w:val="single" w:sz="4" w:space="0" w:color="auto"/>
            </w:tcBorders>
            <w:shd w:val="clear" w:color="auto" w:fill="auto"/>
            <w:vAlign w:val="center"/>
            <w:hideMark/>
          </w:tcPr>
          <w:p w:rsidR="00066B9C" w:rsidRPr="00C258AD" w:rsidRDefault="00066B9C" w:rsidP="00066B9C">
            <w:pPr>
              <w:keepNext/>
              <w:jc w:val="center"/>
              <w:rPr>
                <w:color w:val="000000"/>
                <w:sz w:val="16"/>
                <w:szCs w:val="18"/>
                <w:lang w:eastAsia="fr-FR"/>
              </w:rPr>
            </w:pPr>
            <w:r w:rsidRPr="00C258AD">
              <w:rPr>
                <w:color w:val="000000"/>
                <w:sz w:val="16"/>
                <w:szCs w:val="18"/>
                <w:lang w:eastAsia="fr-FR"/>
              </w:rPr>
              <w:t>87%</w:t>
            </w:r>
          </w:p>
        </w:tc>
      </w:tr>
      <w:tr w:rsidR="00066B9C"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066B9C" w:rsidRPr="00C258AD" w:rsidRDefault="00066B9C" w:rsidP="00066B9C">
            <w:pPr>
              <w:jc w:val="right"/>
              <w:rPr>
                <w:b/>
                <w:bCs/>
                <w:color w:val="000000"/>
                <w:sz w:val="16"/>
                <w:szCs w:val="18"/>
                <w:lang w:eastAsia="fr-FR"/>
              </w:rPr>
            </w:pPr>
            <w:r w:rsidRPr="00C258AD">
              <w:rPr>
                <w:b/>
                <w:bCs/>
                <w:color w:val="000000"/>
                <w:sz w:val="16"/>
                <w:szCs w:val="18"/>
                <w:lang w:eastAsia="fr-FR"/>
              </w:rPr>
              <w:t>TOTAL</w:t>
            </w:r>
          </w:p>
        </w:tc>
        <w:tc>
          <w:tcPr>
            <w:tcW w:w="1745" w:type="dxa"/>
            <w:tcBorders>
              <w:top w:val="nil"/>
              <w:left w:val="nil"/>
              <w:bottom w:val="single" w:sz="4" w:space="0" w:color="auto"/>
              <w:right w:val="single" w:sz="4" w:space="0" w:color="auto"/>
            </w:tcBorders>
            <w:shd w:val="clear" w:color="auto" w:fill="auto"/>
            <w:vAlign w:val="center"/>
            <w:hideMark/>
          </w:tcPr>
          <w:p w:rsidR="00066B9C" w:rsidRPr="00C258AD" w:rsidRDefault="00066B9C" w:rsidP="00066B9C">
            <w:pPr>
              <w:jc w:val="center"/>
              <w:rPr>
                <w:b/>
                <w:bCs/>
                <w:color w:val="000000"/>
                <w:sz w:val="16"/>
                <w:szCs w:val="18"/>
                <w:lang w:eastAsia="fr-FR"/>
              </w:rPr>
            </w:pPr>
            <w:r w:rsidRPr="00C258AD">
              <w:rPr>
                <w:b/>
                <w:bCs/>
                <w:color w:val="000000"/>
                <w:sz w:val="16"/>
                <w:szCs w:val="18"/>
                <w:lang w:eastAsia="fr-FR"/>
              </w:rPr>
              <w:t>8 443</w:t>
            </w:r>
          </w:p>
        </w:tc>
        <w:tc>
          <w:tcPr>
            <w:tcW w:w="1746" w:type="dxa"/>
            <w:tcBorders>
              <w:top w:val="nil"/>
              <w:left w:val="nil"/>
              <w:bottom w:val="single" w:sz="4" w:space="0" w:color="auto"/>
              <w:right w:val="single" w:sz="4" w:space="0" w:color="auto"/>
            </w:tcBorders>
            <w:shd w:val="clear" w:color="auto" w:fill="auto"/>
            <w:vAlign w:val="center"/>
            <w:hideMark/>
          </w:tcPr>
          <w:p w:rsidR="00066B9C" w:rsidRPr="00C258AD" w:rsidRDefault="00066B9C" w:rsidP="00066B9C">
            <w:pPr>
              <w:jc w:val="center"/>
              <w:rPr>
                <w:b/>
                <w:bCs/>
                <w:color w:val="000000"/>
                <w:sz w:val="16"/>
                <w:szCs w:val="18"/>
                <w:lang w:eastAsia="fr-FR"/>
              </w:rPr>
            </w:pPr>
            <w:r w:rsidRPr="00C258AD">
              <w:rPr>
                <w:b/>
                <w:bCs/>
                <w:color w:val="000000"/>
                <w:sz w:val="16"/>
                <w:szCs w:val="18"/>
                <w:lang w:eastAsia="fr-FR"/>
              </w:rPr>
              <w:t>8 338</w:t>
            </w:r>
          </w:p>
        </w:tc>
        <w:tc>
          <w:tcPr>
            <w:tcW w:w="1745" w:type="dxa"/>
            <w:tcBorders>
              <w:top w:val="nil"/>
              <w:left w:val="nil"/>
              <w:bottom w:val="single" w:sz="4" w:space="0" w:color="auto"/>
              <w:right w:val="single" w:sz="4" w:space="0" w:color="auto"/>
            </w:tcBorders>
            <w:shd w:val="clear" w:color="auto" w:fill="auto"/>
            <w:vAlign w:val="center"/>
            <w:hideMark/>
          </w:tcPr>
          <w:p w:rsidR="00066B9C" w:rsidRPr="00C258AD" w:rsidRDefault="00066B9C" w:rsidP="00066B9C">
            <w:pPr>
              <w:jc w:val="center"/>
              <w:rPr>
                <w:b/>
                <w:bCs/>
                <w:color w:val="000000"/>
                <w:sz w:val="16"/>
                <w:szCs w:val="18"/>
                <w:lang w:eastAsia="fr-FR"/>
              </w:rPr>
            </w:pPr>
            <w:r w:rsidRPr="00C258AD">
              <w:rPr>
                <w:b/>
                <w:bCs/>
                <w:color w:val="000000"/>
                <w:sz w:val="16"/>
                <w:szCs w:val="18"/>
                <w:lang w:eastAsia="fr-FR"/>
              </w:rPr>
              <w:t>7 644</w:t>
            </w:r>
          </w:p>
        </w:tc>
        <w:tc>
          <w:tcPr>
            <w:tcW w:w="1746" w:type="dxa"/>
            <w:tcBorders>
              <w:top w:val="nil"/>
              <w:left w:val="nil"/>
              <w:bottom w:val="single" w:sz="4" w:space="0" w:color="auto"/>
              <w:right w:val="single" w:sz="4" w:space="0" w:color="auto"/>
            </w:tcBorders>
            <w:shd w:val="clear" w:color="auto" w:fill="auto"/>
            <w:vAlign w:val="center"/>
            <w:hideMark/>
          </w:tcPr>
          <w:p w:rsidR="00066B9C" w:rsidRPr="00C258AD" w:rsidRDefault="00066B9C" w:rsidP="00066B9C">
            <w:pPr>
              <w:jc w:val="center"/>
              <w:rPr>
                <w:b/>
                <w:bCs/>
                <w:color w:val="000000"/>
                <w:sz w:val="16"/>
                <w:szCs w:val="18"/>
                <w:lang w:eastAsia="fr-FR"/>
              </w:rPr>
            </w:pPr>
            <w:r w:rsidRPr="00C258AD">
              <w:rPr>
                <w:b/>
                <w:bCs/>
                <w:color w:val="000000"/>
                <w:sz w:val="16"/>
                <w:szCs w:val="18"/>
                <w:lang w:eastAsia="fr-FR"/>
              </w:rPr>
              <w:t>92%</w:t>
            </w:r>
          </w:p>
        </w:tc>
      </w:tr>
    </w:tbl>
    <w:p w:rsidR="006E2BB1" w:rsidRPr="00C258AD" w:rsidRDefault="006E2BB1" w:rsidP="001A4D6C">
      <w:pPr>
        <w:widowControl w:val="0"/>
        <w:autoSpaceDE w:val="0"/>
        <w:autoSpaceDN w:val="0"/>
        <w:adjustRightInd w:val="0"/>
        <w:jc w:val="both"/>
      </w:pPr>
    </w:p>
    <w:p w:rsidR="006E2BB1" w:rsidRPr="00C258AD" w:rsidRDefault="006E2BB1" w:rsidP="001A4D6C">
      <w:pPr>
        <w:widowControl w:val="0"/>
        <w:autoSpaceDE w:val="0"/>
        <w:autoSpaceDN w:val="0"/>
        <w:adjustRightInd w:val="0"/>
        <w:jc w:val="both"/>
      </w:pPr>
    </w:p>
    <w:p w:rsidR="006E2BB1" w:rsidRPr="00C258AD" w:rsidRDefault="00066B9C" w:rsidP="001A4D6C">
      <w:pPr>
        <w:rPr>
          <w:u w:val="single"/>
        </w:rPr>
      </w:pPr>
      <w:r w:rsidRPr="00C258AD">
        <w:rPr>
          <w:bCs/>
        </w:rPr>
        <w:t>A.</w:t>
      </w:r>
      <w:r w:rsidRPr="00C258AD">
        <w:rPr>
          <w:bCs/>
        </w:rPr>
        <w:tab/>
      </w:r>
      <w:r w:rsidRPr="00C258AD">
        <w:rPr>
          <w:bCs/>
          <w:u w:val="single"/>
        </w:rPr>
        <w:t>Budget final 2014</w:t>
      </w:r>
      <w:r w:rsidRPr="00C258AD">
        <w:rPr>
          <w:bCs/>
          <w:u w:val="single"/>
        </w:rPr>
        <w:noBreakHyphen/>
        <w:t>2015 après virements</w:t>
      </w:r>
    </w:p>
    <w:p w:rsidR="006E2BB1" w:rsidRPr="00C258AD" w:rsidRDefault="006E2BB1" w:rsidP="001A4D6C">
      <w:pPr>
        <w:rPr>
          <w:u w:val="single"/>
        </w:rPr>
      </w:pPr>
    </w:p>
    <w:p w:rsidR="006E2BB1" w:rsidRPr="00C258AD" w:rsidRDefault="00066B9C" w:rsidP="00066B9C">
      <w:pPr>
        <w:pStyle w:val="ListParagraph"/>
        <w:numPr>
          <w:ilvl w:val="0"/>
          <w:numId w:val="47"/>
        </w:numPr>
        <w:tabs>
          <w:tab w:val="left" w:pos="709"/>
        </w:tabs>
        <w:autoSpaceDE w:val="0"/>
        <w:autoSpaceDN w:val="0"/>
        <w:ind w:left="0" w:firstLine="0"/>
        <w:jc w:val="both"/>
        <w:rPr>
          <w:lang w:eastAsia="ko-KR"/>
        </w:rPr>
      </w:pPr>
      <w:r w:rsidRPr="00C258AD">
        <w:rPr>
          <w:szCs w:val="16"/>
          <w:lang w:bidi="th-TH"/>
        </w:rPr>
        <w:t>Les ajustements des résultats</w:t>
      </w:r>
      <w:r w:rsidRPr="00C258AD">
        <w:rPr>
          <w:lang w:eastAsia="ko-KR"/>
        </w:rPr>
        <w:t xml:space="preserve"> dans le budget final 2014</w:t>
      </w:r>
      <w:r w:rsidRPr="00C258AD">
        <w:rPr>
          <w:lang w:eastAsia="ko-KR"/>
        </w:rPr>
        <w:noBreakHyphen/>
        <w:t xml:space="preserve">2015 </w:t>
      </w:r>
      <w:r w:rsidRPr="00C258AD">
        <w:rPr>
          <w:szCs w:val="16"/>
          <w:lang w:bidi="th-TH"/>
        </w:rPr>
        <w:t xml:space="preserve">après virements découlent de </w:t>
      </w:r>
      <w:r w:rsidRPr="00C258AD">
        <w:rPr>
          <w:lang w:eastAsia="ko-KR"/>
        </w:rPr>
        <w:t xml:space="preserve">la mise en place récente d’une méthode plus précise pour l’affectation de ressources en personnel résultant des améliorations apportées au </w:t>
      </w:r>
      <w:r w:rsidRPr="00C258AD">
        <w:rPr>
          <w:szCs w:val="16"/>
          <w:lang w:bidi="th-TH"/>
        </w:rPr>
        <w:t>système de planification de la gestion des performances (EPM)</w:t>
      </w:r>
      <w:r w:rsidRPr="00C258AD">
        <w:rPr>
          <w:lang w:eastAsia="ko-KR"/>
        </w:rPr>
        <w:t xml:space="preserve"> pour la planification</w:t>
      </w:r>
      <w:r w:rsidRPr="00C258AD">
        <w:rPr>
          <w:szCs w:val="16"/>
          <w:lang w:bidi="th-TH"/>
        </w:rPr>
        <w:t xml:space="preserve"> des programmes de travail annuels pour </w:t>
      </w:r>
      <w:r w:rsidRPr="00C258AD">
        <w:rPr>
          <w:lang w:eastAsia="ko-KR"/>
        </w:rPr>
        <w:t>2014 et 2015.</w:t>
      </w:r>
    </w:p>
    <w:p w:rsidR="006E2BB1" w:rsidRPr="00C258AD" w:rsidRDefault="006E2BB1" w:rsidP="001A4D6C">
      <w:pPr>
        <w:pStyle w:val="ListParagraph"/>
        <w:numPr>
          <w:ilvl w:val="0"/>
          <w:numId w:val="0"/>
        </w:numPr>
        <w:tabs>
          <w:tab w:val="left" w:pos="709"/>
        </w:tabs>
        <w:autoSpaceDE w:val="0"/>
        <w:autoSpaceDN w:val="0"/>
        <w:jc w:val="both"/>
        <w:rPr>
          <w:lang w:eastAsia="ko-KR"/>
        </w:rPr>
      </w:pPr>
    </w:p>
    <w:p w:rsidR="006E2BB1" w:rsidRPr="00C258AD" w:rsidRDefault="00066B9C" w:rsidP="00066B9C">
      <w:pPr>
        <w:pStyle w:val="ListParagraph"/>
        <w:numPr>
          <w:ilvl w:val="0"/>
          <w:numId w:val="47"/>
        </w:numPr>
        <w:tabs>
          <w:tab w:val="left" w:pos="709"/>
        </w:tabs>
        <w:autoSpaceDE w:val="0"/>
        <w:autoSpaceDN w:val="0"/>
        <w:ind w:left="0" w:firstLine="0"/>
        <w:jc w:val="both"/>
        <w:rPr>
          <w:rFonts w:cs="Arial"/>
        </w:rPr>
      </w:pPr>
      <w:r w:rsidRPr="00C258AD">
        <w:rPr>
          <w:rFonts w:cs="Arial"/>
        </w:rPr>
        <w:t>La réduction nette des dépenses de personnel dans le budget final après virements découle essentiellement au transfert temporaire d’un fonctionnaire temporaire au programme 31 (système de La Haye) afin de fournir un appui dans le cadre des nouvelles adhésions.</w:t>
      </w:r>
    </w:p>
    <w:p w:rsidR="006E2BB1" w:rsidRPr="00C258AD" w:rsidRDefault="006E2BB1" w:rsidP="001A4D6C">
      <w:pPr>
        <w:autoSpaceDE w:val="0"/>
        <w:autoSpaceDN w:val="0"/>
        <w:jc w:val="both"/>
        <w:rPr>
          <w:lang w:eastAsia="ko-KR"/>
        </w:rPr>
      </w:pPr>
    </w:p>
    <w:p w:rsidR="006E2BB1" w:rsidRPr="00C258AD" w:rsidRDefault="006E2BB1" w:rsidP="001A4D6C">
      <w:pPr>
        <w:autoSpaceDE w:val="0"/>
        <w:autoSpaceDN w:val="0"/>
        <w:jc w:val="both"/>
        <w:rPr>
          <w:lang w:eastAsia="ko-KR"/>
        </w:rPr>
      </w:pPr>
    </w:p>
    <w:p w:rsidR="006E2BB1" w:rsidRPr="00C258AD" w:rsidRDefault="00066B9C" w:rsidP="001A4D6C">
      <w:pPr>
        <w:jc w:val="both"/>
        <w:rPr>
          <w:u w:val="single"/>
          <w:lang w:eastAsia="ko-KR"/>
        </w:rPr>
      </w:pPr>
      <w:r w:rsidRPr="00C258AD">
        <w:rPr>
          <w:bCs/>
          <w:lang w:eastAsia="ko-KR"/>
        </w:rPr>
        <w:t>B.</w:t>
      </w:r>
      <w:r w:rsidRPr="00C258AD">
        <w:rPr>
          <w:bCs/>
          <w:lang w:eastAsia="ko-KR"/>
        </w:rPr>
        <w:tab/>
      </w:r>
      <w:r w:rsidRPr="00C258AD">
        <w:rPr>
          <w:bCs/>
          <w:u w:val="single"/>
          <w:lang w:eastAsia="ko-KR"/>
        </w:rPr>
        <w:t>Utilisation du budget en 2014</w:t>
      </w:r>
      <w:r w:rsidRPr="00C258AD">
        <w:rPr>
          <w:bCs/>
          <w:u w:val="single"/>
          <w:lang w:eastAsia="ko-KR"/>
        </w:rPr>
        <w:noBreakHyphen/>
        <w:t>2015</w:t>
      </w:r>
    </w:p>
    <w:p w:rsidR="006E2BB1" w:rsidRPr="00C258AD" w:rsidRDefault="006E2BB1" w:rsidP="001A4D6C">
      <w:pPr>
        <w:autoSpaceDE w:val="0"/>
        <w:autoSpaceDN w:val="0"/>
        <w:rPr>
          <w:u w:val="single"/>
          <w:lang w:eastAsia="ko-KR"/>
        </w:rPr>
      </w:pPr>
    </w:p>
    <w:p w:rsidR="006E2BB1" w:rsidRPr="00C258AD" w:rsidRDefault="00066B9C" w:rsidP="00066B9C">
      <w:pPr>
        <w:pStyle w:val="ListParagraph"/>
        <w:numPr>
          <w:ilvl w:val="0"/>
          <w:numId w:val="47"/>
        </w:numPr>
        <w:tabs>
          <w:tab w:val="left" w:pos="709"/>
        </w:tabs>
        <w:autoSpaceDE w:val="0"/>
        <w:autoSpaceDN w:val="0"/>
        <w:ind w:left="0" w:firstLine="0"/>
        <w:jc w:val="both"/>
      </w:pPr>
      <w:r w:rsidRPr="00C258AD">
        <w:rPr>
          <w:rFonts w:cs="Arial"/>
        </w:rPr>
        <w:t xml:space="preserve">Dans l’ensemble, l’utilisation du budget se situe dans la fourchette escomptée pour l’exercice biennal.  </w:t>
      </w:r>
      <w:r w:rsidRPr="00C258AD">
        <w:t>La légère sous</w:t>
      </w:r>
      <w:r w:rsidRPr="00C258AD">
        <w:noBreakHyphen/>
        <w:t xml:space="preserve">utilisation des dépenses autres que les dépenses de personnel tient essentiellement à la </w:t>
      </w:r>
      <w:r w:rsidRPr="00C258AD">
        <w:rPr>
          <w:szCs w:val="16"/>
          <w:lang w:bidi="th-TH"/>
        </w:rPr>
        <w:t>mise en œuvre de mesures de maîtrise des coûts</w:t>
      </w:r>
      <w:r w:rsidRPr="00C258AD">
        <w:t xml:space="preserve"> en ce qui concerne les missions de fonctionnaires et les événements.</w:t>
      </w:r>
    </w:p>
    <w:p w:rsidR="006E2BB1" w:rsidRPr="00C258AD" w:rsidRDefault="006E2BB1" w:rsidP="00066B9C">
      <w:pPr>
        <w:rPr>
          <w:lang w:eastAsia="ko-KR"/>
        </w:rPr>
      </w:pPr>
    </w:p>
    <w:p w:rsidR="006E2BB1" w:rsidRPr="00C258AD" w:rsidRDefault="002D4597">
      <w:pPr>
        <w:spacing w:after="200" w:line="276" w:lineRule="auto"/>
        <w:rPr>
          <w:rFonts w:cs="Arial"/>
          <w:b/>
          <w:bCs/>
          <w:iCs/>
          <w:caps/>
          <w:sz w:val="22"/>
          <w:szCs w:val="28"/>
          <w:lang w:eastAsia="ko-KR"/>
        </w:rPr>
      </w:pPr>
      <w:r w:rsidRPr="00C258AD">
        <w:rPr>
          <w:lang w:eastAsia="ko-KR"/>
        </w:rPr>
        <w:br w:type="page"/>
      </w:r>
    </w:p>
    <w:p w:rsidR="00473433" w:rsidRPr="00C258AD" w:rsidRDefault="00473433" w:rsidP="00473433">
      <w:pPr>
        <w:pStyle w:val="Heading3"/>
      </w:pPr>
      <w:bookmarkStart w:id="101" w:name="_Toc422404230"/>
      <w:bookmarkStart w:id="102" w:name="_Toc422134342"/>
      <w:bookmarkStart w:id="103" w:name="_Toc423352878"/>
      <w:bookmarkStart w:id="104" w:name="_Toc455394190"/>
      <w:r w:rsidRPr="00C258AD">
        <w:lastRenderedPageBreak/>
        <w:t>Programme 11</w:t>
      </w:r>
      <w:bookmarkEnd w:id="101"/>
      <w:r w:rsidRPr="00C258AD">
        <w:tab/>
      </w:r>
      <w:bookmarkEnd w:id="102"/>
      <w:r w:rsidRPr="00C258AD">
        <w:t>Académie de l’OMPI</w:t>
      </w:r>
      <w:bookmarkEnd w:id="103"/>
      <w:bookmarkEnd w:id="104"/>
    </w:p>
    <w:p w:rsidR="00473433" w:rsidRPr="00C258AD" w:rsidRDefault="00473433" w:rsidP="006364A5">
      <w:pPr>
        <w:ind w:left="2268" w:hanging="2268"/>
      </w:pPr>
    </w:p>
    <w:p w:rsidR="00473433" w:rsidRPr="00C258AD" w:rsidRDefault="00473433" w:rsidP="006364A5">
      <w:pPr>
        <w:ind w:left="2268" w:hanging="2268"/>
        <w:rPr>
          <w:b/>
        </w:rPr>
      </w:pPr>
      <w:r w:rsidRPr="00C258AD">
        <w:rPr>
          <w:b/>
        </w:rPr>
        <w:t>Chef de programme</w:t>
      </w:r>
      <w:r w:rsidRPr="00C258AD">
        <w:rPr>
          <w:b/>
        </w:rPr>
        <w:tab/>
        <w:t>M. M. Matus</w:t>
      </w:r>
    </w:p>
    <w:p w:rsidR="00473433" w:rsidRPr="00C258AD" w:rsidRDefault="00473433" w:rsidP="006364A5"/>
    <w:p w:rsidR="00473433" w:rsidRPr="00C258AD" w:rsidRDefault="00473433" w:rsidP="006364A5"/>
    <w:p w:rsidR="00473433" w:rsidRPr="00C258AD" w:rsidRDefault="00473433" w:rsidP="00473433">
      <w:pPr>
        <w:keepNext/>
        <w:rPr>
          <w:caps/>
          <w:sz w:val="22"/>
          <w:szCs w:val="22"/>
        </w:rPr>
      </w:pPr>
      <w:r w:rsidRPr="00C258AD">
        <w:rPr>
          <w:caps/>
          <w:sz w:val="22"/>
          <w:szCs w:val="22"/>
        </w:rPr>
        <w:t>Réalisations au cours de l’exercice biennal 2014-2015</w:t>
      </w:r>
    </w:p>
    <w:p w:rsidR="00473433" w:rsidRPr="00C258AD" w:rsidRDefault="00473433" w:rsidP="006364A5">
      <w:pPr>
        <w:jc w:val="both"/>
        <w:rPr>
          <w:sz w:val="22"/>
        </w:rPr>
      </w:pPr>
    </w:p>
    <w:p w:rsidR="00473433" w:rsidRPr="00C258AD" w:rsidRDefault="00473433" w:rsidP="00DF2EEF">
      <w:pPr>
        <w:pStyle w:val="ListParagraph"/>
        <w:numPr>
          <w:ilvl w:val="0"/>
          <w:numId w:val="99"/>
        </w:numPr>
        <w:tabs>
          <w:tab w:val="left" w:pos="709"/>
        </w:tabs>
        <w:autoSpaceDE w:val="0"/>
        <w:autoSpaceDN w:val="0"/>
        <w:adjustRightInd w:val="0"/>
        <w:ind w:left="0" w:firstLine="0"/>
        <w:jc w:val="both"/>
        <w:rPr>
          <w:rFonts w:eastAsiaTheme="minorHAnsi"/>
          <w:color w:val="000000"/>
        </w:rPr>
      </w:pPr>
      <w:r w:rsidRPr="00C258AD">
        <w:t>En 2014</w:t>
      </w:r>
      <w:r w:rsidRPr="00C258AD">
        <w:noBreakHyphen/>
        <w:t xml:space="preserve">2015, l’Académie de l’OMPI a lancé la mise en œuvre d’un processus de réforme et </w:t>
      </w:r>
      <w:r w:rsidRPr="00C258AD">
        <w:rPr>
          <w:rFonts w:eastAsiaTheme="minorHAnsi"/>
          <w:color w:val="000000"/>
        </w:rPr>
        <w:t xml:space="preserve">s’est repositionnée pour devenir l’entité centrale de l’OMPI en termes de fourniture de formation professionnelle, d’enseignement et de renforcement des capacités dans le domaine de la propriété intellectuelle </w:t>
      </w:r>
      <w:r w:rsidRPr="00C258AD">
        <w:t xml:space="preserve">aux fonctionnaires gouvernementaux et autres parties prenantes.  </w:t>
      </w:r>
      <w:r w:rsidRPr="00C258AD">
        <w:rPr>
          <w:rFonts w:eastAsiaTheme="minorHAnsi"/>
        </w:rPr>
        <w:t xml:space="preserve">Au cours de ce processus, elle s’est efforcée de maintenir la quantité, la qualité et la fréquence des programmes de formation régulièrement dispensés afin de répondre avec ses partenaires aux obligations de formation continue;  de satisfaire les nouvelles demandes de formation urgentes des États membres et des autres parties prenantes;  et de préserver la continuité de la formation dispensée.  Au cours de l’exercice biennal, quelque </w:t>
      </w:r>
      <w:r w:rsidRPr="00C258AD">
        <w:rPr>
          <w:rFonts w:eastAsiaTheme="minorHAnsi"/>
          <w:color w:val="000000"/>
        </w:rPr>
        <w:t>80 000 personnes ont bénéficié des programmes et activités de</w:t>
      </w:r>
      <w:r w:rsidRPr="00C258AD">
        <w:t xml:space="preserve"> l’Académie de l’OMPI</w:t>
      </w:r>
      <w:r w:rsidRPr="00C258AD">
        <w:rPr>
          <w:rFonts w:eastAsiaTheme="minorHAnsi"/>
          <w:color w:val="000000"/>
        </w:rPr>
        <w:t>.</w:t>
      </w:r>
    </w:p>
    <w:p w:rsidR="00473433" w:rsidRPr="00C258AD" w:rsidRDefault="00473433" w:rsidP="006364A5">
      <w:pPr>
        <w:tabs>
          <w:tab w:val="left" w:pos="709"/>
        </w:tabs>
        <w:autoSpaceDE w:val="0"/>
        <w:autoSpaceDN w:val="0"/>
        <w:adjustRightInd w:val="0"/>
        <w:jc w:val="both"/>
        <w:rPr>
          <w:rFonts w:eastAsiaTheme="minorHAnsi"/>
        </w:rPr>
      </w:pPr>
    </w:p>
    <w:p w:rsidR="00473433" w:rsidRPr="00C258AD" w:rsidRDefault="00473433" w:rsidP="00DF2EEF">
      <w:pPr>
        <w:pStyle w:val="ListParagraph"/>
        <w:numPr>
          <w:ilvl w:val="0"/>
          <w:numId w:val="99"/>
        </w:numPr>
        <w:tabs>
          <w:tab w:val="left" w:pos="709"/>
        </w:tabs>
        <w:autoSpaceDE w:val="0"/>
        <w:autoSpaceDN w:val="0"/>
        <w:adjustRightInd w:val="0"/>
        <w:ind w:left="0" w:firstLine="0"/>
        <w:jc w:val="both"/>
      </w:pPr>
      <w:r w:rsidRPr="00C258AD">
        <w:rPr>
          <w:rFonts w:eastAsiaTheme="minorHAnsi"/>
          <w:color w:val="000000"/>
        </w:rPr>
        <w:t>En 2014</w:t>
      </w:r>
      <w:r w:rsidRPr="00C258AD">
        <w:rPr>
          <w:rFonts w:eastAsiaTheme="minorHAnsi"/>
          <w:color w:val="000000"/>
        </w:rPr>
        <w:noBreakHyphen/>
        <w:t xml:space="preserve">2015, la conception, la planification et la mise en œuvre des activités par le programme 11 ont continué d’être guidées par les recommandations pertinentes du Plan d’action pour le développement.  </w:t>
      </w:r>
      <w:r w:rsidRPr="00C258AD">
        <w:t>Les programmes de l’Académie étaient ainsi axés sur le développement et la demande des parties prenantes (recommandation n° 1) et visaient à mettre en place une initiation à la propriété intellectuelle dans les programmes d’enseignement de différents niveaux afin d’accroître la sensibilisation de l’opinion publique à la propriété intellectuelle (recommandation n° 3).</w:t>
      </w:r>
    </w:p>
    <w:p w:rsidR="00473433" w:rsidRPr="00C258AD" w:rsidRDefault="00473433" w:rsidP="006364A5">
      <w:pPr>
        <w:tabs>
          <w:tab w:val="left" w:pos="709"/>
        </w:tabs>
        <w:autoSpaceDE w:val="0"/>
        <w:autoSpaceDN w:val="0"/>
        <w:adjustRightInd w:val="0"/>
        <w:jc w:val="both"/>
        <w:rPr>
          <w:rFonts w:eastAsiaTheme="minorHAnsi"/>
        </w:rPr>
      </w:pPr>
    </w:p>
    <w:p w:rsidR="00473433" w:rsidRPr="00C258AD" w:rsidRDefault="00473433" w:rsidP="00DF2EEF">
      <w:pPr>
        <w:pStyle w:val="ListParagraph"/>
        <w:numPr>
          <w:ilvl w:val="0"/>
          <w:numId w:val="99"/>
        </w:numPr>
        <w:tabs>
          <w:tab w:val="left" w:pos="709"/>
        </w:tabs>
        <w:autoSpaceDE w:val="0"/>
        <w:autoSpaceDN w:val="0"/>
        <w:adjustRightInd w:val="0"/>
        <w:ind w:left="0" w:firstLine="0"/>
        <w:jc w:val="both"/>
        <w:rPr>
          <w:rFonts w:eastAsiaTheme="minorHAnsi"/>
        </w:rPr>
      </w:pPr>
      <w:r w:rsidRPr="00C258AD">
        <w:t>Dans le cadre du programme de perfectionnement professionnel, quelque 35 formations ont été proposées en 2014</w:t>
      </w:r>
      <w:r w:rsidRPr="00C258AD">
        <w:noBreakHyphen/>
        <w:t>2015, en association avec 22 institutions partenaires en Algérie, en Allemagne, en Autriche, au Brésil, au Cameroun, au Canada, au Costa Rica, en Espagne, en Finlande, en France, au Honduras, en Indonésie, en Israël, en Malaisie, au Mexique, au Maroc, en Norvège, au Paraguay, au Pérou, au Royaume</w:t>
      </w:r>
      <w:r w:rsidRPr="00C258AD">
        <w:noBreakHyphen/>
        <w:t xml:space="preserve">Uni et en Suisse, ainsi qu’avec l’Organisation mondiale du commerce (OMC) et le Centre d’études internationales de la propriété intellectuelle (CEIPI) de Strasbourg (France).  </w:t>
      </w:r>
      <w:r w:rsidRPr="00C258AD">
        <w:rPr>
          <w:rFonts w:eastAsiaTheme="minorHAnsi"/>
          <w:color w:val="000000"/>
        </w:rPr>
        <w:t xml:space="preserve">Les cours portaient entre autres sur les </w:t>
      </w:r>
      <w:r w:rsidRPr="00C258AD">
        <w:rPr>
          <w:rFonts w:eastAsiaTheme="minorHAnsi"/>
        </w:rPr>
        <w:t xml:space="preserve">brevets, les marques, le droit d’auteur et les droits connexes, la gestion collective du droit d’auteur et des droits connexes, la propriété intellectuelle pour les décideurs ainsi que le transfert de technologie et l’octroi de licences.  </w:t>
      </w:r>
      <w:r w:rsidRPr="00C258AD">
        <w:rPr>
          <w:rFonts w:eastAsiaTheme="minorHAnsi"/>
          <w:color w:val="000000"/>
        </w:rPr>
        <w:t>Depuis 2012, à la demande des États membres, des efforts ont été entrepris en vue de dispenser une formation sur des sujets plus spécifiques tels que l’examen des demandes de brevet dans les domaines des produits pharmaceutiques et de la biotechnologie.</w:t>
      </w:r>
    </w:p>
    <w:p w:rsidR="00473433" w:rsidRPr="00C258AD" w:rsidRDefault="00473433" w:rsidP="00473433">
      <w:pPr>
        <w:rPr>
          <w:rFonts w:eastAsiaTheme="minorHAnsi"/>
        </w:rPr>
      </w:pPr>
    </w:p>
    <w:p w:rsidR="00473433" w:rsidRPr="00C258AD" w:rsidRDefault="00473433" w:rsidP="00DF2EEF">
      <w:pPr>
        <w:pStyle w:val="ListParagraph"/>
        <w:numPr>
          <w:ilvl w:val="0"/>
          <w:numId w:val="99"/>
        </w:numPr>
        <w:autoSpaceDE w:val="0"/>
        <w:autoSpaceDN w:val="0"/>
        <w:adjustRightInd w:val="0"/>
        <w:ind w:left="0" w:firstLine="0"/>
        <w:jc w:val="both"/>
        <w:rPr>
          <w:rFonts w:eastAsiaTheme="minorHAnsi"/>
          <w:color w:val="000000"/>
        </w:rPr>
      </w:pPr>
      <w:r w:rsidRPr="00C258AD">
        <w:rPr>
          <w:rFonts w:eastAsiaTheme="minorHAnsi"/>
          <w:color w:val="000000"/>
        </w:rPr>
        <w:t>Au total, 462</w:t>
      </w:r>
      <w:r w:rsidRPr="00C258AD">
        <w:rPr>
          <w:rStyle w:val="FootnoteReference"/>
          <w:rFonts w:eastAsiaTheme="minorHAnsi"/>
          <w:color w:val="000000"/>
        </w:rPr>
        <w:footnoteReference w:id="71"/>
      </w:r>
      <w:r w:rsidRPr="00C258AD">
        <w:rPr>
          <w:rFonts w:eastAsiaTheme="minorHAnsi"/>
          <w:color w:val="000000"/>
        </w:rPr>
        <w:t> fonctionnaires nationaux (dont 52% de femmes) issus de pays en développement, de PMA et de pays en transition ont bénéficié de ces cours de formation.</w:t>
      </w:r>
    </w:p>
    <w:p w:rsidR="00473433" w:rsidRPr="00C258AD" w:rsidRDefault="00473433" w:rsidP="00473433">
      <w:pPr>
        <w:rPr>
          <w:rFonts w:eastAsiaTheme="minorHAnsi"/>
        </w:rPr>
      </w:pPr>
    </w:p>
    <w:tbl>
      <w:tblPr>
        <w:tblStyle w:val="TableGrid"/>
        <w:tblW w:w="5000" w:type="pct"/>
        <w:tblCellMar>
          <w:top w:w="113" w:type="dxa"/>
          <w:left w:w="68" w:type="dxa"/>
          <w:bottom w:w="113" w:type="dxa"/>
          <w:right w:w="68" w:type="dxa"/>
        </w:tblCellMar>
        <w:tblLook w:val="04A0" w:firstRow="1" w:lastRow="0" w:firstColumn="1" w:lastColumn="0" w:noHBand="0" w:noVBand="1"/>
      </w:tblPr>
      <w:tblGrid>
        <w:gridCol w:w="4890"/>
        <w:gridCol w:w="4601"/>
      </w:tblGrid>
      <w:tr w:rsidR="00473433" w:rsidRPr="00C258AD" w:rsidTr="00473433">
        <w:trPr>
          <w:cantSplit/>
        </w:trPr>
        <w:tc>
          <w:tcPr>
            <w:tcW w:w="4825" w:type="dxa"/>
          </w:tcPr>
          <w:p w:rsidR="00473433" w:rsidRPr="00C258AD" w:rsidRDefault="00473433" w:rsidP="00473433">
            <w:pPr>
              <w:keepNext/>
              <w:autoSpaceDE w:val="0"/>
              <w:autoSpaceDN w:val="0"/>
              <w:adjustRightInd w:val="0"/>
              <w:rPr>
                <w:rFonts w:eastAsiaTheme="minorHAnsi"/>
                <w:i/>
                <w:spacing w:val="-2"/>
                <w:sz w:val="18"/>
                <w:szCs w:val="18"/>
              </w:rPr>
            </w:pPr>
            <w:r w:rsidRPr="00C258AD">
              <w:rPr>
                <w:rFonts w:eastAsiaTheme="minorHAnsi"/>
                <w:i/>
                <w:spacing w:val="-2"/>
                <w:sz w:val="18"/>
                <w:szCs w:val="18"/>
              </w:rPr>
              <w:t>Répartition géographique des participants au programme de perfectionnement professionnel (2012</w:t>
            </w:r>
            <w:r w:rsidRPr="00C258AD">
              <w:rPr>
                <w:rFonts w:eastAsiaTheme="minorHAnsi"/>
                <w:i/>
                <w:spacing w:val="-2"/>
                <w:sz w:val="18"/>
                <w:szCs w:val="18"/>
              </w:rPr>
              <w:noBreakHyphen/>
              <w:t>2015)</w:t>
            </w:r>
          </w:p>
          <w:p w:rsidR="00473433" w:rsidRPr="00C258AD" w:rsidRDefault="00473433" w:rsidP="00473433">
            <w:pPr>
              <w:keepNext/>
              <w:autoSpaceDE w:val="0"/>
              <w:autoSpaceDN w:val="0"/>
              <w:adjustRightInd w:val="0"/>
              <w:jc w:val="center"/>
              <w:rPr>
                <w:rFonts w:eastAsiaTheme="minorHAnsi"/>
                <w:i/>
              </w:rPr>
            </w:pPr>
            <w:r w:rsidRPr="00C258AD">
              <w:rPr>
                <w:rFonts w:eastAsiaTheme="minorHAnsi"/>
                <w:noProof/>
                <w:lang w:val="en-US"/>
              </w:rPr>
              <w:drawing>
                <wp:inline distT="0" distB="0" distL="0" distR="0" wp14:anchorId="2B8349AF" wp14:editId="66AE92B7">
                  <wp:extent cx="2753018" cy="1910686"/>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753018" cy="1910686"/>
                          </a:xfrm>
                          <a:prstGeom prst="rect">
                            <a:avLst/>
                          </a:prstGeom>
                          <a:noFill/>
                          <a:ln>
                            <a:noFill/>
                          </a:ln>
                        </pic:spPr>
                      </pic:pic>
                    </a:graphicData>
                  </a:graphic>
                </wp:inline>
              </w:drawing>
            </w:r>
          </w:p>
        </w:tc>
        <w:tc>
          <w:tcPr>
            <w:tcW w:w="4540" w:type="dxa"/>
          </w:tcPr>
          <w:p w:rsidR="00473433" w:rsidRPr="00C258AD" w:rsidRDefault="00473433" w:rsidP="00473433">
            <w:pPr>
              <w:tabs>
                <w:tab w:val="left" w:pos="709"/>
              </w:tabs>
              <w:autoSpaceDE w:val="0"/>
              <w:autoSpaceDN w:val="0"/>
              <w:adjustRightInd w:val="0"/>
              <w:rPr>
                <w:rFonts w:eastAsiaTheme="minorHAnsi"/>
                <w:i/>
                <w:color w:val="000000"/>
                <w:sz w:val="18"/>
                <w:szCs w:val="18"/>
              </w:rPr>
            </w:pPr>
            <w:r w:rsidRPr="00C258AD">
              <w:rPr>
                <w:rFonts w:eastAsiaTheme="minorHAnsi"/>
                <w:i/>
                <w:color w:val="000000"/>
                <w:sz w:val="18"/>
                <w:szCs w:val="18"/>
              </w:rPr>
              <w:t>Répartition par sexe des participants au programme de perfectionnement professionnel (2014</w:t>
            </w:r>
            <w:r w:rsidRPr="00C258AD">
              <w:rPr>
                <w:rFonts w:eastAsiaTheme="minorHAnsi"/>
                <w:i/>
                <w:color w:val="000000"/>
                <w:sz w:val="18"/>
                <w:szCs w:val="18"/>
              </w:rPr>
              <w:noBreakHyphen/>
              <w:t>2015)</w:t>
            </w:r>
          </w:p>
          <w:p w:rsidR="00473433" w:rsidRPr="00C258AD" w:rsidRDefault="00473433" w:rsidP="00473433">
            <w:pPr>
              <w:autoSpaceDE w:val="0"/>
              <w:autoSpaceDN w:val="0"/>
              <w:adjustRightInd w:val="0"/>
              <w:jc w:val="center"/>
              <w:rPr>
                <w:rFonts w:eastAsiaTheme="minorHAnsi"/>
              </w:rPr>
            </w:pPr>
            <w:r w:rsidRPr="00C258AD">
              <w:rPr>
                <w:rFonts w:eastAsiaTheme="minorHAnsi"/>
                <w:noProof/>
                <w:lang w:val="en-US"/>
              </w:rPr>
              <w:drawing>
                <wp:inline distT="0" distB="0" distL="0" distR="0" wp14:anchorId="523F7602" wp14:editId="679F0A68">
                  <wp:extent cx="2163170" cy="1913017"/>
                  <wp:effectExtent l="0" t="0" r="889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168352" cy="1917600"/>
                          </a:xfrm>
                          <a:prstGeom prst="rect">
                            <a:avLst/>
                          </a:prstGeom>
                          <a:noFill/>
                          <a:ln>
                            <a:noFill/>
                          </a:ln>
                        </pic:spPr>
                      </pic:pic>
                    </a:graphicData>
                  </a:graphic>
                </wp:inline>
              </w:drawing>
            </w:r>
          </w:p>
        </w:tc>
      </w:tr>
    </w:tbl>
    <w:p w:rsidR="00473433" w:rsidRPr="00C258AD" w:rsidRDefault="00473433" w:rsidP="006364A5">
      <w:pPr>
        <w:autoSpaceDE w:val="0"/>
        <w:autoSpaceDN w:val="0"/>
        <w:adjustRightInd w:val="0"/>
        <w:jc w:val="both"/>
        <w:rPr>
          <w:rFonts w:eastAsiaTheme="minorHAnsi"/>
        </w:rPr>
      </w:pPr>
    </w:p>
    <w:p w:rsidR="00473433" w:rsidRPr="00C258AD" w:rsidRDefault="00473433" w:rsidP="00DF2EEF">
      <w:pPr>
        <w:pStyle w:val="ListParagraph"/>
        <w:numPr>
          <w:ilvl w:val="0"/>
          <w:numId w:val="99"/>
        </w:numPr>
        <w:tabs>
          <w:tab w:val="left" w:pos="0"/>
        </w:tabs>
        <w:autoSpaceDE w:val="0"/>
        <w:autoSpaceDN w:val="0"/>
        <w:adjustRightInd w:val="0"/>
        <w:ind w:left="0" w:firstLine="0"/>
        <w:jc w:val="both"/>
        <w:rPr>
          <w:rFonts w:eastAsiaTheme="minorHAnsi"/>
          <w:color w:val="000000"/>
        </w:rPr>
      </w:pPr>
      <w:r w:rsidRPr="00C258AD">
        <w:rPr>
          <w:rFonts w:eastAsiaTheme="minorHAnsi"/>
          <w:color w:val="000000"/>
        </w:rPr>
        <w:lastRenderedPageBreak/>
        <w:t>En 2015, l’Académie de l’OMPI a mené une enquête sur l’évaluation des besoins de formation.  Elle a reçu quelque 329 réponses d’entités et de parties prenantes des secteurs public et privé, provenant d’une centaine d’États membres.  L’une des conclusions les plus importantes du sondage était que 74,8% des participants avaient indiqué que leurs entités nationales ne possédaient aucune structure permettant de dispenser une formation dans le domaine de la propriété intellectuelle et qu’elles comptaient donc sur l’OMPI pour organiser et fournir une formation professionnelle et un renforcement des capacités dans ce domaine.  Par conséquent, l’Académie de l’OMPI jouait un rôle de plus en plus important dans le recensement et la satisfaction des besoins et des exigences des États membres en matière de formation.</w:t>
      </w:r>
    </w:p>
    <w:p w:rsidR="00473433" w:rsidRPr="00C258AD" w:rsidRDefault="00473433" w:rsidP="00473433">
      <w:pPr>
        <w:rPr>
          <w:rFonts w:eastAsiaTheme="minorHAnsi"/>
        </w:rPr>
      </w:pPr>
    </w:p>
    <w:p w:rsidR="00473433" w:rsidRPr="00C258AD" w:rsidRDefault="00473433" w:rsidP="00DF2EEF">
      <w:pPr>
        <w:pStyle w:val="ListParagraph"/>
        <w:numPr>
          <w:ilvl w:val="0"/>
          <w:numId w:val="99"/>
        </w:numPr>
        <w:tabs>
          <w:tab w:val="left" w:pos="0"/>
        </w:tabs>
        <w:autoSpaceDE w:val="0"/>
        <w:autoSpaceDN w:val="0"/>
        <w:adjustRightInd w:val="0"/>
        <w:ind w:left="0" w:firstLine="0"/>
        <w:jc w:val="both"/>
        <w:rPr>
          <w:rFonts w:eastAsiaTheme="minorHAnsi"/>
          <w:color w:val="000000"/>
        </w:rPr>
      </w:pPr>
      <w:r w:rsidRPr="00C258AD">
        <w:rPr>
          <w:rFonts w:eastAsiaTheme="minorHAnsi"/>
          <w:color w:val="000000"/>
        </w:rPr>
        <w:t>Le catalogue des cours a été revu dans cette optique afin de s’adapter aux besoins et aux priorités des États membres, et élargi pour inclure les sujets suivants : la gestion des offices de propriété intellectuelle, la gestion et la commercialisation de la propriété intellectuelle, la propriété intellectuelle et la création de marques, ainsi que le</w:t>
      </w:r>
      <w:r w:rsidRPr="00C258AD">
        <w:t xml:space="preserve"> </w:t>
      </w:r>
      <w:r w:rsidRPr="00C258AD">
        <w:rPr>
          <w:rFonts w:eastAsiaTheme="minorHAnsi"/>
          <w:color w:val="000000"/>
        </w:rPr>
        <w:t>transfert de technologie et la concession de licences.  De plus, de nouveaux cours consacrés spécifiquement aux besoins régionaux ont été intégrés dans le catalogue – l’un pour les PMA, l’autre pour les pays des Caraïbes.</w:t>
      </w:r>
    </w:p>
    <w:p w:rsidR="00473433" w:rsidRPr="00C258AD" w:rsidRDefault="00473433" w:rsidP="00473433">
      <w:pPr>
        <w:rPr>
          <w:rFonts w:eastAsiaTheme="minorHAnsi"/>
        </w:rPr>
      </w:pPr>
    </w:p>
    <w:p w:rsidR="00473433" w:rsidRPr="00C258AD" w:rsidRDefault="00473433" w:rsidP="00DF2EEF">
      <w:pPr>
        <w:pStyle w:val="ListParagraph"/>
        <w:numPr>
          <w:ilvl w:val="0"/>
          <w:numId w:val="99"/>
        </w:numPr>
        <w:tabs>
          <w:tab w:val="left" w:pos="709"/>
        </w:tabs>
        <w:autoSpaceDE w:val="0"/>
        <w:autoSpaceDN w:val="0"/>
        <w:adjustRightInd w:val="0"/>
        <w:ind w:left="0" w:firstLine="0"/>
        <w:jc w:val="both"/>
        <w:rPr>
          <w:rFonts w:eastAsiaTheme="minorHAnsi"/>
          <w:color w:val="000000"/>
        </w:rPr>
      </w:pPr>
      <w:r w:rsidRPr="00C258AD">
        <w:rPr>
          <w:rFonts w:eastAsiaTheme="minorHAnsi"/>
          <w:color w:val="000000"/>
        </w:rPr>
        <w:t>Dans le cadre du processus de réforme, un certain nombre de</w:t>
      </w:r>
      <w:r w:rsidRPr="00C258AD">
        <w:t xml:space="preserve"> </w:t>
      </w:r>
      <w:r w:rsidRPr="00C258AD">
        <w:rPr>
          <w:rFonts w:eastAsiaTheme="minorHAnsi"/>
          <w:color w:val="000000"/>
        </w:rPr>
        <w:t>cours à distance de niveau supérieur</w:t>
      </w:r>
      <w:r w:rsidRPr="00C258AD" w:rsidDel="00A07C6B">
        <w:rPr>
          <w:rFonts w:eastAsiaTheme="minorHAnsi"/>
          <w:color w:val="000000"/>
        </w:rPr>
        <w:t xml:space="preserve"> </w:t>
      </w:r>
      <w:r w:rsidRPr="00C258AD">
        <w:rPr>
          <w:rFonts w:eastAsiaTheme="minorHAnsi"/>
          <w:color w:val="000000"/>
        </w:rPr>
        <w:t>devront impérativement être suivis avant de participer à tous</w:t>
      </w:r>
      <w:r w:rsidRPr="00C258AD" w:rsidDel="00A07C6B">
        <w:rPr>
          <w:rFonts w:eastAsiaTheme="minorHAnsi"/>
          <w:color w:val="000000"/>
        </w:rPr>
        <w:t xml:space="preserve"> </w:t>
      </w:r>
      <w:r w:rsidRPr="00C258AD">
        <w:rPr>
          <w:rFonts w:eastAsiaTheme="minorHAnsi"/>
          <w:color w:val="000000"/>
        </w:rPr>
        <w:t>les cours spécialisés de perfectionnement professionnel pour la première fois, comme cela est indiqué dans le</w:t>
      </w:r>
      <w:r w:rsidRPr="00C258AD" w:rsidDel="00A07C6B">
        <w:rPr>
          <w:rFonts w:eastAsiaTheme="minorHAnsi"/>
          <w:color w:val="000000"/>
        </w:rPr>
        <w:t xml:space="preserve"> </w:t>
      </w:r>
      <w:r w:rsidRPr="00C258AD">
        <w:rPr>
          <w:rFonts w:eastAsiaTheme="minorHAnsi"/>
          <w:color w:val="000000"/>
        </w:rPr>
        <w:t>c</w:t>
      </w:r>
      <w:r w:rsidRPr="00C258AD" w:rsidDel="00A07C6B">
        <w:rPr>
          <w:rFonts w:eastAsiaTheme="minorHAnsi"/>
          <w:color w:val="000000"/>
        </w:rPr>
        <w:t xml:space="preserve">atalogue </w:t>
      </w:r>
      <w:r w:rsidRPr="00C258AD">
        <w:rPr>
          <w:rFonts w:eastAsiaTheme="minorHAnsi"/>
          <w:color w:val="000000"/>
        </w:rPr>
        <w:t>de</w:t>
      </w:r>
      <w:r w:rsidRPr="00C258AD" w:rsidDel="00A07C6B">
        <w:rPr>
          <w:rFonts w:eastAsiaTheme="minorHAnsi"/>
          <w:color w:val="000000"/>
        </w:rPr>
        <w:t xml:space="preserve"> cours.</w:t>
      </w:r>
    </w:p>
    <w:p w:rsidR="00473433" w:rsidRPr="00C258AD" w:rsidRDefault="00473433" w:rsidP="00473433"/>
    <w:p w:rsidR="00473433" w:rsidRPr="00C258AD" w:rsidRDefault="00473433" w:rsidP="00DF2EEF">
      <w:pPr>
        <w:pStyle w:val="ListParagraph"/>
        <w:numPr>
          <w:ilvl w:val="0"/>
          <w:numId w:val="99"/>
        </w:numPr>
        <w:tabs>
          <w:tab w:val="left" w:pos="709"/>
        </w:tabs>
        <w:autoSpaceDE w:val="0"/>
        <w:autoSpaceDN w:val="0"/>
        <w:adjustRightInd w:val="0"/>
        <w:ind w:left="0" w:firstLine="0"/>
        <w:jc w:val="both"/>
        <w:rPr>
          <w:rFonts w:eastAsiaTheme="minorHAnsi"/>
          <w:color w:val="000000"/>
        </w:rPr>
      </w:pPr>
      <w:r w:rsidRPr="00C258AD">
        <w:t xml:space="preserve">Le programme d’enseignement à distance a continué d’attirer des participants </w:t>
      </w:r>
      <w:r w:rsidRPr="00C258AD">
        <w:rPr>
          <w:rFonts w:eastAsiaTheme="minorHAnsi"/>
          <w:color w:val="000000"/>
        </w:rPr>
        <w:t>issus d’un large éventail de parties prenantes.  En 2014</w:t>
      </w:r>
      <w:r w:rsidRPr="00C258AD">
        <w:rPr>
          <w:rFonts w:eastAsiaTheme="minorHAnsi"/>
          <w:color w:val="000000"/>
        </w:rPr>
        <w:noBreakHyphen/>
        <w:t>2015, quelque 78 551 participants représentant 193 pays (67 809 pour les cours généraux et 10 742 pour les cours avancés) ont bénéficié de la version améliorée du Centre d’enseignement en ligne, soit une baisse de 3,6% par rapport à 2012</w:t>
      </w:r>
      <w:r w:rsidRPr="00C258AD">
        <w:rPr>
          <w:rFonts w:eastAsiaTheme="minorHAnsi"/>
          <w:color w:val="000000"/>
        </w:rPr>
        <w:noBreakHyphen/>
        <w:t>2013.  Soixante pour cent des participants ont suivi des cours en matière de propriété industrielle portant sur les brevets, les marques, la propriété industrielle et les indications géographiques;  25% se sont consacrés à des domaines multidisciplinaires de la propriété intellectuelle tels que la gestion de la propriété intellectuelle et les savoirs traditionnels;  et 15% ont suivi des cours relatifs au droit d’auteur.  Parmi les cours offerts en 2014</w:t>
      </w:r>
      <w:r w:rsidRPr="00C258AD">
        <w:rPr>
          <w:rFonts w:eastAsiaTheme="minorHAnsi"/>
          <w:color w:val="000000"/>
        </w:rPr>
        <w:noBreakHyphen/>
        <w:t>2015, 92%</w:t>
      </w:r>
      <w:r w:rsidRPr="00C258AD">
        <w:rPr>
          <w:rStyle w:val="FootnoteReference"/>
          <w:rFonts w:eastAsiaTheme="minorHAnsi"/>
          <w:color w:val="000000"/>
        </w:rPr>
        <w:footnoteReference w:id="72"/>
      </w:r>
      <w:r w:rsidRPr="00C258AD">
        <w:rPr>
          <w:rFonts w:eastAsiaTheme="minorHAnsi"/>
          <w:color w:val="000000"/>
        </w:rPr>
        <w:t xml:space="preserve"> étaient proposés dans les six langues des Nations Unies ainsi qu’en portugais.  Les femmes représentaient 50% des bénéficiaires.  On notera en particulier que les offices de propriété intellectuelle, d’autres organes gouvernementaux, de nouvelles académies et les TISC, dans les pays en développement et les PMA, ont fait exploser la demande en faveur de cours avancés, laquelle a augmenté de 138%</w:t>
      </w:r>
      <w:r w:rsidRPr="00C258AD">
        <w:rPr>
          <w:rFonts w:eastAsiaTheme="minorHAnsi"/>
          <w:color w:val="000000"/>
          <w:vertAlign w:val="superscript"/>
        </w:rPr>
        <w:footnoteReference w:id="73"/>
      </w:r>
      <w:r w:rsidRPr="00C258AD">
        <w:rPr>
          <w:rFonts w:eastAsiaTheme="minorHAnsi"/>
          <w:color w:val="000000"/>
        </w:rPr>
        <w:t>, atteignant un record absolu de 6926 demandes, contre 2907 au cours de l’exercice biennal précédent.  Le tableau ci</w:t>
      </w:r>
      <w:r w:rsidRPr="00C258AD">
        <w:rPr>
          <w:rFonts w:eastAsiaTheme="minorHAnsi"/>
          <w:color w:val="000000"/>
        </w:rPr>
        <w:noBreakHyphen/>
        <w:t>après montre la répartition géographique des participants aux programmes d’enseignement à distance entre 2012 et 2015.</w:t>
      </w:r>
    </w:p>
    <w:p w:rsidR="00473433" w:rsidRPr="00C258AD" w:rsidRDefault="00473433" w:rsidP="00473433"/>
    <w:p w:rsidR="00473433" w:rsidRPr="00C258AD" w:rsidRDefault="00473433" w:rsidP="006364A5">
      <w:pPr>
        <w:autoSpaceDE w:val="0"/>
        <w:autoSpaceDN w:val="0"/>
        <w:adjustRightInd w:val="0"/>
        <w:jc w:val="both"/>
        <w:rPr>
          <w:rFonts w:eastAsiaTheme="minorHAnsi"/>
        </w:rPr>
      </w:pPr>
    </w:p>
    <w:p w:rsidR="00473433" w:rsidRPr="00C258AD" w:rsidRDefault="00473433" w:rsidP="006364A5">
      <w:pPr>
        <w:keepNext/>
        <w:keepLines/>
        <w:autoSpaceDE w:val="0"/>
        <w:autoSpaceDN w:val="0"/>
        <w:adjustRightInd w:val="0"/>
        <w:jc w:val="center"/>
        <w:rPr>
          <w:rFonts w:eastAsiaTheme="minorHAnsi"/>
        </w:rPr>
      </w:pPr>
      <w:r w:rsidRPr="00C258AD">
        <w:rPr>
          <w:rFonts w:eastAsiaTheme="minorHAnsi"/>
          <w:i/>
        </w:rPr>
        <w:lastRenderedPageBreak/>
        <w:t>Répartition régionale des participants aux programmes d’enseignement à distance entre 2012 et 2015</w:t>
      </w:r>
      <w:r w:rsidRPr="00C258AD">
        <w:rPr>
          <w:rStyle w:val="FootnoteReference"/>
          <w:rFonts w:eastAsiaTheme="minorHAnsi"/>
        </w:rPr>
        <w:footnoteReference w:id="74"/>
      </w:r>
    </w:p>
    <w:p w:rsidR="00473433" w:rsidRPr="00C258AD" w:rsidRDefault="00473433" w:rsidP="00473433">
      <w:pPr>
        <w:jc w:val="center"/>
      </w:pPr>
      <w:r w:rsidRPr="00C258AD">
        <w:rPr>
          <w:noProof/>
          <w:lang w:val="en-US"/>
        </w:rPr>
        <w:drawing>
          <wp:inline distT="0" distB="0" distL="0" distR="0" wp14:anchorId="5B5F3642" wp14:editId="6EB17331">
            <wp:extent cx="5400000" cy="2964166"/>
            <wp:effectExtent l="0" t="0" r="0" b="8255"/>
            <wp:docPr id="968" name="Picture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400000" cy="2964166"/>
                    </a:xfrm>
                    <a:prstGeom prst="rect">
                      <a:avLst/>
                    </a:prstGeom>
                    <a:noFill/>
                    <a:ln>
                      <a:noFill/>
                    </a:ln>
                  </pic:spPr>
                </pic:pic>
              </a:graphicData>
            </a:graphic>
          </wp:inline>
        </w:drawing>
      </w:r>
    </w:p>
    <w:p w:rsidR="00473433" w:rsidRPr="00C258AD" w:rsidRDefault="00473433" w:rsidP="00473433"/>
    <w:p w:rsidR="00473433" w:rsidRPr="00C258AD" w:rsidRDefault="00473433" w:rsidP="00DF2EEF">
      <w:pPr>
        <w:pStyle w:val="ListParagraph"/>
        <w:numPr>
          <w:ilvl w:val="0"/>
          <w:numId w:val="99"/>
        </w:numPr>
        <w:tabs>
          <w:tab w:val="left" w:pos="709"/>
        </w:tabs>
        <w:autoSpaceDE w:val="0"/>
        <w:autoSpaceDN w:val="0"/>
        <w:adjustRightInd w:val="0"/>
        <w:ind w:left="0" w:firstLine="0"/>
        <w:jc w:val="both"/>
      </w:pPr>
      <w:r w:rsidRPr="00C258AD">
        <w:t>En outre, deux nouvelles adaptations ont été lancées avec les offices de propriété intellectuelle du Cambodge et du Viet Nam, faisant passer le nombre de langues des cours généraux de 13</w:t>
      </w:r>
      <w:r w:rsidRPr="00C258AD">
        <w:rPr>
          <w:rStyle w:val="FootnoteReference"/>
          <w:rFonts w:eastAsiaTheme="minorHAnsi"/>
          <w:color w:val="000000"/>
        </w:rPr>
        <w:footnoteReference w:id="75"/>
      </w:r>
      <w:r w:rsidRPr="00C258AD">
        <w:t xml:space="preserve"> en 2013 à 15 en 2014</w:t>
      </w:r>
      <w:r w:rsidRPr="00C258AD">
        <w:noBreakHyphen/>
        <w:t xml:space="preserve">2015 (allemand, anglais, arabe, cambodgien, chinois, coréen, croate, espagnol, français, japonais, portugais, russe, thaïlandais, ukrainien et vietnamien).  </w:t>
      </w:r>
      <w:r w:rsidRPr="00C258AD">
        <w:rPr>
          <w:rFonts w:eastAsiaTheme="minorHAnsi"/>
        </w:rPr>
        <w:t>Deux nouveaux cours pilotes d’enseignement à distance ont été lancés en 2014 : i) Propriété intellectuelle, savoirs traditionnels et expressions culturelles traditionnelles (DL</w:t>
      </w:r>
      <w:r w:rsidRPr="00C258AD">
        <w:rPr>
          <w:rFonts w:eastAsiaTheme="minorHAnsi"/>
        </w:rPr>
        <w:noBreakHyphen/>
        <w:t>203) et ii) Gestion collective du droit d’auteur et des droits connexes (DL</w:t>
      </w:r>
      <w:r w:rsidRPr="00C258AD">
        <w:rPr>
          <w:rFonts w:eastAsiaTheme="minorHAnsi"/>
        </w:rPr>
        <w:noBreakHyphen/>
        <w:t xml:space="preserve">501).  </w:t>
      </w:r>
      <w:r w:rsidRPr="00C258AD">
        <w:t xml:space="preserve">L’élaboration du cours d’enseignement à distance </w:t>
      </w:r>
      <w:r w:rsidRPr="00C258AD">
        <w:rPr>
          <w:rFonts w:eastAsiaTheme="minorHAnsi"/>
          <w:color w:val="000000"/>
        </w:rPr>
        <w:t>sur la propriété intellectuelle et l’accès aux technologies médicales s’est poursuivie en 2015 et une version pilote devrait être lancée en 2016</w:t>
      </w:r>
      <w:r w:rsidRPr="00C258AD">
        <w:rPr>
          <w:rFonts w:eastAsiaTheme="minorHAnsi"/>
          <w:color w:val="000000"/>
        </w:rPr>
        <w:noBreakHyphen/>
        <w:t>2017.  L’élaboration de plusieurs nouveaux modules a aussi été entamée, au sujet de : i) la concession de licences dans le domaine du droit d’auteur, notamment en ce qui concerne les logiciels libres;  et ii) la gestion du droit d’auteur dans le secteur cinématographique en Afrique.  Des formations sur mesure dans le domaine de la propriété intellectuelle ont été organisées en collaboration avec des offices de propriété intellectuelle et des universités partenaires en Argentine, en Bulgarie, au Brésil, au Cambodge, en Chine, en Croatie, en Égypte, en Fédération de Russie, en Jordanie, au Mexique, en République de Corée, en Tunisie, en Turquie, en Uruguay, au Viet Nam, en Zambie, au Zimbabwe, ainsi qu’avec l’Organisation régionale africaine de la propriété intellectuelle (ARIPO) et l’Organisation africaine de la propriété intellectuelle (OAPI).  D’autres améliorations avaient été apportées au programme d’enseignement à distance en 2014</w:t>
      </w:r>
      <w:r w:rsidRPr="00C258AD">
        <w:rPr>
          <w:rFonts w:eastAsiaTheme="minorHAnsi"/>
          <w:color w:val="000000"/>
        </w:rPr>
        <w:noBreakHyphen/>
        <w:t>2015, notamment : i) la mise en œuvre continue des recommandations du Plan d’action pour le développement par l’ajout de modules d’enseignement relatifs aux flexibilités et au domaine public dans les cours avancés;  et ii) la mise en œuvre d’une approche plus systématique du processus de révision annuelle des cours, avec un examen approfondi entamé en 2014</w:t>
      </w:r>
      <w:r w:rsidRPr="00C258AD">
        <w:rPr>
          <w:rFonts w:eastAsiaTheme="minorHAnsi"/>
          <w:color w:val="000000"/>
        </w:rPr>
        <w:noBreakHyphen/>
        <w:t>2015 (Phase I), dont les résultats seront mis en œuvre dans des cours spécifiques en 2016</w:t>
      </w:r>
      <w:r w:rsidRPr="00C258AD">
        <w:rPr>
          <w:rFonts w:eastAsiaTheme="minorHAnsi"/>
          <w:color w:val="000000"/>
        </w:rPr>
        <w:noBreakHyphen/>
        <w:t>2017 (Phase II).</w:t>
      </w:r>
    </w:p>
    <w:p w:rsidR="00473433" w:rsidRPr="00C258AD" w:rsidRDefault="00473433" w:rsidP="006364A5"/>
    <w:p w:rsidR="00473433" w:rsidRPr="00C258AD" w:rsidRDefault="00473433" w:rsidP="00DF2EEF">
      <w:pPr>
        <w:pStyle w:val="ListParagraph"/>
        <w:numPr>
          <w:ilvl w:val="0"/>
          <w:numId w:val="99"/>
        </w:numPr>
        <w:tabs>
          <w:tab w:val="left" w:pos="709"/>
        </w:tabs>
        <w:autoSpaceDE w:val="0"/>
        <w:autoSpaceDN w:val="0"/>
        <w:adjustRightInd w:val="0"/>
        <w:ind w:left="0" w:firstLine="0"/>
        <w:jc w:val="both"/>
        <w:rPr>
          <w:rFonts w:eastAsiaTheme="minorHAnsi"/>
          <w:color w:val="000000"/>
        </w:rPr>
      </w:pPr>
      <w:r w:rsidRPr="00C258AD">
        <w:t>Le programme des établissements universitaires a continué de proposer des cours communs dans le cadre d’une maîtrise en droit de la propriété intellectuelle à l’intention des ressortissants des pays en développement et des pays en transition, avec le concours de plusieurs universités et l’assistance financière du Gouvernement du Japon et du Gouvernement de la République de Corée en ce qui concerne quatre programmes.  En 2014</w:t>
      </w:r>
      <w:r w:rsidRPr="00C258AD">
        <w:noBreakHyphen/>
        <w:t xml:space="preserve">2015, 340 personnes au total ont </w:t>
      </w:r>
      <w:r w:rsidRPr="00C258AD">
        <w:rPr>
          <w:rFonts w:eastAsiaTheme="minorHAnsi"/>
          <w:color w:val="000000"/>
        </w:rPr>
        <w:t xml:space="preserve">achevé avec succès l’un </w:t>
      </w:r>
      <w:r w:rsidRPr="00C258AD">
        <w:t>des sept programmes de maîtrise en droit de la propriété intellectuelle</w:t>
      </w:r>
      <w:r w:rsidRPr="00C258AD">
        <w:rPr>
          <w:rFonts w:eastAsiaTheme="minorHAnsi"/>
          <w:color w:val="000000"/>
        </w:rPr>
        <w:t>;  parmi celles</w:t>
      </w:r>
      <w:r w:rsidRPr="00C258AD">
        <w:rPr>
          <w:rFonts w:eastAsiaTheme="minorHAnsi"/>
          <w:color w:val="000000"/>
        </w:rPr>
        <w:noBreakHyphen/>
        <w:t>ci, 178 </w:t>
      </w:r>
      <w:r w:rsidRPr="00C258AD">
        <w:t xml:space="preserve">étudiants de 75 pays avaient bénéficié d’une bourse.  </w:t>
      </w:r>
      <w:r w:rsidRPr="00C258AD">
        <w:rPr>
          <w:rFonts w:eastAsiaTheme="minorHAnsi"/>
          <w:color w:val="000000"/>
        </w:rPr>
        <w:t>Au cours du même exercice biennal, 364</w:t>
      </w:r>
      <w:r w:rsidRPr="00C258AD">
        <w:rPr>
          <w:rFonts w:eastAsiaTheme="minorHAnsi"/>
          <w:color w:val="000000"/>
          <w:vertAlign w:val="superscript"/>
        </w:rPr>
        <w:footnoteReference w:id="76"/>
      </w:r>
      <w:r w:rsidRPr="00C258AD">
        <w:rPr>
          <w:rFonts w:eastAsiaTheme="minorHAnsi"/>
          <w:color w:val="000000"/>
        </w:rPr>
        <w:t xml:space="preserve"> nouveaux étudiants </w:t>
      </w:r>
      <w:r w:rsidRPr="00C258AD">
        <w:rPr>
          <w:rFonts w:eastAsiaTheme="minorHAnsi"/>
          <w:color w:val="000000"/>
        </w:rPr>
        <w:lastRenderedPageBreak/>
        <w:t>ont commencé l’un des programmes</w:t>
      </w:r>
      <w:r w:rsidRPr="00C258AD">
        <w:rPr>
          <w:rFonts w:eastAsiaTheme="minorHAnsi"/>
          <w:color w:val="000000"/>
          <w:vertAlign w:val="superscript"/>
        </w:rPr>
        <w:footnoteReference w:id="77"/>
      </w:r>
      <w:r w:rsidRPr="00C258AD">
        <w:rPr>
          <w:rFonts w:eastAsiaTheme="minorHAnsi"/>
          <w:color w:val="000000"/>
        </w:rPr>
        <w:t>.  Le taux global de réussite pour l’année académique 2014</w:t>
      </w:r>
      <w:r w:rsidRPr="00C258AD">
        <w:rPr>
          <w:rFonts w:eastAsiaTheme="minorHAnsi"/>
          <w:color w:val="000000"/>
        </w:rPr>
        <w:noBreakHyphen/>
        <w:t>2015 était de 85% en moyenne.</w:t>
      </w:r>
    </w:p>
    <w:p w:rsidR="00473433" w:rsidRPr="00C258AD" w:rsidRDefault="00473433" w:rsidP="00473433"/>
    <w:p w:rsidR="00473433" w:rsidRPr="00C258AD" w:rsidRDefault="00473433" w:rsidP="00DF2EEF">
      <w:pPr>
        <w:pStyle w:val="ListParagraph"/>
        <w:numPr>
          <w:ilvl w:val="0"/>
          <w:numId w:val="99"/>
        </w:numPr>
        <w:tabs>
          <w:tab w:val="left" w:pos="709"/>
        </w:tabs>
        <w:autoSpaceDE w:val="0"/>
        <w:autoSpaceDN w:val="0"/>
        <w:adjustRightInd w:val="0"/>
        <w:ind w:left="0" w:firstLine="0"/>
        <w:jc w:val="both"/>
      </w:pPr>
      <w:r w:rsidRPr="00C258AD">
        <w:t xml:space="preserve">Les programmes de maîtrise étaient proposés par l’Académie de l’OMPI conjointement avec </w:t>
      </w:r>
      <w:r w:rsidRPr="00C258AD">
        <w:rPr>
          <w:rFonts w:eastAsiaTheme="minorHAnsi"/>
          <w:color w:val="000000"/>
        </w:rPr>
        <w:t>ses universités et institutions partenaires, à savoir : i) </w:t>
      </w:r>
      <w:r w:rsidRPr="00C258AD">
        <w:t>l’Université africaine et l’ARIPO (Zimbabwe);  ii) l’Université australe et l’Institut national de la propriété industrielle de l’Argentine (INPI) (Argentine);  iii) l’Université de technologie du Queensland (QUT) (Australie);  iv) l’Université nationale de Séoul et l’Office coréen de la propriété intellectuelle (République de Corée);  v) l’Université de Turin et le Centre international de formation de l’Organisation internationale du Travail (Italie);  vi) l’Université de Yaoundé II et l’OAPI (Cameroun);  et vii) l’Université d’Haïfa (Israël).</w:t>
      </w:r>
    </w:p>
    <w:p w:rsidR="00473433" w:rsidRPr="00C258AD" w:rsidRDefault="00473433" w:rsidP="006364A5">
      <w:pPr>
        <w:tabs>
          <w:tab w:val="left" w:pos="709"/>
        </w:tabs>
        <w:autoSpaceDE w:val="0"/>
        <w:autoSpaceDN w:val="0"/>
        <w:adjustRightInd w:val="0"/>
        <w:jc w:val="both"/>
      </w:pPr>
    </w:p>
    <w:p w:rsidR="00473433" w:rsidRPr="00C258AD" w:rsidRDefault="00473433" w:rsidP="006364A5">
      <w:pPr>
        <w:tabs>
          <w:tab w:val="left" w:pos="709"/>
        </w:tabs>
        <w:autoSpaceDE w:val="0"/>
        <w:autoSpaceDN w:val="0"/>
        <w:adjustRightInd w:val="0"/>
        <w:jc w:val="both"/>
      </w:pP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00"/>
        <w:gridCol w:w="4806"/>
      </w:tblGrid>
      <w:tr w:rsidR="00473433" w:rsidRPr="00C258AD" w:rsidTr="006364A5">
        <w:tc>
          <w:tcPr>
            <w:tcW w:w="4747" w:type="dxa"/>
          </w:tcPr>
          <w:p w:rsidR="00473433" w:rsidRPr="00C258AD" w:rsidRDefault="00473433" w:rsidP="006364A5">
            <w:pPr>
              <w:tabs>
                <w:tab w:val="left" w:pos="709"/>
              </w:tabs>
              <w:autoSpaceDE w:val="0"/>
              <w:autoSpaceDN w:val="0"/>
              <w:adjustRightInd w:val="0"/>
              <w:jc w:val="center"/>
            </w:pPr>
            <w:r w:rsidRPr="00C258AD">
              <w:rPr>
                <w:i/>
                <w:sz w:val="16"/>
                <w:szCs w:val="16"/>
              </w:rPr>
              <w:t xml:space="preserve">Participants aux programmes de maîtrise conjoints </w:t>
            </w:r>
            <w:r w:rsidRPr="00C258AD">
              <w:rPr>
                <w:i/>
                <w:sz w:val="16"/>
                <w:szCs w:val="16"/>
              </w:rPr>
              <w:br/>
              <w:t>en 2014 et 2015 (répartition hommes/femmes)</w:t>
            </w:r>
          </w:p>
        </w:tc>
        <w:tc>
          <w:tcPr>
            <w:tcW w:w="4859" w:type="dxa"/>
          </w:tcPr>
          <w:p w:rsidR="00473433" w:rsidRPr="00C258AD" w:rsidRDefault="00473433" w:rsidP="006364A5">
            <w:pPr>
              <w:tabs>
                <w:tab w:val="left" w:pos="709"/>
              </w:tabs>
              <w:autoSpaceDE w:val="0"/>
              <w:autoSpaceDN w:val="0"/>
              <w:adjustRightInd w:val="0"/>
              <w:jc w:val="center"/>
              <w:rPr>
                <w:i/>
                <w:sz w:val="16"/>
                <w:szCs w:val="16"/>
              </w:rPr>
            </w:pPr>
            <w:r w:rsidRPr="00C258AD">
              <w:rPr>
                <w:i/>
                <w:sz w:val="16"/>
                <w:szCs w:val="16"/>
              </w:rPr>
              <w:t xml:space="preserve">Nombre total de nouveaux étudiants et de diplômés </w:t>
            </w:r>
            <w:r w:rsidRPr="00C258AD">
              <w:rPr>
                <w:i/>
                <w:sz w:val="16"/>
                <w:szCs w:val="16"/>
              </w:rPr>
              <w:br/>
              <w:t>en 2014–2015, par programme</w:t>
            </w:r>
          </w:p>
        </w:tc>
      </w:tr>
      <w:tr w:rsidR="00473433" w:rsidRPr="00C258AD" w:rsidTr="006364A5">
        <w:tc>
          <w:tcPr>
            <w:tcW w:w="4747" w:type="dxa"/>
          </w:tcPr>
          <w:p w:rsidR="00473433" w:rsidRPr="00C258AD" w:rsidRDefault="00473433" w:rsidP="006364A5">
            <w:pPr>
              <w:tabs>
                <w:tab w:val="left" w:pos="709"/>
              </w:tabs>
              <w:autoSpaceDE w:val="0"/>
              <w:autoSpaceDN w:val="0"/>
              <w:adjustRightInd w:val="0"/>
              <w:jc w:val="both"/>
            </w:pPr>
            <w:r w:rsidRPr="00C258AD">
              <w:rPr>
                <w:noProof/>
                <w:lang w:val="en-US"/>
              </w:rPr>
              <w:drawing>
                <wp:inline distT="0" distB="0" distL="0" distR="0" wp14:anchorId="289D0A40" wp14:editId="2B9EFEDC">
                  <wp:extent cx="3043451" cy="1827929"/>
                  <wp:effectExtent l="0" t="0" r="5080" b="127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050093" cy="1831918"/>
                          </a:xfrm>
                          <a:prstGeom prst="rect">
                            <a:avLst/>
                          </a:prstGeom>
                          <a:noFill/>
                          <a:ln>
                            <a:noFill/>
                          </a:ln>
                        </pic:spPr>
                      </pic:pic>
                    </a:graphicData>
                  </a:graphic>
                </wp:inline>
              </w:drawing>
            </w:r>
          </w:p>
        </w:tc>
        <w:tc>
          <w:tcPr>
            <w:tcW w:w="4859" w:type="dxa"/>
          </w:tcPr>
          <w:p w:rsidR="00473433" w:rsidRPr="00C258AD" w:rsidRDefault="00473433" w:rsidP="006364A5">
            <w:pPr>
              <w:tabs>
                <w:tab w:val="left" w:pos="709"/>
              </w:tabs>
              <w:autoSpaceDE w:val="0"/>
              <w:autoSpaceDN w:val="0"/>
              <w:adjustRightInd w:val="0"/>
              <w:jc w:val="center"/>
            </w:pPr>
            <w:r w:rsidRPr="00C258AD">
              <w:rPr>
                <w:noProof/>
                <w:lang w:val="en-US"/>
              </w:rPr>
              <w:drawing>
                <wp:inline distT="0" distB="0" distL="0" distR="0" wp14:anchorId="0DA40DF3" wp14:editId="69B7D673">
                  <wp:extent cx="3044904" cy="1828800"/>
                  <wp:effectExtent l="0" t="0" r="317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3050048" cy="1831889"/>
                          </a:xfrm>
                          <a:prstGeom prst="rect">
                            <a:avLst/>
                          </a:prstGeom>
                          <a:noFill/>
                          <a:ln>
                            <a:noFill/>
                          </a:ln>
                        </pic:spPr>
                      </pic:pic>
                    </a:graphicData>
                  </a:graphic>
                </wp:inline>
              </w:drawing>
            </w:r>
          </w:p>
        </w:tc>
      </w:tr>
    </w:tbl>
    <w:p w:rsidR="00473433" w:rsidRPr="00C258AD" w:rsidRDefault="00473433" w:rsidP="006364A5">
      <w:pPr>
        <w:tabs>
          <w:tab w:val="left" w:pos="709"/>
        </w:tabs>
        <w:autoSpaceDE w:val="0"/>
        <w:autoSpaceDN w:val="0"/>
        <w:adjustRightInd w:val="0"/>
        <w:jc w:val="both"/>
      </w:pPr>
    </w:p>
    <w:p w:rsidR="00473433" w:rsidRPr="00C258AD" w:rsidRDefault="00473433" w:rsidP="006364A5">
      <w:pPr>
        <w:tabs>
          <w:tab w:val="left" w:pos="709"/>
        </w:tabs>
        <w:autoSpaceDE w:val="0"/>
        <w:autoSpaceDN w:val="0"/>
        <w:adjustRightInd w:val="0"/>
        <w:jc w:val="both"/>
      </w:pPr>
    </w:p>
    <w:p w:rsidR="00473433" w:rsidRPr="00C258AD" w:rsidRDefault="00473433" w:rsidP="00DF2EEF">
      <w:pPr>
        <w:pStyle w:val="ListParagraph"/>
        <w:numPr>
          <w:ilvl w:val="0"/>
          <w:numId w:val="99"/>
        </w:numPr>
        <w:tabs>
          <w:tab w:val="left" w:pos="709"/>
        </w:tabs>
        <w:autoSpaceDE w:val="0"/>
        <w:autoSpaceDN w:val="0"/>
        <w:adjustRightInd w:val="0"/>
        <w:ind w:left="0" w:firstLine="0"/>
        <w:jc w:val="both"/>
      </w:pPr>
      <w:r w:rsidRPr="00C258AD">
        <w:t>Deux colloques à l’intention des enseignants de la propriété intellectuelle ont été organisés en coopération avec l’OMC en 2014 et 2015 pour 53 enseignants (27 en 2014</w:t>
      </w:r>
      <w:r w:rsidRPr="00C258AD">
        <w:rPr>
          <w:rStyle w:val="FootnoteReference"/>
          <w:rFonts w:eastAsiaTheme="minorHAnsi"/>
          <w:color w:val="000000"/>
        </w:rPr>
        <w:footnoteReference w:id="78"/>
      </w:r>
      <w:r w:rsidRPr="00C258AD">
        <w:rPr>
          <w:rFonts w:ascii="Times New Roman" w:eastAsiaTheme="minorHAnsi" w:hAnsi="Times New Roman"/>
          <w:sz w:val="24"/>
          <w:lang w:eastAsia="fr-FR"/>
        </w:rPr>
        <w:t xml:space="preserve"> </w:t>
      </w:r>
      <w:r w:rsidRPr="00C258AD">
        <w:t>et 26 en 2015).  Les colloques ont continué d’offrir un forum de dialogue et de débat sur les récentes évolutions dans les principaux domaines de la propriété intellectuelle et sur les questions relevant de la pédagogie.  Neuf personnes ont reçu des bourses de l’OMPI pour participer au Congrès annuel de l’Association internationale pour la promotion de l’enseignement et de la recherche en propriété intellectuelle (ATRIP).</w:t>
      </w:r>
    </w:p>
    <w:p w:rsidR="00473433" w:rsidRPr="00C258AD" w:rsidRDefault="00473433" w:rsidP="006364A5">
      <w:pPr>
        <w:tabs>
          <w:tab w:val="left" w:pos="709"/>
        </w:tabs>
        <w:autoSpaceDE w:val="0"/>
        <w:autoSpaceDN w:val="0"/>
        <w:adjustRightInd w:val="0"/>
        <w:jc w:val="both"/>
      </w:pPr>
    </w:p>
    <w:p w:rsidR="00473433" w:rsidRPr="00C258AD" w:rsidRDefault="00473433" w:rsidP="00DF2EEF">
      <w:pPr>
        <w:pStyle w:val="ListParagraph"/>
        <w:numPr>
          <w:ilvl w:val="0"/>
          <w:numId w:val="99"/>
        </w:numPr>
        <w:tabs>
          <w:tab w:val="left" w:pos="709"/>
        </w:tabs>
        <w:autoSpaceDE w:val="0"/>
        <w:autoSpaceDN w:val="0"/>
        <w:adjustRightInd w:val="0"/>
        <w:ind w:left="0" w:firstLine="0"/>
        <w:jc w:val="both"/>
      </w:pPr>
      <w:r w:rsidRPr="00C258AD">
        <w:rPr>
          <w:rFonts w:eastAsiaTheme="minorHAnsi"/>
          <w:color w:val="000000"/>
        </w:rPr>
        <w:t>Avec l’assistance de l’OMPI en 2014</w:t>
      </w:r>
      <w:r w:rsidRPr="00C258AD">
        <w:rPr>
          <w:rFonts w:eastAsiaTheme="minorHAnsi"/>
          <w:color w:val="000000"/>
        </w:rPr>
        <w:noBreakHyphen/>
        <w:t>2015, les nouveaux programmes d’enseignement de la propriété intellectuelle suivants ont été proposés : i) le programme de propriété intellectuelle de l’Institut de management du Bangladesh;  et ii) deux nouveaux cours consacrés à la propriété intellectuelle à l’Université africaine.  Les appuis qui ont été fournis en 2014</w:t>
      </w:r>
      <w:r w:rsidRPr="00C258AD">
        <w:rPr>
          <w:rFonts w:eastAsiaTheme="minorHAnsi"/>
          <w:color w:val="000000"/>
        </w:rPr>
        <w:noBreakHyphen/>
        <w:t xml:space="preserve">2015, grâce auxquels de nouveaux cours en matière de propriété intellectuelle pourront être proposés en 2016, provenaient : i) du campus de Mona de l’Université des Antilles (Jamaïque), qui a achevé la mise en place d’une nouvelle maîtrise en propriété intellectuelle dans les industries créatives et culturelles, dont le lancement est prévu pour 2016;  ii) et de l’Université du Botswana, qui a achevé l’élaboration d’un nouveau cours sur le droit et la recherche en matière de propriété intellectuelle, lequel sera lancé en 2016, et apporté des améliorations à deux cours de droit de la propriété intellectuelle (IP Law I et II).  En outre, cinq universités ont amélioré leurs programmes d’enseignement en matière de propriété intellectuelle existants : i) l’Université de Buenos Aires (Argentine);  ii) l’Université centrale du Venezuela;  iii) l’Université d’Alicante (Espagne);  iv) l’Université </w:t>
      </w:r>
      <w:proofErr w:type="spellStart"/>
      <w:r w:rsidRPr="00C258AD">
        <w:rPr>
          <w:rFonts w:eastAsiaTheme="minorHAnsi"/>
          <w:color w:val="000000"/>
        </w:rPr>
        <w:t>Padjadjaran</w:t>
      </w:r>
      <w:proofErr w:type="spellEnd"/>
      <w:r w:rsidRPr="00C258AD">
        <w:rPr>
          <w:rFonts w:eastAsiaTheme="minorHAnsi"/>
          <w:color w:val="000000"/>
        </w:rPr>
        <w:t xml:space="preserve"> (Indonésie);  et v) l’Université d’Indonésie.  De plus, 13 séminaires sur la propriété intellectuelle à l’intention de 309 étudiants de deuxième et troisième cycles, fonctionnaires gouvernementaux et parlementaires ont été organisés au siège de l’OMPI.  Enfin, deux colloques nationaux sur l’enseignement dans le domaine de la propriété intellectuelle (au Botswana et en Chine) ainsi qu’une table ronde </w:t>
      </w:r>
      <w:proofErr w:type="spellStart"/>
      <w:r w:rsidRPr="00C258AD">
        <w:rPr>
          <w:rFonts w:eastAsiaTheme="minorHAnsi"/>
          <w:color w:val="000000"/>
        </w:rPr>
        <w:t>sous</w:t>
      </w:r>
      <w:r w:rsidRPr="00C258AD">
        <w:rPr>
          <w:rFonts w:eastAsia="MS Gothic"/>
          <w:color w:val="000000"/>
        </w:rPr>
        <w:noBreakHyphen/>
      </w:r>
      <w:r w:rsidRPr="00C258AD">
        <w:rPr>
          <w:rFonts w:eastAsiaTheme="minorHAnsi"/>
          <w:color w:val="000000"/>
        </w:rPr>
        <w:t>régionale</w:t>
      </w:r>
      <w:proofErr w:type="spellEnd"/>
      <w:r w:rsidRPr="00C258AD">
        <w:rPr>
          <w:rFonts w:eastAsiaTheme="minorHAnsi"/>
          <w:color w:val="000000"/>
        </w:rPr>
        <w:t xml:space="preserve"> sur l’enseignement, la formation et la recherche dans le domaine de la propriété intellectuelle pour la région des Caraïbes ont été organisés en collaboration avec les gouvernements hôtes.  </w:t>
      </w:r>
      <w:r w:rsidRPr="00C258AD">
        <w:t>En 2014</w:t>
      </w:r>
      <w:r w:rsidRPr="00C258AD">
        <w:noBreakHyphen/>
        <w:t>2015, l’Académie a reçu de nouvelles demandes de partenariat et les a examinées conformément à la nouvelle politique établie à cet égard.</w:t>
      </w:r>
    </w:p>
    <w:p w:rsidR="00473433" w:rsidRPr="00C258AD" w:rsidRDefault="00473433" w:rsidP="006364A5">
      <w:pPr>
        <w:autoSpaceDE w:val="0"/>
        <w:autoSpaceDN w:val="0"/>
        <w:adjustRightInd w:val="0"/>
        <w:jc w:val="both"/>
        <w:rPr>
          <w:rFonts w:eastAsiaTheme="minorHAnsi"/>
        </w:rPr>
      </w:pPr>
    </w:p>
    <w:p w:rsidR="00473433" w:rsidRPr="00C258AD" w:rsidRDefault="00473433" w:rsidP="00DF2EEF">
      <w:pPr>
        <w:pStyle w:val="ListParagraph"/>
        <w:numPr>
          <w:ilvl w:val="0"/>
          <w:numId w:val="99"/>
        </w:numPr>
        <w:tabs>
          <w:tab w:val="left" w:pos="709"/>
        </w:tabs>
        <w:autoSpaceDE w:val="0"/>
        <w:autoSpaceDN w:val="0"/>
        <w:adjustRightInd w:val="0"/>
        <w:ind w:left="0" w:firstLine="0"/>
        <w:jc w:val="both"/>
      </w:pPr>
      <w:r w:rsidRPr="00C258AD">
        <w:lastRenderedPageBreak/>
        <w:t>En 2014</w:t>
      </w:r>
      <w:r w:rsidRPr="00C258AD">
        <w:noBreakHyphen/>
        <w:t>2015, l’Académie a organisé 19 sessions du programme de cours d’été de l’OMPI dans trois langues (anglais, russe et espagnol) avec 12 établissements nationaux en Afrique du Sud, au Chili, en Chine, en Croatie, aux États</w:t>
      </w:r>
      <w:r w:rsidRPr="00C258AD">
        <w:noBreakHyphen/>
        <w:t xml:space="preserve">Unis d’Amérique, en Fédération de Russie, en Inde, en Jamaïque, au Mexique, en République de Corée, à Singapour et en Suisse.  Quelque 689 participants issus de 80 pays ont suivi les cours d’été de l’OMPI, la majorité d’entre eux venant en premier lieu d’Amérique latine et des Caraïbes (300 participants, soit 43%), puis d’Asie et du Pacifique (190 participants, soit 28%).  </w:t>
      </w:r>
      <w:r w:rsidRPr="00C258AD">
        <w:rPr>
          <w:rFonts w:eastAsiaTheme="minorHAnsi"/>
          <w:color w:val="000000"/>
        </w:rPr>
        <w:t>On comptait en outre 20% de participants issus d’Europe et 9% d’Afrique.  Sur les 689 participants recensés en 2014</w:t>
      </w:r>
      <w:r w:rsidRPr="00C258AD">
        <w:rPr>
          <w:rFonts w:eastAsiaTheme="minorHAnsi"/>
          <w:color w:val="000000"/>
        </w:rPr>
        <w:noBreakHyphen/>
        <w:t xml:space="preserve">2015, 390 (ou 57%) étaient des femmes, et 299 (ou 43%) des hommes.  Des bourses avaient été accordées par le Gouvernement du Japon à 20 participants pour les sessions organisées en Afrique du Sud et par le Gouvernement de la République de Corée à 16 participants pour les sessions organisées dans son pays.  </w:t>
      </w:r>
      <w:r w:rsidRPr="00C258AD">
        <w:t>Les sessions des cours d’été ont continué à fonctionner en rotation, en tenant compte de l’équilibre géographique.</w:t>
      </w:r>
    </w:p>
    <w:p w:rsidR="00473433" w:rsidRPr="00C258AD" w:rsidRDefault="00473433" w:rsidP="006364A5">
      <w:pPr>
        <w:autoSpaceDE w:val="0"/>
        <w:autoSpaceDN w:val="0"/>
        <w:adjustRightInd w:val="0"/>
        <w:jc w:val="both"/>
        <w:rPr>
          <w:rFonts w:eastAsiaTheme="minorHAnsi"/>
        </w:rPr>
      </w:pPr>
    </w:p>
    <w:p w:rsidR="00473433" w:rsidRPr="00C258AD" w:rsidRDefault="00473433" w:rsidP="006364A5">
      <w:pPr>
        <w:pStyle w:val="Caption"/>
        <w:keepNext/>
        <w:jc w:val="center"/>
        <w:rPr>
          <w:b w:val="0"/>
          <w:i/>
          <w:sz w:val="20"/>
        </w:rPr>
      </w:pPr>
      <w:r w:rsidRPr="00C258AD">
        <w:rPr>
          <w:b w:val="0"/>
          <w:i/>
          <w:sz w:val="20"/>
        </w:rPr>
        <w:t>Participants au programme de cours d’été de l’OMPI en 2014 et 2015 (par sexe)</w:t>
      </w:r>
    </w:p>
    <w:p w:rsidR="00473433" w:rsidRPr="00C258AD" w:rsidRDefault="00473433" w:rsidP="006364A5">
      <w:pPr>
        <w:autoSpaceDE w:val="0"/>
        <w:autoSpaceDN w:val="0"/>
        <w:adjustRightInd w:val="0"/>
        <w:jc w:val="both"/>
        <w:rPr>
          <w:rFonts w:eastAsiaTheme="minorHAnsi"/>
        </w:rPr>
      </w:pPr>
    </w:p>
    <w:p w:rsidR="00473433" w:rsidRPr="00C258AD" w:rsidRDefault="00473433" w:rsidP="006364A5">
      <w:pPr>
        <w:autoSpaceDE w:val="0"/>
        <w:autoSpaceDN w:val="0"/>
        <w:adjustRightInd w:val="0"/>
        <w:jc w:val="center"/>
        <w:rPr>
          <w:rFonts w:eastAsiaTheme="minorHAnsi"/>
        </w:rPr>
      </w:pPr>
      <w:r w:rsidRPr="00C258AD">
        <w:rPr>
          <w:noProof/>
          <w:lang w:val="en-US"/>
        </w:rPr>
        <w:drawing>
          <wp:inline distT="0" distB="0" distL="0" distR="0" wp14:anchorId="4CAAFC4D" wp14:editId="569DFFD8">
            <wp:extent cx="5132231" cy="312882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135875" cy="3131046"/>
                    </a:xfrm>
                    <a:prstGeom prst="rect">
                      <a:avLst/>
                    </a:prstGeom>
                    <a:noFill/>
                    <a:ln>
                      <a:noFill/>
                    </a:ln>
                  </pic:spPr>
                </pic:pic>
              </a:graphicData>
            </a:graphic>
          </wp:inline>
        </w:drawing>
      </w:r>
    </w:p>
    <w:p w:rsidR="00473433" w:rsidRPr="00C258AD" w:rsidRDefault="00473433" w:rsidP="006364A5">
      <w:pPr>
        <w:autoSpaceDE w:val="0"/>
        <w:autoSpaceDN w:val="0"/>
        <w:adjustRightInd w:val="0"/>
        <w:rPr>
          <w:rFonts w:eastAsiaTheme="minorHAnsi"/>
        </w:rPr>
      </w:pPr>
    </w:p>
    <w:p w:rsidR="00473433" w:rsidRPr="00C258AD" w:rsidRDefault="00473433" w:rsidP="00DF2EEF">
      <w:pPr>
        <w:pStyle w:val="ListParagraph"/>
        <w:numPr>
          <w:ilvl w:val="0"/>
          <w:numId w:val="99"/>
        </w:numPr>
        <w:tabs>
          <w:tab w:val="left" w:pos="709"/>
        </w:tabs>
        <w:autoSpaceDE w:val="0"/>
        <w:autoSpaceDN w:val="0"/>
        <w:adjustRightInd w:val="0"/>
        <w:ind w:left="0" w:firstLine="0"/>
        <w:jc w:val="both"/>
        <w:rPr>
          <w:rFonts w:eastAsiaTheme="minorHAnsi"/>
          <w:color w:val="000000"/>
        </w:rPr>
      </w:pPr>
      <w:r w:rsidRPr="00C258AD">
        <w:t xml:space="preserve">En 2014, le projet de nouvelles académies a été intégré dans </w:t>
      </w:r>
      <w:r w:rsidRPr="00C258AD">
        <w:rPr>
          <w:rFonts w:eastAsiaTheme="minorHAnsi"/>
          <w:color w:val="000000"/>
        </w:rPr>
        <w:t>les programmes ordinaires de l’Académie de l’OMPI suite au feu vert donné par la quatorzième session du CDIP pour la réalisation d’une étude indépendante du projet.  Tout au long de l’exercice biennal, la coopération s’est poursuivie avec les six nouvelles académies qui ont été mises en place pendant la phase de projet du CDIP (Colombie, Égypte, Éthiopie, Pérou, République dominicaine et Tunisie).  De nouveaux accords visant à établir des centres nationaux de formation à la propriété intellectuelle (nouvelles académies) ont été signés avec les gouvernements de l’Azerbaïdjan, du Cambodge, du Costa Rica, d’El Salvador, de l’Équateur, de la Géorgie et de la Turquie.  En 2014</w:t>
      </w:r>
      <w:r w:rsidRPr="00C258AD">
        <w:rPr>
          <w:rFonts w:eastAsiaTheme="minorHAnsi"/>
          <w:color w:val="000000"/>
        </w:rPr>
        <w:noBreakHyphen/>
        <w:t>2015, des États membres ont déposé d’autres demandes d’assistance en vue d’établir des centres nationaux de formation à la propriété intellectuelle;  celles</w:t>
      </w:r>
      <w:r w:rsidRPr="00C258AD">
        <w:rPr>
          <w:rFonts w:eastAsiaTheme="minorHAnsi"/>
          <w:color w:val="000000"/>
        </w:rPr>
        <w:noBreakHyphen/>
        <w:t>ci seront examinées en 2016</w:t>
      </w:r>
      <w:r w:rsidRPr="00C258AD">
        <w:rPr>
          <w:rFonts w:eastAsiaTheme="minorHAnsi"/>
          <w:color w:val="000000"/>
        </w:rPr>
        <w:noBreakHyphen/>
        <w:t>2017.</w:t>
      </w:r>
    </w:p>
    <w:p w:rsidR="00473433" w:rsidRPr="00C258AD" w:rsidRDefault="00473433" w:rsidP="006364A5">
      <w:pPr>
        <w:autoSpaceDE w:val="0"/>
        <w:autoSpaceDN w:val="0"/>
        <w:adjustRightInd w:val="0"/>
        <w:rPr>
          <w:rFonts w:eastAsiaTheme="minorHAnsi"/>
        </w:rPr>
      </w:pPr>
    </w:p>
    <w:p w:rsidR="00473433" w:rsidRPr="00C258AD" w:rsidRDefault="00473433" w:rsidP="006364A5">
      <w:pPr>
        <w:autoSpaceDE w:val="0"/>
        <w:autoSpaceDN w:val="0"/>
        <w:adjustRightInd w:val="0"/>
        <w:rPr>
          <w:rFonts w:eastAsiaTheme="minorHAnsi"/>
        </w:rPr>
      </w:pPr>
    </w:p>
    <w:p w:rsidR="00473433" w:rsidRPr="00C258AD" w:rsidRDefault="00473433">
      <w:pPr>
        <w:rPr>
          <w:caps/>
          <w:sz w:val="22"/>
        </w:rPr>
      </w:pPr>
      <w:r w:rsidRPr="00C258AD">
        <w:rPr>
          <w:caps/>
          <w:sz w:val="22"/>
        </w:rPr>
        <w:br w:type="page"/>
      </w:r>
    </w:p>
    <w:p w:rsidR="00473433" w:rsidRPr="00C258AD" w:rsidRDefault="00473433" w:rsidP="006364A5">
      <w:pPr>
        <w:keepNext/>
        <w:tabs>
          <w:tab w:val="left" w:pos="2268"/>
        </w:tabs>
        <w:rPr>
          <w:caps/>
          <w:sz w:val="22"/>
          <w:szCs w:val="22"/>
        </w:rPr>
      </w:pPr>
      <w:r w:rsidRPr="00C258AD">
        <w:rPr>
          <w:caps/>
          <w:sz w:val="22"/>
        </w:rPr>
        <w:lastRenderedPageBreak/>
        <w:t>Données relatives à l’exécution</w:t>
      </w:r>
    </w:p>
    <w:p w:rsidR="00473433" w:rsidRPr="00C258AD" w:rsidRDefault="00473433" w:rsidP="006364A5">
      <w:pPr>
        <w:keepNext/>
        <w:autoSpaceDE w:val="0"/>
        <w:autoSpaceDN w:val="0"/>
        <w:adjustRightInd w:val="0"/>
        <w:rPr>
          <w:rFonts w:eastAsiaTheme="minorHAnsi"/>
        </w:rPr>
      </w:pPr>
    </w:p>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091"/>
        <w:gridCol w:w="1947"/>
        <w:gridCol w:w="1523"/>
        <w:gridCol w:w="2798"/>
        <w:gridCol w:w="1132"/>
      </w:tblGrid>
      <w:tr w:rsidR="00473433" w:rsidRPr="00C258AD" w:rsidTr="00473433">
        <w:trPr>
          <w:cantSplit/>
          <w:tblHeader/>
        </w:trPr>
        <w:tc>
          <w:tcPr>
            <w:tcW w:w="5000" w:type="pct"/>
            <w:gridSpan w:val="5"/>
            <w:tcBorders>
              <w:top w:val="single" w:sz="4" w:space="0" w:color="auto"/>
              <w:bottom w:val="single" w:sz="4" w:space="0" w:color="auto"/>
            </w:tcBorders>
            <w:shd w:val="clear" w:color="auto" w:fill="C6D9F1" w:themeFill="text2" w:themeFillTint="33"/>
            <w:vAlign w:val="center"/>
          </w:tcPr>
          <w:p w:rsidR="00473433" w:rsidRPr="00C258AD" w:rsidRDefault="00473433" w:rsidP="006364A5">
            <w:pPr>
              <w:keepNext/>
              <w:rPr>
                <w:b/>
                <w:bCs/>
                <w:sz w:val="16"/>
                <w:szCs w:val="16"/>
              </w:rPr>
            </w:pPr>
            <w:r w:rsidRPr="00C258AD">
              <w:rPr>
                <w:b/>
                <w:sz w:val="16"/>
              </w:rPr>
              <w:t xml:space="preserve">Résultat escompté : </w:t>
            </w:r>
            <w:r w:rsidRPr="00C258AD">
              <w:rPr>
                <w:sz w:val="16"/>
              </w:rPr>
              <w:t>III.2 Renforcement des capacités en matière de ressources humaines pour pouvoir répondre aux nombreuses exigences en ce qui concerne l’utilisation efficace de la propriété intellectuelle au service du développement dans les pays en développement, les PMA et les pays en transition</w:t>
            </w:r>
          </w:p>
        </w:tc>
      </w:tr>
      <w:tr w:rsidR="00473433" w:rsidRPr="00C258AD" w:rsidTr="00473433">
        <w:trPr>
          <w:cantSplit/>
          <w:tblHeader/>
        </w:trPr>
        <w:tc>
          <w:tcPr>
            <w:tcW w:w="1120" w:type="pct"/>
            <w:tcBorders>
              <w:top w:val="single" w:sz="4" w:space="0" w:color="auto"/>
            </w:tcBorders>
            <w:shd w:val="clear" w:color="auto" w:fill="auto"/>
            <w:vAlign w:val="center"/>
          </w:tcPr>
          <w:p w:rsidR="00473433" w:rsidRPr="00C258AD" w:rsidRDefault="00473433" w:rsidP="006364A5">
            <w:pPr>
              <w:jc w:val="center"/>
              <w:rPr>
                <w:sz w:val="16"/>
                <w:szCs w:val="16"/>
              </w:rPr>
            </w:pPr>
            <w:r w:rsidRPr="00C258AD">
              <w:rPr>
                <w:b/>
                <w:sz w:val="16"/>
              </w:rPr>
              <w:t>Indicateurs d’exécution</w:t>
            </w:r>
          </w:p>
        </w:tc>
        <w:tc>
          <w:tcPr>
            <w:tcW w:w="1044" w:type="pct"/>
            <w:tcBorders>
              <w:top w:val="single" w:sz="4" w:space="0" w:color="auto"/>
            </w:tcBorders>
            <w:shd w:val="clear" w:color="auto" w:fill="auto"/>
            <w:vAlign w:val="center"/>
          </w:tcPr>
          <w:p w:rsidR="00473433" w:rsidRPr="00C258AD" w:rsidRDefault="00473433" w:rsidP="006364A5">
            <w:pPr>
              <w:jc w:val="center"/>
              <w:rPr>
                <w:b/>
                <w:bCs/>
                <w:sz w:val="16"/>
                <w:szCs w:val="16"/>
              </w:rPr>
            </w:pPr>
            <w:r w:rsidRPr="00C258AD">
              <w:rPr>
                <w:b/>
                <w:sz w:val="16"/>
              </w:rPr>
              <w:t>Niveaux de référence</w:t>
            </w:r>
          </w:p>
        </w:tc>
        <w:tc>
          <w:tcPr>
            <w:tcW w:w="821" w:type="pct"/>
            <w:tcBorders>
              <w:top w:val="single" w:sz="4" w:space="0" w:color="auto"/>
            </w:tcBorders>
            <w:shd w:val="clear" w:color="auto" w:fill="auto"/>
            <w:tcMar>
              <w:top w:w="110" w:type="dxa"/>
            </w:tcMar>
            <w:vAlign w:val="center"/>
          </w:tcPr>
          <w:p w:rsidR="00473433" w:rsidRPr="00C258AD" w:rsidRDefault="00473433" w:rsidP="006364A5">
            <w:pPr>
              <w:jc w:val="center"/>
              <w:rPr>
                <w:b/>
                <w:sz w:val="16"/>
                <w:szCs w:val="16"/>
              </w:rPr>
            </w:pPr>
            <w:r w:rsidRPr="00C258AD">
              <w:rPr>
                <w:b/>
                <w:sz w:val="16"/>
              </w:rPr>
              <w:t>Objectifs visés</w:t>
            </w:r>
          </w:p>
        </w:tc>
        <w:tc>
          <w:tcPr>
            <w:tcW w:w="1492" w:type="pct"/>
            <w:tcBorders>
              <w:top w:val="single" w:sz="4" w:space="0" w:color="auto"/>
            </w:tcBorders>
            <w:shd w:val="clear" w:color="auto" w:fill="FFFFFF"/>
            <w:tcMar>
              <w:top w:w="110" w:type="dxa"/>
            </w:tcMar>
            <w:vAlign w:val="center"/>
          </w:tcPr>
          <w:p w:rsidR="00473433" w:rsidRPr="00C258AD" w:rsidRDefault="00473433" w:rsidP="006364A5">
            <w:pPr>
              <w:jc w:val="center"/>
              <w:rPr>
                <w:sz w:val="16"/>
                <w:szCs w:val="16"/>
              </w:rPr>
            </w:pPr>
            <w:r w:rsidRPr="00C258AD">
              <w:rPr>
                <w:b/>
                <w:sz w:val="16"/>
              </w:rPr>
              <w:t>Données relatives à l’exécution</w:t>
            </w:r>
          </w:p>
        </w:tc>
        <w:tc>
          <w:tcPr>
            <w:tcW w:w="523" w:type="pct"/>
            <w:tcBorders>
              <w:top w:val="single" w:sz="4" w:space="0" w:color="auto"/>
            </w:tcBorders>
            <w:shd w:val="clear" w:color="auto" w:fill="auto"/>
            <w:tcMar>
              <w:top w:w="110" w:type="dxa"/>
            </w:tcMar>
            <w:vAlign w:val="center"/>
          </w:tcPr>
          <w:p w:rsidR="00473433" w:rsidRPr="00C258AD" w:rsidRDefault="00473433" w:rsidP="006364A5">
            <w:pPr>
              <w:keepNext/>
              <w:keepLines/>
              <w:jc w:val="center"/>
              <w:rPr>
                <w:b/>
                <w:bCs/>
                <w:sz w:val="16"/>
                <w:szCs w:val="16"/>
              </w:rPr>
            </w:pPr>
            <w:r w:rsidRPr="00C258AD">
              <w:rPr>
                <w:b/>
                <w:sz w:val="16"/>
              </w:rPr>
              <w:t>Code de couleurs</w:t>
            </w:r>
          </w:p>
        </w:tc>
      </w:tr>
      <w:tr w:rsidR="00473433" w:rsidRPr="00C258AD" w:rsidTr="00473433">
        <w:trPr>
          <w:cantSplit/>
        </w:trPr>
        <w:tc>
          <w:tcPr>
            <w:tcW w:w="1120" w:type="pct"/>
            <w:shd w:val="clear" w:color="auto" w:fill="auto"/>
          </w:tcPr>
          <w:p w:rsidR="00473433" w:rsidRPr="00C258AD" w:rsidRDefault="00473433" w:rsidP="006364A5">
            <w:pPr>
              <w:rPr>
                <w:sz w:val="16"/>
                <w:szCs w:val="16"/>
              </w:rPr>
            </w:pPr>
            <w:r w:rsidRPr="00C258AD">
              <w:rPr>
                <w:sz w:val="16"/>
              </w:rPr>
              <w:t>Portefeuille révisé de cours de formation en matière de propriété intellectuelle à l’intention de pays en développement, de PMA et de pays à économie en transition/pertinence du contenu des cours de formation au regard des besoins de renforcement de capacités des pays en développement, des PMA et des pays à économie en transition</w:t>
            </w:r>
          </w:p>
        </w:tc>
        <w:tc>
          <w:tcPr>
            <w:tcW w:w="1044" w:type="pct"/>
            <w:shd w:val="clear" w:color="auto" w:fill="auto"/>
          </w:tcPr>
          <w:p w:rsidR="00473433" w:rsidRPr="00C258AD" w:rsidRDefault="00473433" w:rsidP="006364A5">
            <w:pPr>
              <w:rPr>
                <w:sz w:val="16"/>
                <w:szCs w:val="16"/>
              </w:rPr>
            </w:pPr>
            <w:r w:rsidRPr="00C258AD">
              <w:rPr>
                <w:sz w:val="16"/>
              </w:rPr>
              <w:t>Portefeuille non révisé à l’échelle mondiale depuis la création de l’Académie</w:t>
            </w:r>
          </w:p>
        </w:tc>
        <w:tc>
          <w:tcPr>
            <w:tcW w:w="821" w:type="pct"/>
            <w:shd w:val="clear" w:color="auto" w:fill="auto"/>
            <w:tcMar>
              <w:top w:w="110" w:type="dxa"/>
            </w:tcMar>
          </w:tcPr>
          <w:p w:rsidR="00473433" w:rsidRPr="00C258AD" w:rsidRDefault="00473433" w:rsidP="006364A5">
            <w:pPr>
              <w:autoSpaceDE w:val="0"/>
              <w:autoSpaceDN w:val="0"/>
              <w:adjustRightInd w:val="0"/>
              <w:rPr>
                <w:sz w:val="16"/>
                <w:szCs w:val="16"/>
              </w:rPr>
            </w:pPr>
            <w:r w:rsidRPr="00C258AD">
              <w:rPr>
                <w:sz w:val="16"/>
              </w:rPr>
              <w:t>Portefeuille révisé disponible avant la fin de l’exercice biennal</w:t>
            </w:r>
          </w:p>
        </w:tc>
        <w:tc>
          <w:tcPr>
            <w:tcW w:w="1492" w:type="pct"/>
            <w:shd w:val="clear" w:color="auto" w:fill="FFFFFF"/>
            <w:tcMar>
              <w:top w:w="110" w:type="dxa"/>
            </w:tcMar>
          </w:tcPr>
          <w:p w:rsidR="00473433" w:rsidRPr="00C258AD" w:rsidRDefault="00473433" w:rsidP="006364A5">
            <w:pPr>
              <w:rPr>
                <w:sz w:val="16"/>
                <w:szCs w:val="16"/>
              </w:rPr>
            </w:pPr>
            <w:r w:rsidRPr="00C258AD">
              <w:rPr>
                <w:sz w:val="16"/>
                <w:szCs w:val="16"/>
              </w:rPr>
              <w:t>La révision du portefeuille de cours de formation a été réalisée en 2015, en s’appuyant sur les conclusions de l’enquête sur les besoins de formation menée en 2015.</w:t>
            </w:r>
          </w:p>
        </w:tc>
        <w:tc>
          <w:tcPr>
            <w:tcW w:w="523" w:type="pct"/>
            <w:shd w:val="clear" w:color="auto" w:fill="auto"/>
            <w:tcMar>
              <w:top w:w="110" w:type="dxa"/>
            </w:tcMar>
          </w:tcPr>
          <w:p w:rsidR="00473433" w:rsidRPr="00C258AD" w:rsidRDefault="00473433" w:rsidP="006364A5">
            <w:pPr>
              <w:keepNext/>
              <w:keepLines/>
              <w:jc w:val="center"/>
              <w:rPr>
                <w:b/>
                <w:bCs/>
                <w:color w:val="808080"/>
                <w:sz w:val="16"/>
                <w:szCs w:val="16"/>
              </w:rPr>
            </w:pPr>
            <w:r w:rsidRPr="00C258AD">
              <w:rPr>
                <w:b/>
                <w:color w:val="00B050"/>
                <w:sz w:val="16"/>
              </w:rPr>
              <w:t>Objectif pleinement atteint</w:t>
            </w:r>
          </w:p>
        </w:tc>
      </w:tr>
      <w:tr w:rsidR="00473433" w:rsidRPr="00C258AD" w:rsidTr="00473433">
        <w:tc>
          <w:tcPr>
            <w:tcW w:w="1120" w:type="pct"/>
            <w:shd w:val="clear" w:color="auto" w:fill="auto"/>
          </w:tcPr>
          <w:p w:rsidR="00473433" w:rsidRPr="00C258AD" w:rsidRDefault="00473433" w:rsidP="006364A5">
            <w:pPr>
              <w:rPr>
                <w:sz w:val="16"/>
                <w:szCs w:val="16"/>
              </w:rPr>
            </w:pPr>
            <w:r w:rsidRPr="00C258AD">
              <w:rPr>
                <w:sz w:val="16"/>
              </w:rPr>
              <w:t>Accès amélioré et multilingue à l’apprentissage en ligne relatif à divers aspects de la propriété intellectuelle à l’intention des pays en développement, des PMA et des pays à économie en transition/pertinence du contenu du portefeuille de cours d’apprentissage en ligne au regard des besoins de renforcement de capacités des pays en développement, des PMA et des pays à économie en transition</w:t>
            </w:r>
          </w:p>
        </w:tc>
        <w:tc>
          <w:tcPr>
            <w:tcW w:w="1044" w:type="pct"/>
            <w:shd w:val="clear" w:color="auto" w:fill="auto"/>
          </w:tcPr>
          <w:p w:rsidR="00473433" w:rsidRPr="00C258AD" w:rsidRDefault="00473433" w:rsidP="006364A5">
            <w:pPr>
              <w:rPr>
                <w:i/>
                <w:color w:val="002060"/>
                <w:sz w:val="16"/>
              </w:rPr>
            </w:pPr>
            <w:r w:rsidRPr="00C258AD">
              <w:rPr>
                <w:i/>
                <w:color w:val="002060"/>
                <w:sz w:val="16"/>
              </w:rPr>
              <w:t>Niveau de référence actualisé à fin 2013 :</w:t>
            </w:r>
          </w:p>
          <w:p w:rsidR="00473433" w:rsidRPr="00C258AD" w:rsidRDefault="00473433" w:rsidP="006364A5">
            <w:pPr>
              <w:rPr>
                <w:color w:val="002060"/>
                <w:sz w:val="16"/>
                <w:szCs w:val="16"/>
              </w:rPr>
            </w:pPr>
            <w:r w:rsidRPr="00C258AD">
              <w:rPr>
                <w:color w:val="002060"/>
                <w:sz w:val="16"/>
              </w:rPr>
              <w:t>En 2013 :</w:t>
            </w:r>
          </w:p>
          <w:p w:rsidR="00473433" w:rsidRPr="00C258AD" w:rsidRDefault="00473433" w:rsidP="00DF2EEF">
            <w:pPr>
              <w:pStyle w:val="ListParagraph"/>
              <w:numPr>
                <w:ilvl w:val="0"/>
                <w:numId w:val="98"/>
              </w:numPr>
              <w:rPr>
                <w:color w:val="002060"/>
                <w:sz w:val="16"/>
                <w:szCs w:val="16"/>
              </w:rPr>
            </w:pPr>
            <w:r w:rsidRPr="00C258AD">
              <w:rPr>
                <w:color w:val="002060"/>
                <w:sz w:val="16"/>
              </w:rPr>
              <w:t>5 cours d’enseignement à distance étaient disponibles dans les 6 langues officielles des Nations Unies, plus le portugais;</w:t>
            </w:r>
          </w:p>
          <w:p w:rsidR="00473433" w:rsidRPr="00C258AD" w:rsidRDefault="00473433" w:rsidP="00DF2EEF">
            <w:pPr>
              <w:pStyle w:val="ListParagraph"/>
              <w:numPr>
                <w:ilvl w:val="0"/>
                <w:numId w:val="98"/>
              </w:numPr>
              <w:rPr>
                <w:color w:val="002060"/>
                <w:sz w:val="16"/>
                <w:szCs w:val="16"/>
              </w:rPr>
            </w:pPr>
            <w:r w:rsidRPr="00C258AD">
              <w:rPr>
                <w:color w:val="002060"/>
                <w:sz w:val="16"/>
              </w:rPr>
              <w:t>2 cours d’enseignement à distance étaient disponibles dans 5 langues officielles des Nations Unies, plus le portugais;</w:t>
            </w:r>
          </w:p>
          <w:p w:rsidR="00473433" w:rsidRPr="00C258AD" w:rsidRDefault="00473433" w:rsidP="00DF2EEF">
            <w:pPr>
              <w:pStyle w:val="ListParagraph"/>
              <w:numPr>
                <w:ilvl w:val="0"/>
                <w:numId w:val="98"/>
              </w:numPr>
              <w:rPr>
                <w:color w:val="002060"/>
                <w:sz w:val="16"/>
                <w:szCs w:val="16"/>
              </w:rPr>
            </w:pPr>
            <w:r w:rsidRPr="00C258AD">
              <w:rPr>
                <w:color w:val="002060"/>
                <w:sz w:val="16"/>
              </w:rPr>
              <w:t>1 cours d’enseignement à distance était disponible dans 4 langues officielles des Nations Unies, plus le portugais;  et</w:t>
            </w:r>
          </w:p>
          <w:p w:rsidR="00473433" w:rsidRPr="00C258AD" w:rsidRDefault="00473433" w:rsidP="00DF2EEF">
            <w:pPr>
              <w:pStyle w:val="ListParagraph"/>
              <w:numPr>
                <w:ilvl w:val="0"/>
                <w:numId w:val="98"/>
              </w:numPr>
              <w:rPr>
                <w:color w:val="002060"/>
                <w:sz w:val="16"/>
              </w:rPr>
            </w:pPr>
            <w:r w:rsidRPr="00C258AD">
              <w:rPr>
                <w:color w:val="002060"/>
                <w:sz w:val="16"/>
              </w:rPr>
              <w:t>4 cours d’enseignement à distance n’étaient disponibles qu’en anglais.</w:t>
            </w:r>
          </w:p>
          <w:p w:rsidR="00473433" w:rsidRPr="00C258AD" w:rsidRDefault="00473433" w:rsidP="006364A5">
            <w:pPr>
              <w:rPr>
                <w:sz w:val="16"/>
                <w:szCs w:val="16"/>
              </w:rPr>
            </w:pPr>
          </w:p>
          <w:p w:rsidR="00473433" w:rsidRPr="00C258AD" w:rsidRDefault="00473433" w:rsidP="006364A5">
            <w:pPr>
              <w:rPr>
                <w:sz w:val="16"/>
              </w:rPr>
            </w:pPr>
            <w:r w:rsidRPr="00C258AD">
              <w:rPr>
                <w:sz w:val="16"/>
              </w:rPr>
              <w:t>70% des participants aux cours avancés ont indiqué que leurs résultats professionnels ou universitaires s’étaient améliorés consécutivement à leur participation au cours d’enseignement à distance.</w:t>
            </w:r>
          </w:p>
          <w:p w:rsidR="00473433" w:rsidRPr="00C258AD" w:rsidRDefault="00473433" w:rsidP="006364A5">
            <w:pPr>
              <w:rPr>
                <w:sz w:val="16"/>
                <w:szCs w:val="16"/>
                <w:lang w:bidi="th-TH"/>
              </w:rPr>
            </w:pPr>
          </w:p>
          <w:p w:rsidR="00473433" w:rsidRPr="00C258AD" w:rsidRDefault="00473433" w:rsidP="006364A5">
            <w:pPr>
              <w:rPr>
                <w:i/>
                <w:sz w:val="16"/>
                <w:szCs w:val="16"/>
              </w:rPr>
            </w:pPr>
            <w:r w:rsidRPr="00C258AD">
              <w:rPr>
                <w:i/>
                <w:sz w:val="16"/>
                <w:szCs w:val="16"/>
              </w:rPr>
              <w:t>Niveau de référence initial dans le programme et budget 2014</w:t>
            </w:r>
            <w:r w:rsidRPr="00C258AD">
              <w:rPr>
                <w:i/>
                <w:sz w:val="16"/>
                <w:szCs w:val="16"/>
              </w:rPr>
              <w:noBreakHyphen/>
              <w:t xml:space="preserve">2015 : </w:t>
            </w:r>
            <w:r w:rsidRPr="00C258AD">
              <w:rPr>
                <w:sz w:val="16"/>
                <w:szCs w:val="16"/>
              </w:rPr>
              <w:lastRenderedPageBreak/>
              <w:t>Tous les cours ne sont pas disponibles dans toutes les langues</w:t>
            </w:r>
            <w:r w:rsidRPr="00C258AD">
              <w:rPr>
                <w:sz w:val="16"/>
              </w:rPr>
              <w:t xml:space="preserve">; </w:t>
            </w:r>
            <w:r w:rsidRPr="00C258AD">
              <w:rPr>
                <w:sz w:val="16"/>
                <w:szCs w:val="16"/>
              </w:rPr>
              <w:t xml:space="preserve"> seul le personnel de l’Académie est en train de réviser le contenu des cours et de façon ponctuelle.</w:t>
            </w:r>
          </w:p>
        </w:tc>
        <w:tc>
          <w:tcPr>
            <w:tcW w:w="821" w:type="pct"/>
            <w:shd w:val="clear" w:color="auto" w:fill="auto"/>
            <w:tcMar>
              <w:top w:w="110" w:type="dxa"/>
            </w:tcMar>
          </w:tcPr>
          <w:p w:rsidR="00473433" w:rsidRPr="00C258AD" w:rsidRDefault="00473433" w:rsidP="006364A5">
            <w:pPr>
              <w:autoSpaceDE w:val="0"/>
              <w:autoSpaceDN w:val="0"/>
              <w:adjustRightInd w:val="0"/>
              <w:rPr>
                <w:sz w:val="16"/>
                <w:szCs w:val="16"/>
              </w:rPr>
            </w:pPr>
            <w:r w:rsidRPr="00C258AD">
              <w:rPr>
                <w:sz w:val="16"/>
              </w:rPr>
              <w:lastRenderedPageBreak/>
              <w:t>Tous les cours disponibles dans toutes les langues officielles des Nations Unies</w:t>
            </w:r>
          </w:p>
        </w:tc>
        <w:tc>
          <w:tcPr>
            <w:tcW w:w="1492" w:type="pct"/>
            <w:shd w:val="clear" w:color="auto" w:fill="FFFFFF"/>
            <w:tcMar>
              <w:top w:w="110" w:type="dxa"/>
            </w:tcMar>
          </w:tcPr>
          <w:p w:rsidR="00473433" w:rsidRPr="00C258AD" w:rsidRDefault="00473433" w:rsidP="006364A5">
            <w:pPr>
              <w:rPr>
                <w:sz w:val="16"/>
                <w:szCs w:val="16"/>
              </w:rPr>
            </w:pPr>
            <w:r w:rsidRPr="00C258AD">
              <w:rPr>
                <w:sz w:val="16"/>
              </w:rPr>
              <w:t>En 2014</w:t>
            </w:r>
            <w:r w:rsidRPr="00C258AD">
              <w:rPr>
                <w:sz w:val="16"/>
              </w:rPr>
              <w:noBreakHyphen/>
              <w:t>2015 :</w:t>
            </w:r>
          </w:p>
          <w:p w:rsidR="00473433" w:rsidRPr="00C258AD" w:rsidRDefault="00473433" w:rsidP="00DF2EEF">
            <w:pPr>
              <w:pStyle w:val="ListParagraph"/>
              <w:numPr>
                <w:ilvl w:val="0"/>
                <w:numId w:val="97"/>
              </w:numPr>
              <w:rPr>
                <w:sz w:val="16"/>
                <w:szCs w:val="16"/>
              </w:rPr>
            </w:pPr>
            <w:r w:rsidRPr="00C258AD">
              <w:rPr>
                <w:sz w:val="16"/>
              </w:rPr>
              <w:t>11 cours d’enseignement à distance étaient disponibles dans les 6 langues officielles des Nations Unies, plus le portugais</w:t>
            </w:r>
          </w:p>
          <w:p w:rsidR="00473433" w:rsidRPr="00BB5DFE" w:rsidRDefault="00473433" w:rsidP="00BB5DFE">
            <w:pPr>
              <w:rPr>
                <w:sz w:val="16"/>
                <w:szCs w:val="16"/>
              </w:rPr>
            </w:pPr>
          </w:p>
          <w:p w:rsidR="00473433" w:rsidRPr="00C258AD" w:rsidRDefault="00473433" w:rsidP="00DF2EEF">
            <w:pPr>
              <w:pStyle w:val="ListParagraph"/>
              <w:numPr>
                <w:ilvl w:val="0"/>
                <w:numId w:val="97"/>
              </w:numPr>
              <w:rPr>
                <w:sz w:val="16"/>
                <w:szCs w:val="16"/>
              </w:rPr>
            </w:pPr>
            <w:r w:rsidRPr="00C258AD">
              <w:rPr>
                <w:sz w:val="16"/>
              </w:rPr>
              <w:t>1 cours d’enseignement à distance était disponible dans 3 langues officielles des Nations Unies</w:t>
            </w:r>
            <w:r w:rsidRPr="00C258AD">
              <w:rPr>
                <w:rStyle w:val="FootnoteReference"/>
                <w:rFonts w:eastAsia="SimSun"/>
                <w:sz w:val="16"/>
              </w:rPr>
              <w:footnoteReference w:id="79"/>
            </w:r>
            <w:r w:rsidRPr="00C258AD">
              <w:rPr>
                <w:sz w:val="16"/>
              </w:rPr>
              <w:t>.</w:t>
            </w:r>
          </w:p>
          <w:p w:rsidR="00473433" w:rsidRPr="00C258AD" w:rsidRDefault="00473433" w:rsidP="006364A5">
            <w:pPr>
              <w:rPr>
                <w:sz w:val="16"/>
                <w:szCs w:val="16"/>
              </w:rPr>
            </w:pPr>
          </w:p>
          <w:p w:rsidR="00473433" w:rsidRPr="00C258AD" w:rsidRDefault="00473433" w:rsidP="006364A5">
            <w:pPr>
              <w:rPr>
                <w:sz w:val="16"/>
                <w:szCs w:val="16"/>
              </w:rPr>
            </w:pPr>
          </w:p>
          <w:p w:rsidR="00473433" w:rsidRPr="00C258AD" w:rsidRDefault="00473433" w:rsidP="006364A5">
            <w:pPr>
              <w:tabs>
                <w:tab w:val="left" w:pos="365"/>
              </w:tabs>
              <w:rPr>
                <w:sz w:val="16"/>
              </w:rPr>
            </w:pPr>
            <w:r w:rsidRPr="00C258AD">
              <w:rPr>
                <w:sz w:val="16"/>
              </w:rPr>
              <w:t>79% des participants aux cours avancés ont indiqué que leurs résultats professionnels ou universitaires s’étaient améliorés consécutivement à leur participation au cours d’enseignement à distance.</w:t>
            </w:r>
          </w:p>
          <w:p w:rsidR="00473433" w:rsidRPr="00C258AD" w:rsidRDefault="00473433" w:rsidP="006364A5">
            <w:pPr>
              <w:tabs>
                <w:tab w:val="left" w:pos="365"/>
              </w:tabs>
              <w:rPr>
                <w:sz w:val="16"/>
              </w:rPr>
            </w:pPr>
            <w:r w:rsidRPr="00C258AD">
              <w:rPr>
                <w:sz w:val="16"/>
              </w:rPr>
              <w:noBreakHyphen/>
            </w:r>
            <w:r w:rsidRPr="00C258AD">
              <w:rPr>
                <w:sz w:val="16"/>
              </w:rPr>
              <w:tab/>
              <w:t>78% (2014)</w:t>
            </w:r>
          </w:p>
          <w:p w:rsidR="00473433" w:rsidRPr="00C258AD" w:rsidRDefault="00473433" w:rsidP="006364A5">
            <w:pPr>
              <w:tabs>
                <w:tab w:val="left" w:pos="365"/>
              </w:tabs>
              <w:rPr>
                <w:sz w:val="16"/>
                <w:szCs w:val="16"/>
              </w:rPr>
            </w:pPr>
            <w:r w:rsidRPr="00C258AD">
              <w:rPr>
                <w:sz w:val="16"/>
              </w:rPr>
              <w:noBreakHyphen/>
            </w:r>
            <w:r w:rsidRPr="00C258AD">
              <w:rPr>
                <w:sz w:val="16"/>
              </w:rPr>
              <w:tab/>
              <w:t>81% (2015)</w:t>
            </w:r>
          </w:p>
        </w:tc>
        <w:tc>
          <w:tcPr>
            <w:tcW w:w="523" w:type="pct"/>
            <w:shd w:val="clear" w:color="auto" w:fill="auto"/>
            <w:tcMar>
              <w:top w:w="110" w:type="dxa"/>
            </w:tcMar>
          </w:tcPr>
          <w:p w:rsidR="00473433" w:rsidRPr="00C258AD" w:rsidRDefault="00473433" w:rsidP="006364A5">
            <w:pPr>
              <w:jc w:val="center"/>
              <w:rPr>
                <w:b/>
                <w:bCs/>
                <w:color w:val="00B050"/>
                <w:sz w:val="16"/>
                <w:szCs w:val="16"/>
              </w:rPr>
            </w:pPr>
            <w:r w:rsidRPr="00C258AD">
              <w:rPr>
                <w:b/>
                <w:color w:val="00B050"/>
                <w:sz w:val="16"/>
              </w:rPr>
              <w:t>Objectif pleinement atteint</w:t>
            </w:r>
          </w:p>
        </w:tc>
      </w:tr>
      <w:tr w:rsidR="00473433" w:rsidRPr="00C258AD" w:rsidTr="00473433">
        <w:trPr>
          <w:cantSplit/>
        </w:trPr>
        <w:tc>
          <w:tcPr>
            <w:tcW w:w="1120" w:type="pct"/>
            <w:shd w:val="clear" w:color="auto" w:fill="auto"/>
          </w:tcPr>
          <w:p w:rsidR="00473433" w:rsidRPr="00C258AD" w:rsidRDefault="00473433" w:rsidP="006364A5">
            <w:pPr>
              <w:rPr>
                <w:sz w:val="16"/>
                <w:szCs w:val="16"/>
              </w:rPr>
            </w:pPr>
            <w:r w:rsidRPr="00C258AD">
              <w:rPr>
                <w:sz w:val="16"/>
              </w:rPr>
              <w:lastRenderedPageBreak/>
              <w:t xml:space="preserve">Accès amélioré à l’enseignement supérieur en matière de propriété intellectuelle dans les pays en développement, les PMA et les pays à économie en transition/nombre d’universités de pays en développement, de PMA et de pays à économie en transition qui proposent de nouveaux programmes d’enseignement en matière de propriété intellectuelle </w:t>
            </w:r>
          </w:p>
        </w:tc>
        <w:tc>
          <w:tcPr>
            <w:tcW w:w="1044" w:type="pct"/>
            <w:shd w:val="clear" w:color="auto" w:fill="auto"/>
          </w:tcPr>
          <w:p w:rsidR="00473433" w:rsidRPr="00C258AD" w:rsidRDefault="00473433" w:rsidP="006364A5">
            <w:pPr>
              <w:rPr>
                <w:sz w:val="16"/>
                <w:szCs w:val="16"/>
              </w:rPr>
            </w:pPr>
            <w:r w:rsidRPr="00C258AD">
              <w:rPr>
                <w:sz w:val="16"/>
              </w:rPr>
              <w:t>Un enseignement sur la propriété intellectuelle est actuellement proposé au niveau universitaire, dans un nombre limité de pays en développement, de PMA et de pays à économie en transition;  l’OMPI propose un programme au niveau mastère dispensé conjointement avec sept universités, dont deux en Afrique et une en Amérique latine.</w:t>
            </w:r>
          </w:p>
        </w:tc>
        <w:tc>
          <w:tcPr>
            <w:tcW w:w="821" w:type="pct"/>
            <w:shd w:val="clear" w:color="auto" w:fill="auto"/>
            <w:tcMar>
              <w:top w:w="110" w:type="dxa"/>
            </w:tcMar>
          </w:tcPr>
          <w:p w:rsidR="00473433" w:rsidRPr="00C258AD" w:rsidRDefault="00473433" w:rsidP="006364A5">
            <w:pPr>
              <w:autoSpaceDE w:val="0"/>
              <w:autoSpaceDN w:val="0"/>
              <w:adjustRightInd w:val="0"/>
              <w:rPr>
                <w:sz w:val="16"/>
                <w:szCs w:val="16"/>
              </w:rPr>
            </w:pPr>
            <w:r w:rsidRPr="00C258AD">
              <w:rPr>
                <w:sz w:val="16"/>
              </w:rPr>
              <w:t>5 universités dans des pays en développement, des PMA et des pays à économie en transition proposeront de nouveaux programmes sur la propriété intellectuelle avant la fin de l’exercice biennal.</w:t>
            </w:r>
          </w:p>
        </w:tc>
        <w:tc>
          <w:tcPr>
            <w:tcW w:w="1492" w:type="pct"/>
            <w:shd w:val="clear" w:color="auto" w:fill="FFFFFF"/>
            <w:tcMar>
              <w:top w:w="110" w:type="dxa"/>
            </w:tcMar>
          </w:tcPr>
          <w:p w:rsidR="00473433" w:rsidRPr="00C258AD" w:rsidRDefault="00473433" w:rsidP="006364A5">
            <w:pPr>
              <w:rPr>
                <w:sz w:val="16"/>
                <w:szCs w:val="16"/>
              </w:rPr>
            </w:pPr>
            <w:r w:rsidRPr="00C258AD">
              <w:rPr>
                <w:sz w:val="16"/>
                <w:szCs w:val="16"/>
                <w:lang w:bidi="th-TH"/>
              </w:rPr>
              <w:t>À la fin de 2015, trois nouveaux programmes d’enseignement étaient proposés</w:t>
            </w:r>
            <w:r w:rsidRPr="00C258AD">
              <w:rPr>
                <w:sz w:val="16"/>
              </w:rPr>
              <w:t> :</w:t>
            </w:r>
            <w:r w:rsidRPr="00C258AD">
              <w:rPr>
                <w:sz w:val="16"/>
                <w:szCs w:val="16"/>
              </w:rPr>
              <w:t xml:space="preserve"> un à l’Institut de Management du Bangladesh et deux à l’Université africaine.</w:t>
            </w:r>
          </w:p>
          <w:p w:rsidR="00473433" w:rsidRPr="00C258AD" w:rsidRDefault="00473433" w:rsidP="006364A5">
            <w:pPr>
              <w:rPr>
                <w:sz w:val="14"/>
                <w:szCs w:val="16"/>
              </w:rPr>
            </w:pPr>
          </w:p>
          <w:p w:rsidR="00473433" w:rsidRPr="00C258AD" w:rsidRDefault="00473433" w:rsidP="006364A5">
            <w:pPr>
              <w:rPr>
                <w:sz w:val="16"/>
                <w:szCs w:val="16"/>
              </w:rPr>
            </w:pPr>
            <w:r w:rsidRPr="00C258AD">
              <w:rPr>
                <w:sz w:val="16"/>
                <w:szCs w:val="16"/>
              </w:rPr>
              <w:t>En outre, cinq universités ont amélioré leurs programmes de propriété intellectuelle existants </w:t>
            </w:r>
            <w:r w:rsidRPr="00C258AD">
              <w:rPr>
                <w:sz w:val="16"/>
              </w:rPr>
              <w:t>:</w:t>
            </w:r>
          </w:p>
          <w:p w:rsidR="00473433" w:rsidRPr="00C258AD" w:rsidRDefault="00473433" w:rsidP="00DF2EEF">
            <w:pPr>
              <w:pStyle w:val="ListParagraph"/>
              <w:numPr>
                <w:ilvl w:val="0"/>
                <w:numId w:val="100"/>
              </w:numPr>
              <w:rPr>
                <w:sz w:val="16"/>
                <w:szCs w:val="16"/>
              </w:rPr>
            </w:pPr>
            <w:r w:rsidRPr="00C258AD">
              <w:rPr>
                <w:sz w:val="16"/>
                <w:szCs w:val="16"/>
              </w:rPr>
              <w:t>Université de Buenos Aires (Argentine)</w:t>
            </w:r>
          </w:p>
          <w:p w:rsidR="00473433" w:rsidRPr="00C258AD" w:rsidRDefault="00473433" w:rsidP="00DF2EEF">
            <w:pPr>
              <w:pStyle w:val="ListParagraph"/>
              <w:numPr>
                <w:ilvl w:val="0"/>
                <w:numId w:val="100"/>
              </w:numPr>
              <w:rPr>
                <w:sz w:val="16"/>
                <w:szCs w:val="16"/>
              </w:rPr>
            </w:pPr>
            <w:r w:rsidRPr="00C258AD">
              <w:rPr>
                <w:sz w:val="16"/>
                <w:szCs w:val="16"/>
              </w:rPr>
              <w:t>Université centrale du Venezuela</w:t>
            </w:r>
          </w:p>
          <w:p w:rsidR="00473433" w:rsidRPr="00C258AD" w:rsidRDefault="00473433" w:rsidP="00DF2EEF">
            <w:pPr>
              <w:pStyle w:val="ListParagraph"/>
              <w:numPr>
                <w:ilvl w:val="0"/>
                <w:numId w:val="100"/>
              </w:numPr>
              <w:rPr>
                <w:sz w:val="16"/>
                <w:szCs w:val="16"/>
              </w:rPr>
            </w:pPr>
            <w:r w:rsidRPr="00C258AD">
              <w:rPr>
                <w:sz w:val="16"/>
                <w:szCs w:val="16"/>
              </w:rPr>
              <w:t>Université d’Alicante (Espagne)</w:t>
            </w:r>
          </w:p>
          <w:p w:rsidR="00473433" w:rsidRPr="00C258AD" w:rsidRDefault="00473433" w:rsidP="00DF2EEF">
            <w:pPr>
              <w:pStyle w:val="ListParagraph"/>
              <w:numPr>
                <w:ilvl w:val="0"/>
                <w:numId w:val="100"/>
              </w:numPr>
              <w:rPr>
                <w:sz w:val="16"/>
                <w:szCs w:val="16"/>
              </w:rPr>
            </w:pPr>
            <w:r w:rsidRPr="00C258AD">
              <w:rPr>
                <w:sz w:val="16"/>
                <w:szCs w:val="16"/>
              </w:rPr>
              <w:t xml:space="preserve">2 universités en Indonésie (Université </w:t>
            </w:r>
            <w:proofErr w:type="spellStart"/>
            <w:r w:rsidRPr="00C258AD">
              <w:rPr>
                <w:sz w:val="16"/>
                <w:szCs w:val="16"/>
              </w:rPr>
              <w:t>Padjadjaran</w:t>
            </w:r>
            <w:proofErr w:type="spellEnd"/>
            <w:r w:rsidRPr="00C258AD">
              <w:rPr>
                <w:sz w:val="16"/>
                <w:szCs w:val="16"/>
              </w:rPr>
              <w:t xml:space="preserve"> et Université d’Indonésie)</w:t>
            </w:r>
          </w:p>
          <w:p w:rsidR="00473433" w:rsidRPr="00BB5DFE" w:rsidRDefault="00473433" w:rsidP="00BB5DFE">
            <w:pPr>
              <w:rPr>
                <w:sz w:val="14"/>
                <w:szCs w:val="16"/>
                <w:lang w:bidi="th-TH"/>
              </w:rPr>
            </w:pPr>
          </w:p>
          <w:p w:rsidR="00473433" w:rsidRPr="00C258AD" w:rsidRDefault="00473433" w:rsidP="006364A5">
            <w:pPr>
              <w:rPr>
                <w:sz w:val="16"/>
                <w:szCs w:val="16"/>
                <w:lang w:bidi="th-TH"/>
              </w:rPr>
            </w:pPr>
            <w:r w:rsidRPr="00C258AD">
              <w:rPr>
                <w:sz w:val="16"/>
                <w:szCs w:val="16"/>
                <w:lang w:bidi="th-TH"/>
              </w:rPr>
              <w:t>Deux universités ont mis en place ou amélioré des cours et programmes qui seront lancés en 2016 </w:t>
            </w:r>
            <w:r w:rsidRPr="00C258AD">
              <w:rPr>
                <w:sz w:val="16"/>
              </w:rPr>
              <w:t>:</w:t>
            </w:r>
          </w:p>
          <w:p w:rsidR="00473433" w:rsidRPr="00C258AD" w:rsidRDefault="00473433" w:rsidP="006364A5">
            <w:pPr>
              <w:ind w:left="475" w:hanging="475"/>
              <w:rPr>
                <w:sz w:val="16"/>
                <w:szCs w:val="16"/>
              </w:rPr>
            </w:pPr>
            <w:r w:rsidRPr="00C258AD">
              <w:rPr>
                <w:sz w:val="16"/>
                <w:szCs w:val="16"/>
                <w:lang w:bidi="th-TH"/>
              </w:rPr>
              <w:noBreakHyphen/>
            </w:r>
            <w:r w:rsidRPr="00C258AD">
              <w:rPr>
                <w:sz w:val="16"/>
                <w:szCs w:val="16"/>
                <w:lang w:bidi="th-TH"/>
              </w:rPr>
              <w:tab/>
              <w:t>campus Mona de l’Université des Antilles (Jamaïque), (nouvelle maîtrise en propriété intellectuelle dans les industries créatives et culturelles)</w:t>
            </w:r>
          </w:p>
          <w:p w:rsidR="00473433" w:rsidRPr="00C258AD" w:rsidRDefault="00473433" w:rsidP="006364A5">
            <w:pPr>
              <w:ind w:left="475" w:hanging="475"/>
              <w:rPr>
                <w:sz w:val="16"/>
                <w:szCs w:val="16"/>
              </w:rPr>
            </w:pPr>
            <w:r w:rsidRPr="00C258AD">
              <w:rPr>
                <w:sz w:val="16"/>
                <w:szCs w:val="16"/>
                <w:lang w:bidi="th-TH"/>
              </w:rPr>
              <w:noBreakHyphen/>
            </w:r>
            <w:r w:rsidRPr="00C258AD">
              <w:rPr>
                <w:sz w:val="16"/>
                <w:szCs w:val="16"/>
                <w:lang w:bidi="th-TH"/>
              </w:rPr>
              <w:tab/>
              <w:t>Université du Botswana, (Botswana) (nouveau cours sur le droit et la recherche en matière de propriété intellectuelle</w:t>
            </w:r>
            <w:r w:rsidRPr="00C258AD">
              <w:rPr>
                <w:sz w:val="16"/>
              </w:rPr>
              <w:t xml:space="preserve">; </w:t>
            </w:r>
            <w:r w:rsidRPr="00C258AD">
              <w:rPr>
                <w:sz w:val="16"/>
                <w:szCs w:val="16"/>
                <w:lang w:bidi="th-TH"/>
              </w:rPr>
              <w:t xml:space="preserve"> améliorations des cours de droit de la propriété intellectuelle (IP Law I et II))</w:t>
            </w:r>
          </w:p>
        </w:tc>
        <w:tc>
          <w:tcPr>
            <w:tcW w:w="523" w:type="pct"/>
            <w:shd w:val="clear" w:color="auto" w:fill="auto"/>
            <w:tcMar>
              <w:top w:w="110" w:type="dxa"/>
            </w:tcMar>
          </w:tcPr>
          <w:p w:rsidR="00473433" w:rsidRPr="00C258AD" w:rsidRDefault="00473433" w:rsidP="006364A5">
            <w:pPr>
              <w:keepNext/>
              <w:keepLines/>
              <w:jc w:val="center"/>
              <w:rPr>
                <w:bCs/>
                <w:color w:val="808080"/>
                <w:sz w:val="16"/>
                <w:szCs w:val="16"/>
              </w:rPr>
            </w:pPr>
            <w:r w:rsidRPr="00C258AD">
              <w:rPr>
                <w:b/>
                <w:bCs/>
                <w:color w:val="E26B0A"/>
                <w:sz w:val="16"/>
                <w:szCs w:val="16"/>
              </w:rPr>
              <w:t>Objectif partiellement atteint</w:t>
            </w:r>
          </w:p>
        </w:tc>
      </w:tr>
      <w:tr w:rsidR="00473433" w:rsidRPr="00C258AD" w:rsidTr="00473433">
        <w:trPr>
          <w:cantSplit/>
        </w:trPr>
        <w:tc>
          <w:tcPr>
            <w:tcW w:w="1120" w:type="pct"/>
            <w:shd w:val="clear" w:color="auto" w:fill="auto"/>
          </w:tcPr>
          <w:p w:rsidR="00473433" w:rsidRPr="00C258AD" w:rsidRDefault="00473433" w:rsidP="006364A5">
            <w:pPr>
              <w:rPr>
                <w:sz w:val="16"/>
                <w:szCs w:val="16"/>
              </w:rPr>
            </w:pPr>
            <w:r w:rsidRPr="00C258AD">
              <w:rPr>
                <w:sz w:val="16"/>
              </w:rPr>
              <w:t>Mise en place progressive d’un réseau d’experts en propriété intellectuelle dans les pays en développement, les PMA et les pays à économie en transition</w:t>
            </w:r>
          </w:p>
        </w:tc>
        <w:tc>
          <w:tcPr>
            <w:tcW w:w="1044" w:type="pct"/>
            <w:shd w:val="clear" w:color="auto" w:fill="auto"/>
          </w:tcPr>
          <w:p w:rsidR="00473433" w:rsidRPr="00C258AD" w:rsidRDefault="00473433" w:rsidP="006364A5">
            <w:pPr>
              <w:rPr>
                <w:color w:val="002060"/>
                <w:sz w:val="16"/>
              </w:rPr>
            </w:pPr>
            <w:r w:rsidRPr="00C258AD">
              <w:rPr>
                <w:i/>
                <w:color w:val="002060"/>
                <w:sz w:val="16"/>
              </w:rPr>
              <w:t xml:space="preserve">Niveau de référence actualisé à fin 2013 : </w:t>
            </w:r>
            <w:r w:rsidRPr="00C258AD">
              <w:rPr>
                <w:color w:val="002060"/>
                <w:sz w:val="16"/>
              </w:rPr>
              <w:t>326 universitaires issus de pays en développement, de PMA et de pays à économie en transition membres de l’ATRIP</w:t>
            </w:r>
          </w:p>
          <w:p w:rsidR="00473433" w:rsidRPr="00C258AD" w:rsidRDefault="00473433" w:rsidP="006364A5">
            <w:pPr>
              <w:rPr>
                <w:sz w:val="16"/>
                <w:szCs w:val="16"/>
              </w:rPr>
            </w:pPr>
          </w:p>
          <w:p w:rsidR="00473433" w:rsidRPr="00C258AD" w:rsidRDefault="00473433" w:rsidP="006364A5">
            <w:pPr>
              <w:rPr>
                <w:i/>
                <w:sz w:val="16"/>
                <w:szCs w:val="16"/>
              </w:rPr>
            </w:pPr>
            <w:r w:rsidRPr="00C258AD">
              <w:rPr>
                <w:i/>
                <w:sz w:val="16"/>
                <w:szCs w:val="16"/>
              </w:rPr>
              <w:t>Niveau de référence initial dans le programme et budget 2014</w:t>
            </w:r>
            <w:r w:rsidRPr="00C258AD">
              <w:rPr>
                <w:i/>
                <w:sz w:val="16"/>
                <w:szCs w:val="16"/>
              </w:rPr>
              <w:noBreakHyphen/>
              <w:t xml:space="preserve">2015 : </w:t>
            </w:r>
            <w:r w:rsidRPr="00C258AD">
              <w:rPr>
                <w:sz w:val="16"/>
              </w:rPr>
              <w:t>nombre d’universitaires originaires de pays en développement, de PMA et de pays à économie en transition membres de l’ATRIP</w:t>
            </w:r>
          </w:p>
        </w:tc>
        <w:tc>
          <w:tcPr>
            <w:tcW w:w="821" w:type="pct"/>
            <w:shd w:val="clear" w:color="auto" w:fill="auto"/>
            <w:tcMar>
              <w:top w:w="110" w:type="dxa"/>
            </w:tcMar>
          </w:tcPr>
          <w:p w:rsidR="00473433" w:rsidRPr="00C258AD" w:rsidRDefault="00473433" w:rsidP="006364A5">
            <w:pPr>
              <w:autoSpaceDE w:val="0"/>
              <w:autoSpaceDN w:val="0"/>
              <w:adjustRightInd w:val="0"/>
              <w:rPr>
                <w:sz w:val="16"/>
                <w:szCs w:val="16"/>
              </w:rPr>
            </w:pPr>
            <w:r w:rsidRPr="00C258AD">
              <w:rPr>
                <w:sz w:val="16"/>
              </w:rPr>
              <w:t>Augmentation de 15% par rapport au chiffre de référence</w:t>
            </w:r>
          </w:p>
        </w:tc>
        <w:tc>
          <w:tcPr>
            <w:tcW w:w="1492" w:type="pct"/>
            <w:shd w:val="clear" w:color="auto" w:fill="FFFFFF"/>
            <w:tcMar>
              <w:top w:w="110" w:type="dxa"/>
            </w:tcMar>
          </w:tcPr>
          <w:p w:rsidR="00473433" w:rsidRPr="00C258AD" w:rsidRDefault="00473433" w:rsidP="006364A5">
            <w:pPr>
              <w:rPr>
                <w:sz w:val="16"/>
                <w:szCs w:val="16"/>
              </w:rPr>
            </w:pPr>
            <w:r w:rsidRPr="00C258AD">
              <w:rPr>
                <w:sz w:val="16"/>
              </w:rPr>
              <w:t xml:space="preserve">397 universitaires issus de pays en développement, de PMA et de pays à économie en transition membres de l’ATRIP, comme indiqué par cette dernière </w:t>
            </w:r>
            <w:r w:rsidRPr="00C258AD">
              <w:rPr>
                <w:sz w:val="16"/>
                <w:szCs w:val="16"/>
                <w:lang w:bidi="th-TH"/>
              </w:rPr>
              <w:t>(augmentation de 22% par rapport à 2012</w:t>
            </w:r>
            <w:r w:rsidRPr="00C258AD">
              <w:rPr>
                <w:sz w:val="16"/>
                <w:szCs w:val="16"/>
                <w:lang w:bidi="th-TH"/>
              </w:rPr>
              <w:noBreakHyphen/>
              <w:t>2013)</w:t>
            </w:r>
          </w:p>
        </w:tc>
        <w:tc>
          <w:tcPr>
            <w:tcW w:w="523" w:type="pct"/>
            <w:shd w:val="clear" w:color="auto" w:fill="auto"/>
            <w:tcMar>
              <w:top w:w="110" w:type="dxa"/>
            </w:tcMar>
          </w:tcPr>
          <w:p w:rsidR="00473433" w:rsidRPr="00C258AD" w:rsidRDefault="00473433" w:rsidP="006364A5">
            <w:pPr>
              <w:keepNext/>
              <w:keepLines/>
              <w:jc w:val="center"/>
              <w:rPr>
                <w:b/>
                <w:bCs/>
                <w:color w:val="00B050"/>
                <w:sz w:val="16"/>
                <w:szCs w:val="16"/>
              </w:rPr>
            </w:pPr>
            <w:r w:rsidRPr="00C258AD">
              <w:rPr>
                <w:b/>
                <w:color w:val="00B050"/>
                <w:sz w:val="16"/>
              </w:rPr>
              <w:t>Objectif pleinement atteint</w:t>
            </w:r>
          </w:p>
        </w:tc>
      </w:tr>
      <w:tr w:rsidR="00473433" w:rsidRPr="00C258AD" w:rsidTr="00473433">
        <w:trPr>
          <w:cantSplit/>
        </w:trPr>
        <w:tc>
          <w:tcPr>
            <w:tcW w:w="1120" w:type="pct"/>
            <w:shd w:val="clear" w:color="auto" w:fill="auto"/>
          </w:tcPr>
          <w:p w:rsidR="00473433" w:rsidRPr="00C258AD" w:rsidRDefault="00473433" w:rsidP="006364A5">
            <w:pPr>
              <w:rPr>
                <w:sz w:val="16"/>
                <w:szCs w:val="16"/>
              </w:rPr>
            </w:pPr>
            <w:r w:rsidRPr="00C258AD">
              <w:rPr>
                <w:sz w:val="16"/>
              </w:rPr>
              <w:lastRenderedPageBreak/>
              <w:t>Nombre de projets de création de nouvelles académies amorcés après la conclusion de la phase pilote</w:t>
            </w:r>
          </w:p>
        </w:tc>
        <w:tc>
          <w:tcPr>
            <w:tcW w:w="1044" w:type="pct"/>
            <w:shd w:val="clear" w:color="auto" w:fill="auto"/>
          </w:tcPr>
          <w:p w:rsidR="00473433" w:rsidRPr="00C258AD" w:rsidRDefault="00473433" w:rsidP="006364A5">
            <w:pPr>
              <w:rPr>
                <w:color w:val="002060"/>
                <w:sz w:val="16"/>
                <w:szCs w:val="16"/>
              </w:rPr>
            </w:pPr>
            <w:r w:rsidRPr="00C258AD">
              <w:rPr>
                <w:i/>
                <w:color w:val="002060"/>
                <w:sz w:val="16"/>
              </w:rPr>
              <w:t>Niveau de référence actualisé fin 2013 :</w:t>
            </w:r>
            <w:r w:rsidRPr="00C258AD">
              <w:rPr>
                <w:color w:val="002060"/>
                <w:sz w:val="16"/>
              </w:rPr>
              <w:t xml:space="preserve"> </w:t>
            </w:r>
            <w:r w:rsidRPr="00C258AD">
              <w:rPr>
                <w:color w:val="002060"/>
                <w:sz w:val="16"/>
              </w:rPr>
              <w:br/>
              <w:t>la phase II de la phase pilote du projet n’était pas achevée fin 2013.</w:t>
            </w:r>
          </w:p>
          <w:p w:rsidR="00473433" w:rsidRPr="00C258AD" w:rsidRDefault="00473433" w:rsidP="006364A5">
            <w:pPr>
              <w:rPr>
                <w:sz w:val="16"/>
                <w:szCs w:val="16"/>
              </w:rPr>
            </w:pPr>
          </w:p>
          <w:p w:rsidR="00473433" w:rsidRPr="00C258AD" w:rsidRDefault="00473433" w:rsidP="006364A5">
            <w:pPr>
              <w:rPr>
                <w:i/>
                <w:sz w:val="16"/>
                <w:szCs w:val="16"/>
              </w:rPr>
            </w:pPr>
            <w:r w:rsidRPr="00C258AD">
              <w:rPr>
                <w:i/>
                <w:sz w:val="16"/>
                <w:szCs w:val="16"/>
              </w:rPr>
              <w:t>Niveau de référence initial dans le programme et budget 2014</w:t>
            </w:r>
            <w:r w:rsidRPr="00C258AD">
              <w:rPr>
                <w:i/>
                <w:sz w:val="16"/>
                <w:szCs w:val="16"/>
              </w:rPr>
              <w:noBreakHyphen/>
              <w:t xml:space="preserve">2015 : </w:t>
            </w:r>
            <w:r w:rsidRPr="00C258AD">
              <w:rPr>
                <w:sz w:val="16"/>
              </w:rPr>
              <w:t>0</w:t>
            </w:r>
          </w:p>
        </w:tc>
        <w:tc>
          <w:tcPr>
            <w:tcW w:w="821" w:type="pct"/>
            <w:shd w:val="clear" w:color="auto" w:fill="auto"/>
            <w:tcMar>
              <w:top w:w="110" w:type="dxa"/>
            </w:tcMar>
          </w:tcPr>
          <w:p w:rsidR="00473433" w:rsidRPr="00C258AD" w:rsidRDefault="00473433" w:rsidP="006364A5">
            <w:pPr>
              <w:autoSpaceDE w:val="0"/>
              <w:autoSpaceDN w:val="0"/>
              <w:adjustRightInd w:val="0"/>
              <w:rPr>
                <w:sz w:val="16"/>
                <w:szCs w:val="16"/>
              </w:rPr>
            </w:pPr>
            <w:r w:rsidRPr="00C258AD">
              <w:rPr>
                <w:sz w:val="16"/>
              </w:rPr>
              <w:t>4</w:t>
            </w:r>
          </w:p>
        </w:tc>
        <w:tc>
          <w:tcPr>
            <w:tcW w:w="1492" w:type="pct"/>
            <w:shd w:val="clear" w:color="auto" w:fill="FFFFFF"/>
            <w:tcMar>
              <w:top w:w="110" w:type="dxa"/>
            </w:tcMar>
          </w:tcPr>
          <w:p w:rsidR="00473433" w:rsidRPr="00C258AD" w:rsidRDefault="00473433" w:rsidP="006364A5">
            <w:pPr>
              <w:rPr>
                <w:sz w:val="16"/>
                <w:szCs w:val="16"/>
              </w:rPr>
            </w:pPr>
            <w:r w:rsidRPr="00C258AD">
              <w:rPr>
                <w:sz w:val="16"/>
              </w:rPr>
              <w:t>7 nouveaux accords signés (Azerbaïdjan, Cambodge, Costa Rica, El Salvador, Équateur, Géorgie et Turquie)</w:t>
            </w:r>
          </w:p>
        </w:tc>
        <w:tc>
          <w:tcPr>
            <w:tcW w:w="523" w:type="pct"/>
            <w:shd w:val="clear" w:color="auto" w:fill="auto"/>
            <w:tcMar>
              <w:top w:w="110" w:type="dxa"/>
            </w:tcMar>
          </w:tcPr>
          <w:p w:rsidR="00473433" w:rsidRPr="00C258AD" w:rsidRDefault="00473433" w:rsidP="006364A5">
            <w:pPr>
              <w:keepNext/>
              <w:keepLines/>
              <w:jc w:val="center"/>
              <w:rPr>
                <w:b/>
                <w:bCs/>
                <w:color w:val="00B050"/>
                <w:sz w:val="16"/>
                <w:szCs w:val="16"/>
              </w:rPr>
            </w:pPr>
            <w:r w:rsidRPr="00C258AD">
              <w:rPr>
                <w:b/>
                <w:color w:val="00B050"/>
                <w:sz w:val="16"/>
              </w:rPr>
              <w:t>Objectif pleinement atteint</w:t>
            </w:r>
          </w:p>
        </w:tc>
      </w:tr>
    </w:tbl>
    <w:p w:rsidR="00473433" w:rsidRPr="00C258AD" w:rsidRDefault="00473433" w:rsidP="006364A5">
      <w:pPr>
        <w:autoSpaceDE w:val="0"/>
        <w:autoSpaceDN w:val="0"/>
        <w:adjustRightInd w:val="0"/>
        <w:rPr>
          <w:rFonts w:eastAsiaTheme="minorHAnsi"/>
          <w:color w:val="000000"/>
        </w:rPr>
      </w:pPr>
    </w:p>
    <w:p w:rsidR="00473433" w:rsidRPr="00C258AD" w:rsidRDefault="00473433" w:rsidP="006364A5">
      <w:pPr>
        <w:rPr>
          <w:color w:val="000000"/>
          <w:sz w:val="22"/>
          <w:szCs w:val="22"/>
        </w:rPr>
      </w:pPr>
    </w:p>
    <w:p w:rsidR="00473433" w:rsidRPr="00C258AD" w:rsidRDefault="00473433" w:rsidP="00473433">
      <w:pPr>
        <w:rPr>
          <w:caps/>
          <w:sz w:val="22"/>
        </w:rPr>
      </w:pPr>
      <w:r w:rsidRPr="00C258AD">
        <w:rPr>
          <w:caps/>
          <w:sz w:val="22"/>
        </w:rPr>
        <w:t>Rapport d’évaluation des risques pour l’exercice biennal</w:t>
      </w:r>
    </w:p>
    <w:p w:rsidR="00473433" w:rsidRPr="00C258AD" w:rsidRDefault="00473433" w:rsidP="006364A5"/>
    <w:tbl>
      <w:tblPr>
        <w:tblW w:w="5000" w:type="pct"/>
        <w:tblInd w:w="108" w:type="dxa"/>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1E0" w:firstRow="1" w:lastRow="1" w:firstColumn="1" w:lastColumn="1" w:noHBand="0" w:noVBand="0"/>
      </w:tblPr>
      <w:tblGrid>
        <w:gridCol w:w="2466"/>
        <w:gridCol w:w="2241"/>
        <w:gridCol w:w="2353"/>
        <w:gridCol w:w="2471"/>
      </w:tblGrid>
      <w:tr w:rsidR="00473433" w:rsidRPr="00C258AD" w:rsidTr="006364A5">
        <w:trPr>
          <w:cantSplit/>
        </w:trPr>
        <w:tc>
          <w:tcPr>
            <w:tcW w:w="2420" w:type="dxa"/>
            <w:tcBorders>
              <w:top w:val="single" w:sz="4" w:space="0" w:color="auto"/>
              <w:left w:val="single" w:sz="4" w:space="0" w:color="auto"/>
              <w:bottom w:val="single" w:sz="4" w:space="0" w:color="auto"/>
              <w:right w:val="nil"/>
            </w:tcBorders>
            <w:shd w:val="clear" w:color="auto" w:fill="C6D9F1" w:themeFill="text2" w:themeFillTint="33"/>
            <w:tcMar>
              <w:top w:w="113" w:type="dxa"/>
              <w:left w:w="108" w:type="dxa"/>
              <w:bottom w:w="113" w:type="dxa"/>
              <w:right w:w="108" w:type="dxa"/>
            </w:tcMar>
            <w:vAlign w:val="center"/>
            <w:hideMark/>
          </w:tcPr>
          <w:p w:rsidR="00473433" w:rsidRPr="00C258AD" w:rsidRDefault="00473433" w:rsidP="006364A5">
            <w:pPr>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200" w:type="dxa"/>
            <w:tcBorders>
              <w:top w:val="single" w:sz="4" w:space="0" w:color="auto"/>
              <w:left w:val="nil"/>
              <w:bottom w:val="single" w:sz="4" w:space="0" w:color="auto"/>
              <w:right w:val="nil"/>
            </w:tcBorders>
            <w:shd w:val="clear" w:color="auto" w:fill="C6D9F1" w:themeFill="text2" w:themeFillTint="33"/>
            <w:tcMar>
              <w:top w:w="113" w:type="dxa"/>
              <w:left w:w="108" w:type="dxa"/>
              <w:bottom w:w="113" w:type="dxa"/>
              <w:right w:w="108" w:type="dxa"/>
            </w:tcMar>
            <w:vAlign w:val="center"/>
            <w:hideMark/>
          </w:tcPr>
          <w:p w:rsidR="00473433" w:rsidRPr="00C258AD" w:rsidRDefault="00473433" w:rsidP="006364A5">
            <w:pPr>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10" w:type="dxa"/>
            <w:tcBorders>
              <w:top w:val="single" w:sz="4" w:space="0" w:color="auto"/>
              <w:left w:val="nil"/>
              <w:bottom w:val="single" w:sz="4" w:space="0" w:color="auto"/>
              <w:right w:val="nil"/>
            </w:tcBorders>
            <w:shd w:val="clear" w:color="auto" w:fill="C6D9F1" w:themeFill="text2" w:themeFillTint="33"/>
            <w:vAlign w:val="center"/>
            <w:hideMark/>
          </w:tcPr>
          <w:p w:rsidR="00473433" w:rsidRPr="00C258AD" w:rsidRDefault="00473433" w:rsidP="006364A5">
            <w:pPr>
              <w:autoSpaceDE w:val="0"/>
              <w:autoSpaceDN w:val="0"/>
              <w:adjustRightInd w:val="0"/>
              <w:ind w:right="-59"/>
              <w:jc w:val="center"/>
              <w:rPr>
                <w:b/>
                <w:bCs/>
                <w:iCs/>
                <w:sz w:val="16"/>
                <w:szCs w:val="16"/>
              </w:rPr>
            </w:pPr>
            <w:r w:rsidRPr="00C258AD">
              <w:rPr>
                <w:b/>
                <w:bCs/>
                <w:iCs/>
                <w:sz w:val="16"/>
                <w:szCs w:val="16"/>
              </w:rPr>
              <w:t>Évolution des risques et des stratégies d’atténuation durant l’exercice biennal</w:t>
            </w:r>
          </w:p>
        </w:tc>
        <w:tc>
          <w:tcPr>
            <w:tcW w:w="2426"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473433" w:rsidRPr="00C258AD" w:rsidRDefault="00473433" w:rsidP="006364A5">
            <w:pPr>
              <w:autoSpaceDE w:val="0"/>
              <w:autoSpaceDN w:val="0"/>
              <w:adjustRightInd w:val="0"/>
              <w:jc w:val="center"/>
              <w:rPr>
                <w:b/>
                <w:bCs/>
                <w:iCs/>
                <w:sz w:val="16"/>
                <w:szCs w:val="16"/>
              </w:rPr>
            </w:pPr>
            <w:r w:rsidRPr="00C258AD">
              <w:rPr>
                <w:b/>
                <w:bCs/>
                <w:iCs/>
                <w:sz w:val="16"/>
                <w:szCs w:val="16"/>
              </w:rPr>
              <w:t>Incidence sur les résultats du programme</w:t>
            </w:r>
          </w:p>
        </w:tc>
      </w:tr>
      <w:tr w:rsidR="00473433" w:rsidRPr="00C258AD" w:rsidTr="006364A5">
        <w:trPr>
          <w:cantSplit/>
        </w:trPr>
        <w:tc>
          <w:tcPr>
            <w:tcW w:w="2420" w:type="dxa"/>
            <w:tcBorders>
              <w:top w:val="single" w:sz="4" w:space="0" w:color="auto"/>
              <w:left w:val="single" w:sz="4" w:space="0" w:color="auto"/>
              <w:bottom w:val="single" w:sz="4" w:space="0" w:color="auto"/>
              <w:right w:val="nil"/>
            </w:tcBorders>
            <w:tcMar>
              <w:top w:w="113" w:type="dxa"/>
              <w:left w:w="108" w:type="dxa"/>
              <w:bottom w:w="113" w:type="dxa"/>
              <w:right w:w="108" w:type="dxa"/>
            </w:tcMar>
            <w:hideMark/>
          </w:tcPr>
          <w:p w:rsidR="00473433" w:rsidRPr="00C258AD" w:rsidRDefault="00473433" w:rsidP="006364A5">
            <w:pPr>
              <w:keepNext/>
              <w:keepLines/>
              <w:tabs>
                <w:tab w:val="left" w:pos="1170"/>
              </w:tabs>
              <w:rPr>
                <w:sz w:val="16"/>
                <w:szCs w:val="16"/>
              </w:rPr>
            </w:pPr>
            <w:r w:rsidRPr="00C258AD">
              <w:rPr>
                <w:sz w:val="16"/>
                <w:szCs w:val="16"/>
              </w:rPr>
              <w:t>Sous l’effet de l’évolution rapide de la technologie et du contexte de la propriété intellectuelle, les attentes et préférences des utilisateurs, elles aussi, évoluent rapidement.  Les interfaces, les graphiques et la plateforme informatique des cours d’apprentissage à distance peuvent devenir périmés, et les informations en matière de propriété intellectuelle contenues dans les différents programmes de formation de l’Académie pourraient être mal adaptées face aux nouveaux défis et à l’évolution mondiale.</w:t>
            </w:r>
          </w:p>
        </w:tc>
        <w:tc>
          <w:tcPr>
            <w:tcW w:w="2200" w:type="dxa"/>
            <w:tcBorders>
              <w:top w:val="single" w:sz="4" w:space="0" w:color="auto"/>
              <w:left w:val="nil"/>
              <w:bottom w:val="single" w:sz="4" w:space="0" w:color="auto"/>
              <w:right w:val="nil"/>
            </w:tcBorders>
            <w:tcMar>
              <w:top w:w="113" w:type="dxa"/>
              <w:left w:w="108" w:type="dxa"/>
              <w:bottom w:w="113" w:type="dxa"/>
              <w:right w:w="108" w:type="dxa"/>
            </w:tcMar>
            <w:hideMark/>
          </w:tcPr>
          <w:p w:rsidR="00473433" w:rsidRPr="00C258AD" w:rsidRDefault="00473433" w:rsidP="006364A5">
            <w:pPr>
              <w:keepNext/>
              <w:keepLines/>
              <w:autoSpaceDE w:val="0"/>
              <w:autoSpaceDN w:val="0"/>
              <w:adjustRightInd w:val="0"/>
              <w:ind w:right="-59"/>
              <w:rPr>
                <w:sz w:val="16"/>
                <w:szCs w:val="16"/>
              </w:rPr>
            </w:pPr>
            <w:r w:rsidRPr="00C258AD">
              <w:rPr>
                <w:sz w:val="16"/>
                <w:szCs w:val="16"/>
              </w:rPr>
              <w:t xml:space="preserve">Les commentaires des étudiants et formateurs des cours d’apprentissage à distance continueront d’être sollicités, et, compte tenu des conseils avisés d’experts en propriété intellectuelle, des mises à jour des plateformes utilisées ou des informations en matière de propriété intellectuelle seront effectuées.  </w:t>
            </w:r>
          </w:p>
        </w:tc>
        <w:tc>
          <w:tcPr>
            <w:tcW w:w="2310" w:type="dxa"/>
            <w:tcBorders>
              <w:top w:val="single" w:sz="4" w:space="0" w:color="auto"/>
              <w:left w:val="nil"/>
              <w:bottom w:val="single" w:sz="4" w:space="0" w:color="auto"/>
              <w:right w:val="nil"/>
            </w:tcBorders>
          </w:tcPr>
          <w:p w:rsidR="00473433" w:rsidRPr="00C258AD" w:rsidRDefault="00473433" w:rsidP="006364A5">
            <w:pPr>
              <w:keepNext/>
              <w:keepLines/>
              <w:autoSpaceDE w:val="0"/>
              <w:autoSpaceDN w:val="0"/>
              <w:adjustRightInd w:val="0"/>
              <w:ind w:right="-59"/>
              <w:rPr>
                <w:sz w:val="16"/>
                <w:szCs w:val="16"/>
              </w:rPr>
            </w:pPr>
            <w:r w:rsidRPr="00C258AD">
              <w:rPr>
                <w:sz w:val="16"/>
                <w:szCs w:val="16"/>
              </w:rPr>
              <w:t>Le Centre de formation en ligne de l’OMPI a été mis à niveau en 2015.</w:t>
            </w:r>
          </w:p>
          <w:p w:rsidR="00473433" w:rsidRPr="00C258AD" w:rsidRDefault="00473433" w:rsidP="006364A5">
            <w:pPr>
              <w:keepNext/>
              <w:keepLines/>
              <w:autoSpaceDE w:val="0"/>
              <w:autoSpaceDN w:val="0"/>
              <w:adjustRightInd w:val="0"/>
              <w:ind w:right="-59"/>
              <w:rPr>
                <w:sz w:val="16"/>
                <w:szCs w:val="16"/>
              </w:rPr>
            </w:pPr>
          </w:p>
          <w:p w:rsidR="00473433" w:rsidRPr="00C258AD" w:rsidRDefault="00473433" w:rsidP="006364A5">
            <w:pPr>
              <w:keepNext/>
              <w:keepLines/>
              <w:autoSpaceDE w:val="0"/>
              <w:autoSpaceDN w:val="0"/>
              <w:adjustRightInd w:val="0"/>
              <w:ind w:right="-59"/>
              <w:rPr>
                <w:sz w:val="16"/>
                <w:szCs w:val="16"/>
              </w:rPr>
            </w:pPr>
            <w:r w:rsidRPr="00C258AD">
              <w:rPr>
                <w:sz w:val="16"/>
                <w:szCs w:val="16"/>
              </w:rPr>
              <w:t>Pour rester pertinents et d’actualité, les cours d’enseignement en ligne doivent respecter le plan pour une approche plus systématique du processus de révision annuelle des cours.</w:t>
            </w:r>
          </w:p>
        </w:tc>
        <w:tc>
          <w:tcPr>
            <w:tcW w:w="2426" w:type="dxa"/>
            <w:tcBorders>
              <w:top w:val="single" w:sz="4" w:space="0" w:color="auto"/>
              <w:left w:val="nil"/>
              <w:bottom w:val="single" w:sz="4" w:space="0" w:color="auto"/>
              <w:right w:val="single" w:sz="4" w:space="0" w:color="auto"/>
            </w:tcBorders>
          </w:tcPr>
          <w:p w:rsidR="00473433" w:rsidRPr="00C258AD" w:rsidRDefault="00473433" w:rsidP="006364A5">
            <w:pPr>
              <w:autoSpaceDE w:val="0"/>
              <w:autoSpaceDN w:val="0"/>
              <w:adjustRightInd w:val="0"/>
              <w:ind w:right="-59"/>
              <w:rPr>
                <w:sz w:val="16"/>
                <w:szCs w:val="16"/>
              </w:rPr>
            </w:pPr>
            <w:r w:rsidRPr="00C258AD">
              <w:rPr>
                <w:sz w:val="16"/>
                <w:szCs w:val="16"/>
              </w:rPr>
              <w:t>Ce risque et son évolution n’ont pas eu d’incidence concrète sur les résultats du programme en 2014</w:t>
            </w:r>
            <w:r w:rsidRPr="00C258AD">
              <w:rPr>
                <w:sz w:val="16"/>
                <w:szCs w:val="16"/>
              </w:rPr>
              <w:noBreakHyphen/>
              <w:t>2015.</w:t>
            </w:r>
          </w:p>
          <w:p w:rsidR="00473433" w:rsidRPr="00C258AD" w:rsidRDefault="00473433" w:rsidP="006364A5">
            <w:pPr>
              <w:keepNext/>
              <w:keepLines/>
              <w:autoSpaceDE w:val="0"/>
              <w:autoSpaceDN w:val="0"/>
              <w:adjustRightInd w:val="0"/>
              <w:ind w:right="-59"/>
              <w:rPr>
                <w:sz w:val="16"/>
                <w:szCs w:val="16"/>
              </w:rPr>
            </w:pPr>
          </w:p>
        </w:tc>
      </w:tr>
    </w:tbl>
    <w:p w:rsidR="00473433" w:rsidRPr="00C258AD" w:rsidRDefault="00473433" w:rsidP="006364A5"/>
    <w:p w:rsidR="00473433" w:rsidRPr="00C258AD" w:rsidRDefault="00473433" w:rsidP="006364A5">
      <w:pPr>
        <w:rPr>
          <w:color w:val="000000"/>
        </w:rPr>
      </w:pPr>
    </w:p>
    <w:p w:rsidR="00473433" w:rsidRPr="00C258AD" w:rsidRDefault="00473433" w:rsidP="00473433">
      <w:pPr>
        <w:rPr>
          <w:caps/>
          <w:sz w:val="22"/>
        </w:rPr>
      </w:pPr>
      <w:r w:rsidRPr="00C258AD">
        <w:rPr>
          <w:caps/>
          <w:sz w:val="22"/>
        </w:rPr>
        <w:t>Utilisation des ressources</w:t>
      </w:r>
    </w:p>
    <w:p w:rsidR="00473433" w:rsidRPr="00C258AD" w:rsidRDefault="00473433" w:rsidP="006364A5">
      <w:pPr>
        <w:keepNext/>
        <w:jc w:val="center"/>
      </w:pPr>
    </w:p>
    <w:p w:rsidR="00473433" w:rsidRPr="00C258AD" w:rsidRDefault="00473433" w:rsidP="006364A5">
      <w:pPr>
        <w:pStyle w:val="NormalWeb"/>
        <w:keepNext/>
        <w:spacing w:before="0" w:beforeAutospacing="0" w:after="0" w:afterAutospacing="0"/>
        <w:jc w:val="center"/>
        <w:rPr>
          <w:sz w:val="20"/>
          <w:szCs w:val="20"/>
        </w:rPr>
      </w:pPr>
      <w:r w:rsidRPr="00C258AD">
        <w:rPr>
          <w:sz w:val="20"/>
        </w:rPr>
        <w:t>Budget et dépenses effectives (par résultat)</w:t>
      </w:r>
    </w:p>
    <w:p w:rsidR="00473433" w:rsidRPr="00C258AD" w:rsidRDefault="00473433" w:rsidP="006364A5">
      <w:pPr>
        <w:pStyle w:val="NormalWeb"/>
        <w:keepNext/>
        <w:spacing w:before="0" w:beforeAutospacing="0" w:after="0" w:afterAutospacing="0"/>
        <w:jc w:val="center"/>
        <w:rPr>
          <w:i/>
          <w:iCs/>
          <w:sz w:val="20"/>
          <w:szCs w:val="20"/>
        </w:rPr>
      </w:pPr>
      <w:r w:rsidRPr="00C258AD">
        <w:rPr>
          <w:i/>
          <w:sz w:val="20"/>
        </w:rPr>
        <w:t>(</w:t>
      </w:r>
      <w:proofErr w:type="gramStart"/>
      <w:r w:rsidRPr="00C258AD">
        <w:rPr>
          <w:i/>
          <w:sz w:val="20"/>
        </w:rPr>
        <w:t>en</w:t>
      </w:r>
      <w:proofErr w:type="gramEnd"/>
      <w:r w:rsidRPr="00C258AD">
        <w:rPr>
          <w:i/>
          <w:sz w:val="20"/>
        </w:rPr>
        <w:t xml:space="preserve"> milliers de francs suisses)</w:t>
      </w:r>
    </w:p>
    <w:p w:rsidR="00473433" w:rsidRPr="00C258AD" w:rsidRDefault="00473433" w:rsidP="006364A5">
      <w:pPr>
        <w:keepNext/>
        <w:jc w:val="both"/>
      </w:pPr>
    </w:p>
    <w:tbl>
      <w:tblPr>
        <w:tblW w:w="5000" w:type="pct"/>
        <w:tblInd w:w="55" w:type="dxa"/>
        <w:tblCellMar>
          <w:top w:w="113" w:type="dxa"/>
          <w:left w:w="70" w:type="dxa"/>
          <w:bottom w:w="113" w:type="dxa"/>
          <w:right w:w="70" w:type="dxa"/>
        </w:tblCellMar>
        <w:tblLook w:val="04A0" w:firstRow="1" w:lastRow="0" w:firstColumn="1" w:lastColumn="0" w:noHBand="0" w:noVBand="1"/>
      </w:tblPr>
      <w:tblGrid>
        <w:gridCol w:w="518"/>
        <w:gridCol w:w="4711"/>
        <w:gridCol w:w="1422"/>
        <w:gridCol w:w="1422"/>
        <w:gridCol w:w="1422"/>
      </w:tblGrid>
      <w:tr w:rsidR="00473433" w:rsidRPr="00C258AD" w:rsidTr="006364A5">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6D9F1" w:themeFill="text2" w:themeFillTint="33"/>
            <w:noWrap/>
            <w:vAlign w:val="center"/>
            <w:hideMark/>
          </w:tcPr>
          <w:p w:rsidR="00473433" w:rsidRPr="00C258AD" w:rsidRDefault="00473433" w:rsidP="006364A5">
            <w:pPr>
              <w:keepNext/>
              <w:jc w:val="center"/>
              <w:rPr>
                <w:i/>
                <w:iCs/>
                <w:sz w:val="16"/>
                <w:szCs w:val="16"/>
              </w:rPr>
            </w:pPr>
            <w:r w:rsidRPr="00C258AD">
              <w:rPr>
                <w:i/>
                <w:sz w:val="16"/>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473433" w:rsidRPr="00C258AD" w:rsidRDefault="00473433" w:rsidP="006364A5">
            <w:pPr>
              <w:keepNext/>
              <w:jc w:val="center"/>
              <w:rPr>
                <w:i/>
                <w:iCs/>
                <w:sz w:val="16"/>
                <w:szCs w:val="16"/>
              </w:rPr>
            </w:pPr>
            <w:r w:rsidRPr="00C258AD">
              <w:rPr>
                <w:i/>
                <w:sz w:val="16"/>
              </w:rPr>
              <w:t>Budget</w:t>
            </w:r>
            <w:r w:rsidRPr="00C258AD">
              <w:rPr>
                <w:i/>
                <w:iCs/>
                <w:sz w:val="16"/>
                <w:szCs w:val="16"/>
              </w:rPr>
              <w:br/>
            </w:r>
            <w:r w:rsidRPr="00C258AD">
              <w:rPr>
                <w:i/>
                <w:sz w:val="16"/>
              </w:rPr>
              <w:t>2014</w:t>
            </w:r>
            <w:r w:rsidRPr="00C258AD">
              <w:rPr>
                <w:i/>
                <w:sz w:val="16"/>
              </w:rPr>
              <w:noBreakHyphen/>
              <w:t>2015 approuvé</w:t>
            </w:r>
          </w:p>
        </w:tc>
        <w:tc>
          <w:tcPr>
            <w:tcW w:w="136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473433" w:rsidRPr="00C258AD" w:rsidRDefault="00473433" w:rsidP="006364A5">
            <w:pPr>
              <w:keepNext/>
              <w:jc w:val="center"/>
              <w:rPr>
                <w:i/>
                <w:iCs/>
                <w:sz w:val="16"/>
                <w:szCs w:val="16"/>
              </w:rPr>
            </w:pPr>
            <w:r w:rsidRPr="00C258AD">
              <w:rPr>
                <w:i/>
                <w:sz w:val="16"/>
              </w:rPr>
              <w:t>Budget final</w:t>
            </w:r>
            <w:r w:rsidRPr="00C258AD">
              <w:rPr>
                <w:i/>
                <w:iCs/>
                <w:sz w:val="16"/>
                <w:szCs w:val="16"/>
              </w:rPr>
              <w:br/>
            </w:r>
            <w:r w:rsidRPr="00C258AD">
              <w:rPr>
                <w:i/>
                <w:sz w:val="16"/>
              </w:rPr>
              <w:t>2014</w:t>
            </w:r>
            <w:r w:rsidRPr="00C258AD">
              <w:rPr>
                <w:i/>
                <w:sz w:val="16"/>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6D9F1" w:themeFill="text2" w:themeFillTint="33"/>
            <w:vAlign w:val="center"/>
            <w:hideMark/>
          </w:tcPr>
          <w:p w:rsidR="00473433" w:rsidRPr="00C258AD" w:rsidRDefault="00473433" w:rsidP="006364A5">
            <w:pPr>
              <w:keepNext/>
              <w:jc w:val="center"/>
              <w:rPr>
                <w:i/>
                <w:iCs/>
                <w:sz w:val="16"/>
                <w:szCs w:val="16"/>
              </w:rPr>
            </w:pPr>
            <w:r w:rsidRPr="00C258AD">
              <w:rPr>
                <w:i/>
                <w:sz w:val="16"/>
              </w:rPr>
              <w:t>Dépenses</w:t>
            </w:r>
            <w:r w:rsidRPr="00C258AD">
              <w:rPr>
                <w:i/>
                <w:iCs/>
                <w:sz w:val="16"/>
                <w:szCs w:val="16"/>
              </w:rPr>
              <w:br/>
            </w:r>
            <w:r w:rsidRPr="00C258AD">
              <w:rPr>
                <w:i/>
                <w:sz w:val="16"/>
              </w:rPr>
              <w:t>2014</w:t>
            </w:r>
            <w:r w:rsidRPr="00C258AD">
              <w:rPr>
                <w:i/>
                <w:sz w:val="16"/>
              </w:rPr>
              <w:noBreakHyphen/>
              <w:t>2015</w:t>
            </w:r>
          </w:p>
        </w:tc>
      </w:tr>
      <w:tr w:rsidR="00473433" w:rsidRPr="00C258AD" w:rsidTr="006364A5">
        <w:trPr>
          <w:cantSplit/>
        </w:trPr>
        <w:tc>
          <w:tcPr>
            <w:tcW w:w="495" w:type="dxa"/>
            <w:tcBorders>
              <w:top w:val="nil"/>
              <w:left w:val="single" w:sz="4" w:space="0" w:color="auto"/>
              <w:bottom w:val="nil"/>
              <w:right w:val="nil"/>
            </w:tcBorders>
            <w:shd w:val="clear" w:color="auto" w:fill="auto"/>
            <w:noWrap/>
            <w:vAlign w:val="center"/>
            <w:hideMark/>
          </w:tcPr>
          <w:p w:rsidR="00473433" w:rsidRPr="00C258AD" w:rsidRDefault="00473433" w:rsidP="006364A5">
            <w:pPr>
              <w:rPr>
                <w:sz w:val="16"/>
                <w:szCs w:val="16"/>
              </w:rPr>
            </w:pPr>
            <w:r w:rsidRPr="00C258AD">
              <w:rPr>
                <w:sz w:val="16"/>
              </w:rPr>
              <w:t>III.2</w:t>
            </w:r>
          </w:p>
        </w:tc>
        <w:tc>
          <w:tcPr>
            <w:tcW w:w="4505" w:type="dxa"/>
            <w:tcBorders>
              <w:top w:val="nil"/>
              <w:left w:val="nil"/>
              <w:bottom w:val="nil"/>
              <w:right w:val="nil"/>
            </w:tcBorders>
            <w:shd w:val="clear" w:color="auto" w:fill="auto"/>
            <w:vAlign w:val="center"/>
            <w:hideMark/>
          </w:tcPr>
          <w:p w:rsidR="00473433" w:rsidRPr="00C258AD" w:rsidRDefault="00473433" w:rsidP="006364A5">
            <w:pPr>
              <w:rPr>
                <w:sz w:val="16"/>
                <w:szCs w:val="16"/>
              </w:rPr>
            </w:pPr>
            <w:r w:rsidRPr="00C258AD">
              <w:rPr>
                <w:sz w:val="16"/>
              </w:rPr>
              <w:t>Renforcement des capacités en matière de ressources humaines pour pouvoir répondre aux nombreuses exigences en ce qui concerne l’utilisation efficace de la propriété intellectuelle au service du développement dans les pays en développement, les PMA et les pays en transition</w:t>
            </w:r>
          </w:p>
        </w:tc>
        <w:tc>
          <w:tcPr>
            <w:tcW w:w="1360" w:type="dxa"/>
            <w:tcBorders>
              <w:top w:val="nil"/>
              <w:left w:val="nil"/>
              <w:bottom w:val="nil"/>
              <w:right w:val="nil"/>
            </w:tcBorders>
            <w:shd w:val="clear" w:color="auto" w:fill="auto"/>
            <w:vAlign w:val="center"/>
            <w:hideMark/>
          </w:tcPr>
          <w:p w:rsidR="00473433" w:rsidRPr="00C258AD" w:rsidRDefault="00473433" w:rsidP="006364A5">
            <w:pPr>
              <w:jc w:val="right"/>
              <w:rPr>
                <w:sz w:val="16"/>
                <w:szCs w:val="16"/>
              </w:rPr>
            </w:pPr>
            <w:r w:rsidRPr="00C258AD">
              <w:rPr>
                <w:sz w:val="16"/>
              </w:rPr>
              <w:t>11 883</w:t>
            </w:r>
          </w:p>
        </w:tc>
        <w:tc>
          <w:tcPr>
            <w:tcW w:w="1360" w:type="dxa"/>
            <w:tcBorders>
              <w:top w:val="nil"/>
              <w:left w:val="nil"/>
              <w:bottom w:val="nil"/>
              <w:right w:val="nil"/>
            </w:tcBorders>
            <w:shd w:val="clear" w:color="auto" w:fill="auto"/>
            <w:vAlign w:val="center"/>
            <w:hideMark/>
          </w:tcPr>
          <w:p w:rsidR="00473433" w:rsidRPr="00C258AD" w:rsidRDefault="00473433" w:rsidP="006364A5">
            <w:pPr>
              <w:jc w:val="right"/>
              <w:rPr>
                <w:sz w:val="16"/>
                <w:szCs w:val="16"/>
              </w:rPr>
            </w:pPr>
            <w:r w:rsidRPr="00C258AD">
              <w:rPr>
                <w:sz w:val="16"/>
              </w:rPr>
              <w:t>11 714</w:t>
            </w:r>
          </w:p>
        </w:tc>
        <w:tc>
          <w:tcPr>
            <w:tcW w:w="1360" w:type="dxa"/>
            <w:tcBorders>
              <w:top w:val="nil"/>
              <w:left w:val="nil"/>
              <w:bottom w:val="nil"/>
              <w:right w:val="single" w:sz="4" w:space="0" w:color="auto"/>
            </w:tcBorders>
            <w:shd w:val="clear" w:color="auto" w:fill="auto"/>
            <w:vAlign w:val="center"/>
            <w:hideMark/>
          </w:tcPr>
          <w:p w:rsidR="00473433" w:rsidRPr="00C258AD" w:rsidRDefault="00473433" w:rsidP="006364A5">
            <w:pPr>
              <w:jc w:val="right"/>
              <w:rPr>
                <w:sz w:val="16"/>
                <w:szCs w:val="16"/>
              </w:rPr>
            </w:pPr>
            <w:r w:rsidRPr="00C258AD">
              <w:rPr>
                <w:sz w:val="16"/>
                <w:szCs w:val="16"/>
              </w:rPr>
              <w:t>11 845</w:t>
            </w:r>
          </w:p>
        </w:tc>
      </w:tr>
      <w:tr w:rsidR="00473433" w:rsidRPr="00C258AD" w:rsidTr="006364A5">
        <w:trPr>
          <w:cantSplit/>
        </w:trPr>
        <w:tc>
          <w:tcPr>
            <w:tcW w:w="495" w:type="dxa"/>
            <w:tcBorders>
              <w:top w:val="single" w:sz="4" w:space="0" w:color="auto"/>
              <w:left w:val="single" w:sz="4" w:space="0" w:color="auto"/>
              <w:bottom w:val="single" w:sz="4" w:space="0" w:color="auto"/>
              <w:right w:val="nil"/>
            </w:tcBorders>
            <w:shd w:val="clear" w:color="auto" w:fill="C6D9F1" w:themeFill="text2" w:themeFillTint="33"/>
            <w:noWrap/>
            <w:vAlign w:val="bottom"/>
            <w:hideMark/>
          </w:tcPr>
          <w:p w:rsidR="00473433" w:rsidRPr="00C258AD" w:rsidRDefault="00473433" w:rsidP="006364A5">
            <w:pPr>
              <w:rPr>
                <w:sz w:val="16"/>
                <w:szCs w:val="16"/>
              </w:rPr>
            </w:pPr>
            <w:r w:rsidRPr="00C258AD">
              <w:rPr>
                <w:sz w:val="16"/>
              </w:rPr>
              <w:t> </w:t>
            </w:r>
          </w:p>
        </w:tc>
        <w:tc>
          <w:tcPr>
            <w:tcW w:w="4505"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473433" w:rsidRPr="00C258AD" w:rsidRDefault="00473433" w:rsidP="006364A5">
            <w:pPr>
              <w:rPr>
                <w:b/>
                <w:bCs/>
                <w:sz w:val="16"/>
                <w:szCs w:val="16"/>
              </w:rPr>
            </w:pPr>
            <w:r w:rsidRPr="00C258AD">
              <w:rPr>
                <w:b/>
                <w:sz w:val="16"/>
              </w:rPr>
              <w:t>Total</w:t>
            </w:r>
          </w:p>
        </w:tc>
        <w:tc>
          <w:tcPr>
            <w:tcW w:w="13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473433" w:rsidRPr="00C258AD" w:rsidRDefault="00473433" w:rsidP="006364A5">
            <w:pPr>
              <w:jc w:val="right"/>
              <w:rPr>
                <w:b/>
                <w:bCs/>
                <w:sz w:val="16"/>
                <w:szCs w:val="16"/>
              </w:rPr>
            </w:pPr>
            <w:r w:rsidRPr="00C258AD">
              <w:rPr>
                <w:b/>
                <w:sz w:val="16"/>
              </w:rPr>
              <w:t>11 883</w:t>
            </w:r>
          </w:p>
        </w:tc>
        <w:tc>
          <w:tcPr>
            <w:tcW w:w="13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473433" w:rsidRPr="00C258AD" w:rsidRDefault="00473433" w:rsidP="006364A5">
            <w:pPr>
              <w:jc w:val="right"/>
              <w:rPr>
                <w:b/>
                <w:bCs/>
                <w:sz w:val="16"/>
                <w:szCs w:val="16"/>
              </w:rPr>
            </w:pPr>
            <w:r w:rsidRPr="00C258AD">
              <w:rPr>
                <w:b/>
                <w:sz w:val="16"/>
              </w:rPr>
              <w:t>11 714</w:t>
            </w:r>
          </w:p>
        </w:tc>
        <w:tc>
          <w:tcPr>
            <w:tcW w:w="1360"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473433" w:rsidRPr="00C258AD" w:rsidRDefault="00473433" w:rsidP="006364A5">
            <w:pPr>
              <w:jc w:val="right"/>
              <w:rPr>
                <w:b/>
                <w:bCs/>
                <w:sz w:val="16"/>
                <w:szCs w:val="16"/>
              </w:rPr>
            </w:pPr>
            <w:r w:rsidRPr="00C258AD">
              <w:rPr>
                <w:b/>
                <w:sz w:val="16"/>
              </w:rPr>
              <w:t>11 845</w:t>
            </w:r>
          </w:p>
        </w:tc>
      </w:tr>
    </w:tbl>
    <w:p w:rsidR="00473433" w:rsidRPr="00C258AD" w:rsidRDefault="00473433" w:rsidP="006364A5"/>
    <w:p w:rsidR="00473433" w:rsidRPr="00C258AD" w:rsidRDefault="00473433" w:rsidP="006364A5"/>
    <w:p w:rsidR="00473433" w:rsidRPr="00C258AD" w:rsidRDefault="00473433" w:rsidP="006364A5">
      <w:pPr>
        <w:pStyle w:val="NormalWeb"/>
        <w:keepNext/>
        <w:keepLines/>
        <w:spacing w:before="0" w:beforeAutospacing="0" w:after="0" w:afterAutospacing="0"/>
        <w:jc w:val="center"/>
        <w:rPr>
          <w:sz w:val="20"/>
          <w:szCs w:val="20"/>
        </w:rPr>
      </w:pPr>
      <w:r w:rsidRPr="00C258AD">
        <w:rPr>
          <w:sz w:val="20"/>
        </w:rPr>
        <w:lastRenderedPageBreak/>
        <w:t xml:space="preserve">Budget et dépenses effectives (dépenses de </w:t>
      </w:r>
      <w:proofErr w:type="gramStart"/>
      <w:r w:rsidRPr="00C258AD">
        <w:rPr>
          <w:sz w:val="20"/>
        </w:rPr>
        <w:t>personnel et autres dépenses</w:t>
      </w:r>
      <w:proofErr w:type="gramEnd"/>
      <w:r w:rsidRPr="00C258AD">
        <w:rPr>
          <w:sz w:val="20"/>
        </w:rPr>
        <w:t>)</w:t>
      </w:r>
    </w:p>
    <w:p w:rsidR="00473433" w:rsidRPr="00C258AD" w:rsidRDefault="00473433" w:rsidP="006364A5">
      <w:pPr>
        <w:pStyle w:val="NormalWeb"/>
        <w:keepNext/>
        <w:keepLines/>
        <w:spacing w:before="0" w:beforeAutospacing="0" w:after="0" w:afterAutospacing="0"/>
        <w:jc w:val="center"/>
        <w:rPr>
          <w:i/>
          <w:iCs/>
          <w:sz w:val="20"/>
          <w:szCs w:val="20"/>
        </w:rPr>
      </w:pPr>
      <w:r w:rsidRPr="00C258AD">
        <w:rPr>
          <w:i/>
          <w:sz w:val="20"/>
        </w:rPr>
        <w:t>(</w:t>
      </w:r>
      <w:proofErr w:type="gramStart"/>
      <w:r w:rsidRPr="00C258AD">
        <w:rPr>
          <w:i/>
          <w:sz w:val="20"/>
        </w:rPr>
        <w:t>en</w:t>
      </w:r>
      <w:proofErr w:type="gramEnd"/>
      <w:r w:rsidRPr="00C258AD">
        <w:rPr>
          <w:i/>
          <w:sz w:val="20"/>
        </w:rPr>
        <w:t xml:space="preserve"> milliers de francs suisses)</w:t>
      </w:r>
    </w:p>
    <w:p w:rsidR="00473433" w:rsidRPr="00C258AD" w:rsidRDefault="00473433" w:rsidP="006364A5">
      <w:pPr>
        <w:keepNext/>
      </w:pPr>
    </w:p>
    <w:tbl>
      <w:tblPr>
        <w:tblW w:w="5000" w:type="pct"/>
        <w:tblInd w:w="55" w:type="dxa"/>
        <w:tblCellMar>
          <w:top w:w="113" w:type="dxa"/>
          <w:left w:w="70" w:type="dxa"/>
          <w:bottom w:w="113" w:type="dxa"/>
          <w:right w:w="70" w:type="dxa"/>
        </w:tblCellMar>
        <w:tblLook w:val="04A0" w:firstRow="1" w:lastRow="0" w:firstColumn="1" w:lastColumn="0" w:noHBand="0" w:noVBand="1"/>
      </w:tblPr>
      <w:tblGrid>
        <w:gridCol w:w="2511"/>
        <w:gridCol w:w="1746"/>
        <w:gridCol w:w="1746"/>
        <w:gridCol w:w="1746"/>
        <w:gridCol w:w="1746"/>
      </w:tblGrid>
      <w:tr w:rsidR="00473433" w:rsidRPr="00C258AD" w:rsidTr="006364A5">
        <w:trPr>
          <w:cantSplit/>
        </w:trPr>
        <w:tc>
          <w:tcPr>
            <w:tcW w:w="2511"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473433" w:rsidRPr="00C258AD" w:rsidRDefault="00473433" w:rsidP="006364A5">
            <w:pPr>
              <w:rPr>
                <w:color w:val="000000"/>
                <w:sz w:val="16"/>
                <w:szCs w:val="18"/>
              </w:rPr>
            </w:pPr>
            <w:r w:rsidRPr="00C258AD">
              <w:rPr>
                <w:color w:val="000000"/>
                <w:sz w:val="16"/>
              </w:rPr>
              <w:t> </w:t>
            </w:r>
          </w:p>
        </w:tc>
        <w:tc>
          <w:tcPr>
            <w:tcW w:w="1746" w:type="dxa"/>
            <w:tcBorders>
              <w:top w:val="single" w:sz="4" w:space="0" w:color="auto"/>
              <w:left w:val="nil"/>
              <w:bottom w:val="nil"/>
              <w:right w:val="single" w:sz="4" w:space="0" w:color="auto"/>
            </w:tcBorders>
            <w:shd w:val="clear" w:color="auto" w:fill="C6D9F1" w:themeFill="text2" w:themeFillTint="33"/>
            <w:vAlign w:val="center"/>
            <w:hideMark/>
          </w:tcPr>
          <w:p w:rsidR="00473433" w:rsidRPr="00C258AD" w:rsidRDefault="00473433" w:rsidP="006364A5">
            <w:pPr>
              <w:jc w:val="center"/>
              <w:rPr>
                <w:b/>
                <w:bCs/>
                <w:color w:val="000000"/>
                <w:sz w:val="16"/>
                <w:szCs w:val="18"/>
              </w:rPr>
            </w:pPr>
            <w:r w:rsidRPr="00C258AD">
              <w:rPr>
                <w:b/>
                <w:color w:val="000000"/>
                <w:sz w:val="16"/>
              </w:rPr>
              <w:t>Budget 2014</w:t>
            </w:r>
            <w:r w:rsidRPr="00C258AD">
              <w:rPr>
                <w:b/>
                <w:color w:val="000000"/>
                <w:sz w:val="16"/>
              </w:rPr>
              <w:noBreakHyphen/>
              <w:t>2015 approuvé</w:t>
            </w:r>
          </w:p>
        </w:tc>
        <w:tc>
          <w:tcPr>
            <w:tcW w:w="1746" w:type="dxa"/>
            <w:tcBorders>
              <w:top w:val="single" w:sz="4" w:space="0" w:color="auto"/>
              <w:left w:val="nil"/>
              <w:bottom w:val="nil"/>
              <w:right w:val="single" w:sz="4" w:space="0" w:color="auto"/>
            </w:tcBorders>
            <w:shd w:val="clear" w:color="auto" w:fill="C6D9F1" w:themeFill="text2" w:themeFillTint="33"/>
            <w:vAlign w:val="center"/>
            <w:hideMark/>
          </w:tcPr>
          <w:p w:rsidR="00473433" w:rsidRPr="00C258AD" w:rsidRDefault="00473433" w:rsidP="006364A5">
            <w:pPr>
              <w:jc w:val="center"/>
              <w:rPr>
                <w:b/>
                <w:bCs/>
                <w:color w:val="000000"/>
                <w:sz w:val="16"/>
                <w:szCs w:val="18"/>
              </w:rPr>
            </w:pPr>
            <w:r w:rsidRPr="00C258AD">
              <w:rPr>
                <w:b/>
                <w:color w:val="000000"/>
                <w:sz w:val="16"/>
              </w:rPr>
              <w:t>Budget final 2014</w:t>
            </w:r>
            <w:r w:rsidRPr="00C258AD">
              <w:rPr>
                <w:b/>
                <w:color w:val="000000"/>
                <w:sz w:val="16"/>
              </w:rPr>
              <w:noBreakHyphen/>
              <w:t>2015</w:t>
            </w:r>
            <w:r w:rsidRPr="00C258AD">
              <w:rPr>
                <w:b/>
                <w:bCs/>
                <w:color w:val="000000"/>
                <w:sz w:val="16"/>
                <w:szCs w:val="18"/>
              </w:rPr>
              <w:br/>
            </w:r>
            <w:r w:rsidRPr="00C258AD">
              <w:rPr>
                <w:b/>
                <w:color w:val="000000"/>
                <w:sz w:val="16"/>
              </w:rPr>
              <w:t>après virements</w:t>
            </w:r>
          </w:p>
        </w:tc>
        <w:tc>
          <w:tcPr>
            <w:tcW w:w="1746" w:type="dxa"/>
            <w:tcBorders>
              <w:top w:val="single" w:sz="4" w:space="0" w:color="auto"/>
              <w:left w:val="nil"/>
              <w:bottom w:val="nil"/>
              <w:right w:val="single" w:sz="4" w:space="0" w:color="auto"/>
            </w:tcBorders>
            <w:shd w:val="clear" w:color="auto" w:fill="C6D9F1" w:themeFill="text2" w:themeFillTint="33"/>
            <w:vAlign w:val="center"/>
            <w:hideMark/>
          </w:tcPr>
          <w:p w:rsidR="00473433" w:rsidRPr="00C258AD" w:rsidRDefault="00473433" w:rsidP="006364A5">
            <w:pPr>
              <w:jc w:val="center"/>
              <w:rPr>
                <w:b/>
                <w:bCs/>
                <w:color w:val="000000"/>
                <w:sz w:val="16"/>
                <w:szCs w:val="18"/>
              </w:rPr>
            </w:pPr>
            <w:r w:rsidRPr="00C258AD">
              <w:rPr>
                <w:b/>
                <w:color w:val="000000"/>
                <w:sz w:val="16"/>
              </w:rPr>
              <w:t xml:space="preserve">Dépenses </w:t>
            </w:r>
            <w:r w:rsidRPr="00C258AD">
              <w:rPr>
                <w:b/>
                <w:color w:val="000000"/>
                <w:sz w:val="16"/>
              </w:rPr>
              <w:br/>
              <w:t>2014</w:t>
            </w:r>
            <w:r w:rsidRPr="00C258AD">
              <w:rPr>
                <w:b/>
                <w:color w:val="000000"/>
                <w:sz w:val="16"/>
              </w:rPr>
              <w:noBreakHyphen/>
              <w:t>2015</w:t>
            </w:r>
          </w:p>
        </w:tc>
        <w:tc>
          <w:tcPr>
            <w:tcW w:w="1746" w:type="dxa"/>
            <w:tcBorders>
              <w:top w:val="single" w:sz="4" w:space="0" w:color="auto"/>
              <w:left w:val="nil"/>
              <w:bottom w:val="nil"/>
              <w:right w:val="single" w:sz="4" w:space="0" w:color="auto"/>
            </w:tcBorders>
            <w:shd w:val="clear" w:color="auto" w:fill="C6D9F1" w:themeFill="text2" w:themeFillTint="33"/>
            <w:vAlign w:val="center"/>
            <w:hideMark/>
          </w:tcPr>
          <w:p w:rsidR="00473433" w:rsidRPr="00C258AD" w:rsidRDefault="00473433" w:rsidP="006364A5">
            <w:pPr>
              <w:jc w:val="center"/>
              <w:rPr>
                <w:b/>
                <w:bCs/>
                <w:color w:val="000000"/>
                <w:sz w:val="16"/>
                <w:szCs w:val="18"/>
              </w:rPr>
            </w:pPr>
            <w:r w:rsidRPr="00C258AD">
              <w:rPr>
                <w:b/>
                <w:color w:val="000000"/>
                <w:sz w:val="16"/>
              </w:rPr>
              <w:t>Taux d’utilisation (%)</w:t>
            </w:r>
          </w:p>
        </w:tc>
      </w:tr>
      <w:tr w:rsidR="00473433" w:rsidRPr="00C258AD" w:rsidTr="006364A5">
        <w:trPr>
          <w:cantSplit/>
        </w:trPr>
        <w:tc>
          <w:tcPr>
            <w:tcW w:w="2511" w:type="dxa"/>
            <w:tcBorders>
              <w:top w:val="nil"/>
              <w:left w:val="single" w:sz="4" w:space="0" w:color="auto"/>
              <w:bottom w:val="single" w:sz="4" w:space="0" w:color="auto"/>
              <w:right w:val="single" w:sz="4" w:space="0" w:color="auto"/>
            </w:tcBorders>
            <w:shd w:val="clear" w:color="auto" w:fill="auto"/>
            <w:noWrap/>
            <w:vAlign w:val="center"/>
            <w:hideMark/>
          </w:tcPr>
          <w:p w:rsidR="00473433" w:rsidRPr="00C258AD" w:rsidRDefault="00473433" w:rsidP="006364A5">
            <w:pPr>
              <w:rPr>
                <w:color w:val="000000"/>
                <w:sz w:val="16"/>
                <w:szCs w:val="18"/>
              </w:rPr>
            </w:pPr>
            <w:r w:rsidRPr="00C258AD">
              <w:rPr>
                <w:color w:val="000000"/>
                <w:sz w:val="16"/>
              </w:rPr>
              <w:t xml:space="preserve">Dépenses de personnel </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473433" w:rsidRPr="00C258AD" w:rsidRDefault="00473433" w:rsidP="006364A5">
            <w:pPr>
              <w:jc w:val="center"/>
              <w:rPr>
                <w:color w:val="000000"/>
                <w:sz w:val="16"/>
                <w:szCs w:val="18"/>
              </w:rPr>
            </w:pPr>
            <w:r w:rsidRPr="00C258AD">
              <w:rPr>
                <w:color w:val="000000"/>
                <w:sz w:val="16"/>
              </w:rPr>
              <w:t>6 978</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473433" w:rsidRPr="00C258AD" w:rsidRDefault="00473433" w:rsidP="006364A5">
            <w:pPr>
              <w:jc w:val="center"/>
              <w:rPr>
                <w:color w:val="000000"/>
                <w:sz w:val="16"/>
                <w:szCs w:val="18"/>
              </w:rPr>
            </w:pPr>
            <w:r w:rsidRPr="00C258AD">
              <w:rPr>
                <w:color w:val="000000"/>
                <w:sz w:val="16"/>
              </w:rPr>
              <w:t>6 917</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473433" w:rsidRPr="00C258AD" w:rsidRDefault="00473433" w:rsidP="006364A5">
            <w:pPr>
              <w:jc w:val="center"/>
              <w:rPr>
                <w:color w:val="000000"/>
                <w:sz w:val="16"/>
                <w:szCs w:val="18"/>
              </w:rPr>
            </w:pPr>
            <w:r w:rsidRPr="00C258AD">
              <w:rPr>
                <w:color w:val="000000"/>
                <w:sz w:val="16"/>
              </w:rPr>
              <w:t>7 438</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473433" w:rsidRPr="00C258AD" w:rsidRDefault="00473433" w:rsidP="006364A5">
            <w:pPr>
              <w:jc w:val="center"/>
              <w:rPr>
                <w:color w:val="000000"/>
                <w:sz w:val="16"/>
                <w:szCs w:val="18"/>
              </w:rPr>
            </w:pPr>
            <w:r w:rsidRPr="00C258AD">
              <w:rPr>
                <w:color w:val="000000"/>
                <w:sz w:val="16"/>
              </w:rPr>
              <w:t>108%</w:t>
            </w:r>
          </w:p>
        </w:tc>
      </w:tr>
      <w:tr w:rsidR="00473433" w:rsidRPr="00C258AD" w:rsidTr="006364A5">
        <w:trPr>
          <w:cantSplit/>
        </w:trPr>
        <w:tc>
          <w:tcPr>
            <w:tcW w:w="2511" w:type="dxa"/>
            <w:tcBorders>
              <w:top w:val="nil"/>
              <w:left w:val="single" w:sz="4" w:space="0" w:color="auto"/>
              <w:bottom w:val="single" w:sz="4" w:space="0" w:color="auto"/>
              <w:right w:val="single" w:sz="4" w:space="0" w:color="auto"/>
            </w:tcBorders>
            <w:shd w:val="clear" w:color="auto" w:fill="auto"/>
            <w:noWrap/>
            <w:vAlign w:val="center"/>
            <w:hideMark/>
          </w:tcPr>
          <w:p w:rsidR="00473433" w:rsidRPr="00C258AD" w:rsidRDefault="00473433" w:rsidP="006364A5">
            <w:pPr>
              <w:rPr>
                <w:color w:val="000000"/>
                <w:sz w:val="16"/>
                <w:szCs w:val="18"/>
              </w:rPr>
            </w:pPr>
            <w:r w:rsidRPr="00C258AD">
              <w:rPr>
                <w:color w:val="000000"/>
                <w:sz w:val="16"/>
              </w:rPr>
              <w:t xml:space="preserve">Autres dépenses </w:t>
            </w:r>
          </w:p>
        </w:tc>
        <w:tc>
          <w:tcPr>
            <w:tcW w:w="1746" w:type="dxa"/>
            <w:tcBorders>
              <w:top w:val="nil"/>
              <w:left w:val="nil"/>
              <w:bottom w:val="single" w:sz="4" w:space="0" w:color="auto"/>
              <w:right w:val="single" w:sz="4" w:space="0" w:color="auto"/>
            </w:tcBorders>
            <w:shd w:val="clear" w:color="auto" w:fill="auto"/>
            <w:vAlign w:val="center"/>
            <w:hideMark/>
          </w:tcPr>
          <w:p w:rsidR="00473433" w:rsidRPr="00C258AD" w:rsidRDefault="00473433" w:rsidP="006364A5">
            <w:pPr>
              <w:jc w:val="center"/>
              <w:rPr>
                <w:color w:val="000000"/>
                <w:sz w:val="16"/>
                <w:szCs w:val="18"/>
              </w:rPr>
            </w:pPr>
            <w:r w:rsidRPr="00C258AD">
              <w:rPr>
                <w:color w:val="000000"/>
                <w:sz w:val="16"/>
              </w:rPr>
              <w:t>4 905</w:t>
            </w:r>
          </w:p>
        </w:tc>
        <w:tc>
          <w:tcPr>
            <w:tcW w:w="1746" w:type="dxa"/>
            <w:tcBorders>
              <w:top w:val="nil"/>
              <w:left w:val="nil"/>
              <w:bottom w:val="single" w:sz="4" w:space="0" w:color="auto"/>
              <w:right w:val="single" w:sz="4" w:space="0" w:color="auto"/>
            </w:tcBorders>
            <w:shd w:val="clear" w:color="auto" w:fill="auto"/>
            <w:vAlign w:val="center"/>
            <w:hideMark/>
          </w:tcPr>
          <w:p w:rsidR="00473433" w:rsidRPr="00C258AD" w:rsidRDefault="00473433" w:rsidP="006364A5">
            <w:pPr>
              <w:jc w:val="center"/>
              <w:rPr>
                <w:color w:val="000000"/>
                <w:sz w:val="16"/>
                <w:szCs w:val="18"/>
              </w:rPr>
            </w:pPr>
            <w:r w:rsidRPr="00C258AD">
              <w:rPr>
                <w:color w:val="000000"/>
                <w:sz w:val="16"/>
              </w:rPr>
              <w:t>4 798</w:t>
            </w:r>
          </w:p>
        </w:tc>
        <w:tc>
          <w:tcPr>
            <w:tcW w:w="1746" w:type="dxa"/>
            <w:tcBorders>
              <w:top w:val="nil"/>
              <w:left w:val="nil"/>
              <w:bottom w:val="single" w:sz="4" w:space="0" w:color="auto"/>
              <w:right w:val="single" w:sz="4" w:space="0" w:color="auto"/>
            </w:tcBorders>
            <w:shd w:val="clear" w:color="auto" w:fill="auto"/>
            <w:vAlign w:val="center"/>
            <w:hideMark/>
          </w:tcPr>
          <w:p w:rsidR="00473433" w:rsidRPr="00C258AD" w:rsidRDefault="00473433" w:rsidP="006364A5">
            <w:pPr>
              <w:jc w:val="center"/>
              <w:rPr>
                <w:color w:val="000000"/>
                <w:sz w:val="16"/>
                <w:szCs w:val="18"/>
              </w:rPr>
            </w:pPr>
            <w:r w:rsidRPr="00C258AD">
              <w:rPr>
                <w:color w:val="000000"/>
                <w:sz w:val="16"/>
              </w:rPr>
              <w:t>4 407</w:t>
            </w:r>
          </w:p>
        </w:tc>
        <w:tc>
          <w:tcPr>
            <w:tcW w:w="1746" w:type="dxa"/>
            <w:tcBorders>
              <w:top w:val="nil"/>
              <w:left w:val="nil"/>
              <w:bottom w:val="single" w:sz="4" w:space="0" w:color="auto"/>
              <w:right w:val="single" w:sz="4" w:space="0" w:color="auto"/>
            </w:tcBorders>
            <w:shd w:val="clear" w:color="auto" w:fill="auto"/>
            <w:vAlign w:val="center"/>
            <w:hideMark/>
          </w:tcPr>
          <w:p w:rsidR="00473433" w:rsidRPr="00C258AD" w:rsidRDefault="00473433" w:rsidP="006364A5">
            <w:pPr>
              <w:jc w:val="center"/>
              <w:rPr>
                <w:color w:val="000000"/>
                <w:sz w:val="16"/>
                <w:szCs w:val="18"/>
              </w:rPr>
            </w:pPr>
            <w:r w:rsidRPr="00C258AD">
              <w:rPr>
                <w:color w:val="000000"/>
                <w:sz w:val="16"/>
              </w:rPr>
              <w:t>92%</w:t>
            </w:r>
          </w:p>
        </w:tc>
      </w:tr>
      <w:tr w:rsidR="00473433" w:rsidRPr="00C258AD" w:rsidTr="006364A5">
        <w:trPr>
          <w:cantSplit/>
        </w:trPr>
        <w:tc>
          <w:tcPr>
            <w:tcW w:w="2511" w:type="dxa"/>
            <w:tcBorders>
              <w:top w:val="nil"/>
              <w:left w:val="single" w:sz="4" w:space="0" w:color="auto"/>
              <w:bottom w:val="single" w:sz="4" w:space="0" w:color="auto"/>
              <w:right w:val="single" w:sz="4" w:space="0" w:color="auto"/>
            </w:tcBorders>
            <w:shd w:val="clear" w:color="auto" w:fill="auto"/>
            <w:noWrap/>
            <w:vAlign w:val="center"/>
            <w:hideMark/>
          </w:tcPr>
          <w:p w:rsidR="00473433" w:rsidRPr="00C258AD" w:rsidRDefault="00473433" w:rsidP="006364A5">
            <w:pPr>
              <w:jc w:val="right"/>
              <w:rPr>
                <w:b/>
                <w:bCs/>
                <w:color w:val="000000"/>
                <w:sz w:val="16"/>
                <w:szCs w:val="18"/>
              </w:rPr>
            </w:pPr>
            <w:r w:rsidRPr="00C258AD">
              <w:rPr>
                <w:b/>
                <w:color w:val="000000"/>
                <w:sz w:val="16"/>
              </w:rPr>
              <w:t>TOTAL</w:t>
            </w:r>
          </w:p>
        </w:tc>
        <w:tc>
          <w:tcPr>
            <w:tcW w:w="1746" w:type="dxa"/>
            <w:tcBorders>
              <w:top w:val="nil"/>
              <w:left w:val="nil"/>
              <w:bottom w:val="single" w:sz="4" w:space="0" w:color="auto"/>
              <w:right w:val="single" w:sz="4" w:space="0" w:color="auto"/>
            </w:tcBorders>
            <w:shd w:val="clear" w:color="auto" w:fill="auto"/>
            <w:vAlign w:val="center"/>
            <w:hideMark/>
          </w:tcPr>
          <w:p w:rsidR="00473433" w:rsidRPr="00C258AD" w:rsidRDefault="00473433" w:rsidP="006364A5">
            <w:pPr>
              <w:jc w:val="center"/>
              <w:rPr>
                <w:b/>
                <w:bCs/>
                <w:color w:val="000000"/>
                <w:sz w:val="16"/>
                <w:szCs w:val="18"/>
              </w:rPr>
            </w:pPr>
            <w:r w:rsidRPr="00C258AD">
              <w:rPr>
                <w:b/>
                <w:color w:val="000000"/>
                <w:sz w:val="16"/>
              </w:rPr>
              <w:t>11 883</w:t>
            </w:r>
          </w:p>
        </w:tc>
        <w:tc>
          <w:tcPr>
            <w:tcW w:w="1746" w:type="dxa"/>
            <w:tcBorders>
              <w:top w:val="nil"/>
              <w:left w:val="nil"/>
              <w:bottom w:val="single" w:sz="4" w:space="0" w:color="auto"/>
              <w:right w:val="single" w:sz="4" w:space="0" w:color="auto"/>
            </w:tcBorders>
            <w:shd w:val="clear" w:color="auto" w:fill="auto"/>
            <w:vAlign w:val="center"/>
            <w:hideMark/>
          </w:tcPr>
          <w:p w:rsidR="00473433" w:rsidRPr="00C258AD" w:rsidRDefault="00473433" w:rsidP="006364A5">
            <w:pPr>
              <w:jc w:val="center"/>
              <w:rPr>
                <w:b/>
                <w:bCs/>
                <w:color w:val="000000"/>
                <w:sz w:val="16"/>
                <w:szCs w:val="18"/>
              </w:rPr>
            </w:pPr>
            <w:r w:rsidRPr="00C258AD">
              <w:rPr>
                <w:b/>
                <w:color w:val="000000"/>
                <w:sz w:val="16"/>
              </w:rPr>
              <w:t>11 714</w:t>
            </w:r>
          </w:p>
        </w:tc>
        <w:tc>
          <w:tcPr>
            <w:tcW w:w="1746" w:type="dxa"/>
            <w:tcBorders>
              <w:top w:val="nil"/>
              <w:left w:val="nil"/>
              <w:bottom w:val="single" w:sz="4" w:space="0" w:color="auto"/>
              <w:right w:val="single" w:sz="4" w:space="0" w:color="auto"/>
            </w:tcBorders>
            <w:shd w:val="clear" w:color="auto" w:fill="auto"/>
            <w:vAlign w:val="center"/>
            <w:hideMark/>
          </w:tcPr>
          <w:p w:rsidR="00473433" w:rsidRPr="00C258AD" w:rsidRDefault="00473433" w:rsidP="006364A5">
            <w:pPr>
              <w:jc w:val="center"/>
              <w:rPr>
                <w:b/>
                <w:bCs/>
                <w:color w:val="000000"/>
                <w:sz w:val="16"/>
                <w:szCs w:val="18"/>
              </w:rPr>
            </w:pPr>
            <w:r w:rsidRPr="00C258AD">
              <w:rPr>
                <w:b/>
                <w:color w:val="000000"/>
                <w:sz w:val="16"/>
              </w:rPr>
              <w:t>11 845</w:t>
            </w:r>
          </w:p>
        </w:tc>
        <w:tc>
          <w:tcPr>
            <w:tcW w:w="1746" w:type="dxa"/>
            <w:tcBorders>
              <w:top w:val="nil"/>
              <w:left w:val="nil"/>
              <w:bottom w:val="single" w:sz="4" w:space="0" w:color="auto"/>
              <w:right w:val="single" w:sz="4" w:space="0" w:color="auto"/>
            </w:tcBorders>
            <w:shd w:val="clear" w:color="auto" w:fill="auto"/>
            <w:vAlign w:val="center"/>
            <w:hideMark/>
          </w:tcPr>
          <w:p w:rsidR="00473433" w:rsidRPr="00C258AD" w:rsidRDefault="00473433" w:rsidP="006364A5">
            <w:pPr>
              <w:jc w:val="center"/>
              <w:rPr>
                <w:b/>
                <w:bCs/>
                <w:color w:val="000000"/>
                <w:sz w:val="16"/>
                <w:szCs w:val="18"/>
              </w:rPr>
            </w:pPr>
            <w:r w:rsidRPr="00C258AD">
              <w:rPr>
                <w:b/>
                <w:color w:val="000000"/>
                <w:sz w:val="16"/>
              </w:rPr>
              <w:t>101%</w:t>
            </w:r>
          </w:p>
        </w:tc>
      </w:tr>
    </w:tbl>
    <w:p w:rsidR="00473433" w:rsidRPr="00C258AD" w:rsidRDefault="00473433" w:rsidP="006364A5">
      <w:pPr>
        <w:widowControl w:val="0"/>
        <w:autoSpaceDE w:val="0"/>
        <w:autoSpaceDN w:val="0"/>
        <w:adjustRightInd w:val="0"/>
        <w:jc w:val="both"/>
      </w:pPr>
    </w:p>
    <w:p w:rsidR="00473433" w:rsidRPr="00C258AD" w:rsidRDefault="00473433" w:rsidP="006364A5">
      <w:pPr>
        <w:widowControl w:val="0"/>
        <w:autoSpaceDE w:val="0"/>
        <w:autoSpaceDN w:val="0"/>
        <w:adjustRightInd w:val="0"/>
        <w:jc w:val="both"/>
      </w:pPr>
    </w:p>
    <w:p w:rsidR="00473433" w:rsidRPr="00C258AD" w:rsidRDefault="00473433" w:rsidP="006364A5">
      <w:pPr>
        <w:rPr>
          <w:u w:val="single"/>
        </w:rPr>
      </w:pPr>
      <w:r w:rsidRPr="00C258AD">
        <w:t>A.</w:t>
      </w:r>
      <w:r w:rsidRPr="00C258AD">
        <w:tab/>
      </w:r>
      <w:r w:rsidRPr="00C258AD">
        <w:rPr>
          <w:u w:val="single"/>
        </w:rPr>
        <w:t>Budget final 2014</w:t>
      </w:r>
      <w:r w:rsidRPr="00C258AD">
        <w:rPr>
          <w:u w:val="single"/>
        </w:rPr>
        <w:noBreakHyphen/>
        <w:t>2015 après virements</w:t>
      </w:r>
    </w:p>
    <w:p w:rsidR="00473433" w:rsidRPr="00C258AD" w:rsidRDefault="00473433" w:rsidP="006364A5">
      <w:pPr>
        <w:rPr>
          <w:u w:val="single"/>
        </w:rPr>
      </w:pPr>
    </w:p>
    <w:p w:rsidR="00473433" w:rsidRPr="00C258AD" w:rsidRDefault="00473433" w:rsidP="00DF2EEF">
      <w:pPr>
        <w:pStyle w:val="ListParagraph"/>
        <w:numPr>
          <w:ilvl w:val="0"/>
          <w:numId w:val="99"/>
        </w:numPr>
        <w:tabs>
          <w:tab w:val="left" w:pos="709"/>
        </w:tabs>
        <w:autoSpaceDE w:val="0"/>
        <w:autoSpaceDN w:val="0"/>
        <w:adjustRightInd w:val="0"/>
        <w:ind w:left="0" w:firstLine="0"/>
        <w:jc w:val="both"/>
      </w:pPr>
      <w:r w:rsidRPr="00C258AD">
        <w:rPr>
          <w:rFonts w:eastAsiaTheme="minorHAnsi"/>
          <w:color w:val="000000"/>
        </w:rPr>
        <w:t xml:space="preserve">Les ressources disponibles au titre du programme sont restées stables au cours de l’exercice biennal.  </w:t>
      </w:r>
      <w:r w:rsidRPr="00C258AD">
        <w:t>Le redéploiement des ressources en personnel du programme pour répondre aux besoins associés aux plateformes de l’OMPI et aux applications informatiques du Secteur du développement (programmes 8, 9 et 11) a été compensé par le redéploiement des ressources en personnel dans le programme, suite à la transition dans la gestion de l’Académie vers la fin 2014.</w:t>
      </w:r>
    </w:p>
    <w:p w:rsidR="00473433" w:rsidRPr="00C258AD" w:rsidRDefault="00473433" w:rsidP="00473433"/>
    <w:p w:rsidR="00473433" w:rsidRPr="00C258AD" w:rsidRDefault="00473433" w:rsidP="006364A5">
      <w:pPr>
        <w:autoSpaceDE w:val="0"/>
        <w:autoSpaceDN w:val="0"/>
        <w:jc w:val="both"/>
      </w:pPr>
    </w:p>
    <w:p w:rsidR="00473433" w:rsidRPr="00C258AD" w:rsidRDefault="00473433" w:rsidP="006364A5">
      <w:pPr>
        <w:jc w:val="both"/>
        <w:rPr>
          <w:u w:val="single"/>
        </w:rPr>
      </w:pPr>
      <w:r w:rsidRPr="00C258AD">
        <w:t>B.</w:t>
      </w:r>
      <w:r w:rsidRPr="00C258AD">
        <w:tab/>
      </w:r>
      <w:r w:rsidRPr="00C258AD">
        <w:rPr>
          <w:u w:val="single"/>
        </w:rPr>
        <w:t>Utilisation du budget en 2014</w:t>
      </w:r>
      <w:r w:rsidRPr="00C258AD">
        <w:rPr>
          <w:u w:val="single"/>
        </w:rPr>
        <w:noBreakHyphen/>
        <w:t>2015</w:t>
      </w:r>
    </w:p>
    <w:p w:rsidR="00473433" w:rsidRPr="00C258AD" w:rsidRDefault="00473433" w:rsidP="006364A5">
      <w:pPr>
        <w:tabs>
          <w:tab w:val="left" w:pos="709"/>
        </w:tabs>
        <w:jc w:val="both"/>
        <w:rPr>
          <w:u w:val="single"/>
        </w:rPr>
      </w:pPr>
    </w:p>
    <w:p w:rsidR="00473433" w:rsidRPr="00C258AD" w:rsidRDefault="00473433" w:rsidP="00DF2EEF">
      <w:pPr>
        <w:pStyle w:val="ListParagraph"/>
        <w:numPr>
          <w:ilvl w:val="0"/>
          <w:numId w:val="99"/>
        </w:numPr>
        <w:tabs>
          <w:tab w:val="left" w:pos="709"/>
        </w:tabs>
        <w:autoSpaceDE w:val="0"/>
        <w:autoSpaceDN w:val="0"/>
        <w:adjustRightInd w:val="0"/>
        <w:ind w:left="0" w:firstLine="0"/>
        <w:jc w:val="both"/>
      </w:pPr>
      <w:r w:rsidRPr="00C258AD">
        <w:t>L’utilisation du budget se situe dans la fourchette prévue pour l’exercice biennal.</w:t>
      </w:r>
    </w:p>
    <w:p w:rsidR="006E2BB1" w:rsidRPr="00C258AD" w:rsidRDefault="006E2BB1" w:rsidP="00305CE5">
      <w:pPr>
        <w:pStyle w:val="Heading3"/>
        <w:rPr>
          <w:lang w:eastAsia="ko-KR"/>
        </w:rPr>
      </w:pPr>
    </w:p>
    <w:p w:rsidR="006E2BB1" w:rsidRPr="00C258AD" w:rsidRDefault="002D4597">
      <w:pPr>
        <w:spacing w:after="200" w:line="276" w:lineRule="auto"/>
        <w:rPr>
          <w:lang w:eastAsia="ko-KR"/>
        </w:rPr>
      </w:pPr>
      <w:r w:rsidRPr="00C258AD">
        <w:rPr>
          <w:lang w:eastAsia="ko-KR"/>
        </w:rPr>
        <w:br w:type="page"/>
      </w:r>
    </w:p>
    <w:p w:rsidR="006E2BB1" w:rsidRPr="00C258AD" w:rsidRDefault="00A068F8" w:rsidP="00305CE5">
      <w:pPr>
        <w:pStyle w:val="Heading3"/>
      </w:pPr>
      <w:bookmarkStart w:id="105" w:name="_Toc422134343"/>
      <w:bookmarkStart w:id="106" w:name="_Toc423352879"/>
      <w:bookmarkStart w:id="107" w:name="_Toc455394191"/>
      <w:bookmarkStart w:id="108" w:name="_Toc367350587"/>
      <w:bookmarkStart w:id="109" w:name="_Toc422404233"/>
      <w:bookmarkStart w:id="110" w:name="_Toc423352881"/>
      <w:r w:rsidRPr="00C258AD">
        <w:lastRenderedPageBreak/>
        <w:t>Programme 30</w:t>
      </w:r>
      <w:r w:rsidRPr="00C258AD">
        <w:tab/>
      </w:r>
      <w:bookmarkEnd w:id="105"/>
      <w:r w:rsidRPr="00C258AD">
        <w:t>Petites et moyennes entreprises (PME) et innovation</w:t>
      </w:r>
      <w:bookmarkEnd w:id="106"/>
      <w:bookmarkEnd w:id="107"/>
    </w:p>
    <w:p w:rsidR="006E2BB1" w:rsidRPr="00C258AD" w:rsidRDefault="006E2BB1" w:rsidP="00A068F8"/>
    <w:p w:rsidR="006E2BB1" w:rsidRPr="00C258AD" w:rsidRDefault="00A068F8" w:rsidP="00A068F8">
      <w:pPr>
        <w:rPr>
          <w:b/>
        </w:rPr>
      </w:pPr>
      <w:r w:rsidRPr="00C258AD">
        <w:rPr>
          <w:b/>
        </w:rPr>
        <w:t>Chef de programme</w:t>
      </w:r>
      <w:r w:rsidRPr="00C258AD">
        <w:rPr>
          <w:b/>
        </w:rPr>
        <w:tab/>
        <w:t>Le Directeur général</w:t>
      </w:r>
    </w:p>
    <w:p w:rsidR="006E2BB1" w:rsidRPr="00C258AD" w:rsidRDefault="006E2BB1" w:rsidP="00A068F8"/>
    <w:p w:rsidR="006E2BB1" w:rsidRPr="00C258AD" w:rsidRDefault="006E2BB1" w:rsidP="00A068F8"/>
    <w:p w:rsidR="006E2BB1" w:rsidRPr="00C258AD" w:rsidRDefault="00A068F8" w:rsidP="00305CE5">
      <w:pPr>
        <w:keepNext/>
        <w:rPr>
          <w:rFonts w:cs="Arial"/>
          <w:caps/>
          <w:sz w:val="22"/>
          <w:szCs w:val="22"/>
        </w:rPr>
      </w:pPr>
      <w:r w:rsidRPr="00C258AD">
        <w:rPr>
          <w:rFonts w:cs="Arial"/>
          <w:caps/>
          <w:sz w:val="22"/>
          <w:szCs w:val="22"/>
        </w:rPr>
        <w:t>Réalisations au cours de l’exercice biennal 2014</w:t>
      </w:r>
      <w:r w:rsidRPr="00C258AD">
        <w:rPr>
          <w:rFonts w:cs="Arial"/>
          <w:caps/>
          <w:sz w:val="22"/>
          <w:szCs w:val="22"/>
        </w:rPr>
        <w:noBreakHyphen/>
        <w:t>2015</w:t>
      </w:r>
    </w:p>
    <w:p w:rsidR="006E2BB1" w:rsidRPr="00C258AD" w:rsidRDefault="006E2BB1" w:rsidP="00A068F8"/>
    <w:p w:rsidR="006E2BB1" w:rsidRPr="00C258AD" w:rsidRDefault="00A068F8" w:rsidP="00A068F8">
      <w:r w:rsidRPr="00C258AD">
        <w:t>PETITES ET MOYENNES ENTREPRISES</w:t>
      </w:r>
    </w:p>
    <w:p w:rsidR="006E2BB1" w:rsidRPr="00C258AD" w:rsidRDefault="006E2BB1" w:rsidP="00A068F8"/>
    <w:p w:rsidR="006E2BB1" w:rsidRPr="00C258AD" w:rsidRDefault="00A068F8" w:rsidP="00A068F8">
      <w:pPr>
        <w:pStyle w:val="ListParagraph"/>
        <w:numPr>
          <w:ilvl w:val="0"/>
          <w:numId w:val="58"/>
        </w:numPr>
        <w:tabs>
          <w:tab w:val="left" w:pos="709"/>
        </w:tabs>
        <w:ind w:left="0" w:firstLine="0"/>
        <w:jc w:val="both"/>
        <w:rPr>
          <w:rFonts w:eastAsia="SimSun"/>
        </w:rPr>
      </w:pPr>
      <w:r w:rsidRPr="00C258AD">
        <w:rPr>
          <w:rFonts w:eastAsia="SimSun"/>
        </w:rPr>
        <w:t>Les travaux en coopération avec les offices nationaux ou régionaux de propriété intellectuelle et d’autres institutions visant à aider les entrepreneurs et les PME à utiliser le système de propriété intellectuelle se sont poursuivis, essentiellement par le biais de a) l’adaptation et/ou la traduction des contenus relatifs à la propriété intellectuelle à destination des entreprises dans le contexte local, et b) les programmes de formation des formateurs.  En ce qui concerne ces derniers, 33 programmes sur la gestion efficace des actifs de propriété intellectuelle par les PME ont été organisés, dont l’objectif premier est de constituer dans un pays déterminé un réseau national suffisant de formateurs ayant les savoirs, les compétences et l’expérience nécessaires pour fournir une assistance initiale aux PME en matière de gestion des actifs de propriété intellectuelle.  Plus de 700 participants ont bénéficié de ces programmes.  Le programme a également contribué à la promotion de l’autonomisation des femmes en matière de propriété intellectuelle.  À cette fin, deux ateliers internationaux à l’intention des femmes inventeurs et entrepreneurs ont été organisés en 2014</w:t>
      </w:r>
      <w:r w:rsidRPr="00C258AD">
        <w:rPr>
          <w:rFonts w:eastAsia="SimSun"/>
        </w:rPr>
        <w:noBreakHyphen/>
        <w:t>2015 par l’OMPI, l’Office coréen de la propriété intellectuelle (KIPO) et l’Association des femmes inventeurs de Corée (KWIA), dont ont pu bénéficier 236 femmes inventeurs et entrepreneurs de 25 pays.</w:t>
      </w:r>
    </w:p>
    <w:p w:rsidR="006E2BB1" w:rsidRPr="00C258AD" w:rsidRDefault="006E2BB1" w:rsidP="00A068F8"/>
    <w:p w:rsidR="006E2BB1" w:rsidRPr="00C258AD" w:rsidRDefault="00A068F8" w:rsidP="00A068F8">
      <w:pPr>
        <w:pStyle w:val="ListParagraph"/>
        <w:numPr>
          <w:ilvl w:val="0"/>
          <w:numId w:val="58"/>
        </w:numPr>
        <w:tabs>
          <w:tab w:val="left" w:pos="709"/>
        </w:tabs>
        <w:ind w:left="0" w:firstLine="0"/>
        <w:jc w:val="both"/>
      </w:pPr>
      <w:r w:rsidRPr="00C258AD">
        <w:rPr>
          <w:rFonts w:eastAsia="SimSun"/>
        </w:rPr>
        <w:t xml:space="preserve">En 2014, un nouvel ouvrage intitulé </w:t>
      </w:r>
      <w:r w:rsidRPr="00C258AD">
        <w:rPr>
          <w:rFonts w:eastAsia="SimSun"/>
          <w:i/>
        </w:rPr>
        <w:t>En toute confidentialité : initiation aux secrets d’affaires pour les petites et moyennes entreprises</w:t>
      </w:r>
      <w:r w:rsidRPr="00C258AD">
        <w:rPr>
          <w:rFonts w:eastAsia="SimSun"/>
        </w:rPr>
        <w:t xml:space="preserve"> a été finalisé.  L’OMPI a également contribué à la rédaction initiale d’un livre sur </w:t>
      </w:r>
      <w:r w:rsidRPr="00C258AD">
        <w:rPr>
          <w:rFonts w:eastAsia="SimSun"/>
          <w:i/>
        </w:rPr>
        <w:t>la propriété intellectuelle en tant que levier de croissance en sa qualité d’actif commercial stratégique (gestion stratégique de la propriété intellectuelle)</w:t>
      </w:r>
      <w:r w:rsidRPr="00C258AD">
        <w:rPr>
          <w:rStyle w:val="FootnoteReference"/>
          <w:rFonts w:eastAsia="SimSun"/>
        </w:rPr>
        <w:footnoteReference w:id="80"/>
      </w:r>
      <w:r w:rsidRPr="00C258AD">
        <w:rPr>
          <w:rFonts w:eastAsia="SimSun"/>
        </w:rPr>
        <w:t>.</w:t>
      </w:r>
    </w:p>
    <w:p w:rsidR="006E2BB1" w:rsidRPr="00C258AD" w:rsidRDefault="006E2BB1" w:rsidP="00A068F8"/>
    <w:p w:rsidR="006E2BB1" w:rsidRPr="00C258AD" w:rsidRDefault="00A068F8" w:rsidP="00A068F8">
      <w:pPr>
        <w:pStyle w:val="ListParagraph"/>
        <w:numPr>
          <w:ilvl w:val="0"/>
          <w:numId w:val="58"/>
        </w:numPr>
        <w:tabs>
          <w:tab w:val="left" w:pos="0"/>
          <w:tab w:val="left" w:pos="709"/>
        </w:tabs>
        <w:ind w:left="0" w:firstLine="0"/>
        <w:jc w:val="both"/>
        <w:rPr>
          <w:rFonts w:eastAsia="SimSun"/>
        </w:rPr>
      </w:pPr>
      <w:r w:rsidRPr="00C258AD">
        <w:rPr>
          <w:rFonts w:eastAsia="SimSun"/>
        </w:rPr>
        <w:t>Deux formations internationales à distance sur la gestion des actifs de propriété intellectuelle au service des entreprises, fondée sur l’instrument multimédia IP PANORAMA en anglais, ont été complétées par 1350 étudiants (709 en 2014 et 641 en 2015), et 70 étudiants ont par la suite participé à un programme sur place dans ce domaine à Séoul (République de Corée), préparé par l’OMPI et mis en œuvre de manière coordonnée avec le KIPO, l’Association coréenne pour la promotion des inventions (KIPA) et l’Institut avancé pour la science et la technologie de Corée (KAIST).  Des préparatifs sont en cours en vue de lancer les versions française, arabe, espagnole et russe de la formation internationale à distance au cours de l’exercice biennal 2016</w:t>
      </w:r>
      <w:r w:rsidRPr="00C258AD">
        <w:rPr>
          <w:rFonts w:eastAsia="SimSun"/>
        </w:rPr>
        <w:noBreakHyphen/>
        <w:t>2017.</w:t>
      </w:r>
    </w:p>
    <w:p w:rsidR="006E2BB1" w:rsidRPr="00C258AD" w:rsidRDefault="006E2BB1" w:rsidP="00A068F8"/>
    <w:p w:rsidR="006E2BB1" w:rsidRPr="00C258AD" w:rsidRDefault="00A068F8" w:rsidP="00A068F8">
      <w:pPr>
        <w:pStyle w:val="ListParagraph"/>
        <w:numPr>
          <w:ilvl w:val="0"/>
          <w:numId w:val="58"/>
        </w:numPr>
        <w:tabs>
          <w:tab w:val="left" w:pos="709"/>
        </w:tabs>
        <w:ind w:left="0" w:firstLine="0"/>
        <w:jc w:val="both"/>
      </w:pPr>
      <w:r w:rsidRPr="00C258AD">
        <w:rPr>
          <w:rFonts w:cs="Arial"/>
          <w:color w:val="000000"/>
        </w:rPr>
        <w:t xml:space="preserve">Les actions de sensibilisation des PME directement par l’intermédiaire de la page du site Web consacrée aux PME dans les six langues de travail de l’ONU et du bulletin d’information mensuel en ligne se sont poursuivies.  En 2015, afin de mieux cibler la base d’utilisateurs du bulletin d’information, les critères d’abonnement ont été modifiés, les abonnés existants ayant dû souscrire un nouvel abonnement.  Par conséquent, un grand nombre d’abonnés inactifs ont été supprimés de la liste de diffusion, ce qui a permis d’obtenir une base d’utilisateurs plus réduite, mais plus ciblée.  </w:t>
      </w:r>
      <w:r w:rsidRPr="00C258AD">
        <w:rPr>
          <w:rFonts w:eastAsia="SimSun"/>
          <w:color w:val="000000"/>
        </w:rPr>
        <w:t>Cinq </w:t>
      </w:r>
      <w:r w:rsidRPr="00C258AD">
        <w:rPr>
          <w:rFonts w:eastAsia="SimSun"/>
        </w:rPr>
        <w:t>nouvelles études de cas sur la propriété intellectuelle au service des PME ont été créées sur les thèmes suivants : i) </w:t>
      </w:r>
      <w:proofErr w:type="spellStart"/>
      <w:r w:rsidRPr="00C258AD">
        <w:rPr>
          <w:rFonts w:eastAsia="SimSun"/>
        </w:rPr>
        <w:t>Ezequiel</w:t>
      </w:r>
      <w:proofErr w:type="spellEnd"/>
      <w:r w:rsidRPr="00C258AD">
        <w:rPr>
          <w:rFonts w:eastAsia="SimSun"/>
        </w:rPr>
        <w:t xml:space="preserve"> </w:t>
      </w:r>
      <w:proofErr w:type="spellStart"/>
      <w:r w:rsidRPr="00C258AD">
        <w:rPr>
          <w:rFonts w:eastAsia="SimSun"/>
        </w:rPr>
        <w:t>Farca</w:t>
      </w:r>
      <w:proofErr w:type="spellEnd"/>
      <w:r w:rsidRPr="00C258AD">
        <w:rPr>
          <w:rFonts w:eastAsia="SimSun"/>
        </w:rPr>
        <w:t xml:space="preserve"> (Mexique);  ii) </w:t>
      </w:r>
      <w:proofErr w:type="spellStart"/>
      <w:r w:rsidRPr="00C258AD">
        <w:rPr>
          <w:rFonts w:eastAsia="SimSun"/>
        </w:rPr>
        <w:t>Haldiram</w:t>
      </w:r>
      <w:proofErr w:type="spellEnd"/>
      <w:r w:rsidRPr="00C258AD">
        <w:rPr>
          <w:rFonts w:eastAsia="SimSun"/>
        </w:rPr>
        <w:t xml:space="preserve"> (Inde);  iii) </w:t>
      </w:r>
      <w:proofErr w:type="spellStart"/>
      <w:r w:rsidRPr="00C258AD">
        <w:rPr>
          <w:rFonts w:eastAsia="SimSun"/>
        </w:rPr>
        <w:t>Wondereight</w:t>
      </w:r>
      <w:proofErr w:type="spellEnd"/>
      <w:r w:rsidRPr="00C258AD">
        <w:rPr>
          <w:rFonts w:eastAsia="SimSun"/>
        </w:rPr>
        <w:t xml:space="preserve"> (Liban);  iv) Mettre au point des logiciels abordables pour les petites entreprises : HSCO LLP (Royaume</w:t>
      </w:r>
      <w:r w:rsidRPr="00C258AD">
        <w:rPr>
          <w:rFonts w:eastAsia="SimSun"/>
        </w:rPr>
        <w:noBreakHyphen/>
        <w:t>Uni/Jordanie);  et v) </w:t>
      </w:r>
      <w:proofErr w:type="spellStart"/>
      <w:r w:rsidRPr="00C258AD">
        <w:rPr>
          <w:rFonts w:eastAsia="SimSun"/>
        </w:rPr>
        <w:t>Ensuring</w:t>
      </w:r>
      <w:proofErr w:type="spellEnd"/>
      <w:r w:rsidRPr="00C258AD">
        <w:rPr>
          <w:rFonts w:eastAsia="SimSun"/>
        </w:rPr>
        <w:t xml:space="preserve"> the </w:t>
      </w:r>
      <w:proofErr w:type="spellStart"/>
      <w:r w:rsidRPr="00C258AD">
        <w:rPr>
          <w:rFonts w:eastAsia="SimSun"/>
        </w:rPr>
        <w:t>Safe</w:t>
      </w:r>
      <w:proofErr w:type="spellEnd"/>
      <w:r w:rsidRPr="00C258AD">
        <w:rPr>
          <w:rFonts w:eastAsia="SimSun"/>
        </w:rPr>
        <w:t xml:space="preserve"> Flow of </w:t>
      </w:r>
      <w:proofErr w:type="spellStart"/>
      <w:r w:rsidRPr="00C258AD">
        <w:rPr>
          <w:rFonts w:eastAsia="SimSun"/>
        </w:rPr>
        <w:t>Energy</w:t>
      </w:r>
      <w:proofErr w:type="spellEnd"/>
      <w:r w:rsidRPr="00C258AD">
        <w:rPr>
          <w:rFonts w:eastAsia="SimSun"/>
        </w:rPr>
        <w:t xml:space="preserve"> – </w:t>
      </w:r>
      <w:proofErr w:type="spellStart"/>
      <w:r w:rsidRPr="00C258AD">
        <w:rPr>
          <w:rFonts w:eastAsia="SimSun"/>
        </w:rPr>
        <w:t>pipeway</w:t>
      </w:r>
      <w:proofErr w:type="spellEnd"/>
      <w:r w:rsidRPr="00C258AD">
        <w:rPr>
          <w:rFonts w:eastAsia="SimSun"/>
        </w:rPr>
        <w:t xml:space="preserve"> </w:t>
      </w:r>
      <w:proofErr w:type="spellStart"/>
      <w:r w:rsidRPr="00C258AD">
        <w:rPr>
          <w:rFonts w:eastAsia="SimSun"/>
        </w:rPr>
        <w:t>Engenharia</w:t>
      </w:r>
      <w:proofErr w:type="spellEnd"/>
      <w:r w:rsidRPr="00C258AD">
        <w:rPr>
          <w:rFonts w:eastAsia="SimSun"/>
        </w:rPr>
        <w:t xml:space="preserve"> (Assurer le flux sécurisé de l’énergie – le tracé </w:t>
      </w:r>
      <w:proofErr w:type="spellStart"/>
      <w:r w:rsidRPr="00C258AD">
        <w:rPr>
          <w:rFonts w:eastAsia="SimSun"/>
        </w:rPr>
        <w:t>Engenharia</w:t>
      </w:r>
      <w:proofErr w:type="spellEnd"/>
      <w:r w:rsidRPr="00C258AD">
        <w:rPr>
          <w:rFonts w:eastAsia="SimSun"/>
        </w:rPr>
        <w:t>) (Brésil), dont les deux dernières ont été publiées dans la base IP </w:t>
      </w:r>
      <w:proofErr w:type="spellStart"/>
      <w:r w:rsidRPr="00C258AD">
        <w:rPr>
          <w:rFonts w:eastAsia="SimSun"/>
        </w:rPr>
        <w:t>Advantage</w:t>
      </w:r>
      <w:proofErr w:type="spellEnd"/>
      <w:r w:rsidRPr="00C258AD">
        <w:rPr>
          <w:rFonts w:eastAsia="SimSun"/>
        </w:rPr>
        <w:t>.</w:t>
      </w:r>
    </w:p>
    <w:p w:rsidR="006E2BB1" w:rsidRPr="00C258AD" w:rsidRDefault="006E2BB1" w:rsidP="00A068F8"/>
    <w:p w:rsidR="006E2BB1" w:rsidRPr="00C258AD" w:rsidRDefault="00A068F8" w:rsidP="00A068F8">
      <w:pPr>
        <w:pStyle w:val="ListParagraph"/>
        <w:numPr>
          <w:ilvl w:val="0"/>
          <w:numId w:val="58"/>
        </w:numPr>
        <w:tabs>
          <w:tab w:val="left" w:pos="0"/>
          <w:tab w:val="left" w:pos="709"/>
        </w:tabs>
        <w:ind w:left="0" w:firstLine="0"/>
        <w:jc w:val="both"/>
        <w:rPr>
          <w:rFonts w:eastAsia="SimSun"/>
        </w:rPr>
      </w:pPr>
      <w:r w:rsidRPr="00C258AD">
        <w:rPr>
          <w:rFonts w:eastAsia="SimSun"/>
        </w:rPr>
        <w:t>Conformément aux recommandations n° 1, 4, 10 et 11 du Plan d’action pour le développement, le programme a organisé ou participé à 40 séminaires, ateliers ou formations des formateurs afférents aux PME consacrés à la gestion de la propriété intellectuelle dans 30 pays, essentiellement des pays en développement et des PMA en Afrique, dans les pays arabes, la région de l’Asie et du Pacifique ainsi qu’en Amérique latine et aux Caraïbes et dans les pays en transition.  Ces programmes</w:t>
      </w:r>
      <w:r w:rsidRPr="00C258AD">
        <w:rPr>
          <w:rFonts w:cs="Arial"/>
          <w:color w:val="000000"/>
        </w:rPr>
        <w:t>, présentés par 29 experts et conférenciers de pays en développement (13), pays en transition (4) et pays développés (12),</w:t>
      </w:r>
      <w:r w:rsidRPr="00C258AD">
        <w:rPr>
          <w:rFonts w:eastAsia="SimSun"/>
        </w:rPr>
        <w:t xml:space="preserve"> ont profité à près de 2000 représentants de PME et à des institutions d’appui aux PME provenant de plus de 93 pays, dont 21 PMA, 56 pays en développement et 16 pays en transition.  Assumant un rôle de </w:t>
      </w:r>
      <w:proofErr w:type="gramStart"/>
      <w:r w:rsidRPr="00C258AD">
        <w:rPr>
          <w:rFonts w:eastAsia="SimSun"/>
        </w:rPr>
        <w:lastRenderedPageBreak/>
        <w:t>direction toujours plus conséquent</w:t>
      </w:r>
      <w:proofErr w:type="gramEnd"/>
      <w:r w:rsidRPr="00C258AD">
        <w:rPr>
          <w:rFonts w:eastAsia="SimSun"/>
        </w:rPr>
        <w:t>, les offices de propriété intellectuelle et les chambres de commerce des États membres concernés ont été étroitement impliqués dans les phases de planification et ont effectué des contributions substantielles aux phases de développement et de mise en œuvre des programmes, notamment dans le choix des intervenants et des thèmes des programmes.  En outre, le programme de formation des formateurs a inclus une discussion de table ronde consacrée au thème de la sensibilisation à la propriété intellectuelle et à son utilisation par les PME qui a recensé les défis que doivent relever les PME locales et les institutions d’appui aux PME et qui a proposé une feuille de route pour répondre à ces défis, conformément à la recommandation n° 4.</w:t>
      </w:r>
    </w:p>
    <w:p w:rsidR="006E2BB1" w:rsidRPr="00C258AD" w:rsidRDefault="006E2BB1" w:rsidP="00A068F8"/>
    <w:p w:rsidR="006E2BB1" w:rsidRPr="00C258AD" w:rsidRDefault="006E2BB1" w:rsidP="00A068F8"/>
    <w:p w:rsidR="006E2BB1" w:rsidRPr="00C258AD" w:rsidRDefault="00A068F8" w:rsidP="00A068F8">
      <w:pPr>
        <w:autoSpaceDE w:val="0"/>
        <w:autoSpaceDN w:val="0"/>
        <w:adjustRightInd w:val="0"/>
        <w:jc w:val="both"/>
        <w:rPr>
          <w:caps/>
        </w:rPr>
      </w:pPr>
      <w:r w:rsidRPr="00C258AD">
        <w:rPr>
          <w:caps/>
        </w:rPr>
        <w:t>Politique en matière d’innovation</w:t>
      </w:r>
    </w:p>
    <w:p w:rsidR="006E2BB1" w:rsidRPr="00C258AD" w:rsidRDefault="006E2BB1" w:rsidP="00A068F8"/>
    <w:p w:rsidR="006E2BB1" w:rsidRPr="00C258AD" w:rsidRDefault="00A068F8" w:rsidP="00A068F8">
      <w:pPr>
        <w:pStyle w:val="ListParagraph"/>
        <w:numPr>
          <w:ilvl w:val="0"/>
          <w:numId w:val="58"/>
        </w:numPr>
        <w:tabs>
          <w:tab w:val="left" w:pos="0"/>
          <w:tab w:val="left" w:pos="709"/>
        </w:tabs>
        <w:ind w:left="0" w:firstLine="0"/>
        <w:jc w:val="both"/>
        <w:rPr>
          <w:rFonts w:eastAsia="SimSun"/>
        </w:rPr>
      </w:pPr>
      <w:r w:rsidRPr="00C258AD">
        <w:rPr>
          <w:rFonts w:eastAsia="SimSun"/>
        </w:rPr>
        <w:t>Les travaux se sont poursuivis au cours de l’exercice biennal pour recenser les domaines où la politique d’innovation interagit avec la propriété intellectuelle.  Suite à la mise en œuvre couronnée de succès du projet pilote consacré à l’intégration de la propriété intellectuelle dans la formulation de politique d’innovation en Serbie pendant le précédent exercice biennal, des projets nationaux ont été lancés au Cameroun, en Jamaïque, au Rwanda, à Sri Lanka et à la Trinité</w:t>
      </w:r>
      <w:r w:rsidRPr="00C258AD">
        <w:rPr>
          <w:rFonts w:eastAsia="SimSun"/>
        </w:rPr>
        <w:noBreakHyphen/>
        <w:t>et</w:t>
      </w:r>
      <w:r w:rsidRPr="00C258AD">
        <w:rPr>
          <w:rFonts w:eastAsia="SimSun"/>
        </w:rPr>
        <w:noBreakHyphen/>
        <w:t>Tobago.  Ces projets visent à dresser une cartographie du système d’innovation dans les pays sélectionnés, à recenser les principaux acteurs et déterminer leur participation au système d’innovation, leur sensibilisation et leur recours au système de propriété intellectuelle ainsi que les lacunes et besoins observés dans le système d’innovation du point de vue de la propriété intellectuelle.  L’objectif était d’obtenir un aperçu plus précis de l’élaboration de stratégies de propriété intellectuelle plus efficaces, ainsi que pour contribuer à concevoir des services d’appui fournis par l’OMPI plus appropriés et mieux ciblés.  L’un des résultats positifs de ces projets a été la collaboration consécutive à un plus vaste projet financé par l’Union européenne dans les Caraïbes intitulé “IPICA – Permettre un transfert des savoirs dans les Caraïbes” par le biais de droits de propriété intellectuelle efficaces et de régimes de transfert des savoirs, coordonné par l’Université d’Alicante.  En outre, le Gouvernement sri</w:t>
      </w:r>
      <w:r w:rsidRPr="00C258AD">
        <w:rPr>
          <w:rFonts w:eastAsia="SimSun"/>
        </w:rPr>
        <w:noBreakHyphen/>
        <w:t>lankais a lancé un projet relatif à la gestion efficace des résultats de la recherche dans les universités, conformément aux recommandations formulées dans le rapport susmentionné.</w:t>
      </w:r>
    </w:p>
    <w:p w:rsidR="006E2BB1" w:rsidRPr="00C258AD" w:rsidRDefault="006E2BB1" w:rsidP="00A068F8">
      <w:pPr>
        <w:pStyle w:val="ListParagraph"/>
        <w:numPr>
          <w:ilvl w:val="0"/>
          <w:numId w:val="0"/>
        </w:numPr>
        <w:tabs>
          <w:tab w:val="left" w:pos="0"/>
          <w:tab w:val="left" w:pos="709"/>
        </w:tabs>
        <w:jc w:val="both"/>
        <w:rPr>
          <w:rFonts w:eastAsia="SimSun"/>
        </w:rPr>
      </w:pPr>
    </w:p>
    <w:p w:rsidR="006E2BB1" w:rsidRPr="00C258AD" w:rsidRDefault="00A068F8" w:rsidP="00A068F8">
      <w:pPr>
        <w:pStyle w:val="ListParagraph"/>
        <w:numPr>
          <w:ilvl w:val="0"/>
          <w:numId w:val="58"/>
        </w:numPr>
        <w:tabs>
          <w:tab w:val="left" w:pos="0"/>
          <w:tab w:val="left" w:pos="709"/>
        </w:tabs>
        <w:ind w:left="0" w:firstLine="0"/>
        <w:jc w:val="both"/>
        <w:rPr>
          <w:rFonts w:eastAsia="SimSun"/>
        </w:rPr>
      </w:pPr>
      <w:r w:rsidRPr="00C258AD">
        <w:rPr>
          <w:rFonts w:cs="Arial"/>
          <w:color w:val="000000"/>
        </w:rPr>
        <w:t xml:space="preserve">Afin d’approfondir les travaux relatifs à l’intégration de la propriété intellectuelle dans la formulation des politiques en matière d’innovation, une analyse bibliographique de l’interaction de la propriété intellectuelle avec la formulation des politiques en matière d’innovation a été réalisée avec l’aide de la Manchester Institute of Innovation </w:t>
      </w:r>
      <w:proofErr w:type="spellStart"/>
      <w:r w:rsidRPr="00C258AD">
        <w:rPr>
          <w:rFonts w:cs="Arial"/>
          <w:color w:val="000000"/>
        </w:rPr>
        <w:t>Research</w:t>
      </w:r>
      <w:proofErr w:type="spellEnd"/>
      <w:r w:rsidRPr="00C258AD">
        <w:rPr>
          <w:rFonts w:cs="Arial"/>
          <w:color w:val="000000"/>
        </w:rPr>
        <w:t>.  L’analyse a permis d’établir une cartographie des idées, des débats et de l’étude dans des œuvres publiées de l’interaction de la propriété intellectuelle avec l’élaboration des politiques en matière d’innovation.</w:t>
      </w:r>
    </w:p>
    <w:p w:rsidR="006E2BB1" w:rsidRPr="00C258AD" w:rsidRDefault="006E2BB1" w:rsidP="00A068F8">
      <w:pPr>
        <w:tabs>
          <w:tab w:val="left" w:pos="709"/>
        </w:tabs>
        <w:autoSpaceDE w:val="0"/>
        <w:autoSpaceDN w:val="0"/>
        <w:adjustRightInd w:val="0"/>
        <w:jc w:val="both"/>
      </w:pPr>
    </w:p>
    <w:p w:rsidR="006E2BB1" w:rsidRPr="00C258AD" w:rsidRDefault="006E2BB1" w:rsidP="00A068F8">
      <w:pPr>
        <w:tabs>
          <w:tab w:val="left" w:pos="709"/>
        </w:tabs>
        <w:autoSpaceDE w:val="0"/>
        <w:autoSpaceDN w:val="0"/>
        <w:adjustRightInd w:val="0"/>
        <w:jc w:val="both"/>
      </w:pPr>
    </w:p>
    <w:p w:rsidR="006E2BB1" w:rsidRPr="00C258AD" w:rsidRDefault="00A068F8" w:rsidP="00A068F8">
      <w:pPr>
        <w:tabs>
          <w:tab w:val="left" w:pos="709"/>
        </w:tabs>
        <w:autoSpaceDE w:val="0"/>
        <w:autoSpaceDN w:val="0"/>
        <w:adjustRightInd w:val="0"/>
        <w:jc w:val="both"/>
      </w:pPr>
      <w:r w:rsidRPr="00C258AD">
        <w:t>STRUCTURES D’INNOVATION</w:t>
      </w:r>
    </w:p>
    <w:p w:rsidR="006E2BB1" w:rsidRPr="00C258AD" w:rsidRDefault="006E2BB1" w:rsidP="00A068F8">
      <w:pPr>
        <w:tabs>
          <w:tab w:val="left" w:pos="709"/>
        </w:tabs>
        <w:autoSpaceDE w:val="0"/>
        <w:autoSpaceDN w:val="0"/>
        <w:adjustRightInd w:val="0"/>
        <w:jc w:val="both"/>
      </w:pPr>
    </w:p>
    <w:p w:rsidR="006E2BB1" w:rsidRPr="00C258AD" w:rsidRDefault="00A068F8" w:rsidP="00A068F8">
      <w:pPr>
        <w:pStyle w:val="ListParagraph"/>
        <w:numPr>
          <w:ilvl w:val="0"/>
          <w:numId w:val="58"/>
        </w:numPr>
        <w:tabs>
          <w:tab w:val="left" w:pos="709"/>
        </w:tabs>
        <w:ind w:left="0" w:firstLine="0"/>
        <w:jc w:val="both"/>
        <w:rPr>
          <w:rFonts w:eastAsia="SimSun"/>
        </w:rPr>
      </w:pPr>
      <w:r w:rsidRPr="00C258AD">
        <w:rPr>
          <w:rFonts w:eastAsia="SimSun"/>
        </w:rPr>
        <w:t>Grâce à des projets de commercialisation de la propriété intellectuelle, des programmes de renforcement des capacités et des services de conseils adaptés aux États membres de l’OMPI, le programme a également facilité le développement d’infrastructures organisationnelles et juridiques appropriées ainsi qu’un capital en ressources humaines professionnelles pour la promotion de la créativité et la gestion de droits de propriété intellectuelle stratégiques liés aux savoirs et aux résultats de recherches dans une phase précoce de l’accès aux marchés des technologies, en utilisant le système de propriété intellectuelle et les instruments et processus de commercialisation.  Grâce à des approches de formation personnalisées, quelque 2200 professionnels (fonctionnaires gouvernementaux, responsables des technologies, scientifiques et agents de brevets) ont été formés par le biais de manifestations sur site et 100 parties prenantes supplémentaires à des innovations, dont des femmes entrepreneurs en Afrique, à travers plus de 123 modules pratiques à distance et conférences vidéo.</w:t>
      </w:r>
    </w:p>
    <w:p w:rsidR="006E2BB1" w:rsidRPr="00C258AD" w:rsidRDefault="006E2BB1" w:rsidP="00A068F8">
      <w:pPr>
        <w:tabs>
          <w:tab w:val="left" w:pos="709"/>
        </w:tabs>
      </w:pPr>
    </w:p>
    <w:p w:rsidR="006E2BB1" w:rsidRPr="00C258AD" w:rsidRDefault="00A068F8" w:rsidP="00A068F8">
      <w:pPr>
        <w:pStyle w:val="ListParagraph"/>
        <w:numPr>
          <w:ilvl w:val="0"/>
          <w:numId w:val="58"/>
        </w:numPr>
        <w:tabs>
          <w:tab w:val="left" w:pos="0"/>
          <w:tab w:val="left" w:pos="709"/>
        </w:tabs>
        <w:ind w:left="0" w:firstLine="0"/>
        <w:jc w:val="both"/>
      </w:pPr>
      <w:r w:rsidRPr="00C258AD">
        <w:rPr>
          <w:rFonts w:eastAsia="SimSun"/>
        </w:rPr>
        <w:t xml:space="preserve">La portée géographique du projet pour la “Création de bureaux de transfert de technologie dans les pays arabes” a été élargie en 2014 afin de répondre aux demandes des États membres.  Dans ce contexte, la mise en œuvre du plan d’action pour la Tunisie a commencé par se concentrer sur les infrastructures juridiques institutionnelles des organismes bénéficiaires en Tunisie.  Des progrès ont continué d’être accomplis dans le renforcement de quatre bureaux de transfert de technologie afin qu’ils deviennent indépendants et viables sur le plan opérationnel.  À cette fin, des politiques institutionnelles de propriété intellectuelle ont été finalisées avec l’aide de l’OMPI pour le </w:t>
      </w:r>
      <w:r w:rsidRPr="00C258AD">
        <w:rPr>
          <w:rFonts w:cs="Arial"/>
          <w:color w:val="000000"/>
        </w:rPr>
        <w:t>Centre Technique de la Chimie</w:t>
      </w:r>
      <w:r w:rsidRPr="00C258AD">
        <w:rPr>
          <w:rFonts w:cs="Arial"/>
          <w:i/>
          <w:color w:val="000000"/>
        </w:rPr>
        <w:t xml:space="preserve"> </w:t>
      </w:r>
      <w:r w:rsidRPr="00C258AD">
        <w:rPr>
          <w:rFonts w:cs="Arial"/>
          <w:color w:val="000000"/>
        </w:rPr>
        <w:t>(CTC);  le Techno</w:t>
      </w:r>
      <w:r w:rsidRPr="00C258AD">
        <w:rPr>
          <w:rFonts w:cs="Arial"/>
          <w:color w:val="000000"/>
        </w:rPr>
        <w:noBreakHyphen/>
        <w:t>Park El </w:t>
      </w:r>
      <w:proofErr w:type="spellStart"/>
      <w:r w:rsidRPr="00C258AD">
        <w:rPr>
          <w:rFonts w:cs="Arial"/>
          <w:color w:val="000000"/>
        </w:rPr>
        <w:t>Gazhala</w:t>
      </w:r>
      <w:proofErr w:type="spellEnd"/>
      <w:r w:rsidRPr="00C258AD">
        <w:rPr>
          <w:rFonts w:cs="Arial"/>
          <w:color w:val="000000"/>
        </w:rPr>
        <w:t xml:space="preserve">;  </w:t>
      </w:r>
      <w:proofErr w:type="spellStart"/>
      <w:r w:rsidRPr="00C258AD">
        <w:rPr>
          <w:rFonts w:cs="Arial"/>
          <w:color w:val="000000"/>
        </w:rPr>
        <w:t>Packtec</w:t>
      </w:r>
      <w:proofErr w:type="spellEnd"/>
      <w:r w:rsidRPr="00C258AD">
        <w:rPr>
          <w:rFonts w:cs="Arial"/>
          <w:color w:val="000000"/>
        </w:rPr>
        <w:t>, Centre technique de l’emballage et du conditionnement;  et le Techno</w:t>
      </w:r>
      <w:r w:rsidRPr="00C258AD">
        <w:rPr>
          <w:rFonts w:cs="Arial"/>
          <w:color w:val="000000"/>
        </w:rPr>
        <w:noBreakHyphen/>
        <w:t xml:space="preserve">Park de Sidi </w:t>
      </w:r>
      <w:proofErr w:type="spellStart"/>
      <w:r w:rsidRPr="00C258AD">
        <w:rPr>
          <w:rFonts w:cs="Arial"/>
          <w:color w:val="000000"/>
        </w:rPr>
        <w:t>Thabet</w:t>
      </w:r>
      <w:proofErr w:type="spellEnd"/>
      <w:r w:rsidRPr="00C258AD">
        <w:rPr>
          <w:rFonts w:cs="Arial"/>
          <w:color w:val="000000"/>
        </w:rPr>
        <w:t>.</w:t>
      </w:r>
    </w:p>
    <w:p w:rsidR="006E2BB1" w:rsidRPr="00C258AD" w:rsidRDefault="006E2BB1" w:rsidP="00A068F8">
      <w:pPr>
        <w:pStyle w:val="ListParagraph"/>
        <w:numPr>
          <w:ilvl w:val="0"/>
          <w:numId w:val="0"/>
        </w:numPr>
        <w:tabs>
          <w:tab w:val="left" w:pos="0"/>
          <w:tab w:val="left" w:pos="709"/>
        </w:tabs>
        <w:jc w:val="both"/>
      </w:pPr>
    </w:p>
    <w:p w:rsidR="006E2BB1" w:rsidRPr="00C258AD" w:rsidRDefault="00A068F8" w:rsidP="00A068F8">
      <w:pPr>
        <w:pStyle w:val="ListParagraph"/>
        <w:numPr>
          <w:ilvl w:val="0"/>
          <w:numId w:val="58"/>
        </w:numPr>
        <w:tabs>
          <w:tab w:val="left" w:pos="0"/>
          <w:tab w:val="left" w:pos="709"/>
        </w:tabs>
        <w:ind w:left="0" w:firstLine="0"/>
        <w:jc w:val="both"/>
      </w:pPr>
      <w:r w:rsidRPr="00C258AD">
        <w:rPr>
          <w:rFonts w:cs="Arial"/>
        </w:rPr>
        <w:lastRenderedPageBreak/>
        <w:t>Quelque 42 programmes de formation ont été organisés en collaboration avec des partenaires internes et externes dont 11 étaient consacrés à la rédaction des brevets, 16 à la gestion des droits de propriété intellectuelle pour les universités et les instituts de recherche</w:t>
      </w:r>
      <w:r w:rsidRPr="00C258AD">
        <w:rPr>
          <w:rFonts w:cs="Arial"/>
        </w:rPr>
        <w:noBreakHyphen/>
        <w:t xml:space="preserve">développement, 12 aux concessions réussies de licences de technologie et 3 consacrés à la commercialisation et à la valorisation de la propriété intellectuelle.  </w:t>
      </w:r>
      <w:r w:rsidRPr="00C258AD">
        <w:rPr>
          <w:rFonts w:cs="Arial"/>
          <w:color w:val="000000"/>
        </w:rPr>
        <w:t>Au cours de l’exercice 2014</w:t>
      </w:r>
      <w:r w:rsidRPr="00C258AD">
        <w:rPr>
          <w:rFonts w:cs="Arial"/>
          <w:color w:val="000000"/>
        </w:rPr>
        <w:noBreakHyphen/>
        <w:t>2015, de nouveaux thèmes ont été inclus, notamment : i) la protection de la propriété intellectuelle;  ii) les stratégies de commercialisation des résultats de la recherche pour les universités et les instituts de recherche</w:t>
      </w:r>
      <w:r w:rsidRPr="00C258AD">
        <w:rPr>
          <w:rFonts w:cs="Arial"/>
          <w:color w:val="000000"/>
        </w:rPr>
        <w:noBreakHyphen/>
        <w:t>développement et l’interprétation des documents de brevet pour les services judiciaires;  et iii) la commercialisation de la propriété intellectuelle pour les universités.</w:t>
      </w:r>
    </w:p>
    <w:p w:rsidR="006E2BB1" w:rsidRPr="00C258AD" w:rsidRDefault="006E2BB1" w:rsidP="00A068F8">
      <w:pPr>
        <w:tabs>
          <w:tab w:val="left" w:pos="709"/>
        </w:tabs>
      </w:pPr>
    </w:p>
    <w:p w:rsidR="006E2BB1" w:rsidRPr="00C258AD" w:rsidRDefault="00A068F8" w:rsidP="00A068F8">
      <w:pPr>
        <w:pStyle w:val="ListParagraph"/>
        <w:numPr>
          <w:ilvl w:val="0"/>
          <w:numId w:val="58"/>
        </w:numPr>
        <w:tabs>
          <w:tab w:val="left" w:pos="0"/>
          <w:tab w:val="left" w:pos="709"/>
        </w:tabs>
        <w:ind w:left="0" w:firstLine="0"/>
        <w:jc w:val="both"/>
        <w:rPr>
          <w:rFonts w:cs="Arial"/>
          <w:color w:val="000000"/>
        </w:rPr>
      </w:pPr>
      <w:r w:rsidRPr="00C258AD">
        <w:rPr>
          <w:rFonts w:eastAsia="SimSun"/>
        </w:rPr>
        <w:t>En 2014</w:t>
      </w:r>
      <w:r w:rsidRPr="00C258AD">
        <w:rPr>
          <w:rFonts w:eastAsia="SimSun"/>
        </w:rPr>
        <w:noBreakHyphen/>
        <w:t xml:space="preserve">2015, le programme d’initiative universitaire a été réexaminé de manière à assurer qu’il reste adapté aux besoins évolutifs des universités et des instituts de recherche et développement au sein des États membres de l’OMPI, notamment dans les pays en développement et les pays développés.  Une nouvelle approche en deux phases a par la suite été mise en œuvre, à savoir </w:t>
      </w:r>
      <w:r w:rsidRPr="00C258AD">
        <w:rPr>
          <w:rFonts w:cs="Arial"/>
          <w:color w:val="000000"/>
        </w:rPr>
        <w:t>i) encourager les États membres à élaborer un cadre réglementaire national clair sur la titularité des droits de propriété intellectuelle obtenus au sein des universités ou des instituts de recherche publics;  et ii) aider les États membres à élaborer des politiques institutionnelles de propriété intellectuelle et des services d’appui, permettant de trouver un juste équilibre entre la protection de la propriété intellectuelle et l’accès au savoir.  En 2015, un projet lancé au Botswana visait à élaborer une politique institutionnelle de propriété intellectuelle type à l’échelle nationale en vue d’appuyer les efforts déployés par les universités et les instituts de recherche publics pour élaborer leur propre politique.</w:t>
      </w:r>
    </w:p>
    <w:p w:rsidR="006E2BB1" w:rsidRPr="00C258AD" w:rsidRDefault="006E2BB1" w:rsidP="00A068F8">
      <w:pPr>
        <w:tabs>
          <w:tab w:val="left" w:pos="709"/>
        </w:tabs>
      </w:pPr>
    </w:p>
    <w:p w:rsidR="006E2BB1" w:rsidRPr="00C258AD" w:rsidRDefault="00A068F8" w:rsidP="00A068F8">
      <w:pPr>
        <w:pStyle w:val="ListParagraph"/>
        <w:numPr>
          <w:ilvl w:val="0"/>
          <w:numId w:val="58"/>
        </w:numPr>
        <w:tabs>
          <w:tab w:val="left" w:pos="0"/>
          <w:tab w:val="left" w:pos="709"/>
        </w:tabs>
        <w:ind w:left="0" w:firstLine="0"/>
        <w:jc w:val="both"/>
        <w:rPr>
          <w:rFonts w:eastAsia="SimSun"/>
        </w:rPr>
      </w:pPr>
      <w:r w:rsidRPr="00C258AD">
        <w:rPr>
          <w:rFonts w:eastAsia="SimSun"/>
        </w:rPr>
        <w:t>Conformément aux recommandations n</w:t>
      </w:r>
      <w:r w:rsidRPr="00C258AD">
        <w:rPr>
          <w:rFonts w:eastAsia="SimSun"/>
          <w:vertAlign w:val="superscript"/>
        </w:rPr>
        <w:t>os</w:t>
      </w:r>
      <w:r w:rsidRPr="00C258AD">
        <w:rPr>
          <w:rFonts w:eastAsia="SimSun"/>
        </w:rPr>
        <w:t xml:space="preserve"> 19, 25, 26 et 28 du Plan d’action pour le développement, dans le cadre du “Projet relatif à la propriété intellectuelle et au transfert de technologie : Élaborer des solutions face aux défis communs”, l’ensemble des six études consacrées aux différents aspects du transfert de technologie ont été révisées par des pairs, experts internationaux, et présentées au CDIP à sa quatorzième session en novembre 2014.  Suite à l’achèvement des études et comme prévu dans le document de projet approuvé, il a été établi un document de fond sur l’élaboration de solutions qui a été examiné lors du forum d’experts internationaux de haut niveau qui s’est tenu à Genève du 16 au 18 février 2015. </w:t>
      </w:r>
      <w:r w:rsidRPr="00C258AD">
        <w:rPr>
          <w:rFonts w:cs="Arial"/>
        </w:rPr>
        <w:t xml:space="preserve"> Un rapport sur le forum d’experts de l’OMPI consacré au transfert de technologie au niveau international a été présenté à la quinzième session du comité et examiné parallèlement au rapport d’évaluation du projet à la seizième session du CDIP.</w:t>
      </w:r>
    </w:p>
    <w:p w:rsidR="006E2BB1" w:rsidRPr="00C258AD" w:rsidRDefault="006E2BB1" w:rsidP="00A068F8"/>
    <w:p w:rsidR="006E2BB1" w:rsidRPr="00C258AD" w:rsidRDefault="00A068F8" w:rsidP="00A068F8">
      <w:pPr>
        <w:pStyle w:val="ListParagraph"/>
        <w:numPr>
          <w:ilvl w:val="0"/>
          <w:numId w:val="58"/>
        </w:numPr>
        <w:tabs>
          <w:tab w:val="left" w:pos="0"/>
          <w:tab w:val="left" w:pos="709"/>
        </w:tabs>
        <w:ind w:left="0" w:firstLine="0"/>
        <w:jc w:val="both"/>
      </w:pPr>
      <w:r w:rsidRPr="00C258AD">
        <w:rPr>
          <w:rFonts w:eastAsia="SimSun"/>
        </w:rPr>
        <w:t>S’agissant de la recommandation n° 36 du Plan d’action pour le développement, dans le cadre du projet relatif aux projets de partenariat ouvert et modèles fondés sur la propriété intellectuelle, une réunion d’experts a été organisée au siège de l’OMPI sous la forme d’une conférence de l’OMPI sur l’innovation ouverte : projets de collaboration et avenir du savoir, en janvier 2014.  En outre, une étude d’évaluation approfondie et une étude consacrée aux flux de savoirs mondiaux, qui doivent être intégrées dans la plateforme interactive prévue, ont été achevées et présentées au CDIP à sa quatorzième session.  Un rapport d’évaluation du projet a été examiné à la quinzième session du comité.</w:t>
      </w:r>
    </w:p>
    <w:p w:rsidR="006E2BB1" w:rsidRPr="00C258AD" w:rsidRDefault="006E2BB1" w:rsidP="00A068F8">
      <w:pPr>
        <w:tabs>
          <w:tab w:val="left" w:pos="709"/>
        </w:tabs>
        <w:jc w:val="both"/>
      </w:pPr>
    </w:p>
    <w:p w:rsidR="006E2BB1" w:rsidRPr="00C258AD" w:rsidRDefault="006E2BB1" w:rsidP="00A068F8">
      <w:pPr>
        <w:jc w:val="both"/>
      </w:pPr>
    </w:p>
    <w:p w:rsidR="006E2BB1" w:rsidRPr="00C258AD" w:rsidRDefault="00A068F8" w:rsidP="00A068F8">
      <w:pPr>
        <w:tabs>
          <w:tab w:val="left" w:pos="2268"/>
        </w:tabs>
        <w:rPr>
          <w:caps/>
          <w:sz w:val="22"/>
          <w:szCs w:val="22"/>
        </w:rPr>
      </w:pPr>
      <w:r w:rsidRPr="00C258AD">
        <w:rPr>
          <w:caps/>
          <w:sz w:val="22"/>
        </w:rPr>
        <w:t>données relatives à l’exécution</w:t>
      </w:r>
    </w:p>
    <w:p w:rsidR="00A068F8" w:rsidRPr="00C258AD" w:rsidRDefault="00A068F8" w:rsidP="00A068F8">
      <w:pPr>
        <w:tabs>
          <w:tab w:val="left" w:pos="720"/>
        </w:tabs>
      </w:pPr>
    </w:p>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090"/>
        <w:gridCol w:w="1665"/>
        <w:gridCol w:w="1532"/>
        <w:gridCol w:w="3223"/>
        <w:gridCol w:w="981"/>
      </w:tblGrid>
      <w:tr w:rsidR="00A068F8" w:rsidRPr="00C258AD" w:rsidTr="00A43BDE">
        <w:trPr>
          <w:cantSplit/>
        </w:trPr>
        <w:tc>
          <w:tcPr>
            <w:tcW w:w="5000" w:type="pct"/>
            <w:gridSpan w:val="5"/>
            <w:tcBorders>
              <w:top w:val="single" w:sz="4" w:space="0" w:color="auto"/>
              <w:bottom w:val="single" w:sz="4" w:space="0" w:color="auto"/>
            </w:tcBorders>
            <w:shd w:val="clear" w:color="auto" w:fill="C5D9F1"/>
            <w:vAlign w:val="center"/>
          </w:tcPr>
          <w:p w:rsidR="00A068F8" w:rsidRPr="00C258AD" w:rsidRDefault="00A068F8" w:rsidP="00A43BDE">
            <w:pPr>
              <w:rPr>
                <w:b/>
                <w:bCs/>
                <w:sz w:val="16"/>
                <w:szCs w:val="16"/>
              </w:rPr>
            </w:pPr>
            <w:r w:rsidRPr="00C258AD">
              <w:rPr>
                <w:b/>
                <w:sz w:val="16"/>
                <w:szCs w:val="16"/>
              </w:rPr>
              <w:t xml:space="preserve">Résultat escompté : </w:t>
            </w:r>
            <w:r w:rsidRPr="00C258AD">
              <w:rPr>
                <w:sz w:val="16"/>
                <w:szCs w:val="16"/>
              </w:rPr>
              <w:t>III.1 Stratégies et plans nationaux en matière d’innovation et de propriété intellectuelle conformes aux objectifs de développement nationaux</w:t>
            </w:r>
          </w:p>
        </w:tc>
      </w:tr>
      <w:tr w:rsidR="00A068F8" w:rsidRPr="00C258AD" w:rsidTr="00A43BDE">
        <w:trPr>
          <w:cantSplit/>
        </w:trPr>
        <w:tc>
          <w:tcPr>
            <w:tcW w:w="1101" w:type="pct"/>
            <w:tcBorders>
              <w:top w:val="single" w:sz="4" w:space="0" w:color="auto"/>
            </w:tcBorders>
            <w:vAlign w:val="center"/>
          </w:tcPr>
          <w:p w:rsidR="00A068F8" w:rsidRPr="00C258AD" w:rsidRDefault="00A068F8" w:rsidP="00A43BDE">
            <w:pPr>
              <w:jc w:val="center"/>
              <w:rPr>
                <w:sz w:val="16"/>
                <w:szCs w:val="16"/>
              </w:rPr>
            </w:pPr>
            <w:r w:rsidRPr="00C258AD">
              <w:rPr>
                <w:b/>
                <w:sz w:val="16"/>
                <w:szCs w:val="16"/>
              </w:rPr>
              <w:t>Indicateurs d’exécution</w:t>
            </w:r>
          </w:p>
        </w:tc>
        <w:tc>
          <w:tcPr>
            <w:tcW w:w="877" w:type="pct"/>
            <w:tcBorders>
              <w:top w:val="single" w:sz="4" w:space="0" w:color="auto"/>
            </w:tcBorders>
            <w:shd w:val="clear" w:color="auto" w:fill="auto"/>
            <w:vAlign w:val="center"/>
          </w:tcPr>
          <w:p w:rsidR="00A068F8" w:rsidRPr="00C258AD" w:rsidRDefault="00A068F8" w:rsidP="00A43BDE">
            <w:pPr>
              <w:jc w:val="center"/>
              <w:rPr>
                <w:b/>
                <w:bCs/>
                <w:sz w:val="16"/>
                <w:szCs w:val="16"/>
              </w:rPr>
            </w:pPr>
            <w:r w:rsidRPr="00C258AD">
              <w:rPr>
                <w:b/>
                <w:sz w:val="16"/>
                <w:szCs w:val="16"/>
              </w:rPr>
              <w:t>Niveaux de référence</w:t>
            </w:r>
          </w:p>
        </w:tc>
        <w:tc>
          <w:tcPr>
            <w:tcW w:w="807" w:type="pct"/>
            <w:tcBorders>
              <w:top w:val="single" w:sz="4" w:space="0" w:color="auto"/>
            </w:tcBorders>
            <w:tcMar>
              <w:top w:w="110" w:type="dxa"/>
            </w:tcMar>
            <w:vAlign w:val="center"/>
          </w:tcPr>
          <w:p w:rsidR="00A068F8" w:rsidRPr="00C258AD" w:rsidRDefault="00A068F8" w:rsidP="00A43BDE">
            <w:pPr>
              <w:jc w:val="center"/>
              <w:rPr>
                <w:b/>
                <w:sz w:val="16"/>
                <w:szCs w:val="16"/>
              </w:rPr>
            </w:pPr>
            <w:r w:rsidRPr="00C258AD">
              <w:rPr>
                <w:b/>
                <w:sz w:val="16"/>
                <w:szCs w:val="16"/>
              </w:rPr>
              <w:t>Objectifs visés</w:t>
            </w:r>
          </w:p>
        </w:tc>
        <w:tc>
          <w:tcPr>
            <w:tcW w:w="1698" w:type="pct"/>
            <w:tcBorders>
              <w:top w:val="single" w:sz="4" w:space="0" w:color="auto"/>
            </w:tcBorders>
            <w:shd w:val="clear" w:color="auto" w:fill="FFFFFF"/>
            <w:tcMar>
              <w:top w:w="110" w:type="dxa"/>
            </w:tcMar>
            <w:vAlign w:val="center"/>
          </w:tcPr>
          <w:p w:rsidR="00A068F8" w:rsidRPr="00C258AD" w:rsidRDefault="00A068F8" w:rsidP="00A43BDE">
            <w:pPr>
              <w:jc w:val="center"/>
              <w:rPr>
                <w:sz w:val="16"/>
                <w:szCs w:val="16"/>
              </w:rPr>
            </w:pPr>
            <w:r w:rsidRPr="00C258AD">
              <w:rPr>
                <w:b/>
                <w:sz w:val="16"/>
                <w:szCs w:val="16"/>
              </w:rPr>
              <w:t>Données relatives à l’exécution</w:t>
            </w:r>
          </w:p>
        </w:tc>
        <w:tc>
          <w:tcPr>
            <w:tcW w:w="517" w:type="pct"/>
            <w:tcBorders>
              <w:top w:val="single" w:sz="4" w:space="0" w:color="auto"/>
            </w:tcBorders>
            <w:tcMar>
              <w:top w:w="110" w:type="dxa"/>
            </w:tcMar>
            <w:vAlign w:val="center"/>
          </w:tcPr>
          <w:p w:rsidR="00A068F8" w:rsidRPr="00C258AD" w:rsidRDefault="00A068F8" w:rsidP="00A43BDE">
            <w:pPr>
              <w:keepNext/>
              <w:keepLines/>
              <w:jc w:val="center"/>
              <w:rPr>
                <w:b/>
                <w:bCs/>
                <w:sz w:val="16"/>
                <w:szCs w:val="16"/>
              </w:rPr>
            </w:pPr>
            <w:r w:rsidRPr="00C258AD">
              <w:rPr>
                <w:b/>
                <w:sz w:val="16"/>
                <w:szCs w:val="16"/>
              </w:rPr>
              <w:t>Code de couleurs</w:t>
            </w:r>
          </w:p>
        </w:tc>
      </w:tr>
      <w:tr w:rsidR="00A068F8" w:rsidRPr="00C258AD" w:rsidTr="00A43BDE">
        <w:trPr>
          <w:cantSplit/>
        </w:trPr>
        <w:tc>
          <w:tcPr>
            <w:tcW w:w="1101" w:type="pct"/>
            <w:tcBorders>
              <w:bottom w:val="single" w:sz="4" w:space="0" w:color="auto"/>
            </w:tcBorders>
          </w:tcPr>
          <w:p w:rsidR="00A068F8" w:rsidRPr="00C258AD" w:rsidRDefault="00A068F8" w:rsidP="00A43BDE">
            <w:pPr>
              <w:rPr>
                <w:sz w:val="16"/>
                <w:szCs w:val="16"/>
              </w:rPr>
            </w:pPr>
            <w:r w:rsidRPr="00C258AD">
              <w:rPr>
                <w:sz w:val="16"/>
                <w:szCs w:val="16"/>
              </w:rPr>
              <w:t>Nombre de pays dotés de politiques nationales en matière d’innovation en place, en cours ou adoptées</w:t>
            </w:r>
          </w:p>
        </w:tc>
        <w:tc>
          <w:tcPr>
            <w:tcW w:w="877" w:type="pct"/>
            <w:tcBorders>
              <w:bottom w:val="single" w:sz="4" w:space="0" w:color="auto"/>
            </w:tcBorders>
            <w:shd w:val="clear" w:color="auto" w:fill="auto"/>
          </w:tcPr>
          <w:p w:rsidR="006E2BB1" w:rsidRPr="00C258AD" w:rsidRDefault="00A068F8" w:rsidP="00A43BDE">
            <w:pPr>
              <w:rPr>
                <w:color w:val="002060"/>
                <w:sz w:val="16"/>
                <w:szCs w:val="16"/>
              </w:rPr>
            </w:pPr>
            <w:r w:rsidRPr="00C258AD">
              <w:rPr>
                <w:i/>
                <w:color w:val="002060"/>
                <w:sz w:val="16"/>
                <w:szCs w:val="16"/>
              </w:rPr>
              <w:t xml:space="preserve">Niveau de référence actualisé fin 2013 : </w:t>
            </w:r>
            <w:r w:rsidRPr="00C258AD">
              <w:rPr>
                <w:color w:val="002060"/>
                <w:sz w:val="16"/>
                <w:szCs w:val="16"/>
              </w:rPr>
              <w:t>1 pays</w:t>
            </w:r>
          </w:p>
          <w:p w:rsidR="006E2BB1" w:rsidRPr="00C258AD" w:rsidRDefault="006E2BB1" w:rsidP="00A43BDE">
            <w:pPr>
              <w:rPr>
                <w:i/>
                <w:sz w:val="16"/>
                <w:szCs w:val="16"/>
              </w:rPr>
            </w:pPr>
          </w:p>
          <w:p w:rsidR="00A068F8" w:rsidRPr="00C258AD" w:rsidRDefault="00A068F8" w:rsidP="00A43BDE">
            <w:pPr>
              <w:rPr>
                <w:sz w:val="16"/>
                <w:szCs w:val="16"/>
                <w:lang w:bidi="th-TH"/>
              </w:rPr>
            </w:pPr>
            <w:r w:rsidRPr="00C258AD">
              <w:rPr>
                <w:i/>
                <w:sz w:val="16"/>
                <w:szCs w:val="16"/>
              </w:rPr>
              <w:t>Niveau de référence initial programme et budget 2014</w:t>
            </w:r>
            <w:r w:rsidRPr="00C258AD">
              <w:rPr>
                <w:i/>
                <w:sz w:val="16"/>
                <w:szCs w:val="16"/>
              </w:rPr>
              <w:noBreakHyphen/>
              <w:t xml:space="preserve">2015 : </w:t>
            </w:r>
            <w:r w:rsidRPr="00C258AD">
              <w:rPr>
                <w:sz w:val="16"/>
                <w:szCs w:val="16"/>
              </w:rPr>
              <w:t>à déterminer</w:t>
            </w:r>
          </w:p>
        </w:tc>
        <w:tc>
          <w:tcPr>
            <w:tcW w:w="807" w:type="pct"/>
            <w:tcBorders>
              <w:bottom w:val="single" w:sz="4" w:space="0" w:color="auto"/>
            </w:tcBorders>
            <w:tcMar>
              <w:top w:w="110" w:type="dxa"/>
            </w:tcMar>
          </w:tcPr>
          <w:p w:rsidR="00A068F8" w:rsidRPr="00C258AD" w:rsidRDefault="00A068F8" w:rsidP="00A43BDE">
            <w:pPr>
              <w:rPr>
                <w:sz w:val="16"/>
                <w:szCs w:val="16"/>
                <w:lang w:bidi="th-TH"/>
              </w:rPr>
            </w:pPr>
            <w:r w:rsidRPr="00C258AD">
              <w:rPr>
                <w:sz w:val="16"/>
                <w:szCs w:val="16"/>
              </w:rPr>
              <w:t>5 pays</w:t>
            </w:r>
          </w:p>
        </w:tc>
        <w:tc>
          <w:tcPr>
            <w:tcW w:w="1698" w:type="pct"/>
            <w:tcBorders>
              <w:bottom w:val="single" w:sz="4" w:space="0" w:color="auto"/>
            </w:tcBorders>
            <w:shd w:val="clear" w:color="auto" w:fill="FFFFFF"/>
            <w:tcMar>
              <w:top w:w="110" w:type="dxa"/>
            </w:tcMar>
          </w:tcPr>
          <w:p w:rsidR="00A068F8" w:rsidRPr="00C258AD" w:rsidRDefault="00A068F8" w:rsidP="00A43BDE">
            <w:pPr>
              <w:rPr>
                <w:sz w:val="16"/>
                <w:szCs w:val="16"/>
              </w:rPr>
            </w:pPr>
            <w:r w:rsidRPr="00C258AD">
              <w:rPr>
                <w:sz w:val="16"/>
                <w:szCs w:val="16"/>
              </w:rPr>
              <w:t>Des politiques nationales en matière d’innovation ont été lancées dans cinq pays : Cameroun, Jamaïque, Rwanda, Sri Lanka et Trinité</w:t>
            </w:r>
            <w:r w:rsidRPr="00C258AD">
              <w:rPr>
                <w:sz w:val="16"/>
                <w:szCs w:val="16"/>
              </w:rPr>
              <w:noBreakHyphen/>
              <w:t>et</w:t>
            </w:r>
            <w:r w:rsidRPr="00C258AD">
              <w:rPr>
                <w:sz w:val="16"/>
                <w:szCs w:val="16"/>
              </w:rPr>
              <w:noBreakHyphen/>
              <w:t>Tobago.</w:t>
            </w:r>
          </w:p>
        </w:tc>
        <w:tc>
          <w:tcPr>
            <w:tcW w:w="517" w:type="pct"/>
            <w:tcBorders>
              <w:bottom w:val="single" w:sz="4" w:space="0" w:color="auto"/>
            </w:tcBorders>
            <w:tcMar>
              <w:top w:w="110" w:type="dxa"/>
            </w:tcMar>
          </w:tcPr>
          <w:p w:rsidR="00A068F8" w:rsidRPr="00BB5DFE" w:rsidRDefault="00A068F8" w:rsidP="00A43BDE">
            <w:pPr>
              <w:keepNext/>
              <w:keepLines/>
              <w:jc w:val="center"/>
              <w:rPr>
                <w:rFonts w:cs="Arial"/>
                <w:b/>
                <w:bCs/>
                <w:color w:val="808080"/>
                <w:sz w:val="16"/>
                <w:szCs w:val="16"/>
              </w:rPr>
            </w:pPr>
            <w:r w:rsidRPr="00BB5DFE">
              <w:rPr>
                <w:rStyle w:val="Style5"/>
                <w:rFonts w:ascii="Arial" w:hAnsi="Arial" w:cs="Arial"/>
                <w:b/>
                <w:bCs/>
                <w:color w:val="00B050"/>
                <w:sz w:val="16"/>
                <w:szCs w:val="16"/>
              </w:rPr>
              <w:t>Objectif pleinement atteint</w:t>
            </w:r>
          </w:p>
        </w:tc>
      </w:tr>
      <w:tr w:rsidR="00A068F8" w:rsidRPr="00C258AD" w:rsidTr="00A43BDE">
        <w:trPr>
          <w:cantSplit/>
        </w:trPr>
        <w:tc>
          <w:tcPr>
            <w:tcW w:w="5000" w:type="pct"/>
            <w:gridSpan w:val="5"/>
            <w:tcBorders>
              <w:top w:val="single" w:sz="4" w:space="0" w:color="auto"/>
              <w:bottom w:val="single" w:sz="4" w:space="0" w:color="auto"/>
            </w:tcBorders>
            <w:shd w:val="clear" w:color="auto" w:fill="C5D9F1"/>
            <w:vAlign w:val="center"/>
          </w:tcPr>
          <w:p w:rsidR="00A068F8" w:rsidRPr="00C258AD" w:rsidRDefault="00A068F8" w:rsidP="00A43BDE">
            <w:pPr>
              <w:keepNext/>
              <w:keepLines/>
              <w:rPr>
                <w:b/>
                <w:bCs/>
                <w:sz w:val="16"/>
                <w:szCs w:val="16"/>
              </w:rPr>
            </w:pPr>
            <w:r w:rsidRPr="00C258AD">
              <w:rPr>
                <w:b/>
                <w:sz w:val="16"/>
                <w:szCs w:val="16"/>
              </w:rPr>
              <w:lastRenderedPageBreak/>
              <w:t xml:space="preserve">Résultat escompté : </w:t>
            </w:r>
            <w:r w:rsidRPr="00C258AD">
              <w:rPr>
                <w:sz w:val="16"/>
                <w:szCs w:val="16"/>
              </w:rPr>
              <w:t>III.2 Renforcement des capacités en matière de ressources humaines pour pouvoir répondre aux nombreuses exigences en ce qui concerne l’utilisation efficace de la propriété intellectuelle au service du développement dans les pays en développement, les PMA et les pays en transition</w:t>
            </w:r>
          </w:p>
        </w:tc>
      </w:tr>
      <w:tr w:rsidR="00A068F8" w:rsidRPr="00C258AD" w:rsidTr="00A43BDE">
        <w:trPr>
          <w:cantSplit/>
        </w:trPr>
        <w:tc>
          <w:tcPr>
            <w:tcW w:w="1101" w:type="pct"/>
            <w:tcBorders>
              <w:top w:val="single" w:sz="4" w:space="0" w:color="auto"/>
            </w:tcBorders>
            <w:vAlign w:val="center"/>
          </w:tcPr>
          <w:p w:rsidR="00A068F8" w:rsidRPr="00C258AD" w:rsidRDefault="00A068F8" w:rsidP="00A43BDE">
            <w:pPr>
              <w:keepNext/>
              <w:keepLines/>
              <w:jc w:val="center"/>
              <w:rPr>
                <w:sz w:val="16"/>
                <w:szCs w:val="16"/>
              </w:rPr>
            </w:pPr>
            <w:r w:rsidRPr="00C258AD">
              <w:rPr>
                <w:b/>
                <w:sz w:val="16"/>
                <w:szCs w:val="16"/>
              </w:rPr>
              <w:t>Indicateurs d’exécution</w:t>
            </w:r>
          </w:p>
        </w:tc>
        <w:tc>
          <w:tcPr>
            <w:tcW w:w="877" w:type="pct"/>
            <w:tcBorders>
              <w:top w:val="single" w:sz="4" w:space="0" w:color="auto"/>
            </w:tcBorders>
            <w:shd w:val="clear" w:color="auto" w:fill="auto"/>
            <w:vAlign w:val="center"/>
          </w:tcPr>
          <w:p w:rsidR="00A068F8" w:rsidRPr="00C258AD" w:rsidRDefault="00A068F8" w:rsidP="00A43BDE">
            <w:pPr>
              <w:keepNext/>
              <w:keepLines/>
              <w:jc w:val="center"/>
              <w:rPr>
                <w:b/>
                <w:bCs/>
                <w:sz w:val="16"/>
                <w:szCs w:val="16"/>
              </w:rPr>
            </w:pPr>
            <w:r w:rsidRPr="00C258AD">
              <w:rPr>
                <w:b/>
                <w:sz w:val="16"/>
                <w:szCs w:val="16"/>
              </w:rPr>
              <w:t>Niveaux de référence</w:t>
            </w:r>
          </w:p>
        </w:tc>
        <w:tc>
          <w:tcPr>
            <w:tcW w:w="807" w:type="pct"/>
            <w:tcBorders>
              <w:top w:val="single" w:sz="4" w:space="0" w:color="auto"/>
            </w:tcBorders>
            <w:tcMar>
              <w:top w:w="110" w:type="dxa"/>
            </w:tcMar>
            <w:vAlign w:val="center"/>
          </w:tcPr>
          <w:p w:rsidR="00A068F8" w:rsidRPr="00C258AD" w:rsidRDefault="00A068F8" w:rsidP="00A43BDE">
            <w:pPr>
              <w:keepNext/>
              <w:keepLines/>
              <w:jc w:val="center"/>
              <w:rPr>
                <w:b/>
                <w:sz w:val="16"/>
                <w:szCs w:val="16"/>
              </w:rPr>
            </w:pPr>
            <w:r w:rsidRPr="00C258AD">
              <w:rPr>
                <w:b/>
                <w:sz w:val="16"/>
                <w:szCs w:val="16"/>
              </w:rPr>
              <w:t>Objectifs visés</w:t>
            </w:r>
          </w:p>
        </w:tc>
        <w:tc>
          <w:tcPr>
            <w:tcW w:w="1698" w:type="pct"/>
            <w:tcBorders>
              <w:top w:val="single" w:sz="4" w:space="0" w:color="auto"/>
            </w:tcBorders>
            <w:shd w:val="clear" w:color="auto" w:fill="FFFFFF"/>
            <w:tcMar>
              <w:top w:w="110" w:type="dxa"/>
            </w:tcMar>
            <w:vAlign w:val="center"/>
          </w:tcPr>
          <w:p w:rsidR="00A068F8" w:rsidRPr="00C258AD" w:rsidRDefault="00A068F8" w:rsidP="00A43BDE">
            <w:pPr>
              <w:keepNext/>
              <w:keepLines/>
              <w:jc w:val="center"/>
              <w:rPr>
                <w:sz w:val="16"/>
                <w:szCs w:val="16"/>
              </w:rPr>
            </w:pPr>
            <w:r w:rsidRPr="00C258AD">
              <w:rPr>
                <w:b/>
                <w:sz w:val="16"/>
                <w:szCs w:val="16"/>
              </w:rPr>
              <w:t>Données relatives à l’exécution</w:t>
            </w:r>
          </w:p>
        </w:tc>
        <w:tc>
          <w:tcPr>
            <w:tcW w:w="517" w:type="pct"/>
            <w:tcBorders>
              <w:top w:val="single" w:sz="4" w:space="0" w:color="auto"/>
            </w:tcBorders>
            <w:tcMar>
              <w:top w:w="110" w:type="dxa"/>
            </w:tcMar>
            <w:vAlign w:val="center"/>
          </w:tcPr>
          <w:p w:rsidR="00A068F8" w:rsidRPr="00C258AD" w:rsidRDefault="00A068F8" w:rsidP="00A43BDE">
            <w:pPr>
              <w:keepNext/>
              <w:keepLines/>
              <w:jc w:val="center"/>
              <w:rPr>
                <w:b/>
                <w:bCs/>
                <w:sz w:val="16"/>
                <w:szCs w:val="16"/>
              </w:rPr>
            </w:pPr>
            <w:r w:rsidRPr="00C258AD">
              <w:rPr>
                <w:b/>
                <w:sz w:val="16"/>
                <w:szCs w:val="16"/>
              </w:rPr>
              <w:t>Code de couleurs</w:t>
            </w:r>
          </w:p>
        </w:tc>
      </w:tr>
      <w:tr w:rsidR="00A068F8" w:rsidRPr="00C258AD" w:rsidTr="00A43BDE">
        <w:trPr>
          <w:cantSplit/>
        </w:trPr>
        <w:tc>
          <w:tcPr>
            <w:tcW w:w="1101" w:type="pct"/>
            <w:tcBorders>
              <w:bottom w:val="single" w:sz="4" w:space="0" w:color="auto"/>
            </w:tcBorders>
          </w:tcPr>
          <w:p w:rsidR="00A068F8" w:rsidRPr="00C258AD" w:rsidRDefault="00A068F8" w:rsidP="00A43BDE">
            <w:pPr>
              <w:keepNext/>
              <w:keepLines/>
              <w:rPr>
                <w:sz w:val="16"/>
                <w:szCs w:val="16"/>
                <w:lang w:bidi="th-TH"/>
              </w:rPr>
            </w:pPr>
            <w:r w:rsidRPr="00C258AD">
              <w:rPr>
                <w:sz w:val="16"/>
                <w:szCs w:val="16"/>
              </w:rPr>
              <w:t>Pourcentage de professionnels formés en matière de propriété intellectuelle qui utilisent des compétences améliorées dans le cadre de leurs activités professionnelles</w:t>
            </w:r>
          </w:p>
        </w:tc>
        <w:tc>
          <w:tcPr>
            <w:tcW w:w="877" w:type="pct"/>
            <w:tcBorders>
              <w:bottom w:val="single" w:sz="4" w:space="0" w:color="auto"/>
            </w:tcBorders>
            <w:shd w:val="clear" w:color="auto" w:fill="auto"/>
          </w:tcPr>
          <w:p w:rsidR="006E2BB1" w:rsidRPr="00C258AD" w:rsidRDefault="00A068F8" w:rsidP="00A43BDE">
            <w:pPr>
              <w:keepNext/>
              <w:keepLines/>
              <w:rPr>
                <w:color w:val="002060"/>
                <w:sz w:val="16"/>
                <w:szCs w:val="16"/>
              </w:rPr>
            </w:pPr>
            <w:r w:rsidRPr="00C258AD">
              <w:rPr>
                <w:i/>
                <w:color w:val="002060"/>
                <w:sz w:val="16"/>
                <w:szCs w:val="16"/>
              </w:rPr>
              <w:t xml:space="preserve">Niveau de référence actualisé fin 2013 : </w:t>
            </w:r>
            <w:proofErr w:type="spellStart"/>
            <w:r w:rsidRPr="00C258AD">
              <w:rPr>
                <w:color w:val="002060"/>
                <w:sz w:val="16"/>
                <w:szCs w:val="16"/>
              </w:rPr>
              <w:t>n.d</w:t>
            </w:r>
            <w:proofErr w:type="spellEnd"/>
            <w:r w:rsidRPr="00C258AD">
              <w:rPr>
                <w:color w:val="002060"/>
                <w:sz w:val="16"/>
                <w:szCs w:val="16"/>
              </w:rPr>
              <w:t>.</w:t>
            </w:r>
          </w:p>
          <w:p w:rsidR="006E2BB1" w:rsidRPr="00C258AD" w:rsidRDefault="006E2BB1" w:rsidP="00A43BDE">
            <w:pPr>
              <w:keepNext/>
              <w:keepLines/>
              <w:rPr>
                <w:i/>
                <w:sz w:val="16"/>
                <w:szCs w:val="16"/>
              </w:rPr>
            </w:pPr>
          </w:p>
          <w:p w:rsidR="00A068F8" w:rsidRPr="00C258AD" w:rsidRDefault="00A068F8" w:rsidP="00A43BDE">
            <w:pPr>
              <w:keepNext/>
              <w:keepLines/>
              <w:rPr>
                <w:sz w:val="16"/>
                <w:szCs w:val="16"/>
                <w:lang w:bidi="th-TH"/>
              </w:rPr>
            </w:pPr>
            <w:r w:rsidRPr="00C258AD">
              <w:rPr>
                <w:i/>
                <w:sz w:val="16"/>
                <w:szCs w:val="16"/>
              </w:rPr>
              <w:t>Niveau de référence initial programme et budget 2014</w:t>
            </w:r>
            <w:r w:rsidRPr="00C258AD">
              <w:rPr>
                <w:i/>
                <w:sz w:val="16"/>
                <w:szCs w:val="16"/>
              </w:rPr>
              <w:noBreakHyphen/>
              <w:t xml:space="preserve">2015 : </w:t>
            </w:r>
            <w:r w:rsidRPr="00C258AD">
              <w:rPr>
                <w:sz w:val="16"/>
                <w:szCs w:val="16"/>
              </w:rPr>
              <w:t>à déterminer</w:t>
            </w:r>
          </w:p>
        </w:tc>
        <w:tc>
          <w:tcPr>
            <w:tcW w:w="807" w:type="pct"/>
            <w:tcBorders>
              <w:bottom w:val="single" w:sz="4" w:space="0" w:color="auto"/>
            </w:tcBorders>
            <w:tcMar>
              <w:top w:w="110" w:type="dxa"/>
            </w:tcMar>
          </w:tcPr>
          <w:p w:rsidR="00A068F8" w:rsidRPr="00C258AD" w:rsidRDefault="00A068F8" w:rsidP="00A43BDE">
            <w:pPr>
              <w:keepNext/>
              <w:keepLines/>
              <w:autoSpaceDE w:val="0"/>
              <w:autoSpaceDN w:val="0"/>
              <w:adjustRightInd w:val="0"/>
              <w:rPr>
                <w:sz w:val="16"/>
                <w:szCs w:val="16"/>
              </w:rPr>
            </w:pPr>
            <w:r w:rsidRPr="00C258AD">
              <w:rPr>
                <w:sz w:val="16"/>
                <w:szCs w:val="16"/>
              </w:rPr>
              <w:t>50%</w:t>
            </w:r>
          </w:p>
        </w:tc>
        <w:tc>
          <w:tcPr>
            <w:tcW w:w="1698" w:type="pct"/>
            <w:tcBorders>
              <w:bottom w:val="single" w:sz="4" w:space="0" w:color="auto"/>
            </w:tcBorders>
            <w:shd w:val="clear" w:color="auto" w:fill="FFFFFF"/>
            <w:tcMar>
              <w:top w:w="110" w:type="dxa"/>
            </w:tcMar>
          </w:tcPr>
          <w:p w:rsidR="00A068F8" w:rsidRPr="00C258AD" w:rsidRDefault="00A068F8" w:rsidP="00A43BDE">
            <w:pPr>
              <w:keepNext/>
              <w:keepLines/>
              <w:rPr>
                <w:sz w:val="16"/>
                <w:szCs w:val="16"/>
              </w:rPr>
            </w:pPr>
            <w:r w:rsidRPr="00C258AD">
              <w:rPr>
                <w:sz w:val="16"/>
                <w:szCs w:val="16"/>
              </w:rPr>
              <w:t>77%</w:t>
            </w:r>
          </w:p>
        </w:tc>
        <w:tc>
          <w:tcPr>
            <w:tcW w:w="517" w:type="pct"/>
            <w:tcBorders>
              <w:bottom w:val="single" w:sz="4" w:space="0" w:color="auto"/>
            </w:tcBorders>
            <w:tcMar>
              <w:top w:w="110" w:type="dxa"/>
            </w:tcMar>
          </w:tcPr>
          <w:p w:rsidR="00A068F8" w:rsidRPr="00C258AD" w:rsidRDefault="00A068F8" w:rsidP="00A43BDE">
            <w:pPr>
              <w:keepNext/>
              <w:keepLines/>
              <w:jc w:val="center"/>
              <w:rPr>
                <w:sz w:val="16"/>
                <w:szCs w:val="16"/>
              </w:rPr>
            </w:pPr>
            <w:r w:rsidRPr="00C258AD">
              <w:rPr>
                <w:rStyle w:val="Style5"/>
                <w:rFonts w:cs="Arial"/>
                <w:b/>
                <w:bCs/>
                <w:color w:val="00B050"/>
                <w:sz w:val="16"/>
                <w:szCs w:val="16"/>
              </w:rPr>
              <w:t>Objectif pleinement atteint</w:t>
            </w:r>
          </w:p>
        </w:tc>
      </w:tr>
      <w:tr w:rsidR="00A068F8" w:rsidRPr="00C258AD" w:rsidTr="00A43BDE">
        <w:trPr>
          <w:cantSplit/>
        </w:trPr>
        <w:tc>
          <w:tcPr>
            <w:tcW w:w="5000" w:type="pct"/>
            <w:gridSpan w:val="5"/>
            <w:tcBorders>
              <w:top w:val="single" w:sz="4" w:space="0" w:color="auto"/>
              <w:bottom w:val="single" w:sz="4" w:space="0" w:color="auto"/>
            </w:tcBorders>
            <w:shd w:val="clear" w:color="auto" w:fill="C5D9F1"/>
            <w:vAlign w:val="center"/>
          </w:tcPr>
          <w:p w:rsidR="00A068F8" w:rsidRPr="00C258AD" w:rsidRDefault="00A068F8" w:rsidP="00A43BDE">
            <w:pPr>
              <w:keepNext/>
              <w:keepLines/>
              <w:rPr>
                <w:b/>
                <w:bCs/>
                <w:sz w:val="16"/>
                <w:szCs w:val="16"/>
              </w:rPr>
            </w:pPr>
            <w:r w:rsidRPr="00C258AD">
              <w:rPr>
                <w:b/>
                <w:sz w:val="16"/>
                <w:szCs w:val="16"/>
              </w:rPr>
              <w:t xml:space="preserve">Résultat escompté : </w:t>
            </w:r>
            <w:r w:rsidRPr="00C258AD">
              <w:rPr>
                <w:sz w:val="16"/>
                <w:szCs w:val="16"/>
              </w:rPr>
              <w:t>III.6 Renforcement des capacités des PME de mettre la propriété intellectuelle au service de l’innovation</w:t>
            </w:r>
          </w:p>
        </w:tc>
      </w:tr>
      <w:tr w:rsidR="00A068F8" w:rsidRPr="00C258AD" w:rsidTr="00A43BDE">
        <w:trPr>
          <w:cantSplit/>
        </w:trPr>
        <w:tc>
          <w:tcPr>
            <w:tcW w:w="1101" w:type="pct"/>
            <w:tcBorders>
              <w:top w:val="single" w:sz="4" w:space="0" w:color="auto"/>
            </w:tcBorders>
            <w:vAlign w:val="center"/>
          </w:tcPr>
          <w:p w:rsidR="00A068F8" w:rsidRPr="00C258AD" w:rsidRDefault="00A068F8" w:rsidP="00A43BDE">
            <w:pPr>
              <w:keepNext/>
              <w:keepLines/>
              <w:jc w:val="center"/>
              <w:rPr>
                <w:sz w:val="16"/>
                <w:szCs w:val="16"/>
              </w:rPr>
            </w:pPr>
            <w:r w:rsidRPr="00C258AD">
              <w:rPr>
                <w:b/>
                <w:sz w:val="16"/>
                <w:szCs w:val="16"/>
              </w:rPr>
              <w:t>Indicateurs d’exécution</w:t>
            </w:r>
          </w:p>
        </w:tc>
        <w:tc>
          <w:tcPr>
            <w:tcW w:w="877" w:type="pct"/>
            <w:tcBorders>
              <w:top w:val="single" w:sz="4" w:space="0" w:color="auto"/>
            </w:tcBorders>
            <w:shd w:val="clear" w:color="auto" w:fill="auto"/>
            <w:vAlign w:val="center"/>
          </w:tcPr>
          <w:p w:rsidR="00A068F8" w:rsidRPr="00C258AD" w:rsidRDefault="00A068F8" w:rsidP="00A43BDE">
            <w:pPr>
              <w:keepNext/>
              <w:keepLines/>
              <w:jc w:val="center"/>
              <w:rPr>
                <w:b/>
                <w:bCs/>
                <w:sz w:val="16"/>
                <w:szCs w:val="16"/>
              </w:rPr>
            </w:pPr>
            <w:r w:rsidRPr="00C258AD">
              <w:rPr>
                <w:b/>
                <w:sz w:val="16"/>
                <w:szCs w:val="16"/>
              </w:rPr>
              <w:t>Niveaux de référence</w:t>
            </w:r>
          </w:p>
        </w:tc>
        <w:tc>
          <w:tcPr>
            <w:tcW w:w="807" w:type="pct"/>
            <w:tcBorders>
              <w:top w:val="single" w:sz="4" w:space="0" w:color="auto"/>
            </w:tcBorders>
            <w:tcMar>
              <w:top w:w="110" w:type="dxa"/>
            </w:tcMar>
            <w:vAlign w:val="center"/>
          </w:tcPr>
          <w:p w:rsidR="00A068F8" w:rsidRPr="00C258AD" w:rsidRDefault="00A068F8" w:rsidP="00A43BDE">
            <w:pPr>
              <w:keepNext/>
              <w:keepLines/>
              <w:jc w:val="center"/>
              <w:rPr>
                <w:b/>
                <w:sz w:val="16"/>
                <w:szCs w:val="16"/>
              </w:rPr>
            </w:pPr>
            <w:r w:rsidRPr="00C258AD">
              <w:rPr>
                <w:b/>
                <w:sz w:val="16"/>
                <w:szCs w:val="16"/>
              </w:rPr>
              <w:t>Objectifs visés</w:t>
            </w:r>
          </w:p>
        </w:tc>
        <w:tc>
          <w:tcPr>
            <w:tcW w:w="1698" w:type="pct"/>
            <w:tcBorders>
              <w:top w:val="single" w:sz="4" w:space="0" w:color="auto"/>
            </w:tcBorders>
            <w:shd w:val="clear" w:color="auto" w:fill="FFFFFF"/>
            <w:tcMar>
              <w:top w:w="110" w:type="dxa"/>
            </w:tcMar>
            <w:vAlign w:val="center"/>
          </w:tcPr>
          <w:p w:rsidR="00A068F8" w:rsidRPr="00C258AD" w:rsidRDefault="00A068F8" w:rsidP="00A43BDE">
            <w:pPr>
              <w:keepNext/>
              <w:keepLines/>
              <w:jc w:val="center"/>
              <w:rPr>
                <w:sz w:val="16"/>
                <w:szCs w:val="16"/>
              </w:rPr>
            </w:pPr>
            <w:r w:rsidRPr="00C258AD">
              <w:rPr>
                <w:b/>
                <w:sz w:val="16"/>
                <w:szCs w:val="16"/>
              </w:rPr>
              <w:t>Données relatives à l’exécution</w:t>
            </w:r>
          </w:p>
        </w:tc>
        <w:tc>
          <w:tcPr>
            <w:tcW w:w="517" w:type="pct"/>
            <w:tcBorders>
              <w:top w:val="single" w:sz="4" w:space="0" w:color="auto"/>
            </w:tcBorders>
            <w:tcMar>
              <w:top w:w="110" w:type="dxa"/>
            </w:tcMar>
            <w:vAlign w:val="center"/>
          </w:tcPr>
          <w:p w:rsidR="00A068F8" w:rsidRPr="00C258AD" w:rsidRDefault="00A068F8" w:rsidP="00A43BDE">
            <w:pPr>
              <w:keepNext/>
              <w:keepLines/>
              <w:jc w:val="center"/>
              <w:rPr>
                <w:b/>
                <w:bCs/>
                <w:sz w:val="16"/>
                <w:szCs w:val="16"/>
              </w:rPr>
            </w:pPr>
            <w:r w:rsidRPr="00C258AD">
              <w:rPr>
                <w:b/>
                <w:sz w:val="16"/>
                <w:szCs w:val="16"/>
              </w:rPr>
              <w:t>Code de couleurs</w:t>
            </w:r>
          </w:p>
        </w:tc>
      </w:tr>
      <w:tr w:rsidR="00A068F8" w:rsidRPr="00C258AD" w:rsidTr="00A43BDE">
        <w:trPr>
          <w:cantSplit/>
        </w:trPr>
        <w:tc>
          <w:tcPr>
            <w:tcW w:w="1101" w:type="pct"/>
          </w:tcPr>
          <w:p w:rsidR="00A068F8" w:rsidRPr="00C258AD" w:rsidRDefault="00A068F8" w:rsidP="00A43BDE">
            <w:pPr>
              <w:keepNext/>
              <w:keepLines/>
              <w:rPr>
                <w:sz w:val="16"/>
                <w:szCs w:val="16"/>
                <w:lang w:bidi="th-TH"/>
              </w:rPr>
            </w:pPr>
            <w:r w:rsidRPr="00C258AD">
              <w:rPr>
                <w:sz w:val="16"/>
                <w:szCs w:val="16"/>
              </w:rPr>
              <w:t>Nombre d’abonnements au bulletin des PME</w:t>
            </w:r>
          </w:p>
        </w:tc>
        <w:tc>
          <w:tcPr>
            <w:tcW w:w="877" w:type="pct"/>
            <w:shd w:val="clear" w:color="auto" w:fill="auto"/>
          </w:tcPr>
          <w:p w:rsidR="006E2BB1" w:rsidRPr="00C258AD" w:rsidRDefault="00A068F8" w:rsidP="00A43BDE">
            <w:pPr>
              <w:keepNext/>
              <w:keepLines/>
              <w:rPr>
                <w:color w:val="002060"/>
                <w:sz w:val="16"/>
                <w:szCs w:val="16"/>
              </w:rPr>
            </w:pPr>
            <w:r w:rsidRPr="00C258AD">
              <w:rPr>
                <w:i/>
                <w:color w:val="002060"/>
                <w:sz w:val="16"/>
                <w:szCs w:val="16"/>
              </w:rPr>
              <w:t xml:space="preserve">Niveau de référence actualisé fin 2013 : </w:t>
            </w:r>
            <w:r w:rsidRPr="00C258AD">
              <w:rPr>
                <w:color w:val="002060"/>
                <w:sz w:val="16"/>
                <w:szCs w:val="16"/>
              </w:rPr>
              <w:t>41 101</w:t>
            </w:r>
          </w:p>
          <w:p w:rsidR="006E2BB1" w:rsidRPr="00C258AD" w:rsidRDefault="006E2BB1" w:rsidP="00A43BDE">
            <w:pPr>
              <w:keepNext/>
              <w:keepLines/>
              <w:rPr>
                <w:i/>
                <w:sz w:val="16"/>
                <w:szCs w:val="16"/>
              </w:rPr>
            </w:pPr>
          </w:p>
          <w:p w:rsidR="00A068F8" w:rsidRPr="00C258AD" w:rsidRDefault="00A068F8" w:rsidP="00A43BDE">
            <w:pPr>
              <w:keepNext/>
              <w:keepLines/>
              <w:rPr>
                <w:sz w:val="16"/>
                <w:szCs w:val="16"/>
                <w:lang w:bidi="th-TH"/>
              </w:rPr>
            </w:pPr>
            <w:r w:rsidRPr="00C258AD">
              <w:rPr>
                <w:i/>
                <w:sz w:val="16"/>
                <w:szCs w:val="16"/>
              </w:rPr>
              <w:t>Niveau de référence initial programme et budget 2014</w:t>
            </w:r>
            <w:r w:rsidRPr="00C258AD">
              <w:rPr>
                <w:i/>
                <w:sz w:val="16"/>
                <w:szCs w:val="16"/>
              </w:rPr>
              <w:noBreakHyphen/>
              <w:t>2015 :</w:t>
            </w:r>
            <w:r w:rsidRPr="00C258AD">
              <w:rPr>
                <w:sz w:val="16"/>
                <w:szCs w:val="16"/>
              </w:rPr>
              <w:t xml:space="preserve"> à déterminer</w:t>
            </w:r>
          </w:p>
        </w:tc>
        <w:tc>
          <w:tcPr>
            <w:tcW w:w="807" w:type="pct"/>
            <w:tcMar>
              <w:top w:w="110" w:type="dxa"/>
            </w:tcMar>
          </w:tcPr>
          <w:p w:rsidR="006E2BB1" w:rsidRPr="00C258AD" w:rsidRDefault="00A068F8" w:rsidP="00A43BDE">
            <w:pPr>
              <w:keepNext/>
              <w:keepLines/>
              <w:rPr>
                <w:color w:val="002060"/>
                <w:sz w:val="16"/>
                <w:szCs w:val="16"/>
              </w:rPr>
            </w:pPr>
            <w:r w:rsidRPr="00C258AD">
              <w:rPr>
                <w:color w:val="002060"/>
                <w:sz w:val="16"/>
                <w:szCs w:val="16"/>
              </w:rPr>
              <w:t>Niveau de référence défini : 40 000</w:t>
            </w:r>
          </w:p>
          <w:p w:rsidR="006E2BB1" w:rsidRPr="00C258AD" w:rsidRDefault="006E2BB1" w:rsidP="00A43BDE">
            <w:pPr>
              <w:keepNext/>
              <w:keepLines/>
              <w:rPr>
                <w:sz w:val="16"/>
                <w:szCs w:val="16"/>
              </w:rPr>
            </w:pPr>
          </w:p>
          <w:p w:rsidR="00A068F8" w:rsidRPr="00C258AD" w:rsidRDefault="00A068F8" w:rsidP="00A43BDE">
            <w:pPr>
              <w:keepNext/>
              <w:keepLines/>
              <w:rPr>
                <w:sz w:val="16"/>
                <w:szCs w:val="16"/>
                <w:lang w:bidi="th-TH"/>
              </w:rPr>
            </w:pPr>
            <w:r w:rsidRPr="00C258AD">
              <w:rPr>
                <w:sz w:val="16"/>
                <w:szCs w:val="16"/>
              </w:rPr>
              <w:t>Niveau de référence initial Programme et budget 2014</w:t>
            </w:r>
            <w:r w:rsidRPr="00C258AD">
              <w:rPr>
                <w:sz w:val="16"/>
                <w:szCs w:val="16"/>
              </w:rPr>
              <w:noBreakHyphen/>
              <w:t>2015 : à déterminer</w:t>
            </w:r>
          </w:p>
        </w:tc>
        <w:tc>
          <w:tcPr>
            <w:tcW w:w="1698" w:type="pct"/>
            <w:shd w:val="clear" w:color="auto" w:fill="FFFFFF"/>
            <w:tcMar>
              <w:top w:w="110" w:type="dxa"/>
            </w:tcMar>
          </w:tcPr>
          <w:p w:rsidR="006E2BB1" w:rsidRPr="00C258AD" w:rsidRDefault="00A068F8" w:rsidP="00A43BDE">
            <w:pPr>
              <w:keepNext/>
              <w:keepLines/>
              <w:rPr>
                <w:sz w:val="16"/>
                <w:szCs w:val="16"/>
              </w:rPr>
            </w:pPr>
            <w:r w:rsidRPr="00C258AD">
              <w:rPr>
                <w:sz w:val="16"/>
                <w:szCs w:val="16"/>
              </w:rPr>
              <w:t>40 510 abonnements au bulletin d’information sur les PME en 2014.</w:t>
            </w:r>
          </w:p>
          <w:p w:rsidR="006E2BB1" w:rsidRPr="00C258AD" w:rsidRDefault="006E2BB1" w:rsidP="00A43BDE">
            <w:pPr>
              <w:keepNext/>
              <w:keepLines/>
              <w:rPr>
                <w:sz w:val="16"/>
                <w:szCs w:val="16"/>
              </w:rPr>
            </w:pPr>
          </w:p>
          <w:p w:rsidR="006E2BB1" w:rsidRPr="00C258AD" w:rsidRDefault="00A068F8" w:rsidP="00A43BDE">
            <w:pPr>
              <w:keepNext/>
              <w:keepLines/>
              <w:rPr>
                <w:sz w:val="16"/>
                <w:szCs w:val="16"/>
              </w:rPr>
            </w:pPr>
            <w:r w:rsidRPr="00C258AD">
              <w:rPr>
                <w:sz w:val="16"/>
                <w:szCs w:val="16"/>
              </w:rPr>
              <w:t>6657 abonnements au bulletin d’information sur les PME en 2015.</w:t>
            </w:r>
          </w:p>
          <w:p w:rsidR="006E2BB1" w:rsidRPr="00C258AD" w:rsidRDefault="006E2BB1" w:rsidP="00A43BDE">
            <w:pPr>
              <w:keepNext/>
              <w:keepLines/>
              <w:rPr>
                <w:sz w:val="16"/>
                <w:szCs w:val="16"/>
              </w:rPr>
            </w:pPr>
          </w:p>
          <w:p w:rsidR="00A068F8" w:rsidRPr="00C258AD" w:rsidRDefault="00A068F8" w:rsidP="00A43BDE">
            <w:pPr>
              <w:keepNext/>
              <w:keepLines/>
              <w:rPr>
                <w:sz w:val="16"/>
                <w:szCs w:val="16"/>
                <w:lang w:bidi="th-TH"/>
              </w:rPr>
            </w:pPr>
            <w:r w:rsidRPr="00C258AD">
              <w:rPr>
                <w:sz w:val="16"/>
                <w:szCs w:val="16"/>
              </w:rPr>
              <w:t>Voir le paragraphe 30.4 pour plus d’informations</w:t>
            </w:r>
          </w:p>
        </w:tc>
        <w:tc>
          <w:tcPr>
            <w:tcW w:w="517" w:type="pct"/>
            <w:tcMar>
              <w:top w:w="110" w:type="dxa"/>
            </w:tcMar>
          </w:tcPr>
          <w:p w:rsidR="00A068F8" w:rsidRPr="00BB5DFE" w:rsidRDefault="00A068F8" w:rsidP="00A43BDE">
            <w:pPr>
              <w:keepNext/>
              <w:keepLines/>
              <w:jc w:val="center"/>
              <w:rPr>
                <w:rFonts w:cs="Arial"/>
                <w:bCs/>
                <w:color w:val="808080"/>
                <w:sz w:val="16"/>
                <w:szCs w:val="16"/>
              </w:rPr>
            </w:pPr>
            <w:r w:rsidRPr="00BB5DFE">
              <w:rPr>
                <w:rStyle w:val="Style5"/>
                <w:rFonts w:ascii="Arial" w:hAnsi="Arial" w:cs="Arial"/>
                <w:b/>
                <w:bCs/>
                <w:color w:val="808080"/>
                <w:sz w:val="16"/>
                <w:szCs w:val="16"/>
              </w:rPr>
              <w:t>Non évaluable</w:t>
            </w:r>
          </w:p>
        </w:tc>
      </w:tr>
      <w:tr w:rsidR="00A068F8" w:rsidRPr="00C258AD" w:rsidTr="00A43BDE">
        <w:trPr>
          <w:cantSplit/>
        </w:trPr>
        <w:tc>
          <w:tcPr>
            <w:tcW w:w="1101" w:type="pct"/>
          </w:tcPr>
          <w:p w:rsidR="00A068F8" w:rsidRPr="00C258AD" w:rsidRDefault="00A068F8" w:rsidP="00A43BDE">
            <w:pPr>
              <w:rPr>
                <w:sz w:val="16"/>
                <w:szCs w:val="16"/>
                <w:lang w:bidi="th-TH"/>
              </w:rPr>
            </w:pPr>
            <w:r w:rsidRPr="00C258AD">
              <w:rPr>
                <w:sz w:val="16"/>
                <w:szCs w:val="16"/>
              </w:rPr>
              <w:t xml:space="preserve">Nombre de téléchargements de supports et directives concernant les PME </w:t>
            </w:r>
          </w:p>
        </w:tc>
        <w:tc>
          <w:tcPr>
            <w:tcW w:w="877" w:type="pct"/>
            <w:shd w:val="clear" w:color="auto" w:fill="auto"/>
          </w:tcPr>
          <w:p w:rsidR="006E2BB1" w:rsidRPr="00C258AD" w:rsidRDefault="00A068F8" w:rsidP="00A43BDE">
            <w:pPr>
              <w:keepNext/>
              <w:keepLines/>
              <w:outlineLvl w:val="7"/>
              <w:rPr>
                <w:i/>
                <w:color w:val="002060"/>
                <w:sz w:val="16"/>
                <w:szCs w:val="16"/>
              </w:rPr>
            </w:pPr>
            <w:r w:rsidRPr="00C258AD">
              <w:rPr>
                <w:i/>
                <w:color w:val="002060"/>
                <w:sz w:val="16"/>
                <w:szCs w:val="16"/>
              </w:rPr>
              <w:t>Niveau de référence actualisé fin 2013 :</w:t>
            </w:r>
          </w:p>
          <w:p w:rsidR="006E2BB1" w:rsidRPr="00C258AD" w:rsidRDefault="00A068F8" w:rsidP="00A43BDE">
            <w:pPr>
              <w:rPr>
                <w:color w:val="002060"/>
                <w:sz w:val="16"/>
                <w:szCs w:val="16"/>
              </w:rPr>
            </w:pPr>
            <w:r w:rsidRPr="00C258AD">
              <w:rPr>
                <w:color w:val="002060"/>
                <w:sz w:val="16"/>
                <w:szCs w:val="16"/>
              </w:rPr>
              <w:t>nombre de téléchargements : 77 617 (2013)</w:t>
            </w:r>
          </w:p>
          <w:p w:rsidR="006E2BB1" w:rsidRPr="00C258AD" w:rsidRDefault="006E2BB1" w:rsidP="00A43BDE">
            <w:pPr>
              <w:rPr>
                <w:color w:val="002060"/>
                <w:sz w:val="16"/>
                <w:szCs w:val="16"/>
              </w:rPr>
            </w:pPr>
          </w:p>
          <w:p w:rsidR="006E2BB1" w:rsidRPr="00C258AD" w:rsidRDefault="00A068F8" w:rsidP="00A43BDE">
            <w:pPr>
              <w:rPr>
                <w:i/>
                <w:color w:val="002060"/>
                <w:sz w:val="16"/>
                <w:szCs w:val="16"/>
              </w:rPr>
            </w:pPr>
            <w:r w:rsidRPr="00C258AD">
              <w:rPr>
                <w:color w:val="002060"/>
                <w:sz w:val="16"/>
                <w:szCs w:val="16"/>
              </w:rPr>
              <w:t>Nombre de consultations de page : 1 210 803 (2013)</w:t>
            </w:r>
          </w:p>
          <w:p w:rsidR="006E2BB1" w:rsidRPr="00C258AD" w:rsidRDefault="006E2BB1" w:rsidP="00A43BDE">
            <w:pPr>
              <w:rPr>
                <w:i/>
                <w:sz w:val="16"/>
                <w:szCs w:val="16"/>
              </w:rPr>
            </w:pPr>
          </w:p>
          <w:p w:rsidR="00A068F8" w:rsidRPr="00C258AD" w:rsidRDefault="00A068F8" w:rsidP="00A43BDE">
            <w:pPr>
              <w:rPr>
                <w:sz w:val="16"/>
                <w:szCs w:val="16"/>
                <w:lang w:bidi="th-TH"/>
              </w:rPr>
            </w:pPr>
            <w:r w:rsidRPr="00C258AD">
              <w:rPr>
                <w:i/>
                <w:sz w:val="16"/>
                <w:szCs w:val="16"/>
              </w:rPr>
              <w:t>Niveau de référence initial programme et budget 2014</w:t>
            </w:r>
            <w:r w:rsidRPr="00C258AD">
              <w:rPr>
                <w:i/>
                <w:sz w:val="16"/>
                <w:szCs w:val="16"/>
              </w:rPr>
              <w:noBreakHyphen/>
              <w:t>2015 :</w:t>
            </w:r>
            <w:r w:rsidRPr="00C258AD">
              <w:rPr>
                <w:sz w:val="16"/>
                <w:szCs w:val="16"/>
              </w:rPr>
              <w:t xml:space="preserve"> à déterminer</w:t>
            </w:r>
          </w:p>
        </w:tc>
        <w:tc>
          <w:tcPr>
            <w:tcW w:w="807" w:type="pct"/>
            <w:tcMar>
              <w:top w:w="110" w:type="dxa"/>
            </w:tcMar>
          </w:tcPr>
          <w:p w:rsidR="00A068F8" w:rsidRPr="00C258AD" w:rsidRDefault="00A068F8" w:rsidP="00A43BDE">
            <w:pPr>
              <w:rPr>
                <w:sz w:val="16"/>
                <w:szCs w:val="16"/>
                <w:lang w:bidi="th-TH"/>
              </w:rPr>
            </w:pPr>
            <w:r w:rsidRPr="00C258AD">
              <w:rPr>
                <w:sz w:val="16"/>
                <w:szCs w:val="16"/>
              </w:rPr>
              <w:t>À déterminer</w:t>
            </w:r>
          </w:p>
        </w:tc>
        <w:tc>
          <w:tcPr>
            <w:tcW w:w="1698" w:type="pct"/>
            <w:shd w:val="clear" w:color="auto" w:fill="FFFFFF"/>
            <w:tcMar>
              <w:top w:w="110" w:type="dxa"/>
            </w:tcMar>
          </w:tcPr>
          <w:p w:rsidR="006E2BB1" w:rsidRPr="00C258AD" w:rsidRDefault="00A068F8" w:rsidP="00A43BDE">
            <w:pPr>
              <w:rPr>
                <w:sz w:val="16"/>
                <w:szCs w:val="16"/>
              </w:rPr>
            </w:pPr>
            <w:r w:rsidRPr="00C258AD">
              <w:rPr>
                <w:sz w:val="16"/>
                <w:szCs w:val="16"/>
              </w:rPr>
              <w:t>2014 :</w:t>
            </w:r>
          </w:p>
          <w:p w:rsidR="006E2BB1" w:rsidRPr="00C258AD" w:rsidRDefault="00A068F8" w:rsidP="00A43BDE">
            <w:pPr>
              <w:rPr>
                <w:sz w:val="16"/>
                <w:szCs w:val="16"/>
              </w:rPr>
            </w:pPr>
            <w:r w:rsidRPr="00C258AD">
              <w:rPr>
                <w:sz w:val="16"/>
                <w:szCs w:val="16"/>
              </w:rPr>
              <w:t>Nombre de téléchargements : 70 559 (–9% par rapport à 2013)</w:t>
            </w:r>
          </w:p>
          <w:p w:rsidR="006E2BB1" w:rsidRPr="00C258AD" w:rsidRDefault="00A068F8" w:rsidP="00A43BDE">
            <w:pPr>
              <w:rPr>
                <w:sz w:val="16"/>
                <w:szCs w:val="16"/>
              </w:rPr>
            </w:pPr>
            <w:r w:rsidRPr="00C258AD">
              <w:rPr>
                <w:sz w:val="16"/>
                <w:szCs w:val="16"/>
              </w:rPr>
              <w:t>Nombre de consultations de la page consacrée aux PME sur le site Web : 821 150 (–32% par rapport à 2013)</w:t>
            </w:r>
          </w:p>
          <w:p w:rsidR="006E2BB1" w:rsidRPr="00C258AD" w:rsidRDefault="006E2BB1" w:rsidP="00A43BDE">
            <w:pPr>
              <w:rPr>
                <w:sz w:val="16"/>
                <w:szCs w:val="16"/>
              </w:rPr>
            </w:pPr>
          </w:p>
          <w:p w:rsidR="006E2BB1" w:rsidRPr="00C258AD" w:rsidRDefault="00A068F8" w:rsidP="00A43BDE">
            <w:pPr>
              <w:rPr>
                <w:sz w:val="16"/>
                <w:szCs w:val="16"/>
              </w:rPr>
            </w:pPr>
            <w:r w:rsidRPr="00C258AD">
              <w:rPr>
                <w:sz w:val="16"/>
                <w:szCs w:val="16"/>
              </w:rPr>
              <w:t>2015 :</w:t>
            </w:r>
          </w:p>
          <w:p w:rsidR="006E2BB1" w:rsidRPr="00C258AD" w:rsidRDefault="00A068F8" w:rsidP="00A43BDE">
            <w:pPr>
              <w:rPr>
                <w:sz w:val="16"/>
                <w:szCs w:val="16"/>
              </w:rPr>
            </w:pPr>
            <w:r w:rsidRPr="00C258AD">
              <w:rPr>
                <w:sz w:val="16"/>
                <w:szCs w:val="16"/>
              </w:rPr>
              <w:t>Nombre de téléchargements : 71 867 (+2% par rapport à 2014)</w:t>
            </w:r>
          </w:p>
          <w:p w:rsidR="00A068F8" w:rsidRPr="00C258AD" w:rsidRDefault="00A068F8" w:rsidP="00BB5DFE">
            <w:pPr>
              <w:rPr>
                <w:sz w:val="16"/>
                <w:szCs w:val="16"/>
                <w:lang w:bidi="th-TH"/>
              </w:rPr>
            </w:pPr>
            <w:r w:rsidRPr="00C258AD">
              <w:rPr>
                <w:sz w:val="16"/>
                <w:szCs w:val="16"/>
              </w:rPr>
              <w:t>Nombre de consultations de la page consacrée aux PME sur le site Web : 960 196 (+17% par rapport à 2014)</w:t>
            </w:r>
          </w:p>
        </w:tc>
        <w:tc>
          <w:tcPr>
            <w:tcW w:w="517" w:type="pct"/>
            <w:tcMar>
              <w:top w:w="110" w:type="dxa"/>
            </w:tcMar>
          </w:tcPr>
          <w:p w:rsidR="00A068F8" w:rsidRPr="00C258AD" w:rsidRDefault="00A068F8" w:rsidP="00A43BDE">
            <w:pPr>
              <w:keepNext/>
              <w:keepLines/>
              <w:jc w:val="center"/>
              <w:rPr>
                <w:b/>
                <w:bCs/>
                <w:color w:val="808080"/>
                <w:sz w:val="16"/>
                <w:szCs w:val="16"/>
              </w:rPr>
            </w:pPr>
            <w:r w:rsidRPr="00C258AD">
              <w:rPr>
                <w:b/>
                <w:color w:val="808080"/>
                <w:sz w:val="16"/>
                <w:szCs w:val="16"/>
              </w:rPr>
              <w:t>Non évaluable</w:t>
            </w:r>
          </w:p>
        </w:tc>
      </w:tr>
      <w:tr w:rsidR="00A068F8" w:rsidRPr="00C258AD" w:rsidTr="00A43BDE">
        <w:trPr>
          <w:cantSplit/>
        </w:trPr>
        <w:tc>
          <w:tcPr>
            <w:tcW w:w="1101" w:type="pct"/>
          </w:tcPr>
          <w:p w:rsidR="00A068F8" w:rsidRPr="00C258AD" w:rsidRDefault="00A068F8" w:rsidP="00A43BDE">
            <w:pPr>
              <w:rPr>
                <w:sz w:val="16"/>
                <w:szCs w:val="16"/>
                <w:lang w:bidi="th-TH"/>
              </w:rPr>
            </w:pPr>
            <w:r w:rsidRPr="00C258AD">
              <w:rPr>
                <w:sz w:val="16"/>
                <w:szCs w:val="16"/>
              </w:rPr>
              <w:t>Nombre d’études de cas relatives aux PME consultées au moyen de la base de données IP </w:t>
            </w:r>
            <w:proofErr w:type="spellStart"/>
            <w:r w:rsidRPr="00C258AD">
              <w:rPr>
                <w:sz w:val="16"/>
                <w:szCs w:val="16"/>
              </w:rPr>
              <w:t>Advantage</w:t>
            </w:r>
            <w:proofErr w:type="spellEnd"/>
            <w:r w:rsidRPr="00C258AD">
              <w:rPr>
                <w:sz w:val="16"/>
                <w:szCs w:val="16"/>
              </w:rPr>
              <w:t xml:space="preserve"> ou d’une autre base de données pertinente</w:t>
            </w:r>
          </w:p>
        </w:tc>
        <w:tc>
          <w:tcPr>
            <w:tcW w:w="877" w:type="pct"/>
            <w:shd w:val="clear" w:color="auto" w:fill="auto"/>
          </w:tcPr>
          <w:p w:rsidR="00A068F8" w:rsidRPr="00C258AD" w:rsidRDefault="00A068F8" w:rsidP="00A43BDE">
            <w:pPr>
              <w:rPr>
                <w:i/>
                <w:sz w:val="16"/>
                <w:szCs w:val="16"/>
              </w:rPr>
            </w:pPr>
            <w:r w:rsidRPr="00C258AD">
              <w:rPr>
                <w:sz w:val="16"/>
                <w:szCs w:val="16"/>
              </w:rPr>
              <w:t>À déterminer</w:t>
            </w:r>
          </w:p>
        </w:tc>
        <w:tc>
          <w:tcPr>
            <w:tcW w:w="807" w:type="pct"/>
            <w:tcMar>
              <w:top w:w="110" w:type="dxa"/>
            </w:tcMar>
          </w:tcPr>
          <w:p w:rsidR="00A068F8" w:rsidRPr="00C258AD" w:rsidRDefault="00A068F8" w:rsidP="00A43BDE">
            <w:pPr>
              <w:rPr>
                <w:sz w:val="16"/>
                <w:szCs w:val="16"/>
              </w:rPr>
            </w:pPr>
            <w:r w:rsidRPr="00C258AD">
              <w:rPr>
                <w:sz w:val="16"/>
                <w:szCs w:val="16"/>
              </w:rPr>
              <w:t>À déterminer</w:t>
            </w:r>
          </w:p>
        </w:tc>
        <w:tc>
          <w:tcPr>
            <w:tcW w:w="1698" w:type="pct"/>
            <w:shd w:val="clear" w:color="auto" w:fill="FFFFFF"/>
            <w:tcMar>
              <w:top w:w="110" w:type="dxa"/>
            </w:tcMar>
          </w:tcPr>
          <w:p w:rsidR="00A068F8" w:rsidRPr="00C258AD" w:rsidRDefault="00A068F8" w:rsidP="00A43BDE">
            <w:pPr>
              <w:rPr>
                <w:sz w:val="16"/>
                <w:szCs w:val="16"/>
              </w:rPr>
            </w:pPr>
            <w:r w:rsidRPr="00C258AD">
              <w:rPr>
                <w:sz w:val="16"/>
                <w:szCs w:val="16"/>
              </w:rPr>
              <w:t>Au cours de l’exercice biennal, 19 nouvelles études ayant trait aux PME ont été au total publiées dans la base de données IP </w:t>
            </w:r>
            <w:proofErr w:type="spellStart"/>
            <w:r w:rsidRPr="00C258AD">
              <w:rPr>
                <w:sz w:val="16"/>
                <w:szCs w:val="16"/>
              </w:rPr>
              <w:t>Advantage</w:t>
            </w:r>
            <w:proofErr w:type="spellEnd"/>
            <w:r w:rsidRPr="00C258AD">
              <w:rPr>
                <w:sz w:val="16"/>
                <w:szCs w:val="16"/>
              </w:rPr>
              <w:t xml:space="preserve"> portant le nombre total d’études relatives aux PME disponibles à 206.  La base de données IP </w:t>
            </w:r>
            <w:proofErr w:type="spellStart"/>
            <w:r w:rsidRPr="00C258AD">
              <w:rPr>
                <w:sz w:val="16"/>
                <w:szCs w:val="16"/>
              </w:rPr>
              <w:t>Advantage</w:t>
            </w:r>
            <w:proofErr w:type="spellEnd"/>
            <w:r w:rsidRPr="00C258AD">
              <w:rPr>
                <w:sz w:val="16"/>
                <w:szCs w:val="16"/>
              </w:rPr>
              <w:t xml:space="preserve"> a fait l’objet de 199 700 consultations en 2014</w:t>
            </w:r>
            <w:r w:rsidRPr="00C258AD">
              <w:rPr>
                <w:sz w:val="16"/>
                <w:szCs w:val="16"/>
              </w:rPr>
              <w:noBreakHyphen/>
              <w:t>2015;  il n’est toutefois pas possible de déterminer le nombre d’études portant sur des PME qui ont été consultées.</w:t>
            </w:r>
          </w:p>
        </w:tc>
        <w:tc>
          <w:tcPr>
            <w:tcW w:w="517" w:type="pct"/>
            <w:tcMar>
              <w:top w:w="110" w:type="dxa"/>
            </w:tcMar>
          </w:tcPr>
          <w:p w:rsidR="00A068F8" w:rsidRPr="00C258AD" w:rsidRDefault="00A068F8" w:rsidP="00A43BDE">
            <w:pPr>
              <w:keepNext/>
              <w:keepLines/>
              <w:jc w:val="center"/>
              <w:rPr>
                <w:rStyle w:val="Style5"/>
                <w:b/>
                <w:color w:val="808080"/>
                <w:sz w:val="16"/>
                <w:szCs w:val="16"/>
              </w:rPr>
            </w:pPr>
            <w:r w:rsidRPr="00C258AD">
              <w:rPr>
                <w:b/>
                <w:color w:val="808080"/>
                <w:sz w:val="16"/>
                <w:szCs w:val="16"/>
              </w:rPr>
              <w:t>Non évaluable</w:t>
            </w:r>
          </w:p>
        </w:tc>
      </w:tr>
      <w:tr w:rsidR="00A068F8" w:rsidRPr="00C258AD" w:rsidTr="00A43BDE">
        <w:trPr>
          <w:cantSplit/>
        </w:trPr>
        <w:tc>
          <w:tcPr>
            <w:tcW w:w="1101" w:type="pct"/>
          </w:tcPr>
          <w:p w:rsidR="00A068F8" w:rsidRPr="00C258AD" w:rsidRDefault="00A068F8" w:rsidP="00A43BDE">
            <w:pPr>
              <w:rPr>
                <w:sz w:val="16"/>
                <w:szCs w:val="16"/>
                <w:lang w:bidi="th-TH"/>
              </w:rPr>
            </w:pPr>
            <w:r w:rsidRPr="00C258AD">
              <w:rPr>
                <w:sz w:val="16"/>
                <w:szCs w:val="16"/>
              </w:rPr>
              <w:t>Pourcentage des participants à des programmes de formation visant les institutions d’appui aux PME qui se sont dits satisfaits du contenu et de l’organisation de ces événements</w:t>
            </w:r>
          </w:p>
        </w:tc>
        <w:tc>
          <w:tcPr>
            <w:tcW w:w="877" w:type="pct"/>
            <w:shd w:val="clear" w:color="auto" w:fill="auto"/>
          </w:tcPr>
          <w:p w:rsidR="006E2BB1" w:rsidRPr="00C258AD" w:rsidRDefault="00A068F8" w:rsidP="00A43BDE">
            <w:pPr>
              <w:rPr>
                <w:color w:val="002060"/>
                <w:sz w:val="16"/>
                <w:szCs w:val="16"/>
              </w:rPr>
            </w:pPr>
            <w:r w:rsidRPr="00C258AD">
              <w:rPr>
                <w:i/>
                <w:color w:val="002060"/>
                <w:sz w:val="16"/>
                <w:szCs w:val="16"/>
              </w:rPr>
              <w:t xml:space="preserve">Niveau de référence actualisé fin 2013 : </w:t>
            </w:r>
            <w:r w:rsidRPr="00C258AD">
              <w:rPr>
                <w:color w:val="002060"/>
                <w:sz w:val="16"/>
                <w:szCs w:val="16"/>
              </w:rPr>
              <w:t>90%</w:t>
            </w:r>
          </w:p>
          <w:p w:rsidR="006E2BB1" w:rsidRPr="00C258AD" w:rsidRDefault="006E2BB1" w:rsidP="00A43BDE">
            <w:pPr>
              <w:rPr>
                <w:i/>
                <w:sz w:val="16"/>
                <w:szCs w:val="16"/>
              </w:rPr>
            </w:pPr>
          </w:p>
          <w:p w:rsidR="00A068F8" w:rsidRPr="00C258AD" w:rsidRDefault="00A068F8" w:rsidP="00A43BDE">
            <w:pPr>
              <w:rPr>
                <w:i/>
                <w:sz w:val="16"/>
                <w:szCs w:val="16"/>
              </w:rPr>
            </w:pPr>
            <w:r w:rsidRPr="00C258AD">
              <w:rPr>
                <w:i/>
                <w:sz w:val="16"/>
                <w:szCs w:val="16"/>
              </w:rPr>
              <w:t>Niveau de référence initial programme et budget 2014</w:t>
            </w:r>
            <w:r w:rsidRPr="00C258AD">
              <w:rPr>
                <w:i/>
                <w:sz w:val="16"/>
                <w:szCs w:val="16"/>
              </w:rPr>
              <w:noBreakHyphen/>
              <w:t>2015 :</w:t>
            </w:r>
            <w:r w:rsidRPr="00C258AD">
              <w:rPr>
                <w:sz w:val="16"/>
                <w:szCs w:val="16"/>
              </w:rPr>
              <w:t xml:space="preserve"> à déterminer</w:t>
            </w:r>
          </w:p>
        </w:tc>
        <w:tc>
          <w:tcPr>
            <w:tcW w:w="807" w:type="pct"/>
            <w:tcMar>
              <w:top w:w="110" w:type="dxa"/>
            </w:tcMar>
          </w:tcPr>
          <w:p w:rsidR="00A068F8" w:rsidRPr="00C258AD" w:rsidRDefault="00A068F8" w:rsidP="00A43BDE">
            <w:pPr>
              <w:rPr>
                <w:sz w:val="16"/>
                <w:szCs w:val="16"/>
              </w:rPr>
            </w:pPr>
            <w:r w:rsidRPr="00C258AD">
              <w:rPr>
                <w:sz w:val="16"/>
                <w:szCs w:val="16"/>
              </w:rPr>
              <w:t>À déterminer</w:t>
            </w:r>
          </w:p>
        </w:tc>
        <w:tc>
          <w:tcPr>
            <w:tcW w:w="1698" w:type="pct"/>
            <w:shd w:val="clear" w:color="auto" w:fill="FFFFFF"/>
            <w:tcMar>
              <w:top w:w="110" w:type="dxa"/>
            </w:tcMar>
          </w:tcPr>
          <w:p w:rsidR="00A068F8" w:rsidRPr="00C258AD" w:rsidRDefault="00A068F8" w:rsidP="00A43BDE">
            <w:pPr>
              <w:rPr>
                <w:sz w:val="16"/>
                <w:szCs w:val="16"/>
              </w:rPr>
            </w:pPr>
            <w:r w:rsidRPr="00C258AD">
              <w:rPr>
                <w:sz w:val="16"/>
                <w:szCs w:val="16"/>
              </w:rPr>
              <w:t xml:space="preserve">100% des participants ont été satisfaits (46% de </w:t>
            </w:r>
            <w:proofErr w:type="spellStart"/>
            <w:r w:rsidRPr="00C258AD">
              <w:rPr>
                <w:sz w:val="16"/>
                <w:szCs w:val="16"/>
              </w:rPr>
              <w:t>sastisfaits</w:t>
            </w:r>
            <w:proofErr w:type="spellEnd"/>
            <w:r w:rsidRPr="00C258AD">
              <w:rPr>
                <w:sz w:val="16"/>
                <w:szCs w:val="16"/>
              </w:rPr>
              <w:t xml:space="preserve"> et 54% de très satisfaits) du contenu et de l’organisation des programmes de formation.</w:t>
            </w:r>
          </w:p>
        </w:tc>
        <w:tc>
          <w:tcPr>
            <w:tcW w:w="517" w:type="pct"/>
            <w:tcMar>
              <w:top w:w="110" w:type="dxa"/>
            </w:tcMar>
          </w:tcPr>
          <w:p w:rsidR="00A068F8" w:rsidRPr="00BB5DFE" w:rsidRDefault="00A068F8" w:rsidP="00A43BDE">
            <w:pPr>
              <w:keepNext/>
              <w:keepLines/>
              <w:jc w:val="center"/>
              <w:rPr>
                <w:rStyle w:val="Style5"/>
                <w:rFonts w:ascii="Arial" w:hAnsi="Arial" w:cs="Arial"/>
                <w:b/>
                <w:color w:val="808080"/>
                <w:sz w:val="16"/>
                <w:szCs w:val="16"/>
              </w:rPr>
            </w:pPr>
            <w:r w:rsidRPr="00BB5DFE">
              <w:rPr>
                <w:rStyle w:val="Style5"/>
                <w:rFonts w:ascii="Arial" w:hAnsi="Arial" w:cs="Arial"/>
                <w:b/>
                <w:bCs/>
                <w:color w:val="00B050"/>
                <w:sz w:val="16"/>
                <w:szCs w:val="16"/>
              </w:rPr>
              <w:t>Objectif pleinement atteint</w:t>
            </w:r>
          </w:p>
        </w:tc>
      </w:tr>
      <w:tr w:rsidR="00A068F8" w:rsidRPr="00C258AD" w:rsidTr="00A43BDE">
        <w:trPr>
          <w:cantSplit/>
        </w:trPr>
        <w:tc>
          <w:tcPr>
            <w:tcW w:w="1101" w:type="pct"/>
          </w:tcPr>
          <w:p w:rsidR="00A068F8" w:rsidRPr="00C258AD" w:rsidRDefault="00A068F8" w:rsidP="00A43BDE">
            <w:pPr>
              <w:rPr>
                <w:sz w:val="16"/>
                <w:szCs w:val="16"/>
                <w:lang w:bidi="th-TH"/>
              </w:rPr>
            </w:pPr>
            <w:r w:rsidRPr="00C258AD">
              <w:rPr>
                <w:sz w:val="16"/>
                <w:szCs w:val="16"/>
              </w:rPr>
              <w:lastRenderedPageBreak/>
              <w:t xml:space="preserve">Pourcentage d’institutions d’appui aux PME ayant obtenu une formation qui </w:t>
            </w:r>
            <w:proofErr w:type="gramStart"/>
            <w:r w:rsidRPr="00C258AD">
              <w:rPr>
                <w:sz w:val="16"/>
                <w:szCs w:val="16"/>
              </w:rPr>
              <w:t>fournissent</w:t>
            </w:r>
            <w:proofErr w:type="gramEnd"/>
            <w:r w:rsidRPr="00C258AD">
              <w:rPr>
                <w:sz w:val="16"/>
                <w:szCs w:val="16"/>
              </w:rPr>
              <w:t xml:space="preserve"> des informations sur la propriété intellectuelle et des services d’appui, d’orientation et de consultation sur la gestion des actifs de propriété intellectuelle</w:t>
            </w:r>
          </w:p>
        </w:tc>
        <w:tc>
          <w:tcPr>
            <w:tcW w:w="877" w:type="pct"/>
            <w:shd w:val="clear" w:color="auto" w:fill="auto"/>
          </w:tcPr>
          <w:p w:rsidR="006E2BB1" w:rsidRPr="00C258AD" w:rsidRDefault="00A068F8" w:rsidP="00A43BDE">
            <w:pPr>
              <w:rPr>
                <w:sz w:val="16"/>
                <w:szCs w:val="16"/>
              </w:rPr>
            </w:pPr>
            <w:r w:rsidRPr="00C258AD">
              <w:rPr>
                <w:i/>
                <w:color w:val="002060"/>
                <w:sz w:val="16"/>
                <w:szCs w:val="16"/>
              </w:rPr>
              <w:t xml:space="preserve">Niveau de référence actualisé fin 2013 : </w:t>
            </w:r>
            <w:r w:rsidRPr="00C258AD">
              <w:rPr>
                <w:sz w:val="16"/>
                <w:szCs w:val="16"/>
              </w:rPr>
              <w:t>100% des 15 structures d’appui aux PME qui ont bénéficié d’une assistance fournissent des services d’information, d’appui et/ou d’orientation ou de consultation sur la gestion des actifs de propriété intellectuelle.</w:t>
            </w:r>
          </w:p>
          <w:p w:rsidR="006E2BB1" w:rsidRPr="00C258AD" w:rsidRDefault="006E2BB1" w:rsidP="00A43BDE">
            <w:pPr>
              <w:rPr>
                <w:i/>
                <w:sz w:val="16"/>
                <w:szCs w:val="16"/>
              </w:rPr>
            </w:pPr>
          </w:p>
          <w:p w:rsidR="00A068F8" w:rsidRPr="00C258AD" w:rsidRDefault="00A068F8" w:rsidP="00A43BDE">
            <w:pPr>
              <w:rPr>
                <w:i/>
                <w:sz w:val="16"/>
                <w:szCs w:val="16"/>
              </w:rPr>
            </w:pPr>
            <w:r w:rsidRPr="00C258AD">
              <w:rPr>
                <w:i/>
                <w:sz w:val="16"/>
                <w:szCs w:val="16"/>
              </w:rPr>
              <w:t>Niveau de référence initial programme et budget 2014</w:t>
            </w:r>
            <w:r w:rsidRPr="00C258AD">
              <w:rPr>
                <w:i/>
                <w:sz w:val="16"/>
                <w:szCs w:val="16"/>
              </w:rPr>
              <w:noBreakHyphen/>
              <w:t>2015 :</w:t>
            </w:r>
            <w:r w:rsidRPr="00C258AD">
              <w:rPr>
                <w:sz w:val="16"/>
                <w:szCs w:val="16"/>
              </w:rPr>
              <w:t xml:space="preserve"> à déterminer</w:t>
            </w:r>
          </w:p>
        </w:tc>
        <w:tc>
          <w:tcPr>
            <w:tcW w:w="807" w:type="pct"/>
            <w:tcMar>
              <w:top w:w="110" w:type="dxa"/>
            </w:tcMar>
          </w:tcPr>
          <w:p w:rsidR="006E2BB1" w:rsidRPr="00C258AD" w:rsidRDefault="00A068F8" w:rsidP="00A43BDE">
            <w:pPr>
              <w:outlineLvl w:val="7"/>
              <w:rPr>
                <w:color w:val="002060"/>
                <w:sz w:val="16"/>
                <w:szCs w:val="16"/>
              </w:rPr>
            </w:pPr>
            <w:r w:rsidRPr="00C258AD">
              <w:rPr>
                <w:color w:val="002060"/>
                <w:sz w:val="16"/>
                <w:szCs w:val="16"/>
              </w:rPr>
              <w:t>Niveau de référence défini : 80%</w:t>
            </w:r>
          </w:p>
          <w:p w:rsidR="006E2BB1" w:rsidRPr="00C258AD" w:rsidRDefault="006E2BB1" w:rsidP="00A43BDE">
            <w:pPr>
              <w:rPr>
                <w:sz w:val="16"/>
                <w:szCs w:val="16"/>
              </w:rPr>
            </w:pPr>
          </w:p>
          <w:p w:rsidR="00A068F8" w:rsidRPr="00C258AD" w:rsidRDefault="00A068F8" w:rsidP="00A43BDE">
            <w:pPr>
              <w:rPr>
                <w:sz w:val="16"/>
                <w:szCs w:val="16"/>
              </w:rPr>
            </w:pPr>
            <w:r w:rsidRPr="00C258AD">
              <w:rPr>
                <w:sz w:val="16"/>
                <w:szCs w:val="16"/>
              </w:rPr>
              <w:t>Niveau de référence initial Programme et budget 2014</w:t>
            </w:r>
            <w:r w:rsidRPr="00C258AD">
              <w:rPr>
                <w:sz w:val="16"/>
                <w:szCs w:val="16"/>
              </w:rPr>
              <w:noBreakHyphen/>
              <w:t>2015 : à déterminer</w:t>
            </w:r>
          </w:p>
        </w:tc>
        <w:tc>
          <w:tcPr>
            <w:tcW w:w="1698" w:type="pct"/>
            <w:shd w:val="clear" w:color="auto" w:fill="FFFFFF"/>
            <w:tcMar>
              <w:top w:w="110" w:type="dxa"/>
            </w:tcMar>
          </w:tcPr>
          <w:p w:rsidR="00A068F8" w:rsidRPr="00C258AD" w:rsidRDefault="00A068F8" w:rsidP="00A43BDE">
            <w:pPr>
              <w:rPr>
                <w:sz w:val="16"/>
                <w:szCs w:val="16"/>
              </w:rPr>
            </w:pPr>
            <w:r w:rsidRPr="00C258AD">
              <w:rPr>
                <w:sz w:val="16"/>
                <w:szCs w:val="16"/>
              </w:rPr>
              <w:t>100% (très souvent (48%);  souvent (32%);  parfois (20%))</w:t>
            </w:r>
            <w:r w:rsidRPr="00C258AD">
              <w:rPr>
                <w:szCs w:val="20"/>
              </w:rPr>
              <w:t xml:space="preserve"> </w:t>
            </w:r>
            <w:r w:rsidRPr="00C258AD">
              <w:rPr>
                <w:sz w:val="16"/>
                <w:szCs w:val="16"/>
              </w:rPr>
              <w:t xml:space="preserve">des structures d’appui aux PME formées fournissent des services d’information, d’appui et/ou d’orientation ou de consultation sur la gestion des actifs de propriété intellectuelle </w:t>
            </w:r>
          </w:p>
        </w:tc>
        <w:tc>
          <w:tcPr>
            <w:tcW w:w="517" w:type="pct"/>
            <w:tcMar>
              <w:top w:w="110" w:type="dxa"/>
            </w:tcMar>
          </w:tcPr>
          <w:p w:rsidR="00A068F8" w:rsidRPr="00C258AD" w:rsidRDefault="00A068F8" w:rsidP="00A43BDE">
            <w:pPr>
              <w:jc w:val="center"/>
              <w:rPr>
                <w:rStyle w:val="Style5"/>
                <w:b/>
                <w:color w:val="00B050"/>
                <w:sz w:val="16"/>
                <w:szCs w:val="16"/>
              </w:rPr>
            </w:pPr>
            <w:r w:rsidRPr="00C258AD">
              <w:rPr>
                <w:rStyle w:val="Style5"/>
                <w:rFonts w:cs="Arial"/>
                <w:b/>
                <w:bCs/>
                <w:color w:val="00B050"/>
                <w:sz w:val="16"/>
                <w:szCs w:val="16"/>
              </w:rPr>
              <w:t>Objectif pleinement atteint</w:t>
            </w:r>
          </w:p>
        </w:tc>
      </w:tr>
      <w:tr w:rsidR="00A068F8" w:rsidRPr="00C258AD" w:rsidTr="00A43BDE">
        <w:trPr>
          <w:cantSplit/>
        </w:trPr>
        <w:tc>
          <w:tcPr>
            <w:tcW w:w="1101" w:type="pct"/>
            <w:tcBorders>
              <w:bottom w:val="single" w:sz="4" w:space="0" w:color="auto"/>
            </w:tcBorders>
          </w:tcPr>
          <w:p w:rsidR="00A068F8" w:rsidRPr="00C258AD" w:rsidRDefault="00A068F8" w:rsidP="00A43BDE">
            <w:pPr>
              <w:rPr>
                <w:sz w:val="16"/>
                <w:szCs w:val="16"/>
                <w:lang w:bidi="th-TH"/>
              </w:rPr>
            </w:pPr>
            <w:r w:rsidRPr="00C258AD">
              <w:rPr>
                <w:sz w:val="16"/>
                <w:szCs w:val="16"/>
              </w:rPr>
              <w:t>Nombre de pays ayant établi des programmes de formation en matière de propriété intellectuelle à l’intention des PME</w:t>
            </w:r>
          </w:p>
        </w:tc>
        <w:tc>
          <w:tcPr>
            <w:tcW w:w="877" w:type="pct"/>
            <w:tcBorders>
              <w:bottom w:val="single" w:sz="4" w:space="0" w:color="auto"/>
            </w:tcBorders>
            <w:shd w:val="clear" w:color="auto" w:fill="auto"/>
          </w:tcPr>
          <w:p w:rsidR="00A068F8" w:rsidRPr="00C258AD" w:rsidRDefault="00A068F8" w:rsidP="00A43BDE">
            <w:pPr>
              <w:rPr>
                <w:i/>
                <w:sz w:val="16"/>
                <w:szCs w:val="16"/>
              </w:rPr>
            </w:pPr>
            <w:r w:rsidRPr="00C258AD">
              <w:rPr>
                <w:sz w:val="16"/>
                <w:szCs w:val="16"/>
              </w:rPr>
              <w:t>À déterminer</w:t>
            </w:r>
          </w:p>
        </w:tc>
        <w:tc>
          <w:tcPr>
            <w:tcW w:w="807" w:type="pct"/>
            <w:tcBorders>
              <w:bottom w:val="single" w:sz="4" w:space="0" w:color="auto"/>
            </w:tcBorders>
            <w:tcMar>
              <w:top w:w="110" w:type="dxa"/>
            </w:tcMar>
          </w:tcPr>
          <w:p w:rsidR="00A068F8" w:rsidRPr="00C258AD" w:rsidRDefault="00A068F8" w:rsidP="00A43BDE">
            <w:pPr>
              <w:rPr>
                <w:sz w:val="16"/>
                <w:szCs w:val="16"/>
              </w:rPr>
            </w:pPr>
            <w:r w:rsidRPr="00C258AD">
              <w:rPr>
                <w:sz w:val="16"/>
                <w:szCs w:val="16"/>
              </w:rPr>
              <w:t>À déterminer</w:t>
            </w:r>
          </w:p>
        </w:tc>
        <w:tc>
          <w:tcPr>
            <w:tcW w:w="1698" w:type="pct"/>
            <w:tcBorders>
              <w:bottom w:val="single" w:sz="4" w:space="0" w:color="auto"/>
            </w:tcBorders>
            <w:shd w:val="clear" w:color="auto" w:fill="FFFFFF"/>
            <w:tcMar>
              <w:top w:w="110" w:type="dxa"/>
            </w:tcMar>
          </w:tcPr>
          <w:p w:rsidR="00A068F8" w:rsidRPr="00C258AD" w:rsidRDefault="00A068F8" w:rsidP="00A43BDE">
            <w:pPr>
              <w:rPr>
                <w:sz w:val="16"/>
                <w:szCs w:val="16"/>
              </w:rPr>
            </w:pPr>
            <w:r w:rsidRPr="00C258AD">
              <w:rPr>
                <w:sz w:val="16"/>
                <w:szCs w:val="16"/>
              </w:rPr>
              <w:t xml:space="preserve">Les 18 pays/organisations régionales suivants ont signalé avoir établi des programmes de formation pour les PME : Arabie saoudite, Argentine, ARIPO, Arménie, </w:t>
            </w:r>
            <w:proofErr w:type="spellStart"/>
            <w:r w:rsidRPr="00C258AD">
              <w:rPr>
                <w:sz w:val="16"/>
                <w:szCs w:val="16"/>
              </w:rPr>
              <w:t>Bélarus</w:t>
            </w:r>
            <w:proofErr w:type="spellEnd"/>
            <w:r w:rsidRPr="00C258AD">
              <w:rPr>
                <w:sz w:val="16"/>
                <w:szCs w:val="16"/>
              </w:rPr>
              <w:t>, Colombie, Émirats arabes unis, Géorgie, Jordanie, Kazakhstan, Iran (République islamique d’), Liban, Oman, Ouganda, Papouasie</w:t>
            </w:r>
            <w:r w:rsidRPr="00C258AD">
              <w:rPr>
                <w:sz w:val="16"/>
                <w:szCs w:val="16"/>
              </w:rPr>
              <w:noBreakHyphen/>
              <w:t>Nouvelle</w:t>
            </w:r>
            <w:r w:rsidRPr="00C258AD">
              <w:rPr>
                <w:sz w:val="16"/>
                <w:szCs w:val="16"/>
              </w:rPr>
              <w:noBreakHyphen/>
              <w:t>Guinée, République démocratique populaire lao, République</w:t>
            </w:r>
            <w:r w:rsidRPr="00C258AD">
              <w:rPr>
                <w:sz w:val="16"/>
                <w:szCs w:val="16"/>
              </w:rPr>
              <w:noBreakHyphen/>
              <w:t>Unie de Tanzanie et Trinité</w:t>
            </w:r>
            <w:r w:rsidRPr="00C258AD">
              <w:rPr>
                <w:sz w:val="16"/>
                <w:szCs w:val="16"/>
              </w:rPr>
              <w:noBreakHyphen/>
              <w:t>et</w:t>
            </w:r>
            <w:r w:rsidRPr="00C258AD">
              <w:rPr>
                <w:sz w:val="16"/>
                <w:szCs w:val="16"/>
              </w:rPr>
              <w:noBreakHyphen/>
              <w:t>Tobago.</w:t>
            </w:r>
          </w:p>
        </w:tc>
        <w:tc>
          <w:tcPr>
            <w:tcW w:w="517" w:type="pct"/>
            <w:tcBorders>
              <w:bottom w:val="single" w:sz="4" w:space="0" w:color="auto"/>
            </w:tcBorders>
            <w:tcMar>
              <w:top w:w="110" w:type="dxa"/>
            </w:tcMar>
          </w:tcPr>
          <w:p w:rsidR="00A068F8" w:rsidRPr="00C258AD" w:rsidRDefault="00A068F8" w:rsidP="00A43BDE">
            <w:pPr>
              <w:keepNext/>
              <w:keepLines/>
              <w:jc w:val="center"/>
              <w:rPr>
                <w:rStyle w:val="Style5"/>
                <w:b/>
                <w:color w:val="00B050"/>
                <w:sz w:val="16"/>
                <w:szCs w:val="16"/>
              </w:rPr>
            </w:pPr>
            <w:r w:rsidRPr="00C258AD">
              <w:rPr>
                <w:b/>
                <w:color w:val="808080"/>
                <w:sz w:val="16"/>
                <w:szCs w:val="16"/>
              </w:rPr>
              <w:t>Non évaluable</w:t>
            </w:r>
          </w:p>
        </w:tc>
      </w:tr>
      <w:tr w:rsidR="00A068F8" w:rsidRPr="00C258AD" w:rsidTr="00A43BDE">
        <w:trPr>
          <w:cantSplit/>
        </w:trPr>
        <w:tc>
          <w:tcPr>
            <w:tcW w:w="5000" w:type="pct"/>
            <w:gridSpan w:val="5"/>
            <w:tcBorders>
              <w:top w:val="single" w:sz="4" w:space="0" w:color="auto"/>
              <w:bottom w:val="single" w:sz="4" w:space="0" w:color="auto"/>
            </w:tcBorders>
            <w:shd w:val="clear" w:color="auto" w:fill="C5D9F1"/>
            <w:vAlign w:val="center"/>
          </w:tcPr>
          <w:p w:rsidR="00A068F8" w:rsidRPr="00C258AD" w:rsidRDefault="00A068F8" w:rsidP="00A43BDE">
            <w:pPr>
              <w:keepNext/>
              <w:keepLines/>
              <w:rPr>
                <w:b/>
                <w:bCs/>
                <w:sz w:val="16"/>
                <w:szCs w:val="16"/>
              </w:rPr>
            </w:pPr>
            <w:r w:rsidRPr="00C258AD">
              <w:rPr>
                <w:b/>
                <w:sz w:val="16"/>
                <w:szCs w:val="16"/>
              </w:rPr>
              <w:lastRenderedPageBreak/>
              <w:t xml:space="preserve">Résultat escompté : </w:t>
            </w:r>
            <w:r w:rsidRPr="00C258AD">
              <w:rPr>
                <w:sz w:val="16"/>
                <w:szCs w:val="16"/>
              </w:rPr>
              <w:t>IV.2 Amélioration de l’accessibilité et de l’utilisation de l’information en matière de propriété intellectuelle par les institutions compétentes et le public afin de promouvoir l’innovation et la créativité</w:t>
            </w:r>
          </w:p>
        </w:tc>
      </w:tr>
      <w:tr w:rsidR="00A068F8" w:rsidRPr="00C258AD" w:rsidTr="00A43BDE">
        <w:trPr>
          <w:cantSplit/>
        </w:trPr>
        <w:tc>
          <w:tcPr>
            <w:tcW w:w="1101" w:type="pct"/>
            <w:tcBorders>
              <w:top w:val="single" w:sz="4" w:space="0" w:color="auto"/>
            </w:tcBorders>
            <w:vAlign w:val="center"/>
          </w:tcPr>
          <w:p w:rsidR="00A068F8" w:rsidRPr="00C258AD" w:rsidRDefault="00A068F8" w:rsidP="00A43BDE">
            <w:pPr>
              <w:keepNext/>
              <w:keepLines/>
              <w:jc w:val="center"/>
              <w:rPr>
                <w:sz w:val="16"/>
                <w:szCs w:val="16"/>
              </w:rPr>
            </w:pPr>
            <w:r w:rsidRPr="00C258AD">
              <w:rPr>
                <w:b/>
                <w:sz w:val="16"/>
                <w:szCs w:val="16"/>
              </w:rPr>
              <w:t>Indicateurs d’exécution</w:t>
            </w:r>
          </w:p>
        </w:tc>
        <w:tc>
          <w:tcPr>
            <w:tcW w:w="877" w:type="pct"/>
            <w:tcBorders>
              <w:top w:val="single" w:sz="4" w:space="0" w:color="auto"/>
            </w:tcBorders>
            <w:shd w:val="clear" w:color="auto" w:fill="auto"/>
            <w:vAlign w:val="center"/>
          </w:tcPr>
          <w:p w:rsidR="00A068F8" w:rsidRPr="00C258AD" w:rsidRDefault="00A068F8" w:rsidP="00A43BDE">
            <w:pPr>
              <w:keepNext/>
              <w:keepLines/>
              <w:jc w:val="center"/>
              <w:rPr>
                <w:b/>
                <w:bCs/>
                <w:sz w:val="16"/>
                <w:szCs w:val="16"/>
              </w:rPr>
            </w:pPr>
            <w:r w:rsidRPr="00C258AD">
              <w:rPr>
                <w:b/>
                <w:sz w:val="16"/>
                <w:szCs w:val="16"/>
              </w:rPr>
              <w:t>Niveaux de référence</w:t>
            </w:r>
          </w:p>
        </w:tc>
        <w:tc>
          <w:tcPr>
            <w:tcW w:w="807" w:type="pct"/>
            <w:tcBorders>
              <w:top w:val="single" w:sz="4" w:space="0" w:color="auto"/>
            </w:tcBorders>
            <w:tcMar>
              <w:top w:w="110" w:type="dxa"/>
            </w:tcMar>
            <w:vAlign w:val="center"/>
          </w:tcPr>
          <w:p w:rsidR="00A068F8" w:rsidRPr="00C258AD" w:rsidRDefault="00A068F8" w:rsidP="00A43BDE">
            <w:pPr>
              <w:keepNext/>
              <w:keepLines/>
              <w:jc w:val="center"/>
              <w:rPr>
                <w:b/>
                <w:sz w:val="16"/>
                <w:szCs w:val="16"/>
              </w:rPr>
            </w:pPr>
            <w:r w:rsidRPr="00C258AD">
              <w:rPr>
                <w:b/>
                <w:sz w:val="16"/>
                <w:szCs w:val="16"/>
              </w:rPr>
              <w:t>Objectifs visés</w:t>
            </w:r>
          </w:p>
        </w:tc>
        <w:tc>
          <w:tcPr>
            <w:tcW w:w="1698" w:type="pct"/>
            <w:tcBorders>
              <w:top w:val="single" w:sz="4" w:space="0" w:color="auto"/>
            </w:tcBorders>
            <w:shd w:val="clear" w:color="auto" w:fill="FFFFFF"/>
            <w:tcMar>
              <w:top w:w="110" w:type="dxa"/>
            </w:tcMar>
            <w:vAlign w:val="center"/>
          </w:tcPr>
          <w:p w:rsidR="00A068F8" w:rsidRPr="00C258AD" w:rsidRDefault="00A068F8" w:rsidP="00A43BDE">
            <w:pPr>
              <w:keepNext/>
              <w:keepLines/>
              <w:jc w:val="center"/>
              <w:rPr>
                <w:sz w:val="16"/>
                <w:szCs w:val="16"/>
              </w:rPr>
            </w:pPr>
            <w:r w:rsidRPr="00C258AD">
              <w:rPr>
                <w:b/>
                <w:sz w:val="16"/>
                <w:szCs w:val="16"/>
              </w:rPr>
              <w:t>Données relatives à l’exécution</w:t>
            </w:r>
          </w:p>
        </w:tc>
        <w:tc>
          <w:tcPr>
            <w:tcW w:w="517" w:type="pct"/>
            <w:tcBorders>
              <w:top w:val="single" w:sz="4" w:space="0" w:color="auto"/>
            </w:tcBorders>
            <w:tcMar>
              <w:top w:w="110" w:type="dxa"/>
            </w:tcMar>
            <w:vAlign w:val="center"/>
          </w:tcPr>
          <w:p w:rsidR="00A068F8" w:rsidRPr="00C258AD" w:rsidRDefault="00A068F8" w:rsidP="00A43BDE">
            <w:pPr>
              <w:keepNext/>
              <w:keepLines/>
              <w:jc w:val="center"/>
              <w:rPr>
                <w:b/>
                <w:bCs/>
                <w:sz w:val="16"/>
                <w:szCs w:val="16"/>
              </w:rPr>
            </w:pPr>
            <w:r w:rsidRPr="00C258AD">
              <w:rPr>
                <w:b/>
                <w:sz w:val="16"/>
                <w:szCs w:val="16"/>
              </w:rPr>
              <w:t>Code de couleurs</w:t>
            </w:r>
          </w:p>
        </w:tc>
      </w:tr>
      <w:tr w:rsidR="00A068F8" w:rsidRPr="00C258AD" w:rsidTr="00A43BDE">
        <w:trPr>
          <w:cantSplit/>
        </w:trPr>
        <w:tc>
          <w:tcPr>
            <w:tcW w:w="1101" w:type="pct"/>
          </w:tcPr>
          <w:p w:rsidR="00A068F8" w:rsidRPr="00C258AD" w:rsidRDefault="00A068F8" w:rsidP="00A43BDE">
            <w:pPr>
              <w:keepNext/>
              <w:keepLines/>
              <w:rPr>
                <w:sz w:val="16"/>
                <w:szCs w:val="16"/>
                <w:lang w:bidi="th-TH"/>
              </w:rPr>
            </w:pPr>
            <w:r w:rsidRPr="00C258AD">
              <w:rPr>
                <w:sz w:val="16"/>
                <w:szCs w:val="16"/>
              </w:rPr>
              <w:t>Nombre de bureaux de transfert de technologie durables établis ou renforcés au sein d’universités ou d’instituts de R</w:t>
            </w:r>
            <w:r w:rsidRPr="00C258AD">
              <w:rPr>
                <w:sz w:val="16"/>
                <w:szCs w:val="16"/>
              </w:rPr>
              <w:noBreakHyphen/>
              <w:t>D</w:t>
            </w:r>
          </w:p>
        </w:tc>
        <w:tc>
          <w:tcPr>
            <w:tcW w:w="877" w:type="pct"/>
            <w:shd w:val="clear" w:color="auto" w:fill="auto"/>
          </w:tcPr>
          <w:p w:rsidR="00A068F8" w:rsidRPr="00C258AD" w:rsidRDefault="00A068F8" w:rsidP="00A43BDE">
            <w:pPr>
              <w:keepNext/>
              <w:keepLines/>
              <w:rPr>
                <w:sz w:val="16"/>
                <w:szCs w:val="16"/>
                <w:lang w:bidi="th-TH"/>
              </w:rPr>
            </w:pPr>
            <w:r w:rsidRPr="00C258AD">
              <w:rPr>
                <w:sz w:val="16"/>
                <w:szCs w:val="16"/>
              </w:rPr>
              <w:t>À déterminer</w:t>
            </w:r>
          </w:p>
        </w:tc>
        <w:tc>
          <w:tcPr>
            <w:tcW w:w="807" w:type="pct"/>
            <w:tcMar>
              <w:top w:w="110" w:type="dxa"/>
            </w:tcMar>
          </w:tcPr>
          <w:p w:rsidR="00A068F8" w:rsidRPr="00C258AD" w:rsidRDefault="00A068F8" w:rsidP="00A43BDE">
            <w:pPr>
              <w:keepNext/>
              <w:keepLines/>
              <w:rPr>
                <w:sz w:val="16"/>
                <w:szCs w:val="16"/>
              </w:rPr>
            </w:pPr>
            <w:r w:rsidRPr="00C258AD">
              <w:rPr>
                <w:sz w:val="16"/>
                <w:szCs w:val="16"/>
              </w:rPr>
              <w:t>5 bureaux de transfert de technologie établis dans la région des pays arabes</w:t>
            </w:r>
          </w:p>
        </w:tc>
        <w:tc>
          <w:tcPr>
            <w:tcW w:w="1698" w:type="pct"/>
            <w:shd w:val="clear" w:color="auto" w:fill="FFFFFF"/>
            <w:tcMar>
              <w:top w:w="110" w:type="dxa"/>
            </w:tcMar>
          </w:tcPr>
          <w:p w:rsidR="006E2BB1" w:rsidRPr="00C258AD" w:rsidRDefault="00A068F8" w:rsidP="00A43BDE">
            <w:pPr>
              <w:keepNext/>
              <w:keepLines/>
              <w:rPr>
                <w:sz w:val="16"/>
                <w:szCs w:val="16"/>
                <w:lang w:bidi="th-TH"/>
              </w:rPr>
            </w:pPr>
            <w:r w:rsidRPr="00C258AD">
              <w:rPr>
                <w:sz w:val="16"/>
                <w:szCs w:val="16"/>
              </w:rPr>
              <w:t>En 2014</w:t>
            </w:r>
            <w:r w:rsidRPr="00C258AD">
              <w:rPr>
                <w:sz w:val="16"/>
                <w:szCs w:val="16"/>
              </w:rPr>
              <w:noBreakHyphen/>
              <w:t>2015, la portée géographique du projet de création de bureaux de transfert de technologie dans les pays arabes a été élargie afin de répondre aux demandes des États membres.  Des progrès ont continué d’être accomplis dans le renforcement de quatre bureaux de transfert de technologie afin qu’ils deviennent indépendants et viables sur le plan opérationnel</w:t>
            </w:r>
            <w:r w:rsidRPr="00C258AD">
              <w:rPr>
                <w:rFonts w:cs="Arial"/>
                <w:sz w:val="16"/>
                <w:szCs w:val="16"/>
                <w:lang w:bidi="th-TH"/>
              </w:rPr>
              <w:t>, y compris grâce à l’élaboration de politiques institutionnelles de propriété intellectuelle</w:t>
            </w:r>
            <w:r w:rsidRPr="00C258AD">
              <w:rPr>
                <w:sz w:val="16"/>
                <w:szCs w:val="16"/>
              </w:rPr>
              <w:t> :</w:t>
            </w:r>
          </w:p>
          <w:p w:rsidR="006E2BB1" w:rsidRPr="00C258AD" w:rsidRDefault="00A068F8" w:rsidP="00A43BDE">
            <w:pPr>
              <w:pStyle w:val="ListParagraph"/>
              <w:keepNext/>
              <w:keepLines/>
              <w:numPr>
                <w:ilvl w:val="0"/>
                <w:numId w:val="59"/>
              </w:numPr>
              <w:rPr>
                <w:sz w:val="16"/>
                <w:szCs w:val="16"/>
                <w:lang w:bidi="th-TH"/>
              </w:rPr>
            </w:pPr>
            <w:r w:rsidRPr="00C258AD">
              <w:rPr>
                <w:rFonts w:eastAsia="SimSun"/>
                <w:sz w:val="16"/>
                <w:szCs w:val="16"/>
              </w:rPr>
              <w:t>Centre Technique de la Chimie (CTC)</w:t>
            </w:r>
          </w:p>
          <w:p w:rsidR="006E2BB1" w:rsidRPr="00C258AD" w:rsidRDefault="00A068F8" w:rsidP="00A43BDE">
            <w:pPr>
              <w:pStyle w:val="ListParagraph"/>
              <w:keepNext/>
              <w:keepLines/>
              <w:numPr>
                <w:ilvl w:val="0"/>
                <w:numId w:val="59"/>
              </w:numPr>
              <w:rPr>
                <w:sz w:val="16"/>
                <w:szCs w:val="16"/>
                <w:lang w:bidi="th-TH"/>
              </w:rPr>
            </w:pPr>
            <w:proofErr w:type="spellStart"/>
            <w:r w:rsidRPr="00C258AD">
              <w:rPr>
                <w:rFonts w:eastAsia="SimSun"/>
                <w:sz w:val="16"/>
                <w:szCs w:val="16"/>
              </w:rPr>
              <w:t>Technopark</w:t>
            </w:r>
            <w:proofErr w:type="spellEnd"/>
            <w:r w:rsidRPr="00C258AD">
              <w:rPr>
                <w:rFonts w:eastAsia="SimSun"/>
                <w:sz w:val="16"/>
                <w:szCs w:val="16"/>
              </w:rPr>
              <w:t xml:space="preserve"> El </w:t>
            </w:r>
            <w:proofErr w:type="spellStart"/>
            <w:r w:rsidRPr="00C258AD">
              <w:rPr>
                <w:rFonts w:eastAsia="SimSun"/>
                <w:sz w:val="16"/>
                <w:szCs w:val="16"/>
              </w:rPr>
              <w:t>Ghazala</w:t>
            </w:r>
            <w:proofErr w:type="spellEnd"/>
          </w:p>
          <w:p w:rsidR="006E2BB1" w:rsidRPr="00C258AD" w:rsidRDefault="00A068F8" w:rsidP="00A43BDE">
            <w:pPr>
              <w:pStyle w:val="ListParagraph"/>
              <w:keepNext/>
              <w:keepLines/>
              <w:numPr>
                <w:ilvl w:val="0"/>
                <w:numId w:val="59"/>
              </w:numPr>
              <w:rPr>
                <w:sz w:val="16"/>
                <w:szCs w:val="16"/>
                <w:lang w:bidi="th-TH"/>
              </w:rPr>
            </w:pPr>
            <w:r w:rsidRPr="00C258AD">
              <w:rPr>
                <w:rFonts w:eastAsia="SimSun"/>
                <w:sz w:val="16"/>
                <w:szCs w:val="16"/>
              </w:rPr>
              <w:t xml:space="preserve">Centre technique d’emballage </w:t>
            </w:r>
            <w:proofErr w:type="spellStart"/>
            <w:r w:rsidRPr="00C258AD">
              <w:rPr>
                <w:rFonts w:eastAsia="SimSun"/>
                <w:sz w:val="16"/>
                <w:szCs w:val="16"/>
              </w:rPr>
              <w:t>Packtec</w:t>
            </w:r>
            <w:proofErr w:type="spellEnd"/>
            <w:r w:rsidRPr="00C258AD">
              <w:rPr>
                <w:rFonts w:eastAsia="SimSun"/>
                <w:sz w:val="16"/>
                <w:szCs w:val="16"/>
              </w:rPr>
              <w:t xml:space="preserve"> (</w:t>
            </w:r>
            <w:proofErr w:type="spellStart"/>
            <w:r w:rsidRPr="00C258AD">
              <w:rPr>
                <w:rFonts w:eastAsia="SimSun"/>
                <w:sz w:val="16"/>
                <w:szCs w:val="16"/>
              </w:rPr>
              <w:t>Packtec</w:t>
            </w:r>
            <w:proofErr w:type="spellEnd"/>
            <w:r w:rsidRPr="00C258AD">
              <w:rPr>
                <w:rFonts w:eastAsia="SimSun"/>
                <w:sz w:val="16"/>
                <w:szCs w:val="16"/>
              </w:rPr>
              <w:t xml:space="preserve"> </w:t>
            </w:r>
            <w:proofErr w:type="spellStart"/>
            <w:r w:rsidRPr="00C258AD">
              <w:rPr>
                <w:rFonts w:eastAsia="SimSun"/>
                <w:sz w:val="16"/>
                <w:szCs w:val="16"/>
              </w:rPr>
              <w:t>Technical</w:t>
            </w:r>
            <w:proofErr w:type="spellEnd"/>
            <w:r w:rsidRPr="00C258AD">
              <w:rPr>
                <w:rFonts w:eastAsia="SimSun"/>
                <w:sz w:val="16"/>
                <w:szCs w:val="16"/>
              </w:rPr>
              <w:t xml:space="preserve"> Center for Packaging)</w:t>
            </w:r>
          </w:p>
          <w:p w:rsidR="006E2BB1" w:rsidRPr="00C258AD" w:rsidRDefault="00A068F8" w:rsidP="00A43BDE">
            <w:pPr>
              <w:pStyle w:val="ListParagraph"/>
              <w:keepNext/>
              <w:keepLines/>
              <w:numPr>
                <w:ilvl w:val="0"/>
                <w:numId w:val="59"/>
              </w:numPr>
              <w:rPr>
                <w:sz w:val="16"/>
                <w:szCs w:val="16"/>
                <w:lang w:bidi="th-TH"/>
              </w:rPr>
            </w:pPr>
            <w:proofErr w:type="spellStart"/>
            <w:r w:rsidRPr="00C258AD">
              <w:rPr>
                <w:rFonts w:eastAsia="SimSun"/>
                <w:sz w:val="16"/>
                <w:szCs w:val="16"/>
              </w:rPr>
              <w:t>Technopark</w:t>
            </w:r>
            <w:proofErr w:type="spellEnd"/>
            <w:r w:rsidRPr="00C258AD">
              <w:rPr>
                <w:rFonts w:eastAsia="SimSun"/>
                <w:sz w:val="16"/>
                <w:szCs w:val="16"/>
              </w:rPr>
              <w:t xml:space="preserve"> de Sidi </w:t>
            </w:r>
            <w:proofErr w:type="spellStart"/>
            <w:r w:rsidRPr="00C258AD">
              <w:rPr>
                <w:rFonts w:eastAsia="SimSun"/>
                <w:sz w:val="16"/>
                <w:szCs w:val="16"/>
              </w:rPr>
              <w:t>Thabet</w:t>
            </w:r>
            <w:proofErr w:type="spellEnd"/>
            <w:r w:rsidRPr="00C258AD">
              <w:rPr>
                <w:rFonts w:eastAsia="SimSun"/>
                <w:sz w:val="16"/>
                <w:szCs w:val="16"/>
              </w:rPr>
              <w:t xml:space="preserve"> (TST)</w:t>
            </w:r>
          </w:p>
          <w:p w:rsidR="006E2BB1" w:rsidRPr="00C258AD" w:rsidRDefault="006E2BB1" w:rsidP="00A43BDE">
            <w:pPr>
              <w:rPr>
                <w:sz w:val="16"/>
                <w:lang w:bidi="th-TH"/>
              </w:rPr>
            </w:pPr>
          </w:p>
          <w:p w:rsidR="006E2BB1" w:rsidRPr="00C258AD" w:rsidRDefault="00A068F8" w:rsidP="00A43BDE">
            <w:pPr>
              <w:keepNext/>
              <w:keepLines/>
              <w:rPr>
                <w:sz w:val="16"/>
                <w:szCs w:val="16"/>
                <w:lang w:bidi="th-TH"/>
              </w:rPr>
            </w:pPr>
            <w:r w:rsidRPr="00C258AD">
              <w:rPr>
                <w:sz w:val="16"/>
                <w:szCs w:val="16"/>
              </w:rPr>
              <w:t>D’après les réponses à des sondages, les universités des Philippines suivantes ont signalé en 2014 que les conseils et formations de l’OMPI étaient “utiles” ou “extrêmement utiles” pour renforcer leurs bureaux de transfert de technologie :</w:t>
            </w:r>
          </w:p>
          <w:p w:rsidR="00A068F8" w:rsidRPr="00C258AD" w:rsidRDefault="00A068F8" w:rsidP="00A43BDE">
            <w:pPr>
              <w:keepNext/>
              <w:keepLines/>
              <w:rPr>
                <w:sz w:val="16"/>
                <w:szCs w:val="16"/>
                <w:lang w:bidi="th-TH"/>
              </w:rPr>
            </w:pPr>
            <w:r w:rsidRPr="00C258AD">
              <w:rPr>
                <w:sz w:val="16"/>
                <w:szCs w:val="16"/>
              </w:rPr>
              <w:t>i) l’université polytechnique des Philippines;  ii) le Bureau de la recherche de l’université d’État de Samar;  iii) l’université d’État des Philippines occidentales, faculté d’ingénierie;  iv) l’Université des Philippines;  v) l’Université de Santo Tomas;  vi) l’université des Philippines du Sud</w:t>
            </w:r>
            <w:r w:rsidRPr="00C258AD">
              <w:rPr>
                <w:sz w:val="16"/>
                <w:szCs w:val="16"/>
              </w:rPr>
              <w:noBreakHyphen/>
              <w:t>Est</w:t>
            </w:r>
          </w:p>
        </w:tc>
        <w:tc>
          <w:tcPr>
            <w:tcW w:w="517" w:type="pct"/>
            <w:tcMar>
              <w:top w:w="110" w:type="dxa"/>
            </w:tcMar>
          </w:tcPr>
          <w:p w:rsidR="00A068F8" w:rsidRPr="00C258AD" w:rsidRDefault="00A068F8" w:rsidP="00A43BDE">
            <w:pPr>
              <w:keepNext/>
              <w:keepLines/>
              <w:jc w:val="center"/>
              <w:rPr>
                <w:bCs/>
                <w:color w:val="808080"/>
                <w:sz w:val="16"/>
                <w:szCs w:val="16"/>
              </w:rPr>
            </w:pPr>
            <w:r w:rsidRPr="00C258AD">
              <w:rPr>
                <w:rStyle w:val="Style5"/>
                <w:rFonts w:cs="Arial"/>
                <w:b/>
                <w:color w:val="FF0000"/>
                <w:sz w:val="16"/>
                <w:szCs w:val="16"/>
              </w:rPr>
              <w:t>Objectif pas atteint</w:t>
            </w:r>
          </w:p>
        </w:tc>
      </w:tr>
      <w:tr w:rsidR="00A068F8" w:rsidRPr="00C258AD" w:rsidTr="00A43BDE">
        <w:trPr>
          <w:cantSplit/>
        </w:trPr>
        <w:tc>
          <w:tcPr>
            <w:tcW w:w="1101" w:type="pct"/>
          </w:tcPr>
          <w:p w:rsidR="00A068F8" w:rsidRPr="00C258AD" w:rsidRDefault="00A068F8" w:rsidP="00A43BDE">
            <w:pPr>
              <w:rPr>
                <w:sz w:val="16"/>
                <w:szCs w:val="16"/>
                <w:lang w:bidi="th-TH"/>
              </w:rPr>
            </w:pPr>
            <w:r w:rsidRPr="00C258AD">
              <w:rPr>
                <w:sz w:val="16"/>
                <w:szCs w:val="16"/>
              </w:rPr>
              <w:t>Nombre d’universités et d’établissements de recherche ayant mis en place des politiques de propriété intellectuelle</w:t>
            </w:r>
          </w:p>
        </w:tc>
        <w:tc>
          <w:tcPr>
            <w:tcW w:w="877" w:type="pct"/>
            <w:shd w:val="clear" w:color="auto" w:fill="auto"/>
          </w:tcPr>
          <w:p w:rsidR="00A068F8" w:rsidRPr="00C258AD" w:rsidRDefault="00A068F8" w:rsidP="00A43BDE">
            <w:pPr>
              <w:rPr>
                <w:sz w:val="16"/>
                <w:szCs w:val="16"/>
                <w:lang w:bidi="th-TH"/>
              </w:rPr>
            </w:pPr>
            <w:r w:rsidRPr="00C258AD">
              <w:rPr>
                <w:sz w:val="16"/>
                <w:szCs w:val="16"/>
              </w:rPr>
              <w:t>À déterminer</w:t>
            </w:r>
          </w:p>
        </w:tc>
        <w:tc>
          <w:tcPr>
            <w:tcW w:w="807" w:type="pct"/>
            <w:tcMar>
              <w:top w:w="110" w:type="dxa"/>
            </w:tcMar>
          </w:tcPr>
          <w:p w:rsidR="00A068F8" w:rsidRPr="00C258AD" w:rsidRDefault="00A068F8" w:rsidP="00A43BDE">
            <w:pPr>
              <w:rPr>
                <w:sz w:val="16"/>
                <w:szCs w:val="16"/>
                <w:lang w:bidi="th-TH"/>
              </w:rPr>
            </w:pPr>
            <w:r w:rsidRPr="00C258AD">
              <w:rPr>
                <w:sz w:val="16"/>
                <w:szCs w:val="16"/>
              </w:rPr>
              <w:t>20 universités supplémentaires</w:t>
            </w:r>
          </w:p>
        </w:tc>
        <w:tc>
          <w:tcPr>
            <w:tcW w:w="1698" w:type="pct"/>
            <w:shd w:val="clear" w:color="auto" w:fill="FFFFFF"/>
            <w:tcMar>
              <w:top w:w="110" w:type="dxa"/>
            </w:tcMar>
          </w:tcPr>
          <w:p w:rsidR="006E2BB1" w:rsidRPr="00C258AD" w:rsidRDefault="00A068F8" w:rsidP="00A43BDE">
            <w:pPr>
              <w:rPr>
                <w:sz w:val="16"/>
                <w:szCs w:val="16"/>
              </w:rPr>
            </w:pPr>
            <w:r w:rsidRPr="00C258AD">
              <w:rPr>
                <w:sz w:val="16"/>
                <w:szCs w:val="16"/>
              </w:rPr>
              <w:t>Des politiques de propriété intellectuelle ont été instituées dans 436 universités :</w:t>
            </w:r>
          </w:p>
          <w:p w:rsidR="006E2BB1" w:rsidRPr="00C258AD" w:rsidRDefault="00A068F8" w:rsidP="00A43BDE">
            <w:pPr>
              <w:pStyle w:val="ListParagraph"/>
              <w:numPr>
                <w:ilvl w:val="0"/>
                <w:numId w:val="57"/>
              </w:numPr>
              <w:rPr>
                <w:sz w:val="16"/>
                <w:szCs w:val="16"/>
              </w:rPr>
            </w:pPr>
            <w:r w:rsidRPr="00C258AD">
              <w:rPr>
                <w:rFonts w:eastAsia="SimSun"/>
                <w:sz w:val="16"/>
                <w:szCs w:val="16"/>
              </w:rPr>
              <w:t>Pologne (434) (suite à une modification de la législation en octobre 2014);</w:t>
            </w:r>
          </w:p>
          <w:p w:rsidR="006E2BB1" w:rsidRPr="00C258AD" w:rsidRDefault="00A068F8" w:rsidP="00A43BDE">
            <w:pPr>
              <w:pStyle w:val="ListParagraph"/>
              <w:numPr>
                <w:ilvl w:val="0"/>
                <w:numId w:val="57"/>
              </w:numPr>
              <w:rPr>
                <w:sz w:val="16"/>
                <w:szCs w:val="16"/>
              </w:rPr>
            </w:pPr>
            <w:r w:rsidRPr="00C258AD">
              <w:rPr>
                <w:rFonts w:eastAsia="SimSun"/>
                <w:sz w:val="16"/>
                <w:szCs w:val="16"/>
              </w:rPr>
              <w:t>Fédération de Russie (1);  et</w:t>
            </w:r>
          </w:p>
          <w:p w:rsidR="00A068F8" w:rsidRPr="00C258AD" w:rsidRDefault="00A068F8" w:rsidP="00A43BDE">
            <w:pPr>
              <w:pStyle w:val="ListParagraph"/>
              <w:numPr>
                <w:ilvl w:val="0"/>
                <w:numId w:val="57"/>
              </w:numPr>
              <w:rPr>
                <w:sz w:val="16"/>
                <w:szCs w:val="16"/>
              </w:rPr>
            </w:pPr>
            <w:r w:rsidRPr="00C258AD">
              <w:rPr>
                <w:rFonts w:eastAsia="SimSun"/>
                <w:sz w:val="16"/>
                <w:szCs w:val="16"/>
              </w:rPr>
              <w:t>Ouzbékistan (1)</w:t>
            </w:r>
            <w:r w:rsidRPr="00C258AD">
              <w:rPr>
                <w:rStyle w:val="FootnoteReference"/>
                <w:rFonts w:eastAsia="SimSun"/>
                <w:sz w:val="16"/>
                <w:szCs w:val="16"/>
              </w:rPr>
              <w:footnoteReference w:id="81"/>
            </w:r>
            <w:r w:rsidRPr="00C258AD">
              <w:rPr>
                <w:rFonts w:eastAsia="SimSun"/>
                <w:sz w:val="16"/>
                <w:szCs w:val="16"/>
              </w:rPr>
              <w:t xml:space="preserve">.  </w:t>
            </w:r>
          </w:p>
        </w:tc>
        <w:tc>
          <w:tcPr>
            <w:tcW w:w="517" w:type="pct"/>
            <w:tcMar>
              <w:top w:w="110" w:type="dxa"/>
            </w:tcMar>
          </w:tcPr>
          <w:p w:rsidR="00A068F8" w:rsidRPr="00BB5DFE" w:rsidRDefault="00A068F8" w:rsidP="00A43BDE">
            <w:pPr>
              <w:keepNext/>
              <w:keepLines/>
              <w:jc w:val="center"/>
              <w:rPr>
                <w:rFonts w:cs="Arial"/>
                <w:bCs/>
                <w:color w:val="808080"/>
                <w:sz w:val="16"/>
                <w:szCs w:val="16"/>
              </w:rPr>
            </w:pPr>
            <w:r w:rsidRPr="00BB5DFE">
              <w:rPr>
                <w:rStyle w:val="Style5"/>
                <w:rFonts w:ascii="Arial" w:hAnsi="Arial" w:cs="Arial"/>
                <w:b/>
                <w:bCs/>
                <w:color w:val="00B050"/>
                <w:sz w:val="16"/>
                <w:szCs w:val="16"/>
              </w:rPr>
              <w:t>Objectif pleinement atteint</w:t>
            </w:r>
          </w:p>
        </w:tc>
      </w:tr>
    </w:tbl>
    <w:p w:rsidR="006E2BB1" w:rsidRPr="00C258AD" w:rsidRDefault="006E2BB1" w:rsidP="00A068F8">
      <w:pPr>
        <w:tabs>
          <w:tab w:val="left" w:pos="720"/>
        </w:tabs>
      </w:pPr>
    </w:p>
    <w:p w:rsidR="006E2BB1" w:rsidRPr="00C258AD" w:rsidRDefault="006E2BB1" w:rsidP="00A068F8">
      <w:pPr>
        <w:tabs>
          <w:tab w:val="left" w:pos="720"/>
        </w:tabs>
      </w:pPr>
    </w:p>
    <w:p w:rsidR="006E2BB1" w:rsidRPr="00C258AD" w:rsidRDefault="00A068F8" w:rsidP="00305CE5">
      <w:pPr>
        <w:keepNext/>
        <w:rPr>
          <w:rFonts w:cs="Arial"/>
          <w:caps/>
          <w:sz w:val="22"/>
          <w:szCs w:val="22"/>
        </w:rPr>
      </w:pPr>
      <w:r w:rsidRPr="00C258AD">
        <w:rPr>
          <w:rFonts w:cs="Arial"/>
          <w:caps/>
          <w:sz w:val="22"/>
          <w:szCs w:val="22"/>
        </w:rPr>
        <w:lastRenderedPageBreak/>
        <w:t>Rapport d’évaluation des risques pour l’exercice biennal</w:t>
      </w:r>
    </w:p>
    <w:p w:rsidR="00A068F8" w:rsidRPr="00C258AD" w:rsidRDefault="00A068F8" w:rsidP="00A068F8">
      <w:pPr>
        <w:keepNext/>
        <w:keepLines/>
        <w:rPr>
          <w:rFonts w:cs="Arial"/>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A068F8" w:rsidRPr="00C258AD" w:rsidTr="00A43BDE">
        <w:trPr>
          <w:cantSplit/>
        </w:trPr>
        <w:tc>
          <w:tcPr>
            <w:tcW w:w="2372" w:type="dxa"/>
            <w:tcBorders>
              <w:top w:val="single" w:sz="4" w:space="0" w:color="auto"/>
              <w:left w:val="single" w:sz="4" w:space="0" w:color="auto"/>
              <w:bottom w:val="single" w:sz="4" w:space="0" w:color="auto"/>
            </w:tcBorders>
            <w:shd w:val="clear" w:color="auto" w:fill="C5D9F1"/>
            <w:vAlign w:val="center"/>
          </w:tcPr>
          <w:p w:rsidR="00A068F8" w:rsidRPr="00C258AD" w:rsidRDefault="00A068F8" w:rsidP="00A43BDE">
            <w:pPr>
              <w:keepNext/>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A068F8" w:rsidRPr="00C258AD" w:rsidRDefault="00A068F8" w:rsidP="00A43BDE">
            <w:pPr>
              <w:keepNext/>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A068F8" w:rsidRPr="00C258AD" w:rsidRDefault="00A068F8" w:rsidP="00A43BDE">
            <w:pPr>
              <w:keepNext/>
              <w:autoSpaceDE w:val="0"/>
              <w:autoSpaceDN w:val="0"/>
              <w:adjustRightInd w:val="0"/>
              <w:ind w:right="-59"/>
              <w:jc w:val="center"/>
              <w:rPr>
                <w:b/>
                <w:bCs/>
                <w:iCs/>
                <w:sz w:val="16"/>
                <w:szCs w:val="16"/>
              </w:rPr>
            </w:pPr>
            <w:r w:rsidRPr="00C258AD">
              <w:rPr>
                <w:b/>
                <w:bCs/>
                <w:iCs/>
                <w:sz w:val="16"/>
                <w:szCs w:val="16"/>
              </w:rPr>
              <w:t>Évolution des risques et des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A068F8" w:rsidRPr="00C258AD" w:rsidRDefault="00A068F8" w:rsidP="00A43BDE">
            <w:pPr>
              <w:keepNext/>
              <w:autoSpaceDE w:val="0"/>
              <w:autoSpaceDN w:val="0"/>
              <w:adjustRightInd w:val="0"/>
              <w:jc w:val="center"/>
              <w:rPr>
                <w:b/>
                <w:bCs/>
                <w:iCs/>
                <w:sz w:val="16"/>
                <w:szCs w:val="16"/>
              </w:rPr>
            </w:pPr>
            <w:r w:rsidRPr="00C258AD">
              <w:rPr>
                <w:b/>
                <w:bCs/>
                <w:iCs/>
                <w:sz w:val="16"/>
                <w:szCs w:val="16"/>
              </w:rPr>
              <w:t>Incidence sur les résultats du programme</w:t>
            </w:r>
          </w:p>
        </w:tc>
      </w:tr>
      <w:tr w:rsidR="00A068F8" w:rsidRPr="00C258AD" w:rsidTr="00A43BDE">
        <w:trPr>
          <w:cantSplit/>
        </w:trPr>
        <w:tc>
          <w:tcPr>
            <w:tcW w:w="2372" w:type="dxa"/>
            <w:tcBorders>
              <w:top w:val="single" w:sz="4" w:space="0" w:color="auto"/>
              <w:left w:val="single" w:sz="4" w:space="0" w:color="auto"/>
              <w:bottom w:val="single" w:sz="4" w:space="0" w:color="auto"/>
            </w:tcBorders>
            <w:shd w:val="clear" w:color="auto" w:fill="auto"/>
          </w:tcPr>
          <w:p w:rsidR="006E2BB1" w:rsidRPr="00C258AD" w:rsidRDefault="00A068F8" w:rsidP="00A43BDE">
            <w:pPr>
              <w:keepNext/>
              <w:keepLines/>
              <w:rPr>
                <w:sz w:val="16"/>
                <w:szCs w:val="16"/>
              </w:rPr>
            </w:pPr>
            <w:r w:rsidRPr="00C258AD">
              <w:rPr>
                <w:sz w:val="16"/>
                <w:szCs w:val="16"/>
              </w:rPr>
              <w:t>À long terme, les besoins d’appui aux PME des pays en développement et des pays émergents pourraient changer, à mesure que les systèmes nationaux de propriété intellectuelle évoluent.  Le non</w:t>
            </w:r>
            <w:r w:rsidRPr="00C258AD">
              <w:rPr>
                <w:sz w:val="16"/>
                <w:szCs w:val="16"/>
              </w:rPr>
              <w:noBreakHyphen/>
              <w:t>ajustement des contenus élaborés à ces changements se traduira par une réduction des avantages que tirent les bénéficiaires de la mise en œuvre d’activités de renforcement des capacités.</w:t>
            </w:r>
          </w:p>
          <w:p w:rsidR="00A068F8" w:rsidRPr="00C258AD" w:rsidRDefault="00A068F8" w:rsidP="00A43BDE">
            <w:pPr>
              <w:keepNext/>
              <w:keepLines/>
              <w:rPr>
                <w:rFonts w:eastAsia="Calibri"/>
                <w:sz w:val="16"/>
                <w:szCs w:val="16"/>
              </w:rPr>
            </w:pPr>
          </w:p>
        </w:tc>
        <w:tc>
          <w:tcPr>
            <w:tcW w:w="2373" w:type="dxa"/>
            <w:tcBorders>
              <w:top w:val="single" w:sz="4" w:space="0" w:color="auto"/>
              <w:bottom w:val="single" w:sz="4" w:space="0" w:color="auto"/>
            </w:tcBorders>
            <w:shd w:val="clear" w:color="auto" w:fill="auto"/>
          </w:tcPr>
          <w:p w:rsidR="00A068F8" w:rsidRPr="00C258AD" w:rsidRDefault="00A068F8" w:rsidP="00A43BDE">
            <w:pPr>
              <w:keepNext/>
              <w:keepLines/>
              <w:rPr>
                <w:rFonts w:eastAsia="Calibri"/>
                <w:sz w:val="16"/>
                <w:szCs w:val="16"/>
              </w:rPr>
            </w:pPr>
            <w:r w:rsidRPr="00C258AD">
              <w:rPr>
                <w:rFonts w:eastAsia="Calibri"/>
                <w:sz w:val="16"/>
                <w:szCs w:val="16"/>
              </w:rPr>
              <w:t>Collaboration étroite avec les programmes 9 et 10 en particulier, qui connaissent les spécificités de leurs régions, afin que les contenus élaborés continuent de répondre aux besoins spécifiques des régions.</w:t>
            </w:r>
          </w:p>
        </w:tc>
        <w:tc>
          <w:tcPr>
            <w:tcW w:w="2373" w:type="dxa"/>
            <w:tcBorders>
              <w:top w:val="single" w:sz="4" w:space="0" w:color="auto"/>
              <w:bottom w:val="single" w:sz="4" w:space="0" w:color="auto"/>
            </w:tcBorders>
            <w:shd w:val="clear" w:color="auto" w:fill="auto"/>
          </w:tcPr>
          <w:p w:rsidR="00A068F8" w:rsidRPr="00C258AD" w:rsidRDefault="00A068F8" w:rsidP="00A43BDE">
            <w:pPr>
              <w:keepNext/>
              <w:keepLines/>
              <w:rPr>
                <w:sz w:val="16"/>
                <w:szCs w:val="16"/>
              </w:rPr>
            </w:pPr>
            <w:r w:rsidRPr="00C258AD">
              <w:rPr>
                <w:sz w:val="16"/>
                <w:szCs w:val="16"/>
              </w:rPr>
              <w:t>Le renforcement de la collaboration interne, en particulier avec les programmes 9 et 10, et de la coopération externe avec les États membres et les autres organisations internationales a contribué à assurer que le contenu était adapté aux besoins des parties prenantes.</w:t>
            </w:r>
            <w:r w:rsidRPr="00C258AD">
              <w:rPr>
                <w:sz w:val="16"/>
              </w:rPr>
              <w:t xml:space="preserve">  </w:t>
            </w:r>
          </w:p>
        </w:tc>
        <w:tc>
          <w:tcPr>
            <w:tcW w:w="2373" w:type="dxa"/>
            <w:tcBorders>
              <w:top w:val="single" w:sz="4" w:space="0" w:color="auto"/>
              <w:bottom w:val="single" w:sz="4" w:space="0" w:color="auto"/>
              <w:right w:val="single" w:sz="4" w:space="0" w:color="auto"/>
            </w:tcBorders>
            <w:shd w:val="clear" w:color="auto" w:fill="auto"/>
          </w:tcPr>
          <w:p w:rsidR="00A068F8" w:rsidRPr="00C258AD" w:rsidRDefault="00A068F8" w:rsidP="00A43BDE">
            <w:pPr>
              <w:keepNext/>
              <w:keepLines/>
              <w:rPr>
                <w:sz w:val="16"/>
                <w:szCs w:val="16"/>
              </w:rPr>
            </w:pPr>
            <w:r w:rsidRPr="00C258AD">
              <w:rPr>
                <w:sz w:val="16"/>
                <w:szCs w:val="16"/>
              </w:rPr>
              <w:t>Il n’y a eu aucune incidence concrète sur les résultats du programme.</w:t>
            </w:r>
          </w:p>
        </w:tc>
      </w:tr>
      <w:tr w:rsidR="00A068F8" w:rsidRPr="00C258AD" w:rsidTr="00A43BDE">
        <w:trPr>
          <w:cantSplit/>
        </w:trPr>
        <w:tc>
          <w:tcPr>
            <w:tcW w:w="2372" w:type="dxa"/>
            <w:tcBorders>
              <w:top w:val="single" w:sz="4" w:space="0" w:color="auto"/>
              <w:left w:val="single" w:sz="4" w:space="0" w:color="auto"/>
              <w:bottom w:val="single" w:sz="4" w:space="0" w:color="auto"/>
            </w:tcBorders>
            <w:shd w:val="clear" w:color="auto" w:fill="auto"/>
          </w:tcPr>
          <w:p w:rsidR="00A068F8" w:rsidRPr="00C258AD" w:rsidRDefault="00A068F8" w:rsidP="00A43BDE">
            <w:pPr>
              <w:keepNext/>
              <w:keepLines/>
              <w:rPr>
                <w:rFonts w:eastAsia="Calibri"/>
                <w:sz w:val="16"/>
                <w:szCs w:val="16"/>
              </w:rPr>
            </w:pPr>
            <w:r w:rsidRPr="00C258AD">
              <w:rPr>
                <w:sz w:val="16"/>
                <w:szCs w:val="16"/>
              </w:rPr>
              <w:t xml:space="preserve">Les PME de certains pays pourraient continuer de méconnaître les avantages d’une utilisation du système de la propriété intellectuelle, ce qui pourrait se traduire par des occasions manquées d’améliorer leur compétitivité et d’augmenter leurs recettes.  </w:t>
            </w:r>
          </w:p>
        </w:tc>
        <w:tc>
          <w:tcPr>
            <w:tcW w:w="2373" w:type="dxa"/>
            <w:tcBorders>
              <w:top w:val="single" w:sz="4" w:space="0" w:color="auto"/>
              <w:bottom w:val="single" w:sz="4" w:space="0" w:color="auto"/>
            </w:tcBorders>
            <w:shd w:val="clear" w:color="auto" w:fill="auto"/>
          </w:tcPr>
          <w:p w:rsidR="00A068F8" w:rsidRPr="00C258AD" w:rsidRDefault="00A068F8" w:rsidP="00A43BDE">
            <w:pPr>
              <w:keepNext/>
              <w:keepLines/>
              <w:rPr>
                <w:rFonts w:eastAsia="Calibri"/>
                <w:sz w:val="16"/>
                <w:szCs w:val="16"/>
              </w:rPr>
            </w:pPr>
            <w:r w:rsidRPr="00C258AD">
              <w:rPr>
                <w:rFonts w:eastAsia="Calibri"/>
                <w:sz w:val="16"/>
                <w:szCs w:val="16"/>
              </w:rPr>
              <w:t>Flux de travail en parallèle, premièrement pour sensibiliser les PME aux avantages d’une utilisation du système de la propriété intellectuelle pour améliorer leurs résultats économiques grâce à un renforcement de leur compétitivité, et deuxièmement pour encourager les gouvernements nationaux à créer ou améliorer leurs structures d’appui.</w:t>
            </w:r>
          </w:p>
        </w:tc>
        <w:tc>
          <w:tcPr>
            <w:tcW w:w="2373" w:type="dxa"/>
            <w:tcBorders>
              <w:top w:val="single" w:sz="4" w:space="0" w:color="auto"/>
              <w:bottom w:val="single" w:sz="4" w:space="0" w:color="auto"/>
            </w:tcBorders>
            <w:shd w:val="clear" w:color="auto" w:fill="auto"/>
          </w:tcPr>
          <w:p w:rsidR="00A068F8" w:rsidRPr="00C258AD" w:rsidRDefault="00A068F8" w:rsidP="00A43BDE">
            <w:pPr>
              <w:keepNext/>
              <w:keepLines/>
              <w:rPr>
                <w:sz w:val="16"/>
                <w:szCs w:val="16"/>
              </w:rPr>
            </w:pPr>
            <w:r w:rsidRPr="00C258AD">
              <w:rPr>
                <w:sz w:val="16"/>
                <w:szCs w:val="16"/>
              </w:rPr>
              <w:t>Il s’agit d’un risque permanent.  La stratégie d’atténuation des risques a abouti au renforcement de l’intérêt des gouvernements nationaux et à leur participation à l’élaboration de programmes de formation à la propriété intellectuelle et à l’organisation d’actions de sensibilisation à l’intention des PME.</w:t>
            </w:r>
            <w:r w:rsidRPr="00C258AD">
              <w:rPr>
                <w:sz w:val="16"/>
              </w:rPr>
              <w:t xml:space="preserve">  </w:t>
            </w:r>
          </w:p>
        </w:tc>
        <w:tc>
          <w:tcPr>
            <w:tcW w:w="2373" w:type="dxa"/>
            <w:tcBorders>
              <w:top w:val="single" w:sz="4" w:space="0" w:color="auto"/>
              <w:bottom w:val="single" w:sz="4" w:space="0" w:color="auto"/>
              <w:right w:val="single" w:sz="4" w:space="0" w:color="auto"/>
            </w:tcBorders>
            <w:shd w:val="clear" w:color="auto" w:fill="auto"/>
          </w:tcPr>
          <w:p w:rsidR="00A068F8" w:rsidRPr="00C258AD" w:rsidRDefault="00A068F8" w:rsidP="00A43BDE">
            <w:pPr>
              <w:keepNext/>
              <w:keepLines/>
              <w:rPr>
                <w:sz w:val="16"/>
                <w:szCs w:val="16"/>
              </w:rPr>
            </w:pPr>
            <w:r w:rsidRPr="00C258AD">
              <w:rPr>
                <w:sz w:val="16"/>
                <w:szCs w:val="16"/>
              </w:rPr>
              <w:t>Il n’y a eu aucune incidence concrète sur les résultats du programme.</w:t>
            </w:r>
          </w:p>
        </w:tc>
      </w:tr>
    </w:tbl>
    <w:p w:rsidR="006E2BB1" w:rsidRPr="00C258AD" w:rsidRDefault="006E2BB1" w:rsidP="00A068F8">
      <w:pPr>
        <w:rPr>
          <w:color w:val="000000"/>
        </w:rPr>
      </w:pPr>
    </w:p>
    <w:p w:rsidR="006E2BB1" w:rsidRPr="00C258AD" w:rsidRDefault="006E2BB1" w:rsidP="00A068F8">
      <w:pPr>
        <w:rPr>
          <w:color w:val="000000"/>
        </w:rPr>
      </w:pPr>
    </w:p>
    <w:p w:rsidR="006E2BB1" w:rsidRPr="00C258AD" w:rsidRDefault="00A068F8" w:rsidP="00A068F8">
      <w:pPr>
        <w:keepNext/>
        <w:rPr>
          <w:sz w:val="22"/>
        </w:rPr>
      </w:pPr>
      <w:r w:rsidRPr="00C258AD">
        <w:rPr>
          <w:sz w:val="22"/>
        </w:rPr>
        <w:t>UTILISATION DES RESSOURCES</w:t>
      </w:r>
    </w:p>
    <w:p w:rsidR="006E2BB1" w:rsidRPr="00C258AD" w:rsidRDefault="006E2BB1" w:rsidP="00A068F8">
      <w:pPr>
        <w:keepNext/>
        <w:jc w:val="center"/>
      </w:pPr>
    </w:p>
    <w:p w:rsidR="006E2BB1" w:rsidRPr="00C258AD" w:rsidRDefault="00A068F8" w:rsidP="00A068F8">
      <w:pPr>
        <w:pStyle w:val="NormalWeb"/>
        <w:keepNext/>
        <w:spacing w:before="0" w:beforeAutospacing="0" w:after="0" w:afterAutospacing="0"/>
        <w:jc w:val="center"/>
        <w:rPr>
          <w:sz w:val="20"/>
          <w:szCs w:val="20"/>
        </w:rPr>
      </w:pPr>
      <w:r w:rsidRPr="00C258AD">
        <w:rPr>
          <w:sz w:val="20"/>
        </w:rPr>
        <w:t>Budget et dépenses effectives (par résultat)</w:t>
      </w:r>
    </w:p>
    <w:p w:rsidR="006E2BB1" w:rsidRPr="00C258AD" w:rsidRDefault="00A068F8" w:rsidP="00A068F8">
      <w:pPr>
        <w:pStyle w:val="NormalWeb"/>
        <w:keepNext/>
        <w:spacing w:before="0" w:beforeAutospacing="0" w:after="0" w:afterAutospacing="0"/>
        <w:jc w:val="center"/>
        <w:rPr>
          <w:i/>
          <w:iCs/>
          <w:sz w:val="20"/>
          <w:szCs w:val="20"/>
        </w:rPr>
      </w:pPr>
      <w:r w:rsidRPr="00C258AD">
        <w:rPr>
          <w:i/>
          <w:sz w:val="20"/>
        </w:rPr>
        <w:t>(</w:t>
      </w:r>
      <w:proofErr w:type="gramStart"/>
      <w:r w:rsidRPr="00C258AD">
        <w:rPr>
          <w:i/>
          <w:sz w:val="20"/>
        </w:rPr>
        <w:t>en</w:t>
      </w:r>
      <w:proofErr w:type="gramEnd"/>
      <w:r w:rsidRPr="00C258AD">
        <w:rPr>
          <w:i/>
          <w:sz w:val="20"/>
        </w:rPr>
        <w:t xml:space="preserve"> milliers de francs suisses)</w:t>
      </w:r>
    </w:p>
    <w:p w:rsidR="00A068F8" w:rsidRPr="00C258AD" w:rsidRDefault="00A068F8" w:rsidP="00A068F8">
      <w:pPr>
        <w:keepNext/>
        <w:jc w:val="both"/>
      </w:pPr>
    </w:p>
    <w:tbl>
      <w:tblPr>
        <w:tblW w:w="5000" w:type="pct"/>
        <w:tblCellMar>
          <w:top w:w="113" w:type="dxa"/>
          <w:left w:w="70" w:type="dxa"/>
          <w:bottom w:w="113" w:type="dxa"/>
          <w:right w:w="70" w:type="dxa"/>
        </w:tblCellMar>
        <w:tblLook w:val="04A0" w:firstRow="1" w:lastRow="0" w:firstColumn="1" w:lastColumn="0" w:noHBand="0" w:noVBand="1"/>
      </w:tblPr>
      <w:tblGrid>
        <w:gridCol w:w="540"/>
        <w:gridCol w:w="4734"/>
        <w:gridCol w:w="1407"/>
        <w:gridCol w:w="1407"/>
        <w:gridCol w:w="1407"/>
      </w:tblGrid>
      <w:tr w:rsidR="00A068F8" w:rsidRPr="00C258AD" w:rsidTr="00A43BDE">
        <w:trPr>
          <w:cantSplit/>
        </w:trPr>
        <w:tc>
          <w:tcPr>
            <w:tcW w:w="51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A068F8" w:rsidRPr="00C258AD" w:rsidRDefault="00A068F8" w:rsidP="00A43BDE">
            <w:pPr>
              <w:keepNext/>
              <w:jc w:val="center"/>
              <w:rPr>
                <w:i/>
                <w:iCs/>
                <w:sz w:val="16"/>
                <w:szCs w:val="16"/>
              </w:rPr>
            </w:pPr>
            <w:r w:rsidRPr="00C258AD">
              <w:rPr>
                <w:i/>
                <w:sz w:val="16"/>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A068F8" w:rsidRPr="00C258AD" w:rsidRDefault="00A068F8" w:rsidP="00A43BDE">
            <w:pPr>
              <w:keepNext/>
              <w:jc w:val="center"/>
              <w:rPr>
                <w:i/>
                <w:iCs/>
                <w:sz w:val="16"/>
                <w:szCs w:val="16"/>
              </w:rPr>
            </w:pPr>
            <w:r w:rsidRPr="00C258AD">
              <w:rPr>
                <w:i/>
                <w:sz w:val="16"/>
              </w:rPr>
              <w:t>Budget</w:t>
            </w:r>
            <w:r w:rsidRPr="00C258AD">
              <w:br/>
            </w:r>
            <w:r w:rsidRPr="00C258AD">
              <w:rPr>
                <w:i/>
                <w:sz w:val="16"/>
              </w:rPr>
              <w:t>2014</w:t>
            </w:r>
            <w:r w:rsidRPr="00C258AD">
              <w:rPr>
                <w:i/>
                <w:sz w:val="16"/>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A068F8" w:rsidRPr="00C258AD" w:rsidRDefault="00A068F8" w:rsidP="00A43BDE">
            <w:pPr>
              <w:keepNext/>
              <w:jc w:val="center"/>
              <w:rPr>
                <w:i/>
                <w:iCs/>
                <w:sz w:val="16"/>
                <w:szCs w:val="16"/>
              </w:rPr>
            </w:pPr>
            <w:r w:rsidRPr="00C258AD">
              <w:rPr>
                <w:i/>
                <w:sz w:val="16"/>
              </w:rPr>
              <w:t>Budget final</w:t>
            </w:r>
            <w:r w:rsidRPr="00C258AD">
              <w:br/>
            </w:r>
            <w:r w:rsidRPr="00C258AD">
              <w:rPr>
                <w:i/>
                <w:sz w:val="16"/>
              </w:rPr>
              <w:t>2014</w:t>
            </w:r>
            <w:r w:rsidRPr="00C258AD">
              <w:rPr>
                <w:i/>
                <w:sz w:val="16"/>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A068F8" w:rsidRPr="00C258AD" w:rsidRDefault="00A068F8" w:rsidP="00A43BDE">
            <w:pPr>
              <w:keepNext/>
              <w:jc w:val="center"/>
              <w:rPr>
                <w:i/>
                <w:iCs/>
                <w:sz w:val="16"/>
                <w:szCs w:val="16"/>
              </w:rPr>
            </w:pPr>
            <w:r w:rsidRPr="00C258AD">
              <w:rPr>
                <w:i/>
                <w:sz w:val="16"/>
              </w:rPr>
              <w:t>Dépenses</w:t>
            </w:r>
            <w:r w:rsidRPr="00C258AD">
              <w:br/>
            </w:r>
            <w:r w:rsidRPr="00C258AD">
              <w:rPr>
                <w:i/>
                <w:sz w:val="16"/>
              </w:rPr>
              <w:t>2014</w:t>
            </w:r>
            <w:r w:rsidRPr="00C258AD">
              <w:rPr>
                <w:i/>
                <w:sz w:val="16"/>
              </w:rPr>
              <w:noBreakHyphen/>
              <w:t>2015</w:t>
            </w:r>
          </w:p>
        </w:tc>
      </w:tr>
      <w:tr w:rsidR="00A068F8" w:rsidRPr="00C258AD" w:rsidTr="00A43BDE">
        <w:trPr>
          <w:cantSplit/>
        </w:trPr>
        <w:tc>
          <w:tcPr>
            <w:tcW w:w="523" w:type="dxa"/>
            <w:tcBorders>
              <w:top w:val="nil"/>
              <w:left w:val="single" w:sz="4" w:space="0" w:color="auto"/>
              <w:bottom w:val="nil"/>
              <w:right w:val="nil"/>
            </w:tcBorders>
            <w:shd w:val="clear" w:color="auto" w:fill="auto"/>
            <w:noWrap/>
            <w:vAlign w:val="center"/>
            <w:hideMark/>
          </w:tcPr>
          <w:p w:rsidR="00A068F8" w:rsidRPr="00C258AD" w:rsidRDefault="00A068F8" w:rsidP="00A43BDE">
            <w:pPr>
              <w:rPr>
                <w:sz w:val="16"/>
                <w:szCs w:val="16"/>
              </w:rPr>
            </w:pPr>
            <w:r w:rsidRPr="00C258AD">
              <w:rPr>
                <w:sz w:val="16"/>
              </w:rPr>
              <w:t>III.1</w:t>
            </w:r>
          </w:p>
        </w:tc>
        <w:tc>
          <w:tcPr>
            <w:tcW w:w="4577" w:type="dxa"/>
            <w:tcBorders>
              <w:top w:val="nil"/>
              <w:left w:val="nil"/>
              <w:bottom w:val="nil"/>
              <w:right w:val="nil"/>
            </w:tcBorders>
            <w:shd w:val="clear" w:color="auto" w:fill="auto"/>
            <w:vAlign w:val="center"/>
            <w:hideMark/>
          </w:tcPr>
          <w:p w:rsidR="00A068F8" w:rsidRPr="00C258AD" w:rsidRDefault="00A068F8" w:rsidP="00A43BDE">
            <w:pPr>
              <w:rPr>
                <w:sz w:val="16"/>
                <w:szCs w:val="16"/>
              </w:rPr>
            </w:pPr>
            <w:r w:rsidRPr="00C258AD">
              <w:rPr>
                <w:sz w:val="16"/>
              </w:rPr>
              <w:t>Stratégies et plans nationaux en matière d’innovation et de propriété intellectuelle conformes aux objectifs de développement nationaux</w:t>
            </w:r>
          </w:p>
        </w:tc>
        <w:tc>
          <w:tcPr>
            <w:tcW w:w="1360" w:type="dxa"/>
            <w:tcBorders>
              <w:top w:val="nil"/>
              <w:left w:val="nil"/>
              <w:bottom w:val="nil"/>
              <w:right w:val="nil"/>
            </w:tcBorders>
            <w:shd w:val="clear" w:color="auto" w:fill="auto"/>
            <w:vAlign w:val="center"/>
            <w:hideMark/>
          </w:tcPr>
          <w:p w:rsidR="00A068F8" w:rsidRPr="00C258AD" w:rsidRDefault="00A068F8" w:rsidP="00A43BDE">
            <w:pPr>
              <w:jc w:val="right"/>
              <w:rPr>
                <w:sz w:val="16"/>
                <w:szCs w:val="16"/>
              </w:rPr>
            </w:pPr>
            <w:r w:rsidRPr="00C258AD">
              <w:rPr>
                <w:sz w:val="16"/>
              </w:rPr>
              <w:t>250</w:t>
            </w:r>
          </w:p>
        </w:tc>
        <w:tc>
          <w:tcPr>
            <w:tcW w:w="1360" w:type="dxa"/>
            <w:tcBorders>
              <w:top w:val="nil"/>
              <w:left w:val="nil"/>
              <w:bottom w:val="nil"/>
              <w:right w:val="nil"/>
            </w:tcBorders>
            <w:shd w:val="clear" w:color="auto" w:fill="auto"/>
            <w:vAlign w:val="center"/>
            <w:hideMark/>
          </w:tcPr>
          <w:p w:rsidR="00A068F8" w:rsidRPr="00C258AD" w:rsidRDefault="00A068F8" w:rsidP="00A43BDE">
            <w:pPr>
              <w:jc w:val="right"/>
              <w:rPr>
                <w:sz w:val="16"/>
                <w:szCs w:val="16"/>
              </w:rPr>
            </w:pPr>
            <w:r w:rsidRPr="00C258AD">
              <w:rPr>
                <w:sz w:val="16"/>
              </w:rPr>
              <w:t>790</w:t>
            </w:r>
          </w:p>
        </w:tc>
        <w:tc>
          <w:tcPr>
            <w:tcW w:w="1360" w:type="dxa"/>
            <w:tcBorders>
              <w:top w:val="nil"/>
              <w:left w:val="nil"/>
              <w:bottom w:val="nil"/>
              <w:right w:val="single" w:sz="4" w:space="0" w:color="auto"/>
            </w:tcBorders>
            <w:shd w:val="clear" w:color="auto" w:fill="auto"/>
            <w:vAlign w:val="center"/>
            <w:hideMark/>
          </w:tcPr>
          <w:p w:rsidR="00A068F8" w:rsidRPr="00C258AD" w:rsidRDefault="00A068F8" w:rsidP="00A43BDE">
            <w:pPr>
              <w:jc w:val="right"/>
              <w:rPr>
                <w:sz w:val="16"/>
                <w:szCs w:val="16"/>
              </w:rPr>
            </w:pPr>
            <w:r w:rsidRPr="00C258AD">
              <w:rPr>
                <w:sz w:val="16"/>
              </w:rPr>
              <w:t>779</w:t>
            </w:r>
          </w:p>
        </w:tc>
      </w:tr>
      <w:tr w:rsidR="00A068F8" w:rsidRPr="00C258AD" w:rsidTr="00A43BDE">
        <w:trPr>
          <w:cantSplit/>
        </w:trPr>
        <w:tc>
          <w:tcPr>
            <w:tcW w:w="523" w:type="dxa"/>
            <w:tcBorders>
              <w:top w:val="nil"/>
              <w:left w:val="single" w:sz="4" w:space="0" w:color="auto"/>
              <w:bottom w:val="nil"/>
              <w:right w:val="nil"/>
            </w:tcBorders>
            <w:shd w:val="clear" w:color="auto" w:fill="auto"/>
            <w:noWrap/>
            <w:vAlign w:val="center"/>
            <w:hideMark/>
          </w:tcPr>
          <w:p w:rsidR="00A068F8" w:rsidRPr="00C258AD" w:rsidRDefault="00A068F8" w:rsidP="00A43BDE">
            <w:pPr>
              <w:rPr>
                <w:sz w:val="16"/>
                <w:szCs w:val="16"/>
              </w:rPr>
            </w:pPr>
            <w:r w:rsidRPr="00C258AD">
              <w:rPr>
                <w:sz w:val="16"/>
              </w:rPr>
              <w:t>III.2</w:t>
            </w:r>
          </w:p>
        </w:tc>
        <w:tc>
          <w:tcPr>
            <w:tcW w:w="4577" w:type="dxa"/>
            <w:tcBorders>
              <w:top w:val="nil"/>
              <w:left w:val="nil"/>
              <w:bottom w:val="nil"/>
              <w:right w:val="nil"/>
            </w:tcBorders>
            <w:shd w:val="clear" w:color="auto" w:fill="auto"/>
            <w:vAlign w:val="center"/>
            <w:hideMark/>
          </w:tcPr>
          <w:p w:rsidR="00A068F8" w:rsidRPr="00C258AD" w:rsidRDefault="00A068F8" w:rsidP="00A43BDE">
            <w:pPr>
              <w:rPr>
                <w:sz w:val="16"/>
                <w:szCs w:val="16"/>
              </w:rPr>
            </w:pPr>
            <w:r w:rsidRPr="00C258AD">
              <w:rPr>
                <w:sz w:val="16"/>
              </w:rPr>
              <w:t>Renforcement des capacités en matière de ressources humaines pour pouvoir répondre aux nombreuses exigences en ce qui concerne l’utilisation efficace de la propriété intellectuelle au service du développement dans les pays en développement, les PMA et les pays en transition</w:t>
            </w:r>
          </w:p>
        </w:tc>
        <w:tc>
          <w:tcPr>
            <w:tcW w:w="1360" w:type="dxa"/>
            <w:tcBorders>
              <w:top w:val="nil"/>
              <w:left w:val="nil"/>
              <w:bottom w:val="nil"/>
              <w:right w:val="nil"/>
            </w:tcBorders>
            <w:shd w:val="clear" w:color="auto" w:fill="auto"/>
            <w:vAlign w:val="center"/>
            <w:hideMark/>
          </w:tcPr>
          <w:p w:rsidR="00A068F8" w:rsidRPr="00C258AD" w:rsidRDefault="00A068F8" w:rsidP="00A43BDE">
            <w:pPr>
              <w:jc w:val="right"/>
              <w:rPr>
                <w:sz w:val="16"/>
                <w:szCs w:val="16"/>
              </w:rPr>
            </w:pPr>
            <w:r w:rsidRPr="00C258AD">
              <w:rPr>
                <w:sz w:val="16"/>
              </w:rPr>
              <w:t>1 163</w:t>
            </w:r>
          </w:p>
        </w:tc>
        <w:tc>
          <w:tcPr>
            <w:tcW w:w="1360" w:type="dxa"/>
            <w:tcBorders>
              <w:top w:val="nil"/>
              <w:left w:val="nil"/>
              <w:bottom w:val="nil"/>
              <w:right w:val="nil"/>
            </w:tcBorders>
            <w:shd w:val="clear" w:color="auto" w:fill="auto"/>
            <w:vAlign w:val="center"/>
            <w:hideMark/>
          </w:tcPr>
          <w:p w:rsidR="00A068F8" w:rsidRPr="00C258AD" w:rsidRDefault="00A068F8" w:rsidP="00A43BDE">
            <w:pPr>
              <w:jc w:val="right"/>
              <w:rPr>
                <w:sz w:val="16"/>
                <w:szCs w:val="16"/>
              </w:rPr>
            </w:pPr>
            <w:r w:rsidRPr="00C258AD">
              <w:rPr>
                <w:sz w:val="16"/>
              </w:rPr>
              <w:t>665</w:t>
            </w:r>
          </w:p>
        </w:tc>
        <w:tc>
          <w:tcPr>
            <w:tcW w:w="1360" w:type="dxa"/>
            <w:tcBorders>
              <w:top w:val="nil"/>
              <w:left w:val="nil"/>
              <w:bottom w:val="nil"/>
              <w:right w:val="single" w:sz="4" w:space="0" w:color="auto"/>
            </w:tcBorders>
            <w:shd w:val="clear" w:color="auto" w:fill="auto"/>
            <w:vAlign w:val="center"/>
            <w:hideMark/>
          </w:tcPr>
          <w:p w:rsidR="00A068F8" w:rsidRPr="00C258AD" w:rsidRDefault="00A068F8" w:rsidP="00A43BDE">
            <w:pPr>
              <w:jc w:val="right"/>
              <w:rPr>
                <w:sz w:val="16"/>
                <w:szCs w:val="16"/>
              </w:rPr>
            </w:pPr>
            <w:r w:rsidRPr="00C258AD">
              <w:rPr>
                <w:sz w:val="16"/>
              </w:rPr>
              <w:t>653</w:t>
            </w:r>
          </w:p>
        </w:tc>
      </w:tr>
      <w:tr w:rsidR="00A068F8" w:rsidRPr="00C258AD" w:rsidTr="00A43BDE">
        <w:trPr>
          <w:cantSplit/>
        </w:trPr>
        <w:tc>
          <w:tcPr>
            <w:tcW w:w="523" w:type="dxa"/>
            <w:tcBorders>
              <w:top w:val="nil"/>
              <w:left w:val="single" w:sz="4" w:space="0" w:color="auto"/>
              <w:bottom w:val="nil"/>
              <w:right w:val="nil"/>
            </w:tcBorders>
            <w:shd w:val="clear" w:color="auto" w:fill="auto"/>
            <w:noWrap/>
            <w:vAlign w:val="center"/>
            <w:hideMark/>
          </w:tcPr>
          <w:p w:rsidR="00A068F8" w:rsidRPr="00C258AD" w:rsidRDefault="00A068F8" w:rsidP="00A43BDE">
            <w:pPr>
              <w:rPr>
                <w:sz w:val="16"/>
                <w:szCs w:val="16"/>
              </w:rPr>
            </w:pPr>
            <w:r w:rsidRPr="00C258AD">
              <w:rPr>
                <w:sz w:val="16"/>
              </w:rPr>
              <w:t>III.6</w:t>
            </w:r>
          </w:p>
        </w:tc>
        <w:tc>
          <w:tcPr>
            <w:tcW w:w="4577" w:type="dxa"/>
            <w:tcBorders>
              <w:top w:val="nil"/>
              <w:left w:val="nil"/>
              <w:bottom w:val="nil"/>
              <w:right w:val="nil"/>
            </w:tcBorders>
            <w:shd w:val="clear" w:color="auto" w:fill="auto"/>
            <w:vAlign w:val="center"/>
            <w:hideMark/>
          </w:tcPr>
          <w:p w:rsidR="00A068F8" w:rsidRPr="00C258AD" w:rsidRDefault="00A068F8" w:rsidP="00A43BDE">
            <w:pPr>
              <w:rPr>
                <w:sz w:val="16"/>
                <w:szCs w:val="16"/>
              </w:rPr>
            </w:pPr>
            <w:r w:rsidRPr="00C258AD">
              <w:rPr>
                <w:sz w:val="16"/>
              </w:rPr>
              <w:t>Renforcement des capacités des PME de mettre la propriété intellectuelle au service de l’innovation</w:t>
            </w:r>
          </w:p>
        </w:tc>
        <w:tc>
          <w:tcPr>
            <w:tcW w:w="1360" w:type="dxa"/>
            <w:tcBorders>
              <w:top w:val="nil"/>
              <w:left w:val="nil"/>
              <w:bottom w:val="nil"/>
              <w:right w:val="nil"/>
            </w:tcBorders>
            <w:shd w:val="clear" w:color="auto" w:fill="auto"/>
            <w:vAlign w:val="center"/>
            <w:hideMark/>
          </w:tcPr>
          <w:p w:rsidR="00A068F8" w:rsidRPr="00C258AD" w:rsidRDefault="00A068F8" w:rsidP="00A43BDE">
            <w:pPr>
              <w:jc w:val="right"/>
              <w:rPr>
                <w:sz w:val="16"/>
                <w:szCs w:val="16"/>
              </w:rPr>
            </w:pPr>
            <w:r w:rsidRPr="00C258AD">
              <w:rPr>
                <w:sz w:val="16"/>
              </w:rPr>
              <w:t>3 841</w:t>
            </w:r>
          </w:p>
        </w:tc>
        <w:tc>
          <w:tcPr>
            <w:tcW w:w="1360" w:type="dxa"/>
            <w:tcBorders>
              <w:top w:val="nil"/>
              <w:left w:val="nil"/>
              <w:bottom w:val="nil"/>
              <w:right w:val="nil"/>
            </w:tcBorders>
            <w:shd w:val="clear" w:color="auto" w:fill="auto"/>
            <w:vAlign w:val="center"/>
            <w:hideMark/>
          </w:tcPr>
          <w:p w:rsidR="00A068F8" w:rsidRPr="00C258AD" w:rsidRDefault="00A068F8" w:rsidP="00A43BDE">
            <w:pPr>
              <w:jc w:val="right"/>
              <w:rPr>
                <w:sz w:val="16"/>
                <w:szCs w:val="16"/>
              </w:rPr>
            </w:pPr>
            <w:r w:rsidRPr="00C258AD">
              <w:rPr>
                <w:sz w:val="16"/>
              </w:rPr>
              <w:t>3 294</w:t>
            </w:r>
          </w:p>
        </w:tc>
        <w:tc>
          <w:tcPr>
            <w:tcW w:w="1360" w:type="dxa"/>
            <w:tcBorders>
              <w:top w:val="nil"/>
              <w:left w:val="nil"/>
              <w:bottom w:val="nil"/>
              <w:right w:val="single" w:sz="4" w:space="0" w:color="auto"/>
            </w:tcBorders>
            <w:shd w:val="clear" w:color="auto" w:fill="auto"/>
            <w:vAlign w:val="center"/>
            <w:hideMark/>
          </w:tcPr>
          <w:p w:rsidR="00A068F8" w:rsidRPr="00C258AD" w:rsidRDefault="00A068F8" w:rsidP="00A43BDE">
            <w:pPr>
              <w:jc w:val="right"/>
              <w:rPr>
                <w:sz w:val="16"/>
                <w:szCs w:val="16"/>
              </w:rPr>
            </w:pPr>
            <w:r w:rsidRPr="00C258AD">
              <w:rPr>
                <w:sz w:val="16"/>
              </w:rPr>
              <w:t>3 368</w:t>
            </w:r>
          </w:p>
        </w:tc>
      </w:tr>
      <w:tr w:rsidR="00A068F8" w:rsidRPr="00C258AD" w:rsidTr="00A43BDE">
        <w:trPr>
          <w:cantSplit/>
        </w:trPr>
        <w:tc>
          <w:tcPr>
            <w:tcW w:w="523" w:type="dxa"/>
            <w:tcBorders>
              <w:top w:val="nil"/>
              <w:left w:val="single" w:sz="4" w:space="0" w:color="auto"/>
              <w:bottom w:val="nil"/>
              <w:right w:val="nil"/>
            </w:tcBorders>
            <w:shd w:val="clear" w:color="auto" w:fill="auto"/>
            <w:noWrap/>
            <w:vAlign w:val="center"/>
            <w:hideMark/>
          </w:tcPr>
          <w:p w:rsidR="00A068F8" w:rsidRPr="00C258AD" w:rsidRDefault="00A068F8" w:rsidP="00A43BDE">
            <w:pPr>
              <w:rPr>
                <w:sz w:val="16"/>
                <w:szCs w:val="16"/>
              </w:rPr>
            </w:pPr>
            <w:r w:rsidRPr="00C258AD">
              <w:rPr>
                <w:sz w:val="16"/>
              </w:rPr>
              <w:t>IV.2</w:t>
            </w:r>
          </w:p>
        </w:tc>
        <w:tc>
          <w:tcPr>
            <w:tcW w:w="4577" w:type="dxa"/>
            <w:tcBorders>
              <w:top w:val="nil"/>
              <w:left w:val="nil"/>
              <w:bottom w:val="nil"/>
              <w:right w:val="nil"/>
            </w:tcBorders>
            <w:shd w:val="clear" w:color="auto" w:fill="auto"/>
            <w:vAlign w:val="center"/>
            <w:hideMark/>
          </w:tcPr>
          <w:p w:rsidR="00A068F8" w:rsidRPr="00C258AD" w:rsidRDefault="00A068F8" w:rsidP="00A43BDE">
            <w:pPr>
              <w:rPr>
                <w:sz w:val="16"/>
                <w:szCs w:val="16"/>
              </w:rPr>
            </w:pPr>
            <w:r w:rsidRPr="00C258AD">
              <w:rPr>
                <w:sz w:val="16"/>
              </w:rPr>
              <w:t>Amélioration de l’accessibilité et de l’utilisation de l’information en matière de propriété intellectuelle par les institutions compétentes et le public afin de promouvoir l’innovation et la créativité</w:t>
            </w:r>
          </w:p>
        </w:tc>
        <w:tc>
          <w:tcPr>
            <w:tcW w:w="1360" w:type="dxa"/>
            <w:tcBorders>
              <w:top w:val="nil"/>
              <w:left w:val="nil"/>
              <w:bottom w:val="nil"/>
              <w:right w:val="nil"/>
            </w:tcBorders>
            <w:shd w:val="clear" w:color="auto" w:fill="auto"/>
            <w:vAlign w:val="center"/>
            <w:hideMark/>
          </w:tcPr>
          <w:p w:rsidR="00A068F8" w:rsidRPr="00C258AD" w:rsidRDefault="00A068F8" w:rsidP="00A43BDE">
            <w:pPr>
              <w:jc w:val="right"/>
              <w:rPr>
                <w:sz w:val="16"/>
                <w:szCs w:val="16"/>
              </w:rPr>
            </w:pPr>
            <w:r w:rsidRPr="00C258AD">
              <w:rPr>
                <w:sz w:val="16"/>
              </w:rPr>
              <w:t>1 442</w:t>
            </w:r>
          </w:p>
        </w:tc>
        <w:tc>
          <w:tcPr>
            <w:tcW w:w="1360" w:type="dxa"/>
            <w:tcBorders>
              <w:top w:val="nil"/>
              <w:left w:val="nil"/>
              <w:bottom w:val="nil"/>
              <w:right w:val="nil"/>
            </w:tcBorders>
            <w:shd w:val="clear" w:color="auto" w:fill="auto"/>
            <w:vAlign w:val="center"/>
            <w:hideMark/>
          </w:tcPr>
          <w:p w:rsidR="00A068F8" w:rsidRPr="00C258AD" w:rsidRDefault="00A068F8" w:rsidP="00A43BDE">
            <w:pPr>
              <w:jc w:val="right"/>
              <w:rPr>
                <w:sz w:val="16"/>
                <w:szCs w:val="16"/>
              </w:rPr>
            </w:pPr>
            <w:r w:rsidRPr="00C258AD">
              <w:rPr>
                <w:sz w:val="16"/>
              </w:rPr>
              <w:t>758</w:t>
            </w:r>
          </w:p>
        </w:tc>
        <w:tc>
          <w:tcPr>
            <w:tcW w:w="1360" w:type="dxa"/>
            <w:tcBorders>
              <w:top w:val="nil"/>
              <w:left w:val="nil"/>
              <w:bottom w:val="nil"/>
              <w:right w:val="single" w:sz="4" w:space="0" w:color="auto"/>
            </w:tcBorders>
            <w:shd w:val="clear" w:color="auto" w:fill="auto"/>
            <w:vAlign w:val="center"/>
            <w:hideMark/>
          </w:tcPr>
          <w:p w:rsidR="00A068F8" w:rsidRPr="00C258AD" w:rsidRDefault="00A068F8" w:rsidP="00A43BDE">
            <w:pPr>
              <w:jc w:val="right"/>
              <w:rPr>
                <w:sz w:val="16"/>
                <w:szCs w:val="16"/>
              </w:rPr>
            </w:pPr>
            <w:r w:rsidRPr="00C258AD">
              <w:rPr>
                <w:sz w:val="16"/>
              </w:rPr>
              <w:t>703</w:t>
            </w:r>
          </w:p>
        </w:tc>
      </w:tr>
      <w:tr w:rsidR="00A068F8" w:rsidRPr="00C258AD" w:rsidTr="00A43BDE">
        <w:trPr>
          <w:cantSplit/>
        </w:trPr>
        <w:tc>
          <w:tcPr>
            <w:tcW w:w="523" w:type="dxa"/>
            <w:tcBorders>
              <w:top w:val="single" w:sz="4" w:space="0" w:color="auto"/>
              <w:left w:val="single" w:sz="4" w:space="0" w:color="auto"/>
              <w:bottom w:val="single" w:sz="4" w:space="0" w:color="auto"/>
              <w:right w:val="nil"/>
            </w:tcBorders>
            <w:shd w:val="clear" w:color="auto" w:fill="C5D9F1"/>
            <w:noWrap/>
            <w:vAlign w:val="bottom"/>
            <w:hideMark/>
          </w:tcPr>
          <w:p w:rsidR="00A068F8" w:rsidRPr="00C258AD" w:rsidRDefault="00A068F8" w:rsidP="00A43BDE">
            <w:pPr>
              <w:rPr>
                <w:sz w:val="16"/>
                <w:szCs w:val="16"/>
              </w:rPr>
            </w:pPr>
            <w:r w:rsidRPr="00C258AD">
              <w:rPr>
                <w:sz w:val="16"/>
              </w:rPr>
              <w:t> </w:t>
            </w:r>
          </w:p>
        </w:tc>
        <w:tc>
          <w:tcPr>
            <w:tcW w:w="4577" w:type="dxa"/>
            <w:tcBorders>
              <w:top w:val="single" w:sz="4" w:space="0" w:color="auto"/>
              <w:left w:val="nil"/>
              <w:bottom w:val="single" w:sz="4" w:space="0" w:color="auto"/>
              <w:right w:val="single" w:sz="4" w:space="0" w:color="auto"/>
            </w:tcBorders>
            <w:shd w:val="clear" w:color="auto" w:fill="C5D9F1"/>
            <w:noWrap/>
            <w:vAlign w:val="bottom"/>
            <w:hideMark/>
          </w:tcPr>
          <w:p w:rsidR="00A068F8" w:rsidRPr="00C258AD" w:rsidRDefault="00A068F8" w:rsidP="00A43BDE">
            <w:pPr>
              <w:rPr>
                <w:b/>
                <w:bCs/>
                <w:sz w:val="16"/>
                <w:szCs w:val="16"/>
              </w:rPr>
            </w:pPr>
            <w:r w:rsidRPr="00C258AD">
              <w:rPr>
                <w:b/>
                <w:sz w:val="16"/>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A068F8" w:rsidRPr="00C258AD" w:rsidRDefault="00A068F8" w:rsidP="00A43BDE">
            <w:pPr>
              <w:jc w:val="right"/>
              <w:rPr>
                <w:b/>
                <w:bCs/>
                <w:sz w:val="16"/>
                <w:szCs w:val="16"/>
              </w:rPr>
            </w:pPr>
            <w:r w:rsidRPr="00C258AD">
              <w:rPr>
                <w:b/>
                <w:sz w:val="16"/>
              </w:rPr>
              <w:t>6 696</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A068F8" w:rsidRPr="00C258AD" w:rsidRDefault="00A068F8" w:rsidP="00A43BDE">
            <w:pPr>
              <w:jc w:val="right"/>
              <w:rPr>
                <w:b/>
                <w:bCs/>
                <w:sz w:val="16"/>
                <w:szCs w:val="16"/>
              </w:rPr>
            </w:pPr>
            <w:r w:rsidRPr="00C258AD">
              <w:rPr>
                <w:b/>
                <w:sz w:val="16"/>
              </w:rPr>
              <w:t>5 508</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A068F8" w:rsidRPr="00C258AD" w:rsidRDefault="00A068F8" w:rsidP="00A43BDE">
            <w:pPr>
              <w:jc w:val="right"/>
              <w:rPr>
                <w:b/>
                <w:bCs/>
                <w:sz w:val="16"/>
                <w:szCs w:val="16"/>
              </w:rPr>
            </w:pPr>
            <w:r w:rsidRPr="00C258AD">
              <w:rPr>
                <w:b/>
                <w:sz w:val="16"/>
              </w:rPr>
              <w:t>5 503</w:t>
            </w:r>
          </w:p>
        </w:tc>
      </w:tr>
    </w:tbl>
    <w:p w:rsidR="006E2BB1" w:rsidRPr="00C258AD" w:rsidRDefault="006E2BB1" w:rsidP="00A068F8"/>
    <w:p w:rsidR="006E2BB1" w:rsidRPr="00C258AD" w:rsidRDefault="006E2BB1" w:rsidP="00A068F8"/>
    <w:p w:rsidR="006E2BB1" w:rsidRPr="00C258AD" w:rsidRDefault="00A068F8" w:rsidP="00A068F8">
      <w:pPr>
        <w:pStyle w:val="NormalWeb"/>
        <w:keepNext/>
        <w:keepLines/>
        <w:spacing w:before="0" w:beforeAutospacing="0" w:after="0" w:afterAutospacing="0"/>
        <w:jc w:val="center"/>
        <w:rPr>
          <w:sz w:val="20"/>
          <w:szCs w:val="20"/>
        </w:rPr>
      </w:pPr>
      <w:r w:rsidRPr="00C258AD">
        <w:rPr>
          <w:sz w:val="20"/>
        </w:rPr>
        <w:lastRenderedPageBreak/>
        <w:t xml:space="preserve">Budget et dépenses effectives (dépenses de </w:t>
      </w:r>
      <w:proofErr w:type="gramStart"/>
      <w:r w:rsidRPr="00C258AD">
        <w:rPr>
          <w:sz w:val="20"/>
        </w:rPr>
        <w:t>personnel et autres dépenses</w:t>
      </w:r>
      <w:proofErr w:type="gramEnd"/>
      <w:r w:rsidRPr="00C258AD">
        <w:rPr>
          <w:sz w:val="20"/>
        </w:rPr>
        <w:t>)</w:t>
      </w:r>
    </w:p>
    <w:p w:rsidR="006E2BB1" w:rsidRPr="00C258AD" w:rsidRDefault="00A068F8" w:rsidP="00A068F8">
      <w:pPr>
        <w:pStyle w:val="NormalWeb"/>
        <w:keepNext/>
        <w:keepLines/>
        <w:spacing w:before="0" w:beforeAutospacing="0" w:after="0" w:afterAutospacing="0"/>
        <w:jc w:val="center"/>
        <w:rPr>
          <w:i/>
          <w:iCs/>
          <w:sz w:val="20"/>
          <w:szCs w:val="20"/>
        </w:rPr>
      </w:pPr>
      <w:r w:rsidRPr="00C258AD">
        <w:rPr>
          <w:i/>
          <w:sz w:val="20"/>
        </w:rPr>
        <w:t>(</w:t>
      </w:r>
      <w:proofErr w:type="gramStart"/>
      <w:r w:rsidRPr="00C258AD">
        <w:rPr>
          <w:i/>
          <w:sz w:val="20"/>
        </w:rPr>
        <w:t>en</w:t>
      </w:r>
      <w:proofErr w:type="gramEnd"/>
      <w:r w:rsidRPr="00C258AD">
        <w:rPr>
          <w:i/>
          <w:sz w:val="20"/>
        </w:rPr>
        <w:t xml:space="preserve"> milliers de francs suisses)</w:t>
      </w:r>
    </w:p>
    <w:p w:rsidR="00A068F8" w:rsidRPr="00C258AD" w:rsidRDefault="00A068F8" w:rsidP="00A068F8">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A068F8" w:rsidRPr="00C258AD" w:rsidTr="00A43BDE">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A068F8" w:rsidRPr="00C258AD" w:rsidRDefault="00A068F8" w:rsidP="00A43BDE">
            <w:pPr>
              <w:keepNext/>
              <w:rPr>
                <w:color w:val="000000"/>
                <w:sz w:val="16"/>
                <w:szCs w:val="18"/>
              </w:rPr>
            </w:pPr>
            <w:r w:rsidRPr="00C258AD">
              <w:rPr>
                <w:color w:val="000000"/>
                <w:sz w:val="16"/>
              </w:rPr>
              <w:t> </w:t>
            </w:r>
          </w:p>
        </w:tc>
        <w:tc>
          <w:tcPr>
            <w:tcW w:w="1745" w:type="dxa"/>
            <w:tcBorders>
              <w:top w:val="single" w:sz="4" w:space="0" w:color="auto"/>
              <w:left w:val="nil"/>
              <w:bottom w:val="nil"/>
              <w:right w:val="single" w:sz="4" w:space="0" w:color="auto"/>
            </w:tcBorders>
            <w:shd w:val="clear" w:color="auto" w:fill="C5D9F1"/>
            <w:vAlign w:val="center"/>
            <w:hideMark/>
          </w:tcPr>
          <w:p w:rsidR="00A068F8" w:rsidRPr="00C258AD" w:rsidRDefault="00A068F8" w:rsidP="00A43BDE">
            <w:pPr>
              <w:keepNext/>
              <w:jc w:val="center"/>
              <w:rPr>
                <w:b/>
                <w:bCs/>
                <w:color w:val="000000"/>
                <w:sz w:val="16"/>
                <w:szCs w:val="18"/>
              </w:rPr>
            </w:pPr>
            <w:r w:rsidRPr="00C258AD">
              <w:rPr>
                <w:b/>
                <w:color w:val="000000"/>
                <w:sz w:val="16"/>
              </w:rPr>
              <w:t>Budget 2014</w:t>
            </w:r>
            <w:r w:rsidRPr="00C258AD">
              <w:rPr>
                <w:b/>
                <w:color w:val="000000"/>
                <w:sz w:val="16"/>
              </w:rPr>
              <w:noBreakHyphen/>
              <w:t>2015 approuvé</w:t>
            </w:r>
          </w:p>
        </w:tc>
        <w:tc>
          <w:tcPr>
            <w:tcW w:w="1746" w:type="dxa"/>
            <w:tcBorders>
              <w:top w:val="single" w:sz="4" w:space="0" w:color="auto"/>
              <w:left w:val="nil"/>
              <w:bottom w:val="nil"/>
              <w:right w:val="single" w:sz="4" w:space="0" w:color="auto"/>
            </w:tcBorders>
            <w:shd w:val="clear" w:color="auto" w:fill="C5D9F1"/>
            <w:vAlign w:val="center"/>
            <w:hideMark/>
          </w:tcPr>
          <w:p w:rsidR="00A068F8" w:rsidRPr="00C258AD" w:rsidRDefault="00A068F8" w:rsidP="00A43BDE">
            <w:pPr>
              <w:keepNext/>
              <w:jc w:val="center"/>
              <w:rPr>
                <w:b/>
                <w:bCs/>
                <w:color w:val="000000"/>
                <w:sz w:val="16"/>
                <w:szCs w:val="18"/>
              </w:rPr>
            </w:pPr>
            <w:r w:rsidRPr="00C258AD">
              <w:rPr>
                <w:b/>
                <w:color w:val="000000"/>
                <w:sz w:val="16"/>
              </w:rPr>
              <w:t>Budget final 2014</w:t>
            </w:r>
            <w:r w:rsidRPr="00C258AD">
              <w:rPr>
                <w:b/>
                <w:color w:val="000000"/>
                <w:sz w:val="16"/>
              </w:rPr>
              <w:noBreakHyphen/>
              <w:t>2015</w:t>
            </w:r>
            <w:r w:rsidRPr="00C258AD">
              <w:br/>
            </w:r>
            <w:r w:rsidRPr="00C258AD">
              <w:rPr>
                <w:b/>
                <w:color w:val="000000"/>
                <w:sz w:val="16"/>
              </w:rPr>
              <w:t>après virements</w:t>
            </w:r>
          </w:p>
        </w:tc>
        <w:tc>
          <w:tcPr>
            <w:tcW w:w="1745" w:type="dxa"/>
            <w:tcBorders>
              <w:top w:val="single" w:sz="4" w:space="0" w:color="auto"/>
              <w:left w:val="nil"/>
              <w:bottom w:val="nil"/>
              <w:right w:val="single" w:sz="4" w:space="0" w:color="auto"/>
            </w:tcBorders>
            <w:shd w:val="clear" w:color="auto" w:fill="C5D9F1"/>
            <w:vAlign w:val="center"/>
            <w:hideMark/>
          </w:tcPr>
          <w:p w:rsidR="00A068F8" w:rsidRPr="00C258AD" w:rsidRDefault="00A068F8" w:rsidP="00A43BDE">
            <w:pPr>
              <w:keepNext/>
              <w:jc w:val="center"/>
              <w:rPr>
                <w:b/>
                <w:bCs/>
                <w:color w:val="000000"/>
                <w:sz w:val="16"/>
                <w:szCs w:val="18"/>
              </w:rPr>
            </w:pPr>
            <w:r w:rsidRPr="00C258AD">
              <w:rPr>
                <w:b/>
                <w:color w:val="000000"/>
                <w:sz w:val="16"/>
              </w:rPr>
              <w:t xml:space="preserve">Dépenses </w:t>
            </w:r>
            <w:r w:rsidRPr="00C258AD">
              <w:rPr>
                <w:b/>
                <w:color w:val="000000"/>
                <w:sz w:val="16"/>
              </w:rPr>
              <w:br/>
              <w:t>2014</w:t>
            </w:r>
            <w:r w:rsidRPr="00C258AD">
              <w:rPr>
                <w:b/>
                <w:color w:val="000000"/>
                <w:sz w:val="16"/>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A068F8" w:rsidRPr="00C258AD" w:rsidRDefault="00A068F8" w:rsidP="00A43BDE">
            <w:pPr>
              <w:keepNext/>
              <w:jc w:val="center"/>
              <w:rPr>
                <w:b/>
                <w:bCs/>
                <w:color w:val="000000"/>
                <w:sz w:val="16"/>
                <w:szCs w:val="18"/>
              </w:rPr>
            </w:pPr>
            <w:r w:rsidRPr="00C258AD">
              <w:rPr>
                <w:b/>
                <w:color w:val="000000"/>
                <w:sz w:val="16"/>
              </w:rPr>
              <w:t>Taux d’utilisation (%)</w:t>
            </w:r>
          </w:p>
        </w:tc>
      </w:tr>
      <w:tr w:rsidR="00A068F8" w:rsidRPr="00C258AD" w:rsidTr="00A43BDE">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A068F8" w:rsidRPr="00C258AD" w:rsidRDefault="00A068F8" w:rsidP="00A43BDE">
            <w:pPr>
              <w:keepNext/>
              <w:rPr>
                <w:color w:val="000000"/>
                <w:sz w:val="16"/>
                <w:szCs w:val="18"/>
              </w:rPr>
            </w:pPr>
            <w:r w:rsidRPr="00C258AD">
              <w:rPr>
                <w:color w:val="000000"/>
                <w:sz w:val="16"/>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A068F8" w:rsidRPr="00C258AD" w:rsidRDefault="00A068F8" w:rsidP="00A43BDE">
            <w:pPr>
              <w:keepNext/>
              <w:jc w:val="center"/>
              <w:rPr>
                <w:color w:val="000000"/>
                <w:sz w:val="16"/>
                <w:szCs w:val="18"/>
              </w:rPr>
            </w:pPr>
            <w:r w:rsidRPr="00C258AD">
              <w:rPr>
                <w:color w:val="000000"/>
                <w:sz w:val="16"/>
              </w:rPr>
              <w:t>5 086</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A068F8" w:rsidRPr="00C258AD" w:rsidRDefault="00A068F8" w:rsidP="00A43BDE">
            <w:pPr>
              <w:keepNext/>
              <w:jc w:val="center"/>
              <w:rPr>
                <w:color w:val="000000"/>
                <w:sz w:val="16"/>
                <w:szCs w:val="18"/>
              </w:rPr>
            </w:pPr>
            <w:r w:rsidRPr="00C258AD">
              <w:rPr>
                <w:color w:val="000000"/>
                <w:sz w:val="16"/>
              </w:rPr>
              <w:t>4 190</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A068F8" w:rsidRPr="00C258AD" w:rsidRDefault="00A068F8" w:rsidP="00A43BDE">
            <w:pPr>
              <w:keepNext/>
              <w:jc w:val="center"/>
              <w:rPr>
                <w:color w:val="000000"/>
                <w:sz w:val="16"/>
                <w:szCs w:val="18"/>
              </w:rPr>
            </w:pPr>
            <w:r w:rsidRPr="00C258AD">
              <w:rPr>
                <w:color w:val="000000"/>
                <w:sz w:val="16"/>
              </w:rPr>
              <w:t>4 422</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A068F8" w:rsidRPr="00C258AD" w:rsidRDefault="00A068F8" w:rsidP="00A43BDE">
            <w:pPr>
              <w:keepNext/>
              <w:jc w:val="center"/>
              <w:rPr>
                <w:color w:val="000000"/>
                <w:sz w:val="16"/>
                <w:szCs w:val="18"/>
              </w:rPr>
            </w:pPr>
            <w:r w:rsidRPr="00C258AD">
              <w:rPr>
                <w:color w:val="000000"/>
                <w:sz w:val="16"/>
              </w:rPr>
              <w:t>106%</w:t>
            </w:r>
          </w:p>
        </w:tc>
      </w:tr>
      <w:tr w:rsidR="00A068F8" w:rsidRPr="00C258AD" w:rsidTr="00A43BDE">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A068F8" w:rsidRPr="00C258AD" w:rsidRDefault="00A068F8" w:rsidP="00A43BDE">
            <w:pPr>
              <w:keepNext/>
              <w:rPr>
                <w:color w:val="000000"/>
                <w:sz w:val="16"/>
                <w:szCs w:val="18"/>
              </w:rPr>
            </w:pPr>
            <w:r w:rsidRPr="00C258AD">
              <w:rPr>
                <w:color w:val="000000"/>
                <w:sz w:val="16"/>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A068F8" w:rsidRPr="00C258AD" w:rsidRDefault="00A068F8" w:rsidP="00A43BDE">
            <w:pPr>
              <w:keepNext/>
              <w:jc w:val="center"/>
              <w:rPr>
                <w:color w:val="000000"/>
                <w:sz w:val="16"/>
                <w:szCs w:val="18"/>
              </w:rPr>
            </w:pPr>
            <w:r w:rsidRPr="00C258AD">
              <w:rPr>
                <w:color w:val="000000"/>
                <w:sz w:val="16"/>
              </w:rPr>
              <w:t>1 610</w:t>
            </w:r>
          </w:p>
        </w:tc>
        <w:tc>
          <w:tcPr>
            <w:tcW w:w="1746" w:type="dxa"/>
            <w:tcBorders>
              <w:top w:val="nil"/>
              <w:left w:val="nil"/>
              <w:bottom w:val="single" w:sz="4" w:space="0" w:color="auto"/>
              <w:right w:val="single" w:sz="4" w:space="0" w:color="auto"/>
            </w:tcBorders>
            <w:shd w:val="clear" w:color="auto" w:fill="auto"/>
            <w:vAlign w:val="center"/>
            <w:hideMark/>
          </w:tcPr>
          <w:p w:rsidR="00A068F8" w:rsidRPr="00C258AD" w:rsidRDefault="00A068F8" w:rsidP="00A43BDE">
            <w:pPr>
              <w:keepNext/>
              <w:jc w:val="center"/>
              <w:rPr>
                <w:color w:val="000000"/>
                <w:sz w:val="16"/>
                <w:szCs w:val="18"/>
              </w:rPr>
            </w:pPr>
            <w:r w:rsidRPr="00C258AD">
              <w:rPr>
                <w:color w:val="000000"/>
                <w:sz w:val="16"/>
              </w:rPr>
              <w:t>1 318</w:t>
            </w:r>
          </w:p>
        </w:tc>
        <w:tc>
          <w:tcPr>
            <w:tcW w:w="1745" w:type="dxa"/>
            <w:tcBorders>
              <w:top w:val="nil"/>
              <w:left w:val="nil"/>
              <w:bottom w:val="single" w:sz="4" w:space="0" w:color="auto"/>
              <w:right w:val="single" w:sz="4" w:space="0" w:color="auto"/>
            </w:tcBorders>
            <w:shd w:val="clear" w:color="auto" w:fill="auto"/>
            <w:vAlign w:val="center"/>
            <w:hideMark/>
          </w:tcPr>
          <w:p w:rsidR="00A068F8" w:rsidRPr="00C258AD" w:rsidRDefault="00A068F8" w:rsidP="00A43BDE">
            <w:pPr>
              <w:keepNext/>
              <w:jc w:val="center"/>
              <w:rPr>
                <w:color w:val="000000"/>
                <w:sz w:val="16"/>
                <w:szCs w:val="18"/>
              </w:rPr>
            </w:pPr>
            <w:r w:rsidRPr="00C258AD">
              <w:rPr>
                <w:color w:val="000000"/>
                <w:sz w:val="16"/>
              </w:rPr>
              <w:t>1 081</w:t>
            </w:r>
          </w:p>
        </w:tc>
        <w:tc>
          <w:tcPr>
            <w:tcW w:w="1746" w:type="dxa"/>
            <w:tcBorders>
              <w:top w:val="nil"/>
              <w:left w:val="nil"/>
              <w:bottom w:val="single" w:sz="4" w:space="0" w:color="auto"/>
              <w:right w:val="single" w:sz="4" w:space="0" w:color="auto"/>
            </w:tcBorders>
            <w:shd w:val="clear" w:color="auto" w:fill="auto"/>
            <w:vAlign w:val="center"/>
            <w:hideMark/>
          </w:tcPr>
          <w:p w:rsidR="00A068F8" w:rsidRPr="00C258AD" w:rsidRDefault="00A068F8" w:rsidP="00A43BDE">
            <w:pPr>
              <w:keepNext/>
              <w:jc w:val="center"/>
              <w:rPr>
                <w:color w:val="000000"/>
                <w:sz w:val="16"/>
                <w:szCs w:val="18"/>
              </w:rPr>
            </w:pPr>
            <w:r w:rsidRPr="00C258AD">
              <w:rPr>
                <w:color w:val="000000"/>
                <w:sz w:val="16"/>
              </w:rPr>
              <w:t>82%</w:t>
            </w:r>
          </w:p>
        </w:tc>
      </w:tr>
      <w:tr w:rsidR="00A068F8" w:rsidRPr="00C258AD" w:rsidTr="00A43BDE">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A068F8" w:rsidRPr="00C258AD" w:rsidRDefault="00A068F8" w:rsidP="00A43BDE">
            <w:pPr>
              <w:jc w:val="right"/>
              <w:rPr>
                <w:b/>
                <w:bCs/>
                <w:color w:val="000000"/>
                <w:sz w:val="16"/>
                <w:szCs w:val="18"/>
              </w:rPr>
            </w:pPr>
            <w:r w:rsidRPr="00C258AD">
              <w:rPr>
                <w:b/>
                <w:color w:val="000000"/>
                <w:sz w:val="16"/>
              </w:rPr>
              <w:t>TOTAL</w:t>
            </w:r>
          </w:p>
        </w:tc>
        <w:tc>
          <w:tcPr>
            <w:tcW w:w="1745" w:type="dxa"/>
            <w:tcBorders>
              <w:top w:val="nil"/>
              <w:left w:val="nil"/>
              <w:bottom w:val="single" w:sz="4" w:space="0" w:color="auto"/>
              <w:right w:val="single" w:sz="4" w:space="0" w:color="auto"/>
            </w:tcBorders>
            <w:shd w:val="clear" w:color="auto" w:fill="auto"/>
            <w:vAlign w:val="center"/>
            <w:hideMark/>
          </w:tcPr>
          <w:p w:rsidR="00A068F8" w:rsidRPr="00C258AD" w:rsidRDefault="00A068F8" w:rsidP="00A43BDE">
            <w:pPr>
              <w:jc w:val="center"/>
              <w:rPr>
                <w:b/>
                <w:bCs/>
                <w:color w:val="000000"/>
                <w:sz w:val="16"/>
                <w:szCs w:val="18"/>
              </w:rPr>
            </w:pPr>
            <w:r w:rsidRPr="00C258AD">
              <w:rPr>
                <w:b/>
                <w:color w:val="000000"/>
                <w:sz w:val="16"/>
              </w:rPr>
              <w:t>6 696</w:t>
            </w:r>
          </w:p>
        </w:tc>
        <w:tc>
          <w:tcPr>
            <w:tcW w:w="1746" w:type="dxa"/>
            <w:tcBorders>
              <w:top w:val="nil"/>
              <w:left w:val="nil"/>
              <w:bottom w:val="single" w:sz="4" w:space="0" w:color="auto"/>
              <w:right w:val="single" w:sz="4" w:space="0" w:color="auto"/>
            </w:tcBorders>
            <w:shd w:val="clear" w:color="auto" w:fill="auto"/>
            <w:vAlign w:val="center"/>
            <w:hideMark/>
          </w:tcPr>
          <w:p w:rsidR="00A068F8" w:rsidRPr="00C258AD" w:rsidRDefault="00A068F8" w:rsidP="00A43BDE">
            <w:pPr>
              <w:jc w:val="center"/>
              <w:rPr>
                <w:b/>
                <w:bCs/>
                <w:color w:val="000000"/>
                <w:sz w:val="16"/>
                <w:szCs w:val="18"/>
              </w:rPr>
            </w:pPr>
            <w:r w:rsidRPr="00C258AD">
              <w:rPr>
                <w:b/>
                <w:color w:val="000000"/>
                <w:sz w:val="16"/>
              </w:rPr>
              <w:t>5 508</w:t>
            </w:r>
          </w:p>
        </w:tc>
        <w:tc>
          <w:tcPr>
            <w:tcW w:w="1745" w:type="dxa"/>
            <w:tcBorders>
              <w:top w:val="nil"/>
              <w:left w:val="nil"/>
              <w:bottom w:val="single" w:sz="4" w:space="0" w:color="auto"/>
              <w:right w:val="single" w:sz="4" w:space="0" w:color="auto"/>
            </w:tcBorders>
            <w:shd w:val="clear" w:color="auto" w:fill="auto"/>
            <w:vAlign w:val="center"/>
            <w:hideMark/>
          </w:tcPr>
          <w:p w:rsidR="00A068F8" w:rsidRPr="00C258AD" w:rsidRDefault="00A068F8" w:rsidP="00A43BDE">
            <w:pPr>
              <w:jc w:val="center"/>
              <w:rPr>
                <w:b/>
                <w:bCs/>
                <w:color w:val="000000"/>
                <w:sz w:val="16"/>
                <w:szCs w:val="18"/>
              </w:rPr>
            </w:pPr>
            <w:r w:rsidRPr="00C258AD">
              <w:rPr>
                <w:b/>
                <w:color w:val="000000"/>
                <w:sz w:val="16"/>
              </w:rPr>
              <w:t>5 503</w:t>
            </w:r>
          </w:p>
        </w:tc>
        <w:tc>
          <w:tcPr>
            <w:tcW w:w="1746" w:type="dxa"/>
            <w:tcBorders>
              <w:top w:val="nil"/>
              <w:left w:val="nil"/>
              <w:bottom w:val="single" w:sz="4" w:space="0" w:color="auto"/>
              <w:right w:val="single" w:sz="4" w:space="0" w:color="auto"/>
            </w:tcBorders>
            <w:shd w:val="clear" w:color="auto" w:fill="auto"/>
            <w:vAlign w:val="center"/>
            <w:hideMark/>
          </w:tcPr>
          <w:p w:rsidR="00A068F8" w:rsidRPr="00C258AD" w:rsidRDefault="00A068F8" w:rsidP="00A43BDE">
            <w:pPr>
              <w:jc w:val="center"/>
              <w:rPr>
                <w:b/>
                <w:bCs/>
                <w:color w:val="000000"/>
                <w:sz w:val="16"/>
                <w:szCs w:val="18"/>
              </w:rPr>
            </w:pPr>
            <w:r w:rsidRPr="00C258AD">
              <w:rPr>
                <w:b/>
                <w:color w:val="000000"/>
                <w:sz w:val="16"/>
              </w:rPr>
              <w:t>100%</w:t>
            </w:r>
          </w:p>
        </w:tc>
      </w:tr>
    </w:tbl>
    <w:p w:rsidR="006E2BB1" w:rsidRPr="00C258AD" w:rsidRDefault="006E2BB1" w:rsidP="00A068F8">
      <w:pPr>
        <w:widowControl w:val="0"/>
        <w:autoSpaceDE w:val="0"/>
        <w:autoSpaceDN w:val="0"/>
        <w:adjustRightInd w:val="0"/>
        <w:jc w:val="both"/>
      </w:pPr>
    </w:p>
    <w:p w:rsidR="006E2BB1" w:rsidRPr="00C258AD" w:rsidRDefault="006E2BB1" w:rsidP="00A068F8">
      <w:pPr>
        <w:widowControl w:val="0"/>
        <w:autoSpaceDE w:val="0"/>
        <w:autoSpaceDN w:val="0"/>
        <w:adjustRightInd w:val="0"/>
        <w:jc w:val="both"/>
      </w:pPr>
    </w:p>
    <w:p w:rsidR="006E2BB1" w:rsidRPr="00C258AD" w:rsidRDefault="00A068F8" w:rsidP="00A068F8">
      <w:pPr>
        <w:rPr>
          <w:u w:val="single"/>
        </w:rPr>
      </w:pPr>
      <w:r w:rsidRPr="00C258AD">
        <w:t>A.</w:t>
      </w:r>
      <w:r w:rsidRPr="00C258AD">
        <w:tab/>
      </w:r>
      <w:r w:rsidRPr="00C258AD">
        <w:rPr>
          <w:u w:val="single"/>
        </w:rPr>
        <w:t>Budget final 2014</w:t>
      </w:r>
      <w:r w:rsidRPr="00C258AD">
        <w:rPr>
          <w:u w:val="single"/>
        </w:rPr>
        <w:noBreakHyphen/>
        <w:t>2015 après virements</w:t>
      </w:r>
    </w:p>
    <w:p w:rsidR="006E2BB1" w:rsidRPr="00C258AD" w:rsidRDefault="006E2BB1" w:rsidP="00A068F8">
      <w:pPr>
        <w:rPr>
          <w:u w:val="single"/>
        </w:rPr>
      </w:pPr>
    </w:p>
    <w:p w:rsidR="006E2BB1" w:rsidRPr="00C258AD" w:rsidRDefault="00A068F8" w:rsidP="00A068F8">
      <w:pPr>
        <w:pStyle w:val="ListParagraph"/>
        <w:numPr>
          <w:ilvl w:val="0"/>
          <w:numId w:val="58"/>
        </w:numPr>
        <w:tabs>
          <w:tab w:val="left" w:pos="709"/>
        </w:tabs>
        <w:ind w:left="0" w:firstLine="0"/>
        <w:jc w:val="both"/>
        <w:rPr>
          <w:rFonts w:eastAsia="SimSun"/>
        </w:rPr>
      </w:pPr>
      <w:r w:rsidRPr="00C258AD">
        <w:rPr>
          <w:rFonts w:eastAsia="SimSun"/>
        </w:rPr>
        <w:t>La diminution des dépenses de personnel dans le budget final 2014</w:t>
      </w:r>
      <w:r w:rsidRPr="00C258AD">
        <w:rPr>
          <w:rFonts w:eastAsia="SimSun"/>
        </w:rPr>
        <w:noBreakHyphen/>
        <w:t>2015 après virements au regard du budget 2014</w:t>
      </w:r>
      <w:r w:rsidRPr="00C258AD">
        <w:rPr>
          <w:rFonts w:eastAsia="SimSun"/>
        </w:rPr>
        <w:noBreakHyphen/>
        <w:t>2015 approuvé traduit i) le transfert de responsabilités pour la mise en œuvre du projet du Plan d’action pour le développement relatif aux projets de partenariat ouvert et modèles vers le programme 5 (Système du PCT) et ii) les retards observés dans la détermination des aptitudes et compétences appropriées destinées à appuyer les activités du programme pour compenser le transfert de membres du personnel en dehors du programme.</w:t>
      </w:r>
    </w:p>
    <w:p w:rsidR="006E2BB1" w:rsidRPr="00C258AD" w:rsidRDefault="006E2BB1" w:rsidP="00A068F8">
      <w:pPr>
        <w:rPr>
          <w:rFonts w:eastAsia="Arial"/>
        </w:rPr>
      </w:pPr>
    </w:p>
    <w:p w:rsidR="006E2BB1" w:rsidRPr="00C258AD" w:rsidRDefault="00A068F8" w:rsidP="00A068F8">
      <w:pPr>
        <w:pStyle w:val="ListParagraph"/>
        <w:numPr>
          <w:ilvl w:val="0"/>
          <w:numId w:val="58"/>
        </w:numPr>
        <w:tabs>
          <w:tab w:val="left" w:pos="709"/>
        </w:tabs>
        <w:ind w:left="0" w:firstLine="0"/>
        <w:jc w:val="both"/>
      </w:pPr>
      <w:r w:rsidRPr="00C258AD">
        <w:rPr>
          <w:rFonts w:eastAsia="SimSun"/>
        </w:rPr>
        <w:t>La nette diminution des autres dépenses traduit essentiellement : i) un ajustement à la baisse principalement dû au transfert de responsabilités pour la formation à la rédaction de brevets vers le programme 1;  et ii) le transfert des autres dépenses concernant un stagiaire (au programme 23, qui est chargé de la gestion centralisée des stagiaires</w:t>
      </w:r>
      <w:r w:rsidRPr="00C258AD">
        <w:rPr>
          <w:rFonts w:cs="Arial"/>
        </w:rPr>
        <w:t>)</w:t>
      </w:r>
      <w:r w:rsidRPr="00C258AD">
        <w:rPr>
          <w:rFonts w:eastAsia="SimSun"/>
        </w:rPr>
        <w:t>.</w:t>
      </w:r>
    </w:p>
    <w:p w:rsidR="006E2BB1" w:rsidRPr="00C258AD" w:rsidRDefault="006E2BB1" w:rsidP="00A068F8">
      <w:pPr>
        <w:pStyle w:val="ListParagraph"/>
        <w:numPr>
          <w:ilvl w:val="0"/>
          <w:numId w:val="0"/>
        </w:numPr>
        <w:tabs>
          <w:tab w:val="left" w:pos="709"/>
        </w:tabs>
        <w:jc w:val="both"/>
      </w:pPr>
    </w:p>
    <w:p w:rsidR="006E2BB1" w:rsidRPr="00C258AD" w:rsidRDefault="00A068F8" w:rsidP="00A068F8">
      <w:pPr>
        <w:pStyle w:val="ListParagraph"/>
        <w:numPr>
          <w:ilvl w:val="0"/>
          <w:numId w:val="58"/>
        </w:numPr>
        <w:tabs>
          <w:tab w:val="left" w:pos="709"/>
        </w:tabs>
        <w:ind w:left="0" w:firstLine="0"/>
        <w:jc w:val="both"/>
        <w:rPr>
          <w:rFonts w:cs="Arial"/>
        </w:rPr>
      </w:pPr>
      <w:r w:rsidRPr="00C258AD">
        <w:rPr>
          <w:rFonts w:cs="Arial"/>
        </w:rPr>
        <w:t>D’une manière générale, les ajustements apportés aux résultats escomptés dans le budget final 2014</w:t>
      </w:r>
      <w:r w:rsidRPr="00C258AD">
        <w:rPr>
          <w:rFonts w:cs="Arial"/>
        </w:rPr>
        <w:noBreakHyphen/>
        <w:t>2015 après virements découlent de l’application d’une nouvelle méthode plus précise d’affectation des ressources en personnel résultant des améliorations apportées au système de gestion des performances dans le cadre de la planification des programmes de travail annuels pour 2014 et 2015, ainsi que d’une réorganisation interne du programme.</w:t>
      </w:r>
    </w:p>
    <w:p w:rsidR="006E2BB1" w:rsidRPr="00C258AD" w:rsidRDefault="006E2BB1" w:rsidP="00A068F8">
      <w:pPr>
        <w:autoSpaceDE w:val="0"/>
        <w:autoSpaceDN w:val="0"/>
        <w:jc w:val="both"/>
      </w:pPr>
    </w:p>
    <w:p w:rsidR="006E2BB1" w:rsidRPr="00C258AD" w:rsidRDefault="006E2BB1" w:rsidP="00A068F8">
      <w:pPr>
        <w:autoSpaceDE w:val="0"/>
        <w:autoSpaceDN w:val="0"/>
        <w:jc w:val="both"/>
      </w:pPr>
    </w:p>
    <w:p w:rsidR="006E2BB1" w:rsidRPr="00C258AD" w:rsidRDefault="00A068F8" w:rsidP="00A068F8">
      <w:pPr>
        <w:jc w:val="both"/>
        <w:rPr>
          <w:u w:val="single"/>
        </w:rPr>
      </w:pPr>
      <w:r w:rsidRPr="00C258AD">
        <w:t>B.</w:t>
      </w:r>
      <w:r w:rsidRPr="00C258AD">
        <w:tab/>
      </w:r>
      <w:r w:rsidRPr="00C258AD">
        <w:rPr>
          <w:u w:val="single"/>
        </w:rPr>
        <w:t>Utilisation du budget en 2014</w:t>
      </w:r>
      <w:r w:rsidRPr="00C258AD">
        <w:rPr>
          <w:u w:val="single"/>
        </w:rPr>
        <w:noBreakHyphen/>
        <w:t>2015</w:t>
      </w:r>
    </w:p>
    <w:p w:rsidR="006E2BB1" w:rsidRPr="00C258AD" w:rsidRDefault="006E2BB1" w:rsidP="00A068F8">
      <w:pPr>
        <w:tabs>
          <w:tab w:val="left" w:pos="709"/>
        </w:tabs>
        <w:jc w:val="both"/>
        <w:rPr>
          <w:u w:val="single"/>
        </w:rPr>
      </w:pPr>
    </w:p>
    <w:bookmarkEnd w:id="108"/>
    <w:p w:rsidR="006E2BB1" w:rsidRPr="00C258AD" w:rsidRDefault="00A068F8" w:rsidP="00A068F8">
      <w:pPr>
        <w:pStyle w:val="ListParagraph"/>
        <w:numPr>
          <w:ilvl w:val="0"/>
          <w:numId w:val="58"/>
        </w:numPr>
        <w:tabs>
          <w:tab w:val="left" w:pos="709"/>
        </w:tabs>
        <w:ind w:left="0" w:firstLine="0"/>
        <w:jc w:val="both"/>
      </w:pPr>
      <w:r w:rsidRPr="00C258AD">
        <w:rPr>
          <w:rFonts w:cs="Arial"/>
        </w:rPr>
        <w:t xml:space="preserve">La légère </w:t>
      </w:r>
      <w:proofErr w:type="spellStart"/>
      <w:r w:rsidRPr="00C258AD">
        <w:rPr>
          <w:rFonts w:cs="Arial"/>
        </w:rPr>
        <w:t>sous utilisation</w:t>
      </w:r>
      <w:proofErr w:type="spellEnd"/>
      <w:r w:rsidRPr="00C258AD">
        <w:rPr>
          <w:rFonts w:cs="Arial"/>
        </w:rPr>
        <w:t xml:space="preserve"> des ressources autres que les ressources en personnel tient essentiellement : i) au rythme généralement plus lent que prévu de la mise en œuvre des activités prévues au titre des résultats escomptés III.6 (Renforcement des capacités des PME de mettre la propriété intellectuelle au service de l’innovation) et IV.2 (Amélioration de l’accessibilité et de l’utilisation de l’information en matière de propriété intellectuelle par les institutions compétentes et le public afin de promouvoir l’innovation et la créativité);  et ii) au report ou à l’annulation de certaines activités à la demandes des institutions partenaires ou des États membres au titre des résultats escomptés III.1 (Stratégies et plans nationaux en matière d’innovation et de propriété intellectuelle conformes aux objectifs de développement nationaux), III.6 (Renforcement des capacités des PME de mettre la propriété intellectuelle au service de l’innovation) et IV.2 (Amélioration de l’accessibilité et de l’utilisation de l’information en matière de propriété intellectuelle par les institutions compétentes et le public afin de promouvoir l’innovation et la créativité).</w:t>
      </w:r>
    </w:p>
    <w:p w:rsidR="006E2BB1" w:rsidRPr="00C258AD" w:rsidRDefault="006E2BB1" w:rsidP="00A068F8">
      <w:pPr>
        <w:rPr>
          <w:lang w:eastAsia="ko-KR"/>
        </w:rPr>
      </w:pPr>
    </w:p>
    <w:p w:rsidR="006E2BB1" w:rsidRPr="00C258AD" w:rsidRDefault="006E2BB1" w:rsidP="00A068F8">
      <w:pPr>
        <w:rPr>
          <w:lang w:eastAsia="ko-KR"/>
        </w:rPr>
      </w:pPr>
    </w:p>
    <w:p w:rsidR="006E2BB1" w:rsidRPr="00C258AD" w:rsidRDefault="00A068F8">
      <w:pPr>
        <w:spacing w:after="200" w:line="276" w:lineRule="auto"/>
        <w:rPr>
          <w:rFonts w:cs="Arial"/>
          <w:b/>
          <w:bCs/>
          <w:iCs/>
          <w:caps/>
          <w:sz w:val="22"/>
          <w:szCs w:val="28"/>
        </w:rPr>
      </w:pPr>
      <w:r w:rsidRPr="00C258AD">
        <w:br w:type="page"/>
      </w:r>
    </w:p>
    <w:p w:rsidR="00BB716F" w:rsidRPr="00C258AD" w:rsidRDefault="00BB716F" w:rsidP="00BB716F">
      <w:pPr>
        <w:pStyle w:val="StyleHeading214ptAuto"/>
        <w:jc w:val="center"/>
        <w:rPr>
          <w:lang w:val="fr-FR"/>
        </w:rPr>
      </w:pPr>
      <w:bookmarkStart w:id="111" w:name="_Toc455394192"/>
      <w:r w:rsidRPr="00C258AD">
        <w:rPr>
          <w:lang w:val="fr-FR"/>
        </w:rPr>
        <w:lastRenderedPageBreak/>
        <w:t>OBJECTIF STRATÉGIQUE IV</w:t>
      </w:r>
      <w:bookmarkEnd w:id="111"/>
    </w:p>
    <w:p w:rsidR="00BB716F" w:rsidRPr="00C258AD" w:rsidRDefault="00BB716F" w:rsidP="00BB716F">
      <w:pPr>
        <w:jc w:val="center"/>
      </w:pPr>
    </w:p>
    <w:p w:rsidR="00BB716F" w:rsidRPr="00C258AD" w:rsidRDefault="00BB716F" w:rsidP="00BB716F">
      <w:pPr>
        <w:jc w:val="center"/>
        <w:rPr>
          <w:caps/>
        </w:rPr>
      </w:pPr>
      <w:r w:rsidRPr="00C258AD">
        <w:rPr>
          <w:b/>
          <w:caps/>
        </w:rPr>
        <w:t>Coordination et développement de l’infrastructure mondiale en matière de propriété intellectuelle</w:t>
      </w:r>
    </w:p>
    <w:p w:rsidR="00BB716F" w:rsidRPr="00C258AD" w:rsidRDefault="00BB716F" w:rsidP="00BB716F">
      <w:pPr>
        <w:jc w:val="center"/>
      </w:pPr>
    </w:p>
    <w:p w:rsidR="00BB716F" w:rsidRPr="00C258AD" w:rsidRDefault="00BB716F" w:rsidP="00BB716F">
      <w:pPr>
        <w:jc w:val="center"/>
      </w:pPr>
    </w:p>
    <w:p w:rsidR="00BB716F" w:rsidRPr="00C258AD" w:rsidRDefault="00BB716F" w:rsidP="00BB716F">
      <w:pPr>
        <w:jc w:val="center"/>
        <w:rPr>
          <w:b/>
        </w:rPr>
      </w:pPr>
      <w:r w:rsidRPr="00C258AD">
        <w:rPr>
          <w:b/>
        </w:rPr>
        <w:t>Tableau de bord de l’exécution du programme biennal</w:t>
      </w:r>
    </w:p>
    <w:p w:rsidR="00BB716F" w:rsidRPr="00C258AD" w:rsidRDefault="00BB716F" w:rsidP="00BB716F">
      <w:pPr>
        <w:jc w:val="center"/>
        <w:rPr>
          <w:b/>
        </w:rPr>
      </w:pPr>
    </w:p>
    <w:p w:rsidR="00BB716F" w:rsidRPr="00C258AD" w:rsidRDefault="00BB716F" w:rsidP="00BB716F">
      <w:pPr>
        <w:autoSpaceDE w:val="0"/>
        <w:autoSpaceDN w:val="0"/>
        <w:adjustRightInd w:val="0"/>
        <w:jc w:val="both"/>
        <w:rPr>
          <w:rFonts w:cs="Arial"/>
        </w:rPr>
      </w:pPr>
      <w:r w:rsidRPr="00C258AD">
        <w:rPr>
          <w:rFonts w:cs="Arial"/>
        </w:rPr>
        <w:t>Le tableau de bord ci</w:t>
      </w:r>
      <w:r w:rsidRPr="00C258AD">
        <w:rPr>
          <w:rFonts w:cs="Arial"/>
        </w:rPr>
        <w:noBreakHyphen/>
        <w:t>dessous présente un résumé de la réalisation des résultats escomptés pour l’exercice biennal 2014</w:t>
      </w:r>
      <w:r w:rsidRPr="00C258AD">
        <w:rPr>
          <w:rFonts w:cs="Arial"/>
        </w:rPr>
        <w:noBreakHyphen/>
        <w:t>2015, telle que mesurée par les indicateurs au titre des programmes contribuant à cet objectif stratégique.</w:t>
      </w:r>
    </w:p>
    <w:p w:rsidR="00BB716F" w:rsidRPr="00C258AD" w:rsidRDefault="00BB716F" w:rsidP="00BB716F">
      <w:pPr>
        <w:jc w:val="center"/>
      </w:pPr>
      <w:r w:rsidRPr="00C258AD">
        <w:rPr>
          <w:noProof/>
          <w:lang w:val="en-US"/>
        </w:rPr>
        <w:drawing>
          <wp:inline distT="0" distB="0" distL="0" distR="0" wp14:anchorId="066CF490" wp14:editId="1CEEEBCA">
            <wp:extent cx="5940425" cy="3265270"/>
            <wp:effectExtent l="0" t="0" r="317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940425" cy="3265270"/>
                    </a:xfrm>
                    <a:prstGeom prst="rect">
                      <a:avLst/>
                    </a:prstGeom>
                    <a:noFill/>
                    <a:ln>
                      <a:noFill/>
                    </a:ln>
                  </pic:spPr>
                </pic:pic>
              </a:graphicData>
            </a:graphic>
          </wp:inline>
        </w:drawing>
      </w:r>
    </w:p>
    <w:p w:rsidR="00BB716F" w:rsidRPr="00C258AD" w:rsidRDefault="00BB716F" w:rsidP="00BB716F"/>
    <w:tbl>
      <w:tblPr>
        <w:tblW w:w="5000" w:type="pct"/>
        <w:tblInd w:w="108" w:type="dxa"/>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762"/>
        <w:gridCol w:w="4055"/>
        <w:gridCol w:w="1619"/>
        <w:gridCol w:w="1055"/>
      </w:tblGrid>
      <w:tr w:rsidR="00BB716F" w:rsidRPr="00C258AD" w:rsidTr="00BB716F">
        <w:trPr>
          <w:cantSplit/>
          <w:tblHeader/>
        </w:trPr>
        <w:tc>
          <w:tcPr>
            <w:tcW w:w="1455"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BB716F" w:rsidRPr="00C258AD" w:rsidRDefault="00BB716F" w:rsidP="00BB716F">
            <w:pPr>
              <w:spacing w:after="120"/>
              <w:jc w:val="center"/>
              <w:rPr>
                <w:rFonts w:cs="Arial"/>
                <w:b/>
                <w:bCs/>
                <w:sz w:val="18"/>
                <w:szCs w:val="18"/>
              </w:rPr>
            </w:pPr>
            <w:r w:rsidRPr="00C258AD">
              <w:rPr>
                <w:rFonts w:cs="Arial"/>
                <w:b/>
                <w:bCs/>
                <w:sz w:val="18"/>
                <w:szCs w:val="18"/>
              </w:rPr>
              <w:t>Résultats escomptés</w:t>
            </w:r>
          </w:p>
        </w:tc>
        <w:tc>
          <w:tcPr>
            <w:tcW w:w="2136"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BB716F" w:rsidRPr="00C258AD" w:rsidRDefault="00BB716F" w:rsidP="00BB716F">
            <w:pPr>
              <w:spacing w:after="120"/>
              <w:jc w:val="center"/>
              <w:rPr>
                <w:rFonts w:cs="Arial"/>
                <w:b/>
                <w:sz w:val="18"/>
                <w:szCs w:val="18"/>
              </w:rPr>
            </w:pPr>
            <w:r w:rsidRPr="00C258AD">
              <w:rPr>
                <w:rFonts w:cs="Arial"/>
                <w:b/>
                <w:sz w:val="18"/>
                <w:szCs w:val="18"/>
              </w:rPr>
              <w:t>Indicateurs d’exécution</w:t>
            </w:r>
          </w:p>
        </w:tc>
        <w:tc>
          <w:tcPr>
            <w:tcW w:w="853"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BB716F" w:rsidRPr="00C258AD" w:rsidRDefault="00BB716F" w:rsidP="00BB716F">
            <w:pPr>
              <w:spacing w:after="120"/>
              <w:ind w:left="85"/>
              <w:jc w:val="center"/>
              <w:rPr>
                <w:rFonts w:cs="Arial"/>
                <w:sz w:val="18"/>
                <w:szCs w:val="18"/>
              </w:rPr>
            </w:pPr>
            <w:r w:rsidRPr="00C258AD">
              <w:rPr>
                <w:rFonts w:cs="Arial"/>
                <w:b/>
                <w:sz w:val="18"/>
                <w:szCs w:val="18"/>
              </w:rPr>
              <w:t>Programme(s) concerné(s)</w:t>
            </w:r>
          </w:p>
        </w:tc>
        <w:tc>
          <w:tcPr>
            <w:tcW w:w="556" w:type="pct"/>
            <w:tcBorders>
              <w:top w:val="single" w:sz="4" w:space="0" w:color="auto"/>
              <w:bottom w:val="single" w:sz="4" w:space="0" w:color="auto"/>
            </w:tcBorders>
            <w:shd w:val="clear" w:color="auto" w:fill="DAEEF3" w:themeFill="accent5" w:themeFillTint="33"/>
            <w:vAlign w:val="center"/>
          </w:tcPr>
          <w:p w:rsidR="00BB716F" w:rsidRPr="00C258AD" w:rsidRDefault="00BB716F" w:rsidP="00BB716F">
            <w:pPr>
              <w:spacing w:after="120"/>
              <w:ind w:left="85"/>
              <w:jc w:val="center"/>
              <w:rPr>
                <w:rFonts w:cs="Arial"/>
                <w:b/>
                <w:bCs/>
                <w:sz w:val="18"/>
                <w:szCs w:val="18"/>
              </w:rPr>
            </w:pPr>
            <w:r w:rsidRPr="00C258AD">
              <w:rPr>
                <w:rFonts w:cs="Arial"/>
                <w:b/>
                <w:bCs/>
                <w:sz w:val="18"/>
                <w:szCs w:val="18"/>
              </w:rPr>
              <w:t>Code de couleurs</w:t>
            </w:r>
          </w:p>
        </w:tc>
      </w:tr>
      <w:tr w:rsidR="00BB716F" w:rsidRPr="00C258AD" w:rsidTr="00BB716F">
        <w:trPr>
          <w:cantSplit/>
        </w:trPr>
        <w:tc>
          <w:tcPr>
            <w:tcW w:w="1455" w:type="pct"/>
            <w:vMerge w:val="restart"/>
            <w:tcBorders>
              <w:top w:val="single" w:sz="4" w:space="0" w:color="auto"/>
            </w:tcBorders>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IV.1  Système actualisé et mondialement accepté des classifications internationales et des normes de l’OMPI pour faciliter l’accès des parties prenantes dans le monde à l’information en matière de propriété intellectuelle, ainsi que l’utilisation et la diffusion de celle</w:t>
            </w:r>
            <w:r w:rsidRPr="00C258AD">
              <w:rPr>
                <w:rFonts w:cs="Arial"/>
                <w:sz w:val="16"/>
                <w:szCs w:val="16"/>
              </w:rPr>
              <w:noBreakHyphen/>
              <w:t>ci</w:t>
            </w:r>
          </w:p>
        </w:tc>
        <w:tc>
          <w:tcPr>
            <w:tcW w:w="2136" w:type="pct"/>
            <w:tcBorders>
              <w:top w:val="single" w:sz="4" w:space="0" w:color="auto"/>
            </w:tcBorders>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 xml:space="preserve">Nombre de modifications et de dossiers d’information introduits dans la classification de Nice </w:t>
            </w:r>
          </w:p>
        </w:tc>
        <w:tc>
          <w:tcPr>
            <w:tcW w:w="853" w:type="pct"/>
            <w:tcBorders>
              <w:top w:val="single" w:sz="4" w:space="0" w:color="auto"/>
            </w:tcBorders>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12</w:t>
            </w:r>
          </w:p>
        </w:tc>
        <w:tc>
          <w:tcPr>
            <w:tcW w:w="556" w:type="pct"/>
            <w:tcBorders>
              <w:top w:val="single" w:sz="4" w:space="0" w:color="auto"/>
            </w:tcBorders>
            <w:shd w:val="clear" w:color="auto" w:fill="FFFFFF"/>
          </w:tcPr>
          <w:p w:rsidR="00BB716F" w:rsidRPr="00C258AD" w:rsidRDefault="00BB716F" w:rsidP="00BB716F">
            <w:pPr>
              <w:jc w:val="center"/>
            </w:pP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p>
        </w:tc>
      </w:tr>
      <w:tr w:rsidR="00BB716F" w:rsidRPr="00C258AD" w:rsidTr="00BB716F">
        <w:trPr>
          <w:cantSplit/>
        </w:trPr>
        <w:tc>
          <w:tcPr>
            <w:tcW w:w="1455" w:type="pct"/>
            <w:vMerge/>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de nouvelles subdivisions introduites sur un an dans la CIB</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12</w:t>
            </w:r>
          </w:p>
        </w:tc>
        <w:tc>
          <w:tcPr>
            <w:tcW w:w="556" w:type="pct"/>
            <w:shd w:val="clear" w:color="auto" w:fill="FFFFFF"/>
          </w:tcPr>
          <w:p w:rsidR="00BB716F" w:rsidRPr="00C258AD" w:rsidRDefault="00BB716F" w:rsidP="00BB716F">
            <w:pPr>
              <w:jc w:val="center"/>
              <w:rPr>
                <w:rFonts w:cs="Arial"/>
                <w:color w:val="A6A6A6" w:themeColor="background1" w:themeShade="A6"/>
                <w:sz w:val="22"/>
                <w:szCs w:val="22"/>
              </w:rPr>
            </w:pPr>
            <w:r w:rsidRPr="00C258AD">
              <w:rPr>
                <w:rFonts w:cs="Arial"/>
                <w:color w:val="E26B0A"/>
                <w:sz w:val="22"/>
                <w:szCs w:val="22"/>
              </w:rPr>
              <w:sym w:font="Wingdings" w:char="F06C"/>
            </w:r>
            <w:r w:rsidRPr="00C258AD">
              <w:rPr>
                <w:rFonts w:cs="Arial"/>
                <w:color w:val="008000"/>
                <w:sz w:val="22"/>
                <w:szCs w:val="22"/>
              </w:rPr>
              <w:sym w:font="Wingdings" w:char="F06C"/>
            </w:r>
          </w:p>
        </w:tc>
      </w:tr>
      <w:tr w:rsidR="00BB716F" w:rsidRPr="00C258AD" w:rsidTr="00BB716F">
        <w:trPr>
          <w:cantSplit/>
        </w:trPr>
        <w:tc>
          <w:tcPr>
            <w:tcW w:w="1455" w:type="pct"/>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de normes modifiées et nouvelles adoptées</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rPr>
            </w:pPr>
            <w:r w:rsidRPr="00C258AD">
              <w:rPr>
                <w:rFonts w:cs="Arial"/>
                <w:sz w:val="16"/>
                <w:szCs w:val="16"/>
              </w:rPr>
              <w:t>Programme 12</w:t>
            </w:r>
          </w:p>
        </w:tc>
        <w:tc>
          <w:tcPr>
            <w:tcW w:w="556" w:type="pct"/>
            <w:shd w:val="clear" w:color="auto" w:fill="FFFFFF"/>
          </w:tcPr>
          <w:p w:rsidR="00BB716F" w:rsidRPr="00C258AD" w:rsidRDefault="00BB716F" w:rsidP="00BB716F">
            <w:pPr>
              <w:jc w:val="center"/>
            </w:pPr>
            <w:r w:rsidRPr="00C258AD">
              <w:rPr>
                <w:rFonts w:cs="Arial"/>
                <w:color w:val="E26B0A"/>
                <w:sz w:val="22"/>
                <w:szCs w:val="22"/>
              </w:rPr>
              <w:sym w:font="Wingdings" w:char="F06C"/>
            </w:r>
          </w:p>
        </w:tc>
      </w:tr>
      <w:tr w:rsidR="00BB716F" w:rsidRPr="00C258AD" w:rsidTr="00BB716F">
        <w:trPr>
          <w:cantSplit/>
        </w:trPr>
        <w:tc>
          <w:tcPr>
            <w:tcW w:w="1455" w:type="pct"/>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d’utilisateurs, consultant les publications sur l’Internet des classifications internationales et des normes, notamment dans les pays en développement</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rPr>
            </w:pPr>
            <w:r w:rsidRPr="00C258AD">
              <w:rPr>
                <w:rFonts w:cs="Arial"/>
                <w:sz w:val="16"/>
                <w:szCs w:val="16"/>
              </w:rPr>
              <w:t>Programme 12</w:t>
            </w:r>
          </w:p>
        </w:tc>
        <w:tc>
          <w:tcPr>
            <w:tcW w:w="556" w:type="pct"/>
            <w:shd w:val="clear" w:color="auto" w:fill="FFFFFF"/>
          </w:tcPr>
          <w:p w:rsidR="00BB716F" w:rsidRPr="00C258AD" w:rsidRDefault="00BB716F" w:rsidP="00BB716F">
            <w:pPr>
              <w:jc w:val="center"/>
              <w:rPr>
                <w:rFonts w:cs="Arial"/>
                <w:color w:val="A6A6A6" w:themeColor="background1" w:themeShade="A6"/>
                <w:sz w:val="22"/>
                <w:szCs w:val="22"/>
              </w:rPr>
            </w:pPr>
            <w:r w:rsidRPr="00C258AD">
              <w:rPr>
                <w:rFonts w:cs="Arial"/>
                <w:color w:val="FF0000"/>
                <w:sz w:val="22"/>
                <w:szCs w:val="22"/>
              </w:rPr>
              <w:sym w:font="Wingdings" w:char="F06C"/>
            </w:r>
            <w:r w:rsidRPr="00C258AD">
              <w:rPr>
                <w:rFonts w:cs="Arial"/>
                <w:color w:val="008000"/>
                <w:sz w:val="22"/>
                <w:szCs w:val="22"/>
              </w:rPr>
              <w:sym w:font="Wingdings" w:char="F06C"/>
            </w:r>
            <w:r w:rsidRPr="00C258AD">
              <w:rPr>
                <w:rFonts w:cs="Arial"/>
                <w:color w:val="E26B0A"/>
                <w:sz w:val="22"/>
                <w:szCs w:val="22"/>
              </w:rPr>
              <w:sym w:font="Wingdings" w:char="F06C"/>
            </w:r>
            <w:r w:rsidRPr="00C258AD">
              <w:rPr>
                <w:rFonts w:cs="Arial"/>
                <w:color w:val="008000"/>
                <w:sz w:val="22"/>
                <w:szCs w:val="22"/>
              </w:rPr>
              <w:sym w:font="Wingdings" w:char="F06C"/>
            </w:r>
          </w:p>
          <w:p w:rsidR="00BB716F" w:rsidRPr="00C258AD" w:rsidRDefault="00BB716F" w:rsidP="00BB716F">
            <w:pPr>
              <w:jc w:val="center"/>
            </w:pP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FF0000"/>
                <w:sz w:val="22"/>
                <w:szCs w:val="22"/>
              </w:rPr>
              <w:sym w:font="Wingdings" w:char="F06C"/>
            </w:r>
          </w:p>
        </w:tc>
      </w:tr>
      <w:tr w:rsidR="00BB716F" w:rsidRPr="00C258AD" w:rsidTr="00BB716F">
        <w:trPr>
          <w:cantSplit/>
        </w:trPr>
        <w:tc>
          <w:tcPr>
            <w:tcW w:w="1455" w:type="pct"/>
            <w:vMerge w:val="restar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IV.2  Amélioration de l’accessibilité et de l’utilisation de l’information en matière de propriété intellectuelle par les institutions compétentes et le public afin de promouvoir l’innovation et la créativité</w:t>
            </w: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d’intermédiaires de confiance et de titulaires de droits qui ont rejoint le réseau du système TIGAR, y compris de pays en développement et de PMA</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3</w:t>
            </w:r>
          </w:p>
        </w:tc>
        <w:tc>
          <w:tcPr>
            <w:tcW w:w="556" w:type="pct"/>
            <w:shd w:val="clear" w:color="auto" w:fill="FFFFFF"/>
          </w:tcPr>
          <w:p w:rsidR="00BB716F" w:rsidRPr="00C258AD" w:rsidRDefault="00BB716F" w:rsidP="00BB716F">
            <w:pPr>
              <w:jc w:val="center"/>
            </w:pPr>
            <w:r w:rsidRPr="00C258AD">
              <w:rPr>
                <w:rFonts w:cs="Arial"/>
                <w:sz w:val="22"/>
                <w:szCs w:val="22"/>
              </w:rPr>
              <w:sym w:font="Wingdings" w:char="F06C"/>
            </w:r>
          </w:p>
        </w:tc>
      </w:tr>
      <w:tr w:rsidR="00BB716F" w:rsidRPr="00C258AD" w:rsidTr="00BB716F">
        <w:trPr>
          <w:cantSplit/>
        </w:trPr>
        <w:tc>
          <w:tcPr>
            <w:tcW w:w="1455" w:type="pct"/>
            <w:vMerge/>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d’œuvres protégées par le droit d’auteur distribuées auprès des intermédiaires de confiance et rendues accessibles aux déficients visuels par</w:t>
            </w:r>
            <w:r w:rsidRPr="00C258AD">
              <w:rPr>
                <w:rFonts w:cs="Arial"/>
                <w:sz w:val="16"/>
                <w:szCs w:val="16"/>
              </w:rPr>
              <w:noBreakHyphen/>
              <w:t>delà les frontières par le réseau du système TIGAR</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3</w:t>
            </w:r>
          </w:p>
        </w:tc>
        <w:tc>
          <w:tcPr>
            <w:tcW w:w="556" w:type="pct"/>
            <w:shd w:val="clear" w:color="auto" w:fill="FFFFFF"/>
          </w:tcPr>
          <w:p w:rsidR="00BB716F" w:rsidRPr="00C258AD" w:rsidRDefault="00BB716F" w:rsidP="00BB716F">
            <w:pPr>
              <w:spacing w:before="40"/>
              <w:jc w:val="center"/>
            </w:pPr>
            <w:r w:rsidRPr="00C258AD">
              <w:rPr>
                <w:rFonts w:cs="Arial"/>
                <w:color w:val="008000"/>
                <w:sz w:val="22"/>
                <w:szCs w:val="22"/>
              </w:rPr>
              <w:sym w:font="Wingdings" w:char="F06C"/>
            </w:r>
          </w:p>
        </w:tc>
      </w:tr>
      <w:tr w:rsidR="00BB716F" w:rsidRPr="00C258AD" w:rsidTr="00BB716F">
        <w:trPr>
          <w:cantSplit/>
        </w:trPr>
        <w:tc>
          <w:tcPr>
            <w:tcW w:w="1455" w:type="pct"/>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Pourcentage de personnes satisfaites de l’assistance fournie en matière de renforcement des capacités de l’infrastructure du droit d’auteur</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3</w:t>
            </w:r>
          </w:p>
        </w:tc>
        <w:tc>
          <w:tcPr>
            <w:tcW w:w="556" w:type="pct"/>
            <w:shd w:val="clear" w:color="auto" w:fill="FFFFFF"/>
          </w:tcPr>
          <w:p w:rsidR="00BB716F" w:rsidRPr="00C258AD" w:rsidRDefault="00BB716F" w:rsidP="00BB716F">
            <w:pPr>
              <w:spacing w:before="40"/>
              <w:jc w:val="center"/>
            </w:pPr>
            <w:r w:rsidRPr="00C258AD">
              <w:rPr>
                <w:rFonts w:cs="Arial"/>
                <w:color w:val="008000"/>
                <w:sz w:val="22"/>
                <w:szCs w:val="22"/>
              </w:rPr>
              <w:sym w:font="Wingdings" w:char="F06C"/>
            </w:r>
          </w:p>
        </w:tc>
      </w:tr>
      <w:tr w:rsidR="00BB716F" w:rsidRPr="00C258AD" w:rsidTr="00BB716F">
        <w:trPr>
          <w:cantSplit/>
        </w:trPr>
        <w:tc>
          <w:tcPr>
            <w:tcW w:w="1455" w:type="pct"/>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d’institutions utilisant GDA</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3</w:t>
            </w:r>
          </w:p>
        </w:tc>
        <w:tc>
          <w:tcPr>
            <w:tcW w:w="556" w:type="pct"/>
            <w:shd w:val="clear" w:color="auto" w:fill="FFFFFF"/>
          </w:tcPr>
          <w:p w:rsidR="00BB716F" w:rsidRPr="00C258AD" w:rsidRDefault="00BB716F" w:rsidP="00BB716F">
            <w:pPr>
              <w:jc w:val="center"/>
            </w:pPr>
            <w:r w:rsidRPr="00C258AD">
              <w:rPr>
                <w:rFonts w:cs="Arial"/>
                <w:sz w:val="22"/>
                <w:szCs w:val="22"/>
              </w:rPr>
              <w:sym w:font="Wingdings" w:char="F06C"/>
            </w:r>
          </w:p>
        </w:tc>
      </w:tr>
      <w:tr w:rsidR="00BB716F" w:rsidRPr="00C258AD" w:rsidTr="00BB716F">
        <w:trPr>
          <w:cantSplit/>
        </w:trPr>
        <w:tc>
          <w:tcPr>
            <w:tcW w:w="1455" w:type="pct"/>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Utilisation de la base de données de référence de l’OMPI pour la gestion collective</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3</w:t>
            </w:r>
          </w:p>
        </w:tc>
        <w:tc>
          <w:tcPr>
            <w:tcW w:w="556" w:type="pct"/>
            <w:shd w:val="clear" w:color="auto" w:fill="FFFFFF"/>
          </w:tcPr>
          <w:p w:rsidR="00BB716F" w:rsidRPr="00C258AD" w:rsidRDefault="00BB716F" w:rsidP="00BB716F">
            <w:pPr>
              <w:spacing w:before="40"/>
              <w:jc w:val="center"/>
            </w:pPr>
            <w:r w:rsidRPr="00C258AD">
              <w:rPr>
                <w:rFonts w:cs="Arial"/>
                <w:color w:val="008000"/>
                <w:sz w:val="22"/>
                <w:szCs w:val="22"/>
              </w:rPr>
              <w:sym w:font="Wingdings" w:char="F06C"/>
            </w:r>
          </w:p>
        </w:tc>
      </w:tr>
      <w:tr w:rsidR="00BB716F" w:rsidRPr="00C258AD" w:rsidTr="00BB716F">
        <w:trPr>
          <w:cantSplit/>
        </w:trPr>
        <w:tc>
          <w:tcPr>
            <w:tcW w:w="1455" w:type="pct"/>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d’instruments juridiques, de lignes directrices, de déclarations de principes autres que des traités convenus ou approuvés par les parties prenantes dans des domaines comme la propriété intellectuelle et le sport ou le droit d’auteur dans l’environnement numérique</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3</w:t>
            </w:r>
          </w:p>
        </w:tc>
        <w:tc>
          <w:tcPr>
            <w:tcW w:w="556" w:type="pct"/>
            <w:shd w:val="clear" w:color="auto" w:fill="FFFFFF"/>
          </w:tcPr>
          <w:p w:rsidR="00BB716F" w:rsidRPr="00C258AD" w:rsidRDefault="00BB716F" w:rsidP="00BB716F">
            <w:pPr>
              <w:spacing w:before="40"/>
              <w:jc w:val="center"/>
            </w:pPr>
            <w:r w:rsidRPr="00C258AD">
              <w:rPr>
                <w:rFonts w:cs="Arial"/>
                <w:color w:val="008000"/>
                <w:sz w:val="22"/>
                <w:szCs w:val="22"/>
              </w:rPr>
              <w:sym w:font="Wingdings" w:char="F06C"/>
            </w:r>
          </w:p>
        </w:tc>
      </w:tr>
      <w:tr w:rsidR="00BB716F" w:rsidRPr="00C258AD" w:rsidTr="00BB716F">
        <w:trPr>
          <w:cantSplit/>
        </w:trPr>
        <w:tc>
          <w:tcPr>
            <w:tcW w:w="1455" w:type="pct"/>
            <w:vMerge w:val="restart"/>
            <w:shd w:val="clear" w:color="auto" w:fill="auto"/>
            <w:tcMar>
              <w:top w:w="113" w:type="dxa"/>
              <w:bottom w:w="85" w:type="dxa"/>
            </w:tcMar>
          </w:tcPr>
          <w:p w:rsidR="00BB716F" w:rsidRPr="00C258AD" w:rsidRDefault="00BB716F" w:rsidP="00BB716F">
            <w:pPr>
              <w:rPr>
                <w:rFonts w:cs="Arial"/>
                <w:sz w:val="16"/>
                <w:szCs w:val="16"/>
              </w:rPr>
            </w:pPr>
          </w:p>
        </w:tc>
        <w:tc>
          <w:tcPr>
            <w:tcW w:w="2136" w:type="pct"/>
            <w:vMerge w:val="restar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moyen d’utilisateurs ayant bénéficié des services des centres d’appui à la technologie et à l’innovation par trimestre et par pays</w:t>
            </w:r>
          </w:p>
          <w:p w:rsidR="00BB716F" w:rsidRPr="00C258AD" w:rsidRDefault="00BB716F" w:rsidP="00BB716F">
            <w:pPr>
              <w:rPr>
                <w:rFonts w:cs="Arial"/>
                <w:sz w:val="16"/>
                <w:szCs w:val="16"/>
              </w:rPr>
            </w:pPr>
          </w:p>
          <w:p w:rsidR="00BB716F" w:rsidRPr="00C258AD" w:rsidRDefault="00BB716F" w:rsidP="00BB716F">
            <w:pPr>
              <w:rPr>
                <w:rFonts w:cs="Arial"/>
                <w:sz w:val="16"/>
                <w:szCs w:val="16"/>
              </w:rPr>
            </w:pP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9</w:t>
            </w:r>
          </w:p>
        </w:tc>
        <w:tc>
          <w:tcPr>
            <w:tcW w:w="556" w:type="pct"/>
            <w:shd w:val="clear" w:color="auto" w:fill="FFFFFF"/>
          </w:tcPr>
          <w:p w:rsidR="00BB716F" w:rsidRPr="00C258AD" w:rsidRDefault="00BB716F" w:rsidP="00BB716F">
            <w:pPr>
              <w:spacing w:before="40"/>
              <w:jc w:val="center"/>
              <w:rPr>
                <w:rFonts w:cs="Arial"/>
                <w:color w:val="008000"/>
                <w:sz w:val="22"/>
                <w:szCs w:val="22"/>
              </w:rPr>
            </w:pPr>
            <w:r w:rsidRPr="00C258AD">
              <w:rPr>
                <w:rFonts w:cs="Arial"/>
                <w:color w:val="008000"/>
                <w:sz w:val="22"/>
                <w:szCs w:val="22"/>
              </w:rPr>
              <w:sym w:font="Wingdings" w:char="F06C"/>
            </w:r>
          </w:p>
        </w:tc>
      </w:tr>
      <w:tr w:rsidR="00BB716F" w:rsidRPr="00C258AD" w:rsidTr="00BB716F">
        <w:trPr>
          <w:cantSplit/>
        </w:trPr>
        <w:tc>
          <w:tcPr>
            <w:tcW w:w="1455" w:type="pct"/>
            <w:vMerge/>
            <w:shd w:val="clear" w:color="auto" w:fill="auto"/>
            <w:tcMar>
              <w:top w:w="113" w:type="dxa"/>
              <w:bottom w:w="85" w:type="dxa"/>
            </w:tcMar>
          </w:tcPr>
          <w:p w:rsidR="00BB716F" w:rsidRPr="00C258AD" w:rsidRDefault="00BB716F" w:rsidP="00BB716F">
            <w:pPr>
              <w:rPr>
                <w:rFonts w:cs="Arial"/>
                <w:sz w:val="16"/>
                <w:szCs w:val="16"/>
              </w:rPr>
            </w:pPr>
          </w:p>
        </w:tc>
        <w:tc>
          <w:tcPr>
            <w:tcW w:w="2136" w:type="pct"/>
            <w:vMerge/>
            <w:shd w:val="clear" w:color="auto" w:fill="auto"/>
            <w:tcMar>
              <w:top w:w="113" w:type="dxa"/>
              <w:bottom w:w="85" w:type="dxa"/>
            </w:tcMar>
          </w:tcPr>
          <w:p w:rsidR="00BB716F" w:rsidRPr="00C258AD" w:rsidRDefault="00BB716F" w:rsidP="00BB716F">
            <w:pPr>
              <w:rPr>
                <w:rFonts w:cs="Arial"/>
                <w:sz w:val="16"/>
                <w:szCs w:val="16"/>
              </w:rPr>
            </w:pP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10</w:t>
            </w:r>
          </w:p>
        </w:tc>
        <w:tc>
          <w:tcPr>
            <w:tcW w:w="556" w:type="pct"/>
            <w:shd w:val="clear" w:color="auto" w:fill="FFFFFF"/>
          </w:tcPr>
          <w:p w:rsidR="00BB716F" w:rsidRPr="00C258AD" w:rsidRDefault="00BB716F" w:rsidP="00BB716F">
            <w:pPr>
              <w:spacing w:before="40"/>
              <w:jc w:val="center"/>
              <w:rPr>
                <w:rFonts w:cs="Arial"/>
                <w:color w:val="008000"/>
                <w:sz w:val="22"/>
                <w:szCs w:val="22"/>
              </w:rPr>
            </w:pPr>
            <w:r w:rsidRPr="00C258AD">
              <w:rPr>
                <w:rFonts w:cs="Arial"/>
                <w:color w:val="008000"/>
                <w:sz w:val="22"/>
                <w:szCs w:val="22"/>
              </w:rPr>
              <w:sym w:font="Wingdings" w:char="F06C"/>
            </w:r>
          </w:p>
        </w:tc>
      </w:tr>
      <w:tr w:rsidR="00BB716F" w:rsidRPr="00C258AD" w:rsidTr="00BB716F">
        <w:trPr>
          <w:cantSplit/>
        </w:trPr>
        <w:tc>
          <w:tcPr>
            <w:tcW w:w="1455" w:type="pct"/>
            <w:vMerge/>
            <w:shd w:val="clear" w:color="auto" w:fill="auto"/>
            <w:tcMar>
              <w:top w:w="113" w:type="dxa"/>
              <w:bottom w:w="85" w:type="dxa"/>
            </w:tcMar>
          </w:tcPr>
          <w:p w:rsidR="00BB716F" w:rsidRPr="00C258AD" w:rsidRDefault="00BB716F" w:rsidP="00BB716F">
            <w:pPr>
              <w:rPr>
                <w:rFonts w:cs="Arial"/>
                <w:sz w:val="16"/>
                <w:szCs w:val="16"/>
              </w:rPr>
            </w:pPr>
          </w:p>
        </w:tc>
        <w:tc>
          <w:tcPr>
            <w:tcW w:w="2136" w:type="pct"/>
            <w:vMerge/>
            <w:shd w:val="clear" w:color="auto" w:fill="auto"/>
            <w:tcMar>
              <w:top w:w="113" w:type="dxa"/>
              <w:bottom w:w="85" w:type="dxa"/>
            </w:tcMar>
          </w:tcPr>
          <w:p w:rsidR="00BB716F" w:rsidRPr="00C258AD" w:rsidRDefault="00BB716F" w:rsidP="00BB716F">
            <w:pPr>
              <w:rPr>
                <w:rFonts w:cs="Arial"/>
                <w:sz w:val="16"/>
                <w:szCs w:val="16"/>
              </w:rPr>
            </w:pP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14</w:t>
            </w:r>
          </w:p>
        </w:tc>
        <w:tc>
          <w:tcPr>
            <w:tcW w:w="556" w:type="pct"/>
            <w:shd w:val="clear" w:color="auto" w:fill="FFFFFF"/>
          </w:tcPr>
          <w:p w:rsidR="00BB716F" w:rsidRPr="00C258AD" w:rsidRDefault="00BB716F" w:rsidP="00BB716F">
            <w:pPr>
              <w:spacing w:before="40"/>
              <w:jc w:val="center"/>
              <w:rPr>
                <w:rFonts w:cs="Arial"/>
                <w:color w:val="008000"/>
                <w:sz w:val="22"/>
                <w:szCs w:val="22"/>
              </w:rPr>
            </w:pPr>
            <w:r w:rsidRPr="00C258AD">
              <w:rPr>
                <w:rFonts w:cs="Arial"/>
                <w:color w:val="008000"/>
                <w:sz w:val="22"/>
                <w:szCs w:val="22"/>
              </w:rPr>
              <w:sym w:font="Wingdings" w:char="F06C"/>
            </w:r>
          </w:p>
        </w:tc>
      </w:tr>
      <w:tr w:rsidR="00BB716F" w:rsidRPr="00C258AD" w:rsidTr="00BB716F">
        <w:trPr>
          <w:cantSplit/>
        </w:trPr>
        <w:tc>
          <w:tcPr>
            <w:tcW w:w="1455" w:type="pct"/>
            <w:vMerge w:val="restart"/>
            <w:shd w:val="clear" w:color="auto" w:fill="auto"/>
            <w:tcMar>
              <w:top w:w="113" w:type="dxa"/>
              <w:bottom w:w="85" w:type="dxa"/>
            </w:tcMar>
          </w:tcPr>
          <w:p w:rsidR="00BB716F" w:rsidRPr="00C258AD" w:rsidRDefault="00BB716F" w:rsidP="00BB716F">
            <w:pPr>
              <w:rPr>
                <w:rFonts w:cs="Arial"/>
                <w:sz w:val="16"/>
                <w:szCs w:val="16"/>
              </w:rPr>
            </w:pPr>
          </w:p>
        </w:tc>
        <w:tc>
          <w:tcPr>
            <w:tcW w:w="2136" w:type="pct"/>
            <w:vMerge w:val="restar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de réseaux nationaux de centres d’appui à la technologie et à l’innovation durables</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9</w:t>
            </w:r>
          </w:p>
          <w:p w:rsidR="00BB716F" w:rsidRPr="00C258AD" w:rsidRDefault="00BB716F" w:rsidP="00BB716F">
            <w:pPr>
              <w:rPr>
                <w:rFonts w:cs="Arial"/>
                <w:sz w:val="16"/>
                <w:szCs w:val="16"/>
                <w:lang w:bidi="th-TH"/>
              </w:rPr>
            </w:pPr>
          </w:p>
        </w:tc>
        <w:tc>
          <w:tcPr>
            <w:tcW w:w="556" w:type="pct"/>
            <w:shd w:val="clear" w:color="auto" w:fill="FFFFFF"/>
          </w:tcPr>
          <w:p w:rsidR="00BB716F" w:rsidRPr="00C258AD" w:rsidRDefault="00BB716F" w:rsidP="00BB716F">
            <w:pPr>
              <w:spacing w:before="40"/>
              <w:jc w:val="center"/>
              <w:rPr>
                <w:rFonts w:cs="Arial"/>
                <w:color w:val="008000"/>
                <w:sz w:val="22"/>
                <w:szCs w:val="22"/>
              </w:rPr>
            </w:pP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p>
          <w:p w:rsidR="00BB716F" w:rsidRPr="00C258AD" w:rsidRDefault="00BB716F" w:rsidP="00BB716F">
            <w:pPr>
              <w:spacing w:before="40"/>
              <w:jc w:val="center"/>
              <w:rPr>
                <w:rFonts w:cs="Arial"/>
                <w:color w:val="008000"/>
                <w:sz w:val="22"/>
                <w:szCs w:val="22"/>
              </w:rPr>
            </w:pPr>
            <w:r w:rsidRPr="00C258AD">
              <w:rPr>
                <w:rFonts w:cs="Arial"/>
                <w:color w:val="008000"/>
                <w:sz w:val="22"/>
                <w:szCs w:val="22"/>
              </w:rPr>
              <w:sym w:font="Wingdings" w:char="F06C"/>
            </w:r>
          </w:p>
        </w:tc>
      </w:tr>
      <w:tr w:rsidR="00BB716F" w:rsidRPr="00C258AD" w:rsidTr="00BB716F">
        <w:trPr>
          <w:cantSplit/>
        </w:trPr>
        <w:tc>
          <w:tcPr>
            <w:tcW w:w="1455" w:type="pct"/>
            <w:vMerge/>
            <w:shd w:val="clear" w:color="auto" w:fill="auto"/>
            <w:tcMar>
              <w:top w:w="113" w:type="dxa"/>
              <w:bottom w:w="85" w:type="dxa"/>
            </w:tcMar>
          </w:tcPr>
          <w:p w:rsidR="00BB716F" w:rsidRPr="00C258AD" w:rsidRDefault="00BB716F" w:rsidP="00BB716F">
            <w:pPr>
              <w:rPr>
                <w:rFonts w:cs="Arial"/>
                <w:sz w:val="16"/>
                <w:szCs w:val="16"/>
              </w:rPr>
            </w:pPr>
          </w:p>
        </w:tc>
        <w:tc>
          <w:tcPr>
            <w:tcW w:w="2136" w:type="pct"/>
            <w:vMerge/>
            <w:shd w:val="clear" w:color="auto" w:fill="auto"/>
            <w:tcMar>
              <w:top w:w="113" w:type="dxa"/>
              <w:bottom w:w="85" w:type="dxa"/>
            </w:tcMar>
          </w:tcPr>
          <w:p w:rsidR="00BB716F" w:rsidRPr="00C258AD" w:rsidRDefault="00BB716F" w:rsidP="00BB716F">
            <w:pPr>
              <w:rPr>
                <w:rFonts w:cs="Arial"/>
                <w:sz w:val="16"/>
                <w:szCs w:val="16"/>
              </w:rPr>
            </w:pP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10</w:t>
            </w:r>
          </w:p>
          <w:p w:rsidR="00BB716F" w:rsidRPr="00C258AD" w:rsidRDefault="00BB716F" w:rsidP="00BB716F">
            <w:pPr>
              <w:jc w:val="center"/>
              <w:rPr>
                <w:rFonts w:cs="Arial"/>
                <w:sz w:val="16"/>
                <w:szCs w:val="16"/>
                <w:lang w:bidi="th-TH"/>
              </w:rPr>
            </w:pPr>
          </w:p>
        </w:tc>
        <w:tc>
          <w:tcPr>
            <w:tcW w:w="556" w:type="pct"/>
            <w:shd w:val="clear" w:color="auto" w:fill="FFFFFF"/>
          </w:tcPr>
          <w:p w:rsidR="00BB716F" w:rsidRPr="00C258AD" w:rsidRDefault="00BB716F" w:rsidP="00BB716F">
            <w:pPr>
              <w:spacing w:before="40"/>
              <w:jc w:val="center"/>
              <w:rPr>
                <w:rFonts w:cs="Arial"/>
                <w:color w:val="008000"/>
                <w:sz w:val="22"/>
                <w:szCs w:val="22"/>
              </w:rPr>
            </w:pPr>
            <w:r w:rsidRPr="00C258AD">
              <w:rPr>
                <w:rFonts w:cs="Arial"/>
                <w:color w:val="E26B0A"/>
                <w:sz w:val="22"/>
                <w:szCs w:val="22"/>
              </w:rPr>
              <w:sym w:font="Wingdings" w:char="F06C"/>
            </w:r>
          </w:p>
        </w:tc>
      </w:tr>
      <w:tr w:rsidR="00BB716F" w:rsidRPr="00C258AD" w:rsidTr="00BB716F">
        <w:trPr>
          <w:cantSplit/>
        </w:trPr>
        <w:tc>
          <w:tcPr>
            <w:tcW w:w="1455" w:type="pct"/>
            <w:vMerge/>
            <w:shd w:val="clear" w:color="auto" w:fill="auto"/>
            <w:tcMar>
              <w:top w:w="113" w:type="dxa"/>
              <w:bottom w:w="85" w:type="dxa"/>
            </w:tcMar>
          </w:tcPr>
          <w:p w:rsidR="00BB716F" w:rsidRPr="00C258AD" w:rsidRDefault="00BB716F" w:rsidP="00BB716F">
            <w:pPr>
              <w:rPr>
                <w:rFonts w:cs="Arial"/>
                <w:sz w:val="16"/>
                <w:szCs w:val="16"/>
              </w:rPr>
            </w:pPr>
          </w:p>
        </w:tc>
        <w:tc>
          <w:tcPr>
            <w:tcW w:w="2136" w:type="pct"/>
            <w:vMerge/>
            <w:shd w:val="clear" w:color="auto" w:fill="auto"/>
            <w:tcMar>
              <w:top w:w="113" w:type="dxa"/>
              <w:bottom w:w="85" w:type="dxa"/>
            </w:tcMar>
          </w:tcPr>
          <w:p w:rsidR="00BB716F" w:rsidRPr="00C258AD" w:rsidRDefault="00BB716F" w:rsidP="00BB716F">
            <w:pPr>
              <w:rPr>
                <w:rFonts w:cs="Arial"/>
                <w:sz w:val="16"/>
                <w:szCs w:val="16"/>
              </w:rPr>
            </w:pP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14</w:t>
            </w:r>
          </w:p>
        </w:tc>
        <w:tc>
          <w:tcPr>
            <w:tcW w:w="556" w:type="pct"/>
            <w:shd w:val="clear" w:color="auto" w:fill="FFFFFF"/>
          </w:tcPr>
          <w:p w:rsidR="00BB716F" w:rsidRPr="00C258AD" w:rsidRDefault="00BB716F" w:rsidP="00BB716F">
            <w:pPr>
              <w:spacing w:before="40"/>
              <w:jc w:val="center"/>
              <w:rPr>
                <w:rFonts w:cs="Arial"/>
                <w:color w:val="008000"/>
                <w:sz w:val="22"/>
                <w:szCs w:val="22"/>
              </w:rPr>
            </w:pPr>
            <w:r w:rsidRPr="00C258AD">
              <w:rPr>
                <w:rFonts w:cs="Arial"/>
                <w:color w:val="008000"/>
                <w:sz w:val="22"/>
                <w:szCs w:val="22"/>
              </w:rPr>
              <w:sym w:font="Wingdings" w:char="F06C"/>
            </w:r>
          </w:p>
        </w:tc>
      </w:tr>
      <w:tr w:rsidR="00BB716F" w:rsidRPr="00C258AD" w:rsidTr="00BB716F">
        <w:trPr>
          <w:cantSplit/>
        </w:trPr>
        <w:tc>
          <w:tcPr>
            <w:tcW w:w="1455" w:type="pct"/>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de pays utilisant la base de données de l’assistance technique en matière de propriété intellectuelle (IP</w:t>
            </w:r>
            <w:r w:rsidRPr="00C258AD">
              <w:rPr>
                <w:rFonts w:cs="Arial"/>
                <w:sz w:val="16"/>
                <w:szCs w:val="16"/>
              </w:rPr>
              <w:noBreakHyphen/>
              <w:t>TAD), la liste des consultants en matière de propriété intellectuelle (IP</w:t>
            </w:r>
            <w:r w:rsidRPr="00C258AD">
              <w:rPr>
                <w:rFonts w:cs="Arial"/>
                <w:sz w:val="16"/>
                <w:szCs w:val="16"/>
              </w:rPr>
              <w:noBreakHyphen/>
              <w:t>ROC)</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9</w:t>
            </w:r>
          </w:p>
        </w:tc>
        <w:tc>
          <w:tcPr>
            <w:tcW w:w="556" w:type="pct"/>
            <w:shd w:val="clear" w:color="auto" w:fill="FFFFFF"/>
          </w:tcPr>
          <w:p w:rsidR="00BB716F" w:rsidRPr="00C258AD" w:rsidRDefault="00BB716F" w:rsidP="00BB716F">
            <w:pPr>
              <w:jc w:val="center"/>
            </w:pPr>
            <w:r w:rsidRPr="00C258AD">
              <w:rPr>
                <w:rFonts w:cs="Arial"/>
                <w:color w:val="FF0000"/>
                <w:sz w:val="22"/>
                <w:szCs w:val="22"/>
              </w:rPr>
              <w:sym w:font="Wingdings" w:char="F06C"/>
            </w:r>
          </w:p>
        </w:tc>
      </w:tr>
      <w:tr w:rsidR="00BB716F" w:rsidRPr="00C258AD" w:rsidTr="00BB716F">
        <w:trPr>
          <w:cantSplit/>
        </w:trPr>
        <w:tc>
          <w:tcPr>
            <w:tcW w:w="1455" w:type="pct"/>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de bureaux de transfert de technologie et/ou de centres d’information sur la propriété intellectuelle établis</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10</w:t>
            </w:r>
          </w:p>
        </w:tc>
        <w:tc>
          <w:tcPr>
            <w:tcW w:w="556" w:type="pct"/>
            <w:shd w:val="clear" w:color="auto" w:fill="FFFFFF"/>
          </w:tcPr>
          <w:p w:rsidR="00BB716F" w:rsidRPr="00C258AD" w:rsidRDefault="00BB716F" w:rsidP="00BB716F">
            <w:pPr>
              <w:spacing w:before="40"/>
              <w:jc w:val="center"/>
            </w:pPr>
            <w:r w:rsidRPr="00C258AD">
              <w:rPr>
                <w:rFonts w:cs="Arial"/>
                <w:color w:val="008000"/>
                <w:sz w:val="22"/>
                <w:szCs w:val="22"/>
              </w:rPr>
              <w:sym w:font="Wingdings" w:char="F06C"/>
            </w:r>
          </w:p>
        </w:tc>
      </w:tr>
      <w:tr w:rsidR="00BB716F" w:rsidRPr="00C258AD" w:rsidTr="00BB716F">
        <w:trPr>
          <w:cantSplit/>
        </w:trPr>
        <w:tc>
          <w:tcPr>
            <w:tcW w:w="1455" w:type="pct"/>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d’utilisateurs différents par trimestre tous systèmes confondus (PATENTSCOPE/ Base de données mondiale sur les marques)</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13</w:t>
            </w:r>
          </w:p>
        </w:tc>
        <w:tc>
          <w:tcPr>
            <w:tcW w:w="556" w:type="pct"/>
            <w:shd w:val="clear" w:color="auto" w:fill="FFFFFF"/>
          </w:tcPr>
          <w:p w:rsidR="00BB716F" w:rsidRPr="00C258AD" w:rsidRDefault="00BB716F" w:rsidP="00BB716F">
            <w:pPr>
              <w:jc w:val="center"/>
              <w:rPr>
                <w:rFonts w:cs="Arial"/>
                <w:color w:val="008000"/>
                <w:sz w:val="22"/>
                <w:szCs w:val="22"/>
              </w:rPr>
            </w:pPr>
            <w:r w:rsidRPr="00C258AD">
              <w:rPr>
                <w:rFonts w:cs="Arial"/>
                <w:color w:val="E26B0A"/>
                <w:sz w:val="22"/>
                <w:szCs w:val="22"/>
              </w:rPr>
              <w:sym w:font="Wingdings" w:char="F06C"/>
            </w:r>
            <w:r w:rsidRPr="00C258AD">
              <w:rPr>
                <w:rFonts w:cs="Arial"/>
                <w:color w:val="008000"/>
                <w:sz w:val="22"/>
                <w:szCs w:val="22"/>
              </w:rPr>
              <w:sym w:font="Wingdings" w:char="F06C"/>
            </w:r>
            <w:r w:rsidRPr="00C258AD">
              <w:rPr>
                <w:rFonts w:cs="Arial"/>
                <w:color w:val="A6A6A6" w:themeColor="background1" w:themeShade="A6"/>
                <w:sz w:val="22"/>
                <w:szCs w:val="22"/>
              </w:rPr>
              <w:sym w:font="Wingdings" w:char="F06C"/>
            </w:r>
          </w:p>
        </w:tc>
      </w:tr>
      <w:tr w:rsidR="00BB716F" w:rsidRPr="00C258AD" w:rsidTr="00BB716F">
        <w:trPr>
          <w:cantSplit/>
        </w:trPr>
        <w:tc>
          <w:tcPr>
            <w:tcW w:w="1455" w:type="pct"/>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de langues dans lesquelles il est possible de faire des recherches multilingues</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13</w:t>
            </w:r>
          </w:p>
        </w:tc>
        <w:tc>
          <w:tcPr>
            <w:tcW w:w="556" w:type="pct"/>
            <w:shd w:val="clear" w:color="auto" w:fill="FFFFFF"/>
          </w:tcPr>
          <w:p w:rsidR="00BB716F" w:rsidRPr="00C258AD" w:rsidRDefault="00BB716F" w:rsidP="00BB716F">
            <w:pPr>
              <w:jc w:val="center"/>
            </w:pPr>
            <w:r w:rsidRPr="00C258AD">
              <w:rPr>
                <w:rFonts w:cs="Arial"/>
                <w:color w:val="008000"/>
                <w:sz w:val="22"/>
                <w:szCs w:val="22"/>
              </w:rPr>
              <w:sym w:font="Wingdings" w:char="F06C"/>
            </w:r>
          </w:p>
        </w:tc>
      </w:tr>
      <w:tr w:rsidR="00BB716F" w:rsidRPr="00C258AD" w:rsidTr="00BB716F">
        <w:trPr>
          <w:cantSplit/>
        </w:trPr>
        <w:tc>
          <w:tcPr>
            <w:tcW w:w="1455" w:type="pct"/>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de combinaisons linguistiques disponibles pour la traduction automatique de titres et d’abrégés</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13</w:t>
            </w:r>
          </w:p>
        </w:tc>
        <w:tc>
          <w:tcPr>
            <w:tcW w:w="556" w:type="pct"/>
            <w:shd w:val="clear" w:color="auto" w:fill="FFFFFF"/>
          </w:tcPr>
          <w:p w:rsidR="00BB716F" w:rsidRPr="00C258AD" w:rsidRDefault="00BB716F" w:rsidP="00BB716F">
            <w:pPr>
              <w:jc w:val="center"/>
            </w:pPr>
            <w:r w:rsidRPr="00C258AD">
              <w:rPr>
                <w:rFonts w:cs="Arial"/>
                <w:color w:val="008000"/>
                <w:sz w:val="22"/>
                <w:szCs w:val="22"/>
              </w:rPr>
              <w:sym w:font="Wingdings" w:char="F06C"/>
            </w:r>
          </w:p>
        </w:tc>
      </w:tr>
      <w:tr w:rsidR="00BB716F" w:rsidRPr="00C258AD" w:rsidTr="00BB716F">
        <w:trPr>
          <w:cantSplit/>
        </w:trPr>
        <w:tc>
          <w:tcPr>
            <w:tcW w:w="1455" w:type="pct"/>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d’utilisateurs actifs inscrits aux programmes ARDI et ASPI</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14</w:t>
            </w:r>
          </w:p>
        </w:tc>
        <w:tc>
          <w:tcPr>
            <w:tcW w:w="556" w:type="pct"/>
            <w:shd w:val="clear" w:color="auto" w:fill="FFFFFF"/>
          </w:tcPr>
          <w:p w:rsidR="00BB716F" w:rsidRPr="00C258AD" w:rsidRDefault="00BB716F" w:rsidP="00BB716F">
            <w:pPr>
              <w:jc w:val="center"/>
            </w:pPr>
            <w:r w:rsidRPr="00C258AD">
              <w:rPr>
                <w:rFonts w:cs="Arial"/>
                <w:color w:val="008000"/>
                <w:sz w:val="22"/>
                <w:szCs w:val="22"/>
              </w:rPr>
              <w:sym w:font="Wingdings" w:char="F06C"/>
            </w:r>
          </w:p>
        </w:tc>
      </w:tr>
      <w:tr w:rsidR="00BB716F" w:rsidRPr="00C258AD" w:rsidTr="00BB716F">
        <w:trPr>
          <w:cantSplit/>
        </w:trPr>
        <w:tc>
          <w:tcPr>
            <w:tcW w:w="1455" w:type="pct"/>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Pourcentage d’utilisateurs satisfaits de la fourniture de services d’information à valeur ajoutée sur les brevets (WPIS, coopération internationale en matière d’examen, familles de brevets ou service d’interrogation sur la situation juridique des brevets)</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14</w:t>
            </w:r>
          </w:p>
        </w:tc>
        <w:tc>
          <w:tcPr>
            <w:tcW w:w="556" w:type="pct"/>
            <w:shd w:val="clear" w:color="auto" w:fill="FFFFFF"/>
          </w:tcPr>
          <w:p w:rsidR="00BB716F" w:rsidRPr="00C258AD" w:rsidRDefault="00BB716F" w:rsidP="00BB716F">
            <w:pPr>
              <w:jc w:val="center"/>
            </w:pPr>
            <w:r w:rsidRPr="00C258AD">
              <w:rPr>
                <w:rFonts w:cs="Arial"/>
                <w:sz w:val="22"/>
                <w:szCs w:val="22"/>
              </w:rPr>
              <w:sym w:font="Wingdings" w:char="F06C"/>
            </w:r>
          </w:p>
        </w:tc>
      </w:tr>
      <w:tr w:rsidR="00BB716F" w:rsidRPr="00C258AD" w:rsidTr="00BB716F">
        <w:trPr>
          <w:cantSplit/>
        </w:trPr>
        <w:tc>
          <w:tcPr>
            <w:tcW w:w="1455" w:type="pct"/>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Pourcentage d’utilisateurs satisfaits du service de rapports sur la cartographie des brevets</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14</w:t>
            </w:r>
          </w:p>
        </w:tc>
        <w:tc>
          <w:tcPr>
            <w:tcW w:w="556" w:type="pct"/>
            <w:shd w:val="clear" w:color="auto" w:fill="FFFFFF"/>
          </w:tcPr>
          <w:p w:rsidR="00BB716F" w:rsidRPr="00C258AD" w:rsidRDefault="00BB716F" w:rsidP="00BB716F">
            <w:pPr>
              <w:jc w:val="center"/>
            </w:pPr>
            <w:r w:rsidRPr="00C258AD">
              <w:rPr>
                <w:rFonts w:cs="Arial"/>
                <w:color w:val="A6A6A6" w:themeColor="background1" w:themeShade="A6"/>
                <w:sz w:val="22"/>
                <w:szCs w:val="22"/>
              </w:rPr>
              <w:sym w:font="Wingdings" w:char="F06C"/>
            </w:r>
          </w:p>
        </w:tc>
      </w:tr>
      <w:tr w:rsidR="00BB716F" w:rsidRPr="00C258AD" w:rsidTr="00BB716F">
        <w:trPr>
          <w:cantSplit/>
        </w:trPr>
        <w:tc>
          <w:tcPr>
            <w:tcW w:w="1455" w:type="pct"/>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de pays ayant vérifié des données et inscrit des médicaments essentiels nationaux dans WIPO Essential</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18</w:t>
            </w:r>
          </w:p>
        </w:tc>
        <w:tc>
          <w:tcPr>
            <w:tcW w:w="556" w:type="pct"/>
            <w:shd w:val="clear" w:color="auto" w:fill="FFFFFF"/>
          </w:tcPr>
          <w:p w:rsidR="00BB716F" w:rsidRPr="00C258AD" w:rsidRDefault="00BB716F" w:rsidP="00BB716F">
            <w:pPr>
              <w:jc w:val="center"/>
            </w:pPr>
            <w:r w:rsidRPr="00C258AD">
              <w:rPr>
                <w:rFonts w:cs="Arial"/>
                <w:sz w:val="22"/>
                <w:szCs w:val="22"/>
              </w:rPr>
              <w:sym w:font="Wingdings" w:char="F06C"/>
            </w:r>
          </w:p>
        </w:tc>
      </w:tr>
      <w:tr w:rsidR="00BB716F" w:rsidRPr="00C258AD" w:rsidTr="00BB716F">
        <w:trPr>
          <w:cantSplit/>
        </w:trPr>
        <w:tc>
          <w:tcPr>
            <w:tcW w:w="1455" w:type="pct"/>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d’utilisateurs des bases de données mondiales de l’OMPI : PATENTSCOPE et Base de données mondiale sur les marques</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20</w:t>
            </w:r>
          </w:p>
        </w:tc>
        <w:tc>
          <w:tcPr>
            <w:tcW w:w="556" w:type="pct"/>
            <w:shd w:val="clear" w:color="auto" w:fill="FFFFFF"/>
          </w:tcPr>
          <w:p w:rsidR="00BB716F" w:rsidRPr="00C258AD" w:rsidRDefault="00BB716F" w:rsidP="00BB716F">
            <w:pPr>
              <w:jc w:val="center"/>
              <w:rPr>
                <w:rFonts w:cs="Arial"/>
                <w:color w:val="A6A6A6" w:themeColor="background1" w:themeShade="A6"/>
                <w:sz w:val="22"/>
                <w:szCs w:val="22"/>
              </w:rPr>
            </w:pPr>
            <w:r w:rsidRPr="00C258AD">
              <w:rPr>
                <w:rFonts w:cs="Arial"/>
                <w:color w:val="008000"/>
                <w:sz w:val="22"/>
                <w:szCs w:val="22"/>
              </w:rPr>
              <w:sym w:font="Wingdings" w:char="F06C"/>
            </w:r>
            <w:r w:rsidRPr="00C258AD">
              <w:rPr>
                <w:rFonts w:cs="Arial"/>
                <w:color w:val="FF0000"/>
                <w:sz w:val="22"/>
                <w:szCs w:val="22"/>
              </w:rPr>
              <w:sym w:font="Wingdings" w:char="F06C"/>
            </w:r>
            <w:r w:rsidRPr="00C258AD">
              <w:rPr>
                <w:rFonts w:cs="Arial"/>
                <w:color w:val="008000"/>
                <w:sz w:val="22"/>
                <w:szCs w:val="22"/>
              </w:rPr>
              <w:sym w:font="Wingdings" w:char="F06C"/>
            </w:r>
          </w:p>
          <w:p w:rsidR="00BB716F" w:rsidRPr="00C258AD" w:rsidRDefault="00BB716F" w:rsidP="00BB716F">
            <w:pPr>
              <w:jc w:val="center"/>
            </w:pP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p>
        </w:tc>
      </w:tr>
      <w:tr w:rsidR="00BB716F" w:rsidRPr="00C258AD" w:rsidTr="00BB716F">
        <w:trPr>
          <w:cantSplit/>
        </w:trPr>
        <w:tc>
          <w:tcPr>
            <w:tcW w:w="1455" w:type="pct"/>
            <w:vMerge w:val="restart"/>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 xml:space="preserve">Augmentation du nombre d’utilisateurs de WIPO </w:t>
            </w:r>
            <w:proofErr w:type="spellStart"/>
            <w:r w:rsidRPr="00C258AD">
              <w:rPr>
                <w:rFonts w:cs="Arial"/>
                <w:sz w:val="16"/>
                <w:szCs w:val="16"/>
              </w:rPr>
              <w:t>Lex</w:t>
            </w:r>
            <w:proofErr w:type="spellEnd"/>
            <w:r w:rsidRPr="00C258AD">
              <w:rPr>
                <w:rFonts w:cs="Arial"/>
                <w:sz w:val="16"/>
                <w:szCs w:val="16"/>
              </w:rPr>
              <w:t xml:space="preserve"> </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21</w:t>
            </w:r>
          </w:p>
        </w:tc>
        <w:tc>
          <w:tcPr>
            <w:tcW w:w="556" w:type="pct"/>
            <w:shd w:val="clear" w:color="auto" w:fill="FFFFFF"/>
          </w:tcPr>
          <w:p w:rsidR="00BB716F" w:rsidRPr="00C258AD" w:rsidRDefault="00BB716F" w:rsidP="00BB716F">
            <w:pPr>
              <w:jc w:val="center"/>
            </w:pPr>
            <w:r w:rsidRPr="00C258AD">
              <w:rPr>
                <w:rFonts w:cs="Arial"/>
                <w:color w:val="008000"/>
                <w:sz w:val="22"/>
                <w:szCs w:val="22"/>
              </w:rPr>
              <w:sym w:font="Wingdings" w:char="F06C"/>
            </w:r>
          </w:p>
        </w:tc>
      </w:tr>
      <w:tr w:rsidR="00BB716F" w:rsidRPr="00C258AD" w:rsidTr="00BB716F">
        <w:trPr>
          <w:cantSplit/>
        </w:trPr>
        <w:tc>
          <w:tcPr>
            <w:tcW w:w="1455" w:type="pct"/>
            <w:vMerge/>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de bureaux de transfert de technologie durables établis ou renforcés au sein d’universités ou d’instituts de R</w:t>
            </w:r>
            <w:r w:rsidRPr="00C258AD">
              <w:rPr>
                <w:rFonts w:cs="Arial"/>
                <w:sz w:val="16"/>
                <w:szCs w:val="16"/>
              </w:rPr>
              <w:noBreakHyphen/>
              <w:t>D</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30</w:t>
            </w:r>
          </w:p>
          <w:p w:rsidR="00BB716F" w:rsidRPr="00C258AD" w:rsidRDefault="00BB716F" w:rsidP="00BB716F">
            <w:pPr>
              <w:ind w:left="660"/>
              <w:jc w:val="center"/>
              <w:rPr>
                <w:rFonts w:cs="Arial"/>
                <w:sz w:val="16"/>
                <w:szCs w:val="16"/>
                <w:lang w:bidi="th-TH"/>
              </w:rPr>
            </w:pPr>
          </w:p>
        </w:tc>
        <w:tc>
          <w:tcPr>
            <w:tcW w:w="556" w:type="pct"/>
            <w:shd w:val="clear" w:color="auto" w:fill="FFFFFF"/>
          </w:tcPr>
          <w:p w:rsidR="00BB716F" w:rsidRPr="00C258AD" w:rsidRDefault="00BB716F" w:rsidP="00BB716F">
            <w:pPr>
              <w:jc w:val="center"/>
              <w:rPr>
                <w:rFonts w:cs="Arial"/>
                <w:color w:val="A6A6A6" w:themeColor="background1" w:themeShade="A6"/>
                <w:sz w:val="22"/>
                <w:szCs w:val="22"/>
              </w:rPr>
            </w:pPr>
            <w:r w:rsidRPr="00C258AD">
              <w:rPr>
                <w:rFonts w:cs="Arial"/>
                <w:color w:val="FF0000"/>
                <w:sz w:val="22"/>
                <w:szCs w:val="22"/>
              </w:rPr>
              <w:sym w:font="Wingdings" w:char="F06C"/>
            </w:r>
          </w:p>
        </w:tc>
      </w:tr>
      <w:tr w:rsidR="00BB716F" w:rsidRPr="00C258AD" w:rsidTr="00BB716F">
        <w:trPr>
          <w:cantSplit/>
        </w:trPr>
        <w:tc>
          <w:tcPr>
            <w:tcW w:w="1455" w:type="pct"/>
            <w:vMerge/>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d’universités et d’établissements de recherche ayant mis en place des politiques de propriété intellectuelle</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30</w:t>
            </w:r>
          </w:p>
        </w:tc>
        <w:tc>
          <w:tcPr>
            <w:tcW w:w="556" w:type="pct"/>
            <w:shd w:val="clear" w:color="auto" w:fill="FFFFFF"/>
          </w:tcPr>
          <w:p w:rsidR="00BB716F" w:rsidRPr="00C258AD" w:rsidRDefault="00BB716F" w:rsidP="00BB716F">
            <w:pPr>
              <w:jc w:val="center"/>
              <w:rPr>
                <w:rFonts w:cs="Arial"/>
                <w:color w:val="A6A6A6" w:themeColor="background1" w:themeShade="A6"/>
                <w:sz w:val="22"/>
                <w:szCs w:val="22"/>
              </w:rPr>
            </w:pPr>
            <w:r w:rsidRPr="00C258AD">
              <w:rPr>
                <w:rFonts w:cs="Arial"/>
                <w:color w:val="008000"/>
                <w:sz w:val="22"/>
                <w:szCs w:val="22"/>
              </w:rPr>
              <w:sym w:font="Wingdings" w:char="F06C"/>
            </w:r>
          </w:p>
        </w:tc>
      </w:tr>
      <w:tr w:rsidR="00BB716F" w:rsidRPr="00C258AD" w:rsidTr="00BB716F">
        <w:trPr>
          <w:cantSplit/>
        </w:trPr>
        <w:tc>
          <w:tcPr>
            <w:tcW w:w="1455" w:type="pct"/>
            <w:vMerge w:val="restart"/>
            <w:shd w:val="clear" w:color="auto" w:fill="auto"/>
            <w:tcMar>
              <w:top w:w="113" w:type="dxa"/>
              <w:bottom w:w="85" w:type="dxa"/>
            </w:tcMar>
          </w:tcPr>
          <w:p w:rsidR="00BB716F" w:rsidRPr="00C258AD" w:rsidRDefault="00BB716F" w:rsidP="00BB716F">
            <w:pPr>
              <w:keepNext/>
              <w:rPr>
                <w:rFonts w:cs="Arial"/>
                <w:sz w:val="16"/>
                <w:szCs w:val="16"/>
              </w:rPr>
            </w:pPr>
            <w:r w:rsidRPr="00C258AD">
              <w:rPr>
                <w:rFonts w:cs="Arial"/>
                <w:sz w:val="16"/>
                <w:szCs w:val="16"/>
              </w:rPr>
              <w:t>IV.3  Élargissement de la portée géographique du contenu et de l’utilisation des bases de données mondiales de l’OMPI en matière de propriété intellectuelle</w:t>
            </w:r>
          </w:p>
        </w:tc>
        <w:tc>
          <w:tcPr>
            <w:tcW w:w="2136" w:type="pct"/>
            <w:shd w:val="clear" w:color="auto" w:fill="auto"/>
            <w:tcMar>
              <w:top w:w="113" w:type="dxa"/>
              <w:bottom w:w="85" w:type="dxa"/>
            </w:tcMar>
          </w:tcPr>
          <w:p w:rsidR="00BB716F" w:rsidRPr="00C258AD" w:rsidRDefault="00BB716F" w:rsidP="00BB716F">
            <w:pPr>
              <w:keepNext/>
              <w:rPr>
                <w:rFonts w:cs="Arial"/>
                <w:sz w:val="16"/>
                <w:szCs w:val="16"/>
              </w:rPr>
            </w:pPr>
            <w:r w:rsidRPr="00C258AD">
              <w:rPr>
                <w:rFonts w:cs="Arial"/>
                <w:sz w:val="16"/>
                <w:szCs w:val="16"/>
              </w:rPr>
              <w:t xml:space="preserve">Nombre d’entrées figurant dans PATENTSCOPE </w:t>
            </w:r>
          </w:p>
        </w:tc>
        <w:tc>
          <w:tcPr>
            <w:tcW w:w="853" w:type="pct"/>
            <w:shd w:val="clear" w:color="auto" w:fill="FFFFFF"/>
            <w:tcMar>
              <w:top w:w="113" w:type="dxa"/>
              <w:bottom w:w="85" w:type="dxa"/>
            </w:tcMar>
          </w:tcPr>
          <w:p w:rsidR="00BB716F" w:rsidRPr="00C258AD" w:rsidRDefault="00BB716F" w:rsidP="00BB716F">
            <w:pPr>
              <w:keepNext/>
              <w:jc w:val="center"/>
              <w:rPr>
                <w:rFonts w:cs="Arial"/>
                <w:sz w:val="16"/>
                <w:szCs w:val="16"/>
                <w:lang w:bidi="th-TH"/>
              </w:rPr>
            </w:pPr>
            <w:r w:rsidRPr="00C258AD">
              <w:rPr>
                <w:rFonts w:cs="Arial"/>
                <w:sz w:val="16"/>
                <w:szCs w:val="16"/>
                <w:lang w:bidi="th-TH"/>
              </w:rPr>
              <w:t>Programme 13</w:t>
            </w:r>
          </w:p>
        </w:tc>
        <w:tc>
          <w:tcPr>
            <w:tcW w:w="556" w:type="pct"/>
            <w:shd w:val="clear" w:color="auto" w:fill="FFFFFF"/>
          </w:tcPr>
          <w:p w:rsidR="00BB716F" w:rsidRPr="00C258AD" w:rsidRDefault="00BB716F" w:rsidP="00BB716F">
            <w:pPr>
              <w:keepNext/>
              <w:jc w:val="center"/>
            </w:pPr>
            <w:r w:rsidRPr="00C258AD">
              <w:rPr>
                <w:rFonts w:cs="Arial"/>
                <w:color w:val="008000"/>
                <w:sz w:val="22"/>
                <w:szCs w:val="22"/>
              </w:rPr>
              <w:sym w:font="Wingdings" w:char="F06C"/>
            </w:r>
          </w:p>
        </w:tc>
      </w:tr>
      <w:tr w:rsidR="00BB716F" w:rsidRPr="00C258AD" w:rsidTr="00BB716F">
        <w:trPr>
          <w:cantSplit/>
        </w:trPr>
        <w:tc>
          <w:tcPr>
            <w:tcW w:w="1455" w:type="pct"/>
            <w:vMerge/>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d’entrées figurant dans les bases de données mondiales sur les marques</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13</w:t>
            </w:r>
          </w:p>
        </w:tc>
        <w:tc>
          <w:tcPr>
            <w:tcW w:w="556" w:type="pct"/>
            <w:shd w:val="clear" w:color="auto" w:fill="FFFFFF"/>
          </w:tcPr>
          <w:p w:rsidR="00BB716F" w:rsidRPr="00C258AD" w:rsidRDefault="00BB716F" w:rsidP="00BB716F">
            <w:pPr>
              <w:jc w:val="center"/>
              <w:rPr>
                <w:rFonts w:cs="Arial"/>
                <w:color w:val="A6A6A6" w:themeColor="background1" w:themeShade="A6"/>
                <w:sz w:val="22"/>
                <w:szCs w:val="22"/>
              </w:rPr>
            </w:pPr>
            <w:r w:rsidRPr="00C258AD">
              <w:rPr>
                <w:rFonts w:cs="Arial"/>
                <w:color w:val="008000"/>
                <w:sz w:val="22"/>
                <w:szCs w:val="22"/>
              </w:rPr>
              <w:sym w:font="Wingdings" w:char="F06C"/>
            </w:r>
          </w:p>
        </w:tc>
      </w:tr>
      <w:tr w:rsidR="00BB716F" w:rsidRPr="00C258AD" w:rsidTr="00BB716F">
        <w:trPr>
          <w:cantSplit/>
        </w:trPr>
        <w:tc>
          <w:tcPr>
            <w:tcW w:w="1455" w:type="pct"/>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de collections nationales dans PATENTSCOPE</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13</w:t>
            </w:r>
          </w:p>
        </w:tc>
        <w:tc>
          <w:tcPr>
            <w:tcW w:w="556" w:type="pct"/>
            <w:shd w:val="clear" w:color="auto" w:fill="FFFFFF"/>
          </w:tcPr>
          <w:p w:rsidR="00BB716F" w:rsidRPr="00C258AD" w:rsidRDefault="00BB716F" w:rsidP="00BB716F">
            <w:pPr>
              <w:jc w:val="center"/>
            </w:pPr>
            <w:r w:rsidRPr="00C258AD">
              <w:rPr>
                <w:rFonts w:cs="Arial"/>
                <w:color w:val="008000"/>
                <w:sz w:val="22"/>
                <w:szCs w:val="22"/>
              </w:rPr>
              <w:sym w:font="Wingdings" w:char="F06C"/>
            </w:r>
          </w:p>
        </w:tc>
      </w:tr>
      <w:tr w:rsidR="00BB716F" w:rsidRPr="00C258AD" w:rsidTr="00BB716F">
        <w:trPr>
          <w:cantSplit/>
        </w:trPr>
        <w:tc>
          <w:tcPr>
            <w:tcW w:w="1455" w:type="pct"/>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de collections nationales dans la Base de données mondiale sur les marques</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13</w:t>
            </w:r>
          </w:p>
        </w:tc>
        <w:tc>
          <w:tcPr>
            <w:tcW w:w="556" w:type="pct"/>
            <w:shd w:val="clear" w:color="auto" w:fill="FFFFFF"/>
          </w:tcPr>
          <w:p w:rsidR="00BB716F" w:rsidRPr="00C258AD" w:rsidRDefault="00BB716F" w:rsidP="00BB716F">
            <w:pPr>
              <w:jc w:val="center"/>
            </w:pPr>
            <w:r w:rsidRPr="00C258AD">
              <w:rPr>
                <w:rFonts w:cs="Arial"/>
                <w:color w:val="008000"/>
                <w:sz w:val="22"/>
                <w:szCs w:val="22"/>
              </w:rPr>
              <w:sym w:font="Wingdings" w:char="F06C"/>
            </w:r>
          </w:p>
        </w:tc>
      </w:tr>
      <w:tr w:rsidR="00BB716F" w:rsidRPr="00C258AD" w:rsidTr="00BB716F">
        <w:trPr>
          <w:cantSplit/>
        </w:trPr>
        <w:tc>
          <w:tcPr>
            <w:tcW w:w="1455" w:type="pct"/>
            <w:vMerge w:val="restar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IV.4 Amélioration de l’infrastructure technique et du savoir pour les offices de propriété intellectuelle et d’autres institutions de propriété intellectuelle, leur permettant de fournir à leurs parties prenantes des services améliorés (moins chers, plus rapides, de meilleure qualité)</w:t>
            </w: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de gouvernements et d’organismes de gestion collective ayant signé un accord avec l’OMPI pour réorganiser WIPOCOS</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3</w:t>
            </w:r>
          </w:p>
        </w:tc>
        <w:tc>
          <w:tcPr>
            <w:tcW w:w="556" w:type="pct"/>
            <w:shd w:val="clear" w:color="auto" w:fill="FFFFFF"/>
          </w:tcPr>
          <w:p w:rsidR="00BB716F" w:rsidRPr="00C258AD" w:rsidRDefault="00BB716F" w:rsidP="00BB716F">
            <w:pPr>
              <w:spacing w:before="40"/>
              <w:jc w:val="center"/>
            </w:pPr>
            <w:r w:rsidRPr="00C258AD">
              <w:rPr>
                <w:rFonts w:cs="Arial"/>
                <w:color w:val="008000"/>
                <w:sz w:val="22"/>
                <w:szCs w:val="22"/>
              </w:rPr>
              <w:sym w:font="Wingdings" w:char="F06C"/>
            </w:r>
          </w:p>
        </w:tc>
      </w:tr>
      <w:tr w:rsidR="00BB716F" w:rsidRPr="00C258AD" w:rsidTr="00BB716F">
        <w:trPr>
          <w:cantSplit/>
        </w:trPr>
        <w:tc>
          <w:tcPr>
            <w:tcW w:w="1455" w:type="pct"/>
            <w:vMerge/>
            <w:shd w:val="clear" w:color="auto" w:fill="auto"/>
            <w:tcMar>
              <w:top w:w="113" w:type="dxa"/>
              <w:bottom w:w="85" w:type="dxa"/>
            </w:tcMar>
          </w:tcPr>
          <w:p w:rsidR="00BB716F" w:rsidRPr="00C258AD" w:rsidRDefault="00BB716F" w:rsidP="00BB716F">
            <w:pPr>
              <w:rPr>
                <w:rFonts w:cs="Arial"/>
                <w:sz w:val="16"/>
                <w:szCs w:val="16"/>
              </w:rPr>
            </w:pPr>
          </w:p>
        </w:tc>
        <w:tc>
          <w:tcPr>
            <w:tcW w:w="2136" w:type="pct"/>
            <w:vMerge w:val="restar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d’organisations de gestion collective dans les pays en développement et les PMA participant aux réseaux régionaux ou mondiaux animés par l’OMPI</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3</w:t>
            </w:r>
          </w:p>
        </w:tc>
        <w:tc>
          <w:tcPr>
            <w:tcW w:w="556" w:type="pct"/>
            <w:shd w:val="clear" w:color="auto" w:fill="FFFFFF"/>
          </w:tcPr>
          <w:p w:rsidR="00BB716F" w:rsidRPr="00C258AD" w:rsidRDefault="00BB716F" w:rsidP="00BB716F">
            <w:pPr>
              <w:spacing w:before="40"/>
              <w:jc w:val="center"/>
              <w:rPr>
                <w:rFonts w:cs="Arial"/>
                <w:color w:val="008000"/>
                <w:sz w:val="22"/>
                <w:szCs w:val="22"/>
              </w:rPr>
            </w:pPr>
            <w:r w:rsidRPr="00C258AD">
              <w:rPr>
                <w:rFonts w:cs="Arial"/>
                <w:color w:val="008000"/>
                <w:sz w:val="22"/>
                <w:szCs w:val="22"/>
              </w:rPr>
              <w:sym w:font="Wingdings" w:char="F06C"/>
            </w:r>
          </w:p>
        </w:tc>
      </w:tr>
      <w:tr w:rsidR="00BB716F" w:rsidRPr="00C258AD" w:rsidTr="00BB716F">
        <w:trPr>
          <w:cantSplit/>
        </w:trPr>
        <w:tc>
          <w:tcPr>
            <w:tcW w:w="1455" w:type="pct"/>
            <w:vMerge/>
            <w:shd w:val="clear" w:color="auto" w:fill="auto"/>
            <w:tcMar>
              <w:top w:w="113" w:type="dxa"/>
              <w:bottom w:w="85" w:type="dxa"/>
            </w:tcMar>
          </w:tcPr>
          <w:p w:rsidR="00BB716F" w:rsidRPr="00C258AD" w:rsidRDefault="00BB716F" w:rsidP="00BB716F">
            <w:pPr>
              <w:rPr>
                <w:rFonts w:cs="Arial"/>
                <w:sz w:val="16"/>
                <w:szCs w:val="16"/>
              </w:rPr>
            </w:pPr>
          </w:p>
        </w:tc>
        <w:tc>
          <w:tcPr>
            <w:tcW w:w="2136" w:type="pct"/>
            <w:vMerge/>
            <w:shd w:val="clear" w:color="auto" w:fill="auto"/>
            <w:tcMar>
              <w:top w:w="113" w:type="dxa"/>
              <w:bottom w:w="85" w:type="dxa"/>
            </w:tcMar>
          </w:tcPr>
          <w:p w:rsidR="00BB716F" w:rsidRPr="00C258AD" w:rsidRDefault="00BB716F" w:rsidP="00BB716F">
            <w:pPr>
              <w:rPr>
                <w:rFonts w:cs="Arial"/>
                <w:sz w:val="16"/>
                <w:szCs w:val="16"/>
              </w:rPr>
            </w:pP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15</w:t>
            </w:r>
          </w:p>
        </w:tc>
        <w:tc>
          <w:tcPr>
            <w:tcW w:w="556" w:type="pct"/>
            <w:shd w:val="clear" w:color="auto" w:fill="FFFFFF"/>
          </w:tcPr>
          <w:p w:rsidR="00BB716F" w:rsidRPr="00C258AD" w:rsidRDefault="00BB716F" w:rsidP="00BB716F">
            <w:pPr>
              <w:jc w:val="center"/>
              <w:rPr>
                <w:rFonts w:cs="Arial"/>
                <w:color w:val="008000"/>
                <w:sz w:val="22"/>
                <w:szCs w:val="22"/>
              </w:rPr>
            </w:pPr>
            <w:r w:rsidRPr="00C258AD">
              <w:rPr>
                <w:rFonts w:cs="Arial"/>
                <w:color w:val="FF0000"/>
                <w:sz w:val="22"/>
                <w:szCs w:val="22"/>
              </w:rPr>
              <w:sym w:font="Wingdings" w:char="F06C"/>
            </w:r>
          </w:p>
        </w:tc>
      </w:tr>
      <w:tr w:rsidR="00BB716F" w:rsidRPr="00C258AD" w:rsidTr="00BB716F">
        <w:trPr>
          <w:cantSplit/>
        </w:trPr>
        <w:tc>
          <w:tcPr>
            <w:tcW w:w="1455" w:type="pct"/>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Pourcentage de gouvernements ayant présenté un rapport positif sur l’efficacité accrue (et la meilleure gouvernance) des bureaux de droit d’auteur et d’autres institutions du pays</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3</w:t>
            </w:r>
          </w:p>
        </w:tc>
        <w:tc>
          <w:tcPr>
            <w:tcW w:w="556" w:type="pct"/>
            <w:shd w:val="clear" w:color="auto" w:fill="FFFFFF"/>
          </w:tcPr>
          <w:p w:rsidR="00BB716F" w:rsidRPr="00C258AD" w:rsidRDefault="00BB716F" w:rsidP="00BB716F">
            <w:pPr>
              <w:spacing w:before="40"/>
              <w:jc w:val="center"/>
              <w:rPr>
                <w:rFonts w:cs="Arial"/>
                <w:color w:val="008000"/>
                <w:sz w:val="22"/>
                <w:szCs w:val="22"/>
              </w:rPr>
            </w:pPr>
            <w:r w:rsidRPr="00C258AD">
              <w:rPr>
                <w:rFonts w:cs="Arial"/>
                <w:color w:val="008000"/>
                <w:sz w:val="22"/>
                <w:szCs w:val="22"/>
              </w:rPr>
              <w:sym w:font="Wingdings" w:char="F06C"/>
            </w:r>
          </w:p>
        </w:tc>
      </w:tr>
      <w:tr w:rsidR="00BB716F" w:rsidRPr="00C258AD" w:rsidTr="00BB716F">
        <w:trPr>
          <w:cantSplit/>
        </w:trPr>
        <w:tc>
          <w:tcPr>
            <w:tcW w:w="1455" w:type="pct"/>
            <w:shd w:val="clear" w:color="auto" w:fill="auto"/>
            <w:tcMar>
              <w:top w:w="113" w:type="dxa"/>
              <w:bottom w:w="85" w:type="dxa"/>
            </w:tcMar>
          </w:tcPr>
          <w:p w:rsidR="00BB716F" w:rsidRPr="00C258AD" w:rsidRDefault="00BB716F" w:rsidP="00BB716F">
            <w:pPr>
              <w:rPr>
                <w:rFonts w:cs="Arial"/>
                <w:sz w:val="16"/>
                <w:szCs w:val="16"/>
              </w:rPr>
            </w:pPr>
          </w:p>
        </w:tc>
        <w:tc>
          <w:tcPr>
            <w:tcW w:w="2136" w:type="pc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Nombre d’offices utilisant les plateformes d’infrastructure de l’OMPI</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15</w:t>
            </w:r>
          </w:p>
        </w:tc>
        <w:tc>
          <w:tcPr>
            <w:tcW w:w="556" w:type="pct"/>
            <w:shd w:val="clear" w:color="auto" w:fill="FFFFFF"/>
          </w:tcPr>
          <w:p w:rsidR="00BB716F" w:rsidRPr="00C258AD" w:rsidRDefault="00BB716F" w:rsidP="00BB716F">
            <w:pPr>
              <w:spacing w:before="40"/>
              <w:jc w:val="center"/>
              <w:rPr>
                <w:rFonts w:cs="Arial"/>
                <w:color w:val="008000"/>
                <w:sz w:val="22"/>
                <w:szCs w:val="22"/>
              </w:rPr>
            </w:pPr>
            <w:r w:rsidRPr="00C258AD">
              <w:rPr>
                <w:rFonts w:cs="Arial"/>
                <w:color w:val="008000"/>
                <w:sz w:val="22"/>
                <w:szCs w:val="22"/>
              </w:rPr>
              <w:sym w:font="Wingdings" w:char="F06C"/>
            </w:r>
          </w:p>
        </w:tc>
      </w:tr>
      <w:tr w:rsidR="00BB716F" w:rsidRPr="00C258AD" w:rsidTr="00BB716F">
        <w:trPr>
          <w:cantSplit/>
        </w:trPr>
        <w:tc>
          <w:tcPr>
            <w:tcW w:w="1455" w:type="pct"/>
            <w:vMerge w:val="restart"/>
            <w:shd w:val="clear" w:color="auto" w:fill="auto"/>
            <w:tcMar>
              <w:top w:w="113" w:type="dxa"/>
              <w:bottom w:w="85" w:type="dxa"/>
            </w:tcMar>
          </w:tcPr>
          <w:p w:rsidR="00BB716F" w:rsidRPr="00C258AD" w:rsidRDefault="00BB716F" w:rsidP="00BB716F">
            <w:pPr>
              <w:rPr>
                <w:rFonts w:cs="Arial"/>
                <w:sz w:val="16"/>
                <w:szCs w:val="16"/>
              </w:rPr>
            </w:pPr>
          </w:p>
        </w:tc>
        <w:tc>
          <w:tcPr>
            <w:tcW w:w="2136" w:type="pct"/>
            <w:vMerge w:val="restart"/>
            <w:shd w:val="clear" w:color="auto" w:fill="auto"/>
            <w:tcMar>
              <w:top w:w="113" w:type="dxa"/>
              <w:bottom w:w="85" w:type="dxa"/>
            </w:tcMar>
          </w:tcPr>
          <w:p w:rsidR="00BB716F" w:rsidRPr="00C258AD" w:rsidRDefault="00BB716F" w:rsidP="00BB716F">
            <w:pPr>
              <w:rPr>
                <w:rFonts w:cs="Arial"/>
                <w:sz w:val="16"/>
                <w:szCs w:val="16"/>
              </w:rPr>
            </w:pPr>
            <w:r w:rsidRPr="00C258AD">
              <w:rPr>
                <w:rFonts w:cs="Arial"/>
                <w:sz w:val="16"/>
                <w:szCs w:val="16"/>
              </w:rPr>
              <w:t>Niveau de service moyen des offices de propriété intellectuelle bénéficiant d’une assistance (de 1 à 5)</w:t>
            </w: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9</w:t>
            </w:r>
          </w:p>
        </w:tc>
        <w:tc>
          <w:tcPr>
            <w:tcW w:w="556" w:type="pct"/>
            <w:shd w:val="clear" w:color="auto" w:fill="FFFFFF"/>
          </w:tcPr>
          <w:p w:rsidR="00BB716F" w:rsidRPr="00C258AD" w:rsidRDefault="00BB716F" w:rsidP="00BB716F">
            <w:pPr>
              <w:jc w:val="center"/>
              <w:rPr>
                <w:rFonts w:cs="Arial"/>
                <w:color w:val="A6A6A6" w:themeColor="background1" w:themeShade="A6"/>
                <w:sz w:val="22"/>
                <w:szCs w:val="22"/>
              </w:rPr>
            </w:pPr>
            <w:r w:rsidRPr="00C258AD">
              <w:rPr>
                <w:rFonts w:cs="Arial"/>
                <w:color w:val="008000"/>
                <w:sz w:val="22"/>
                <w:szCs w:val="22"/>
              </w:rPr>
              <w:sym w:font="Wingdings" w:char="F06C"/>
            </w:r>
          </w:p>
        </w:tc>
      </w:tr>
      <w:tr w:rsidR="00BB716F" w:rsidRPr="00C258AD" w:rsidTr="00BB716F">
        <w:trPr>
          <w:cantSplit/>
        </w:trPr>
        <w:tc>
          <w:tcPr>
            <w:tcW w:w="1455" w:type="pct"/>
            <w:vMerge/>
            <w:shd w:val="clear" w:color="auto" w:fill="auto"/>
            <w:tcMar>
              <w:top w:w="113" w:type="dxa"/>
              <w:bottom w:w="85" w:type="dxa"/>
            </w:tcMar>
          </w:tcPr>
          <w:p w:rsidR="00BB716F" w:rsidRPr="00C258AD" w:rsidRDefault="00BB716F" w:rsidP="00BB716F">
            <w:pPr>
              <w:rPr>
                <w:rFonts w:cs="Arial"/>
                <w:sz w:val="16"/>
                <w:szCs w:val="16"/>
              </w:rPr>
            </w:pPr>
          </w:p>
        </w:tc>
        <w:tc>
          <w:tcPr>
            <w:tcW w:w="2136" w:type="pct"/>
            <w:vMerge/>
            <w:shd w:val="clear" w:color="auto" w:fill="auto"/>
            <w:tcMar>
              <w:top w:w="113" w:type="dxa"/>
              <w:bottom w:w="85" w:type="dxa"/>
            </w:tcMar>
          </w:tcPr>
          <w:p w:rsidR="00BB716F" w:rsidRPr="00C258AD" w:rsidRDefault="00BB716F" w:rsidP="00BB716F">
            <w:pPr>
              <w:rPr>
                <w:rFonts w:cs="Arial"/>
                <w:sz w:val="16"/>
                <w:szCs w:val="16"/>
              </w:rPr>
            </w:pP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10</w:t>
            </w:r>
          </w:p>
        </w:tc>
        <w:tc>
          <w:tcPr>
            <w:tcW w:w="556" w:type="pct"/>
            <w:shd w:val="clear" w:color="auto" w:fill="FFFFFF"/>
          </w:tcPr>
          <w:p w:rsidR="00BB716F" w:rsidRPr="00C258AD" w:rsidRDefault="00BB716F" w:rsidP="00BB716F">
            <w:pPr>
              <w:spacing w:before="40"/>
              <w:jc w:val="center"/>
              <w:rPr>
                <w:rFonts w:cs="Arial"/>
                <w:color w:val="008000"/>
                <w:sz w:val="22"/>
                <w:szCs w:val="22"/>
              </w:rPr>
            </w:pPr>
            <w:r w:rsidRPr="00C258AD">
              <w:rPr>
                <w:rFonts w:cs="Arial"/>
                <w:color w:val="008000"/>
                <w:sz w:val="22"/>
                <w:szCs w:val="22"/>
              </w:rPr>
              <w:sym w:font="Wingdings" w:char="F06C"/>
            </w:r>
          </w:p>
        </w:tc>
      </w:tr>
      <w:tr w:rsidR="00BB716F" w:rsidRPr="00C258AD" w:rsidTr="00BB716F">
        <w:trPr>
          <w:cantSplit/>
        </w:trPr>
        <w:tc>
          <w:tcPr>
            <w:tcW w:w="1455" w:type="pct"/>
            <w:vMerge/>
            <w:shd w:val="clear" w:color="auto" w:fill="auto"/>
            <w:tcMar>
              <w:top w:w="113" w:type="dxa"/>
              <w:bottom w:w="85" w:type="dxa"/>
            </w:tcMar>
          </w:tcPr>
          <w:p w:rsidR="00BB716F" w:rsidRPr="00C258AD" w:rsidRDefault="00BB716F" w:rsidP="00BB716F">
            <w:pPr>
              <w:rPr>
                <w:rFonts w:cs="Arial"/>
                <w:sz w:val="16"/>
                <w:szCs w:val="16"/>
              </w:rPr>
            </w:pPr>
          </w:p>
        </w:tc>
        <w:tc>
          <w:tcPr>
            <w:tcW w:w="2136" w:type="pct"/>
            <w:vMerge/>
            <w:shd w:val="clear" w:color="auto" w:fill="auto"/>
            <w:tcMar>
              <w:top w:w="113" w:type="dxa"/>
              <w:bottom w:w="85" w:type="dxa"/>
            </w:tcMar>
          </w:tcPr>
          <w:p w:rsidR="00BB716F" w:rsidRPr="00C258AD" w:rsidRDefault="00BB716F" w:rsidP="00BB716F">
            <w:pPr>
              <w:rPr>
                <w:rFonts w:cs="Arial"/>
                <w:sz w:val="16"/>
                <w:szCs w:val="16"/>
              </w:rPr>
            </w:pPr>
          </w:p>
        </w:tc>
        <w:tc>
          <w:tcPr>
            <w:tcW w:w="853" w:type="pct"/>
            <w:shd w:val="clear" w:color="auto" w:fill="FFFFFF"/>
            <w:tcMar>
              <w:top w:w="113" w:type="dxa"/>
              <w:bottom w:w="85" w:type="dxa"/>
            </w:tcMar>
          </w:tcPr>
          <w:p w:rsidR="00BB716F" w:rsidRPr="00C258AD" w:rsidRDefault="00BB716F" w:rsidP="00BB716F">
            <w:pPr>
              <w:jc w:val="center"/>
              <w:rPr>
                <w:rFonts w:cs="Arial"/>
                <w:sz w:val="16"/>
                <w:szCs w:val="16"/>
                <w:lang w:bidi="th-TH"/>
              </w:rPr>
            </w:pPr>
            <w:r w:rsidRPr="00C258AD">
              <w:rPr>
                <w:rFonts w:cs="Arial"/>
                <w:sz w:val="16"/>
                <w:szCs w:val="16"/>
                <w:lang w:bidi="th-TH"/>
              </w:rPr>
              <w:t>Programme 15</w:t>
            </w:r>
          </w:p>
        </w:tc>
        <w:tc>
          <w:tcPr>
            <w:tcW w:w="556" w:type="pct"/>
            <w:shd w:val="clear" w:color="auto" w:fill="FFFFFF"/>
          </w:tcPr>
          <w:p w:rsidR="00BB716F" w:rsidRPr="00C258AD" w:rsidRDefault="00BB716F" w:rsidP="00BB716F">
            <w:pPr>
              <w:jc w:val="center"/>
              <w:rPr>
                <w:rFonts w:cs="Arial"/>
                <w:color w:val="A6A6A6" w:themeColor="background1" w:themeShade="A6"/>
                <w:sz w:val="22"/>
                <w:szCs w:val="22"/>
              </w:rPr>
            </w:pPr>
            <w:r w:rsidRPr="00C258AD">
              <w:rPr>
                <w:rFonts w:cs="Arial"/>
                <w:color w:val="008000"/>
                <w:sz w:val="22"/>
                <w:szCs w:val="22"/>
              </w:rPr>
              <w:sym w:font="Wingdings" w:char="F06C"/>
            </w:r>
          </w:p>
        </w:tc>
      </w:tr>
    </w:tbl>
    <w:p w:rsidR="00BB716F" w:rsidRPr="00C258AD" w:rsidRDefault="00BB716F" w:rsidP="00BB716F"/>
    <w:p w:rsidR="006E2BB1" w:rsidRPr="00C258AD" w:rsidRDefault="006E2BB1" w:rsidP="00A068F8"/>
    <w:p w:rsidR="006E2BB1" w:rsidRPr="00C258AD" w:rsidRDefault="00A068F8" w:rsidP="00A068F8">
      <w:r w:rsidRPr="00C258AD">
        <w:br w:type="page"/>
      </w:r>
    </w:p>
    <w:p w:rsidR="006E2BB1" w:rsidRPr="00C258AD" w:rsidRDefault="002D4597" w:rsidP="00305CE5">
      <w:pPr>
        <w:pStyle w:val="Heading3"/>
      </w:pPr>
      <w:bookmarkStart w:id="112" w:name="_Toc455394193"/>
      <w:r w:rsidRPr="00C258AD">
        <w:lastRenderedPageBreak/>
        <w:t>Programme 12‏</w:t>
      </w:r>
      <w:r w:rsidRPr="00C258AD">
        <w:tab/>
        <w:t>‎Classifications internationales et normes</w:t>
      </w:r>
      <w:bookmarkEnd w:id="109"/>
      <w:bookmarkEnd w:id="110"/>
      <w:bookmarkEnd w:id="112"/>
    </w:p>
    <w:p w:rsidR="006E2BB1" w:rsidRPr="00C258AD" w:rsidRDefault="006E2BB1" w:rsidP="00C9182C"/>
    <w:p w:rsidR="006E2BB1" w:rsidRPr="00C258AD" w:rsidRDefault="002D4597" w:rsidP="00C9182C">
      <w:pPr>
        <w:rPr>
          <w:b/>
        </w:rPr>
      </w:pPr>
      <w:r w:rsidRPr="00C258AD">
        <w:rPr>
          <w:b/>
        </w:rPr>
        <w:t>Chef de programme</w:t>
      </w:r>
      <w:r w:rsidRPr="00C258AD">
        <w:rPr>
          <w:b/>
        </w:rPr>
        <w:tab/>
        <w:t>M. Y. Takagi</w:t>
      </w:r>
    </w:p>
    <w:p w:rsidR="006E2BB1" w:rsidRPr="00C258AD" w:rsidRDefault="006E2BB1" w:rsidP="00C9182C"/>
    <w:p w:rsidR="006E2BB1" w:rsidRPr="00C258AD" w:rsidRDefault="006E2BB1" w:rsidP="00C9182C"/>
    <w:p w:rsidR="006E2BB1" w:rsidRPr="00C258AD" w:rsidRDefault="00BA0AED" w:rsidP="00305CE5">
      <w:pPr>
        <w:keepNext/>
        <w:rPr>
          <w:rFonts w:cs="Arial"/>
          <w:caps/>
          <w:sz w:val="22"/>
          <w:szCs w:val="22"/>
        </w:rPr>
      </w:pPr>
      <w:r w:rsidRPr="00C258AD">
        <w:rPr>
          <w:rFonts w:cs="Arial"/>
          <w:caps/>
          <w:sz w:val="22"/>
          <w:szCs w:val="22"/>
        </w:rPr>
        <w:t>Réalisations au c</w:t>
      </w:r>
      <w:r w:rsidR="00BB5DFE">
        <w:rPr>
          <w:rFonts w:cs="Arial"/>
          <w:caps/>
          <w:sz w:val="22"/>
          <w:szCs w:val="22"/>
        </w:rPr>
        <w:t>ours de l’exercice biennal 2014</w:t>
      </w:r>
      <w:r w:rsidR="00BB5DFE">
        <w:rPr>
          <w:rFonts w:cs="Arial"/>
          <w:caps/>
          <w:sz w:val="22"/>
          <w:szCs w:val="22"/>
        </w:rPr>
        <w:noBreakHyphen/>
      </w:r>
      <w:r w:rsidRPr="00C258AD">
        <w:rPr>
          <w:rFonts w:cs="Arial"/>
          <w:caps/>
          <w:sz w:val="22"/>
          <w:szCs w:val="22"/>
        </w:rPr>
        <w:t>2015</w:t>
      </w:r>
    </w:p>
    <w:p w:rsidR="006E2BB1" w:rsidRPr="00C258AD" w:rsidRDefault="006E2BB1" w:rsidP="00C9182C">
      <w:pPr>
        <w:jc w:val="both"/>
      </w:pPr>
    </w:p>
    <w:p w:rsidR="006E2BB1" w:rsidRPr="00C258AD" w:rsidRDefault="002D4597" w:rsidP="00BB4DBC">
      <w:pPr>
        <w:pStyle w:val="ListParagraph"/>
        <w:numPr>
          <w:ilvl w:val="0"/>
          <w:numId w:val="14"/>
        </w:numPr>
        <w:tabs>
          <w:tab w:val="left" w:pos="709"/>
        </w:tabs>
        <w:ind w:left="0" w:firstLine="0"/>
        <w:jc w:val="both"/>
      </w:pPr>
      <w:r w:rsidRPr="00C258AD">
        <w:t>Malgré des progrès inégaux en 2014, la situation dans le domaine des classifications internationales et des normes de propriété industrielle de l’OMPI s’est considérablement améliorée en 2015, dépassant les attentes dans certains secteurs et restant à la traîne dans d’autres.</w:t>
      </w:r>
    </w:p>
    <w:p w:rsidR="006E2BB1" w:rsidRPr="00C258AD" w:rsidRDefault="006E2BB1" w:rsidP="00C9182C">
      <w:pPr>
        <w:tabs>
          <w:tab w:val="left" w:pos="709"/>
        </w:tabs>
        <w:jc w:val="both"/>
      </w:pPr>
    </w:p>
    <w:p w:rsidR="006E2BB1" w:rsidRPr="00C258AD" w:rsidRDefault="002D4597" w:rsidP="00BB4DBC">
      <w:pPr>
        <w:pStyle w:val="ListParagraph"/>
        <w:numPr>
          <w:ilvl w:val="0"/>
          <w:numId w:val="14"/>
        </w:numPr>
        <w:tabs>
          <w:tab w:val="left" w:pos="709"/>
        </w:tabs>
        <w:ind w:left="0" w:firstLine="0"/>
        <w:jc w:val="both"/>
      </w:pPr>
      <w:r w:rsidRPr="00C258AD">
        <w:t>En ce qui concerne la classification de Nice, un total de 1480 nouvelles modifications et 43 nouveaux dossiers d’information ont été introduits au cours de l’exercice biennal.  Le nombre de modifications représente une augmentation de 94% par rapport à 2012</w:t>
      </w:r>
      <w:r w:rsidRPr="00C258AD">
        <w:noBreakHyphen/>
        <w:t>2013.  De plus, la version espagnole officielle 10</w:t>
      </w:r>
      <w:r w:rsidRPr="00C258AD">
        <w:noBreakHyphen/>
        <w:t>2016 de la classification de Nice a été mise à disposition au même format que les publications originales en français et en anglais.  De la même façon, toutes les éditions antérieures (de la première à la neuvième) ont aussi été mises à disposition dans le nouveau format.</w:t>
      </w:r>
    </w:p>
    <w:p w:rsidR="006E2BB1" w:rsidRPr="00C258AD" w:rsidRDefault="006E2BB1" w:rsidP="00C9182C">
      <w:pPr>
        <w:tabs>
          <w:tab w:val="left" w:pos="709"/>
        </w:tabs>
        <w:jc w:val="both"/>
      </w:pPr>
    </w:p>
    <w:p w:rsidR="006E2BB1" w:rsidRPr="00C258AD" w:rsidRDefault="002D4597" w:rsidP="00BB4DBC">
      <w:pPr>
        <w:pStyle w:val="ListParagraph"/>
        <w:numPr>
          <w:ilvl w:val="0"/>
          <w:numId w:val="14"/>
        </w:numPr>
        <w:tabs>
          <w:tab w:val="left" w:pos="709"/>
        </w:tabs>
        <w:ind w:left="0" w:firstLine="0"/>
        <w:jc w:val="both"/>
      </w:pPr>
      <w:r w:rsidRPr="00C258AD">
        <w:t>En ce qui concerne la classification internationale des brevets (CIB), la plateforme de publication modifiée destinée à faciliter l’utilisation du système, avec un nouvel outil de recherche et la plateforme parallèle CIB/CPC/FI, a été lancée en avril 2014.  Compte tenu de l’augmentation du nombre de nouveaux projets de révision émanant des offices de l’IP5 et de la communauté des utilisateurs de la CIB, le nombre de nouvelles subdivisions adoptées en 2015 (1031) a dépassé de 28% l’objectif pour cette année, après une forte reprise à partir de 2014 pour atteindre cet objectif.</w:t>
      </w:r>
    </w:p>
    <w:p w:rsidR="006E2BB1" w:rsidRPr="00C258AD" w:rsidRDefault="006E2BB1" w:rsidP="00C9182C">
      <w:pPr>
        <w:tabs>
          <w:tab w:val="left" w:pos="709"/>
        </w:tabs>
        <w:jc w:val="both"/>
      </w:pPr>
    </w:p>
    <w:p w:rsidR="006E2BB1" w:rsidRPr="00C258AD" w:rsidRDefault="002D4597" w:rsidP="00BB4DBC">
      <w:pPr>
        <w:pStyle w:val="ListParagraph"/>
        <w:numPr>
          <w:ilvl w:val="0"/>
          <w:numId w:val="14"/>
        </w:numPr>
        <w:tabs>
          <w:tab w:val="left" w:pos="709"/>
        </w:tabs>
        <w:ind w:left="0" w:firstLine="0"/>
        <w:jc w:val="both"/>
        <w:rPr>
          <w:bCs/>
        </w:rPr>
      </w:pPr>
      <w:r w:rsidRPr="00C258AD">
        <w:rPr>
          <w:bCs/>
        </w:rPr>
        <w:t>À sa quatrième session, le Comité des normes de l’OMPI (CWS) n’a pas pu adopter d’ordre du jour et a pris des décisions informelles sans les officialiser.  Malgré le retard que cela a occasionné, une nouvelle norme a été adoptée et une autre a été modifiée, de manière non officielle, en 2014.  Cette paralysie ayant continué en 2015, de nouvelles normes n’ont pu être officiellement approuvées.  Néanmoins, les travaux informels se sont poursuivis au sein des équipes d’experts, groupes constitués d’experts désignés par les membres et observateurs du CWS et en vue d’accomplir des tâches précises.  Plusieurs normes devraient être adoptées lorsque le CWS reprendra ses travaux en 2016.</w:t>
      </w:r>
    </w:p>
    <w:p w:rsidR="006E2BB1" w:rsidRPr="00C258AD" w:rsidRDefault="006E2BB1" w:rsidP="00C9182C">
      <w:pPr>
        <w:tabs>
          <w:tab w:val="left" w:pos="709"/>
        </w:tabs>
        <w:jc w:val="both"/>
        <w:rPr>
          <w:bCs/>
        </w:rPr>
      </w:pPr>
    </w:p>
    <w:p w:rsidR="006E2BB1" w:rsidRPr="00C258AD" w:rsidRDefault="002D4597" w:rsidP="00BB4DBC">
      <w:pPr>
        <w:pStyle w:val="ListParagraph"/>
        <w:numPr>
          <w:ilvl w:val="0"/>
          <w:numId w:val="14"/>
        </w:numPr>
        <w:tabs>
          <w:tab w:val="left" w:pos="709"/>
        </w:tabs>
        <w:ind w:left="0" w:firstLine="0"/>
        <w:jc w:val="both"/>
      </w:pPr>
      <w:r w:rsidRPr="00C258AD">
        <w:rPr>
          <w:bCs/>
        </w:rPr>
        <w:t xml:space="preserve">L’utilisation d’outils sur l’Internet pour consulter les publications relatives aux classifications et aux normes a connu une croissance stable avec un nombre de consultations des publications de la CIB sensiblement plus élevé (une hausse de 107% par rapport à 2013), en raison de l’inclusion de classements révisés et de nouveaux outils.  </w:t>
      </w:r>
      <w:r w:rsidRPr="00C258AD">
        <w:t xml:space="preserve">Les consultations de la publication de la classification de Nice et des pages d’accueil de la classification de Locarno et de Vienne ont aussi vu leur nombre augmenter, respectivement de 14%, 39,1% et 7,4%, respectivement.  Le nombre d’accès à la page d’accueil de la classification de Nice est resté stable, tandis que pour ce qui concerne la page d’accueil de la CIB, une réduction de 6,6% a été enregistrée.  Le </w:t>
      </w:r>
      <w:r w:rsidRPr="00C258AD">
        <w:rPr>
          <w:bCs/>
        </w:rPr>
        <w:t>Manuel des normes de l’OMPI a également enregistré une baisse de fréquentation de 26,7% par rapport à 2013, peut</w:t>
      </w:r>
      <w:r w:rsidRPr="00C258AD">
        <w:rPr>
          <w:bCs/>
        </w:rPr>
        <w:noBreakHyphen/>
        <w:t xml:space="preserve">être en raison des défis institutionnels auxquels est confronté le CWS.  </w:t>
      </w:r>
      <w:r w:rsidRPr="00C258AD">
        <w:t>En règle générale, les résultats enregistrés au cours de la deuxième année de l’exercice biennal sont meilleurs que lors de la première année.</w:t>
      </w:r>
    </w:p>
    <w:p w:rsidR="006E2BB1" w:rsidRPr="00C258AD" w:rsidRDefault="006E2BB1" w:rsidP="00C9182C">
      <w:pPr>
        <w:tabs>
          <w:tab w:val="left" w:pos="709"/>
        </w:tabs>
        <w:jc w:val="both"/>
        <w:rPr>
          <w:bCs/>
        </w:rPr>
      </w:pPr>
    </w:p>
    <w:p w:rsidR="006E2BB1" w:rsidRPr="00C258AD" w:rsidRDefault="002D4597" w:rsidP="00BB4DBC">
      <w:pPr>
        <w:pStyle w:val="ListParagraph"/>
        <w:numPr>
          <w:ilvl w:val="0"/>
          <w:numId w:val="14"/>
        </w:numPr>
        <w:tabs>
          <w:tab w:val="left" w:pos="709"/>
        </w:tabs>
        <w:ind w:left="0" w:firstLine="0"/>
        <w:jc w:val="both"/>
        <w:rPr>
          <w:rFonts w:eastAsia="MS Mincho"/>
          <w:bCs/>
          <w:lang w:eastAsia="ja-JP" w:bidi="th-TH"/>
        </w:rPr>
      </w:pPr>
      <w:r w:rsidRPr="00C258AD">
        <w:rPr>
          <w:rFonts w:eastAsia="MS Mincho"/>
          <w:lang w:eastAsia="ja-JP" w:bidi="th-TH"/>
        </w:rPr>
        <w:t>Les activités du programme 12 ont continué d’appuyer la mise en œuvre des recommandations n</w:t>
      </w:r>
      <w:r w:rsidRPr="00C258AD">
        <w:rPr>
          <w:rFonts w:eastAsia="MS Mincho"/>
          <w:vertAlign w:val="superscript"/>
          <w:lang w:eastAsia="ja-JP" w:bidi="th-TH"/>
        </w:rPr>
        <w:t>os</w:t>
      </w:r>
      <w:r w:rsidRPr="00C258AD">
        <w:rPr>
          <w:rFonts w:eastAsia="MS Mincho"/>
          <w:lang w:eastAsia="ja-JP" w:bidi="th-TH"/>
        </w:rPr>
        <w:t xml:space="preserve"> 8, 30 et 31 du Plan d’action pour le développement, en facilitant l’accès des pays en développement à l’information en matière de brevets accessible au public.  Ce faisant, le programme contribue aussi aux efforts liés au transfert de technologies.  De 2014 à 2015, le pourcentage de consultations par des utilisateurs de pays en développement des pages d’accueil de la CIB et de la classification de Nice, </w:t>
      </w:r>
      <w:r w:rsidRPr="00C258AD">
        <w:rPr>
          <w:rFonts w:eastAsia="MS Mincho"/>
          <w:bCs/>
          <w:lang w:eastAsia="ja-JP" w:bidi="th-TH"/>
        </w:rPr>
        <w:t>de la publication de la classification de Nice, et Manuel des normes de l’OMPI a enregistré des hausses substantielles de 9,1%, 36%, 11,7% et 15,7%, respectivement, tandis que le nombre de consultations des pages d’accueil des classifications de Locarno et de Vienne a baissé de 12,8% et 31,1%, respectivement.</w:t>
      </w:r>
    </w:p>
    <w:p w:rsidR="006E2BB1" w:rsidRPr="00C258AD" w:rsidRDefault="006E2BB1" w:rsidP="00C9182C">
      <w:pPr>
        <w:jc w:val="both"/>
        <w:rPr>
          <w:bCs/>
          <w:sz w:val="22"/>
          <w:szCs w:val="22"/>
        </w:rPr>
      </w:pPr>
    </w:p>
    <w:p w:rsidR="006E2BB1" w:rsidRPr="00C258AD" w:rsidRDefault="006E2BB1" w:rsidP="00C9182C">
      <w:pPr>
        <w:rPr>
          <w:sz w:val="22"/>
          <w:szCs w:val="22"/>
        </w:rPr>
      </w:pPr>
    </w:p>
    <w:p w:rsidR="006E2BB1" w:rsidRPr="00C258AD" w:rsidRDefault="002D4597" w:rsidP="00C9182C">
      <w:pPr>
        <w:rPr>
          <w:caps/>
          <w:sz w:val="22"/>
        </w:rPr>
      </w:pPr>
      <w:r w:rsidRPr="00C258AD">
        <w:br w:type="page"/>
      </w:r>
    </w:p>
    <w:p w:rsidR="006E2BB1" w:rsidRPr="00C258AD" w:rsidRDefault="002D4597" w:rsidP="00305CE5">
      <w:pPr>
        <w:keepNext/>
        <w:rPr>
          <w:rFonts w:cs="Arial"/>
          <w:caps/>
          <w:sz w:val="22"/>
          <w:szCs w:val="22"/>
        </w:rPr>
      </w:pPr>
      <w:r w:rsidRPr="00C258AD">
        <w:rPr>
          <w:rFonts w:cs="Arial"/>
          <w:caps/>
          <w:sz w:val="22"/>
          <w:szCs w:val="22"/>
        </w:rPr>
        <w:lastRenderedPageBreak/>
        <w:t>Données relatives à l’exécution</w:t>
      </w:r>
    </w:p>
    <w:p w:rsidR="002D4597" w:rsidRPr="00C258AD" w:rsidRDefault="002D4597" w:rsidP="00C9182C">
      <w:pPr>
        <w:rPr>
          <w:bCs/>
          <w:sz w:val="22"/>
          <w:szCs w:val="22"/>
        </w:rPr>
      </w:pPr>
    </w:p>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232"/>
        <w:gridCol w:w="2232"/>
        <w:gridCol w:w="1663"/>
        <w:gridCol w:w="2232"/>
        <w:gridCol w:w="1132"/>
      </w:tblGrid>
      <w:tr w:rsidR="002D4597" w:rsidRPr="00C258AD" w:rsidTr="00C9182C">
        <w:trPr>
          <w:cantSplit/>
        </w:trPr>
        <w:tc>
          <w:tcPr>
            <w:tcW w:w="5000" w:type="pct"/>
            <w:gridSpan w:val="5"/>
            <w:tcBorders>
              <w:top w:val="single" w:sz="4" w:space="0" w:color="auto"/>
              <w:bottom w:val="single" w:sz="4" w:space="0" w:color="auto"/>
            </w:tcBorders>
            <w:shd w:val="clear" w:color="auto" w:fill="C5D9F1"/>
            <w:tcMar>
              <w:top w:w="113" w:type="dxa"/>
              <w:bottom w:w="113" w:type="dxa"/>
            </w:tcMar>
            <w:vAlign w:val="center"/>
          </w:tcPr>
          <w:p w:rsidR="002D4597" w:rsidRPr="00C258AD" w:rsidRDefault="002D4597" w:rsidP="00C9182C">
            <w:pPr>
              <w:rPr>
                <w:b/>
                <w:sz w:val="16"/>
                <w:szCs w:val="16"/>
              </w:rPr>
            </w:pPr>
            <w:r w:rsidRPr="00C258AD">
              <w:rPr>
                <w:b/>
                <w:sz w:val="16"/>
                <w:szCs w:val="16"/>
              </w:rPr>
              <w:t>Résultat escompté :</w:t>
            </w:r>
            <w:r w:rsidRPr="00C258AD">
              <w:rPr>
                <w:sz w:val="16"/>
                <w:szCs w:val="16"/>
              </w:rPr>
              <w:t xml:space="preserve"> IV.1 Système actualisé et mondialement accepté des classifications internationales et des normes de l’OMPI pour faciliter l’accès des parties prenantes dans le monde à l’information en matière de propriété intellectuelle, ainsi que l’utilisation et la diffusion de celle</w:t>
            </w:r>
            <w:r w:rsidRPr="00C258AD">
              <w:rPr>
                <w:sz w:val="16"/>
                <w:szCs w:val="16"/>
              </w:rPr>
              <w:noBreakHyphen/>
              <w:t>ci</w:t>
            </w:r>
          </w:p>
        </w:tc>
      </w:tr>
      <w:tr w:rsidR="002D4597" w:rsidRPr="00C258AD" w:rsidTr="00C9182C">
        <w:trPr>
          <w:cantSplit/>
        </w:trPr>
        <w:tc>
          <w:tcPr>
            <w:tcW w:w="1194" w:type="pct"/>
            <w:tcBorders>
              <w:top w:val="single" w:sz="4" w:space="0" w:color="auto"/>
            </w:tcBorders>
            <w:shd w:val="clear" w:color="auto" w:fill="auto"/>
            <w:tcMar>
              <w:top w:w="113" w:type="dxa"/>
              <w:bottom w:w="113" w:type="dxa"/>
            </w:tcMar>
            <w:vAlign w:val="center"/>
          </w:tcPr>
          <w:p w:rsidR="002D4597" w:rsidRPr="00C258AD" w:rsidRDefault="002D4597" w:rsidP="00C9182C">
            <w:pPr>
              <w:jc w:val="center"/>
              <w:rPr>
                <w:b/>
                <w:sz w:val="16"/>
                <w:szCs w:val="16"/>
              </w:rPr>
            </w:pPr>
            <w:r w:rsidRPr="00C258AD">
              <w:rPr>
                <w:b/>
                <w:sz w:val="16"/>
                <w:szCs w:val="16"/>
              </w:rPr>
              <w:t>Indicateurs d’exécution</w:t>
            </w:r>
          </w:p>
        </w:tc>
        <w:tc>
          <w:tcPr>
            <w:tcW w:w="1194" w:type="pct"/>
            <w:tcBorders>
              <w:top w:val="single" w:sz="4" w:space="0" w:color="auto"/>
            </w:tcBorders>
            <w:shd w:val="clear" w:color="auto" w:fill="auto"/>
            <w:tcMar>
              <w:top w:w="113" w:type="dxa"/>
              <w:bottom w:w="113" w:type="dxa"/>
            </w:tcMar>
            <w:vAlign w:val="center"/>
          </w:tcPr>
          <w:p w:rsidR="002D4597" w:rsidRPr="00C258AD" w:rsidRDefault="002D4597" w:rsidP="00C9182C">
            <w:pPr>
              <w:jc w:val="center"/>
              <w:rPr>
                <w:b/>
                <w:bCs/>
                <w:sz w:val="16"/>
                <w:szCs w:val="16"/>
              </w:rPr>
            </w:pPr>
            <w:r w:rsidRPr="00C258AD">
              <w:rPr>
                <w:b/>
                <w:bCs/>
                <w:sz w:val="16"/>
                <w:szCs w:val="16"/>
              </w:rPr>
              <w:t>Niveaux de référence</w:t>
            </w:r>
          </w:p>
        </w:tc>
        <w:tc>
          <w:tcPr>
            <w:tcW w:w="894" w:type="pct"/>
            <w:tcBorders>
              <w:top w:val="single" w:sz="4" w:space="0" w:color="auto"/>
            </w:tcBorders>
            <w:shd w:val="clear" w:color="auto" w:fill="auto"/>
            <w:tcMar>
              <w:top w:w="113" w:type="dxa"/>
              <w:bottom w:w="113" w:type="dxa"/>
            </w:tcMar>
            <w:vAlign w:val="center"/>
          </w:tcPr>
          <w:p w:rsidR="002D4597" w:rsidRPr="00C258AD" w:rsidRDefault="002D4597" w:rsidP="00C9182C">
            <w:pPr>
              <w:jc w:val="center"/>
              <w:rPr>
                <w:b/>
                <w:sz w:val="16"/>
                <w:szCs w:val="16"/>
              </w:rPr>
            </w:pPr>
            <w:r w:rsidRPr="00C258AD">
              <w:rPr>
                <w:b/>
                <w:sz w:val="16"/>
                <w:szCs w:val="16"/>
              </w:rPr>
              <w:t>Objectifs visés</w:t>
            </w:r>
          </w:p>
        </w:tc>
        <w:tc>
          <w:tcPr>
            <w:tcW w:w="1194" w:type="pct"/>
            <w:tcBorders>
              <w:top w:val="single" w:sz="4" w:space="0" w:color="auto"/>
            </w:tcBorders>
            <w:shd w:val="clear" w:color="auto" w:fill="FFFFFF"/>
            <w:tcMar>
              <w:top w:w="113" w:type="dxa"/>
              <w:bottom w:w="113" w:type="dxa"/>
            </w:tcMar>
            <w:vAlign w:val="center"/>
          </w:tcPr>
          <w:p w:rsidR="002D4597" w:rsidRPr="00C258AD" w:rsidRDefault="002D4597" w:rsidP="00C9182C">
            <w:pPr>
              <w:jc w:val="center"/>
              <w:rPr>
                <w:b/>
                <w:sz w:val="16"/>
                <w:szCs w:val="16"/>
              </w:rPr>
            </w:pPr>
            <w:r w:rsidRPr="00C258AD">
              <w:rPr>
                <w:b/>
                <w:sz w:val="16"/>
                <w:szCs w:val="16"/>
              </w:rPr>
              <w:t>Données relatives à l’exécution</w:t>
            </w:r>
          </w:p>
        </w:tc>
        <w:tc>
          <w:tcPr>
            <w:tcW w:w="524" w:type="pct"/>
            <w:tcBorders>
              <w:top w:val="single" w:sz="4" w:space="0" w:color="auto"/>
            </w:tcBorders>
            <w:shd w:val="clear" w:color="auto" w:fill="auto"/>
            <w:tcMar>
              <w:top w:w="113" w:type="dxa"/>
              <w:bottom w:w="113" w:type="dxa"/>
            </w:tcMar>
            <w:vAlign w:val="center"/>
          </w:tcPr>
          <w:p w:rsidR="002D4597" w:rsidRPr="00C258AD" w:rsidRDefault="002D4597" w:rsidP="00C9182C">
            <w:pPr>
              <w:keepNext/>
              <w:keepLines/>
              <w:jc w:val="center"/>
              <w:rPr>
                <w:b/>
                <w:bCs/>
                <w:sz w:val="16"/>
                <w:szCs w:val="16"/>
              </w:rPr>
            </w:pPr>
            <w:r w:rsidRPr="00C258AD">
              <w:rPr>
                <w:b/>
                <w:bCs/>
                <w:sz w:val="16"/>
                <w:szCs w:val="16"/>
              </w:rPr>
              <w:t>Code de couleurs</w:t>
            </w:r>
          </w:p>
        </w:tc>
      </w:tr>
      <w:tr w:rsidR="002D4597" w:rsidRPr="00C258AD" w:rsidTr="00C9182C">
        <w:trPr>
          <w:cantSplit/>
        </w:trPr>
        <w:tc>
          <w:tcPr>
            <w:tcW w:w="1194" w:type="pct"/>
            <w:shd w:val="clear" w:color="auto" w:fill="auto"/>
            <w:tcMar>
              <w:top w:w="113" w:type="dxa"/>
              <w:bottom w:w="113" w:type="dxa"/>
            </w:tcMar>
          </w:tcPr>
          <w:p w:rsidR="002D4597" w:rsidRPr="00C258AD" w:rsidRDefault="002D4597" w:rsidP="00C9182C">
            <w:pPr>
              <w:rPr>
                <w:sz w:val="16"/>
                <w:szCs w:val="16"/>
              </w:rPr>
            </w:pPr>
            <w:r w:rsidRPr="00C258AD">
              <w:rPr>
                <w:sz w:val="16"/>
                <w:szCs w:val="16"/>
              </w:rPr>
              <w:t>Nombre de modifications et de dossiers d’information introduits dans la classification de Nice</w:t>
            </w:r>
          </w:p>
        </w:tc>
        <w:tc>
          <w:tcPr>
            <w:tcW w:w="1194" w:type="pct"/>
            <w:shd w:val="clear" w:color="auto" w:fill="auto"/>
            <w:tcMar>
              <w:top w:w="113" w:type="dxa"/>
              <w:bottom w:w="113" w:type="dxa"/>
            </w:tcMar>
          </w:tcPr>
          <w:p w:rsidR="006E2BB1" w:rsidRPr="00C258AD" w:rsidRDefault="002D4597" w:rsidP="00C9182C">
            <w:pPr>
              <w:rPr>
                <w:i/>
                <w:color w:val="002060"/>
                <w:sz w:val="16"/>
                <w:szCs w:val="16"/>
              </w:rPr>
            </w:pPr>
            <w:r w:rsidRPr="00C258AD">
              <w:rPr>
                <w:i/>
                <w:color w:val="002060"/>
                <w:sz w:val="16"/>
                <w:szCs w:val="16"/>
              </w:rPr>
              <w:t>Niveau de référence actualisé à fin 2013 :</w:t>
            </w:r>
          </w:p>
          <w:p w:rsidR="006E2BB1" w:rsidRPr="00C258AD" w:rsidRDefault="002D4597" w:rsidP="00C9182C">
            <w:pPr>
              <w:rPr>
                <w:color w:val="002060"/>
                <w:sz w:val="16"/>
                <w:szCs w:val="16"/>
                <w:lang w:bidi="th-TH"/>
              </w:rPr>
            </w:pPr>
            <w:r w:rsidRPr="00C258AD">
              <w:rPr>
                <w:color w:val="002060"/>
                <w:sz w:val="16"/>
                <w:szCs w:val="16"/>
                <w:lang w:bidi="th-TH"/>
              </w:rPr>
              <w:t>423 modifications en 2013</w:t>
            </w:r>
            <w:r w:rsidRPr="00C258AD">
              <w:rPr>
                <w:rStyle w:val="FootnoteReference"/>
                <w:rFonts w:eastAsia="SimSun"/>
                <w:color w:val="002060"/>
                <w:sz w:val="16"/>
                <w:szCs w:val="16"/>
                <w:lang w:bidi="th-TH"/>
              </w:rPr>
              <w:footnoteReference w:id="82"/>
            </w:r>
          </w:p>
          <w:p w:rsidR="006E2BB1" w:rsidRPr="00C258AD" w:rsidRDefault="002D4597" w:rsidP="00C9182C">
            <w:pPr>
              <w:rPr>
                <w:color w:val="002060"/>
                <w:sz w:val="16"/>
                <w:szCs w:val="16"/>
                <w:lang w:bidi="th-TH"/>
              </w:rPr>
            </w:pPr>
            <w:r w:rsidRPr="00C258AD">
              <w:rPr>
                <w:color w:val="002060"/>
                <w:sz w:val="16"/>
                <w:szCs w:val="16"/>
                <w:lang w:bidi="th-TH"/>
              </w:rPr>
              <w:t>339 modifications en 2012</w:t>
            </w:r>
          </w:p>
          <w:p w:rsidR="006E2BB1" w:rsidRPr="00C258AD" w:rsidRDefault="006E2BB1" w:rsidP="00C9182C">
            <w:pPr>
              <w:rPr>
                <w:color w:val="002060"/>
                <w:sz w:val="16"/>
                <w:szCs w:val="16"/>
                <w:lang w:bidi="th-TH"/>
              </w:rPr>
            </w:pPr>
          </w:p>
          <w:p w:rsidR="006E2BB1" w:rsidRPr="00C258AD" w:rsidRDefault="002D4597" w:rsidP="00C9182C">
            <w:pPr>
              <w:rPr>
                <w:color w:val="002060"/>
                <w:sz w:val="16"/>
                <w:szCs w:val="16"/>
              </w:rPr>
            </w:pPr>
            <w:r w:rsidRPr="00C258AD">
              <w:rPr>
                <w:color w:val="002060"/>
                <w:sz w:val="16"/>
                <w:szCs w:val="16"/>
              </w:rPr>
              <w:t>9 dossiers d’information révisés et 17 nouveaux dossiers d’information introduits</w:t>
            </w:r>
          </w:p>
          <w:p w:rsidR="006E2BB1" w:rsidRPr="00C258AD" w:rsidRDefault="006E2BB1" w:rsidP="00C9182C">
            <w:pPr>
              <w:rPr>
                <w:i/>
                <w:sz w:val="16"/>
                <w:szCs w:val="16"/>
              </w:rPr>
            </w:pPr>
          </w:p>
          <w:p w:rsidR="002D4597" w:rsidRPr="00C258AD" w:rsidRDefault="002D4597" w:rsidP="00C9182C">
            <w:pPr>
              <w:rPr>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w:t>
            </w:r>
            <w:r w:rsidRPr="00C258AD">
              <w:rPr>
                <w:sz w:val="16"/>
                <w:szCs w:val="16"/>
              </w:rPr>
              <w:br/>
              <w:t>nombre de modifications et de dossiers d’information introduits en 2013.</w:t>
            </w:r>
          </w:p>
        </w:tc>
        <w:tc>
          <w:tcPr>
            <w:tcW w:w="894" w:type="pct"/>
            <w:shd w:val="clear" w:color="auto" w:fill="auto"/>
            <w:tcMar>
              <w:top w:w="113" w:type="dxa"/>
              <w:bottom w:w="113" w:type="dxa"/>
            </w:tcMar>
          </w:tcPr>
          <w:p w:rsidR="002D4597" w:rsidRPr="00C258AD" w:rsidRDefault="002D4597" w:rsidP="00C9182C">
            <w:pPr>
              <w:rPr>
                <w:sz w:val="16"/>
                <w:szCs w:val="16"/>
                <w:lang w:bidi="th-TH"/>
              </w:rPr>
            </w:pPr>
            <w:r w:rsidRPr="00C258AD">
              <w:rPr>
                <w:sz w:val="16"/>
                <w:szCs w:val="16"/>
                <w:lang w:bidi="th-TH"/>
              </w:rPr>
              <w:t>Hausse par rapport au niveau de référence</w:t>
            </w:r>
          </w:p>
        </w:tc>
        <w:tc>
          <w:tcPr>
            <w:tcW w:w="1194" w:type="pct"/>
            <w:shd w:val="clear" w:color="auto" w:fill="FFFFFF"/>
            <w:tcMar>
              <w:top w:w="113" w:type="dxa"/>
              <w:bottom w:w="113" w:type="dxa"/>
            </w:tcMar>
          </w:tcPr>
          <w:p w:rsidR="006E2BB1" w:rsidRPr="00C258AD" w:rsidRDefault="002D4597" w:rsidP="00C9182C">
            <w:pPr>
              <w:rPr>
                <w:sz w:val="16"/>
                <w:szCs w:val="16"/>
              </w:rPr>
            </w:pPr>
            <w:r w:rsidRPr="00C258AD">
              <w:rPr>
                <w:sz w:val="16"/>
                <w:szCs w:val="16"/>
              </w:rPr>
              <w:t>1480 modifications au cours de l’exercice biennal :</w:t>
            </w:r>
          </w:p>
          <w:p w:rsidR="006E2BB1" w:rsidRPr="00C258AD" w:rsidRDefault="002D4597" w:rsidP="00C9182C">
            <w:pPr>
              <w:rPr>
                <w:sz w:val="16"/>
                <w:szCs w:val="16"/>
              </w:rPr>
            </w:pPr>
            <w:r w:rsidRPr="00C258AD">
              <w:rPr>
                <w:sz w:val="16"/>
                <w:szCs w:val="16"/>
              </w:rPr>
              <w:t>560 modifications en 2014</w:t>
            </w:r>
            <w:r w:rsidRPr="00C258AD">
              <w:rPr>
                <w:rStyle w:val="FootnoteReference"/>
                <w:rFonts w:eastAsia="SimSun"/>
                <w:sz w:val="16"/>
                <w:szCs w:val="16"/>
              </w:rPr>
              <w:footnoteReference w:id="83"/>
            </w:r>
          </w:p>
          <w:p w:rsidR="006E2BB1" w:rsidRPr="00C258AD" w:rsidRDefault="002D4597" w:rsidP="00C9182C">
            <w:pPr>
              <w:rPr>
                <w:sz w:val="16"/>
                <w:szCs w:val="16"/>
              </w:rPr>
            </w:pPr>
            <w:r w:rsidRPr="00C258AD">
              <w:rPr>
                <w:sz w:val="16"/>
                <w:szCs w:val="16"/>
              </w:rPr>
              <w:t>– 274 en anglais</w:t>
            </w:r>
          </w:p>
          <w:p w:rsidR="006E2BB1" w:rsidRPr="00C258AD" w:rsidRDefault="002D4597" w:rsidP="00C9182C">
            <w:pPr>
              <w:rPr>
                <w:sz w:val="16"/>
                <w:szCs w:val="16"/>
              </w:rPr>
            </w:pPr>
            <w:r w:rsidRPr="00C258AD">
              <w:rPr>
                <w:sz w:val="16"/>
                <w:szCs w:val="16"/>
              </w:rPr>
              <w:t>– 286 en français</w:t>
            </w:r>
          </w:p>
          <w:p w:rsidR="006E2BB1" w:rsidRPr="00C258AD" w:rsidRDefault="002D4597" w:rsidP="00C9182C">
            <w:pPr>
              <w:pStyle w:val="Default"/>
              <w:keepNext/>
              <w:keepLines/>
              <w:rPr>
                <w:sz w:val="16"/>
                <w:szCs w:val="16"/>
              </w:rPr>
            </w:pPr>
            <w:r w:rsidRPr="00C258AD">
              <w:rPr>
                <w:sz w:val="16"/>
                <w:szCs w:val="16"/>
              </w:rPr>
              <w:t>920 modifications en 2015</w:t>
            </w:r>
          </w:p>
          <w:p w:rsidR="006E2BB1" w:rsidRPr="00C258AD" w:rsidRDefault="002D4597" w:rsidP="00C9182C">
            <w:pPr>
              <w:rPr>
                <w:sz w:val="16"/>
                <w:szCs w:val="16"/>
              </w:rPr>
            </w:pPr>
            <w:r w:rsidRPr="00C258AD">
              <w:rPr>
                <w:sz w:val="16"/>
                <w:szCs w:val="16"/>
              </w:rPr>
              <w:t>– 496 en anglais</w:t>
            </w:r>
          </w:p>
          <w:p w:rsidR="006E2BB1" w:rsidRPr="00C258AD" w:rsidRDefault="002D4597" w:rsidP="00C9182C">
            <w:pPr>
              <w:rPr>
                <w:sz w:val="16"/>
                <w:szCs w:val="16"/>
              </w:rPr>
            </w:pPr>
            <w:r w:rsidRPr="00C258AD">
              <w:rPr>
                <w:sz w:val="16"/>
                <w:szCs w:val="16"/>
              </w:rPr>
              <w:t>– 424 en français</w:t>
            </w:r>
          </w:p>
          <w:p w:rsidR="006E2BB1" w:rsidRPr="00C258AD" w:rsidRDefault="006E2BB1" w:rsidP="00C9182C">
            <w:pPr>
              <w:keepNext/>
              <w:keepLines/>
              <w:rPr>
                <w:sz w:val="16"/>
                <w:szCs w:val="16"/>
              </w:rPr>
            </w:pPr>
          </w:p>
          <w:p w:rsidR="006E2BB1" w:rsidRPr="00C258AD" w:rsidRDefault="002D4597" w:rsidP="00C9182C">
            <w:pPr>
              <w:keepNext/>
              <w:keepLines/>
              <w:rPr>
                <w:sz w:val="16"/>
                <w:szCs w:val="16"/>
              </w:rPr>
            </w:pPr>
            <w:r w:rsidRPr="00C258AD">
              <w:rPr>
                <w:sz w:val="16"/>
                <w:szCs w:val="16"/>
              </w:rPr>
              <w:t>43 dossiers d’information révisés</w:t>
            </w:r>
          </w:p>
          <w:p w:rsidR="006E2BB1" w:rsidRPr="00C258AD" w:rsidRDefault="002D4597" w:rsidP="00C9182C">
            <w:pPr>
              <w:keepNext/>
              <w:keepLines/>
              <w:rPr>
                <w:sz w:val="16"/>
                <w:szCs w:val="16"/>
              </w:rPr>
            </w:pPr>
            <w:r w:rsidRPr="00C258AD">
              <w:rPr>
                <w:sz w:val="16"/>
                <w:szCs w:val="16"/>
              </w:rPr>
              <w:t>– 39 (2014)</w:t>
            </w:r>
          </w:p>
          <w:p w:rsidR="006E2BB1" w:rsidRPr="00C258AD" w:rsidRDefault="002D4597" w:rsidP="00C9182C">
            <w:pPr>
              <w:keepNext/>
              <w:keepLines/>
              <w:rPr>
                <w:sz w:val="16"/>
                <w:szCs w:val="16"/>
              </w:rPr>
            </w:pPr>
            <w:r w:rsidRPr="00C258AD">
              <w:rPr>
                <w:sz w:val="16"/>
                <w:szCs w:val="16"/>
              </w:rPr>
              <w:t>– 4 (2015)</w:t>
            </w:r>
          </w:p>
          <w:p w:rsidR="006E2BB1" w:rsidRPr="00C258AD" w:rsidRDefault="006E2BB1" w:rsidP="00C9182C">
            <w:pPr>
              <w:pStyle w:val="Default"/>
              <w:keepNext/>
              <w:keepLines/>
              <w:rPr>
                <w:sz w:val="16"/>
                <w:szCs w:val="16"/>
              </w:rPr>
            </w:pPr>
          </w:p>
          <w:p w:rsidR="006E2BB1" w:rsidRPr="00C258AD" w:rsidRDefault="002D4597" w:rsidP="00C9182C">
            <w:pPr>
              <w:rPr>
                <w:sz w:val="16"/>
                <w:szCs w:val="16"/>
              </w:rPr>
            </w:pPr>
            <w:r w:rsidRPr="00C258AD">
              <w:rPr>
                <w:sz w:val="16"/>
                <w:szCs w:val="16"/>
              </w:rPr>
              <w:t>25 nouveaux dossiers d’information introduits</w:t>
            </w:r>
          </w:p>
          <w:p w:rsidR="006E2BB1" w:rsidRPr="00C258AD" w:rsidRDefault="002D4597" w:rsidP="00C9182C">
            <w:pPr>
              <w:keepNext/>
              <w:keepLines/>
              <w:rPr>
                <w:sz w:val="16"/>
                <w:szCs w:val="16"/>
              </w:rPr>
            </w:pPr>
            <w:r w:rsidRPr="00C258AD">
              <w:rPr>
                <w:sz w:val="16"/>
                <w:szCs w:val="16"/>
              </w:rPr>
              <w:t>– 20 (2014)</w:t>
            </w:r>
          </w:p>
          <w:p w:rsidR="002D4597" w:rsidRPr="00C258AD" w:rsidRDefault="002D4597" w:rsidP="00C9182C">
            <w:pPr>
              <w:keepNext/>
              <w:keepLines/>
              <w:rPr>
                <w:sz w:val="16"/>
                <w:szCs w:val="16"/>
              </w:rPr>
            </w:pPr>
            <w:r w:rsidRPr="00C258AD">
              <w:rPr>
                <w:sz w:val="16"/>
                <w:szCs w:val="16"/>
              </w:rPr>
              <w:t>– 5 (2015)</w:t>
            </w:r>
          </w:p>
        </w:tc>
        <w:tc>
          <w:tcPr>
            <w:tcW w:w="524" w:type="pct"/>
            <w:shd w:val="clear" w:color="auto" w:fill="auto"/>
            <w:tcMar>
              <w:top w:w="113" w:type="dxa"/>
              <w:bottom w:w="113" w:type="dxa"/>
            </w:tcMar>
          </w:tcPr>
          <w:p w:rsidR="006E2BB1" w:rsidRPr="00C258AD" w:rsidRDefault="002D4597" w:rsidP="00C9182C">
            <w:pPr>
              <w:keepNext/>
              <w:keepLines/>
              <w:jc w:val="center"/>
              <w:rPr>
                <w:rFonts w:cs="Arial"/>
                <w:b/>
                <w:bCs/>
                <w:color w:val="00B050"/>
                <w:sz w:val="16"/>
                <w:szCs w:val="16"/>
              </w:rPr>
            </w:pPr>
            <w:r w:rsidRPr="00C258AD">
              <w:rPr>
                <w:rFonts w:cs="Arial"/>
                <w:b/>
                <w:bCs/>
                <w:color w:val="00B050"/>
                <w:sz w:val="16"/>
                <w:szCs w:val="16"/>
              </w:rPr>
              <w:t>Objectif pleinement atteint</w:t>
            </w:r>
          </w:p>
          <w:p w:rsidR="006E2BB1" w:rsidRPr="00C258AD" w:rsidRDefault="006E2BB1" w:rsidP="00C9182C">
            <w:pPr>
              <w:keepNext/>
              <w:keepLines/>
              <w:jc w:val="center"/>
              <w:rPr>
                <w:rFonts w:cs="Arial"/>
                <w:b/>
                <w:bCs/>
                <w:color w:val="00B050"/>
                <w:sz w:val="16"/>
                <w:szCs w:val="16"/>
              </w:rPr>
            </w:pPr>
          </w:p>
          <w:p w:rsidR="006E2BB1" w:rsidRPr="00C258AD" w:rsidRDefault="006E2BB1" w:rsidP="00C9182C">
            <w:pPr>
              <w:keepNext/>
              <w:keepLines/>
              <w:jc w:val="center"/>
              <w:rPr>
                <w:rFonts w:cs="Arial"/>
                <w:b/>
                <w:bCs/>
                <w:color w:val="00B050"/>
                <w:sz w:val="16"/>
                <w:szCs w:val="16"/>
              </w:rPr>
            </w:pPr>
          </w:p>
          <w:p w:rsidR="006E2BB1" w:rsidRPr="00C258AD" w:rsidRDefault="006E2BB1" w:rsidP="00C9182C">
            <w:pPr>
              <w:keepNext/>
              <w:keepLines/>
              <w:jc w:val="center"/>
              <w:rPr>
                <w:rFonts w:cs="Arial"/>
                <w:b/>
                <w:bCs/>
                <w:color w:val="00B050"/>
                <w:sz w:val="16"/>
                <w:szCs w:val="16"/>
              </w:rPr>
            </w:pPr>
          </w:p>
          <w:p w:rsidR="006E2BB1" w:rsidRPr="00C258AD" w:rsidRDefault="006E2BB1" w:rsidP="00C9182C">
            <w:pPr>
              <w:keepNext/>
              <w:keepLines/>
              <w:jc w:val="center"/>
              <w:rPr>
                <w:rFonts w:cs="Arial"/>
                <w:b/>
                <w:bCs/>
                <w:color w:val="00B050"/>
                <w:sz w:val="16"/>
                <w:szCs w:val="16"/>
              </w:rPr>
            </w:pPr>
          </w:p>
          <w:p w:rsidR="006E2BB1" w:rsidRPr="00C258AD" w:rsidRDefault="006E2BB1" w:rsidP="00C9182C">
            <w:pPr>
              <w:keepNext/>
              <w:keepLines/>
              <w:jc w:val="center"/>
              <w:rPr>
                <w:rFonts w:cs="Arial"/>
                <w:b/>
                <w:bCs/>
                <w:color w:val="00B050"/>
                <w:sz w:val="16"/>
                <w:szCs w:val="16"/>
              </w:rPr>
            </w:pPr>
          </w:p>
          <w:p w:rsidR="006E2BB1" w:rsidRPr="00C258AD" w:rsidRDefault="006E2BB1" w:rsidP="00C9182C">
            <w:pPr>
              <w:keepNext/>
              <w:keepLines/>
              <w:jc w:val="center"/>
              <w:rPr>
                <w:rFonts w:cs="Arial"/>
                <w:b/>
                <w:bCs/>
                <w:color w:val="00B050"/>
                <w:sz w:val="16"/>
                <w:szCs w:val="16"/>
              </w:rPr>
            </w:pPr>
          </w:p>
          <w:p w:rsidR="006E2BB1" w:rsidRPr="00C258AD" w:rsidRDefault="002D4597" w:rsidP="00C9182C">
            <w:pPr>
              <w:keepNext/>
              <w:keepLines/>
              <w:jc w:val="center"/>
              <w:rPr>
                <w:rFonts w:cs="Arial"/>
                <w:b/>
                <w:bCs/>
                <w:color w:val="00B050"/>
                <w:sz w:val="16"/>
                <w:szCs w:val="16"/>
              </w:rPr>
            </w:pPr>
            <w:r w:rsidRPr="00C258AD">
              <w:rPr>
                <w:rFonts w:cs="Arial"/>
                <w:b/>
                <w:bCs/>
                <w:color w:val="00B050"/>
                <w:sz w:val="16"/>
                <w:szCs w:val="16"/>
              </w:rPr>
              <w:t>Objectif pleinement atteint</w:t>
            </w:r>
          </w:p>
          <w:p w:rsidR="006E2BB1" w:rsidRPr="00C258AD" w:rsidRDefault="006E2BB1" w:rsidP="00C9182C">
            <w:pPr>
              <w:keepNext/>
              <w:keepLines/>
              <w:jc w:val="center"/>
              <w:rPr>
                <w:b/>
                <w:bCs/>
                <w:color w:val="00B050"/>
                <w:sz w:val="16"/>
                <w:szCs w:val="16"/>
              </w:rPr>
            </w:pPr>
          </w:p>
          <w:p w:rsidR="006E2BB1" w:rsidRPr="00C258AD" w:rsidRDefault="006E2BB1" w:rsidP="00C9182C">
            <w:pPr>
              <w:keepNext/>
              <w:keepLines/>
              <w:jc w:val="center"/>
              <w:rPr>
                <w:b/>
                <w:bCs/>
                <w:color w:val="00B050"/>
                <w:sz w:val="16"/>
                <w:szCs w:val="16"/>
              </w:rPr>
            </w:pPr>
          </w:p>
          <w:p w:rsidR="002D4597" w:rsidRPr="00C258AD" w:rsidRDefault="002D4597" w:rsidP="00C9182C">
            <w:pPr>
              <w:keepNext/>
              <w:keepLines/>
              <w:jc w:val="center"/>
              <w:rPr>
                <w:b/>
                <w:bCs/>
                <w:color w:val="00B050"/>
                <w:sz w:val="16"/>
                <w:szCs w:val="16"/>
              </w:rPr>
            </w:pPr>
            <w:r w:rsidRPr="00C258AD">
              <w:rPr>
                <w:rFonts w:cs="Arial"/>
                <w:b/>
                <w:bCs/>
                <w:color w:val="00B050"/>
                <w:sz w:val="16"/>
                <w:szCs w:val="16"/>
              </w:rPr>
              <w:t>Objectif pleinement atteint</w:t>
            </w:r>
          </w:p>
        </w:tc>
      </w:tr>
      <w:tr w:rsidR="002D4597" w:rsidRPr="00C258AD" w:rsidTr="00C9182C">
        <w:trPr>
          <w:cantSplit/>
        </w:trPr>
        <w:tc>
          <w:tcPr>
            <w:tcW w:w="1194" w:type="pct"/>
            <w:shd w:val="clear" w:color="auto" w:fill="auto"/>
            <w:tcMar>
              <w:top w:w="113" w:type="dxa"/>
              <w:bottom w:w="113" w:type="dxa"/>
            </w:tcMar>
          </w:tcPr>
          <w:p w:rsidR="002D4597" w:rsidRPr="00C258AD" w:rsidRDefault="002D4597" w:rsidP="00C9182C">
            <w:pPr>
              <w:rPr>
                <w:sz w:val="16"/>
                <w:szCs w:val="16"/>
              </w:rPr>
            </w:pPr>
            <w:r w:rsidRPr="00C258AD">
              <w:rPr>
                <w:sz w:val="16"/>
                <w:szCs w:val="16"/>
              </w:rPr>
              <w:t>Nombre de nouvelles subdivisions introduites par an dans la CIB</w:t>
            </w:r>
          </w:p>
        </w:tc>
        <w:tc>
          <w:tcPr>
            <w:tcW w:w="1194" w:type="pct"/>
            <w:shd w:val="clear" w:color="auto" w:fill="auto"/>
            <w:tcMar>
              <w:top w:w="113" w:type="dxa"/>
              <w:bottom w:w="113" w:type="dxa"/>
            </w:tcMar>
          </w:tcPr>
          <w:p w:rsidR="006E2BB1" w:rsidRPr="00C258AD" w:rsidRDefault="002D4597" w:rsidP="00C9182C">
            <w:pPr>
              <w:rPr>
                <w:i/>
                <w:color w:val="002060"/>
                <w:sz w:val="16"/>
                <w:szCs w:val="16"/>
              </w:rPr>
            </w:pPr>
            <w:r w:rsidRPr="00C258AD">
              <w:rPr>
                <w:i/>
                <w:color w:val="002060"/>
                <w:sz w:val="16"/>
                <w:szCs w:val="16"/>
              </w:rPr>
              <w:t>Niveau de référence actualisé à fin 2013 :</w:t>
            </w:r>
            <w:r w:rsidR="006E2FC6" w:rsidRPr="00C258AD">
              <w:rPr>
                <w:i/>
                <w:color w:val="002060"/>
                <w:sz w:val="16"/>
                <w:szCs w:val="16"/>
              </w:rPr>
              <w:t xml:space="preserve"> </w:t>
            </w:r>
            <w:r w:rsidRPr="00C258AD">
              <w:rPr>
                <w:i/>
                <w:color w:val="002060"/>
                <w:sz w:val="16"/>
                <w:szCs w:val="16"/>
              </w:rPr>
              <w:t>617</w:t>
            </w:r>
          </w:p>
          <w:p w:rsidR="006E2BB1" w:rsidRPr="00C258AD" w:rsidRDefault="006E2BB1" w:rsidP="00C9182C">
            <w:pPr>
              <w:rPr>
                <w:i/>
                <w:sz w:val="16"/>
                <w:szCs w:val="16"/>
              </w:rPr>
            </w:pPr>
          </w:p>
          <w:p w:rsidR="006E2BB1" w:rsidRPr="00C258AD" w:rsidRDefault="002D4597" w:rsidP="00C9182C">
            <w:pPr>
              <w:rPr>
                <w:i/>
                <w:sz w:val="16"/>
                <w:szCs w:val="16"/>
              </w:rPr>
            </w:pPr>
            <w:r w:rsidRPr="00C258AD">
              <w:rPr>
                <w:i/>
                <w:sz w:val="16"/>
                <w:szCs w:val="16"/>
              </w:rPr>
              <w:t>Niveau de référence initial dans le programme et budget 2014</w:t>
            </w:r>
            <w:r w:rsidRPr="00C258AD">
              <w:rPr>
                <w:i/>
                <w:sz w:val="16"/>
                <w:szCs w:val="16"/>
              </w:rPr>
              <w:noBreakHyphen/>
              <w:t>2015 :</w:t>
            </w:r>
          </w:p>
          <w:p w:rsidR="002D4597" w:rsidRPr="00C258AD" w:rsidRDefault="002D4597" w:rsidP="00C9182C">
            <w:pPr>
              <w:rPr>
                <w:i/>
                <w:sz w:val="16"/>
                <w:szCs w:val="16"/>
              </w:rPr>
            </w:pPr>
            <w:r w:rsidRPr="00C258AD">
              <w:rPr>
                <w:sz w:val="16"/>
                <w:szCs w:val="16"/>
              </w:rPr>
              <w:t>500 nouveaux groupes (moyenne pour 2009</w:t>
            </w:r>
            <w:r w:rsidRPr="00C258AD">
              <w:rPr>
                <w:sz w:val="16"/>
                <w:szCs w:val="16"/>
              </w:rPr>
              <w:noBreakHyphen/>
              <w:t>2013)</w:t>
            </w:r>
          </w:p>
        </w:tc>
        <w:tc>
          <w:tcPr>
            <w:tcW w:w="894" w:type="pct"/>
            <w:shd w:val="clear" w:color="auto" w:fill="auto"/>
            <w:tcMar>
              <w:top w:w="113" w:type="dxa"/>
              <w:bottom w:w="113" w:type="dxa"/>
            </w:tcMar>
          </w:tcPr>
          <w:p w:rsidR="002D4597" w:rsidRPr="00C258AD" w:rsidRDefault="002D4597" w:rsidP="00C9182C">
            <w:pPr>
              <w:rPr>
                <w:sz w:val="16"/>
                <w:szCs w:val="16"/>
              </w:rPr>
            </w:pPr>
            <w:r w:rsidRPr="00C258AD">
              <w:rPr>
                <w:sz w:val="16"/>
                <w:szCs w:val="16"/>
              </w:rPr>
              <w:t>800 nouveaux groupes par an</w:t>
            </w:r>
          </w:p>
        </w:tc>
        <w:tc>
          <w:tcPr>
            <w:tcW w:w="1194" w:type="pct"/>
            <w:shd w:val="clear" w:color="auto" w:fill="FFFFFF"/>
            <w:tcMar>
              <w:top w:w="113" w:type="dxa"/>
              <w:bottom w:w="113" w:type="dxa"/>
            </w:tcMar>
          </w:tcPr>
          <w:p w:rsidR="006E2BB1" w:rsidRPr="00C258AD" w:rsidRDefault="002D4597" w:rsidP="00C9182C">
            <w:pPr>
              <w:rPr>
                <w:sz w:val="16"/>
                <w:szCs w:val="16"/>
                <w:lang w:bidi="th-TH"/>
              </w:rPr>
            </w:pPr>
            <w:r w:rsidRPr="00C258AD">
              <w:rPr>
                <w:sz w:val="16"/>
                <w:szCs w:val="16"/>
                <w:lang w:bidi="th-TH"/>
              </w:rPr>
              <w:t>2014 : 337 nouveaux groupes ont été introduits dans la version 2015.01 de la CIB</w:t>
            </w:r>
          </w:p>
          <w:p w:rsidR="006E2BB1" w:rsidRPr="00C258AD" w:rsidRDefault="006E2BB1" w:rsidP="00C9182C">
            <w:pPr>
              <w:rPr>
                <w:sz w:val="16"/>
                <w:szCs w:val="16"/>
                <w:lang w:bidi="th-TH"/>
              </w:rPr>
            </w:pPr>
          </w:p>
          <w:p w:rsidR="002D4597" w:rsidRPr="00C258AD" w:rsidRDefault="002D4597" w:rsidP="00C9182C">
            <w:pPr>
              <w:rPr>
                <w:sz w:val="16"/>
                <w:szCs w:val="16"/>
                <w:lang w:bidi="th-TH"/>
              </w:rPr>
            </w:pPr>
            <w:r w:rsidRPr="00C258AD">
              <w:rPr>
                <w:sz w:val="16"/>
                <w:szCs w:val="16"/>
                <w:lang w:bidi="th-TH"/>
              </w:rPr>
              <w:t>2015 : 1031 nouveaux groupes ont été introduits dans la version 2016.01 de la CIB</w:t>
            </w:r>
          </w:p>
        </w:tc>
        <w:tc>
          <w:tcPr>
            <w:tcW w:w="524" w:type="pct"/>
            <w:shd w:val="clear" w:color="auto" w:fill="auto"/>
            <w:tcMar>
              <w:top w:w="113" w:type="dxa"/>
              <w:bottom w:w="113" w:type="dxa"/>
            </w:tcMar>
          </w:tcPr>
          <w:p w:rsidR="006E2BB1" w:rsidRPr="00C258AD" w:rsidRDefault="002D4597" w:rsidP="00C9182C">
            <w:pPr>
              <w:keepNext/>
              <w:keepLines/>
              <w:jc w:val="center"/>
              <w:rPr>
                <w:b/>
                <w:bCs/>
                <w:color w:val="E26B0A"/>
                <w:sz w:val="16"/>
                <w:szCs w:val="16"/>
              </w:rPr>
            </w:pPr>
            <w:r w:rsidRPr="00C258AD">
              <w:rPr>
                <w:b/>
                <w:bCs/>
                <w:color w:val="E26B0A"/>
                <w:sz w:val="16"/>
                <w:szCs w:val="16"/>
              </w:rPr>
              <w:t>Objectif partiellement atteint</w:t>
            </w:r>
          </w:p>
          <w:p w:rsidR="006E2BB1" w:rsidRPr="00C258AD" w:rsidRDefault="006E2BB1" w:rsidP="00C9182C">
            <w:pPr>
              <w:keepNext/>
              <w:keepLines/>
              <w:jc w:val="center"/>
              <w:rPr>
                <w:rFonts w:cs="Arial"/>
                <w:b/>
                <w:bCs/>
                <w:color w:val="00B050"/>
                <w:sz w:val="16"/>
                <w:szCs w:val="16"/>
              </w:rPr>
            </w:pPr>
          </w:p>
          <w:p w:rsidR="006E2BB1" w:rsidRPr="00C258AD" w:rsidRDefault="006E2BB1" w:rsidP="00C9182C">
            <w:pPr>
              <w:keepNext/>
              <w:keepLines/>
              <w:jc w:val="center"/>
              <w:rPr>
                <w:rFonts w:cs="Arial"/>
                <w:b/>
                <w:bCs/>
                <w:color w:val="00B050"/>
                <w:sz w:val="16"/>
                <w:szCs w:val="16"/>
              </w:rPr>
            </w:pPr>
          </w:p>
          <w:p w:rsidR="002D4597" w:rsidRPr="00C258AD" w:rsidRDefault="002D4597" w:rsidP="00C9182C">
            <w:pPr>
              <w:keepNext/>
              <w:keepLines/>
              <w:jc w:val="center"/>
              <w:rPr>
                <w:b/>
                <w:bCs/>
                <w:color w:val="FFB050"/>
                <w:sz w:val="16"/>
                <w:szCs w:val="16"/>
              </w:rPr>
            </w:pPr>
            <w:r w:rsidRPr="00C258AD">
              <w:rPr>
                <w:rFonts w:cs="Arial"/>
                <w:b/>
                <w:bCs/>
                <w:color w:val="00B050"/>
                <w:sz w:val="16"/>
                <w:szCs w:val="16"/>
              </w:rPr>
              <w:t>Objectif pleinement atteint</w:t>
            </w:r>
          </w:p>
        </w:tc>
      </w:tr>
      <w:tr w:rsidR="002D4597" w:rsidRPr="00C258AD" w:rsidTr="00C9182C">
        <w:trPr>
          <w:cantSplit/>
        </w:trPr>
        <w:tc>
          <w:tcPr>
            <w:tcW w:w="1194" w:type="pct"/>
            <w:shd w:val="clear" w:color="auto" w:fill="auto"/>
            <w:tcMar>
              <w:top w:w="113" w:type="dxa"/>
              <w:bottom w:w="113" w:type="dxa"/>
            </w:tcMar>
          </w:tcPr>
          <w:p w:rsidR="002D4597" w:rsidRPr="00C258AD" w:rsidRDefault="002D4597" w:rsidP="00C9182C">
            <w:pPr>
              <w:rPr>
                <w:sz w:val="16"/>
                <w:szCs w:val="16"/>
              </w:rPr>
            </w:pPr>
            <w:r w:rsidRPr="00C258AD">
              <w:rPr>
                <w:sz w:val="16"/>
                <w:szCs w:val="16"/>
              </w:rPr>
              <w:t>Nombre de normes modifiées et nouvelles adoptées</w:t>
            </w:r>
          </w:p>
        </w:tc>
        <w:tc>
          <w:tcPr>
            <w:tcW w:w="1194" w:type="pct"/>
            <w:shd w:val="clear" w:color="auto" w:fill="auto"/>
            <w:tcMar>
              <w:top w:w="113" w:type="dxa"/>
              <w:bottom w:w="113" w:type="dxa"/>
            </w:tcMar>
          </w:tcPr>
          <w:p w:rsidR="006E2BB1" w:rsidRPr="00C258AD" w:rsidRDefault="002D4597" w:rsidP="00C9182C">
            <w:pPr>
              <w:pStyle w:val="CommentText"/>
              <w:rPr>
                <w:i/>
                <w:color w:val="002060"/>
                <w:sz w:val="16"/>
                <w:szCs w:val="16"/>
              </w:rPr>
            </w:pPr>
            <w:r w:rsidRPr="00C258AD">
              <w:rPr>
                <w:i/>
                <w:color w:val="002060"/>
                <w:sz w:val="16"/>
                <w:szCs w:val="16"/>
              </w:rPr>
              <w:t>Niveau de référence actualisé à fin 2013 :</w:t>
            </w:r>
          </w:p>
          <w:p w:rsidR="006E2BB1" w:rsidRPr="00C258AD" w:rsidRDefault="002D4597" w:rsidP="00C9182C">
            <w:pPr>
              <w:rPr>
                <w:sz w:val="16"/>
                <w:szCs w:val="16"/>
              </w:rPr>
            </w:pPr>
            <w:r w:rsidRPr="00C258AD">
              <w:rPr>
                <w:sz w:val="16"/>
                <w:szCs w:val="16"/>
              </w:rPr>
              <w:t>une nouvelle norme adoptée et deux modifiées en 2012;  une norme et le glossaire modifié en 2013.</w:t>
            </w:r>
          </w:p>
          <w:p w:rsidR="006E2BB1" w:rsidRPr="00C258AD" w:rsidRDefault="006E2BB1" w:rsidP="00C9182C">
            <w:pPr>
              <w:rPr>
                <w:sz w:val="16"/>
                <w:szCs w:val="16"/>
              </w:rPr>
            </w:pPr>
          </w:p>
          <w:p w:rsidR="002D4597" w:rsidRPr="00C258AD" w:rsidRDefault="002D4597" w:rsidP="00C9182C">
            <w:pPr>
              <w:rPr>
                <w:i/>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moyenne pour 2012</w:t>
            </w:r>
            <w:r w:rsidRPr="00C258AD">
              <w:rPr>
                <w:sz w:val="16"/>
                <w:szCs w:val="16"/>
              </w:rPr>
              <w:noBreakHyphen/>
              <w:t>2013 (à déterminer)</w:t>
            </w:r>
          </w:p>
        </w:tc>
        <w:tc>
          <w:tcPr>
            <w:tcW w:w="894" w:type="pct"/>
            <w:shd w:val="clear" w:color="auto" w:fill="auto"/>
            <w:tcMar>
              <w:top w:w="113" w:type="dxa"/>
              <w:bottom w:w="113" w:type="dxa"/>
            </w:tcMar>
          </w:tcPr>
          <w:p w:rsidR="002D4597" w:rsidRPr="00C258AD" w:rsidRDefault="002D4597" w:rsidP="00C9182C">
            <w:pPr>
              <w:rPr>
                <w:sz w:val="16"/>
                <w:szCs w:val="16"/>
              </w:rPr>
            </w:pPr>
            <w:r w:rsidRPr="00C258AD">
              <w:rPr>
                <w:sz w:val="16"/>
                <w:szCs w:val="16"/>
              </w:rPr>
              <w:t>Hausse par rapport au niveau de référence</w:t>
            </w:r>
          </w:p>
        </w:tc>
        <w:tc>
          <w:tcPr>
            <w:tcW w:w="1194" w:type="pct"/>
            <w:shd w:val="clear" w:color="auto" w:fill="FFFFFF"/>
            <w:tcMar>
              <w:top w:w="113" w:type="dxa"/>
              <w:bottom w:w="113" w:type="dxa"/>
            </w:tcMar>
          </w:tcPr>
          <w:p w:rsidR="006E2BB1" w:rsidRPr="00C258AD" w:rsidRDefault="002D4597" w:rsidP="00C9182C">
            <w:pPr>
              <w:rPr>
                <w:sz w:val="16"/>
                <w:szCs w:val="16"/>
                <w:lang w:bidi="th-TH"/>
              </w:rPr>
            </w:pPr>
            <w:r w:rsidRPr="00C258AD">
              <w:rPr>
                <w:sz w:val="16"/>
                <w:szCs w:val="16"/>
                <w:lang w:bidi="th-TH"/>
              </w:rPr>
              <w:t>Une nouvelle norme adoptée et une norme révisée de façon non officielle (2014)</w:t>
            </w:r>
          </w:p>
          <w:p w:rsidR="006E2BB1" w:rsidRPr="00C258AD" w:rsidRDefault="006E2BB1" w:rsidP="00C9182C">
            <w:pPr>
              <w:rPr>
                <w:sz w:val="16"/>
                <w:szCs w:val="16"/>
                <w:lang w:bidi="th-TH"/>
              </w:rPr>
            </w:pPr>
          </w:p>
          <w:p w:rsidR="002D4597" w:rsidRPr="00C258AD" w:rsidRDefault="002D4597" w:rsidP="00C9182C">
            <w:pPr>
              <w:rPr>
                <w:sz w:val="16"/>
                <w:szCs w:val="16"/>
                <w:lang w:bidi="th-TH"/>
              </w:rPr>
            </w:pPr>
            <w:r w:rsidRPr="00C258AD">
              <w:rPr>
                <w:sz w:val="16"/>
              </w:rPr>
              <w:t>Aucune adoption officielle de nouvelles normes.  Deux normes révisées (2015)</w:t>
            </w:r>
          </w:p>
        </w:tc>
        <w:tc>
          <w:tcPr>
            <w:tcW w:w="524" w:type="pct"/>
            <w:shd w:val="clear" w:color="auto" w:fill="auto"/>
            <w:tcMar>
              <w:top w:w="113" w:type="dxa"/>
              <w:bottom w:w="113" w:type="dxa"/>
            </w:tcMar>
          </w:tcPr>
          <w:p w:rsidR="002D4597" w:rsidRPr="00C258AD" w:rsidRDefault="002D4597" w:rsidP="00C9182C">
            <w:pPr>
              <w:keepNext/>
              <w:keepLines/>
              <w:jc w:val="center"/>
              <w:rPr>
                <w:b/>
                <w:bCs/>
                <w:color w:val="FFB050"/>
                <w:sz w:val="16"/>
                <w:szCs w:val="16"/>
              </w:rPr>
            </w:pPr>
            <w:r w:rsidRPr="00C258AD">
              <w:rPr>
                <w:b/>
                <w:bCs/>
                <w:color w:val="E26B0A"/>
                <w:sz w:val="16"/>
                <w:szCs w:val="16"/>
              </w:rPr>
              <w:t>Objectif partiellement atteint</w:t>
            </w:r>
          </w:p>
        </w:tc>
      </w:tr>
      <w:tr w:rsidR="002D4597" w:rsidRPr="00C258AD" w:rsidTr="00C9182C">
        <w:trPr>
          <w:cantSplit/>
        </w:trPr>
        <w:tc>
          <w:tcPr>
            <w:tcW w:w="1194" w:type="pct"/>
            <w:shd w:val="clear" w:color="auto" w:fill="auto"/>
            <w:tcMar>
              <w:top w:w="113" w:type="dxa"/>
              <w:bottom w:w="113" w:type="dxa"/>
            </w:tcMar>
          </w:tcPr>
          <w:p w:rsidR="002D4597" w:rsidRPr="00C258AD" w:rsidRDefault="002D4597" w:rsidP="00C9182C">
            <w:pPr>
              <w:rPr>
                <w:sz w:val="16"/>
                <w:szCs w:val="16"/>
              </w:rPr>
            </w:pPr>
            <w:r w:rsidRPr="00C258AD">
              <w:rPr>
                <w:sz w:val="16"/>
                <w:szCs w:val="16"/>
              </w:rPr>
              <w:lastRenderedPageBreak/>
              <w:t>Nombre d’utilisateurs consultant les publications sur l’Internet des classifications internationales et des normes, notamment dans les pays en développement</w:t>
            </w:r>
          </w:p>
        </w:tc>
        <w:tc>
          <w:tcPr>
            <w:tcW w:w="1194" w:type="pct"/>
            <w:shd w:val="clear" w:color="auto" w:fill="auto"/>
            <w:tcMar>
              <w:top w:w="113" w:type="dxa"/>
              <w:bottom w:w="113" w:type="dxa"/>
            </w:tcMar>
          </w:tcPr>
          <w:p w:rsidR="006E2BB1" w:rsidRPr="00C258AD" w:rsidRDefault="002D4597" w:rsidP="00C9182C">
            <w:pPr>
              <w:rPr>
                <w:i/>
                <w:color w:val="002060"/>
                <w:sz w:val="16"/>
                <w:szCs w:val="16"/>
              </w:rPr>
            </w:pPr>
            <w:r w:rsidRPr="00C258AD">
              <w:rPr>
                <w:i/>
                <w:color w:val="002060"/>
                <w:sz w:val="16"/>
                <w:szCs w:val="16"/>
              </w:rPr>
              <w:t>Niveau de référence actualisé à fin 2013 :</w:t>
            </w:r>
          </w:p>
          <w:p w:rsidR="006E2BB1" w:rsidRPr="00C258AD" w:rsidRDefault="002D4597" w:rsidP="00C9182C">
            <w:pPr>
              <w:rPr>
                <w:color w:val="002060"/>
                <w:sz w:val="16"/>
                <w:szCs w:val="16"/>
                <w:lang w:bidi="th-TH"/>
              </w:rPr>
            </w:pPr>
            <w:r w:rsidRPr="00C258AD">
              <w:rPr>
                <w:color w:val="002060"/>
                <w:sz w:val="16"/>
                <w:szCs w:val="16"/>
                <w:lang w:bidi="th-TH"/>
              </w:rPr>
              <w:t>Page d’accueil de la CIB : 387 093</w:t>
            </w:r>
          </w:p>
          <w:p w:rsidR="006E2BB1" w:rsidRPr="00C258AD" w:rsidRDefault="006E2BB1" w:rsidP="00C9182C">
            <w:pPr>
              <w:rPr>
                <w:sz w:val="16"/>
                <w:szCs w:val="16"/>
                <w:lang w:bidi="th-TH"/>
              </w:rPr>
            </w:pPr>
          </w:p>
          <w:p w:rsidR="006E2BB1" w:rsidRPr="00C258AD" w:rsidRDefault="002D4597" w:rsidP="00C9182C">
            <w:pPr>
              <w:rPr>
                <w:color w:val="002060"/>
                <w:sz w:val="16"/>
                <w:szCs w:val="16"/>
              </w:rPr>
            </w:pPr>
            <w:r w:rsidRPr="00C258AD">
              <w:rPr>
                <w:color w:val="002060"/>
                <w:sz w:val="16"/>
                <w:szCs w:val="16"/>
              </w:rPr>
              <w:t>Publication CIB : 670 032 (données extrapolées à partir des données de janvier à mai 2013 et réajustées au moyen de la même méthode de mesure utilisée pour les données de 2014)</w:t>
            </w:r>
          </w:p>
          <w:p w:rsidR="006E2BB1" w:rsidRPr="00C258AD" w:rsidRDefault="006E2BB1" w:rsidP="00C9182C">
            <w:pPr>
              <w:rPr>
                <w:color w:val="002060"/>
                <w:sz w:val="16"/>
                <w:szCs w:val="16"/>
              </w:rPr>
            </w:pPr>
          </w:p>
          <w:p w:rsidR="006E2BB1" w:rsidRPr="00C258AD" w:rsidRDefault="002D4597" w:rsidP="00C9182C">
            <w:pPr>
              <w:rPr>
                <w:color w:val="002060"/>
                <w:sz w:val="16"/>
                <w:szCs w:val="16"/>
              </w:rPr>
            </w:pPr>
            <w:r w:rsidRPr="00C258AD">
              <w:rPr>
                <w:color w:val="002060"/>
                <w:sz w:val="16"/>
                <w:szCs w:val="16"/>
              </w:rPr>
              <w:t>Page d’accueil de la classification de Nice : 533 846</w:t>
            </w:r>
          </w:p>
          <w:p w:rsidR="006E2BB1" w:rsidRPr="00C258AD" w:rsidRDefault="006E2BB1" w:rsidP="00C9182C">
            <w:pPr>
              <w:rPr>
                <w:color w:val="002060"/>
                <w:sz w:val="16"/>
                <w:szCs w:val="16"/>
              </w:rPr>
            </w:pPr>
          </w:p>
          <w:p w:rsidR="006E2BB1" w:rsidRPr="00C258AD" w:rsidRDefault="002D4597" w:rsidP="00C9182C">
            <w:pPr>
              <w:rPr>
                <w:color w:val="002060"/>
                <w:sz w:val="16"/>
                <w:szCs w:val="16"/>
              </w:rPr>
            </w:pPr>
            <w:r w:rsidRPr="00C258AD">
              <w:rPr>
                <w:color w:val="002060"/>
                <w:sz w:val="16"/>
                <w:szCs w:val="16"/>
              </w:rPr>
              <w:t>Publication de la classification de Nice : 2 386 409</w:t>
            </w:r>
          </w:p>
          <w:p w:rsidR="006E2BB1" w:rsidRPr="00C258AD" w:rsidRDefault="006E2BB1" w:rsidP="00C9182C">
            <w:pPr>
              <w:rPr>
                <w:color w:val="002060"/>
                <w:sz w:val="16"/>
                <w:szCs w:val="16"/>
              </w:rPr>
            </w:pPr>
          </w:p>
          <w:p w:rsidR="006E2BB1" w:rsidRPr="00C258AD" w:rsidRDefault="002D4597" w:rsidP="00C9182C">
            <w:pPr>
              <w:rPr>
                <w:color w:val="002060"/>
                <w:sz w:val="16"/>
                <w:szCs w:val="16"/>
              </w:rPr>
            </w:pPr>
            <w:r w:rsidRPr="00C258AD">
              <w:rPr>
                <w:color w:val="002060"/>
                <w:sz w:val="16"/>
                <w:szCs w:val="16"/>
              </w:rPr>
              <w:t>Page d’accueil de la classification de Locarno : 36 727</w:t>
            </w:r>
          </w:p>
          <w:p w:rsidR="006E2BB1" w:rsidRPr="00C258AD" w:rsidRDefault="006E2BB1" w:rsidP="00C9182C">
            <w:pPr>
              <w:rPr>
                <w:color w:val="002060"/>
                <w:sz w:val="16"/>
                <w:szCs w:val="16"/>
              </w:rPr>
            </w:pPr>
          </w:p>
          <w:p w:rsidR="006E2BB1" w:rsidRPr="00C258AD" w:rsidRDefault="002D4597" w:rsidP="00C9182C">
            <w:pPr>
              <w:rPr>
                <w:color w:val="002060"/>
                <w:sz w:val="16"/>
                <w:szCs w:val="16"/>
              </w:rPr>
            </w:pPr>
            <w:r w:rsidRPr="00C258AD">
              <w:rPr>
                <w:color w:val="002060"/>
                <w:sz w:val="16"/>
                <w:szCs w:val="16"/>
              </w:rPr>
              <w:t>Page d’accueil de la classification de Vienne : 32 416</w:t>
            </w:r>
          </w:p>
          <w:p w:rsidR="006E2BB1" w:rsidRPr="00C258AD" w:rsidRDefault="006E2BB1" w:rsidP="00C9182C">
            <w:pPr>
              <w:rPr>
                <w:color w:val="002060"/>
                <w:sz w:val="16"/>
                <w:szCs w:val="16"/>
              </w:rPr>
            </w:pPr>
          </w:p>
          <w:p w:rsidR="006E2BB1" w:rsidRPr="00C258AD" w:rsidRDefault="002D4597" w:rsidP="00C9182C">
            <w:pPr>
              <w:rPr>
                <w:color w:val="002060"/>
                <w:sz w:val="16"/>
                <w:szCs w:val="16"/>
              </w:rPr>
            </w:pPr>
            <w:r w:rsidRPr="00C258AD">
              <w:rPr>
                <w:color w:val="002060"/>
                <w:sz w:val="16"/>
                <w:szCs w:val="16"/>
              </w:rPr>
              <w:t>Normes de l’OMPI (Manuel) : 94 463</w:t>
            </w:r>
          </w:p>
          <w:p w:rsidR="006E2BB1" w:rsidRPr="00C258AD" w:rsidRDefault="006E2BB1" w:rsidP="00C9182C">
            <w:pPr>
              <w:rPr>
                <w:color w:val="002060"/>
                <w:sz w:val="16"/>
                <w:szCs w:val="16"/>
              </w:rPr>
            </w:pPr>
          </w:p>
          <w:p w:rsidR="002D4597" w:rsidRPr="00C258AD" w:rsidRDefault="002D4597" w:rsidP="00C9182C">
            <w:pPr>
              <w:rPr>
                <w:i/>
                <w:sz w:val="16"/>
                <w:szCs w:val="16"/>
              </w:rPr>
            </w:pPr>
            <w:r w:rsidRPr="00C258AD">
              <w:rPr>
                <w:i/>
                <w:sz w:val="16"/>
                <w:szCs w:val="16"/>
              </w:rPr>
              <w:t>Niveau de référence initial dans le programme et budget 2014</w:t>
            </w:r>
            <w:r w:rsidRPr="00C258AD">
              <w:rPr>
                <w:i/>
                <w:sz w:val="16"/>
                <w:szCs w:val="16"/>
              </w:rPr>
              <w:noBreakHyphen/>
              <w:t xml:space="preserve">2015 : </w:t>
            </w:r>
            <w:r w:rsidRPr="00C258AD">
              <w:rPr>
                <w:sz w:val="16"/>
                <w:szCs w:val="16"/>
              </w:rPr>
              <w:t>à déterminer fin 2013</w:t>
            </w:r>
          </w:p>
        </w:tc>
        <w:tc>
          <w:tcPr>
            <w:tcW w:w="894" w:type="pct"/>
            <w:shd w:val="clear" w:color="auto" w:fill="auto"/>
            <w:tcMar>
              <w:top w:w="113" w:type="dxa"/>
              <w:bottom w:w="113" w:type="dxa"/>
            </w:tcMar>
          </w:tcPr>
          <w:p w:rsidR="002D4597" w:rsidRPr="00C258AD" w:rsidRDefault="002D4597" w:rsidP="00C9182C">
            <w:pPr>
              <w:rPr>
                <w:sz w:val="16"/>
                <w:szCs w:val="16"/>
              </w:rPr>
            </w:pPr>
            <w:r w:rsidRPr="00C258AD">
              <w:rPr>
                <w:sz w:val="16"/>
                <w:szCs w:val="16"/>
              </w:rPr>
              <w:t>Hausse de 5% par rapport au niveau de référence</w:t>
            </w:r>
          </w:p>
        </w:tc>
        <w:tc>
          <w:tcPr>
            <w:tcW w:w="1194" w:type="pct"/>
            <w:shd w:val="clear" w:color="auto" w:fill="FFFFFF"/>
            <w:tcMar>
              <w:top w:w="113" w:type="dxa"/>
              <w:bottom w:w="113" w:type="dxa"/>
            </w:tcMar>
          </w:tcPr>
          <w:p w:rsidR="006E2BB1" w:rsidRPr="00C258AD" w:rsidRDefault="002D4597" w:rsidP="00C9182C">
            <w:pPr>
              <w:rPr>
                <w:sz w:val="16"/>
                <w:szCs w:val="16"/>
              </w:rPr>
            </w:pPr>
            <w:r w:rsidRPr="00C258AD">
              <w:rPr>
                <w:sz w:val="16"/>
                <w:szCs w:val="16"/>
              </w:rPr>
              <w:t>Page d’accueil de la CIB : 361 378 (diminution de 6,6%) (48,1% de consultations en provenance de pays en développement)</w:t>
            </w:r>
          </w:p>
          <w:p w:rsidR="006E2BB1" w:rsidRPr="00C258AD" w:rsidRDefault="006E2BB1" w:rsidP="00C9182C">
            <w:pPr>
              <w:rPr>
                <w:sz w:val="16"/>
                <w:szCs w:val="16"/>
              </w:rPr>
            </w:pPr>
          </w:p>
          <w:p w:rsidR="006E2BB1" w:rsidRPr="00C258AD" w:rsidRDefault="002D4597" w:rsidP="00C9182C">
            <w:pPr>
              <w:rPr>
                <w:sz w:val="16"/>
                <w:szCs w:val="16"/>
              </w:rPr>
            </w:pPr>
            <w:r w:rsidRPr="00C258AD">
              <w:rPr>
                <w:color w:val="000000"/>
                <w:sz w:val="16"/>
                <w:szCs w:val="16"/>
              </w:rPr>
              <w:t>Publication CIB : 1 389 644 (augmentation de 107,4%);  (36,3</w:t>
            </w:r>
            <w:r w:rsidRPr="00C258AD">
              <w:rPr>
                <w:sz w:val="16"/>
                <w:szCs w:val="16"/>
              </w:rPr>
              <w:t>% de consultations en provenance de pays en développement</w:t>
            </w:r>
            <w:r w:rsidRPr="00C258AD">
              <w:rPr>
                <w:color w:val="000000"/>
                <w:sz w:val="16"/>
                <w:szCs w:val="16"/>
              </w:rPr>
              <w:t>)</w:t>
            </w:r>
          </w:p>
          <w:p w:rsidR="006E2BB1" w:rsidRPr="00C258AD" w:rsidRDefault="006E2BB1" w:rsidP="00C9182C">
            <w:pPr>
              <w:rPr>
                <w:sz w:val="16"/>
                <w:szCs w:val="16"/>
              </w:rPr>
            </w:pPr>
          </w:p>
          <w:p w:rsidR="006E2BB1" w:rsidRPr="00C258AD" w:rsidRDefault="002D4597" w:rsidP="00C9182C">
            <w:pPr>
              <w:rPr>
                <w:sz w:val="16"/>
                <w:szCs w:val="16"/>
              </w:rPr>
            </w:pPr>
            <w:r w:rsidRPr="00C258AD">
              <w:rPr>
                <w:sz w:val="16"/>
                <w:szCs w:val="16"/>
              </w:rPr>
              <w:t>Page d’accueil de la classification de Nice : 532 493 (stable) (47,8% de consultations en provenance de pays en développement)</w:t>
            </w:r>
          </w:p>
          <w:p w:rsidR="006E2BB1" w:rsidRPr="00C258AD" w:rsidRDefault="006E2BB1" w:rsidP="00C9182C">
            <w:pPr>
              <w:rPr>
                <w:sz w:val="16"/>
                <w:szCs w:val="16"/>
              </w:rPr>
            </w:pPr>
          </w:p>
          <w:p w:rsidR="006E2BB1" w:rsidRPr="00C258AD" w:rsidRDefault="002D4597" w:rsidP="00C9182C">
            <w:pPr>
              <w:rPr>
                <w:sz w:val="16"/>
                <w:szCs w:val="16"/>
              </w:rPr>
            </w:pPr>
            <w:r w:rsidRPr="00C258AD">
              <w:rPr>
                <w:sz w:val="16"/>
                <w:szCs w:val="16"/>
              </w:rPr>
              <w:t>Publication de la classification de Nice : 2 721 537 (augmentation de 14%) (49,1% de consultations en provenance de pays en développement)</w:t>
            </w:r>
          </w:p>
          <w:p w:rsidR="006E2BB1" w:rsidRPr="00C258AD" w:rsidRDefault="006E2BB1" w:rsidP="00C9182C">
            <w:pPr>
              <w:rPr>
                <w:sz w:val="16"/>
                <w:szCs w:val="16"/>
              </w:rPr>
            </w:pPr>
          </w:p>
          <w:p w:rsidR="006E2BB1" w:rsidRPr="00C258AD" w:rsidRDefault="002D4597" w:rsidP="00C9182C">
            <w:pPr>
              <w:rPr>
                <w:sz w:val="16"/>
                <w:szCs w:val="16"/>
              </w:rPr>
            </w:pPr>
            <w:r w:rsidRPr="00C258AD">
              <w:rPr>
                <w:sz w:val="16"/>
                <w:szCs w:val="16"/>
              </w:rPr>
              <w:t>Page d’accueil de la classification de Locarno : 51 075 (augmentation de 39,1%) (33,5% de consultations en provenance de pays en développement)</w:t>
            </w:r>
          </w:p>
          <w:p w:rsidR="006E2BB1" w:rsidRPr="00C258AD" w:rsidRDefault="006E2BB1" w:rsidP="00C9182C">
            <w:pPr>
              <w:rPr>
                <w:sz w:val="16"/>
                <w:szCs w:val="16"/>
              </w:rPr>
            </w:pPr>
          </w:p>
          <w:p w:rsidR="006E2BB1" w:rsidRPr="00C258AD" w:rsidRDefault="002D4597" w:rsidP="00C9182C">
            <w:pPr>
              <w:rPr>
                <w:sz w:val="16"/>
                <w:szCs w:val="16"/>
              </w:rPr>
            </w:pPr>
            <w:r w:rsidRPr="00C258AD">
              <w:rPr>
                <w:sz w:val="16"/>
                <w:szCs w:val="16"/>
              </w:rPr>
              <w:t>Page d’accueil de la classification de Vienne : 34 830 (augmentation de 7,4%) (38,8% de consultations en provenance de pays en développement)</w:t>
            </w:r>
          </w:p>
          <w:p w:rsidR="006E2BB1" w:rsidRPr="00C258AD" w:rsidRDefault="006E2BB1" w:rsidP="00C9182C">
            <w:pPr>
              <w:rPr>
                <w:sz w:val="16"/>
                <w:szCs w:val="16"/>
              </w:rPr>
            </w:pPr>
          </w:p>
          <w:p w:rsidR="002D4597" w:rsidRPr="00C258AD" w:rsidRDefault="002D4597" w:rsidP="00C9182C">
            <w:pPr>
              <w:rPr>
                <w:sz w:val="16"/>
                <w:szCs w:val="16"/>
                <w:lang w:bidi="th-TH"/>
              </w:rPr>
            </w:pPr>
            <w:r w:rsidRPr="00C258AD">
              <w:rPr>
                <w:sz w:val="16"/>
                <w:szCs w:val="16"/>
              </w:rPr>
              <w:t>Normes de l’OMPI (Manuel) : 69 288 (diminution de 26,7%) (33,6% de consultations en provenance de pays en développement)</w:t>
            </w:r>
          </w:p>
        </w:tc>
        <w:tc>
          <w:tcPr>
            <w:tcW w:w="524" w:type="pct"/>
            <w:shd w:val="clear" w:color="auto" w:fill="auto"/>
            <w:tcMar>
              <w:top w:w="113" w:type="dxa"/>
              <w:bottom w:w="113" w:type="dxa"/>
            </w:tcMar>
          </w:tcPr>
          <w:p w:rsidR="006E2BB1" w:rsidRPr="00C258AD" w:rsidRDefault="002D4597" w:rsidP="00C9182C">
            <w:pPr>
              <w:keepNext/>
              <w:keepLines/>
              <w:jc w:val="center"/>
              <w:rPr>
                <w:b/>
                <w:bCs/>
                <w:color w:val="FF0000"/>
                <w:sz w:val="16"/>
                <w:szCs w:val="16"/>
              </w:rPr>
            </w:pPr>
            <w:r w:rsidRPr="00C258AD">
              <w:rPr>
                <w:b/>
                <w:color w:val="FF0000"/>
                <w:sz w:val="16"/>
                <w:szCs w:val="16"/>
              </w:rPr>
              <w:t>Objectif pas atteint</w:t>
            </w:r>
          </w:p>
          <w:p w:rsidR="006E2BB1" w:rsidRPr="00C258AD" w:rsidRDefault="006E2BB1" w:rsidP="00C9182C">
            <w:pPr>
              <w:keepNext/>
              <w:keepLines/>
              <w:jc w:val="center"/>
              <w:rPr>
                <w:b/>
                <w:bCs/>
                <w:color w:val="FF0000"/>
                <w:sz w:val="16"/>
                <w:szCs w:val="16"/>
              </w:rPr>
            </w:pPr>
          </w:p>
          <w:p w:rsidR="006E2BB1" w:rsidRPr="00C258AD" w:rsidRDefault="006E2BB1" w:rsidP="00C9182C">
            <w:pPr>
              <w:keepNext/>
              <w:keepLines/>
              <w:jc w:val="center"/>
              <w:rPr>
                <w:b/>
                <w:bCs/>
                <w:color w:val="FF0000"/>
                <w:sz w:val="16"/>
                <w:szCs w:val="16"/>
              </w:rPr>
            </w:pPr>
          </w:p>
          <w:p w:rsidR="006E2BB1" w:rsidRPr="00C258AD" w:rsidRDefault="006E2BB1" w:rsidP="00C9182C">
            <w:pPr>
              <w:keepNext/>
              <w:keepLines/>
              <w:jc w:val="center"/>
              <w:rPr>
                <w:b/>
                <w:bCs/>
                <w:color w:val="FF0000"/>
                <w:sz w:val="16"/>
                <w:szCs w:val="16"/>
              </w:rPr>
            </w:pPr>
          </w:p>
          <w:p w:rsidR="006E2BB1" w:rsidRPr="00C258AD" w:rsidRDefault="006E2BB1" w:rsidP="00C9182C">
            <w:pPr>
              <w:keepNext/>
              <w:keepLines/>
              <w:jc w:val="center"/>
              <w:rPr>
                <w:b/>
                <w:bCs/>
                <w:color w:val="FF0000"/>
                <w:sz w:val="16"/>
                <w:szCs w:val="16"/>
              </w:rPr>
            </w:pPr>
          </w:p>
          <w:p w:rsidR="006E2BB1" w:rsidRPr="00C258AD" w:rsidRDefault="002D4597" w:rsidP="00C9182C">
            <w:pPr>
              <w:keepNext/>
              <w:keepLines/>
              <w:jc w:val="center"/>
              <w:rPr>
                <w:b/>
                <w:bCs/>
                <w:color w:val="FF0000"/>
                <w:sz w:val="16"/>
                <w:szCs w:val="16"/>
              </w:rPr>
            </w:pPr>
            <w:r w:rsidRPr="00C258AD">
              <w:rPr>
                <w:b/>
                <w:bCs/>
                <w:color w:val="00B050"/>
                <w:sz w:val="16"/>
                <w:szCs w:val="16"/>
              </w:rPr>
              <w:t>Objectif pleinement atteint</w:t>
            </w:r>
          </w:p>
          <w:p w:rsidR="006E2BB1" w:rsidRPr="00C258AD" w:rsidRDefault="006E2BB1" w:rsidP="00C9182C">
            <w:pPr>
              <w:keepNext/>
              <w:keepLines/>
              <w:jc w:val="center"/>
              <w:rPr>
                <w:b/>
                <w:bCs/>
                <w:color w:val="FF0000"/>
                <w:sz w:val="16"/>
                <w:szCs w:val="16"/>
              </w:rPr>
            </w:pPr>
          </w:p>
          <w:p w:rsidR="006E2BB1" w:rsidRPr="00C258AD" w:rsidRDefault="006E2BB1" w:rsidP="00C9182C">
            <w:pPr>
              <w:keepNext/>
              <w:keepLines/>
              <w:jc w:val="center"/>
              <w:rPr>
                <w:bCs/>
                <w:color w:val="808080"/>
                <w:sz w:val="16"/>
                <w:szCs w:val="16"/>
              </w:rPr>
            </w:pPr>
          </w:p>
          <w:p w:rsidR="006E2BB1" w:rsidRPr="00C258AD" w:rsidRDefault="006E2BB1" w:rsidP="00C9182C">
            <w:pPr>
              <w:keepNext/>
              <w:keepLines/>
              <w:jc w:val="center"/>
              <w:rPr>
                <w:bCs/>
                <w:color w:val="808080"/>
                <w:sz w:val="16"/>
                <w:szCs w:val="16"/>
              </w:rPr>
            </w:pPr>
          </w:p>
          <w:p w:rsidR="006E2BB1" w:rsidRPr="00C258AD" w:rsidRDefault="002D4597" w:rsidP="00C9182C">
            <w:pPr>
              <w:keepNext/>
              <w:keepLines/>
              <w:jc w:val="center"/>
              <w:rPr>
                <w:b/>
                <w:bCs/>
                <w:color w:val="E26B0A"/>
                <w:sz w:val="16"/>
                <w:szCs w:val="16"/>
              </w:rPr>
            </w:pPr>
            <w:r w:rsidRPr="00C258AD">
              <w:rPr>
                <w:b/>
                <w:bCs/>
                <w:color w:val="E26B0A"/>
                <w:sz w:val="16"/>
                <w:szCs w:val="16"/>
              </w:rPr>
              <w:t>Objectif partiellement atteint</w:t>
            </w:r>
          </w:p>
          <w:p w:rsidR="006E2BB1" w:rsidRPr="00C258AD" w:rsidRDefault="006E2BB1" w:rsidP="00C9182C">
            <w:pPr>
              <w:keepNext/>
              <w:keepLines/>
              <w:jc w:val="center"/>
              <w:rPr>
                <w:b/>
                <w:bCs/>
                <w:color w:val="E26B0A"/>
                <w:sz w:val="16"/>
                <w:szCs w:val="16"/>
              </w:rPr>
            </w:pPr>
          </w:p>
          <w:p w:rsidR="006E2BB1" w:rsidRPr="00C258AD" w:rsidRDefault="006E2BB1" w:rsidP="00C9182C">
            <w:pPr>
              <w:keepNext/>
              <w:keepLines/>
              <w:jc w:val="center"/>
              <w:rPr>
                <w:b/>
                <w:bCs/>
                <w:color w:val="E26B0A"/>
                <w:sz w:val="16"/>
                <w:szCs w:val="16"/>
              </w:rPr>
            </w:pPr>
          </w:p>
          <w:p w:rsidR="006E2BB1" w:rsidRPr="00C258AD" w:rsidRDefault="006E2BB1" w:rsidP="00C9182C">
            <w:pPr>
              <w:keepNext/>
              <w:keepLines/>
              <w:jc w:val="center"/>
              <w:rPr>
                <w:b/>
                <w:bCs/>
                <w:color w:val="E26B0A"/>
                <w:sz w:val="16"/>
                <w:szCs w:val="16"/>
              </w:rPr>
            </w:pPr>
          </w:p>
          <w:p w:rsidR="006E2BB1" w:rsidRPr="00C258AD" w:rsidRDefault="002D4597" w:rsidP="00C9182C">
            <w:pPr>
              <w:keepNext/>
              <w:keepLines/>
              <w:jc w:val="center"/>
              <w:rPr>
                <w:b/>
                <w:bCs/>
                <w:color w:val="FF0000"/>
                <w:sz w:val="16"/>
                <w:szCs w:val="16"/>
              </w:rPr>
            </w:pPr>
            <w:r w:rsidRPr="00C258AD">
              <w:rPr>
                <w:b/>
                <w:bCs/>
                <w:color w:val="00B050"/>
                <w:sz w:val="16"/>
                <w:szCs w:val="16"/>
              </w:rPr>
              <w:t>Objectif pleinement atteint</w:t>
            </w:r>
          </w:p>
          <w:p w:rsidR="006E2BB1" w:rsidRPr="00C258AD" w:rsidRDefault="006E2BB1" w:rsidP="00C9182C">
            <w:pPr>
              <w:keepNext/>
              <w:keepLines/>
              <w:jc w:val="center"/>
              <w:rPr>
                <w:bCs/>
                <w:color w:val="808080"/>
                <w:sz w:val="16"/>
                <w:szCs w:val="16"/>
              </w:rPr>
            </w:pPr>
          </w:p>
          <w:p w:rsidR="006E2BB1" w:rsidRPr="00C258AD" w:rsidRDefault="006E2BB1" w:rsidP="00C9182C">
            <w:pPr>
              <w:keepNext/>
              <w:keepLines/>
              <w:jc w:val="center"/>
              <w:rPr>
                <w:bCs/>
                <w:color w:val="808080"/>
                <w:sz w:val="16"/>
                <w:szCs w:val="16"/>
              </w:rPr>
            </w:pPr>
          </w:p>
          <w:p w:rsidR="006E2BB1" w:rsidRPr="00C258AD" w:rsidRDefault="006E2BB1" w:rsidP="00C9182C">
            <w:pPr>
              <w:keepNext/>
              <w:keepLines/>
              <w:jc w:val="center"/>
              <w:rPr>
                <w:bCs/>
                <w:color w:val="808080"/>
                <w:sz w:val="16"/>
                <w:szCs w:val="16"/>
              </w:rPr>
            </w:pPr>
          </w:p>
          <w:p w:rsidR="006E2BB1" w:rsidRPr="00C258AD" w:rsidRDefault="006E2BB1" w:rsidP="00C9182C">
            <w:pPr>
              <w:keepNext/>
              <w:keepLines/>
              <w:jc w:val="center"/>
              <w:rPr>
                <w:bCs/>
                <w:color w:val="808080"/>
                <w:sz w:val="16"/>
                <w:szCs w:val="16"/>
              </w:rPr>
            </w:pPr>
          </w:p>
          <w:p w:rsidR="006E2BB1" w:rsidRPr="00C258AD" w:rsidRDefault="002D4597" w:rsidP="00C9182C">
            <w:pPr>
              <w:keepNext/>
              <w:keepLines/>
              <w:jc w:val="center"/>
              <w:rPr>
                <w:b/>
                <w:bCs/>
                <w:color w:val="FF0000"/>
                <w:sz w:val="16"/>
                <w:szCs w:val="16"/>
              </w:rPr>
            </w:pPr>
            <w:r w:rsidRPr="00C258AD">
              <w:rPr>
                <w:b/>
                <w:bCs/>
                <w:color w:val="00B050"/>
                <w:sz w:val="16"/>
                <w:szCs w:val="16"/>
              </w:rPr>
              <w:t>Objectif pleinement atteint</w:t>
            </w:r>
          </w:p>
          <w:p w:rsidR="006E2BB1" w:rsidRPr="00C258AD" w:rsidRDefault="006E2BB1" w:rsidP="00C9182C">
            <w:pPr>
              <w:keepNext/>
              <w:keepLines/>
              <w:jc w:val="center"/>
              <w:rPr>
                <w:bCs/>
                <w:color w:val="808080"/>
                <w:sz w:val="16"/>
                <w:szCs w:val="16"/>
              </w:rPr>
            </w:pPr>
          </w:p>
          <w:p w:rsidR="006E2BB1" w:rsidRPr="00C258AD" w:rsidRDefault="006E2BB1" w:rsidP="00C9182C">
            <w:pPr>
              <w:keepNext/>
              <w:keepLines/>
              <w:jc w:val="center"/>
              <w:rPr>
                <w:bCs/>
                <w:color w:val="808080"/>
                <w:sz w:val="16"/>
                <w:szCs w:val="16"/>
              </w:rPr>
            </w:pPr>
          </w:p>
          <w:p w:rsidR="006E2BB1" w:rsidRPr="00C258AD" w:rsidRDefault="006E2BB1" w:rsidP="00C9182C">
            <w:pPr>
              <w:keepNext/>
              <w:keepLines/>
              <w:jc w:val="center"/>
              <w:rPr>
                <w:bCs/>
                <w:color w:val="808080"/>
                <w:sz w:val="16"/>
                <w:szCs w:val="16"/>
              </w:rPr>
            </w:pPr>
          </w:p>
          <w:p w:rsidR="006E2BB1" w:rsidRPr="00C258AD" w:rsidRDefault="006E2BB1" w:rsidP="00C9182C">
            <w:pPr>
              <w:keepNext/>
              <w:keepLines/>
              <w:jc w:val="center"/>
              <w:rPr>
                <w:bCs/>
                <w:color w:val="808080"/>
                <w:sz w:val="16"/>
                <w:szCs w:val="16"/>
              </w:rPr>
            </w:pPr>
          </w:p>
          <w:p w:rsidR="006E2BB1" w:rsidRPr="00C258AD" w:rsidRDefault="002D4597" w:rsidP="00C9182C">
            <w:pPr>
              <w:keepNext/>
              <w:keepLines/>
              <w:jc w:val="center"/>
              <w:rPr>
                <w:b/>
                <w:bCs/>
                <w:color w:val="FF0000"/>
                <w:sz w:val="16"/>
                <w:szCs w:val="16"/>
              </w:rPr>
            </w:pPr>
            <w:r w:rsidRPr="00C258AD">
              <w:rPr>
                <w:b/>
                <w:bCs/>
                <w:color w:val="00B050"/>
                <w:sz w:val="16"/>
                <w:szCs w:val="16"/>
              </w:rPr>
              <w:t>Objectif pleinement atteint</w:t>
            </w:r>
          </w:p>
          <w:p w:rsidR="006E2BB1" w:rsidRPr="00C258AD" w:rsidRDefault="006E2BB1" w:rsidP="00C9182C">
            <w:pPr>
              <w:keepNext/>
              <w:keepLines/>
              <w:jc w:val="center"/>
              <w:rPr>
                <w:bCs/>
                <w:color w:val="808080"/>
                <w:sz w:val="16"/>
                <w:szCs w:val="16"/>
              </w:rPr>
            </w:pPr>
          </w:p>
          <w:p w:rsidR="006E2BB1" w:rsidRPr="00C258AD" w:rsidRDefault="006E2BB1" w:rsidP="00C9182C">
            <w:pPr>
              <w:keepNext/>
              <w:keepLines/>
              <w:jc w:val="center"/>
              <w:rPr>
                <w:bCs/>
                <w:color w:val="808080"/>
                <w:sz w:val="16"/>
                <w:szCs w:val="16"/>
              </w:rPr>
            </w:pPr>
          </w:p>
          <w:p w:rsidR="006E2BB1" w:rsidRPr="00C258AD" w:rsidRDefault="006E2BB1" w:rsidP="00C9182C">
            <w:pPr>
              <w:keepNext/>
              <w:keepLines/>
              <w:jc w:val="center"/>
              <w:rPr>
                <w:bCs/>
                <w:color w:val="808080"/>
                <w:sz w:val="16"/>
                <w:szCs w:val="16"/>
              </w:rPr>
            </w:pPr>
          </w:p>
          <w:p w:rsidR="006E2BB1" w:rsidRPr="00C258AD" w:rsidRDefault="006E2BB1" w:rsidP="00C9182C">
            <w:pPr>
              <w:keepNext/>
              <w:keepLines/>
              <w:jc w:val="center"/>
              <w:rPr>
                <w:bCs/>
                <w:color w:val="808080"/>
                <w:sz w:val="16"/>
                <w:szCs w:val="16"/>
              </w:rPr>
            </w:pPr>
          </w:p>
          <w:p w:rsidR="002D4597" w:rsidRPr="00C258AD" w:rsidRDefault="002D4597" w:rsidP="00C9182C">
            <w:pPr>
              <w:keepNext/>
              <w:keepLines/>
              <w:jc w:val="center"/>
              <w:rPr>
                <w:b/>
                <w:bCs/>
                <w:color w:val="FF0000"/>
                <w:sz w:val="16"/>
                <w:szCs w:val="16"/>
              </w:rPr>
            </w:pPr>
            <w:r w:rsidRPr="00C258AD">
              <w:rPr>
                <w:b/>
                <w:color w:val="FF0000"/>
                <w:sz w:val="16"/>
                <w:szCs w:val="16"/>
              </w:rPr>
              <w:t>Objectif pas atteint</w:t>
            </w:r>
          </w:p>
        </w:tc>
      </w:tr>
    </w:tbl>
    <w:p w:rsidR="006E2BB1" w:rsidRPr="00C258AD" w:rsidRDefault="006E2BB1" w:rsidP="00C9182C">
      <w:pPr>
        <w:jc w:val="both"/>
        <w:rPr>
          <w:color w:val="000000"/>
          <w:sz w:val="22"/>
          <w:szCs w:val="22"/>
        </w:rPr>
      </w:pPr>
    </w:p>
    <w:p w:rsidR="006E2BB1" w:rsidRPr="00C258AD" w:rsidRDefault="006E2BB1" w:rsidP="00C9182C">
      <w:pPr>
        <w:jc w:val="both"/>
        <w:rPr>
          <w:color w:val="000000"/>
          <w:sz w:val="22"/>
          <w:szCs w:val="22"/>
        </w:rPr>
      </w:pPr>
    </w:p>
    <w:p w:rsidR="006E2BB1" w:rsidRPr="00C258AD" w:rsidRDefault="002D4597" w:rsidP="00305CE5">
      <w:pPr>
        <w:keepNext/>
        <w:rPr>
          <w:rFonts w:cs="Arial"/>
          <w:caps/>
          <w:sz w:val="22"/>
          <w:szCs w:val="22"/>
        </w:rPr>
      </w:pPr>
      <w:r w:rsidRPr="00C258AD">
        <w:rPr>
          <w:rFonts w:cs="Arial"/>
          <w:caps/>
          <w:sz w:val="22"/>
          <w:szCs w:val="22"/>
        </w:rPr>
        <w:t>Rapport d’évaluation des risques pour l’exercice biennal</w:t>
      </w:r>
    </w:p>
    <w:p w:rsidR="002D4597" w:rsidRPr="00C258AD" w:rsidRDefault="002D4597" w:rsidP="00C9182C">
      <w:pPr>
        <w:keepNext/>
        <w:keepLines/>
        <w:rPr>
          <w:color w:val="000000"/>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2D4597" w:rsidRPr="00C258AD" w:rsidTr="00C9182C">
        <w:trPr>
          <w:cantSplit/>
        </w:trPr>
        <w:tc>
          <w:tcPr>
            <w:tcW w:w="2373" w:type="dxa"/>
            <w:tcBorders>
              <w:top w:val="single" w:sz="4" w:space="0" w:color="auto"/>
              <w:left w:val="single" w:sz="4" w:space="0" w:color="auto"/>
              <w:bottom w:val="single" w:sz="4" w:space="0" w:color="auto"/>
            </w:tcBorders>
            <w:shd w:val="clear" w:color="auto" w:fill="C5D9F1"/>
            <w:tcMar>
              <w:top w:w="113" w:type="dxa"/>
              <w:bottom w:w="113" w:type="dxa"/>
            </w:tcMar>
            <w:vAlign w:val="center"/>
          </w:tcPr>
          <w:p w:rsidR="002D4597" w:rsidRPr="00C258AD" w:rsidRDefault="002D4597" w:rsidP="00C9182C">
            <w:pPr>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tcMar>
              <w:top w:w="113" w:type="dxa"/>
              <w:bottom w:w="113" w:type="dxa"/>
            </w:tcMar>
            <w:vAlign w:val="center"/>
          </w:tcPr>
          <w:p w:rsidR="002D4597" w:rsidRPr="00C258AD" w:rsidRDefault="002D4597" w:rsidP="00C9182C">
            <w:pPr>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2D4597" w:rsidRPr="00C258AD" w:rsidRDefault="002D4597" w:rsidP="00C9182C">
            <w:pPr>
              <w:jc w:val="center"/>
              <w:rPr>
                <w:b/>
                <w:bCs/>
                <w:sz w:val="16"/>
                <w:szCs w:val="16"/>
              </w:rPr>
            </w:pPr>
            <w:r w:rsidRPr="00C258AD">
              <w:rPr>
                <w:b/>
                <w:bCs/>
                <w:iCs/>
                <w:sz w:val="16"/>
                <w:szCs w:val="16"/>
              </w:rPr>
              <w:t>Évolution des risques et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2D4597" w:rsidRPr="00C258AD" w:rsidRDefault="002D4597" w:rsidP="00C9182C">
            <w:pPr>
              <w:jc w:val="center"/>
              <w:rPr>
                <w:b/>
                <w:bCs/>
                <w:sz w:val="16"/>
                <w:szCs w:val="16"/>
              </w:rPr>
            </w:pPr>
            <w:r w:rsidRPr="00C258AD">
              <w:rPr>
                <w:b/>
                <w:bCs/>
                <w:iCs/>
                <w:sz w:val="16"/>
                <w:szCs w:val="16"/>
              </w:rPr>
              <w:t>Incidence sur les résultats du programme</w:t>
            </w:r>
          </w:p>
        </w:tc>
      </w:tr>
      <w:tr w:rsidR="002D4597" w:rsidRPr="00C258AD" w:rsidTr="00C9182C">
        <w:tblPrEx>
          <w:jc w:val="center"/>
          <w:tblBorders>
            <w:top w:val="single" w:sz="4" w:space="0" w:color="auto"/>
            <w:left w:val="single" w:sz="4" w:space="0" w:color="auto"/>
            <w:bottom w:val="single" w:sz="4" w:space="0" w:color="auto"/>
            <w:right w:val="single" w:sz="4" w:space="0" w:color="auto"/>
          </w:tblBorders>
        </w:tblPrEx>
        <w:trPr>
          <w:cantSplit/>
          <w:jc w:val="center"/>
        </w:trPr>
        <w:tc>
          <w:tcPr>
            <w:tcW w:w="2373" w:type="dxa"/>
            <w:tcBorders>
              <w:top w:val="single" w:sz="4" w:space="0" w:color="auto"/>
            </w:tcBorders>
            <w:shd w:val="clear" w:color="auto" w:fill="auto"/>
            <w:tcMar>
              <w:top w:w="113" w:type="dxa"/>
            </w:tcMar>
          </w:tcPr>
          <w:p w:rsidR="002D4597" w:rsidRPr="00C258AD" w:rsidRDefault="002D4597" w:rsidP="00C9182C">
            <w:pPr>
              <w:rPr>
                <w:sz w:val="16"/>
              </w:rPr>
            </w:pPr>
            <w:r w:rsidRPr="00C258AD">
              <w:rPr>
                <w:rFonts w:eastAsia="Arial Unicode MS"/>
                <w:sz w:val="16"/>
              </w:rPr>
              <w:t xml:space="preserve">Disparités entre groupes de pays qui freineront l’élaboration sur le plan technique de normes et de classifications.  </w:t>
            </w:r>
          </w:p>
        </w:tc>
        <w:tc>
          <w:tcPr>
            <w:tcW w:w="2373" w:type="dxa"/>
            <w:tcBorders>
              <w:top w:val="single" w:sz="4" w:space="0" w:color="auto"/>
            </w:tcBorders>
            <w:shd w:val="clear" w:color="auto" w:fill="auto"/>
            <w:tcMar>
              <w:top w:w="113" w:type="dxa"/>
            </w:tcMar>
          </w:tcPr>
          <w:p w:rsidR="002D4597" w:rsidRPr="00C258AD" w:rsidRDefault="002D4597" w:rsidP="00C9182C">
            <w:pPr>
              <w:rPr>
                <w:sz w:val="16"/>
              </w:rPr>
            </w:pPr>
            <w:r w:rsidRPr="00C258AD">
              <w:rPr>
                <w:rFonts w:eastAsia="Arial Unicode MS"/>
                <w:sz w:val="16"/>
              </w:rPr>
              <w:t xml:space="preserve">Débattre des problèmes et les résoudre en dehors des comités techniques.  Renforcer les discussions techniques à l’intérieur des comités.  Suivre la mise en œuvre de plans à long terme.  </w:t>
            </w:r>
          </w:p>
        </w:tc>
        <w:tc>
          <w:tcPr>
            <w:tcW w:w="2373" w:type="dxa"/>
            <w:tcBorders>
              <w:top w:val="single" w:sz="4" w:space="0" w:color="auto"/>
            </w:tcBorders>
          </w:tcPr>
          <w:p w:rsidR="002D4597" w:rsidRPr="00C258AD" w:rsidRDefault="002D4597" w:rsidP="00C9182C">
            <w:pPr>
              <w:rPr>
                <w:rFonts w:eastAsia="Arial Unicode MS"/>
                <w:sz w:val="16"/>
              </w:rPr>
            </w:pPr>
            <w:r w:rsidRPr="00C258AD">
              <w:rPr>
                <w:rFonts w:eastAsia="Arial Unicode MS"/>
                <w:sz w:val="16"/>
              </w:rPr>
              <w:t xml:space="preserve">Le problème relatif à la session du CWS n’a pas été réglé, malgré plusieurs réunions d’information en 2014 et 2015.  </w:t>
            </w:r>
          </w:p>
        </w:tc>
        <w:tc>
          <w:tcPr>
            <w:tcW w:w="2373" w:type="dxa"/>
            <w:tcBorders>
              <w:top w:val="single" w:sz="4" w:space="0" w:color="auto"/>
            </w:tcBorders>
          </w:tcPr>
          <w:p w:rsidR="002D4597" w:rsidRPr="00C258AD" w:rsidRDefault="002D4597" w:rsidP="00C9182C">
            <w:pPr>
              <w:rPr>
                <w:rFonts w:eastAsia="Arial Unicode MS"/>
                <w:sz w:val="16"/>
              </w:rPr>
            </w:pPr>
            <w:r w:rsidRPr="00C258AD">
              <w:rPr>
                <w:rFonts w:eastAsia="Arial Unicode MS"/>
                <w:sz w:val="16"/>
              </w:rPr>
              <w:t>Le CWS n’a pas pu officialiser l’adoption de plusieurs nouvelles normes.  Toutefois, les travaux informels se sont poursuivis et plusieurs normes devraient être adoptées en 2016.</w:t>
            </w:r>
          </w:p>
        </w:tc>
      </w:tr>
    </w:tbl>
    <w:p w:rsidR="006E2BB1" w:rsidRPr="00C258AD" w:rsidRDefault="006E2BB1" w:rsidP="00C9182C">
      <w:pPr>
        <w:jc w:val="both"/>
        <w:rPr>
          <w:color w:val="000000"/>
          <w:sz w:val="22"/>
          <w:szCs w:val="22"/>
        </w:rPr>
      </w:pPr>
    </w:p>
    <w:p w:rsidR="006E2BB1" w:rsidRPr="00C258AD" w:rsidRDefault="006E2BB1" w:rsidP="00C9182C">
      <w:pPr>
        <w:jc w:val="both"/>
        <w:rPr>
          <w:color w:val="000000"/>
          <w:sz w:val="22"/>
          <w:szCs w:val="22"/>
        </w:rPr>
      </w:pPr>
    </w:p>
    <w:p w:rsidR="006E2BB1" w:rsidRPr="00C258AD" w:rsidRDefault="002D4597" w:rsidP="00C9182C">
      <w:pPr>
        <w:rPr>
          <w:caps/>
          <w:sz w:val="22"/>
        </w:rPr>
      </w:pPr>
      <w:r w:rsidRPr="00C258AD">
        <w:br w:type="page"/>
      </w:r>
    </w:p>
    <w:p w:rsidR="006E2BB1" w:rsidRPr="00C258AD" w:rsidRDefault="002D4597" w:rsidP="00305CE5">
      <w:pPr>
        <w:keepNext/>
        <w:rPr>
          <w:rFonts w:cs="Arial"/>
          <w:caps/>
          <w:sz w:val="22"/>
          <w:szCs w:val="22"/>
        </w:rPr>
      </w:pPr>
      <w:r w:rsidRPr="00C258AD">
        <w:rPr>
          <w:rFonts w:cs="Arial"/>
          <w:caps/>
          <w:sz w:val="22"/>
          <w:szCs w:val="22"/>
        </w:rPr>
        <w:lastRenderedPageBreak/>
        <w:t>Utilisation des ressources</w:t>
      </w:r>
    </w:p>
    <w:p w:rsidR="006E2BB1" w:rsidRPr="00C258AD" w:rsidRDefault="006E2BB1" w:rsidP="00C9182C">
      <w:pPr>
        <w:jc w:val="center"/>
      </w:pPr>
    </w:p>
    <w:p w:rsidR="006E2BB1" w:rsidRPr="00C258AD" w:rsidRDefault="002D4597" w:rsidP="00C9182C">
      <w:pPr>
        <w:pStyle w:val="NormalWeb"/>
        <w:keepNext/>
        <w:spacing w:before="0" w:beforeAutospacing="0" w:after="0" w:afterAutospacing="0"/>
        <w:jc w:val="center"/>
        <w:rPr>
          <w:sz w:val="20"/>
          <w:szCs w:val="20"/>
        </w:rPr>
      </w:pPr>
      <w:r w:rsidRPr="00C258AD">
        <w:rPr>
          <w:sz w:val="20"/>
          <w:szCs w:val="20"/>
        </w:rPr>
        <w:t>Budget et dépenses effectives (par résultat)</w:t>
      </w:r>
    </w:p>
    <w:p w:rsidR="006E2BB1" w:rsidRPr="00C258AD" w:rsidRDefault="002D4597" w:rsidP="00C9182C">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2D4597" w:rsidRPr="00C258AD" w:rsidRDefault="002D4597" w:rsidP="00C9182C">
      <w:pPr>
        <w:keepNext/>
        <w:jc w:val="both"/>
      </w:pPr>
    </w:p>
    <w:tbl>
      <w:tblPr>
        <w:tblW w:w="5000" w:type="pct"/>
        <w:tblCellMar>
          <w:top w:w="113" w:type="dxa"/>
          <w:left w:w="70" w:type="dxa"/>
          <w:bottom w:w="113" w:type="dxa"/>
          <w:right w:w="70" w:type="dxa"/>
        </w:tblCellMar>
        <w:tblLook w:val="04A0" w:firstRow="1" w:lastRow="0" w:firstColumn="1" w:lastColumn="0" w:noHBand="0" w:noVBand="1"/>
      </w:tblPr>
      <w:tblGrid>
        <w:gridCol w:w="555"/>
        <w:gridCol w:w="4674"/>
        <w:gridCol w:w="1422"/>
        <w:gridCol w:w="1422"/>
        <w:gridCol w:w="1422"/>
      </w:tblGrid>
      <w:tr w:rsidR="002D4597" w:rsidRPr="00C258AD" w:rsidTr="00C9182C">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2D4597" w:rsidRPr="00C258AD" w:rsidRDefault="002D4597" w:rsidP="00C9182C">
            <w:pPr>
              <w:jc w:val="center"/>
              <w:rPr>
                <w:i/>
                <w:iCs/>
                <w:sz w:val="16"/>
                <w:szCs w:val="16"/>
                <w:lang w:eastAsia="fr-FR"/>
              </w:rPr>
            </w:pPr>
            <w:r w:rsidRPr="00C258AD">
              <w:rPr>
                <w:i/>
                <w:iCs/>
                <w:sz w:val="16"/>
                <w:szCs w:val="16"/>
                <w:lang w:eastAsia="fr-FR"/>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2D4597" w:rsidRPr="00C258AD" w:rsidRDefault="002D4597" w:rsidP="00C9182C">
            <w:pPr>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Pr="00C258AD">
              <w:rPr>
                <w:i/>
                <w:iCs/>
                <w:sz w:val="16"/>
                <w:szCs w:val="16"/>
                <w:lang w:eastAsia="fr-FR"/>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2D4597" w:rsidRPr="00C258AD" w:rsidRDefault="002D4597" w:rsidP="00C9182C">
            <w:pPr>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Pr="00C258AD">
              <w:rPr>
                <w:i/>
                <w:iCs/>
                <w:sz w:val="16"/>
                <w:szCs w:val="16"/>
                <w:lang w:eastAsia="fr-FR"/>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2D4597" w:rsidRPr="00C258AD" w:rsidRDefault="002D4597" w:rsidP="00C9182C">
            <w:pPr>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Pr="00C258AD">
              <w:rPr>
                <w:i/>
                <w:iCs/>
                <w:sz w:val="16"/>
                <w:szCs w:val="16"/>
                <w:lang w:eastAsia="fr-FR"/>
              </w:rPr>
              <w:noBreakHyphen/>
              <w:t>2015</w:t>
            </w:r>
          </w:p>
        </w:tc>
      </w:tr>
      <w:tr w:rsidR="002D4597" w:rsidRPr="00C258AD" w:rsidTr="00C9182C">
        <w:trPr>
          <w:cantSplit/>
        </w:trPr>
        <w:tc>
          <w:tcPr>
            <w:tcW w:w="530" w:type="dxa"/>
            <w:tcBorders>
              <w:top w:val="nil"/>
              <w:left w:val="single" w:sz="4" w:space="0" w:color="auto"/>
              <w:bottom w:val="nil"/>
              <w:right w:val="nil"/>
            </w:tcBorders>
            <w:shd w:val="clear" w:color="auto" w:fill="auto"/>
            <w:noWrap/>
            <w:vAlign w:val="center"/>
            <w:hideMark/>
          </w:tcPr>
          <w:p w:rsidR="002D4597" w:rsidRPr="00C258AD" w:rsidRDefault="002D4597" w:rsidP="00C9182C">
            <w:pPr>
              <w:rPr>
                <w:sz w:val="16"/>
                <w:szCs w:val="16"/>
                <w:lang w:eastAsia="fr-FR"/>
              </w:rPr>
            </w:pPr>
            <w:r w:rsidRPr="00C258AD">
              <w:rPr>
                <w:sz w:val="16"/>
                <w:szCs w:val="16"/>
                <w:lang w:eastAsia="fr-FR"/>
              </w:rPr>
              <w:t>IV.1</w:t>
            </w:r>
          </w:p>
        </w:tc>
        <w:tc>
          <w:tcPr>
            <w:tcW w:w="4470" w:type="dxa"/>
            <w:tcBorders>
              <w:top w:val="nil"/>
              <w:left w:val="nil"/>
              <w:bottom w:val="nil"/>
              <w:right w:val="nil"/>
            </w:tcBorders>
            <w:shd w:val="clear" w:color="auto" w:fill="auto"/>
            <w:vAlign w:val="center"/>
            <w:hideMark/>
          </w:tcPr>
          <w:p w:rsidR="002D4597" w:rsidRPr="00C258AD" w:rsidRDefault="002D4597" w:rsidP="00C9182C">
            <w:pPr>
              <w:rPr>
                <w:sz w:val="16"/>
                <w:szCs w:val="16"/>
                <w:lang w:eastAsia="fr-FR"/>
              </w:rPr>
            </w:pPr>
            <w:r w:rsidRPr="00C258AD">
              <w:rPr>
                <w:sz w:val="16"/>
                <w:szCs w:val="16"/>
                <w:lang w:eastAsia="fr-FR"/>
              </w:rPr>
              <w:t>Système actualisé et mondialement accepté des classifications internationales et des normes de l’OMPI pour faciliter l’accès des parties prenantes dans le monde à l’information en matière de propriété intellectuelle, ainsi que l’utilisation et la diffusion de celle</w:t>
            </w:r>
            <w:r w:rsidRPr="00C258AD">
              <w:rPr>
                <w:sz w:val="16"/>
                <w:szCs w:val="16"/>
                <w:lang w:eastAsia="fr-FR"/>
              </w:rPr>
              <w:noBreakHyphen/>
              <w:t>ci</w:t>
            </w:r>
          </w:p>
        </w:tc>
        <w:tc>
          <w:tcPr>
            <w:tcW w:w="1360" w:type="dxa"/>
            <w:tcBorders>
              <w:top w:val="nil"/>
              <w:left w:val="nil"/>
              <w:bottom w:val="nil"/>
              <w:right w:val="nil"/>
            </w:tcBorders>
            <w:shd w:val="clear" w:color="auto" w:fill="auto"/>
            <w:vAlign w:val="center"/>
            <w:hideMark/>
          </w:tcPr>
          <w:p w:rsidR="002D4597" w:rsidRPr="00C258AD" w:rsidRDefault="002D4597" w:rsidP="00C9182C">
            <w:pPr>
              <w:jc w:val="right"/>
              <w:rPr>
                <w:sz w:val="16"/>
                <w:szCs w:val="16"/>
                <w:lang w:eastAsia="fr-FR"/>
              </w:rPr>
            </w:pPr>
            <w:r w:rsidRPr="00C258AD">
              <w:rPr>
                <w:sz w:val="16"/>
                <w:szCs w:val="16"/>
                <w:lang w:eastAsia="fr-FR"/>
              </w:rPr>
              <w:t>7 317</w:t>
            </w:r>
          </w:p>
        </w:tc>
        <w:tc>
          <w:tcPr>
            <w:tcW w:w="1360" w:type="dxa"/>
            <w:tcBorders>
              <w:top w:val="nil"/>
              <w:left w:val="nil"/>
              <w:bottom w:val="nil"/>
              <w:right w:val="nil"/>
            </w:tcBorders>
            <w:shd w:val="clear" w:color="auto" w:fill="auto"/>
            <w:vAlign w:val="center"/>
            <w:hideMark/>
          </w:tcPr>
          <w:p w:rsidR="002D4597" w:rsidRPr="00C258AD" w:rsidRDefault="002D4597" w:rsidP="00C9182C">
            <w:pPr>
              <w:jc w:val="right"/>
              <w:rPr>
                <w:sz w:val="16"/>
                <w:szCs w:val="16"/>
                <w:lang w:eastAsia="fr-FR"/>
              </w:rPr>
            </w:pPr>
            <w:r w:rsidRPr="00C258AD">
              <w:rPr>
                <w:sz w:val="16"/>
                <w:szCs w:val="16"/>
                <w:lang w:eastAsia="fr-FR"/>
              </w:rPr>
              <w:t>7 298</w:t>
            </w:r>
          </w:p>
        </w:tc>
        <w:tc>
          <w:tcPr>
            <w:tcW w:w="1360" w:type="dxa"/>
            <w:tcBorders>
              <w:top w:val="nil"/>
              <w:left w:val="nil"/>
              <w:bottom w:val="nil"/>
              <w:right w:val="single" w:sz="4" w:space="0" w:color="auto"/>
            </w:tcBorders>
            <w:shd w:val="clear" w:color="auto" w:fill="auto"/>
            <w:vAlign w:val="center"/>
            <w:hideMark/>
          </w:tcPr>
          <w:p w:rsidR="002D4597" w:rsidRPr="00C258AD" w:rsidRDefault="002D4597" w:rsidP="00C9182C">
            <w:pPr>
              <w:jc w:val="right"/>
              <w:rPr>
                <w:sz w:val="16"/>
                <w:szCs w:val="16"/>
                <w:lang w:eastAsia="fr-FR"/>
              </w:rPr>
            </w:pPr>
            <w:r w:rsidRPr="00C258AD">
              <w:rPr>
                <w:sz w:val="16"/>
                <w:szCs w:val="16"/>
                <w:lang w:eastAsia="fr-FR"/>
              </w:rPr>
              <w:t>7 507</w:t>
            </w:r>
          </w:p>
        </w:tc>
      </w:tr>
      <w:tr w:rsidR="002D4597" w:rsidRPr="00C258AD" w:rsidTr="00C9182C">
        <w:trPr>
          <w:cantSplit/>
        </w:trPr>
        <w:tc>
          <w:tcPr>
            <w:tcW w:w="530" w:type="dxa"/>
            <w:tcBorders>
              <w:top w:val="single" w:sz="4" w:space="0" w:color="auto"/>
              <w:left w:val="single" w:sz="4" w:space="0" w:color="auto"/>
              <w:bottom w:val="single" w:sz="4" w:space="0" w:color="auto"/>
              <w:right w:val="nil"/>
            </w:tcBorders>
            <w:shd w:val="clear" w:color="auto" w:fill="C5D9F1"/>
            <w:noWrap/>
            <w:vAlign w:val="bottom"/>
            <w:hideMark/>
          </w:tcPr>
          <w:p w:rsidR="002D4597" w:rsidRPr="00C258AD" w:rsidRDefault="002D4597" w:rsidP="00C9182C">
            <w:pPr>
              <w:rPr>
                <w:sz w:val="16"/>
                <w:szCs w:val="16"/>
                <w:lang w:eastAsia="fr-FR"/>
              </w:rPr>
            </w:pPr>
            <w:r w:rsidRPr="00C258AD">
              <w:rPr>
                <w:sz w:val="16"/>
                <w:szCs w:val="16"/>
                <w:lang w:eastAsia="fr-FR"/>
              </w:rPr>
              <w:t> </w:t>
            </w:r>
          </w:p>
        </w:tc>
        <w:tc>
          <w:tcPr>
            <w:tcW w:w="4470" w:type="dxa"/>
            <w:tcBorders>
              <w:top w:val="single" w:sz="4" w:space="0" w:color="auto"/>
              <w:left w:val="nil"/>
              <w:bottom w:val="single" w:sz="4" w:space="0" w:color="auto"/>
              <w:right w:val="single" w:sz="4" w:space="0" w:color="auto"/>
            </w:tcBorders>
            <w:shd w:val="clear" w:color="auto" w:fill="C5D9F1"/>
            <w:noWrap/>
            <w:vAlign w:val="bottom"/>
            <w:hideMark/>
          </w:tcPr>
          <w:p w:rsidR="002D4597" w:rsidRPr="00C258AD" w:rsidRDefault="002D4597" w:rsidP="00C9182C">
            <w:pPr>
              <w:rPr>
                <w:b/>
                <w:bCs/>
                <w:sz w:val="16"/>
                <w:szCs w:val="16"/>
                <w:lang w:eastAsia="fr-FR"/>
              </w:rPr>
            </w:pPr>
            <w:r w:rsidRPr="00C258AD">
              <w:rPr>
                <w:b/>
                <w:bCs/>
                <w:sz w:val="16"/>
                <w:szCs w:val="16"/>
                <w:lang w:eastAsia="fr-FR"/>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2D4597" w:rsidRPr="00C258AD" w:rsidRDefault="002D4597" w:rsidP="00C9182C">
            <w:pPr>
              <w:jc w:val="right"/>
              <w:rPr>
                <w:b/>
                <w:bCs/>
                <w:sz w:val="16"/>
                <w:szCs w:val="16"/>
                <w:lang w:eastAsia="fr-FR"/>
              </w:rPr>
            </w:pPr>
            <w:r w:rsidRPr="00C258AD">
              <w:rPr>
                <w:b/>
                <w:bCs/>
                <w:sz w:val="16"/>
                <w:szCs w:val="16"/>
                <w:lang w:eastAsia="fr-FR"/>
              </w:rPr>
              <w:t>7 317</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2D4597" w:rsidRPr="00C258AD" w:rsidRDefault="002D4597" w:rsidP="00C9182C">
            <w:pPr>
              <w:jc w:val="right"/>
              <w:rPr>
                <w:b/>
                <w:bCs/>
                <w:sz w:val="16"/>
                <w:szCs w:val="16"/>
                <w:lang w:eastAsia="fr-FR"/>
              </w:rPr>
            </w:pPr>
            <w:r w:rsidRPr="00C258AD">
              <w:rPr>
                <w:b/>
                <w:bCs/>
                <w:sz w:val="16"/>
                <w:szCs w:val="16"/>
                <w:lang w:eastAsia="fr-FR"/>
              </w:rPr>
              <w:t>7 298</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2D4597" w:rsidRPr="00C258AD" w:rsidRDefault="002D4597" w:rsidP="00C9182C">
            <w:pPr>
              <w:jc w:val="right"/>
              <w:rPr>
                <w:b/>
                <w:bCs/>
                <w:sz w:val="16"/>
                <w:szCs w:val="16"/>
                <w:lang w:eastAsia="fr-FR"/>
              </w:rPr>
            </w:pPr>
            <w:r w:rsidRPr="00C258AD">
              <w:rPr>
                <w:b/>
                <w:bCs/>
                <w:sz w:val="16"/>
                <w:szCs w:val="16"/>
                <w:lang w:eastAsia="fr-FR"/>
              </w:rPr>
              <w:t>7 507</w:t>
            </w:r>
          </w:p>
        </w:tc>
      </w:tr>
    </w:tbl>
    <w:p w:rsidR="006E2BB1" w:rsidRPr="00C258AD" w:rsidRDefault="006E2BB1" w:rsidP="00C9182C"/>
    <w:p w:rsidR="006E2BB1" w:rsidRPr="00C258AD" w:rsidRDefault="006E2BB1" w:rsidP="00C9182C"/>
    <w:p w:rsidR="006E2BB1" w:rsidRPr="00C258AD" w:rsidRDefault="002D4597" w:rsidP="00C9182C">
      <w:pPr>
        <w:pStyle w:val="NormalWeb"/>
        <w:keepNext/>
        <w:keepLines/>
        <w:spacing w:before="0" w:beforeAutospacing="0" w:after="0" w:afterAutospacing="0"/>
        <w:jc w:val="center"/>
        <w:rPr>
          <w:sz w:val="20"/>
          <w:szCs w:val="20"/>
        </w:rPr>
      </w:pPr>
      <w:r w:rsidRPr="00C258AD">
        <w:rPr>
          <w:sz w:val="20"/>
          <w:szCs w:val="20"/>
        </w:rPr>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2D4597" w:rsidP="00C9182C">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2D4597" w:rsidRPr="00C258AD" w:rsidRDefault="002D4597" w:rsidP="00C9182C">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4"/>
        <w:gridCol w:w="1746"/>
        <w:gridCol w:w="1746"/>
        <w:gridCol w:w="1746"/>
      </w:tblGrid>
      <w:tr w:rsidR="002D4597" w:rsidRPr="00C258AD" w:rsidTr="00C9182C">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2D4597" w:rsidRPr="00C258AD" w:rsidRDefault="002D4597" w:rsidP="00C9182C">
            <w:pPr>
              <w:rPr>
                <w:color w:val="000000"/>
                <w:sz w:val="16"/>
                <w:szCs w:val="18"/>
                <w:lang w:eastAsia="fr-FR"/>
              </w:rPr>
            </w:pPr>
            <w:r w:rsidRPr="00C258AD">
              <w:rPr>
                <w:color w:val="000000"/>
                <w:sz w:val="16"/>
                <w:szCs w:val="18"/>
                <w:lang w:eastAsia="fr-FR"/>
              </w:rPr>
              <w:t> </w:t>
            </w:r>
          </w:p>
        </w:tc>
        <w:tc>
          <w:tcPr>
            <w:tcW w:w="1745" w:type="dxa"/>
            <w:tcBorders>
              <w:top w:val="single" w:sz="4" w:space="0" w:color="auto"/>
              <w:left w:val="nil"/>
              <w:bottom w:val="nil"/>
              <w:right w:val="single" w:sz="4" w:space="0" w:color="auto"/>
            </w:tcBorders>
            <w:shd w:val="clear" w:color="auto" w:fill="C5D9F1"/>
            <w:vAlign w:val="center"/>
            <w:hideMark/>
          </w:tcPr>
          <w:p w:rsidR="002D4597" w:rsidRPr="00C258AD" w:rsidRDefault="002D4597" w:rsidP="00C9182C">
            <w:pPr>
              <w:jc w:val="center"/>
              <w:rPr>
                <w:b/>
                <w:bCs/>
                <w:color w:val="000000"/>
                <w:sz w:val="16"/>
                <w:szCs w:val="18"/>
                <w:lang w:eastAsia="fr-FR"/>
              </w:rPr>
            </w:pPr>
            <w:r w:rsidRPr="00C258AD">
              <w:rPr>
                <w:b/>
                <w:bCs/>
                <w:color w:val="000000"/>
                <w:sz w:val="16"/>
                <w:szCs w:val="18"/>
                <w:lang w:eastAsia="fr-FR"/>
              </w:rPr>
              <w:t>Budget 2014</w:t>
            </w:r>
            <w:r w:rsidRPr="00C258AD">
              <w:rPr>
                <w:b/>
                <w:bCs/>
                <w:color w:val="000000"/>
                <w:sz w:val="16"/>
                <w:szCs w:val="18"/>
                <w:lang w:eastAsia="fr-FR"/>
              </w:rPr>
              <w:noBreakHyphen/>
              <w:t>2015 approuvé</w:t>
            </w:r>
          </w:p>
        </w:tc>
        <w:tc>
          <w:tcPr>
            <w:tcW w:w="1746" w:type="dxa"/>
            <w:tcBorders>
              <w:top w:val="single" w:sz="4" w:space="0" w:color="auto"/>
              <w:left w:val="nil"/>
              <w:bottom w:val="nil"/>
              <w:right w:val="single" w:sz="4" w:space="0" w:color="auto"/>
            </w:tcBorders>
            <w:shd w:val="clear" w:color="auto" w:fill="C5D9F1"/>
            <w:vAlign w:val="center"/>
            <w:hideMark/>
          </w:tcPr>
          <w:p w:rsidR="002D4597" w:rsidRPr="00C258AD" w:rsidRDefault="002D4597" w:rsidP="00C9182C">
            <w:pPr>
              <w:jc w:val="center"/>
              <w:rPr>
                <w:b/>
                <w:bCs/>
                <w:color w:val="000000"/>
                <w:sz w:val="16"/>
                <w:szCs w:val="18"/>
                <w:lang w:eastAsia="fr-FR"/>
              </w:rPr>
            </w:pPr>
            <w:r w:rsidRPr="00C258AD">
              <w:rPr>
                <w:b/>
                <w:bCs/>
                <w:color w:val="000000"/>
                <w:sz w:val="16"/>
                <w:szCs w:val="18"/>
                <w:lang w:eastAsia="fr-FR"/>
              </w:rPr>
              <w:t>Budget final 2014</w:t>
            </w:r>
            <w:r w:rsidRPr="00C258AD">
              <w:rPr>
                <w:b/>
                <w:bCs/>
                <w:color w:val="000000"/>
                <w:sz w:val="16"/>
                <w:szCs w:val="18"/>
                <w:lang w:eastAsia="fr-FR"/>
              </w:rPr>
              <w:noBreakHyphen/>
              <w:t>2015</w:t>
            </w:r>
            <w:r w:rsidRPr="00C258AD">
              <w:rPr>
                <w:b/>
                <w:bCs/>
                <w:color w:val="000000"/>
                <w:sz w:val="16"/>
                <w:szCs w:val="18"/>
                <w:lang w:eastAsia="fr-FR"/>
              </w:rPr>
              <w:br/>
              <w:t>après virements</w:t>
            </w:r>
          </w:p>
        </w:tc>
        <w:tc>
          <w:tcPr>
            <w:tcW w:w="1746" w:type="dxa"/>
            <w:tcBorders>
              <w:top w:val="single" w:sz="4" w:space="0" w:color="auto"/>
              <w:left w:val="nil"/>
              <w:bottom w:val="nil"/>
              <w:right w:val="single" w:sz="4" w:space="0" w:color="auto"/>
            </w:tcBorders>
            <w:shd w:val="clear" w:color="auto" w:fill="C5D9F1"/>
            <w:vAlign w:val="center"/>
            <w:hideMark/>
          </w:tcPr>
          <w:p w:rsidR="002D4597" w:rsidRPr="00C258AD" w:rsidRDefault="002D4597" w:rsidP="00C9182C">
            <w:pPr>
              <w:jc w:val="center"/>
              <w:rPr>
                <w:b/>
                <w:bCs/>
                <w:color w:val="000000"/>
                <w:sz w:val="16"/>
                <w:szCs w:val="18"/>
                <w:lang w:eastAsia="fr-FR"/>
              </w:rPr>
            </w:pPr>
            <w:r w:rsidRPr="00C258AD">
              <w:rPr>
                <w:b/>
                <w:bCs/>
                <w:color w:val="000000"/>
                <w:sz w:val="16"/>
                <w:szCs w:val="18"/>
                <w:lang w:eastAsia="fr-FR"/>
              </w:rPr>
              <w:t xml:space="preserve">Dépenses </w:t>
            </w:r>
            <w:r w:rsidRPr="00C258AD">
              <w:rPr>
                <w:b/>
                <w:bCs/>
                <w:color w:val="000000"/>
                <w:sz w:val="16"/>
                <w:szCs w:val="18"/>
                <w:lang w:eastAsia="fr-FR"/>
              </w:rPr>
              <w:br/>
              <w:t>2014</w:t>
            </w:r>
            <w:r w:rsidRPr="00C258AD">
              <w:rPr>
                <w:b/>
                <w:bCs/>
                <w:color w:val="000000"/>
                <w:sz w:val="16"/>
                <w:szCs w:val="18"/>
                <w:lang w:eastAsia="fr-FR"/>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2D4597" w:rsidRPr="00C258AD" w:rsidRDefault="002D4597" w:rsidP="00C9182C">
            <w:pPr>
              <w:jc w:val="center"/>
              <w:rPr>
                <w:b/>
                <w:bCs/>
                <w:color w:val="000000"/>
                <w:sz w:val="16"/>
                <w:szCs w:val="18"/>
                <w:lang w:eastAsia="fr-FR"/>
              </w:rPr>
            </w:pPr>
            <w:r w:rsidRPr="00C258AD">
              <w:rPr>
                <w:b/>
                <w:bCs/>
                <w:color w:val="000000"/>
                <w:sz w:val="16"/>
                <w:szCs w:val="18"/>
                <w:lang w:eastAsia="fr-FR"/>
              </w:rPr>
              <w:t>Taux d’utilisation (%)</w:t>
            </w:r>
          </w:p>
        </w:tc>
      </w:tr>
      <w:tr w:rsidR="002D4597" w:rsidRPr="00C258AD" w:rsidTr="00C9182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2D4597" w:rsidRPr="00C258AD" w:rsidRDefault="002D4597" w:rsidP="00C9182C">
            <w:pPr>
              <w:rPr>
                <w:color w:val="000000"/>
                <w:sz w:val="16"/>
                <w:szCs w:val="18"/>
                <w:lang w:eastAsia="fr-FR"/>
              </w:rPr>
            </w:pPr>
            <w:r w:rsidRPr="00C258AD">
              <w:rPr>
                <w:color w:val="000000"/>
                <w:sz w:val="16"/>
                <w:szCs w:val="18"/>
                <w:lang w:eastAsia="fr-FR"/>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2D4597" w:rsidRPr="00C258AD" w:rsidRDefault="002D4597" w:rsidP="00C9182C">
            <w:pPr>
              <w:jc w:val="center"/>
              <w:rPr>
                <w:color w:val="000000"/>
                <w:sz w:val="16"/>
                <w:szCs w:val="18"/>
                <w:lang w:eastAsia="fr-FR"/>
              </w:rPr>
            </w:pPr>
            <w:r w:rsidRPr="00C258AD">
              <w:rPr>
                <w:color w:val="000000"/>
                <w:sz w:val="16"/>
                <w:szCs w:val="18"/>
                <w:lang w:eastAsia="fr-FR"/>
              </w:rPr>
              <w:t>5 879</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2D4597" w:rsidRPr="00C258AD" w:rsidRDefault="002D4597" w:rsidP="00C9182C">
            <w:pPr>
              <w:jc w:val="center"/>
              <w:rPr>
                <w:color w:val="000000"/>
                <w:sz w:val="16"/>
                <w:szCs w:val="18"/>
                <w:lang w:eastAsia="fr-FR"/>
              </w:rPr>
            </w:pPr>
            <w:r w:rsidRPr="00C258AD">
              <w:rPr>
                <w:color w:val="000000"/>
                <w:sz w:val="16"/>
                <w:szCs w:val="18"/>
                <w:lang w:eastAsia="fr-FR"/>
              </w:rPr>
              <w:t>5 808</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2D4597" w:rsidRPr="00C258AD" w:rsidRDefault="002D4597" w:rsidP="00C9182C">
            <w:pPr>
              <w:jc w:val="center"/>
              <w:rPr>
                <w:color w:val="000000"/>
                <w:sz w:val="16"/>
                <w:szCs w:val="18"/>
                <w:lang w:eastAsia="fr-FR"/>
              </w:rPr>
            </w:pPr>
            <w:r w:rsidRPr="00C258AD">
              <w:rPr>
                <w:color w:val="000000"/>
                <w:sz w:val="16"/>
                <w:szCs w:val="18"/>
                <w:lang w:eastAsia="fr-FR"/>
              </w:rPr>
              <w:t>6 050</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2D4597" w:rsidRPr="00C258AD" w:rsidRDefault="002D4597" w:rsidP="00C9182C">
            <w:pPr>
              <w:jc w:val="center"/>
              <w:rPr>
                <w:color w:val="000000"/>
                <w:sz w:val="16"/>
                <w:szCs w:val="18"/>
                <w:lang w:eastAsia="fr-FR"/>
              </w:rPr>
            </w:pPr>
            <w:r w:rsidRPr="00C258AD">
              <w:rPr>
                <w:color w:val="000000"/>
                <w:sz w:val="16"/>
                <w:szCs w:val="18"/>
                <w:lang w:eastAsia="fr-FR"/>
              </w:rPr>
              <w:t>104%</w:t>
            </w:r>
          </w:p>
        </w:tc>
      </w:tr>
      <w:tr w:rsidR="002D4597" w:rsidRPr="00C258AD" w:rsidTr="00C9182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2D4597" w:rsidRPr="00C258AD" w:rsidRDefault="002D4597" w:rsidP="00C9182C">
            <w:pPr>
              <w:rPr>
                <w:color w:val="000000"/>
                <w:sz w:val="16"/>
                <w:szCs w:val="18"/>
                <w:lang w:eastAsia="fr-FR"/>
              </w:rPr>
            </w:pPr>
            <w:r w:rsidRPr="00C258AD">
              <w:rPr>
                <w:color w:val="000000"/>
                <w:sz w:val="16"/>
                <w:szCs w:val="18"/>
                <w:lang w:eastAsia="fr-FR"/>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jc w:val="center"/>
              <w:rPr>
                <w:color w:val="000000"/>
                <w:sz w:val="16"/>
                <w:szCs w:val="18"/>
                <w:lang w:eastAsia="fr-FR"/>
              </w:rPr>
            </w:pPr>
            <w:r w:rsidRPr="00C258AD">
              <w:rPr>
                <w:color w:val="000000"/>
                <w:sz w:val="16"/>
                <w:szCs w:val="18"/>
                <w:lang w:eastAsia="fr-FR"/>
              </w:rPr>
              <w:t>1 438</w:t>
            </w:r>
          </w:p>
        </w:tc>
        <w:tc>
          <w:tcPr>
            <w:tcW w:w="1746"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jc w:val="center"/>
              <w:rPr>
                <w:color w:val="000000"/>
                <w:sz w:val="16"/>
                <w:szCs w:val="18"/>
                <w:lang w:eastAsia="fr-FR"/>
              </w:rPr>
            </w:pPr>
            <w:r w:rsidRPr="00C258AD">
              <w:rPr>
                <w:color w:val="000000"/>
                <w:sz w:val="16"/>
                <w:szCs w:val="18"/>
                <w:lang w:eastAsia="fr-FR"/>
              </w:rPr>
              <w:t>1 490</w:t>
            </w:r>
          </w:p>
        </w:tc>
        <w:tc>
          <w:tcPr>
            <w:tcW w:w="1746"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jc w:val="center"/>
              <w:rPr>
                <w:color w:val="000000"/>
                <w:sz w:val="16"/>
                <w:szCs w:val="18"/>
                <w:lang w:eastAsia="fr-FR"/>
              </w:rPr>
            </w:pPr>
            <w:r w:rsidRPr="00C258AD">
              <w:rPr>
                <w:color w:val="000000"/>
                <w:sz w:val="16"/>
                <w:szCs w:val="18"/>
                <w:lang w:eastAsia="fr-FR"/>
              </w:rPr>
              <w:t>1 457</w:t>
            </w:r>
          </w:p>
        </w:tc>
        <w:tc>
          <w:tcPr>
            <w:tcW w:w="1746"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jc w:val="center"/>
              <w:rPr>
                <w:color w:val="000000"/>
                <w:sz w:val="16"/>
                <w:szCs w:val="18"/>
                <w:lang w:eastAsia="fr-FR"/>
              </w:rPr>
            </w:pPr>
            <w:r w:rsidRPr="00C258AD">
              <w:rPr>
                <w:color w:val="000000"/>
                <w:sz w:val="16"/>
                <w:szCs w:val="18"/>
                <w:lang w:eastAsia="fr-FR"/>
              </w:rPr>
              <w:t>98%</w:t>
            </w:r>
          </w:p>
        </w:tc>
      </w:tr>
      <w:tr w:rsidR="002D4597" w:rsidRPr="00C258AD" w:rsidTr="00C9182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2D4597" w:rsidRPr="00C258AD" w:rsidRDefault="002D4597" w:rsidP="00C9182C">
            <w:pPr>
              <w:jc w:val="right"/>
              <w:rPr>
                <w:b/>
                <w:bCs/>
                <w:color w:val="000000"/>
                <w:sz w:val="16"/>
                <w:szCs w:val="18"/>
                <w:lang w:eastAsia="fr-FR"/>
              </w:rPr>
            </w:pPr>
            <w:r w:rsidRPr="00C258AD">
              <w:rPr>
                <w:b/>
                <w:bCs/>
                <w:color w:val="000000"/>
                <w:sz w:val="16"/>
                <w:szCs w:val="18"/>
                <w:lang w:eastAsia="fr-FR"/>
              </w:rPr>
              <w:t>TOTAL</w:t>
            </w:r>
          </w:p>
        </w:tc>
        <w:tc>
          <w:tcPr>
            <w:tcW w:w="1745"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jc w:val="center"/>
              <w:rPr>
                <w:b/>
                <w:bCs/>
                <w:color w:val="000000"/>
                <w:sz w:val="16"/>
                <w:szCs w:val="18"/>
                <w:lang w:eastAsia="fr-FR"/>
              </w:rPr>
            </w:pPr>
            <w:r w:rsidRPr="00C258AD">
              <w:rPr>
                <w:b/>
                <w:bCs/>
                <w:color w:val="000000"/>
                <w:sz w:val="16"/>
                <w:szCs w:val="18"/>
                <w:lang w:eastAsia="fr-FR"/>
              </w:rPr>
              <w:t>7 317</w:t>
            </w:r>
          </w:p>
        </w:tc>
        <w:tc>
          <w:tcPr>
            <w:tcW w:w="1746"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jc w:val="center"/>
              <w:rPr>
                <w:b/>
                <w:bCs/>
                <w:color w:val="000000"/>
                <w:sz w:val="16"/>
                <w:szCs w:val="18"/>
                <w:lang w:eastAsia="fr-FR"/>
              </w:rPr>
            </w:pPr>
            <w:r w:rsidRPr="00C258AD">
              <w:rPr>
                <w:b/>
                <w:bCs/>
                <w:color w:val="000000"/>
                <w:sz w:val="16"/>
                <w:szCs w:val="18"/>
                <w:lang w:eastAsia="fr-FR"/>
              </w:rPr>
              <w:t>7 298</w:t>
            </w:r>
          </w:p>
        </w:tc>
        <w:tc>
          <w:tcPr>
            <w:tcW w:w="1746"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jc w:val="center"/>
              <w:rPr>
                <w:b/>
                <w:bCs/>
                <w:color w:val="000000"/>
                <w:sz w:val="16"/>
                <w:szCs w:val="18"/>
                <w:lang w:eastAsia="fr-FR"/>
              </w:rPr>
            </w:pPr>
            <w:r w:rsidRPr="00C258AD">
              <w:rPr>
                <w:b/>
                <w:bCs/>
                <w:color w:val="000000"/>
                <w:sz w:val="16"/>
                <w:szCs w:val="18"/>
                <w:lang w:eastAsia="fr-FR"/>
              </w:rPr>
              <w:t>7 507</w:t>
            </w:r>
          </w:p>
        </w:tc>
        <w:tc>
          <w:tcPr>
            <w:tcW w:w="1746"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jc w:val="center"/>
              <w:rPr>
                <w:b/>
                <w:bCs/>
                <w:color w:val="000000"/>
                <w:sz w:val="16"/>
                <w:szCs w:val="18"/>
                <w:lang w:eastAsia="fr-FR"/>
              </w:rPr>
            </w:pPr>
            <w:r w:rsidRPr="00C258AD">
              <w:rPr>
                <w:b/>
                <w:bCs/>
                <w:color w:val="000000"/>
                <w:sz w:val="16"/>
                <w:szCs w:val="18"/>
                <w:lang w:eastAsia="fr-FR"/>
              </w:rPr>
              <w:t>103%</w:t>
            </w:r>
          </w:p>
        </w:tc>
      </w:tr>
    </w:tbl>
    <w:p w:rsidR="006E2BB1" w:rsidRPr="00C258AD" w:rsidRDefault="006E2BB1" w:rsidP="00C9182C">
      <w:pPr>
        <w:widowControl w:val="0"/>
        <w:autoSpaceDE w:val="0"/>
        <w:autoSpaceDN w:val="0"/>
        <w:adjustRightInd w:val="0"/>
        <w:jc w:val="both"/>
      </w:pPr>
    </w:p>
    <w:p w:rsidR="006E2BB1" w:rsidRPr="00C258AD" w:rsidRDefault="006E2BB1" w:rsidP="00C9182C">
      <w:pPr>
        <w:widowControl w:val="0"/>
        <w:autoSpaceDE w:val="0"/>
        <w:autoSpaceDN w:val="0"/>
        <w:adjustRightInd w:val="0"/>
        <w:jc w:val="both"/>
      </w:pPr>
    </w:p>
    <w:p w:rsidR="006E2BB1" w:rsidRPr="00C258AD" w:rsidRDefault="002D4597" w:rsidP="00C9182C">
      <w:pPr>
        <w:keepNext/>
        <w:keepLines/>
        <w:jc w:val="both"/>
        <w:rPr>
          <w:u w:val="single"/>
        </w:rPr>
      </w:pPr>
      <w:r w:rsidRPr="00C258AD">
        <w:t>A.</w:t>
      </w:r>
      <w:r w:rsidRPr="00C258AD">
        <w:tab/>
      </w:r>
      <w:r w:rsidRPr="00C258AD">
        <w:rPr>
          <w:u w:val="single"/>
        </w:rPr>
        <w:t>Budget final 2014</w:t>
      </w:r>
      <w:r w:rsidRPr="00C258AD">
        <w:rPr>
          <w:u w:val="single"/>
        </w:rPr>
        <w:noBreakHyphen/>
        <w:t>2015 après virements</w:t>
      </w:r>
    </w:p>
    <w:p w:rsidR="006E2BB1" w:rsidRPr="00C258AD" w:rsidRDefault="006E2BB1" w:rsidP="00C9182C">
      <w:pPr>
        <w:keepNext/>
        <w:keepLines/>
        <w:jc w:val="both"/>
        <w:rPr>
          <w:u w:val="single"/>
        </w:rPr>
      </w:pPr>
    </w:p>
    <w:p w:rsidR="006E2BB1" w:rsidRPr="00C258AD" w:rsidRDefault="002D4597" w:rsidP="00BB4DBC">
      <w:pPr>
        <w:pStyle w:val="ListParagraph"/>
        <w:numPr>
          <w:ilvl w:val="0"/>
          <w:numId w:val="14"/>
        </w:numPr>
        <w:tabs>
          <w:tab w:val="left" w:pos="709"/>
        </w:tabs>
        <w:ind w:left="0" w:firstLine="0"/>
        <w:jc w:val="both"/>
      </w:pPr>
      <w:r w:rsidRPr="00C258AD">
        <w:t>La légère diminution observée dans le budget final après virements pour 2014</w:t>
      </w:r>
      <w:r w:rsidRPr="00C258AD">
        <w:noBreakHyphen/>
        <w:t>2015 (dépenses de personnel) rend compte du résultat net des reclassements de postes.</w:t>
      </w:r>
    </w:p>
    <w:p w:rsidR="006E2BB1" w:rsidRPr="00C258AD" w:rsidRDefault="006E2BB1" w:rsidP="00C9182C">
      <w:pPr>
        <w:pStyle w:val="ListParagraph"/>
        <w:numPr>
          <w:ilvl w:val="0"/>
          <w:numId w:val="0"/>
        </w:numPr>
        <w:tabs>
          <w:tab w:val="left" w:pos="709"/>
        </w:tabs>
        <w:jc w:val="both"/>
      </w:pPr>
    </w:p>
    <w:p w:rsidR="006E2BB1" w:rsidRPr="00C258AD" w:rsidRDefault="002D4597" w:rsidP="00BB4DBC">
      <w:pPr>
        <w:pStyle w:val="ListParagraph"/>
        <w:numPr>
          <w:ilvl w:val="0"/>
          <w:numId w:val="14"/>
        </w:numPr>
        <w:tabs>
          <w:tab w:val="left" w:pos="709"/>
        </w:tabs>
        <w:ind w:left="0" w:firstLine="0"/>
        <w:jc w:val="both"/>
      </w:pPr>
      <w:r w:rsidRPr="00C258AD">
        <w:t>L’augmentation des dépenses autres que les dépenses de personnel est essentiellement due au coût plus élevé que prévu de la mise au point et de l’hébergement du logiciel de reclassement de la CIB et au coût plus élevé des services d’interprétation pour des événements organisés en rapport avec l’administration de l’Union de la CIB.</w:t>
      </w:r>
    </w:p>
    <w:p w:rsidR="006E2BB1" w:rsidRPr="00C258AD" w:rsidRDefault="006E2BB1" w:rsidP="00C9182C"/>
    <w:p w:rsidR="006E2BB1" w:rsidRPr="00C258AD" w:rsidRDefault="006E2BB1" w:rsidP="00C9182C">
      <w:pPr>
        <w:autoSpaceDE w:val="0"/>
        <w:autoSpaceDN w:val="0"/>
        <w:jc w:val="both"/>
        <w:rPr>
          <w:lang w:eastAsia="ko-KR"/>
        </w:rPr>
      </w:pPr>
    </w:p>
    <w:p w:rsidR="006E2BB1" w:rsidRPr="00C258AD" w:rsidRDefault="002D4597" w:rsidP="00C9182C">
      <w:pPr>
        <w:keepNext/>
        <w:keepLines/>
        <w:jc w:val="both"/>
        <w:rPr>
          <w:u w:val="single"/>
          <w:lang w:eastAsia="ko-KR"/>
        </w:rPr>
      </w:pPr>
      <w:r w:rsidRPr="00C258AD">
        <w:rPr>
          <w:lang w:eastAsia="ko-KR"/>
        </w:rPr>
        <w:t>B.</w:t>
      </w:r>
      <w:r w:rsidRPr="00C258AD">
        <w:rPr>
          <w:lang w:eastAsia="ko-KR"/>
        </w:rPr>
        <w:tab/>
      </w:r>
      <w:r w:rsidRPr="00C258AD">
        <w:rPr>
          <w:u w:val="single"/>
          <w:lang w:eastAsia="ko-KR"/>
        </w:rPr>
        <w:t>Utilisation du budget en 2014</w:t>
      </w:r>
      <w:r w:rsidRPr="00C258AD">
        <w:rPr>
          <w:u w:val="single"/>
          <w:lang w:eastAsia="ko-KR"/>
        </w:rPr>
        <w:noBreakHyphen/>
        <w:t>2015</w:t>
      </w:r>
    </w:p>
    <w:p w:rsidR="006E2BB1" w:rsidRPr="00C258AD" w:rsidRDefault="006E2BB1" w:rsidP="00C9182C">
      <w:pPr>
        <w:keepNext/>
        <w:keepLines/>
        <w:tabs>
          <w:tab w:val="left" w:pos="709"/>
        </w:tabs>
        <w:jc w:val="both"/>
        <w:rPr>
          <w:u w:val="single"/>
          <w:lang w:eastAsia="ko-KR"/>
        </w:rPr>
      </w:pPr>
    </w:p>
    <w:p w:rsidR="006E2BB1" w:rsidRPr="00C258AD" w:rsidRDefault="002D4597" w:rsidP="00BB4DBC">
      <w:pPr>
        <w:pStyle w:val="ListParagraph"/>
        <w:keepNext/>
        <w:keepLines/>
        <w:numPr>
          <w:ilvl w:val="0"/>
          <w:numId w:val="14"/>
        </w:numPr>
        <w:tabs>
          <w:tab w:val="left" w:pos="709"/>
        </w:tabs>
        <w:ind w:left="0" w:firstLine="0"/>
        <w:jc w:val="both"/>
        <w:rPr>
          <w:lang w:eastAsia="ko-KR"/>
        </w:rPr>
      </w:pPr>
      <w:r w:rsidRPr="00C258AD">
        <w:rPr>
          <w:lang w:eastAsia="ko-KR"/>
        </w:rPr>
        <w:t>L’utilisation du budget se situe dans la fourchette prévue pour l’exercice biennal.</w:t>
      </w:r>
    </w:p>
    <w:p w:rsidR="006E2BB1" w:rsidRPr="00C258AD" w:rsidRDefault="002D4597">
      <w:pPr>
        <w:spacing w:after="200" w:line="276" w:lineRule="auto"/>
        <w:rPr>
          <w:lang w:eastAsia="ko-KR"/>
        </w:rPr>
      </w:pPr>
      <w:r w:rsidRPr="00C258AD">
        <w:rPr>
          <w:lang w:eastAsia="ko-KR"/>
        </w:rPr>
        <w:br w:type="page"/>
      </w:r>
    </w:p>
    <w:p w:rsidR="006E2BB1" w:rsidRPr="00C258AD" w:rsidRDefault="002D4597" w:rsidP="00305CE5">
      <w:pPr>
        <w:pStyle w:val="Heading3"/>
      </w:pPr>
      <w:bookmarkStart w:id="113" w:name="_Toc422404234"/>
      <w:bookmarkStart w:id="114" w:name="_Toc423352882"/>
      <w:bookmarkStart w:id="115" w:name="_Toc455394194"/>
      <w:r w:rsidRPr="00C258AD">
        <w:lastRenderedPageBreak/>
        <w:t>Programme 13</w:t>
      </w:r>
      <w:r w:rsidRPr="00C258AD">
        <w:tab/>
        <w:t>Bases de données mondiales</w:t>
      </w:r>
      <w:bookmarkEnd w:id="113"/>
      <w:bookmarkEnd w:id="114"/>
      <w:bookmarkEnd w:id="115"/>
    </w:p>
    <w:p w:rsidR="006E2BB1" w:rsidRPr="00C258AD" w:rsidRDefault="006E2BB1" w:rsidP="00C9182C"/>
    <w:p w:rsidR="006E2BB1" w:rsidRPr="00C258AD" w:rsidRDefault="002D4597" w:rsidP="00C9182C">
      <w:pPr>
        <w:rPr>
          <w:b/>
        </w:rPr>
      </w:pPr>
      <w:r w:rsidRPr="00C258AD">
        <w:rPr>
          <w:b/>
        </w:rPr>
        <w:t>Chef de programme</w:t>
      </w:r>
      <w:r w:rsidRPr="00C258AD">
        <w:rPr>
          <w:b/>
        </w:rPr>
        <w:tab/>
        <w:t>M. Y. Takagi</w:t>
      </w:r>
    </w:p>
    <w:p w:rsidR="006E2BB1" w:rsidRPr="00C258AD" w:rsidRDefault="006E2BB1" w:rsidP="00C9182C"/>
    <w:p w:rsidR="006E2BB1" w:rsidRPr="00C258AD" w:rsidRDefault="006E2BB1" w:rsidP="00C9182C"/>
    <w:p w:rsidR="006E2BB1" w:rsidRPr="00C258AD" w:rsidRDefault="00BA0AED" w:rsidP="00305CE5">
      <w:pPr>
        <w:keepNext/>
        <w:rPr>
          <w:rFonts w:cs="Arial"/>
          <w:caps/>
          <w:sz w:val="22"/>
          <w:szCs w:val="22"/>
        </w:rPr>
      </w:pPr>
      <w:r w:rsidRPr="00C258AD">
        <w:rPr>
          <w:rFonts w:cs="Arial"/>
          <w:caps/>
          <w:sz w:val="22"/>
          <w:szCs w:val="22"/>
        </w:rPr>
        <w:t xml:space="preserve">Réalisations au cours de l’exercice </w:t>
      </w:r>
      <w:r w:rsidR="00BB5DFE">
        <w:rPr>
          <w:rFonts w:cs="Arial"/>
          <w:caps/>
          <w:sz w:val="22"/>
          <w:szCs w:val="22"/>
        </w:rPr>
        <w:t>biennal 2014</w:t>
      </w:r>
      <w:r w:rsidR="00BB5DFE">
        <w:rPr>
          <w:rFonts w:cs="Arial"/>
          <w:caps/>
          <w:sz w:val="22"/>
          <w:szCs w:val="22"/>
        </w:rPr>
        <w:noBreakHyphen/>
      </w:r>
      <w:r w:rsidRPr="00C258AD">
        <w:rPr>
          <w:rFonts w:cs="Arial"/>
          <w:caps/>
          <w:sz w:val="22"/>
          <w:szCs w:val="22"/>
        </w:rPr>
        <w:t>2015</w:t>
      </w:r>
    </w:p>
    <w:p w:rsidR="006E2BB1" w:rsidRPr="00C258AD" w:rsidRDefault="006E2BB1" w:rsidP="00C9182C">
      <w:pPr>
        <w:jc w:val="both"/>
      </w:pPr>
    </w:p>
    <w:p w:rsidR="006E2BB1" w:rsidRPr="00C258AD" w:rsidRDefault="002D4597" w:rsidP="00BB4DBC">
      <w:pPr>
        <w:pStyle w:val="ListParagraph"/>
        <w:numPr>
          <w:ilvl w:val="0"/>
          <w:numId w:val="15"/>
        </w:numPr>
        <w:tabs>
          <w:tab w:val="left" w:pos="709"/>
        </w:tabs>
        <w:ind w:left="0" w:firstLine="0"/>
        <w:jc w:val="both"/>
      </w:pPr>
      <w:r w:rsidRPr="00C258AD">
        <w:t xml:space="preserve">Le système </w:t>
      </w:r>
      <w:r w:rsidRPr="00C258AD">
        <w:rPr>
          <w:caps/>
        </w:rPr>
        <w:t>Patentscope</w:t>
      </w:r>
      <w:r w:rsidRPr="00C258AD">
        <w:t xml:space="preserve"> a été renforcé en 2014</w:t>
      </w:r>
      <w:r w:rsidRPr="00C258AD">
        <w:noBreakHyphen/>
        <w:t xml:space="preserve">2015 et l’accent a été mis en particulier sur l’amélioration de l’accès au système dans les régions confrontées à des temps d’attente élevés.  </w:t>
      </w:r>
      <w:r w:rsidRPr="00C258AD">
        <w:rPr>
          <w:rFonts w:eastAsia="MS Mincho"/>
          <w:lang w:eastAsia="ja-JP" w:bidi="th-TH"/>
        </w:rPr>
        <w:t xml:space="preserve">Des améliorations concrètes ont également été enregistrées pour les utilisateurs en Asie.  </w:t>
      </w:r>
      <w:r w:rsidRPr="00C258AD">
        <w:t xml:space="preserve">Deux langues supplémentaires (danois et polonais) ont été ajoutées dans le système de recherche multilingue “Cross Lingual Information </w:t>
      </w:r>
      <w:proofErr w:type="spellStart"/>
      <w:r w:rsidRPr="00C258AD">
        <w:t>Retrieval</w:t>
      </w:r>
      <w:proofErr w:type="spellEnd"/>
      <w:r w:rsidRPr="00C258AD">
        <w:t>” (CLIR), portant le nombre total de langues à 14 à la fin de l’exercice biennal.  WIPO Translate</w:t>
      </w:r>
      <w:r w:rsidRPr="00C258AD">
        <w:rPr>
          <w:rStyle w:val="FootnoteReference"/>
          <w:rFonts w:eastAsia="SimSun"/>
          <w:color w:val="000000"/>
        </w:rPr>
        <w:footnoteReference w:id="84"/>
      </w:r>
      <w:r w:rsidRPr="00C258AD">
        <w:rPr>
          <w:color w:val="000000"/>
        </w:rPr>
        <w:t xml:space="preserve">, un outil de traduction </w:t>
      </w:r>
      <w:r w:rsidRPr="00C258AD">
        <w:t xml:space="preserve">automatique </w:t>
      </w:r>
      <w:r w:rsidRPr="00C258AD">
        <w:rPr>
          <w:color w:val="000000"/>
        </w:rPr>
        <w:t xml:space="preserve">créé en interne, a été appliqué à trois nouvelles </w:t>
      </w:r>
      <w:r w:rsidRPr="00C258AD">
        <w:t xml:space="preserve">combinaisons linguistiques </w:t>
      </w:r>
      <w:r w:rsidRPr="00C258AD">
        <w:rPr>
          <w:color w:val="000000"/>
        </w:rPr>
        <w:t>difficiles à la fin de l’exercice biennal : anglais</w:t>
      </w:r>
      <w:r w:rsidRPr="00C258AD">
        <w:rPr>
          <w:color w:val="000000"/>
        </w:rPr>
        <w:noBreakHyphen/>
        <w:t>chinois, anglais</w:t>
      </w:r>
      <w:r w:rsidRPr="00C258AD">
        <w:rPr>
          <w:color w:val="000000"/>
        </w:rPr>
        <w:noBreakHyphen/>
        <w:t>coréen et anglais</w:t>
      </w:r>
      <w:r w:rsidRPr="00C258AD">
        <w:rPr>
          <w:color w:val="000000"/>
        </w:rPr>
        <w:noBreakHyphen/>
        <w:t xml:space="preserve">russe, ce qui porte le nombre total de </w:t>
      </w:r>
      <w:r w:rsidRPr="00C258AD">
        <w:t xml:space="preserve">combinaisons linguistiques </w:t>
      </w:r>
      <w:r w:rsidRPr="00C258AD">
        <w:rPr>
          <w:color w:val="000000"/>
        </w:rPr>
        <w:t>à sept.  Au cours de l’exercice biennal, la traduction intégrale des descriptions et des revendications de brevet dans la combinaison anglais</w:t>
      </w:r>
      <w:r w:rsidRPr="00C258AD">
        <w:rPr>
          <w:color w:val="000000"/>
        </w:rPr>
        <w:noBreakHyphen/>
        <w:t>chinois a aussi été lancée.  La recherche d’outils supplémentaires de traduction automatique a également progressé en 2014</w:t>
      </w:r>
      <w:r w:rsidRPr="00C258AD">
        <w:rPr>
          <w:color w:val="000000"/>
        </w:rPr>
        <w:noBreakHyphen/>
        <w:t xml:space="preserve">2015.  WIPO Translate a continué de trouver une application dans d’autres organisations du système des Nations Unies, a obtenu d’excellents résultats au terme d’examens collégiaux et il a systématiquement produit des résultats supérieurs à ceux d’autres outils de traduction automatique tels que </w:t>
      </w:r>
      <w:r w:rsidRPr="00C258AD">
        <w:rPr>
          <w:rFonts w:eastAsia="MS Mincho"/>
          <w:lang w:eastAsia="ja-JP" w:bidi="th-TH"/>
        </w:rPr>
        <w:t>Google Translate</w:t>
      </w:r>
      <w:r w:rsidRPr="00C258AD">
        <w:rPr>
          <w:color w:val="000000"/>
        </w:rPr>
        <w:t>.</w:t>
      </w:r>
    </w:p>
    <w:p w:rsidR="006E2BB1" w:rsidRPr="00C258AD" w:rsidRDefault="006E2BB1" w:rsidP="00C9182C">
      <w:pPr>
        <w:tabs>
          <w:tab w:val="left" w:pos="709"/>
        </w:tabs>
        <w:jc w:val="both"/>
      </w:pPr>
    </w:p>
    <w:p w:rsidR="006E2BB1" w:rsidRPr="00C258AD" w:rsidRDefault="002D4597" w:rsidP="00BB4DBC">
      <w:pPr>
        <w:pStyle w:val="ListParagraph"/>
        <w:numPr>
          <w:ilvl w:val="0"/>
          <w:numId w:val="15"/>
        </w:numPr>
        <w:tabs>
          <w:tab w:val="left" w:pos="0"/>
        </w:tabs>
        <w:ind w:left="0" w:firstLine="0"/>
        <w:jc w:val="both"/>
        <w:rPr>
          <w:rFonts w:eastAsia="MS Mincho"/>
          <w:lang w:eastAsia="ja-JP" w:bidi="th-TH"/>
        </w:rPr>
      </w:pPr>
      <w:r w:rsidRPr="00C258AD">
        <w:rPr>
          <w:rFonts w:eastAsia="MS Mincho"/>
          <w:lang w:eastAsia="ja-JP" w:bidi="th-TH"/>
        </w:rPr>
        <w:t>Une hausse significative du volume de données et du niveau d’utilisation des bases de données de propriété intellectuelle de l’OMPI a été enregistrée au cours de l’exercice biennal.  Il convient tout particulièrement de noter le lancement en janvier 2015 d’un nouveau service, la Base de données mondiale sur les dessins et modèles.  À la fin de 2015, un an tout juste après son lancement, la Base de données mondiale sur les dessins et modèles avait déjà atteint le nombre impressionnant de 14 000 connexions uniques par trimestre.  En outre le nombre de collections nationales (figurant sous la mention “hors Arrangement de La Haye” dans le graphique ci</w:t>
      </w:r>
      <w:r w:rsidRPr="00C258AD">
        <w:rPr>
          <w:rFonts w:eastAsia="MS Mincho"/>
          <w:lang w:eastAsia="ja-JP" w:bidi="th-TH"/>
        </w:rPr>
        <w:noBreakHyphen/>
        <w:t>après) s’élevait à cinq, contenant plus de 1,5 million de documents relatifs à des dessins ou modèles.</w:t>
      </w:r>
    </w:p>
    <w:p w:rsidR="006E2BB1" w:rsidRPr="00C258AD" w:rsidRDefault="006E2BB1" w:rsidP="00C9182C">
      <w:pPr>
        <w:jc w:val="both"/>
      </w:pPr>
    </w:p>
    <w:p w:rsidR="006E2BB1" w:rsidRPr="00C258AD" w:rsidRDefault="002D4597" w:rsidP="00C9182C">
      <w:pPr>
        <w:keepNext/>
        <w:keepLines/>
        <w:autoSpaceDE w:val="0"/>
        <w:autoSpaceDN w:val="0"/>
        <w:adjustRightInd w:val="0"/>
        <w:jc w:val="center"/>
        <w:rPr>
          <w:bCs/>
          <w:color w:val="000000"/>
          <w:sz w:val="22"/>
          <w:szCs w:val="22"/>
        </w:rPr>
      </w:pPr>
      <w:r w:rsidRPr="00C258AD">
        <w:rPr>
          <w:bCs/>
          <w:color w:val="000000"/>
          <w:sz w:val="22"/>
          <w:szCs w:val="22"/>
        </w:rPr>
        <w:t>Base de données mondiale sur les dessins et modèles 2015</w:t>
      </w:r>
    </w:p>
    <w:p w:rsidR="006E2BB1" w:rsidRPr="00C258AD" w:rsidRDefault="006E2BB1" w:rsidP="00C9182C">
      <w:pPr>
        <w:keepNext/>
        <w:keepLines/>
        <w:autoSpaceDE w:val="0"/>
        <w:autoSpaceDN w:val="0"/>
        <w:adjustRightInd w:val="0"/>
        <w:jc w:val="center"/>
        <w:rPr>
          <w:bCs/>
          <w:color w:val="000000"/>
          <w:sz w:val="22"/>
          <w:szCs w:val="22"/>
        </w:rPr>
      </w:pPr>
    </w:p>
    <w:p w:rsidR="006E2BB1" w:rsidRPr="00C258AD" w:rsidRDefault="002D4597" w:rsidP="00C9182C">
      <w:pPr>
        <w:keepNext/>
        <w:keepLines/>
        <w:autoSpaceDE w:val="0"/>
        <w:autoSpaceDN w:val="0"/>
        <w:adjustRightInd w:val="0"/>
        <w:jc w:val="center"/>
        <w:rPr>
          <w:bCs/>
          <w:color w:val="000000"/>
          <w:sz w:val="22"/>
          <w:szCs w:val="22"/>
        </w:rPr>
      </w:pPr>
      <w:r w:rsidRPr="00C258AD">
        <w:rPr>
          <w:noProof/>
          <w:lang w:val="en-US"/>
        </w:rPr>
        <w:drawing>
          <wp:inline distT="0" distB="0" distL="0" distR="0" wp14:anchorId="14D8760F" wp14:editId="4F35D07A">
            <wp:extent cx="4062200" cy="23760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4062200" cy="2376000"/>
                    </a:xfrm>
                    <a:prstGeom prst="rect">
                      <a:avLst/>
                    </a:prstGeom>
                    <a:noFill/>
                    <a:ln>
                      <a:noFill/>
                    </a:ln>
                  </pic:spPr>
                </pic:pic>
              </a:graphicData>
            </a:graphic>
          </wp:inline>
        </w:drawing>
      </w:r>
    </w:p>
    <w:p w:rsidR="006E2BB1" w:rsidRPr="00C258AD" w:rsidRDefault="006E2BB1" w:rsidP="00C9182C">
      <w:pPr>
        <w:keepNext/>
        <w:keepLines/>
        <w:jc w:val="both"/>
      </w:pPr>
    </w:p>
    <w:p w:rsidR="006E2BB1" w:rsidRPr="00C258AD" w:rsidRDefault="002D4597" w:rsidP="00BB4DBC">
      <w:pPr>
        <w:pStyle w:val="ListParagraph"/>
        <w:numPr>
          <w:ilvl w:val="0"/>
          <w:numId w:val="15"/>
        </w:numPr>
        <w:tabs>
          <w:tab w:val="left" w:pos="709"/>
        </w:tabs>
        <w:ind w:left="0" w:firstLine="0"/>
        <w:jc w:val="both"/>
        <w:rPr>
          <w:bCs/>
          <w:color w:val="000000"/>
        </w:rPr>
      </w:pPr>
      <w:r w:rsidRPr="00C258AD">
        <w:rPr>
          <w:bCs/>
          <w:color w:val="000000"/>
        </w:rPr>
        <w:t xml:space="preserve">Avec </w:t>
      </w:r>
      <w:r w:rsidRPr="00C258AD">
        <w:t>l’introduction</w:t>
      </w:r>
      <w:r w:rsidRPr="00C258AD">
        <w:rPr>
          <w:bCs/>
          <w:color w:val="000000"/>
        </w:rPr>
        <w:t xml:space="preserve"> d’une fonction efficace de recherche de la similarité des images,</w:t>
      </w:r>
      <w:r w:rsidRPr="00C258AD">
        <w:rPr>
          <w:rFonts w:eastAsia="MS Mincho"/>
          <w:lang w:eastAsia="ja-JP" w:bidi="th-TH"/>
        </w:rPr>
        <w:t xml:space="preserve"> la première de ce genre dans un système public de recherche en matière de propriété intellectuelle, </w:t>
      </w:r>
      <w:r w:rsidRPr="00C258AD">
        <w:rPr>
          <w:bCs/>
          <w:color w:val="000000"/>
        </w:rPr>
        <w:t>l’utilisation de la base de données mondiale sur les marques a dépassé les attentes en 2014</w:t>
      </w:r>
      <w:r w:rsidRPr="00C258AD">
        <w:rPr>
          <w:bCs/>
          <w:color w:val="000000"/>
        </w:rPr>
        <w:noBreakHyphen/>
        <w:t>2015, le nombre de connexions uniques par trimestre ayant été multiplié par quatre, passant de 23 000 à la fin de 2013 à 80 000.  Le nombre de collections nationales (figurant sous la mention “hors Arrangement de Madrid” dans le graphique ci</w:t>
      </w:r>
      <w:r w:rsidRPr="00C258AD">
        <w:rPr>
          <w:bCs/>
          <w:color w:val="000000"/>
        </w:rPr>
        <w:noBreakHyphen/>
        <w:t xml:space="preserve">dessous) a plus que doublé, passant de 12 à la fin de 2013 à 26 à la fin de 2015.  </w:t>
      </w:r>
      <w:r w:rsidRPr="00C258AD">
        <w:rPr>
          <w:bCs/>
          <w:color w:val="000000"/>
        </w:rPr>
        <w:lastRenderedPageBreak/>
        <w:t>De même, le nombre total d’entrées contenues dans le système a également plus que doublé au cours de l’exercice 2014</w:t>
      </w:r>
      <w:r w:rsidRPr="00C258AD">
        <w:rPr>
          <w:bCs/>
          <w:color w:val="000000"/>
        </w:rPr>
        <w:noBreakHyphen/>
        <w:t>2015, passant de 12 millions à plus de 24 millions d’enregistrements.</w:t>
      </w:r>
    </w:p>
    <w:p w:rsidR="006E2BB1" w:rsidRPr="00C258AD" w:rsidRDefault="006E2BB1" w:rsidP="00C9182C">
      <w:pPr>
        <w:jc w:val="both"/>
        <w:rPr>
          <w:bCs/>
        </w:rPr>
      </w:pPr>
    </w:p>
    <w:p w:rsidR="006E2BB1" w:rsidRPr="00C258AD" w:rsidRDefault="006E2BB1" w:rsidP="00C9182C">
      <w:pPr>
        <w:jc w:val="center"/>
      </w:pPr>
    </w:p>
    <w:p w:rsidR="006E2BB1" w:rsidRPr="00C258AD" w:rsidRDefault="002D4597" w:rsidP="00C9182C">
      <w:pPr>
        <w:jc w:val="center"/>
        <w:rPr>
          <w:sz w:val="22"/>
        </w:rPr>
      </w:pPr>
      <w:r w:rsidRPr="00C258AD">
        <w:rPr>
          <w:sz w:val="22"/>
        </w:rPr>
        <w:t>Base de données mondiale sur les marques 2014</w:t>
      </w:r>
      <w:r w:rsidRPr="00C258AD">
        <w:rPr>
          <w:sz w:val="22"/>
        </w:rPr>
        <w:noBreakHyphen/>
        <w:t>2015</w:t>
      </w:r>
    </w:p>
    <w:p w:rsidR="006E2BB1" w:rsidRPr="00C258AD" w:rsidRDefault="006E2BB1" w:rsidP="00C9182C">
      <w:pPr>
        <w:jc w:val="center"/>
        <w:rPr>
          <w:bCs/>
        </w:rPr>
      </w:pPr>
    </w:p>
    <w:p w:rsidR="006E2BB1" w:rsidRPr="00C258AD" w:rsidRDefault="002D4597" w:rsidP="00C9182C">
      <w:pPr>
        <w:jc w:val="center"/>
        <w:rPr>
          <w:bCs/>
        </w:rPr>
      </w:pPr>
      <w:r w:rsidRPr="00C258AD">
        <w:rPr>
          <w:noProof/>
          <w:lang w:val="en-US"/>
        </w:rPr>
        <w:drawing>
          <wp:inline distT="0" distB="0" distL="0" distR="0" wp14:anchorId="5E8BA68B" wp14:editId="2E81149D">
            <wp:extent cx="4062194" cy="2376000"/>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4062194" cy="2376000"/>
                    </a:xfrm>
                    <a:prstGeom prst="rect">
                      <a:avLst/>
                    </a:prstGeom>
                    <a:noFill/>
                    <a:ln>
                      <a:noFill/>
                    </a:ln>
                  </pic:spPr>
                </pic:pic>
              </a:graphicData>
            </a:graphic>
          </wp:inline>
        </w:drawing>
      </w:r>
    </w:p>
    <w:p w:rsidR="006E2BB1" w:rsidRPr="00C258AD" w:rsidRDefault="006E2BB1" w:rsidP="00C9182C">
      <w:pPr>
        <w:jc w:val="center"/>
      </w:pPr>
    </w:p>
    <w:p w:rsidR="006E2BB1" w:rsidRPr="00C258AD" w:rsidRDefault="002D4597" w:rsidP="00BB4DBC">
      <w:pPr>
        <w:pStyle w:val="ListParagraph"/>
        <w:numPr>
          <w:ilvl w:val="0"/>
          <w:numId w:val="15"/>
        </w:numPr>
        <w:tabs>
          <w:tab w:val="left" w:pos="709"/>
        </w:tabs>
        <w:ind w:left="0" w:firstLine="0"/>
        <w:jc w:val="both"/>
        <w:rPr>
          <w:rFonts w:eastAsia="MS Mincho"/>
          <w:lang w:eastAsia="ja-JP" w:bidi="th-TH"/>
        </w:rPr>
      </w:pPr>
      <w:r w:rsidRPr="00C258AD">
        <w:rPr>
          <w:rFonts w:eastAsia="MS Mincho"/>
          <w:lang w:eastAsia="ja-JP" w:bidi="th-TH"/>
        </w:rPr>
        <w:t xml:space="preserve">Le service </w:t>
      </w:r>
      <w:r w:rsidRPr="00C258AD">
        <w:t>PATENTSCOPE</w:t>
      </w:r>
      <w:r w:rsidRPr="00C258AD">
        <w:rPr>
          <w:rFonts w:eastAsia="MS Mincho"/>
          <w:lang w:eastAsia="ja-JP" w:bidi="th-TH"/>
        </w:rPr>
        <w:t xml:space="preserve"> a continué d’enregistrer un fort taux d’utilisation, avec une moyenne de 500 000 pages vues par jour.  Le nombre de connexions uniques est resté stable avec plus de 221 000 connexions uniques par trimestre à la fin de l’exercice biennal, ce qui montre que les niveaux de service du moteur de recherche PATENTSCOPE sont désormais suffisamment élevés pour qu’il y ait moins de retours.  Le nombre de collections figurant dans PATENTSCOPE a également augmenté de 19% depuis 2013, ce qui porte le nombre total de collections nationales et régionales (figurant sous la mention “hors PCT” dans le graphique ci</w:t>
      </w:r>
      <w:r w:rsidRPr="00C258AD">
        <w:rPr>
          <w:rFonts w:eastAsia="MS Mincho"/>
          <w:lang w:eastAsia="ja-JP" w:bidi="th-TH"/>
        </w:rPr>
        <w:noBreakHyphen/>
        <w:t>dessous) à 43 (contre 36 à la fin de 2013) et le nombre total d’entrées à plus de 50 millions (contre 34 millions à la fin de 2013), soit une hausse de 47% par rapport à 2013.</w:t>
      </w:r>
    </w:p>
    <w:p w:rsidR="006E2BB1" w:rsidRPr="00C258AD" w:rsidRDefault="006E2BB1" w:rsidP="00C9182C">
      <w:pPr>
        <w:jc w:val="center"/>
        <w:rPr>
          <w:rFonts w:eastAsia="MS Mincho"/>
          <w:lang w:eastAsia="ja-JP" w:bidi="th-TH"/>
        </w:rPr>
      </w:pPr>
    </w:p>
    <w:p w:rsidR="006E2BB1" w:rsidRPr="00C258AD" w:rsidRDefault="002D4597" w:rsidP="00C9182C">
      <w:pPr>
        <w:jc w:val="center"/>
        <w:rPr>
          <w:rFonts w:eastAsia="MS Mincho"/>
          <w:sz w:val="22"/>
          <w:lang w:eastAsia="ja-JP" w:bidi="th-TH"/>
        </w:rPr>
      </w:pPr>
      <w:r w:rsidRPr="00C258AD">
        <w:rPr>
          <w:rFonts w:eastAsia="MS Mincho"/>
          <w:sz w:val="22"/>
          <w:lang w:eastAsia="ja-JP" w:bidi="th-TH"/>
        </w:rPr>
        <w:t>Entrées PATENTSCOPE 2014</w:t>
      </w:r>
      <w:r w:rsidRPr="00C258AD">
        <w:rPr>
          <w:rFonts w:eastAsia="MS Mincho"/>
          <w:sz w:val="22"/>
          <w:lang w:eastAsia="ja-JP" w:bidi="th-TH"/>
        </w:rPr>
        <w:noBreakHyphen/>
        <w:t>2015</w:t>
      </w:r>
    </w:p>
    <w:p w:rsidR="006E2BB1" w:rsidRPr="00C258AD" w:rsidRDefault="006E2BB1" w:rsidP="00C9182C">
      <w:pPr>
        <w:jc w:val="center"/>
        <w:rPr>
          <w:rFonts w:eastAsia="MS Mincho"/>
          <w:lang w:eastAsia="ja-JP" w:bidi="th-TH"/>
        </w:rPr>
      </w:pPr>
    </w:p>
    <w:p w:rsidR="006E2BB1" w:rsidRPr="00C258AD" w:rsidRDefault="002D4597" w:rsidP="00C9182C">
      <w:pPr>
        <w:jc w:val="center"/>
        <w:rPr>
          <w:rFonts w:eastAsia="MS Mincho"/>
          <w:lang w:eastAsia="ja-JP" w:bidi="th-TH"/>
        </w:rPr>
      </w:pPr>
      <w:r w:rsidRPr="00C258AD">
        <w:rPr>
          <w:rFonts w:eastAsia="MS Mincho"/>
          <w:noProof/>
          <w:lang w:val="en-US"/>
        </w:rPr>
        <w:drawing>
          <wp:inline distT="0" distB="0" distL="0" distR="0" wp14:anchorId="29009704" wp14:editId="16AE2EFA">
            <wp:extent cx="4062194" cy="2376000"/>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4062194" cy="2376000"/>
                    </a:xfrm>
                    <a:prstGeom prst="rect">
                      <a:avLst/>
                    </a:prstGeom>
                    <a:noFill/>
                    <a:ln>
                      <a:noFill/>
                    </a:ln>
                  </pic:spPr>
                </pic:pic>
              </a:graphicData>
            </a:graphic>
          </wp:inline>
        </w:drawing>
      </w:r>
    </w:p>
    <w:p w:rsidR="006E2BB1" w:rsidRPr="00C258AD" w:rsidRDefault="006E2BB1" w:rsidP="00C9182C">
      <w:pPr>
        <w:jc w:val="center"/>
      </w:pPr>
    </w:p>
    <w:p w:rsidR="006E2BB1" w:rsidRPr="00C258AD" w:rsidRDefault="002D4597" w:rsidP="00BB4DBC">
      <w:pPr>
        <w:pStyle w:val="ListParagraph"/>
        <w:numPr>
          <w:ilvl w:val="0"/>
          <w:numId w:val="15"/>
        </w:numPr>
        <w:tabs>
          <w:tab w:val="left" w:pos="709"/>
        </w:tabs>
        <w:ind w:left="0" w:firstLine="0"/>
        <w:jc w:val="both"/>
        <w:rPr>
          <w:bCs/>
        </w:rPr>
      </w:pPr>
      <w:r w:rsidRPr="00C258AD">
        <w:rPr>
          <w:bCs/>
        </w:rPr>
        <w:t xml:space="preserve">Le </w:t>
      </w:r>
      <w:r w:rsidRPr="00C258AD">
        <w:t>programme</w:t>
      </w:r>
      <w:r w:rsidRPr="00C258AD">
        <w:rPr>
          <w:bCs/>
        </w:rPr>
        <w:t> 13 a continué de contribuer aux recommandations n</w:t>
      </w:r>
      <w:r w:rsidRPr="00C258AD">
        <w:rPr>
          <w:bCs/>
          <w:vertAlign w:val="superscript"/>
        </w:rPr>
        <w:t>os</w:t>
      </w:r>
      <w:r w:rsidRPr="00C258AD">
        <w:rPr>
          <w:bCs/>
        </w:rPr>
        <w:t> 24 et 31 du Plan d’action pour le développement, comblant la fracture numérique et facilitant l’accès à l’information en matière de propriété intellectuelle accessible au public en continuant d’accroître le nombre des entrées de propriété intellectuelle disponibles à des fins de recherche et d’extension de la recherche et des fonctionnalités d’appui multilingues.</w:t>
      </w:r>
    </w:p>
    <w:p w:rsidR="006E2BB1" w:rsidRPr="00C258AD" w:rsidRDefault="006E2BB1" w:rsidP="00C9182C">
      <w:pPr>
        <w:rPr>
          <w:bCs/>
          <w:sz w:val="22"/>
          <w:szCs w:val="22"/>
        </w:rPr>
      </w:pPr>
    </w:p>
    <w:p w:rsidR="006E2BB1" w:rsidRPr="00C258AD" w:rsidRDefault="006E2BB1" w:rsidP="00C9182C">
      <w:pPr>
        <w:rPr>
          <w:bCs/>
          <w:sz w:val="22"/>
          <w:szCs w:val="22"/>
        </w:rPr>
      </w:pPr>
    </w:p>
    <w:p w:rsidR="006E2BB1" w:rsidRPr="00C258AD" w:rsidRDefault="002D4597" w:rsidP="00C9182C">
      <w:pPr>
        <w:rPr>
          <w:caps/>
          <w:sz w:val="22"/>
        </w:rPr>
      </w:pPr>
      <w:r w:rsidRPr="00C258AD">
        <w:br w:type="page"/>
      </w:r>
    </w:p>
    <w:p w:rsidR="006E2BB1" w:rsidRPr="00C258AD" w:rsidRDefault="002D4597" w:rsidP="00305CE5">
      <w:pPr>
        <w:keepNext/>
        <w:rPr>
          <w:rFonts w:cs="Arial"/>
          <w:caps/>
          <w:sz w:val="22"/>
          <w:szCs w:val="22"/>
        </w:rPr>
      </w:pPr>
      <w:r w:rsidRPr="00C258AD">
        <w:rPr>
          <w:rFonts w:cs="Arial"/>
          <w:caps/>
          <w:sz w:val="22"/>
          <w:szCs w:val="22"/>
        </w:rPr>
        <w:lastRenderedPageBreak/>
        <w:t>Données relatives à l’exécution</w:t>
      </w:r>
    </w:p>
    <w:p w:rsidR="002D4597" w:rsidRPr="00C258AD" w:rsidRDefault="002D4597" w:rsidP="00C9182C">
      <w:pPr>
        <w:rPr>
          <w:bCs/>
          <w:sz w:val="22"/>
          <w:szCs w:val="22"/>
        </w:rPr>
      </w:pPr>
    </w:p>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263"/>
        <w:gridCol w:w="2411"/>
        <w:gridCol w:w="1419"/>
        <w:gridCol w:w="2266"/>
        <w:gridCol w:w="1132"/>
      </w:tblGrid>
      <w:tr w:rsidR="002D4597" w:rsidRPr="00C258AD" w:rsidTr="00C9182C">
        <w:trPr>
          <w:cantSplit/>
        </w:trPr>
        <w:tc>
          <w:tcPr>
            <w:tcW w:w="5000" w:type="pct"/>
            <w:gridSpan w:val="5"/>
            <w:tcBorders>
              <w:top w:val="single" w:sz="4" w:space="0" w:color="auto"/>
              <w:bottom w:val="single" w:sz="4" w:space="0" w:color="auto"/>
            </w:tcBorders>
            <w:shd w:val="clear" w:color="auto" w:fill="C5D9F1"/>
            <w:vAlign w:val="center"/>
          </w:tcPr>
          <w:p w:rsidR="002D4597" w:rsidRPr="00C258AD" w:rsidRDefault="002D4597" w:rsidP="00C9182C">
            <w:pPr>
              <w:rPr>
                <w:b/>
                <w:bCs/>
                <w:sz w:val="16"/>
                <w:szCs w:val="16"/>
              </w:rPr>
            </w:pPr>
            <w:r w:rsidRPr="00C258AD">
              <w:rPr>
                <w:b/>
                <w:bCs/>
                <w:sz w:val="16"/>
                <w:szCs w:val="16"/>
              </w:rPr>
              <w:t xml:space="preserve">Résultat escompté : </w:t>
            </w:r>
            <w:r w:rsidRPr="00C258AD">
              <w:rPr>
                <w:sz w:val="16"/>
                <w:szCs w:val="16"/>
              </w:rPr>
              <w:t>IV.2 Amélioration de l’accessibilité et de l’utilisation de l’information en matière de propriété intellectuelle par les institutions compétentes et le public afin de promouvoir l’innovation et la créativité</w:t>
            </w:r>
          </w:p>
        </w:tc>
      </w:tr>
      <w:tr w:rsidR="002D4597" w:rsidRPr="00C258AD" w:rsidTr="00C9182C">
        <w:trPr>
          <w:cantSplit/>
        </w:trPr>
        <w:tc>
          <w:tcPr>
            <w:tcW w:w="1209" w:type="pct"/>
            <w:tcBorders>
              <w:top w:val="single" w:sz="4" w:space="0" w:color="auto"/>
            </w:tcBorders>
            <w:shd w:val="clear" w:color="auto" w:fill="auto"/>
            <w:vAlign w:val="center"/>
          </w:tcPr>
          <w:p w:rsidR="002D4597" w:rsidRPr="00C258AD" w:rsidRDefault="002D4597" w:rsidP="00C9182C">
            <w:pPr>
              <w:jc w:val="center"/>
              <w:rPr>
                <w:sz w:val="16"/>
                <w:szCs w:val="16"/>
              </w:rPr>
            </w:pPr>
            <w:r w:rsidRPr="00C258AD">
              <w:rPr>
                <w:b/>
                <w:sz w:val="16"/>
                <w:szCs w:val="16"/>
              </w:rPr>
              <w:t>Indicateurs</w:t>
            </w:r>
            <w:r w:rsidRPr="00C258AD">
              <w:rPr>
                <w:sz w:val="16"/>
                <w:szCs w:val="16"/>
              </w:rPr>
              <w:t xml:space="preserve"> </w:t>
            </w:r>
            <w:r w:rsidRPr="00C258AD">
              <w:rPr>
                <w:b/>
                <w:sz w:val="16"/>
                <w:szCs w:val="16"/>
              </w:rPr>
              <w:t>d’exécution</w:t>
            </w:r>
          </w:p>
        </w:tc>
        <w:tc>
          <w:tcPr>
            <w:tcW w:w="1287" w:type="pct"/>
            <w:tcBorders>
              <w:top w:val="single" w:sz="4" w:space="0" w:color="auto"/>
            </w:tcBorders>
            <w:shd w:val="clear" w:color="auto" w:fill="auto"/>
            <w:vAlign w:val="center"/>
          </w:tcPr>
          <w:p w:rsidR="002D4597" w:rsidRPr="00C258AD" w:rsidRDefault="002D4597" w:rsidP="00C9182C">
            <w:pPr>
              <w:jc w:val="center"/>
              <w:rPr>
                <w:b/>
                <w:bCs/>
                <w:sz w:val="16"/>
                <w:szCs w:val="16"/>
              </w:rPr>
            </w:pPr>
            <w:r w:rsidRPr="00C258AD">
              <w:rPr>
                <w:b/>
                <w:bCs/>
                <w:sz w:val="16"/>
                <w:szCs w:val="16"/>
              </w:rPr>
              <w:t>Niveaux de référence</w:t>
            </w:r>
          </w:p>
        </w:tc>
        <w:tc>
          <w:tcPr>
            <w:tcW w:w="764" w:type="pct"/>
            <w:tcBorders>
              <w:top w:val="single" w:sz="4" w:space="0" w:color="auto"/>
            </w:tcBorders>
            <w:shd w:val="clear" w:color="auto" w:fill="auto"/>
            <w:tcMar>
              <w:top w:w="110" w:type="dxa"/>
            </w:tcMar>
            <w:vAlign w:val="center"/>
          </w:tcPr>
          <w:p w:rsidR="002D4597" w:rsidRPr="00C258AD" w:rsidRDefault="002D4597" w:rsidP="00C9182C">
            <w:pPr>
              <w:jc w:val="center"/>
              <w:rPr>
                <w:b/>
                <w:sz w:val="16"/>
                <w:szCs w:val="16"/>
              </w:rPr>
            </w:pPr>
            <w:r w:rsidRPr="00C258AD">
              <w:rPr>
                <w:b/>
                <w:sz w:val="16"/>
                <w:szCs w:val="16"/>
              </w:rPr>
              <w:t>Objectifs visés</w:t>
            </w:r>
          </w:p>
        </w:tc>
        <w:tc>
          <w:tcPr>
            <w:tcW w:w="1210" w:type="pct"/>
            <w:tcBorders>
              <w:top w:val="single" w:sz="4" w:space="0" w:color="auto"/>
            </w:tcBorders>
            <w:shd w:val="clear" w:color="auto" w:fill="FFFFFF"/>
            <w:tcMar>
              <w:top w:w="110" w:type="dxa"/>
            </w:tcMar>
            <w:vAlign w:val="center"/>
          </w:tcPr>
          <w:p w:rsidR="002D4597" w:rsidRPr="00C258AD" w:rsidRDefault="002D4597" w:rsidP="00C9182C">
            <w:pPr>
              <w:jc w:val="center"/>
              <w:rPr>
                <w:sz w:val="16"/>
                <w:szCs w:val="16"/>
              </w:rPr>
            </w:pPr>
            <w:r w:rsidRPr="00C258AD">
              <w:rPr>
                <w:b/>
                <w:sz w:val="16"/>
                <w:szCs w:val="16"/>
              </w:rPr>
              <w:t>Données relatives à l’exécution</w:t>
            </w:r>
          </w:p>
        </w:tc>
        <w:tc>
          <w:tcPr>
            <w:tcW w:w="530" w:type="pct"/>
            <w:tcBorders>
              <w:top w:val="single" w:sz="4" w:space="0" w:color="auto"/>
            </w:tcBorders>
            <w:shd w:val="clear" w:color="auto" w:fill="auto"/>
            <w:tcMar>
              <w:top w:w="110" w:type="dxa"/>
            </w:tcMar>
            <w:vAlign w:val="center"/>
          </w:tcPr>
          <w:p w:rsidR="002D4597" w:rsidRPr="00C258AD" w:rsidRDefault="002D4597" w:rsidP="00C9182C">
            <w:pPr>
              <w:keepNext/>
              <w:keepLines/>
              <w:jc w:val="center"/>
              <w:rPr>
                <w:b/>
                <w:bCs/>
                <w:sz w:val="16"/>
                <w:szCs w:val="16"/>
              </w:rPr>
            </w:pPr>
            <w:r w:rsidRPr="00C258AD">
              <w:rPr>
                <w:b/>
                <w:bCs/>
                <w:sz w:val="16"/>
                <w:szCs w:val="16"/>
              </w:rPr>
              <w:t>Code de couleurs</w:t>
            </w:r>
          </w:p>
        </w:tc>
      </w:tr>
      <w:tr w:rsidR="002D4597" w:rsidRPr="00C258AD" w:rsidTr="00C9182C">
        <w:trPr>
          <w:cantSplit/>
        </w:trPr>
        <w:tc>
          <w:tcPr>
            <w:tcW w:w="1209" w:type="pct"/>
            <w:shd w:val="clear" w:color="auto" w:fill="auto"/>
          </w:tcPr>
          <w:p w:rsidR="002D4597" w:rsidRPr="00C258AD" w:rsidRDefault="002D4597" w:rsidP="00C9182C">
            <w:pPr>
              <w:rPr>
                <w:sz w:val="16"/>
                <w:szCs w:val="16"/>
              </w:rPr>
            </w:pPr>
            <w:r w:rsidRPr="00C258AD">
              <w:rPr>
                <w:sz w:val="16"/>
                <w:szCs w:val="16"/>
              </w:rPr>
              <w:t>Nombre d’utilisateurs différents par trimestre tous systèmes confondus (PATENTSCOPE/Base de données mondiale sur les marques)</w:t>
            </w:r>
            <w:r w:rsidRPr="00C258AD">
              <w:rPr>
                <w:rStyle w:val="FootnoteReference"/>
                <w:rFonts w:eastAsia="SimSun"/>
                <w:sz w:val="16"/>
                <w:szCs w:val="16"/>
              </w:rPr>
              <w:footnoteReference w:id="85"/>
            </w:r>
          </w:p>
        </w:tc>
        <w:tc>
          <w:tcPr>
            <w:tcW w:w="1287" w:type="pct"/>
            <w:shd w:val="clear" w:color="auto" w:fill="auto"/>
          </w:tcPr>
          <w:p w:rsidR="006E2BB1" w:rsidRPr="00C258AD" w:rsidRDefault="002D4597" w:rsidP="00C9182C">
            <w:pPr>
              <w:rPr>
                <w:color w:val="002060"/>
                <w:sz w:val="16"/>
                <w:szCs w:val="16"/>
              </w:rPr>
            </w:pPr>
            <w:r w:rsidRPr="00C258AD">
              <w:rPr>
                <w:i/>
                <w:color w:val="002060"/>
                <w:sz w:val="16"/>
                <w:szCs w:val="16"/>
              </w:rPr>
              <w:t>Niveau de référence actualisé à fin 2013</w:t>
            </w:r>
            <w:r w:rsidRPr="00C258AD">
              <w:rPr>
                <w:color w:val="002060"/>
                <w:sz w:val="16"/>
                <w:szCs w:val="16"/>
              </w:rPr>
              <w:t> : PATENTSCOPE : 237 446;  Base de données mondiale sur les marques : 23 000</w:t>
            </w:r>
          </w:p>
          <w:p w:rsidR="006E2BB1" w:rsidRPr="00C258AD" w:rsidRDefault="006E2BB1" w:rsidP="00C9182C">
            <w:pPr>
              <w:rPr>
                <w:sz w:val="16"/>
                <w:szCs w:val="16"/>
              </w:rPr>
            </w:pPr>
          </w:p>
          <w:p w:rsidR="002D4597" w:rsidRPr="00C258AD" w:rsidRDefault="002D4597" w:rsidP="00C9182C">
            <w:pPr>
              <w:rPr>
                <w:sz w:val="16"/>
                <w:szCs w:val="16"/>
              </w:rPr>
            </w:pPr>
            <w:r w:rsidRPr="00C258AD">
              <w:rPr>
                <w:i/>
                <w:sz w:val="16"/>
                <w:szCs w:val="16"/>
              </w:rPr>
              <w:t>Niveau de référence initial dans le programme et budget 2014</w:t>
            </w:r>
            <w:r w:rsidRPr="00C258AD">
              <w:rPr>
                <w:i/>
                <w:sz w:val="16"/>
                <w:szCs w:val="16"/>
              </w:rPr>
              <w:noBreakHyphen/>
              <w:t>2015</w:t>
            </w:r>
            <w:r w:rsidRPr="00C258AD">
              <w:rPr>
                <w:sz w:val="16"/>
                <w:szCs w:val="16"/>
              </w:rPr>
              <w:t> : PATENTSCOPE 566 782;  Base de données mondiale sur les marques 13 339 visiteurs uniques (4</w:t>
            </w:r>
            <w:r w:rsidRPr="00C258AD">
              <w:rPr>
                <w:sz w:val="16"/>
                <w:szCs w:val="16"/>
                <w:vertAlign w:val="superscript"/>
              </w:rPr>
              <w:t>e</w:t>
            </w:r>
            <w:r w:rsidRPr="00C258AD">
              <w:rPr>
                <w:sz w:val="16"/>
                <w:szCs w:val="16"/>
              </w:rPr>
              <w:t> trimestre 2012)</w:t>
            </w:r>
          </w:p>
        </w:tc>
        <w:tc>
          <w:tcPr>
            <w:tcW w:w="764" w:type="pct"/>
            <w:shd w:val="clear" w:color="auto" w:fill="auto"/>
            <w:tcMar>
              <w:top w:w="110" w:type="dxa"/>
            </w:tcMar>
          </w:tcPr>
          <w:p w:rsidR="006E2BB1" w:rsidRPr="00C258AD" w:rsidRDefault="002D4597" w:rsidP="00C9182C">
            <w:pPr>
              <w:rPr>
                <w:sz w:val="16"/>
                <w:szCs w:val="16"/>
              </w:rPr>
            </w:pPr>
            <w:r w:rsidRPr="00C258AD">
              <w:rPr>
                <w:sz w:val="16"/>
                <w:szCs w:val="16"/>
              </w:rPr>
              <w:t>PATENTSCOPE : 650 000</w:t>
            </w:r>
          </w:p>
          <w:p w:rsidR="002D4597" w:rsidRPr="00C258AD" w:rsidRDefault="002D4597" w:rsidP="00C9182C">
            <w:pPr>
              <w:rPr>
                <w:sz w:val="16"/>
                <w:szCs w:val="16"/>
              </w:rPr>
            </w:pPr>
            <w:r w:rsidRPr="00C258AD">
              <w:rPr>
                <w:sz w:val="16"/>
                <w:szCs w:val="16"/>
              </w:rPr>
              <w:t>Base de données mondiale sur les marques : 20 000 visiteurs uniques par trimestre</w:t>
            </w:r>
            <w:r w:rsidRPr="00C258AD">
              <w:rPr>
                <w:rStyle w:val="FootnoteReference"/>
                <w:rFonts w:eastAsia="SimSun"/>
                <w:sz w:val="16"/>
                <w:szCs w:val="16"/>
              </w:rPr>
              <w:footnoteReference w:id="86"/>
            </w:r>
          </w:p>
        </w:tc>
        <w:tc>
          <w:tcPr>
            <w:tcW w:w="1210" w:type="pct"/>
            <w:shd w:val="clear" w:color="auto" w:fill="FFFFFF"/>
            <w:tcMar>
              <w:top w:w="110" w:type="dxa"/>
            </w:tcMar>
          </w:tcPr>
          <w:p w:rsidR="006E2BB1" w:rsidRPr="00C258AD" w:rsidRDefault="002D4597" w:rsidP="00C9182C">
            <w:pPr>
              <w:rPr>
                <w:sz w:val="16"/>
                <w:szCs w:val="16"/>
              </w:rPr>
            </w:pPr>
            <w:r w:rsidRPr="00C258AD">
              <w:rPr>
                <w:sz w:val="16"/>
                <w:szCs w:val="16"/>
              </w:rPr>
              <w:t>PATENTSCOPE :</w:t>
            </w:r>
          </w:p>
          <w:p w:rsidR="006E2BB1" w:rsidRPr="00C258AD" w:rsidRDefault="002D4597" w:rsidP="00C9182C">
            <w:pPr>
              <w:rPr>
                <w:sz w:val="16"/>
                <w:szCs w:val="16"/>
              </w:rPr>
            </w:pPr>
            <w:r w:rsidRPr="00C258AD">
              <w:rPr>
                <w:sz w:val="16"/>
                <w:szCs w:val="16"/>
              </w:rPr>
              <w:t>245 769 (2014)</w:t>
            </w:r>
          </w:p>
          <w:p w:rsidR="006E2BB1" w:rsidRPr="00C258AD" w:rsidRDefault="002D4597" w:rsidP="00C9182C">
            <w:pPr>
              <w:rPr>
                <w:sz w:val="16"/>
                <w:szCs w:val="16"/>
              </w:rPr>
            </w:pPr>
            <w:r w:rsidRPr="00C258AD">
              <w:rPr>
                <w:sz w:val="16"/>
                <w:szCs w:val="16"/>
              </w:rPr>
              <w:t>221 981 (2015)</w:t>
            </w:r>
          </w:p>
          <w:p w:rsidR="006E2BB1" w:rsidRPr="00C258AD" w:rsidRDefault="006E2BB1" w:rsidP="00C9182C">
            <w:pPr>
              <w:rPr>
                <w:sz w:val="16"/>
                <w:szCs w:val="16"/>
              </w:rPr>
            </w:pPr>
          </w:p>
          <w:p w:rsidR="006E2BB1" w:rsidRPr="00C258AD" w:rsidRDefault="002D4597" w:rsidP="00C9182C">
            <w:pPr>
              <w:rPr>
                <w:sz w:val="16"/>
                <w:szCs w:val="16"/>
              </w:rPr>
            </w:pPr>
            <w:r w:rsidRPr="00C258AD">
              <w:rPr>
                <w:sz w:val="16"/>
                <w:szCs w:val="16"/>
              </w:rPr>
              <w:t>Base de données mondiale sur les marques :</w:t>
            </w:r>
          </w:p>
          <w:p w:rsidR="006E2BB1" w:rsidRPr="00C258AD" w:rsidRDefault="002D4597" w:rsidP="00C9182C">
            <w:pPr>
              <w:rPr>
                <w:sz w:val="16"/>
                <w:szCs w:val="16"/>
              </w:rPr>
            </w:pPr>
            <w:r w:rsidRPr="00C258AD">
              <w:rPr>
                <w:sz w:val="16"/>
                <w:szCs w:val="16"/>
              </w:rPr>
              <w:t>49 977 (2014)</w:t>
            </w:r>
          </w:p>
          <w:p w:rsidR="006E2BB1" w:rsidRPr="00C258AD" w:rsidRDefault="002D4597" w:rsidP="00C9182C">
            <w:pPr>
              <w:rPr>
                <w:sz w:val="16"/>
                <w:szCs w:val="16"/>
              </w:rPr>
            </w:pPr>
            <w:r w:rsidRPr="00C258AD">
              <w:rPr>
                <w:sz w:val="16"/>
                <w:szCs w:val="16"/>
              </w:rPr>
              <w:t>80 490 (2015)</w:t>
            </w:r>
          </w:p>
          <w:p w:rsidR="006E2BB1" w:rsidRPr="00C258AD" w:rsidRDefault="006E2BB1" w:rsidP="00C9182C">
            <w:pPr>
              <w:rPr>
                <w:sz w:val="16"/>
                <w:szCs w:val="16"/>
              </w:rPr>
            </w:pPr>
          </w:p>
          <w:p w:rsidR="006E2BB1" w:rsidRPr="00C258AD" w:rsidRDefault="002D4597" w:rsidP="00C9182C">
            <w:pPr>
              <w:rPr>
                <w:sz w:val="16"/>
                <w:szCs w:val="16"/>
              </w:rPr>
            </w:pPr>
            <w:r w:rsidRPr="00C258AD">
              <w:rPr>
                <w:sz w:val="16"/>
                <w:szCs w:val="16"/>
              </w:rPr>
              <w:t>Base de données mondiale sur les dessins et modèles :</w:t>
            </w:r>
          </w:p>
          <w:p w:rsidR="002D4597" w:rsidRPr="00C258AD" w:rsidRDefault="002D4597" w:rsidP="00C9182C">
            <w:pPr>
              <w:rPr>
                <w:sz w:val="16"/>
                <w:szCs w:val="16"/>
              </w:rPr>
            </w:pPr>
            <w:r w:rsidRPr="00C258AD">
              <w:rPr>
                <w:sz w:val="16"/>
                <w:szCs w:val="16"/>
              </w:rPr>
              <w:t>13 946 (2015)</w:t>
            </w:r>
          </w:p>
        </w:tc>
        <w:tc>
          <w:tcPr>
            <w:tcW w:w="530" w:type="pct"/>
            <w:shd w:val="clear" w:color="auto" w:fill="auto"/>
            <w:tcMar>
              <w:top w:w="110" w:type="dxa"/>
            </w:tcMar>
          </w:tcPr>
          <w:p w:rsidR="006E2BB1" w:rsidRPr="00C258AD" w:rsidRDefault="002D4597" w:rsidP="00C9182C">
            <w:pPr>
              <w:keepNext/>
              <w:keepLines/>
              <w:jc w:val="center"/>
              <w:rPr>
                <w:b/>
                <w:bCs/>
                <w:color w:val="E26B0A"/>
                <w:sz w:val="16"/>
                <w:szCs w:val="16"/>
              </w:rPr>
            </w:pPr>
            <w:r w:rsidRPr="00C258AD">
              <w:rPr>
                <w:b/>
                <w:bCs/>
                <w:color w:val="E26B0A"/>
                <w:sz w:val="16"/>
                <w:szCs w:val="16"/>
              </w:rPr>
              <w:t>Objectif partiellement atteint</w:t>
            </w:r>
          </w:p>
          <w:p w:rsidR="006E2BB1" w:rsidRPr="00C258AD" w:rsidRDefault="006E2BB1" w:rsidP="00C9182C">
            <w:pPr>
              <w:keepNext/>
              <w:keepLines/>
              <w:jc w:val="center"/>
              <w:rPr>
                <w:rFonts w:cs="Arial"/>
                <w:b/>
                <w:bCs/>
                <w:color w:val="00B050"/>
                <w:sz w:val="16"/>
                <w:szCs w:val="16"/>
              </w:rPr>
            </w:pPr>
          </w:p>
          <w:p w:rsidR="006E2BB1" w:rsidRPr="00C258AD" w:rsidRDefault="002D4597" w:rsidP="00C9182C">
            <w:pPr>
              <w:keepNext/>
              <w:keepLines/>
              <w:jc w:val="center"/>
              <w:rPr>
                <w:rFonts w:cs="Arial"/>
                <w:b/>
                <w:bCs/>
                <w:color w:val="00B050"/>
                <w:sz w:val="16"/>
                <w:szCs w:val="16"/>
              </w:rPr>
            </w:pPr>
            <w:r w:rsidRPr="00C258AD">
              <w:rPr>
                <w:rFonts w:cs="Arial"/>
                <w:b/>
                <w:bCs/>
                <w:color w:val="00B050"/>
                <w:sz w:val="16"/>
                <w:szCs w:val="16"/>
              </w:rPr>
              <w:t>Objectif pleinement atteint</w:t>
            </w:r>
          </w:p>
          <w:p w:rsidR="006E2BB1" w:rsidRPr="00C258AD" w:rsidRDefault="006E2BB1" w:rsidP="00C9182C">
            <w:pPr>
              <w:keepNext/>
              <w:keepLines/>
              <w:jc w:val="center"/>
              <w:rPr>
                <w:rFonts w:cs="Arial"/>
                <w:b/>
                <w:bCs/>
                <w:color w:val="00B050"/>
                <w:sz w:val="16"/>
                <w:szCs w:val="16"/>
              </w:rPr>
            </w:pPr>
          </w:p>
          <w:p w:rsidR="006E2BB1" w:rsidRPr="00C258AD" w:rsidRDefault="006E2BB1" w:rsidP="00C9182C">
            <w:pPr>
              <w:keepNext/>
              <w:keepLines/>
              <w:jc w:val="center"/>
              <w:rPr>
                <w:rFonts w:cs="Arial"/>
                <w:b/>
                <w:bCs/>
                <w:color w:val="00B050"/>
                <w:sz w:val="16"/>
                <w:szCs w:val="16"/>
              </w:rPr>
            </w:pPr>
          </w:p>
          <w:p w:rsidR="002D4597" w:rsidRPr="00C258AD" w:rsidRDefault="002D4597" w:rsidP="00C9182C">
            <w:pPr>
              <w:keepNext/>
              <w:keepLines/>
              <w:jc w:val="center"/>
              <w:rPr>
                <w:b/>
                <w:bCs/>
                <w:color w:val="00B050"/>
                <w:sz w:val="16"/>
                <w:szCs w:val="16"/>
              </w:rPr>
            </w:pPr>
            <w:r w:rsidRPr="00C258AD">
              <w:rPr>
                <w:b/>
                <w:bCs/>
                <w:color w:val="808080"/>
                <w:sz w:val="16"/>
                <w:szCs w:val="16"/>
              </w:rPr>
              <w:t>Non évaluable</w:t>
            </w:r>
          </w:p>
        </w:tc>
      </w:tr>
      <w:tr w:rsidR="002D4597" w:rsidRPr="00C258AD" w:rsidTr="00C9182C">
        <w:trPr>
          <w:cantSplit/>
        </w:trPr>
        <w:tc>
          <w:tcPr>
            <w:tcW w:w="1209" w:type="pct"/>
            <w:shd w:val="clear" w:color="auto" w:fill="FFFFFF"/>
          </w:tcPr>
          <w:p w:rsidR="002D4597" w:rsidRPr="00C258AD" w:rsidRDefault="002D4597" w:rsidP="00C9182C">
            <w:pPr>
              <w:rPr>
                <w:sz w:val="16"/>
                <w:szCs w:val="16"/>
                <w:lang w:bidi="th-TH"/>
              </w:rPr>
            </w:pPr>
            <w:r w:rsidRPr="00C258AD">
              <w:rPr>
                <w:sz w:val="16"/>
                <w:szCs w:val="16"/>
                <w:lang w:bidi="th-TH"/>
              </w:rPr>
              <w:t>Nombre de langues dans lesquelles il est possible de faire des recherches multilingues</w:t>
            </w:r>
          </w:p>
        </w:tc>
        <w:tc>
          <w:tcPr>
            <w:tcW w:w="1287" w:type="pct"/>
            <w:shd w:val="clear" w:color="auto" w:fill="auto"/>
          </w:tcPr>
          <w:p w:rsidR="006E2BB1" w:rsidRPr="00C258AD" w:rsidRDefault="002D4597" w:rsidP="00C9182C">
            <w:pPr>
              <w:rPr>
                <w:sz w:val="16"/>
                <w:szCs w:val="16"/>
              </w:rPr>
            </w:pPr>
            <w:r w:rsidRPr="00C258AD">
              <w:rPr>
                <w:i/>
                <w:color w:val="002060"/>
                <w:sz w:val="16"/>
                <w:szCs w:val="16"/>
              </w:rPr>
              <w:t xml:space="preserve">Niveau de référence actualisé à fin 2013 : </w:t>
            </w:r>
            <w:r w:rsidRPr="00C258AD">
              <w:rPr>
                <w:color w:val="002060"/>
                <w:sz w:val="16"/>
                <w:szCs w:val="16"/>
              </w:rPr>
              <w:t>12</w:t>
            </w:r>
            <w:r w:rsidRPr="00C258AD">
              <w:rPr>
                <w:i/>
                <w:sz w:val="16"/>
                <w:szCs w:val="16"/>
              </w:rPr>
              <w:br/>
            </w:r>
          </w:p>
          <w:p w:rsidR="002D4597" w:rsidRPr="00C258AD" w:rsidRDefault="002D4597" w:rsidP="00C9182C">
            <w:pPr>
              <w:autoSpaceDE w:val="0"/>
              <w:autoSpaceDN w:val="0"/>
              <w:adjustRightInd w:val="0"/>
              <w:rPr>
                <w:sz w:val="16"/>
                <w:szCs w:val="16"/>
              </w:rPr>
            </w:pPr>
            <w:r w:rsidRPr="00C258AD">
              <w:rPr>
                <w:i/>
                <w:sz w:val="16"/>
                <w:szCs w:val="16"/>
              </w:rPr>
              <w:t>Niveau de référence initial dans le programme et budget 2014</w:t>
            </w:r>
            <w:r w:rsidRPr="00C258AD">
              <w:rPr>
                <w:i/>
                <w:sz w:val="16"/>
                <w:szCs w:val="16"/>
              </w:rPr>
              <w:noBreakHyphen/>
              <w:t>2015</w:t>
            </w:r>
            <w:r w:rsidRPr="00C258AD">
              <w:rPr>
                <w:sz w:val="16"/>
                <w:szCs w:val="16"/>
              </w:rPr>
              <w:t> : 12 (février 2013)</w:t>
            </w:r>
          </w:p>
        </w:tc>
        <w:tc>
          <w:tcPr>
            <w:tcW w:w="764" w:type="pct"/>
            <w:shd w:val="clear" w:color="auto" w:fill="auto"/>
            <w:tcMar>
              <w:top w:w="110" w:type="dxa"/>
            </w:tcMar>
          </w:tcPr>
          <w:p w:rsidR="002D4597" w:rsidRPr="00C258AD" w:rsidRDefault="002D4597" w:rsidP="00C9182C">
            <w:pPr>
              <w:rPr>
                <w:sz w:val="16"/>
                <w:szCs w:val="16"/>
                <w:lang w:bidi="th-TH"/>
              </w:rPr>
            </w:pPr>
            <w:r w:rsidRPr="00C258AD">
              <w:rPr>
                <w:sz w:val="16"/>
                <w:szCs w:val="16"/>
              </w:rPr>
              <w:t>13</w:t>
            </w:r>
          </w:p>
        </w:tc>
        <w:tc>
          <w:tcPr>
            <w:tcW w:w="1210" w:type="pct"/>
            <w:shd w:val="clear" w:color="auto" w:fill="FFFFFF"/>
            <w:tcMar>
              <w:top w:w="110" w:type="dxa"/>
            </w:tcMar>
          </w:tcPr>
          <w:p w:rsidR="002D4597" w:rsidRPr="00C258AD" w:rsidRDefault="002D4597" w:rsidP="00C9182C">
            <w:pPr>
              <w:rPr>
                <w:sz w:val="16"/>
                <w:szCs w:val="16"/>
                <w:lang w:bidi="th-TH"/>
              </w:rPr>
            </w:pPr>
            <w:r w:rsidRPr="00C258AD">
              <w:rPr>
                <w:sz w:val="16"/>
                <w:szCs w:val="16"/>
                <w:lang w:bidi="th-TH"/>
              </w:rPr>
              <w:t>En 2014</w:t>
            </w:r>
            <w:r w:rsidRPr="00C258AD">
              <w:rPr>
                <w:sz w:val="16"/>
                <w:szCs w:val="16"/>
                <w:lang w:bidi="th-TH"/>
              </w:rPr>
              <w:noBreakHyphen/>
              <w:t xml:space="preserve">2015, deux langues supplémentaires (danois et polonais) </w:t>
            </w:r>
            <w:r w:rsidRPr="00C258AD">
              <w:rPr>
                <w:sz w:val="16"/>
                <w:szCs w:val="16"/>
              </w:rPr>
              <w:t xml:space="preserve">ont été ajoutées dans le système de recherche multilingue “Cross Lingual Information </w:t>
            </w:r>
            <w:proofErr w:type="spellStart"/>
            <w:r w:rsidRPr="00C258AD">
              <w:rPr>
                <w:sz w:val="16"/>
                <w:szCs w:val="16"/>
              </w:rPr>
              <w:t>Retrieval</w:t>
            </w:r>
            <w:proofErr w:type="spellEnd"/>
            <w:r w:rsidRPr="00C258AD">
              <w:rPr>
                <w:sz w:val="16"/>
                <w:szCs w:val="16"/>
              </w:rPr>
              <w:t>” (CLIR), portant le nombre total de langues à 14</w:t>
            </w:r>
          </w:p>
        </w:tc>
        <w:tc>
          <w:tcPr>
            <w:tcW w:w="530" w:type="pct"/>
            <w:shd w:val="clear" w:color="auto" w:fill="auto"/>
            <w:tcMar>
              <w:top w:w="110" w:type="dxa"/>
            </w:tcMar>
          </w:tcPr>
          <w:p w:rsidR="002D4597" w:rsidRPr="00C258AD" w:rsidRDefault="002D4597" w:rsidP="00C9182C">
            <w:pPr>
              <w:keepNext/>
              <w:keepLines/>
              <w:jc w:val="center"/>
              <w:rPr>
                <w:rStyle w:val="Style5"/>
                <w:b/>
                <w:color w:val="00B050"/>
                <w:sz w:val="16"/>
                <w:szCs w:val="16"/>
              </w:rPr>
            </w:pPr>
            <w:r w:rsidRPr="00C258AD">
              <w:rPr>
                <w:rFonts w:cs="Arial"/>
                <w:b/>
                <w:bCs/>
                <w:color w:val="00B050"/>
                <w:sz w:val="16"/>
                <w:szCs w:val="16"/>
              </w:rPr>
              <w:t>Objectif pleinement atteint</w:t>
            </w:r>
          </w:p>
        </w:tc>
      </w:tr>
      <w:tr w:rsidR="002D4597" w:rsidRPr="00C258AD" w:rsidTr="00C9182C">
        <w:trPr>
          <w:cantSplit/>
        </w:trPr>
        <w:tc>
          <w:tcPr>
            <w:tcW w:w="1209" w:type="pct"/>
            <w:tcBorders>
              <w:bottom w:val="single" w:sz="4" w:space="0" w:color="auto"/>
            </w:tcBorders>
            <w:shd w:val="clear" w:color="auto" w:fill="FFFFFF"/>
          </w:tcPr>
          <w:p w:rsidR="002D4597" w:rsidRPr="00C258AD" w:rsidRDefault="002D4597" w:rsidP="00C9182C">
            <w:pPr>
              <w:rPr>
                <w:sz w:val="16"/>
                <w:szCs w:val="16"/>
              </w:rPr>
            </w:pPr>
            <w:r w:rsidRPr="00C258AD">
              <w:rPr>
                <w:sz w:val="16"/>
                <w:szCs w:val="16"/>
              </w:rPr>
              <w:t>Nombre de combinaisons linguistiques disponibles pour la traduction automatique de titres et d’abrégés</w:t>
            </w:r>
          </w:p>
        </w:tc>
        <w:tc>
          <w:tcPr>
            <w:tcW w:w="1287" w:type="pct"/>
            <w:tcBorders>
              <w:bottom w:val="single" w:sz="4" w:space="0" w:color="auto"/>
            </w:tcBorders>
            <w:shd w:val="clear" w:color="auto" w:fill="auto"/>
          </w:tcPr>
          <w:p w:rsidR="006E2BB1" w:rsidRPr="00C258AD" w:rsidRDefault="002D4597" w:rsidP="00C9182C">
            <w:pPr>
              <w:rPr>
                <w:color w:val="002060"/>
                <w:sz w:val="16"/>
                <w:szCs w:val="16"/>
              </w:rPr>
            </w:pPr>
            <w:r w:rsidRPr="00C258AD">
              <w:rPr>
                <w:i/>
                <w:color w:val="002060"/>
                <w:sz w:val="16"/>
                <w:szCs w:val="16"/>
              </w:rPr>
              <w:t>Niveau de référence actualisé à fin 2013</w:t>
            </w:r>
            <w:r w:rsidRPr="00C258AD">
              <w:rPr>
                <w:color w:val="002060"/>
                <w:sz w:val="16"/>
                <w:szCs w:val="16"/>
              </w:rPr>
              <w:t> : 4 (données cumulées)</w:t>
            </w:r>
          </w:p>
          <w:p w:rsidR="006E2BB1" w:rsidRPr="00C258AD" w:rsidRDefault="006E2BB1" w:rsidP="00C9182C">
            <w:pPr>
              <w:rPr>
                <w:color w:val="002060"/>
                <w:sz w:val="16"/>
                <w:szCs w:val="16"/>
              </w:rPr>
            </w:pPr>
          </w:p>
          <w:p w:rsidR="002D4597" w:rsidRPr="00C258AD" w:rsidRDefault="002D4597" w:rsidP="00C9182C">
            <w:pPr>
              <w:rPr>
                <w:i/>
                <w:sz w:val="16"/>
                <w:szCs w:val="16"/>
              </w:rPr>
            </w:pPr>
            <w:r w:rsidRPr="00C258AD">
              <w:rPr>
                <w:i/>
                <w:sz w:val="16"/>
                <w:szCs w:val="16"/>
              </w:rPr>
              <w:t>Niveau de référence initial dans le programme et budget 2014</w:t>
            </w:r>
            <w:r w:rsidRPr="00C258AD">
              <w:rPr>
                <w:i/>
                <w:sz w:val="16"/>
                <w:szCs w:val="16"/>
              </w:rPr>
              <w:noBreakHyphen/>
              <w:t>2015</w:t>
            </w:r>
            <w:r w:rsidRPr="00C258AD">
              <w:rPr>
                <w:sz w:val="16"/>
                <w:szCs w:val="16"/>
              </w:rPr>
              <w:t> : 2 (février 2013)</w:t>
            </w:r>
          </w:p>
        </w:tc>
        <w:tc>
          <w:tcPr>
            <w:tcW w:w="764" w:type="pct"/>
            <w:tcBorders>
              <w:bottom w:val="single" w:sz="4" w:space="0" w:color="auto"/>
            </w:tcBorders>
            <w:shd w:val="clear" w:color="auto" w:fill="auto"/>
            <w:tcMar>
              <w:top w:w="110" w:type="dxa"/>
            </w:tcMar>
          </w:tcPr>
          <w:p w:rsidR="002D4597" w:rsidRPr="00C258AD" w:rsidRDefault="002D4597" w:rsidP="00C9182C">
            <w:pPr>
              <w:rPr>
                <w:sz w:val="16"/>
                <w:szCs w:val="16"/>
              </w:rPr>
            </w:pPr>
            <w:r w:rsidRPr="00C258AD">
              <w:rPr>
                <w:sz w:val="16"/>
                <w:szCs w:val="16"/>
              </w:rPr>
              <w:t>5</w:t>
            </w:r>
          </w:p>
        </w:tc>
        <w:tc>
          <w:tcPr>
            <w:tcW w:w="1210" w:type="pct"/>
            <w:tcBorders>
              <w:bottom w:val="single" w:sz="4" w:space="0" w:color="auto"/>
            </w:tcBorders>
            <w:shd w:val="clear" w:color="auto" w:fill="FFFFFF"/>
            <w:tcMar>
              <w:top w:w="110" w:type="dxa"/>
            </w:tcMar>
          </w:tcPr>
          <w:p w:rsidR="006E2BB1" w:rsidRPr="00C258AD" w:rsidRDefault="006E2FC6" w:rsidP="00C9182C">
            <w:pPr>
              <w:rPr>
                <w:sz w:val="16"/>
                <w:szCs w:val="16"/>
                <w:lang w:bidi="th-TH"/>
              </w:rPr>
            </w:pPr>
            <w:r w:rsidRPr="00C258AD">
              <w:rPr>
                <w:sz w:val="16"/>
                <w:szCs w:val="16"/>
                <w:lang w:bidi="th-TH"/>
              </w:rPr>
              <w:t>3</w:t>
            </w:r>
            <w:r w:rsidR="002D4597" w:rsidRPr="00C258AD">
              <w:rPr>
                <w:sz w:val="16"/>
                <w:szCs w:val="16"/>
                <w:lang w:bidi="th-TH"/>
              </w:rPr>
              <w:t xml:space="preserve"> </w:t>
            </w:r>
            <w:r w:rsidR="002D4597" w:rsidRPr="00C258AD">
              <w:rPr>
                <w:sz w:val="16"/>
                <w:szCs w:val="16"/>
              </w:rPr>
              <w:t xml:space="preserve">combinaisons linguistiques </w:t>
            </w:r>
            <w:r w:rsidR="002D4597" w:rsidRPr="00C258AD">
              <w:rPr>
                <w:sz w:val="16"/>
                <w:szCs w:val="16"/>
                <w:lang w:bidi="th-TH"/>
              </w:rPr>
              <w:t>supplémentaires en 2014</w:t>
            </w:r>
            <w:r w:rsidR="002D4597" w:rsidRPr="00C258AD">
              <w:rPr>
                <w:sz w:val="16"/>
                <w:szCs w:val="16"/>
                <w:lang w:bidi="th-TH"/>
              </w:rPr>
              <w:noBreakHyphen/>
              <w:t>2015 (anglais</w:t>
            </w:r>
            <w:r w:rsidR="002D4597" w:rsidRPr="00C258AD">
              <w:rPr>
                <w:sz w:val="16"/>
                <w:szCs w:val="16"/>
                <w:lang w:bidi="th-TH"/>
              </w:rPr>
              <w:noBreakHyphen/>
              <w:t>chinois, anglais</w:t>
            </w:r>
            <w:r w:rsidR="002D4597" w:rsidRPr="00C258AD">
              <w:rPr>
                <w:sz w:val="16"/>
                <w:szCs w:val="16"/>
                <w:lang w:bidi="th-TH"/>
              </w:rPr>
              <w:noBreakHyphen/>
              <w:t>coréen et anglais</w:t>
            </w:r>
            <w:r w:rsidR="002D4597" w:rsidRPr="00C258AD">
              <w:rPr>
                <w:sz w:val="16"/>
                <w:szCs w:val="16"/>
                <w:lang w:bidi="th-TH"/>
              </w:rPr>
              <w:noBreakHyphen/>
              <w:t>russe)</w:t>
            </w:r>
          </w:p>
          <w:p w:rsidR="002D4597" w:rsidRPr="00C258AD" w:rsidRDefault="002D4597" w:rsidP="00C9182C">
            <w:pPr>
              <w:rPr>
                <w:sz w:val="16"/>
                <w:szCs w:val="16"/>
                <w:lang w:bidi="th-TH"/>
              </w:rPr>
            </w:pPr>
            <w:r w:rsidRPr="00C258AD">
              <w:rPr>
                <w:sz w:val="16"/>
                <w:szCs w:val="16"/>
                <w:lang w:bidi="th-TH"/>
              </w:rPr>
              <w:t>(7 en tout)</w:t>
            </w:r>
          </w:p>
        </w:tc>
        <w:tc>
          <w:tcPr>
            <w:tcW w:w="530" w:type="pct"/>
            <w:tcBorders>
              <w:bottom w:val="single" w:sz="4" w:space="0" w:color="auto"/>
            </w:tcBorders>
            <w:shd w:val="clear" w:color="auto" w:fill="auto"/>
            <w:tcMar>
              <w:top w:w="110" w:type="dxa"/>
            </w:tcMar>
          </w:tcPr>
          <w:p w:rsidR="002D4597" w:rsidRPr="00C258AD" w:rsidRDefault="002D4597" w:rsidP="00C9182C">
            <w:pPr>
              <w:keepNext/>
              <w:keepLines/>
              <w:jc w:val="center"/>
              <w:rPr>
                <w:rStyle w:val="Style5"/>
                <w:b/>
                <w:color w:val="00B050"/>
                <w:sz w:val="16"/>
                <w:szCs w:val="16"/>
              </w:rPr>
            </w:pPr>
            <w:r w:rsidRPr="00C258AD">
              <w:rPr>
                <w:rFonts w:cs="Arial"/>
                <w:b/>
                <w:bCs/>
                <w:color w:val="00B050"/>
                <w:sz w:val="16"/>
                <w:szCs w:val="16"/>
              </w:rPr>
              <w:t>Objectif pleinement atteint</w:t>
            </w:r>
          </w:p>
        </w:tc>
      </w:tr>
      <w:tr w:rsidR="002D4597" w:rsidRPr="00C258AD" w:rsidTr="00C9182C">
        <w:trPr>
          <w:cantSplit/>
        </w:trPr>
        <w:tc>
          <w:tcPr>
            <w:tcW w:w="5000" w:type="pct"/>
            <w:gridSpan w:val="5"/>
            <w:tcBorders>
              <w:top w:val="single" w:sz="4" w:space="0" w:color="auto"/>
              <w:bottom w:val="single" w:sz="4" w:space="0" w:color="auto"/>
            </w:tcBorders>
            <w:shd w:val="clear" w:color="auto" w:fill="C5D9F1"/>
            <w:vAlign w:val="center"/>
          </w:tcPr>
          <w:p w:rsidR="002D4597" w:rsidRPr="00C258AD" w:rsidRDefault="002D4597" w:rsidP="00C9182C">
            <w:pPr>
              <w:keepNext/>
              <w:rPr>
                <w:b/>
                <w:sz w:val="16"/>
                <w:szCs w:val="16"/>
              </w:rPr>
            </w:pPr>
            <w:r w:rsidRPr="00C258AD">
              <w:rPr>
                <w:b/>
                <w:sz w:val="16"/>
                <w:szCs w:val="16"/>
              </w:rPr>
              <w:t>Résultat escompté :</w:t>
            </w:r>
            <w:r w:rsidRPr="00C258AD">
              <w:rPr>
                <w:sz w:val="16"/>
                <w:szCs w:val="16"/>
              </w:rPr>
              <w:t xml:space="preserve"> IV.3 Élargissement de la portée géographique du contenu et de l’utilisation des bases de données mondiales de l’OMPI en matière de propriété intellectuelle</w:t>
            </w:r>
          </w:p>
        </w:tc>
      </w:tr>
      <w:tr w:rsidR="002D4597" w:rsidRPr="00C258AD" w:rsidTr="00C9182C">
        <w:trPr>
          <w:cantSplit/>
        </w:trPr>
        <w:tc>
          <w:tcPr>
            <w:tcW w:w="1209" w:type="pct"/>
            <w:tcBorders>
              <w:top w:val="single" w:sz="4" w:space="0" w:color="auto"/>
            </w:tcBorders>
            <w:shd w:val="clear" w:color="auto" w:fill="auto"/>
            <w:vAlign w:val="center"/>
          </w:tcPr>
          <w:p w:rsidR="002D4597" w:rsidRPr="00C258AD" w:rsidRDefault="002D4597" w:rsidP="00C9182C">
            <w:pPr>
              <w:keepNext/>
              <w:jc w:val="center"/>
              <w:rPr>
                <w:sz w:val="16"/>
                <w:szCs w:val="16"/>
              </w:rPr>
            </w:pPr>
            <w:r w:rsidRPr="00C258AD">
              <w:rPr>
                <w:b/>
                <w:sz w:val="16"/>
                <w:szCs w:val="16"/>
              </w:rPr>
              <w:t>Indicateurs</w:t>
            </w:r>
            <w:r w:rsidRPr="00C258AD">
              <w:rPr>
                <w:sz w:val="16"/>
                <w:szCs w:val="16"/>
              </w:rPr>
              <w:t xml:space="preserve"> </w:t>
            </w:r>
            <w:r w:rsidRPr="00C258AD">
              <w:rPr>
                <w:b/>
                <w:sz w:val="16"/>
                <w:szCs w:val="16"/>
              </w:rPr>
              <w:t>d’exécution</w:t>
            </w:r>
          </w:p>
        </w:tc>
        <w:tc>
          <w:tcPr>
            <w:tcW w:w="1287" w:type="pct"/>
            <w:tcBorders>
              <w:top w:val="single" w:sz="4" w:space="0" w:color="auto"/>
            </w:tcBorders>
            <w:shd w:val="clear" w:color="auto" w:fill="auto"/>
            <w:vAlign w:val="center"/>
          </w:tcPr>
          <w:p w:rsidR="002D4597" w:rsidRPr="00C258AD" w:rsidRDefault="002D4597" w:rsidP="00C9182C">
            <w:pPr>
              <w:jc w:val="center"/>
              <w:rPr>
                <w:b/>
                <w:bCs/>
                <w:sz w:val="16"/>
                <w:szCs w:val="16"/>
              </w:rPr>
            </w:pPr>
            <w:r w:rsidRPr="00C258AD">
              <w:rPr>
                <w:b/>
                <w:bCs/>
                <w:sz w:val="16"/>
                <w:szCs w:val="16"/>
              </w:rPr>
              <w:t>Niveaux de référence</w:t>
            </w:r>
          </w:p>
        </w:tc>
        <w:tc>
          <w:tcPr>
            <w:tcW w:w="764" w:type="pct"/>
            <w:tcBorders>
              <w:top w:val="single" w:sz="4" w:space="0" w:color="auto"/>
            </w:tcBorders>
            <w:shd w:val="clear" w:color="auto" w:fill="auto"/>
            <w:tcMar>
              <w:top w:w="110" w:type="dxa"/>
            </w:tcMar>
            <w:vAlign w:val="center"/>
          </w:tcPr>
          <w:p w:rsidR="002D4597" w:rsidRPr="00C258AD" w:rsidRDefault="002D4597" w:rsidP="00C9182C">
            <w:pPr>
              <w:jc w:val="center"/>
              <w:rPr>
                <w:b/>
                <w:sz w:val="16"/>
                <w:szCs w:val="16"/>
              </w:rPr>
            </w:pPr>
            <w:r w:rsidRPr="00C258AD">
              <w:rPr>
                <w:b/>
                <w:sz w:val="16"/>
                <w:szCs w:val="16"/>
              </w:rPr>
              <w:t>Objectifs visés</w:t>
            </w:r>
          </w:p>
        </w:tc>
        <w:tc>
          <w:tcPr>
            <w:tcW w:w="1210" w:type="pct"/>
            <w:tcBorders>
              <w:top w:val="single" w:sz="4" w:space="0" w:color="auto"/>
            </w:tcBorders>
            <w:shd w:val="clear" w:color="auto" w:fill="FFFFFF"/>
            <w:tcMar>
              <w:top w:w="110" w:type="dxa"/>
            </w:tcMar>
            <w:vAlign w:val="center"/>
          </w:tcPr>
          <w:p w:rsidR="002D4597" w:rsidRPr="00C258AD" w:rsidRDefault="002D4597" w:rsidP="00C9182C">
            <w:pPr>
              <w:jc w:val="center"/>
              <w:rPr>
                <w:sz w:val="16"/>
                <w:szCs w:val="16"/>
              </w:rPr>
            </w:pPr>
            <w:r w:rsidRPr="00C258AD">
              <w:rPr>
                <w:b/>
                <w:sz w:val="16"/>
                <w:szCs w:val="16"/>
              </w:rPr>
              <w:t>Données relatives à l’exécution</w:t>
            </w:r>
          </w:p>
        </w:tc>
        <w:tc>
          <w:tcPr>
            <w:tcW w:w="530" w:type="pct"/>
            <w:tcBorders>
              <w:top w:val="single" w:sz="4" w:space="0" w:color="auto"/>
            </w:tcBorders>
            <w:shd w:val="clear" w:color="auto" w:fill="auto"/>
            <w:tcMar>
              <w:top w:w="110" w:type="dxa"/>
            </w:tcMar>
            <w:vAlign w:val="center"/>
          </w:tcPr>
          <w:p w:rsidR="002D4597" w:rsidRPr="00C258AD" w:rsidRDefault="002D4597" w:rsidP="00C9182C">
            <w:pPr>
              <w:keepNext/>
              <w:keepLines/>
              <w:jc w:val="center"/>
              <w:rPr>
                <w:b/>
                <w:bCs/>
                <w:sz w:val="16"/>
                <w:szCs w:val="16"/>
              </w:rPr>
            </w:pPr>
            <w:r w:rsidRPr="00C258AD">
              <w:rPr>
                <w:b/>
                <w:bCs/>
                <w:sz w:val="16"/>
                <w:szCs w:val="16"/>
              </w:rPr>
              <w:t>Code de couleurs</w:t>
            </w:r>
          </w:p>
        </w:tc>
      </w:tr>
      <w:tr w:rsidR="002D4597" w:rsidRPr="00C258AD" w:rsidTr="00C9182C">
        <w:trPr>
          <w:cantSplit/>
        </w:trPr>
        <w:tc>
          <w:tcPr>
            <w:tcW w:w="1209" w:type="pct"/>
            <w:shd w:val="clear" w:color="auto" w:fill="auto"/>
          </w:tcPr>
          <w:p w:rsidR="002D4597" w:rsidRPr="00C258AD" w:rsidRDefault="002D4597" w:rsidP="00C9182C">
            <w:pPr>
              <w:pStyle w:val="Default"/>
              <w:rPr>
                <w:sz w:val="16"/>
                <w:szCs w:val="16"/>
              </w:rPr>
            </w:pPr>
            <w:r w:rsidRPr="00C258AD">
              <w:rPr>
                <w:sz w:val="16"/>
                <w:szCs w:val="16"/>
              </w:rPr>
              <w:t>Nombre d’entrées figurant dans PATENTSCOPE</w:t>
            </w:r>
          </w:p>
        </w:tc>
        <w:tc>
          <w:tcPr>
            <w:tcW w:w="1287" w:type="pct"/>
            <w:shd w:val="clear" w:color="auto" w:fill="auto"/>
          </w:tcPr>
          <w:p w:rsidR="006E2BB1" w:rsidRPr="00C258AD" w:rsidRDefault="002D4597" w:rsidP="00C9182C">
            <w:pPr>
              <w:keepNext/>
              <w:keepLines/>
              <w:rPr>
                <w:i/>
                <w:color w:val="002060"/>
                <w:sz w:val="16"/>
                <w:szCs w:val="16"/>
              </w:rPr>
            </w:pPr>
            <w:r w:rsidRPr="00C258AD">
              <w:rPr>
                <w:i/>
                <w:color w:val="002060"/>
                <w:sz w:val="16"/>
                <w:szCs w:val="16"/>
              </w:rPr>
              <w:t>Niveau de référence actualisé à fin 2013 :</w:t>
            </w:r>
            <w:r w:rsidRPr="00C258AD">
              <w:rPr>
                <w:color w:val="002060"/>
                <w:sz w:val="16"/>
                <w:szCs w:val="16"/>
                <w:lang w:bidi="th-TH"/>
              </w:rPr>
              <w:t xml:space="preserve"> 34 000 000</w:t>
            </w:r>
          </w:p>
          <w:p w:rsidR="006E2BB1" w:rsidRPr="00C258AD" w:rsidRDefault="006E2BB1" w:rsidP="00C9182C">
            <w:pPr>
              <w:keepNext/>
              <w:keepLines/>
              <w:rPr>
                <w:i/>
                <w:sz w:val="16"/>
                <w:szCs w:val="16"/>
                <w:lang w:bidi="th-TH"/>
              </w:rPr>
            </w:pPr>
          </w:p>
          <w:p w:rsidR="002D4597" w:rsidRPr="00C258AD" w:rsidRDefault="002D4597" w:rsidP="00C9182C">
            <w:pPr>
              <w:keepNext/>
              <w:keepLines/>
              <w:rPr>
                <w:sz w:val="16"/>
                <w:szCs w:val="16"/>
              </w:rPr>
            </w:pPr>
            <w:r w:rsidRPr="00C258AD">
              <w:rPr>
                <w:i/>
                <w:sz w:val="16"/>
                <w:szCs w:val="16"/>
              </w:rPr>
              <w:t>Niveau de référence initial dans le programme et budget 2014</w:t>
            </w:r>
            <w:r w:rsidRPr="00C258AD">
              <w:rPr>
                <w:i/>
                <w:sz w:val="16"/>
                <w:szCs w:val="16"/>
              </w:rPr>
              <w:noBreakHyphen/>
              <w:t>2015</w:t>
            </w:r>
            <w:r w:rsidRPr="00C258AD">
              <w:rPr>
                <w:sz w:val="16"/>
                <w:szCs w:val="16"/>
              </w:rPr>
              <w:t> : 18 733 406 (février 2013)</w:t>
            </w:r>
          </w:p>
        </w:tc>
        <w:tc>
          <w:tcPr>
            <w:tcW w:w="764" w:type="pct"/>
            <w:shd w:val="clear" w:color="auto" w:fill="auto"/>
            <w:tcMar>
              <w:top w:w="110" w:type="dxa"/>
            </w:tcMar>
          </w:tcPr>
          <w:p w:rsidR="002D4597" w:rsidRPr="00C258AD" w:rsidRDefault="002D4597" w:rsidP="00C9182C">
            <w:pPr>
              <w:keepNext/>
              <w:keepLines/>
              <w:rPr>
                <w:sz w:val="16"/>
                <w:szCs w:val="16"/>
                <w:lang w:bidi="th-TH"/>
              </w:rPr>
            </w:pPr>
            <w:r w:rsidRPr="00C258AD">
              <w:rPr>
                <w:sz w:val="16"/>
                <w:szCs w:val="16"/>
                <w:lang w:bidi="th-TH"/>
              </w:rPr>
              <w:t>40 000 000</w:t>
            </w:r>
          </w:p>
        </w:tc>
        <w:tc>
          <w:tcPr>
            <w:tcW w:w="1210" w:type="pct"/>
            <w:shd w:val="clear" w:color="auto" w:fill="FFFFFF"/>
            <w:tcMar>
              <w:top w:w="110" w:type="dxa"/>
            </w:tcMar>
          </w:tcPr>
          <w:p w:rsidR="002D4597" w:rsidRPr="00C258AD" w:rsidRDefault="002D4597" w:rsidP="00C9182C">
            <w:pPr>
              <w:keepNext/>
              <w:keepLines/>
              <w:rPr>
                <w:sz w:val="16"/>
                <w:szCs w:val="16"/>
              </w:rPr>
            </w:pPr>
            <w:r w:rsidRPr="00C258AD">
              <w:rPr>
                <w:color w:val="000000"/>
                <w:sz w:val="16"/>
                <w:szCs w:val="16"/>
              </w:rPr>
              <w:t>50 000 000 (en tout)</w:t>
            </w:r>
          </w:p>
        </w:tc>
        <w:tc>
          <w:tcPr>
            <w:tcW w:w="530" w:type="pct"/>
            <w:shd w:val="clear" w:color="auto" w:fill="auto"/>
            <w:tcMar>
              <w:top w:w="110" w:type="dxa"/>
            </w:tcMar>
          </w:tcPr>
          <w:p w:rsidR="002D4597" w:rsidRPr="00C258AD" w:rsidRDefault="002D4597" w:rsidP="00C9182C">
            <w:pPr>
              <w:keepNext/>
              <w:keepLines/>
              <w:jc w:val="center"/>
              <w:rPr>
                <w:bCs/>
                <w:color w:val="00B050"/>
                <w:sz w:val="16"/>
                <w:szCs w:val="16"/>
              </w:rPr>
            </w:pPr>
            <w:r w:rsidRPr="00C258AD">
              <w:rPr>
                <w:rFonts w:cs="Arial"/>
                <w:b/>
                <w:bCs/>
                <w:color w:val="00B050"/>
                <w:sz w:val="16"/>
                <w:szCs w:val="16"/>
              </w:rPr>
              <w:t>Objectif pleinement atteint</w:t>
            </w:r>
          </w:p>
        </w:tc>
      </w:tr>
      <w:tr w:rsidR="002D4597" w:rsidRPr="00C258AD" w:rsidTr="00C9182C">
        <w:trPr>
          <w:cantSplit/>
        </w:trPr>
        <w:tc>
          <w:tcPr>
            <w:tcW w:w="1209" w:type="pct"/>
            <w:shd w:val="clear" w:color="auto" w:fill="auto"/>
          </w:tcPr>
          <w:p w:rsidR="002D4597" w:rsidRPr="00C258AD" w:rsidRDefault="002D4597" w:rsidP="00C9182C">
            <w:pPr>
              <w:rPr>
                <w:sz w:val="16"/>
                <w:szCs w:val="16"/>
              </w:rPr>
            </w:pPr>
            <w:r w:rsidRPr="00C258AD">
              <w:rPr>
                <w:sz w:val="16"/>
                <w:szCs w:val="16"/>
              </w:rPr>
              <w:t>Nombre d’entrées figurant dans les bases de données mondiales sur les marques</w:t>
            </w:r>
          </w:p>
        </w:tc>
        <w:tc>
          <w:tcPr>
            <w:tcW w:w="1287" w:type="pct"/>
            <w:shd w:val="clear" w:color="auto" w:fill="auto"/>
          </w:tcPr>
          <w:p w:rsidR="006E2BB1" w:rsidRPr="00C258AD" w:rsidRDefault="002D4597" w:rsidP="00C9182C">
            <w:pPr>
              <w:rPr>
                <w:i/>
                <w:color w:val="002060"/>
                <w:sz w:val="16"/>
                <w:szCs w:val="16"/>
              </w:rPr>
            </w:pPr>
            <w:r w:rsidRPr="00C258AD">
              <w:rPr>
                <w:i/>
                <w:color w:val="002060"/>
                <w:sz w:val="16"/>
                <w:szCs w:val="16"/>
              </w:rPr>
              <w:t>Niveau de référence actualisé à fin 2013 :</w:t>
            </w:r>
            <w:r w:rsidRPr="00C258AD">
              <w:rPr>
                <w:color w:val="002060"/>
                <w:sz w:val="16"/>
                <w:szCs w:val="16"/>
                <w:lang w:bidi="th-TH"/>
              </w:rPr>
              <w:t xml:space="preserve"> 12 000 000</w:t>
            </w:r>
          </w:p>
          <w:p w:rsidR="006E2BB1" w:rsidRPr="00C258AD" w:rsidRDefault="006E2BB1" w:rsidP="00C9182C">
            <w:pPr>
              <w:rPr>
                <w:i/>
                <w:sz w:val="16"/>
                <w:szCs w:val="16"/>
                <w:lang w:bidi="th-TH"/>
              </w:rPr>
            </w:pPr>
          </w:p>
          <w:p w:rsidR="002D4597" w:rsidRPr="00C258AD" w:rsidRDefault="002D4597" w:rsidP="00C9182C">
            <w:pPr>
              <w:tabs>
                <w:tab w:val="right" w:pos="2196"/>
              </w:tabs>
              <w:rPr>
                <w:sz w:val="16"/>
                <w:szCs w:val="16"/>
                <w:lang w:bidi="th-TH"/>
              </w:rPr>
            </w:pPr>
            <w:r w:rsidRPr="00C258AD">
              <w:rPr>
                <w:i/>
                <w:sz w:val="16"/>
                <w:szCs w:val="16"/>
              </w:rPr>
              <w:t>Niveau de référence initial dans le programme et budget 2014</w:t>
            </w:r>
            <w:r w:rsidRPr="00C258AD">
              <w:rPr>
                <w:i/>
                <w:sz w:val="16"/>
                <w:szCs w:val="16"/>
              </w:rPr>
              <w:noBreakHyphen/>
              <w:t xml:space="preserve">2015 : </w:t>
            </w:r>
            <w:r w:rsidRPr="00C258AD">
              <w:rPr>
                <w:sz w:val="16"/>
                <w:szCs w:val="16"/>
              </w:rPr>
              <w:t>10 928 326 (février 2013)</w:t>
            </w:r>
          </w:p>
        </w:tc>
        <w:tc>
          <w:tcPr>
            <w:tcW w:w="764" w:type="pct"/>
            <w:shd w:val="clear" w:color="auto" w:fill="auto"/>
            <w:tcMar>
              <w:top w:w="110" w:type="dxa"/>
            </w:tcMar>
          </w:tcPr>
          <w:p w:rsidR="002D4597" w:rsidRPr="00C258AD" w:rsidRDefault="002D4597" w:rsidP="00C9182C">
            <w:pPr>
              <w:autoSpaceDE w:val="0"/>
              <w:autoSpaceDN w:val="0"/>
              <w:adjustRightInd w:val="0"/>
              <w:rPr>
                <w:sz w:val="16"/>
                <w:szCs w:val="16"/>
              </w:rPr>
            </w:pPr>
            <w:r w:rsidRPr="00C258AD">
              <w:rPr>
                <w:sz w:val="16"/>
                <w:szCs w:val="16"/>
              </w:rPr>
              <w:t>20 000 000</w:t>
            </w:r>
          </w:p>
        </w:tc>
        <w:tc>
          <w:tcPr>
            <w:tcW w:w="1210" w:type="pct"/>
            <w:shd w:val="clear" w:color="auto" w:fill="FFFFFF"/>
            <w:tcMar>
              <w:top w:w="110" w:type="dxa"/>
            </w:tcMar>
          </w:tcPr>
          <w:p w:rsidR="002D4597" w:rsidRPr="00C258AD" w:rsidRDefault="002D4597" w:rsidP="00C9182C">
            <w:pPr>
              <w:rPr>
                <w:sz w:val="16"/>
                <w:szCs w:val="16"/>
              </w:rPr>
            </w:pPr>
            <w:r w:rsidRPr="00C258AD">
              <w:rPr>
                <w:color w:val="000000"/>
                <w:sz w:val="16"/>
                <w:szCs w:val="16"/>
              </w:rPr>
              <w:t>24 500 000 (en tout)</w:t>
            </w:r>
          </w:p>
        </w:tc>
        <w:tc>
          <w:tcPr>
            <w:tcW w:w="530" w:type="pct"/>
            <w:shd w:val="clear" w:color="auto" w:fill="auto"/>
            <w:tcMar>
              <w:top w:w="110" w:type="dxa"/>
            </w:tcMar>
          </w:tcPr>
          <w:p w:rsidR="002D4597" w:rsidRPr="00C258AD" w:rsidRDefault="002D4597" w:rsidP="00C9182C">
            <w:pPr>
              <w:jc w:val="center"/>
              <w:rPr>
                <w:bCs/>
                <w:color w:val="00B050"/>
                <w:sz w:val="16"/>
                <w:szCs w:val="16"/>
              </w:rPr>
            </w:pPr>
            <w:r w:rsidRPr="00C258AD">
              <w:rPr>
                <w:rFonts w:cs="Arial"/>
                <w:b/>
                <w:bCs/>
                <w:color w:val="00B050"/>
                <w:sz w:val="16"/>
                <w:szCs w:val="16"/>
              </w:rPr>
              <w:t>Objectif pleinement atteint</w:t>
            </w:r>
          </w:p>
        </w:tc>
      </w:tr>
      <w:tr w:rsidR="002D4597" w:rsidRPr="00C258AD" w:rsidTr="00C9182C">
        <w:trPr>
          <w:cantSplit/>
        </w:trPr>
        <w:tc>
          <w:tcPr>
            <w:tcW w:w="1209" w:type="pct"/>
            <w:shd w:val="clear" w:color="auto" w:fill="auto"/>
          </w:tcPr>
          <w:p w:rsidR="002D4597" w:rsidRPr="00C258AD" w:rsidRDefault="002D4597" w:rsidP="00C9182C">
            <w:pPr>
              <w:rPr>
                <w:sz w:val="16"/>
                <w:szCs w:val="16"/>
              </w:rPr>
            </w:pPr>
            <w:r w:rsidRPr="00C258AD">
              <w:rPr>
                <w:sz w:val="16"/>
                <w:szCs w:val="16"/>
              </w:rPr>
              <w:lastRenderedPageBreak/>
              <w:t>Nombre de collections nationales/régionales dans PATENTSCOPE</w:t>
            </w:r>
          </w:p>
        </w:tc>
        <w:tc>
          <w:tcPr>
            <w:tcW w:w="1287" w:type="pct"/>
            <w:shd w:val="clear" w:color="auto" w:fill="auto"/>
          </w:tcPr>
          <w:p w:rsidR="006E2BB1" w:rsidRPr="00C258AD" w:rsidRDefault="002D4597" w:rsidP="00C9182C">
            <w:pPr>
              <w:rPr>
                <w:i/>
                <w:color w:val="002060"/>
                <w:sz w:val="16"/>
                <w:szCs w:val="16"/>
              </w:rPr>
            </w:pPr>
            <w:r w:rsidRPr="00C258AD">
              <w:rPr>
                <w:i/>
                <w:color w:val="002060"/>
                <w:sz w:val="16"/>
                <w:szCs w:val="16"/>
              </w:rPr>
              <w:t>Niveau de référence actualisé à fin 2013 :</w:t>
            </w:r>
            <w:r w:rsidRPr="00C258AD">
              <w:rPr>
                <w:color w:val="002060"/>
                <w:sz w:val="16"/>
                <w:szCs w:val="16"/>
                <w:lang w:bidi="th-TH"/>
              </w:rPr>
              <w:t xml:space="preserve"> 36 (</w:t>
            </w:r>
            <w:r w:rsidRPr="00C258AD">
              <w:rPr>
                <w:color w:val="002060"/>
                <w:sz w:val="16"/>
                <w:szCs w:val="16"/>
              </w:rPr>
              <w:t>données cumulées</w:t>
            </w:r>
            <w:r w:rsidRPr="00C258AD">
              <w:rPr>
                <w:color w:val="002060"/>
                <w:sz w:val="16"/>
                <w:szCs w:val="16"/>
                <w:lang w:bidi="th-TH"/>
              </w:rPr>
              <w:t>)</w:t>
            </w:r>
          </w:p>
          <w:p w:rsidR="006E2BB1" w:rsidRPr="00C258AD" w:rsidRDefault="006E2BB1" w:rsidP="00C9182C">
            <w:pPr>
              <w:rPr>
                <w:i/>
                <w:sz w:val="16"/>
                <w:szCs w:val="16"/>
                <w:lang w:bidi="th-TH"/>
              </w:rPr>
            </w:pPr>
          </w:p>
          <w:p w:rsidR="002D4597" w:rsidRPr="00C258AD" w:rsidRDefault="002D4597" w:rsidP="00C9182C">
            <w:pPr>
              <w:rPr>
                <w:sz w:val="16"/>
                <w:szCs w:val="16"/>
              </w:rPr>
            </w:pPr>
            <w:r w:rsidRPr="00C258AD">
              <w:rPr>
                <w:i/>
                <w:sz w:val="16"/>
                <w:szCs w:val="16"/>
              </w:rPr>
              <w:t>Niveau de référence initial dans le programme et budget 2014</w:t>
            </w:r>
            <w:r w:rsidRPr="00C258AD">
              <w:rPr>
                <w:i/>
                <w:sz w:val="16"/>
                <w:szCs w:val="16"/>
              </w:rPr>
              <w:noBreakHyphen/>
              <w:t>2015 : 27 (février 2013)</w:t>
            </w:r>
          </w:p>
        </w:tc>
        <w:tc>
          <w:tcPr>
            <w:tcW w:w="764" w:type="pct"/>
            <w:shd w:val="clear" w:color="auto" w:fill="auto"/>
            <w:tcMar>
              <w:top w:w="110" w:type="dxa"/>
            </w:tcMar>
          </w:tcPr>
          <w:p w:rsidR="002D4597" w:rsidRPr="00C258AD" w:rsidRDefault="002D4597" w:rsidP="00C9182C">
            <w:pPr>
              <w:rPr>
                <w:sz w:val="16"/>
                <w:szCs w:val="16"/>
                <w:lang w:bidi="th-TH"/>
              </w:rPr>
            </w:pPr>
            <w:r w:rsidRPr="00C258AD">
              <w:rPr>
                <w:sz w:val="16"/>
                <w:szCs w:val="16"/>
              </w:rPr>
              <w:t>35</w:t>
            </w:r>
          </w:p>
        </w:tc>
        <w:tc>
          <w:tcPr>
            <w:tcW w:w="1210" w:type="pct"/>
            <w:shd w:val="clear" w:color="auto" w:fill="FFFFFF"/>
            <w:tcMar>
              <w:top w:w="110" w:type="dxa"/>
            </w:tcMar>
          </w:tcPr>
          <w:p w:rsidR="002D4597" w:rsidRPr="00C258AD" w:rsidRDefault="002D4597" w:rsidP="00C9182C">
            <w:pPr>
              <w:rPr>
                <w:sz w:val="16"/>
                <w:szCs w:val="16"/>
              </w:rPr>
            </w:pPr>
            <w:r w:rsidRPr="00C258AD">
              <w:rPr>
                <w:sz w:val="16"/>
                <w:szCs w:val="16"/>
                <w:lang w:bidi="th-TH"/>
              </w:rPr>
              <w:t>43 (en tout)</w:t>
            </w:r>
          </w:p>
        </w:tc>
        <w:tc>
          <w:tcPr>
            <w:tcW w:w="530" w:type="pct"/>
            <w:shd w:val="clear" w:color="auto" w:fill="auto"/>
            <w:tcMar>
              <w:top w:w="110" w:type="dxa"/>
            </w:tcMar>
          </w:tcPr>
          <w:p w:rsidR="002D4597" w:rsidRPr="00C258AD" w:rsidRDefault="002D4597" w:rsidP="00C9182C">
            <w:pPr>
              <w:jc w:val="center"/>
              <w:rPr>
                <w:rStyle w:val="Style5"/>
                <w:b/>
                <w:color w:val="00B050"/>
                <w:sz w:val="16"/>
                <w:szCs w:val="16"/>
              </w:rPr>
            </w:pPr>
            <w:r w:rsidRPr="00C258AD">
              <w:rPr>
                <w:rFonts w:cs="Arial"/>
                <w:b/>
                <w:bCs/>
                <w:color w:val="00B050"/>
                <w:sz w:val="16"/>
                <w:szCs w:val="16"/>
              </w:rPr>
              <w:t>Objectif pleinement atteint</w:t>
            </w:r>
          </w:p>
        </w:tc>
      </w:tr>
      <w:tr w:rsidR="002D4597" w:rsidRPr="00C258AD" w:rsidTr="00C9182C">
        <w:trPr>
          <w:cantSplit/>
        </w:trPr>
        <w:tc>
          <w:tcPr>
            <w:tcW w:w="1209" w:type="pct"/>
            <w:shd w:val="clear" w:color="auto" w:fill="auto"/>
          </w:tcPr>
          <w:p w:rsidR="006E2BB1" w:rsidRPr="00C258AD" w:rsidRDefault="002D4597" w:rsidP="00C9182C">
            <w:pPr>
              <w:rPr>
                <w:sz w:val="16"/>
                <w:szCs w:val="16"/>
              </w:rPr>
            </w:pPr>
            <w:r w:rsidRPr="00C258AD">
              <w:rPr>
                <w:sz w:val="16"/>
                <w:szCs w:val="16"/>
              </w:rPr>
              <w:t>Nombre de collections nationales/régionales dans la Base de données mondiale sur les marques</w:t>
            </w:r>
          </w:p>
          <w:p w:rsidR="002D4597" w:rsidRPr="00C258AD" w:rsidRDefault="002D4597" w:rsidP="00C9182C">
            <w:pPr>
              <w:rPr>
                <w:sz w:val="16"/>
                <w:szCs w:val="16"/>
              </w:rPr>
            </w:pPr>
          </w:p>
        </w:tc>
        <w:tc>
          <w:tcPr>
            <w:tcW w:w="1287" w:type="pct"/>
            <w:shd w:val="clear" w:color="auto" w:fill="auto"/>
          </w:tcPr>
          <w:p w:rsidR="006E2BB1" w:rsidRPr="00C258AD" w:rsidRDefault="002D4597" w:rsidP="00C9182C">
            <w:pPr>
              <w:rPr>
                <w:i/>
                <w:color w:val="002060"/>
                <w:sz w:val="16"/>
                <w:szCs w:val="16"/>
              </w:rPr>
            </w:pPr>
            <w:r w:rsidRPr="00C258AD">
              <w:rPr>
                <w:i/>
                <w:color w:val="002060"/>
                <w:sz w:val="16"/>
                <w:szCs w:val="16"/>
              </w:rPr>
              <w:t>Niveau de référence actualisé à fin 2013 :</w:t>
            </w:r>
            <w:r w:rsidRPr="00C258AD">
              <w:rPr>
                <w:color w:val="002060"/>
                <w:sz w:val="16"/>
                <w:szCs w:val="16"/>
                <w:lang w:bidi="th-TH"/>
              </w:rPr>
              <w:t xml:space="preserve"> 12</w:t>
            </w:r>
          </w:p>
          <w:p w:rsidR="006E2BB1" w:rsidRPr="00C258AD" w:rsidRDefault="006E2BB1" w:rsidP="00C9182C">
            <w:pPr>
              <w:rPr>
                <w:i/>
                <w:sz w:val="16"/>
                <w:szCs w:val="16"/>
                <w:lang w:bidi="th-TH"/>
              </w:rPr>
            </w:pPr>
          </w:p>
          <w:p w:rsidR="002D4597" w:rsidRPr="00C258AD" w:rsidRDefault="002D4597" w:rsidP="00C9182C">
            <w:pPr>
              <w:rPr>
                <w:i/>
                <w:sz w:val="16"/>
                <w:szCs w:val="16"/>
              </w:rPr>
            </w:pPr>
            <w:r w:rsidRPr="00C258AD">
              <w:rPr>
                <w:i/>
                <w:sz w:val="16"/>
                <w:szCs w:val="16"/>
              </w:rPr>
              <w:t>Niveau de référence initial dans le programme et budget 2014</w:t>
            </w:r>
            <w:r w:rsidRPr="00C258AD">
              <w:rPr>
                <w:i/>
                <w:sz w:val="16"/>
                <w:szCs w:val="16"/>
              </w:rPr>
              <w:noBreakHyphen/>
              <w:t>2015 : 9 (février 2013)</w:t>
            </w:r>
          </w:p>
        </w:tc>
        <w:tc>
          <w:tcPr>
            <w:tcW w:w="764" w:type="pct"/>
            <w:shd w:val="clear" w:color="auto" w:fill="auto"/>
            <w:tcMar>
              <w:top w:w="110" w:type="dxa"/>
            </w:tcMar>
          </w:tcPr>
          <w:p w:rsidR="002D4597" w:rsidRPr="00C258AD" w:rsidRDefault="002D4597" w:rsidP="00C9182C">
            <w:pPr>
              <w:rPr>
                <w:sz w:val="16"/>
                <w:szCs w:val="16"/>
              </w:rPr>
            </w:pPr>
            <w:r w:rsidRPr="00C258AD">
              <w:rPr>
                <w:sz w:val="16"/>
                <w:szCs w:val="16"/>
              </w:rPr>
              <w:t>18</w:t>
            </w:r>
          </w:p>
        </w:tc>
        <w:tc>
          <w:tcPr>
            <w:tcW w:w="1210" w:type="pct"/>
            <w:shd w:val="clear" w:color="auto" w:fill="FFFFFF"/>
            <w:tcMar>
              <w:top w:w="110" w:type="dxa"/>
            </w:tcMar>
          </w:tcPr>
          <w:p w:rsidR="002D4597" w:rsidRPr="00C258AD" w:rsidRDefault="002D4597" w:rsidP="00C9182C">
            <w:pPr>
              <w:rPr>
                <w:sz w:val="16"/>
                <w:szCs w:val="16"/>
                <w:lang w:bidi="th-TH"/>
              </w:rPr>
            </w:pPr>
            <w:r w:rsidRPr="00C258AD">
              <w:rPr>
                <w:sz w:val="16"/>
                <w:szCs w:val="16"/>
                <w:lang w:bidi="th-TH"/>
              </w:rPr>
              <w:t>26 (en tout)</w:t>
            </w:r>
          </w:p>
        </w:tc>
        <w:tc>
          <w:tcPr>
            <w:tcW w:w="530" w:type="pct"/>
            <w:shd w:val="clear" w:color="auto" w:fill="auto"/>
            <w:tcMar>
              <w:top w:w="110" w:type="dxa"/>
            </w:tcMar>
          </w:tcPr>
          <w:p w:rsidR="002D4597" w:rsidRPr="00C258AD" w:rsidRDefault="002D4597" w:rsidP="00C9182C">
            <w:pPr>
              <w:jc w:val="center"/>
              <w:rPr>
                <w:rStyle w:val="Style5"/>
                <w:b/>
                <w:color w:val="00B050"/>
                <w:sz w:val="16"/>
                <w:szCs w:val="16"/>
              </w:rPr>
            </w:pPr>
            <w:r w:rsidRPr="00C258AD">
              <w:rPr>
                <w:rFonts w:cs="Arial"/>
                <w:b/>
                <w:bCs/>
                <w:color w:val="00B050"/>
                <w:sz w:val="16"/>
                <w:szCs w:val="16"/>
              </w:rPr>
              <w:t>Objectif pleinement atteint</w:t>
            </w:r>
          </w:p>
        </w:tc>
      </w:tr>
    </w:tbl>
    <w:p w:rsidR="006E2BB1" w:rsidRPr="00C258AD" w:rsidRDefault="006E2BB1" w:rsidP="00C9182C">
      <w:pPr>
        <w:rPr>
          <w:bCs/>
          <w:sz w:val="22"/>
          <w:szCs w:val="22"/>
        </w:rPr>
      </w:pPr>
    </w:p>
    <w:p w:rsidR="006E2BB1" w:rsidRPr="00C258AD" w:rsidRDefault="006E2BB1" w:rsidP="00C9182C">
      <w:pPr>
        <w:rPr>
          <w:bCs/>
          <w:sz w:val="22"/>
          <w:szCs w:val="22"/>
        </w:rPr>
      </w:pPr>
    </w:p>
    <w:p w:rsidR="006E2BB1" w:rsidRPr="00C258AD" w:rsidRDefault="002D4597" w:rsidP="00305CE5">
      <w:pPr>
        <w:keepNext/>
        <w:rPr>
          <w:rFonts w:cs="Arial"/>
          <w:caps/>
          <w:sz w:val="22"/>
          <w:szCs w:val="22"/>
        </w:rPr>
      </w:pPr>
      <w:r w:rsidRPr="00C258AD">
        <w:rPr>
          <w:rFonts w:cs="Arial"/>
          <w:caps/>
          <w:sz w:val="22"/>
          <w:szCs w:val="22"/>
        </w:rPr>
        <w:t>Rapport d’évaluation des risques pour l’exercice biennal</w:t>
      </w:r>
    </w:p>
    <w:p w:rsidR="002D4597" w:rsidRPr="00C258AD" w:rsidRDefault="002D4597" w:rsidP="00C9182C">
      <w:pPr>
        <w:keepNext/>
        <w:keepLines/>
        <w:rPr>
          <w:rFonts w:cs="Arial"/>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58"/>
        <w:gridCol w:w="12"/>
        <w:gridCol w:w="2372"/>
        <w:gridCol w:w="2372"/>
        <w:gridCol w:w="13"/>
        <w:gridCol w:w="2364"/>
      </w:tblGrid>
      <w:tr w:rsidR="002D4597" w:rsidRPr="00C258AD" w:rsidTr="00C9182C">
        <w:trPr>
          <w:cantSplit/>
        </w:trPr>
        <w:tc>
          <w:tcPr>
            <w:tcW w:w="2372" w:type="dxa"/>
            <w:gridSpan w:val="2"/>
            <w:tcBorders>
              <w:top w:val="single" w:sz="4" w:space="0" w:color="auto"/>
              <w:left w:val="single" w:sz="4" w:space="0" w:color="auto"/>
              <w:bottom w:val="single" w:sz="4" w:space="0" w:color="auto"/>
            </w:tcBorders>
            <w:shd w:val="clear" w:color="auto" w:fill="C5D9F1"/>
            <w:vAlign w:val="center"/>
          </w:tcPr>
          <w:p w:rsidR="002D4597" w:rsidRPr="00C258AD" w:rsidRDefault="002D4597" w:rsidP="00C9182C">
            <w:pPr>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2D4597" w:rsidRPr="00C258AD" w:rsidRDefault="002D4597" w:rsidP="00C9182C">
            <w:pPr>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2D4597" w:rsidRPr="00C258AD" w:rsidRDefault="002D4597" w:rsidP="00C9182C">
            <w:pPr>
              <w:autoSpaceDE w:val="0"/>
              <w:autoSpaceDN w:val="0"/>
              <w:adjustRightInd w:val="0"/>
              <w:ind w:right="-59"/>
              <w:jc w:val="center"/>
              <w:rPr>
                <w:b/>
                <w:bCs/>
                <w:iCs/>
                <w:sz w:val="16"/>
                <w:szCs w:val="16"/>
              </w:rPr>
            </w:pPr>
            <w:r w:rsidRPr="00C258AD">
              <w:rPr>
                <w:b/>
                <w:bCs/>
                <w:iCs/>
                <w:sz w:val="16"/>
                <w:szCs w:val="16"/>
              </w:rPr>
              <w:t>Évolution des risques et stratégies d’atténuation durant l’exercice biennal</w:t>
            </w:r>
          </w:p>
        </w:tc>
        <w:tc>
          <w:tcPr>
            <w:tcW w:w="2373" w:type="dxa"/>
            <w:gridSpan w:val="2"/>
            <w:tcBorders>
              <w:top w:val="single" w:sz="4" w:space="0" w:color="auto"/>
              <w:bottom w:val="single" w:sz="4" w:space="0" w:color="auto"/>
              <w:right w:val="single" w:sz="4" w:space="0" w:color="auto"/>
            </w:tcBorders>
            <w:shd w:val="clear" w:color="auto" w:fill="C5D9F1"/>
            <w:vAlign w:val="center"/>
          </w:tcPr>
          <w:p w:rsidR="002D4597" w:rsidRPr="00C258AD" w:rsidRDefault="002D4597" w:rsidP="00C9182C">
            <w:pPr>
              <w:autoSpaceDE w:val="0"/>
              <w:autoSpaceDN w:val="0"/>
              <w:adjustRightInd w:val="0"/>
              <w:jc w:val="center"/>
              <w:rPr>
                <w:b/>
                <w:bCs/>
                <w:iCs/>
                <w:sz w:val="16"/>
                <w:szCs w:val="16"/>
              </w:rPr>
            </w:pPr>
            <w:r w:rsidRPr="00C258AD">
              <w:rPr>
                <w:b/>
                <w:bCs/>
                <w:iCs/>
                <w:sz w:val="16"/>
                <w:szCs w:val="16"/>
              </w:rPr>
              <w:t>Incidence sur les résultats du programme</w:t>
            </w:r>
          </w:p>
        </w:tc>
      </w:tr>
      <w:tr w:rsidR="002D4597" w:rsidRPr="00C258AD" w:rsidTr="00C9182C">
        <w:tblPrEx>
          <w:jc w:val="center"/>
          <w:tblBorders>
            <w:top w:val="single" w:sz="4" w:space="0" w:color="auto"/>
            <w:left w:val="single" w:sz="4" w:space="0" w:color="auto"/>
            <w:bottom w:val="single" w:sz="4" w:space="0" w:color="auto"/>
            <w:right w:val="single" w:sz="4" w:space="0" w:color="auto"/>
          </w:tblBorders>
        </w:tblPrEx>
        <w:trPr>
          <w:cantSplit/>
          <w:jc w:val="center"/>
        </w:trPr>
        <w:tc>
          <w:tcPr>
            <w:tcW w:w="2360" w:type="dxa"/>
            <w:tcBorders>
              <w:top w:val="single" w:sz="4" w:space="0" w:color="auto"/>
            </w:tcBorders>
            <w:shd w:val="clear" w:color="auto" w:fill="auto"/>
            <w:tcMar>
              <w:top w:w="113" w:type="dxa"/>
              <w:bottom w:w="113" w:type="dxa"/>
            </w:tcMar>
          </w:tcPr>
          <w:p w:rsidR="002D4597" w:rsidRPr="00C258AD" w:rsidRDefault="002D4597" w:rsidP="00C9182C">
            <w:pPr>
              <w:keepNext/>
              <w:keepLines/>
              <w:rPr>
                <w:sz w:val="16"/>
                <w:szCs w:val="16"/>
              </w:rPr>
            </w:pPr>
            <w:r w:rsidRPr="00C258AD">
              <w:rPr>
                <w:sz w:val="16"/>
                <w:szCs w:val="16"/>
              </w:rPr>
              <w:t xml:space="preserve">Perte d’accès temporaire ou définitive aux bases de données mondiales suite à une perturbation du service d’Internet localisé ou à une panne technique au siège de Genève.  </w:t>
            </w:r>
          </w:p>
        </w:tc>
        <w:tc>
          <w:tcPr>
            <w:tcW w:w="2380" w:type="dxa"/>
            <w:gridSpan w:val="2"/>
            <w:tcBorders>
              <w:top w:val="single" w:sz="4" w:space="0" w:color="auto"/>
            </w:tcBorders>
            <w:shd w:val="clear" w:color="auto" w:fill="auto"/>
            <w:tcMar>
              <w:top w:w="113" w:type="dxa"/>
              <w:bottom w:w="113" w:type="dxa"/>
            </w:tcMar>
          </w:tcPr>
          <w:p w:rsidR="002D4597" w:rsidRPr="00C258AD" w:rsidRDefault="002D4597" w:rsidP="00C9182C">
            <w:pPr>
              <w:keepNext/>
              <w:keepLines/>
              <w:rPr>
                <w:sz w:val="16"/>
                <w:szCs w:val="16"/>
              </w:rPr>
            </w:pPr>
            <w:r w:rsidRPr="00C258AD">
              <w:rPr>
                <w:sz w:val="16"/>
                <w:szCs w:val="16"/>
              </w:rPr>
              <w:t>Étudier différents lieux possibles d’hébergement où seraient conservées des copies des données en vue d’une récupération après sinistre et d’une répartition sur le plan géographique.  Réfléchir à d’éventuels sites miroirs pour maintenir l’accès aux données en cas d’interruption d’un service localisé.</w:t>
            </w:r>
          </w:p>
        </w:tc>
        <w:tc>
          <w:tcPr>
            <w:tcW w:w="2386" w:type="dxa"/>
            <w:gridSpan w:val="2"/>
            <w:tcBorders>
              <w:top w:val="single" w:sz="4" w:space="0" w:color="auto"/>
            </w:tcBorders>
          </w:tcPr>
          <w:p w:rsidR="002D4597" w:rsidRPr="00C258AD" w:rsidRDefault="002D4597" w:rsidP="00C9182C">
            <w:pPr>
              <w:keepNext/>
              <w:keepLines/>
              <w:rPr>
                <w:sz w:val="16"/>
                <w:szCs w:val="16"/>
              </w:rPr>
            </w:pPr>
            <w:r w:rsidRPr="00C258AD">
              <w:rPr>
                <w:sz w:val="16"/>
                <w:szCs w:val="16"/>
              </w:rPr>
              <w:t>Des mesures ont été prises au cours de l’exercice biennal à l’égard de la répartition sur le plan géographique du système PATENTSCOPE avec la création en Asie d’un site miroir qui constitue une reproduction à distance du système et offrant des délais de traitement améliorés pour la région Asie, ce qui permet de réduire les risques.</w:t>
            </w:r>
          </w:p>
        </w:tc>
        <w:tc>
          <w:tcPr>
            <w:tcW w:w="2365" w:type="dxa"/>
            <w:tcBorders>
              <w:top w:val="single" w:sz="4" w:space="0" w:color="auto"/>
            </w:tcBorders>
          </w:tcPr>
          <w:p w:rsidR="002D4597" w:rsidRPr="00C258AD" w:rsidRDefault="002D4597" w:rsidP="00C9182C">
            <w:pPr>
              <w:autoSpaceDE w:val="0"/>
              <w:autoSpaceDN w:val="0"/>
              <w:adjustRightInd w:val="0"/>
              <w:ind w:right="-59"/>
              <w:rPr>
                <w:sz w:val="16"/>
                <w:szCs w:val="16"/>
              </w:rPr>
            </w:pPr>
            <w:r w:rsidRPr="00C258AD">
              <w:rPr>
                <w:sz w:val="16"/>
                <w:szCs w:val="16"/>
                <w:lang w:eastAsia="zh-CN"/>
              </w:rPr>
              <w:t>Ce risque et son évolution n’ont eu aucune incidence concrète sur les résultats du programme en 2014</w:t>
            </w:r>
            <w:r w:rsidRPr="00C258AD">
              <w:rPr>
                <w:sz w:val="16"/>
                <w:szCs w:val="16"/>
                <w:lang w:eastAsia="zh-CN"/>
              </w:rPr>
              <w:noBreakHyphen/>
              <w:t>2015.</w:t>
            </w:r>
          </w:p>
        </w:tc>
      </w:tr>
    </w:tbl>
    <w:p w:rsidR="006E2BB1" w:rsidRPr="00C258AD" w:rsidRDefault="006E2BB1" w:rsidP="00C9182C">
      <w:pPr>
        <w:rPr>
          <w:bCs/>
          <w:sz w:val="22"/>
          <w:szCs w:val="22"/>
        </w:rPr>
      </w:pPr>
    </w:p>
    <w:p w:rsidR="006E2BB1" w:rsidRPr="00C258AD" w:rsidRDefault="006E2BB1" w:rsidP="00C9182C">
      <w:pPr>
        <w:rPr>
          <w:color w:val="000000"/>
          <w:sz w:val="22"/>
          <w:szCs w:val="22"/>
        </w:rPr>
      </w:pPr>
    </w:p>
    <w:p w:rsidR="006E2BB1" w:rsidRPr="00C258AD" w:rsidRDefault="002D4597" w:rsidP="00305CE5">
      <w:pPr>
        <w:keepNext/>
        <w:rPr>
          <w:rFonts w:cs="Arial"/>
          <w:caps/>
          <w:sz w:val="22"/>
          <w:szCs w:val="22"/>
        </w:rPr>
      </w:pPr>
      <w:r w:rsidRPr="00C258AD">
        <w:rPr>
          <w:rFonts w:cs="Arial"/>
          <w:caps/>
          <w:sz w:val="22"/>
          <w:szCs w:val="22"/>
        </w:rPr>
        <w:t>Utilisation des ressources</w:t>
      </w:r>
    </w:p>
    <w:p w:rsidR="006E2BB1" w:rsidRPr="00C258AD" w:rsidRDefault="006E2BB1" w:rsidP="00C9182C">
      <w:pPr>
        <w:jc w:val="center"/>
      </w:pPr>
    </w:p>
    <w:p w:rsidR="006E2BB1" w:rsidRPr="00C258AD" w:rsidRDefault="002D4597" w:rsidP="00C9182C">
      <w:pPr>
        <w:pStyle w:val="NormalWeb"/>
        <w:keepNext/>
        <w:spacing w:before="0" w:beforeAutospacing="0" w:after="0" w:afterAutospacing="0"/>
        <w:jc w:val="center"/>
        <w:rPr>
          <w:sz w:val="20"/>
          <w:szCs w:val="20"/>
        </w:rPr>
      </w:pPr>
      <w:r w:rsidRPr="00C258AD">
        <w:rPr>
          <w:sz w:val="20"/>
          <w:szCs w:val="20"/>
        </w:rPr>
        <w:t>Budget et dépenses effectives (par résultat)</w:t>
      </w:r>
    </w:p>
    <w:p w:rsidR="006E2BB1" w:rsidRPr="00C258AD" w:rsidRDefault="002D4597" w:rsidP="00C9182C">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2D4597" w:rsidRPr="00C258AD" w:rsidRDefault="002D4597" w:rsidP="00C9182C">
      <w:pPr>
        <w:keepNext/>
        <w:jc w:val="both"/>
      </w:pPr>
    </w:p>
    <w:tbl>
      <w:tblPr>
        <w:tblW w:w="9080" w:type="dxa"/>
        <w:tblInd w:w="55" w:type="dxa"/>
        <w:tblCellMar>
          <w:top w:w="113" w:type="dxa"/>
          <w:left w:w="70" w:type="dxa"/>
          <w:bottom w:w="113" w:type="dxa"/>
          <w:right w:w="70" w:type="dxa"/>
        </w:tblCellMar>
        <w:tblLook w:val="04A0" w:firstRow="1" w:lastRow="0" w:firstColumn="1" w:lastColumn="0" w:noHBand="0" w:noVBand="1"/>
      </w:tblPr>
      <w:tblGrid>
        <w:gridCol w:w="533"/>
        <w:gridCol w:w="4467"/>
        <w:gridCol w:w="1360"/>
        <w:gridCol w:w="1360"/>
        <w:gridCol w:w="1360"/>
      </w:tblGrid>
      <w:tr w:rsidR="002D4597" w:rsidRPr="00C258AD" w:rsidTr="00C9182C">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2D4597" w:rsidRPr="00C258AD" w:rsidRDefault="002D4597" w:rsidP="00C9182C">
            <w:pPr>
              <w:jc w:val="center"/>
              <w:rPr>
                <w:i/>
                <w:iCs/>
                <w:sz w:val="16"/>
                <w:szCs w:val="16"/>
                <w:lang w:eastAsia="fr-FR"/>
              </w:rPr>
            </w:pPr>
            <w:r w:rsidRPr="00C258AD">
              <w:rPr>
                <w:i/>
                <w:iCs/>
                <w:sz w:val="16"/>
                <w:szCs w:val="16"/>
                <w:lang w:eastAsia="fr-FR"/>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2D4597" w:rsidRPr="00C258AD" w:rsidRDefault="002D4597" w:rsidP="00C9182C">
            <w:pPr>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Pr="00C258AD">
              <w:rPr>
                <w:i/>
                <w:iCs/>
                <w:sz w:val="16"/>
                <w:szCs w:val="16"/>
                <w:lang w:eastAsia="fr-FR"/>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2D4597" w:rsidRPr="00C258AD" w:rsidRDefault="002D4597" w:rsidP="00C9182C">
            <w:pPr>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Pr="00C258AD">
              <w:rPr>
                <w:i/>
                <w:iCs/>
                <w:sz w:val="16"/>
                <w:szCs w:val="16"/>
                <w:lang w:eastAsia="fr-FR"/>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2D4597" w:rsidRPr="00C258AD" w:rsidRDefault="002D4597" w:rsidP="00C9182C">
            <w:pPr>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Pr="00C258AD">
              <w:rPr>
                <w:i/>
                <w:iCs/>
                <w:sz w:val="16"/>
                <w:szCs w:val="16"/>
                <w:lang w:eastAsia="fr-FR"/>
              </w:rPr>
              <w:noBreakHyphen/>
              <w:t>2015</w:t>
            </w:r>
          </w:p>
        </w:tc>
      </w:tr>
      <w:tr w:rsidR="002D4597" w:rsidRPr="00C258AD" w:rsidTr="00C9182C">
        <w:trPr>
          <w:cantSplit/>
        </w:trPr>
        <w:tc>
          <w:tcPr>
            <w:tcW w:w="533" w:type="dxa"/>
            <w:tcBorders>
              <w:top w:val="nil"/>
              <w:left w:val="single" w:sz="4" w:space="0" w:color="auto"/>
              <w:bottom w:val="nil"/>
              <w:right w:val="nil"/>
            </w:tcBorders>
            <w:shd w:val="clear" w:color="auto" w:fill="auto"/>
            <w:noWrap/>
            <w:vAlign w:val="center"/>
            <w:hideMark/>
          </w:tcPr>
          <w:p w:rsidR="002D4597" w:rsidRPr="00C258AD" w:rsidRDefault="002D4597" w:rsidP="00C9182C">
            <w:pPr>
              <w:rPr>
                <w:sz w:val="16"/>
                <w:szCs w:val="16"/>
                <w:lang w:eastAsia="fr-FR"/>
              </w:rPr>
            </w:pPr>
            <w:r w:rsidRPr="00C258AD">
              <w:rPr>
                <w:sz w:val="16"/>
                <w:szCs w:val="16"/>
                <w:lang w:eastAsia="fr-FR"/>
              </w:rPr>
              <w:t>IV.2</w:t>
            </w:r>
          </w:p>
        </w:tc>
        <w:tc>
          <w:tcPr>
            <w:tcW w:w="4467" w:type="dxa"/>
            <w:tcBorders>
              <w:top w:val="nil"/>
              <w:left w:val="nil"/>
              <w:bottom w:val="nil"/>
              <w:right w:val="nil"/>
            </w:tcBorders>
            <w:shd w:val="clear" w:color="auto" w:fill="auto"/>
            <w:vAlign w:val="center"/>
            <w:hideMark/>
          </w:tcPr>
          <w:p w:rsidR="002D4597" w:rsidRPr="00C258AD" w:rsidRDefault="002D4597" w:rsidP="00C9182C">
            <w:pPr>
              <w:rPr>
                <w:sz w:val="16"/>
                <w:szCs w:val="16"/>
                <w:lang w:eastAsia="fr-FR"/>
              </w:rPr>
            </w:pPr>
            <w:r w:rsidRPr="00C258AD">
              <w:rPr>
                <w:sz w:val="16"/>
                <w:szCs w:val="16"/>
                <w:lang w:eastAsia="fr-FR"/>
              </w:rPr>
              <w:t>Amélioration de l’accessibilité et de l’utilisation de l’information en matière de propriété intellectuelle par les institutions compétentes et le public afin de promouvoir l’innovation et la créativité</w:t>
            </w:r>
          </w:p>
        </w:tc>
        <w:tc>
          <w:tcPr>
            <w:tcW w:w="1360" w:type="dxa"/>
            <w:tcBorders>
              <w:top w:val="nil"/>
              <w:left w:val="nil"/>
              <w:bottom w:val="nil"/>
              <w:right w:val="nil"/>
            </w:tcBorders>
            <w:shd w:val="clear" w:color="auto" w:fill="auto"/>
            <w:vAlign w:val="center"/>
            <w:hideMark/>
          </w:tcPr>
          <w:p w:rsidR="002D4597" w:rsidRPr="00C258AD" w:rsidRDefault="002D4597" w:rsidP="00C9182C">
            <w:pPr>
              <w:jc w:val="right"/>
              <w:rPr>
                <w:sz w:val="16"/>
                <w:szCs w:val="16"/>
                <w:lang w:eastAsia="fr-FR"/>
              </w:rPr>
            </w:pPr>
            <w:r w:rsidRPr="00C258AD">
              <w:rPr>
                <w:sz w:val="16"/>
                <w:szCs w:val="16"/>
                <w:lang w:eastAsia="fr-FR"/>
              </w:rPr>
              <w:t>1 882</w:t>
            </w:r>
          </w:p>
        </w:tc>
        <w:tc>
          <w:tcPr>
            <w:tcW w:w="1360" w:type="dxa"/>
            <w:tcBorders>
              <w:top w:val="nil"/>
              <w:left w:val="nil"/>
              <w:bottom w:val="nil"/>
              <w:right w:val="nil"/>
            </w:tcBorders>
            <w:shd w:val="clear" w:color="auto" w:fill="auto"/>
            <w:vAlign w:val="center"/>
            <w:hideMark/>
          </w:tcPr>
          <w:p w:rsidR="002D4597" w:rsidRPr="00C258AD" w:rsidRDefault="002D4597" w:rsidP="00C9182C">
            <w:pPr>
              <w:jc w:val="right"/>
              <w:rPr>
                <w:sz w:val="16"/>
                <w:szCs w:val="16"/>
                <w:lang w:eastAsia="fr-FR"/>
              </w:rPr>
            </w:pPr>
            <w:r w:rsidRPr="00C258AD">
              <w:rPr>
                <w:sz w:val="16"/>
                <w:szCs w:val="16"/>
                <w:lang w:eastAsia="fr-FR"/>
              </w:rPr>
              <w:t>3 768</w:t>
            </w:r>
          </w:p>
        </w:tc>
        <w:tc>
          <w:tcPr>
            <w:tcW w:w="1360" w:type="dxa"/>
            <w:tcBorders>
              <w:top w:val="nil"/>
              <w:left w:val="nil"/>
              <w:bottom w:val="nil"/>
              <w:right w:val="single" w:sz="4" w:space="0" w:color="auto"/>
            </w:tcBorders>
            <w:shd w:val="clear" w:color="auto" w:fill="auto"/>
            <w:vAlign w:val="center"/>
            <w:hideMark/>
          </w:tcPr>
          <w:p w:rsidR="002D4597" w:rsidRPr="00C258AD" w:rsidRDefault="002D4597" w:rsidP="00C9182C">
            <w:pPr>
              <w:jc w:val="right"/>
              <w:rPr>
                <w:sz w:val="16"/>
                <w:szCs w:val="16"/>
                <w:lang w:eastAsia="fr-FR"/>
              </w:rPr>
            </w:pPr>
            <w:r w:rsidRPr="00C258AD">
              <w:rPr>
                <w:sz w:val="16"/>
                <w:szCs w:val="16"/>
                <w:lang w:eastAsia="fr-FR"/>
              </w:rPr>
              <w:t>3 874</w:t>
            </w:r>
          </w:p>
        </w:tc>
      </w:tr>
      <w:tr w:rsidR="002D4597" w:rsidRPr="00C258AD" w:rsidTr="00C9182C">
        <w:trPr>
          <w:cantSplit/>
        </w:trPr>
        <w:tc>
          <w:tcPr>
            <w:tcW w:w="533" w:type="dxa"/>
            <w:tcBorders>
              <w:top w:val="nil"/>
              <w:left w:val="single" w:sz="4" w:space="0" w:color="auto"/>
              <w:bottom w:val="nil"/>
              <w:right w:val="nil"/>
            </w:tcBorders>
            <w:shd w:val="clear" w:color="auto" w:fill="auto"/>
            <w:noWrap/>
            <w:vAlign w:val="center"/>
            <w:hideMark/>
          </w:tcPr>
          <w:p w:rsidR="002D4597" w:rsidRPr="00C258AD" w:rsidRDefault="002D4597" w:rsidP="00C9182C">
            <w:pPr>
              <w:rPr>
                <w:sz w:val="16"/>
                <w:szCs w:val="16"/>
                <w:lang w:eastAsia="fr-FR"/>
              </w:rPr>
            </w:pPr>
            <w:r w:rsidRPr="00C258AD">
              <w:rPr>
                <w:sz w:val="16"/>
                <w:szCs w:val="16"/>
                <w:lang w:eastAsia="fr-FR"/>
              </w:rPr>
              <w:t>IV.3</w:t>
            </w:r>
          </w:p>
        </w:tc>
        <w:tc>
          <w:tcPr>
            <w:tcW w:w="4467" w:type="dxa"/>
            <w:tcBorders>
              <w:top w:val="nil"/>
              <w:left w:val="nil"/>
              <w:bottom w:val="nil"/>
              <w:right w:val="nil"/>
            </w:tcBorders>
            <w:shd w:val="clear" w:color="auto" w:fill="auto"/>
            <w:vAlign w:val="center"/>
            <w:hideMark/>
          </w:tcPr>
          <w:p w:rsidR="002D4597" w:rsidRPr="00C258AD" w:rsidRDefault="002D4597" w:rsidP="00C9182C">
            <w:pPr>
              <w:rPr>
                <w:sz w:val="16"/>
                <w:szCs w:val="16"/>
                <w:lang w:eastAsia="fr-FR"/>
              </w:rPr>
            </w:pPr>
            <w:r w:rsidRPr="00C258AD">
              <w:rPr>
                <w:sz w:val="16"/>
                <w:szCs w:val="16"/>
                <w:lang w:eastAsia="fr-FR"/>
              </w:rPr>
              <w:t>Élargissement de la portée géographique du contenu et de l’utilisation des bases de données mondiales de l’OMPI en matière de propriété intellectuelle</w:t>
            </w:r>
          </w:p>
        </w:tc>
        <w:tc>
          <w:tcPr>
            <w:tcW w:w="1360" w:type="dxa"/>
            <w:tcBorders>
              <w:top w:val="nil"/>
              <w:left w:val="nil"/>
              <w:bottom w:val="nil"/>
              <w:right w:val="nil"/>
            </w:tcBorders>
            <w:shd w:val="clear" w:color="auto" w:fill="auto"/>
            <w:vAlign w:val="center"/>
            <w:hideMark/>
          </w:tcPr>
          <w:p w:rsidR="002D4597" w:rsidRPr="00C258AD" w:rsidRDefault="002D4597" w:rsidP="00C9182C">
            <w:pPr>
              <w:jc w:val="right"/>
              <w:rPr>
                <w:sz w:val="16"/>
                <w:szCs w:val="16"/>
                <w:lang w:eastAsia="fr-FR"/>
              </w:rPr>
            </w:pPr>
            <w:r w:rsidRPr="00C258AD">
              <w:rPr>
                <w:sz w:val="16"/>
                <w:szCs w:val="16"/>
                <w:lang w:eastAsia="fr-FR"/>
              </w:rPr>
              <w:t>2 810</w:t>
            </w:r>
          </w:p>
        </w:tc>
        <w:tc>
          <w:tcPr>
            <w:tcW w:w="1360" w:type="dxa"/>
            <w:tcBorders>
              <w:top w:val="nil"/>
              <w:left w:val="nil"/>
              <w:bottom w:val="nil"/>
              <w:right w:val="nil"/>
            </w:tcBorders>
            <w:shd w:val="clear" w:color="auto" w:fill="auto"/>
            <w:vAlign w:val="center"/>
            <w:hideMark/>
          </w:tcPr>
          <w:p w:rsidR="002D4597" w:rsidRPr="00C258AD" w:rsidRDefault="002D4597" w:rsidP="00C9182C">
            <w:pPr>
              <w:jc w:val="right"/>
              <w:rPr>
                <w:sz w:val="16"/>
                <w:szCs w:val="16"/>
                <w:lang w:eastAsia="fr-FR"/>
              </w:rPr>
            </w:pPr>
            <w:r w:rsidRPr="00C258AD">
              <w:rPr>
                <w:sz w:val="16"/>
                <w:szCs w:val="16"/>
                <w:lang w:eastAsia="fr-FR"/>
              </w:rPr>
              <w:t>1 296</w:t>
            </w:r>
          </w:p>
        </w:tc>
        <w:tc>
          <w:tcPr>
            <w:tcW w:w="1360" w:type="dxa"/>
            <w:tcBorders>
              <w:top w:val="nil"/>
              <w:left w:val="nil"/>
              <w:bottom w:val="nil"/>
              <w:right w:val="single" w:sz="4" w:space="0" w:color="auto"/>
            </w:tcBorders>
            <w:shd w:val="clear" w:color="auto" w:fill="auto"/>
            <w:vAlign w:val="center"/>
            <w:hideMark/>
          </w:tcPr>
          <w:p w:rsidR="002D4597" w:rsidRPr="00C258AD" w:rsidRDefault="002D4597" w:rsidP="00C9182C">
            <w:pPr>
              <w:jc w:val="right"/>
              <w:rPr>
                <w:sz w:val="16"/>
                <w:szCs w:val="16"/>
                <w:lang w:eastAsia="fr-FR"/>
              </w:rPr>
            </w:pPr>
            <w:r w:rsidRPr="00C258AD">
              <w:rPr>
                <w:sz w:val="16"/>
                <w:szCs w:val="16"/>
                <w:lang w:eastAsia="fr-FR"/>
              </w:rPr>
              <w:t>1 080</w:t>
            </w:r>
          </w:p>
        </w:tc>
      </w:tr>
      <w:tr w:rsidR="002D4597" w:rsidRPr="00C258AD" w:rsidTr="00C9182C">
        <w:trPr>
          <w:cantSplit/>
        </w:trPr>
        <w:tc>
          <w:tcPr>
            <w:tcW w:w="533" w:type="dxa"/>
            <w:tcBorders>
              <w:top w:val="single" w:sz="4" w:space="0" w:color="auto"/>
              <w:left w:val="single" w:sz="4" w:space="0" w:color="auto"/>
              <w:bottom w:val="single" w:sz="4" w:space="0" w:color="auto"/>
              <w:right w:val="nil"/>
            </w:tcBorders>
            <w:shd w:val="clear" w:color="auto" w:fill="C5D9F1"/>
            <w:noWrap/>
            <w:vAlign w:val="bottom"/>
            <w:hideMark/>
          </w:tcPr>
          <w:p w:rsidR="002D4597" w:rsidRPr="00C258AD" w:rsidRDefault="002D4597" w:rsidP="00C9182C">
            <w:pPr>
              <w:rPr>
                <w:sz w:val="16"/>
                <w:szCs w:val="16"/>
                <w:lang w:eastAsia="fr-FR"/>
              </w:rPr>
            </w:pPr>
            <w:r w:rsidRPr="00C258AD">
              <w:rPr>
                <w:sz w:val="16"/>
                <w:szCs w:val="16"/>
                <w:lang w:eastAsia="fr-FR"/>
              </w:rPr>
              <w:t> </w:t>
            </w:r>
          </w:p>
        </w:tc>
        <w:tc>
          <w:tcPr>
            <w:tcW w:w="4467" w:type="dxa"/>
            <w:tcBorders>
              <w:top w:val="single" w:sz="4" w:space="0" w:color="auto"/>
              <w:left w:val="nil"/>
              <w:bottom w:val="single" w:sz="4" w:space="0" w:color="auto"/>
              <w:right w:val="single" w:sz="4" w:space="0" w:color="auto"/>
            </w:tcBorders>
            <w:shd w:val="clear" w:color="auto" w:fill="C5D9F1"/>
            <w:noWrap/>
            <w:vAlign w:val="bottom"/>
            <w:hideMark/>
          </w:tcPr>
          <w:p w:rsidR="002D4597" w:rsidRPr="00C258AD" w:rsidRDefault="002D4597" w:rsidP="00C9182C">
            <w:pPr>
              <w:rPr>
                <w:b/>
                <w:bCs/>
                <w:sz w:val="16"/>
                <w:szCs w:val="16"/>
                <w:lang w:eastAsia="fr-FR"/>
              </w:rPr>
            </w:pPr>
            <w:r w:rsidRPr="00C258AD">
              <w:rPr>
                <w:b/>
                <w:bCs/>
                <w:sz w:val="16"/>
                <w:szCs w:val="16"/>
                <w:lang w:eastAsia="fr-FR"/>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2D4597" w:rsidRPr="00C258AD" w:rsidRDefault="002D4597" w:rsidP="00C9182C">
            <w:pPr>
              <w:jc w:val="right"/>
              <w:rPr>
                <w:b/>
                <w:bCs/>
                <w:sz w:val="16"/>
                <w:szCs w:val="16"/>
                <w:lang w:eastAsia="fr-FR"/>
              </w:rPr>
            </w:pPr>
            <w:r w:rsidRPr="00C258AD">
              <w:rPr>
                <w:b/>
                <w:bCs/>
                <w:sz w:val="16"/>
                <w:szCs w:val="16"/>
                <w:lang w:eastAsia="fr-FR"/>
              </w:rPr>
              <w:t>4 692</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2D4597" w:rsidRPr="00C258AD" w:rsidRDefault="002D4597" w:rsidP="00C9182C">
            <w:pPr>
              <w:jc w:val="right"/>
              <w:rPr>
                <w:b/>
                <w:bCs/>
                <w:sz w:val="16"/>
                <w:szCs w:val="16"/>
                <w:lang w:eastAsia="fr-FR"/>
              </w:rPr>
            </w:pPr>
            <w:r w:rsidRPr="00C258AD">
              <w:rPr>
                <w:b/>
                <w:bCs/>
                <w:sz w:val="16"/>
                <w:szCs w:val="16"/>
                <w:lang w:eastAsia="fr-FR"/>
              </w:rPr>
              <w:t>5 065</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2D4597" w:rsidRPr="00C258AD" w:rsidRDefault="002D4597" w:rsidP="00C9182C">
            <w:pPr>
              <w:jc w:val="right"/>
              <w:rPr>
                <w:b/>
                <w:bCs/>
                <w:sz w:val="16"/>
                <w:szCs w:val="16"/>
                <w:lang w:eastAsia="fr-FR"/>
              </w:rPr>
            </w:pPr>
            <w:r w:rsidRPr="00C258AD">
              <w:rPr>
                <w:b/>
                <w:bCs/>
                <w:sz w:val="16"/>
                <w:szCs w:val="16"/>
                <w:lang w:eastAsia="fr-FR"/>
              </w:rPr>
              <w:t>4 954</w:t>
            </w:r>
          </w:p>
        </w:tc>
      </w:tr>
    </w:tbl>
    <w:p w:rsidR="006E2BB1" w:rsidRPr="00C258AD" w:rsidRDefault="006E2BB1" w:rsidP="00C9182C"/>
    <w:p w:rsidR="006E2BB1" w:rsidRPr="00C258AD" w:rsidRDefault="006E2BB1" w:rsidP="00C9182C"/>
    <w:p w:rsidR="006E2BB1" w:rsidRPr="00C258AD" w:rsidRDefault="002D4597" w:rsidP="00C9182C">
      <w:pPr>
        <w:pStyle w:val="NormalWeb"/>
        <w:keepNext/>
        <w:keepLines/>
        <w:spacing w:before="0" w:beforeAutospacing="0" w:after="0" w:afterAutospacing="0"/>
        <w:jc w:val="center"/>
        <w:rPr>
          <w:sz w:val="20"/>
          <w:szCs w:val="20"/>
        </w:rPr>
      </w:pPr>
      <w:r w:rsidRPr="00C258AD">
        <w:rPr>
          <w:sz w:val="20"/>
          <w:szCs w:val="20"/>
        </w:rPr>
        <w:lastRenderedPageBreak/>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2D4597" w:rsidP="00C9182C">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2D4597" w:rsidRPr="00C258AD" w:rsidRDefault="002D4597" w:rsidP="00C9182C">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34"/>
        <w:gridCol w:w="1734"/>
        <w:gridCol w:w="1730"/>
        <w:gridCol w:w="1784"/>
      </w:tblGrid>
      <w:tr w:rsidR="002D4597" w:rsidRPr="00C258AD" w:rsidTr="00C9182C">
        <w:trPr>
          <w:cantSplit/>
        </w:trPr>
        <w:tc>
          <w:tcPr>
            <w:tcW w:w="2401"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2D4597" w:rsidRPr="00C258AD" w:rsidRDefault="002D4597" w:rsidP="00C9182C">
            <w:pPr>
              <w:keepNext/>
              <w:rPr>
                <w:color w:val="000000"/>
                <w:sz w:val="16"/>
                <w:szCs w:val="18"/>
                <w:lang w:eastAsia="fr-FR"/>
              </w:rPr>
            </w:pPr>
            <w:r w:rsidRPr="00C258AD">
              <w:rPr>
                <w:color w:val="000000"/>
                <w:sz w:val="16"/>
                <w:szCs w:val="18"/>
                <w:lang w:eastAsia="fr-FR"/>
              </w:rPr>
              <w:t> </w:t>
            </w:r>
          </w:p>
        </w:tc>
        <w:tc>
          <w:tcPr>
            <w:tcW w:w="1656" w:type="dxa"/>
            <w:tcBorders>
              <w:top w:val="single" w:sz="4" w:space="0" w:color="auto"/>
              <w:left w:val="nil"/>
              <w:bottom w:val="nil"/>
              <w:right w:val="single" w:sz="4" w:space="0" w:color="auto"/>
            </w:tcBorders>
            <w:shd w:val="clear" w:color="auto" w:fill="C5D9F1"/>
            <w:vAlign w:val="center"/>
            <w:hideMark/>
          </w:tcPr>
          <w:p w:rsidR="002D4597" w:rsidRPr="00C258AD" w:rsidRDefault="002D4597" w:rsidP="00C9182C">
            <w:pPr>
              <w:keepNext/>
              <w:jc w:val="center"/>
              <w:rPr>
                <w:b/>
                <w:bCs/>
                <w:color w:val="000000"/>
                <w:sz w:val="16"/>
                <w:szCs w:val="18"/>
                <w:lang w:eastAsia="fr-FR"/>
              </w:rPr>
            </w:pPr>
            <w:r w:rsidRPr="00C258AD">
              <w:rPr>
                <w:b/>
                <w:bCs/>
                <w:color w:val="000000"/>
                <w:sz w:val="16"/>
                <w:szCs w:val="18"/>
                <w:lang w:eastAsia="fr-FR"/>
              </w:rPr>
              <w:t>Budget 2014</w:t>
            </w:r>
            <w:r w:rsidRPr="00C258AD">
              <w:rPr>
                <w:b/>
                <w:bCs/>
                <w:color w:val="000000"/>
                <w:sz w:val="16"/>
                <w:szCs w:val="18"/>
                <w:lang w:eastAsia="fr-FR"/>
              </w:rPr>
              <w:noBreakHyphen/>
              <w:t>2015 approuvé</w:t>
            </w:r>
          </w:p>
        </w:tc>
        <w:tc>
          <w:tcPr>
            <w:tcW w:w="1656" w:type="dxa"/>
            <w:tcBorders>
              <w:top w:val="single" w:sz="4" w:space="0" w:color="auto"/>
              <w:left w:val="nil"/>
              <w:bottom w:val="nil"/>
              <w:right w:val="single" w:sz="4" w:space="0" w:color="auto"/>
            </w:tcBorders>
            <w:shd w:val="clear" w:color="auto" w:fill="C5D9F1"/>
            <w:vAlign w:val="center"/>
            <w:hideMark/>
          </w:tcPr>
          <w:p w:rsidR="002D4597" w:rsidRPr="00C258AD" w:rsidRDefault="002D4597" w:rsidP="00C9182C">
            <w:pPr>
              <w:keepNext/>
              <w:jc w:val="center"/>
              <w:rPr>
                <w:b/>
                <w:bCs/>
                <w:color w:val="000000"/>
                <w:sz w:val="16"/>
                <w:szCs w:val="18"/>
                <w:lang w:eastAsia="fr-FR"/>
              </w:rPr>
            </w:pPr>
            <w:r w:rsidRPr="00C258AD">
              <w:rPr>
                <w:b/>
                <w:bCs/>
                <w:color w:val="000000"/>
                <w:sz w:val="16"/>
                <w:szCs w:val="18"/>
                <w:lang w:eastAsia="fr-FR"/>
              </w:rPr>
              <w:t>Budget final 2014</w:t>
            </w:r>
            <w:r w:rsidRPr="00C258AD">
              <w:rPr>
                <w:b/>
                <w:bCs/>
                <w:color w:val="000000"/>
                <w:sz w:val="16"/>
                <w:szCs w:val="18"/>
                <w:lang w:eastAsia="fr-FR"/>
              </w:rPr>
              <w:noBreakHyphen/>
              <w:t>2015</w:t>
            </w:r>
            <w:r w:rsidRPr="00C258AD">
              <w:rPr>
                <w:b/>
                <w:bCs/>
                <w:color w:val="000000"/>
                <w:sz w:val="16"/>
                <w:szCs w:val="18"/>
                <w:lang w:eastAsia="fr-FR"/>
              </w:rPr>
              <w:br/>
              <w:t>après virements</w:t>
            </w:r>
          </w:p>
        </w:tc>
        <w:tc>
          <w:tcPr>
            <w:tcW w:w="1653" w:type="dxa"/>
            <w:tcBorders>
              <w:top w:val="single" w:sz="4" w:space="0" w:color="auto"/>
              <w:left w:val="nil"/>
              <w:bottom w:val="nil"/>
              <w:right w:val="single" w:sz="4" w:space="0" w:color="auto"/>
            </w:tcBorders>
            <w:shd w:val="clear" w:color="auto" w:fill="C5D9F1"/>
            <w:vAlign w:val="center"/>
            <w:hideMark/>
          </w:tcPr>
          <w:p w:rsidR="002D4597" w:rsidRPr="00C258AD" w:rsidRDefault="002D4597" w:rsidP="00C9182C">
            <w:pPr>
              <w:keepNext/>
              <w:jc w:val="center"/>
              <w:rPr>
                <w:b/>
                <w:bCs/>
                <w:color w:val="000000"/>
                <w:sz w:val="16"/>
                <w:szCs w:val="18"/>
                <w:lang w:eastAsia="fr-FR"/>
              </w:rPr>
            </w:pPr>
            <w:r w:rsidRPr="00C258AD">
              <w:rPr>
                <w:b/>
                <w:bCs/>
                <w:color w:val="000000"/>
                <w:sz w:val="16"/>
                <w:szCs w:val="18"/>
                <w:lang w:eastAsia="fr-FR"/>
              </w:rPr>
              <w:t>Dépenses 2014</w:t>
            </w:r>
            <w:r w:rsidRPr="00C258AD">
              <w:rPr>
                <w:b/>
                <w:bCs/>
                <w:color w:val="000000"/>
                <w:sz w:val="16"/>
                <w:szCs w:val="18"/>
                <w:lang w:eastAsia="fr-FR"/>
              </w:rPr>
              <w:noBreakHyphen/>
              <w:t>2015</w:t>
            </w:r>
          </w:p>
        </w:tc>
        <w:tc>
          <w:tcPr>
            <w:tcW w:w="1704" w:type="dxa"/>
            <w:tcBorders>
              <w:top w:val="single" w:sz="4" w:space="0" w:color="auto"/>
              <w:left w:val="nil"/>
              <w:bottom w:val="nil"/>
              <w:right w:val="single" w:sz="4" w:space="0" w:color="auto"/>
            </w:tcBorders>
            <w:shd w:val="clear" w:color="auto" w:fill="C5D9F1"/>
            <w:vAlign w:val="center"/>
            <w:hideMark/>
          </w:tcPr>
          <w:p w:rsidR="002D4597" w:rsidRPr="00C258AD" w:rsidRDefault="002D4597" w:rsidP="00C9182C">
            <w:pPr>
              <w:keepNext/>
              <w:jc w:val="center"/>
              <w:rPr>
                <w:b/>
                <w:bCs/>
                <w:color w:val="000000"/>
                <w:sz w:val="16"/>
                <w:szCs w:val="18"/>
                <w:lang w:eastAsia="fr-FR"/>
              </w:rPr>
            </w:pPr>
            <w:r w:rsidRPr="00C258AD">
              <w:rPr>
                <w:b/>
                <w:bCs/>
                <w:color w:val="000000"/>
                <w:sz w:val="16"/>
                <w:szCs w:val="18"/>
                <w:lang w:eastAsia="fr-FR"/>
              </w:rPr>
              <w:t>Taux d’utilisation (%)</w:t>
            </w:r>
          </w:p>
        </w:tc>
      </w:tr>
      <w:tr w:rsidR="002D4597" w:rsidRPr="00C258AD" w:rsidTr="00C9182C">
        <w:trPr>
          <w:cantSplit/>
        </w:trPr>
        <w:tc>
          <w:tcPr>
            <w:tcW w:w="2401" w:type="dxa"/>
            <w:tcBorders>
              <w:top w:val="nil"/>
              <w:left w:val="single" w:sz="4" w:space="0" w:color="auto"/>
              <w:bottom w:val="single" w:sz="4" w:space="0" w:color="auto"/>
              <w:right w:val="single" w:sz="4" w:space="0" w:color="auto"/>
            </w:tcBorders>
            <w:shd w:val="clear" w:color="auto" w:fill="auto"/>
            <w:noWrap/>
            <w:vAlign w:val="center"/>
            <w:hideMark/>
          </w:tcPr>
          <w:p w:rsidR="002D4597" w:rsidRPr="00C258AD" w:rsidRDefault="002D4597" w:rsidP="00C9182C">
            <w:pPr>
              <w:keepNext/>
              <w:rPr>
                <w:color w:val="000000"/>
                <w:sz w:val="16"/>
                <w:szCs w:val="18"/>
                <w:lang w:eastAsia="fr-FR"/>
              </w:rPr>
            </w:pPr>
            <w:r w:rsidRPr="00C258AD">
              <w:rPr>
                <w:color w:val="000000"/>
                <w:sz w:val="16"/>
                <w:szCs w:val="18"/>
                <w:lang w:eastAsia="fr-FR"/>
              </w:rPr>
              <w:t xml:space="preserve">Dépenses de personnel </w:t>
            </w:r>
          </w:p>
        </w:tc>
        <w:tc>
          <w:tcPr>
            <w:tcW w:w="1656" w:type="dxa"/>
            <w:tcBorders>
              <w:top w:val="single" w:sz="4" w:space="0" w:color="auto"/>
              <w:left w:val="nil"/>
              <w:bottom w:val="single" w:sz="4" w:space="0" w:color="auto"/>
              <w:right w:val="single" w:sz="4" w:space="0" w:color="auto"/>
            </w:tcBorders>
            <w:shd w:val="clear" w:color="auto" w:fill="auto"/>
            <w:vAlign w:val="center"/>
            <w:hideMark/>
          </w:tcPr>
          <w:p w:rsidR="002D4597" w:rsidRPr="00C258AD" w:rsidRDefault="002D4597" w:rsidP="00C9182C">
            <w:pPr>
              <w:keepNext/>
              <w:jc w:val="center"/>
              <w:rPr>
                <w:color w:val="000000"/>
                <w:sz w:val="16"/>
                <w:szCs w:val="18"/>
                <w:lang w:eastAsia="fr-FR"/>
              </w:rPr>
            </w:pPr>
            <w:r w:rsidRPr="00C258AD">
              <w:rPr>
                <w:color w:val="000000"/>
                <w:sz w:val="16"/>
                <w:szCs w:val="18"/>
                <w:lang w:eastAsia="fr-FR"/>
              </w:rPr>
              <w:t>3 447</w:t>
            </w:r>
          </w:p>
        </w:tc>
        <w:tc>
          <w:tcPr>
            <w:tcW w:w="1656" w:type="dxa"/>
            <w:tcBorders>
              <w:top w:val="single" w:sz="4" w:space="0" w:color="auto"/>
              <w:left w:val="nil"/>
              <w:bottom w:val="single" w:sz="4" w:space="0" w:color="auto"/>
              <w:right w:val="single" w:sz="4" w:space="0" w:color="auto"/>
            </w:tcBorders>
            <w:shd w:val="clear" w:color="auto" w:fill="auto"/>
            <w:vAlign w:val="center"/>
            <w:hideMark/>
          </w:tcPr>
          <w:p w:rsidR="002D4597" w:rsidRPr="00C258AD" w:rsidRDefault="002D4597" w:rsidP="00C9182C">
            <w:pPr>
              <w:keepNext/>
              <w:jc w:val="center"/>
              <w:rPr>
                <w:color w:val="000000"/>
                <w:sz w:val="16"/>
                <w:szCs w:val="18"/>
                <w:lang w:eastAsia="fr-FR"/>
              </w:rPr>
            </w:pPr>
            <w:r w:rsidRPr="00C258AD">
              <w:rPr>
                <w:color w:val="000000"/>
                <w:sz w:val="16"/>
                <w:szCs w:val="18"/>
                <w:lang w:eastAsia="fr-FR"/>
              </w:rPr>
              <w:t>3 602</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2D4597" w:rsidRPr="00C258AD" w:rsidRDefault="002D4597" w:rsidP="00C9182C">
            <w:pPr>
              <w:keepNext/>
              <w:jc w:val="center"/>
              <w:rPr>
                <w:color w:val="000000"/>
                <w:sz w:val="16"/>
                <w:szCs w:val="18"/>
                <w:lang w:eastAsia="fr-FR"/>
              </w:rPr>
            </w:pPr>
            <w:r w:rsidRPr="00C258AD">
              <w:rPr>
                <w:color w:val="000000"/>
                <w:sz w:val="16"/>
                <w:szCs w:val="18"/>
                <w:lang w:eastAsia="fr-FR"/>
              </w:rPr>
              <w:t>3 529</w:t>
            </w:r>
          </w:p>
        </w:tc>
        <w:tc>
          <w:tcPr>
            <w:tcW w:w="1704" w:type="dxa"/>
            <w:tcBorders>
              <w:top w:val="single" w:sz="4" w:space="0" w:color="auto"/>
              <w:left w:val="nil"/>
              <w:bottom w:val="single" w:sz="4" w:space="0" w:color="auto"/>
              <w:right w:val="single" w:sz="4" w:space="0" w:color="auto"/>
            </w:tcBorders>
            <w:shd w:val="clear" w:color="auto" w:fill="auto"/>
            <w:vAlign w:val="center"/>
            <w:hideMark/>
          </w:tcPr>
          <w:p w:rsidR="002D4597" w:rsidRPr="00C258AD" w:rsidRDefault="002D4597" w:rsidP="00C9182C">
            <w:pPr>
              <w:keepNext/>
              <w:jc w:val="center"/>
              <w:rPr>
                <w:color w:val="000000"/>
                <w:sz w:val="16"/>
                <w:szCs w:val="18"/>
                <w:lang w:eastAsia="fr-FR"/>
              </w:rPr>
            </w:pPr>
            <w:r w:rsidRPr="00C258AD">
              <w:rPr>
                <w:color w:val="000000"/>
                <w:sz w:val="16"/>
                <w:szCs w:val="18"/>
                <w:lang w:eastAsia="fr-FR"/>
              </w:rPr>
              <w:t>98%</w:t>
            </w:r>
          </w:p>
        </w:tc>
      </w:tr>
      <w:tr w:rsidR="002D4597" w:rsidRPr="00C258AD" w:rsidTr="00C9182C">
        <w:trPr>
          <w:cantSplit/>
        </w:trPr>
        <w:tc>
          <w:tcPr>
            <w:tcW w:w="2401" w:type="dxa"/>
            <w:tcBorders>
              <w:top w:val="nil"/>
              <w:left w:val="single" w:sz="4" w:space="0" w:color="auto"/>
              <w:bottom w:val="single" w:sz="4" w:space="0" w:color="auto"/>
              <w:right w:val="single" w:sz="4" w:space="0" w:color="auto"/>
            </w:tcBorders>
            <w:shd w:val="clear" w:color="auto" w:fill="auto"/>
            <w:noWrap/>
            <w:vAlign w:val="center"/>
            <w:hideMark/>
          </w:tcPr>
          <w:p w:rsidR="002D4597" w:rsidRPr="00C258AD" w:rsidRDefault="002D4597" w:rsidP="00C9182C">
            <w:pPr>
              <w:keepNext/>
              <w:rPr>
                <w:color w:val="000000"/>
                <w:sz w:val="16"/>
                <w:szCs w:val="18"/>
                <w:lang w:eastAsia="fr-FR"/>
              </w:rPr>
            </w:pPr>
            <w:r w:rsidRPr="00C258AD">
              <w:rPr>
                <w:color w:val="000000"/>
                <w:sz w:val="16"/>
                <w:szCs w:val="18"/>
                <w:lang w:eastAsia="fr-FR"/>
              </w:rPr>
              <w:t xml:space="preserve">Autres dépenses </w:t>
            </w:r>
          </w:p>
        </w:tc>
        <w:tc>
          <w:tcPr>
            <w:tcW w:w="1656"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keepNext/>
              <w:jc w:val="center"/>
              <w:rPr>
                <w:color w:val="000000"/>
                <w:sz w:val="16"/>
                <w:szCs w:val="18"/>
                <w:lang w:eastAsia="fr-FR"/>
              </w:rPr>
            </w:pPr>
            <w:r w:rsidRPr="00C258AD">
              <w:rPr>
                <w:color w:val="000000"/>
                <w:sz w:val="16"/>
                <w:szCs w:val="18"/>
                <w:lang w:eastAsia="fr-FR"/>
              </w:rPr>
              <w:t>1 245</w:t>
            </w:r>
          </w:p>
        </w:tc>
        <w:tc>
          <w:tcPr>
            <w:tcW w:w="1656"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keepNext/>
              <w:jc w:val="center"/>
              <w:rPr>
                <w:color w:val="000000"/>
                <w:sz w:val="16"/>
                <w:szCs w:val="18"/>
                <w:lang w:eastAsia="fr-FR"/>
              </w:rPr>
            </w:pPr>
            <w:r w:rsidRPr="00C258AD">
              <w:rPr>
                <w:color w:val="000000"/>
                <w:sz w:val="16"/>
                <w:szCs w:val="18"/>
                <w:lang w:eastAsia="fr-FR"/>
              </w:rPr>
              <w:t>1 463</w:t>
            </w:r>
          </w:p>
        </w:tc>
        <w:tc>
          <w:tcPr>
            <w:tcW w:w="1653"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keepNext/>
              <w:jc w:val="center"/>
              <w:rPr>
                <w:color w:val="000000"/>
                <w:sz w:val="16"/>
                <w:szCs w:val="18"/>
                <w:lang w:eastAsia="fr-FR"/>
              </w:rPr>
            </w:pPr>
            <w:r w:rsidRPr="00C258AD">
              <w:rPr>
                <w:color w:val="000000"/>
                <w:sz w:val="16"/>
                <w:szCs w:val="18"/>
                <w:lang w:eastAsia="fr-FR"/>
              </w:rPr>
              <w:t>1 425</w:t>
            </w:r>
          </w:p>
        </w:tc>
        <w:tc>
          <w:tcPr>
            <w:tcW w:w="1704"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keepNext/>
              <w:jc w:val="center"/>
              <w:rPr>
                <w:color w:val="000000"/>
                <w:sz w:val="16"/>
                <w:szCs w:val="18"/>
                <w:lang w:eastAsia="fr-FR"/>
              </w:rPr>
            </w:pPr>
            <w:r w:rsidRPr="00C258AD">
              <w:rPr>
                <w:color w:val="000000"/>
                <w:sz w:val="16"/>
                <w:szCs w:val="18"/>
                <w:lang w:eastAsia="fr-FR"/>
              </w:rPr>
              <w:t>97%</w:t>
            </w:r>
          </w:p>
        </w:tc>
      </w:tr>
      <w:tr w:rsidR="002D4597" w:rsidRPr="00C258AD" w:rsidTr="00C9182C">
        <w:trPr>
          <w:cantSplit/>
        </w:trPr>
        <w:tc>
          <w:tcPr>
            <w:tcW w:w="2401" w:type="dxa"/>
            <w:tcBorders>
              <w:top w:val="nil"/>
              <w:left w:val="single" w:sz="4" w:space="0" w:color="auto"/>
              <w:bottom w:val="single" w:sz="4" w:space="0" w:color="auto"/>
              <w:right w:val="single" w:sz="4" w:space="0" w:color="auto"/>
            </w:tcBorders>
            <w:shd w:val="clear" w:color="auto" w:fill="auto"/>
            <w:noWrap/>
            <w:vAlign w:val="center"/>
            <w:hideMark/>
          </w:tcPr>
          <w:p w:rsidR="002D4597" w:rsidRPr="00C258AD" w:rsidRDefault="002D4597" w:rsidP="00C9182C">
            <w:pPr>
              <w:jc w:val="right"/>
              <w:rPr>
                <w:b/>
                <w:bCs/>
                <w:color w:val="000000"/>
                <w:sz w:val="16"/>
                <w:szCs w:val="18"/>
                <w:lang w:eastAsia="fr-FR"/>
              </w:rPr>
            </w:pPr>
            <w:r w:rsidRPr="00C258AD">
              <w:rPr>
                <w:b/>
                <w:bCs/>
                <w:color w:val="000000"/>
                <w:sz w:val="16"/>
                <w:szCs w:val="18"/>
                <w:lang w:eastAsia="fr-FR"/>
              </w:rPr>
              <w:t>TOTAL</w:t>
            </w:r>
          </w:p>
        </w:tc>
        <w:tc>
          <w:tcPr>
            <w:tcW w:w="1656"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jc w:val="center"/>
              <w:rPr>
                <w:b/>
                <w:bCs/>
                <w:color w:val="000000"/>
                <w:sz w:val="16"/>
                <w:szCs w:val="18"/>
                <w:lang w:eastAsia="fr-FR"/>
              </w:rPr>
            </w:pPr>
            <w:r w:rsidRPr="00C258AD">
              <w:rPr>
                <w:b/>
                <w:bCs/>
                <w:color w:val="000000"/>
                <w:sz w:val="16"/>
                <w:szCs w:val="18"/>
                <w:lang w:eastAsia="fr-FR"/>
              </w:rPr>
              <w:t>4 692</w:t>
            </w:r>
          </w:p>
        </w:tc>
        <w:tc>
          <w:tcPr>
            <w:tcW w:w="1656"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jc w:val="center"/>
              <w:rPr>
                <w:b/>
                <w:bCs/>
                <w:color w:val="000000"/>
                <w:sz w:val="16"/>
                <w:szCs w:val="18"/>
                <w:lang w:eastAsia="fr-FR"/>
              </w:rPr>
            </w:pPr>
            <w:r w:rsidRPr="00C258AD">
              <w:rPr>
                <w:b/>
                <w:bCs/>
                <w:color w:val="000000"/>
                <w:sz w:val="16"/>
                <w:szCs w:val="18"/>
                <w:lang w:eastAsia="fr-FR"/>
              </w:rPr>
              <w:t>5 065</w:t>
            </w:r>
          </w:p>
        </w:tc>
        <w:tc>
          <w:tcPr>
            <w:tcW w:w="1653"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jc w:val="center"/>
              <w:rPr>
                <w:b/>
                <w:bCs/>
                <w:color w:val="000000"/>
                <w:sz w:val="16"/>
                <w:szCs w:val="18"/>
                <w:lang w:eastAsia="fr-FR"/>
              </w:rPr>
            </w:pPr>
            <w:r w:rsidRPr="00C258AD">
              <w:rPr>
                <w:b/>
                <w:bCs/>
                <w:color w:val="000000"/>
                <w:sz w:val="16"/>
                <w:szCs w:val="18"/>
                <w:lang w:eastAsia="fr-FR"/>
              </w:rPr>
              <w:t>4 954</w:t>
            </w:r>
          </w:p>
        </w:tc>
        <w:tc>
          <w:tcPr>
            <w:tcW w:w="1704"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jc w:val="center"/>
              <w:rPr>
                <w:b/>
                <w:bCs/>
                <w:color w:val="000000"/>
                <w:sz w:val="16"/>
                <w:szCs w:val="18"/>
                <w:lang w:eastAsia="fr-FR"/>
              </w:rPr>
            </w:pPr>
            <w:r w:rsidRPr="00C258AD">
              <w:rPr>
                <w:b/>
                <w:bCs/>
                <w:color w:val="000000"/>
                <w:sz w:val="16"/>
                <w:szCs w:val="18"/>
                <w:lang w:eastAsia="fr-FR"/>
              </w:rPr>
              <w:t>98%</w:t>
            </w:r>
          </w:p>
        </w:tc>
      </w:tr>
    </w:tbl>
    <w:p w:rsidR="006E2BB1" w:rsidRPr="00C258AD" w:rsidRDefault="006E2BB1" w:rsidP="00C9182C">
      <w:pPr>
        <w:widowControl w:val="0"/>
        <w:autoSpaceDE w:val="0"/>
        <w:autoSpaceDN w:val="0"/>
        <w:adjustRightInd w:val="0"/>
        <w:jc w:val="both"/>
      </w:pPr>
    </w:p>
    <w:p w:rsidR="006E2BB1" w:rsidRPr="00C258AD" w:rsidRDefault="006E2BB1" w:rsidP="00C9182C">
      <w:pPr>
        <w:widowControl w:val="0"/>
        <w:autoSpaceDE w:val="0"/>
        <w:autoSpaceDN w:val="0"/>
        <w:adjustRightInd w:val="0"/>
        <w:jc w:val="both"/>
      </w:pPr>
    </w:p>
    <w:p w:rsidR="006E2BB1" w:rsidRPr="00C258AD" w:rsidRDefault="002D4597" w:rsidP="00C9182C">
      <w:pPr>
        <w:keepNext/>
        <w:keepLines/>
        <w:rPr>
          <w:u w:val="single"/>
        </w:rPr>
      </w:pPr>
      <w:r w:rsidRPr="00C258AD">
        <w:t>A.</w:t>
      </w:r>
      <w:r w:rsidRPr="00C258AD">
        <w:tab/>
      </w:r>
      <w:r w:rsidRPr="00C258AD">
        <w:rPr>
          <w:u w:val="single"/>
        </w:rPr>
        <w:t>Budget final 2014</w:t>
      </w:r>
      <w:r w:rsidRPr="00C258AD">
        <w:rPr>
          <w:u w:val="single"/>
        </w:rPr>
        <w:noBreakHyphen/>
        <w:t>2015 après virements</w:t>
      </w:r>
    </w:p>
    <w:p w:rsidR="006E2BB1" w:rsidRPr="00C258AD" w:rsidRDefault="006E2BB1" w:rsidP="00C9182C">
      <w:pPr>
        <w:keepNext/>
        <w:keepLines/>
        <w:rPr>
          <w:u w:val="single"/>
        </w:rPr>
      </w:pPr>
    </w:p>
    <w:p w:rsidR="006E2BB1" w:rsidRPr="00C258AD" w:rsidRDefault="002D4597" w:rsidP="00BB4DBC">
      <w:pPr>
        <w:pStyle w:val="ListParagraph"/>
        <w:numPr>
          <w:ilvl w:val="0"/>
          <w:numId w:val="15"/>
        </w:numPr>
        <w:tabs>
          <w:tab w:val="left" w:pos="709"/>
        </w:tabs>
        <w:ind w:left="0" w:firstLine="0"/>
      </w:pPr>
      <w:r w:rsidRPr="00C258AD">
        <w:rPr>
          <w:color w:val="000000"/>
        </w:rPr>
        <w:t>L’augmentation du budget final 2014</w:t>
      </w:r>
      <w:r w:rsidRPr="00C258AD">
        <w:rPr>
          <w:color w:val="000000"/>
        </w:rPr>
        <w:noBreakHyphen/>
        <w:t>2015 après virements (dépenses de personnel) tient compte du reclassement d’un poste et du redéploiement de ressources humaines supplémentaires en faveur du programme de promotion des bases de données mondiales.  Cette augmentation apparaît également sous le résultat escompté IV.2 (Amélioration de l’accessibilité et de l’utilisation de l’information et des savoirs en matière de propriété intellectuelle).  Par ailleurs, l’augmentation au titre de ce résultat escompté était due à la redistribution des dépenses de personnel au sein du programme découlant de l’élaboration d’un moteur de recherche pour la base de données.</w:t>
      </w:r>
    </w:p>
    <w:p w:rsidR="006E2BB1" w:rsidRPr="00C258AD" w:rsidRDefault="006E2BB1" w:rsidP="00C9182C"/>
    <w:p w:rsidR="006E2BB1" w:rsidRPr="00C258AD" w:rsidRDefault="002D4597" w:rsidP="00BB4DBC">
      <w:pPr>
        <w:pStyle w:val="ListParagraph"/>
        <w:numPr>
          <w:ilvl w:val="0"/>
          <w:numId w:val="15"/>
        </w:numPr>
        <w:tabs>
          <w:tab w:val="left" w:pos="709"/>
        </w:tabs>
        <w:ind w:left="0" w:firstLine="0"/>
        <w:rPr>
          <w:color w:val="000000"/>
        </w:rPr>
      </w:pPr>
      <w:r w:rsidRPr="00C258AD">
        <w:rPr>
          <w:color w:val="000000"/>
        </w:rPr>
        <w:t>Les dépenses autres que celles de personnel tiennent compte d’un ajustement à la hausse principalement dû à des dépenses supplémentaires liées à l’externalisation du téléchargement des collections nationales à un prestataire de services extérieur, et à l’augmentation des coûts liés à l’hébergement du serveur.</w:t>
      </w:r>
    </w:p>
    <w:p w:rsidR="006E2BB1" w:rsidRPr="00C258AD" w:rsidRDefault="006E2BB1" w:rsidP="00C9182C">
      <w:pPr>
        <w:autoSpaceDE w:val="0"/>
        <w:autoSpaceDN w:val="0"/>
        <w:jc w:val="both"/>
        <w:rPr>
          <w:lang w:eastAsia="ko-KR"/>
        </w:rPr>
      </w:pPr>
    </w:p>
    <w:p w:rsidR="006E2BB1" w:rsidRPr="00C258AD" w:rsidRDefault="006E2BB1" w:rsidP="00C9182C">
      <w:pPr>
        <w:autoSpaceDE w:val="0"/>
        <w:autoSpaceDN w:val="0"/>
        <w:jc w:val="both"/>
        <w:rPr>
          <w:lang w:eastAsia="ko-KR"/>
        </w:rPr>
      </w:pPr>
    </w:p>
    <w:p w:rsidR="006E2BB1" w:rsidRPr="00C258AD" w:rsidRDefault="002D4597" w:rsidP="00C9182C">
      <w:pPr>
        <w:jc w:val="both"/>
        <w:rPr>
          <w:u w:val="single"/>
          <w:lang w:eastAsia="ko-KR"/>
        </w:rPr>
      </w:pPr>
      <w:r w:rsidRPr="00C258AD">
        <w:rPr>
          <w:lang w:eastAsia="ko-KR"/>
        </w:rPr>
        <w:t>B.</w:t>
      </w:r>
      <w:r w:rsidRPr="00C258AD">
        <w:rPr>
          <w:lang w:eastAsia="ko-KR"/>
        </w:rPr>
        <w:tab/>
      </w:r>
      <w:r w:rsidRPr="00C258AD">
        <w:rPr>
          <w:u w:val="single"/>
          <w:lang w:eastAsia="ko-KR"/>
        </w:rPr>
        <w:t>Utilisation du budget en 2014</w:t>
      </w:r>
      <w:r w:rsidRPr="00C258AD">
        <w:rPr>
          <w:u w:val="single"/>
          <w:lang w:eastAsia="ko-KR"/>
        </w:rPr>
        <w:noBreakHyphen/>
        <w:t>2015</w:t>
      </w:r>
    </w:p>
    <w:p w:rsidR="006E2BB1" w:rsidRPr="00C258AD" w:rsidRDefault="006E2BB1" w:rsidP="00C9182C">
      <w:pPr>
        <w:tabs>
          <w:tab w:val="left" w:pos="709"/>
        </w:tabs>
        <w:jc w:val="both"/>
        <w:rPr>
          <w:u w:val="single"/>
          <w:lang w:eastAsia="ko-KR"/>
        </w:rPr>
      </w:pPr>
    </w:p>
    <w:p w:rsidR="006E2BB1" w:rsidRPr="00C258AD" w:rsidRDefault="002D4597" w:rsidP="00BB4DBC">
      <w:pPr>
        <w:pStyle w:val="ListParagraph"/>
        <w:numPr>
          <w:ilvl w:val="0"/>
          <w:numId w:val="15"/>
        </w:numPr>
        <w:tabs>
          <w:tab w:val="left" w:pos="709"/>
        </w:tabs>
        <w:ind w:left="0" w:firstLine="0"/>
        <w:rPr>
          <w:lang w:eastAsia="ko-KR"/>
        </w:rPr>
      </w:pPr>
      <w:r w:rsidRPr="00C258AD">
        <w:rPr>
          <w:lang w:eastAsia="ko-KR"/>
        </w:rPr>
        <w:t>L’utilisation du budget se situe dans la fourchette escomptée pour l’exercice biennal.</w:t>
      </w:r>
    </w:p>
    <w:p w:rsidR="006E2BB1" w:rsidRPr="00C258AD" w:rsidRDefault="006E2BB1" w:rsidP="00C9182C">
      <w:pPr>
        <w:rPr>
          <w:lang w:eastAsia="ko-KR"/>
        </w:rPr>
      </w:pPr>
    </w:p>
    <w:p w:rsidR="006E2BB1" w:rsidRPr="00C258AD" w:rsidRDefault="002D4597">
      <w:pPr>
        <w:spacing w:after="200" w:line="276" w:lineRule="auto"/>
        <w:rPr>
          <w:lang w:eastAsia="ko-KR"/>
        </w:rPr>
      </w:pPr>
      <w:r w:rsidRPr="00C258AD">
        <w:rPr>
          <w:lang w:eastAsia="ko-KR"/>
        </w:rPr>
        <w:br w:type="page"/>
      </w:r>
    </w:p>
    <w:p w:rsidR="006364A5" w:rsidRPr="00C258AD" w:rsidRDefault="006364A5" w:rsidP="006364A5">
      <w:pPr>
        <w:pStyle w:val="Heading3"/>
      </w:pPr>
      <w:bookmarkStart w:id="116" w:name="_Toc422404235"/>
      <w:bookmarkStart w:id="117" w:name="_Toc423352883"/>
      <w:bookmarkStart w:id="118" w:name="_Toc455394195"/>
      <w:r w:rsidRPr="00C258AD">
        <w:lastRenderedPageBreak/>
        <w:t>Programme 14</w:t>
      </w:r>
      <w:r w:rsidRPr="00C258AD">
        <w:tab/>
        <w:t>Services d‏’‎accès à l’‎information et aux savoirs</w:t>
      </w:r>
      <w:bookmarkEnd w:id="116"/>
      <w:bookmarkEnd w:id="117"/>
      <w:bookmarkEnd w:id="118"/>
    </w:p>
    <w:p w:rsidR="006364A5" w:rsidRPr="00C258AD" w:rsidRDefault="006364A5" w:rsidP="006364A5"/>
    <w:p w:rsidR="006364A5" w:rsidRPr="00C258AD" w:rsidRDefault="006364A5" w:rsidP="006364A5">
      <w:pPr>
        <w:rPr>
          <w:b/>
        </w:rPr>
      </w:pPr>
      <w:r w:rsidRPr="00C258AD">
        <w:rPr>
          <w:b/>
        </w:rPr>
        <w:t>Chef de programme</w:t>
      </w:r>
      <w:r w:rsidRPr="00C258AD">
        <w:rPr>
          <w:b/>
        </w:rPr>
        <w:tab/>
        <w:t>M. Y. Takagi</w:t>
      </w:r>
    </w:p>
    <w:p w:rsidR="006364A5" w:rsidRPr="00C258AD" w:rsidRDefault="006364A5" w:rsidP="006364A5"/>
    <w:p w:rsidR="006364A5" w:rsidRPr="00C258AD" w:rsidRDefault="006364A5" w:rsidP="006364A5"/>
    <w:p w:rsidR="006364A5" w:rsidRPr="00C258AD" w:rsidRDefault="006364A5" w:rsidP="006364A5">
      <w:pPr>
        <w:rPr>
          <w:caps/>
          <w:sz w:val="22"/>
        </w:rPr>
      </w:pPr>
      <w:bookmarkStart w:id="119" w:name="OLE_LINK3"/>
      <w:bookmarkStart w:id="120" w:name="OLE_LINK4"/>
      <w:r w:rsidRPr="00C258AD">
        <w:rPr>
          <w:caps/>
          <w:sz w:val="22"/>
        </w:rPr>
        <w:t>Réalisations au cours de l’exercice biennal 2014</w:t>
      </w:r>
      <w:r w:rsidRPr="00C258AD">
        <w:rPr>
          <w:caps/>
          <w:sz w:val="22"/>
        </w:rPr>
        <w:noBreakHyphen/>
        <w:t>2015</w:t>
      </w:r>
    </w:p>
    <w:p w:rsidR="006364A5" w:rsidRPr="00C258AD" w:rsidRDefault="006364A5" w:rsidP="006364A5"/>
    <w:p w:rsidR="006364A5" w:rsidRPr="00C258AD" w:rsidRDefault="006364A5" w:rsidP="00DF2EEF">
      <w:pPr>
        <w:pStyle w:val="ListParagraph"/>
        <w:numPr>
          <w:ilvl w:val="0"/>
          <w:numId w:val="101"/>
        </w:numPr>
        <w:tabs>
          <w:tab w:val="left" w:pos="0"/>
          <w:tab w:val="left" w:pos="709"/>
        </w:tabs>
        <w:ind w:left="0" w:firstLine="0"/>
        <w:rPr>
          <w:bCs/>
        </w:rPr>
      </w:pPr>
      <w:r w:rsidRPr="00C258AD">
        <w:rPr>
          <w:rFonts w:cs="Arial"/>
          <w:bCs/>
        </w:rPr>
        <w:t>Durant l’exercice biennal 2014</w:t>
      </w:r>
      <w:r w:rsidRPr="00C258AD">
        <w:rPr>
          <w:rFonts w:cs="Arial"/>
          <w:bCs/>
        </w:rPr>
        <w:noBreakHyphen/>
        <w:t xml:space="preserve">2015, le nombre total d’États membres qui avaient officiellement établi des réseaux de centres d’appui à la technologie et à l’innovation (CATI) dans leur pays est passé à 50, avec 11 réseaux </w:t>
      </w:r>
      <w:r w:rsidRPr="00C258AD">
        <w:rPr>
          <w:bCs/>
        </w:rPr>
        <w:t>supplémentaires</w:t>
      </w:r>
      <w:r w:rsidRPr="00C258AD">
        <w:rPr>
          <w:rFonts w:cs="Arial"/>
          <w:bCs/>
        </w:rPr>
        <w:t>, soit une augmentation de 28% par rapport à l’exercice biennal 2012</w:t>
      </w:r>
      <w:r w:rsidRPr="00C258AD">
        <w:rPr>
          <w:rFonts w:cs="Arial"/>
          <w:bCs/>
        </w:rPr>
        <w:noBreakHyphen/>
        <w:t>2013</w:t>
      </w:r>
      <w:r w:rsidRPr="00C258AD">
        <w:t xml:space="preserve">.  </w:t>
      </w:r>
      <w:r w:rsidRPr="00C258AD">
        <w:rPr>
          <w:rFonts w:cs="Arial"/>
          <w:bCs/>
        </w:rPr>
        <w:t xml:space="preserve">Le programme a continué de cibler la consolidation de la viabilité à long terme des réseaux et, à la fin de 2015, 25 réseaux de TISC étaient considérés comme viables.  En outre, deux réseaux de CATI </w:t>
      </w:r>
      <w:proofErr w:type="spellStart"/>
      <w:r w:rsidRPr="00C258AD">
        <w:rPr>
          <w:rFonts w:cs="Arial"/>
          <w:bCs/>
        </w:rPr>
        <w:t>sous</w:t>
      </w:r>
      <w:r w:rsidRPr="00C258AD">
        <w:rPr>
          <w:rFonts w:cs="Arial"/>
          <w:bCs/>
        </w:rPr>
        <w:noBreakHyphen/>
        <w:t>régionaux</w:t>
      </w:r>
      <w:proofErr w:type="spellEnd"/>
      <w:r w:rsidRPr="00C258AD">
        <w:rPr>
          <w:rFonts w:cs="Arial"/>
          <w:bCs/>
        </w:rPr>
        <w:t xml:space="preserve"> ont été officiellement établis en 2015</w:t>
      </w:r>
      <w:r w:rsidRPr="00C258AD">
        <w:t> :</w:t>
      </w:r>
      <w:r w:rsidRPr="00C258AD">
        <w:rPr>
          <w:rFonts w:cs="Arial"/>
          <w:bCs/>
        </w:rPr>
        <w:t xml:space="preserve"> le réseau de CATI de l’ASEAN pour les États membres de cette association de pays, et le réseau CATI</w:t>
      </w:r>
      <w:r w:rsidRPr="00C258AD">
        <w:rPr>
          <w:rFonts w:cs="Arial"/>
          <w:bCs/>
        </w:rPr>
        <w:noBreakHyphen/>
        <w:t>CARD pour les pays d’Amérique centrale et la République dominicaine.  À la fin de 2015, 331 CATI figuraient dans le répertoire des CATI</w:t>
      </w:r>
      <w:r w:rsidRPr="00C258AD">
        <w:rPr>
          <w:rStyle w:val="FootnoteReference"/>
          <w:rFonts w:eastAsia="SimSun"/>
          <w:bCs/>
        </w:rPr>
        <w:footnoteReference w:id="87"/>
      </w:r>
      <w:r w:rsidRPr="00C258AD">
        <w:rPr>
          <w:rFonts w:cs="Arial"/>
          <w:bCs/>
        </w:rPr>
        <w:t>.</w:t>
      </w:r>
    </w:p>
    <w:p w:rsidR="006364A5" w:rsidRPr="00C258AD" w:rsidRDefault="006364A5" w:rsidP="006364A5">
      <w:pPr>
        <w:tabs>
          <w:tab w:val="left" w:pos="0"/>
          <w:tab w:val="left" w:pos="709"/>
        </w:tabs>
        <w:rPr>
          <w:bCs/>
        </w:rPr>
      </w:pPr>
    </w:p>
    <w:p w:rsidR="006364A5" w:rsidRPr="00C258AD" w:rsidRDefault="006364A5" w:rsidP="00DF2EEF">
      <w:pPr>
        <w:pStyle w:val="ListParagraph"/>
        <w:numPr>
          <w:ilvl w:val="0"/>
          <w:numId w:val="101"/>
        </w:numPr>
        <w:tabs>
          <w:tab w:val="left" w:pos="0"/>
          <w:tab w:val="left" w:pos="709"/>
        </w:tabs>
        <w:ind w:left="0" w:firstLine="0"/>
        <w:rPr>
          <w:bCs/>
        </w:rPr>
      </w:pPr>
      <w:r w:rsidRPr="00C258AD">
        <w:rPr>
          <w:color w:val="000000"/>
        </w:rPr>
        <w:t xml:space="preserve">Le programme </w:t>
      </w:r>
      <w:r w:rsidRPr="00C258AD">
        <w:rPr>
          <w:bCs/>
        </w:rPr>
        <w:t>structuré</w:t>
      </w:r>
      <w:r w:rsidRPr="00C258AD">
        <w:rPr>
          <w:color w:val="000000"/>
        </w:rPr>
        <w:t xml:space="preserve"> de renforcement des capacités au niveau local, y compris à travers des manifesta</w:t>
      </w:r>
      <w:r w:rsidRPr="00C258AD">
        <w:rPr>
          <w:bCs/>
        </w:rPr>
        <w:t>t</w:t>
      </w:r>
      <w:r w:rsidRPr="00C258AD">
        <w:rPr>
          <w:color w:val="000000"/>
        </w:rPr>
        <w:t>ions de sensibilisation et de formation sur site ainsi que des sessions supplémentaires de formation des formateurs et de planification de projets, qui avait débuté en 2013, a été renforcé au cours de l’exercice bienn</w:t>
      </w:r>
      <w:bookmarkEnd w:id="119"/>
      <w:bookmarkEnd w:id="120"/>
      <w:r w:rsidRPr="00C258AD">
        <w:rPr>
          <w:color w:val="000000"/>
        </w:rPr>
        <w:t xml:space="preserve">al.  Au total, 11 réunions régionales et </w:t>
      </w:r>
      <w:proofErr w:type="spellStart"/>
      <w:r w:rsidRPr="00C258AD">
        <w:rPr>
          <w:color w:val="000000"/>
        </w:rPr>
        <w:t>sous</w:t>
      </w:r>
      <w:r w:rsidRPr="00C258AD">
        <w:rPr>
          <w:color w:val="000000"/>
        </w:rPr>
        <w:noBreakHyphen/>
        <w:t>régionales</w:t>
      </w:r>
      <w:proofErr w:type="spellEnd"/>
      <w:r w:rsidRPr="00C258AD">
        <w:rPr>
          <w:color w:val="000000"/>
        </w:rPr>
        <w:t xml:space="preserve">, </w:t>
      </w:r>
      <w:proofErr w:type="spellStart"/>
      <w:r w:rsidRPr="00C258AD">
        <w:rPr>
          <w:color w:val="000000"/>
        </w:rPr>
        <w:t>coorganisées</w:t>
      </w:r>
      <w:proofErr w:type="spellEnd"/>
      <w:r w:rsidRPr="00C258AD">
        <w:rPr>
          <w:color w:val="000000"/>
        </w:rPr>
        <w:t xml:space="preserve"> avec quelque 14 organisations, et 50 ateliers nationaux de planification et de formation des formateurs ont été organisés pour renforcer l’échange de données d’expérience et de pratiques recommandées avec les pays à un niveau régional.</w:t>
      </w:r>
    </w:p>
    <w:p w:rsidR="006364A5" w:rsidRPr="00C258AD" w:rsidRDefault="006364A5" w:rsidP="006364A5">
      <w:pPr>
        <w:tabs>
          <w:tab w:val="left" w:pos="0"/>
          <w:tab w:val="left" w:pos="709"/>
        </w:tabs>
      </w:pPr>
    </w:p>
    <w:p w:rsidR="006364A5" w:rsidRPr="00C258AD" w:rsidRDefault="006364A5" w:rsidP="00DF2EEF">
      <w:pPr>
        <w:pStyle w:val="ListParagraph"/>
        <w:numPr>
          <w:ilvl w:val="0"/>
          <w:numId w:val="101"/>
        </w:numPr>
        <w:tabs>
          <w:tab w:val="left" w:pos="0"/>
          <w:tab w:val="left" w:pos="709"/>
        </w:tabs>
        <w:ind w:left="0" w:firstLine="0"/>
        <w:rPr>
          <w:bCs/>
        </w:rPr>
      </w:pPr>
      <w:r w:rsidRPr="00C258AD">
        <w:rPr>
          <w:color w:val="000000"/>
        </w:rPr>
        <w:t>La plateforme de gestion en ligne des connaissances des CATI</w:t>
      </w:r>
      <w:r w:rsidRPr="00C258AD">
        <w:rPr>
          <w:rStyle w:val="FootnoteReference"/>
          <w:rFonts w:eastAsia="SimSun"/>
          <w:color w:val="000000"/>
        </w:rPr>
        <w:footnoteReference w:id="88"/>
      </w:r>
      <w:r w:rsidRPr="00C258AD">
        <w:rPr>
          <w:color w:val="000000"/>
        </w:rPr>
        <w:t xml:space="preserve"> a continué d’afficher une forte croissance</w:t>
      </w:r>
      <w:r w:rsidRPr="00C258AD">
        <w:rPr>
          <w:rFonts w:cs="Arial"/>
          <w:bCs/>
        </w:rPr>
        <w:t xml:space="preserve"> et le nombre de ses membres a plus que doublé, pour atteindre quasiment 1500 membres issus de plus de 115 pays à la fin de 2015, contre 700 membres durant l’exercice biennal précédent.  </w:t>
      </w:r>
      <w:r w:rsidRPr="00C258AD">
        <w:rPr>
          <w:color w:val="000000"/>
        </w:rPr>
        <w:t>En 2014</w:t>
      </w:r>
      <w:r w:rsidRPr="00C258AD">
        <w:rPr>
          <w:color w:val="000000"/>
        </w:rPr>
        <w:noBreakHyphen/>
        <w:t>2015, la plateforme pour les CATI proposait 16 formations supplémentaires sous la forme de séminaires sur le Web et a hébergé 10 séances de questions</w:t>
      </w:r>
      <w:r w:rsidRPr="00C258AD">
        <w:rPr>
          <w:color w:val="000000"/>
        </w:rPr>
        <w:noBreakHyphen/>
        <w:t>réponses en direct avec des spécialistes de l’appui à l’innovation.  La demande a également continué d’évoluer pour le didacticiel interactif sur l’utilisation et l’exploitation de l’information en matière de brevets, disponible sur CD</w:t>
      </w:r>
      <w:r w:rsidRPr="00C258AD">
        <w:rPr>
          <w:color w:val="000000"/>
        </w:rPr>
        <w:noBreakHyphen/>
        <w:t>ROM et en ligne en anglais</w:t>
      </w:r>
      <w:r w:rsidRPr="00C258AD">
        <w:rPr>
          <w:rStyle w:val="FootnoteReference"/>
          <w:rFonts w:eastAsia="SimSun"/>
          <w:color w:val="000000"/>
        </w:rPr>
        <w:footnoteReference w:id="89"/>
      </w:r>
      <w:r w:rsidRPr="00C258AD">
        <w:rPr>
          <w:color w:val="000000"/>
        </w:rPr>
        <w:t xml:space="preserve"> et en français</w:t>
      </w:r>
      <w:r w:rsidRPr="00C258AD">
        <w:rPr>
          <w:rStyle w:val="FootnoteReference"/>
          <w:rFonts w:eastAsia="SimSun"/>
          <w:color w:val="000000"/>
        </w:rPr>
        <w:footnoteReference w:id="90"/>
      </w:r>
      <w:r w:rsidRPr="00C258AD">
        <w:rPr>
          <w:color w:val="000000"/>
        </w:rPr>
        <w:t xml:space="preserve">.  </w:t>
      </w:r>
      <w:r w:rsidRPr="00C258AD">
        <w:rPr>
          <w:rFonts w:cs="Arial"/>
          <w:bCs/>
        </w:rPr>
        <w:t>Une version espagnole a été mise au point à la fin de 2015.</w:t>
      </w:r>
    </w:p>
    <w:p w:rsidR="006364A5" w:rsidRPr="00C258AD" w:rsidRDefault="006364A5" w:rsidP="006364A5">
      <w:pPr>
        <w:pStyle w:val="ListParagraph"/>
        <w:numPr>
          <w:ilvl w:val="0"/>
          <w:numId w:val="0"/>
        </w:numPr>
        <w:tabs>
          <w:tab w:val="left" w:pos="0"/>
          <w:tab w:val="left" w:pos="709"/>
        </w:tabs>
        <w:rPr>
          <w:bCs/>
        </w:rPr>
      </w:pPr>
    </w:p>
    <w:p w:rsidR="006364A5" w:rsidRPr="00C258AD" w:rsidRDefault="006364A5" w:rsidP="006364A5">
      <w:pPr>
        <w:autoSpaceDE w:val="0"/>
        <w:autoSpaceDN w:val="0"/>
        <w:adjustRightInd w:val="0"/>
        <w:rPr>
          <w:rFonts w:cs="Arial"/>
          <w:bCs/>
          <w:szCs w:val="20"/>
        </w:rPr>
      </w:pPr>
      <w:r w:rsidRPr="00C258AD">
        <w:rPr>
          <w:rFonts w:cs="Arial"/>
          <w:bCs/>
          <w:szCs w:val="20"/>
        </w:rPr>
        <w:t>14.4</w:t>
      </w:r>
      <w:r w:rsidRPr="00C258AD">
        <w:rPr>
          <w:rFonts w:cs="Arial"/>
          <w:bCs/>
          <w:szCs w:val="20"/>
        </w:rPr>
        <w:tab/>
        <w:t xml:space="preserve">En 2015, Le Programme d’aide aux inventeurs, une </w:t>
      </w:r>
      <w:r w:rsidRPr="00C258AD">
        <w:rPr>
          <w:rFonts w:eastAsia="Arial Unicode MS" w:cs="Arial"/>
          <w:szCs w:val="20"/>
        </w:rPr>
        <w:t xml:space="preserve">initiative commune menée par </w:t>
      </w:r>
      <w:r w:rsidRPr="00C258AD">
        <w:rPr>
          <w:rFonts w:cs="Arial"/>
          <w:bCs/>
          <w:szCs w:val="20"/>
        </w:rPr>
        <w:t xml:space="preserve">l’OMPI et le </w:t>
      </w:r>
      <w:r w:rsidRPr="00C258AD">
        <w:rPr>
          <w:rFonts w:eastAsia="Arial Unicode MS" w:cs="Arial"/>
          <w:szCs w:val="20"/>
        </w:rPr>
        <w:t>Forum économique mondial</w:t>
      </w:r>
      <w:r w:rsidRPr="00C258AD">
        <w:rPr>
          <w:rFonts w:cs="Arial"/>
          <w:bCs/>
          <w:szCs w:val="20"/>
        </w:rPr>
        <w:t>, qui vise à</w:t>
      </w:r>
      <w:r w:rsidRPr="00C258AD">
        <w:rPr>
          <w:rFonts w:cs="Arial"/>
          <w:szCs w:val="20"/>
        </w:rPr>
        <w:t xml:space="preserve"> renforcer l’innovation nationale en proposant une assistance juridique aux petites entreprises et aux innovateurs locaux manquant de ressources financières pour leur dépôt de demandes de brevet, a été lancé</w:t>
      </w:r>
      <w:r w:rsidRPr="00C258AD">
        <w:rPr>
          <w:rFonts w:cs="Arial"/>
          <w:bCs/>
          <w:szCs w:val="20"/>
        </w:rPr>
        <w:t>, avec deux projets pilotes initiés en Colombie et au Maroc.  Dans ce contexte, un didacticiel en ligne sur les brevets et les services juridiques à titre gracieux a été mis à disposition.</w:t>
      </w:r>
    </w:p>
    <w:p w:rsidR="006364A5" w:rsidRPr="00C258AD" w:rsidRDefault="006364A5" w:rsidP="006364A5">
      <w:pPr>
        <w:tabs>
          <w:tab w:val="left" w:pos="0"/>
          <w:tab w:val="left" w:pos="709"/>
        </w:tabs>
        <w:rPr>
          <w:rFonts w:cs="Arial"/>
          <w:szCs w:val="20"/>
        </w:rPr>
      </w:pPr>
    </w:p>
    <w:p w:rsidR="006364A5" w:rsidRPr="00C258AD" w:rsidRDefault="006364A5" w:rsidP="006364A5">
      <w:pPr>
        <w:pStyle w:val="ListParagraph"/>
        <w:numPr>
          <w:ilvl w:val="0"/>
          <w:numId w:val="0"/>
        </w:numPr>
        <w:tabs>
          <w:tab w:val="left" w:pos="0"/>
          <w:tab w:val="left" w:pos="709"/>
        </w:tabs>
        <w:rPr>
          <w:bCs/>
        </w:rPr>
      </w:pPr>
      <w:r w:rsidRPr="00C258AD">
        <w:rPr>
          <w:rFonts w:cs="Arial"/>
          <w:color w:val="000000"/>
        </w:rPr>
        <w:t>14.5</w:t>
      </w:r>
      <w:r w:rsidRPr="00C258AD">
        <w:rPr>
          <w:rFonts w:cs="Arial"/>
          <w:color w:val="000000"/>
        </w:rPr>
        <w:tab/>
        <w:t xml:space="preserve">Le volume d’articles provenant de revues scientifiques et techniques et devenus accessibles par l’intermédiaire du programme d’accès à la recherche pour le développement et l’innovation (ARDI) a continué d’augmenter, notamment par l’intermédiaire du partenariat Research4Life, pour atteindre </w:t>
      </w:r>
      <w:r w:rsidRPr="00C258AD">
        <w:rPr>
          <w:rFonts w:cs="Arial"/>
        </w:rPr>
        <w:t>21 243 revues, 48 988 livres électroniques et 169 ouvrages et bases de données de référence.  Le</w:t>
      </w:r>
      <w:r w:rsidRPr="00C258AD">
        <w:t xml:space="preserve"> </w:t>
      </w:r>
      <w:r w:rsidRPr="00C258AD">
        <w:rPr>
          <w:color w:val="000000"/>
        </w:rPr>
        <w:t>nombre d’utilisateurs actifs du programme ARDI a triplé en 2014</w:t>
      </w:r>
      <w:r w:rsidRPr="00C258AD">
        <w:rPr>
          <w:color w:val="000000"/>
        </w:rPr>
        <w:noBreakHyphen/>
        <w:t>2015, passant à 623 contre 207 en 2012</w:t>
      </w:r>
      <w:r w:rsidRPr="00C258AD">
        <w:rPr>
          <w:color w:val="000000"/>
        </w:rPr>
        <w:noBreakHyphen/>
        <w:t xml:space="preserve">2013.  </w:t>
      </w:r>
      <w:r w:rsidRPr="00C258AD">
        <w:rPr>
          <w:bCs/>
          <w:color w:val="000000"/>
        </w:rPr>
        <w:t>Le nombre d’utilisateurs du programme d’accès à l’information spécialisée en matière de brevets (ASPI), qui facilite l’accès aux bases de données commerciales concernant les brevets, a plus que doublé en 2014</w:t>
      </w:r>
      <w:r w:rsidRPr="00C258AD">
        <w:rPr>
          <w:bCs/>
          <w:color w:val="000000"/>
        </w:rPr>
        <w:noBreakHyphen/>
        <w:t>2015, pour atteindre 42 utilisateurs institutionnels actifs, soit une augmentation de 110% par rapport à 2013.</w:t>
      </w:r>
    </w:p>
    <w:p w:rsidR="006364A5" w:rsidRPr="00C258AD" w:rsidRDefault="006364A5" w:rsidP="006364A5">
      <w:pPr>
        <w:tabs>
          <w:tab w:val="left" w:pos="0"/>
          <w:tab w:val="left" w:pos="709"/>
        </w:tabs>
      </w:pPr>
    </w:p>
    <w:p w:rsidR="006364A5" w:rsidRPr="00C258AD" w:rsidRDefault="006364A5" w:rsidP="006364A5">
      <w:pPr>
        <w:pStyle w:val="ListParagraph"/>
        <w:numPr>
          <w:ilvl w:val="0"/>
          <w:numId w:val="0"/>
        </w:numPr>
        <w:tabs>
          <w:tab w:val="left" w:pos="0"/>
          <w:tab w:val="left" w:pos="709"/>
        </w:tabs>
      </w:pPr>
      <w:r w:rsidRPr="00C258AD">
        <w:rPr>
          <w:color w:val="000000"/>
        </w:rPr>
        <w:t>14.6</w:t>
      </w:r>
      <w:r w:rsidRPr="00C258AD">
        <w:rPr>
          <w:color w:val="000000"/>
        </w:rPr>
        <w:tab/>
        <w:t>En 2014</w:t>
      </w:r>
      <w:r w:rsidRPr="00C258AD">
        <w:rPr>
          <w:color w:val="000000"/>
        </w:rPr>
        <w:noBreakHyphen/>
        <w:t>2015, l’OMPI a publié les quatre rapports panoramiques sur les brevets suivants : i) Ressources génétiques animales, première analyse qualitative à grande échelle reposant sur des informations fondées sur des brevets concernant les ressources génétiques animales, qui a été publié en coopération avec l’Organisation des Nations Unies pour l’alimentation et l’agriculture (FAO)</w:t>
      </w:r>
      <w:r w:rsidRPr="00C258AD">
        <w:rPr>
          <w:rFonts w:cs="Arial"/>
          <w:bCs/>
        </w:rPr>
        <w:t xml:space="preserve"> et avec la contribution substantielle du programme 4;  ii) </w:t>
      </w:r>
      <w:r w:rsidRPr="00C258AD">
        <w:rPr>
          <w:color w:val="000000"/>
        </w:rPr>
        <w:t xml:space="preserve">Dispositifs et technologies d’assistance destinés aux </w:t>
      </w:r>
      <w:r w:rsidRPr="00C258AD">
        <w:rPr>
          <w:color w:val="000000"/>
        </w:rPr>
        <w:lastRenderedPageBreak/>
        <w:t xml:space="preserve">déficients visuels et auditifs, en coopération avec l’Organisation mondiale de la Santé (OMS), </w:t>
      </w:r>
      <w:r w:rsidRPr="00C258AD">
        <w:rPr>
          <w:rFonts w:cs="Arial"/>
          <w:bCs/>
        </w:rPr>
        <w:t>qui comprenait également la première publication de l’OMPI dans un format plus accessible</w:t>
      </w:r>
      <w:r w:rsidRPr="00C258AD">
        <w:t xml:space="preserve">;  </w:t>
      </w:r>
      <w:r w:rsidRPr="00C258AD">
        <w:rPr>
          <w:rFonts w:cs="Arial"/>
          <w:bCs/>
        </w:rPr>
        <w:t>iii) Technologies associées à l’huile de palme, en coopération avec la Société de propriété intellectuelle de la Malaisie (</w:t>
      </w:r>
      <w:proofErr w:type="spellStart"/>
      <w:r w:rsidRPr="00C258AD">
        <w:rPr>
          <w:rFonts w:cs="Arial"/>
          <w:bCs/>
        </w:rPr>
        <w:t>MyIPO</w:t>
      </w:r>
      <w:proofErr w:type="spellEnd"/>
      <w:r w:rsidRPr="00C258AD">
        <w:rPr>
          <w:rFonts w:cs="Arial"/>
          <w:bCs/>
        </w:rPr>
        <w:t>) et le Conseil de l’huile de palme de la Malaisie (MPOB)</w:t>
      </w:r>
      <w:r w:rsidRPr="00C258AD">
        <w:t xml:space="preserve">;  </w:t>
      </w:r>
      <w:r w:rsidRPr="00C258AD">
        <w:rPr>
          <w:rFonts w:cs="Arial"/>
          <w:bCs/>
        </w:rPr>
        <w:t xml:space="preserve">et iv) une version actualisée du </w:t>
      </w:r>
      <w:r w:rsidRPr="00C258AD">
        <w:rPr>
          <w:color w:val="000000"/>
        </w:rPr>
        <w:t>rapport panoramique sur</w:t>
      </w:r>
      <w:r w:rsidRPr="00C258AD">
        <w:rPr>
          <w:rFonts w:cs="Arial"/>
          <w:bCs/>
        </w:rPr>
        <w:t xml:space="preserve"> certaines maladies négligées.</w:t>
      </w:r>
    </w:p>
    <w:p w:rsidR="006364A5" w:rsidRPr="00C258AD" w:rsidRDefault="006364A5" w:rsidP="006364A5">
      <w:pPr>
        <w:tabs>
          <w:tab w:val="left" w:pos="0"/>
          <w:tab w:val="left" w:pos="709"/>
        </w:tabs>
      </w:pPr>
    </w:p>
    <w:p w:rsidR="006364A5" w:rsidRPr="00C258AD" w:rsidRDefault="006364A5" w:rsidP="006364A5">
      <w:pPr>
        <w:tabs>
          <w:tab w:val="left" w:pos="0"/>
          <w:tab w:val="left" w:pos="709"/>
        </w:tabs>
        <w:rPr>
          <w:rFonts w:cs="Arial"/>
        </w:rPr>
      </w:pPr>
      <w:r w:rsidRPr="00C258AD">
        <w:rPr>
          <w:color w:val="000000"/>
        </w:rPr>
        <w:t>14.7</w:t>
      </w:r>
      <w:r w:rsidRPr="00C258AD">
        <w:rPr>
          <w:color w:val="000000"/>
        </w:rPr>
        <w:tab/>
        <w:t xml:space="preserve">L’intérêt pour les rapports panoramiques sur les brevets, en particulier concernant les technologies de l’eau et le recyclage des déchets électroniques, est resté élevé au cours de l’exercice biennal, avec 23 634 visites uniques du site Web consacré aux rapports panoramiques sur les brevets;  97 172 téléchargements de la version en format PDF des rapports;  et 8189 téléchargements de données d’infographie.  </w:t>
      </w:r>
      <w:r w:rsidRPr="00C258AD">
        <w:rPr>
          <w:rFonts w:cs="Arial"/>
        </w:rPr>
        <w:t xml:space="preserve">Le </w:t>
      </w:r>
      <w:r w:rsidRPr="00C258AD">
        <w:rPr>
          <w:color w:val="000000"/>
        </w:rPr>
        <w:t>site Web consacré aux rapports panoramiques</w:t>
      </w:r>
      <w:r w:rsidRPr="00C258AD">
        <w:rPr>
          <w:rFonts w:cs="Arial"/>
        </w:rPr>
        <w:t xml:space="preserve"> a été traduit en français et en espagnol puis a été complété par 57 nouveaux rapports établis par divers acteurs des secteurs public et privé, notamment des publications en huit langues autres que l’anglais.  Par ailleurs, les orientations aux fins de l’élaboration des rapports panoramiques sur les brevets, rédigées avec un expert externe en 2013 et achevées en 2014, ont été publiées en août 2015</w:t>
      </w:r>
      <w:r w:rsidRPr="00C258AD">
        <w:t xml:space="preserve">.  </w:t>
      </w:r>
      <w:r w:rsidRPr="00C258AD">
        <w:rPr>
          <w:rFonts w:cs="Arial"/>
          <w:bCs/>
        </w:rPr>
        <w:t>Des travaux ont également été entamés sur un manuel qui présente divers logiciels libres et gratuits, le but étant de rendre les données et l’analyse relatives aux brevets plus accessibles aux non</w:t>
      </w:r>
      <w:r w:rsidRPr="00C258AD">
        <w:rPr>
          <w:rFonts w:cs="Arial"/>
          <w:bCs/>
        </w:rPr>
        <w:noBreakHyphen/>
        <w:t>spécialistes.  Pour relever le défi lié aux connaissances requises en matière de programmation normalement associées aux logiciels libres, le manuel a été rédigé de manière conviviale, pour les personnes autres que les programmeurs, et comprend des consignes détaillées étape par étape.  Des versions préliminaires et non é</w:t>
      </w:r>
      <w:r w:rsidRPr="00C258AD">
        <w:t>ditées des chapitres</w:t>
      </w:r>
      <w:r w:rsidRPr="00C258AD">
        <w:rPr>
          <w:rFonts w:cs="Arial"/>
          <w:bCs/>
        </w:rPr>
        <w:t xml:space="preserve"> du manuel ont été mises à disposition sur une plateforme libre</w:t>
      </w:r>
      <w:r w:rsidRPr="00C258AD">
        <w:rPr>
          <w:rStyle w:val="FootnoteReference"/>
          <w:rFonts w:eastAsia="SimSun"/>
          <w:bCs/>
        </w:rPr>
        <w:footnoteReference w:id="91"/>
      </w:r>
      <w:r w:rsidRPr="00C258AD">
        <w:rPr>
          <w:rFonts w:cs="Arial"/>
          <w:bCs/>
        </w:rPr>
        <w:t xml:space="preserve">, et la version finale sera publiée sur la page du </w:t>
      </w:r>
      <w:r w:rsidRPr="00C258AD">
        <w:t>site Web</w:t>
      </w:r>
      <w:r w:rsidRPr="00C258AD">
        <w:rPr>
          <w:rFonts w:cs="Arial"/>
          <w:bCs/>
        </w:rPr>
        <w:t xml:space="preserve"> </w:t>
      </w:r>
      <w:r w:rsidRPr="00C258AD">
        <w:rPr>
          <w:color w:val="000000"/>
        </w:rPr>
        <w:t>consacrée aux rapports panoramiques</w:t>
      </w:r>
      <w:r w:rsidRPr="00C258AD">
        <w:rPr>
          <w:rFonts w:cs="Arial"/>
          <w:bCs/>
        </w:rPr>
        <w:t>.</w:t>
      </w:r>
    </w:p>
    <w:p w:rsidR="006364A5" w:rsidRPr="00C258AD" w:rsidRDefault="006364A5" w:rsidP="006364A5">
      <w:pPr>
        <w:tabs>
          <w:tab w:val="left" w:pos="0"/>
          <w:tab w:val="left" w:pos="709"/>
        </w:tabs>
      </w:pPr>
    </w:p>
    <w:p w:rsidR="006364A5" w:rsidRPr="00C258AD" w:rsidRDefault="006364A5" w:rsidP="00DF2EEF">
      <w:pPr>
        <w:pStyle w:val="ListParagraph"/>
        <w:numPr>
          <w:ilvl w:val="1"/>
          <w:numId w:val="102"/>
        </w:numPr>
        <w:tabs>
          <w:tab w:val="left" w:pos="0"/>
          <w:tab w:val="left" w:pos="709"/>
        </w:tabs>
        <w:ind w:left="0" w:firstLine="0"/>
      </w:pPr>
      <w:r w:rsidRPr="00C258AD">
        <w:t>La conception, la planification et la mise en œuvre des activités entreprises par le programme 14 étaient inspirées des recommandations pertinentes du Plan d’action pour le développement, en particulier les recommandations n</w:t>
      </w:r>
      <w:r w:rsidRPr="00C258AD">
        <w:rPr>
          <w:vertAlign w:val="superscript"/>
        </w:rPr>
        <w:t>os</w:t>
      </w:r>
      <w:r w:rsidRPr="00C258AD">
        <w:t> 1, 8, 19, 30 et 31.</w:t>
      </w:r>
    </w:p>
    <w:p w:rsidR="006364A5" w:rsidRPr="00C258AD" w:rsidRDefault="006364A5" w:rsidP="006364A5"/>
    <w:p w:rsidR="006364A5" w:rsidRPr="00C258AD" w:rsidRDefault="006364A5" w:rsidP="006364A5"/>
    <w:p w:rsidR="006364A5" w:rsidRPr="00C258AD" w:rsidRDefault="006364A5" w:rsidP="006364A5">
      <w:pPr>
        <w:pStyle w:val="Heading3"/>
      </w:pPr>
      <w:bookmarkStart w:id="121" w:name="_Toc455394196"/>
      <w:r w:rsidRPr="00C258AD">
        <w:t>Données relatives à l’exécution</w:t>
      </w:r>
      <w:bookmarkEnd w:id="121"/>
    </w:p>
    <w:p w:rsidR="006364A5" w:rsidRPr="00C258AD" w:rsidRDefault="006364A5" w:rsidP="006364A5"/>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091"/>
        <w:gridCol w:w="2370"/>
        <w:gridCol w:w="1532"/>
        <w:gridCol w:w="2508"/>
        <w:gridCol w:w="990"/>
      </w:tblGrid>
      <w:tr w:rsidR="006364A5" w:rsidRPr="00C258AD" w:rsidTr="006364A5">
        <w:trPr>
          <w:cantSplit/>
        </w:trPr>
        <w:tc>
          <w:tcPr>
            <w:tcW w:w="5000" w:type="pct"/>
            <w:gridSpan w:val="5"/>
            <w:tcBorders>
              <w:top w:val="single" w:sz="4" w:space="0" w:color="auto"/>
              <w:bottom w:val="single" w:sz="4" w:space="0" w:color="auto"/>
            </w:tcBorders>
            <w:shd w:val="clear" w:color="auto" w:fill="C5D9F1"/>
            <w:tcMar>
              <w:top w:w="113" w:type="dxa"/>
              <w:bottom w:w="113" w:type="dxa"/>
            </w:tcMar>
            <w:vAlign w:val="center"/>
          </w:tcPr>
          <w:p w:rsidR="006364A5" w:rsidRPr="00C258AD" w:rsidRDefault="006364A5" w:rsidP="006364A5">
            <w:pPr>
              <w:keepNext/>
              <w:keepLines/>
              <w:tabs>
                <w:tab w:val="left" w:pos="1735"/>
              </w:tabs>
              <w:rPr>
                <w:rFonts w:cs="Arial"/>
                <w:b/>
                <w:bCs/>
                <w:sz w:val="16"/>
                <w:szCs w:val="16"/>
              </w:rPr>
            </w:pPr>
            <w:r w:rsidRPr="00C258AD">
              <w:rPr>
                <w:rFonts w:cs="Arial"/>
                <w:b/>
                <w:bCs/>
                <w:sz w:val="16"/>
                <w:szCs w:val="16"/>
              </w:rPr>
              <w:t xml:space="preserve">Résultat escompté : </w:t>
            </w:r>
            <w:r w:rsidRPr="00C258AD">
              <w:rPr>
                <w:rFonts w:cs="Arial"/>
                <w:sz w:val="16"/>
                <w:szCs w:val="16"/>
              </w:rPr>
              <w:t>IV.2 Amélioration de l’accessibilité et de l’utilisation de l’information en matière de propriété intellectuelle par les institutions compétentes et le public afin de promouvoir l’innovation et la créativité</w:t>
            </w:r>
          </w:p>
        </w:tc>
      </w:tr>
      <w:tr w:rsidR="006364A5" w:rsidRPr="00C258AD" w:rsidTr="006364A5">
        <w:trPr>
          <w:cantSplit/>
        </w:trPr>
        <w:tc>
          <w:tcPr>
            <w:tcW w:w="1102" w:type="pct"/>
            <w:tcBorders>
              <w:top w:val="single" w:sz="4" w:space="0" w:color="auto"/>
            </w:tcBorders>
            <w:shd w:val="clear" w:color="auto" w:fill="auto"/>
            <w:tcMar>
              <w:top w:w="113" w:type="dxa"/>
              <w:bottom w:w="113" w:type="dxa"/>
            </w:tcMar>
            <w:vAlign w:val="center"/>
          </w:tcPr>
          <w:p w:rsidR="006364A5" w:rsidRPr="00C258AD" w:rsidRDefault="006364A5" w:rsidP="006364A5">
            <w:pPr>
              <w:jc w:val="center"/>
              <w:rPr>
                <w:rFonts w:cs="Arial"/>
                <w:sz w:val="16"/>
                <w:szCs w:val="16"/>
              </w:rPr>
            </w:pPr>
            <w:r w:rsidRPr="00C258AD">
              <w:rPr>
                <w:rFonts w:cs="Arial"/>
                <w:b/>
                <w:sz w:val="16"/>
                <w:szCs w:val="16"/>
              </w:rPr>
              <w:t>Indicateurs</w:t>
            </w:r>
            <w:r w:rsidRPr="00C258AD">
              <w:rPr>
                <w:rFonts w:cs="Arial"/>
                <w:sz w:val="16"/>
                <w:szCs w:val="16"/>
              </w:rPr>
              <w:t xml:space="preserve"> </w:t>
            </w:r>
            <w:r w:rsidRPr="00C258AD">
              <w:rPr>
                <w:rFonts w:cs="Arial"/>
                <w:b/>
                <w:sz w:val="16"/>
                <w:szCs w:val="16"/>
              </w:rPr>
              <w:t>d’exécution</w:t>
            </w:r>
          </w:p>
        </w:tc>
        <w:tc>
          <w:tcPr>
            <w:tcW w:w="1249" w:type="pct"/>
            <w:tcBorders>
              <w:top w:val="single" w:sz="4" w:space="0" w:color="auto"/>
            </w:tcBorders>
            <w:shd w:val="clear" w:color="auto" w:fill="auto"/>
            <w:tcMar>
              <w:top w:w="113" w:type="dxa"/>
              <w:bottom w:w="113" w:type="dxa"/>
            </w:tcMar>
            <w:vAlign w:val="center"/>
          </w:tcPr>
          <w:p w:rsidR="006364A5" w:rsidRPr="00C258AD" w:rsidRDefault="006364A5" w:rsidP="006364A5">
            <w:pPr>
              <w:jc w:val="center"/>
              <w:rPr>
                <w:rFonts w:cs="Arial"/>
                <w:b/>
                <w:bCs/>
                <w:sz w:val="16"/>
                <w:szCs w:val="16"/>
              </w:rPr>
            </w:pPr>
            <w:r w:rsidRPr="00C258AD">
              <w:rPr>
                <w:rFonts w:cs="Arial"/>
                <w:b/>
                <w:bCs/>
                <w:sz w:val="16"/>
                <w:szCs w:val="16"/>
              </w:rPr>
              <w:t>Niveaux de référence</w:t>
            </w:r>
          </w:p>
        </w:tc>
        <w:tc>
          <w:tcPr>
            <w:tcW w:w="807" w:type="pct"/>
            <w:tcBorders>
              <w:top w:val="single" w:sz="4" w:space="0" w:color="auto"/>
            </w:tcBorders>
            <w:shd w:val="clear" w:color="auto" w:fill="auto"/>
            <w:tcMar>
              <w:top w:w="113" w:type="dxa"/>
              <w:bottom w:w="113" w:type="dxa"/>
            </w:tcMar>
            <w:vAlign w:val="center"/>
          </w:tcPr>
          <w:p w:rsidR="006364A5" w:rsidRPr="00C258AD" w:rsidRDefault="006364A5" w:rsidP="006364A5">
            <w:pPr>
              <w:jc w:val="center"/>
              <w:rPr>
                <w:rFonts w:cs="Arial"/>
                <w:b/>
                <w:sz w:val="16"/>
                <w:szCs w:val="16"/>
              </w:rPr>
            </w:pPr>
            <w:r w:rsidRPr="00C258AD">
              <w:rPr>
                <w:rFonts w:cs="Arial"/>
                <w:b/>
                <w:sz w:val="16"/>
                <w:szCs w:val="16"/>
              </w:rPr>
              <w:t>Objectifs visés</w:t>
            </w:r>
          </w:p>
        </w:tc>
        <w:tc>
          <w:tcPr>
            <w:tcW w:w="1321" w:type="pct"/>
            <w:tcBorders>
              <w:top w:val="single" w:sz="4" w:space="0" w:color="auto"/>
            </w:tcBorders>
            <w:shd w:val="clear" w:color="auto" w:fill="FFFFFF"/>
            <w:tcMar>
              <w:top w:w="113" w:type="dxa"/>
              <w:bottom w:w="113" w:type="dxa"/>
            </w:tcMar>
            <w:vAlign w:val="center"/>
          </w:tcPr>
          <w:p w:rsidR="006364A5" w:rsidRPr="00C258AD" w:rsidRDefault="006364A5" w:rsidP="006364A5">
            <w:pPr>
              <w:jc w:val="center"/>
              <w:rPr>
                <w:rFonts w:cs="Arial"/>
                <w:sz w:val="16"/>
                <w:szCs w:val="16"/>
              </w:rPr>
            </w:pPr>
            <w:r w:rsidRPr="00C258AD">
              <w:rPr>
                <w:rFonts w:cs="Arial"/>
                <w:b/>
                <w:sz w:val="16"/>
                <w:szCs w:val="16"/>
              </w:rPr>
              <w:t>Données relatives à l’exécution</w:t>
            </w:r>
          </w:p>
        </w:tc>
        <w:tc>
          <w:tcPr>
            <w:tcW w:w="522" w:type="pct"/>
            <w:tcBorders>
              <w:top w:val="single" w:sz="4" w:space="0" w:color="auto"/>
            </w:tcBorders>
            <w:shd w:val="clear" w:color="auto" w:fill="auto"/>
            <w:tcMar>
              <w:top w:w="113" w:type="dxa"/>
              <w:bottom w:w="113" w:type="dxa"/>
            </w:tcMar>
            <w:vAlign w:val="center"/>
          </w:tcPr>
          <w:p w:rsidR="006364A5" w:rsidRPr="00C258AD" w:rsidRDefault="006364A5" w:rsidP="006364A5">
            <w:pPr>
              <w:keepNext/>
              <w:keepLines/>
              <w:jc w:val="center"/>
              <w:rPr>
                <w:rFonts w:cs="Arial"/>
                <w:b/>
                <w:bCs/>
                <w:sz w:val="16"/>
                <w:szCs w:val="16"/>
              </w:rPr>
            </w:pPr>
            <w:r w:rsidRPr="00C258AD">
              <w:rPr>
                <w:rFonts w:cs="Arial"/>
                <w:b/>
                <w:bCs/>
                <w:sz w:val="16"/>
                <w:szCs w:val="16"/>
              </w:rPr>
              <w:t>Code de couleurs</w:t>
            </w:r>
          </w:p>
        </w:tc>
      </w:tr>
      <w:tr w:rsidR="006364A5" w:rsidRPr="00C258AD" w:rsidTr="006364A5">
        <w:trPr>
          <w:cantSplit/>
        </w:trPr>
        <w:tc>
          <w:tcPr>
            <w:tcW w:w="1102" w:type="pct"/>
            <w:shd w:val="clear" w:color="auto" w:fill="auto"/>
            <w:tcMar>
              <w:top w:w="113" w:type="dxa"/>
              <w:bottom w:w="113" w:type="dxa"/>
            </w:tcMar>
          </w:tcPr>
          <w:p w:rsidR="006364A5" w:rsidRPr="00C258AD" w:rsidRDefault="006364A5" w:rsidP="006364A5">
            <w:pPr>
              <w:pStyle w:val="Default"/>
              <w:rPr>
                <w:sz w:val="16"/>
                <w:szCs w:val="16"/>
              </w:rPr>
            </w:pPr>
            <w:r w:rsidRPr="00C258AD">
              <w:rPr>
                <w:color w:val="auto"/>
                <w:sz w:val="16"/>
                <w:szCs w:val="16"/>
              </w:rPr>
              <w:t xml:space="preserve">Nombre de réseaux nationaux de </w:t>
            </w:r>
            <w:r w:rsidRPr="00C258AD">
              <w:rPr>
                <w:sz w:val="16"/>
                <w:szCs w:val="16"/>
              </w:rPr>
              <w:t>CATI durables</w:t>
            </w:r>
          </w:p>
        </w:tc>
        <w:tc>
          <w:tcPr>
            <w:tcW w:w="1249" w:type="pct"/>
            <w:shd w:val="clear" w:color="auto" w:fill="auto"/>
            <w:tcMar>
              <w:top w:w="113" w:type="dxa"/>
              <w:bottom w:w="113" w:type="dxa"/>
            </w:tcMar>
          </w:tcPr>
          <w:p w:rsidR="006364A5" w:rsidRPr="00C258AD" w:rsidRDefault="006364A5" w:rsidP="006364A5">
            <w:pPr>
              <w:rPr>
                <w:rFonts w:cs="Arial"/>
                <w:color w:val="002060"/>
                <w:sz w:val="16"/>
                <w:szCs w:val="16"/>
              </w:rPr>
            </w:pPr>
            <w:r w:rsidRPr="00C258AD">
              <w:rPr>
                <w:rFonts w:cs="Arial"/>
                <w:i/>
                <w:color w:val="002060"/>
                <w:sz w:val="16"/>
                <w:szCs w:val="16"/>
              </w:rPr>
              <w:t>Niveau de référence actualisé à fin 2013</w:t>
            </w:r>
            <w:r w:rsidRPr="00C258AD">
              <w:rPr>
                <w:rFonts w:cs="Arial"/>
                <w:color w:val="002060"/>
                <w:sz w:val="16"/>
                <w:szCs w:val="16"/>
              </w:rPr>
              <w:t> : 15 réseaux de CATI durables (sur 39 réseaux établis)</w:t>
            </w:r>
          </w:p>
          <w:p w:rsidR="006364A5" w:rsidRPr="00C258AD" w:rsidRDefault="006364A5" w:rsidP="006364A5">
            <w:pPr>
              <w:rPr>
                <w:rFonts w:cs="Arial"/>
                <w:color w:val="002060"/>
                <w:sz w:val="16"/>
                <w:szCs w:val="16"/>
                <w:lang w:bidi="th-TH"/>
              </w:rPr>
            </w:pPr>
          </w:p>
          <w:p w:rsidR="006364A5" w:rsidRPr="00C258AD" w:rsidRDefault="006364A5" w:rsidP="006364A5">
            <w:pPr>
              <w:rPr>
                <w:rFonts w:cs="Arial"/>
                <w:sz w:val="16"/>
                <w:szCs w:val="16"/>
              </w:rPr>
            </w:pPr>
            <w:r w:rsidRPr="00C258AD">
              <w:rPr>
                <w:rFonts w:cs="Arial"/>
                <w:i/>
                <w:sz w:val="16"/>
                <w:szCs w:val="16"/>
              </w:rPr>
              <w:t>Niveau de référence initial dans le programme et budget 2014</w:t>
            </w:r>
            <w:r w:rsidRPr="00C258AD">
              <w:rPr>
                <w:rFonts w:cs="Arial"/>
                <w:i/>
                <w:sz w:val="16"/>
                <w:szCs w:val="16"/>
              </w:rPr>
              <w:noBreakHyphen/>
              <w:t>2015</w:t>
            </w:r>
            <w:r w:rsidRPr="00C258AD">
              <w:rPr>
                <w:rFonts w:cs="Arial"/>
                <w:sz w:val="16"/>
                <w:szCs w:val="16"/>
              </w:rPr>
              <w:t> : 15 réseaux nationaux de CATI : (données cumulées à la fin du 1</w:t>
            </w:r>
            <w:r w:rsidRPr="00C258AD">
              <w:rPr>
                <w:rFonts w:cs="Arial"/>
                <w:sz w:val="16"/>
                <w:szCs w:val="16"/>
                <w:vertAlign w:val="superscript"/>
              </w:rPr>
              <w:t>er</w:t>
            </w:r>
            <w:r w:rsidRPr="00C258AD">
              <w:rPr>
                <w:rFonts w:cs="Arial"/>
                <w:sz w:val="16"/>
                <w:szCs w:val="16"/>
              </w:rPr>
              <w:t> trimestre 2013) : pays africains (6);</w:t>
            </w:r>
          </w:p>
          <w:p w:rsidR="006364A5" w:rsidRPr="00C258AD" w:rsidRDefault="006364A5" w:rsidP="006364A5">
            <w:pPr>
              <w:rPr>
                <w:rFonts w:cs="Arial"/>
                <w:sz w:val="16"/>
                <w:szCs w:val="16"/>
              </w:rPr>
            </w:pPr>
            <w:r w:rsidRPr="00C258AD">
              <w:rPr>
                <w:rFonts w:cs="Arial"/>
                <w:sz w:val="16"/>
                <w:szCs w:val="16"/>
              </w:rPr>
              <w:t>pays arabes (2);</w:t>
            </w:r>
          </w:p>
          <w:p w:rsidR="006364A5" w:rsidRPr="00C258AD" w:rsidRDefault="006364A5" w:rsidP="006364A5">
            <w:pPr>
              <w:rPr>
                <w:rFonts w:cs="Arial"/>
                <w:sz w:val="16"/>
                <w:szCs w:val="16"/>
              </w:rPr>
            </w:pPr>
            <w:r w:rsidRPr="00C258AD">
              <w:rPr>
                <w:rFonts w:cs="Arial"/>
                <w:sz w:val="16"/>
                <w:szCs w:val="16"/>
              </w:rPr>
              <w:t>Asie et Pacifique (2), Amérique latine et Caraïbes (4);  certains pays d’Europe et d’Asie (1)</w:t>
            </w:r>
          </w:p>
        </w:tc>
        <w:tc>
          <w:tcPr>
            <w:tcW w:w="807" w:type="pct"/>
            <w:shd w:val="clear" w:color="auto" w:fill="auto"/>
            <w:tcMar>
              <w:top w:w="113" w:type="dxa"/>
              <w:bottom w:w="113" w:type="dxa"/>
            </w:tcMar>
          </w:tcPr>
          <w:p w:rsidR="006364A5" w:rsidRPr="00C258AD" w:rsidRDefault="006364A5" w:rsidP="006364A5">
            <w:pPr>
              <w:rPr>
                <w:rFonts w:cs="Arial"/>
                <w:sz w:val="16"/>
                <w:szCs w:val="16"/>
              </w:rPr>
            </w:pPr>
            <w:r w:rsidRPr="00C258AD">
              <w:rPr>
                <w:rFonts w:cs="Arial"/>
                <w:sz w:val="16"/>
                <w:szCs w:val="16"/>
              </w:rPr>
              <w:t xml:space="preserve">25 réseaux nationaux de CATI (données cumulées) : </w:t>
            </w:r>
          </w:p>
          <w:p w:rsidR="006364A5" w:rsidRPr="00C258AD" w:rsidRDefault="006364A5" w:rsidP="006364A5">
            <w:pPr>
              <w:rPr>
                <w:rFonts w:cs="Arial"/>
                <w:sz w:val="16"/>
                <w:szCs w:val="16"/>
              </w:rPr>
            </w:pPr>
            <w:r w:rsidRPr="00C258AD">
              <w:rPr>
                <w:rFonts w:cs="Arial"/>
                <w:sz w:val="16"/>
                <w:szCs w:val="16"/>
              </w:rPr>
              <w:t xml:space="preserve">pays africains (10, dont 8 PMA);  </w:t>
            </w:r>
          </w:p>
          <w:p w:rsidR="006364A5" w:rsidRPr="00C258AD" w:rsidRDefault="006364A5" w:rsidP="006364A5">
            <w:pPr>
              <w:rPr>
                <w:rFonts w:cs="Arial"/>
                <w:sz w:val="16"/>
                <w:szCs w:val="16"/>
              </w:rPr>
            </w:pPr>
            <w:r w:rsidRPr="00C258AD">
              <w:rPr>
                <w:rFonts w:cs="Arial"/>
                <w:sz w:val="16"/>
                <w:szCs w:val="16"/>
              </w:rPr>
              <w:t>pays arabes (3);  Asie et Pacifique (4, dont 2 PMA);  pays d’Amérique latine et des Caraïbes (6);  certains pays d’Europe et d’Asie (2)</w:t>
            </w:r>
          </w:p>
        </w:tc>
        <w:tc>
          <w:tcPr>
            <w:tcW w:w="1321" w:type="pct"/>
            <w:shd w:val="clear" w:color="auto" w:fill="FFFFFF"/>
            <w:tcMar>
              <w:top w:w="113" w:type="dxa"/>
              <w:bottom w:w="113" w:type="dxa"/>
            </w:tcMar>
          </w:tcPr>
          <w:p w:rsidR="006364A5" w:rsidRPr="00C258AD" w:rsidRDefault="006364A5" w:rsidP="006364A5">
            <w:pPr>
              <w:rPr>
                <w:rFonts w:cs="Arial"/>
                <w:sz w:val="16"/>
                <w:szCs w:val="16"/>
              </w:rPr>
            </w:pPr>
            <w:r w:rsidRPr="00C258AD">
              <w:rPr>
                <w:rFonts w:cs="Arial"/>
                <w:sz w:val="16"/>
                <w:szCs w:val="16"/>
              </w:rPr>
              <w:t xml:space="preserve">25 réseaux nationaux durables sur 50 réseaux officiellement établis (données cumulées) : pays africains (10, dont 8 PMA);  pays arabes (3);  </w:t>
            </w:r>
          </w:p>
          <w:p w:rsidR="006364A5" w:rsidRPr="00C258AD" w:rsidRDefault="006364A5" w:rsidP="006364A5">
            <w:pPr>
              <w:rPr>
                <w:rFonts w:cs="Arial"/>
                <w:sz w:val="16"/>
                <w:szCs w:val="16"/>
              </w:rPr>
            </w:pPr>
            <w:r w:rsidRPr="00C258AD">
              <w:rPr>
                <w:rFonts w:cs="Arial"/>
                <w:sz w:val="16"/>
                <w:szCs w:val="16"/>
              </w:rPr>
              <w:t xml:space="preserve">Asie et Pacifique (4, dont 1 PMA);  </w:t>
            </w:r>
          </w:p>
          <w:p w:rsidR="006364A5" w:rsidRPr="00C258AD" w:rsidRDefault="006364A5" w:rsidP="006364A5">
            <w:pPr>
              <w:rPr>
                <w:rFonts w:cs="Arial"/>
                <w:sz w:val="16"/>
                <w:szCs w:val="16"/>
              </w:rPr>
            </w:pPr>
            <w:r w:rsidRPr="00C258AD">
              <w:rPr>
                <w:rFonts w:cs="Arial"/>
                <w:sz w:val="16"/>
                <w:szCs w:val="16"/>
              </w:rPr>
              <w:t xml:space="preserve">pays d’Amérique latine et des Caraïbes (7);  </w:t>
            </w:r>
          </w:p>
          <w:p w:rsidR="006364A5" w:rsidRPr="00C258AD" w:rsidRDefault="006364A5" w:rsidP="006364A5">
            <w:pPr>
              <w:rPr>
                <w:rFonts w:cs="Arial"/>
                <w:sz w:val="16"/>
                <w:szCs w:val="16"/>
              </w:rPr>
            </w:pPr>
            <w:r w:rsidRPr="00C258AD">
              <w:rPr>
                <w:rFonts w:cs="Arial"/>
                <w:sz w:val="16"/>
                <w:szCs w:val="16"/>
              </w:rPr>
              <w:t>certains pays d’Europe et d’Asie (1)</w:t>
            </w:r>
          </w:p>
        </w:tc>
        <w:tc>
          <w:tcPr>
            <w:tcW w:w="522" w:type="pct"/>
            <w:shd w:val="clear" w:color="auto" w:fill="auto"/>
            <w:tcMar>
              <w:top w:w="113" w:type="dxa"/>
              <w:bottom w:w="113" w:type="dxa"/>
            </w:tcMar>
          </w:tcPr>
          <w:p w:rsidR="006364A5" w:rsidRPr="00C258AD" w:rsidRDefault="006364A5" w:rsidP="006364A5">
            <w:pPr>
              <w:keepNext/>
              <w:keepLines/>
              <w:jc w:val="center"/>
              <w:rPr>
                <w:rFonts w:cs="Arial"/>
                <w:b/>
                <w:bCs/>
                <w:color w:val="00B050"/>
                <w:sz w:val="16"/>
                <w:szCs w:val="16"/>
              </w:rPr>
            </w:pPr>
            <w:r w:rsidRPr="00C258AD">
              <w:rPr>
                <w:rFonts w:cs="Arial"/>
                <w:b/>
                <w:bCs/>
                <w:color w:val="00B050"/>
                <w:sz w:val="16"/>
                <w:szCs w:val="16"/>
              </w:rPr>
              <w:t>Objectif pleinement atteint</w:t>
            </w:r>
          </w:p>
        </w:tc>
      </w:tr>
      <w:tr w:rsidR="006364A5" w:rsidRPr="00C258AD" w:rsidTr="006364A5">
        <w:trPr>
          <w:cantSplit/>
        </w:trPr>
        <w:tc>
          <w:tcPr>
            <w:tcW w:w="1102" w:type="pct"/>
            <w:shd w:val="clear" w:color="auto" w:fill="auto"/>
            <w:tcMar>
              <w:top w:w="113" w:type="dxa"/>
              <w:bottom w:w="113" w:type="dxa"/>
            </w:tcMar>
          </w:tcPr>
          <w:p w:rsidR="006364A5" w:rsidRPr="00C258AD" w:rsidRDefault="006364A5" w:rsidP="006364A5">
            <w:pPr>
              <w:pStyle w:val="Default"/>
              <w:rPr>
                <w:sz w:val="16"/>
                <w:szCs w:val="16"/>
              </w:rPr>
            </w:pPr>
            <w:r w:rsidRPr="00C258AD">
              <w:rPr>
                <w:color w:val="auto"/>
                <w:sz w:val="16"/>
                <w:szCs w:val="16"/>
              </w:rPr>
              <w:t>Nombre moyen d’utilisateurs bénéficiant de services de centres d’appui à la technologie et à l’innovation par trimestre et par pays</w:t>
            </w:r>
          </w:p>
        </w:tc>
        <w:tc>
          <w:tcPr>
            <w:tcW w:w="1249" w:type="pct"/>
            <w:shd w:val="clear" w:color="auto" w:fill="auto"/>
            <w:tcMar>
              <w:top w:w="113" w:type="dxa"/>
              <w:bottom w:w="113" w:type="dxa"/>
            </w:tcMar>
          </w:tcPr>
          <w:p w:rsidR="006364A5" w:rsidRPr="00C258AD" w:rsidRDefault="006364A5" w:rsidP="006364A5">
            <w:pPr>
              <w:rPr>
                <w:rFonts w:cs="Arial"/>
                <w:color w:val="002060"/>
                <w:sz w:val="16"/>
                <w:szCs w:val="16"/>
                <w:lang w:bidi="th-TH"/>
              </w:rPr>
            </w:pPr>
            <w:r w:rsidRPr="00C258AD">
              <w:rPr>
                <w:rFonts w:cs="Arial"/>
                <w:i/>
                <w:color w:val="002060"/>
                <w:sz w:val="16"/>
                <w:szCs w:val="16"/>
                <w:lang w:bidi="th-TH"/>
              </w:rPr>
              <w:t>Niveau de référence actualisé à fin 2013 :</w:t>
            </w:r>
            <w:r w:rsidRPr="00C258AD">
              <w:rPr>
                <w:rFonts w:cs="Arial"/>
                <w:color w:val="002060"/>
                <w:sz w:val="16"/>
                <w:szCs w:val="16"/>
                <w:lang w:bidi="th-TH"/>
              </w:rPr>
              <w:t xml:space="preserve"> entre 532 (min.) et 1370 (max.) utilisateurs en moyenne, par jour, bénéficiaient des services de CATI en 2013.</w:t>
            </w:r>
          </w:p>
          <w:p w:rsidR="006364A5" w:rsidRPr="00C258AD" w:rsidRDefault="006364A5" w:rsidP="006364A5">
            <w:pPr>
              <w:rPr>
                <w:rFonts w:cs="Arial"/>
                <w:sz w:val="16"/>
                <w:szCs w:val="16"/>
                <w:lang w:bidi="th-TH"/>
              </w:rPr>
            </w:pPr>
          </w:p>
          <w:p w:rsidR="006364A5" w:rsidRPr="00C258AD" w:rsidRDefault="006364A5" w:rsidP="006364A5">
            <w:pPr>
              <w:rPr>
                <w:rFonts w:cs="Arial"/>
                <w:sz w:val="16"/>
                <w:szCs w:val="16"/>
              </w:rPr>
            </w:pPr>
            <w:r w:rsidRPr="00C258AD">
              <w:rPr>
                <w:rFonts w:cs="Arial"/>
                <w:i/>
                <w:sz w:val="16"/>
                <w:szCs w:val="16"/>
              </w:rPr>
              <w:t>Niveau de référence initial dans le programme et budget 2014</w:t>
            </w:r>
            <w:r w:rsidRPr="00C258AD">
              <w:rPr>
                <w:rFonts w:cs="Arial"/>
                <w:i/>
                <w:sz w:val="16"/>
                <w:szCs w:val="16"/>
              </w:rPr>
              <w:noBreakHyphen/>
              <w:t>2015</w:t>
            </w:r>
            <w:r w:rsidRPr="00C258AD">
              <w:rPr>
                <w:rFonts w:cs="Arial"/>
                <w:sz w:val="16"/>
                <w:szCs w:val="16"/>
              </w:rPr>
              <w:t> : entre 200 (min.) et 630 (max.)</w:t>
            </w:r>
          </w:p>
        </w:tc>
        <w:tc>
          <w:tcPr>
            <w:tcW w:w="807" w:type="pct"/>
            <w:shd w:val="clear" w:color="auto" w:fill="auto"/>
            <w:tcMar>
              <w:top w:w="113" w:type="dxa"/>
              <w:bottom w:w="113" w:type="dxa"/>
            </w:tcMar>
          </w:tcPr>
          <w:p w:rsidR="006364A5" w:rsidRPr="00C258AD" w:rsidRDefault="006364A5" w:rsidP="006364A5">
            <w:pPr>
              <w:rPr>
                <w:rFonts w:cs="Arial"/>
                <w:sz w:val="16"/>
                <w:szCs w:val="16"/>
              </w:rPr>
            </w:pPr>
            <w:r w:rsidRPr="00C258AD">
              <w:rPr>
                <w:rFonts w:cs="Arial"/>
                <w:sz w:val="16"/>
                <w:szCs w:val="16"/>
              </w:rPr>
              <w:t>Entre 300 (min.) et 750 (max.)</w:t>
            </w:r>
          </w:p>
        </w:tc>
        <w:tc>
          <w:tcPr>
            <w:tcW w:w="1321" w:type="pct"/>
            <w:shd w:val="clear" w:color="auto" w:fill="FFFFFF"/>
            <w:tcMar>
              <w:top w:w="113" w:type="dxa"/>
              <w:bottom w:w="113" w:type="dxa"/>
            </w:tcMar>
          </w:tcPr>
          <w:p w:rsidR="006364A5" w:rsidRPr="00C258AD" w:rsidRDefault="006364A5" w:rsidP="006364A5">
            <w:pPr>
              <w:rPr>
                <w:rFonts w:cs="Arial"/>
                <w:sz w:val="16"/>
                <w:szCs w:val="16"/>
              </w:rPr>
            </w:pPr>
            <w:r w:rsidRPr="00C258AD">
              <w:rPr>
                <w:rFonts w:cs="Arial"/>
                <w:sz w:val="16"/>
                <w:szCs w:val="16"/>
              </w:rPr>
              <w:t>Entre 874 (min.) et 2631 (max.)</w:t>
            </w:r>
          </w:p>
        </w:tc>
        <w:tc>
          <w:tcPr>
            <w:tcW w:w="522" w:type="pct"/>
            <w:shd w:val="clear" w:color="auto" w:fill="auto"/>
            <w:tcMar>
              <w:top w:w="113" w:type="dxa"/>
              <w:bottom w:w="113" w:type="dxa"/>
            </w:tcMar>
          </w:tcPr>
          <w:p w:rsidR="006364A5" w:rsidRPr="00C258AD" w:rsidRDefault="006364A5" w:rsidP="006364A5">
            <w:pPr>
              <w:keepNext/>
              <w:keepLines/>
              <w:jc w:val="center"/>
              <w:rPr>
                <w:rFonts w:cs="Arial"/>
                <w:b/>
                <w:bCs/>
                <w:color w:val="00B050"/>
                <w:sz w:val="16"/>
                <w:szCs w:val="16"/>
              </w:rPr>
            </w:pPr>
            <w:r w:rsidRPr="00C258AD">
              <w:rPr>
                <w:rStyle w:val="Style5"/>
                <w:rFonts w:ascii="Arial" w:hAnsi="Arial" w:cs="Arial"/>
                <w:b/>
                <w:bCs/>
                <w:color w:val="00B050"/>
                <w:sz w:val="16"/>
                <w:szCs w:val="16"/>
              </w:rPr>
              <w:t>Objectif pleinement atteint</w:t>
            </w:r>
          </w:p>
        </w:tc>
      </w:tr>
      <w:tr w:rsidR="006364A5" w:rsidRPr="00C258AD" w:rsidTr="006364A5">
        <w:trPr>
          <w:cantSplit/>
        </w:trPr>
        <w:tc>
          <w:tcPr>
            <w:tcW w:w="1102" w:type="pct"/>
            <w:shd w:val="clear" w:color="auto" w:fill="auto"/>
            <w:tcMar>
              <w:top w:w="113" w:type="dxa"/>
              <w:bottom w:w="113" w:type="dxa"/>
            </w:tcMar>
          </w:tcPr>
          <w:p w:rsidR="006364A5" w:rsidRPr="00C258AD" w:rsidRDefault="006364A5" w:rsidP="006364A5">
            <w:pPr>
              <w:rPr>
                <w:rFonts w:cs="Arial"/>
                <w:sz w:val="16"/>
                <w:szCs w:val="16"/>
              </w:rPr>
            </w:pPr>
            <w:r w:rsidRPr="00C258AD">
              <w:rPr>
                <w:rFonts w:cs="Arial"/>
                <w:sz w:val="16"/>
                <w:szCs w:val="16"/>
              </w:rPr>
              <w:lastRenderedPageBreak/>
              <w:t>Nombre d’utilisateurs actifs inscrits aux programmes ARDI et ASPI</w:t>
            </w:r>
          </w:p>
        </w:tc>
        <w:tc>
          <w:tcPr>
            <w:tcW w:w="1249" w:type="pct"/>
            <w:shd w:val="clear" w:color="auto" w:fill="auto"/>
            <w:tcMar>
              <w:top w:w="113" w:type="dxa"/>
              <w:bottom w:w="113" w:type="dxa"/>
            </w:tcMar>
          </w:tcPr>
          <w:p w:rsidR="006364A5" w:rsidRPr="00C258AD" w:rsidRDefault="006364A5" w:rsidP="006364A5">
            <w:pPr>
              <w:rPr>
                <w:rFonts w:cs="Arial"/>
                <w:color w:val="002060"/>
                <w:sz w:val="16"/>
                <w:szCs w:val="16"/>
              </w:rPr>
            </w:pPr>
            <w:r w:rsidRPr="00C258AD">
              <w:rPr>
                <w:rFonts w:cs="Arial"/>
                <w:i/>
                <w:color w:val="002060"/>
                <w:sz w:val="16"/>
                <w:szCs w:val="16"/>
              </w:rPr>
              <w:t>Niveau de référence actualisé à fin 2013</w:t>
            </w:r>
            <w:r w:rsidRPr="00C258AD">
              <w:rPr>
                <w:rFonts w:cs="Arial"/>
                <w:color w:val="002060"/>
                <w:sz w:val="16"/>
                <w:szCs w:val="16"/>
              </w:rPr>
              <w:t> : ARDI (207 utilisateurs actifs)</w:t>
            </w:r>
          </w:p>
          <w:p w:rsidR="006364A5" w:rsidRPr="00C258AD" w:rsidRDefault="006364A5" w:rsidP="006364A5">
            <w:pPr>
              <w:rPr>
                <w:rFonts w:cs="Arial"/>
                <w:color w:val="002060"/>
                <w:sz w:val="16"/>
                <w:szCs w:val="16"/>
              </w:rPr>
            </w:pPr>
            <w:r w:rsidRPr="00C258AD">
              <w:rPr>
                <w:rFonts w:cs="Arial"/>
                <w:color w:val="002060"/>
                <w:sz w:val="16"/>
                <w:szCs w:val="16"/>
              </w:rPr>
              <w:t>ASPI (20 utilisateurs actifs)</w:t>
            </w:r>
          </w:p>
          <w:p w:rsidR="006364A5" w:rsidRPr="00C258AD" w:rsidRDefault="006364A5" w:rsidP="006364A5">
            <w:pPr>
              <w:rPr>
                <w:rFonts w:cs="Arial"/>
                <w:sz w:val="16"/>
                <w:szCs w:val="16"/>
              </w:rPr>
            </w:pPr>
          </w:p>
          <w:p w:rsidR="006364A5" w:rsidRPr="00C258AD" w:rsidRDefault="006364A5" w:rsidP="006364A5">
            <w:pPr>
              <w:rPr>
                <w:rFonts w:cs="Arial"/>
                <w:sz w:val="16"/>
                <w:szCs w:val="16"/>
              </w:rPr>
            </w:pPr>
            <w:r w:rsidRPr="00C258AD">
              <w:rPr>
                <w:rFonts w:cs="Arial"/>
                <w:i/>
                <w:sz w:val="16"/>
                <w:szCs w:val="16"/>
              </w:rPr>
              <w:t>Niveau de référence initial dans le programme et budget 2014</w:t>
            </w:r>
            <w:r w:rsidRPr="00C258AD">
              <w:rPr>
                <w:rFonts w:cs="Arial"/>
                <w:i/>
                <w:sz w:val="16"/>
                <w:szCs w:val="16"/>
              </w:rPr>
              <w:noBreakHyphen/>
              <w:t>2015 :</w:t>
            </w:r>
          </w:p>
          <w:p w:rsidR="006364A5" w:rsidRPr="00C258AD" w:rsidRDefault="006364A5" w:rsidP="006364A5">
            <w:pPr>
              <w:rPr>
                <w:rFonts w:cs="Arial"/>
                <w:sz w:val="16"/>
                <w:szCs w:val="16"/>
              </w:rPr>
            </w:pPr>
            <w:r w:rsidRPr="00C258AD">
              <w:rPr>
                <w:rFonts w:cs="Arial"/>
                <w:sz w:val="16"/>
                <w:szCs w:val="16"/>
              </w:rPr>
              <w:t>ARDI 50</w:t>
            </w:r>
          </w:p>
          <w:p w:rsidR="006364A5" w:rsidRPr="00C258AD" w:rsidRDefault="006364A5" w:rsidP="006364A5">
            <w:pPr>
              <w:rPr>
                <w:rFonts w:cs="Arial"/>
                <w:sz w:val="16"/>
                <w:szCs w:val="16"/>
              </w:rPr>
            </w:pPr>
            <w:r w:rsidRPr="00C258AD">
              <w:rPr>
                <w:rFonts w:cs="Arial"/>
                <w:sz w:val="16"/>
                <w:szCs w:val="16"/>
              </w:rPr>
              <w:t>ASPI 20</w:t>
            </w:r>
          </w:p>
        </w:tc>
        <w:tc>
          <w:tcPr>
            <w:tcW w:w="807" w:type="pct"/>
            <w:shd w:val="clear" w:color="auto" w:fill="auto"/>
            <w:tcMar>
              <w:top w:w="113" w:type="dxa"/>
              <w:bottom w:w="113" w:type="dxa"/>
            </w:tcMar>
          </w:tcPr>
          <w:p w:rsidR="006364A5" w:rsidRPr="00C258AD" w:rsidRDefault="006364A5" w:rsidP="006364A5">
            <w:pPr>
              <w:rPr>
                <w:rFonts w:cs="Arial"/>
                <w:sz w:val="16"/>
                <w:szCs w:val="16"/>
              </w:rPr>
            </w:pPr>
            <w:r w:rsidRPr="00C258AD">
              <w:rPr>
                <w:rFonts w:cs="Arial"/>
                <w:sz w:val="16"/>
                <w:szCs w:val="16"/>
              </w:rPr>
              <w:t>ARDI 300</w:t>
            </w:r>
          </w:p>
          <w:p w:rsidR="006364A5" w:rsidRPr="00C258AD" w:rsidRDefault="006364A5" w:rsidP="006364A5">
            <w:pPr>
              <w:rPr>
                <w:rFonts w:cs="Arial"/>
                <w:i/>
                <w:sz w:val="16"/>
                <w:szCs w:val="16"/>
              </w:rPr>
            </w:pPr>
            <w:r w:rsidRPr="00C258AD">
              <w:rPr>
                <w:rFonts w:cs="Arial"/>
                <w:sz w:val="16"/>
                <w:szCs w:val="16"/>
              </w:rPr>
              <w:t>ASPI 30</w:t>
            </w:r>
          </w:p>
        </w:tc>
        <w:tc>
          <w:tcPr>
            <w:tcW w:w="1321" w:type="pct"/>
            <w:shd w:val="clear" w:color="auto" w:fill="FFFFFF"/>
            <w:tcMar>
              <w:top w:w="113" w:type="dxa"/>
              <w:bottom w:w="113" w:type="dxa"/>
            </w:tcMar>
          </w:tcPr>
          <w:p w:rsidR="006364A5" w:rsidRPr="00C258AD" w:rsidRDefault="006364A5" w:rsidP="006364A5">
            <w:pPr>
              <w:rPr>
                <w:rFonts w:cs="Arial"/>
                <w:sz w:val="16"/>
                <w:szCs w:val="16"/>
              </w:rPr>
            </w:pPr>
            <w:r w:rsidRPr="00C258AD">
              <w:rPr>
                <w:rFonts w:cs="Arial"/>
                <w:sz w:val="16"/>
                <w:szCs w:val="16"/>
              </w:rPr>
              <w:t>ARDI 623</w:t>
            </w:r>
          </w:p>
          <w:p w:rsidR="006364A5" w:rsidRPr="00C258AD" w:rsidRDefault="006364A5" w:rsidP="006364A5">
            <w:pPr>
              <w:rPr>
                <w:rFonts w:cs="Arial"/>
                <w:sz w:val="16"/>
                <w:szCs w:val="16"/>
                <w:lang w:bidi="th-TH"/>
              </w:rPr>
            </w:pPr>
            <w:r w:rsidRPr="00C258AD">
              <w:rPr>
                <w:rFonts w:cs="Arial"/>
                <w:sz w:val="16"/>
                <w:szCs w:val="16"/>
                <w:lang w:bidi="th-TH"/>
              </w:rPr>
              <w:t>ASPI 42</w:t>
            </w:r>
          </w:p>
        </w:tc>
        <w:tc>
          <w:tcPr>
            <w:tcW w:w="522" w:type="pct"/>
            <w:shd w:val="clear" w:color="auto" w:fill="auto"/>
            <w:tcMar>
              <w:top w:w="113" w:type="dxa"/>
              <w:bottom w:w="113" w:type="dxa"/>
            </w:tcMar>
          </w:tcPr>
          <w:p w:rsidR="006364A5" w:rsidRPr="00C258AD" w:rsidRDefault="006364A5" w:rsidP="006364A5">
            <w:pPr>
              <w:keepNext/>
              <w:keepLines/>
              <w:jc w:val="center"/>
              <w:rPr>
                <w:rFonts w:cs="Arial"/>
                <w:b/>
                <w:bCs/>
                <w:sz w:val="16"/>
                <w:szCs w:val="16"/>
              </w:rPr>
            </w:pPr>
            <w:r w:rsidRPr="00C258AD">
              <w:rPr>
                <w:rFonts w:cs="Arial"/>
                <w:b/>
                <w:bCs/>
                <w:color w:val="00B050"/>
                <w:sz w:val="16"/>
                <w:szCs w:val="16"/>
              </w:rPr>
              <w:t>Objectif pleinement atteint</w:t>
            </w:r>
          </w:p>
        </w:tc>
      </w:tr>
      <w:tr w:rsidR="006364A5" w:rsidRPr="00C258AD" w:rsidTr="006364A5">
        <w:trPr>
          <w:cantSplit/>
        </w:trPr>
        <w:tc>
          <w:tcPr>
            <w:tcW w:w="1102" w:type="pct"/>
            <w:shd w:val="clear" w:color="auto" w:fill="auto"/>
            <w:tcMar>
              <w:top w:w="113" w:type="dxa"/>
              <w:bottom w:w="113" w:type="dxa"/>
            </w:tcMar>
          </w:tcPr>
          <w:p w:rsidR="006364A5" w:rsidRPr="00C258AD" w:rsidRDefault="006364A5" w:rsidP="006364A5">
            <w:pPr>
              <w:rPr>
                <w:rFonts w:cs="Arial"/>
                <w:sz w:val="16"/>
                <w:szCs w:val="16"/>
              </w:rPr>
            </w:pPr>
            <w:r w:rsidRPr="00C258AD">
              <w:rPr>
                <w:rFonts w:cs="Arial"/>
                <w:sz w:val="16"/>
                <w:szCs w:val="16"/>
              </w:rPr>
              <w:t>Pourcentage d’utilisateurs satisfaits de la fourniture de services d’information à valeur ajoutée sur les brevets (WPIS, coopération internationale en matière d’examen, familles de brevets ou service d’interrogation sur la situation juridique des brevets)</w:t>
            </w:r>
          </w:p>
        </w:tc>
        <w:tc>
          <w:tcPr>
            <w:tcW w:w="1249" w:type="pct"/>
            <w:shd w:val="clear" w:color="auto" w:fill="auto"/>
            <w:tcMar>
              <w:top w:w="113" w:type="dxa"/>
              <w:bottom w:w="113" w:type="dxa"/>
            </w:tcMar>
          </w:tcPr>
          <w:p w:rsidR="006364A5" w:rsidRPr="00C258AD" w:rsidRDefault="006364A5" w:rsidP="006364A5">
            <w:pPr>
              <w:rPr>
                <w:rFonts w:cs="Arial"/>
                <w:color w:val="002060"/>
                <w:sz w:val="16"/>
                <w:szCs w:val="16"/>
              </w:rPr>
            </w:pPr>
            <w:r w:rsidRPr="00C258AD">
              <w:rPr>
                <w:rFonts w:cs="Arial"/>
                <w:i/>
                <w:color w:val="002060"/>
                <w:sz w:val="16"/>
                <w:szCs w:val="16"/>
              </w:rPr>
              <w:t xml:space="preserve">Niveau de référence actualisé à fin 2013 : </w:t>
            </w:r>
            <w:r w:rsidRPr="00C258AD">
              <w:rPr>
                <w:rFonts w:cs="Arial"/>
                <w:color w:val="002060"/>
                <w:sz w:val="16"/>
                <w:szCs w:val="16"/>
              </w:rPr>
              <w:t>aucune enquête de satisfaction n’a été réalisée pour les services WPIS et ICE.  Des discussions sont en cours avec les offices donateurs sur la manière d’évaluer les travaux effectués et d’obtenir des informations en retour.</w:t>
            </w:r>
          </w:p>
          <w:p w:rsidR="006364A5" w:rsidRPr="00C258AD" w:rsidRDefault="006364A5" w:rsidP="006364A5">
            <w:pPr>
              <w:rPr>
                <w:rFonts w:cs="Arial"/>
                <w:sz w:val="16"/>
                <w:szCs w:val="16"/>
              </w:rPr>
            </w:pPr>
          </w:p>
          <w:p w:rsidR="006364A5" w:rsidRPr="00C258AD" w:rsidRDefault="006364A5" w:rsidP="006364A5">
            <w:pPr>
              <w:rPr>
                <w:rFonts w:cs="Arial"/>
                <w:sz w:val="16"/>
                <w:szCs w:val="16"/>
              </w:rPr>
            </w:pPr>
            <w:r w:rsidRPr="00C258AD">
              <w:rPr>
                <w:rFonts w:cs="Arial"/>
                <w:i/>
                <w:sz w:val="16"/>
                <w:szCs w:val="16"/>
              </w:rPr>
              <w:t>Niveau de référence initial dans le programme et budget 2014</w:t>
            </w:r>
            <w:r w:rsidRPr="00C258AD">
              <w:rPr>
                <w:rFonts w:cs="Arial"/>
                <w:i/>
                <w:sz w:val="16"/>
                <w:szCs w:val="16"/>
              </w:rPr>
              <w:noBreakHyphen/>
              <w:t>2015</w:t>
            </w:r>
            <w:r w:rsidRPr="00C258AD">
              <w:rPr>
                <w:rFonts w:cs="Arial"/>
                <w:sz w:val="16"/>
                <w:szCs w:val="16"/>
              </w:rPr>
              <w:t xml:space="preserve"> : </w:t>
            </w:r>
            <w:proofErr w:type="spellStart"/>
            <w:r w:rsidRPr="00C258AD">
              <w:rPr>
                <w:rFonts w:cs="Arial"/>
                <w:sz w:val="16"/>
                <w:szCs w:val="16"/>
              </w:rPr>
              <w:t>n.d</w:t>
            </w:r>
            <w:proofErr w:type="spellEnd"/>
            <w:r w:rsidRPr="00C258AD">
              <w:rPr>
                <w:rFonts w:cs="Arial"/>
                <w:sz w:val="16"/>
                <w:szCs w:val="16"/>
              </w:rPr>
              <w:t>.</w:t>
            </w:r>
          </w:p>
        </w:tc>
        <w:tc>
          <w:tcPr>
            <w:tcW w:w="807" w:type="pct"/>
            <w:shd w:val="clear" w:color="auto" w:fill="auto"/>
            <w:tcMar>
              <w:top w:w="113" w:type="dxa"/>
              <w:bottom w:w="113" w:type="dxa"/>
            </w:tcMar>
          </w:tcPr>
          <w:p w:rsidR="006364A5" w:rsidRPr="00C258AD" w:rsidRDefault="006364A5" w:rsidP="006364A5">
            <w:pPr>
              <w:rPr>
                <w:rFonts w:cs="Arial"/>
                <w:i/>
                <w:sz w:val="16"/>
                <w:szCs w:val="16"/>
              </w:rPr>
            </w:pPr>
            <w:r w:rsidRPr="00C258AD">
              <w:rPr>
                <w:rFonts w:cs="Arial"/>
                <w:sz w:val="16"/>
                <w:szCs w:val="16"/>
              </w:rPr>
              <w:t>75%</w:t>
            </w:r>
          </w:p>
        </w:tc>
        <w:tc>
          <w:tcPr>
            <w:tcW w:w="1321" w:type="pct"/>
            <w:shd w:val="clear" w:color="auto" w:fill="FFFFFF"/>
            <w:tcMar>
              <w:top w:w="113" w:type="dxa"/>
              <w:bottom w:w="113" w:type="dxa"/>
            </w:tcMar>
          </w:tcPr>
          <w:p w:rsidR="006364A5" w:rsidRPr="00C258AD" w:rsidRDefault="006364A5" w:rsidP="006364A5">
            <w:pPr>
              <w:rPr>
                <w:rFonts w:cs="Arial"/>
                <w:sz w:val="16"/>
                <w:szCs w:val="16"/>
              </w:rPr>
            </w:pPr>
            <w:r w:rsidRPr="00C258AD">
              <w:rPr>
                <w:rFonts w:cs="Arial"/>
                <w:sz w:val="16"/>
                <w:szCs w:val="16"/>
              </w:rPr>
              <w:t>Cet indicateur est abandonné en raison de la réorganisation des services d’information sur les brevets.</w:t>
            </w:r>
          </w:p>
        </w:tc>
        <w:tc>
          <w:tcPr>
            <w:tcW w:w="522" w:type="pct"/>
            <w:shd w:val="clear" w:color="auto" w:fill="auto"/>
            <w:tcMar>
              <w:top w:w="113" w:type="dxa"/>
              <w:bottom w:w="113" w:type="dxa"/>
            </w:tcMar>
          </w:tcPr>
          <w:p w:rsidR="006364A5" w:rsidRPr="00C258AD" w:rsidRDefault="006364A5" w:rsidP="006364A5">
            <w:pPr>
              <w:keepNext/>
              <w:keepLines/>
              <w:jc w:val="center"/>
              <w:rPr>
                <w:rFonts w:cs="Arial"/>
                <w:bCs/>
                <w:sz w:val="16"/>
                <w:szCs w:val="16"/>
              </w:rPr>
            </w:pPr>
            <w:r w:rsidRPr="00C258AD">
              <w:rPr>
                <w:rFonts w:cs="Arial"/>
                <w:b/>
                <w:bCs/>
                <w:sz w:val="16"/>
                <w:szCs w:val="16"/>
              </w:rPr>
              <w:t>Objectif abandonné</w:t>
            </w:r>
          </w:p>
        </w:tc>
      </w:tr>
      <w:tr w:rsidR="006364A5" w:rsidRPr="00C258AD" w:rsidTr="006364A5">
        <w:trPr>
          <w:cantSplit/>
        </w:trPr>
        <w:tc>
          <w:tcPr>
            <w:tcW w:w="1102" w:type="pct"/>
            <w:shd w:val="clear" w:color="auto" w:fill="auto"/>
            <w:tcMar>
              <w:top w:w="113" w:type="dxa"/>
              <w:bottom w:w="113" w:type="dxa"/>
            </w:tcMar>
          </w:tcPr>
          <w:p w:rsidR="006364A5" w:rsidRPr="00C258AD" w:rsidRDefault="006364A5" w:rsidP="006364A5">
            <w:pPr>
              <w:rPr>
                <w:rFonts w:cs="Arial"/>
                <w:sz w:val="16"/>
                <w:szCs w:val="16"/>
              </w:rPr>
            </w:pPr>
            <w:r w:rsidRPr="00C258AD">
              <w:rPr>
                <w:rFonts w:cs="Arial"/>
                <w:sz w:val="16"/>
                <w:szCs w:val="16"/>
              </w:rPr>
              <w:t>Pourcentage d’utilisateurs satisfaits du service de rapports sur la cartographie des brevets</w:t>
            </w:r>
          </w:p>
        </w:tc>
        <w:tc>
          <w:tcPr>
            <w:tcW w:w="1249" w:type="pct"/>
            <w:shd w:val="clear" w:color="auto" w:fill="auto"/>
            <w:tcMar>
              <w:top w:w="113" w:type="dxa"/>
              <w:bottom w:w="113" w:type="dxa"/>
            </w:tcMar>
          </w:tcPr>
          <w:p w:rsidR="006364A5" w:rsidRPr="00C258AD" w:rsidRDefault="006364A5" w:rsidP="006364A5">
            <w:pPr>
              <w:rPr>
                <w:rFonts w:cs="Arial"/>
                <w:color w:val="002060"/>
                <w:sz w:val="16"/>
                <w:szCs w:val="16"/>
              </w:rPr>
            </w:pPr>
            <w:r w:rsidRPr="00C258AD">
              <w:rPr>
                <w:rFonts w:cs="Arial"/>
                <w:i/>
                <w:color w:val="002060"/>
                <w:sz w:val="16"/>
                <w:szCs w:val="16"/>
              </w:rPr>
              <w:t>Niveau de référence actualisé à fin 2013</w:t>
            </w:r>
            <w:r w:rsidRPr="00C258AD">
              <w:rPr>
                <w:rFonts w:cs="Arial"/>
                <w:color w:val="002060"/>
                <w:sz w:val="16"/>
                <w:szCs w:val="16"/>
              </w:rPr>
              <w:t> : une enquête de satisfaction concernant les rapports panoramiques sur les brevets a été réalisée en mars 2014 et 39 réponses ont été reçues (3 utilisateurs de premier niveau;  36 utilisateurs de second niveau).  Les résultats ont montré qu’environ 70% des utilisateurs étaient satisfaits de la qualité des rapports.</w:t>
            </w:r>
          </w:p>
          <w:p w:rsidR="006364A5" w:rsidRPr="00C258AD" w:rsidRDefault="006364A5" w:rsidP="006364A5">
            <w:pPr>
              <w:rPr>
                <w:rFonts w:cs="Arial"/>
                <w:sz w:val="16"/>
                <w:szCs w:val="16"/>
              </w:rPr>
            </w:pPr>
          </w:p>
          <w:p w:rsidR="006364A5" w:rsidRPr="00C258AD" w:rsidRDefault="006364A5" w:rsidP="006364A5">
            <w:pPr>
              <w:rPr>
                <w:rFonts w:cs="Arial"/>
                <w:i/>
                <w:sz w:val="16"/>
                <w:szCs w:val="16"/>
              </w:rPr>
            </w:pPr>
            <w:r w:rsidRPr="00C258AD">
              <w:rPr>
                <w:rFonts w:cs="Arial"/>
                <w:i/>
                <w:sz w:val="16"/>
                <w:szCs w:val="16"/>
              </w:rPr>
              <w:t>Niveau de référence initial dans le programme et budget 2014</w:t>
            </w:r>
            <w:r w:rsidRPr="00C258AD">
              <w:rPr>
                <w:rFonts w:cs="Arial"/>
                <w:i/>
                <w:sz w:val="16"/>
                <w:szCs w:val="16"/>
              </w:rPr>
              <w:noBreakHyphen/>
              <w:t>2015</w:t>
            </w:r>
            <w:r w:rsidRPr="00C258AD">
              <w:rPr>
                <w:rFonts w:cs="Arial"/>
                <w:sz w:val="16"/>
                <w:szCs w:val="16"/>
              </w:rPr>
              <w:t xml:space="preserve"> : </w:t>
            </w:r>
            <w:proofErr w:type="spellStart"/>
            <w:r w:rsidRPr="00C258AD">
              <w:rPr>
                <w:rFonts w:cs="Arial"/>
                <w:sz w:val="16"/>
                <w:szCs w:val="16"/>
              </w:rPr>
              <w:t>n.d</w:t>
            </w:r>
            <w:proofErr w:type="spellEnd"/>
            <w:r w:rsidRPr="00C258AD">
              <w:rPr>
                <w:rFonts w:cs="Arial"/>
                <w:sz w:val="16"/>
                <w:szCs w:val="16"/>
              </w:rPr>
              <w:t>.</w:t>
            </w:r>
          </w:p>
        </w:tc>
        <w:tc>
          <w:tcPr>
            <w:tcW w:w="807" w:type="pct"/>
            <w:shd w:val="clear" w:color="auto" w:fill="auto"/>
            <w:tcMar>
              <w:top w:w="113" w:type="dxa"/>
              <w:bottom w:w="113" w:type="dxa"/>
            </w:tcMar>
          </w:tcPr>
          <w:p w:rsidR="006364A5" w:rsidRPr="00C258AD" w:rsidRDefault="006364A5" w:rsidP="006364A5">
            <w:pPr>
              <w:rPr>
                <w:rFonts w:cs="Arial"/>
                <w:sz w:val="16"/>
                <w:szCs w:val="16"/>
              </w:rPr>
            </w:pPr>
            <w:r w:rsidRPr="00C258AD">
              <w:rPr>
                <w:rFonts w:cs="Arial"/>
                <w:sz w:val="16"/>
                <w:szCs w:val="16"/>
              </w:rPr>
              <w:t>75%</w:t>
            </w:r>
          </w:p>
        </w:tc>
        <w:tc>
          <w:tcPr>
            <w:tcW w:w="1321" w:type="pct"/>
            <w:shd w:val="clear" w:color="auto" w:fill="FFFFFF"/>
            <w:tcMar>
              <w:top w:w="113" w:type="dxa"/>
              <w:bottom w:w="113" w:type="dxa"/>
            </w:tcMar>
          </w:tcPr>
          <w:p w:rsidR="006364A5" w:rsidRPr="00C258AD" w:rsidRDefault="006364A5" w:rsidP="006364A5">
            <w:pPr>
              <w:rPr>
                <w:rFonts w:cs="Arial"/>
                <w:sz w:val="16"/>
                <w:szCs w:val="16"/>
              </w:rPr>
            </w:pPr>
            <w:r w:rsidRPr="00C258AD">
              <w:rPr>
                <w:rFonts w:cs="Arial"/>
                <w:sz w:val="16"/>
                <w:szCs w:val="16"/>
              </w:rPr>
              <w:t xml:space="preserve">Aucune autre </w:t>
            </w:r>
            <w:r w:rsidRPr="00C258AD">
              <w:rPr>
                <w:rFonts w:cs="Arial"/>
                <w:color w:val="002060"/>
                <w:sz w:val="16"/>
                <w:szCs w:val="16"/>
              </w:rPr>
              <w:t xml:space="preserve">enquête de satisfaction </w:t>
            </w:r>
            <w:r w:rsidRPr="00C258AD">
              <w:rPr>
                <w:rFonts w:cs="Arial"/>
                <w:sz w:val="16"/>
                <w:szCs w:val="16"/>
              </w:rPr>
              <w:t>comparable n’a été menée en 2015.</w:t>
            </w:r>
          </w:p>
        </w:tc>
        <w:tc>
          <w:tcPr>
            <w:tcW w:w="522" w:type="pct"/>
            <w:shd w:val="clear" w:color="auto" w:fill="auto"/>
            <w:tcMar>
              <w:top w:w="113" w:type="dxa"/>
              <w:bottom w:w="113" w:type="dxa"/>
            </w:tcMar>
          </w:tcPr>
          <w:p w:rsidR="006364A5" w:rsidRPr="00C258AD" w:rsidRDefault="006364A5" w:rsidP="006364A5">
            <w:pPr>
              <w:keepNext/>
              <w:keepLines/>
              <w:jc w:val="center"/>
              <w:rPr>
                <w:rFonts w:cs="Arial"/>
                <w:bCs/>
                <w:sz w:val="16"/>
                <w:szCs w:val="16"/>
              </w:rPr>
            </w:pPr>
            <w:r w:rsidRPr="00C258AD">
              <w:rPr>
                <w:rFonts w:cs="Arial"/>
                <w:b/>
                <w:bCs/>
                <w:color w:val="808080"/>
                <w:sz w:val="16"/>
                <w:szCs w:val="16"/>
              </w:rPr>
              <w:t>Non évaluable</w:t>
            </w:r>
          </w:p>
        </w:tc>
      </w:tr>
    </w:tbl>
    <w:p w:rsidR="006364A5" w:rsidRPr="00C258AD" w:rsidRDefault="006364A5" w:rsidP="006364A5"/>
    <w:p w:rsidR="006364A5" w:rsidRPr="00C258AD" w:rsidRDefault="006364A5" w:rsidP="006364A5"/>
    <w:p w:rsidR="006364A5" w:rsidRPr="00C258AD" w:rsidRDefault="006364A5" w:rsidP="00817FBA">
      <w:pPr>
        <w:rPr>
          <w:caps/>
          <w:sz w:val="22"/>
        </w:rPr>
      </w:pPr>
      <w:r w:rsidRPr="00C258AD">
        <w:rPr>
          <w:caps/>
          <w:sz w:val="22"/>
        </w:rPr>
        <w:t>Rapport d’évaluation des risques pour l’exercice biennal</w:t>
      </w:r>
    </w:p>
    <w:p w:rsidR="006364A5" w:rsidRPr="00C258AD" w:rsidRDefault="006364A5" w:rsidP="006364A5">
      <w:pPr>
        <w:keepNext/>
        <w:keepLines/>
        <w:rPr>
          <w:rFonts w:cs="Arial"/>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6364A5" w:rsidRPr="00C258AD" w:rsidTr="00817FBA">
        <w:trPr>
          <w:cantSplit/>
          <w:tblHeader/>
        </w:trPr>
        <w:tc>
          <w:tcPr>
            <w:tcW w:w="2372" w:type="dxa"/>
            <w:tcBorders>
              <w:top w:val="single" w:sz="4" w:space="0" w:color="auto"/>
              <w:left w:val="single" w:sz="4" w:space="0" w:color="auto"/>
              <w:bottom w:val="single" w:sz="4" w:space="0" w:color="auto"/>
            </w:tcBorders>
            <w:shd w:val="clear" w:color="auto" w:fill="C5D9F1"/>
            <w:vAlign w:val="center"/>
          </w:tcPr>
          <w:p w:rsidR="006364A5" w:rsidRPr="00C258AD" w:rsidRDefault="006364A5" w:rsidP="006364A5">
            <w:pPr>
              <w:autoSpaceDE w:val="0"/>
              <w:autoSpaceDN w:val="0"/>
              <w:adjustRightInd w:val="0"/>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6364A5" w:rsidRPr="00C258AD" w:rsidRDefault="006364A5" w:rsidP="006364A5">
            <w:pPr>
              <w:autoSpaceDE w:val="0"/>
              <w:autoSpaceDN w:val="0"/>
              <w:adjustRightInd w:val="0"/>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6364A5" w:rsidRPr="00C258AD" w:rsidRDefault="006364A5" w:rsidP="006364A5">
            <w:pPr>
              <w:autoSpaceDE w:val="0"/>
              <w:autoSpaceDN w:val="0"/>
              <w:adjustRightInd w:val="0"/>
              <w:rPr>
                <w:b/>
                <w:bCs/>
                <w:iCs/>
                <w:sz w:val="16"/>
                <w:szCs w:val="16"/>
              </w:rPr>
            </w:pPr>
            <w:r w:rsidRPr="00C258AD">
              <w:rPr>
                <w:b/>
                <w:bCs/>
                <w:iCs/>
                <w:sz w:val="16"/>
                <w:szCs w:val="16"/>
              </w:rPr>
              <w:t>Évolution des risques et des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6364A5" w:rsidRPr="00C258AD" w:rsidRDefault="006364A5" w:rsidP="006364A5">
            <w:pPr>
              <w:autoSpaceDE w:val="0"/>
              <w:autoSpaceDN w:val="0"/>
              <w:adjustRightInd w:val="0"/>
              <w:rPr>
                <w:b/>
                <w:bCs/>
                <w:iCs/>
                <w:sz w:val="16"/>
                <w:szCs w:val="16"/>
              </w:rPr>
            </w:pPr>
            <w:r w:rsidRPr="00C258AD">
              <w:rPr>
                <w:b/>
                <w:bCs/>
                <w:iCs/>
                <w:sz w:val="16"/>
                <w:szCs w:val="16"/>
              </w:rPr>
              <w:t>Incidence sur les résultats du programme</w:t>
            </w:r>
          </w:p>
        </w:tc>
      </w:tr>
      <w:tr w:rsidR="006364A5" w:rsidRPr="00C258AD" w:rsidTr="006364A5">
        <w:tblPrEx>
          <w:tblBorders>
            <w:top w:val="single" w:sz="4" w:space="0" w:color="auto"/>
            <w:left w:val="single" w:sz="4" w:space="0" w:color="auto"/>
            <w:bottom w:val="single" w:sz="4" w:space="0" w:color="auto"/>
            <w:right w:val="single" w:sz="4" w:space="0" w:color="auto"/>
          </w:tblBorders>
        </w:tblPrEx>
        <w:trPr>
          <w:cantSplit/>
        </w:trPr>
        <w:tc>
          <w:tcPr>
            <w:tcW w:w="2372" w:type="dxa"/>
            <w:tcBorders>
              <w:top w:val="single" w:sz="4" w:space="0" w:color="auto"/>
            </w:tcBorders>
            <w:shd w:val="clear" w:color="auto" w:fill="auto"/>
            <w:tcMar>
              <w:top w:w="113" w:type="dxa"/>
              <w:bottom w:w="113" w:type="dxa"/>
            </w:tcMar>
          </w:tcPr>
          <w:p w:rsidR="006364A5" w:rsidRPr="00C258AD" w:rsidRDefault="006364A5" w:rsidP="006364A5">
            <w:pPr>
              <w:rPr>
                <w:sz w:val="16"/>
                <w:szCs w:val="16"/>
              </w:rPr>
            </w:pPr>
            <w:r w:rsidRPr="00C258AD">
              <w:rPr>
                <w:sz w:val="16"/>
                <w:szCs w:val="16"/>
              </w:rPr>
              <w:t>Incapacité à assurer et à préserver le fonctionnement autonome des réseaux de Centres d’appui à la technologie et à l’innovation, ce qui pourrait entraîner la fermeture de certains de ces réseaux et, partant, supprimer l’accès à des services d’informations techniques pour les inventeurs individuels, les petites et moyennes entreprises et d’autres parties prenantes concernées.</w:t>
            </w:r>
          </w:p>
        </w:tc>
        <w:tc>
          <w:tcPr>
            <w:tcW w:w="2373" w:type="dxa"/>
            <w:tcBorders>
              <w:top w:val="single" w:sz="4" w:space="0" w:color="auto"/>
            </w:tcBorders>
            <w:shd w:val="clear" w:color="auto" w:fill="auto"/>
            <w:tcMar>
              <w:top w:w="113" w:type="dxa"/>
              <w:bottom w:w="113" w:type="dxa"/>
            </w:tcMar>
          </w:tcPr>
          <w:p w:rsidR="006364A5" w:rsidRPr="00C258AD" w:rsidRDefault="006364A5" w:rsidP="006364A5">
            <w:pPr>
              <w:autoSpaceDE w:val="0"/>
              <w:autoSpaceDN w:val="0"/>
              <w:adjustRightInd w:val="0"/>
              <w:rPr>
                <w:sz w:val="16"/>
                <w:szCs w:val="16"/>
              </w:rPr>
            </w:pPr>
            <w:r w:rsidRPr="00C258AD">
              <w:rPr>
                <w:sz w:val="16"/>
                <w:szCs w:val="16"/>
              </w:rPr>
              <w:t>Plus grande participation des pays hôtes aux activités de planification et de mise en œuvre du projet de Centres d’appui à la technologie et à l’innovation.</w:t>
            </w:r>
          </w:p>
        </w:tc>
        <w:tc>
          <w:tcPr>
            <w:tcW w:w="2373" w:type="dxa"/>
            <w:tcBorders>
              <w:top w:val="single" w:sz="4" w:space="0" w:color="auto"/>
            </w:tcBorders>
          </w:tcPr>
          <w:p w:rsidR="006364A5" w:rsidRPr="00C258AD" w:rsidRDefault="006364A5" w:rsidP="006364A5">
            <w:pPr>
              <w:autoSpaceDE w:val="0"/>
              <w:autoSpaceDN w:val="0"/>
              <w:adjustRightInd w:val="0"/>
              <w:rPr>
                <w:sz w:val="16"/>
                <w:szCs w:val="16"/>
              </w:rPr>
            </w:pPr>
            <w:r w:rsidRPr="00C258AD">
              <w:rPr>
                <w:sz w:val="16"/>
                <w:szCs w:val="16"/>
              </w:rPr>
              <w:t>Les coordonnateurs nationaux et les institutions hôtes ont joué un rôle de plus en plus actif dans la planification et la mise en œuvre du projet de CATI, plutôt que de se reposer uniquement sur l’appui proposé par l’OMPI.</w:t>
            </w:r>
          </w:p>
        </w:tc>
        <w:tc>
          <w:tcPr>
            <w:tcW w:w="2373" w:type="dxa"/>
            <w:tcBorders>
              <w:top w:val="single" w:sz="4" w:space="0" w:color="auto"/>
            </w:tcBorders>
          </w:tcPr>
          <w:p w:rsidR="006364A5" w:rsidRPr="00C258AD" w:rsidRDefault="006364A5" w:rsidP="006364A5">
            <w:pPr>
              <w:autoSpaceDE w:val="0"/>
              <w:autoSpaceDN w:val="0"/>
              <w:adjustRightInd w:val="0"/>
              <w:rPr>
                <w:sz w:val="16"/>
                <w:szCs w:val="16"/>
              </w:rPr>
            </w:pPr>
            <w:r w:rsidRPr="00C258AD">
              <w:rPr>
                <w:rFonts w:cs="Arial"/>
                <w:sz w:val="16"/>
                <w:szCs w:val="16"/>
                <w:lang w:eastAsia="en-GB"/>
              </w:rPr>
              <w:t xml:space="preserve">La stratégie d’atténuation a contribué à améliorer la coordination avec les pays </w:t>
            </w:r>
            <w:r w:rsidRPr="00C258AD">
              <w:rPr>
                <w:sz w:val="16"/>
                <w:szCs w:val="16"/>
              </w:rPr>
              <w:t>hôtes</w:t>
            </w:r>
            <w:r w:rsidRPr="00C258AD">
              <w:rPr>
                <w:rFonts w:cs="Arial"/>
                <w:sz w:val="16"/>
                <w:szCs w:val="16"/>
                <w:lang w:eastAsia="en-GB"/>
              </w:rPr>
              <w:t xml:space="preserve">, les </w:t>
            </w:r>
            <w:r w:rsidRPr="00C258AD">
              <w:rPr>
                <w:sz w:val="16"/>
                <w:szCs w:val="16"/>
              </w:rPr>
              <w:t>coordonnateurs nationaux et les institutions hôtes</w:t>
            </w:r>
            <w:r w:rsidRPr="00C258AD">
              <w:rPr>
                <w:rFonts w:cs="Arial"/>
                <w:sz w:val="16"/>
                <w:szCs w:val="16"/>
                <w:lang w:eastAsia="en-GB"/>
              </w:rPr>
              <w:t>, pour une plus grande viabilité.</w:t>
            </w:r>
          </w:p>
        </w:tc>
      </w:tr>
      <w:tr w:rsidR="006364A5" w:rsidRPr="00C258AD" w:rsidTr="006364A5">
        <w:tblPrEx>
          <w:tblBorders>
            <w:top w:val="single" w:sz="4" w:space="0" w:color="auto"/>
            <w:left w:val="single" w:sz="4" w:space="0" w:color="auto"/>
            <w:bottom w:val="single" w:sz="4" w:space="0" w:color="auto"/>
            <w:right w:val="single" w:sz="4" w:space="0" w:color="auto"/>
          </w:tblBorders>
        </w:tblPrEx>
        <w:trPr>
          <w:cantSplit/>
        </w:trPr>
        <w:tc>
          <w:tcPr>
            <w:tcW w:w="2372" w:type="dxa"/>
            <w:shd w:val="clear" w:color="auto" w:fill="auto"/>
            <w:tcMar>
              <w:top w:w="113" w:type="dxa"/>
              <w:bottom w:w="113" w:type="dxa"/>
            </w:tcMar>
          </w:tcPr>
          <w:p w:rsidR="006364A5" w:rsidRPr="00C258AD" w:rsidRDefault="006364A5" w:rsidP="006364A5">
            <w:pPr>
              <w:rPr>
                <w:sz w:val="16"/>
                <w:szCs w:val="16"/>
              </w:rPr>
            </w:pPr>
            <w:r w:rsidRPr="00C258AD">
              <w:rPr>
                <w:sz w:val="16"/>
                <w:szCs w:val="16"/>
              </w:rPr>
              <w:lastRenderedPageBreak/>
              <w:t>Très faible utilisation des rapports sur la cartographie des brevets publiés de la part du public visé (les inventeurs individuels, les chercheurs, le milieu industriel et universitaire, les responsables chargées de l’élaboration des politiques et les décideurs en recherche</w:t>
            </w:r>
            <w:r w:rsidRPr="00C258AD">
              <w:rPr>
                <w:sz w:val="16"/>
                <w:szCs w:val="16"/>
              </w:rPr>
              <w:noBreakHyphen/>
              <w:t>développement).</w:t>
            </w:r>
          </w:p>
        </w:tc>
        <w:tc>
          <w:tcPr>
            <w:tcW w:w="2373" w:type="dxa"/>
            <w:shd w:val="clear" w:color="auto" w:fill="auto"/>
            <w:tcMar>
              <w:top w:w="113" w:type="dxa"/>
              <w:bottom w:w="113" w:type="dxa"/>
            </w:tcMar>
          </w:tcPr>
          <w:p w:rsidR="006364A5" w:rsidRPr="00C258AD" w:rsidRDefault="006364A5" w:rsidP="006364A5">
            <w:pPr>
              <w:autoSpaceDE w:val="0"/>
              <w:autoSpaceDN w:val="0"/>
              <w:adjustRightInd w:val="0"/>
              <w:rPr>
                <w:sz w:val="16"/>
                <w:szCs w:val="16"/>
              </w:rPr>
            </w:pPr>
            <w:r w:rsidRPr="00C258AD">
              <w:rPr>
                <w:sz w:val="16"/>
                <w:szCs w:val="16"/>
              </w:rPr>
              <w:t xml:space="preserve">Choix judicieux, dès le départ, des thèmes les plus adaptés s’agissant des rapports sur la cartographie </w:t>
            </w:r>
            <w:proofErr w:type="gramStart"/>
            <w:r w:rsidRPr="00C258AD">
              <w:rPr>
                <w:sz w:val="16"/>
                <w:szCs w:val="16"/>
              </w:rPr>
              <w:t>des brevets, assorti</w:t>
            </w:r>
            <w:proofErr w:type="gramEnd"/>
            <w:r w:rsidRPr="00C258AD">
              <w:rPr>
                <w:sz w:val="16"/>
                <w:szCs w:val="16"/>
              </w:rPr>
              <w:t xml:space="preserve"> d’une diffusion à plus grande échelle et d’une meilleure coordination avec les parties prenantes visées.</w:t>
            </w:r>
          </w:p>
        </w:tc>
        <w:tc>
          <w:tcPr>
            <w:tcW w:w="2373" w:type="dxa"/>
          </w:tcPr>
          <w:p w:rsidR="006364A5" w:rsidRPr="00C258AD" w:rsidRDefault="006364A5" w:rsidP="006364A5">
            <w:pPr>
              <w:autoSpaceDE w:val="0"/>
              <w:autoSpaceDN w:val="0"/>
              <w:adjustRightInd w:val="0"/>
              <w:rPr>
                <w:sz w:val="16"/>
                <w:szCs w:val="16"/>
              </w:rPr>
            </w:pPr>
            <w:r w:rsidRPr="00C258AD">
              <w:rPr>
                <w:rFonts w:cs="Arial"/>
                <w:sz w:val="16"/>
                <w:szCs w:val="16"/>
                <w:lang w:eastAsia="en-GB"/>
              </w:rPr>
              <w:t>Le risque ne s’est pas matérialisé, du fait que les stratégies d’atténuation visées ont permis d’en réduire la probabilité.  L’amélioration des stratégies de diffusion par les médias sociaux, ainsi que des réunions avec le public ciblé, ont permis de toucher un public qui ne connaîtrait normalement pas le travail de l’OMPI et ont donc accru le nombre de bénéficiaires du rapport</w:t>
            </w:r>
            <w:r w:rsidRPr="00C258AD">
              <w:rPr>
                <w:sz w:val="16"/>
              </w:rPr>
              <w:t>.</w:t>
            </w:r>
          </w:p>
        </w:tc>
        <w:tc>
          <w:tcPr>
            <w:tcW w:w="2373" w:type="dxa"/>
          </w:tcPr>
          <w:p w:rsidR="006364A5" w:rsidRPr="00C258AD" w:rsidRDefault="006364A5" w:rsidP="006364A5">
            <w:pPr>
              <w:autoSpaceDE w:val="0"/>
              <w:autoSpaceDN w:val="0"/>
              <w:adjustRightInd w:val="0"/>
              <w:rPr>
                <w:sz w:val="16"/>
                <w:szCs w:val="16"/>
              </w:rPr>
            </w:pPr>
            <w:r w:rsidRPr="00C258AD">
              <w:rPr>
                <w:rFonts w:cs="Arial"/>
                <w:sz w:val="16"/>
                <w:szCs w:val="16"/>
                <w:lang w:eastAsia="en-GB"/>
              </w:rPr>
              <w:t xml:space="preserve">Les stratégies d’atténuation ont contribué à faire mieux connaître les </w:t>
            </w:r>
            <w:r w:rsidRPr="00C258AD">
              <w:rPr>
                <w:sz w:val="16"/>
                <w:szCs w:val="16"/>
              </w:rPr>
              <w:t xml:space="preserve">rapports panoramiques, et à en </w:t>
            </w:r>
            <w:r w:rsidRPr="00C258AD">
              <w:rPr>
                <w:rFonts w:cs="Arial"/>
                <w:sz w:val="16"/>
                <w:szCs w:val="16"/>
                <w:lang w:eastAsia="en-GB"/>
              </w:rPr>
              <w:t>améliorer l’accès et l’utilisation.</w:t>
            </w:r>
          </w:p>
        </w:tc>
      </w:tr>
      <w:tr w:rsidR="006364A5" w:rsidRPr="00C258AD" w:rsidTr="006364A5">
        <w:tblPrEx>
          <w:tblBorders>
            <w:top w:val="single" w:sz="4" w:space="0" w:color="auto"/>
            <w:left w:val="single" w:sz="4" w:space="0" w:color="auto"/>
            <w:bottom w:val="single" w:sz="4" w:space="0" w:color="auto"/>
            <w:right w:val="single" w:sz="4" w:space="0" w:color="auto"/>
          </w:tblBorders>
        </w:tblPrEx>
        <w:trPr>
          <w:cantSplit/>
        </w:trPr>
        <w:tc>
          <w:tcPr>
            <w:tcW w:w="2372" w:type="dxa"/>
            <w:shd w:val="clear" w:color="auto" w:fill="auto"/>
            <w:tcMar>
              <w:top w:w="113" w:type="dxa"/>
              <w:bottom w:w="113" w:type="dxa"/>
            </w:tcMar>
          </w:tcPr>
          <w:p w:rsidR="006364A5" w:rsidRPr="00C258AD" w:rsidRDefault="006364A5" w:rsidP="006364A5">
            <w:pPr>
              <w:rPr>
                <w:sz w:val="16"/>
                <w:szCs w:val="16"/>
              </w:rPr>
            </w:pPr>
            <w:r w:rsidRPr="00C258AD">
              <w:rPr>
                <w:sz w:val="16"/>
                <w:szCs w:val="16"/>
              </w:rPr>
              <w:t xml:space="preserve">La prestation de services d’information sur les brevets pourrait pâtir d’une inadéquation entre l’offre et la demande, notamment en ce qui concerne la quantité et la qualité des services fournis et escomptés et le caractère opportun de ces services compte tenu des contraintes en termes de ressources disponibles et de la participation bénévole et à titre gracieux des offices donateurs.  </w:t>
            </w:r>
          </w:p>
        </w:tc>
        <w:tc>
          <w:tcPr>
            <w:tcW w:w="2373" w:type="dxa"/>
            <w:shd w:val="clear" w:color="auto" w:fill="auto"/>
            <w:tcMar>
              <w:top w:w="113" w:type="dxa"/>
              <w:bottom w:w="113" w:type="dxa"/>
            </w:tcMar>
          </w:tcPr>
          <w:p w:rsidR="006364A5" w:rsidRPr="00C258AD" w:rsidRDefault="006364A5" w:rsidP="006364A5">
            <w:pPr>
              <w:autoSpaceDE w:val="0"/>
              <w:autoSpaceDN w:val="0"/>
              <w:adjustRightInd w:val="0"/>
              <w:rPr>
                <w:sz w:val="16"/>
                <w:szCs w:val="16"/>
              </w:rPr>
            </w:pPr>
            <w:r w:rsidRPr="00C258AD">
              <w:rPr>
                <w:sz w:val="16"/>
                <w:szCs w:val="16"/>
              </w:rPr>
              <w:t>L’OMPI s’emploiera à atténuer les risques en surveillant la rapidité et la qualité des services fournis par les donateurs, en collaborant en ce qui concerne les rapports sur la cartographie des brevets avec des institutions partenaires externes ayant fait part de leur intérêt particulier et de leurs besoins, en demandant et en analysant les réactions des utilisateurs des services en question, en établissant un ordre de priorité en cas des demandes trop nombreuses et en faisant la promotion de ces services en cas de demande trop faible.</w:t>
            </w:r>
          </w:p>
        </w:tc>
        <w:tc>
          <w:tcPr>
            <w:tcW w:w="2373" w:type="dxa"/>
          </w:tcPr>
          <w:p w:rsidR="006364A5" w:rsidRPr="00C258AD" w:rsidRDefault="006364A5" w:rsidP="006364A5">
            <w:pPr>
              <w:autoSpaceDE w:val="0"/>
              <w:autoSpaceDN w:val="0"/>
              <w:adjustRightInd w:val="0"/>
              <w:rPr>
                <w:sz w:val="16"/>
                <w:szCs w:val="16"/>
              </w:rPr>
            </w:pPr>
            <w:r w:rsidRPr="00C258AD">
              <w:rPr>
                <w:rFonts w:cs="Arial"/>
                <w:sz w:val="16"/>
                <w:szCs w:val="16"/>
                <w:lang w:eastAsia="en-GB"/>
              </w:rPr>
              <w:t>Le risque ne s’est pas matérialisé compte tenu des actions d’atténuation des risques mises en place par le programme</w:t>
            </w:r>
            <w:r w:rsidRPr="00C258AD">
              <w:rPr>
                <w:sz w:val="16"/>
              </w:rPr>
              <w:t>.</w:t>
            </w:r>
          </w:p>
        </w:tc>
        <w:tc>
          <w:tcPr>
            <w:tcW w:w="2373" w:type="dxa"/>
          </w:tcPr>
          <w:p w:rsidR="006364A5" w:rsidRPr="00C258AD" w:rsidRDefault="006364A5" w:rsidP="006364A5">
            <w:pPr>
              <w:autoSpaceDE w:val="0"/>
              <w:autoSpaceDN w:val="0"/>
              <w:adjustRightInd w:val="0"/>
              <w:rPr>
                <w:sz w:val="16"/>
                <w:szCs w:val="16"/>
              </w:rPr>
            </w:pPr>
            <w:r w:rsidRPr="00C258AD">
              <w:rPr>
                <w:rFonts w:cs="Arial"/>
                <w:sz w:val="16"/>
                <w:szCs w:val="16"/>
              </w:rPr>
              <w:t xml:space="preserve">Aucune incidence concrète sur les résultats du </w:t>
            </w:r>
            <w:r w:rsidRPr="00C258AD">
              <w:rPr>
                <w:rFonts w:cs="Arial"/>
                <w:sz w:val="16"/>
                <w:szCs w:val="16"/>
                <w:lang w:eastAsia="en-GB"/>
              </w:rPr>
              <w:t>programme</w:t>
            </w:r>
            <w:r w:rsidRPr="00C258AD">
              <w:rPr>
                <w:rFonts w:cs="Arial"/>
                <w:sz w:val="16"/>
                <w:szCs w:val="16"/>
              </w:rPr>
              <w:t>.</w:t>
            </w:r>
          </w:p>
        </w:tc>
      </w:tr>
    </w:tbl>
    <w:p w:rsidR="006364A5" w:rsidRPr="00C258AD" w:rsidRDefault="006364A5" w:rsidP="006364A5">
      <w:pPr>
        <w:rPr>
          <w:sz w:val="18"/>
        </w:rPr>
      </w:pPr>
    </w:p>
    <w:p w:rsidR="006364A5" w:rsidRPr="00C258AD" w:rsidRDefault="006364A5" w:rsidP="006364A5">
      <w:pPr>
        <w:rPr>
          <w:sz w:val="18"/>
        </w:rPr>
      </w:pPr>
    </w:p>
    <w:p w:rsidR="006364A5" w:rsidRPr="00C258AD" w:rsidRDefault="006364A5" w:rsidP="00817FBA">
      <w:pPr>
        <w:rPr>
          <w:caps/>
          <w:sz w:val="22"/>
        </w:rPr>
      </w:pPr>
      <w:r w:rsidRPr="00C258AD">
        <w:rPr>
          <w:caps/>
          <w:sz w:val="22"/>
        </w:rPr>
        <w:t>Utilisation des ressources</w:t>
      </w:r>
    </w:p>
    <w:p w:rsidR="006364A5" w:rsidRPr="00C258AD" w:rsidRDefault="006364A5" w:rsidP="006364A5"/>
    <w:p w:rsidR="006364A5" w:rsidRPr="00C258AD" w:rsidRDefault="006364A5" w:rsidP="006364A5">
      <w:pPr>
        <w:pStyle w:val="NormalWeb"/>
        <w:keepNext/>
        <w:spacing w:before="0" w:beforeAutospacing="0" w:after="0" w:afterAutospacing="0"/>
        <w:jc w:val="center"/>
        <w:rPr>
          <w:sz w:val="20"/>
          <w:szCs w:val="20"/>
        </w:rPr>
      </w:pPr>
      <w:r w:rsidRPr="00C258AD">
        <w:rPr>
          <w:sz w:val="20"/>
          <w:szCs w:val="20"/>
        </w:rPr>
        <w:t>Budget et dépenses effectives (par résultat)</w:t>
      </w:r>
    </w:p>
    <w:p w:rsidR="006364A5" w:rsidRPr="00C258AD" w:rsidRDefault="006364A5" w:rsidP="006364A5">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6364A5" w:rsidRPr="00C258AD" w:rsidRDefault="006364A5" w:rsidP="006364A5">
      <w:pPr>
        <w:keepNext/>
        <w:jc w:val="center"/>
      </w:pPr>
    </w:p>
    <w:tbl>
      <w:tblPr>
        <w:tblW w:w="5000" w:type="pct"/>
        <w:tblCellMar>
          <w:top w:w="113" w:type="dxa"/>
          <w:left w:w="70" w:type="dxa"/>
          <w:bottom w:w="113" w:type="dxa"/>
          <w:right w:w="70" w:type="dxa"/>
        </w:tblCellMar>
        <w:tblLook w:val="04A0" w:firstRow="1" w:lastRow="0" w:firstColumn="1" w:lastColumn="0" w:noHBand="0" w:noVBand="1"/>
      </w:tblPr>
      <w:tblGrid>
        <w:gridCol w:w="565"/>
        <w:gridCol w:w="4664"/>
        <w:gridCol w:w="1422"/>
        <w:gridCol w:w="1422"/>
        <w:gridCol w:w="1422"/>
      </w:tblGrid>
      <w:tr w:rsidR="006364A5" w:rsidRPr="00C258AD" w:rsidTr="006364A5">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6364A5" w:rsidRPr="00C258AD" w:rsidRDefault="006364A5" w:rsidP="006364A5">
            <w:pPr>
              <w:jc w:val="center"/>
              <w:rPr>
                <w:i/>
                <w:iCs/>
                <w:sz w:val="16"/>
                <w:szCs w:val="16"/>
                <w:lang w:eastAsia="fr-FR"/>
              </w:rPr>
            </w:pPr>
            <w:r w:rsidRPr="00C258AD">
              <w:rPr>
                <w:i/>
                <w:iCs/>
                <w:sz w:val="16"/>
                <w:szCs w:val="16"/>
                <w:lang w:eastAsia="fr-FR"/>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6364A5" w:rsidRPr="00C258AD" w:rsidRDefault="006364A5" w:rsidP="006364A5">
            <w:pPr>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Pr="00C258AD">
              <w:rPr>
                <w:i/>
                <w:iCs/>
                <w:sz w:val="16"/>
                <w:szCs w:val="16"/>
                <w:lang w:eastAsia="fr-FR"/>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6364A5" w:rsidRPr="00C258AD" w:rsidRDefault="006364A5" w:rsidP="006364A5">
            <w:pPr>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Pr="00C258AD">
              <w:rPr>
                <w:i/>
                <w:iCs/>
                <w:sz w:val="16"/>
                <w:szCs w:val="16"/>
                <w:lang w:eastAsia="fr-FR"/>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6364A5" w:rsidRPr="00C258AD" w:rsidRDefault="006364A5" w:rsidP="006364A5">
            <w:pPr>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Pr="00C258AD">
              <w:rPr>
                <w:i/>
                <w:iCs/>
                <w:sz w:val="16"/>
                <w:szCs w:val="16"/>
                <w:lang w:eastAsia="fr-FR"/>
              </w:rPr>
              <w:noBreakHyphen/>
              <w:t>2015</w:t>
            </w:r>
          </w:p>
        </w:tc>
      </w:tr>
      <w:tr w:rsidR="006364A5" w:rsidRPr="00C258AD" w:rsidTr="006364A5">
        <w:trPr>
          <w:cantSplit/>
        </w:trPr>
        <w:tc>
          <w:tcPr>
            <w:tcW w:w="540" w:type="dxa"/>
            <w:tcBorders>
              <w:top w:val="nil"/>
              <w:left w:val="single" w:sz="4" w:space="0" w:color="auto"/>
              <w:bottom w:val="nil"/>
              <w:right w:val="nil"/>
            </w:tcBorders>
            <w:shd w:val="clear" w:color="auto" w:fill="auto"/>
            <w:noWrap/>
            <w:vAlign w:val="center"/>
            <w:hideMark/>
          </w:tcPr>
          <w:p w:rsidR="006364A5" w:rsidRPr="00C258AD" w:rsidRDefault="006364A5" w:rsidP="006364A5">
            <w:pPr>
              <w:rPr>
                <w:sz w:val="16"/>
                <w:szCs w:val="16"/>
                <w:lang w:eastAsia="fr-FR"/>
              </w:rPr>
            </w:pPr>
            <w:r w:rsidRPr="00C258AD">
              <w:rPr>
                <w:sz w:val="16"/>
                <w:szCs w:val="16"/>
                <w:lang w:eastAsia="fr-FR"/>
              </w:rPr>
              <w:t>IV.2</w:t>
            </w:r>
          </w:p>
        </w:tc>
        <w:tc>
          <w:tcPr>
            <w:tcW w:w="4460" w:type="dxa"/>
            <w:tcBorders>
              <w:top w:val="nil"/>
              <w:left w:val="nil"/>
              <w:bottom w:val="nil"/>
              <w:right w:val="nil"/>
            </w:tcBorders>
            <w:shd w:val="clear" w:color="auto" w:fill="auto"/>
            <w:vAlign w:val="center"/>
            <w:hideMark/>
          </w:tcPr>
          <w:p w:rsidR="006364A5" w:rsidRPr="00C258AD" w:rsidRDefault="006364A5" w:rsidP="006364A5">
            <w:pPr>
              <w:rPr>
                <w:sz w:val="16"/>
                <w:szCs w:val="16"/>
                <w:lang w:eastAsia="fr-FR"/>
              </w:rPr>
            </w:pPr>
            <w:r w:rsidRPr="00C258AD">
              <w:rPr>
                <w:sz w:val="16"/>
                <w:szCs w:val="16"/>
                <w:lang w:eastAsia="fr-FR"/>
              </w:rPr>
              <w:t>Amélioration de l’accessibilité et de l’utilisation de l’information en matière de propriété intellectuelle par les institutions compétentes et le public afin de promouvoir l’innovation et la créativité</w:t>
            </w:r>
          </w:p>
        </w:tc>
        <w:tc>
          <w:tcPr>
            <w:tcW w:w="1360" w:type="dxa"/>
            <w:tcBorders>
              <w:top w:val="nil"/>
              <w:left w:val="nil"/>
              <w:bottom w:val="nil"/>
              <w:right w:val="nil"/>
            </w:tcBorders>
            <w:shd w:val="clear" w:color="auto" w:fill="auto"/>
            <w:vAlign w:val="center"/>
            <w:hideMark/>
          </w:tcPr>
          <w:p w:rsidR="006364A5" w:rsidRPr="00C258AD" w:rsidRDefault="006364A5" w:rsidP="006364A5">
            <w:pPr>
              <w:jc w:val="right"/>
              <w:rPr>
                <w:sz w:val="16"/>
                <w:szCs w:val="16"/>
                <w:lang w:eastAsia="fr-FR"/>
              </w:rPr>
            </w:pPr>
            <w:r w:rsidRPr="00C258AD">
              <w:rPr>
                <w:sz w:val="16"/>
                <w:szCs w:val="16"/>
                <w:lang w:eastAsia="fr-FR"/>
              </w:rPr>
              <w:t>7 539</w:t>
            </w:r>
          </w:p>
        </w:tc>
        <w:tc>
          <w:tcPr>
            <w:tcW w:w="1360" w:type="dxa"/>
            <w:tcBorders>
              <w:top w:val="nil"/>
              <w:left w:val="nil"/>
              <w:bottom w:val="nil"/>
              <w:right w:val="nil"/>
            </w:tcBorders>
            <w:shd w:val="clear" w:color="auto" w:fill="auto"/>
            <w:vAlign w:val="center"/>
            <w:hideMark/>
          </w:tcPr>
          <w:p w:rsidR="006364A5" w:rsidRPr="00C258AD" w:rsidRDefault="006364A5" w:rsidP="006364A5">
            <w:pPr>
              <w:jc w:val="right"/>
              <w:rPr>
                <w:sz w:val="16"/>
                <w:szCs w:val="16"/>
                <w:lang w:eastAsia="fr-FR"/>
              </w:rPr>
            </w:pPr>
            <w:r w:rsidRPr="00C258AD">
              <w:rPr>
                <w:sz w:val="16"/>
                <w:szCs w:val="16"/>
                <w:lang w:eastAsia="fr-FR"/>
              </w:rPr>
              <w:t>6 830</w:t>
            </w:r>
          </w:p>
        </w:tc>
        <w:tc>
          <w:tcPr>
            <w:tcW w:w="1360" w:type="dxa"/>
            <w:tcBorders>
              <w:top w:val="nil"/>
              <w:left w:val="nil"/>
              <w:bottom w:val="nil"/>
              <w:right w:val="single" w:sz="4" w:space="0" w:color="auto"/>
            </w:tcBorders>
            <w:shd w:val="clear" w:color="auto" w:fill="auto"/>
            <w:vAlign w:val="center"/>
            <w:hideMark/>
          </w:tcPr>
          <w:p w:rsidR="006364A5" w:rsidRPr="00C258AD" w:rsidRDefault="006364A5" w:rsidP="006364A5">
            <w:pPr>
              <w:jc w:val="right"/>
              <w:rPr>
                <w:sz w:val="16"/>
                <w:szCs w:val="16"/>
                <w:lang w:eastAsia="fr-FR"/>
              </w:rPr>
            </w:pPr>
            <w:r w:rsidRPr="00C258AD">
              <w:rPr>
                <w:sz w:val="16"/>
                <w:szCs w:val="16"/>
                <w:lang w:eastAsia="fr-FR"/>
              </w:rPr>
              <w:t>6 860</w:t>
            </w:r>
          </w:p>
        </w:tc>
      </w:tr>
      <w:tr w:rsidR="006364A5" w:rsidRPr="00C258AD" w:rsidTr="006364A5">
        <w:trPr>
          <w:cantSplit/>
        </w:trPr>
        <w:tc>
          <w:tcPr>
            <w:tcW w:w="540" w:type="dxa"/>
            <w:tcBorders>
              <w:top w:val="single" w:sz="4" w:space="0" w:color="auto"/>
              <w:left w:val="single" w:sz="4" w:space="0" w:color="auto"/>
              <w:bottom w:val="single" w:sz="4" w:space="0" w:color="auto"/>
              <w:right w:val="nil"/>
            </w:tcBorders>
            <w:shd w:val="clear" w:color="auto" w:fill="C5D9F1"/>
            <w:noWrap/>
            <w:vAlign w:val="bottom"/>
            <w:hideMark/>
          </w:tcPr>
          <w:p w:rsidR="006364A5" w:rsidRPr="00C258AD" w:rsidRDefault="006364A5" w:rsidP="006364A5">
            <w:pPr>
              <w:rPr>
                <w:sz w:val="16"/>
                <w:szCs w:val="16"/>
                <w:lang w:eastAsia="fr-FR"/>
              </w:rPr>
            </w:pPr>
          </w:p>
        </w:tc>
        <w:tc>
          <w:tcPr>
            <w:tcW w:w="4460" w:type="dxa"/>
            <w:tcBorders>
              <w:top w:val="single" w:sz="4" w:space="0" w:color="auto"/>
              <w:left w:val="nil"/>
              <w:bottom w:val="single" w:sz="4" w:space="0" w:color="auto"/>
              <w:right w:val="single" w:sz="4" w:space="0" w:color="auto"/>
            </w:tcBorders>
            <w:shd w:val="clear" w:color="auto" w:fill="C5D9F1"/>
            <w:noWrap/>
            <w:vAlign w:val="bottom"/>
            <w:hideMark/>
          </w:tcPr>
          <w:p w:rsidR="006364A5" w:rsidRPr="00C258AD" w:rsidRDefault="006364A5" w:rsidP="006364A5">
            <w:pPr>
              <w:rPr>
                <w:b/>
                <w:bCs/>
                <w:sz w:val="16"/>
                <w:szCs w:val="16"/>
                <w:lang w:eastAsia="fr-FR"/>
              </w:rPr>
            </w:pPr>
            <w:r w:rsidRPr="00C258AD">
              <w:rPr>
                <w:b/>
                <w:bCs/>
                <w:sz w:val="16"/>
                <w:szCs w:val="16"/>
                <w:lang w:eastAsia="fr-FR"/>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6364A5" w:rsidRPr="00C258AD" w:rsidRDefault="006364A5" w:rsidP="006364A5">
            <w:pPr>
              <w:jc w:val="right"/>
              <w:rPr>
                <w:b/>
                <w:bCs/>
                <w:sz w:val="16"/>
                <w:szCs w:val="16"/>
                <w:lang w:eastAsia="fr-FR"/>
              </w:rPr>
            </w:pPr>
            <w:r w:rsidRPr="00C258AD">
              <w:rPr>
                <w:b/>
                <w:bCs/>
                <w:sz w:val="16"/>
                <w:szCs w:val="16"/>
                <w:lang w:eastAsia="fr-FR"/>
              </w:rPr>
              <w:t>7 539</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6364A5" w:rsidRPr="00C258AD" w:rsidRDefault="006364A5" w:rsidP="006364A5">
            <w:pPr>
              <w:jc w:val="right"/>
              <w:rPr>
                <w:b/>
                <w:bCs/>
                <w:sz w:val="16"/>
                <w:szCs w:val="16"/>
                <w:lang w:eastAsia="fr-FR"/>
              </w:rPr>
            </w:pPr>
            <w:r w:rsidRPr="00C258AD">
              <w:rPr>
                <w:b/>
                <w:bCs/>
                <w:sz w:val="16"/>
                <w:szCs w:val="16"/>
                <w:lang w:eastAsia="fr-FR"/>
              </w:rPr>
              <w:t>6 830</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6364A5" w:rsidRPr="00C258AD" w:rsidRDefault="006364A5" w:rsidP="006364A5">
            <w:pPr>
              <w:jc w:val="right"/>
              <w:rPr>
                <w:b/>
                <w:bCs/>
                <w:sz w:val="16"/>
                <w:szCs w:val="16"/>
                <w:lang w:eastAsia="fr-FR"/>
              </w:rPr>
            </w:pPr>
            <w:r w:rsidRPr="00C258AD">
              <w:rPr>
                <w:b/>
                <w:bCs/>
                <w:sz w:val="16"/>
                <w:szCs w:val="16"/>
                <w:lang w:eastAsia="fr-FR"/>
              </w:rPr>
              <w:t>6 860</w:t>
            </w:r>
          </w:p>
        </w:tc>
      </w:tr>
    </w:tbl>
    <w:p w:rsidR="006364A5" w:rsidRPr="00C258AD" w:rsidRDefault="006364A5" w:rsidP="006364A5">
      <w:pPr>
        <w:rPr>
          <w:sz w:val="18"/>
        </w:rPr>
      </w:pPr>
    </w:p>
    <w:p w:rsidR="006364A5" w:rsidRPr="00C258AD" w:rsidRDefault="006364A5" w:rsidP="006364A5">
      <w:pPr>
        <w:rPr>
          <w:sz w:val="18"/>
        </w:rPr>
      </w:pPr>
    </w:p>
    <w:p w:rsidR="006364A5" w:rsidRPr="00C258AD" w:rsidRDefault="006364A5" w:rsidP="006364A5">
      <w:pPr>
        <w:pStyle w:val="NormalWeb"/>
        <w:keepNext/>
        <w:keepLines/>
        <w:spacing w:before="0" w:beforeAutospacing="0" w:after="0" w:afterAutospacing="0"/>
        <w:jc w:val="center"/>
        <w:rPr>
          <w:sz w:val="20"/>
          <w:szCs w:val="20"/>
        </w:rPr>
      </w:pPr>
      <w:r w:rsidRPr="00C258AD">
        <w:rPr>
          <w:sz w:val="20"/>
          <w:szCs w:val="20"/>
        </w:rPr>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364A5" w:rsidRPr="00C258AD" w:rsidRDefault="006364A5" w:rsidP="006364A5">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6364A5" w:rsidRPr="00C258AD" w:rsidRDefault="006364A5" w:rsidP="006364A5">
      <w:pPr>
        <w:keepNext/>
        <w:jc w:val="center"/>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6364A5" w:rsidRPr="00C258AD" w:rsidTr="006364A5">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6364A5" w:rsidRPr="00C258AD" w:rsidRDefault="006364A5" w:rsidP="006364A5">
            <w:pPr>
              <w:rPr>
                <w:color w:val="000000"/>
                <w:sz w:val="16"/>
                <w:szCs w:val="18"/>
                <w:lang w:eastAsia="fr-FR"/>
              </w:rPr>
            </w:pPr>
            <w:r w:rsidRPr="00C258AD">
              <w:rPr>
                <w:color w:val="000000"/>
                <w:sz w:val="16"/>
                <w:szCs w:val="18"/>
                <w:lang w:eastAsia="fr-FR"/>
              </w:rPr>
              <w:t> </w:t>
            </w:r>
          </w:p>
        </w:tc>
        <w:tc>
          <w:tcPr>
            <w:tcW w:w="1745" w:type="dxa"/>
            <w:tcBorders>
              <w:top w:val="single" w:sz="4" w:space="0" w:color="auto"/>
              <w:left w:val="nil"/>
              <w:bottom w:val="nil"/>
              <w:right w:val="single" w:sz="4" w:space="0" w:color="auto"/>
            </w:tcBorders>
            <w:shd w:val="clear" w:color="auto" w:fill="C5D9F1"/>
            <w:vAlign w:val="center"/>
            <w:hideMark/>
          </w:tcPr>
          <w:p w:rsidR="006364A5" w:rsidRPr="00C258AD" w:rsidRDefault="006364A5" w:rsidP="006364A5">
            <w:pPr>
              <w:jc w:val="center"/>
              <w:rPr>
                <w:b/>
                <w:bCs/>
                <w:color w:val="000000"/>
                <w:sz w:val="16"/>
                <w:szCs w:val="18"/>
                <w:lang w:eastAsia="fr-FR"/>
              </w:rPr>
            </w:pPr>
            <w:r w:rsidRPr="00C258AD">
              <w:rPr>
                <w:b/>
                <w:bCs/>
                <w:color w:val="000000"/>
                <w:sz w:val="16"/>
                <w:szCs w:val="18"/>
                <w:lang w:eastAsia="fr-FR"/>
              </w:rPr>
              <w:t>Budget 2014</w:t>
            </w:r>
            <w:r w:rsidRPr="00C258AD">
              <w:rPr>
                <w:b/>
                <w:bCs/>
                <w:color w:val="000000"/>
                <w:sz w:val="16"/>
                <w:szCs w:val="18"/>
                <w:lang w:eastAsia="fr-FR"/>
              </w:rPr>
              <w:noBreakHyphen/>
              <w:t>2015 approuvé</w:t>
            </w:r>
          </w:p>
        </w:tc>
        <w:tc>
          <w:tcPr>
            <w:tcW w:w="1746" w:type="dxa"/>
            <w:tcBorders>
              <w:top w:val="single" w:sz="4" w:space="0" w:color="auto"/>
              <w:left w:val="nil"/>
              <w:bottom w:val="nil"/>
              <w:right w:val="single" w:sz="4" w:space="0" w:color="auto"/>
            </w:tcBorders>
            <w:shd w:val="clear" w:color="auto" w:fill="C5D9F1"/>
            <w:vAlign w:val="center"/>
            <w:hideMark/>
          </w:tcPr>
          <w:p w:rsidR="006364A5" w:rsidRPr="00C258AD" w:rsidRDefault="006364A5" w:rsidP="006364A5">
            <w:pPr>
              <w:jc w:val="center"/>
              <w:rPr>
                <w:b/>
                <w:bCs/>
                <w:color w:val="000000"/>
                <w:sz w:val="16"/>
                <w:szCs w:val="18"/>
                <w:lang w:eastAsia="fr-FR"/>
              </w:rPr>
            </w:pPr>
            <w:r w:rsidRPr="00C258AD">
              <w:rPr>
                <w:b/>
                <w:bCs/>
                <w:color w:val="000000"/>
                <w:sz w:val="16"/>
                <w:szCs w:val="18"/>
                <w:lang w:eastAsia="fr-FR"/>
              </w:rPr>
              <w:t>Budget final 2014</w:t>
            </w:r>
            <w:r w:rsidRPr="00C258AD">
              <w:rPr>
                <w:b/>
                <w:bCs/>
                <w:color w:val="000000"/>
                <w:sz w:val="16"/>
                <w:szCs w:val="18"/>
                <w:lang w:eastAsia="fr-FR"/>
              </w:rPr>
              <w:noBreakHyphen/>
              <w:t>2015</w:t>
            </w:r>
            <w:r w:rsidRPr="00C258AD">
              <w:rPr>
                <w:b/>
                <w:bCs/>
                <w:color w:val="000000"/>
                <w:sz w:val="16"/>
                <w:szCs w:val="18"/>
                <w:lang w:eastAsia="fr-FR"/>
              </w:rPr>
              <w:br/>
              <w:t>après virements</w:t>
            </w:r>
          </w:p>
        </w:tc>
        <w:tc>
          <w:tcPr>
            <w:tcW w:w="1745" w:type="dxa"/>
            <w:tcBorders>
              <w:top w:val="single" w:sz="4" w:space="0" w:color="auto"/>
              <w:left w:val="nil"/>
              <w:bottom w:val="nil"/>
              <w:right w:val="single" w:sz="4" w:space="0" w:color="auto"/>
            </w:tcBorders>
            <w:shd w:val="clear" w:color="auto" w:fill="C5D9F1"/>
            <w:vAlign w:val="center"/>
            <w:hideMark/>
          </w:tcPr>
          <w:p w:rsidR="006364A5" w:rsidRPr="00C258AD" w:rsidRDefault="006364A5" w:rsidP="006364A5">
            <w:pPr>
              <w:jc w:val="center"/>
              <w:rPr>
                <w:b/>
                <w:bCs/>
                <w:color w:val="000000"/>
                <w:sz w:val="16"/>
                <w:szCs w:val="18"/>
                <w:lang w:eastAsia="fr-FR"/>
              </w:rPr>
            </w:pPr>
            <w:r w:rsidRPr="00C258AD">
              <w:rPr>
                <w:b/>
                <w:bCs/>
                <w:color w:val="000000"/>
                <w:sz w:val="16"/>
                <w:szCs w:val="18"/>
                <w:lang w:eastAsia="fr-FR"/>
              </w:rPr>
              <w:t xml:space="preserve">Dépenses </w:t>
            </w:r>
            <w:r w:rsidRPr="00C258AD">
              <w:rPr>
                <w:b/>
                <w:bCs/>
                <w:color w:val="000000"/>
                <w:sz w:val="16"/>
                <w:szCs w:val="18"/>
                <w:lang w:eastAsia="fr-FR"/>
              </w:rPr>
              <w:br/>
              <w:t>2014</w:t>
            </w:r>
            <w:r w:rsidRPr="00C258AD">
              <w:rPr>
                <w:b/>
                <w:bCs/>
                <w:color w:val="000000"/>
                <w:sz w:val="16"/>
                <w:szCs w:val="18"/>
                <w:lang w:eastAsia="fr-FR"/>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6364A5" w:rsidRPr="00C258AD" w:rsidRDefault="006364A5" w:rsidP="006364A5">
            <w:pPr>
              <w:jc w:val="center"/>
              <w:rPr>
                <w:b/>
                <w:bCs/>
                <w:color w:val="000000"/>
                <w:sz w:val="16"/>
                <w:szCs w:val="18"/>
                <w:lang w:eastAsia="fr-FR"/>
              </w:rPr>
            </w:pPr>
            <w:r w:rsidRPr="00C258AD">
              <w:rPr>
                <w:b/>
                <w:bCs/>
                <w:color w:val="000000"/>
                <w:sz w:val="16"/>
                <w:szCs w:val="18"/>
                <w:lang w:eastAsia="fr-FR"/>
              </w:rPr>
              <w:t>Taux d’utilisation (%)</w:t>
            </w:r>
          </w:p>
        </w:tc>
      </w:tr>
      <w:tr w:rsidR="006364A5" w:rsidRPr="00C258AD" w:rsidTr="006364A5">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6364A5" w:rsidRPr="00C258AD" w:rsidRDefault="006364A5" w:rsidP="006364A5">
            <w:pPr>
              <w:rPr>
                <w:color w:val="000000"/>
                <w:sz w:val="16"/>
                <w:szCs w:val="18"/>
                <w:lang w:eastAsia="fr-FR"/>
              </w:rPr>
            </w:pPr>
            <w:r w:rsidRPr="00C258AD">
              <w:rPr>
                <w:color w:val="000000"/>
                <w:sz w:val="16"/>
                <w:szCs w:val="18"/>
                <w:lang w:eastAsia="fr-FR"/>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6364A5" w:rsidRPr="00C258AD" w:rsidRDefault="006364A5" w:rsidP="006364A5">
            <w:pPr>
              <w:jc w:val="center"/>
              <w:rPr>
                <w:color w:val="000000"/>
                <w:sz w:val="16"/>
                <w:szCs w:val="18"/>
                <w:lang w:eastAsia="fr-FR"/>
              </w:rPr>
            </w:pPr>
            <w:r w:rsidRPr="00C258AD">
              <w:rPr>
                <w:color w:val="000000"/>
                <w:sz w:val="16"/>
                <w:szCs w:val="18"/>
                <w:lang w:eastAsia="fr-FR"/>
              </w:rPr>
              <w:t>6 585</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6364A5" w:rsidRPr="00C258AD" w:rsidRDefault="006364A5" w:rsidP="006364A5">
            <w:pPr>
              <w:jc w:val="center"/>
              <w:rPr>
                <w:color w:val="000000"/>
                <w:sz w:val="16"/>
                <w:szCs w:val="18"/>
                <w:lang w:eastAsia="fr-FR"/>
              </w:rPr>
            </w:pPr>
            <w:r w:rsidRPr="00C258AD">
              <w:rPr>
                <w:color w:val="000000"/>
                <w:sz w:val="16"/>
                <w:szCs w:val="18"/>
                <w:lang w:eastAsia="fr-FR"/>
              </w:rPr>
              <w:t>5 941</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6364A5" w:rsidRPr="00C258AD" w:rsidRDefault="006364A5" w:rsidP="006364A5">
            <w:pPr>
              <w:jc w:val="center"/>
              <w:rPr>
                <w:color w:val="000000"/>
                <w:sz w:val="16"/>
                <w:szCs w:val="18"/>
                <w:lang w:eastAsia="fr-FR"/>
              </w:rPr>
            </w:pPr>
            <w:r w:rsidRPr="00C258AD">
              <w:rPr>
                <w:color w:val="000000"/>
                <w:sz w:val="16"/>
                <w:szCs w:val="18"/>
                <w:lang w:eastAsia="fr-FR"/>
              </w:rPr>
              <w:t>5 993</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6364A5" w:rsidRPr="00C258AD" w:rsidRDefault="006364A5" w:rsidP="006364A5">
            <w:pPr>
              <w:jc w:val="center"/>
              <w:rPr>
                <w:color w:val="000000"/>
                <w:sz w:val="16"/>
                <w:szCs w:val="18"/>
                <w:lang w:eastAsia="fr-FR"/>
              </w:rPr>
            </w:pPr>
            <w:r w:rsidRPr="00C258AD">
              <w:rPr>
                <w:color w:val="000000"/>
                <w:sz w:val="16"/>
                <w:szCs w:val="18"/>
                <w:lang w:eastAsia="fr-FR"/>
              </w:rPr>
              <w:t>101%</w:t>
            </w:r>
          </w:p>
        </w:tc>
      </w:tr>
      <w:tr w:rsidR="006364A5" w:rsidRPr="00C258AD" w:rsidTr="006364A5">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6364A5" w:rsidRPr="00C258AD" w:rsidRDefault="006364A5" w:rsidP="006364A5">
            <w:pPr>
              <w:rPr>
                <w:color w:val="000000"/>
                <w:sz w:val="16"/>
                <w:szCs w:val="18"/>
                <w:lang w:eastAsia="fr-FR"/>
              </w:rPr>
            </w:pPr>
            <w:r w:rsidRPr="00C258AD">
              <w:rPr>
                <w:color w:val="000000"/>
                <w:sz w:val="16"/>
                <w:szCs w:val="18"/>
                <w:lang w:eastAsia="fr-FR"/>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6364A5" w:rsidRPr="00C258AD" w:rsidRDefault="006364A5" w:rsidP="006364A5">
            <w:pPr>
              <w:jc w:val="center"/>
              <w:rPr>
                <w:color w:val="000000"/>
                <w:sz w:val="16"/>
                <w:szCs w:val="18"/>
                <w:lang w:eastAsia="fr-FR"/>
              </w:rPr>
            </w:pPr>
            <w:r w:rsidRPr="00C258AD">
              <w:rPr>
                <w:color w:val="000000"/>
                <w:sz w:val="16"/>
                <w:szCs w:val="18"/>
                <w:lang w:eastAsia="fr-FR"/>
              </w:rPr>
              <w:t>954</w:t>
            </w:r>
          </w:p>
        </w:tc>
        <w:tc>
          <w:tcPr>
            <w:tcW w:w="1746" w:type="dxa"/>
            <w:tcBorders>
              <w:top w:val="nil"/>
              <w:left w:val="nil"/>
              <w:bottom w:val="single" w:sz="4" w:space="0" w:color="auto"/>
              <w:right w:val="single" w:sz="4" w:space="0" w:color="auto"/>
            </w:tcBorders>
            <w:shd w:val="clear" w:color="auto" w:fill="auto"/>
            <w:vAlign w:val="center"/>
            <w:hideMark/>
          </w:tcPr>
          <w:p w:rsidR="006364A5" w:rsidRPr="00C258AD" w:rsidRDefault="006364A5" w:rsidP="006364A5">
            <w:pPr>
              <w:jc w:val="center"/>
              <w:rPr>
                <w:color w:val="000000"/>
                <w:sz w:val="16"/>
                <w:szCs w:val="18"/>
                <w:lang w:eastAsia="fr-FR"/>
              </w:rPr>
            </w:pPr>
            <w:r w:rsidRPr="00C258AD">
              <w:rPr>
                <w:color w:val="000000"/>
                <w:sz w:val="16"/>
                <w:szCs w:val="18"/>
                <w:lang w:eastAsia="fr-FR"/>
              </w:rPr>
              <w:t>890</w:t>
            </w:r>
          </w:p>
        </w:tc>
        <w:tc>
          <w:tcPr>
            <w:tcW w:w="1745" w:type="dxa"/>
            <w:tcBorders>
              <w:top w:val="nil"/>
              <w:left w:val="nil"/>
              <w:bottom w:val="single" w:sz="4" w:space="0" w:color="auto"/>
              <w:right w:val="single" w:sz="4" w:space="0" w:color="auto"/>
            </w:tcBorders>
            <w:shd w:val="clear" w:color="auto" w:fill="auto"/>
            <w:vAlign w:val="center"/>
            <w:hideMark/>
          </w:tcPr>
          <w:p w:rsidR="006364A5" w:rsidRPr="00C258AD" w:rsidRDefault="006364A5" w:rsidP="006364A5">
            <w:pPr>
              <w:jc w:val="center"/>
              <w:rPr>
                <w:color w:val="000000"/>
                <w:sz w:val="16"/>
                <w:szCs w:val="18"/>
                <w:lang w:eastAsia="fr-FR"/>
              </w:rPr>
            </w:pPr>
            <w:r w:rsidRPr="00C258AD">
              <w:rPr>
                <w:color w:val="000000"/>
                <w:sz w:val="16"/>
                <w:szCs w:val="18"/>
                <w:lang w:eastAsia="fr-FR"/>
              </w:rPr>
              <w:t>867</w:t>
            </w:r>
          </w:p>
        </w:tc>
        <w:tc>
          <w:tcPr>
            <w:tcW w:w="1746" w:type="dxa"/>
            <w:tcBorders>
              <w:top w:val="nil"/>
              <w:left w:val="nil"/>
              <w:bottom w:val="single" w:sz="4" w:space="0" w:color="auto"/>
              <w:right w:val="single" w:sz="4" w:space="0" w:color="auto"/>
            </w:tcBorders>
            <w:shd w:val="clear" w:color="auto" w:fill="auto"/>
            <w:vAlign w:val="center"/>
            <w:hideMark/>
          </w:tcPr>
          <w:p w:rsidR="006364A5" w:rsidRPr="00C258AD" w:rsidRDefault="006364A5" w:rsidP="006364A5">
            <w:pPr>
              <w:jc w:val="center"/>
              <w:rPr>
                <w:color w:val="000000"/>
                <w:sz w:val="16"/>
                <w:szCs w:val="18"/>
                <w:lang w:eastAsia="fr-FR"/>
              </w:rPr>
            </w:pPr>
            <w:r w:rsidRPr="00C258AD">
              <w:rPr>
                <w:color w:val="000000"/>
                <w:sz w:val="16"/>
                <w:szCs w:val="18"/>
                <w:lang w:eastAsia="fr-FR"/>
              </w:rPr>
              <w:t>97%</w:t>
            </w:r>
          </w:p>
        </w:tc>
      </w:tr>
      <w:tr w:rsidR="006364A5" w:rsidRPr="00C258AD" w:rsidTr="006364A5">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6364A5" w:rsidRPr="00C258AD" w:rsidRDefault="006364A5" w:rsidP="006364A5">
            <w:pPr>
              <w:rPr>
                <w:b/>
                <w:bCs/>
                <w:color w:val="000000"/>
                <w:sz w:val="16"/>
                <w:szCs w:val="18"/>
                <w:lang w:eastAsia="fr-FR"/>
              </w:rPr>
            </w:pPr>
            <w:r w:rsidRPr="00C258AD">
              <w:rPr>
                <w:b/>
                <w:bCs/>
                <w:color w:val="000000"/>
                <w:sz w:val="16"/>
                <w:szCs w:val="18"/>
                <w:lang w:eastAsia="fr-FR"/>
              </w:rPr>
              <w:t>TOTAL</w:t>
            </w:r>
          </w:p>
        </w:tc>
        <w:tc>
          <w:tcPr>
            <w:tcW w:w="1745" w:type="dxa"/>
            <w:tcBorders>
              <w:top w:val="nil"/>
              <w:left w:val="nil"/>
              <w:bottom w:val="single" w:sz="4" w:space="0" w:color="auto"/>
              <w:right w:val="single" w:sz="4" w:space="0" w:color="auto"/>
            </w:tcBorders>
            <w:shd w:val="clear" w:color="auto" w:fill="auto"/>
            <w:vAlign w:val="center"/>
            <w:hideMark/>
          </w:tcPr>
          <w:p w:rsidR="006364A5" w:rsidRPr="00C258AD" w:rsidRDefault="006364A5" w:rsidP="006364A5">
            <w:pPr>
              <w:jc w:val="center"/>
              <w:rPr>
                <w:b/>
                <w:bCs/>
                <w:color w:val="000000"/>
                <w:sz w:val="16"/>
                <w:szCs w:val="18"/>
                <w:lang w:eastAsia="fr-FR"/>
              </w:rPr>
            </w:pPr>
            <w:r w:rsidRPr="00C258AD">
              <w:rPr>
                <w:b/>
                <w:bCs/>
                <w:color w:val="000000"/>
                <w:sz w:val="16"/>
                <w:szCs w:val="18"/>
                <w:lang w:eastAsia="fr-FR"/>
              </w:rPr>
              <w:t>7 539</w:t>
            </w:r>
          </w:p>
        </w:tc>
        <w:tc>
          <w:tcPr>
            <w:tcW w:w="1746" w:type="dxa"/>
            <w:tcBorders>
              <w:top w:val="nil"/>
              <w:left w:val="nil"/>
              <w:bottom w:val="single" w:sz="4" w:space="0" w:color="auto"/>
              <w:right w:val="single" w:sz="4" w:space="0" w:color="auto"/>
            </w:tcBorders>
            <w:shd w:val="clear" w:color="auto" w:fill="auto"/>
            <w:vAlign w:val="center"/>
            <w:hideMark/>
          </w:tcPr>
          <w:p w:rsidR="006364A5" w:rsidRPr="00C258AD" w:rsidRDefault="006364A5" w:rsidP="006364A5">
            <w:pPr>
              <w:jc w:val="center"/>
              <w:rPr>
                <w:b/>
                <w:bCs/>
                <w:color w:val="000000"/>
                <w:sz w:val="16"/>
                <w:szCs w:val="18"/>
                <w:lang w:eastAsia="fr-FR"/>
              </w:rPr>
            </w:pPr>
            <w:r w:rsidRPr="00C258AD">
              <w:rPr>
                <w:b/>
                <w:bCs/>
                <w:color w:val="000000"/>
                <w:sz w:val="16"/>
                <w:szCs w:val="18"/>
                <w:lang w:eastAsia="fr-FR"/>
              </w:rPr>
              <w:t>6 830</w:t>
            </w:r>
          </w:p>
        </w:tc>
        <w:tc>
          <w:tcPr>
            <w:tcW w:w="1745" w:type="dxa"/>
            <w:tcBorders>
              <w:top w:val="nil"/>
              <w:left w:val="nil"/>
              <w:bottom w:val="single" w:sz="4" w:space="0" w:color="auto"/>
              <w:right w:val="single" w:sz="4" w:space="0" w:color="auto"/>
            </w:tcBorders>
            <w:shd w:val="clear" w:color="auto" w:fill="auto"/>
            <w:vAlign w:val="center"/>
            <w:hideMark/>
          </w:tcPr>
          <w:p w:rsidR="006364A5" w:rsidRPr="00C258AD" w:rsidRDefault="006364A5" w:rsidP="006364A5">
            <w:pPr>
              <w:jc w:val="center"/>
              <w:rPr>
                <w:b/>
                <w:bCs/>
                <w:color w:val="000000"/>
                <w:sz w:val="16"/>
                <w:szCs w:val="18"/>
                <w:lang w:eastAsia="fr-FR"/>
              </w:rPr>
            </w:pPr>
            <w:r w:rsidRPr="00C258AD">
              <w:rPr>
                <w:b/>
                <w:bCs/>
                <w:color w:val="000000"/>
                <w:sz w:val="16"/>
                <w:szCs w:val="18"/>
                <w:lang w:eastAsia="fr-FR"/>
              </w:rPr>
              <w:t>6 860</w:t>
            </w:r>
          </w:p>
        </w:tc>
        <w:tc>
          <w:tcPr>
            <w:tcW w:w="1746" w:type="dxa"/>
            <w:tcBorders>
              <w:top w:val="nil"/>
              <w:left w:val="nil"/>
              <w:bottom w:val="single" w:sz="4" w:space="0" w:color="auto"/>
              <w:right w:val="single" w:sz="4" w:space="0" w:color="auto"/>
            </w:tcBorders>
            <w:shd w:val="clear" w:color="auto" w:fill="auto"/>
            <w:vAlign w:val="center"/>
            <w:hideMark/>
          </w:tcPr>
          <w:p w:rsidR="006364A5" w:rsidRPr="00C258AD" w:rsidRDefault="006364A5" w:rsidP="006364A5">
            <w:pPr>
              <w:jc w:val="center"/>
              <w:rPr>
                <w:b/>
                <w:bCs/>
                <w:color w:val="000000"/>
                <w:sz w:val="16"/>
                <w:szCs w:val="18"/>
                <w:lang w:eastAsia="fr-FR"/>
              </w:rPr>
            </w:pPr>
            <w:r w:rsidRPr="00C258AD">
              <w:rPr>
                <w:b/>
                <w:bCs/>
                <w:color w:val="000000"/>
                <w:sz w:val="16"/>
                <w:szCs w:val="18"/>
                <w:lang w:eastAsia="fr-FR"/>
              </w:rPr>
              <w:t>100%</w:t>
            </w:r>
          </w:p>
        </w:tc>
      </w:tr>
    </w:tbl>
    <w:p w:rsidR="00817FBA" w:rsidRPr="00C258AD" w:rsidRDefault="00817FBA">
      <w:pPr>
        <w:spacing w:after="200" w:line="276" w:lineRule="auto"/>
      </w:pPr>
      <w:r w:rsidRPr="00C258AD">
        <w:br w:type="page"/>
      </w:r>
    </w:p>
    <w:p w:rsidR="006364A5" w:rsidRPr="00C258AD" w:rsidRDefault="006364A5" w:rsidP="006364A5">
      <w:pPr>
        <w:rPr>
          <w:u w:val="single"/>
        </w:rPr>
      </w:pPr>
      <w:r w:rsidRPr="00C258AD">
        <w:lastRenderedPageBreak/>
        <w:t>A.</w:t>
      </w:r>
      <w:r w:rsidRPr="00C258AD">
        <w:tab/>
      </w:r>
      <w:r w:rsidRPr="00C258AD">
        <w:rPr>
          <w:u w:val="single"/>
        </w:rPr>
        <w:t>Budget final 2014</w:t>
      </w:r>
      <w:r w:rsidRPr="00C258AD">
        <w:rPr>
          <w:u w:val="single"/>
        </w:rPr>
        <w:noBreakHyphen/>
        <w:t>2015 après virements</w:t>
      </w:r>
    </w:p>
    <w:p w:rsidR="006364A5" w:rsidRPr="00C258AD" w:rsidRDefault="006364A5" w:rsidP="006364A5">
      <w:pPr>
        <w:rPr>
          <w:u w:val="single"/>
        </w:rPr>
      </w:pPr>
    </w:p>
    <w:p w:rsidR="006364A5" w:rsidRPr="00C258AD" w:rsidRDefault="006364A5" w:rsidP="006364A5">
      <w:pPr>
        <w:pStyle w:val="ListParagraph"/>
        <w:numPr>
          <w:ilvl w:val="0"/>
          <w:numId w:val="0"/>
        </w:numPr>
        <w:tabs>
          <w:tab w:val="left" w:pos="0"/>
          <w:tab w:val="left" w:pos="709"/>
        </w:tabs>
        <w:rPr>
          <w:lang w:eastAsia="ko-KR"/>
        </w:rPr>
      </w:pPr>
      <w:r w:rsidRPr="00C258AD">
        <w:rPr>
          <w:lang w:eastAsia="ko-KR"/>
        </w:rPr>
        <w:t>14.9</w:t>
      </w:r>
      <w:r w:rsidRPr="00C258AD">
        <w:rPr>
          <w:lang w:eastAsia="ko-KR"/>
        </w:rPr>
        <w:tab/>
        <w:t xml:space="preserve">La </w:t>
      </w:r>
      <w:r w:rsidRPr="00C258AD">
        <w:t>diminution</w:t>
      </w:r>
      <w:r w:rsidRPr="00C258AD">
        <w:rPr>
          <w:lang w:eastAsia="ko-KR"/>
        </w:rPr>
        <w:t xml:space="preserve"> globale du budget final 2014</w:t>
      </w:r>
      <w:r w:rsidRPr="00C258AD">
        <w:rPr>
          <w:lang w:eastAsia="ko-KR"/>
        </w:rPr>
        <w:noBreakHyphen/>
        <w:t xml:space="preserve">2015 après virements (dépenses de personnel) est essentiellement le résultat net de la régularisation des fonctions permanentes, d’une part, et du redéploiement </w:t>
      </w:r>
      <w:r w:rsidRPr="00C258AD">
        <w:rPr>
          <w:rFonts w:cs="Arial"/>
          <w:bCs/>
        </w:rPr>
        <w:t>de postes d’appui au sein du Bureau de l’OMPI en Chine (programme 20) et pour l’appui aux PME et à la création d’entreprises (programme 30)</w:t>
      </w:r>
      <w:r w:rsidRPr="00C258AD">
        <w:rPr>
          <w:lang w:eastAsia="ko-KR"/>
        </w:rPr>
        <w:t>, d’autre part.</w:t>
      </w:r>
    </w:p>
    <w:p w:rsidR="006364A5" w:rsidRPr="00C258AD" w:rsidRDefault="006364A5" w:rsidP="006364A5">
      <w:pPr>
        <w:autoSpaceDE w:val="0"/>
        <w:autoSpaceDN w:val="0"/>
        <w:rPr>
          <w:lang w:eastAsia="ko-KR"/>
        </w:rPr>
      </w:pPr>
    </w:p>
    <w:p w:rsidR="006364A5" w:rsidRPr="00C258AD" w:rsidRDefault="006364A5" w:rsidP="006364A5">
      <w:pPr>
        <w:tabs>
          <w:tab w:val="left" w:pos="0"/>
          <w:tab w:val="left" w:pos="709"/>
        </w:tabs>
        <w:rPr>
          <w:lang w:eastAsia="ko-KR"/>
        </w:rPr>
      </w:pPr>
      <w:r w:rsidRPr="00C258AD">
        <w:rPr>
          <w:rFonts w:cs="Arial"/>
          <w:bCs/>
        </w:rPr>
        <w:t>14.10</w:t>
      </w:r>
      <w:r w:rsidRPr="00C258AD">
        <w:rPr>
          <w:rFonts w:cs="Arial"/>
          <w:bCs/>
        </w:rPr>
        <w:tab/>
      </w:r>
      <w:r w:rsidRPr="00C258AD">
        <w:rPr>
          <w:lang w:eastAsia="ko-KR"/>
        </w:rPr>
        <w:t xml:space="preserve">La </w:t>
      </w:r>
      <w:r w:rsidRPr="00C258AD">
        <w:t>diminution</w:t>
      </w:r>
      <w:r w:rsidRPr="00C258AD">
        <w:rPr>
          <w:lang w:eastAsia="ko-KR"/>
        </w:rPr>
        <w:t xml:space="preserve"> </w:t>
      </w:r>
      <w:r w:rsidRPr="00C258AD">
        <w:rPr>
          <w:rFonts w:cs="Arial"/>
          <w:bCs/>
        </w:rPr>
        <w:t xml:space="preserve">des autres ressources </w:t>
      </w:r>
      <w:proofErr w:type="gramStart"/>
      <w:r w:rsidRPr="00C258AD">
        <w:rPr>
          <w:rFonts w:cs="Arial"/>
          <w:bCs/>
        </w:rPr>
        <w:t>témoigne</w:t>
      </w:r>
      <w:proofErr w:type="gramEnd"/>
      <w:r w:rsidRPr="00C258AD">
        <w:rPr>
          <w:rFonts w:cs="Arial"/>
          <w:bCs/>
        </w:rPr>
        <w:t xml:space="preserve"> avant tout du transfert de ressources au programme 13 (Bases de données mondiales), pour l’intégration dans PATENTSCOPE de nouvelles capacités de recherche dans le secteur de la chimie, et au programme 12 (Classifications internationales et normes de l’OMPI), pour financer des coûts plus élevés que prévu liés au développement et à l’hébergement du logiciel de reclassement de la CIB.</w:t>
      </w:r>
    </w:p>
    <w:p w:rsidR="006364A5" w:rsidRPr="00C258AD" w:rsidRDefault="006364A5" w:rsidP="006364A5">
      <w:pPr>
        <w:autoSpaceDE w:val="0"/>
        <w:autoSpaceDN w:val="0"/>
        <w:rPr>
          <w:lang w:eastAsia="ko-KR"/>
        </w:rPr>
      </w:pPr>
    </w:p>
    <w:p w:rsidR="006364A5" w:rsidRPr="00C258AD" w:rsidRDefault="006364A5" w:rsidP="006364A5">
      <w:pPr>
        <w:autoSpaceDE w:val="0"/>
        <w:autoSpaceDN w:val="0"/>
        <w:rPr>
          <w:lang w:eastAsia="ko-KR"/>
        </w:rPr>
      </w:pPr>
    </w:p>
    <w:p w:rsidR="006364A5" w:rsidRPr="00C258AD" w:rsidRDefault="006364A5" w:rsidP="006364A5">
      <w:pPr>
        <w:rPr>
          <w:u w:val="single"/>
          <w:lang w:eastAsia="ko-KR"/>
        </w:rPr>
      </w:pPr>
      <w:r w:rsidRPr="00C258AD">
        <w:rPr>
          <w:lang w:eastAsia="ko-KR"/>
        </w:rPr>
        <w:t>B.</w:t>
      </w:r>
      <w:r w:rsidRPr="00C258AD">
        <w:rPr>
          <w:lang w:eastAsia="ko-KR"/>
        </w:rPr>
        <w:tab/>
      </w:r>
      <w:r w:rsidRPr="00C258AD">
        <w:rPr>
          <w:u w:val="single"/>
          <w:lang w:eastAsia="ko-KR"/>
        </w:rPr>
        <w:t>Utilisation du budget en 2014</w:t>
      </w:r>
      <w:r w:rsidRPr="00C258AD">
        <w:rPr>
          <w:u w:val="single"/>
          <w:lang w:eastAsia="ko-KR"/>
        </w:rPr>
        <w:noBreakHyphen/>
        <w:t>2015</w:t>
      </w:r>
    </w:p>
    <w:p w:rsidR="006364A5" w:rsidRPr="00C258AD" w:rsidRDefault="006364A5" w:rsidP="006364A5">
      <w:pPr>
        <w:rPr>
          <w:u w:val="single"/>
          <w:lang w:eastAsia="ko-KR"/>
        </w:rPr>
      </w:pPr>
    </w:p>
    <w:p w:rsidR="006364A5" w:rsidRPr="00C258AD" w:rsidRDefault="00817FBA" w:rsidP="00817FBA">
      <w:pPr>
        <w:tabs>
          <w:tab w:val="left" w:pos="0"/>
          <w:tab w:val="left" w:pos="709"/>
        </w:tabs>
        <w:rPr>
          <w:u w:val="single"/>
          <w:lang w:eastAsia="ko-KR"/>
        </w:rPr>
      </w:pPr>
      <w:r w:rsidRPr="00C258AD">
        <w:rPr>
          <w:rFonts w:cs="Arial"/>
          <w:bCs/>
        </w:rPr>
        <w:t>14.11</w:t>
      </w:r>
      <w:r w:rsidRPr="00C258AD">
        <w:rPr>
          <w:rFonts w:cs="Arial"/>
          <w:bCs/>
        </w:rPr>
        <w:tab/>
      </w:r>
      <w:r w:rsidR="006364A5" w:rsidRPr="00C258AD">
        <w:rPr>
          <w:rFonts w:cs="Arial"/>
          <w:bCs/>
        </w:rPr>
        <w:t>L’utilisation</w:t>
      </w:r>
      <w:r w:rsidR="006364A5" w:rsidRPr="00C258AD">
        <w:rPr>
          <w:lang w:eastAsia="ko-KR"/>
        </w:rPr>
        <w:t xml:space="preserve"> du budget se situe dans la fourchette escomptée pour l’exercice biennal.</w:t>
      </w:r>
    </w:p>
    <w:p w:rsidR="006E2BB1" w:rsidRPr="00C258AD" w:rsidRDefault="006E2BB1" w:rsidP="00305CE5">
      <w:pPr>
        <w:pStyle w:val="Heading3"/>
        <w:rPr>
          <w:lang w:eastAsia="ko-KR"/>
        </w:rPr>
      </w:pPr>
    </w:p>
    <w:p w:rsidR="006E2BB1" w:rsidRPr="00C258AD" w:rsidRDefault="002D4597">
      <w:pPr>
        <w:spacing w:after="200" w:line="276" w:lineRule="auto"/>
        <w:rPr>
          <w:lang w:eastAsia="ko-KR"/>
        </w:rPr>
      </w:pPr>
      <w:r w:rsidRPr="00C258AD">
        <w:rPr>
          <w:lang w:eastAsia="ko-KR"/>
        </w:rPr>
        <w:br w:type="page"/>
      </w:r>
    </w:p>
    <w:p w:rsidR="006E2BB1" w:rsidRPr="00C258AD" w:rsidRDefault="002D4597" w:rsidP="00305CE5">
      <w:pPr>
        <w:pStyle w:val="Heading3"/>
      </w:pPr>
      <w:bookmarkStart w:id="122" w:name="_Toc422404236"/>
      <w:bookmarkStart w:id="123" w:name="_Toc423352884"/>
      <w:bookmarkStart w:id="124" w:name="_Toc455394197"/>
      <w:r w:rsidRPr="00C258AD">
        <w:lastRenderedPageBreak/>
        <w:t>Programme 15</w:t>
      </w:r>
      <w:r w:rsidRPr="00C258AD">
        <w:tab/>
        <w:t>Solutions opérationnelles pour les offices de propriété intellectuelle</w:t>
      </w:r>
      <w:bookmarkEnd w:id="122"/>
      <w:bookmarkEnd w:id="123"/>
      <w:bookmarkEnd w:id="124"/>
    </w:p>
    <w:p w:rsidR="006E2BB1" w:rsidRPr="00C258AD" w:rsidRDefault="006E2BB1" w:rsidP="00C9182C"/>
    <w:p w:rsidR="006E2BB1" w:rsidRPr="00C258AD" w:rsidRDefault="002D4597" w:rsidP="00C9182C">
      <w:pPr>
        <w:rPr>
          <w:b/>
        </w:rPr>
      </w:pPr>
      <w:r w:rsidRPr="00C258AD">
        <w:rPr>
          <w:b/>
        </w:rPr>
        <w:t>Chef de programme</w:t>
      </w:r>
      <w:r w:rsidRPr="00C258AD">
        <w:rPr>
          <w:b/>
        </w:rPr>
        <w:tab/>
        <w:t>M. Y. Takagi</w:t>
      </w:r>
    </w:p>
    <w:p w:rsidR="006E2BB1" w:rsidRPr="00C258AD" w:rsidRDefault="006E2BB1" w:rsidP="00C9182C"/>
    <w:p w:rsidR="006E2BB1" w:rsidRPr="00C258AD" w:rsidRDefault="006E2BB1" w:rsidP="00C9182C"/>
    <w:p w:rsidR="006E2BB1" w:rsidRPr="00C258AD" w:rsidRDefault="00BA0AED" w:rsidP="00305CE5">
      <w:pPr>
        <w:keepNext/>
        <w:rPr>
          <w:rFonts w:cs="Arial"/>
          <w:caps/>
          <w:sz w:val="22"/>
          <w:szCs w:val="22"/>
        </w:rPr>
      </w:pPr>
      <w:r w:rsidRPr="00C258AD">
        <w:rPr>
          <w:rFonts w:cs="Arial"/>
          <w:caps/>
          <w:sz w:val="22"/>
          <w:szCs w:val="22"/>
        </w:rPr>
        <w:t>Réalisations au cours de l’exercice biennal 2014-2015</w:t>
      </w:r>
    </w:p>
    <w:p w:rsidR="006E2BB1" w:rsidRPr="00C258AD" w:rsidRDefault="006E2BB1" w:rsidP="00C9182C">
      <w:pPr>
        <w:jc w:val="both"/>
      </w:pPr>
    </w:p>
    <w:p w:rsidR="006E2BB1" w:rsidRPr="00C258AD" w:rsidRDefault="002D4597" w:rsidP="00BB4DBC">
      <w:pPr>
        <w:pStyle w:val="ListParagraph"/>
        <w:numPr>
          <w:ilvl w:val="0"/>
          <w:numId w:val="18"/>
        </w:numPr>
        <w:tabs>
          <w:tab w:val="left" w:pos="709"/>
        </w:tabs>
        <w:ind w:left="0" w:firstLine="0"/>
        <w:jc w:val="both"/>
      </w:pPr>
      <w:r w:rsidRPr="00C258AD">
        <w:t>L’exercice biennal 2014</w:t>
      </w:r>
      <w:r w:rsidRPr="00C258AD">
        <w:noBreakHyphen/>
        <w:t>2015 a vu une augmentation de la demande d’assistance technique par les offices de propriété intellectuelle, tant pour ce qui est du nombre d’offices sollicitant une assistance que pour ce qui est du type d’assistance sollicitée, notamment en ce qui concerne la gestion électronique des documents, le dépôt en ligne et la publication en ligne.</w:t>
      </w:r>
    </w:p>
    <w:p w:rsidR="006E2BB1" w:rsidRPr="00C258AD" w:rsidRDefault="006E2BB1" w:rsidP="00C9182C">
      <w:pPr>
        <w:tabs>
          <w:tab w:val="left" w:pos="709"/>
        </w:tabs>
        <w:jc w:val="both"/>
      </w:pPr>
    </w:p>
    <w:p w:rsidR="006E2BB1" w:rsidRPr="00C258AD" w:rsidRDefault="002D4597" w:rsidP="00BB4DBC">
      <w:pPr>
        <w:pStyle w:val="ListParagraph"/>
        <w:numPr>
          <w:ilvl w:val="0"/>
          <w:numId w:val="18"/>
        </w:numPr>
        <w:tabs>
          <w:tab w:val="left" w:pos="709"/>
        </w:tabs>
        <w:ind w:left="0" w:firstLine="0"/>
        <w:jc w:val="both"/>
      </w:pPr>
      <w:r w:rsidRPr="00C258AD">
        <w:t>Pour répondre à cette demande, le Bureau international a continué d’élaborer des produits destinés à soutenir les procédures opérationnelles des offices de propriété intellectuelle, en particulier le système d’administration de la propriété industrielle (IPAS) et des modules complémentaires.  Parmi les principales nouveautés mises en place au cours de l’exercice biennal, on peut citer l’amélioration de la gestion électronique des documents et de l’assistance fournie pour les opérations bilingues, notamment à l’intention des offices travaillant avec l’arabe.</w:t>
      </w:r>
    </w:p>
    <w:p w:rsidR="006E2BB1" w:rsidRPr="00C258AD" w:rsidRDefault="006E2BB1" w:rsidP="00C9182C">
      <w:pPr>
        <w:tabs>
          <w:tab w:val="left" w:pos="709"/>
        </w:tabs>
        <w:jc w:val="both"/>
      </w:pPr>
    </w:p>
    <w:p w:rsidR="006E2BB1" w:rsidRPr="00C258AD" w:rsidRDefault="002D4597" w:rsidP="00BB4DBC">
      <w:pPr>
        <w:pStyle w:val="ListParagraph"/>
        <w:numPr>
          <w:ilvl w:val="0"/>
          <w:numId w:val="18"/>
        </w:numPr>
        <w:tabs>
          <w:tab w:val="left" w:pos="709"/>
        </w:tabs>
        <w:ind w:left="0" w:firstLine="0"/>
        <w:jc w:val="both"/>
      </w:pPr>
      <w:r w:rsidRPr="00C258AD">
        <w:t>Deux nouveaux modules ont été créés et testés dans plusieurs offices de propriété intellectuelle :</w:t>
      </w:r>
    </w:p>
    <w:p w:rsidR="006E2BB1" w:rsidRPr="00C258AD" w:rsidRDefault="006E2BB1" w:rsidP="00C9182C">
      <w:pPr>
        <w:jc w:val="both"/>
      </w:pPr>
    </w:p>
    <w:p w:rsidR="006E2BB1" w:rsidRPr="00C258AD" w:rsidRDefault="002D4597" w:rsidP="00BB4DBC">
      <w:pPr>
        <w:pStyle w:val="ListParagraph"/>
        <w:numPr>
          <w:ilvl w:val="0"/>
          <w:numId w:val="17"/>
        </w:numPr>
        <w:ind w:left="1276" w:hanging="567"/>
        <w:jc w:val="both"/>
      </w:pPr>
      <w:r w:rsidRPr="00C258AD">
        <w:t xml:space="preserve">WIPO </w:t>
      </w:r>
      <w:proofErr w:type="spellStart"/>
      <w:r w:rsidRPr="00C258AD">
        <w:t>Publish</w:t>
      </w:r>
      <w:proofErr w:type="spellEnd"/>
      <w:r w:rsidRPr="00C258AD">
        <w:t xml:space="preserve"> a été conçu pour répondre aux besoins des offices en ce qui concerne la publication en ligne des données de propriété intellectuelle, des documents et des informations relatives à la situation juridique et aux dossiers, ainsi qu’aux besoins en matière d’échange de données (y compris l’échange de données pour les bases de données mondiales de l’OMPI).  Il a été installé pour usage interne dans plus d’une dizaine d’offices et à des fins de diffusion en ligne dans plusieurs autres offices.</w:t>
      </w:r>
    </w:p>
    <w:p w:rsidR="006E2BB1" w:rsidRPr="00C258AD" w:rsidRDefault="006E2BB1" w:rsidP="00C9182C"/>
    <w:p w:rsidR="006E2BB1" w:rsidRPr="00C258AD" w:rsidRDefault="002D4597" w:rsidP="00BB4DBC">
      <w:pPr>
        <w:pStyle w:val="ListParagraph"/>
        <w:numPr>
          <w:ilvl w:val="0"/>
          <w:numId w:val="17"/>
        </w:numPr>
        <w:ind w:left="1276" w:hanging="567"/>
        <w:jc w:val="both"/>
      </w:pPr>
      <w:r w:rsidRPr="00C258AD">
        <w:t>WIPO File a été conçu pour offrir aux petits offices et aux offices de taille moyenne une solution de dépôt en ligne qui peut être adaptée dans une large mesure aux conditions locales (p. ex. aux systèmes de paiement locaux).  Après une phase pilote réussie dans un office de propriété intellectuelle, WIPO File est à présent utilisé pour le dépôt en ligne dans cet office.</w:t>
      </w:r>
    </w:p>
    <w:p w:rsidR="006E2BB1" w:rsidRPr="00C258AD" w:rsidRDefault="006E2BB1" w:rsidP="00C9182C">
      <w:pPr>
        <w:jc w:val="both"/>
      </w:pPr>
    </w:p>
    <w:p w:rsidR="006E2BB1" w:rsidRPr="00C258AD" w:rsidRDefault="002D4597" w:rsidP="00BB4DBC">
      <w:pPr>
        <w:pStyle w:val="ListParagraph"/>
        <w:numPr>
          <w:ilvl w:val="0"/>
          <w:numId w:val="18"/>
        </w:numPr>
        <w:tabs>
          <w:tab w:val="left" w:pos="709"/>
        </w:tabs>
        <w:ind w:left="0" w:firstLine="0"/>
        <w:jc w:val="both"/>
      </w:pPr>
      <w:r w:rsidRPr="00C258AD">
        <w:t>Au cours de l’exercice biennal, le programme a mis en œuvre une nouvelle stratégie visant à renforcer l’assistance, le transfert de technologie et la formation.  Dans le cadre de cette stratégie, un nouveau modèle d’assistance, comprenant un “service d’assistance IPAS” (“IPAS Helpdesk”) et doté de ressources propres, a été appliqué en vue de fournir aux offices de propriété intellectuelle une assistance correspondant aux normes du secteur.  Huit ateliers de formation technique se sont tenus dans toutes les régions afin de favoriser le transfert de savoirs au personnel des offices de propriété intellectuelle de manière à accroître leur autonomie.  Également dans le cadre de la nouvelle stratégie visant à renforcer l’assistance, un petit nombre d’experts dûment formés venant des offices de propriété intellectuelle ont fourni une assistance aux autres offices de la même région, ce qui a permis de renforcer la coopération et l’assistance entre offices et d’accroître l’autonomie en renforçant les capacités des experts dans les offices de propriété intellectuelle.</w:t>
      </w:r>
    </w:p>
    <w:p w:rsidR="006E2BB1" w:rsidRPr="00C258AD" w:rsidRDefault="006E2BB1" w:rsidP="00C9182C">
      <w:pPr>
        <w:pStyle w:val="ListParagraph"/>
        <w:numPr>
          <w:ilvl w:val="0"/>
          <w:numId w:val="0"/>
        </w:numPr>
        <w:tabs>
          <w:tab w:val="left" w:pos="709"/>
        </w:tabs>
        <w:jc w:val="both"/>
      </w:pPr>
    </w:p>
    <w:p w:rsidR="006E2BB1" w:rsidRPr="00C258AD" w:rsidRDefault="002D4597" w:rsidP="00BB4DBC">
      <w:pPr>
        <w:pStyle w:val="ListParagraph"/>
        <w:numPr>
          <w:ilvl w:val="0"/>
          <w:numId w:val="18"/>
        </w:numPr>
        <w:tabs>
          <w:tab w:val="left" w:pos="709"/>
        </w:tabs>
        <w:ind w:left="0" w:firstLine="0"/>
        <w:jc w:val="both"/>
      </w:pPr>
      <w:r w:rsidRPr="00C258AD">
        <w:t>Avec le soutien du Gouvernement du Japon par l’intermédiaire du fonds fiduciaire, le programme a contribué à des projets de numérisation dans des offices de propriété intellectuelle, dont certains sont encore en cours de réalisation, notamment en Afrique (ARIPO, Éthiopie, Kenya, Nigéria, OAPI, Zimbabwe) et en Asie</w:t>
      </w:r>
      <w:r w:rsidRPr="00C258AD">
        <w:noBreakHyphen/>
        <w:t>Pacifique (</w:t>
      </w:r>
      <w:proofErr w:type="spellStart"/>
      <w:r w:rsidRPr="00C258AD">
        <w:t>Brunéi</w:t>
      </w:r>
      <w:proofErr w:type="spellEnd"/>
      <w:r w:rsidRPr="00C258AD">
        <w:t xml:space="preserve"> Darussalam, Cambodge, République démocratique populaire lao).  Des ateliers ont été organisés en 2014 et en 2015 sur les conditions techniques à remplir pour faciliter la mise en œuvre du programme de coopération de l’ASEAN en matière d’examen des brevets (ASPEC) et du portail de propriété intellectuelle de l’ASEAN.  Des progrès significatifs ont été accomplis en matière d’intégration de nouveaux offices fournisseurs dans le système WIPO CASE de sorte que, à la fin de l’exercice biennal, il existait 10 offices fournisseurs, y compris le Bureau international (informations relatives aux dossiers PCT) et les quatre plus grands offices de brevets.</w:t>
      </w:r>
    </w:p>
    <w:p w:rsidR="006E2BB1" w:rsidRPr="00C258AD" w:rsidRDefault="006E2BB1" w:rsidP="00C9182C">
      <w:pPr>
        <w:jc w:val="both"/>
      </w:pPr>
    </w:p>
    <w:p w:rsidR="006E2BB1" w:rsidRPr="00C258AD" w:rsidRDefault="002D4597" w:rsidP="00BB4DBC">
      <w:pPr>
        <w:pStyle w:val="ListParagraph"/>
        <w:numPr>
          <w:ilvl w:val="0"/>
          <w:numId w:val="18"/>
        </w:numPr>
        <w:tabs>
          <w:tab w:val="left" w:pos="709"/>
        </w:tabs>
        <w:ind w:left="0" w:firstLine="0"/>
        <w:jc w:val="both"/>
      </w:pPr>
      <w:r w:rsidRPr="00C258AD">
        <w:t xml:space="preserve">Le projet relatif au réseau du droit d’auteur de l’OMPI (successeur de WIPOCOS) a également été lancé en 2014 dans le but de créer un système interconnecté destiné à la gestion du droit d’auteur et des droits voisins.  Un groupe d’experts composé de représentants des organismes de gestion collective </w:t>
      </w:r>
      <w:r w:rsidRPr="00C258AD">
        <w:lastRenderedPageBreak/>
        <w:t>volontaires et de partenaires commerciaux (représentants d’organisations internationales et d’entreprises intéressées) s’est employé à définir les besoins opérationnels du système.  Une entreprise extérieure a été engagée à la fin de 2014 et une solution technique a été fournie au milieu de l’année 2015.  À la fin de l’exercice 2014</w:t>
      </w:r>
      <w:r w:rsidRPr="00C258AD">
        <w:noBreakHyphen/>
        <w:t>2015, le système se trouvait dans la phase finale d’élaboration et sera installé dans les organisations de gestion collective des pays en développement et des pays les moins avancés à partir de 2016.</w:t>
      </w:r>
    </w:p>
    <w:p w:rsidR="006E2BB1" w:rsidRPr="00C258AD" w:rsidRDefault="006E2BB1" w:rsidP="00C9182C">
      <w:pPr>
        <w:jc w:val="both"/>
      </w:pPr>
    </w:p>
    <w:p w:rsidR="006E2BB1" w:rsidRPr="00C258AD" w:rsidRDefault="006E2BB1" w:rsidP="00C9182C">
      <w:pPr>
        <w:jc w:val="both"/>
      </w:pPr>
    </w:p>
    <w:p w:rsidR="006E2BB1" w:rsidRPr="00C258AD" w:rsidRDefault="002D4597" w:rsidP="00C9182C">
      <w:pPr>
        <w:keepNext/>
        <w:rPr>
          <w:b/>
        </w:rPr>
      </w:pPr>
      <w:r w:rsidRPr="00C258AD">
        <w:rPr>
          <w:b/>
        </w:rPr>
        <w:t>Solutions logicielles opérationnelles destinées aux offices de propriété intellectuelle</w:t>
      </w:r>
    </w:p>
    <w:p w:rsidR="006E2BB1" w:rsidRPr="00C258AD" w:rsidRDefault="006E2BB1" w:rsidP="00C9182C">
      <w:pPr>
        <w:keepNext/>
        <w:keepLines/>
        <w:jc w:val="both"/>
      </w:pPr>
    </w:p>
    <w:p w:rsidR="006E2BB1" w:rsidRPr="00C258AD" w:rsidRDefault="002D4597" w:rsidP="00BB4DBC">
      <w:pPr>
        <w:pStyle w:val="ListParagraph"/>
        <w:keepNext/>
        <w:keepLines/>
        <w:numPr>
          <w:ilvl w:val="0"/>
          <w:numId w:val="18"/>
        </w:numPr>
        <w:tabs>
          <w:tab w:val="left" w:pos="709"/>
        </w:tabs>
        <w:ind w:left="0" w:firstLine="0"/>
        <w:jc w:val="both"/>
      </w:pPr>
      <w:r w:rsidRPr="00C258AD">
        <w:t>Le tableau ci</w:t>
      </w:r>
      <w:r w:rsidRPr="00C258AD">
        <w:noBreakHyphen/>
        <w:t xml:space="preserve">dessous donne une vue d’ensemble du niveau d’utilisation, en constante augmentation, des solutions opérationnelles de l’OMPI destinées aux offices de propriété intellectuelle sur les six dernières années.  À la fin de 2015, quelque 77 offices de propriété intellectuelle utilisaient les solutions opérationnelles de l’OMPI (comprenant l’IPAS, le système automatisé de gestion de la propriété industrielle (AIPMS), le SGED, </w:t>
      </w:r>
      <w:proofErr w:type="spellStart"/>
      <w:r w:rsidRPr="00C258AD">
        <w:t>WIPOScan</w:t>
      </w:r>
      <w:proofErr w:type="spellEnd"/>
      <w:r w:rsidRPr="00C258AD">
        <w:t xml:space="preserve"> et le module de Madrid)</w:t>
      </w:r>
      <w:r w:rsidRPr="00C258AD">
        <w:rPr>
          <w:rStyle w:val="FootnoteReference"/>
          <w:rFonts w:eastAsia="SimSun"/>
        </w:rPr>
        <w:footnoteReference w:id="92"/>
      </w:r>
      <w:r w:rsidRPr="00C258AD">
        <w:t>.</w:t>
      </w:r>
    </w:p>
    <w:p w:rsidR="006E2BB1" w:rsidRPr="00C258AD" w:rsidRDefault="006E2BB1" w:rsidP="00C9182C"/>
    <w:p w:rsidR="006E2BB1" w:rsidRPr="00C258AD" w:rsidRDefault="002D4597" w:rsidP="00C9182C">
      <w:r w:rsidRPr="00C258AD">
        <w:rPr>
          <w:noProof/>
          <w:lang w:val="en-US"/>
        </w:rPr>
        <w:drawing>
          <wp:inline distT="0" distB="0" distL="0" distR="0" wp14:anchorId="334CDAFA" wp14:editId="26797E77">
            <wp:extent cx="5940425" cy="4129059"/>
            <wp:effectExtent l="0" t="0" r="317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940425" cy="4129059"/>
                    </a:xfrm>
                    <a:prstGeom prst="rect">
                      <a:avLst/>
                    </a:prstGeom>
                    <a:noFill/>
                    <a:ln>
                      <a:noFill/>
                    </a:ln>
                  </pic:spPr>
                </pic:pic>
              </a:graphicData>
            </a:graphic>
          </wp:inline>
        </w:drawing>
      </w:r>
    </w:p>
    <w:p w:rsidR="006E2BB1" w:rsidRPr="00C258AD" w:rsidRDefault="006E2BB1" w:rsidP="00C9182C"/>
    <w:p w:rsidR="006E2BB1" w:rsidRPr="00C258AD" w:rsidRDefault="006E2BB1" w:rsidP="00C9182C"/>
    <w:p w:rsidR="006E2BB1" w:rsidRPr="00C258AD" w:rsidRDefault="002D4597" w:rsidP="00C9182C">
      <w:pPr>
        <w:rPr>
          <w:b/>
        </w:rPr>
      </w:pPr>
      <w:r w:rsidRPr="00C258AD">
        <w:rPr>
          <w:b/>
        </w:rPr>
        <w:t>Plateformes de partage de ressources</w:t>
      </w:r>
    </w:p>
    <w:p w:rsidR="002D4597" w:rsidRPr="00C258AD" w:rsidRDefault="002D4597" w:rsidP="00C9182C">
      <w:pPr>
        <w:jc w:val="both"/>
      </w:pPr>
    </w:p>
    <w:tbl>
      <w:tblPr>
        <w:tblW w:w="5000" w:type="pct"/>
        <w:tblCellMar>
          <w:left w:w="68" w:type="dxa"/>
          <w:right w:w="68" w:type="dxa"/>
        </w:tblCellMar>
        <w:tblLook w:val="01E0" w:firstRow="1" w:lastRow="1" w:firstColumn="1" w:lastColumn="1" w:noHBand="0" w:noVBand="0"/>
      </w:tblPr>
      <w:tblGrid>
        <w:gridCol w:w="1986"/>
        <w:gridCol w:w="7505"/>
      </w:tblGrid>
      <w:tr w:rsidR="002D4597" w:rsidRPr="00C258AD" w:rsidTr="007500D7">
        <w:trPr>
          <w:cantSplit/>
        </w:trPr>
        <w:tc>
          <w:tcPr>
            <w:tcW w:w="1951" w:type="dxa"/>
            <w:shd w:val="clear" w:color="auto" w:fill="auto"/>
          </w:tcPr>
          <w:p w:rsidR="002D4597" w:rsidRPr="00C258AD" w:rsidRDefault="002D4597" w:rsidP="00C9182C">
            <w:pPr>
              <w:tabs>
                <w:tab w:val="center" w:pos="4320"/>
                <w:tab w:val="right" w:pos="8640"/>
              </w:tabs>
            </w:pPr>
            <w:r w:rsidRPr="00C258AD">
              <w:t xml:space="preserve">WIPO DAS </w:t>
            </w:r>
          </w:p>
        </w:tc>
        <w:tc>
          <w:tcPr>
            <w:tcW w:w="7371" w:type="dxa"/>
            <w:shd w:val="clear" w:color="auto" w:fill="auto"/>
          </w:tcPr>
          <w:p w:rsidR="006E2BB1" w:rsidRPr="00C258AD" w:rsidRDefault="002D4597" w:rsidP="00BA0AED">
            <w:pPr>
              <w:shd w:val="clear" w:color="auto" w:fill="FFFFFF"/>
              <w:jc w:val="both"/>
            </w:pPr>
            <w:r w:rsidRPr="00C258AD">
              <w:t>Sur la base d’un processus d’établissement des caractéristiques techniques et d’examen en collaboration avec les offices participants, une nouvelle version du portail destinée à appuyer le cadre révisé du DAS 2.0 a été lancée en décembre 2014.  Le nombre d’offices participants (11) est resté stable.</w:t>
            </w:r>
          </w:p>
          <w:p w:rsidR="007500D7" w:rsidRPr="00C258AD" w:rsidRDefault="007500D7" w:rsidP="00BA0AED">
            <w:pPr>
              <w:shd w:val="clear" w:color="auto" w:fill="FFFFFF"/>
              <w:jc w:val="both"/>
            </w:pPr>
          </w:p>
        </w:tc>
      </w:tr>
      <w:tr w:rsidR="002D4597" w:rsidRPr="00C258AD" w:rsidTr="007500D7">
        <w:trPr>
          <w:cantSplit/>
        </w:trPr>
        <w:tc>
          <w:tcPr>
            <w:tcW w:w="1951" w:type="dxa"/>
            <w:shd w:val="clear" w:color="auto" w:fill="auto"/>
          </w:tcPr>
          <w:p w:rsidR="002D4597" w:rsidRPr="00C258AD" w:rsidRDefault="002D4597" w:rsidP="00BA0AED">
            <w:r w:rsidRPr="00C258AD">
              <w:lastRenderedPageBreak/>
              <w:t xml:space="preserve">WIPO CASE </w:t>
            </w:r>
          </w:p>
        </w:tc>
        <w:tc>
          <w:tcPr>
            <w:tcW w:w="7371" w:type="dxa"/>
            <w:shd w:val="clear" w:color="auto" w:fill="auto"/>
          </w:tcPr>
          <w:p w:rsidR="002D4597" w:rsidRPr="00C258AD" w:rsidRDefault="002D4597" w:rsidP="00BA0AED">
            <w:pPr>
              <w:jc w:val="both"/>
            </w:pPr>
            <w:r w:rsidRPr="00C258AD">
              <w:t>En avril 2014, WIPO CASE (accès centralisé aux résultats de la recherche et de l’examen) a été relié au système de portail unique d’accès aux dossiers des offices de l’IP5, permettant ainsi un échange dans les deux sens des informations contenues dans les dossiers, entre WIPO CASE et les offices de l’IP5.  Plusieurs nouveaux offices se sont inscrits pour utiliser WIPO CASE durant l’exercice biennal, ce qui porte à 21 le nombre total d’offices participants, dont 10 ont accepté de transmettre aux autres les informations relatives à leurs dossiers.</w:t>
            </w:r>
          </w:p>
        </w:tc>
      </w:tr>
    </w:tbl>
    <w:p w:rsidR="006E2BB1" w:rsidRPr="00C258AD" w:rsidRDefault="006E2BB1" w:rsidP="00C9182C">
      <w:pPr>
        <w:jc w:val="both"/>
        <w:rPr>
          <w:bCs/>
        </w:rPr>
      </w:pPr>
    </w:p>
    <w:p w:rsidR="006E2BB1" w:rsidRPr="00C258AD" w:rsidRDefault="002D4597" w:rsidP="00BB4DBC">
      <w:pPr>
        <w:pStyle w:val="ListParagraph"/>
        <w:numPr>
          <w:ilvl w:val="0"/>
          <w:numId w:val="18"/>
        </w:numPr>
        <w:tabs>
          <w:tab w:val="left" w:pos="709"/>
        </w:tabs>
        <w:ind w:left="0" w:firstLine="0"/>
        <w:jc w:val="both"/>
        <w:rPr>
          <w:bCs/>
        </w:rPr>
      </w:pPr>
      <w:r w:rsidRPr="00C258AD">
        <w:rPr>
          <w:bCs/>
        </w:rPr>
        <w:t>La conception, la planification et la mise en œuvre des activités entreprises par le programme 15 étaient inspirées des recommandations pertinentes du Plan d’action pour le développement, en particulier les recommandations n</w:t>
      </w:r>
      <w:r w:rsidRPr="00C258AD">
        <w:rPr>
          <w:bCs/>
          <w:vertAlign w:val="superscript"/>
        </w:rPr>
        <w:t>os</w:t>
      </w:r>
      <w:r w:rsidRPr="00C258AD">
        <w:rPr>
          <w:bCs/>
        </w:rPr>
        <w:t> 1, 2 et 10.</w:t>
      </w:r>
    </w:p>
    <w:p w:rsidR="006E2BB1" w:rsidRPr="00C258AD" w:rsidRDefault="006E2BB1" w:rsidP="00C9182C">
      <w:pPr>
        <w:tabs>
          <w:tab w:val="left" w:pos="709"/>
        </w:tabs>
        <w:jc w:val="both"/>
        <w:rPr>
          <w:bCs/>
        </w:rPr>
      </w:pPr>
    </w:p>
    <w:p w:rsidR="006E2BB1" w:rsidRPr="00C258AD" w:rsidRDefault="006E2BB1" w:rsidP="00C9182C">
      <w:pPr>
        <w:tabs>
          <w:tab w:val="left" w:pos="709"/>
        </w:tabs>
        <w:jc w:val="both"/>
        <w:rPr>
          <w:bCs/>
        </w:rPr>
      </w:pPr>
    </w:p>
    <w:p w:rsidR="006E2BB1" w:rsidRPr="00C258AD" w:rsidRDefault="002D4597" w:rsidP="00305CE5">
      <w:pPr>
        <w:keepNext/>
        <w:rPr>
          <w:rFonts w:cs="Arial"/>
          <w:caps/>
          <w:sz w:val="22"/>
          <w:szCs w:val="22"/>
        </w:rPr>
      </w:pPr>
      <w:r w:rsidRPr="00C258AD">
        <w:rPr>
          <w:rFonts w:cs="Arial"/>
          <w:caps/>
          <w:sz w:val="22"/>
          <w:szCs w:val="22"/>
        </w:rPr>
        <w:t>Données relatives à l’exécution</w:t>
      </w:r>
    </w:p>
    <w:p w:rsidR="002D4597" w:rsidRPr="00C258AD" w:rsidRDefault="002D4597" w:rsidP="00C9182C">
      <w:pPr>
        <w:tabs>
          <w:tab w:val="left" w:pos="709"/>
        </w:tabs>
        <w:jc w:val="both"/>
        <w:rPr>
          <w:bCs/>
        </w:rPr>
      </w:pPr>
    </w:p>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264"/>
        <w:gridCol w:w="2409"/>
        <w:gridCol w:w="1570"/>
        <w:gridCol w:w="2253"/>
        <w:gridCol w:w="995"/>
      </w:tblGrid>
      <w:tr w:rsidR="002D4597" w:rsidRPr="00C258AD" w:rsidTr="00C9182C">
        <w:trPr>
          <w:cantSplit/>
        </w:trPr>
        <w:tc>
          <w:tcPr>
            <w:tcW w:w="5000" w:type="pct"/>
            <w:gridSpan w:val="5"/>
            <w:tcBorders>
              <w:top w:val="single" w:sz="4" w:space="0" w:color="auto"/>
              <w:bottom w:val="single" w:sz="4" w:space="0" w:color="auto"/>
            </w:tcBorders>
            <w:shd w:val="clear" w:color="auto" w:fill="C5D9F1"/>
            <w:vAlign w:val="center"/>
          </w:tcPr>
          <w:p w:rsidR="002D4597" w:rsidRPr="00C258AD" w:rsidRDefault="002D4597" w:rsidP="00C9182C">
            <w:pPr>
              <w:rPr>
                <w:b/>
                <w:sz w:val="16"/>
                <w:szCs w:val="16"/>
              </w:rPr>
            </w:pPr>
            <w:r w:rsidRPr="00C258AD">
              <w:rPr>
                <w:b/>
                <w:sz w:val="16"/>
                <w:szCs w:val="16"/>
              </w:rPr>
              <w:t xml:space="preserve">Résultat escompté : </w:t>
            </w:r>
            <w:r w:rsidRPr="00C258AD">
              <w:rPr>
                <w:sz w:val="16"/>
                <w:szCs w:val="16"/>
              </w:rPr>
              <w:t>IV.4 Amélioration de l’infrastructure technique et du savoir pour les offices de propriété intellectuelle et les autres institutions de propriété intellectuelle, leur permettant de fournir à leurs parties prenantes des services améliorés (moins chers, plus rapides, de meilleure qualité)</w:t>
            </w:r>
          </w:p>
        </w:tc>
      </w:tr>
      <w:tr w:rsidR="002D4597" w:rsidRPr="00C258AD" w:rsidTr="00C9182C">
        <w:trPr>
          <w:cantSplit/>
        </w:trPr>
        <w:tc>
          <w:tcPr>
            <w:tcW w:w="1193" w:type="pct"/>
            <w:tcBorders>
              <w:top w:val="single" w:sz="4" w:space="0" w:color="auto"/>
            </w:tcBorders>
            <w:shd w:val="clear" w:color="auto" w:fill="auto"/>
            <w:vAlign w:val="center"/>
          </w:tcPr>
          <w:p w:rsidR="002D4597" w:rsidRPr="00C258AD" w:rsidRDefault="002D4597" w:rsidP="00C9182C">
            <w:pPr>
              <w:jc w:val="center"/>
              <w:rPr>
                <w:sz w:val="16"/>
                <w:szCs w:val="16"/>
              </w:rPr>
            </w:pPr>
            <w:r w:rsidRPr="00C258AD">
              <w:rPr>
                <w:b/>
                <w:sz w:val="16"/>
                <w:szCs w:val="16"/>
              </w:rPr>
              <w:t>Indicateurs d’exécution</w:t>
            </w:r>
          </w:p>
        </w:tc>
        <w:tc>
          <w:tcPr>
            <w:tcW w:w="1269" w:type="pct"/>
            <w:tcBorders>
              <w:top w:val="single" w:sz="4" w:space="0" w:color="auto"/>
            </w:tcBorders>
            <w:shd w:val="clear" w:color="auto" w:fill="auto"/>
            <w:vAlign w:val="center"/>
          </w:tcPr>
          <w:p w:rsidR="002D4597" w:rsidRPr="00C258AD" w:rsidRDefault="002D4597" w:rsidP="00C9182C">
            <w:pPr>
              <w:jc w:val="center"/>
              <w:rPr>
                <w:b/>
                <w:bCs/>
                <w:sz w:val="16"/>
                <w:szCs w:val="16"/>
              </w:rPr>
            </w:pPr>
            <w:r w:rsidRPr="00C258AD">
              <w:rPr>
                <w:b/>
                <w:bCs/>
                <w:color w:val="000000"/>
                <w:sz w:val="16"/>
                <w:szCs w:val="16"/>
              </w:rPr>
              <w:t>Niveaux de référence</w:t>
            </w:r>
          </w:p>
        </w:tc>
        <w:tc>
          <w:tcPr>
            <w:tcW w:w="827" w:type="pct"/>
            <w:tcBorders>
              <w:top w:val="single" w:sz="4" w:space="0" w:color="auto"/>
            </w:tcBorders>
            <w:shd w:val="clear" w:color="auto" w:fill="auto"/>
            <w:tcMar>
              <w:top w:w="110" w:type="dxa"/>
            </w:tcMar>
            <w:vAlign w:val="center"/>
          </w:tcPr>
          <w:p w:rsidR="002D4597" w:rsidRPr="00C258AD" w:rsidRDefault="002D4597" w:rsidP="00C9182C">
            <w:pPr>
              <w:jc w:val="center"/>
              <w:rPr>
                <w:b/>
                <w:sz w:val="16"/>
                <w:szCs w:val="16"/>
              </w:rPr>
            </w:pPr>
            <w:r w:rsidRPr="00C258AD">
              <w:rPr>
                <w:b/>
                <w:sz w:val="16"/>
                <w:szCs w:val="16"/>
              </w:rPr>
              <w:t>Objectifs visés</w:t>
            </w:r>
          </w:p>
        </w:tc>
        <w:tc>
          <w:tcPr>
            <w:tcW w:w="1187" w:type="pct"/>
            <w:tcBorders>
              <w:top w:val="single" w:sz="4" w:space="0" w:color="auto"/>
            </w:tcBorders>
            <w:shd w:val="clear" w:color="auto" w:fill="FFFFFF"/>
            <w:tcMar>
              <w:top w:w="110" w:type="dxa"/>
            </w:tcMar>
            <w:vAlign w:val="center"/>
          </w:tcPr>
          <w:p w:rsidR="002D4597" w:rsidRPr="00C258AD" w:rsidRDefault="002D4597" w:rsidP="00C9182C">
            <w:pPr>
              <w:jc w:val="center"/>
              <w:rPr>
                <w:sz w:val="16"/>
                <w:szCs w:val="16"/>
              </w:rPr>
            </w:pPr>
            <w:r w:rsidRPr="00C258AD">
              <w:rPr>
                <w:b/>
                <w:sz w:val="16"/>
                <w:szCs w:val="16"/>
              </w:rPr>
              <w:t>Données relatives à l’exécution</w:t>
            </w:r>
          </w:p>
        </w:tc>
        <w:tc>
          <w:tcPr>
            <w:tcW w:w="524" w:type="pct"/>
            <w:tcBorders>
              <w:top w:val="single" w:sz="4" w:space="0" w:color="auto"/>
            </w:tcBorders>
            <w:shd w:val="clear" w:color="auto" w:fill="auto"/>
            <w:tcMar>
              <w:top w:w="110" w:type="dxa"/>
            </w:tcMar>
            <w:vAlign w:val="center"/>
          </w:tcPr>
          <w:p w:rsidR="002D4597" w:rsidRPr="00C258AD" w:rsidRDefault="002D4597" w:rsidP="00C9182C">
            <w:pPr>
              <w:keepNext/>
              <w:keepLines/>
              <w:jc w:val="center"/>
              <w:rPr>
                <w:b/>
                <w:bCs/>
                <w:sz w:val="16"/>
                <w:szCs w:val="16"/>
              </w:rPr>
            </w:pPr>
            <w:r w:rsidRPr="00C258AD">
              <w:rPr>
                <w:b/>
                <w:bCs/>
                <w:color w:val="000000"/>
                <w:sz w:val="16"/>
                <w:szCs w:val="16"/>
              </w:rPr>
              <w:t>Code de couleurs</w:t>
            </w:r>
          </w:p>
        </w:tc>
      </w:tr>
      <w:tr w:rsidR="002D4597" w:rsidRPr="00C258AD" w:rsidTr="00C9182C">
        <w:trPr>
          <w:cantSplit/>
        </w:trPr>
        <w:tc>
          <w:tcPr>
            <w:tcW w:w="1193" w:type="pct"/>
            <w:shd w:val="clear" w:color="auto" w:fill="auto"/>
          </w:tcPr>
          <w:p w:rsidR="002D4597" w:rsidRPr="00C258AD" w:rsidRDefault="002D4597" w:rsidP="00C9182C">
            <w:pPr>
              <w:rPr>
                <w:sz w:val="16"/>
                <w:szCs w:val="16"/>
              </w:rPr>
            </w:pPr>
            <w:r w:rsidRPr="00C258AD">
              <w:rPr>
                <w:sz w:val="16"/>
                <w:szCs w:val="16"/>
              </w:rPr>
              <w:t>Nombre d’offices utilisant les plateformes d’infrastructure de l’OMPI</w:t>
            </w:r>
          </w:p>
        </w:tc>
        <w:tc>
          <w:tcPr>
            <w:tcW w:w="1269" w:type="pct"/>
            <w:shd w:val="clear" w:color="auto" w:fill="auto"/>
          </w:tcPr>
          <w:p w:rsidR="006E2BB1" w:rsidRPr="00C258AD" w:rsidRDefault="002D4597" w:rsidP="00C9182C">
            <w:pPr>
              <w:rPr>
                <w:color w:val="002060"/>
                <w:sz w:val="16"/>
                <w:szCs w:val="16"/>
              </w:rPr>
            </w:pPr>
            <w:r w:rsidRPr="00C258AD">
              <w:rPr>
                <w:i/>
                <w:color w:val="002060"/>
                <w:sz w:val="16"/>
                <w:szCs w:val="16"/>
              </w:rPr>
              <w:t>Niveau de référence actualisé à fin</w:t>
            </w:r>
            <w:r w:rsidRPr="00C258AD">
              <w:rPr>
                <w:color w:val="002060"/>
                <w:sz w:val="16"/>
                <w:szCs w:val="16"/>
              </w:rPr>
              <w:t> 2013 :</w:t>
            </w:r>
          </w:p>
          <w:p w:rsidR="006E2BB1" w:rsidRPr="00C258AD" w:rsidRDefault="002D4597" w:rsidP="00C9182C">
            <w:pPr>
              <w:rPr>
                <w:color w:val="002060"/>
                <w:sz w:val="16"/>
                <w:szCs w:val="16"/>
              </w:rPr>
            </w:pPr>
            <w:r w:rsidRPr="00C258AD">
              <w:rPr>
                <w:color w:val="002060"/>
                <w:sz w:val="16"/>
                <w:szCs w:val="16"/>
              </w:rPr>
              <w:t>Asie</w:t>
            </w:r>
            <w:r w:rsidRPr="00C258AD">
              <w:rPr>
                <w:color w:val="002060"/>
                <w:sz w:val="16"/>
                <w:szCs w:val="16"/>
              </w:rPr>
              <w:noBreakHyphen/>
              <w:t>Pacifique (5) : Chine, Mongolie, République de Corée</w:t>
            </w:r>
            <w:r w:rsidRPr="00C258AD">
              <w:rPr>
                <w:rStyle w:val="FootnoteReference"/>
                <w:rFonts w:eastAsia="SimSun"/>
                <w:color w:val="002060"/>
                <w:sz w:val="16"/>
                <w:szCs w:val="16"/>
              </w:rPr>
              <w:footnoteReference w:id="93"/>
            </w:r>
            <w:r w:rsidRPr="00C258AD">
              <w:rPr>
                <w:color w:val="002060"/>
                <w:sz w:val="16"/>
                <w:szCs w:val="16"/>
              </w:rPr>
              <w:t>, Singapour, Viet Nam</w:t>
            </w:r>
          </w:p>
          <w:p w:rsidR="006E2BB1" w:rsidRPr="00C258AD" w:rsidRDefault="006E2BB1" w:rsidP="00C9182C">
            <w:pPr>
              <w:rPr>
                <w:color w:val="002060"/>
                <w:sz w:val="16"/>
                <w:szCs w:val="16"/>
              </w:rPr>
            </w:pPr>
          </w:p>
          <w:p w:rsidR="006E2BB1" w:rsidRPr="00C258AD" w:rsidRDefault="002D4597" w:rsidP="00C9182C">
            <w:pPr>
              <w:rPr>
                <w:color w:val="002060"/>
                <w:sz w:val="16"/>
                <w:szCs w:val="16"/>
              </w:rPr>
            </w:pPr>
            <w:r w:rsidRPr="00C258AD">
              <w:rPr>
                <w:color w:val="002060"/>
                <w:sz w:val="16"/>
                <w:szCs w:val="16"/>
              </w:rPr>
              <w:t>Autres (11) : Australie, Canada, Danemark, Espagne, États</w:t>
            </w:r>
            <w:r w:rsidRPr="00C258AD">
              <w:rPr>
                <w:color w:val="002060"/>
                <w:sz w:val="16"/>
                <w:szCs w:val="16"/>
              </w:rPr>
              <w:noBreakHyphen/>
              <w:t>Unis d’Amérique, Finlande, Israël, Japon, Nouvelle</w:t>
            </w:r>
            <w:r w:rsidRPr="00C258AD">
              <w:rPr>
                <w:color w:val="002060"/>
                <w:sz w:val="16"/>
                <w:szCs w:val="16"/>
              </w:rPr>
              <w:noBreakHyphen/>
              <w:t>Zélande, Royaume</w:t>
            </w:r>
            <w:r w:rsidRPr="00C258AD">
              <w:rPr>
                <w:color w:val="002060"/>
                <w:sz w:val="16"/>
                <w:szCs w:val="16"/>
              </w:rPr>
              <w:noBreakHyphen/>
              <w:t>Uni, Suède</w:t>
            </w:r>
          </w:p>
          <w:p w:rsidR="006E2BB1" w:rsidRPr="00C258AD" w:rsidRDefault="002D4597" w:rsidP="00C9182C">
            <w:pPr>
              <w:rPr>
                <w:sz w:val="16"/>
                <w:szCs w:val="16"/>
              </w:rPr>
            </w:pPr>
            <w:r w:rsidRPr="00C258AD">
              <w:rPr>
                <w:color w:val="002060"/>
                <w:sz w:val="16"/>
                <w:szCs w:val="16"/>
              </w:rPr>
              <w:t>(16 en tout)</w:t>
            </w:r>
          </w:p>
          <w:p w:rsidR="006E2BB1" w:rsidRPr="00C258AD" w:rsidRDefault="006E2BB1" w:rsidP="00C9182C">
            <w:pPr>
              <w:rPr>
                <w:i/>
                <w:sz w:val="16"/>
                <w:szCs w:val="16"/>
              </w:rPr>
            </w:pPr>
          </w:p>
          <w:p w:rsidR="006E2BB1" w:rsidRPr="00C258AD" w:rsidRDefault="002D4597" w:rsidP="00C9182C">
            <w:pPr>
              <w:rPr>
                <w:sz w:val="16"/>
                <w:szCs w:val="16"/>
              </w:rPr>
            </w:pPr>
            <w:r w:rsidRPr="00C258AD">
              <w:rPr>
                <w:i/>
                <w:sz w:val="16"/>
                <w:szCs w:val="16"/>
              </w:rPr>
              <w:t>Niveau de référence initial dans le programme et budget 2014</w:t>
            </w:r>
            <w:r w:rsidRPr="00C258AD">
              <w:rPr>
                <w:i/>
                <w:sz w:val="16"/>
                <w:szCs w:val="16"/>
              </w:rPr>
              <w:noBreakHyphen/>
              <w:t xml:space="preserve">2015 : </w:t>
            </w:r>
            <w:r w:rsidRPr="00C258AD">
              <w:rPr>
                <w:i/>
                <w:sz w:val="16"/>
                <w:szCs w:val="16"/>
              </w:rPr>
              <w:br/>
            </w:r>
            <w:r w:rsidRPr="00C258AD">
              <w:rPr>
                <w:sz w:val="16"/>
                <w:szCs w:val="16"/>
              </w:rPr>
              <w:t>Amérique du Nord – 2</w:t>
            </w:r>
          </w:p>
          <w:p w:rsidR="006E2BB1" w:rsidRPr="00C258AD" w:rsidRDefault="002D4597" w:rsidP="00C9182C">
            <w:pPr>
              <w:rPr>
                <w:sz w:val="16"/>
                <w:szCs w:val="16"/>
              </w:rPr>
            </w:pPr>
            <w:r w:rsidRPr="00C258AD">
              <w:rPr>
                <w:sz w:val="16"/>
                <w:szCs w:val="16"/>
              </w:rPr>
              <w:t>Europe de l’Ouest – 7</w:t>
            </w:r>
          </w:p>
          <w:p w:rsidR="002D4597" w:rsidRPr="00C258AD" w:rsidRDefault="002D4597" w:rsidP="00C9182C">
            <w:pPr>
              <w:rPr>
                <w:sz w:val="16"/>
                <w:szCs w:val="16"/>
              </w:rPr>
            </w:pPr>
            <w:r w:rsidRPr="00C258AD">
              <w:rPr>
                <w:sz w:val="16"/>
                <w:szCs w:val="16"/>
              </w:rPr>
              <w:t>Asie</w:t>
            </w:r>
            <w:r w:rsidRPr="00C258AD">
              <w:rPr>
                <w:sz w:val="16"/>
                <w:szCs w:val="16"/>
              </w:rPr>
              <w:noBreakHyphen/>
              <w:t>Pacifique – 6</w:t>
            </w:r>
          </w:p>
        </w:tc>
        <w:tc>
          <w:tcPr>
            <w:tcW w:w="827" w:type="pct"/>
            <w:shd w:val="clear" w:color="auto" w:fill="auto"/>
            <w:tcMar>
              <w:top w:w="110" w:type="dxa"/>
            </w:tcMar>
          </w:tcPr>
          <w:p w:rsidR="002D4597" w:rsidRPr="00C258AD" w:rsidRDefault="002D4597" w:rsidP="00C9182C">
            <w:pPr>
              <w:rPr>
                <w:sz w:val="16"/>
                <w:szCs w:val="16"/>
              </w:rPr>
            </w:pPr>
            <w:r w:rsidRPr="00C258AD">
              <w:rPr>
                <w:sz w:val="16"/>
                <w:szCs w:val="16"/>
              </w:rPr>
              <w:t>25 (ventilation régionale)</w:t>
            </w:r>
          </w:p>
        </w:tc>
        <w:tc>
          <w:tcPr>
            <w:tcW w:w="1187" w:type="pct"/>
            <w:shd w:val="clear" w:color="auto" w:fill="FFFFFF"/>
            <w:tcMar>
              <w:top w:w="110" w:type="dxa"/>
            </w:tcMar>
          </w:tcPr>
          <w:p w:rsidR="006E2BB1" w:rsidRPr="00C258AD" w:rsidRDefault="002D4597" w:rsidP="00C9182C">
            <w:pPr>
              <w:rPr>
                <w:color w:val="002060"/>
                <w:sz w:val="16"/>
                <w:szCs w:val="16"/>
                <w:lang w:bidi="th-TH"/>
              </w:rPr>
            </w:pPr>
            <w:r w:rsidRPr="00C258AD">
              <w:rPr>
                <w:color w:val="002060"/>
                <w:sz w:val="16"/>
                <w:szCs w:val="16"/>
                <w:lang w:bidi="th-TH"/>
              </w:rPr>
              <w:t>9 offices supplémentaires en 2014</w:t>
            </w:r>
            <w:r w:rsidRPr="00C258AD">
              <w:rPr>
                <w:color w:val="002060"/>
                <w:sz w:val="16"/>
                <w:szCs w:val="16"/>
                <w:lang w:bidi="th-TH"/>
              </w:rPr>
              <w:noBreakHyphen/>
              <w:t>2015 :</w:t>
            </w:r>
          </w:p>
          <w:p w:rsidR="006E2BB1" w:rsidRPr="00C258AD" w:rsidRDefault="006E2BB1" w:rsidP="00C9182C">
            <w:pPr>
              <w:rPr>
                <w:color w:val="002060"/>
                <w:sz w:val="16"/>
                <w:szCs w:val="16"/>
                <w:lang w:bidi="th-TH"/>
              </w:rPr>
            </w:pPr>
          </w:p>
          <w:p w:rsidR="006E2BB1" w:rsidRPr="00C258AD" w:rsidRDefault="002D4597" w:rsidP="00BB4DBC">
            <w:pPr>
              <w:pStyle w:val="ListParagraph"/>
              <w:numPr>
                <w:ilvl w:val="0"/>
                <w:numId w:val="19"/>
              </w:numPr>
              <w:rPr>
                <w:color w:val="002060"/>
                <w:sz w:val="16"/>
                <w:szCs w:val="16"/>
                <w:lang w:bidi="th-TH"/>
              </w:rPr>
            </w:pPr>
            <w:r w:rsidRPr="00C258AD">
              <w:rPr>
                <w:color w:val="002060"/>
                <w:sz w:val="16"/>
                <w:szCs w:val="16"/>
                <w:lang w:bidi="th-TH"/>
              </w:rPr>
              <w:t>7 offices supplémentaires en Asie</w:t>
            </w:r>
            <w:r w:rsidRPr="00C258AD">
              <w:rPr>
                <w:color w:val="002060"/>
                <w:sz w:val="16"/>
                <w:szCs w:val="16"/>
                <w:lang w:bidi="th-TH"/>
              </w:rPr>
              <w:noBreakHyphen/>
              <w:t xml:space="preserve">Pacifique (12 en tout) : </w:t>
            </w:r>
            <w:proofErr w:type="spellStart"/>
            <w:r w:rsidRPr="00C258AD">
              <w:rPr>
                <w:color w:val="002060"/>
                <w:sz w:val="16"/>
                <w:szCs w:val="16"/>
                <w:lang w:bidi="th-TH"/>
              </w:rPr>
              <w:t>Brunéi</w:t>
            </w:r>
            <w:proofErr w:type="spellEnd"/>
            <w:r w:rsidRPr="00C258AD">
              <w:rPr>
                <w:color w:val="002060"/>
                <w:sz w:val="16"/>
                <w:szCs w:val="16"/>
                <w:lang w:bidi="th-TH"/>
              </w:rPr>
              <w:t xml:space="preserve"> Darussalam, Inde, Indonésie, Malaisie, Philippines, République démocratique populaire lao, Thaïlande.</w:t>
            </w:r>
          </w:p>
          <w:p w:rsidR="006E2BB1" w:rsidRPr="00C258AD" w:rsidRDefault="006E2BB1" w:rsidP="00C9182C">
            <w:pPr>
              <w:pStyle w:val="ListParagraph"/>
              <w:numPr>
                <w:ilvl w:val="0"/>
                <w:numId w:val="0"/>
              </w:numPr>
              <w:ind w:left="284"/>
              <w:rPr>
                <w:color w:val="002060"/>
                <w:sz w:val="16"/>
                <w:szCs w:val="16"/>
                <w:lang w:bidi="th-TH"/>
              </w:rPr>
            </w:pPr>
          </w:p>
          <w:p w:rsidR="006E2BB1" w:rsidRPr="00C258AD" w:rsidRDefault="002D4597" w:rsidP="00BB4DBC">
            <w:pPr>
              <w:pStyle w:val="ListParagraph"/>
              <w:numPr>
                <w:ilvl w:val="0"/>
                <w:numId w:val="19"/>
              </w:numPr>
              <w:rPr>
                <w:color w:val="002060"/>
                <w:sz w:val="16"/>
                <w:szCs w:val="16"/>
                <w:lang w:bidi="th-TH"/>
              </w:rPr>
            </w:pPr>
            <w:r w:rsidRPr="00C258AD">
              <w:rPr>
                <w:color w:val="002060"/>
                <w:sz w:val="16"/>
                <w:szCs w:val="16"/>
                <w:lang w:bidi="th-TH"/>
              </w:rPr>
              <w:t>1 office supplémentaire en Amérique latine et Caraïbes (1 en tout) : Chili.</w:t>
            </w:r>
          </w:p>
          <w:p w:rsidR="006E2BB1" w:rsidRPr="00C258AD" w:rsidRDefault="006E2BB1" w:rsidP="00C9182C">
            <w:pPr>
              <w:pStyle w:val="ListParagraph"/>
              <w:numPr>
                <w:ilvl w:val="0"/>
                <w:numId w:val="0"/>
              </w:numPr>
              <w:ind w:left="284"/>
              <w:rPr>
                <w:color w:val="002060"/>
                <w:sz w:val="16"/>
                <w:szCs w:val="16"/>
                <w:lang w:bidi="th-TH"/>
              </w:rPr>
            </w:pPr>
          </w:p>
          <w:p w:rsidR="006E2BB1" w:rsidRPr="00C258AD" w:rsidRDefault="002D4597" w:rsidP="00BB4DBC">
            <w:pPr>
              <w:pStyle w:val="ListParagraph"/>
              <w:numPr>
                <w:ilvl w:val="0"/>
                <w:numId w:val="19"/>
              </w:numPr>
              <w:rPr>
                <w:color w:val="002060"/>
                <w:sz w:val="16"/>
                <w:szCs w:val="16"/>
              </w:rPr>
            </w:pPr>
            <w:r w:rsidRPr="00C258AD">
              <w:rPr>
                <w:color w:val="002060"/>
                <w:sz w:val="16"/>
                <w:szCs w:val="16"/>
                <w:lang w:bidi="th-TH"/>
              </w:rPr>
              <w:t xml:space="preserve">1 office supplémentaire dans d’autres pays (17 en </w:t>
            </w:r>
            <w:r w:rsidRPr="00C258AD">
              <w:rPr>
                <w:color w:val="002060"/>
                <w:sz w:val="16"/>
                <w:szCs w:val="16"/>
              </w:rPr>
              <w:t>tout) : le Bureau international</w:t>
            </w:r>
          </w:p>
          <w:p w:rsidR="006E2BB1" w:rsidRPr="00C258AD" w:rsidRDefault="006E2BB1" w:rsidP="00C9182C">
            <w:pPr>
              <w:rPr>
                <w:color w:val="002060"/>
                <w:sz w:val="16"/>
                <w:szCs w:val="16"/>
              </w:rPr>
            </w:pPr>
          </w:p>
          <w:p w:rsidR="002D4597" w:rsidRPr="00C258AD" w:rsidRDefault="002D4597" w:rsidP="00C9182C">
            <w:pPr>
              <w:ind w:left="284"/>
              <w:rPr>
                <w:sz w:val="16"/>
                <w:szCs w:val="16"/>
              </w:rPr>
            </w:pPr>
            <w:r w:rsidRPr="00C258AD">
              <w:rPr>
                <w:color w:val="002060"/>
                <w:sz w:val="16"/>
                <w:szCs w:val="16"/>
              </w:rPr>
              <w:t>(25 en tout)</w:t>
            </w:r>
          </w:p>
        </w:tc>
        <w:tc>
          <w:tcPr>
            <w:tcW w:w="524" w:type="pct"/>
            <w:shd w:val="clear" w:color="auto" w:fill="auto"/>
            <w:tcMar>
              <w:top w:w="110" w:type="dxa"/>
            </w:tcMar>
          </w:tcPr>
          <w:p w:rsidR="002D4597" w:rsidRPr="00C258AD" w:rsidRDefault="002D4597" w:rsidP="00C9182C">
            <w:pPr>
              <w:keepNext/>
              <w:keepLines/>
              <w:jc w:val="center"/>
              <w:rPr>
                <w:b/>
                <w:bCs/>
                <w:color w:val="00B050"/>
                <w:sz w:val="16"/>
                <w:szCs w:val="16"/>
              </w:rPr>
            </w:pPr>
            <w:r w:rsidRPr="00C258AD">
              <w:rPr>
                <w:b/>
                <w:bCs/>
                <w:color w:val="00B050"/>
                <w:sz w:val="16"/>
                <w:szCs w:val="16"/>
              </w:rPr>
              <w:t>Objectif pleinement atteint</w:t>
            </w:r>
          </w:p>
        </w:tc>
      </w:tr>
      <w:tr w:rsidR="002D4597" w:rsidRPr="00C258AD" w:rsidTr="00C9182C">
        <w:trPr>
          <w:cantSplit/>
        </w:trPr>
        <w:tc>
          <w:tcPr>
            <w:tcW w:w="1193" w:type="pct"/>
            <w:shd w:val="clear" w:color="auto" w:fill="auto"/>
          </w:tcPr>
          <w:p w:rsidR="002D4597" w:rsidRPr="00C258AD" w:rsidRDefault="002D4597" w:rsidP="00C9182C">
            <w:pPr>
              <w:ind w:firstLineChars="3" w:firstLine="5"/>
              <w:rPr>
                <w:sz w:val="16"/>
                <w:szCs w:val="16"/>
              </w:rPr>
            </w:pPr>
            <w:r w:rsidRPr="00C258AD">
              <w:rPr>
                <w:sz w:val="16"/>
                <w:szCs w:val="16"/>
              </w:rPr>
              <w:t>Niveau de service moyen des offices de propriété intellectuelle bénéficiant d’une assistance (de 1 à 5)</w:t>
            </w:r>
          </w:p>
        </w:tc>
        <w:tc>
          <w:tcPr>
            <w:tcW w:w="1269" w:type="pct"/>
            <w:shd w:val="clear" w:color="auto" w:fill="auto"/>
          </w:tcPr>
          <w:p w:rsidR="006E2BB1" w:rsidRPr="00C258AD" w:rsidRDefault="002D4597" w:rsidP="00C9182C">
            <w:pPr>
              <w:rPr>
                <w:color w:val="002060"/>
                <w:sz w:val="16"/>
                <w:szCs w:val="16"/>
              </w:rPr>
            </w:pPr>
            <w:r w:rsidRPr="00C258AD">
              <w:rPr>
                <w:i/>
                <w:color w:val="002060"/>
                <w:sz w:val="16"/>
                <w:szCs w:val="16"/>
              </w:rPr>
              <w:t xml:space="preserve">Niveau de référence actualisé à fin 2013 : </w:t>
            </w:r>
            <w:r w:rsidRPr="00C258AD">
              <w:rPr>
                <w:color w:val="002060"/>
                <w:sz w:val="16"/>
                <w:szCs w:val="16"/>
              </w:rPr>
              <w:t>2,8</w:t>
            </w:r>
          </w:p>
          <w:p w:rsidR="006E2BB1" w:rsidRPr="00C258AD" w:rsidRDefault="006E2BB1" w:rsidP="00C9182C">
            <w:pPr>
              <w:rPr>
                <w:i/>
                <w:sz w:val="16"/>
                <w:szCs w:val="16"/>
              </w:rPr>
            </w:pPr>
          </w:p>
          <w:p w:rsidR="002D4597" w:rsidRPr="00C258AD" w:rsidRDefault="002D4597" w:rsidP="00C9182C">
            <w:pPr>
              <w:rPr>
                <w:sz w:val="16"/>
                <w:szCs w:val="16"/>
              </w:rPr>
            </w:pPr>
            <w:r w:rsidRPr="00C258AD">
              <w:rPr>
                <w:i/>
                <w:sz w:val="16"/>
                <w:szCs w:val="16"/>
              </w:rPr>
              <w:t>Niveau de référence initial dans le programme et budget 2014</w:t>
            </w:r>
            <w:r w:rsidRPr="00C258AD">
              <w:rPr>
                <w:i/>
                <w:sz w:val="16"/>
                <w:szCs w:val="16"/>
              </w:rPr>
              <w:noBreakHyphen/>
              <w:t xml:space="preserve">2015 : </w:t>
            </w:r>
            <w:r w:rsidRPr="00C258AD">
              <w:rPr>
                <w:sz w:val="16"/>
                <w:szCs w:val="16"/>
              </w:rPr>
              <w:t>à déterminer</w:t>
            </w:r>
          </w:p>
        </w:tc>
        <w:tc>
          <w:tcPr>
            <w:tcW w:w="827" w:type="pct"/>
            <w:shd w:val="clear" w:color="auto" w:fill="auto"/>
            <w:tcMar>
              <w:top w:w="110" w:type="dxa"/>
            </w:tcMar>
          </w:tcPr>
          <w:p w:rsidR="006E2BB1" w:rsidRPr="00C258AD" w:rsidRDefault="002D4597" w:rsidP="00C9182C">
            <w:pPr>
              <w:pStyle w:val="Default"/>
              <w:rPr>
                <w:rFonts w:eastAsia="Times New Roman"/>
                <w:color w:val="002060"/>
                <w:sz w:val="16"/>
                <w:szCs w:val="16"/>
              </w:rPr>
            </w:pPr>
            <w:r w:rsidRPr="00C258AD">
              <w:rPr>
                <w:rFonts w:eastAsia="Times New Roman"/>
                <w:i/>
                <w:color w:val="002060"/>
                <w:sz w:val="16"/>
                <w:szCs w:val="16"/>
              </w:rPr>
              <w:t xml:space="preserve">Objectif défini : </w:t>
            </w:r>
            <w:r w:rsidRPr="00C258AD">
              <w:rPr>
                <w:rFonts w:eastAsia="Times New Roman"/>
                <w:color w:val="002060"/>
                <w:sz w:val="16"/>
                <w:szCs w:val="16"/>
              </w:rPr>
              <w:t>3</w:t>
            </w:r>
          </w:p>
          <w:p w:rsidR="006E2BB1" w:rsidRPr="00C258AD" w:rsidRDefault="006E2BB1" w:rsidP="00C9182C">
            <w:pPr>
              <w:pStyle w:val="Default"/>
              <w:rPr>
                <w:rFonts w:eastAsia="Times New Roman"/>
                <w:color w:val="002060"/>
                <w:sz w:val="16"/>
                <w:szCs w:val="16"/>
              </w:rPr>
            </w:pPr>
          </w:p>
          <w:p w:rsidR="002D4597" w:rsidRPr="00C258AD" w:rsidRDefault="002D4597" w:rsidP="00C9182C">
            <w:pPr>
              <w:pStyle w:val="Default"/>
              <w:rPr>
                <w:color w:val="auto"/>
                <w:sz w:val="16"/>
                <w:szCs w:val="16"/>
              </w:rPr>
            </w:pPr>
            <w:r w:rsidRPr="00C258AD">
              <w:rPr>
                <w:i/>
                <w:color w:val="002060"/>
                <w:sz w:val="16"/>
                <w:szCs w:val="16"/>
              </w:rPr>
              <w:t>Objectif initial dans le programme et budget 2014</w:t>
            </w:r>
            <w:r w:rsidRPr="00C258AD">
              <w:rPr>
                <w:i/>
                <w:color w:val="002060"/>
                <w:sz w:val="16"/>
                <w:szCs w:val="16"/>
              </w:rPr>
              <w:noBreakHyphen/>
              <w:t xml:space="preserve">2015 : </w:t>
            </w:r>
            <w:r w:rsidRPr="00C258AD">
              <w:rPr>
                <w:color w:val="002060"/>
                <w:sz w:val="16"/>
                <w:szCs w:val="16"/>
              </w:rPr>
              <w:t>à déterminer</w:t>
            </w:r>
          </w:p>
        </w:tc>
        <w:tc>
          <w:tcPr>
            <w:tcW w:w="1187" w:type="pct"/>
            <w:shd w:val="clear" w:color="auto" w:fill="FFFFFF"/>
            <w:tcMar>
              <w:top w:w="110" w:type="dxa"/>
            </w:tcMar>
          </w:tcPr>
          <w:p w:rsidR="006E2BB1" w:rsidRPr="00C258AD" w:rsidRDefault="002D4597" w:rsidP="00C9182C">
            <w:pPr>
              <w:rPr>
                <w:sz w:val="16"/>
                <w:szCs w:val="16"/>
              </w:rPr>
            </w:pPr>
            <w:r w:rsidRPr="00C258AD">
              <w:rPr>
                <w:sz w:val="16"/>
                <w:szCs w:val="16"/>
              </w:rPr>
              <w:t>Moyenne globale : 2,9</w:t>
            </w:r>
          </w:p>
          <w:p w:rsidR="006E2BB1" w:rsidRPr="00C258AD" w:rsidRDefault="002D4597" w:rsidP="00BB4DBC">
            <w:pPr>
              <w:pStyle w:val="ListParagraph"/>
              <w:numPr>
                <w:ilvl w:val="0"/>
                <w:numId w:val="16"/>
              </w:numPr>
              <w:rPr>
                <w:sz w:val="16"/>
                <w:szCs w:val="16"/>
              </w:rPr>
            </w:pPr>
            <w:r w:rsidRPr="00C258AD">
              <w:rPr>
                <w:sz w:val="16"/>
                <w:szCs w:val="16"/>
              </w:rPr>
              <w:t>Afrique : 2,9</w:t>
            </w:r>
          </w:p>
          <w:p w:rsidR="006E2BB1" w:rsidRPr="00C258AD" w:rsidRDefault="002D4597" w:rsidP="00BB4DBC">
            <w:pPr>
              <w:pStyle w:val="ListParagraph"/>
              <w:numPr>
                <w:ilvl w:val="0"/>
                <w:numId w:val="16"/>
              </w:numPr>
              <w:rPr>
                <w:sz w:val="16"/>
                <w:szCs w:val="16"/>
              </w:rPr>
            </w:pPr>
            <w:r w:rsidRPr="00C258AD">
              <w:rPr>
                <w:sz w:val="16"/>
                <w:szCs w:val="16"/>
              </w:rPr>
              <w:t>Pays arabes : 2,8</w:t>
            </w:r>
          </w:p>
          <w:p w:rsidR="006E2BB1" w:rsidRPr="00C258AD" w:rsidRDefault="002D4597" w:rsidP="00BB4DBC">
            <w:pPr>
              <w:pStyle w:val="ListParagraph"/>
              <w:numPr>
                <w:ilvl w:val="0"/>
                <w:numId w:val="16"/>
              </w:numPr>
              <w:rPr>
                <w:sz w:val="16"/>
                <w:szCs w:val="16"/>
              </w:rPr>
            </w:pPr>
            <w:r w:rsidRPr="00C258AD">
              <w:rPr>
                <w:sz w:val="16"/>
                <w:szCs w:val="16"/>
              </w:rPr>
              <w:t>Asie</w:t>
            </w:r>
            <w:r w:rsidRPr="00C258AD">
              <w:rPr>
                <w:sz w:val="16"/>
                <w:szCs w:val="16"/>
              </w:rPr>
              <w:noBreakHyphen/>
              <w:t>Pacifique : 2,7</w:t>
            </w:r>
          </w:p>
          <w:p w:rsidR="006E2BB1" w:rsidRPr="00C258AD" w:rsidRDefault="002D4597" w:rsidP="00BB4DBC">
            <w:pPr>
              <w:pStyle w:val="ListParagraph"/>
              <w:numPr>
                <w:ilvl w:val="0"/>
                <w:numId w:val="16"/>
              </w:numPr>
              <w:rPr>
                <w:sz w:val="16"/>
                <w:szCs w:val="16"/>
              </w:rPr>
            </w:pPr>
            <w:r w:rsidRPr="00C258AD">
              <w:rPr>
                <w:sz w:val="16"/>
                <w:szCs w:val="16"/>
              </w:rPr>
              <w:t>Certains pays d’Europe et d’Asie : 3,3</w:t>
            </w:r>
          </w:p>
          <w:p w:rsidR="006E2BB1" w:rsidRPr="00C258AD" w:rsidRDefault="002D4597" w:rsidP="00BB4DBC">
            <w:pPr>
              <w:pStyle w:val="ListParagraph"/>
              <w:numPr>
                <w:ilvl w:val="0"/>
                <w:numId w:val="16"/>
              </w:numPr>
              <w:rPr>
                <w:sz w:val="16"/>
                <w:szCs w:val="16"/>
              </w:rPr>
            </w:pPr>
            <w:r w:rsidRPr="00C258AD">
              <w:rPr>
                <w:sz w:val="16"/>
                <w:szCs w:val="16"/>
              </w:rPr>
              <w:t>Amérique latine et Caraïbes : 3</w:t>
            </w:r>
          </w:p>
          <w:p w:rsidR="002D4597" w:rsidRPr="00C258AD" w:rsidRDefault="002D4597" w:rsidP="00BB4DBC">
            <w:pPr>
              <w:pStyle w:val="ListParagraph"/>
              <w:numPr>
                <w:ilvl w:val="0"/>
                <w:numId w:val="16"/>
              </w:numPr>
              <w:rPr>
                <w:sz w:val="16"/>
                <w:szCs w:val="16"/>
              </w:rPr>
            </w:pPr>
            <w:r w:rsidRPr="00C258AD">
              <w:rPr>
                <w:sz w:val="16"/>
                <w:szCs w:val="16"/>
              </w:rPr>
              <w:t>Autres : 2,5</w:t>
            </w:r>
          </w:p>
        </w:tc>
        <w:tc>
          <w:tcPr>
            <w:tcW w:w="524" w:type="pct"/>
            <w:shd w:val="clear" w:color="auto" w:fill="auto"/>
            <w:tcMar>
              <w:top w:w="110" w:type="dxa"/>
            </w:tcMar>
          </w:tcPr>
          <w:p w:rsidR="002D4597" w:rsidRPr="00C258AD" w:rsidRDefault="002D4597" w:rsidP="00C9182C">
            <w:pPr>
              <w:keepNext/>
              <w:keepLines/>
              <w:jc w:val="center"/>
              <w:rPr>
                <w:rStyle w:val="Style5"/>
                <w:b/>
                <w:color w:val="00B050"/>
                <w:sz w:val="16"/>
                <w:szCs w:val="16"/>
              </w:rPr>
            </w:pPr>
            <w:r w:rsidRPr="00C258AD">
              <w:rPr>
                <w:b/>
                <w:bCs/>
                <w:color w:val="00B050"/>
                <w:sz w:val="16"/>
                <w:szCs w:val="16"/>
              </w:rPr>
              <w:t>Objectif pleinement atteint</w:t>
            </w:r>
          </w:p>
        </w:tc>
      </w:tr>
      <w:tr w:rsidR="002D4597" w:rsidRPr="00C258AD" w:rsidTr="00C9182C">
        <w:trPr>
          <w:cantSplit/>
        </w:trPr>
        <w:tc>
          <w:tcPr>
            <w:tcW w:w="1193" w:type="pct"/>
            <w:shd w:val="clear" w:color="auto" w:fill="auto"/>
          </w:tcPr>
          <w:p w:rsidR="002D4597" w:rsidRPr="00C258AD" w:rsidRDefault="002D4597" w:rsidP="00C9182C">
            <w:pPr>
              <w:ind w:firstLineChars="3" w:firstLine="5"/>
              <w:rPr>
                <w:sz w:val="16"/>
                <w:szCs w:val="16"/>
              </w:rPr>
            </w:pPr>
            <w:r w:rsidRPr="00C258AD">
              <w:rPr>
                <w:sz w:val="16"/>
                <w:szCs w:val="16"/>
              </w:rPr>
              <w:t>Nombre d’organismes de gestion collective dans les pays en développement et les PMA participant à des réseaux régionaux et mondiaux avec le concours de l’OMPI</w:t>
            </w:r>
          </w:p>
        </w:tc>
        <w:tc>
          <w:tcPr>
            <w:tcW w:w="1269" w:type="pct"/>
            <w:shd w:val="clear" w:color="auto" w:fill="auto"/>
          </w:tcPr>
          <w:p w:rsidR="002D4597" w:rsidRPr="00C258AD" w:rsidRDefault="002D4597" w:rsidP="00C9182C">
            <w:pPr>
              <w:rPr>
                <w:i/>
                <w:sz w:val="16"/>
                <w:szCs w:val="16"/>
              </w:rPr>
            </w:pPr>
            <w:r w:rsidRPr="00C258AD">
              <w:rPr>
                <w:sz w:val="16"/>
                <w:szCs w:val="16"/>
              </w:rPr>
              <w:t>0 (zéro)</w:t>
            </w:r>
          </w:p>
        </w:tc>
        <w:tc>
          <w:tcPr>
            <w:tcW w:w="827" w:type="pct"/>
            <w:shd w:val="clear" w:color="auto" w:fill="auto"/>
            <w:tcMar>
              <w:top w:w="110" w:type="dxa"/>
            </w:tcMar>
          </w:tcPr>
          <w:p w:rsidR="002D4597" w:rsidRPr="00C258AD" w:rsidRDefault="002D4597" w:rsidP="00C9182C">
            <w:pPr>
              <w:pStyle w:val="Default"/>
              <w:rPr>
                <w:i/>
                <w:color w:val="auto"/>
                <w:sz w:val="16"/>
                <w:szCs w:val="16"/>
              </w:rPr>
            </w:pPr>
            <w:r w:rsidRPr="00C258AD">
              <w:rPr>
                <w:color w:val="auto"/>
                <w:sz w:val="16"/>
                <w:szCs w:val="16"/>
              </w:rPr>
              <w:t>10</w:t>
            </w:r>
          </w:p>
        </w:tc>
        <w:tc>
          <w:tcPr>
            <w:tcW w:w="1187" w:type="pct"/>
            <w:shd w:val="clear" w:color="auto" w:fill="FFFFFF"/>
            <w:tcMar>
              <w:top w:w="110" w:type="dxa"/>
            </w:tcMar>
          </w:tcPr>
          <w:p w:rsidR="002D4597" w:rsidRPr="00C258AD" w:rsidRDefault="002D4597" w:rsidP="00C9182C">
            <w:pPr>
              <w:rPr>
                <w:sz w:val="16"/>
                <w:szCs w:val="16"/>
              </w:rPr>
            </w:pPr>
            <w:r w:rsidRPr="00C258AD">
              <w:rPr>
                <w:sz w:val="16"/>
                <w:szCs w:val="16"/>
                <w:lang w:bidi="th-TH"/>
              </w:rPr>
              <w:t xml:space="preserve">Le système relatif au réseau du droit d’auteur de l’OMPI </w:t>
            </w:r>
            <w:r w:rsidRPr="00C258AD">
              <w:rPr>
                <w:color w:val="000000" w:themeColor="text1"/>
                <w:sz w:val="16"/>
                <w:szCs w:val="16"/>
              </w:rPr>
              <w:t>se trouvait dans la phase finale d’élaboration et sera installé dans les organisations de gestion collective des pays en développement et des pays les moins avancés à partir de 2016.</w:t>
            </w:r>
          </w:p>
        </w:tc>
        <w:tc>
          <w:tcPr>
            <w:tcW w:w="524" w:type="pct"/>
            <w:shd w:val="clear" w:color="auto" w:fill="auto"/>
            <w:tcMar>
              <w:top w:w="110" w:type="dxa"/>
            </w:tcMar>
          </w:tcPr>
          <w:p w:rsidR="002D4597" w:rsidRPr="00C258AD" w:rsidRDefault="002D4597" w:rsidP="00C9182C">
            <w:pPr>
              <w:jc w:val="center"/>
              <w:rPr>
                <w:b/>
              </w:rPr>
            </w:pPr>
            <w:r w:rsidRPr="00C258AD">
              <w:rPr>
                <w:b/>
                <w:color w:val="FF0000"/>
                <w:sz w:val="16"/>
                <w:szCs w:val="16"/>
              </w:rPr>
              <w:t>Objectif pas atteint</w:t>
            </w:r>
          </w:p>
        </w:tc>
      </w:tr>
    </w:tbl>
    <w:p w:rsidR="006E2BB1" w:rsidRPr="00C258AD" w:rsidRDefault="007500D7">
      <w:pPr>
        <w:spacing w:after="200" w:line="276" w:lineRule="auto"/>
        <w:rPr>
          <w:caps/>
          <w:sz w:val="22"/>
        </w:rPr>
      </w:pPr>
      <w:r w:rsidRPr="00C258AD">
        <w:br w:type="page"/>
      </w:r>
    </w:p>
    <w:p w:rsidR="006E2BB1" w:rsidRPr="00C258AD" w:rsidRDefault="002D4597" w:rsidP="00305CE5">
      <w:pPr>
        <w:keepNext/>
        <w:rPr>
          <w:rFonts w:cs="Arial"/>
          <w:caps/>
          <w:sz w:val="22"/>
          <w:szCs w:val="22"/>
        </w:rPr>
      </w:pPr>
      <w:r w:rsidRPr="00C258AD">
        <w:rPr>
          <w:rFonts w:cs="Arial"/>
          <w:caps/>
          <w:sz w:val="22"/>
          <w:szCs w:val="22"/>
        </w:rPr>
        <w:lastRenderedPageBreak/>
        <w:t>Rapport d’évaluation des risques pour l’exercice biennal</w:t>
      </w:r>
    </w:p>
    <w:p w:rsidR="002D4597" w:rsidRPr="00C258AD" w:rsidRDefault="002D4597" w:rsidP="00C9182C">
      <w:pPr>
        <w:keepNext/>
        <w:keepLines/>
        <w:rPr>
          <w:rFonts w:cs="Arial"/>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0"/>
        <w:gridCol w:w="2371"/>
        <w:gridCol w:w="2371"/>
        <w:gridCol w:w="2369"/>
        <w:gridCol w:w="10"/>
      </w:tblGrid>
      <w:tr w:rsidR="002D4597" w:rsidRPr="00C258AD" w:rsidTr="00C9182C">
        <w:trPr>
          <w:cantSplit/>
        </w:trPr>
        <w:tc>
          <w:tcPr>
            <w:tcW w:w="2372" w:type="dxa"/>
            <w:tcBorders>
              <w:top w:val="single" w:sz="4" w:space="0" w:color="auto"/>
              <w:left w:val="single" w:sz="4" w:space="0" w:color="auto"/>
              <w:bottom w:val="single" w:sz="4" w:space="0" w:color="auto"/>
            </w:tcBorders>
            <w:shd w:val="clear" w:color="auto" w:fill="C5D9F1"/>
            <w:vAlign w:val="center"/>
          </w:tcPr>
          <w:p w:rsidR="002D4597" w:rsidRPr="00C258AD" w:rsidRDefault="002D4597" w:rsidP="00C9182C">
            <w:pPr>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2D4597" w:rsidRPr="00C258AD" w:rsidRDefault="002D4597" w:rsidP="00C9182C">
            <w:pPr>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2D4597" w:rsidRPr="00C258AD" w:rsidRDefault="002D4597" w:rsidP="00C9182C">
            <w:pPr>
              <w:autoSpaceDE w:val="0"/>
              <w:autoSpaceDN w:val="0"/>
              <w:adjustRightInd w:val="0"/>
              <w:ind w:right="-59"/>
              <w:jc w:val="center"/>
              <w:rPr>
                <w:b/>
                <w:bCs/>
                <w:iCs/>
                <w:sz w:val="16"/>
                <w:szCs w:val="16"/>
              </w:rPr>
            </w:pPr>
            <w:r w:rsidRPr="00C258AD">
              <w:rPr>
                <w:b/>
                <w:bCs/>
                <w:iCs/>
                <w:sz w:val="16"/>
                <w:szCs w:val="16"/>
              </w:rPr>
              <w:t>Évolution des risques et stratégies d’atténuation durant l’exercice biennal</w:t>
            </w:r>
          </w:p>
        </w:tc>
        <w:tc>
          <w:tcPr>
            <w:tcW w:w="2373" w:type="dxa"/>
            <w:gridSpan w:val="2"/>
            <w:tcBorders>
              <w:top w:val="single" w:sz="4" w:space="0" w:color="auto"/>
              <w:bottom w:val="single" w:sz="4" w:space="0" w:color="auto"/>
              <w:right w:val="single" w:sz="4" w:space="0" w:color="auto"/>
            </w:tcBorders>
            <w:shd w:val="clear" w:color="auto" w:fill="C5D9F1"/>
            <w:vAlign w:val="center"/>
          </w:tcPr>
          <w:p w:rsidR="002D4597" w:rsidRPr="00C258AD" w:rsidRDefault="002D4597" w:rsidP="00C9182C">
            <w:pPr>
              <w:autoSpaceDE w:val="0"/>
              <w:autoSpaceDN w:val="0"/>
              <w:adjustRightInd w:val="0"/>
              <w:jc w:val="center"/>
              <w:rPr>
                <w:b/>
                <w:bCs/>
                <w:iCs/>
                <w:sz w:val="16"/>
                <w:szCs w:val="16"/>
              </w:rPr>
            </w:pPr>
            <w:r w:rsidRPr="00C258AD">
              <w:rPr>
                <w:b/>
                <w:bCs/>
                <w:iCs/>
                <w:sz w:val="16"/>
                <w:szCs w:val="16"/>
              </w:rPr>
              <w:t>Incidence sur les résultats du programme</w:t>
            </w:r>
          </w:p>
        </w:tc>
      </w:tr>
      <w:tr w:rsidR="002D4597" w:rsidRPr="00C258AD" w:rsidTr="00C9182C">
        <w:tblPrEx>
          <w:tblBorders>
            <w:top w:val="single" w:sz="4" w:space="0" w:color="auto"/>
            <w:left w:val="single" w:sz="4" w:space="0" w:color="auto"/>
            <w:bottom w:val="single" w:sz="4" w:space="0" w:color="auto"/>
            <w:right w:val="single" w:sz="4" w:space="0" w:color="auto"/>
          </w:tblBorders>
        </w:tblPrEx>
        <w:trPr>
          <w:gridAfter w:val="1"/>
          <w:wAfter w:w="10" w:type="dxa"/>
          <w:cantSplit/>
        </w:trPr>
        <w:tc>
          <w:tcPr>
            <w:tcW w:w="2371" w:type="dxa"/>
            <w:tcBorders>
              <w:top w:val="single" w:sz="4" w:space="0" w:color="auto"/>
            </w:tcBorders>
            <w:shd w:val="clear" w:color="auto" w:fill="auto"/>
            <w:tcMar>
              <w:top w:w="113" w:type="dxa"/>
              <w:bottom w:w="85" w:type="dxa"/>
            </w:tcMar>
          </w:tcPr>
          <w:p w:rsidR="002D4597" w:rsidRPr="00C258AD" w:rsidRDefault="002D4597" w:rsidP="00C9182C">
            <w:pPr>
              <w:rPr>
                <w:sz w:val="16"/>
                <w:szCs w:val="16"/>
              </w:rPr>
            </w:pPr>
            <w:r w:rsidRPr="00C258AD">
              <w:rPr>
                <w:sz w:val="16"/>
                <w:szCs w:val="16"/>
              </w:rPr>
              <w:t xml:space="preserve">La demande des offices de propriété intellectuelle en ce qui concerne la mise en place de progiciels de l’OMPI pourrait ne pas correspondre au plan de travail.  On incite à lancer des projets dans des offices de propriété intellectuelle où les conditions préalables (notamment les ressources au niveau local) pourraient faire défaut, ce qui pourrait entraîner un déploiement excessif de ressources en personnel et autres.  </w:t>
            </w:r>
          </w:p>
        </w:tc>
        <w:tc>
          <w:tcPr>
            <w:tcW w:w="2371" w:type="dxa"/>
            <w:tcBorders>
              <w:top w:val="single" w:sz="4" w:space="0" w:color="auto"/>
            </w:tcBorders>
            <w:shd w:val="clear" w:color="auto" w:fill="auto"/>
            <w:tcMar>
              <w:top w:w="113" w:type="dxa"/>
              <w:bottom w:w="85" w:type="dxa"/>
            </w:tcMar>
          </w:tcPr>
          <w:p w:rsidR="002D4597" w:rsidRPr="00C258AD" w:rsidRDefault="002D4597" w:rsidP="00C9182C">
            <w:pPr>
              <w:autoSpaceDE w:val="0"/>
              <w:autoSpaceDN w:val="0"/>
              <w:adjustRightInd w:val="0"/>
              <w:ind w:right="-59"/>
              <w:rPr>
                <w:sz w:val="16"/>
                <w:szCs w:val="16"/>
              </w:rPr>
            </w:pPr>
            <w:r w:rsidRPr="00C258AD">
              <w:rPr>
                <w:sz w:val="16"/>
                <w:szCs w:val="16"/>
              </w:rPr>
              <w:t>Évaluation des projets avant leur lancement.  Plans de projets approuvés et précisant avec clarté les rôles, les responsabilités et les ressources engagées par chacune des parties.</w:t>
            </w:r>
          </w:p>
        </w:tc>
        <w:tc>
          <w:tcPr>
            <w:tcW w:w="2368" w:type="dxa"/>
            <w:tcBorders>
              <w:top w:val="single" w:sz="4" w:space="0" w:color="auto"/>
            </w:tcBorders>
          </w:tcPr>
          <w:p w:rsidR="002D4597" w:rsidRPr="00C258AD" w:rsidRDefault="002D4597" w:rsidP="00C9182C">
            <w:pPr>
              <w:autoSpaceDE w:val="0"/>
              <w:autoSpaceDN w:val="0"/>
              <w:adjustRightInd w:val="0"/>
              <w:ind w:right="-59"/>
              <w:rPr>
                <w:sz w:val="16"/>
                <w:szCs w:val="16"/>
              </w:rPr>
            </w:pPr>
            <w:r w:rsidRPr="00C258AD">
              <w:rPr>
                <w:sz w:val="16"/>
                <w:szCs w:val="16"/>
              </w:rPr>
              <w:t xml:space="preserve">Ce risque s’est concrétisé au cours de l’exercice biennal, mais une gestion flexible du projet a permis d’y faire face, notamment grâce à la réaffectation des ressources entre les différents projets, qui a permis au programme de s’adapter aux changements imprévus dans la demande au cours de l’exercice biennal.  </w:t>
            </w:r>
          </w:p>
        </w:tc>
        <w:tc>
          <w:tcPr>
            <w:tcW w:w="2371" w:type="dxa"/>
            <w:tcBorders>
              <w:top w:val="single" w:sz="4" w:space="0" w:color="auto"/>
            </w:tcBorders>
          </w:tcPr>
          <w:p w:rsidR="002D4597" w:rsidRPr="00C258AD" w:rsidRDefault="002D4597" w:rsidP="00BB5DFE">
            <w:pPr>
              <w:autoSpaceDE w:val="0"/>
              <w:autoSpaceDN w:val="0"/>
              <w:adjustRightInd w:val="0"/>
              <w:ind w:right="-59"/>
              <w:rPr>
                <w:sz w:val="16"/>
                <w:szCs w:val="16"/>
              </w:rPr>
            </w:pPr>
            <w:r w:rsidRPr="00C258AD">
              <w:rPr>
                <w:sz w:val="16"/>
                <w:szCs w:val="16"/>
              </w:rPr>
              <w:t>Ce risque et son évolution n’ont eu aucune incidence concrète sur les résultats du programme en 2014</w:t>
            </w:r>
            <w:r w:rsidRPr="00C258AD">
              <w:rPr>
                <w:sz w:val="16"/>
                <w:szCs w:val="16"/>
              </w:rPr>
              <w:noBreakHyphen/>
              <w:t>2015.</w:t>
            </w:r>
          </w:p>
        </w:tc>
      </w:tr>
      <w:tr w:rsidR="002D4597" w:rsidRPr="00C258AD" w:rsidTr="00C9182C">
        <w:tblPrEx>
          <w:tblBorders>
            <w:top w:val="single" w:sz="4" w:space="0" w:color="auto"/>
            <w:left w:val="single" w:sz="4" w:space="0" w:color="auto"/>
            <w:bottom w:val="single" w:sz="4" w:space="0" w:color="auto"/>
            <w:right w:val="single" w:sz="4" w:space="0" w:color="auto"/>
          </w:tblBorders>
        </w:tblPrEx>
        <w:trPr>
          <w:gridAfter w:val="1"/>
          <w:wAfter w:w="10" w:type="dxa"/>
          <w:cantSplit/>
        </w:trPr>
        <w:tc>
          <w:tcPr>
            <w:tcW w:w="2371" w:type="dxa"/>
            <w:shd w:val="clear" w:color="auto" w:fill="auto"/>
            <w:tcMar>
              <w:top w:w="113" w:type="dxa"/>
              <w:bottom w:w="85" w:type="dxa"/>
            </w:tcMar>
          </w:tcPr>
          <w:p w:rsidR="002D4597" w:rsidRPr="00C258AD" w:rsidRDefault="002D4597" w:rsidP="00C9182C">
            <w:pPr>
              <w:rPr>
                <w:sz w:val="16"/>
                <w:szCs w:val="16"/>
              </w:rPr>
            </w:pPr>
            <w:r w:rsidRPr="00C258AD">
              <w:rPr>
                <w:sz w:val="16"/>
                <w:szCs w:val="16"/>
              </w:rPr>
              <w:t>Les progiciels de l’OMPI (mis à la disposition des offices de propriété intellectuelle) sont développés par des entreprises extérieures, qui assurent également l’appui après installation, ce qui peut entraîner une perte de savoirs à court terme.</w:t>
            </w:r>
          </w:p>
        </w:tc>
        <w:tc>
          <w:tcPr>
            <w:tcW w:w="2371" w:type="dxa"/>
            <w:shd w:val="clear" w:color="auto" w:fill="auto"/>
            <w:tcMar>
              <w:top w:w="113" w:type="dxa"/>
              <w:bottom w:w="85" w:type="dxa"/>
            </w:tcMar>
          </w:tcPr>
          <w:p w:rsidR="002D4597" w:rsidRPr="00C258AD" w:rsidRDefault="002D4597" w:rsidP="00C9182C">
            <w:pPr>
              <w:autoSpaceDE w:val="0"/>
              <w:autoSpaceDN w:val="0"/>
              <w:adjustRightInd w:val="0"/>
              <w:ind w:right="-59"/>
              <w:rPr>
                <w:sz w:val="16"/>
                <w:szCs w:val="16"/>
              </w:rPr>
            </w:pPr>
            <w:r w:rsidRPr="00C258AD">
              <w:rPr>
                <w:sz w:val="16"/>
                <w:szCs w:val="16"/>
              </w:rPr>
              <w:t>Dans toute la mesure du possible, les savoirs essentiels devront être conservés par le personnel au sein de l’Organisation.  Tout contrat avec une entreprise extérieure devra prévoir une clause relative au transfert de savoirs en cas de rupture de contrat.</w:t>
            </w:r>
          </w:p>
        </w:tc>
        <w:tc>
          <w:tcPr>
            <w:tcW w:w="2368" w:type="dxa"/>
          </w:tcPr>
          <w:p w:rsidR="002D4597" w:rsidRPr="00C258AD" w:rsidRDefault="002D4597" w:rsidP="00C9182C">
            <w:pPr>
              <w:autoSpaceDE w:val="0"/>
              <w:autoSpaceDN w:val="0"/>
              <w:adjustRightInd w:val="0"/>
              <w:ind w:right="-59"/>
              <w:rPr>
                <w:sz w:val="16"/>
                <w:szCs w:val="16"/>
              </w:rPr>
            </w:pPr>
            <w:r w:rsidRPr="00C258AD">
              <w:rPr>
                <w:sz w:val="16"/>
                <w:szCs w:val="16"/>
              </w:rPr>
              <w:t xml:space="preserve">Afin de réduire ce risque, un architecte logiciel a été recruté en 2014 et des ressources en personnel et des fournisseurs supplémentaires ont été impliqués dans le transfert de savoirs par les entreprises extérieures.  En conséquence, le partage et la préservation des savoirs se sont améliorés au cours de l’exercice biennal.  </w:t>
            </w:r>
          </w:p>
        </w:tc>
        <w:tc>
          <w:tcPr>
            <w:tcW w:w="2371" w:type="dxa"/>
          </w:tcPr>
          <w:p w:rsidR="002D4597" w:rsidRPr="00C258AD" w:rsidRDefault="002D4597" w:rsidP="00C9182C">
            <w:pPr>
              <w:autoSpaceDE w:val="0"/>
              <w:autoSpaceDN w:val="0"/>
              <w:adjustRightInd w:val="0"/>
              <w:ind w:right="-59"/>
              <w:rPr>
                <w:sz w:val="16"/>
                <w:szCs w:val="16"/>
              </w:rPr>
            </w:pPr>
            <w:r w:rsidRPr="00C258AD">
              <w:rPr>
                <w:sz w:val="16"/>
                <w:szCs w:val="16"/>
              </w:rPr>
              <w:t>Ce risque et son évolution n’ont eu aucune incidence concrète sur les résultats du programme en 2014</w:t>
            </w:r>
            <w:r w:rsidRPr="00C258AD">
              <w:rPr>
                <w:sz w:val="16"/>
                <w:szCs w:val="16"/>
              </w:rPr>
              <w:noBreakHyphen/>
              <w:t xml:space="preserve">2015.  </w:t>
            </w:r>
          </w:p>
        </w:tc>
      </w:tr>
      <w:tr w:rsidR="002D4597" w:rsidRPr="00C258AD" w:rsidTr="00C9182C">
        <w:tblPrEx>
          <w:tblBorders>
            <w:top w:val="single" w:sz="4" w:space="0" w:color="auto"/>
            <w:left w:val="single" w:sz="4" w:space="0" w:color="auto"/>
            <w:bottom w:val="single" w:sz="4" w:space="0" w:color="auto"/>
            <w:right w:val="single" w:sz="4" w:space="0" w:color="auto"/>
          </w:tblBorders>
        </w:tblPrEx>
        <w:trPr>
          <w:gridAfter w:val="1"/>
          <w:wAfter w:w="10" w:type="dxa"/>
          <w:cantSplit/>
        </w:trPr>
        <w:tc>
          <w:tcPr>
            <w:tcW w:w="2371" w:type="dxa"/>
            <w:shd w:val="clear" w:color="auto" w:fill="auto"/>
            <w:tcMar>
              <w:top w:w="113" w:type="dxa"/>
              <w:bottom w:w="85" w:type="dxa"/>
            </w:tcMar>
          </w:tcPr>
          <w:p w:rsidR="002D4597" w:rsidRPr="00C258AD" w:rsidRDefault="002D4597" w:rsidP="00C9182C">
            <w:pPr>
              <w:rPr>
                <w:sz w:val="16"/>
                <w:szCs w:val="16"/>
              </w:rPr>
            </w:pPr>
            <w:r w:rsidRPr="00C258AD">
              <w:rPr>
                <w:sz w:val="16"/>
                <w:szCs w:val="16"/>
              </w:rPr>
              <w:t>Les offices recourent aux systèmes logiciels de l’OMPI pour mener à bien leurs principales activités.  Une défaillance de l’un de ces systèmes peut avoir de graves conséquences sur les opérations courantes, raison pour laquelle on attend de l’OMPI qu’elle offre un soutien adapté et constant.</w:t>
            </w:r>
          </w:p>
        </w:tc>
        <w:tc>
          <w:tcPr>
            <w:tcW w:w="2371" w:type="dxa"/>
            <w:shd w:val="clear" w:color="auto" w:fill="auto"/>
            <w:tcMar>
              <w:top w:w="113" w:type="dxa"/>
              <w:bottom w:w="85" w:type="dxa"/>
            </w:tcMar>
          </w:tcPr>
          <w:p w:rsidR="002D4597" w:rsidRPr="00C258AD" w:rsidRDefault="002D4597" w:rsidP="00C9182C">
            <w:pPr>
              <w:keepNext/>
              <w:keepLines/>
              <w:autoSpaceDE w:val="0"/>
              <w:autoSpaceDN w:val="0"/>
              <w:adjustRightInd w:val="0"/>
              <w:ind w:right="-59"/>
              <w:rPr>
                <w:sz w:val="16"/>
                <w:szCs w:val="16"/>
              </w:rPr>
            </w:pPr>
            <w:r w:rsidRPr="00C258AD">
              <w:rPr>
                <w:sz w:val="16"/>
                <w:szCs w:val="16"/>
              </w:rPr>
              <w:t>Affecter suffisamment de moyens au support logiciel.  Veiller à ce que le personnel local des offices de propriété intellectuelle soit en mesure d’apporter une aide de premier niveau.  Établir des procédures formelles pour le soutien logiciel et la maintenance.</w:t>
            </w:r>
          </w:p>
        </w:tc>
        <w:tc>
          <w:tcPr>
            <w:tcW w:w="2368" w:type="dxa"/>
          </w:tcPr>
          <w:p w:rsidR="002D4597" w:rsidRPr="00C258AD" w:rsidRDefault="002D4597" w:rsidP="00C9182C">
            <w:pPr>
              <w:keepNext/>
              <w:keepLines/>
              <w:autoSpaceDE w:val="0"/>
              <w:autoSpaceDN w:val="0"/>
              <w:adjustRightInd w:val="0"/>
              <w:ind w:right="-59"/>
              <w:rPr>
                <w:sz w:val="16"/>
                <w:szCs w:val="16"/>
              </w:rPr>
            </w:pPr>
            <w:r w:rsidRPr="00C258AD">
              <w:rPr>
                <w:sz w:val="16"/>
                <w:szCs w:val="16"/>
              </w:rPr>
              <w:t xml:space="preserve">Les incidents graves survenus dans les offices de propriété intellectuelle au cours de l’exercice biennal ont été efficacement gérés par le personnel local des offices et les experts de l’OMPI.  Des ressources supplémentaires ont été consacrées à la formation et au transfert de savoirs.  </w:t>
            </w:r>
          </w:p>
        </w:tc>
        <w:tc>
          <w:tcPr>
            <w:tcW w:w="2371" w:type="dxa"/>
          </w:tcPr>
          <w:p w:rsidR="002D4597" w:rsidRPr="00C258AD" w:rsidRDefault="002D4597" w:rsidP="00BB5DFE">
            <w:pPr>
              <w:autoSpaceDE w:val="0"/>
              <w:autoSpaceDN w:val="0"/>
              <w:adjustRightInd w:val="0"/>
              <w:ind w:right="-59"/>
              <w:rPr>
                <w:sz w:val="16"/>
                <w:szCs w:val="16"/>
              </w:rPr>
            </w:pPr>
            <w:r w:rsidRPr="00C258AD">
              <w:rPr>
                <w:sz w:val="16"/>
                <w:szCs w:val="16"/>
              </w:rPr>
              <w:t>Ce risque et son évolution n’ont eu aucune incidence concrète sur les résultats du programme en 2014</w:t>
            </w:r>
            <w:r w:rsidRPr="00C258AD">
              <w:rPr>
                <w:sz w:val="16"/>
                <w:szCs w:val="16"/>
              </w:rPr>
              <w:noBreakHyphen/>
              <w:t>2015.</w:t>
            </w:r>
          </w:p>
        </w:tc>
      </w:tr>
    </w:tbl>
    <w:p w:rsidR="006E2BB1" w:rsidRPr="00C258AD" w:rsidRDefault="006E2BB1" w:rsidP="00C9182C"/>
    <w:p w:rsidR="006E2BB1" w:rsidRPr="00C258AD" w:rsidRDefault="006E2BB1" w:rsidP="00C9182C"/>
    <w:p w:rsidR="006E2BB1" w:rsidRPr="00C258AD" w:rsidRDefault="002D4597" w:rsidP="00305CE5">
      <w:pPr>
        <w:keepNext/>
        <w:rPr>
          <w:rFonts w:cs="Arial"/>
          <w:caps/>
          <w:sz w:val="22"/>
          <w:szCs w:val="22"/>
        </w:rPr>
      </w:pPr>
      <w:r w:rsidRPr="00C258AD">
        <w:rPr>
          <w:rFonts w:cs="Arial"/>
          <w:caps/>
          <w:sz w:val="22"/>
          <w:szCs w:val="22"/>
        </w:rPr>
        <w:t>Utilisation des ressources</w:t>
      </w:r>
    </w:p>
    <w:p w:rsidR="006E2BB1" w:rsidRPr="00C258AD" w:rsidRDefault="006E2BB1" w:rsidP="00C9182C">
      <w:pPr>
        <w:jc w:val="center"/>
      </w:pPr>
    </w:p>
    <w:p w:rsidR="006E2BB1" w:rsidRPr="00C258AD" w:rsidRDefault="002D4597" w:rsidP="00C9182C">
      <w:pPr>
        <w:pStyle w:val="NormalWeb"/>
        <w:keepNext/>
        <w:spacing w:before="0" w:beforeAutospacing="0" w:after="0" w:afterAutospacing="0"/>
        <w:jc w:val="center"/>
        <w:rPr>
          <w:sz w:val="20"/>
          <w:szCs w:val="20"/>
        </w:rPr>
      </w:pPr>
      <w:r w:rsidRPr="00C258AD">
        <w:rPr>
          <w:sz w:val="20"/>
          <w:szCs w:val="20"/>
        </w:rPr>
        <w:t>Budget et dépenses effectives (par résultat)</w:t>
      </w:r>
    </w:p>
    <w:p w:rsidR="006E2BB1" w:rsidRPr="00C258AD" w:rsidRDefault="002D4597" w:rsidP="00C9182C">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2D4597" w:rsidRPr="00C258AD" w:rsidRDefault="002D4597" w:rsidP="00C9182C">
      <w:pPr>
        <w:keepNext/>
        <w:jc w:val="both"/>
      </w:pPr>
    </w:p>
    <w:tbl>
      <w:tblPr>
        <w:tblW w:w="5000" w:type="pct"/>
        <w:tblCellMar>
          <w:top w:w="113" w:type="dxa"/>
          <w:left w:w="70" w:type="dxa"/>
          <w:bottom w:w="113" w:type="dxa"/>
          <w:right w:w="70" w:type="dxa"/>
        </w:tblCellMar>
        <w:tblLook w:val="04A0" w:firstRow="1" w:lastRow="0" w:firstColumn="1" w:lastColumn="0" w:noHBand="0" w:noVBand="1"/>
      </w:tblPr>
      <w:tblGrid>
        <w:gridCol w:w="558"/>
        <w:gridCol w:w="4671"/>
        <w:gridCol w:w="1422"/>
        <w:gridCol w:w="1422"/>
        <w:gridCol w:w="1422"/>
      </w:tblGrid>
      <w:tr w:rsidR="002D4597" w:rsidRPr="00C258AD" w:rsidTr="00C9182C">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2D4597" w:rsidRPr="00C258AD" w:rsidRDefault="002D4597" w:rsidP="00C9182C">
            <w:pPr>
              <w:jc w:val="center"/>
              <w:rPr>
                <w:i/>
                <w:iCs/>
                <w:sz w:val="16"/>
                <w:szCs w:val="16"/>
                <w:lang w:eastAsia="fr-FR"/>
              </w:rPr>
            </w:pPr>
            <w:r w:rsidRPr="00C258AD">
              <w:rPr>
                <w:i/>
                <w:iCs/>
                <w:sz w:val="16"/>
                <w:szCs w:val="16"/>
                <w:lang w:eastAsia="fr-FR"/>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2D4597" w:rsidRPr="00C258AD" w:rsidRDefault="002D4597" w:rsidP="00C9182C">
            <w:pPr>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Pr="00C258AD">
              <w:rPr>
                <w:i/>
                <w:iCs/>
                <w:sz w:val="16"/>
                <w:szCs w:val="16"/>
                <w:lang w:eastAsia="fr-FR"/>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2D4597" w:rsidRPr="00C258AD" w:rsidRDefault="002D4597" w:rsidP="00C9182C">
            <w:pPr>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Pr="00C258AD">
              <w:rPr>
                <w:i/>
                <w:iCs/>
                <w:sz w:val="16"/>
                <w:szCs w:val="16"/>
                <w:lang w:eastAsia="fr-FR"/>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2D4597" w:rsidRPr="00C258AD" w:rsidRDefault="002D4597" w:rsidP="00C9182C">
            <w:pPr>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Pr="00C258AD">
              <w:rPr>
                <w:i/>
                <w:iCs/>
                <w:sz w:val="16"/>
                <w:szCs w:val="16"/>
                <w:lang w:eastAsia="fr-FR"/>
              </w:rPr>
              <w:noBreakHyphen/>
              <w:t>2015</w:t>
            </w:r>
          </w:p>
        </w:tc>
      </w:tr>
      <w:tr w:rsidR="002D4597" w:rsidRPr="00C258AD" w:rsidTr="00C9182C">
        <w:trPr>
          <w:cantSplit/>
        </w:trPr>
        <w:tc>
          <w:tcPr>
            <w:tcW w:w="533" w:type="dxa"/>
            <w:tcBorders>
              <w:top w:val="nil"/>
              <w:left w:val="single" w:sz="4" w:space="0" w:color="auto"/>
              <w:bottom w:val="nil"/>
              <w:right w:val="nil"/>
            </w:tcBorders>
            <w:shd w:val="clear" w:color="auto" w:fill="auto"/>
            <w:noWrap/>
            <w:vAlign w:val="center"/>
            <w:hideMark/>
          </w:tcPr>
          <w:p w:rsidR="002D4597" w:rsidRPr="00C258AD" w:rsidRDefault="002D4597" w:rsidP="00C9182C">
            <w:pPr>
              <w:rPr>
                <w:sz w:val="16"/>
                <w:szCs w:val="16"/>
                <w:lang w:eastAsia="fr-FR"/>
              </w:rPr>
            </w:pPr>
            <w:r w:rsidRPr="00C258AD">
              <w:rPr>
                <w:sz w:val="16"/>
                <w:szCs w:val="16"/>
                <w:lang w:eastAsia="fr-FR"/>
              </w:rPr>
              <w:t>IV.4</w:t>
            </w:r>
          </w:p>
        </w:tc>
        <w:tc>
          <w:tcPr>
            <w:tcW w:w="4467" w:type="dxa"/>
            <w:tcBorders>
              <w:top w:val="nil"/>
              <w:left w:val="nil"/>
              <w:bottom w:val="nil"/>
              <w:right w:val="nil"/>
            </w:tcBorders>
            <w:shd w:val="clear" w:color="auto" w:fill="auto"/>
            <w:vAlign w:val="center"/>
            <w:hideMark/>
          </w:tcPr>
          <w:p w:rsidR="002D4597" w:rsidRPr="00C258AD" w:rsidRDefault="002D4597" w:rsidP="00C9182C">
            <w:pPr>
              <w:rPr>
                <w:sz w:val="16"/>
                <w:szCs w:val="16"/>
                <w:lang w:eastAsia="fr-FR"/>
              </w:rPr>
            </w:pPr>
            <w:r w:rsidRPr="00C258AD">
              <w:rPr>
                <w:sz w:val="16"/>
                <w:szCs w:val="16"/>
                <w:lang w:eastAsia="fr-FR"/>
              </w:rPr>
              <w:t>Amélioration de l’infrastructure technique et du savoir pour les offices de propriété intellectuelle et d’autres institutions de propriété intellectuelle, leur permettant de fournir à leurs parties prenantes des services améliorés (moins chers, plus rapides, de meilleure qualité)</w:t>
            </w:r>
          </w:p>
        </w:tc>
        <w:tc>
          <w:tcPr>
            <w:tcW w:w="1360" w:type="dxa"/>
            <w:tcBorders>
              <w:top w:val="nil"/>
              <w:left w:val="nil"/>
              <w:bottom w:val="nil"/>
              <w:right w:val="nil"/>
            </w:tcBorders>
            <w:shd w:val="clear" w:color="auto" w:fill="auto"/>
            <w:vAlign w:val="center"/>
            <w:hideMark/>
          </w:tcPr>
          <w:p w:rsidR="002D4597" w:rsidRPr="00C258AD" w:rsidRDefault="002D4597" w:rsidP="00C9182C">
            <w:pPr>
              <w:jc w:val="right"/>
              <w:rPr>
                <w:sz w:val="16"/>
                <w:szCs w:val="16"/>
                <w:lang w:eastAsia="fr-FR"/>
              </w:rPr>
            </w:pPr>
            <w:r w:rsidRPr="00C258AD">
              <w:rPr>
                <w:sz w:val="16"/>
                <w:szCs w:val="16"/>
                <w:lang w:eastAsia="fr-FR"/>
              </w:rPr>
              <w:t>11 628</w:t>
            </w:r>
          </w:p>
        </w:tc>
        <w:tc>
          <w:tcPr>
            <w:tcW w:w="1360" w:type="dxa"/>
            <w:tcBorders>
              <w:top w:val="nil"/>
              <w:left w:val="nil"/>
              <w:bottom w:val="nil"/>
              <w:right w:val="nil"/>
            </w:tcBorders>
            <w:shd w:val="clear" w:color="auto" w:fill="auto"/>
            <w:vAlign w:val="center"/>
            <w:hideMark/>
          </w:tcPr>
          <w:p w:rsidR="002D4597" w:rsidRPr="00C258AD" w:rsidRDefault="002D4597" w:rsidP="00C9182C">
            <w:pPr>
              <w:jc w:val="right"/>
              <w:rPr>
                <w:sz w:val="16"/>
                <w:szCs w:val="16"/>
                <w:lang w:eastAsia="fr-FR"/>
              </w:rPr>
            </w:pPr>
            <w:r w:rsidRPr="00C258AD">
              <w:rPr>
                <w:sz w:val="16"/>
                <w:szCs w:val="16"/>
                <w:lang w:eastAsia="fr-FR"/>
              </w:rPr>
              <w:t>12 045</w:t>
            </w:r>
          </w:p>
        </w:tc>
        <w:tc>
          <w:tcPr>
            <w:tcW w:w="1360" w:type="dxa"/>
            <w:tcBorders>
              <w:top w:val="nil"/>
              <w:left w:val="nil"/>
              <w:bottom w:val="nil"/>
              <w:right w:val="single" w:sz="4" w:space="0" w:color="auto"/>
            </w:tcBorders>
            <w:shd w:val="clear" w:color="auto" w:fill="auto"/>
            <w:vAlign w:val="center"/>
            <w:hideMark/>
          </w:tcPr>
          <w:p w:rsidR="002D4597" w:rsidRPr="00C258AD" w:rsidRDefault="002D4597" w:rsidP="00C9182C">
            <w:pPr>
              <w:jc w:val="right"/>
              <w:rPr>
                <w:sz w:val="16"/>
                <w:szCs w:val="16"/>
                <w:lang w:eastAsia="fr-FR"/>
              </w:rPr>
            </w:pPr>
            <w:r w:rsidRPr="00C258AD">
              <w:rPr>
                <w:sz w:val="16"/>
                <w:szCs w:val="16"/>
                <w:lang w:eastAsia="fr-FR"/>
              </w:rPr>
              <w:t>11 940</w:t>
            </w:r>
          </w:p>
        </w:tc>
      </w:tr>
      <w:tr w:rsidR="002D4597" w:rsidRPr="00C258AD" w:rsidTr="00C9182C">
        <w:trPr>
          <w:cantSplit/>
        </w:trPr>
        <w:tc>
          <w:tcPr>
            <w:tcW w:w="533" w:type="dxa"/>
            <w:tcBorders>
              <w:top w:val="single" w:sz="4" w:space="0" w:color="auto"/>
              <w:left w:val="single" w:sz="4" w:space="0" w:color="auto"/>
              <w:bottom w:val="single" w:sz="4" w:space="0" w:color="auto"/>
              <w:right w:val="nil"/>
            </w:tcBorders>
            <w:shd w:val="clear" w:color="auto" w:fill="C5D9F1"/>
            <w:noWrap/>
            <w:vAlign w:val="bottom"/>
            <w:hideMark/>
          </w:tcPr>
          <w:p w:rsidR="002D4597" w:rsidRPr="00C258AD" w:rsidRDefault="002D4597" w:rsidP="00C9182C">
            <w:pPr>
              <w:rPr>
                <w:sz w:val="16"/>
                <w:szCs w:val="16"/>
                <w:lang w:eastAsia="fr-FR"/>
              </w:rPr>
            </w:pPr>
            <w:r w:rsidRPr="00C258AD">
              <w:rPr>
                <w:sz w:val="16"/>
                <w:szCs w:val="16"/>
                <w:lang w:eastAsia="fr-FR"/>
              </w:rPr>
              <w:t> </w:t>
            </w:r>
          </w:p>
        </w:tc>
        <w:tc>
          <w:tcPr>
            <w:tcW w:w="4467" w:type="dxa"/>
            <w:tcBorders>
              <w:top w:val="single" w:sz="4" w:space="0" w:color="auto"/>
              <w:left w:val="nil"/>
              <w:bottom w:val="single" w:sz="4" w:space="0" w:color="auto"/>
              <w:right w:val="single" w:sz="4" w:space="0" w:color="auto"/>
            </w:tcBorders>
            <w:shd w:val="clear" w:color="auto" w:fill="C5D9F1"/>
            <w:noWrap/>
            <w:vAlign w:val="bottom"/>
            <w:hideMark/>
          </w:tcPr>
          <w:p w:rsidR="002D4597" w:rsidRPr="00C258AD" w:rsidRDefault="002D4597" w:rsidP="00C9182C">
            <w:pPr>
              <w:rPr>
                <w:b/>
                <w:bCs/>
                <w:sz w:val="16"/>
                <w:szCs w:val="16"/>
                <w:lang w:eastAsia="fr-FR"/>
              </w:rPr>
            </w:pPr>
            <w:r w:rsidRPr="00C258AD">
              <w:rPr>
                <w:b/>
                <w:bCs/>
                <w:sz w:val="16"/>
                <w:szCs w:val="16"/>
                <w:lang w:eastAsia="fr-FR"/>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2D4597" w:rsidRPr="00C258AD" w:rsidRDefault="002D4597" w:rsidP="00C9182C">
            <w:pPr>
              <w:jc w:val="right"/>
              <w:rPr>
                <w:b/>
                <w:bCs/>
                <w:sz w:val="16"/>
                <w:szCs w:val="16"/>
                <w:lang w:eastAsia="fr-FR"/>
              </w:rPr>
            </w:pPr>
            <w:r w:rsidRPr="00C258AD">
              <w:rPr>
                <w:b/>
                <w:bCs/>
                <w:sz w:val="16"/>
                <w:szCs w:val="16"/>
                <w:lang w:eastAsia="fr-FR"/>
              </w:rPr>
              <w:t>11 628</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2D4597" w:rsidRPr="00C258AD" w:rsidRDefault="002D4597" w:rsidP="00C9182C">
            <w:pPr>
              <w:jc w:val="right"/>
              <w:rPr>
                <w:b/>
                <w:bCs/>
                <w:sz w:val="16"/>
                <w:szCs w:val="16"/>
                <w:lang w:eastAsia="fr-FR"/>
              </w:rPr>
            </w:pPr>
            <w:r w:rsidRPr="00C258AD">
              <w:rPr>
                <w:b/>
                <w:bCs/>
                <w:sz w:val="16"/>
                <w:szCs w:val="16"/>
                <w:lang w:eastAsia="fr-FR"/>
              </w:rPr>
              <w:t>12 045</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2D4597" w:rsidRPr="00C258AD" w:rsidRDefault="002D4597" w:rsidP="00C9182C">
            <w:pPr>
              <w:jc w:val="right"/>
              <w:rPr>
                <w:b/>
                <w:bCs/>
                <w:sz w:val="16"/>
                <w:szCs w:val="16"/>
                <w:lang w:eastAsia="fr-FR"/>
              </w:rPr>
            </w:pPr>
            <w:r w:rsidRPr="00C258AD">
              <w:rPr>
                <w:b/>
                <w:bCs/>
                <w:sz w:val="16"/>
                <w:szCs w:val="16"/>
                <w:lang w:eastAsia="fr-FR"/>
              </w:rPr>
              <w:t>11 940</w:t>
            </w:r>
          </w:p>
        </w:tc>
      </w:tr>
    </w:tbl>
    <w:p w:rsidR="006E2BB1" w:rsidRPr="00C258AD" w:rsidRDefault="006E2BB1" w:rsidP="00C9182C"/>
    <w:p w:rsidR="006E2BB1" w:rsidRPr="00C258AD" w:rsidRDefault="006E2BB1" w:rsidP="00C9182C"/>
    <w:p w:rsidR="006E2BB1" w:rsidRPr="00C258AD" w:rsidRDefault="002D4597" w:rsidP="00C9182C">
      <w:pPr>
        <w:pStyle w:val="NormalWeb"/>
        <w:keepNext/>
        <w:keepLines/>
        <w:spacing w:before="0" w:beforeAutospacing="0" w:after="0" w:afterAutospacing="0"/>
        <w:jc w:val="center"/>
        <w:rPr>
          <w:sz w:val="20"/>
          <w:szCs w:val="20"/>
        </w:rPr>
      </w:pPr>
      <w:r w:rsidRPr="00C258AD">
        <w:rPr>
          <w:sz w:val="20"/>
          <w:szCs w:val="20"/>
        </w:rPr>
        <w:lastRenderedPageBreak/>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2D4597" w:rsidP="00C9182C">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2D4597" w:rsidRPr="00C258AD" w:rsidRDefault="002D4597" w:rsidP="00C9182C">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2D4597" w:rsidRPr="00C258AD" w:rsidTr="00C9182C">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2D4597" w:rsidRPr="00C258AD" w:rsidRDefault="002D4597" w:rsidP="00C9182C">
            <w:pPr>
              <w:keepNext/>
              <w:rPr>
                <w:color w:val="000000"/>
                <w:sz w:val="16"/>
                <w:szCs w:val="18"/>
                <w:lang w:eastAsia="fr-FR"/>
              </w:rPr>
            </w:pPr>
            <w:r w:rsidRPr="00C258AD">
              <w:rPr>
                <w:color w:val="000000"/>
                <w:sz w:val="16"/>
                <w:szCs w:val="18"/>
                <w:lang w:eastAsia="fr-FR"/>
              </w:rPr>
              <w:t> </w:t>
            </w:r>
          </w:p>
        </w:tc>
        <w:tc>
          <w:tcPr>
            <w:tcW w:w="1745" w:type="dxa"/>
            <w:tcBorders>
              <w:top w:val="single" w:sz="4" w:space="0" w:color="auto"/>
              <w:left w:val="nil"/>
              <w:bottom w:val="nil"/>
              <w:right w:val="single" w:sz="4" w:space="0" w:color="auto"/>
            </w:tcBorders>
            <w:shd w:val="clear" w:color="auto" w:fill="C5D9F1"/>
            <w:vAlign w:val="center"/>
            <w:hideMark/>
          </w:tcPr>
          <w:p w:rsidR="002D4597" w:rsidRPr="00C258AD" w:rsidRDefault="002D4597" w:rsidP="00C9182C">
            <w:pPr>
              <w:keepNext/>
              <w:jc w:val="center"/>
              <w:rPr>
                <w:b/>
                <w:bCs/>
                <w:color w:val="000000"/>
                <w:sz w:val="16"/>
                <w:szCs w:val="18"/>
                <w:lang w:eastAsia="fr-FR"/>
              </w:rPr>
            </w:pPr>
            <w:r w:rsidRPr="00C258AD">
              <w:rPr>
                <w:b/>
                <w:bCs/>
                <w:color w:val="000000"/>
                <w:sz w:val="16"/>
                <w:szCs w:val="18"/>
                <w:lang w:eastAsia="fr-FR"/>
              </w:rPr>
              <w:t>Budget 2014</w:t>
            </w:r>
            <w:r w:rsidRPr="00C258AD">
              <w:rPr>
                <w:b/>
                <w:bCs/>
                <w:color w:val="000000"/>
                <w:sz w:val="16"/>
                <w:szCs w:val="18"/>
                <w:lang w:eastAsia="fr-FR"/>
              </w:rPr>
              <w:noBreakHyphen/>
              <w:t>2015 approuvé</w:t>
            </w:r>
          </w:p>
        </w:tc>
        <w:tc>
          <w:tcPr>
            <w:tcW w:w="1746" w:type="dxa"/>
            <w:tcBorders>
              <w:top w:val="single" w:sz="4" w:space="0" w:color="auto"/>
              <w:left w:val="nil"/>
              <w:bottom w:val="nil"/>
              <w:right w:val="single" w:sz="4" w:space="0" w:color="auto"/>
            </w:tcBorders>
            <w:shd w:val="clear" w:color="auto" w:fill="C5D9F1"/>
            <w:vAlign w:val="center"/>
            <w:hideMark/>
          </w:tcPr>
          <w:p w:rsidR="002D4597" w:rsidRPr="00C258AD" w:rsidRDefault="002D4597" w:rsidP="00C9182C">
            <w:pPr>
              <w:keepNext/>
              <w:jc w:val="center"/>
              <w:rPr>
                <w:b/>
                <w:bCs/>
                <w:color w:val="000000"/>
                <w:sz w:val="16"/>
                <w:szCs w:val="18"/>
                <w:lang w:eastAsia="fr-FR"/>
              </w:rPr>
            </w:pPr>
            <w:r w:rsidRPr="00C258AD">
              <w:rPr>
                <w:b/>
                <w:bCs/>
                <w:color w:val="000000"/>
                <w:sz w:val="16"/>
                <w:szCs w:val="18"/>
                <w:lang w:eastAsia="fr-FR"/>
              </w:rPr>
              <w:t>Budget final 2014</w:t>
            </w:r>
            <w:r w:rsidRPr="00C258AD">
              <w:rPr>
                <w:b/>
                <w:bCs/>
                <w:color w:val="000000"/>
                <w:sz w:val="16"/>
                <w:szCs w:val="18"/>
                <w:lang w:eastAsia="fr-FR"/>
              </w:rPr>
              <w:noBreakHyphen/>
              <w:t>2015</w:t>
            </w:r>
            <w:r w:rsidRPr="00C258AD">
              <w:rPr>
                <w:b/>
                <w:bCs/>
                <w:color w:val="000000"/>
                <w:sz w:val="16"/>
                <w:szCs w:val="18"/>
                <w:lang w:eastAsia="fr-FR"/>
              </w:rPr>
              <w:br/>
              <w:t>après virements</w:t>
            </w:r>
          </w:p>
        </w:tc>
        <w:tc>
          <w:tcPr>
            <w:tcW w:w="1745" w:type="dxa"/>
            <w:tcBorders>
              <w:top w:val="single" w:sz="4" w:space="0" w:color="auto"/>
              <w:left w:val="nil"/>
              <w:bottom w:val="nil"/>
              <w:right w:val="single" w:sz="4" w:space="0" w:color="auto"/>
            </w:tcBorders>
            <w:shd w:val="clear" w:color="auto" w:fill="C5D9F1"/>
            <w:vAlign w:val="center"/>
            <w:hideMark/>
          </w:tcPr>
          <w:p w:rsidR="002D4597" w:rsidRPr="00C258AD" w:rsidRDefault="002D4597" w:rsidP="00C9182C">
            <w:pPr>
              <w:keepNext/>
              <w:jc w:val="center"/>
              <w:rPr>
                <w:b/>
                <w:bCs/>
                <w:color w:val="000000"/>
                <w:sz w:val="16"/>
                <w:szCs w:val="18"/>
                <w:lang w:eastAsia="fr-FR"/>
              </w:rPr>
            </w:pPr>
            <w:r w:rsidRPr="00C258AD">
              <w:rPr>
                <w:b/>
                <w:bCs/>
                <w:color w:val="000000"/>
                <w:sz w:val="16"/>
                <w:szCs w:val="18"/>
                <w:lang w:eastAsia="fr-FR"/>
              </w:rPr>
              <w:t xml:space="preserve">Dépenses </w:t>
            </w:r>
            <w:r w:rsidRPr="00C258AD">
              <w:rPr>
                <w:b/>
                <w:bCs/>
                <w:color w:val="000000"/>
                <w:sz w:val="16"/>
                <w:szCs w:val="18"/>
                <w:lang w:eastAsia="fr-FR"/>
              </w:rPr>
              <w:br/>
              <w:t>2014</w:t>
            </w:r>
            <w:r w:rsidRPr="00C258AD">
              <w:rPr>
                <w:b/>
                <w:bCs/>
                <w:color w:val="000000"/>
                <w:sz w:val="16"/>
                <w:szCs w:val="18"/>
                <w:lang w:eastAsia="fr-FR"/>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2D4597" w:rsidRPr="00C258AD" w:rsidRDefault="002D4597" w:rsidP="00C9182C">
            <w:pPr>
              <w:keepNext/>
              <w:jc w:val="center"/>
              <w:rPr>
                <w:b/>
                <w:bCs/>
                <w:color w:val="000000"/>
                <w:sz w:val="16"/>
                <w:szCs w:val="18"/>
                <w:lang w:eastAsia="fr-FR"/>
              </w:rPr>
            </w:pPr>
            <w:r w:rsidRPr="00C258AD">
              <w:rPr>
                <w:b/>
                <w:bCs/>
                <w:color w:val="000000"/>
                <w:sz w:val="16"/>
                <w:szCs w:val="18"/>
                <w:lang w:eastAsia="fr-FR"/>
              </w:rPr>
              <w:t>Taux d’utilisation (%)</w:t>
            </w:r>
          </w:p>
        </w:tc>
      </w:tr>
      <w:tr w:rsidR="002D4597" w:rsidRPr="00C258AD" w:rsidTr="00C9182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2D4597" w:rsidRPr="00C258AD" w:rsidRDefault="002D4597" w:rsidP="00C9182C">
            <w:pPr>
              <w:keepNext/>
              <w:rPr>
                <w:color w:val="000000"/>
                <w:sz w:val="16"/>
                <w:szCs w:val="18"/>
                <w:lang w:eastAsia="fr-FR"/>
              </w:rPr>
            </w:pPr>
            <w:r w:rsidRPr="00C258AD">
              <w:rPr>
                <w:color w:val="000000"/>
                <w:sz w:val="16"/>
                <w:szCs w:val="18"/>
                <w:lang w:eastAsia="fr-FR"/>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2D4597" w:rsidRPr="00C258AD" w:rsidRDefault="002D4597" w:rsidP="00C9182C">
            <w:pPr>
              <w:keepNext/>
              <w:jc w:val="center"/>
              <w:rPr>
                <w:color w:val="000000"/>
                <w:sz w:val="16"/>
                <w:szCs w:val="18"/>
                <w:lang w:eastAsia="fr-FR"/>
              </w:rPr>
            </w:pPr>
            <w:r w:rsidRPr="00C258AD">
              <w:rPr>
                <w:color w:val="000000"/>
                <w:sz w:val="16"/>
                <w:szCs w:val="18"/>
                <w:lang w:eastAsia="fr-FR"/>
              </w:rPr>
              <w:t>6 023</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2D4597" w:rsidRPr="00C258AD" w:rsidRDefault="002D4597" w:rsidP="00C9182C">
            <w:pPr>
              <w:keepNext/>
              <w:jc w:val="center"/>
              <w:rPr>
                <w:color w:val="000000"/>
                <w:sz w:val="16"/>
                <w:szCs w:val="18"/>
                <w:lang w:eastAsia="fr-FR"/>
              </w:rPr>
            </w:pPr>
            <w:r w:rsidRPr="00C258AD">
              <w:rPr>
                <w:color w:val="000000"/>
                <w:sz w:val="16"/>
                <w:szCs w:val="18"/>
                <w:lang w:eastAsia="fr-FR"/>
              </w:rPr>
              <w:t>6 437</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2D4597" w:rsidRPr="00C258AD" w:rsidRDefault="002D4597" w:rsidP="00C9182C">
            <w:pPr>
              <w:keepNext/>
              <w:jc w:val="center"/>
              <w:rPr>
                <w:color w:val="000000"/>
                <w:sz w:val="16"/>
                <w:szCs w:val="18"/>
                <w:lang w:eastAsia="fr-FR"/>
              </w:rPr>
            </w:pPr>
            <w:r w:rsidRPr="00C258AD">
              <w:rPr>
                <w:color w:val="000000"/>
                <w:sz w:val="16"/>
                <w:szCs w:val="18"/>
                <w:lang w:eastAsia="fr-FR"/>
              </w:rPr>
              <w:t>6 851</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2D4597" w:rsidRPr="00C258AD" w:rsidRDefault="002D4597" w:rsidP="00C9182C">
            <w:pPr>
              <w:keepNext/>
              <w:jc w:val="center"/>
              <w:rPr>
                <w:color w:val="000000"/>
                <w:sz w:val="16"/>
                <w:szCs w:val="18"/>
                <w:lang w:eastAsia="fr-FR"/>
              </w:rPr>
            </w:pPr>
            <w:r w:rsidRPr="00C258AD">
              <w:rPr>
                <w:color w:val="000000"/>
                <w:sz w:val="16"/>
                <w:szCs w:val="18"/>
                <w:lang w:eastAsia="fr-FR"/>
              </w:rPr>
              <w:t>106%</w:t>
            </w:r>
          </w:p>
        </w:tc>
      </w:tr>
      <w:tr w:rsidR="002D4597" w:rsidRPr="00C258AD" w:rsidTr="00C9182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2D4597" w:rsidRPr="00C258AD" w:rsidRDefault="002D4597" w:rsidP="00C9182C">
            <w:pPr>
              <w:keepNext/>
              <w:rPr>
                <w:color w:val="000000"/>
                <w:sz w:val="16"/>
                <w:szCs w:val="18"/>
                <w:lang w:eastAsia="fr-FR"/>
              </w:rPr>
            </w:pPr>
            <w:r w:rsidRPr="00C258AD">
              <w:rPr>
                <w:color w:val="000000"/>
                <w:sz w:val="16"/>
                <w:szCs w:val="18"/>
                <w:lang w:eastAsia="fr-FR"/>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keepNext/>
              <w:jc w:val="center"/>
              <w:rPr>
                <w:color w:val="000000"/>
                <w:sz w:val="16"/>
                <w:szCs w:val="18"/>
                <w:lang w:eastAsia="fr-FR"/>
              </w:rPr>
            </w:pPr>
            <w:r w:rsidRPr="00C258AD">
              <w:rPr>
                <w:color w:val="000000"/>
                <w:sz w:val="16"/>
                <w:szCs w:val="18"/>
                <w:lang w:eastAsia="fr-FR"/>
              </w:rPr>
              <w:t>5 604</w:t>
            </w:r>
          </w:p>
        </w:tc>
        <w:tc>
          <w:tcPr>
            <w:tcW w:w="1746"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keepNext/>
              <w:jc w:val="center"/>
              <w:rPr>
                <w:color w:val="000000"/>
                <w:sz w:val="16"/>
                <w:szCs w:val="18"/>
                <w:lang w:eastAsia="fr-FR"/>
              </w:rPr>
            </w:pPr>
            <w:r w:rsidRPr="00C258AD">
              <w:rPr>
                <w:color w:val="000000"/>
                <w:sz w:val="16"/>
                <w:szCs w:val="18"/>
                <w:lang w:eastAsia="fr-FR"/>
              </w:rPr>
              <w:t>5 609</w:t>
            </w:r>
          </w:p>
        </w:tc>
        <w:tc>
          <w:tcPr>
            <w:tcW w:w="1745"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keepNext/>
              <w:jc w:val="center"/>
              <w:rPr>
                <w:color w:val="000000"/>
                <w:sz w:val="16"/>
                <w:szCs w:val="18"/>
                <w:lang w:eastAsia="fr-FR"/>
              </w:rPr>
            </w:pPr>
            <w:r w:rsidRPr="00C258AD">
              <w:rPr>
                <w:color w:val="000000"/>
                <w:sz w:val="16"/>
                <w:szCs w:val="18"/>
                <w:lang w:eastAsia="fr-FR"/>
              </w:rPr>
              <w:t>5 089</w:t>
            </w:r>
          </w:p>
        </w:tc>
        <w:tc>
          <w:tcPr>
            <w:tcW w:w="1746"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keepNext/>
              <w:jc w:val="center"/>
              <w:rPr>
                <w:color w:val="000000"/>
                <w:sz w:val="16"/>
                <w:szCs w:val="18"/>
                <w:lang w:eastAsia="fr-FR"/>
              </w:rPr>
            </w:pPr>
            <w:r w:rsidRPr="00C258AD">
              <w:rPr>
                <w:color w:val="000000"/>
                <w:sz w:val="16"/>
                <w:szCs w:val="18"/>
                <w:lang w:eastAsia="fr-FR"/>
              </w:rPr>
              <w:t>91%</w:t>
            </w:r>
          </w:p>
        </w:tc>
      </w:tr>
      <w:tr w:rsidR="002D4597" w:rsidRPr="00C258AD" w:rsidTr="00C9182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2D4597" w:rsidRPr="00C258AD" w:rsidRDefault="002D4597" w:rsidP="00C9182C">
            <w:pPr>
              <w:jc w:val="right"/>
              <w:rPr>
                <w:b/>
                <w:bCs/>
                <w:color w:val="000000"/>
                <w:sz w:val="16"/>
                <w:szCs w:val="18"/>
                <w:lang w:eastAsia="fr-FR"/>
              </w:rPr>
            </w:pPr>
            <w:r w:rsidRPr="00C258AD">
              <w:rPr>
                <w:b/>
                <w:bCs/>
                <w:color w:val="000000"/>
                <w:sz w:val="16"/>
                <w:szCs w:val="18"/>
                <w:lang w:eastAsia="fr-FR"/>
              </w:rPr>
              <w:t xml:space="preserve">TOTAL </w:t>
            </w:r>
          </w:p>
        </w:tc>
        <w:tc>
          <w:tcPr>
            <w:tcW w:w="1745"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jc w:val="center"/>
              <w:rPr>
                <w:b/>
                <w:bCs/>
                <w:color w:val="000000"/>
                <w:sz w:val="16"/>
                <w:szCs w:val="18"/>
                <w:lang w:eastAsia="fr-FR"/>
              </w:rPr>
            </w:pPr>
            <w:r w:rsidRPr="00C258AD">
              <w:rPr>
                <w:b/>
                <w:bCs/>
                <w:color w:val="000000"/>
                <w:sz w:val="16"/>
                <w:szCs w:val="18"/>
                <w:lang w:eastAsia="fr-FR"/>
              </w:rPr>
              <w:t>11 628</w:t>
            </w:r>
          </w:p>
        </w:tc>
        <w:tc>
          <w:tcPr>
            <w:tcW w:w="1746"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jc w:val="center"/>
              <w:rPr>
                <w:b/>
                <w:bCs/>
                <w:color w:val="000000"/>
                <w:sz w:val="16"/>
                <w:szCs w:val="18"/>
                <w:lang w:eastAsia="fr-FR"/>
              </w:rPr>
            </w:pPr>
            <w:r w:rsidRPr="00C258AD">
              <w:rPr>
                <w:b/>
                <w:bCs/>
                <w:color w:val="000000"/>
                <w:sz w:val="16"/>
                <w:szCs w:val="18"/>
                <w:lang w:eastAsia="fr-FR"/>
              </w:rPr>
              <w:t>12 045</w:t>
            </w:r>
          </w:p>
        </w:tc>
        <w:tc>
          <w:tcPr>
            <w:tcW w:w="1745"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jc w:val="center"/>
              <w:rPr>
                <w:b/>
                <w:bCs/>
                <w:color w:val="000000"/>
                <w:sz w:val="16"/>
                <w:szCs w:val="18"/>
                <w:lang w:eastAsia="fr-FR"/>
              </w:rPr>
            </w:pPr>
            <w:r w:rsidRPr="00C258AD">
              <w:rPr>
                <w:b/>
                <w:bCs/>
                <w:color w:val="000000"/>
                <w:sz w:val="16"/>
                <w:szCs w:val="18"/>
                <w:lang w:eastAsia="fr-FR"/>
              </w:rPr>
              <w:t>11 940</w:t>
            </w:r>
          </w:p>
        </w:tc>
        <w:tc>
          <w:tcPr>
            <w:tcW w:w="1746" w:type="dxa"/>
            <w:tcBorders>
              <w:top w:val="nil"/>
              <w:left w:val="nil"/>
              <w:bottom w:val="single" w:sz="4" w:space="0" w:color="auto"/>
              <w:right w:val="single" w:sz="4" w:space="0" w:color="auto"/>
            </w:tcBorders>
            <w:shd w:val="clear" w:color="auto" w:fill="auto"/>
            <w:vAlign w:val="center"/>
            <w:hideMark/>
          </w:tcPr>
          <w:p w:rsidR="002D4597" w:rsidRPr="00C258AD" w:rsidRDefault="002D4597" w:rsidP="00C9182C">
            <w:pPr>
              <w:jc w:val="center"/>
              <w:rPr>
                <w:b/>
                <w:bCs/>
                <w:color w:val="000000"/>
                <w:sz w:val="16"/>
                <w:szCs w:val="18"/>
                <w:lang w:eastAsia="fr-FR"/>
              </w:rPr>
            </w:pPr>
            <w:r w:rsidRPr="00C258AD">
              <w:rPr>
                <w:b/>
                <w:bCs/>
                <w:color w:val="000000"/>
                <w:sz w:val="16"/>
                <w:szCs w:val="18"/>
                <w:lang w:eastAsia="fr-FR"/>
              </w:rPr>
              <w:t>99%</w:t>
            </w:r>
          </w:p>
        </w:tc>
      </w:tr>
    </w:tbl>
    <w:p w:rsidR="006E2BB1" w:rsidRPr="00C258AD" w:rsidRDefault="006E2BB1" w:rsidP="00C9182C">
      <w:pPr>
        <w:widowControl w:val="0"/>
        <w:autoSpaceDE w:val="0"/>
        <w:autoSpaceDN w:val="0"/>
        <w:adjustRightInd w:val="0"/>
        <w:jc w:val="both"/>
      </w:pPr>
    </w:p>
    <w:p w:rsidR="006E2BB1" w:rsidRPr="00C258AD" w:rsidRDefault="006E2BB1" w:rsidP="00C9182C">
      <w:pPr>
        <w:widowControl w:val="0"/>
        <w:autoSpaceDE w:val="0"/>
        <w:autoSpaceDN w:val="0"/>
        <w:adjustRightInd w:val="0"/>
        <w:jc w:val="both"/>
      </w:pPr>
    </w:p>
    <w:p w:rsidR="006E2BB1" w:rsidRPr="00C258AD" w:rsidRDefault="002D4597" w:rsidP="00C9182C">
      <w:pPr>
        <w:jc w:val="both"/>
        <w:rPr>
          <w:u w:val="single"/>
        </w:rPr>
      </w:pPr>
      <w:r w:rsidRPr="00C258AD">
        <w:t>A.</w:t>
      </w:r>
      <w:r w:rsidRPr="00C258AD">
        <w:tab/>
      </w:r>
      <w:r w:rsidRPr="00C258AD">
        <w:rPr>
          <w:u w:val="single"/>
        </w:rPr>
        <w:t>Budget final 2014</w:t>
      </w:r>
      <w:r w:rsidRPr="00C258AD">
        <w:rPr>
          <w:u w:val="single"/>
        </w:rPr>
        <w:noBreakHyphen/>
        <w:t>2015 après virements</w:t>
      </w:r>
    </w:p>
    <w:p w:rsidR="006E2BB1" w:rsidRPr="00C258AD" w:rsidRDefault="006E2BB1" w:rsidP="00C9182C">
      <w:pPr>
        <w:jc w:val="both"/>
        <w:rPr>
          <w:u w:val="single"/>
        </w:rPr>
      </w:pPr>
    </w:p>
    <w:p w:rsidR="006E2BB1" w:rsidRPr="00C258AD" w:rsidRDefault="002D4597" w:rsidP="00BB4DBC">
      <w:pPr>
        <w:pStyle w:val="ListParagraph"/>
        <w:numPr>
          <w:ilvl w:val="0"/>
          <w:numId w:val="18"/>
        </w:numPr>
        <w:tabs>
          <w:tab w:val="left" w:pos="709"/>
        </w:tabs>
        <w:ind w:left="0" w:firstLine="0"/>
        <w:jc w:val="both"/>
      </w:pPr>
      <w:r w:rsidRPr="00C258AD">
        <w:t>L’augmentation du budget final 2014</w:t>
      </w:r>
      <w:r w:rsidRPr="00C258AD">
        <w:noBreakHyphen/>
        <w:t>2015 après virements (dépenses de personnel) résulte principalement du transfert d’un poste dans le programme afin d’assurer la mise en place et l’assistance fournie dans le cadre des solutions opérationnelles destinées aux offices de propriété intellectuelle, notamment en ce qui concerne l’architecture et la conception logicielles, ainsi que du projet relatif au réseau du droit d’auteur de l’OMPI.</w:t>
      </w:r>
    </w:p>
    <w:p w:rsidR="006E2BB1" w:rsidRPr="00C258AD" w:rsidRDefault="006E2BB1" w:rsidP="00C9182C"/>
    <w:p w:rsidR="006E2BB1" w:rsidRPr="00C258AD" w:rsidRDefault="002D4597" w:rsidP="00BB4DBC">
      <w:pPr>
        <w:pStyle w:val="ListParagraph"/>
        <w:numPr>
          <w:ilvl w:val="0"/>
          <w:numId w:val="18"/>
        </w:numPr>
        <w:tabs>
          <w:tab w:val="left" w:pos="709"/>
        </w:tabs>
        <w:ind w:left="0" w:firstLine="0"/>
        <w:jc w:val="both"/>
      </w:pPr>
      <w:r w:rsidRPr="00C258AD">
        <w:t xml:space="preserve">La légère augmentation des dépenses autres que les dépenses de personnel est due, d’une part, i) aux ressources </w:t>
      </w:r>
      <w:r w:rsidRPr="00C258AD">
        <w:rPr>
          <w:bCs/>
        </w:rPr>
        <w:t>supplémentaires</w:t>
      </w:r>
      <w:r w:rsidRPr="00C258AD">
        <w:t xml:space="preserve"> affectées aux coûts informatiques relatifs au projet TIGAR après le transfert des responsabilités pour la composante informatique du projet TIGAR au programme, depuis le programme 3 (Droit d’auteur et droits connexes) et, d’autre part, ii) au transfert de ressources du programme au programme 12 (Classifications internationales et normes) afin de couvrir le coût plus élevé que prévu de la mise au point et de l’hébergement de la base de données de reclassement de la CIB.</w:t>
      </w:r>
    </w:p>
    <w:p w:rsidR="006E2BB1" w:rsidRPr="00C258AD" w:rsidRDefault="006E2BB1" w:rsidP="00C9182C"/>
    <w:p w:rsidR="006E2BB1" w:rsidRPr="00C258AD" w:rsidRDefault="006E2BB1" w:rsidP="00C9182C">
      <w:pPr>
        <w:autoSpaceDE w:val="0"/>
        <w:autoSpaceDN w:val="0"/>
        <w:jc w:val="both"/>
        <w:rPr>
          <w:lang w:eastAsia="ko-KR"/>
        </w:rPr>
      </w:pPr>
    </w:p>
    <w:p w:rsidR="006E2BB1" w:rsidRPr="00C258AD" w:rsidRDefault="002D4597" w:rsidP="00C9182C">
      <w:pPr>
        <w:jc w:val="both"/>
        <w:rPr>
          <w:u w:val="single"/>
          <w:lang w:eastAsia="ko-KR"/>
        </w:rPr>
      </w:pPr>
      <w:r w:rsidRPr="00C258AD">
        <w:rPr>
          <w:lang w:eastAsia="ko-KR"/>
        </w:rPr>
        <w:t>B.</w:t>
      </w:r>
      <w:r w:rsidRPr="00C258AD">
        <w:rPr>
          <w:lang w:eastAsia="ko-KR"/>
        </w:rPr>
        <w:tab/>
      </w:r>
      <w:r w:rsidRPr="00C258AD">
        <w:rPr>
          <w:u w:val="single"/>
          <w:lang w:eastAsia="ko-KR"/>
        </w:rPr>
        <w:t>Utilisation du budget en 2014</w:t>
      </w:r>
      <w:r w:rsidRPr="00C258AD">
        <w:rPr>
          <w:u w:val="single"/>
          <w:lang w:eastAsia="ko-KR"/>
        </w:rPr>
        <w:noBreakHyphen/>
        <w:t>2015</w:t>
      </w:r>
    </w:p>
    <w:p w:rsidR="006E2BB1" w:rsidRPr="00C258AD" w:rsidRDefault="006E2BB1" w:rsidP="00C9182C">
      <w:pPr>
        <w:tabs>
          <w:tab w:val="left" w:pos="709"/>
        </w:tabs>
        <w:jc w:val="both"/>
        <w:rPr>
          <w:u w:val="single"/>
          <w:lang w:eastAsia="ko-KR"/>
        </w:rPr>
      </w:pPr>
    </w:p>
    <w:p w:rsidR="006E2BB1" w:rsidRPr="00C258AD" w:rsidRDefault="002D4597" w:rsidP="00BB4DBC">
      <w:pPr>
        <w:pStyle w:val="ListParagraph"/>
        <w:numPr>
          <w:ilvl w:val="0"/>
          <w:numId w:val="18"/>
        </w:numPr>
        <w:tabs>
          <w:tab w:val="left" w:pos="709"/>
        </w:tabs>
        <w:autoSpaceDE w:val="0"/>
        <w:autoSpaceDN w:val="0"/>
        <w:ind w:left="0" w:firstLine="0"/>
        <w:jc w:val="both"/>
        <w:rPr>
          <w:lang w:eastAsia="ko-KR"/>
        </w:rPr>
      </w:pPr>
      <w:r w:rsidRPr="00C258AD">
        <w:rPr>
          <w:lang w:eastAsia="ko-KR"/>
        </w:rPr>
        <w:t>L’utilisation du budget en ce qui concerne les dépenses autres que les dépenses de personnel s’est établie à 91% et découle essentiellement de la finalisation de la phase de mise au point de la plateforme logicielle du système relatif au réseau du droit d’auteur de l’OMPI, qui a abouti à son installation en 2016 plutôt que pendant l’exercice précédent, comme initialement prévu.</w:t>
      </w:r>
    </w:p>
    <w:p w:rsidR="006E2BB1" w:rsidRPr="00C258AD" w:rsidRDefault="005A1C92" w:rsidP="005A1C92">
      <w:pPr>
        <w:rPr>
          <w:szCs w:val="20"/>
          <w:lang w:eastAsia="ko-KR"/>
        </w:rPr>
      </w:pPr>
      <w:r w:rsidRPr="00C258AD">
        <w:rPr>
          <w:lang w:eastAsia="ko-KR"/>
        </w:rPr>
        <w:br w:type="page"/>
      </w:r>
    </w:p>
    <w:p w:rsidR="00431966" w:rsidRPr="00C258AD" w:rsidRDefault="00431966" w:rsidP="00431966">
      <w:pPr>
        <w:pStyle w:val="StyleHeading214ptAuto"/>
        <w:jc w:val="center"/>
        <w:rPr>
          <w:lang w:val="fr-FR"/>
        </w:rPr>
      </w:pPr>
      <w:bookmarkStart w:id="125" w:name="_Toc455394198"/>
      <w:bookmarkStart w:id="126" w:name="_Toc367350592"/>
      <w:bookmarkStart w:id="127" w:name="_Toc422404238"/>
      <w:bookmarkStart w:id="128" w:name="_Toc423352886"/>
      <w:r w:rsidRPr="00C258AD">
        <w:rPr>
          <w:lang w:val="fr-FR"/>
        </w:rPr>
        <w:lastRenderedPageBreak/>
        <w:t>Objectif stratégique V</w:t>
      </w:r>
      <w:bookmarkEnd w:id="125"/>
    </w:p>
    <w:p w:rsidR="00431966" w:rsidRPr="00C258AD" w:rsidRDefault="00431966" w:rsidP="00431966"/>
    <w:bookmarkEnd w:id="126"/>
    <w:p w:rsidR="00431966" w:rsidRPr="00C258AD" w:rsidRDefault="00431966" w:rsidP="00431966">
      <w:pPr>
        <w:jc w:val="center"/>
        <w:rPr>
          <w:caps/>
        </w:rPr>
      </w:pPr>
      <w:r w:rsidRPr="00C258AD">
        <w:rPr>
          <w:b/>
          <w:caps/>
        </w:rPr>
        <w:t>Source de références mondiale pour l’information et l’analyse en matière de propriété intellectuelle</w:t>
      </w:r>
    </w:p>
    <w:p w:rsidR="00431966" w:rsidRPr="00C258AD" w:rsidRDefault="00431966" w:rsidP="00431966">
      <w:pPr>
        <w:jc w:val="center"/>
      </w:pPr>
    </w:p>
    <w:p w:rsidR="00431966" w:rsidRPr="00C258AD" w:rsidRDefault="00431966" w:rsidP="00431966">
      <w:pPr>
        <w:jc w:val="center"/>
      </w:pPr>
    </w:p>
    <w:p w:rsidR="00431966" w:rsidRPr="00C258AD" w:rsidRDefault="00431966" w:rsidP="00431966">
      <w:pPr>
        <w:jc w:val="center"/>
        <w:rPr>
          <w:b/>
        </w:rPr>
      </w:pPr>
      <w:r w:rsidRPr="00C258AD">
        <w:rPr>
          <w:b/>
        </w:rPr>
        <w:t>Tableau de bord de l’exécution du programme biennal</w:t>
      </w:r>
    </w:p>
    <w:p w:rsidR="00431966" w:rsidRPr="00C258AD" w:rsidRDefault="00431966" w:rsidP="00431966"/>
    <w:p w:rsidR="00431966" w:rsidRPr="00C258AD" w:rsidRDefault="00431966" w:rsidP="00431966">
      <w:pPr>
        <w:autoSpaceDE w:val="0"/>
        <w:autoSpaceDN w:val="0"/>
        <w:adjustRightInd w:val="0"/>
        <w:jc w:val="both"/>
        <w:rPr>
          <w:rFonts w:cs="Arial"/>
        </w:rPr>
      </w:pPr>
      <w:r w:rsidRPr="00C258AD">
        <w:rPr>
          <w:rFonts w:cs="Arial"/>
        </w:rPr>
        <w:t>Le tableau de bord ci</w:t>
      </w:r>
      <w:r w:rsidRPr="00C258AD">
        <w:rPr>
          <w:rFonts w:cs="Arial"/>
        </w:rPr>
        <w:noBreakHyphen/>
        <w:t>dessous présente un résumé de la réalisation des résultats escomptés pour l’exercice biennal 2014</w:t>
      </w:r>
      <w:r w:rsidRPr="00C258AD">
        <w:rPr>
          <w:rFonts w:cs="Arial"/>
        </w:rPr>
        <w:noBreakHyphen/>
        <w:t>2015, telle que mesurée par les indicateurs au titre des programmes contribuant à cet objectif stratégique.</w:t>
      </w:r>
    </w:p>
    <w:p w:rsidR="00431966" w:rsidRPr="00C258AD" w:rsidRDefault="00431966" w:rsidP="00431966"/>
    <w:p w:rsidR="00431966" w:rsidRPr="00C258AD" w:rsidRDefault="00431966" w:rsidP="00431966">
      <w:pPr>
        <w:jc w:val="center"/>
      </w:pPr>
      <w:r w:rsidRPr="00C258AD">
        <w:rPr>
          <w:noProof/>
          <w:lang w:val="en-US"/>
        </w:rPr>
        <w:drawing>
          <wp:inline distT="0" distB="0" distL="0" distR="0" wp14:anchorId="1DF56650" wp14:editId="6A62BEB0">
            <wp:extent cx="5940425" cy="2852284"/>
            <wp:effectExtent l="0" t="0" r="3175" b="571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940425" cy="2852284"/>
                    </a:xfrm>
                    <a:prstGeom prst="rect">
                      <a:avLst/>
                    </a:prstGeom>
                    <a:noFill/>
                    <a:ln>
                      <a:noFill/>
                    </a:ln>
                  </pic:spPr>
                </pic:pic>
              </a:graphicData>
            </a:graphic>
          </wp:inline>
        </w:drawing>
      </w:r>
    </w:p>
    <w:p w:rsidR="00431966" w:rsidRPr="00C258AD" w:rsidRDefault="00431966" w:rsidP="00431966">
      <w:pPr>
        <w:rPr>
          <w:b/>
          <w:bCs/>
          <w:caps/>
        </w:rPr>
      </w:pPr>
    </w:p>
    <w:tbl>
      <w:tblPr>
        <w:tblW w:w="5000" w:type="pct"/>
        <w:tblInd w:w="108" w:type="dxa"/>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812"/>
        <w:gridCol w:w="3982"/>
        <w:gridCol w:w="1642"/>
        <w:gridCol w:w="1055"/>
      </w:tblGrid>
      <w:tr w:rsidR="00431966" w:rsidRPr="00C258AD" w:rsidTr="00927E1F">
        <w:trPr>
          <w:cantSplit/>
        </w:trPr>
        <w:tc>
          <w:tcPr>
            <w:tcW w:w="1481"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431966" w:rsidRPr="00C258AD" w:rsidRDefault="00431966" w:rsidP="00927E1F">
            <w:pPr>
              <w:spacing w:after="120"/>
              <w:jc w:val="center"/>
              <w:rPr>
                <w:rFonts w:cs="Arial"/>
                <w:b/>
                <w:bCs/>
                <w:sz w:val="18"/>
                <w:szCs w:val="18"/>
              </w:rPr>
            </w:pPr>
            <w:r w:rsidRPr="00C258AD">
              <w:rPr>
                <w:rFonts w:cs="Arial"/>
                <w:b/>
                <w:bCs/>
                <w:sz w:val="18"/>
                <w:szCs w:val="18"/>
              </w:rPr>
              <w:t>Résultats escomptés</w:t>
            </w:r>
          </w:p>
        </w:tc>
        <w:tc>
          <w:tcPr>
            <w:tcW w:w="2098"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431966" w:rsidRPr="00C258AD" w:rsidRDefault="00431966" w:rsidP="00927E1F">
            <w:pPr>
              <w:spacing w:after="120"/>
              <w:jc w:val="center"/>
              <w:rPr>
                <w:rFonts w:cs="Arial"/>
                <w:b/>
                <w:sz w:val="18"/>
                <w:szCs w:val="18"/>
              </w:rPr>
            </w:pPr>
            <w:r w:rsidRPr="00C258AD">
              <w:rPr>
                <w:rFonts w:cs="Arial"/>
                <w:b/>
                <w:sz w:val="18"/>
                <w:szCs w:val="18"/>
              </w:rPr>
              <w:t>Indicateurs d’exécution</w:t>
            </w:r>
          </w:p>
        </w:tc>
        <w:tc>
          <w:tcPr>
            <w:tcW w:w="865"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431966" w:rsidRPr="00C258AD" w:rsidRDefault="00431966" w:rsidP="00927E1F">
            <w:pPr>
              <w:spacing w:after="120"/>
              <w:ind w:left="85"/>
              <w:jc w:val="center"/>
              <w:rPr>
                <w:rFonts w:cs="Arial"/>
                <w:sz w:val="18"/>
                <w:szCs w:val="18"/>
              </w:rPr>
            </w:pPr>
            <w:r w:rsidRPr="00C258AD">
              <w:rPr>
                <w:rFonts w:cs="Arial"/>
                <w:b/>
                <w:sz w:val="18"/>
                <w:szCs w:val="18"/>
              </w:rPr>
              <w:t>Programme(s) concerné(s)</w:t>
            </w:r>
          </w:p>
        </w:tc>
        <w:tc>
          <w:tcPr>
            <w:tcW w:w="556" w:type="pct"/>
            <w:tcBorders>
              <w:top w:val="single" w:sz="4" w:space="0" w:color="auto"/>
              <w:bottom w:val="single" w:sz="4" w:space="0" w:color="auto"/>
            </w:tcBorders>
            <w:shd w:val="clear" w:color="auto" w:fill="DAEEF3" w:themeFill="accent5" w:themeFillTint="33"/>
            <w:vAlign w:val="center"/>
          </w:tcPr>
          <w:p w:rsidR="00431966" w:rsidRPr="00C258AD" w:rsidRDefault="00431966" w:rsidP="00927E1F">
            <w:pPr>
              <w:spacing w:after="120"/>
              <w:ind w:left="85"/>
              <w:jc w:val="center"/>
              <w:rPr>
                <w:rFonts w:cs="Arial"/>
                <w:b/>
                <w:bCs/>
                <w:sz w:val="18"/>
                <w:szCs w:val="18"/>
              </w:rPr>
            </w:pPr>
            <w:r w:rsidRPr="00C258AD">
              <w:rPr>
                <w:rFonts w:cs="Arial"/>
                <w:b/>
                <w:bCs/>
                <w:sz w:val="18"/>
                <w:szCs w:val="18"/>
              </w:rPr>
              <w:t>Code de couleurs</w:t>
            </w:r>
          </w:p>
        </w:tc>
      </w:tr>
      <w:tr w:rsidR="00431966" w:rsidRPr="00C258AD" w:rsidTr="00927E1F">
        <w:trPr>
          <w:cantSplit/>
        </w:trPr>
        <w:tc>
          <w:tcPr>
            <w:tcW w:w="1481" w:type="pct"/>
            <w:tcBorders>
              <w:top w:val="single" w:sz="4" w:space="0" w:color="auto"/>
            </w:tcBorders>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V.1 Utilisation élargie et améliorée de l’information statistique de l’OMPI relative à la propriété intellectuelle</w:t>
            </w:r>
          </w:p>
        </w:tc>
        <w:tc>
          <w:tcPr>
            <w:tcW w:w="2098" w:type="pct"/>
            <w:tcBorders>
              <w:top w:val="single" w:sz="4" w:space="0" w:color="auto"/>
            </w:tcBorders>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Nombre de téléchargements des quatre principaux rapports statistiques (Indicateurs mondiaux relatifs à la propriété intellectuelle et revues annuelle du PCT, de La Haye et de Madrid)</w:t>
            </w:r>
          </w:p>
        </w:tc>
        <w:tc>
          <w:tcPr>
            <w:tcW w:w="865" w:type="pct"/>
            <w:tcBorders>
              <w:top w:val="single" w:sz="4" w:space="0" w:color="auto"/>
            </w:tcBorders>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16</w:t>
            </w:r>
          </w:p>
        </w:tc>
        <w:tc>
          <w:tcPr>
            <w:tcW w:w="556" w:type="pct"/>
            <w:tcBorders>
              <w:top w:val="single" w:sz="4" w:space="0" w:color="auto"/>
            </w:tcBorders>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r w:rsidRPr="00C258AD">
              <w:rPr>
                <w:rFonts w:cs="Arial"/>
                <w:color w:val="A6A6A6" w:themeColor="background1" w:themeShade="A6"/>
                <w:sz w:val="22"/>
                <w:szCs w:val="22"/>
              </w:rPr>
              <w:sym w:font="Wingdings" w:char="F06C"/>
            </w:r>
            <w:r w:rsidRPr="00C258AD">
              <w:rPr>
                <w:rFonts w:cs="Arial"/>
                <w:color w:val="A6A6A6" w:themeColor="background1" w:themeShade="A6"/>
                <w:sz w:val="22"/>
                <w:szCs w:val="22"/>
              </w:rPr>
              <w:sym w:font="Wingdings" w:char="F06C"/>
            </w:r>
            <w:r w:rsidRPr="00C258AD">
              <w:rPr>
                <w:rFonts w:cs="Arial"/>
                <w:color w:val="A6A6A6" w:themeColor="background1" w:themeShade="A6"/>
                <w:sz w:val="22"/>
                <w:szCs w:val="22"/>
              </w:rPr>
              <w:sym w:font="Wingdings" w:char="F06C"/>
            </w:r>
          </w:p>
        </w:tc>
      </w:tr>
      <w:tr w:rsidR="00431966" w:rsidRPr="00C258AD" w:rsidTr="00927E1F">
        <w:trPr>
          <w:cantSplit/>
        </w:trPr>
        <w:tc>
          <w:tcPr>
            <w:tcW w:w="1481" w:type="pct"/>
            <w:shd w:val="clear" w:color="auto" w:fill="auto"/>
            <w:tcMar>
              <w:top w:w="113" w:type="dxa"/>
              <w:bottom w:w="85" w:type="dxa"/>
            </w:tcMar>
          </w:tcPr>
          <w:p w:rsidR="00431966" w:rsidRPr="00C258AD" w:rsidRDefault="00431966" w:rsidP="00927E1F">
            <w:pPr>
              <w:rPr>
                <w:rFonts w:cs="Arial"/>
                <w:sz w:val="16"/>
                <w:szCs w:val="16"/>
              </w:rPr>
            </w:pPr>
          </w:p>
        </w:tc>
        <w:tc>
          <w:tcPr>
            <w:tcW w:w="2098"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Nombre de visiteurs utilisant le Centre de données statistiques de propriété intellectuelle</w:t>
            </w:r>
          </w:p>
        </w:tc>
        <w:tc>
          <w:tcPr>
            <w:tcW w:w="865"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16</w:t>
            </w:r>
          </w:p>
        </w:tc>
        <w:tc>
          <w:tcPr>
            <w:tcW w:w="556"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481" w:type="pct"/>
            <w:shd w:val="clear" w:color="auto" w:fill="auto"/>
            <w:tcMar>
              <w:top w:w="113" w:type="dxa"/>
              <w:bottom w:w="85" w:type="dxa"/>
            </w:tcMar>
          </w:tcPr>
          <w:p w:rsidR="00431966" w:rsidRPr="00C258AD" w:rsidRDefault="00431966" w:rsidP="00927E1F">
            <w:pPr>
              <w:tabs>
                <w:tab w:val="right" w:pos="2835"/>
              </w:tabs>
              <w:spacing w:after="60"/>
              <w:rPr>
                <w:rFonts w:cs="Arial"/>
                <w:sz w:val="15"/>
                <w:szCs w:val="15"/>
              </w:rPr>
            </w:pPr>
            <w:r w:rsidRPr="00C258AD">
              <w:rPr>
                <w:rFonts w:cs="Arial"/>
                <w:sz w:val="15"/>
                <w:szCs w:val="15"/>
              </w:rPr>
              <w:t xml:space="preserve">V.2 Utilisation élargie et améliorée des analyses économiques de l’OMPI aux fins de l’élaboration des politiques </w:t>
            </w:r>
          </w:p>
        </w:tc>
        <w:tc>
          <w:tcPr>
            <w:tcW w:w="2098"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Utilisation des études économiques de l’OMPI sur le droit d’auteur par les gouvernements et les ONG dans le processus de prise de décisions</w:t>
            </w:r>
          </w:p>
        </w:tc>
        <w:tc>
          <w:tcPr>
            <w:tcW w:w="865"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3</w:t>
            </w:r>
          </w:p>
        </w:tc>
        <w:tc>
          <w:tcPr>
            <w:tcW w:w="556" w:type="pct"/>
            <w:shd w:val="clear" w:color="auto" w:fill="FFFFFF"/>
          </w:tcPr>
          <w:p w:rsidR="00431966" w:rsidRPr="00C258AD" w:rsidRDefault="00431966" w:rsidP="00927E1F">
            <w:pPr>
              <w:spacing w:before="40"/>
              <w:jc w:val="center"/>
            </w:pPr>
            <w:r w:rsidRPr="00C258AD">
              <w:rPr>
                <w:rFonts w:cs="Arial"/>
                <w:color w:val="008000"/>
                <w:sz w:val="22"/>
                <w:szCs w:val="22"/>
              </w:rPr>
              <w:sym w:font="Wingdings" w:char="F06C"/>
            </w:r>
          </w:p>
        </w:tc>
      </w:tr>
      <w:tr w:rsidR="00431966" w:rsidRPr="00C258AD" w:rsidTr="00927E1F">
        <w:trPr>
          <w:cantSplit/>
        </w:trPr>
        <w:tc>
          <w:tcPr>
            <w:tcW w:w="1481" w:type="pct"/>
            <w:shd w:val="clear" w:color="auto" w:fill="auto"/>
            <w:tcMar>
              <w:top w:w="113" w:type="dxa"/>
              <w:bottom w:w="85" w:type="dxa"/>
            </w:tcMar>
          </w:tcPr>
          <w:p w:rsidR="00431966" w:rsidRPr="00C258AD" w:rsidRDefault="00431966" w:rsidP="00927E1F">
            <w:pPr>
              <w:rPr>
                <w:rFonts w:cs="Arial"/>
                <w:sz w:val="16"/>
                <w:szCs w:val="16"/>
              </w:rPr>
            </w:pPr>
          </w:p>
        </w:tc>
        <w:tc>
          <w:tcPr>
            <w:tcW w:w="2098"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Initiatives nationales visant à élaborer de nouvelles statistiques sur les industries de la création sur la base des travaux de l’OMPI dans ce domaine</w:t>
            </w:r>
          </w:p>
        </w:tc>
        <w:tc>
          <w:tcPr>
            <w:tcW w:w="865"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3</w:t>
            </w:r>
          </w:p>
        </w:tc>
        <w:tc>
          <w:tcPr>
            <w:tcW w:w="556" w:type="pct"/>
            <w:shd w:val="clear" w:color="auto" w:fill="FFFFFF"/>
          </w:tcPr>
          <w:p w:rsidR="00431966" w:rsidRPr="00C258AD" w:rsidRDefault="00431966" w:rsidP="00927E1F">
            <w:pPr>
              <w:spacing w:before="40"/>
              <w:jc w:val="center"/>
              <w:rPr>
                <w:color w:val="E26B0A"/>
              </w:rPr>
            </w:pPr>
            <w:r w:rsidRPr="00C258AD">
              <w:rPr>
                <w:rFonts w:cs="Arial"/>
                <w:sz w:val="22"/>
                <w:szCs w:val="22"/>
              </w:rPr>
              <w:sym w:font="Wingdings" w:char="F06C"/>
            </w:r>
          </w:p>
        </w:tc>
      </w:tr>
      <w:tr w:rsidR="00431966" w:rsidRPr="00C258AD" w:rsidTr="00927E1F">
        <w:trPr>
          <w:cantSplit/>
        </w:trPr>
        <w:tc>
          <w:tcPr>
            <w:tcW w:w="1481" w:type="pct"/>
            <w:shd w:val="clear" w:color="auto" w:fill="auto"/>
            <w:tcMar>
              <w:top w:w="113" w:type="dxa"/>
              <w:bottom w:w="85" w:type="dxa"/>
            </w:tcMar>
          </w:tcPr>
          <w:p w:rsidR="00431966" w:rsidRPr="00C258AD" w:rsidRDefault="00431966" w:rsidP="00927E1F">
            <w:pPr>
              <w:rPr>
                <w:rFonts w:cs="Arial"/>
                <w:sz w:val="16"/>
                <w:szCs w:val="16"/>
              </w:rPr>
            </w:pPr>
          </w:p>
        </w:tc>
        <w:tc>
          <w:tcPr>
            <w:tcW w:w="2098"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Nombre de téléchargements des principales publications dans le domaine économique</w:t>
            </w:r>
          </w:p>
        </w:tc>
        <w:tc>
          <w:tcPr>
            <w:tcW w:w="865"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16</w:t>
            </w:r>
          </w:p>
        </w:tc>
        <w:tc>
          <w:tcPr>
            <w:tcW w:w="556"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A6A6A6" w:themeColor="background1" w:themeShade="A6"/>
                <w:sz w:val="22"/>
                <w:szCs w:val="22"/>
              </w:rPr>
              <w:sym w:font="Wingdings" w:char="F06C"/>
            </w:r>
            <w:r w:rsidRPr="00C258AD">
              <w:rPr>
                <w:rFonts w:cs="Arial"/>
                <w:color w:val="A6A6A6" w:themeColor="background1" w:themeShade="A6"/>
                <w:sz w:val="22"/>
                <w:szCs w:val="22"/>
              </w:rPr>
              <w:sym w:font="Wingdings" w:char="F06C"/>
            </w:r>
          </w:p>
        </w:tc>
      </w:tr>
      <w:tr w:rsidR="00431966" w:rsidRPr="00C258AD" w:rsidTr="00927E1F">
        <w:trPr>
          <w:cantSplit/>
        </w:trPr>
        <w:tc>
          <w:tcPr>
            <w:tcW w:w="1481" w:type="pct"/>
            <w:shd w:val="clear" w:color="auto" w:fill="auto"/>
            <w:tcMar>
              <w:top w:w="113" w:type="dxa"/>
              <w:bottom w:w="85" w:type="dxa"/>
            </w:tcMar>
          </w:tcPr>
          <w:p w:rsidR="00431966" w:rsidRPr="00C258AD" w:rsidRDefault="00431966" w:rsidP="00927E1F">
            <w:pPr>
              <w:rPr>
                <w:rFonts w:cs="Arial"/>
                <w:sz w:val="16"/>
                <w:szCs w:val="16"/>
              </w:rPr>
            </w:pPr>
          </w:p>
        </w:tc>
        <w:tc>
          <w:tcPr>
            <w:tcW w:w="2098"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Nombre de téléchargements d’études</w:t>
            </w:r>
          </w:p>
        </w:tc>
        <w:tc>
          <w:tcPr>
            <w:tcW w:w="865"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16</w:t>
            </w:r>
          </w:p>
        </w:tc>
        <w:tc>
          <w:tcPr>
            <w:tcW w:w="556"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481" w:type="pct"/>
            <w:shd w:val="clear" w:color="auto" w:fill="auto"/>
            <w:tcMar>
              <w:top w:w="113" w:type="dxa"/>
              <w:bottom w:w="85" w:type="dxa"/>
            </w:tcMar>
          </w:tcPr>
          <w:p w:rsidR="00431966" w:rsidRPr="00C258AD" w:rsidRDefault="00431966" w:rsidP="00927E1F">
            <w:pPr>
              <w:rPr>
                <w:rFonts w:cs="Arial"/>
                <w:sz w:val="16"/>
                <w:szCs w:val="16"/>
              </w:rPr>
            </w:pPr>
          </w:p>
        </w:tc>
        <w:tc>
          <w:tcPr>
            <w:tcW w:w="2098"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Nombre de téléchargements de séminaires</w:t>
            </w:r>
          </w:p>
        </w:tc>
        <w:tc>
          <w:tcPr>
            <w:tcW w:w="865"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16</w:t>
            </w:r>
          </w:p>
        </w:tc>
        <w:tc>
          <w:tcPr>
            <w:tcW w:w="556" w:type="pct"/>
            <w:shd w:val="clear" w:color="auto" w:fill="FFFFFF"/>
          </w:tcPr>
          <w:p w:rsidR="00431966" w:rsidRPr="00C258AD" w:rsidRDefault="00431966" w:rsidP="00927E1F">
            <w:pPr>
              <w:jc w:val="center"/>
            </w:pPr>
            <w:r w:rsidRPr="00C258AD">
              <w:rPr>
                <w:rFonts w:cs="Arial"/>
                <w:sz w:val="22"/>
                <w:szCs w:val="22"/>
              </w:rPr>
              <w:sym w:font="Wingdings" w:char="F06C"/>
            </w:r>
          </w:p>
        </w:tc>
      </w:tr>
    </w:tbl>
    <w:p w:rsidR="00431966" w:rsidRPr="00C258AD" w:rsidRDefault="00431966" w:rsidP="00431966"/>
    <w:p w:rsidR="00431966" w:rsidRPr="00C258AD" w:rsidRDefault="00431966" w:rsidP="00431966"/>
    <w:p w:rsidR="006E2BB1" w:rsidRPr="00C258AD" w:rsidRDefault="00A068F8" w:rsidP="00A068F8">
      <w:pPr>
        <w:rPr>
          <w:rFonts w:cs="Arial"/>
          <w:b/>
          <w:bCs/>
          <w:iCs/>
          <w:sz w:val="22"/>
          <w:szCs w:val="28"/>
        </w:rPr>
      </w:pPr>
      <w:r w:rsidRPr="00C258AD">
        <w:br w:type="page"/>
      </w:r>
    </w:p>
    <w:p w:rsidR="006E2BB1" w:rsidRPr="00C258AD" w:rsidRDefault="00B26AF7" w:rsidP="00305CE5">
      <w:pPr>
        <w:pStyle w:val="Heading3"/>
      </w:pPr>
      <w:bookmarkStart w:id="129" w:name="_Toc455394199"/>
      <w:r w:rsidRPr="00C258AD">
        <w:lastRenderedPageBreak/>
        <w:t>Programme 16‏</w:t>
      </w:r>
      <w:r w:rsidRPr="00C258AD">
        <w:tab/>
        <w:t>‎Économie et statistiques</w:t>
      </w:r>
      <w:bookmarkEnd w:id="127"/>
      <w:bookmarkEnd w:id="128"/>
      <w:bookmarkEnd w:id="129"/>
    </w:p>
    <w:p w:rsidR="006E2BB1" w:rsidRPr="00C258AD" w:rsidRDefault="006E2BB1" w:rsidP="001A4D6C"/>
    <w:p w:rsidR="006E2BB1" w:rsidRPr="00C258AD" w:rsidRDefault="00B26AF7" w:rsidP="001A4D6C">
      <w:pPr>
        <w:rPr>
          <w:b/>
        </w:rPr>
      </w:pPr>
      <w:r w:rsidRPr="00C258AD">
        <w:rPr>
          <w:b/>
        </w:rPr>
        <w:t>Chef de programme</w:t>
      </w:r>
      <w:r w:rsidRPr="00C258AD">
        <w:rPr>
          <w:b/>
        </w:rPr>
        <w:tab/>
        <w:t>Le Directeur général</w:t>
      </w:r>
    </w:p>
    <w:p w:rsidR="006E2BB1" w:rsidRPr="00C258AD" w:rsidRDefault="006E2BB1" w:rsidP="001A4D6C"/>
    <w:p w:rsidR="006E2BB1" w:rsidRPr="00C258AD" w:rsidRDefault="006E2BB1" w:rsidP="001A4D6C"/>
    <w:p w:rsidR="006E2BB1" w:rsidRPr="00C258AD" w:rsidRDefault="00B26AF7" w:rsidP="00305CE5">
      <w:pPr>
        <w:keepNext/>
        <w:rPr>
          <w:rFonts w:cs="Arial"/>
          <w:caps/>
          <w:sz w:val="22"/>
          <w:szCs w:val="22"/>
        </w:rPr>
      </w:pPr>
      <w:r w:rsidRPr="00C258AD">
        <w:rPr>
          <w:rFonts w:cs="Arial"/>
          <w:caps/>
          <w:sz w:val="22"/>
          <w:szCs w:val="22"/>
        </w:rPr>
        <w:t>Réalisations au cours de l’exercice biennal 2014</w:t>
      </w:r>
      <w:r w:rsidRPr="00C258AD">
        <w:rPr>
          <w:rFonts w:cs="Arial"/>
          <w:caps/>
          <w:sz w:val="22"/>
          <w:szCs w:val="22"/>
        </w:rPr>
        <w:noBreakHyphen/>
        <w:t>2015</w:t>
      </w:r>
    </w:p>
    <w:p w:rsidR="006E2BB1" w:rsidRPr="00C258AD" w:rsidRDefault="006E2BB1" w:rsidP="001A4D6C">
      <w:pPr>
        <w:jc w:val="both"/>
      </w:pPr>
    </w:p>
    <w:p w:rsidR="006E2BB1" w:rsidRPr="00C258AD" w:rsidRDefault="00B26AF7" w:rsidP="00BB4DBC">
      <w:pPr>
        <w:pStyle w:val="ListParagraph"/>
        <w:numPr>
          <w:ilvl w:val="0"/>
          <w:numId w:val="27"/>
        </w:numPr>
        <w:tabs>
          <w:tab w:val="left" w:pos="709"/>
        </w:tabs>
        <w:ind w:left="0" w:firstLine="0"/>
        <w:jc w:val="both"/>
      </w:pPr>
      <w:r w:rsidRPr="00C258AD">
        <w:t>Les travaux statistiques réalisés durant l’exercice biennal 2014</w:t>
      </w:r>
      <w:r w:rsidRPr="00C258AD">
        <w:noBreakHyphen/>
        <w:t>2015 ont rempli l’objectif consistant à fournir des données statistiques précises, complètes et en temps voulu sur les résultats du système de propriété intellectuelle au niveau mondial.  Surtout, des enquêtes statistiques annuelles ont été menées sur les offices nationaux et régionaux de propriété intellectuelle et le nombre moyen de réponses est passé de 112 lors de l’exercice biennal précédent à 127.</w:t>
      </w:r>
    </w:p>
    <w:p w:rsidR="006E2BB1" w:rsidRPr="00C258AD" w:rsidRDefault="006E2BB1" w:rsidP="001A4D6C"/>
    <w:p w:rsidR="006E2BB1" w:rsidRPr="00C258AD" w:rsidRDefault="00B26AF7" w:rsidP="00BB4DBC">
      <w:pPr>
        <w:pStyle w:val="ListParagraph"/>
        <w:numPr>
          <w:ilvl w:val="0"/>
          <w:numId w:val="27"/>
        </w:numPr>
        <w:tabs>
          <w:tab w:val="left" w:pos="709"/>
        </w:tabs>
        <w:ind w:left="0" w:firstLine="0"/>
        <w:jc w:val="both"/>
      </w:pPr>
      <w:r w:rsidRPr="00C258AD">
        <w:t>En outre, toute une série d’indicateurs statistiques divers sur le système du Traité de coopération en matière de brevets (PCT), le système de Madrid et le système de La Haye a été constituée, en collaboration avec les programmes 5, 6 et 31.  Comme lors des années précédentes, des collections statistiques ont été mises à disposition dans des publications et des outils en ligne divers, notamment les rapports annuels Indicateurs mondiaux relatifs à la propriété intellectuelle et Faits et chiffres de propriété intellectuelle, les revues annuelles du PCT, de Madrid et de La Haye, le Centre de données statistiques de propriété intellectuelle et les statistiques de propriété intellectuelle par pays.  Tout au long de l’exercice biennal 2014–2015, des efforts particuliers ont été déployés pour approfondir l’analyse des tendances statistiques, d’une part, et améliorer la convivialité de la présentation statistique, d’autre part.  On peut citer, par exemple, le choix de thèmes spécifiques dans les rapports statistiques qui examinent certaines questions statistiques de manière plus approfondie, une nouvelle présentation des Indicateurs mondiaux relatifs à la propriété intellectuelle qui facilite la recherche des informations souhaitées pour les lecteurs et une vidéo de courte durée sur les principales tendances en matière d’utilisation de la propriété intellectuelle dans le monde.  Les statistiques de propriété intellectuelle et les rapports statistiques de l’OMPI continuent d’être largement utilisés et cités dans les études universitaires, les rapports de politique générale, les articles dans les médias et d’autres publications de par le monde.</w:t>
      </w:r>
    </w:p>
    <w:p w:rsidR="006E2BB1" w:rsidRPr="00C258AD" w:rsidRDefault="006E2BB1" w:rsidP="001A4D6C"/>
    <w:p w:rsidR="006E2BB1" w:rsidRPr="00C258AD" w:rsidRDefault="00B26AF7" w:rsidP="00BB4DBC">
      <w:pPr>
        <w:pStyle w:val="ListParagraph"/>
        <w:numPr>
          <w:ilvl w:val="0"/>
          <w:numId w:val="27"/>
        </w:numPr>
        <w:tabs>
          <w:tab w:val="left" w:pos="709"/>
        </w:tabs>
        <w:ind w:left="0" w:firstLine="0"/>
        <w:jc w:val="both"/>
      </w:pPr>
      <w:r w:rsidRPr="00C258AD">
        <w:t>L’activité d’analyse économique du programme a bien progressé au regard de l’objectif consistant à promouvoir une analyse de qualité des défis économiques du système international de la propriété intellectuelle et à évaluer les incidences économiques des choix de politique en matière de propriété intellectuelle.  Une autre réalisation majeure a été la publication du troisième rapport sur la propriété intellectuelle dans le monde, intitulé “Innovation et croissance économique”, qui a donné lieu à la publication de plus de 200 articles de presse et suscité l’intérêt des décideurs et des universitaires du monde entier.  En outre, l’OMPI a continué de coéditer l’Indice mondial de l’innovation, en partenariat avec l’Université Cornell et l’INSEAD.  Durant l’exercice biennal 2014–2015, les lancements de l’Indice mondial de l’innovation ont eu lieu ailleurs qu’à Genève pour la première fois et ont été organisés par le Gouvernement de l’Australie en 2014 et par le Gouvernement du Royaume</w:t>
      </w:r>
      <w:r w:rsidRPr="00C258AD">
        <w:noBreakHyphen/>
        <w:t>Uni en 2015.  La couverture par les journaux d’information et les médias sociaux a également atteint de nouveaux sommets par rapport à l’exercice biennal précédent.  L’Indice mondial de l’innovation est régulièrement utilisé comme source de référence reconnue par les gouvernements nationaux, les organisations internationales (y compris du système des Nations Unies) et d’autres parties prenantes du système de l’innovation, ainsi qu’il ressort de citations, d’études de données et de demandes de services consultatifs.</w:t>
      </w:r>
    </w:p>
    <w:p w:rsidR="006E2BB1" w:rsidRPr="00C258AD" w:rsidRDefault="006E2BB1" w:rsidP="001A4D6C"/>
    <w:p w:rsidR="006E2BB1" w:rsidRPr="00C258AD" w:rsidRDefault="00B26AF7" w:rsidP="00BB4DBC">
      <w:pPr>
        <w:pStyle w:val="ListParagraph"/>
        <w:numPr>
          <w:ilvl w:val="0"/>
          <w:numId w:val="27"/>
        </w:numPr>
        <w:tabs>
          <w:tab w:val="left" w:pos="709"/>
        </w:tabs>
        <w:ind w:left="0" w:firstLine="0"/>
        <w:jc w:val="both"/>
      </w:pPr>
      <w:r w:rsidRPr="00C258AD">
        <w:t>Durant l’exercice biennal 2014</w:t>
      </w:r>
      <w:r w:rsidRPr="00C258AD">
        <w:noBreakHyphen/>
        <w:t>2015, des progrès importants ont également été accomplis dans la réalisation d’études économiques ciblées visant à fournir un appui aux travaux d’autres comités de l’OMPI.  Surtout, le programme a permis d’achever trois projets du Plan d’action pour le développement : i) la propriété intellectuelle et le développement socioéconomique;  ii) la propriété intellectuelle et l’économie informelle;  et iii) la propriété intellectuelle et la fuite des cerveaux.  Une deuxième phase du projet sur la propriété intellectuelle et le développement socioéconomique, visant à mettre en œuvre l’étude fondamentale dans de nouveaux pays en développement, a également été lancée en 2015.  En outre, le programme a permis de contribuer aux travaux d’autres comités, comme le Groupe de travail du PCT et le Comité permanent du droit des brevets (SCP)).  Ces études ont produit des preuves empiriques qui ont guidé les délibérations des décideurs, au niveau national et entre les États membres de l’OMPI.  Elles ont également entraîné des activités de recherche ultérieure dans le milieu universitaire.</w:t>
      </w:r>
    </w:p>
    <w:p w:rsidR="006E2BB1" w:rsidRPr="00C258AD" w:rsidRDefault="006E2BB1" w:rsidP="001A4D6C">
      <w:pPr>
        <w:tabs>
          <w:tab w:val="left" w:pos="709"/>
        </w:tabs>
        <w:jc w:val="both"/>
      </w:pPr>
    </w:p>
    <w:p w:rsidR="006E2BB1" w:rsidRPr="00C258AD" w:rsidRDefault="00B26AF7" w:rsidP="00BB4DBC">
      <w:pPr>
        <w:pStyle w:val="ListParagraph"/>
        <w:numPr>
          <w:ilvl w:val="0"/>
          <w:numId w:val="27"/>
        </w:numPr>
        <w:tabs>
          <w:tab w:val="left" w:pos="709"/>
        </w:tabs>
        <w:ind w:left="0" w:firstLine="0"/>
        <w:jc w:val="both"/>
      </w:pPr>
      <w:r w:rsidRPr="00C258AD">
        <w:t xml:space="preserve">Enfin, le programme a poursuivi son rôle de coordination d’un réseau d’économistes au sein des offices de propriété intellectuelle – ouvert à tous les offices dotés de capacités en matière de recherche économique – afin de promouvoir et de faciliter la réalisation de recherches empiriques et scientifiques </w:t>
      </w:r>
      <w:r w:rsidRPr="00C258AD">
        <w:lastRenderedPageBreak/>
        <w:t>rigoureuses sur la propriété intellectuelle.  Le réseau a enregistré une croissance au cours de l’exercice biennal, avec la participation de quatre nouveaux offices de propriété intellectuelle, portant à 13 leur nombre total.</w:t>
      </w:r>
    </w:p>
    <w:p w:rsidR="006E2BB1" w:rsidRPr="00C258AD" w:rsidRDefault="006E2BB1" w:rsidP="001A4D6C"/>
    <w:p w:rsidR="006E2BB1" w:rsidRPr="00C258AD" w:rsidRDefault="006E2BB1" w:rsidP="001A4D6C"/>
    <w:p w:rsidR="006E2BB1" w:rsidRPr="00C258AD" w:rsidRDefault="00B26AF7" w:rsidP="00305CE5">
      <w:pPr>
        <w:keepNext/>
        <w:rPr>
          <w:rFonts w:cs="Arial"/>
          <w:caps/>
          <w:sz w:val="22"/>
          <w:szCs w:val="22"/>
        </w:rPr>
      </w:pPr>
      <w:r w:rsidRPr="00C258AD">
        <w:rPr>
          <w:rFonts w:cs="Arial"/>
          <w:caps/>
          <w:sz w:val="22"/>
          <w:szCs w:val="22"/>
        </w:rPr>
        <w:t>Données relatives à l’exécution</w:t>
      </w:r>
    </w:p>
    <w:p w:rsidR="00B26AF7" w:rsidRPr="00C258AD" w:rsidRDefault="00B26AF7" w:rsidP="001A4D6C">
      <w:pPr>
        <w:keepNext/>
        <w:keepLines/>
        <w:jc w:val="both"/>
      </w:pPr>
    </w:p>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160"/>
        <w:gridCol w:w="2301"/>
        <w:gridCol w:w="1443"/>
        <w:gridCol w:w="2439"/>
        <w:gridCol w:w="1148"/>
      </w:tblGrid>
      <w:tr w:rsidR="00B26AF7" w:rsidRPr="00C258AD" w:rsidTr="001A4D6C">
        <w:trPr>
          <w:cantSplit/>
        </w:trPr>
        <w:tc>
          <w:tcPr>
            <w:tcW w:w="5000" w:type="pct"/>
            <w:gridSpan w:val="5"/>
            <w:tcBorders>
              <w:top w:val="single" w:sz="4" w:space="0" w:color="auto"/>
              <w:bottom w:val="single" w:sz="4" w:space="0" w:color="auto"/>
            </w:tcBorders>
            <w:shd w:val="clear" w:color="auto" w:fill="C5D9F1"/>
            <w:tcMar>
              <w:top w:w="113" w:type="dxa"/>
              <w:bottom w:w="113" w:type="dxa"/>
            </w:tcMar>
            <w:vAlign w:val="center"/>
          </w:tcPr>
          <w:p w:rsidR="00B26AF7" w:rsidRPr="00C258AD" w:rsidRDefault="00B26AF7" w:rsidP="001A4D6C">
            <w:pPr>
              <w:keepNext/>
              <w:keepLines/>
              <w:tabs>
                <w:tab w:val="left" w:pos="2019"/>
              </w:tabs>
              <w:rPr>
                <w:b/>
                <w:bCs/>
                <w:sz w:val="16"/>
                <w:szCs w:val="16"/>
              </w:rPr>
            </w:pPr>
            <w:r w:rsidRPr="00C258AD">
              <w:rPr>
                <w:b/>
                <w:bCs/>
                <w:sz w:val="16"/>
                <w:szCs w:val="16"/>
              </w:rPr>
              <w:t>Résultat escompté :</w:t>
            </w:r>
            <w:r w:rsidRPr="00C258AD">
              <w:rPr>
                <w:bCs/>
                <w:sz w:val="16"/>
                <w:szCs w:val="16"/>
              </w:rPr>
              <w:t xml:space="preserve"> V.1 Utilisation élargie et améliorée de l’information statistique de l’OMPI relative à la propriété intellectuelle</w:t>
            </w:r>
          </w:p>
        </w:tc>
      </w:tr>
      <w:tr w:rsidR="00B26AF7" w:rsidRPr="00C258AD" w:rsidTr="001A4D6C">
        <w:trPr>
          <w:cantSplit/>
        </w:trPr>
        <w:tc>
          <w:tcPr>
            <w:tcW w:w="1138" w:type="pct"/>
            <w:tcBorders>
              <w:top w:val="single" w:sz="4" w:space="0" w:color="auto"/>
            </w:tcBorders>
            <w:shd w:val="clear" w:color="auto" w:fill="auto"/>
            <w:tcMar>
              <w:top w:w="113" w:type="dxa"/>
              <w:bottom w:w="113" w:type="dxa"/>
            </w:tcMar>
            <w:vAlign w:val="center"/>
          </w:tcPr>
          <w:p w:rsidR="00B26AF7" w:rsidRPr="00C258AD" w:rsidRDefault="00B26AF7" w:rsidP="001A4D6C">
            <w:pPr>
              <w:keepNext/>
              <w:keepLines/>
              <w:jc w:val="center"/>
              <w:rPr>
                <w:b/>
                <w:sz w:val="16"/>
                <w:szCs w:val="16"/>
              </w:rPr>
            </w:pPr>
            <w:r w:rsidRPr="00C258AD">
              <w:rPr>
                <w:b/>
                <w:sz w:val="16"/>
                <w:szCs w:val="16"/>
              </w:rPr>
              <w:t>Indicateurs d’exécution</w:t>
            </w:r>
          </w:p>
        </w:tc>
        <w:tc>
          <w:tcPr>
            <w:tcW w:w="1212" w:type="pct"/>
            <w:tcBorders>
              <w:top w:val="single" w:sz="4" w:space="0" w:color="auto"/>
            </w:tcBorders>
            <w:shd w:val="clear" w:color="auto" w:fill="auto"/>
            <w:tcMar>
              <w:top w:w="113" w:type="dxa"/>
              <w:bottom w:w="113" w:type="dxa"/>
            </w:tcMar>
            <w:vAlign w:val="center"/>
          </w:tcPr>
          <w:p w:rsidR="00B26AF7" w:rsidRPr="00C258AD" w:rsidRDefault="00B26AF7" w:rsidP="001A4D6C">
            <w:pPr>
              <w:keepNext/>
              <w:keepLines/>
              <w:jc w:val="center"/>
              <w:rPr>
                <w:b/>
                <w:bCs/>
                <w:sz w:val="16"/>
                <w:szCs w:val="16"/>
              </w:rPr>
            </w:pPr>
            <w:r w:rsidRPr="00C258AD">
              <w:rPr>
                <w:b/>
                <w:bCs/>
                <w:sz w:val="16"/>
                <w:szCs w:val="16"/>
              </w:rPr>
              <w:t>Niveaux de référence</w:t>
            </w:r>
          </w:p>
        </w:tc>
        <w:tc>
          <w:tcPr>
            <w:tcW w:w="760" w:type="pct"/>
            <w:tcBorders>
              <w:top w:val="single" w:sz="4" w:space="0" w:color="auto"/>
            </w:tcBorders>
            <w:shd w:val="clear" w:color="auto" w:fill="auto"/>
            <w:tcMar>
              <w:top w:w="113" w:type="dxa"/>
              <w:bottom w:w="113" w:type="dxa"/>
            </w:tcMar>
            <w:vAlign w:val="center"/>
          </w:tcPr>
          <w:p w:rsidR="00B26AF7" w:rsidRPr="00C258AD" w:rsidRDefault="00B26AF7" w:rsidP="001A4D6C">
            <w:pPr>
              <w:keepNext/>
              <w:keepLines/>
              <w:jc w:val="center"/>
              <w:rPr>
                <w:b/>
                <w:sz w:val="16"/>
                <w:szCs w:val="16"/>
              </w:rPr>
            </w:pPr>
            <w:r w:rsidRPr="00C258AD">
              <w:rPr>
                <w:b/>
                <w:sz w:val="16"/>
                <w:szCs w:val="16"/>
              </w:rPr>
              <w:t>Objectifs visés</w:t>
            </w:r>
          </w:p>
        </w:tc>
        <w:tc>
          <w:tcPr>
            <w:tcW w:w="1285" w:type="pct"/>
            <w:tcBorders>
              <w:top w:val="single" w:sz="4" w:space="0" w:color="auto"/>
            </w:tcBorders>
            <w:shd w:val="clear" w:color="auto" w:fill="FFFFFF"/>
            <w:tcMar>
              <w:top w:w="113" w:type="dxa"/>
              <w:bottom w:w="113" w:type="dxa"/>
            </w:tcMar>
            <w:vAlign w:val="center"/>
          </w:tcPr>
          <w:p w:rsidR="00B26AF7" w:rsidRPr="00C258AD" w:rsidRDefault="00B26AF7" w:rsidP="001A4D6C">
            <w:pPr>
              <w:keepNext/>
              <w:keepLines/>
              <w:jc w:val="center"/>
              <w:rPr>
                <w:b/>
                <w:sz w:val="16"/>
                <w:szCs w:val="16"/>
              </w:rPr>
            </w:pPr>
            <w:r w:rsidRPr="00C258AD">
              <w:rPr>
                <w:b/>
                <w:sz w:val="16"/>
                <w:szCs w:val="16"/>
              </w:rPr>
              <w:t>Données relatives à l’exécution</w:t>
            </w:r>
          </w:p>
        </w:tc>
        <w:tc>
          <w:tcPr>
            <w:tcW w:w="606" w:type="pct"/>
            <w:tcBorders>
              <w:top w:val="single" w:sz="4" w:space="0" w:color="auto"/>
            </w:tcBorders>
            <w:shd w:val="clear" w:color="auto" w:fill="auto"/>
            <w:tcMar>
              <w:top w:w="113" w:type="dxa"/>
              <w:bottom w:w="113" w:type="dxa"/>
            </w:tcMar>
            <w:vAlign w:val="center"/>
          </w:tcPr>
          <w:p w:rsidR="00B26AF7" w:rsidRPr="00C258AD" w:rsidRDefault="00B26AF7" w:rsidP="001A4D6C">
            <w:pPr>
              <w:keepNext/>
              <w:keepLines/>
              <w:jc w:val="center"/>
              <w:rPr>
                <w:b/>
                <w:bCs/>
                <w:sz w:val="16"/>
                <w:szCs w:val="16"/>
              </w:rPr>
            </w:pPr>
            <w:r w:rsidRPr="00C258AD">
              <w:rPr>
                <w:b/>
                <w:bCs/>
                <w:sz w:val="16"/>
                <w:szCs w:val="16"/>
              </w:rPr>
              <w:t>Code de couleurs</w:t>
            </w:r>
          </w:p>
        </w:tc>
      </w:tr>
      <w:tr w:rsidR="00B26AF7" w:rsidRPr="00C258AD" w:rsidTr="001A4D6C">
        <w:trPr>
          <w:cantSplit/>
        </w:trPr>
        <w:tc>
          <w:tcPr>
            <w:tcW w:w="1138" w:type="pct"/>
            <w:shd w:val="clear" w:color="auto" w:fill="auto"/>
            <w:tcMar>
              <w:top w:w="113" w:type="dxa"/>
              <w:bottom w:w="113" w:type="dxa"/>
            </w:tcMar>
          </w:tcPr>
          <w:p w:rsidR="00B26AF7" w:rsidRPr="00C258AD" w:rsidRDefault="00B26AF7" w:rsidP="001A4D6C">
            <w:pPr>
              <w:keepNext/>
              <w:keepLines/>
              <w:rPr>
                <w:sz w:val="16"/>
                <w:szCs w:val="16"/>
              </w:rPr>
            </w:pPr>
            <w:r w:rsidRPr="00C258AD">
              <w:rPr>
                <w:sz w:val="16"/>
                <w:szCs w:val="16"/>
              </w:rPr>
              <w:t>Nombre de téléchargements des quatre principaux rapports statistiques (Indicateurs mondiaux relatifs à la propriété intellectuelle et revues annuelles du PCT, de La Haye et de Madrid)</w:t>
            </w:r>
          </w:p>
        </w:tc>
        <w:tc>
          <w:tcPr>
            <w:tcW w:w="1212" w:type="pct"/>
            <w:shd w:val="clear" w:color="auto" w:fill="auto"/>
            <w:tcMar>
              <w:top w:w="113" w:type="dxa"/>
              <w:bottom w:w="113" w:type="dxa"/>
            </w:tcMar>
          </w:tcPr>
          <w:p w:rsidR="006E2BB1" w:rsidRPr="007E6877" w:rsidRDefault="00B26AF7" w:rsidP="001A4D6C">
            <w:pPr>
              <w:keepNext/>
              <w:keepLines/>
              <w:rPr>
                <w:color w:val="002060"/>
                <w:sz w:val="16"/>
                <w:szCs w:val="16"/>
              </w:rPr>
            </w:pPr>
            <w:r w:rsidRPr="007E6877">
              <w:rPr>
                <w:i/>
                <w:color w:val="002060"/>
                <w:sz w:val="16"/>
                <w:szCs w:val="16"/>
              </w:rPr>
              <w:t>Niveaux de référence actualisés à fin 2013 :</w:t>
            </w:r>
            <w:r w:rsidRPr="007E6877">
              <w:rPr>
                <w:color w:val="002060"/>
                <w:sz w:val="16"/>
                <w:szCs w:val="16"/>
              </w:rPr>
              <w:t xml:space="preserve"> en 2013, les dernières éditions disponibles (éditions 2012 et 2013) des Indicateurs mondiaux relatifs à la propriété intellectuelle (publication n° 941) et des Faits et chiffres de l’OMPI relatifs à la propriété intellectuelle (publication n° 943) ont fait l’objet de 52 670 téléchargements au total.</w:t>
            </w:r>
          </w:p>
          <w:p w:rsidR="006E2BB1" w:rsidRPr="00C258AD" w:rsidRDefault="006E2BB1" w:rsidP="001A4D6C">
            <w:pPr>
              <w:keepNext/>
              <w:keepLines/>
              <w:rPr>
                <w:sz w:val="16"/>
                <w:szCs w:val="16"/>
              </w:rPr>
            </w:pPr>
          </w:p>
          <w:p w:rsidR="00B26AF7" w:rsidRPr="00C258AD" w:rsidRDefault="00B26AF7" w:rsidP="001A4D6C">
            <w:pPr>
              <w:keepNext/>
              <w:keepLines/>
              <w:rPr>
                <w:i/>
                <w:sz w:val="16"/>
                <w:szCs w:val="16"/>
              </w:rPr>
            </w:pPr>
            <w:r w:rsidRPr="00C258AD">
              <w:rPr>
                <w:i/>
                <w:sz w:val="16"/>
                <w:szCs w:val="16"/>
              </w:rPr>
              <w:t>Niveau de référence initial dans le programme et budget</w:t>
            </w:r>
            <w:r w:rsidRPr="00C258AD">
              <w:rPr>
                <w:sz w:val="16"/>
                <w:szCs w:val="16"/>
              </w:rPr>
              <w:t xml:space="preserve"> </w:t>
            </w:r>
            <w:r w:rsidRPr="00C258AD">
              <w:rPr>
                <w:i/>
                <w:sz w:val="16"/>
                <w:szCs w:val="16"/>
              </w:rPr>
              <w:t>2014</w:t>
            </w:r>
            <w:r w:rsidRPr="00C258AD">
              <w:rPr>
                <w:i/>
                <w:sz w:val="16"/>
                <w:szCs w:val="16"/>
              </w:rPr>
              <w:noBreakHyphen/>
              <w:t>2015</w:t>
            </w:r>
            <w:r w:rsidRPr="00C258AD">
              <w:rPr>
                <w:sz w:val="16"/>
                <w:szCs w:val="16"/>
              </w:rPr>
              <w:t> : à déterminer fin 2013</w:t>
            </w:r>
          </w:p>
        </w:tc>
        <w:tc>
          <w:tcPr>
            <w:tcW w:w="760" w:type="pct"/>
            <w:shd w:val="clear" w:color="auto" w:fill="auto"/>
            <w:tcMar>
              <w:top w:w="113" w:type="dxa"/>
              <w:bottom w:w="113" w:type="dxa"/>
            </w:tcMar>
          </w:tcPr>
          <w:p w:rsidR="00B26AF7" w:rsidRPr="00C258AD" w:rsidRDefault="00B26AF7" w:rsidP="001A4D6C">
            <w:pPr>
              <w:keepNext/>
              <w:keepLines/>
              <w:rPr>
                <w:sz w:val="16"/>
                <w:szCs w:val="16"/>
              </w:rPr>
            </w:pPr>
            <w:r w:rsidRPr="00C258AD">
              <w:rPr>
                <w:sz w:val="16"/>
                <w:szCs w:val="16"/>
              </w:rPr>
              <w:t>Hausse de 10% du nombre de téléchargements et d’utilisateurs par rapport à 2012</w:t>
            </w:r>
            <w:r w:rsidRPr="00C258AD">
              <w:rPr>
                <w:sz w:val="16"/>
                <w:szCs w:val="16"/>
              </w:rPr>
              <w:noBreakHyphen/>
              <w:t>2013</w:t>
            </w:r>
          </w:p>
        </w:tc>
        <w:tc>
          <w:tcPr>
            <w:tcW w:w="1285" w:type="pct"/>
            <w:shd w:val="clear" w:color="auto" w:fill="FFFFFF"/>
            <w:tcMar>
              <w:top w:w="113" w:type="dxa"/>
              <w:bottom w:w="113" w:type="dxa"/>
            </w:tcMar>
          </w:tcPr>
          <w:p w:rsidR="006E2BB1" w:rsidRPr="00C258AD" w:rsidRDefault="00B26AF7" w:rsidP="007E6877">
            <w:pPr>
              <w:pStyle w:val="ListParagraph"/>
              <w:keepNext/>
              <w:keepLines/>
              <w:numPr>
                <w:ilvl w:val="0"/>
                <w:numId w:val="0"/>
              </w:numPr>
              <w:ind w:left="11"/>
              <w:rPr>
                <w:sz w:val="16"/>
                <w:szCs w:val="16"/>
              </w:rPr>
            </w:pPr>
            <w:r w:rsidRPr="00C258AD">
              <w:rPr>
                <w:sz w:val="16"/>
                <w:szCs w:val="16"/>
              </w:rPr>
              <w:t>En 2014</w:t>
            </w:r>
            <w:r w:rsidRPr="00C258AD">
              <w:rPr>
                <w:sz w:val="16"/>
                <w:szCs w:val="16"/>
              </w:rPr>
              <w:noBreakHyphen/>
              <w:t>2015, les deux dernières éditions publiées (2014 et 2015) des rapports suivants ont été téléchargées 215 996 fois au total :</w:t>
            </w:r>
          </w:p>
          <w:p w:rsidR="006E2BB1" w:rsidRPr="00C258AD" w:rsidRDefault="006E2BB1" w:rsidP="007E6877">
            <w:pPr>
              <w:pStyle w:val="ListParagraph"/>
              <w:keepNext/>
              <w:keepLines/>
              <w:numPr>
                <w:ilvl w:val="0"/>
                <w:numId w:val="0"/>
              </w:numPr>
              <w:ind w:left="11"/>
              <w:rPr>
                <w:sz w:val="16"/>
                <w:szCs w:val="16"/>
              </w:rPr>
            </w:pPr>
          </w:p>
          <w:p w:rsidR="006E2BB1" w:rsidRPr="00C258AD" w:rsidRDefault="00B26AF7" w:rsidP="00BB4DBC">
            <w:pPr>
              <w:pStyle w:val="ListParagraph"/>
              <w:keepNext/>
              <w:keepLines/>
              <w:numPr>
                <w:ilvl w:val="0"/>
                <w:numId w:val="29"/>
              </w:numPr>
              <w:rPr>
                <w:sz w:val="16"/>
                <w:szCs w:val="16"/>
              </w:rPr>
            </w:pPr>
            <w:r w:rsidRPr="00C258AD">
              <w:rPr>
                <w:sz w:val="16"/>
                <w:szCs w:val="16"/>
              </w:rPr>
              <w:t>Les Indicateurs mondiaux relatifs à la propriété intellectuelle (n° 941E/14 et 941E) et les Faits et chiffres de l’OMPI relatifs à la propriété intellectuelle (n° 943F/14 et 943F/15) ont été téléchargés 124 642 fois au total :</w:t>
            </w:r>
          </w:p>
          <w:p w:rsidR="006E2BB1" w:rsidRPr="00C258AD" w:rsidRDefault="00B26AF7" w:rsidP="00BB4DBC">
            <w:pPr>
              <w:pStyle w:val="ListParagraph"/>
              <w:keepNext/>
              <w:keepLines/>
              <w:numPr>
                <w:ilvl w:val="0"/>
                <w:numId w:val="28"/>
              </w:numPr>
              <w:ind w:left="551"/>
              <w:rPr>
                <w:sz w:val="16"/>
                <w:szCs w:val="16"/>
              </w:rPr>
            </w:pPr>
            <w:r w:rsidRPr="00C258AD">
              <w:rPr>
                <w:sz w:val="16"/>
                <w:szCs w:val="16"/>
              </w:rPr>
              <w:t>Indicateurs mondiaux relatifs à la propriété intellectuelle (n</w:t>
            </w:r>
            <w:r w:rsidRPr="00C258AD">
              <w:rPr>
                <w:sz w:val="16"/>
                <w:szCs w:val="16"/>
                <w:vertAlign w:val="superscript"/>
              </w:rPr>
              <w:t>o</w:t>
            </w:r>
            <w:r w:rsidRPr="00C258AD">
              <w:rPr>
                <w:sz w:val="16"/>
                <w:szCs w:val="16"/>
              </w:rPr>
              <w:t xml:space="preserve"> 941E/14 et 941E) : 82 914 fois</w:t>
            </w:r>
          </w:p>
          <w:p w:rsidR="006E2BB1" w:rsidRPr="00C258AD" w:rsidRDefault="00B26AF7" w:rsidP="00BB4DBC">
            <w:pPr>
              <w:pStyle w:val="ListParagraph"/>
              <w:keepNext/>
              <w:keepLines/>
              <w:numPr>
                <w:ilvl w:val="0"/>
                <w:numId w:val="28"/>
              </w:numPr>
              <w:ind w:left="551"/>
              <w:rPr>
                <w:sz w:val="16"/>
                <w:szCs w:val="16"/>
              </w:rPr>
            </w:pPr>
            <w:r w:rsidRPr="00C258AD">
              <w:rPr>
                <w:sz w:val="16"/>
                <w:szCs w:val="16"/>
              </w:rPr>
              <w:t>Faits et chiffres de l’OMPI relatifs à la propriété intellectuelle (n</w:t>
            </w:r>
            <w:r w:rsidRPr="00C258AD">
              <w:rPr>
                <w:sz w:val="16"/>
                <w:szCs w:val="16"/>
                <w:vertAlign w:val="superscript"/>
              </w:rPr>
              <w:t>o</w:t>
            </w:r>
            <w:r w:rsidRPr="00C258AD">
              <w:rPr>
                <w:sz w:val="16"/>
                <w:szCs w:val="16"/>
              </w:rPr>
              <w:t xml:space="preserve"> 943F/14 et 943F/15) : 41 728 fois</w:t>
            </w:r>
          </w:p>
          <w:p w:rsidR="006E2BB1" w:rsidRPr="00C258AD" w:rsidRDefault="006E2BB1" w:rsidP="007E6877">
            <w:pPr>
              <w:pStyle w:val="ListParagraph"/>
              <w:keepNext/>
              <w:keepLines/>
              <w:numPr>
                <w:ilvl w:val="0"/>
                <w:numId w:val="0"/>
              </w:numPr>
              <w:ind w:left="11"/>
              <w:rPr>
                <w:sz w:val="16"/>
                <w:szCs w:val="16"/>
              </w:rPr>
            </w:pPr>
          </w:p>
          <w:p w:rsidR="006E2BB1" w:rsidRPr="00C258AD" w:rsidRDefault="00B26AF7" w:rsidP="00BB4DBC">
            <w:pPr>
              <w:pStyle w:val="ListParagraph"/>
              <w:keepNext/>
              <w:keepLines/>
              <w:numPr>
                <w:ilvl w:val="0"/>
                <w:numId w:val="29"/>
              </w:numPr>
              <w:rPr>
                <w:sz w:val="16"/>
                <w:szCs w:val="16"/>
              </w:rPr>
            </w:pPr>
            <w:r w:rsidRPr="00C258AD">
              <w:rPr>
                <w:sz w:val="16"/>
                <w:szCs w:val="16"/>
              </w:rPr>
              <w:t>Revue annuelle du PCT (n° 901F/2014 et 901F/2015) : 50 746 téléchargements</w:t>
            </w:r>
          </w:p>
          <w:p w:rsidR="006E2BB1" w:rsidRPr="00C258AD" w:rsidRDefault="006E2BB1" w:rsidP="007E6877">
            <w:pPr>
              <w:pStyle w:val="ListParagraph"/>
              <w:keepNext/>
              <w:keepLines/>
              <w:numPr>
                <w:ilvl w:val="0"/>
                <w:numId w:val="0"/>
              </w:numPr>
              <w:ind w:left="11"/>
              <w:rPr>
                <w:sz w:val="16"/>
                <w:szCs w:val="16"/>
              </w:rPr>
            </w:pPr>
          </w:p>
          <w:p w:rsidR="006E2BB1" w:rsidRPr="00C258AD" w:rsidRDefault="00B26AF7" w:rsidP="00BB4DBC">
            <w:pPr>
              <w:pStyle w:val="ListParagraph"/>
              <w:keepNext/>
              <w:keepLines/>
              <w:numPr>
                <w:ilvl w:val="0"/>
                <w:numId w:val="29"/>
              </w:numPr>
              <w:rPr>
                <w:sz w:val="16"/>
                <w:szCs w:val="16"/>
              </w:rPr>
            </w:pPr>
            <w:r w:rsidRPr="00C258AD">
              <w:rPr>
                <w:sz w:val="16"/>
                <w:szCs w:val="16"/>
              </w:rPr>
              <w:t>Revue annuelle de Madrid (n° 940F/14 et 940F/15) : 20 281 téléchargements</w:t>
            </w:r>
          </w:p>
          <w:p w:rsidR="006E2BB1" w:rsidRPr="00C258AD" w:rsidRDefault="006E2BB1" w:rsidP="001A4D6C">
            <w:pPr>
              <w:keepNext/>
              <w:keepLines/>
              <w:ind w:left="11"/>
              <w:rPr>
                <w:sz w:val="16"/>
                <w:szCs w:val="16"/>
              </w:rPr>
            </w:pPr>
          </w:p>
          <w:p w:rsidR="00B26AF7" w:rsidRPr="00C258AD" w:rsidRDefault="00B26AF7" w:rsidP="00BB4DBC">
            <w:pPr>
              <w:pStyle w:val="ListParagraph"/>
              <w:keepNext/>
              <w:keepLines/>
              <w:numPr>
                <w:ilvl w:val="0"/>
                <w:numId w:val="29"/>
              </w:numPr>
              <w:rPr>
                <w:sz w:val="16"/>
                <w:szCs w:val="16"/>
              </w:rPr>
            </w:pPr>
            <w:r w:rsidRPr="00C258AD">
              <w:rPr>
                <w:sz w:val="16"/>
                <w:szCs w:val="16"/>
              </w:rPr>
              <w:t>Revue annuelle de La Haye (n° 930F/14 et 930F/15) : 20 237 téléchargements</w:t>
            </w:r>
          </w:p>
        </w:tc>
        <w:tc>
          <w:tcPr>
            <w:tcW w:w="606" w:type="pct"/>
            <w:shd w:val="clear" w:color="auto" w:fill="auto"/>
            <w:tcMar>
              <w:top w:w="113" w:type="dxa"/>
              <w:bottom w:w="113" w:type="dxa"/>
            </w:tcMar>
          </w:tcPr>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B26AF7" w:rsidP="001A4D6C">
            <w:pPr>
              <w:keepNext/>
              <w:keepLines/>
              <w:jc w:val="center"/>
              <w:rPr>
                <w:b/>
                <w:bCs/>
                <w:sz w:val="16"/>
                <w:szCs w:val="16"/>
              </w:rPr>
            </w:pPr>
            <w:r w:rsidRPr="00C258AD">
              <w:rPr>
                <w:rFonts w:cs="Arial"/>
                <w:b/>
                <w:bCs/>
                <w:color w:val="00B050"/>
                <w:sz w:val="16"/>
                <w:szCs w:val="16"/>
              </w:rPr>
              <w:t>Objectif pleinement atteint</w:t>
            </w: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color w:val="808080"/>
                <w:sz w:val="16"/>
                <w:szCs w:val="16"/>
              </w:rPr>
            </w:pPr>
          </w:p>
          <w:p w:rsidR="006E2BB1" w:rsidRPr="00C258AD" w:rsidRDefault="006E2BB1" w:rsidP="001A4D6C">
            <w:pPr>
              <w:keepNext/>
              <w:keepLines/>
              <w:jc w:val="center"/>
              <w:rPr>
                <w:b/>
                <w:bCs/>
                <w:color w:val="808080"/>
                <w:sz w:val="16"/>
                <w:szCs w:val="16"/>
              </w:rPr>
            </w:pPr>
          </w:p>
          <w:p w:rsidR="006E2BB1" w:rsidRPr="00C258AD" w:rsidRDefault="006E2BB1" w:rsidP="001A4D6C">
            <w:pPr>
              <w:keepNext/>
              <w:keepLines/>
              <w:jc w:val="center"/>
              <w:rPr>
                <w:b/>
                <w:bCs/>
                <w:color w:val="808080"/>
                <w:sz w:val="16"/>
                <w:szCs w:val="16"/>
              </w:rPr>
            </w:pPr>
          </w:p>
          <w:p w:rsidR="006E2BB1" w:rsidRPr="00C258AD" w:rsidRDefault="006E2BB1" w:rsidP="001A4D6C">
            <w:pPr>
              <w:keepNext/>
              <w:keepLines/>
              <w:jc w:val="center"/>
              <w:rPr>
                <w:b/>
                <w:bCs/>
                <w:color w:val="808080"/>
                <w:sz w:val="16"/>
                <w:szCs w:val="16"/>
              </w:rPr>
            </w:pPr>
          </w:p>
          <w:p w:rsidR="006E2BB1" w:rsidRPr="00C258AD" w:rsidRDefault="00B26AF7" w:rsidP="001A4D6C">
            <w:pPr>
              <w:keepNext/>
              <w:keepLines/>
              <w:jc w:val="center"/>
              <w:rPr>
                <w:b/>
                <w:bCs/>
                <w:color w:val="808080"/>
                <w:sz w:val="16"/>
                <w:szCs w:val="16"/>
              </w:rPr>
            </w:pPr>
            <w:r w:rsidRPr="00C258AD">
              <w:rPr>
                <w:b/>
                <w:bCs/>
                <w:color w:val="808080"/>
                <w:sz w:val="16"/>
                <w:szCs w:val="16"/>
              </w:rPr>
              <w:t>Non évaluable</w:t>
            </w:r>
          </w:p>
          <w:p w:rsidR="006E2BB1" w:rsidRPr="00C258AD" w:rsidRDefault="006E2BB1" w:rsidP="001A4D6C">
            <w:pPr>
              <w:keepNext/>
              <w:keepLines/>
              <w:jc w:val="center"/>
              <w:rPr>
                <w:b/>
                <w:bCs/>
                <w:color w:val="808080"/>
                <w:sz w:val="16"/>
                <w:szCs w:val="16"/>
              </w:rPr>
            </w:pPr>
          </w:p>
          <w:p w:rsidR="006E2BB1" w:rsidRPr="00C258AD" w:rsidRDefault="006E2BB1" w:rsidP="001A4D6C">
            <w:pPr>
              <w:keepNext/>
              <w:keepLines/>
              <w:jc w:val="center"/>
              <w:rPr>
                <w:b/>
                <w:bCs/>
                <w:color w:val="808080"/>
                <w:sz w:val="16"/>
                <w:szCs w:val="16"/>
              </w:rPr>
            </w:pPr>
          </w:p>
          <w:p w:rsidR="006E2BB1" w:rsidRPr="00C258AD" w:rsidRDefault="006E2BB1" w:rsidP="001A4D6C">
            <w:pPr>
              <w:keepNext/>
              <w:keepLines/>
              <w:jc w:val="center"/>
              <w:rPr>
                <w:b/>
                <w:bCs/>
                <w:color w:val="808080"/>
                <w:sz w:val="16"/>
                <w:szCs w:val="16"/>
              </w:rPr>
            </w:pPr>
          </w:p>
          <w:p w:rsidR="006E2BB1" w:rsidRPr="00C258AD" w:rsidRDefault="00B26AF7" w:rsidP="001A4D6C">
            <w:pPr>
              <w:keepNext/>
              <w:keepLines/>
              <w:jc w:val="center"/>
              <w:rPr>
                <w:b/>
                <w:bCs/>
                <w:color w:val="808080"/>
                <w:sz w:val="16"/>
                <w:szCs w:val="16"/>
              </w:rPr>
            </w:pPr>
            <w:r w:rsidRPr="00C258AD">
              <w:rPr>
                <w:b/>
                <w:bCs/>
                <w:color w:val="808080"/>
                <w:sz w:val="16"/>
                <w:szCs w:val="16"/>
              </w:rPr>
              <w:t>Non évaluable</w:t>
            </w:r>
          </w:p>
          <w:p w:rsidR="006E2BB1" w:rsidRPr="00C258AD" w:rsidRDefault="006E2BB1" w:rsidP="001A4D6C">
            <w:pPr>
              <w:keepNext/>
              <w:keepLines/>
              <w:jc w:val="center"/>
              <w:rPr>
                <w:b/>
                <w:bCs/>
                <w:color w:val="808080"/>
                <w:sz w:val="16"/>
                <w:szCs w:val="16"/>
              </w:rPr>
            </w:pPr>
          </w:p>
          <w:p w:rsidR="006E2BB1" w:rsidRPr="00C258AD" w:rsidRDefault="006E2BB1" w:rsidP="001A4D6C">
            <w:pPr>
              <w:keepNext/>
              <w:keepLines/>
              <w:jc w:val="center"/>
              <w:rPr>
                <w:b/>
                <w:bCs/>
                <w:color w:val="808080"/>
                <w:sz w:val="16"/>
                <w:szCs w:val="16"/>
              </w:rPr>
            </w:pPr>
          </w:p>
          <w:p w:rsidR="00B26AF7" w:rsidRPr="00C258AD" w:rsidRDefault="00B26AF7" w:rsidP="001A4D6C">
            <w:pPr>
              <w:keepNext/>
              <w:keepLines/>
              <w:jc w:val="center"/>
              <w:rPr>
                <w:b/>
                <w:bCs/>
                <w:sz w:val="16"/>
                <w:szCs w:val="16"/>
              </w:rPr>
            </w:pPr>
            <w:r w:rsidRPr="00C258AD">
              <w:rPr>
                <w:b/>
                <w:bCs/>
                <w:color w:val="808080"/>
                <w:sz w:val="16"/>
                <w:szCs w:val="16"/>
              </w:rPr>
              <w:t>Non évaluable</w:t>
            </w:r>
          </w:p>
        </w:tc>
      </w:tr>
      <w:tr w:rsidR="00B26AF7" w:rsidRPr="00C258AD" w:rsidTr="001A4D6C">
        <w:trPr>
          <w:cantSplit/>
        </w:trPr>
        <w:tc>
          <w:tcPr>
            <w:tcW w:w="1138" w:type="pct"/>
            <w:tcBorders>
              <w:bottom w:val="single" w:sz="4" w:space="0" w:color="auto"/>
            </w:tcBorders>
            <w:shd w:val="clear" w:color="auto" w:fill="auto"/>
            <w:tcMar>
              <w:top w:w="113" w:type="dxa"/>
              <w:bottom w:w="113" w:type="dxa"/>
            </w:tcMar>
          </w:tcPr>
          <w:p w:rsidR="00B26AF7" w:rsidRPr="00C258AD" w:rsidRDefault="00B26AF7" w:rsidP="001A4D6C">
            <w:pPr>
              <w:rPr>
                <w:sz w:val="16"/>
                <w:szCs w:val="16"/>
              </w:rPr>
            </w:pPr>
            <w:r w:rsidRPr="00C258AD">
              <w:rPr>
                <w:sz w:val="16"/>
                <w:szCs w:val="16"/>
              </w:rPr>
              <w:t>Nombre de visiteurs utilisant le Centre de données statistiques de propriété intellectuelle</w:t>
            </w:r>
          </w:p>
        </w:tc>
        <w:tc>
          <w:tcPr>
            <w:tcW w:w="1212" w:type="pct"/>
            <w:tcBorders>
              <w:bottom w:val="single" w:sz="4" w:space="0" w:color="auto"/>
            </w:tcBorders>
            <w:shd w:val="clear" w:color="auto" w:fill="auto"/>
            <w:tcMar>
              <w:top w:w="113" w:type="dxa"/>
              <w:bottom w:w="113" w:type="dxa"/>
            </w:tcMar>
          </w:tcPr>
          <w:p w:rsidR="006E2BB1" w:rsidRPr="007E6877" w:rsidRDefault="00B26AF7" w:rsidP="001A4D6C">
            <w:pPr>
              <w:rPr>
                <w:i/>
                <w:color w:val="002060"/>
                <w:sz w:val="16"/>
                <w:szCs w:val="16"/>
              </w:rPr>
            </w:pPr>
            <w:r w:rsidRPr="007E6877">
              <w:rPr>
                <w:i/>
                <w:color w:val="002060"/>
                <w:sz w:val="16"/>
                <w:szCs w:val="16"/>
              </w:rPr>
              <w:t>Niveau de référence actualisé à fin</w:t>
            </w:r>
            <w:r w:rsidRPr="007E6877">
              <w:rPr>
                <w:color w:val="002060"/>
                <w:sz w:val="16"/>
                <w:szCs w:val="16"/>
              </w:rPr>
              <w:t xml:space="preserve"> </w:t>
            </w:r>
            <w:r w:rsidRPr="007E6877">
              <w:rPr>
                <w:i/>
                <w:color w:val="002060"/>
                <w:sz w:val="16"/>
                <w:szCs w:val="16"/>
              </w:rPr>
              <w:t>2013 :</w:t>
            </w:r>
          </w:p>
          <w:p w:rsidR="006E2BB1" w:rsidRPr="007E6877" w:rsidRDefault="00B26AF7" w:rsidP="001A4D6C">
            <w:pPr>
              <w:rPr>
                <w:color w:val="002060"/>
                <w:sz w:val="16"/>
                <w:szCs w:val="16"/>
              </w:rPr>
            </w:pPr>
            <w:r w:rsidRPr="007E6877">
              <w:rPr>
                <w:color w:val="002060"/>
                <w:sz w:val="16"/>
                <w:szCs w:val="16"/>
              </w:rPr>
              <w:t>en 2013, le Centre de données statistiques de l’OMPI a été utilisé par 23 496 visiteurs uniques (soit 1958 par mois), qui ont consulté 162 463 pages.</w:t>
            </w:r>
          </w:p>
          <w:p w:rsidR="006E2BB1" w:rsidRPr="00C258AD" w:rsidRDefault="006E2BB1" w:rsidP="001A4D6C">
            <w:pPr>
              <w:rPr>
                <w:sz w:val="16"/>
                <w:szCs w:val="16"/>
              </w:rPr>
            </w:pPr>
          </w:p>
          <w:p w:rsidR="00B26AF7" w:rsidRPr="00C258AD" w:rsidRDefault="00B26AF7" w:rsidP="001A4D6C">
            <w:pPr>
              <w:rPr>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à déterminer fin 2013</w:t>
            </w:r>
          </w:p>
        </w:tc>
        <w:tc>
          <w:tcPr>
            <w:tcW w:w="760" w:type="pct"/>
            <w:tcBorders>
              <w:bottom w:val="single" w:sz="4" w:space="0" w:color="auto"/>
            </w:tcBorders>
            <w:shd w:val="clear" w:color="auto" w:fill="auto"/>
            <w:tcMar>
              <w:top w:w="113" w:type="dxa"/>
              <w:bottom w:w="113" w:type="dxa"/>
            </w:tcMar>
          </w:tcPr>
          <w:p w:rsidR="00B26AF7" w:rsidRPr="00C258AD" w:rsidRDefault="00B26AF7" w:rsidP="001A4D6C">
            <w:pPr>
              <w:rPr>
                <w:i/>
                <w:sz w:val="16"/>
                <w:szCs w:val="16"/>
              </w:rPr>
            </w:pPr>
            <w:r w:rsidRPr="00C258AD">
              <w:rPr>
                <w:sz w:val="16"/>
                <w:szCs w:val="16"/>
              </w:rPr>
              <w:t>Hausse de 10% du nombre d’utilisateurs par rapport à 2012</w:t>
            </w:r>
            <w:r w:rsidRPr="00C258AD">
              <w:rPr>
                <w:sz w:val="16"/>
                <w:szCs w:val="16"/>
              </w:rPr>
              <w:noBreakHyphen/>
              <w:t>2013</w:t>
            </w:r>
          </w:p>
        </w:tc>
        <w:tc>
          <w:tcPr>
            <w:tcW w:w="1285" w:type="pct"/>
            <w:tcBorders>
              <w:bottom w:val="single" w:sz="4" w:space="0" w:color="auto"/>
            </w:tcBorders>
            <w:shd w:val="clear" w:color="auto" w:fill="FFFFFF"/>
            <w:tcMar>
              <w:top w:w="113" w:type="dxa"/>
              <w:bottom w:w="113" w:type="dxa"/>
            </w:tcMar>
          </w:tcPr>
          <w:p w:rsidR="00B26AF7" w:rsidRPr="00C258AD" w:rsidRDefault="00B26AF7" w:rsidP="001A4D6C">
            <w:pPr>
              <w:rPr>
                <w:sz w:val="16"/>
                <w:szCs w:val="16"/>
              </w:rPr>
            </w:pPr>
            <w:r w:rsidRPr="00C258AD">
              <w:rPr>
                <w:sz w:val="16"/>
                <w:szCs w:val="16"/>
              </w:rPr>
              <w:t>D’après les estimations, en 2014</w:t>
            </w:r>
            <w:r w:rsidRPr="00C258AD">
              <w:rPr>
                <w:sz w:val="16"/>
                <w:szCs w:val="22"/>
              </w:rPr>
              <w:noBreakHyphen/>
              <w:t>20</w:t>
            </w:r>
            <w:r w:rsidRPr="00C258AD">
              <w:rPr>
                <w:sz w:val="16"/>
                <w:szCs w:val="16"/>
              </w:rPr>
              <w:t>15 le Centre de données statistiques de l’OMPI a été utilisé par 51 383 visiteurs uniques (2141 par mois) qui, d’après les estimations, ont consulté 608 277 pages</w:t>
            </w:r>
            <w:r w:rsidRPr="00C258AD">
              <w:rPr>
                <w:rStyle w:val="FootnoteReference"/>
                <w:rFonts w:eastAsia="SimSun"/>
                <w:sz w:val="16"/>
                <w:szCs w:val="16"/>
              </w:rPr>
              <w:footnoteReference w:id="94"/>
            </w:r>
          </w:p>
        </w:tc>
        <w:tc>
          <w:tcPr>
            <w:tcW w:w="606" w:type="pct"/>
            <w:tcBorders>
              <w:bottom w:val="single" w:sz="4" w:space="0" w:color="auto"/>
            </w:tcBorders>
            <w:shd w:val="clear" w:color="auto" w:fill="auto"/>
            <w:tcMar>
              <w:top w:w="113" w:type="dxa"/>
              <w:bottom w:w="113" w:type="dxa"/>
            </w:tcMar>
          </w:tcPr>
          <w:p w:rsidR="00B26AF7" w:rsidRPr="00C258AD" w:rsidRDefault="00B26AF7" w:rsidP="001A4D6C">
            <w:pPr>
              <w:keepNext/>
              <w:keepLines/>
              <w:jc w:val="center"/>
              <w:rPr>
                <w:b/>
                <w:bCs/>
                <w:sz w:val="16"/>
                <w:szCs w:val="16"/>
              </w:rPr>
            </w:pPr>
            <w:r w:rsidRPr="00C258AD">
              <w:rPr>
                <w:rFonts w:cs="Arial"/>
                <w:b/>
                <w:bCs/>
                <w:color w:val="00B050"/>
                <w:sz w:val="16"/>
                <w:szCs w:val="16"/>
              </w:rPr>
              <w:t>Objectif pleinement atteint</w:t>
            </w:r>
          </w:p>
        </w:tc>
      </w:tr>
      <w:tr w:rsidR="00B26AF7" w:rsidRPr="00C258AD" w:rsidTr="001A4D6C">
        <w:trPr>
          <w:cantSplit/>
        </w:trPr>
        <w:tc>
          <w:tcPr>
            <w:tcW w:w="5000" w:type="pct"/>
            <w:gridSpan w:val="5"/>
            <w:tcBorders>
              <w:top w:val="single" w:sz="4" w:space="0" w:color="auto"/>
              <w:bottom w:val="single" w:sz="4" w:space="0" w:color="auto"/>
            </w:tcBorders>
            <w:shd w:val="clear" w:color="auto" w:fill="C5D9F1"/>
            <w:tcMar>
              <w:top w:w="113" w:type="dxa"/>
              <w:bottom w:w="113" w:type="dxa"/>
            </w:tcMar>
            <w:vAlign w:val="center"/>
          </w:tcPr>
          <w:p w:rsidR="00B26AF7" w:rsidRPr="00C258AD" w:rsidRDefault="00B26AF7" w:rsidP="001A4D6C">
            <w:pPr>
              <w:keepNext/>
              <w:keepLines/>
              <w:tabs>
                <w:tab w:val="left" w:pos="1877"/>
              </w:tabs>
              <w:rPr>
                <w:b/>
                <w:bCs/>
                <w:sz w:val="16"/>
                <w:szCs w:val="16"/>
              </w:rPr>
            </w:pPr>
            <w:r w:rsidRPr="00C258AD">
              <w:rPr>
                <w:b/>
                <w:bCs/>
                <w:sz w:val="16"/>
                <w:szCs w:val="16"/>
              </w:rPr>
              <w:lastRenderedPageBreak/>
              <w:t>Résultat escompté :</w:t>
            </w:r>
            <w:r w:rsidRPr="00C258AD">
              <w:rPr>
                <w:bCs/>
                <w:sz w:val="16"/>
                <w:szCs w:val="16"/>
              </w:rPr>
              <w:t xml:space="preserve"> V.2 Utilisation élargie et améliorée des analyses économiques de l’OMPI aux fins de l’élaboration des politiques</w:t>
            </w:r>
          </w:p>
        </w:tc>
      </w:tr>
      <w:tr w:rsidR="00B26AF7" w:rsidRPr="00C258AD" w:rsidTr="001A4D6C">
        <w:trPr>
          <w:cantSplit/>
        </w:trPr>
        <w:tc>
          <w:tcPr>
            <w:tcW w:w="1138" w:type="pct"/>
            <w:tcBorders>
              <w:top w:val="single" w:sz="4" w:space="0" w:color="auto"/>
            </w:tcBorders>
            <w:shd w:val="clear" w:color="auto" w:fill="auto"/>
            <w:tcMar>
              <w:top w:w="113" w:type="dxa"/>
              <w:bottom w:w="113" w:type="dxa"/>
            </w:tcMar>
            <w:vAlign w:val="center"/>
          </w:tcPr>
          <w:p w:rsidR="00B26AF7" w:rsidRPr="00C258AD" w:rsidRDefault="00B26AF7" w:rsidP="001A4D6C">
            <w:pPr>
              <w:keepNext/>
              <w:jc w:val="center"/>
              <w:rPr>
                <w:b/>
                <w:sz w:val="16"/>
                <w:szCs w:val="16"/>
              </w:rPr>
            </w:pPr>
            <w:r w:rsidRPr="00C258AD">
              <w:rPr>
                <w:b/>
                <w:sz w:val="16"/>
                <w:szCs w:val="16"/>
              </w:rPr>
              <w:t>Indicateurs d’exécution</w:t>
            </w:r>
          </w:p>
        </w:tc>
        <w:tc>
          <w:tcPr>
            <w:tcW w:w="1212" w:type="pct"/>
            <w:tcBorders>
              <w:top w:val="single" w:sz="4" w:space="0" w:color="auto"/>
            </w:tcBorders>
            <w:shd w:val="clear" w:color="auto" w:fill="auto"/>
            <w:tcMar>
              <w:top w:w="113" w:type="dxa"/>
              <w:bottom w:w="113" w:type="dxa"/>
            </w:tcMar>
            <w:vAlign w:val="center"/>
          </w:tcPr>
          <w:p w:rsidR="00B26AF7" w:rsidRPr="00C258AD" w:rsidRDefault="00B26AF7" w:rsidP="001A4D6C">
            <w:pPr>
              <w:keepNext/>
              <w:jc w:val="center"/>
              <w:rPr>
                <w:b/>
                <w:bCs/>
                <w:sz w:val="16"/>
                <w:szCs w:val="16"/>
              </w:rPr>
            </w:pPr>
            <w:r w:rsidRPr="00C258AD">
              <w:rPr>
                <w:b/>
                <w:bCs/>
                <w:sz w:val="16"/>
                <w:szCs w:val="16"/>
              </w:rPr>
              <w:t>Niveaux de référence</w:t>
            </w:r>
          </w:p>
        </w:tc>
        <w:tc>
          <w:tcPr>
            <w:tcW w:w="760" w:type="pct"/>
            <w:tcBorders>
              <w:top w:val="single" w:sz="4" w:space="0" w:color="auto"/>
            </w:tcBorders>
            <w:shd w:val="clear" w:color="auto" w:fill="auto"/>
            <w:tcMar>
              <w:top w:w="113" w:type="dxa"/>
              <w:bottom w:w="113" w:type="dxa"/>
            </w:tcMar>
            <w:vAlign w:val="center"/>
          </w:tcPr>
          <w:p w:rsidR="00B26AF7" w:rsidRPr="00C258AD" w:rsidRDefault="00B26AF7" w:rsidP="001A4D6C">
            <w:pPr>
              <w:keepNext/>
              <w:jc w:val="center"/>
              <w:rPr>
                <w:b/>
                <w:sz w:val="16"/>
                <w:szCs w:val="16"/>
              </w:rPr>
            </w:pPr>
            <w:r w:rsidRPr="00C258AD">
              <w:rPr>
                <w:b/>
                <w:sz w:val="16"/>
                <w:szCs w:val="16"/>
              </w:rPr>
              <w:t>Objectifs visés</w:t>
            </w:r>
          </w:p>
        </w:tc>
        <w:tc>
          <w:tcPr>
            <w:tcW w:w="1285" w:type="pct"/>
            <w:tcBorders>
              <w:top w:val="single" w:sz="4" w:space="0" w:color="auto"/>
            </w:tcBorders>
            <w:shd w:val="clear" w:color="auto" w:fill="FFFFFF"/>
            <w:tcMar>
              <w:top w:w="113" w:type="dxa"/>
              <w:bottom w:w="113" w:type="dxa"/>
            </w:tcMar>
            <w:vAlign w:val="center"/>
          </w:tcPr>
          <w:p w:rsidR="00B26AF7" w:rsidRPr="00C258AD" w:rsidRDefault="00B26AF7" w:rsidP="001A4D6C">
            <w:pPr>
              <w:keepNext/>
              <w:jc w:val="center"/>
              <w:rPr>
                <w:b/>
                <w:sz w:val="16"/>
                <w:szCs w:val="16"/>
              </w:rPr>
            </w:pPr>
            <w:r w:rsidRPr="00C258AD">
              <w:rPr>
                <w:b/>
                <w:sz w:val="16"/>
                <w:szCs w:val="16"/>
              </w:rPr>
              <w:t>Données relatives à l’exécution</w:t>
            </w:r>
          </w:p>
        </w:tc>
        <w:tc>
          <w:tcPr>
            <w:tcW w:w="606" w:type="pct"/>
            <w:tcBorders>
              <w:top w:val="single" w:sz="4" w:space="0" w:color="auto"/>
            </w:tcBorders>
            <w:shd w:val="clear" w:color="auto" w:fill="auto"/>
            <w:tcMar>
              <w:top w:w="113" w:type="dxa"/>
              <w:bottom w:w="113" w:type="dxa"/>
            </w:tcMar>
            <w:vAlign w:val="center"/>
          </w:tcPr>
          <w:p w:rsidR="00B26AF7" w:rsidRPr="00C258AD" w:rsidRDefault="00B26AF7" w:rsidP="001A4D6C">
            <w:pPr>
              <w:keepNext/>
              <w:keepLines/>
              <w:jc w:val="center"/>
              <w:rPr>
                <w:b/>
                <w:bCs/>
                <w:sz w:val="16"/>
                <w:szCs w:val="16"/>
              </w:rPr>
            </w:pPr>
            <w:r w:rsidRPr="00C258AD">
              <w:rPr>
                <w:b/>
                <w:bCs/>
                <w:sz w:val="16"/>
                <w:szCs w:val="16"/>
              </w:rPr>
              <w:t>Code de couleurs</w:t>
            </w:r>
          </w:p>
        </w:tc>
      </w:tr>
      <w:tr w:rsidR="00B26AF7" w:rsidRPr="00C258AD" w:rsidTr="001A4D6C">
        <w:trPr>
          <w:cantSplit/>
        </w:trPr>
        <w:tc>
          <w:tcPr>
            <w:tcW w:w="1138" w:type="pct"/>
            <w:shd w:val="clear" w:color="auto" w:fill="auto"/>
            <w:tcMar>
              <w:top w:w="113" w:type="dxa"/>
              <w:bottom w:w="113" w:type="dxa"/>
            </w:tcMar>
          </w:tcPr>
          <w:p w:rsidR="00B26AF7" w:rsidRPr="00C258AD" w:rsidRDefault="00B26AF7" w:rsidP="001A4D6C">
            <w:pPr>
              <w:rPr>
                <w:sz w:val="16"/>
                <w:szCs w:val="16"/>
              </w:rPr>
            </w:pPr>
            <w:r w:rsidRPr="00C258AD">
              <w:rPr>
                <w:sz w:val="16"/>
                <w:szCs w:val="16"/>
              </w:rPr>
              <w:t>Nombre de téléchargements des principales publications dans le domaine économique</w:t>
            </w:r>
          </w:p>
        </w:tc>
        <w:tc>
          <w:tcPr>
            <w:tcW w:w="1212" w:type="pct"/>
            <w:shd w:val="clear" w:color="auto" w:fill="auto"/>
            <w:tcMar>
              <w:top w:w="113" w:type="dxa"/>
              <w:bottom w:w="113" w:type="dxa"/>
            </w:tcMar>
          </w:tcPr>
          <w:p w:rsidR="00B26AF7" w:rsidRPr="00C258AD" w:rsidRDefault="00B26AF7" w:rsidP="001A4D6C">
            <w:pPr>
              <w:rPr>
                <w:sz w:val="16"/>
                <w:szCs w:val="16"/>
              </w:rPr>
            </w:pPr>
            <w:r w:rsidRPr="00C258AD">
              <w:rPr>
                <w:sz w:val="16"/>
                <w:szCs w:val="16"/>
              </w:rPr>
              <w:t>À déterminer fin 2013</w:t>
            </w:r>
          </w:p>
        </w:tc>
        <w:tc>
          <w:tcPr>
            <w:tcW w:w="760" w:type="pct"/>
            <w:shd w:val="clear" w:color="auto" w:fill="auto"/>
            <w:tcMar>
              <w:top w:w="113" w:type="dxa"/>
              <w:bottom w:w="113" w:type="dxa"/>
            </w:tcMar>
          </w:tcPr>
          <w:p w:rsidR="00B26AF7" w:rsidRPr="00C258AD" w:rsidRDefault="00B26AF7" w:rsidP="001A4D6C">
            <w:pPr>
              <w:autoSpaceDE w:val="0"/>
              <w:autoSpaceDN w:val="0"/>
              <w:adjustRightInd w:val="0"/>
              <w:rPr>
                <w:sz w:val="16"/>
                <w:szCs w:val="16"/>
              </w:rPr>
            </w:pPr>
            <w:r w:rsidRPr="00C258AD">
              <w:rPr>
                <w:sz w:val="16"/>
                <w:szCs w:val="16"/>
              </w:rPr>
              <w:t>Hausse de 20% par rapport à 2012</w:t>
            </w:r>
            <w:r w:rsidRPr="00C258AD">
              <w:rPr>
                <w:sz w:val="16"/>
                <w:szCs w:val="16"/>
              </w:rPr>
              <w:noBreakHyphen/>
              <w:t>2013</w:t>
            </w:r>
          </w:p>
        </w:tc>
        <w:tc>
          <w:tcPr>
            <w:tcW w:w="1285" w:type="pct"/>
            <w:shd w:val="clear" w:color="auto" w:fill="FFFFFF"/>
            <w:tcMar>
              <w:top w:w="113" w:type="dxa"/>
              <w:bottom w:w="113" w:type="dxa"/>
            </w:tcMar>
          </w:tcPr>
          <w:p w:rsidR="006E2BB1" w:rsidRPr="00C258AD" w:rsidRDefault="00B26AF7" w:rsidP="001A4D6C">
            <w:pPr>
              <w:keepNext/>
              <w:keepLines/>
              <w:rPr>
                <w:sz w:val="16"/>
                <w:szCs w:val="16"/>
                <w:lang w:bidi="th-TH"/>
              </w:rPr>
            </w:pPr>
            <w:r w:rsidRPr="00C258AD">
              <w:rPr>
                <w:sz w:val="16"/>
                <w:szCs w:val="16"/>
                <w:lang w:bidi="th-TH"/>
              </w:rPr>
              <w:t>En 2014</w:t>
            </w:r>
            <w:r w:rsidRPr="00C258AD">
              <w:rPr>
                <w:sz w:val="16"/>
                <w:szCs w:val="22"/>
                <w:lang w:bidi="th-TH"/>
              </w:rPr>
              <w:noBreakHyphen/>
              <w:t>20</w:t>
            </w:r>
            <w:r w:rsidRPr="00C258AD">
              <w:rPr>
                <w:sz w:val="16"/>
                <w:szCs w:val="16"/>
                <w:lang w:bidi="th-TH"/>
              </w:rPr>
              <w:t>15, les deux plus récentes versions de l’Indice mondial de l’innovation (2014 et 2015)</w:t>
            </w:r>
          </w:p>
          <w:p w:rsidR="006E2BB1" w:rsidRPr="00C258AD" w:rsidRDefault="00B26AF7" w:rsidP="00BB4DBC">
            <w:pPr>
              <w:pStyle w:val="ListParagraph"/>
              <w:keepNext/>
              <w:keepLines/>
              <w:numPr>
                <w:ilvl w:val="0"/>
                <w:numId w:val="30"/>
              </w:numPr>
              <w:rPr>
                <w:sz w:val="16"/>
                <w:szCs w:val="16"/>
                <w:lang w:bidi="th-TH"/>
              </w:rPr>
            </w:pPr>
            <w:r w:rsidRPr="00C258AD">
              <w:rPr>
                <w:sz w:val="16"/>
                <w:szCs w:val="16"/>
                <w:lang w:bidi="th-TH"/>
              </w:rPr>
              <w:t>ont été téléchargées 123 161 fois et consultées par 50 368 visiteurs uniques, sur la page Web de l’OMPI consacrée à l’Indice mondial de l’innovation</w:t>
            </w:r>
            <w:r w:rsidRPr="00C258AD">
              <w:rPr>
                <w:rStyle w:val="FootnoteReference"/>
                <w:rFonts w:eastAsia="SimSun"/>
                <w:sz w:val="16"/>
                <w:szCs w:val="16"/>
                <w:lang w:bidi="th-TH"/>
              </w:rPr>
              <w:footnoteReference w:id="95"/>
            </w:r>
            <w:r w:rsidRPr="00C258AD">
              <w:rPr>
                <w:sz w:val="16"/>
                <w:szCs w:val="16"/>
                <w:lang w:bidi="th-TH"/>
              </w:rPr>
              <w:t>,</w:t>
            </w:r>
          </w:p>
          <w:p w:rsidR="006E2BB1" w:rsidRPr="00C258AD" w:rsidRDefault="00B26AF7" w:rsidP="00BB4DBC">
            <w:pPr>
              <w:pStyle w:val="ListParagraph"/>
              <w:keepNext/>
              <w:keepLines/>
              <w:numPr>
                <w:ilvl w:val="0"/>
                <w:numId w:val="30"/>
              </w:numPr>
              <w:rPr>
                <w:sz w:val="16"/>
                <w:szCs w:val="16"/>
                <w:lang w:bidi="th-TH"/>
              </w:rPr>
            </w:pPr>
            <w:r w:rsidRPr="00C258AD">
              <w:rPr>
                <w:sz w:val="16"/>
                <w:szCs w:val="16"/>
                <w:lang w:bidi="th-TH"/>
              </w:rPr>
              <w:t>ont été téléchargées 13 943 et consultées par 300 283 visiteurs uniques, sur le site Web de l’Indice mondial de l’innovation</w:t>
            </w:r>
            <w:r w:rsidRPr="00C258AD">
              <w:rPr>
                <w:rStyle w:val="FootnoteReference"/>
                <w:rFonts w:eastAsia="SimSun"/>
                <w:sz w:val="16"/>
                <w:szCs w:val="16"/>
                <w:lang w:bidi="th-TH"/>
              </w:rPr>
              <w:footnoteReference w:id="96"/>
            </w:r>
            <w:r w:rsidRPr="00C258AD">
              <w:rPr>
                <w:sz w:val="16"/>
                <w:szCs w:val="16"/>
                <w:lang w:bidi="th-TH"/>
              </w:rPr>
              <w:t>.</w:t>
            </w:r>
          </w:p>
          <w:p w:rsidR="006E2BB1" w:rsidRPr="00C258AD" w:rsidRDefault="006E2BB1" w:rsidP="001A4D6C">
            <w:pPr>
              <w:keepNext/>
              <w:keepLines/>
              <w:rPr>
                <w:sz w:val="16"/>
                <w:szCs w:val="16"/>
                <w:lang w:bidi="th-TH"/>
              </w:rPr>
            </w:pPr>
          </w:p>
          <w:p w:rsidR="00B26AF7" w:rsidRPr="00C258AD" w:rsidRDefault="00B26AF7" w:rsidP="001A4D6C">
            <w:pPr>
              <w:rPr>
                <w:sz w:val="16"/>
                <w:szCs w:val="16"/>
                <w:lang w:bidi="th-TH"/>
              </w:rPr>
            </w:pPr>
            <w:r w:rsidRPr="00C258AD">
              <w:rPr>
                <w:sz w:val="16"/>
                <w:szCs w:val="16"/>
                <w:lang w:bidi="th-TH"/>
              </w:rPr>
              <w:t>En 2014</w:t>
            </w:r>
            <w:r w:rsidRPr="00C258AD">
              <w:rPr>
                <w:sz w:val="16"/>
                <w:szCs w:val="22"/>
                <w:lang w:bidi="th-TH"/>
              </w:rPr>
              <w:noBreakHyphen/>
              <w:t>20</w:t>
            </w:r>
            <w:r w:rsidRPr="00C258AD">
              <w:rPr>
                <w:sz w:val="16"/>
                <w:szCs w:val="16"/>
                <w:lang w:bidi="th-TH"/>
              </w:rPr>
              <w:t>15, le Rapport sur la propriété intellectuelle dans le monde le plus récent (2015) (944F) a été téléchargé 16 218 fois au total entre le 11 novembre 2015, date de sa publication sur le site Web de l’OMPI, et fin 2015.</w:t>
            </w:r>
          </w:p>
        </w:tc>
        <w:tc>
          <w:tcPr>
            <w:tcW w:w="606" w:type="pct"/>
            <w:shd w:val="clear" w:color="auto" w:fill="auto"/>
            <w:tcMar>
              <w:top w:w="113" w:type="dxa"/>
              <w:bottom w:w="113" w:type="dxa"/>
            </w:tcMar>
          </w:tcPr>
          <w:p w:rsidR="006E2BB1" w:rsidRPr="00C258AD" w:rsidRDefault="00B26AF7" w:rsidP="001A4D6C">
            <w:pPr>
              <w:keepNext/>
              <w:keepLines/>
              <w:jc w:val="center"/>
              <w:rPr>
                <w:b/>
                <w:bCs/>
                <w:color w:val="808080"/>
                <w:sz w:val="16"/>
                <w:szCs w:val="16"/>
              </w:rPr>
            </w:pPr>
            <w:r w:rsidRPr="00C258AD">
              <w:rPr>
                <w:b/>
                <w:bCs/>
                <w:color w:val="808080"/>
                <w:sz w:val="16"/>
                <w:szCs w:val="16"/>
              </w:rPr>
              <w:t>Non évaluable</w:t>
            </w:r>
          </w:p>
          <w:p w:rsidR="006E2BB1" w:rsidRPr="00C258AD" w:rsidRDefault="006E2BB1" w:rsidP="001A4D6C">
            <w:pPr>
              <w:keepNext/>
              <w:keepLines/>
              <w:jc w:val="center"/>
              <w:rPr>
                <w:b/>
                <w:bCs/>
                <w:color w:val="808080"/>
                <w:sz w:val="16"/>
                <w:szCs w:val="16"/>
              </w:rPr>
            </w:pPr>
          </w:p>
          <w:p w:rsidR="006E2BB1" w:rsidRPr="00C258AD" w:rsidRDefault="006E2BB1" w:rsidP="001A4D6C">
            <w:pPr>
              <w:keepNext/>
              <w:keepLines/>
              <w:jc w:val="center"/>
              <w:rPr>
                <w:b/>
                <w:bCs/>
                <w:color w:val="808080"/>
                <w:sz w:val="16"/>
                <w:szCs w:val="16"/>
              </w:rPr>
            </w:pPr>
          </w:p>
          <w:p w:rsidR="006E2BB1" w:rsidRPr="00C258AD" w:rsidRDefault="006E2BB1" w:rsidP="001A4D6C">
            <w:pPr>
              <w:keepNext/>
              <w:keepLines/>
              <w:jc w:val="center"/>
              <w:rPr>
                <w:b/>
                <w:bCs/>
                <w:color w:val="808080"/>
                <w:sz w:val="16"/>
                <w:szCs w:val="16"/>
              </w:rPr>
            </w:pPr>
          </w:p>
          <w:p w:rsidR="006E2BB1" w:rsidRPr="00C258AD" w:rsidRDefault="006E2BB1" w:rsidP="001A4D6C">
            <w:pPr>
              <w:keepNext/>
              <w:keepLines/>
              <w:jc w:val="center"/>
              <w:rPr>
                <w:b/>
                <w:bCs/>
                <w:color w:val="808080"/>
                <w:sz w:val="16"/>
                <w:szCs w:val="16"/>
              </w:rPr>
            </w:pPr>
          </w:p>
          <w:p w:rsidR="006E2BB1" w:rsidRPr="00C258AD" w:rsidRDefault="006E2BB1" w:rsidP="001A4D6C">
            <w:pPr>
              <w:keepNext/>
              <w:keepLines/>
              <w:jc w:val="center"/>
              <w:rPr>
                <w:b/>
                <w:bCs/>
                <w:color w:val="808080"/>
                <w:sz w:val="16"/>
                <w:szCs w:val="16"/>
              </w:rPr>
            </w:pPr>
          </w:p>
          <w:p w:rsidR="006E2BB1" w:rsidRPr="00C258AD" w:rsidRDefault="006E2BB1" w:rsidP="001A4D6C">
            <w:pPr>
              <w:keepNext/>
              <w:keepLines/>
              <w:jc w:val="center"/>
              <w:rPr>
                <w:b/>
                <w:bCs/>
                <w:color w:val="808080"/>
                <w:sz w:val="16"/>
                <w:szCs w:val="16"/>
              </w:rPr>
            </w:pPr>
          </w:p>
          <w:p w:rsidR="006E2BB1" w:rsidRPr="00C258AD" w:rsidRDefault="006E2BB1" w:rsidP="001A4D6C">
            <w:pPr>
              <w:keepNext/>
              <w:keepLines/>
              <w:jc w:val="center"/>
              <w:rPr>
                <w:b/>
                <w:bCs/>
                <w:color w:val="808080"/>
                <w:sz w:val="16"/>
                <w:szCs w:val="16"/>
              </w:rPr>
            </w:pPr>
          </w:p>
          <w:p w:rsidR="006E2BB1" w:rsidRPr="00C258AD" w:rsidRDefault="006E2BB1" w:rsidP="001A4D6C">
            <w:pPr>
              <w:keepNext/>
              <w:keepLines/>
              <w:jc w:val="center"/>
              <w:rPr>
                <w:b/>
                <w:bCs/>
                <w:color w:val="808080"/>
                <w:sz w:val="16"/>
                <w:szCs w:val="16"/>
              </w:rPr>
            </w:pPr>
          </w:p>
          <w:p w:rsidR="006E2BB1" w:rsidRPr="00C258AD" w:rsidRDefault="006E2BB1" w:rsidP="001A4D6C">
            <w:pPr>
              <w:keepNext/>
              <w:keepLines/>
              <w:jc w:val="center"/>
              <w:rPr>
                <w:b/>
                <w:bCs/>
                <w:color w:val="808080"/>
                <w:sz w:val="16"/>
                <w:szCs w:val="16"/>
              </w:rPr>
            </w:pPr>
          </w:p>
          <w:p w:rsidR="006E2BB1" w:rsidRPr="00C258AD" w:rsidRDefault="006E2BB1" w:rsidP="001A4D6C">
            <w:pPr>
              <w:keepNext/>
              <w:keepLines/>
              <w:jc w:val="center"/>
              <w:rPr>
                <w:b/>
                <w:bCs/>
                <w:color w:val="808080"/>
                <w:sz w:val="16"/>
                <w:szCs w:val="16"/>
              </w:rPr>
            </w:pPr>
          </w:p>
          <w:p w:rsidR="006E2BB1" w:rsidRPr="00C258AD" w:rsidRDefault="006E2BB1" w:rsidP="001A4D6C">
            <w:pPr>
              <w:keepNext/>
              <w:keepLines/>
              <w:jc w:val="center"/>
              <w:rPr>
                <w:b/>
                <w:bCs/>
                <w:color w:val="808080"/>
                <w:sz w:val="16"/>
                <w:szCs w:val="16"/>
              </w:rPr>
            </w:pPr>
          </w:p>
          <w:p w:rsidR="006E2BB1" w:rsidRPr="00C258AD" w:rsidRDefault="006E2BB1" w:rsidP="001A4D6C">
            <w:pPr>
              <w:keepNext/>
              <w:keepLines/>
              <w:jc w:val="center"/>
              <w:rPr>
                <w:b/>
                <w:bCs/>
                <w:color w:val="808080"/>
                <w:sz w:val="16"/>
                <w:szCs w:val="16"/>
              </w:rPr>
            </w:pPr>
          </w:p>
          <w:p w:rsidR="006E2BB1" w:rsidRPr="00C258AD" w:rsidRDefault="006E2BB1" w:rsidP="001A4D6C">
            <w:pPr>
              <w:keepNext/>
              <w:keepLines/>
              <w:jc w:val="center"/>
              <w:rPr>
                <w:b/>
                <w:bCs/>
                <w:color w:val="808080"/>
                <w:sz w:val="16"/>
                <w:szCs w:val="16"/>
              </w:rPr>
            </w:pPr>
          </w:p>
          <w:p w:rsidR="006E2BB1" w:rsidRPr="00C258AD" w:rsidRDefault="006E2BB1" w:rsidP="001A4D6C">
            <w:pPr>
              <w:keepNext/>
              <w:keepLines/>
              <w:jc w:val="center"/>
              <w:rPr>
                <w:b/>
                <w:bCs/>
                <w:color w:val="808080"/>
                <w:sz w:val="16"/>
                <w:szCs w:val="16"/>
              </w:rPr>
            </w:pPr>
          </w:p>
          <w:p w:rsidR="006E2BB1" w:rsidRPr="00C258AD" w:rsidRDefault="006E2BB1" w:rsidP="001A4D6C">
            <w:pPr>
              <w:keepNext/>
              <w:keepLines/>
              <w:jc w:val="center"/>
              <w:rPr>
                <w:b/>
                <w:bCs/>
                <w:color w:val="808080"/>
                <w:sz w:val="16"/>
                <w:szCs w:val="16"/>
              </w:rPr>
            </w:pPr>
          </w:p>
          <w:p w:rsidR="00B26AF7" w:rsidRPr="00C258AD" w:rsidRDefault="00B26AF7" w:rsidP="001A4D6C">
            <w:pPr>
              <w:keepNext/>
              <w:keepLines/>
              <w:jc w:val="center"/>
              <w:rPr>
                <w:b/>
                <w:bCs/>
                <w:sz w:val="16"/>
                <w:szCs w:val="16"/>
              </w:rPr>
            </w:pPr>
            <w:r w:rsidRPr="00C258AD">
              <w:rPr>
                <w:b/>
                <w:bCs/>
                <w:color w:val="808080"/>
                <w:sz w:val="16"/>
                <w:szCs w:val="16"/>
              </w:rPr>
              <w:t>Non évaluable</w:t>
            </w:r>
          </w:p>
        </w:tc>
      </w:tr>
      <w:tr w:rsidR="00B26AF7" w:rsidRPr="00C258AD" w:rsidTr="001A4D6C">
        <w:trPr>
          <w:cantSplit/>
        </w:trPr>
        <w:tc>
          <w:tcPr>
            <w:tcW w:w="1138" w:type="pct"/>
            <w:shd w:val="clear" w:color="auto" w:fill="auto"/>
            <w:tcMar>
              <w:top w:w="113" w:type="dxa"/>
              <w:bottom w:w="113" w:type="dxa"/>
            </w:tcMar>
          </w:tcPr>
          <w:p w:rsidR="00B26AF7" w:rsidRPr="00C258AD" w:rsidRDefault="00B26AF7" w:rsidP="001A4D6C">
            <w:pPr>
              <w:rPr>
                <w:sz w:val="16"/>
                <w:szCs w:val="16"/>
              </w:rPr>
            </w:pPr>
            <w:r w:rsidRPr="00C258AD">
              <w:rPr>
                <w:sz w:val="16"/>
                <w:szCs w:val="16"/>
              </w:rPr>
              <w:t>Nombre de téléchargements d’études</w:t>
            </w:r>
          </w:p>
        </w:tc>
        <w:tc>
          <w:tcPr>
            <w:tcW w:w="1212" w:type="pct"/>
            <w:shd w:val="clear" w:color="auto" w:fill="auto"/>
            <w:tcMar>
              <w:top w:w="113" w:type="dxa"/>
              <w:bottom w:w="113" w:type="dxa"/>
            </w:tcMar>
          </w:tcPr>
          <w:p w:rsidR="006E2BB1" w:rsidRPr="007E6877" w:rsidRDefault="00B26AF7" w:rsidP="001A4D6C">
            <w:pPr>
              <w:rPr>
                <w:i/>
                <w:color w:val="002060"/>
                <w:sz w:val="16"/>
                <w:szCs w:val="16"/>
              </w:rPr>
            </w:pPr>
            <w:r w:rsidRPr="007E6877">
              <w:rPr>
                <w:i/>
                <w:color w:val="002060"/>
                <w:sz w:val="16"/>
                <w:szCs w:val="16"/>
              </w:rPr>
              <w:t>Niveau de référence actualisé à fin 2013 :</w:t>
            </w:r>
          </w:p>
          <w:p w:rsidR="006E2BB1" w:rsidRPr="007E6877" w:rsidRDefault="00B26AF7" w:rsidP="001A4D6C">
            <w:pPr>
              <w:rPr>
                <w:color w:val="002060"/>
                <w:sz w:val="16"/>
                <w:szCs w:val="16"/>
                <w:lang w:bidi="th-TH"/>
              </w:rPr>
            </w:pPr>
            <w:r w:rsidRPr="007E6877">
              <w:rPr>
                <w:color w:val="002060"/>
                <w:sz w:val="16"/>
                <w:szCs w:val="16"/>
                <w:lang w:bidi="th-TH"/>
              </w:rPr>
              <w:t>7 documents de travail publiés en 2013</w:t>
            </w:r>
          </w:p>
          <w:p w:rsidR="006E2BB1" w:rsidRPr="00C258AD" w:rsidRDefault="006E2BB1" w:rsidP="001A4D6C">
            <w:pPr>
              <w:rPr>
                <w:i/>
                <w:sz w:val="16"/>
                <w:szCs w:val="16"/>
              </w:rPr>
            </w:pPr>
          </w:p>
          <w:p w:rsidR="00B26AF7" w:rsidRPr="00C258AD" w:rsidRDefault="00B26AF7" w:rsidP="001A4D6C">
            <w:pPr>
              <w:autoSpaceDE w:val="0"/>
              <w:autoSpaceDN w:val="0"/>
              <w:adjustRightInd w:val="0"/>
              <w:rPr>
                <w:sz w:val="16"/>
                <w:szCs w:val="16"/>
              </w:rPr>
            </w:pPr>
            <w:r w:rsidRPr="00C258AD">
              <w:rPr>
                <w:i/>
                <w:sz w:val="16"/>
                <w:szCs w:val="16"/>
              </w:rPr>
              <w:t>Niveau de référence initial dans le programme et budget</w:t>
            </w:r>
            <w:r w:rsidRPr="00C258AD">
              <w:rPr>
                <w:sz w:val="16"/>
                <w:szCs w:val="16"/>
              </w:rPr>
              <w:t xml:space="preserve"> </w:t>
            </w:r>
            <w:r w:rsidRPr="00C258AD">
              <w:rPr>
                <w:i/>
                <w:sz w:val="16"/>
                <w:szCs w:val="16"/>
              </w:rPr>
              <w:t>2014</w:t>
            </w:r>
            <w:r w:rsidRPr="00C258AD">
              <w:rPr>
                <w:i/>
                <w:sz w:val="16"/>
                <w:szCs w:val="16"/>
              </w:rPr>
              <w:noBreakHyphen/>
              <w:t>2015</w:t>
            </w:r>
            <w:r w:rsidRPr="00C258AD">
              <w:rPr>
                <w:sz w:val="16"/>
                <w:szCs w:val="16"/>
              </w:rPr>
              <w:t> : à déterminer fin 2013</w:t>
            </w:r>
          </w:p>
        </w:tc>
        <w:tc>
          <w:tcPr>
            <w:tcW w:w="760" w:type="pct"/>
            <w:shd w:val="clear" w:color="auto" w:fill="auto"/>
            <w:tcMar>
              <w:top w:w="113" w:type="dxa"/>
              <w:bottom w:w="113" w:type="dxa"/>
            </w:tcMar>
          </w:tcPr>
          <w:p w:rsidR="00B26AF7" w:rsidRPr="00C258AD" w:rsidRDefault="00B26AF7" w:rsidP="001A4D6C">
            <w:pPr>
              <w:autoSpaceDE w:val="0"/>
              <w:autoSpaceDN w:val="0"/>
              <w:adjustRightInd w:val="0"/>
              <w:rPr>
                <w:sz w:val="16"/>
                <w:szCs w:val="16"/>
              </w:rPr>
            </w:pPr>
            <w:r w:rsidRPr="00C258AD">
              <w:rPr>
                <w:sz w:val="16"/>
                <w:szCs w:val="16"/>
              </w:rPr>
              <w:t>8 nouveaux documents de travail</w:t>
            </w:r>
          </w:p>
        </w:tc>
        <w:tc>
          <w:tcPr>
            <w:tcW w:w="1285" w:type="pct"/>
            <w:shd w:val="clear" w:color="auto" w:fill="FFFFFF"/>
            <w:tcMar>
              <w:top w:w="113" w:type="dxa"/>
              <w:bottom w:w="113" w:type="dxa"/>
            </w:tcMar>
          </w:tcPr>
          <w:p w:rsidR="00B26AF7" w:rsidRPr="00C258AD" w:rsidRDefault="00B26AF7" w:rsidP="001A4D6C">
            <w:pPr>
              <w:rPr>
                <w:sz w:val="16"/>
                <w:szCs w:val="16"/>
              </w:rPr>
            </w:pPr>
            <w:r w:rsidRPr="00C258AD">
              <w:rPr>
                <w:sz w:val="16"/>
                <w:szCs w:val="16"/>
              </w:rPr>
              <w:t>11 documents de travail publiés en 2014;  6 documents de travail publiés en 2015</w:t>
            </w:r>
          </w:p>
        </w:tc>
        <w:tc>
          <w:tcPr>
            <w:tcW w:w="606" w:type="pct"/>
            <w:shd w:val="clear" w:color="auto" w:fill="auto"/>
            <w:tcMar>
              <w:top w:w="113" w:type="dxa"/>
              <w:bottom w:w="113" w:type="dxa"/>
            </w:tcMar>
          </w:tcPr>
          <w:p w:rsidR="00B26AF7" w:rsidRPr="00C258AD" w:rsidRDefault="00B26AF7" w:rsidP="001A4D6C">
            <w:pPr>
              <w:keepNext/>
              <w:keepLines/>
              <w:jc w:val="center"/>
              <w:rPr>
                <w:b/>
                <w:bCs/>
                <w:sz w:val="16"/>
                <w:szCs w:val="16"/>
              </w:rPr>
            </w:pPr>
            <w:r w:rsidRPr="00C258AD">
              <w:rPr>
                <w:rFonts w:cs="Arial"/>
                <w:b/>
                <w:bCs/>
                <w:color w:val="00B050"/>
                <w:sz w:val="16"/>
                <w:szCs w:val="16"/>
              </w:rPr>
              <w:t>Objectif pleinement atteint</w:t>
            </w:r>
          </w:p>
        </w:tc>
      </w:tr>
      <w:tr w:rsidR="00B26AF7" w:rsidRPr="00C258AD" w:rsidTr="001A4D6C">
        <w:trPr>
          <w:cantSplit/>
        </w:trPr>
        <w:tc>
          <w:tcPr>
            <w:tcW w:w="1138" w:type="pct"/>
            <w:shd w:val="clear" w:color="auto" w:fill="auto"/>
            <w:tcMar>
              <w:top w:w="113" w:type="dxa"/>
              <w:bottom w:w="113" w:type="dxa"/>
            </w:tcMar>
          </w:tcPr>
          <w:p w:rsidR="00B26AF7" w:rsidRPr="00C258AD" w:rsidRDefault="00B26AF7" w:rsidP="001A4D6C">
            <w:pPr>
              <w:rPr>
                <w:sz w:val="16"/>
                <w:szCs w:val="16"/>
              </w:rPr>
            </w:pPr>
            <w:r w:rsidRPr="00C258AD">
              <w:rPr>
                <w:sz w:val="16"/>
                <w:szCs w:val="16"/>
              </w:rPr>
              <w:t>Nombre de téléchargements de séminaires</w:t>
            </w:r>
          </w:p>
        </w:tc>
        <w:tc>
          <w:tcPr>
            <w:tcW w:w="1212" w:type="pct"/>
            <w:shd w:val="clear" w:color="auto" w:fill="auto"/>
            <w:tcMar>
              <w:top w:w="113" w:type="dxa"/>
              <w:bottom w:w="113" w:type="dxa"/>
            </w:tcMar>
          </w:tcPr>
          <w:p w:rsidR="006E2BB1" w:rsidRPr="007E6877" w:rsidRDefault="00B26AF7" w:rsidP="001A4D6C">
            <w:pPr>
              <w:rPr>
                <w:i/>
                <w:color w:val="002060"/>
                <w:sz w:val="16"/>
                <w:szCs w:val="16"/>
              </w:rPr>
            </w:pPr>
            <w:r w:rsidRPr="007E6877">
              <w:rPr>
                <w:i/>
                <w:color w:val="002060"/>
                <w:sz w:val="16"/>
                <w:szCs w:val="16"/>
              </w:rPr>
              <w:t>Niveau de référence actualisé à fin 2013 :</w:t>
            </w:r>
          </w:p>
          <w:p w:rsidR="006E2BB1" w:rsidRPr="007E6877" w:rsidRDefault="00B26AF7" w:rsidP="001A4D6C">
            <w:pPr>
              <w:rPr>
                <w:color w:val="002060"/>
                <w:sz w:val="16"/>
                <w:szCs w:val="16"/>
                <w:lang w:bidi="th-TH"/>
              </w:rPr>
            </w:pPr>
            <w:proofErr w:type="spellStart"/>
            <w:r w:rsidRPr="007E6877">
              <w:rPr>
                <w:color w:val="002060"/>
                <w:sz w:val="16"/>
                <w:szCs w:val="16"/>
                <w:lang w:bidi="th-TH"/>
              </w:rPr>
              <w:t>n.d</w:t>
            </w:r>
            <w:proofErr w:type="spellEnd"/>
            <w:r w:rsidRPr="007E6877">
              <w:rPr>
                <w:color w:val="002060"/>
                <w:sz w:val="16"/>
                <w:szCs w:val="16"/>
                <w:lang w:bidi="th-TH"/>
              </w:rPr>
              <w:t>.</w:t>
            </w:r>
          </w:p>
          <w:p w:rsidR="006E2BB1" w:rsidRPr="00C258AD" w:rsidRDefault="006E2BB1" w:rsidP="001A4D6C">
            <w:pPr>
              <w:rPr>
                <w:i/>
                <w:sz w:val="16"/>
                <w:szCs w:val="16"/>
              </w:rPr>
            </w:pPr>
          </w:p>
          <w:p w:rsidR="00B26AF7" w:rsidRPr="00C258AD" w:rsidRDefault="00B26AF7" w:rsidP="001A4D6C">
            <w:pPr>
              <w:rPr>
                <w:i/>
                <w:sz w:val="16"/>
                <w:szCs w:val="16"/>
              </w:rPr>
            </w:pPr>
            <w:r w:rsidRPr="00C258AD">
              <w:rPr>
                <w:i/>
                <w:sz w:val="16"/>
                <w:szCs w:val="16"/>
              </w:rPr>
              <w:t>Niveau de référence initial dans le programme et budget 2014</w:t>
            </w:r>
            <w:r w:rsidRPr="00C258AD">
              <w:rPr>
                <w:i/>
                <w:sz w:val="16"/>
                <w:szCs w:val="16"/>
              </w:rPr>
              <w:noBreakHyphen/>
              <w:t>2015</w:t>
            </w:r>
            <w:r w:rsidRPr="00C258AD">
              <w:rPr>
                <w:sz w:val="16"/>
                <w:szCs w:val="16"/>
              </w:rPr>
              <w:t> : à déterminer fin 2013</w:t>
            </w:r>
          </w:p>
        </w:tc>
        <w:tc>
          <w:tcPr>
            <w:tcW w:w="760" w:type="pct"/>
            <w:shd w:val="clear" w:color="auto" w:fill="auto"/>
            <w:tcMar>
              <w:top w:w="113" w:type="dxa"/>
              <w:bottom w:w="113" w:type="dxa"/>
            </w:tcMar>
          </w:tcPr>
          <w:p w:rsidR="00B26AF7" w:rsidRPr="00C258AD" w:rsidRDefault="00B26AF7" w:rsidP="001A4D6C">
            <w:pPr>
              <w:autoSpaceDE w:val="0"/>
              <w:autoSpaceDN w:val="0"/>
              <w:adjustRightInd w:val="0"/>
              <w:rPr>
                <w:sz w:val="16"/>
                <w:szCs w:val="16"/>
              </w:rPr>
            </w:pPr>
            <w:r w:rsidRPr="00C258AD">
              <w:rPr>
                <w:sz w:val="16"/>
                <w:szCs w:val="16"/>
              </w:rPr>
              <w:t>Maintien des résultats obtenus au cours de l’exercice biennal précédent</w:t>
            </w:r>
          </w:p>
        </w:tc>
        <w:tc>
          <w:tcPr>
            <w:tcW w:w="1285" w:type="pct"/>
            <w:shd w:val="clear" w:color="auto" w:fill="FFFFFF"/>
            <w:tcMar>
              <w:top w:w="113" w:type="dxa"/>
              <w:bottom w:w="113" w:type="dxa"/>
            </w:tcMar>
          </w:tcPr>
          <w:p w:rsidR="00B26AF7" w:rsidRPr="00C258AD" w:rsidRDefault="00B26AF7" w:rsidP="001A4D6C">
            <w:pPr>
              <w:rPr>
                <w:sz w:val="16"/>
                <w:szCs w:val="16"/>
              </w:rPr>
            </w:pPr>
            <w:r w:rsidRPr="00C258AD">
              <w:rPr>
                <w:sz w:val="16"/>
                <w:szCs w:val="16"/>
              </w:rPr>
              <w:t>Données non disponibles.</w:t>
            </w:r>
          </w:p>
        </w:tc>
        <w:tc>
          <w:tcPr>
            <w:tcW w:w="606" w:type="pct"/>
            <w:shd w:val="clear" w:color="auto" w:fill="auto"/>
            <w:tcMar>
              <w:top w:w="113" w:type="dxa"/>
              <w:bottom w:w="113" w:type="dxa"/>
            </w:tcMar>
          </w:tcPr>
          <w:p w:rsidR="00B26AF7" w:rsidRPr="00C258AD" w:rsidRDefault="00B26AF7" w:rsidP="001A4D6C">
            <w:pPr>
              <w:keepNext/>
              <w:keepLines/>
              <w:jc w:val="center"/>
              <w:rPr>
                <w:b/>
                <w:bCs/>
                <w:sz w:val="16"/>
                <w:szCs w:val="16"/>
              </w:rPr>
            </w:pPr>
            <w:r w:rsidRPr="00C258AD">
              <w:rPr>
                <w:b/>
                <w:bCs/>
                <w:sz w:val="16"/>
                <w:szCs w:val="16"/>
              </w:rPr>
              <w:t>Objectif abandonné</w:t>
            </w:r>
          </w:p>
        </w:tc>
      </w:tr>
    </w:tbl>
    <w:p w:rsidR="006E2BB1" w:rsidRPr="00C258AD" w:rsidRDefault="006E2BB1" w:rsidP="001A4D6C">
      <w:pPr>
        <w:jc w:val="both"/>
        <w:rPr>
          <w:bCs/>
          <w:sz w:val="22"/>
          <w:szCs w:val="22"/>
        </w:rPr>
      </w:pPr>
    </w:p>
    <w:p w:rsidR="006E2BB1" w:rsidRPr="00C258AD" w:rsidRDefault="006E2BB1" w:rsidP="001A4D6C">
      <w:pPr>
        <w:rPr>
          <w:caps/>
          <w:sz w:val="22"/>
        </w:rPr>
      </w:pPr>
    </w:p>
    <w:p w:rsidR="006E2BB1" w:rsidRPr="00C258AD" w:rsidRDefault="00B26AF7" w:rsidP="00305CE5">
      <w:pPr>
        <w:keepNext/>
        <w:rPr>
          <w:rFonts w:cs="Arial"/>
          <w:caps/>
          <w:sz w:val="22"/>
          <w:szCs w:val="22"/>
        </w:rPr>
      </w:pPr>
      <w:r w:rsidRPr="00C258AD">
        <w:rPr>
          <w:rFonts w:cs="Arial"/>
          <w:caps/>
          <w:sz w:val="22"/>
          <w:szCs w:val="22"/>
        </w:rPr>
        <w:lastRenderedPageBreak/>
        <w:t>Rapport d’évaluation des risques pour l’exercice biennal</w:t>
      </w:r>
    </w:p>
    <w:p w:rsidR="00B26AF7" w:rsidRPr="00C258AD" w:rsidRDefault="00B26AF7" w:rsidP="001A4D6C">
      <w:pPr>
        <w:keepNext/>
        <w:keepLines/>
        <w:rPr>
          <w:rFonts w:cs="Arial"/>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B26AF7" w:rsidRPr="00C258AD" w:rsidTr="001A4D6C">
        <w:trPr>
          <w:cantSplit/>
        </w:trPr>
        <w:tc>
          <w:tcPr>
            <w:tcW w:w="2372" w:type="dxa"/>
            <w:tcBorders>
              <w:top w:val="single" w:sz="4" w:space="0" w:color="auto"/>
              <w:left w:val="single" w:sz="4" w:space="0" w:color="auto"/>
              <w:bottom w:val="single" w:sz="4" w:space="0" w:color="auto"/>
            </w:tcBorders>
            <w:shd w:val="clear" w:color="auto" w:fill="C5D9F1"/>
            <w:vAlign w:val="center"/>
          </w:tcPr>
          <w:p w:rsidR="00B26AF7" w:rsidRPr="00C258AD" w:rsidRDefault="00B26AF7" w:rsidP="00B26AF7">
            <w:pPr>
              <w:keepNext/>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B26AF7" w:rsidRPr="00C258AD" w:rsidRDefault="00B26AF7" w:rsidP="00B26AF7">
            <w:pPr>
              <w:keepNext/>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B26AF7" w:rsidRPr="00C258AD" w:rsidRDefault="00B26AF7" w:rsidP="00B26AF7">
            <w:pPr>
              <w:keepNext/>
              <w:autoSpaceDE w:val="0"/>
              <w:autoSpaceDN w:val="0"/>
              <w:adjustRightInd w:val="0"/>
              <w:ind w:right="-59"/>
              <w:jc w:val="center"/>
              <w:rPr>
                <w:b/>
                <w:bCs/>
                <w:iCs/>
                <w:sz w:val="16"/>
                <w:szCs w:val="16"/>
              </w:rPr>
            </w:pPr>
            <w:r w:rsidRPr="00C258AD">
              <w:rPr>
                <w:b/>
                <w:bCs/>
                <w:iCs/>
                <w:sz w:val="16"/>
                <w:szCs w:val="16"/>
              </w:rPr>
              <w:t>Évolution des risques et des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B26AF7" w:rsidRPr="00C258AD" w:rsidRDefault="00B26AF7" w:rsidP="00B26AF7">
            <w:pPr>
              <w:keepNext/>
              <w:autoSpaceDE w:val="0"/>
              <w:autoSpaceDN w:val="0"/>
              <w:adjustRightInd w:val="0"/>
              <w:jc w:val="center"/>
              <w:rPr>
                <w:b/>
                <w:bCs/>
                <w:iCs/>
                <w:sz w:val="16"/>
                <w:szCs w:val="16"/>
              </w:rPr>
            </w:pPr>
            <w:r w:rsidRPr="00C258AD">
              <w:rPr>
                <w:b/>
                <w:bCs/>
                <w:iCs/>
                <w:sz w:val="16"/>
                <w:szCs w:val="16"/>
              </w:rPr>
              <w:t>Incidence sur les résultats du programme</w:t>
            </w:r>
          </w:p>
        </w:tc>
      </w:tr>
      <w:tr w:rsidR="00B26AF7" w:rsidRPr="00C258AD" w:rsidTr="001A4D6C">
        <w:tblPrEx>
          <w:tblBorders>
            <w:top w:val="single" w:sz="4" w:space="0" w:color="auto"/>
            <w:left w:val="single" w:sz="4" w:space="0" w:color="auto"/>
            <w:bottom w:val="single" w:sz="4" w:space="0" w:color="auto"/>
            <w:right w:val="single" w:sz="4" w:space="0" w:color="auto"/>
          </w:tblBorders>
        </w:tblPrEx>
        <w:trPr>
          <w:cantSplit/>
        </w:trPr>
        <w:tc>
          <w:tcPr>
            <w:tcW w:w="2372" w:type="dxa"/>
            <w:tcBorders>
              <w:top w:val="single" w:sz="4" w:space="0" w:color="auto"/>
            </w:tcBorders>
            <w:shd w:val="clear" w:color="auto" w:fill="auto"/>
            <w:tcMar>
              <w:top w:w="113" w:type="dxa"/>
              <w:bottom w:w="85" w:type="dxa"/>
            </w:tcMar>
          </w:tcPr>
          <w:p w:rsidR="00B26AF7" w:rsidRPr="00C258AD" w:rsidRDefault="00B26AF7" w:rsidP="001A4D6C">
            <w:pPr>
              <w:rPr>
                <w:sz w:val="16"/>
              </w:rPr>
            </w:pPr>
            <w:r w:rsidRPr="00C258AD">
              <w:rPr>
                <w:sz w:val="16"/>
              </w:rPr>
              <w:t>Les États membres ne sont pas en mesure de répondre ou tardent à répondre à l’enquête statistique de l’OMPI.</w:t>
            </w:r>
          </w:p>
        </w:tc>
        <w:tc>
          <w:tcPr>
            <w:tcW w:w="2373" w:type="dxa"/>
            <w:tcBorders>
              <w:top w:val="single" w:sz="4" w:space="0" w:color="auto"/>
            </w:tcBorders>
            <w:shd w:val="clear" w:color="auto" w:fill="auto"/>
            <w:tcMar>
              <w:top w:w="113" w:type="dxa"/>
              <w:bottom w:w="85" w:type="dxa"/>
            </w:tcMar>
          </w:tcPr>
          <w:p w:rsidR="00B26AF7" w:rsidRPr="00C258AD" w:rsidRDefault="00B26AF7" w:rsidP="001A4D6C">
            <w:pPr>
              <w:rPr>
                <w:sz w:val="16"/>
              </w:rPr>
            </w:pPr>
            <w:r w:rsidRPr="00C258AD">
              <w:rPr>
                <w:sz w:val="16"/>
              </w:rPr>
              <w:t>Les questionnaires statistiques seront envoyés en début d’année (en février);  une liste des personnes à contacter au sein des offices de la propriété intellectuelle pour les questions relatives aux statistiques sera tenue à jour pour assurer le suivi des communications;  des ressources suffisantes seront affectées au suivi des communications.</w:t>
            </w:r>
          </w:p>
        </w:tc>
        <w:tc>
          <w:tcPr>
            <w:tcW w:w="2373" w:type="dxa"/>
            <w:tcBorders>
              <w:top w:val="single" w:sz="4" w:space="0" w:color="auto"/>
            </w:tcBorders>
          </w:tcPr>
          <w:p w:rsidR="00B26AF7" w:rsidRPr="00C258AD" w:rsidRDefault="00B26AF7" w:rsidP="001A4D6C">
            <w:pPr>
              <w:rPr>
                <w:sz w:val="16"/>
              </w:rPr>
            </w:pPr>
            <w:r w:rsidRPr="00C258AD">
              <w:rPr>
                <w:sz w:val="16"/>
              </w:rPr>
              <w:t>Il s’agit d’un risque continu, qui a été traité et géré au moyen de plans d’atténuation ciblés, comme indiqué.  Il en est résulté un élargissement de la couverture du questionnaire statistique sur la propriété intellectuelle durant l’exercice biennal.</w:t>
            </w:r>
          </w:p>
        </w:tc>
        <w:tc>
          <w:tcPr>
            <w:tcW w:w="2373" w:type="dxa"/>
            <w:tcBorders>
              <w:top w:val="single" w:sz="4" w:space="0" w:color="auto"/>
            </w:tcBorders>
          </w:tcPr>
          <w:p w:rsidR="00B26AF7" w:rsidRPr="00C258AD" w:rsidRDefault="00B26AF7" w:rsidP="001A4D6C">
            <w:pPr>
              <w:rPr>
                <w:sz w:val="16"/>
              </w:rPr>
            </w:pPr>
            <w:r w:rsidRPr="00C258AD">
              <w:rPr>
                <w:sz w:val="16"/>
              </w:rPr>
              <w:t xml:space="preserve">Dans quelques cas, les données statistiques ont été transmises avec retard, sans que cela ait d’incidence majeure sur les principaux produits statistiques du programme.  </w:t>
            </w:r>
          </w:p>
        </w:tc>
      </w:tr>
      <w:tr w:rsidR="00B26AF7" w:rsidRPr="00C258AD" w:rsidTr="001A4D6C">
        <w:tblPrEx>
          <w:tblBorders>
            <w:top w:val="single" w:sz="4" w:space="0" w:color="auto"/>
            <w:left w:val="single" w:sz="4" w:space="0" w:color="auto"/>
            <w:bottom w:val="single" w:sz="4" w:space="0" w:color="auto"/>
            <w:right w:val="single" w:sz="4" w:space="0" w:color="auto"/>
          </w:tblBorders>
        </w:tblPrEx>
        <w:trPr>
          <w:cantSplit/>
        </w:trPr>
        <w:tc>
          <w:tcPr>
            <w:tcW w:w="2372" w:type="dxa"/>
            <w:shd w:val="clear" w:color="auto" w:fill="auto"/>
            <w:tcMar>
              <w:top w:w="113" w:type="dxa"/>
              <w:bottom w:w="85" w:type="dxa"/>
            </w:tcMar>
          </w:tcPr>
          <w:p w:rsidR="00B26AF7" w:rsidRPr="00C258AD" w:rsidRDefault="00B26AF7" w:rsidP="001A4D6C">
            <w:pPr>
              <w:autoSpaceDE w:val="0"/>
              <w:autoSpaceDN w:val="0"/>
              <w:adjustRightInd w:val="0"/>
              <w:ind w:right="-59"/>
              <w:rPr>
                <w:bCs/>
                <w:sz w:val="16"/>
                <w:szCs w:val="16"/>
              </w:rPr>
            </w:pPr>
            <w:r w:rsidRPr="00C258AD">
              <w:rPr>
                <w:bCs/>
                <w:sz w:val="16"/>
                <w:szCs w:val="16"/>
              </w:rPr>
              <w:t>Les publications de l’OMPI contiennent des données statistiques incomplètes ou présentent des lacunes en termes d’analyse.</w:t>
            </w:r>
          </w:p>
        </w:tc>
        <w:tc>
          <w:tcPr>
            <w:tcW w:w="2373" w:type="dxa"/>
            <w:shd w:val="clear" w:color="auto" w:fill="auto"/>
            <w:tcMar>
              <w:top w:w="113" w:type="dxa"/>
              <w:bottom w:w="85" w:type="dxa"/>
            </w:tcMar>
          </w:tcPr>
          <w:p w:rsidR="00B26AF7" w:rsidRPr="00C258AD" w:rsidRDefault="00B26AF7" w:rsidP="001A4D6C">
            <w:pPr>
              <w:autoSpaceDE w:val="0"/>
              <w:autoSpaceDN w:val="0"/>
              <w:adjustRightInd w:val="0"/>
              <w:ind w:right="-59"/>
              <w:rPr>
                <w:bCs/>
                <w:sz w:val="16"/>
                <w:szCs w:val="16"/>
              </w:rPr>
            </w:pPr>
            <w:r w:rsidRPr="00C258AD">
              <w:rPr>
                <w:bCs/>
                <w:sz w:val="16"/>
                <w:szCs w:val="16"/>
              </w:rPr>
              <w:t>Des mécanismes de contrôle sont instaurés pour repérer les incohérences dans les données au moment de la collecte des statistiques sur les activités de propriété intellectuelle;  toutes les publications statistiques sont examinées avec attention par des experts en statistiques et au sein des secteurs de l’OMPI concernés;  toutes les publications analytiques sont soumises à un comité de lecture en externe.</w:t>
            </w:r>
          </w:p>
        </w:tc>
        <w:tc>
          <w:tcPr>
            <w:tcW w:w="2373" w:type="dxa"/>
          </w:tcPr>
          <w:p w:rsidR="00B26AF7" w:rsidRPr="00C258AD" w:rsidRDefault="00B26AF7" w:rsidP="001A4D6C">
            <w:pPr>
              <w:autoSpaceDE w:val="0"/>
              <w:autoSpaceDN w:val="0"/>
              <w:adjustRightInd w:val="0"/>
              <w:ind w:right="-59"/>
              <w:rPr>
                <w:bCs/>
                <w:sz w:val="16"/>
                <w:szCs w:val="16"/>
              </w:rPr>
            </w:pPr>
            <w:r w:rsidRPr="00C258AD">
              <w:rPr>
                <w:bCs/>
                <w:sz w:val="16"/>
                <w:szCs w:val="16"/>
              </w:rPr>
              <w:t xml:space="preserve">Il s’agit d’un autre risque continu pour le programme, géré au moyen des plans d’atténuation en place qui ont permis d’identifier efficacement les questions relatives à la qualité des données pendant l’exercice biennal (incohérences dans les données), et de les régler avec les États membres concernés.  </w:t>
            </w:r>
          </w:p>
        </w:tc>
        <w:tc>
          <w:tcPr>
            <w:tcW w:w="2373" w:type="dxa"/>
          </w:tcPr>
          <w:p w:rsidR="00B26AF7" w:rsidRPr="00C258AD" w:rsidRDefault="00B26AF7" w:rsidP="001A4D6C">
            <w:pPr>
              <w:autoSpaceDE w:val="0"/>
              <w:autoSpaceDN w:val="0"/>
              <w:adjustRightInd w:val="0"/>
              <w:ind w:right="-59"/>
              <w:rPr>
                <w:bCs/>
                <w:sz w:val="16"/>
                <w:szCs w:val="16"/>
              </w:rPr>
            </w:pPr>
            <w:r w:rsidRPr="00C258AD">
              <w:rPr>
                <w:bCs/>
                <w:sz w:val="16"/>
                <w:szCs w:val="16"/>
              </w:rPr>
              <w:t xml:space="preserve">Rendre compte des retards ou des erreurs a entraîné un surcroît de travail au niveau interne mais cela n’a pas entraîné de retards, ni affecté la qualité des publications.  </w:t>
            </w:r>
          </w:p>
        </w:tc>
      </w:tr>
    </w:tbl>
    <w:p w:rsidR="006E2BB1" w:rsidRPr="00C258AD" w:rsidRDefault="006E2BB1" w:rsidP="001A4D6C"/>
    <w:p w:rsidR="006E2BB1" w:rsidRPr="00C258AD" w:rsidRDefault="006E2BB1" w:rsidP="001A4D6C"/>
    <w:p w:rsidR="006E2BB1" w:rsidRPr="00C258AD" w:rsidRDefault="00B26AF7" w:rsidP="00305CE5">
      <w:pPr>
        <w:keepNext/>
        <w:rPr>
          <w:rFonts w:cs="Arial"/>
          <w:caps/>
          <w:sz w:val="22"/>
          <w:szCs w:val="22"/>
        </w:rPr>
      </w:pPr>
      <w:r w:rsidRPr="00C258AD">
        <w:rPr>
          <w:rFonts w:cs="Arial"/>
          <w:caps/>
          <w:sz w:val="22"/>
          <w:szCs w:val="22"/>
        </w:rPr>
        <w:t>Utilisation des ressources</w:t>
      </w:r>
    </w:p>
    <w:p w:rsidR="006E2BB1" w:rsidRPr="00C258AD" w:rsidRDefault="006E2BB1" w:rsidP="001A4D6C">
      <w:pPr>
        <w:jc w:val="center"/>
      </w:pPr>
    </w:p>
    <w:p w:rsidR="006E2BB1" w:rsidRPr="00C258AD" w:rsidRDefault="00B26AF7" w:rsidP="001A4D6C">
      <w:pPr>
        <w:pStyle w:val="NormalWeb"/>
        <w:spacing w:before="0" w:beforeAutospacing="0" w:after="0" w:afterAutospacing="0"/>
        <w:jc w:val="center"/>
        <w:rPr>
          <w:sz w:val="20"/>
          <w:szCs w:val="20"/>
        </w:rPr>
      </w:pPr>
      <w:r w:rsidRPr="00C258AD">
        <w:rPr>
          <w:sz w:val="20"/>
          <w:szCs w:val="20"/>
        </w:rPr>
        <w:t>Budget et dépenses effectives (par résultat)</w:t>
      </w:r>
    </w:p>
    <w:p w:rsidR="006E2BB1" w:rsidRPr="00C258AD" w:rsidRDefault="00B26AF7" w:rsidP="001A4D6C">
      <w:pPr>
        <w:pStyle w:val="NormalWeb"/>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B26AF7" w:rsidRPr="00C258AD" w:rsidRDefault="00B26AF7" w:rsidP="001A4D6C">
      <w:pPr>
        <w:jc w:val="both"/>
      </w:pPr>
    </w:p>
    <w:tbl>
      <w:tblPr>
        <w:tblW w:w="5000" w:type="pct"/>
        <w:tblCellMar>
          <w:top w:w="113" w:type="dxa"/>
          <w:left w:w="70" w:type="dxa"/>
          <w:bottom w:w="113" w:type="dxa"/>
          <w:right w:w="70" w:type="dxa"/>
        </w:tblCellMar>
        <w:tblLook w:val="04A0" w:firstRow="1" w:lastRow="0" w:firstColumn="1" w:lastColumn="0" w:noHBand="0" w:noVBand="1"/>
      </w:tblPr>
      <w:tblGrid>
        <w:gridCol w:w="492"/>
        <w:gridCol w:w="4737"/>
        <w:gridCol w:w="1422"/>
        <w:gridCol w:w="1422"/>
        <w:gridCol w:w="1422"/>
      </w:tblGrid>
      <w:tr w:rsidR="00B26AF7" w:rsidRPr="00C258AD" w:rsidTr="001A4D6C">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tcMar>
              <w:top w:w="113" w:type="dxa"/>
              <w:bottom w:w="113" w:type="dxa"/>
            </w:tcMar>
            <w:vAlign w:val="center"/>
            <w:hideMark/>
          </w:tcPr>
          <w:p w:rsidR="00B26AF7" w:rsidRPr="00C258AD" w:rsidRDefault="00B26AF7" w:rsidP="001A4D6C">
            <w:pPr>
              <w:jc w:val="center"/>
              <w:rPr>
                <w:i/>
                <w:iCs/>
                <w:sz w:val="16"/>
                <w:szCs w:val="16"/>
                <w:lang w:eastAsia="fr-FR"/>
              </w:rPr>
            </w:pPr>
            <w:r w:rsidRPr="00C258AD">
              <w:rPr>
                <w:i/>
                <w:iCs/>
                <w:sz w:val="16"/>
                <w:szCs w:val="16"/>
                <w:lang w:eastAsia="fr-FR"/>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tcMar>
              <w:top w:w="113" w:type="dxa"/>
              <w:bottom w:w="113" w:type="dxa"/>
            </w:tcMar>
            <w:vAlign w:val="center"/>
            <w:hideMark/>
          </w:tcPr>
          <w:p w:rsidR="00B26AF7" w:rsidRPr="00C258AD" w:rsidRDefault="00B26AF7" w:rsidP="001A4D6C">
            <w:pPr>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Pr="00C258AD">
              <w:rPr>
                <w:i/>
                <w:iCs/>
                <w:sz w:val="16"/>
                <w:szCs w:val="16"/>
                <w:lang w:eastAsia="fr-FR"/>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tcMar>
              <w:top w:w="113" w:type="dxa"/>
              <w:bottom w:w="113" w:type="dxa"/>
            </w:tcMar>
            <w:vAlign w:val="center"/>
            <w:hideMark/>
          </w:tcPr>
          <w:p w:rsidR="00B26AF7" w:rsidRPr="00C258AD" w:rsidRDefault="00B26AF7" w:rsidP="001A4D6C">
            <w:pPr>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Pr="00C258AD">
              <w:rPr>
                <w:i/>
                <w:iCs/>
                <w:sz w:val="16"/>
                <w:szCs w:val="16"/>
                <w:lang w:eastAsia="fr-FR"/>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tcMar>
              <w:top w:w="113" w:type="dxa"/>
              <w:bottom w:w="113" w:type="dxa"/>
            </w:tcMar>
            <w:vAlign w:val="center"/>
            <w:hideMark/>
          </w:tcPr>
          <w:p w:rsidR="00B26AF7" w:rsidRPr="00C258AD" w:rsidRDefault="00B26AF7" w:rsidP="001A4D6C">
            <w:pPr>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Pr="00C258AD">
              <w:rPr>
                <w:i/>
                <w:iCs/>
                <w:sz w:val="16"/>
                <w:szCs w:val="16"/>
                <w:lang w:eastAsia="fr-FR"/>
              </w:rPr>
              <w:noBreakHyphen/>
              <w:t>2015</w:t>
            </w:r>
          </w:p>
        </w:tc>
      </w:tr>
      <w:tr w:rsidR="00B26AF7" w:rsidRPr="00C258AD" w:rsidTr="001A4D6C">
        <w:trPr>
          <w:cantSplit/>
        </w:trPr>
        <w:tc>
          <w:tcPr>
            <w:tcW w:w="470" w:type="dxa"/>
            <w:tcBorders>
              <w:top w:val="nil"/>
              <w:left w:val="single" w:sz="4" w:space="0" w:color="auto"/>
              <w:bottom w:val="nil"/>
              <w:right w:val="nil"/>
            </w:tcBorders>
            <w:shd w:val="clear" w:color="auto" w:fill="auto"/>
            <w:noWrap/>
            <w:tcMar>
              <w:top w:w="113" w:type="dxa"/>
              <w:bottom w:w="113" w:type="dxa"/>
            </w:tcMar>
            <w:vAlign w:val="center"/>
            <w:hideMark/>
          </w:tcPr>
          <w:p w:rsidR="00B26AF7" w:rsidRPr="00C258AD" w:rsidRDefault="00B26AF7" w:rsidP="001A4D6C">
            <w:pPr>
              <w:rPr>
                <w:sz w:val="16"/>
                <w:szCs w:val="16"/>
                <w:lang w:eastAsia="fr-FR"/>
              </w:rPr>
            </w:pPr>
            <w:r w:rsidRPr="00C258AD">
              <w:rPr>
                <w:sz w:val="16"/>
                <w:szCs w:val="16"/>
                <w:lang w:eastAsia="fr-FR"/>
              </w:rPr>
              <w:t>V.1</w:t>
            </w:r>
          </w:p>
        </w:tc>
        <w:tc>
          <w:tcPr>
            <w:tcW w:w="4530" w:type="dxa"/>
            <w:tcBorders>
              <w:top w:val="nil"/>
              <w:left w:val="nil"/>
              <w:bottom w:val="nil"/>
              <w:right w:val="nil"/>
            </w:tcBorders>
            <w:shd w:val="clear" w:color="auto" w:fill="auto"/>
            <w:tcMar>
              <w:top w:w="113" w:type="dxa"/>
              <w:bottom w:w="113" w:type="dxa"/>
            </w:tcMar>
            <w:vAlign w:val="center"/>
            <w:hideMark/>
          </w:tcPr>
          <w:p w:rsidR="00B26AF7" w:rsidRPr="00C258AD" w:rsidRDefault="00B26AF7" w:rsidP="001A4D6C">
            <w:pPr>
              <w:rPr>
                <w:sz w:val="16"/>
                <w:szCs w:val="16"/>
                <w:lang w:eastAsia="fr-FR"/>
              </w:rPr>
            </w:pPr>
            <w:r w:rsidRPr="00C258AD">
              <w:rPr>
                <w:sz w:val="16"/>
                <w:szCs w:val="16"/>
                <w:lang w:eastAsia="fr-FR"/>
              </w:rPr>
              <w:t>Utilisation élargie et améliorée de l’information statistique de l’OMPI relative à la propriété intellectuelle</w:t>
            </w:r>
          </w:p>
        </w:tc>
        <w:tc>
          <w:tcPr>
            <w:tcW w:w="1360" w:type="dxa"/>
            <w:tcBorders>
              <w:top w:val="nil"/>
              <w:left w:val="nil"/>
              <w:bottom w:val="nil"/>
              <w:right w:val="nil"/>
            </w:tcBorders>
            <w:shd w:val="clear" w:color="auto" w:fill="auto"/>
            <w:tcMar>
              <w:top w:w="113" w:type="dxa"/>
              <w:bottom w:w="113" w:type="dxa"/>
            </w:tcMar>
            <w:vAlign w:val="center"/>
            <w:hideMark/>
          </w:tcPr>
          <w:p w:rsidR="00B26AF7" w:rsidRPr="00C258AD" w:rsidRDefault="00B26AF7" w:rsidP="001A4D6C">
            <w:pPr>
              <w:jc w:val="right"/>
              <w:rPr>
                <w:sz w:val="16"/>
                <w:szCs w:val="16"/>
                <w:lang w:eastAsia="fr-FR"/>
              </w:rPr>
            </w:pPr>
            <w:r w:rsidRPr="00C258AD">
              <w:rPr>
                <w:sz w:val="16"/>
                <w:szCs w:val="16"/>
                <w:lang w:eastAsia="fr-FR"/>
              </w:rPr>
              <w:t xml:space="preserve">2 141 </w:t>
            </w:r>
          </w:p>
        </w:tc>
        <w:tc>
          <w:tcPr>
            <w:tcW w:w="1360" w:type="dxa"/>
            <w:tcBorders>
              <w:top w:val="nil"/>
              <w:left w:val="nil"/>
              <w:bottom w:val="nil"/>
              <w:right w:val="nil"/>
            </w:tcBorders>
            <w:shd w:val="clear" w:color="auto" w:fill="auto"/>
            <w:tcMar>
              <w:top w:w="113" w:type="dxa"/>
              <w:bottom w:w="113" w:type="dxa"/>
            </w:tcMar>
            <w:vAlign w:val="center"/>
            <w:hideMark/>
          </w:tcPr>
          <w:p w:rsidR="00B26AF7" w:rsidRPr="00C258AD" w:rsidRDefault="00B26AF7" w:rsidP="001A4D6C">
            <w:pPr>
              <w:jc w:val="right"/>
              <w:rPr>
                <w:sz w:val="16"/>
                <w:szCs w:val="16"/>
                <w:lang w:eastAsia="fr-FR"/>
              </w:rPr>
            </w:pPr>
            <w:r w:rsidRPr="00C258AD">
              <w:rPr>
                <w:sz w:val="16"/>
                <w:szCs w:val="16"/>
                <w:lang w:eastAsia="fr-FR"/>
              </w:rPr>
              <w:t>2 209</w:t>
            </w:r>
          </w:p>
        </w:tc>
        <w:tc>
          <w:tcPr>
            <w:tcW w:w="1360" w:type="dxa"/>
            <w:tcBorders>
              <w:top w:val="nil"/>
              <w:left w:val="nil"/>
              <w:bottom w:val="nil"/>
              <w:right w:val="single" w:sz="4" w:space="0" w:color="auto"/>
            </w:tcBorders>
            <w:shd w:val="clear" w:color="auto" w:fill="auto"/>
            <w:tcMar>
              <w:top w:w="113" w:type="dxa"/>
              <w:bottom w:w="113" w:type="dxa"/>
            </w:tcMar>
            <w:vAlign w:val="center"/>
            <w:hideMark/>
          </w:tcPr>
          <w:p w:rsidR="00B26AF7" w:rsidRPr="00C258AD" w:rsidRDefault="00B26AF7" w:rsidP="001A4D6C">
            <w:pPr>
              <w:jc w:val="right"/>
              <w:rPr>
                <w:sz w:val="16"/>
                <w:szCs w:val="16"/>
                <w:lang w:eastAsia="fr-FR"/>
              </w:rPr>
            </w:pPr>
            <w:r w:rsidRPr="00C258AD">
              <w:rPr>
                <w:sz w:val="16"/>
                <w:szCs w:val="16"/>
                <w:lang w:eastAsia="fr-FR"/>
              </w:rPr>
              <w:t>2 109</w:t>
            </w:r>
          </w:p>
        </w:tc>
      </w:tr>
      <w:tr w:rsidR="00B26AF7" w:rsidRPr="00C258AD" w:rsidTr="001A4D6C">
        <w:trPr>
          <w:cantSplit/>
        </w:trPr>
        <w:tc>
          <w:tcPr>
            <w:tcW w:w="470" w:type="dxa"/>
            <w:tcBorders>
              <w:top w:val="nil"/>
              <w:left w:val="single" w:sz="4" w:space="0" w:color="auto"/>
              <w:bottom w:val="nil"/>
              <w:right w:val="nil"/>
            </w:tcBorders>
            <w:shd w:val="clear" w:color="auto" w:fill="auto"/>
            <w:noWrap/>
            <w:tcMar>
              <w:top w:w="113" w:type="dxa"/>
              <w:bottom w:w="113" w:type="dxa"/>
            </w:tcMar>
            <w:vAlign w:val="center"/>
            <w:hideMark/>
          </w:tcPr>
          <w:p w:rsidR="00B26AF7" w:rsidRPr="00C258AD" w:rsidRDefault="00B26AF7" w:rsidP="001A4D6C">
            <w:pPr>
              <w:rPr>
                <w:sz w:val="16"/>
                <w:szCs w:val="16"/>
                <w:lang w:eastAsia="fr-FR"/>
              </w:rPr>
            </w:pPr>
            <w:r w:rsidRPr="00C258AD">
              <w:rPr>
                <w:sz w:val="16"/>
                <w:szCs w:val="16"/>
                <w:lang w:eastAsia="fr-FR"/>
              </w:rPr>
              <w:t>V.2</w:t>
            </w:r>
          </w:p>
        </w:tc>
        <w:tc>
          <w:tcPr>
            <w:tcW w:w="4530" w:type="dxa"/>
            <w:tcBorders>
              <w:top w:val="nil"/>
              <w:left w:val="nil"/>
              <w:bottom w:val="nil"/>
              <w:right w:val="nil"/>
            </w:tcBorders>
            <w:shd w:val="clear" w:color="auto" w:fill="auto"/>
            <w:tcMar>
              <w:top w:w="113" w:type="dxa"/>
              <w:bottom w:w="113" w:type="dxa"/>
            </w:tcMar>
            <w:vAlign w:val="center"/>
            <w:hideMark/>
          </w:tcPr>
          <w:p w:rsidR="00B26AF7" w:rsidRPr="00C258AD" w:rsidRDefault="00B26AF7" w:rsidP="001A4D6C">
            <w:pPr>
              <w:rPr>
                <w:sz w:val="16"/>
                <w:szCs w:val="16"/>
                <w:lang w:eastAsia="fr-FR"/>
              </w:rPr>
            </w:pPr>
            <w:r w:rsidRPr="00C258AD">
              <w:rPr>
                <w:sz w:val="16"/>
                <w:szCs w:val="16"/>
                <w:lang w:eastAsia="fr-FR"/>
              </w:rPr>
              <w:t>Utilisation élargie et améliorée des analyses économiques de l’OMPI aux fins de l’élaboration des politiques</w:t>
            </w:r>
          </w:p>
        </w:tc>
        <w:tc>
          <w:tcPr>
            <w:tcW w:w="1360" w:type="dxa"/>
            <w:tcBorders>
              <w:top w:val="nil"/>
              <w:left w:val="nil"/>
              <w:bottom w:val="nil"/>
              <w:right w:val="nil"/>
            </w:tcBorders>
            <w:shd w:val="clear" w:color="auto" w:fill="auto"/>
            <w:tcMar>
              <w:top w:w="113" w:type="dxa"/>
              <w:bottom w:w="113" w:type="dxa"/>
            </w:tcMar>
            <w:vAlign w:val="center"/>
            <w:hideMark/>
          </w:tcPr>
          <w:p w:rsidR="00B26AF7" w:rsidRPr="00C258AD" w:rsidRDefault="00B26AF7" w:rsidP="001A4D6C">
            <w:pPr>
              <w:jc w:val="right"/>
              <w:rPr>
                <w:sz w:val="16"/>
                <w:szCs w:val="16"/>
                <w:lang w:eastAsia="fr-FR"/>
              </w:rPr>
            </w:pPr>
            <w:r w:rsidRPr="00C258AD">
              <w:rPr>
                <w:sz w:val="16"/>
                <w:szCs w:val="16"/>
                <w:lang w:eastAsia="fr-FR"/>
              </w:rPr>
              <w:t xml:space="preserve">3 195 </w:t>
            </w:r>
          </w:p>
        </w:tc>
        <w:tc>
          <w:tcPr>
            <w:tcW w:w="1360" w:type="dxa"/>
            <w:tcBorders>
              <w:top w:val="nil"/>
              <w:left w:val="nil"/>
              <w:bottom w:val="nil"/>
              <w:right w:val="nil"/>
            </w:tcBorders>
            <w:shd w:val="clear" w:color="auto" w:fill="auto"/>
            <w:tcMar>
              <w:top w:w="113" w:type="dxa"/>
              <w:bottom w:w="113" w:type="dxa"/>
            </w:tcMar>
            <w:vAlign w:val="center"/>
            <w:hideMark/>
          </w:tcPr>
          <w:p w:rsidR="00B26AF7" w:rsidRPr="00C258AD" w:rsidRDefault="00B26AF7" w:rsidP="001A4D6C">
            <w:pPr>
              <w:jc w:val="right"/>
              <w:rPr>
                <w:sz w:val="16"/>
                <w:szCs w:val="16"/>
                <w:lang w:eastAsia="fr-FR"/>
              </w:rPr>
            </w:pPr>
            <w:r w:rsidRPr="00C258AD">
              <w:rPr>
                <w:sz w:val="16"/>
                <w:szCs w:val="16"/>
                <w:lang w:eastAsia="fr-FR"/>
              </w:rPr>
              <w:t>2 956</w:t>
            </w:r>
          </w:p>
        </w:tc>
        <w:tc>
          <w:tcPr>
            <w:tcW w:w="1360" w:type="dxa"/>
            <w:tcBorders>
              <w:top w:val="nil"/>
              <w:left w:val="nil"/>
              <w:bottom w:val="nil"/>
              <w:right w:val="single" w:sz="4" w:space="0" w:color="auto"/>
            </w:tcBorders>
            <w:shd w:val="clear" w:color="auto" w:fill="auto"/>
            <w:tcMar>
              <w:top w:w="113" w:type="dxa"/>
              <w:bottom w:w="113" w:type="dxa"/>
            </w:tcMar>
            <w:vAlign w:val="center"/>
            <w:hideMark/>
          </w:tcPr>
          <w:p w:rsidR="00B26AF7" w:rsidRPr="00C258AD" w:rsidRDefault="00B26AF7" w:rsidP="001A4D6C">
            <w:pPr>
              <w:jc w:val="right"/>
              <w:rPr>
                <w:sz w:val="16"/>
                <w:szCs w:val="16"/>
                <w:lang w:eastAsia="fr-FR"/>
              </w:rPr>
            </w:pPr>
            <w:r w:rsidRPr="00C258AD">
              <w:rPr>
                <w:sz w:val="16"/>
                <w:szCs w:val="16"/>
                <w:lang w:eastAsia="fr-FR"/>
              </w:rPr>
              <w:t>2 795</w:t>
            </w:r>
          </w:p>
        </w:tc>
      </w:tr>
      <w:tr w:rsidR="00B26AF7" w:rsidRPr="00C258AD" w:rsidTr="001A4D6C">
        <w:trPr>
          <w:cantSplit/>
        </w:trPr>
        <w:tc>
          <w:tcPr>
            <w:tcW w:w="470" w:type="dxa"/>
            <w:tcBorders>
              <w:top w:val="single" w:sz="4" w:space="0" w:color="auto"/>
              <w:left w:val="single" w:sz="4" w:space="0" w:color="auto"/>
              <w:bottom w:val="single" w:sz="4" w:space="0" w:color="auto"/>
              <w:right w:val="nil"/>
            </w:tcBorders>
            <w:shd w:val="clear" w:color="auto" w:fill="C5D9F1"/>
            <w:noWrap/>
            <w:tcMar>
              <w:top w:w="113" w:type="dxa"/>
              <w:bottom w:w="113" w:type="dxa"/>
            </w:tcMar>
            <w:vAlign w:val="bottom"/>
            <w:hideMark/>
          </w:tcPr>
          <w:p w:rsidR="00B26AF7" w:rsidRPr="00C258AD" w:rsidRDefault="00B26AF7" w:rsidP="001A4D6C">
            <w:pPr>
              <w:rPr>
                <w:sz w:val="16"/>
                <w:szCs w:val="16"/>
                <w:lang w:eastAsia="fr-FR"/>
              </w:rPr>
            </w:pPr>
            <w:r w:rsidRPr="00C258AD">
              <w:rPr>
                <w:sz w:val="16"/>
                <w:szCs w:val="16"/>
                <w:lang w:eastAsia="fr-FR"/>
              </w:rPr>
              <w:t> </w:t>
            </w:r>
          </w:p>
        </w:tc>
        <w:tc>
          <w:tcPr>
            <w:tcW w:w="4530" w:type="dxa"/>
            <w:tcBorders>
              <w:top w:val="single" w:sz="4" w:space="0" w:color="auto"/>
              <w:left w:val="nil"/>
              <w:bottom w:val="single" w:sz="4" w:space="0" w:color="auto"/>
              <w:right w:val="single" w:sz="4" w:space="0" w:color="auto"/>
            </w:tcBorders>
            <w:shd w:val="clear" w:color="auto" w:fill="C5D9F1"/>
            <w:noWrap/>
            <w:tcMar>
              <w:top w:w="113" w:type="dxa"/>
              <w:bottom w:w="113" w:type="dxa"/>
            </w:tcMar>
            <w:vAlign w:val="bottom"/>
            <w:hideMark/>
          </w:tcPr>
          <w:p w:rsidR="00B26AF7" w:rsidRPr="00C258AD" w:rsidRDefault="00B26AF7" w:rsidP="001A4D6C">
            <w:pPr>
              <w:rPr>
                <w:b/>
                <w:bCs/>
                <w:sz w:val="16"/>
                <w:szCs w:val="16"/>
                <w:lang w:eastAsia="fr-FR"/>
              </w:rPr>
            </w:pPr>
            <w:r w:rsidRPr="00C258AD">
              <w:rPr>
                <w:b/>
                <w:bCs/>
                <w:sz w:val="16"/>
                <w:szCs w:val="16"/>
                <w:lang w:eastAsia="fr-FR"/>
              </w:rPr>
              <w:t>Total</w:t>
            </w:r>
          </w:p>
        </w:tc>
        <w:tc>
          <w:tcPr>
            <w:tcW w:w="1360" w:type="dxa"/>
            <w:tcBorders>
              <w:top w:val="single" w:sz="4" w:space="0" w:color="auto"/>
              <w:left w:val="nil"/>
              <w:bottom w:val="single" w:sz="4" w:space="0" w:color="auto"/>
              <w:right w:val="single" w:sz="4" w:space="0" w:color="auto"/>
            </w:tcBorders>
            <w:shd w:val="clear" w:color="auto" w:fill="C5D9F1"/>
            <w:noWrap/>
            <w:tcMar>
              <w:top w:w="113" w:type="dxa"/>
              <w:bottom w:w="113" w:type="dxa"/>
            </w:tcMar>
            <w:vAlign w:val="bottom"/>
            <w:hideMark/>
          </w:tcPr>
          <w:p w:rsidR="00B26AF7" w:rsidRPr="00C258AD" w:rsidRDefault="00B26AF7" w:rsidP="001A4D6C">
            <w:pPr>
              <w:jc w:val="right"/>
              <w:rPr>
                <w:b/>
                <w:bCs/>
                <w:sz w:val="16"/>
                <w:szCs w:val="16"/>
                <w:lang w:eastAsia="fr-FR"/>
              </w:rPr>
            </w:pPr>
            <w:r w:rsidRPr="00C258AD">
              <w:rPr>
                <w:b/>
                <w:bCs/>
                <w:sz w:val="16"/>
                <w:szCs w:val="16"/>
                <w:lang w:eastAsia="fr-FR"/>
              </w:rPr>
              <w:t xml:space="preserve">5 336 </w:t>
            </w:r>
          </w:p>
        </w:tc>
        <w:tc>
          <w:tcPr>
            <w:tcW w:w="1360" w:type="dxa"/>
            <w:tcBorders>
              <w:top w:val="single" w:sz="4" w:space="0" w:color="auto"/>
              <w:left w:val="nil"/>
              <w:bottom w:val="single" w:sz="4" w:space="0" w:color="auto"/>
              <w:right w:val="single" w:sz="4" w:space="0" w:color="auto"/>
            </w:tcBorders>
            <w:shd w:val="clear" w:color="auto" w:fill="C5D9F1"/>
            <w:noWrap/>
            <w:tcMar>
              <w:top w:w="113" w:type="dxa"/>
              <w:bottom w:w="113" w:type="dxa"/>
            </w:tcMar>
            <w:vAlign w:val="bottom"/>
            <w:hideMark/>
          </w:tcPr>
          <w:p w:rsidR="00B26AF7" w:rsidRPr="00C258AD" w:rsidRDefault="00B26AF7" w:rsidP="001A4D6C">
            <w:pPr>
              <w:jc w:val="right"/>
              <w:rPr>
                <w:b/>
                <w:bCs/>
                <w:sz w:val="16"/>
                <w:szCs w:val="16"/>
                <w:lang w:eastAsia="fr-FR"/>
              </w:rPr>
            </w:pPr>
            <w:r w:rsidRPr="00C258AD">
              <w:rPr>
                <w:b/>
                <w:bCs/>
                <w:sz w:val="16"/>
                <w:szCs w:val="16"/>
                <w:lang w:eastAsia="fr-FR"/>
              </w:rPr>
              <w:t>5 165</w:t>
            </w:r>
          </w:p>
        </w:tc>
        <w:tc>
          <w:tcPr>
            <w:tcW w:w="1360" w:type="dxa"/>
            <w:tcBorders>
              <w:top w:val="single" w:sz="4" w:space="0" w:color="auto"/>
              <w:left w:val="nil"/>
              <w:bottom w:val="single" w:sz="4" w:space="0" w:color="auto"/>
              <w:right w:val="single" w:sz="4" w:space="0" w:color="auto"/>
            </w:tcBorders>
            <w:shd w:val="clear" w:color="auto" w:fill="C5D9F1"/>
            <w:noWrap/>
            <w:tcMar>
              <w:top w:w="113" w:type="dxa"/>
              <w:bottom w:w="113" w:type="dxa"/>
            </w:tcMar>
            <w:vAlign w:val="bottom"/>
            <w:hideMark/>
          </w:tcPr>
          <w:p w:rsidR="00B26AF7" w:rsidRPr="00C258AD" w:rsidRDefault="00B26AF7" w:rsidP="001A4D6C">
            <w:pPr>
              <w:jc w:val="right"/>
              <w:rPr>
                <w:b/>
                <w:bCs/>
                <w:sz w:val="16"/>
                <w:szCs w:val="16"/>
                <w:lang w:eastAsia="fr-FR"/>
              </w:rPr>
            </w:pPr>
            <w:r w:rsidRPr="00C258AD">
              <w:rPr>
                <w:b/>
                <w:bCs/>
                <w:sz w:val="16"/>
                <w:szCs w:val="16"/>
                <w:lang w:eastAsia="fr-FR"/>
              </w:rPr>
              <w:t>4 903</w:t>
            </w:r>
          </w:p>
        </w:tc>
      </w:tr>
    </w:tbl>
    <w:p w:rsidR="006E2BB1" w:rsidRPr="00C258AD" w:rsidRDefault="006E2BB1" w:rsidP="001A4D6C"/>
    <w:p w:rsidR="006E2BB1" w:rsidRPr="00C258AD" w:rsidRDefault="006E2BB1" w:rsidP="001A4D6C"/>
    <w:p w:rsidR="006E2BB1" w:rsidRPr="00C258AD" w:rsidRDefault="00B26AF7" w:rsidP="001A4D6C">
      <w:pPr>
        <w:pStyle w:val="NormalWeb"/>
        <w:keepNext/>
        <w:keepLines/>
        <w:spacing w:before="0" w:beforeAutospacing="0" w:after="0" w:afterAutospacing="0"/>
        <w:jc w:val="center"/>
        <w:rPr>
          <w:sz w:val="20"/>
          <w:szCs w:val="20"/>
        </w:rPr>
      </w:pPr>
      <w:r w:rsidRPr="00C258AD">
        <w:rPr>
          <w:sz w:val="20"/>
          <w:szCs w:val="20"/>
        </w:rPr>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B26AF7" w:rsidP="001A4D6C">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B26AF7" w:rsidRPr="00C258AD" w:rsidRDefault="00B26AF7" w:rsidP="001A4D6C"/>
    <w:tbl>
      <w:tblPr>
        <w:tblW w:w="5000" w:type="pct"/>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B26AF7" w:rsidRPr="00C258AD" w:rsidTr="001A4D6C">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tcMar>
              <w:top w:w="113" w:type="dxa"/>
              <w:bottom w:w="113" w:type="dxa"/>
            </w:tcMar>
            <w:vAlign w:val="center"/>
            <w:hideMark/>
          </w:tcPr>
          <w:p w:rsidR="00B26AF7" w:rsidRPr="00C258AD" w:rsidRDefault="00B26AF7" w:rsidP="001A4D6C">
            <w:pPr>
              <w:rPr>
                <w:sz w:val="16"/>
                <w:szCs w:val="16"/>
                <w:lang w:eastAsia="fr-FR"/>
              </w:rPr>
            </w:pPr>
            <w:r w:rsidRPr="00C258AD">
              <w:rPr>
                <w:sz w:val="16"/>
                <w:szCs w:val="16"/>
                <w:lang w:eastAsia="fr-FR"/>
              </w:rPr>
              <w:t> </w:t>
            </w:r>
          </w:p>
        </w:tc>
        <w:tc>
          <w:tcPr>
            <w:tcW w:w="1745" w:type="dxa"/>
            <w:tcBorders>
              <w:top w:val="single" w:sz="4" w:space="0" w:color="auto"/>
              <w:left w:val="nil"/>
              <w:bottom w:val="nil"/>
              <w:right w:val="single" w:sz="4" w:space="0" w:color="auto"/>
            </w:tcBorders>
            <w:shd w:val="clear" w:color="auto" w:fill="C5D9F1"/>
            <w:tcMar>
              <w:top w:w="113" w:type="dxa"/>
              <w:bottom w:w="113" w:type="dxa"/>
            </w:tcMar>
            <w:vAlign w:val="center"/>
            <w:hideMark/>
          </w:tcPr>
          <w:p w:rsidR="00B26AF7" w:rsidRPr="00C258AD" w:rsidRDefault="00B26AF7" w:rsidP="001A4D6C">
            <w:pPr>
              <w:jc w:val="center"/>
              <w:rPr>
                <w:b/>
                <w:bCs/>
                <w:sz w:val="16"/>
                <w:szCs w:val="16"/>
                <w:lang w:eastAsia="fr-FR"/>
              </w:rPr>
            </w:pPr>
            <w:r w:rsidRPr="00C258AD">
              <w:rPr>
                <w:b/>
                <w:bCs/>
                <w:sz w:val="16"/>
                <w:szCs w:val="16"/>
                <w:lang w:eastAsia="fr-FR"/>
              </w:rPr>
              <w:t>Budget 2014</w:t>
            </w:r>
            <w:r w:rsidRPr="00C258AD">
              <w:rPr>
                <w:b/>
                <w:bCs/>
                <w:sz w:val="16"/>
                <w:szCs w:val="16"/>
                <w:lang w:eastAsia="fr-FR"/>
              </w:rPr>
              <w:noBreakHyphen/>
              <w:t>2015 approuvé</w:t>
            </w:r>
          </w:p>
        </w:tc>
        <w:tc>
          <w:tcPr>
            <w:tcW w:w="1746" w:type="dxa"/>
            <w:tcBorders>
              <w:top w:val="single" w:sz="4" w:space="0" w:color="auto"/>
              <w:left w:val="nil"/>
              <w:bottom w:val="nil"/>
              <w:right w:val="single" w:sz="4" w:space="0" w:color="auto"/>
            </w:tcBorders>
            <w:shd w:val="clear" w:color="auto" w:fill="C5D9F1"/>
            <w:tcMar>
              <w:top w:w="113" w:type="dxa"/>
              <w:bottom w:w="113" w:type="dxa"/>
            </w:tcMar>
            <w:vAlign w:val="center"/>
            <w:hideMark/>
          </w:tcPr>
          <w:p w:rsidR="00B26AF7" w:rsidRPr="00C258AD" w:rsidRDefault="00B26AF7" w:rsidP="001A4D6C">
            <w:pPr>
              <w:jc w:val="center"/>
              <w:rPr>
                <w:b/>
                <w:bCs/>
                <w:sz w:val="16"/>
                <w:szCs w:val="16"/>
                <w:lang w:eastAsia="fr-FR"/>
              </w:rPr>
            </w:pPr>
            <w:r w:rsidRPr="00C258AD">
              <w:rPr>
                <w:b/>
                <w:bCs/>
                <w:sz w:val="16"/>
                <w:szCs w:val="16"/>
                <w:lang w:eastAsia="fr-FR"/>
              </w:rPr>
              <w:t>Budget final 2014</w:t>
            </w:r>
            <w:r w:rsidRPr="00C258AD">
              <w:rPr>
                <w:b/>
                <w:bCs/>
                <w:sz w:val="16"/>
                <w:szCs w:val="16"/>
                <w:lang w:eastAsia="fr-FR"/>
              </w:rPr>
              <w:noBreakHyphen/>
              <w:t>2015</w:t>
            </w:r>
            <w:r w:rsidRPr="00C258AD">
              <w:rPr>
                <w:b/>
                <w:bCs/>
                <w:sz w:val="16"/>
                <w:szCs w:val="16"/>
                <w:lang w:eastAsia="fr-FR"/>
              </w:rPr>
              <w:br/>
              <w:t>après virements</w:t>
            </w:r>
          </w:p>
        </w:tc>
        <w:tc>
          <w:tcPr>
            <w:tcW w:w="1745" w:type="dxa"/>
            <w:tcBorders>
              <w:top w:val="single" w:sz="4" w:space="0" w:color="auto"/>
              <w:left w:val="nil"/>
              <w:bottom w:val="nil"/>
              <w:right w:val="single" w:sz="4" w:space="0" w:color="auto"/>
            </w:tcBorders>
            <w:shd w:val="clear" w:color="auto" w:fill="C5D9F1"/>
            <w:tcMar>
              <w:top w:w="113" w:type="dxa"/>
              <w:bottom w:w="113" w:type="dxa"/>
            </w:tcMar>
            <w:vAlign w:val="center"/>
            <w:hideMark/>
          </w:tcPr>
          <w:p w:rsidR="00B26AF7" w:rsidRPr="00C258AD" w:rsidRDefault="00B26AF7" w:rsidP="001A4D6C">
            <w:pPr>
              <w:jc w:val="center"/>
              <w:rPr>
                <w:b/>
                <w:bCs/>
                <w:sz w:val="16"/>
                <w:szCs w:val="16"/>
                <w:lang w:eastAsia="fr-FR"/>
              </w:rPr>
            </w:pPr>
            <w:r w:rsidRPr="00C258AD">
              <w:rPr>
                <w:b/>
                <w:bCs/>
                <w:sz w:val="16"/>
                <w:szCs w:val="16"/>
                <w:lang w:eastAsia="fr-FR"/>
              </w:rPr>
              <w:t xml:space="preserve">Dépenses </w:t>
            </w:r>
            <w:r w:rsidRPr="00C258AD">
              <w:rPr>
                <w:b/>
                <w:bCs/>
                <w:sz w:val="16"/>
                <w:szCs w:val="16"/>
                <w:lang w:eastAsia="fr-FR"/>
              </w:rPr>
              <w:br/>
              <w:t>2014</w:t>
            </w:r>
            <w:r w:rsidRPr="00C258AD">
              <w:rPr>
                <w:b/>
                <w:bCs/>
                <w:sz w:val="16"/>
                <w:szCs w:val="16"/>
                <w:lang w:eastAsia="fr-FR"/>
              </w:rPr>
              <w:noBreakHyphen/>
              <w:t>2015</w:t>
            </w:r>
          </w:p>
        </w:tc>
        <w:tc>
          <w:tcPr>
            <w:tcW w:w="1746" w:type="dxa"/>
            <w:tcBorders>
              <w:top w:val="single" w:sz="4" w:space="0" w:color="auto"/>
              <w:left w:val="nil"/>
              <w:bottom w:val="nil"/>
              <w:right w:val="single" w:sz="4" w:space="0" w:color="auto"/>
            </w:tcBorders>
            <w:shd w:val="clear" w:color="auto" w:fill="C5D9F1"/>
            <w:tcMar>
              <w:top w:w="113" w:type="dxa"/>
              <w:bottom w:w="113" w:type="dxa"/>
            </w:tcMar>
            <w:vAlign w:val="center"/>
            <w:hideMark/>
          </w:tcPr>
          <w:p w:rsidR="00B26AF7" w:rsidRPr="00C258AD" w:rsidRDefault="00B26AF7" w:rsidP="001A4D6C">
            <w:pPr>
              <w:jc w:val="center"/>
              <w:rPr>
                <w:b/>
                <w:bCs/>
                <w:sz w:val="16"/>
                <w:szCs w:val="16"/>
                <w:lang w:eastAsia="fr-FR"/>
              </w:rPr>
            </w:pPr>
            <w:r w:rsidRPr="00C258AD">
              <w:rPr>
                <w:b/>
                <w:bCs/>
                <w:sz w:val="16"/>
                <w:szCs w:val="16"/>
                <w:lang w:eastAsia="fr-FR"/>
              </w:rPr>
              <w:t>Taux d’utilisation (%)</w:t>
            </w:r>
          </w:p>
        </w:tc>
      </w:tr>
      <w:tr w:rsidR="00B26AF7"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tcMar>
              <w:top w:w="113" w:type="dxa"/>
              <w:bottom w:w="113" w:type="dxa"/>
            </w:tcMar>
            <w:vAlign w:val="center"/>
            <w:hideMark/>
          </w:tcPr>
          <w:p w:rsidR="00B26AF7" w:rsidRPr="00C258AD" w:rsidRDefault="00B26AF7" w:rsidP="001A4D6C">
            <w:pPr>
              <w:rPr>
                <w:sz w:val="16"/>
                <w:szCs w:val="16"/>
                <w:lang w:eastAsia="fr-FR"/>
              </w:rPr>
            </w:pPr>
            <w:r w:rsidRPr="00C258AD">
              <w:rPr>
                <w:sz w:val="16"/>
                <w:szCs w:val="16"/>
                <w:lang w:eastAsia="fr-FR"/>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tcMar>
              <w:top w:w="113" w:type="dxa"/>
              <w:bottom w:w="113" w:type="dxa"/>
            </w:tcMar>
            <w:vAlign w:val="center"/>
            <w:hideMark/>
          </w:tcPr>
          <w:p w:rsidR="00B26AF7" w:rsidRPr="00C258AD" w:rsidRDefault="00B26AF7" w:rsidP="001A4D6C">
            <w:pPr>
              <w:jc w:val="center"/>
              <w:rPr>
                <w:sz w:val="16"/>
                <w:szCs w:val="16"/>
                <w:lang w:eastAsia="fr-FR"/>
              </w:rPr>
            </w:pPr>
            <w:r w:rsidRPr="00C258AD">
              <w:rPr>
                <w:sz w:val="16"/>
                <w:szCs w:val="16"/>
                <w:lang w:eastAsia="fr-FR"/>
              </w:rPr>
              <w:t>4 354</w:t>
            </w:r>
          </w:p>
        </w:tc>
        <w:tc>
          <w:tcPr>
            <w:tcW w:w="1746" w:type="dxa"/>
            <w:tcBorders>
              <w:top w:val="single" w:sz="4" w:space="0" w:color="auto"/>
              <w:left w:val="nil"/>
              <w:bottom w:val="single" w:sz="4" w:space="0" w:color="auto"/>
              <w:right w:val="single" w:sz="4" w:space="0" w:color="auto"/>
            </w:tcBorders>
            <w:shd w:val="clear" w:color="auto" w:fill="auto"/>
            <w:tcMar>
              <w:top w:w="113" w:type="dxa"/>
              <w:bottom w:w="113" w:type="dxa"/>
            </w:tcMar>
            <w:vAlign w:val="center"/>
            <w:hideMark/>
          </w:tcPr>
          <w:p w:rsidR="00B26AF7" w:rsidRPr="00C258AD" w:rsidRDefault="00B26AF7" w:rsidP="001A4D6C">
            <w:pPr>
              <w:jc w:val="center"/>
              <w:rPr>
                <w:sz w:val="16"/>
                <w:szCs w:val="16"/>
                <w:lang w:eastAsia="fr-FR"/>
              </w:rPr>
            </w:pPr>
            <w:r w:rsidRPr="00C258AD">
              <w:rPr>
                <w:sz w:val="16"/>
                <w:szCs w:val="16"/>
                <w:lang w:eastAsia="fr-FR"/>
              </w:rPr>
              <w:t>4 391</w:t>
            </w:r>
          </w:p>
        </w:tc>
        <w:tc>
          <w:tcPr>
            <w:tcW w:w="1745" w:type="dxa"/>
            <w:tcBorders>
              <w:top w:val="single" w:sz="4" w:space="0" w:color="auto"/>
              <w:left w:val="nil"/>
              <w:bottom w:val="single" w:sz="4" w:space="0" w:color="auto"/>
              <w:right w:val="single" w:sz="4" w:space="0" w:color="auto"/>
            </w:tcBorders>
            <w:shd w:val="clear" w:color="auto" w:fill="auto"/>
            <w:tcMar>
              <w:top w:w="113" w:type="dxa"/>
              <w:bottom w:w="113" w:type="dxa"/>
            </w:tcMar>
            <w:vAlign w:val="center"/>
            <w:hideMark/>
          </w:tcPr>
          <w:p w:rsidR="00B26AF7" w:rsidRPr="00C258AD" w:rsidRDefault="00B26AF7" w:rsidP="001A4D6C">
            <w:pPr>
              <w:jc w:val="center"/>
              <w:rPr>
                <w:sz w:val="16"/>
                <w:szCs w:val="16"/>
                <w:lang w:eastAsia="fr-FR"/>
              </w:rPr>
            </w:pPr>
            <w:r w:rsidRPr="00C258AD">
              <w:rPr>
                <w:sz w:val="16"/>
                <w:szCs w:val="16"/>
                <w:lang w:eastAsia="fr-FR"/>
              </w:rPr>
              <w:t>4 266</w:t>
            </w:r>
          </w:p>
        </w:tc>
        <w:tc>
          <w:tcPr>
            <w:tcW w:w="1746" w:type="dxa"/>
            <w:tcBorders>
              <w:top w:val="single" w:sz="4" w:space="0" w:color="auto"/>
              <w:left w:val="nil"/>
              <w:bottom w:val="single" w:sz="4" w:space="0" w:color="auto"/>
              <w:right w:val="single" w:sz="4" w:space="0" w:color="auto"/>
            </w:tcBorders>
            <w:shd w:val="clear" w:color="auto" w:fill="auto"/>
            <w:tcMar>
              <w:top w:w="113" w:type="dxa"/>
              <w:bottom w:w="113" w:type="dxa"/>
            </w:tcMar>
            <w:vAlign w:val="center"/>
            <w:hideMark/>
          </w:tcPr>
          <w:p w:rsidR="00B26AF7" w:rsidRPr="00C258AD" w:rsidRDefault="00B26AF7" w:rsidP="001A4D6C">
            <w:pPr>
              <w:jc w:val="center"/>
              <w:rPr>
                <w:sz w:val="16"/>
                <w:szCs w:val="16"/>
                <w:lang w:eastAsia="fr-FR"/>
              </w:rPr>
            </w:pPr>
            <w:r w:rsidRPr="00C258AD">
              <w:rPr>
                <w:sz w:val="16"/>
                <w:szCs w:val="16"/>
                <w:lang w:eastAsia="fr-FR"/>
              </w:rPr>
              <w:t>97%</w:t>
            </w:r>
          </w:p>
        </w:tc>
      </w:tr>
      <w:tr w:rsidR="00B26AF7"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tcMar>
              <w:top w:w="113" w:type="dxa"/>
              <w:bottom w:w="113" w:type="dxa"/>
            </w:tcMar>
            <w:vAlign w:val="center"/>
            <w:hideMark/>
          </w:tcPr>
          <w:p w:rsidR="00B26AF7" w:rsidRPr="00C258AD" w:rsidRDefault="00B26AF7" w:rsidP="001A4D6C">
            <w:pPr>
              <w:rPr>
                <w:sz w:val="16"/>
                <w:szCs w:val="16"/>
                <w:lang w:eastAsia="fr-FR"/>
              </w:rPr>
            </w:pPr>
            <w:r w:rsidRPr="00C258AD">
              <w:rPr>
                <w:sz w:val="16"/>
                <w:szCs w:val="16"/>
                <w:lang w:eastAsia="fr-FR"/>
              </w:rPr>
              <w:t xml:space="preserve">Autres dépenses </w:t>
            </w:r>
          </w:p>
        </w:tc>
        <w:tc>
          <w:tcPr>
            <w:tcW w:w="1745" w:type="dxa"/>
            <w:tcBorders>
              <w:top w:val="nil"/>
              <w:left w:val="nil"/>
              <w:bottom w:val="single" w:sz="4" w:space="0" w:color="auto"/>
              <w:right w:val="single" w:sz="4" w:space="0" w:color="auto"/>
            </w:tcBorders>
            <w:shd w:val="clear" w:color="auto" w:fill="auto"/>
            <w:tcMar>
              <w:top w:w="113" w:type="dxa"/>
              <w:bottom w:w="113" w:type="dxa"/>
            </w:tcMar>
            <w:vAlign w:val="center"/>
            <w:hideMark/>
          </w:tcPr>
          <w:p w:rsidR="00B26AF7" w:rsidRPr="00C258AD" w:rsidRDefault="00B26AF7" w:rsidP="001A4D6C">
            <w:pPr>
              <w:jc w:val="center"/>
              <w:rPr>
                <w:sz w:val="16"/>
                <w:szCs w:val="16"/>
                <w:lang w:eastAsia="fr-FR"/>
              </w:rPr>
            </w:pPr>
            <w:r w:rsidRPr="00C258AD">
              <w:rPr>
                <w:sz w:val="16"/>
                <w:szCs w:val="16"/>
                <w:lang w:eastAsia="fr-FR"/>
              </w:rPr>
              <w:t>982</w:t>
            </w:r>
          </w:p>
        </w:tc>
        <w:tc>
          <w:tcPr>
            <w:tcW w:w="1746" w:type="dxa"/>
            <w:tcBorders>
              <w:top w:val="nil"/>
              <w:left w:val="nil"/>
              <w:bottom w:val="single" w:sz="4" w:space="0" w:color="auto"/>
              <w:right w:val="single" w:sz="4" w:space="0" w:color="auto"/>
            </w:tcBorders>
            <w:shd w:val="clear" w:color="auto" w:fill="auto"/>
            <w:tcMar>
              <w:top w:w="113" w:type="dxa"/>
              <w:bottom w:w="113" w:type="dxa"/>
            </w:tcMar>
            <w:vAlign w:val="center"/>
            <w:hideMark/>
          </w:tcPr>
          <w:p w:rsidR="00B26AF7" w:rsidRPr="00C258AD" w:rsidRDefault="00B26AF7" w:rsidP="001A4D6C">
            <w:pPr>
              <w:jc w:val="center"/>
              <w:rPr>
                <w:sz w:val="16"/>
                <w:szCs w:val="16"/>
                <w:lang w:eastAsia="fr-FR"/>
              </w:rPr>
            </w:pPr>
            <w:r w:rsidRPr="00C258AD">
              <w:rPr>
                <w:sz w:val="16"/>
                <w:szCs w:val="16"/>
                <w:lang w:eastAsia="fr-FR"/>
              </w:rPr>
              <w:t>774</w:t>
            </w:r>
          </w:p>
        </w:tc>
        <w:tc>
          <w:tcPr>
            <w:tcW w:w="1745" w:type="dxa"/>
            <w:tcBorders>
              <w:top w:val="nil"/>
              <w:left w:val="nil"/>
              <w:bottom w:val="single" w:sz="4" w:space="0" w:color="auto"/>
              <w:right w:val="single" w:sz="4" w:space="0" w:color="auto"/>
            </w:tcBorders>
            <w:shd w:val="clear" w:color="auto" w:fill="auto"/>
            <w:tcMar>
              <w:top w:w="113" w:type="dxa"/>
              <w:bottom w:w="113" w:type="dxa"/>
            </w:tcMar>
            <w:vAlign w:val="center"/>
            <w:hideMark/>
          </w:tcPr>
          <w:p w:rsidR="00B26AF7" w:rsidRPr="00C258AD" w:rsidRDefault="00B26AF7" w:rsidP="001A4D6C">
            <w:pPr>
              <w:jc w:val="center"/>
              <w:rPr>
                <w:sz w:val="16"/>
                <w:szCs w:val="16"/>
                <w:lang w:eastAsia="fr-FR"/>
              </w:rPr>
            </w:pPr>
            <w:r w:rsidRPr="00C258AD">
              <w:rPr>
                <w:sz w:val="16"/>
                <w:szCs w:val="16"/>
                <w:lang w:eastAsia="fr-FR"/>
              </w:rPr>
              <w:t>637</w:t>
            </w:r>
          </w:p>
        </w:tc>
        <w:tc>
          <w:tcPr>
            <w:tcW w:w="1746" w:type="dxa"/>
            <w:tcBorders>
              <w:top w:val="nil"/>
              <w:left w:val="nil"/>
              <w:bottom w:val="single" w:sz="4" w:space="0" w:color="auto"/>
              <w:right w:val="single" w:sz="4" w:space="0" w:color="auto"/>
            </w:tcBorders>
            <w:shd w:val="clear" w:color="auto" w:fill="auto"/>
            <w:tcMar>
              <w:top w:w="113" w:type="dxa"/>
              <w:bottom w:w="113" w:type="dxa"/>
            </w:tcMar>
            <w:vAlign w:val="center"/>
            <w:hideMark/>
          </w:tcPr>
          <w:p w:rsidR="00B26AF7" w:rsidRPr="00C258AD" w:rsidRDefault="00B26AF7" w:rsidP="001A4D6C">
            <w:pPr>
              <w:jc w:val="center"/>
              <w:rPr>
                <w:sz w:val="16"/>
                <w:szCs w:val="16"/>
                <w:lang w:eastAsia="fr-FR"/>
              </w:rPr>
            </w:pPr>
            <w:r w:rsidRPr="00C258AD">
              <w:rPr>
                <w:sz w:val="16"/>
                <w:szCs w:val="16"/>
                <w:lang w:eastAsia="fr-FR"/>
              </w:rPr>
              <w:t>82%</w:t>
            </w:r>
          </w:p>
        </w:tc>
      </w:tr>
      <w:tr w:rsidR="00B26AF7"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tcMar>
              <w:top w:w="113" w:type="dxa"/>
              <w:bottom w:w="113" w:type="dxa"/>
            </w:tcMar>
            <w:vAlign w:val="center"/>
            <w:hideMark/>
          </w:tcPr>
          <w:p w:rsidR="00B26AF7" w:rsidRPr="00C258AD" w:rsidRDefault="00B26AF7" w:rsidP="001A4D6C">
            <w:pPr>
              <w:jc w:val="right"/>
              <w:rPr>
                <w:b/>
                <w:bCs/>
                <w:sz w:val="16"/>
                <w:szCs w:val="16"/>
                <w:lang w:eastAsia="fr-FR"/>
              </w:rPr>
            </w:pPr>
            <w:r w:rsidRPr="00C258AD">
              <w:rPr>
                <w:b/>
                <w:bCs/>
                <w:sz w:val="16"/>
                <w:szCs w:val="16"/>
                <w:lang w:eastAsia="fr-FR"/>
              </w:rPr>
              <w:t xml:space="preserve">TOTAL </w:t>
            </w:r>
          </w:p>
        </w:tc>
        <w:tc>
          <w:tcPr>
            <w:tcW w:w="1745" w:type="dxa"/>
            <w:tcBorders>
              <w:top w:val="nil"/>
              <w:left w:val="nil"/>
              <w:bottom w:val="single" w:sz="4" w:space="0" w:color="auto"/>
              <w:right w:val="single" w:sz="4" w:space="0" w:color="auto"/>
            </w:tcBorders>
            <w:shd w:val="clear" w:color="auto" w:fill="auto"/>
            <w:tcMar>
              <w:top w:w="113" w:type="dxa"/>
              <w:bottom w:w="113" w:type="dxa"/>
            </w:tcMar>
            <w:vAlign w:val="center"/>
            <w:hideMark/>
          </w:tcPr>
          <w:p w:rsidR="00B26AF7" w:rsidRPr="00C258AD" w:rsidRDefault="00B26AF7" w:rsidP="001A4D6C">
            <w:pPr>
              <w:jc w:val="center"/>
              <w:rPr>
                <w:b/>
                <w:bCs/>
                <w:sz w:val="16"/>
                <w:szCs w:val="16"/>
                <w:lang w:eastAsia="fr-FR"/>
              </w:rPr>
            </w:pPr>
            <w:r w:rsidRPr="00C258AD">
              <w:rPr>
                <w:b/>
                <w:bCs/>
                <w:sz w:val="16"/>
                <w:szCs w:val="16"/>
                <w:lang w:eastAsia="fr-FR"/>
              </w:rPr>
              <w:t>5 336</w:t>
            </w:r>
          </w:p>
        </w:tc>
        <w:tc>
          <w:tcPr>
            <w:tcW w:w="1746" w:type="dxa"/>
            <w:tcBorders>
              <w:top w:val="nil"/>
              <w:left w:val="nil"/>
              <w:bottom w:val="single" w:sz="4" w:space="0" w:color="auto"/>
              <w:right w:val="single" w:sz="4" w:space="0" w:color="auto"/>
            </w:tcBorders>
            <w:shd w:val="clear" w:color="auto" w:fill="auto"/>
            <w:tcMar>
              <w:top w:w="113" w:type="dxa"/>
              <w:bottom w:w="113" w:type="dxa"/>
            </w:tcMar>
            <w:vAlign w:val="center"/>
            <w:hideMark/>
          </w:tcPr>
          <w:p w:rsidR="00B26AF7" w:rsidRPr="00C258AD" w:rsidRDefault="00B26AF7" w:rsidP="001A4D6C">
            <w:pPr>
              <w:jc w:val="center"/>
              <w:rPr>
                <w:b/>
                <w:bCs/>
                <w:sz w:val="16"/>
                <w:szCs w:val="16"/>
                <w:lang w:eastAsia="fr-FR"/>
              </w:rPr>
            </w:pPr>
            <w:r w:rsidRPr="00C258AD">
              <w:rPr>
                <w:b/>
                <w:bCs/>
                <w:sz w:val="16"/>
                <w:szCs w:val="16"/>
                <w:lang w:eastAsia="fr-FR"/>
              </w:rPr>
              <w:t>5 165</w:t>
            </w:r>
          </w:p>
        </w:tc>
        <w:tc>
          <w:tcPr>
            <w:tcW w:w="1745" w:type="dxa"/>
            <w:tcBorders>
              <w:top w:val="nil"/>
              <w:left w:val="nil"/>
              <w:bottom w:val="single" w:sz="4" w:space="0" w:color="auto"/>
              <w:right w:val="single" w:sz="4" w:space="0" w:color="auto"/>
            </w:tcBorders>
            <w:shd w:val="clear" w:color="auto" w:fill="auto"/>
            <w:tcMar>
              <w:top w:w="113" w:type="dxa"/>
              <w:bottom w:w="113" w:type="dxa"/>
            </w:tcMar>
            <w:vAlign w:val="center"/>
            <w:hideMark/>
          </w:tcPr>
          <w:p w:rsidR="00B26AF7" w:rsidRPr="00C258AD" w:rsidRDefault="00B26AF7" w:rsidP="001A4D6C">
            <w:pPr>
              <w:jc w:val="center"/>
              <w:rPr>
                <w:b/>
                <w:bCs/>
                <w:sz w:val="16"/>
                <w:szCs w:val="16"/>
                <w:lang w:eastAsia="fr-FR"/>
              </w:rPr>
            </w:pPr>
            <w:r w:rsidRPr="00C258AD">
              <w:rPr>
                <w:b/>
                <w:bCs/>
                <w:sz w:val="16"/>
                <w:szCs w:val="16"/>
                <w:lang w:eastAsia="fr-FR"/>
              </w:rPr>
              <w:t>4 903</w:t>
            </w:r>
          </w:p>
        </w:tc>
        <w:tc>
          <w:tcPr>
            <w:tcW w:w="1746" w:type="dxa"/>
            <w:tcBorders>
              <w:top w:val="nil"/>
              <w:left w:val="nil"/>
              <w:bottom w:val="single" w:sz="4" w:space="0" w:color="auto"/>
              <w:right w:val="single" w:sz="4" w:space="0" w:color="auto"/>
            </w:tcBorders>
            <w:shd w:val="clear" w:color="auto" w:fill="auto"/>
            <w:tcMar>
              <w:top w:w="113" w:type="dxa"/>
              <w:bottom w:w="113" w:type="dxa"/>
            </w:tcMar>
            <w:vAlign w:val="center"/>
            <w:hideMark/>
          </w:tcPr>
          <w:p w:rsidR="00B26AF7" w:rsidRPr="00C258AD" w:rsidRDefault="00B26AF7" w:rsidP="001A4D6C">
            <w:pPr>
              <w:jc w:val="center"/>
              <w:rPr>
                <w:b/>
                <w:bCs/>
                <w:sz w:val="16"/>
                <w:szCs w:val="16"/>
                <w:lang w:eastAsia="fr-FR"/>
              </w:rPr>
            </w:pPr>
            <w:r w:rsidRPr="00C258AD">
              <w:rPr>
                <w:b/>
                <w:bCs/>
                <w:sz w:val="16"/>
                <w:szCs w:val="16"/>
                <w:lang w:eastAsia="fr-FR"/>
              </w:rPr>
              <w:t>95%</w:t>
            </w:r>
          </w:p>
        </w:tc>
      </w:tr>
    </w:tbl>
    <w:p w:rsidR="006E2BB1" w:rsidRPr="00C258AD" w:rsidRDefault="006E2BB1" w:rsidP="001A4D6C">
      <w:pPr>
        <w:widowControl w:val="0"/>
        <w:autoSpaceDE w:val="0"/>
        <w:autoSpaceDN w:val="0"/>
        <w:adjustRightInd w:val="0"/>
        <w:jc w:val="both"/>
      </w:pPr>
    </w:p>
    <w:p w:rsidR="006E2BB1" w:rsidRPr="00C258AD" w:rsidRDefault="006E2BB1" w:rsidP="001A4D6C">
      <w:pPr>
        <w:widowControl w:val="0"/>
        <w:autoSpaceDE w:val="0"/>
        <w:autoSpaceDN w:val="0"/>
        <w:adjustRightInd w:val="0"/>
        <w:jc w:val="both"/>
      </w:pPr>
    </w:p>
    <w:p w:rsidR="006E2BB1" w:rsidRPr="00C258AD" w:rsidRDefault="00B26AF7" w:rsidP="001A4D6C">
      <w:pPr>
        <w:jc w:val="both"/>
        <w:rPr>
          <w:u w:val="single"/>
        </w:rPr>
      </w:pPr>
      <w:r w:rsidRPr="00C258AD">
        <w:lastRenderedPageBreak/>
        <w:t>A.</w:t>
      </w:r>
      <w:r w:rsidRPr="00C258AD">
        <w:rPr>
          <w:i/>
        </w:rPr>
        <w:tab/>
      </w:r>
      <w:r w:rsidRPr="00C258AD">
        <w:rPr>
          <w:u w:val="single"/>
        </w:rPr>
        <w:t>Budget final 2014</w:t>
      </w:r>
      <w:r w:rsidRPr="00C258AD">
        <w:rPr>
          <w:u w:val="single"/>
        </w:rPr>
        <w:noBreakHyphen/>
        <w:t>2015 après virements</w:t>
      </w:r>
    </w:p>
    <w:p w:rsidR="006E2BB1" w:rsidRPr="00C258AD" w:rsidRDefault="006E2BB1" w:rsidP="001A4D6C">
      <w:pPr>
        <w:autoSpaceDE w:val="0"/>
        <w:autoSpaceDN w:val="0"/>
        <w:jc w:val="both"/>
        <w:rPr>
          <w:lang w:eastAsia="ko-KR"/>
        </w:rPr>
      </w:pPr>
    </w:p>
    <w:p w:rsidR="006E2BB1" w:rsidRPr="00C258AD" w:rsidRDefault="00B26AF7" w:rsidP="00BB4DBC">
      <w:pPr>
        <w:pStyle w:val="ListParagraph"/>
        <w:numPr>
          <w:ilvl w:val="0"/>
          <w:numId w:val="27"/>
        </w:numPr>
        <w:tabs>
          <w:tab w:val="left" w:pos="709"/>
        </w:tabs>
        <w:ind w:left="0" w:firstLine="0"/>
        <w:jc w:val="both"/>
        <w:rPr>
          <w:lang w:eastAsia="ko-KR"/>
        </w:rPr>
      </w:pPr>
      <w:r w:rsidRPr="00C258AD">
        <w:rPr>
          <w:lang w:eastAsia="ko-KR"/>
        </w:rPr>
        <w:t>La légère augmentation globale des ressources en personnel était due à l’ajout de deux postes pour l’analyse des données et la recherche sur l’économie de la création.  Cette augmentation était partiellement compensée par l’ajustement de la dotation au titre du projet sur la propriété intellectuelle et le développement socioéconomique du Plan d’action pour le développement, après l’approbation de la deuxième phase du projet à la quatorzième session du CDIP (CDIP/14/7).</w:t>
      </w:r>
    </w:p>
    <w:p w:rsidR="006E2BB1" w:rsidRPr="00C258AD" w:rsidRDefault="006E2BB1" w:rsidP="001A4D6C">
      <w:pPr>
        <w:pStyle w:val="ListParagraph"/>
        <w:numPr>
          <w:ilvl w:val="0"/>
          <w:numId w:val="0"/>
        </w:numPr>
        <w:tabs>
          <w:tab w:val="left" w:pos="709"/>
        </w:tabs>
        <w:jc w:val="both"/>
        <w:rPr>
          <w:lang w:eastAsia="ko-KR"/>
        </w:rPr>
      </w:pPr>
    </w:p>
    <w:p w:rsidR="006E2BB1" w:rsidRPr="00C258AD" w:rsidRDefault="00B26AF7" w:rsidP="00BB4DBC">
      <w:pPr>
        <w:pStyle w:val="ListParagraph"/>
        <w:numPr>
          <w:ilvl w:val="0"/>
          <w:numId w:val="27"/>
        </w:numPr>
        <w:tabs>
          <w:tab w:val="left" w:pos="709"/>
        </w:tabs>
        <w:ind w:left="0" w:firstLine="0"/>
        <w:jc w:val="both"/>
        <w:rPr>
          <w:lang w:eastAsia="ko-KR"/>
        </w:rPr>
      </w:pPr>
      <w:r w:rsidRPr="00C258AD">
        <w:rPr>
          <w:lang w:eastAsia="ko-KR"/>
        </w:rPr>
        <w:t>La diminution globale des ressources hors personnel découlait principalement : i) de l’ajustement de la dotation au titre du projet sur la propriété intellectuelle et le développement socioéconomique du Plan d’action pour le développement;  et ii) du transfert de ressources autres que les ressources en personnel pour des stagiaires au programme 23 (DGRH) en vue d’appuyer l’exécution du programme.  Cette diminution était partiellement compensée par une augmentation des ressources autres que les ressources en personnel pour des activités de promotion du Rapport sur la propriété intellectuelle dans le monde et de l’Indice mondial de l’innovation, et la demande de réalisation d’une étude spéciale sur l’élasticité des taxes de dépôt dans le système de Madrid.</w:t>
      </w:r>
    </w:p>
    <w:p w:rsidR="006E2BB1" w:rsidRPr="00C258AD" w:rsidRDefault="006E2BB1" w:rsidP="001A4D6C">
      <w:pPr>
        <w:autoSpaceDE w:val="0"/>
        <w:autoSpaceDN w:val="0"/>
        <w:jc w:val="both"/>
        <w:rPr>
          <w:lang w:eastAsia="ko-KR"/>
        </w:rPr>
      </w:pPr>
    </w:p>
    <w:p w:rsidR="006E2BB1" w:rsidRPr="00C258AD" w:rsidRDefault="006E2BB1" w:rsidP="001A4D6C">
      <w:pPr>
        <w:autoSpaceDE w:val="0"/>
        <w:autoSpaceDN w:val="0"/>
        <w:jc w:val="both"/>
        <w:rPr>
          <w:lang w:eastAsia="ko-KR"/>
        </w:rPr>
      </w:pPr>
    </w:p>
    <w:p w:rsidR="006E2BB1" w:rsidRPr="00C258AD" w:rsidRDefault="00B26AF7" w:rsidP="001A4D6C">
      <w:pPr>
        <w:keepNext/>
        <w:jc w:val="both"/>
        <w:rPr>
          <w:u w:val="single"/>
          <w:lang w:eastAsia="ko-KR"/>
        </w:rPr>
      </w:pPr>
      <w:r w:rsidRPr="00C258AD">
        <w:rPr>
          <w:lang w:eastAsia="ko-KR"/>
        </w:rPr>
        <w:t>B.</w:t>
      </w:r>
      <w:r w:rsidRPr="00C258AD">
        <w:rPr>
          <w:lang w:eastAsia="ko-KR"/>
        </w:rPr>
        <w:tab/>
      </w:r>
      <w:r w:rsidRPr="00C258AD">
        <w:rPr>
          <w:u w:val="single"/>
          <w:lang w:eastAsia="ko-KR"/>
        </w:rPr>
        <w:t>Utilisation du budget en 2014</w:t>
      </w:r>
      <w:r w:rsidRPr="00C258AD">
        <w:rPr>
          <w:u w:val="single"/>
          <w:lang w:eastAsia="ko-KR"/>
        </w:rPr>
        <w:noBreakHyphen/>
        <w:t>2015</w:t>
      </w:r>
    </w:p>
    <w:p w:rsidR="006E2BB1" w:rsidRPr="00C258AD" w:rsidRDefault="006E2BB1" w:rsidP="001A4D6C">
      <w:pPr>
        <w:keepNext/>
        <w:tabs>
          <w:tab w:val="left" w:pos="709"/>
        </w:tabs>
        <w:jc w:val="both"/>
        <w:rPr>
          <w:u w:val="single"/>
          <w:lang w:eastAsia="ko-KR"/>
        </w:rPr>
      </w:pPr>
    </w:p>
    <w:p w:rsidR="006E2BB1" w:rsidRPr="00C258AD" w:rsidRDefault="00B26AF7" w:rsidP="00BB4DBC">
      <w:pPr>
        <w:pStyle w:val="ListParagraph"/>
        <w:numPr>
          <w:ilvl w:val="0"/>
          <w:numId w:val="27"/>
        </w:numPr>
        <w:tabs>
          <w:tab w:val="left" w:pos="709"/>
        </w:tabs>
        <w:ind w:left="0" w:firstLine="0"/>
        <w:jc w:val="both"/>
        <w:rPr>
          <w:lang w:eastAsia="ko-KR"/>
        </w:rPr>
      </w:pPr>
      <w:r w:rsidRPr="00C258AD">
        <w:rPr>
          <w:lang w:eastAsia="ko-KR"/>
        </w:rPr>
        <w:t>L’utilisation du budget à 82% pour les dépenses autres que les dépenses de personnel était essentiellement due à un retard dans le recrutement de personnel pour i) le projet sur la propriété intellectuelle et le développement socioéconomique du Plan d’action pour le développement et ii) le programme de recherche sur l’économie de la création, qui a débouché sur le report de la mise en œuvre des activités connexes.</w:t>
      </w:r>
    </w:p>
    <w:p w:rsidR="006E2BB1" w:rsidRPr="00C258AD" w:rsidRDefault="00B26AF7">
      <w:pPr>
        <w:spacing w:after="200" w:line="276" w:lineRule="auto"/>
        <w:rPr>
          <w:rFonts w:cs="Arial"/>
          <w:b/>
          <w:bCs/>
          <w:iCs/>
          <w:caps/>
          <w:sz w:val="22"/>
          <w:szCs w:val="28"/>
        </w:rPr>
      </w:pPr>
      <w:bookmarkStart w:id="130" w:name="_Toc422404240"/>
      <w:bookmarkStart w:id="131" w:name="_Toc423352888"/>
      <w:r w:rsidRPr="00C258AD">
        <w:br w:type="page"/>
      </w:r>
    </w:p>
    <w:p w:rsidR="00431966" w:rsidRPr="00C258AD" w:rsidRDefault="00431966" w:rsidP="00431966">
      <w:pPr>
        <w:pStyle w:val="StyleHeading214ptAuto"/>
        <w:jc w:val="center"/>
        <w:rPr>
          <w:lang w:val="fr-FR"/>
        </w:rPr>
      </w:pPr>
      <w:bookmarkStart w:id="132" w:name="_Toc455394200"/>
      <w:bookmarkStart w:id="133" w:name="_Toc367350594"/>
      <w:r w:rsidRPr="00C258AD">
        <w:rPr>
          <w:lang w:val="fr-FR"/>
        </w:rPr>
        <w:lastRenderedPageBreak/>
        <w:t>OBJECTIF STRATÉGIQUE VI</w:t>
      </w:r>
      <w:bookmarkEnd w:id="132"/>
    </w:p>
    <w:p w:rsidR="00431966" w:rsidRPr="00C258AD" w:rsidRDefault="00431966" w:rsidP="00431966">
      <w:pPr>
        <w:jc w:val="center"/>
      </w:pPr>
    </w:p>
    <w:bookmarkEnd w:id="133"/>
    <w:p w:rsidR="00431966" w:rsidRPr="00C258AD" w:rsidRDefault="00431966" w:rsidP="00431966">
      <w:pPr>
        <w:jc w:val="center"/>
        <w:rPr>
          <w:caps/>
        </w:rPr>
      </w:pPr>
      <w:r w:rsidRPr="00C258AD">
        <w:rPr>
          <w:b/>
          <w:caps/>
        </w:rPr>
        <w:t>Coopération internationale pour le respect de la propriété intellectuelle</w:t>
      </w:r>
    </w:p>
    <w:p w:rsidR="00431966" w:rsidRPr="00C258AD" w:rsidRDefault="00431966" w:rsidP="00431966">
      <w:pPr>
        <w:jc w:val="center"/>
      </w:pPr>
    </w:p>
    <w:p w:rsidR="00431966" w:rsidRPr="00C258AD" w:rsidRDefault="00431966" w:rsidP="00431966">
      <w:pPr>
        <w:jc w:val="center"/>
      </w:pPr>
    </w:p>
    <w:p w:rsidR="00431966" w:rsidRPr="00C258AD" w:rsidRDefault="00431966" w:rsidP="00431966">
      <w:pPr>
        <w:jc w:val="center"/>
        <w:rPr>
          <w:b/>
        </w:rPr>
      </w:pPr>
      <w:r w:rsidRPr="00C258AD">
        <w:rPr>
          <w:b/>
        </w:rPr>
        <w:t>Tableau de bord de l’exécution du programme biennal</w:t>
      </w:r>
    </w:p>
    <w:p w:rsidR="00431966" w:rsidRPr="00C258AD" w:rsidRDefault="00431966" w:rsidP="00431966"/>
    <w:p w:rsidR="00431966" w:rsidRPr="00C258AD" w:rsidRDefault="00431966" w:rsidP="00431966">
      <w:pPr>
        <w:autoSpaceDE w:val="0"/>
        <w:autoSpaceDN w:val="0"/>
        <w:adjustRightInd w:val="0"/>
        <w:jc w:val="both"/>
        <w:rPr>
          <w:rFonts w:cs="Arial"/>
        </w:rPr>
      </w:pPr>
      <w:r w:rsidRPr="00C258AD">
        <w:rPr>
          <w:rFonts w:cs="Arial"/>
        </w:rPr>
        <w:t>Le tableau de bord ci</w:t>
      </w:r>
      <w:r w:rsidRPr="00C258AD">
        <w:rPr>
          <w:rFonts w:cs="Arial"/>
        </w:rPr>
        <w:noBreakHyphen/>
        <w:t>dessous présente un résumé de la réalisation des résultats escomptés pour l’exercice biennal 2014</w:t>
      </w:r>
      <w:r w:rsidRPr="00C258AD">
        <w:rPr>
          <w:rFonts w:cs="Arial"/>
        </w:rPr>
        <w:noBreakHyphen/>
        <w:t>2015, telle que mesurée par les indicateurs au titre des programmes contribuant à cet objectif stratégique.</w:t>
      </w:r>
    </w:p>
    <w:p w:rsidR="00431966" w:rsidRPr="00C258AD" w:rsidRDefault="00431966" w:rsidP="00431966">
      <w:pPr>
        <w:jc w:val="center"/>
      </w:pPr>
      <w:r w:rsidRPr="00C258AD">
        <w:rPr>
          <w:noProof/>
          <w:lang w:val="en-US"/>
        </w:rPr>
        <w:drawing>
          <wp:inline distT="0" distB="0" distL="0" distR="0" wp14:anchorId="693A458B" wp14:editId="7B8ADD01">
            <wp:extent cx="5940425" cy="2848046"/>
            <wp:effectExtent l="0" t="0" r="3175" b="952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940425" cy="2848046"/>
                    </a:xfrm>
                    <a:prstGeom prst="rect">
                      <a:avLst/>
                    </a:prstGeom>
                    <a:noFill/>
                    <a:ln>
                      <a:noFill/>
                    </a:ln>
                  </pic:spPr>
                </pic:pic>
              </a:graphicData>
            </a:graphic>
          </wp:inline>
        </w:drawing>
      </w:r>
    </w:p>
    <w:p w:rsidR="00431966" w:rsidRPr="00C258AD" w:rsidRDefault="00431966" w:rsidP="00431966">
      <w:pPr>
        <w:rPr>
          <w:b/>
          <w:bCs/>
          <w:caps/>
        </w:rPr>
      </w:pPr>
    </w:p>
    <w:tbl>
      <w:tblPr>
        <w:tblW w:w="5000" w:type="pct"/>
        <w:tblInd w:w="108" w:type="dxa"/>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839"/>
        <w:gridCol w:w="4012"/>
        <w:gridCol w:w="1668"/>
        <w:gridCol w:w="972"/>
      </w:tblGrid>
      <w:tr w:rsidR="00431966" w:rsidRPr="00C258AD" w:rsidTr="00927E1F">
        <w:trPr>
          <w:cantSplit/>
        </w:trPr>
        <w:tc>
          <w:tcPr>
            <w:tcW w:w="1496" w:type="pct"/>
            <w:tcBorders>
              <w:top w:val="single" w:sz="4" w:space="0" w:color="auto"/>
              <w:bottom w:val="single" w:sz="4" w:space="0" w:color="auto"/>
            </w:tcBorders>
            <w:shd w:val="clear" w:color="auto" w:fill="DAEEF3" w:themeFill="accent5" w:themeFillTint="33"/>
            <w:vAlign w:val="center"/>
          </w:tcPr>
          <w:p w:rsidR="00431966" w:rsidRPr="00C258AD" w:rsidRDefault="00431966" w:rsidP="00927E1F">
            <w:pPr>
              <w:spacing w:after="120"/>
              <w:jc w:val="center"/>
              <w:rPr>
                <w:rFonts w:cs="Arial"/>
                <w:b/>
                <w:bCs/>
                <w:sz w:val="18"/>
                <w:szCs w:val="18"/>
              </w:rPr>
            </w:pPr>
            <w:r w:rsidRPr="00C258AD">
              <w:rPr>
                <w:rFonts w:cs="Arial"/>
                <w:b/>
                <w:bCs/>
                <w:sz w:val="18"/>
                <w:szCs w:val="18"/>
              </w:rPr>
              <w:t>Résultats escomptés</w:t>
            </w:r>
          </w:p>
        </w:tc>
        <w:tc>
          <w:tcPr>
            <w:tcW w:w="2114" w:type="pct"/>
            <w:tcBorders>
              <w:top w:val="single" w:sz="4" w:space="0" w:color="auto"/>
              <w:bottom w:val="single" w:sz="4" w:space="0" w:color="auto"/>
            </w:tcBorders>
            <w:shd w:val="clear" w:color="auto" w:fill="DAEEF3" w:themeFill="accent5" w:themeFillTint="33"/>
            <w:tcMar>
              <w:top w:w="110" w:type="dxa"/>
            </w:tcMar>
            <w:vAlign w:val="center"/>
          </w:tcPr>
          <w:p w:rsidR="00431966" w:rsidRPr="00C258AD" w:rsidRDefault="00431966" w:rsidP="00927E1F">
            <w:pPr>
              <w:spacing w:after="120"/>
              <w:jc w:val="center"/>
              <w:rPr>
                <w:rFonts w:cs="Arial"/>
                <w:b/>
                <w:sz w:val="18"/>
                <w:szCs w:val="18"/>
              </w:rPr>
            </w:pPr>
            <w:r w:rsidRPr="00C258AD">
              <w:rPr>
                <w:rFonts w:cs="Arial"/>
                <w:b/>
                <w:sz w:val="18"/>
                <w:szCs w:val="18"/>
              </w:rPr>
              <w:t>Indicateurs d’exécution</w:t>
            </w:r>
          </w:p>
        </w:tc>
        <w:tc>
          <w:tcPr>
            <w:tcW w:w="879" w:type="pct"/>
            <w:tcBorders>
              <w:top w:val="single" w:sz="4" w:space="0" w:color="auto"/>
              <w:bottom w:val="single" w:sz="4" w:space="0" w:color="auto"/>
            </w:tcBorders>
            <w:shd w:val="clear" w:color="auto" w:fill="DAEEF3" w:themeFill="accent5" w:themeFillTint="33"/>
            <w:tcMar>
              <w:top w:w="110" w:type="dxa"/>
            </w:tcMar>
            <w:vAlign w:val="center"/>
          </w:tcPr>
          <w:p w:rsidR="00431966" w:rsidRPr="00C258AD" w:rsidRDefault="00431966" w:rsidP="00927E1F">
            <w:pPr>
              <w:spacing w:after="120"/>
              <w:ind w:left="85"/>
              <w:jc w:val="center"/>
              <w:rPr>
                <w:rFonts w:cs="Arial"/>
                <w:sz w:val="18"/>
                <w:szCs w:val="18"/>
              </w:rPr>
            </w:pPr>
            <w:r w:rsidRPr="00C258AD">
              <w:rPr>
                <w:rFonts w:cs="Arial"/>
                <w:b/>
                <w:sz w:val="18"/>
                <w:szCs w:val="18"/>
              </w:rPr>
              <w:t>Programme(s) concerné(s)</w:t>
            </w:r>
          </w:p>
        </w:tc>
        <w:tc>
          <w:tcPr>
            <w:tcW w:w="511" w:type="pct"/>
            <w:tcBorders>
              <w:top w:val="single" w:sz="4" w:space="0" w:color="auto"/>
              <w:bottom w:val="single" w:sz="4" w:space="0" w:color="auto"/>
            </w:tcBorders>
            <w:shd w:val="clear" w:color="auto" w:fill="DAEEF3" w:themeFill="accent5" w:themeFillTint="33"/>
            <w:vAlign w:val="center"/>
          </w:tcPr>
          <w:p w:rsidR="00431966" w:rsidRPr="00C258AD" w:rsidRDefault="00431966" w:rsidP="00927E1F">
            <w:pPr>
              <w:spacing w:after="120"/>
              <w:ind w:left="85"/>
              <w:jc w:val="center"/>
              <w:rPr>
                <w:rFonts w:cs="Arial"/>
                <w:b/>
                <w:bCs/>
                <w:sz w:val="18"/>
                <w:szCs w:val="18"/>
              </w:rPr>
            </w:pPr>
            <w:r w:rsidRPr="00C258AD">
              <w:rPr>
                <w:rFonts w:cs="Arial"/>
                <w:b/>
                <w:bCs/>
                <w:sz w:val="18"/>
                <w:szCs w:val="18"/>
              </w:rPr>
              <w:t>Code de couleurs</w:t>
            </w:r>
          </w:p>
        </w:tc>
      </w:tr>
      <w:tr w:rsidR="00431966" w:rsidRPr="00C258AD" w:rsidTr="00927E1F">
        <w:trPr>
          <w:cantSplit/>
        </w:trPr>
        <w:tc>
          <w:tcPr>
            <w:tcW w:w="1496" w:type="pct"/>
            <w:tcBorders>
              <w:top w:val="single" w:sz="4" w:space="0" w:color="auto"/>
            </w:tcBorders>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VI.1 Progrès du dialogue international de politique générale entre les États membres de l’OMPI en ce qui concerne la promotion du respect de la propriété intellectuelle, compte tenu de la recommandation n° 45 du Plan d’action pour le développement</w:t>
            </w:r>
          </w:p>
        </w:tc>
        <w:tc>
          <w:tcPr>
            <w:tcW w:w="2114" w:type="pct"/>
            <w:tcBorders>
              <w:top w:val="single" w:sz="4" w:space="0" w:color="auto"/>
            </w:tcBorders>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Accord permanent des États membres sur les activités de fond du Comité consultatif de l’OMPI sur l’application des droits (ACE), en prenant en considération les préoccupations relatives au développement</w:t>
            </w:r>
          </w:p>
        </w:tc>
        <w:tc>
          <w:tcPr>
            <w:tcW w:w="879" w:type="pct"/>
            <w:tcBorders>
              <w:top w:val="single" w:sz="4" w:space="0" w:color="auto"/>
            </w:tcBorders>
            <w:shd w:val="clear" w:color="auto" w:fill="FFFFFF"/>
            <w:tcMar>
              <w:top w:w="113" w:type="dxa"/>
              <w:bottom w:w="85" w:type="dxa"/>
            </w:tcMar>
          </w:tcPr>
          <w:p w:rsidR="00431966" w:rsidRPr="00C258AD" w:rsidRDefault="00431966" w:rsidP="00927E1F">
            <w:pPr>
              <w:jc w:val="center"/>
              <w:rPr>
                <w:rFonts w:cs="Arial"/>
                <w:sz w:val="16"/>
                <w:szCs w:val="16"/>
              </w:rPr>
            </w:pPr>
            <w:r w:rsidRPr="00C258AD">
              <w:rPr>
                <w:rFonts w:cs="Arial"/>
                <w:sz w:val="16"/>
                <w:szCs w:val="16"/>
              </w:rPr>
              <w:t>Programme 17</w:t>
            </w:r>
          </w:p>
        </w:tc>
        <w:tc>
          <w:tcPr>
            <w:tcW w:w="511" w:type="pct"/>
            <w:tcBorders>
              <w:top w:val="single" w:sz="4" w:space="0" w:color="auto"/>
            </w:tcBorders>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496"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VI.2 Coopération et coordination systématiques, efficaces et transparentes entre les travaux de l’OMPI et ceux d’autres organisations internationales dans le domaine de la promotion du respect de la propriété intellectuelle</w:t>
            </w:r>
          </w:p>
        </w:tc>
        <w:tc>
          <w:tcPr>
            <w:tcW w:w="2114"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Nombre d’activités communes relatives à la promotion du respect de la propriété intellectuelle</w:t>
            </w:r>
          </w:p>
        </w:tc>
        <w:tc>
          <w:tcPr>
            <w:tcW w:w="879" w:type="pct"/>
            <w:shd w:val="clear" w:color="auto" w:fill="FFFFFF"/>
            <w:tcMar>
              <w:top w:w="113" w:type="dxa"/>
              <w:bottom w:w="85" w:type="dxa"/>
            </w:tcMar>
          </w:tcPr>
          <w:p w:rsidR="00431966" w:rsidRPr="00C258AD" w:rsidRDefault="00431966" w:rsidP="00927E1F">
            <w:pPr>
              <w:jc w:val="center"/>
              <w:rPr>
                <w:rFonts w:cs="Arial"/>
                <w:sz w:val="16"/>
                <w:szCs w:val="16"/>
              </w:rPr>
            </w:pPr>
            <w:r w:rsidRPr="00C258AD">
              <w:rPr>
                <w:rFonts w:cs="Arial"/>
                <w:sz w:val="16"/>
                <w:szCs w:val="16"/>
              </w:rPr>
              <w:t>Programme 17</w:t>
            </w:r>
          </w:p>
        </w:tc>
        <w:tc>
          <w:tcPr>
            <w:tcW w:w="511"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bl>
    <w:p w:rsidR="00431966" w:rsidRPr="00C258AD" w:rsidRDefault="00431966" w:rsidP="00431966"/>
    <w:p w:rsidR="006E2BB1" w:rsidRPr="00C258AD" w:rsidRDefault="00A068F8" w:rsidP="00A068F8">
      <w:r w:rsidRPr="00C258AD">
        <w:br w:type="page"/>
      </w:r>
    </w:p>
    <w:p w:rsidR="006E2BB1" w:rsidRPr="00C258AD" w:rsidRDefault="00B26AF7" w:rsidP="00305CE5">
      <w:pPr>
        <w:pStyle w:val="Heading3"/>
      </w:pPr>
      <w:bookmarkStart w:id="134" w:name="_Toc455394201"/>
      <w:r w:rsidRPr="00C258AD">
        <w:lastRenderedPageBreak/>
        <w:t>Programme 17</w:t>
      </w:r>
      <w:r w:rsidRPr="00C258AD">
        <w:tab/>
        <w:t>‎Promouvoir le respect de la propriété intellectuelle</w:t>
      </w:r>
      <w:bookmarkEnd w:id="130"/>
      <w:bookmarkEnd w:id="131"/>
      <w:bookmarkEnd w:id="134"/>
    </w:p>
    <w:p w:rsidR="006E2BB1" w:rsidRPr="00C258AD" w:rsidRDefault="006E2BB1" w:rsidP="001A4D6C"/>
    <w:p w:rsidR="006E2BB1" w:rsidRPr="00C258AD" w:rsidRDefault="00B26AF7" w:rsidP="001A4D6C">
      <w:pPr>
        <w:rPr>
          <w:b/>
        </w:rPr>
      </w:pPr>
      <w:r w:rsidRPr="00C258AD">
        <w:rPr>
          <w:b/>
        </w:rPr>
        <w:t>Chef de programme</w:t>
      </w:r>
      <w:r w:rsidRPr="00C258AD">
        <w:rPr>
          <w:b/>
        </w:rPr>
        <w:tab/>
        <w:t>M. M. A. Getahun</w:t>
      </w:r>
    </w:p>
    <w:p w:rsidR="006E2BB1" w:rsidRPr="00C258AD" w:rsidRDefault="006E2BB1" w:rsidP="001A4D6C"/>
    <w:p w:rsidR="006E2BB1" w:rsidRPr="00C258AD" w:rsidRDefault="006E2BB1" w:rsidP="001A4D6C"/>
    <w:p w:rsidR="006E2BB1" w:rsidRPr="00C258AD" w:rsidRDefault="00B26AF7" w:rsidP="00305CE5">
      <w:pPr>
        <w:keepNext/>
        <w:rPr>
          <w:rFonts w:cs="Arial"/>
          <w:caps/>
          <w:sz w:val="22"/>
          <w:szCs w:val="22"/>
        </w:rPr>
      </w:pPr>
      <w:r w:rsidRPr="00C258AD">
        <w:rPr>
          <w:rFonts w:cs="Arial"/>
          <w:caps/>
          <w:sz w:val="22"/>
          <w:szCs w:val="22"/>
        </w:rPr>
        <w:t>Réalisations au cours de l’exercice biennal 2014</w:t>
      </w:r>
      <w:r w:rsidRPr="00C258AD">
        <w:rPr>
          <w:rFonts w:cs="Arial"/>
          <w:caps/>
          <w:sz w:val="22"/>
          <w:szCs w:val="22"/>
        </w:rPr>
        <w:noBreakHyphen/>
        <w:t>2015</w:t>
      </w:r>
    </w:p>
    <w:p w:rsidR="006E2BB1" w:rsidRPr="00C258AD" w:rsidRDefault="006E2BB1" w:rsidP="001A4D6C">
      <w:pPr>
        <w:jc w:val="both"/>
      </w:pPr>
    </w:p>
    <w:p w:rsidR="006E2BB1" w:rsidRPr="00C258AD" w:rsidRDefault="00B26AF7" w:rsidP="00BB4DBC">
      <w:pPr>
        <w:pStyle w:val="ListParagraph"/>
        <w:numPr>
          <w:ilvl w:val="0"/>
          <w:numId w:val="31"/>
        </w:numPr>
        <w:ind w:left="0" w:firstLine="0"/>
        <w:jc w:val="both"/>
      </w:pPr>
      <w:r w:rsidRPr="00C258AD">
        <w:t>Les activités du programme 17, qui s’inspirent de l’objectif stratégique VI et de la recommandation n° 45 du Plan d’action pour le développement, visaient à renforcer la coopération internationale en matière de promotion du respect de la propriété intellectuelle afin de trouver le bon équilibre entre droits privés et intérêt public.</w:t>
      </w:r>
    </w:p>
    <w:p w:rsidR="006E2BB1" w:rsidRPr="00C258AD" w:rsidRDefault="006E2BB1" w:rsidP="001A4D6C"/>
    <w:p w:rsidR="006E2BB1" w:rsidRPr="00C258AD" w:rsidRDefault="00B26AF7" w:rsidP="00BB4DBC">
      <w:pPr>
        <w:pStyle w:val="ListParagraph"/>
        <w:numPr>
          <w:ilvl w:val="0"/>
          <w:numId w:val="31"/>
        </w:numPr>
        <w:ind w:left="0" w:firstLine="0"/>
        <w:jc w:val="both"/>
      </w:pPr>
      <w:r w:rsidRPr="00C258AD">
        <w:t>Contribuant au dialogue international de politique générale sur la promotion du respect de la propriété intellectuelle entre les États membres, le Comité consultatif sur l’application des droits (ACE), à ses neuvième et dixième sessions (tenues respectivement du 3 au 5 mars 2014 et du 23 au 25 novembre 2015), a servi de “bourse d’idées”, facilitant l’échange de pratiques et de données d’expérience concernant les mécanismes de règlement extrajudiciaire des litiges de propriété intellectuelle, et l’échange de stratégies préventives en vue de compléter l’application des droits, comme la sensibilisation et les outils pédagogiques pour les jeunes, les nouveaux modèles commerciaux, la sécurité de la chaîne d’approvisionnement, les mécanismes volontaires et la coordination nationale pour promouvoir le respect de la propriété intellectuelle.  Les deux sessions ont été accompagnées d’expositions audiovisuelles, présentant des campagnes publiques de communication sur le respect de la propriété intellectuelle et des outils de sensibilisation destinés aux jeunes.  Le comité est convenu de procéder à des échanges de vues, à sa onzième session, concernant les données nationales d’expérience sur les quatre thèmes suivants : i) activités de sensibilisation et campagnes stratégiques menées pour promouvoir le respect de la propriété intellectuelle auprès du grand public, notamment des jeunes, conformément aux priorités des États membres, en particulier dans le domaine éducatif, ii) mécanismes institutionnels associés aux politiques et systèmes d’application des droits de propriété intellectuelle, y compris des mécanismes permettant de régler les litiges de propriété intellectuelle d’une manière équilibrée, globale et efficace, iii) assistance fournie par l’OMPI dans le domaine législatif, notamment pour l’élaboration de lois nationales sur l’application des droits tenant compte des éléments de flexibilité, du niveau de développement, des différences de tradition juridique et du risque d’utilisation abusive des procédures d’application de la loi, et iv) renforcement des capacités et appui de l’OMPI en faveur des activités de formation, conformément aux recommandations pertinentes du Plan d’action pour le développement et au mandat de l’ACE.  L’importance accordée à l’ACE par les États membres a justifié la demande de sessions annuelles.</w:t>
      </w:r>
    </w:p>
    <w:p w:rsidR="006E2BB1" w:rsidRPr="00C258AD" w:rsidRDefault="006E2BB1" w:rsidP="001A4D6C">
      <w:pPr>
        <w:jc w:val="both"/>
      </w:pPr>
    </w:p>
    <w:p w:rsidR="006E2BB1" w:rsidRPr="00C258AD" w:rsidRDefault="00B26AF7" w:rsidP="00BB4DBC">
      <w:pPr>
        <w:pStyle w:val="ListParagraph"/>
        <w:numPr>
          <w:ilvl w:val="0"/>
          <w:numId w:val="31"/>
        </w:numPr>
        <w:ind w:left="0" w:firstLine="0"/>
        <w:jc w:val="both"/>
      </w:pPr>
      <w:r w:rsidRPr="00C258AD">
        <w:t>En vue d’assurer une cohésion des politiques internationales et d’obtenir des résultats optimaux grâce à une mise en commun des ressources, le programme a coordonné ses travaux avec ceux d’organisations intergouvernementales et non gouvernementales, d’associations de parties prenantes et d’établissements d’enseignement.  Grâce à une coopération systématique, transparente et efficace, l’OMPI est parvenue à réaliser une meilleure intégration de l’objectif stratégique VI dans les projets communs avec ses partenaires internationaux, conformément à la recommandation n° 40 du Plan d’action pour le développement.  L’un des thèmes prioritaires touchait aux problèmes situés au croisement de la propriété intellectuelle et du droit privé international et a fait l’objet d’un séminaire organisé par l’International Law Association en janvier 2015;  le rapport de l’OMPI intitulé </w:t>
      </w:r>
      <w:r w:rsidRPr="00C258AD">
        <w:rPr>
          <w:i/>
        </w:rPr>
        <w:t>Les questions de droit international privé dans le cadre des litiges concernant les atteintes portées en ligne aux droits de propriété intellectuelle qui comportent des éléments transfrontières – Une analyse des approches nationales</w:t>
      </w:r>
      <w:r w:rsidRPr="00C258AD">
        <w:rPr>
          <w:rStyle w:val="FootnoteReference"/>
          <w:rFonts w:eastAsia="SimSun"/>
        </w:rPr>
        <w:footnoteReference w:id="97"/>
      </w:r>
      <w:r w:rsidRPr="00C258AD">
        <w:t xml:space="preserve"> a été publié en septembre 2015.</w:t>
      </w:r>
    </w:p>
    <w:p w:rsidR="006E2BB1" w:rsidRPr="00C258AD" w:rsidRDefault="006E2BB1" w:rsidP="001A4D6C">
      <w:pPr>
        <w:jc w:val="both"/>
      </w:pPr>
    </w:p>
    <w:p w:rsidR="006E2BB1" w:rsidRPr="00C258AD" w:rsidRDefault="00B26AF7" w:rsidP="00BB4DBC">
      <w:pPr>
        <w:pStyle w:val="ListParagraph"/>
        <w:numPr>
          <w:ilvl w:val="0"/>
          <w:numId w:val="31"/>
        </w:numPr>
        <w:spacing w:after="200"/>
        <w:ind w:left="0" w:firstLine="0"/>
        <w:jc w:val="both"/>
      </w:pPr>
      <w:r w:rsidRPr="00C258AD">
        <w:t>La demande de fourniture d’une assistance par l’OMPI dans le domaine législatif, notamment en ce qui concerne la compatibilité de certains projets de dispositions ou de certaines dispositions en vigueur relatives à l’application des droits à l’échelle nationale avec la partie III de l’Accord sur les ADPIC, a continué d’augmenter au cours de l’exercice biennal.  C’est en concertation étroite avec les rédacteurs nationaux que le programme a aidé 12 États membres à élaborer des solutions législatives adaptées à leurs exigences nationales et tenant pleinement compte des options et des éléments de flexibilité disponibles.  Les activités d’assistance dans le domaine législatif, réglementaire et politique s’inscrivaient dans le cadre de la mise en œuvre des recommandations n</w:t>
      </w:r>
      <w:r w:rsidRPr="00C258AD">
        <w:rPr>
          <w:vertAlign w:val="superscript"/>
        </w:rPr>
        <w:t>os</w:t>
      </w:r>
      <w:r w:rsidRPr="00C258AD">
        <w:t> 1, 6, 12, 13, 14 et 17 du Plan d’action pour le développement.</w:t>
      </w:r>
      <w:r w:rsidRPr="00C258AD">
        <w:br w:type="page"/>
      </w:r>
    </w:p>
    <w:p w:rsidR="006E2BB1" w:rsidRPr="00C258AD" w:rsidRDefault="00B26AF7" w:rsidP="00BB4DBC">
      <w:pPr>
        <w:pStyle w:val="ListParagraph"/>
        <w:numPr>
          <w:ilvl w:val="0"/>
          <w:numId w:val="31"/>
        </w:numPr>
        <w:ind w:left="0" w:firstLine="0"/>
        <w:jc w:val="both"/>
      </w:pPr>
      <w:r w:rsidRPr="00C258AD">
        <w:lastRenderedPageBreak/>
        <w:t>Les activités de renforcement des capacités inscrites au programme visaient à donner aux autorités nationales les moyens de promouvoir le respect de la propriété intellectuelle, en leur proposant un ensemble équilibré d’activités en matière d’application des droits et de mesures préventives destinées à réduire la demande de marchandises portant atteinte aux droits de propriété intellectuelle, et à souligner l’importance d’un marché fondé sur des droits légitimes de propriété intellectuelle.  Pour améliorer la durabilité du transfert de connaissances, des accords de collaboration ont été conclus avec des institutions nationales chargées de la formation dans le domaine de l’application des lois pouvant servir de relais et un manuel de base sur les enquêtes concernant les atteintes à la propriété intellectuelle et les poursuites dans ce domaine a été établi en vue de son utilisation ou de son adaptation dans le cadre de la formation des responsables de l’application des lois et des procureurs.  En outre, une version française et une traduction en arabe de la version anglaise du recueil de jurisprudence en matière d’application des droits de propriété intellectuelle, établi par l’OMPI, ont été publiées au cours de l’exercice biennal.  Les activités menées dans ce domaine s’inspiraient des recommandations n</w:t>
      </w:r>
      <w:r w:rsidRPr="00C258AD">
        <w:rPr>
          <w:vertAlign w:val="superscript"/>
        </w:rPr>
        <w:t>os</w:t>
      </w:r>
      <w:r w:rsidRPr="00C258AD">
        <w:t> 3, 10 et 11 du Plan d’action pour le développement.</w:t>
      </w:r>
    </w:p>
    <w:p w:rsidR="006E2BB1" w:rsidRPr="00C258AD" w:rsidRDefault="006E2BB1" w:rsidP="001A4D6C"/>
    <w:p w:rsidR="006E2BB1" w:rsidRPr="00C258AD" w:rsidRDefault="00B26AF7" w:rsidP="00BB4DBC">
      <w:pPr>
        <w:pStyle w:val="ListParagraph"/>
        <w:numPr>
          <w:ilvl w:val="0"/>
          <w:numId w:val="31"/>
        </w:numPr>
        <w:ind w:left="0" w:firstLine="0"/>
        <w:jc w:val="both"/>
      </w:pPr>
      <w:r w:rsidRPr="00C258AD">
        <w:t>Afin de contribuer aux activités menées par les États membres dans le domaine de l’éducation et de la sensibilisation à la propriété intellectuelle, destinées à réduire les atteintes aux droits de propriété intellectuelle grâce à un changement des comportements, une nouvelle méthode modulaire d’élaboration de stratégies nationales de sensibilisation a été mise au point.  Deux États membres ont bénéficié d’une assistance dans la mise en œuvre de cette méthode, en fonction de leurs besoins respectifs à l’échelle nationale.  En outre, le programme a mis au point une série de supports pédagogiques sur le respect du droit d’auteur pour les élèves âgés de 10 à 15 ans, il a assisté six États membres dans l’organisation de concours scolaires sur le thème du respect de la propriété intellectuelle et a publié un DVD et un ouvrage mettant en scène “</w:t>
      </w:r>
      <w:proofErr w:type="spellStart"/>
      <w:r w:rsidRPr="00C258AD">
        <w:t>Pororo</w:t>
      </w:r>
      <w:proofErr w:type="spellEnd"/>
      <w:r w:rsidRPr="00C258AD">
        <w:t xml:space="preserve"> le petit pingouin”.  Dans le cadre du programme d’attribution de prix de l’OMPI, 330 prix et 470 certificats ont été décernés à des inventeurs, à des créateurs et à des entreprises innovantes de 54 États membres pour rendre hommage à leurs réalisations.  Les activités de sensibilisation du programme s’inscrivaient dans le cadre de la recommandation n° 3 du Plan d’action pour le développement.</w:t>
      </w:r>
    </w:p>
    <w:p w:rsidR="006E2BB1" w:rsidRPr="00C258AD" w:rsidRDefault="006E2BB1" w:rsidP="001A4D6C">
      <w:pPr>
        <w:jc w:val="both"/>
      </w:pPr>
    </w:p>
    <w:p w:rsidR="006E2BB1" w:rsidRPr="00C258AD" w:rsidRDefault="006E2BB1" w:rsidP="001A4D6C">
      <w:pPr>
        <w:jc w:val="both"/>
      </w:pPr>
    </w:p>
    <w:p w:rsidR="006E2BB1" w:rsidRPr="00C258AD" w:rsidRDefault="00B26AF7" w:rsidP="00305CE5">
      <w:pPr>
        <w:keepNext/>
        <w:rPr>
          <w:rFonts w:cs="Arial"/>
          <w:caps/>
          <w:sz w:val="22"/>
          <w:szCs w:val="22"/>
        </w:rPr>
      </w:pPr>
      <w:r w:rsidRPr="00C258AD">
        <w:rPr>
          <w:rFonts w:cs="Arial"/>
          <w:caps/>
          <w:sz w:val="22"/>
          <w:szCs w:val="22"/>
        </w:rPr>
        <w:t>Données relatives à l’exécution</w:t>
      </w:r>
    </w:p>
    <w:p w:rsidR="00B26AF7" w:rsidRPr="00C258AD" w:rsidRDefault="00B26AF7" w:rsidP="001A4D6C">
      <w:pPr>
        <w:jc w:val="both"/>
      </w:pPr>
    </w:p>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127"/>
        <w:gridCol w:w="2409"/>
        <w:gridCol w:w="1555"/>
        <w:gridCol w:w="2407"/>
        <w:gridCol w:w="993"/>
      </w:tblGrid>
      <w:tr w:rsidR="00B26AF7" w:rsidRPr="00C258AD" w:rsidTr="001A4D6C">
        <w:trPr>
          <w:cantSplit/>
        </w:trPr>
        <w:tc>
          <w:tcPr>
            <w:tcW w:w="5000" w:type="pct"/>
            <w:gridSpan w:val="5"/>
            <w:tcBorders>
              <w:top w:val="single" w:sz="4" w:space="0" w:color="auto"/>
              <w:bottom w:val="single" w:sz="4" w:space="0" w:color="auto"/>
            </w:tcBorders>
            <w:shd w:val="clear" w:color="auto" w:fill="C5D9F1"/>
            <w:tcMar>
              <w:top w:w="113" w:type="dxa"/>
              <w:bottom w:w="113" w:type="dxa"/>
            </w:tcMar>
            <w:vAlign w:val="center"/>
          </w:tcPr>
          <w:p w:rsidR="00B26AF7" w:rsidRPr="00C258AD" w:rsidRDefault="00B26AF7" w:rsidP="001A4D6C">
            <w:pPr>
              <w:rPr>
                <w:b/>
                <w:sz w:val="16"/>
                <w:szCs w:val="16"/>
              </w:rPr>
            </w:pPr>
            <w:r w:rsidRPr="00C258AD">
              <w:rPr>
                <w:b/>
                <w:sz w:val="16"/>
                <w:szCs w:val="16"/>
              </w:rPr>
              <w:t>Résultat escompté </w:t>
            </w:r>
            <w:r w:rsidRPr="00C258AD">
              <w:rPr>
                <w:b/>
                <w:sz w:val="16"/>
              </w:rPr>
              <w:t>:</w:t>
            </w:r>
            <w:r w:rsidRPr="00C258AD">
              <w:rPr>
                <w:b/>
                <w:sz w:val="16"/>
                <w:szCs w:val="16"/>
              </w:rPr>
              <w:t xml:space="preserve"> </w:t>
            </w:r>
            <w:r w:rsidRPr="00C258AD">
              <w:rPr>
                <w:sz w:val="16"/>
                <w:szCs w:val="16"/>
              </w:rPr>
              <w:t>I.2 Cadres législatifs, réglementaires et politiques de propriété intellectuelle adaptés et équilibrés</w:t>
            </w:r>
          </w:p>
        </w:tc>
      </w:tr>
      <w:tr w:rsidR="00B26AF7" w:rsidRPr="00C258AD" w:rsidTr="001A4D6C">
        <w:trPr>
          <w:cantSplit/>
        </w:trPr>
        <w:tc>
          <w:tcPr>
            <w:tcW w:w="1121" w:type="pct"/>
            <w:tcBorders>
              <w:top w:val="single" w:sz="4" w:space="0" w:color="auto"/>
            </w:tcBorders>
            <w:shd w:val="clear" w:color="auto" w:fill="auto"/>
            <w:tcMar>
              <w:top w:w="113" w:type="dxa"/>
              <w:bottom w:w="113" w:type="dxa"/>
            </w:tcMar>
            <w:vAlign w:val="center"/>
          </w:tcPr>
          <w:p w:rsidR="00B26AF7" w:rsidRPr="00C258AD" w:rsidRDefault="00B26AF7" w:rsidP="001A4D6C">
            <w:pPr>
              <w:jc w:val="center"/>
              <w:rPr>
                <w:sz w:val="16"/>
                <w:szCs w:val="16"/>
              </w:rPr>
            </w:pPr>
            <w:r w:rsidRPr="00C258AD">
              <w:rPr>
                <w:b/>
                <w:sz w:val="16"/>
                <w:szCs w:val="16"/>
              </w:rPr>
              <w:t>Indicateurs d’exécution</w:t>
            </w:r>
          </w:p>
        </w:tc>
        <w:tc>
          <w:tcPr>
            <w:tcW w:w="1269" w:type="pct"/>
            <w:tcBorders>
              <w:top w:val="single" w:sz="4" w:space="0" w:color="auto"/>
            </w:tcBorders>
            <w:shd w:val="clear" w:color="auto" w:fill="auto"/>
            <w:tcMar>
              <w:top w:w="113" w:type="dxa"/>
              <w:bottom w:w="113" w:type="dxa"/>
            </w:tcMar>
            <w:vAlign w:val="center"/>
          </w:tcPr>
          <w:p w:rsidR="00B26AF7" w:rsidRPr="00C258AD" w:rsidRDefault="00B26AF7" w:rsidP="001A4D6C">
            <w:pPr>
              <w:jc w:val="center"/>
              <w:rPr>
                <w:b/>
                <w:bCs/>
                <w:sz w:val="16"/>
                <w:szCs w:val="16"/>
              </w:rPr>
            </w:pPr>
            <w:r w:rsidRPr="00C258AD">
              <w:rPr>
                <w:b/>
                <w:bCs/>
                <w:sz w:val="16"/>
                <w:szCs w:val="16"/>
              </w:rPr>
              <w:t>Niveaux de référence</w:t>
            </w:r>
          </w:p>
        </w:tc>
        <w:tc>
          <w:tcPr>
            <w:tcW w:w="819" w:type="pct"/>
            <w:tcBorders>
              <w:top w:val="single" w:sz="4" w:space="0" w:color="auto"/>
            </w:tcBorders>
            <w:shd w:val="clear" w:color="auto" w:fill="auto"/>
            <w:tcMar>
              <w:top w:w="113" w:type="dxa"/>
              <w:bottom w:w="113" w:type="dxa"/>
            </w:tcMar>
            <w:vAlign w:val="center"/>
          </w:tcPr>
          <w:p w:rsidR="00B26AF7" w:rsidRPr="00C258AD" w:rsidRDefault="00B26AF7" w:rsidP="001A4D6C">
            <w:pPr>
              <w:jc w:val="center"/>
              <w:rPr>
                <w:b/>
                <w:sz w:val="16"/>
                <w:szCs w:val="16"/>
              </w:rPr>
            </w:pPr>
            <w:r w:rsidRPr="00C258AD">
              <w:rPr>
                <w:b/>
                <w:sz w:val="16"/>
                <w:szCs w:val="16"/>
              </w:rPr>
              <w:t>Objectifs visés</w:t>
            </w:r>
          </w:p>
        </w:tc>
        <w:tc>
          <w:tcPr>
            <w:tcW w:w="1268" w:type="pct"/>
            <w:tcBorders>
              <w:top w:val="single" w:sz="4" w:space="0" w:color="auto"/>
            </w:tcBorders>
            <w:shd w:val="clear" w:color="auto" w:fill="FFFFFF"/>
            <w:tcMar>
              <w:top w:w="113" w:type="dxa"/>
              <w:bottom w:w="113" w:type="dxa"/>
            </w:tcMar>
            <w:vAlign w:val="center"/>
          </w:tcPr>
          <w:p w:rsidR="00B26AF7" w:rsidRPr="00C258AD" w:rsidRDefault="00B26AF7" w:rsidP="001A4D6C">
            <w:pPr>
              <w:jc w:val="center"/>
              <w:rPr>
                <w:sz w:val="16"/>
                <w:szCs w:val="16"/>
              </w:rPr>
            </w:pPr>
            <w:r w:rsidRPr="00C258AD">
              <w:rPr>
                <w:b/>
                <w:sz w:val="16"/>
                <w:szCs w:val="16"/>
              </w:rPr>
              <w:t>Données relatives à l’exécution</w:t>
            </w:r>
          </w:p>
        </w:tc>
        <w:tc>
          <w:tcPr>
            <w:tcW w:w="522" w:type="pct"/>
            <w:tcBorders>
              <w:top w:val="single" w:sz="4" w:space="0" w:color="auto"/>
            </w:tcBorders>
            <w:shd w:val="clear" w:color="auto" w:fill="auto"/>
            <w:tcMar>
              <w:top w:w="113" w:type="dxa"/>
              <w:bottom w:w="113" w:type="dxa"/>
            </w:tcMar>
            <w:vAlign w:val="center"/>
          </w:tcPr>
          <w:p w:rsidR="00B26AF7" w:rsidRPr="00C258AD" w:rsidRDefault="00B26AF7" w:rsidP="001A4D6C">
            <w:pPr>
              <w:keepNext/>
              <w:keepLines/>
              <w:jc w:val="center"/>
              <w:rPr>
                <w:b/>
                <w:bCs/>
                <w:sz w:val="16"/>
                <w:szCs w:val="16"/>
              </w:rPr>
            </w:pPr>
            <w:r w:rsidRPr="00C258AD">
              <w:rPr>
                <w:b/>
                <w:bCs/>
                <w:sz w:val="16"/>
                <w:szCs w:val="16"/>
              </w:rPr>
              <w:t>Code de couleurs</w:t>
            </w:r>
          </w:p>
        </w:tc>
      </w:tr>
      <w:tr w:rsidR="00B26AF7" w:rsidRPr="00C258AD" w:rsidTr="001A4D6C">
        <w:trPr>
          <w:cantSplit/>
        </w:trPr>
        <w:tc>
          <w:tcPr>
            <w:tcW w:w="1121" w:type="pct"/>
            <w:tcBorders>
              <w:bottom w:val="single" w:sz="4" w:space="0" w:color="auto"/>
            </w:tcBorders>
            <w:shd w:val="clear" w:color="auto" w:fill="auto"/>
            <w:tcMar>
              <w:top w:w="113" w:type="dxa"/>
              <w:bottom w:w="113" w:type="dxa"/>
            </w:tcMar>
          </w:tcPr>
          <w:p w:rsidR="00B26AF7" w:rsidRPr="00C258AD" w:rsidRDefault="00B26AF7" w:rsidP="001A4D6C">
            <w:pPr>
              <w:rPr>
                <w:sz w:val="16"/>
                <w:szCs w:val="16"/>
              </w:rPr>
            </w:pPr>
            <w:r w:rsidRPr="00C258AD">
              <w:rPr>
                <w:sz w:val="16"/>
                <w:szCs w:val="16"/>
              </w:rPr>
              <w:t>Nombre de pays ayant adopté ou modifié leurs cadres de référence (ou s’apprêtant à le faire) suite à l’assistance fournie par l’OMPI</w:t>
            </w:r>
          </w:p>
        </w:tc>
        <w:tc>
          <w:tcPr>
            <w:tcW w:w="1269" w:type="pct"/>
            <w:tcBorders>
              <w:bottom w:val="single" w:sz="4" w:space="0" w:color="auto"/>
            </w:tcBorders>
            <w:shd w:val="clear" w:color="auto" w:fill="auto"/>
            <w:tcMar>
              <w:top w:w="113" w:type="dxa"/>
              <w:bottom w:w="113" w:type="dxa"/>
            </w:tcMar>
          </w:tcPr>
          <w:p w:rsidR="006E2BB1" w:rsidRPr="00C258AD" w:rsidRDefault="00B26AF7" w:rsidP="001A4D6C">
            <w:pPr>
              <w:rPr>
                <w:i/>
                <w:color w:val="002060"/>
                <w:sz w:val="16"/>
                <w:szCs w:val="16"/>
              </w:rPr>
            </w:pPr>
            <w:r w:rsidRPr="00C258AD">
              <w:rPr>
                <w:i/>
                <w:color w:val="002060"/>
                <w:sz w:val="16"/>
                <w:szCs w:val="16"/>
              </w:rPr>
              <w:t>Niveau de référence actualisé à fin 2013 :</w:t>
            </w:r>
          </w:p>
          <w:p w:rsidR="006E2BB1" w:rsidRPr="00C258AD" w:rsidRDefault="00B26AF7" w:rsidP="001A4D6C">
            <w:pPr>
              <w:rPr>
                <w:color w:val="002060"/>
                <w:sz w:val="16"/>
                <w:szCs w:val="16"/>
                <w:lang w:eastAsia="ko-KR" w:bidi="th-TH"/>
              </w:rPr>
            </w:pPr>
            <w:r w:rsidRPr="00C258AD">
              <w:rPr>
                <w:color w:val="002060"/>
                <w:sz w:val="16"/>
                <w:szCs w:val="16"/>
                <w:lang w:eastAsia="ko-KR" w:bidi="th-TH"/>
              </w:rPr>
              <w:t>9 pays ou organismes en train de modifier ou d’adopter des cadres de référence aux fins de l’application efficace des droits de propriété intellectuelle : Afrique (5), Asie et Pacifique (2), Amérique latine et Caraïbes (2)</w:t>
            </w:r>
          </w:p>
          <w:p w:rsidR="006E2BB1" w:rsidRPr="00C258AD" w:rsidRDefault="006E2BB1" w:rsidP="001A4D6C">
            <w:pPr>
              <w:rPr>
                <w:i/>
                <w:sz w:val="16"/>
                <w:szCs w:val="16"/>
              </w:rPr>
            </w:pPr>
          </w:p>
          <w:p w:rsidR="006E2BB1" w:rsidRPr="00C258AD" w:rsidRDefault="00B26AF7" w:rsidP="001A4D6C">
            <w:pPr>
              <w:rPr>
                <w:sz w:val="16"/>
                <w:szCs w:val="16"/>
                <w:lang w:bidi="th-TH"/>
              </w:rPr>
            </w:pPr>
            <w:r w:rsidRPr="00C258AD">
              <w:rPr>
                <w:i/>
                <w:sz w:val="16"/>
                <w:szCs w:val="16"/>
                <w:lang w:bidi="th-TH"/>
              </w:rPr>
              <w:t>Niveau de référence initial dans le programme et budget 2014</w:t>
            </w:r>
            <w:r w:rsidRPr="00C258AD">
              <w:rPr>
                <w:i/>
                <w:sz w:val="16"/>
                <w:szCs w:val="16"/>
                <w:lang w:bidi="th-TH"/>
              </w:rPr>
              <w:noBreakHyphen/>
              <w:t>2015 :</w:t>
            </w:r>
          </w:p>
          <w:p w:rsidR="00B26AF7" w:rsidRPr="00C258AD" w:rsidRDefault="00B26AF7" w:rsidP="001A4D6C">
            <w:pPr>
              <w:rPr>
                <w:sz w:val="16"/>
                <w:szCs w:val="16"/>
              </w:rPr>
            </w:pPr>
            <w:r w:rsidRPr="00C258AD">
              <w:rPr>
                <w:sz w:val="16"/>
                <w:szCs w:val="16"/>
                <w:lang w:bidi="th-TH"/>
              </w:rPr>
              <w:t>à déterminer</w:t>
            </w:r>
          </w:p>
        </w:tc>
        <w:tc>
          <w:tcPr>
            <w:tcW w:w="819" w:type="pct"/>
            <w:tcBorders>
              <w:bottom w:val="single" w:sz="4" w:space="0" w:color="auto"/>
            </w:tcBorders>
            <w:shd w:val="clear" w:color="auto" w:fill="auto"/>
            <w:tcMar>
              <w:top w:w="113" w:type="dxa"/>
              <w:bottom w:w="113" w:type="dxa"/>
            </w:tcMar>
          </w:tcPr>
          <w:p w:rsidR="00B26AF7" w:rsidRPr="00C258AD" w:rsidRDefault="00B26AF7" w:rsidP="001A4D6C">
            <w:pPr>
              <w:rPr>
                <w:i/>
                <w:sz w:val="16"/>
                <w:szCs w:val="16"/>
              </w:rPr>
            </w:pPr>
            <w:r w:rsidRPr="00C258AD">
              <w:rPr>
                <w:sz w:val="16"/>
                <w:szCs w:val="16"/>
              </w:rPr>
              <w:t>6</w:t>
            </w:r>
          </w:p>
        </w:tc>
        <w:tc>
          <w:tcPr>
            <w:tcW w:w="1268" w:type="pct"/>
            <w:tcBorders>
              <w:bottom w:val="single" w:sz="4" w:space="0" w:color="auto"/>
            </w:tcBorders>
            <w:shd w:val="clear" w:color="auto" w:fill="FFFFFF"/>
            <w:tcMar>
              <w:top w:w="113" w:type="dxa"/>
              <w:bottom w:w="113" w:type="dxa"/>
            </w:tcMar>
          </w:tcPr>
          <w:p w:rsidR="006E2BB1" w:rsidRPr="00C258AD" w:rsidRDefault="00B26AF7" w:rsidP="001A4D6C">
            <w:pPr>
              <w:rPr>
                <w:sz w:val="16"/>
                <w:szCs w:val="16"/>
                <w:lang w:bidi="th-TH"/>
              </w:rPr>
            </w:pPr>
            <w:r w:rsidRPr="00C258AD">
              <w:rPr>
                <w:sz w:val="16"/>
                <w:szCs w:val="16"/>
                <w:lang w:bidi="th-TH"/>
              </w:rPr>
              <w:t>12 pays ou organismes ont modifié ou adopté ou sont en train de modifier ou d’adopter des cadres de référence aux fins de l’application efficace des droits de propriété intellectuelle : Afrique (4), Asie et Pacifique (5), Amérique latine et Caraïbes (3)</w:t>
            </w:r>
          </w:p>
          <w:p w:rsidR="00B26AF7" w:rsidRPr="00C258AD" w:rsidRDefault="00B26AF7" w:rsidP="001A4D6C">
            <w:pPr>
              <w:rPr>
                <w:sz w:val="16"/>
                <w:szCs w:val="16"/>
              </w:rPr>
            </w:pPr>
            <w:r w:rsidRPr="00C258AD">
              <w:rPr>
                <w:sz w:val="16"/>
                <w:szCs w:val="16"/>
              </w:rPr>
              <w:t>(21 en tout)</w:t>
            </w:r>
          </w:p>
        </w:tc>
        <w:tc>
          <w:tcPr>
            <w:tcW w:w="522" w:type="pct"/>
            <w:tcBorders>
              <w:bottom w:val="single" w:sz="4" w:space="0" w:color="auto"/>
            </w:tcBorders>
            <w:shd w:val="clear" w:color="auto" w:fill="auto"/>
            <w:tcMar>
              <w:top w:w="113" w:type="dxa"/>
              <w:bottom w:w="113" w:type="dxa"/>
            </w:tcMar>
          </w:tcPr>
          <w:p w:rsidR="00B26AF7" w:rsidRPr="00C258AD" w:rsidRDefault="00B26AF7" w:rsidP="001A4D6C">
            <w:pPr>
              <w:keepNext/>
              <w:keepLines/>
              <w:jc w:val="center"/>
              <w:rPr>
                <w:b/>
                <w:bCs/>
                <w:sz w:val="16"/>
                <w:szCs w:val="16"/>
              </w:rPr>
            </w:pPr>
            <w:r w:rsidRPr="00C258AD">
              <w:rPr>
                <w:b/>
                <w:bCs/>
                <w:color w:val="00B050"/>
                <w:sz w:val="16"/>
                <w:szCs w:val="16"/>
              </w:rPr>
              <w:t>Objectif pleinement atteint</w:t>
            </w:r>
          </w:p>
        </w:tc>
      </w:tr>
      <w:tr w:rsidR="00B26AF7" w:rsidRPr="00C258AD" w:rsidTr="001A4D6C">
        <w:trPr>
          <w:cantSplit/>
        </w:trPr>
        <w:tc>
          <w:tcPr>
            <w:tcW w:w="5000" w:type="pct"/>
            <w:gridSpan w:val="5"/>
            <w:tcBorders>
              <w:top w:val="single" w:sz="4" w:space="0" w:color="auto"/>
              <w:bottom w:val="single" w:sz="4" w:space="0" w:color="auto"/>
            </w:tcBorders>
            <w:shd w:val="clear" w:color="auto" w:fill="C5D9F1"/>
            <w:tcMar>
              <w:top w:w="113" w:type="dxa"/>
              <w:bottom w:w="113" w:type="dxa"/>
            </w:tcMar>
            <w:vAlign w:val="center"/>
          </w:tcPr>
          <w:p w:rsidR="00B26AF7" w:rsidRPr="00C258AD" w:rsidRDefault="00B26AF7" w:rsidP="001A4D6C">
            <w:pPr>
              <w:keepNext/>
              <w:rPr>
                <w:b/>
                <w:sz w:val="16"/>
                <w:szCs w:val="16"/>
              </w:rPr>
            </w:pPr>
            <w:r w:rsidRPr="00C258AD">
              <w:rPr>
                <w:b/>
                <w:sz w:val="16"/>
                <w:szCs w:val="16"/>
              </w:rPr>
              <w:lastRenderedPageBreak/>
              <w:t xml:space="preserve">Résultat escompté : </w:t>
            </w:r>
            <w:r w:rsidRPr="00C258AD">
              <w:rPr>
                <w:sz w:val="16"/>
                <w:szCs w:val="16"/>
              </w:rPr>
              <w:t>III.2 Mise en valeur des ressources humaines pour répondre aux diverses exigences en matière d’utilisation efficace de la propriété intellectuelle au service du développement dans les pays en développement, les PMA et les pays en transition</w:t>
            </w:r>
          </w:p>
        </w:tc>
      </w:tr>
      <w:tr w:rsidR="00B26AF7" w:rsidRPr="00C258AD" w:rsidTr="001A4D6C">
        <w:trPr>
          <w:cantSplit/>
        </w:trPr>
        <w:tc>
          <w:tcPr>
            <w:tcW w:w="1121" w:type="pct"/>
            <w:tcBorders>
              <w:top w:val="single" w:sz="4" w:space="0" w:color="auto"/>
              <w:left w:val="single" w:sz="4" w:space="0" w:color="auto"/>
              <w:bottom w:val="nil"/>
            </w:tcBorders>
            <w:shd w:val="clear" w:color="auto" w:fill="auto"/>
            <w:tcMar>
              <w:top w:w="113" w:type="dxa"/>
              <w:bottom w:w="113" w:type="dxa"/>
            </w:tcMar>
            <w:vAlign w:val="center"/>
          </w:tcPr>
          <w:p w:rsidR="00B26AF7" w:rsidRPr="00C258AD" w:rsidRDefault="00B26AF7" w:rsidP="001A4D6C">
            <w:pPr>
              <w:keepNext/>
              <w:jc w:val="center"/>
              <w:rPr>
                <w:sz w:val="16"/>
                <w:szCs w:val="16"/>
              </w:rPr>
            </w:pPr>
            <w:r w:rsidRPr="00C258AD">
              <w:rPr>
                <w:b/>
                <w:sz w:val="16"/>
                <w:szCs w:val="16"/>
              </w:rPr>
              <w:t>Indicateurs d’exécution</w:t>
            </w:r>
          </w:p>
        </w:tc>
        <w:tc>
          <w:tcPr>
            <w:tcW w:w="1269" w:type="pct"/>
            <w:tcBorders>
              <w:top w:val="single" w:sz="4" w:space="0" w:color="auto"/>
              <w:bottom w:val="nil"/>
            </w:tcBorders>
            <w:shd w:val="clear" w:color="auto" w:fill="auto"/>
            <w:tcMar>
              <w:top w:w="113" w:type="dxa"/>
              <w:bottom w:w="113" w:type="dxa"/>
            </w:tcMar>
            <w:vAlign w:val="center"/>
          </w:tcPr>
          <w:p w:rsidR="00B26AF7" w:rsidRPr="00C258AD" w:rsidRDefault="00B26AF7" w:rsidP="001A4D6C">
            <w:pPr>
              <w:keepNext/>
              <w:jc w:val="center"/>
              <w:rPr>
                <w:b/>
                <w:bCs/>
                <w:sz w:val="16"/>
                <w:szCs w:val="16"/>
              </w:rPr>
            </w:pPr>
            <w:r w:rsidRPr="00C258AD">
              <w:rPr>
                <w:b/>
                <w:bCs/>
                <w:sz w:val="16"/>
                <w:szCs w:val="16"/>
              </w:rPr>
              <w:t>Niveaux de référence</w:t>
            </w:r>
          </w:p>
        </w:tc>
        <w:tc>
          <w:tcPr>
            <w:tcW w:w="819" w:type="pct"/>
            <w:tcBorders>
              <w:top w:val="single" w:sz="4" w:space="0" w:color="auto"/>
              <w:bottom w:val="nil"/>
            </w:tcBorders>
            <w:shd w:val="clear" w:color="auto" w:fill="auto"/>
            <w:tcMar>
              <w:top w:w="113" w:type="dxa"/>
              <w:bottom w:w="113" w:type="dxa"/>
            </w:tcMar>
            <w:vAlign w:val="center"/>
          </w:tcPr>
          <w:p w:rsidR="00B26AF7" w:rsidRPr="00C258AD" w:rsidRDefault="00B26AF7" w:rsidP="001A4D6C">
            <w:pPr>
              <w:keepNext/>
              <w:jc w:val="center"/>
              <w:rPr>
                <w:b/>
                <w:sz w:val="16"/>
                <w:szCs w:val="16"/>
              </w:rPr>
            </w:pPr>
            <w:r w:rsidRPr="00C258AD">
              <w:rPr>
                <w:b/>
                <w:sz w:val="16"/>
                <w:szCs w:val="16"/>
              </w:rPr>
              <w:t>Objectifs visés</w:t>
            </w:r>
          </w:p>
        </w:tc>
        <w:tc>
          <w:tcPr>
            <w:tcW w:w="1268" w:type="pct"/>
            <w:tcBorders>
              <w:top w:val="single" w:sz="4" w:space="0" w:color="auto"/>
              <w:bottom w:val="nil"/>
            </w:tcBorders>
            <w:shd w:val="clear" w:color="auto" w:fill="FFFFFF"/>
            <w:tcMar>
              <w:top w:w="113" w:type="dxa"/>
              <w:bottom w:w="113" w:type="dxa"/>
            </w:tcMar>
            <w:vAlign w:val="center"/>
          </w:tcPr>
          <w:p w:rsidR="00B26AF7" w:rsidRPr="00C258AD" w:rsidRDefault="00B26AF7" w:rsidP="001A4D6C">
            <w:pPr>
              <w:keepNext/>
              <w:jc w:val="center"/>
              <w:rPr>
                <w:sz w:val="16"/>
                <w:szCs w:val="16"/>
              </w:rPr>
            </w:pPr>
            <w:r w:rsidRPr="00C258AD">
              <w:rPr>
                <w:b/>
                <w:sz w:val="16"/>
                <w:szCs w:val="16"/>
              </w:rPr>
              <w:t>Données relatives à l’exécution</w:t>
            </w:r>
          </w:p>
        </w:tc>
        <w:tc>
          <w:tcPr>
            <w:tcW w:w="522" w:type="pct"/>
            <w:tcBorders>
              <w:top w:val="single" w:sz="4" w:space="0" w:color="auto"/>
              <w:bottom w:val="nil"/>
              <w:right w:val="single" w:sz="4" w:space="0" w:color="auto"/>
            </w:tcBorders>
            <w:shd w:val="clear" w:color="auto" w:fill="auto"/>
            <w:tcMar>
              <w:top w:w="113" w:type="dxa"/>
              <w:bottom w:w="113" w:type="dxa"/>
            </w:tcMar>
            <w:vAlign w:val="center"/>
          </w:tcPr>
          <w:p w:rsidR="00B26AF7" w:rsidRPr="00C258AD" w:rsidRDefault="00B26AF7" w:rsidP="001A4D6C">
            <w:pPr>
              <w:keepNext/>
              <w:keepLines/>
              <w:jc w:val="center"/>
              <w:rPr>
                <w:b/>
                <w:bCs/>
                <w:sz w:val="16"/>
                <w:szCs w:val="16"/>
              </w:rPr>
            </w:pPr>
            <w:r w:rsidRPr="00C258AD">
              <w:rPr>
                <w:b/>
                <w:bCs/>
                <w:sz w:val="16"/>
                <w:szCs w:val="16"/>
              </w:rPr>
              <w:t>Code de couleurs</w:t>
            </w:r>
          </w:p>
        </w:tc>
      </w:tr>
      <w:tr w:rsidR="00B26AF7" w:rsidRPr="00C258AD" w:rsidTr="001A4D6C">
        <w:trPr>
          <w:cantSplit/>
        </w:trPr>
        <w:tc>
          <w:tcPr>
            <w:tcW w:w="1121" w:type="pct"/>
            <w:tcBorders>
              <w:top w:val="nil"/>
              <w:left w:val="single" w:sz="4" w:space="0" w:color="auto"/>
              <w:bottom w:val="nil"/>
            </w:tcBorders>
            <w:shd w:val="clear" w:color="auto" w:fill="auto"/>
            <w:tcMar>
              <w:top w:w="113" w:type="dxa"/>
              <w:bottom w:w="113" w:type="dxa"/>
            </w:tcMar>
          </w:tcPr>
          <w:p w:rsidR="00B26AF7" w:rsidRPr="00C258AD" w:rsidRDefault="00B26AF7" w:rsidP="001A4D6C">
            <w:pPr>
              <w:rPr>
                <w:sz w:val="16"/>
                <w:szCs w:val="16"/>
              </w:rPr>
            </w:pPr>
            <w:r w:rsidRPr="00C258AD">
              <w:rPr>
                <w:sz w:val="16"/>
                <w:szCs w:val="16"/>
              </w:rPr>
              <w:t>Pourcentage de participants formés qui font état de leur satisfaction concernant l’utilité de la formation reçue et sa pertinence pour leur vie professionnelle</w:t>
            </w:r>
          </w:p>
        </w:tc>
        <w:tc>
          <w:tcPr>
            <w:tcW w:w="1269" w:type="pct"/>
            <w:tcBorders>
              <w:top w:val="nil"/>
              <w:bottom w:val="nil"/>
            </w:tcBorders>
            <w:shd w:val="clear" w:color="auto" w:fill="auto"/>
            <w:tcMar>
              <w:top w:w="113" w:type="dxa"/>
              <w:bottom w:w="113" w:type="dxa"/>
            </w:tcMar>
          </w:tcPr>
          <w:p w:rsidR="006E2BB1" w:rsidRPr="00C258AD" w:rsidRDefault="00B26AF7" w:rsidP="001A4D6C">
            <w:pPr>
              <w:rPr>
                <w:i/>
                <w:color w:val="002060"/>
                <w:sz w:val="16"/>
                <w:szCs w:val="16"/>
              </w:rPr>
            </w:pPr>
            <w:r w:rsidRPr="00C258AD">
              <w:rPr>
                <w:i/>
                <w:color w:val="002060"/>
                <w:sz w:val="16"/>
                <w:szCs w:val="16"/>
              </w:rPr>
              <w:t>Niveau de référence actualisé à fin 2013 :</w:t>
            </w:r>
          </w:p>
          <w:p w:rsidR="006E2BB1" w:rsidRPr="00C258AD" w:rsidRDefault="00B26AF7" w:rsidP="001A4D6C">
            <w:pPr>
              <w:rPr>
                <w:color w:val="002060"/>
                <w:sz w:val="16"/>
                <w:szCs w:val="16"/>
                <w:lang w:eastAsia="ko-KR" w:bidi="th-TH"/>
              </w:rPr>
            </w:pPr>
            <w:r w:rsidRPr="00C258AD">
              <w:rPr>
                <w:color w:val="002060"/>
                <w:sz w:val="16"/>
                <w:szCs w:val="16"/>
                <w:lang w:eastAsia="ko-KR" w:bidi="th-TH"/>
              </w:rPr>
              <w:t>85%</w:t>
            </w:r>
          </w:p>
          <w:p w:rsidR="006E2BB1" w:rsidRPr="00C258AD" w:rsidRDefault="006E2BB1" w:rsidP="001A4D6C">
            <w:pPr>
              <w:rPr>
                <w:i/>
                <w:sz w:val="16"/>
                <w:szCs w:val="16"/>
              </w:rPr>
            </w:pPr>
          </w:p>
          <w:p w:rsidR="006E2BB1" w:rsidRPr="00C258AD" w:rsidRDefault="00B26AF7" w:rsidP="001A4D6C">
            <w:pPr>
              <w:rPr>
                <w:i/>
                <w:sz w:val="16"/>
                <w:szCs w:val="16"/>
                <w:lang w:bidi="th-TH"/>
              </w:rPr>
            </w:pPr>
            <w:r w:rsidRPr="00C258AD">
              <w:rPr>
                <w:i/>
                <w:sz w:val="16"/>
                <w:szCs w:val="16"/>
                <w:lang w:bidi="th-TH"/>
              </w:rPr>
              <w:t>Niveau de référence initial dans le programme et budget 2014</w:t>
            </w:r>
            <w:r w:rsidRPr="00C258AD">
              <w:rPr>
                <w:i/>
                <w:sz w:val="16"/>
                <w:szCs w:val="16"/>
                <w:lang w:bidi="th-TH"/>
              </w:rPr>
              <w:noBreakHyphen/>
              <w:t>2015 :</w:t>
            </w:r>
          </w:p>
          <w:p w:rsidR="00B26AF7" w:rsidRPr="00C258AD" w:rsidRDefault="00B26AF7" w:rsidP="001A4D6C">
            <w:pPr>
              <w:rPr>
                <w:sz w:val="16"/>
                <w:szCs w:val="16"/>
              </w:rPr>
            </w:pPr>
            <w:r w:rsidRPr="00C258AD">
              <w:rPr>
                <w:sz w:val="16"/>
                <w:szCs w:val="16"/>
                <w:lang w:bidi="th-TH"/>
              </w:rPr>
              <w:t>75%</w:t>
            </w:r>
          </w:p>
        </w:tc>
        <w:tc>
          <w:tcPr>
            <w:tcW w:w="819" w:type="pct"/>
            <w:tcBorders>
              <w:top w:val="nil"/>
              <w:bottom w:val="nil"/>
            </w:tcBorders>
            <w:shd w:val="clear" w:color="auto" w:fill="auto"/>
            <w:tcMar>
              <w:top w:w="113" w:type="dxa"/>
              <w:bottom w:w="113" w:type="dxa"/>
            </w:tcMar>
          </w:tcPr>
          <w:p w:rsidR="00B26AF7" w:rsidRPr="00C258AD" w:rsidRDefault="00B26AF7" w:rsidP="001A4D6C">
            <w:pPr>
              <w:rPr>
                <w:i/>
                <w:sz w:val="16"/>
                <w:szCs w:val="16"/>
              </w:rPr>
            </w:pPr>
            <w:r w:rsidRPr="00C258AD">
              <w:rPr>
                <w:sz w:val="16"/>
                <w:szCs w:val="16"/>
                <w:lang w:bidi="th-TH"/>
              </w:rPr>
              <w:t>75%</w:t>
            </w:r>
          </w:p>
        </w:tc>
        <w:tc>
          <w:tcPr>
            <w:tcW w:w="1268" w:type="pct"/>
            <w:tcBorders>
              <w:top w:val="nil"/>
              <w:bottom w:val="nil"/>
            </w:tcBorders>
            <w:shd w:val="clear" w:color="auto" w:fill="FFFFFF"/>
            <w:tcMar>
              <w:top w:w="113" w:type="dxa"/>
              <w:bottom w:w="113" w:type="dxa"/>
            </w:tcMar>
          </w:tcPr>
          <w:p w:rsidR="006E2BB1" w:rsidRPr="00C258AD" w:rsidRDefault="00B26AF7" w:rsidP="001A4D6C">
            <w:pPr>
              <w:pStyle w:val="ListParagraph"/>
              <w:numPr>
                <w:ilvl w:val="0"/>
                <w:numId w:val="0"/>
              </w:numPr>
              <w:tabs>
                <w:tab w:val="left" w:pos="307"/>
              </w:tabs>
              <w:ind w:left="24"/>
              <w:rPr>
                <w:sz w:val="16"/>
                <w:szCs w:val="16"/>
              </w:rPr>
            </w:pPr>
            <w:r w:rsidRPr="00C258AD">
              <w:rPr>
                <w:sz w:val="16"/>
                <w:szCs w:val="16"/>
              </w:rPr>
              <w:t>Taux moyen d’utilité de la formation : 93%.</w:t>
            </w:r>
          </w:p>
          <w:p w:rsidR="006E2BB1" w:rsidRPr="00C258AD" w:rsidRDefault="006E2BB1" w:rsidP="001A4D6C">
            <w:pPr>
              <w:pStyle w:val="ListParagraph"/>
              <w:numPr>
                <w:ilvl w:val="0"/>
                <w:numId w:val="0"/>
              </w:numPr>
              <w:tabs>
                <w:tab w:val="left" w:pos="307"/>
              </w:tabs>
              <w:ind w:left="24"/>
              <w:rPr>
                <w:sz w:val="16"/>
                <w:szCs w:val="16"/>
              </w:rPr>
            </w:pPr>
          </w:p>
          <w:p w:rsidR="00B26AF7" w:rsidRPr="00C258AD" w:rsidRDefault="00B26AF7" w:rsidP="001A4D6C">
            <w:pPr>
              <w:pStyle w:val="ListParagraph"/>
              <w:numPr>
                <w:ilvl w:val="0"/>
                <w:numId w:val="0"/>
              </w:numPr>
              <w:tabs>
                <w:tab w:val="left" w:pos="307"/>
              </w:tabs>
              <w:rPr>
                <w:sz w:val="16"/>
                <w:szCs w:val="16"/>
              </w:rPr>
            </w:pPr>
            <w:r w:rsidRPr="00C258AD">
              <w:rPr>
                <w:sz w:val="16"/>
                <w:szCs w:val="16"/>
              </w:rPr>
              <w:t>Taux moyen de satisfaction concernant la formation : 92%.</w:t>
            </w:r>
          </w:p>
        </w:tc>
        <w:tc>
          <w:tcPr>
            <w:tcW w:w="522" w:type="pct"/>
            <w:tcBorders>
              <w:top w:val="nil"/>
              <w:bottom w:val="nil"/>
              <w:right w:val="single" w:sz="4" w:space="0" w:color="auto"/>
            </w:tcBorders>
            <w:shd w:val="clear" w:color="auto" w:fill="auto"/>
            <w:tcMar>
              <w:top w:w="113" w:type="dxa"/>
              <w:bottom w:w="113" w:type="dxa"/>
            </w:tcMar>
          </w:tcPr>
          <w:p w:rsidR="00B26AF7" w:rsidRPr="00C258AD" w:rsidRDefault="00B26AF7" w:rsidP="001A4D6C">
            <w:pPr>
              <w:keepNext/>
              <w:keepLines/>
              <w:jc w:val="center"/>
              <w:rPr>
                <w:b/>
                <w:bCs/>
                <w:color w:val="00B050"/>
                <w:sz w:val="16"/>
                <w:szCs w:val="16"/>
              </w:rPr>
            </w:pPr>
            <w:r w:rsidRPr="00C258AD">
              <w:rPr>
                <w:b/>
                <w:bCs/>
                <w:color w:val="00B050"/>
                <w:sz w:val="16"/>
                <w:szCs w:val="16"/>
              </w:rPr>
              <w:t>Objectif pleinement atteint</w:t>
            </w:r>
          </w:p>
        </w:tc>
      </w:tr>
      <w:tr w:rsidR="00B26AF7" w:rsidRPr="00C258AD" w:rsidTr="001A4D6C">
        <w:trPr>
          <w:cantSplit/>
        </w:trPr>
        <w:tc>
          <w:tcPr>
            <w:tcW w:w="1121" w:type="pct"/>
            <w:tcBorders>
              <w:top w:val="nil"/>
              <w:left w:val="single" w:sz="4" w:space="0" w:color="auto"/>
              <w:bottom w:val="nil"/>
            </w:tcBorders>
            <w:shd w:val="clear" w:color="auto" w:fill="auto"/>
            <w:tcMar>
              <w:top w:w="113" w:type="dxa"/>
              <w:bottom w:w="113" w:type="dxa"/>
            </w:tcMar>
          </w:tcPr>
          <w:p w:rsidR="00B26AF7" w:rsidRPr="00C258AD" w:rsidRDefault="00B26AF7" w:rsidP="001A4D6C">
            <w:pPr>
              <w:rPr>
                <w:sz w:val="16"/>
                <w:szCs w:val="16"/>
                <w:lang w:bidi="th-TH"/>
              </w:rPr>
            </w:pPr>
            <w:r w:rsidRPr="00C258AD">
              <w:rPr>
                <w:sz w:val="16"/>
                <w:szCs w:val="16"/>
                <w:lang w:bidi="th-TH"/>
              </w:rPr>
              <w:t>Pourcentage du public ciblé qui a acquis des connaissances de base sur un système de propriété intellectuelle équilibré grâce à des activités de l’OMPI</w:t>
            </w:r>
          </w:p>
        </w:tc>
        <w:tc>
          <w:tcPr>
            <w:tcW w:w="1269" w:type="pct"/>
            <w:tcBorders>
              <w:top w:val="nil"/>
              <w:bottom w:val="nil"/>
            </w:tcBorders>
            <w:shd w:val="clear" w:color="auto" w:fill="auto"/>
            <w:tcMar>
              <w:top w:w="113" w:type="dxa"/>
              <w:bottom w:w="113" w:type="dxa"/>
            </w:tcMar>
          </w:tcPr>
          <w:p w:rsidR="00B26AF7" w:rsidRPr="00C258AD" w:rsidRDefault="00B26AF7" w:rsidP="001A4D6C">
            <w:pPr>
              <w:rPr>
                <w:i/>
                <w:sz w:val="16"/>
                <w:szCs w:val="16"/>
              </w:rPr>
            </w:pPr>
            <w:proofErr w:type="spellStart"/>
            <w:r w:rsidRPr="00C258AD">
              <w:rPr>
                <w:sz w:val="16"/>
                <w:szCs w:val="16"/>
              </w:rPr>
              <w:t>n.d</w:t>
            </w:r>
            <w:proofErr w:type="spellEnd"/>
            <w:r w:rsidRPr="00C258AD">
              <w:rPr>
                <w:sz w:val="16"/>
                <w:szCs w:val="16"/>
              </w:rPr>
              <w:t>.</w:t>
            </w:r>
          </w:p>
        </w:tc>
        <w:tc>
          <w:tcPr>
            <w:tcW w:w="819" w:type="pct"/>
            <w:tcBorders>
              <w:top w:val="nil"/>
              <w:bottom w:val="nil"/>
            </w:tcBorders>
            <w:shd w:val="clear" w:color="auto" w:fill="auto"/>
            <w:tcMar>
              <w:top w:w="113" w:type="dxa"/>
              <w:bottom w:w="113" w:type="dxa"/>
            </w:tcMar>
          </w:tcPr>
          <w:p w:rsidR="00B26AF7" w:rsidRPr="00C258AD" w:rsidRDefault="00B26AF7" w:rsidP="001A4D6C">
            <w:pPr>
              <w:rPr>
                <w:sz w:val="16"/>
                <w:szCs w:val="16"/>
                <w:lang w:bidi="th-TH"/>
              </w:rPr>
            </w:pPr>
            <w:r w:rsidRPr="00C258AD">
              <w:rPr>
                <w:sz w:val="16"/>
                <w:szCs w:val="16"/>
                <w:lang w:bidi="th-TH"/>
              </w:rPr>
              <w:t>75%</w:t>
            </w:r>
          </w:p>
        </w:tc>
        <w:tc>
          <w:tcPr>
            <w:tcW w:w="1268" w:type="pct"/>
            <w:tcBorders>
              <w:top w:val="nil"/>
              <w:bottom w:val="nil"/>
            </w:tcBorders>
            <w:shd w:val="clear" w:color="auto" w:fill="FFFFFF"/>
            <w:tcMar>
              <w:top w:w="113" w:type="dxa"/>
              <w:bottom w:w="113" w:type="dxa"/>
            </w:tcMar>
          </w:tcPr>
          <w:p w:rsidR="00B26AF7" w:rsidRPr="00C258AD" w:rsidRDefault="00B26AF7" w:rsidP="001A4D6C">
            <w:pPr>
              <w:pStyle w:val="ListParagraph"/>
              <w:numPr>
                <w:ilvl w:val="0"/>
                <w:numId w:val="0"/>
              </w:numPr>
              <w:tabs>
                <w:tab w:val="left" w:pos="307"/>
              </w:tabs>
              <w:rPr>
                <w:sz w:val="16"/>
                <w:szCs w:val="16"/>
                <w:lang w:bidi="th-TH"/>
              </w:rPr>
            </w:pPr>
            <w:r w:rsidRPr="00C258AD">
              <w:rPr>
                <w:sz w:val="16"/>
                <w:szCs w:val="16"/>
                <w:lang w:bidi="th-TH"/>
              </w:rPr>
              <w:t>&gt;75%.  Connaissances de base démontrées par le biais de concours scolaires dans les pays participants.</w:t>
            </w:r>
          </w:p>
        </w:tc>
        <w:tc>
          <w:tcPr>
            <w:tcW w:w="522" w:type="pct"/>
            <w:tcBorders>
              <w:top w:val="nil"/>
              <w:bottom w:val="nil"/>
              <w:right w:val="single" w:sz="4" w:space="0" w:color="auto"/>
            </w:tcBorders>
            <w:shd w:val="clear" w:color="auto" w:fill="auto"/>
            <w:tcMar>
              <w:top w:w="113" w:type="dxa"/>
              <w:bottom w:w="113" w:type="dxa"/>
            </w:tcMar>
          </w:tcPr>
          <w:p w:rsidR="00B26AF7" w:rsidRPr="00C258AD" w:rsidRDefault="00B26AF7" w:rsidP="001A4D6C">
            <w:pPr>
              <w:keepNext/>
              <w:keepLines/>
              <w:jc w:val="center"/>
              <w:rPr>
                <w:b/>
                <w:bCs/>
                <w:color w:val="00B050"/>
                <w:sz w:val="16"/>
                <w:szCs w:val="16"/>
              </w:rPr>
            </w:pPr>
            <w:r w:rsidRPr="00C258AD">
              <w:rPr>
                <w:b/>
                <w:bCs/>
                <w:color w:val="00B050"/>
                <w:sz w:val="16"/>
                <w:szCs w:val="16"/>
              </w:rPr>
              <w:t>Objectif pleinement atteint</w:t>
            </w:r>
          </w:p>
        </w:tc>
      </w:tr>
      <w:tr w:rsidR="00B26AF7" w:rsidRPr="00C258AD" w:rsidTr="001A4D6C">
        <w:trPr>
          <w:cantSplit/>
        </w:trPr>
        <w:tc>
          <w:tcPr>
            <w:tcW w:w="1121" w:type="pct"/>
            <w:tcBorders>
              <w:top w:val="nil"/>
              <w:left w:val="single" w:sz="4" w:space="0" w:color="auto"/>
              <w:bottom w:val="single" w:sz="4" w:space="0" w:color="auto"/>
            </w:tcBorders>
            <w:shd w:val="clear" w:color="auto" w:fill="auto"/>
            <w:tcMar>
              <w:top w:w="113" w:type="dxa"/>
              <w:bottom w:w="113" w:type="dxa"/>
            </w:tcMar>
          </w:tcPr>
          <w:p w:rsidR="00B26AF7" w:rsidRPr="00C258AD" w:rsidRDefault="00B26AF7" w:rsidP="001A4D6C">
            <w:pPr>
              <w:rPr>
                <w:sz w:val="16"/>
                <w:szCs w:val="16"/>
                <w:lang w:bidi="th-TH"/>
              </w:rPr>
            </w:pPr>
            <w:r w:rsidRPr="00C258AD">
              <w:rPr>
                <w:sz w:val="16"/>
                <w:szCs w:val="16"/>
                <w:lang w:bidi="th-TH"/>
              </w:rPr>
              <w:t>Nombre de pays participant au programme d’attribution de prix de l’OMPI</w:t>
            </w:r>
          </w:p>
        </w:tc>
        <w:tc>
          <w:tcPr>
            <w:tcW w:w="1269" w:type="pct"/>
            <w:tcBorders>
              <w:top w:val="nil"/>
              <w:bottom w:val="single" w:sz="4" w:space="0" w:color="auto"/>
            </w:tcBorders>
            <w:shd w:val="clear" w:color="auto" w:fill="auto"/>
            <w:tcMar>
              <w:top w:w="113" w:type="dxa"/>
              <w:bottom w:w="113" w:type="dxa"/>
            </w:tcMar>
          </w:tcPr>
          <w:p w:rsidR="006E2BB1" w:rsidRPr="00C258AD" w:rsidRDefault="00B26AF7" w:rsidP="001A4D6C">
            <w:pPr>
              <w:rPr>
                <w:i/>
                <w:color w:val="002060"/>
                <w:sz w:val="16"/>
                <w:szCs w:val="16"/>
              </w:rPr>
            </w:pPr>
            <w:r w:rsidRPr="00C258AD">
              <w:rPr>
                <w:i/>
                <w:color w:val="002060"/>
                <w:sz w:val="16"/>
                <w:szCs w:val="16"/>
              </w:rPr>
              <w:t>Niveau de référence actualisé à fin 2013</w:t>
            </w:r>
            <w:r w:rsidRPr="00C258AD">
              <w:rPr>
                <w:color w:val="002060"/>
                <w:sz w:val="16"/>
                <w:szCs w:val="16"/>
              </w:rPr>
              <w:t> :</w:t>
            </w:r>
          </w:p>
          <w:p w:rsidR="006E2BB1" w:rsidRPr="00C258AD" w:rsidRDefault="00B26AF7" w:rsidP="001A4D6C">
            <w:pPr>
              <w:rPr>
                <w:i/>
                <w:color w:val="002060"/>
                <w:sz w:val="16"/>
                <w:szCs w:val="16"/>
              </w:rPr>
            </w:pPr>
            <w:r w:rsidRPr="00C258AD">
              <w:rPr>
                <w:color w:val="002060"/>
                <w:sz w:val="16"/>
                <w:szCs w:val="16"/>
              </w:rPr>
              <w:t>42 en 2013</w:t>
            </w:r>
          </w:p>
          <w:p w:rsidR="006E2BB1" w:rsidRPr="00C258AD" w:rsidRDefault="006E2BB1" w:rsidP="001A4D6C">
            <w:pPr>
              <w:rPr>
                <w:i/>
                <w:sz w:val="16"/>
                <w:szCs w:val="16"/>
              </w:rPr>
            </w:pPr>
          </w:p>
          <w:p w:rsidR="006E2BB1" w:rsidRPr="00C258AD" w:rsidRDefault="00B26AF7" w:rsidP="001A4D6C">
            <w:pPr>
              <w:rPr>
                <w:i/>
                <w:sz w:val="16"/>
                <w:szCs w:val="16"/>
                <w:lang w:bidi="th-TH"/>
              </w:rPr>
            </w:pPr>
            <w:r w:rsidRPr="00C258AD">
              <w:rPr>
                <w:i/>
                <w:sz w:val="16"/>
                <w:szCs w:val="16"/>
                <w:lang w:bidi="th-TH"/>
              </w:rPr>
              <w:t>Niveau de référence initial dans le programme et budget 2014</w:t>
            </w:r>
            <w:r w:rsidRPr="00C258AD">
              <w:rPr>
                <w:i/>
                <w:sz w:val="16"/>
                <w:szCs w:val="16"/>
                <w:lang w:bidi="th-TH"/>
              </w:rPr>
              <w:noBreakHyphen/>
              <w:t>2015 :</w:t>
            </w:r>
          </w:p>
          <w:p w:rsidR="00B26AF7" w:rsidRPr="00C258AD" w:rsidRDefault="00B26AF7" w:rsidP="001A4D6C">
            <w:pPr>
              <w:rPr>
                <w:i/>
                <w:sz w:val="16"/>
                <w:szCs w:val="16"/>
              </w:rPr>
            </w:pPr>
            <w:r w:rsidRPr="00C258AD">
              <w:rPr>
                <w:sz w:val="16"/>
                <w:szCs w:val="16"/>
                <w:lang w:bidi="th-TH"/>
              </w:rPr>
              <w:t>40 par an</w:t>
            </w:r>
          </w:p>
        </w:tc>
        <w:tc>
          <w:tcPr>
            <w:tcW w:w="819" w:type="pct"/>
            <w:tcBorders>
              <w:top w:val="nil"/>
              <w:bottom w:val="single" w:sz="4" w:space="0" w:color="auto"/>
            </w:tcBorders>
            <w:shd w:val="clear" w:color="auto" w:fill="auto"/>
            <w:tcMar>
              <w:top w:w="113" w:type="dxa"/>
              <w:bottom w:w="113" w:type="dxa"/>
            </w:tcMar>
          </w:tcPr>
          <w:p w:rsidR="00B26AF7" w:rsidRPr="00C258AD" w:rsidRDefault="00B26AF7" w:rsidP="001A4D6C">
            <w:pPr>
              <w:rPr>
                <w:sz w:val="16"/>
                <w:szCs w:val="16"/>
                <w:lang w:bidi="th-TH"/>
              </w:rPr>
            </w:pPr>
            <w:r w:rsidRPr="00C258AD">
              <w:rPr>
                <w:sz w:val="16"/>
                <w:szCs w:val="16"/>
                <w:lang w:bidi="th-TH"/>
              </w:rPr>
              <w:t>40 par an</w:t>
            </w:r>
          </w:p>
        </w:tc>
        <w:tc>
          <w:tcPr>
            <w:tcW w:w="1268" w:type="pct"/>
            <w:tcBorders>
              <w:top w:val="nil"/>
              <w:bottom w:val="single" w:sz="4" w:space="0" w:color="auto"/>
            </w:tcBorders>
            <w:shd w:val="clear" w:color="auto" w:fill="FFFFFF"/>
            <w:tcMar>
              <w:top w:w="113" w:type="dxa"/>
              <w:bottom w:w="113" w:type="dxa"/>
            </w:tcMar>
          </w:tcPr>
          <w:p w:rsidR="006E2BB1" w:rsidRPr="00C258AD" w:rsidRDefault="00B26AF7" w:rsidP="001A4D6C">
            <w:pPr>
              <w:pStyle w:val="ListParagraph"/>
              <w:numPr>
                <w:ilvl w:val="0"/>
                <w:numId w:val="0"/>
              </w:numPr>
              <w:ind w:left="24"/>
              <w:rPr>
                <w:sz w:val="16"/>
                <w:szCs w:val="16"/>
                <w:lang w:bidi="th-TH"/>
              </w:rPr>
            </w:pPr>
            <w:r w:rsidRPr="00C258AD">
              <w:rPr>
                <w:sz w:val="16"/>
                <w:szCs w:val="16"/>
                <w:lang w:bidi="th-TH"/>
              </w:rPr>
              <w:t>En 2014</w:t>
            </w:r>
            <w:r w:rsidRPr="00C258AD">
              <w:rPr>
                <w:color w:val="000000"/>
                <w:sz w:val="16"/>
                <w:szCs w:val="22"/>
                <w:lang w:bidi="th-TH"/>
              </w:rPr>
              <w:noBreakHyphen/>
              <w:t>20</w:t>
            </w:r>
            <w:r w:rsidRPr="00C258AD">
              <w:rPr>
                <w:sz w:val="16"/>
                <w:szCs w:val="16"/>
                <w:lang w:bidi="th-TH"/>
              </w:rPr>
              <w:t>15, 54 pays différents au total ont participé au programme d’attribution de prix de l’OMPI :</w:t>
            </w:r>
          </w:p>
          <w:p w:rsidR="006E2BB1" w:rsidRPr="00C258AD" w:rsidRDefault="006E2BB1" w:rsidP="007E6877">
            <w:pPr>
              <w:pStyle w:val="ListParagraph"/>
              <w:numPr>
                <w:ilvl w:val="0"/>
                <w:numId w:val="0"/>
              </w:numPr>
              <w:ind w:left="24"/>
              <w:rPr>
                <w:sz w:val="16"/>
                <w:szCs w:val="16"/>
                <w:lang w:bidi="th-TH"/>
              </w:rPr>
            </w:pPr>
          </w:p>
          <w:p w:rsidR="006E2BB1" w:rsidRPr="00C258AD" w:rsidRDefault="00B26AF7" w:rsidP="00BB4DBC">
            <w:pPr>
              <w:pStyle w:val="ListParagraph"/>
              <w:numPr>
                <w:ilvl w:val="0"/>
                <w:numId w:val="32"/>
              </w:numPr>
              <w:rPr>
                <w:sz w:val="16"/>
                <w:szCs w:val="16"/>
                <w:lang w:bidi="th-TH"/>
              </w:rPr>
            </w:pPr>
            <w:r w:rsidRPr="00C258AD">
              <w:rPr>
                <w:sz w:val="16"/>
                <w:szCs w:val="16"/>
                <w:lang w:bidi="th-TH"/>
              </w:rPr>
              <w:t>40 en 2014</w:t>
            </w:r>
            <w:r w:rsidRPr="00C258AD">
              <w:rPr>
                <w:rStyle w:val="FootnoteReference"/>
                <w:rFonts w:eastAsia="SimSun"/>
                <w:sz w:val="16"/>
                <w:szCs w:val="16"/>
                <w:lang w:bidi="th-TH"/>
              </w:rPr>
              <w:footnoteReference w:id="98"/>
            </w:r>
            <w:r w:rsidRPr="00C258AD">
              <w:rPr>
                <w:sz w:val="16"/>
                <w:szCs w:val="16"/>
                <w:lang w:bidi="th-TH"/>
              </w:rPr>
              <w:t> : Afrique : 5;  pays arabes : 3;  Asie et Pacifique : 10, certains pays d’Europe et d’Asie : 8;  Amérique latine et Caraïbes : 7;  autre : 7</w:t>
            </w:r>
          </w:p>
          <w:p w:rsidR="006E2BB1" w:rsidRPr="00C258AD" w:rsidRDefault="006E2BB1" w:rsidP="001A4D6C">
            <w:pPr>
              <w:pStyle w:val="ListParagraph"/>
              <w:numPr>
                <w:ilvl w:val="0"/>
                <w:numId w:val="0"/>
              </w:numPr>
              <w:ind w:left="384"/>
              <w:rPr>
                <w:sz w:val="16"/>
                <w:szCs w:val="16"/>
                <w:lang w:bidi="th-TH"/>
              </w:rPr>
            </w:pPr>
          </w:p>
          <w:p w:rsidR="00B26AF7" w:rsidRPr="00C258AD" w:rsidRDefault="00B26AF7" w:rsidP="00BB4DBC">
            <w:pPr>
              <w:pStyle w:val="ListParagraph"/>
              <w:numPr>
                <w:ilvl w:val="0"/>
                <w:numId w:val="32"/>
              </w:numPr>
              <w:rPr>
                <w:sz w:val="16"/>
                <w:szCs w:val="16"/>
                <w:lang w:bidi="th-TH"/>
              </w:rPr>
            </w:pPr>
            <w:r w:rsidRPr="00C258AD">
              <w:rPr>
                <w:sz w:val="16"/>
                <w:szCs w:val="16"/>
                <w:lang w:bidi="th-TH"/>
              </w:rPr>
              <w:t>43 en 2015 : Afrique : 1;  pays arabes : 4;  Asie et Pacifique : 8, certains pays d’Europe et d’Asie : 15;  Amérique latine et Caraïbes : 9;  autre : 6</w:t>
            </w:r>
          </w:p>
        </w:tc>
        <w:tc>
          <w:tcPr>
            <w:tcW w:w="522" w:type="pct"/>
            <w:tcBorders>
              <w:top w:val="nil"/>
              <w:bottom w:val="single" w:sz="4" w:space="0" w:color="auto"/>
              <w:right w:val="single" w:sz="4" w:space="0" w:color="auto"/>
            </w:tcBorders>
            <w:shd w:val="clear" w:color="auto" w:fill="auto"/>
            <w:tcMar>
              <w:top w:w="113" w:type="dxa"/>
              <w:bottom w:w="113" w:type="dxa"/>
            </w:tcMar>
          </w:tcPr>
          <w:p w:rsidR="00B26AF7" w:rsidRPr="00C258AD" w:rsidRDefault="00B26AF7" w:rsidP="001A4D6C">
            <w:pPr>
              <w:keepNext/>
              <w:keepLines/>
              <w:jc w:val="center"/>
              <w:rPr>
                <w:b/>
                <w:bCs/>
                <w:color w:val="00B050"/>
                <w:sz w:val="16"/>
                <w:szCs w:val="16"/>
              </w:rPr>
            </w:pPr>
            <w:r w:rsidRPr="00C258AD">
              <w:rPr>
                <w:b/>
                <w:bCs/>
                <w:color w:val="00B050"/>
                <w:sz w:val="16"/>
                <w:szCs w:val="16"/>
              </w:rPr>
              <w:t>Objectif pleinement atteint</w:t>
            </w:r>
          </w:p>
        </w:tc>
      </w:tr>
      <w:tr w:rsidR="00B26AF7" w:rsidRPr="00C258AD" w:rsidTr="001A4D6C">
        <w:trPr>
          <w:cantSplit/>
        </w:trPr>
        <w:tc>
          <w:tcPr>
            <w:tcW w:w="5000" w:type="pct"/>
            <w:gridSpan w:val="5"/>
            <w:tcBorders>
              <w:top w:val="single" w:sz="4" w:space="0" w:color="auto"/>
              <w:bottom w:val="single" w:sz="4" w:space="0" w:color="auto"/>
            </w:tcBorders>
            <w:shd w:val="clear" w:color="auto" w:fill="C5D9F1"/>
            <w:tcMar>
              <w:top w:w="113" w:type="dxa"/>
              <w:bottom w:w="113" w:type="dxa"/>
            </w:tcMar>
            <w:vAlign w:val="center"/>
          </w:tcPr>
          <w:p w:rsidR="00B26AF7" w:rsidRPr="00C258AD" w:rsidRDefault="00B26AF7" w:rsidP="001A4D6C">
            <w:pPr>
              <w:keepNext/>
              <w:rPr>
                <w:b/>
                <w:sz w:val="16"/>
                <w:szCs w:val="16"/>
              </w:rPr>
            </w:pPr>
            <w:r w:rsidRPr="00C258AD">
              <w:rPr>
                <w:b/>
                <w:sz w:val="16"/>
                <w:szCs w:val="16"/>
              </w:rPr>
              <w:t>Résultat escompté :</w:t>
            </w:r>
            <w:r w:rsidRPr="00C258AD">
              <w:rPr>
                <w:sz w:val="16"/>
                <w:szCs w:val="16"/>
              </w:rPr>
              <w:t xml:space="preserve"> VI.1 Progrès du dialogue international de politique générale entre les États membres de l’OMPI en ce qui concerne la promotion du respect de la propriété intellectuelle, compte tenu de la recommandation n° 45 du Plan d’action pour le développement</w:t>
            </w:r>
          </w:p>
        </w:tc>
      </w:tr>
      <w:tr w:rsidR="00B26AF7" w:rsidRPr="00C258AD" w:rsidTr="001A4D6C">
        <w:trPr>
          <w:cantSplit/>
        </w:trPr>
        <w:tc>
          <w:tcPr>
            <w:tcW w:w="1121" w:type="pct"/>
            <w:tcBorders>
              <w:top w:val="single" w:sz="4" w:space="0" w:color="auto"/>
            </w:tcBorders>
            <w:shd w:val="clear" w:color="auto" w:fill="auto"/>
            <w:tcMar>
              <w:top w:w="113" w:type="dxa"/>
              <w:bottom w:w="113" w:type="dxa"/>
            </w:tcMar>
            <w:vAlign w:val="center"/>
          </w:tcPr>
          <w:p w:rsidR="00B26AF7" w:rsidRPr="00C258AD" w:rsidRDefault="00B26AF7" w:rsidP="001A4D6C">
            <w:pPr>
              <w:keepNext/>
              <w:keepLines/>
              <w:jc w:val="center"/>
              <w:rPr>
                <w:sz w:val="16"/>
                <w:szCs w:val="16"/>
              </w:rPr>
            </w:pPr>
            <w:r w:rsidRPr="00C258AD">
              <w:rPr>
                <w:b/>
                <w:sz w:val="16"/>
                <w:szCs w:val="16"/>
              </w:rPr>
              <w:t>Indicateurs d’exécution</w:t>
            </w:r>
          </w:p>
        </w:tc>
        <w:tc>
          <w:tcPr>
            <w:tcW w:w="1269" w:type="pct"/>
            <w:tcBorders>
              <w:top w:val="single" w:sz="4" w:space="0" w:color="auto"/>
            </w:tcBorders>
            <w:shd w:val="clear" w:color="auto" w:fill="auto"/>
            <w:tcMar>
              <w:top w:w="113" w:type="dxa"/>
              <w:bottom w:w="113" w:type="dxa"/>
            </w:tcMar>
            <w:vAlign w:val="center"/>
          </w:tcPr>
          <w:p w:rsidR="00B26AF7" w:rsidRPr="00C258AD" w:rsidRDefault="00B26AF7" w:rsidP="001A4D6C">
            <w:pPr>
              <w:keepNext/>
              <w:keepLines/>
              <w:jc w:val="center"/>
              <w:rPr>
                <w:b/>
                <w:bCs/>
                <w:sz w:val="16"/>
                <w:szCs w:val="16"/>
              </w:rPr>
            </w:pPr>
            <w:r w:rsidRPr="00C258AD">
              <w:rPr>
                <w:b/>
                <w:bCs/>
                <w:sz w:val="16"/>
                <w:szCs w:val="16"/>
              </w:rPr>
              <w:t>Niveaux de référence</w:t>
            </w:r>
          </w:p>
        </w:tc>
        <w:tc>
          <w:tcPr>
            <w:tcW w:w="819" w:type="pct"/>
            <w:tcBorders>
              <w:top w:val="single" w:sz="4" w:space="0" w:color="auto"/>
            </w:tcBorders>
            <w:shd w:val="clear" w:color="auto" w:fill="auto"/>
            <w:tcMar>
              <w:top w:w="113" w:type="dxa"/>
              <w:bottom w:w="113" w:type="dxa"/>
            </w:tcMar>
            <w:vAlign w:val="center"/>
          </w:tcPr>
          <w:p w:rsidR="00B26AF7" w:rsidRPr="00C258AD" w:rsidRDefault="00B26AF7" w:rsidP="001A4D6C">
            <w:pPr>
              <w:keepNext/>
              <w:keepLines/>
              <w:jc w:val="center"/>
              <w:rPr>
                <w:b/>
                <w:sz w:val="16"/>
                <w:szCs w:val="16"/>
              </w:rPr>
            </w:pPr>
            <w:r w:rsidRPr="00C258AD">
              <w:rPr>
                <w:b/>
                <w:sz w:val="16"/>
                <w:szCs w:val="16"/>
              </w:rPr>
              <w:t>Objectifs visés</w:t>
            </w:r>
          </w:p>
        </w:tc>
        <w:tc>
          <w:tcPr>
            <w:tcW w:w="1268" w:type="pct"/>
            <w:tcBorders>
              <w:top w:val="single" w:sz="4" w:space="0" w:color="auto"/>
            </w:tcBorders>
            <w:shd w:val="clear" w:color="auto" w:fill="FFFFFF"/>
            <w:tcMar>
              <w:top w:w="113" w:type="dxa"/>
              <w:bottom w:w="113" w:type="dxa"/>
            </w:tcMar>
            <w:vAlign w:val="center"/>
          </w:tcPr>
          <w:p w:rsidR="00B26AF7" w:rsidRPr="00C258AD" w:rsidRDefault="00B26AF7" w:rsidP="001A4D6C">
            <w:pPr>
              <w:keepNext/>
              <w:keepLines/>
              <w:jc w:val="center"/>
              <w:rPr>
                <w:sz w:val="16"/>
                <w:szCs w:val="16"/>
              </w:rPr>
            </w:pPr>
            <w:r w:rsidRPr="00C258AD">
              <w:rPr>
                <w:b/>
                <w:sz w:val="16"/>
                <w:szCs w:val="16"/>
              </w:rPr>
              <w:t>Données relatives à l’exécution</w:t>
            </w:r>
          </w:p>
        </w:tc>
        <w:tc>
          <w:tcPr>
            <w:tcW w:w="522" w:type="pct"/>
            <w:tcBorders>
              <w:top w:val="single" w:sz="4" w:space="0" w:color="auto"/>
            </w:tcBorders>
            <w:shd w:val="clear" w:color="auto" w:fill="auto"/>
            <w:tcMar>
              <w:top w:w="113" w:type="dxa"/>
              <w:bottom w:w="113" w:type="dxa"/>
            </w:tcMar>
            <w:vAlign w:val="center"/>
          </w:tcPr>
          <w:p w:rsidR="00B26AF7" w:rsidRPr="00C258AD" w:rsidRDefault="00B26AF7" w:rsidP="001A4D6C">
            <w:pPr>
              <w:keepNext/>
              <w:keepLines/>
              <w:jc w:val="center"/>
              <w:rPr>
                <w:b/>
                <w:bCs/>
                <w:sz w:val="16"/>
                <w:szCs w:val="16"/>
              </w:rPr>
            </w:pPr>
            <w:r w:rsidRPr="00C258AD">
              <w:rPr>
                <w:b/>
                <w:bCs/>
                <w:sz w:val="16"/>
                <w:szCs w:val="16"/>
              </w:rPr>
              <w:t>Code de couleurs</w:t>
            </w:r>
          </w:p>
        </w:tc>
      </w:tr>
      <w:tr w:rsidR="00B26AF7" w:rsidRPr="00C258AD" w:rsidTr="001A4D6C">
        <w:trPr>
          <w:cantSplit/>
        </w:trPr>
        <w:tc>
          <w:tcPr>
            <w:tcW w:w="1121" w:type="pct"/>
            <w:shd w:val="clear" w:color="auto" w:fill="auto"/>
            <w:tcMar>
              <w:top w:w="113" w:type="dxa"/>
              <w:bottom w:w="113" w:type="dxa"/>
            </w:tcMar>
          </w:tcPr>
          <w:p w:rsidR="00B26AF7" w:rsidRPr="00C258AD" w:rsidRDefault="00B26AF7" w:rsidP="001A4D6C">
            <w:pPr>
              <w:rPr>
                <w:sz w:val="16"/>
                <w:szCs w:val="16"/>
              </w:rPr>
            </w:pPr>
            <w:r w:rsidRPr="00C258AD">
              <w:rPr>
                <w:sz w:val="16"/>
                <w:szCs w:val="16"/>
              </w:rPr>
              <w:t>Accord permanent des États membres sur les activités de fond du Comité consultatif de l’OMPI sur l’application des droits (ACE), en prenant en considération les préoccupations relatives au développement</w:t>
            </w:r>
          </w:p>
        </w:tc>
        <w:tc>
          <w:tcPr>
            <w:tcW w:w="1269" w:type="pct"/>
            <w:shd w:val="clear" w:color="auto" w:fill="auto"/>
            <w:tcMar>
              <w:top w:w="113" w:type="dxa"/>
              <w:bottom w:w="113" w:type="dxa"/>
            </w:tcMar>
          </w:tcPr>
          <w:p w:rsidR="006E2BB1" w:rsidRPr="00C258AD" w:rsidRDefault="00B26AF7" w:rsidP="001A4D6C">
            <w:pPr>
              <w:rPr>
                <w:i/>
                <w:color w:val="002060"/>
                <w:sz w:val="16"/>
                <w:szCs w:val="16"/>
              </w:rPr>
            </w:pPr>
            <w:r w:rsidRPr="00C258AD">
              <w:rPr>
                <w:i/>
                <w:color w:val="002060"/>
                <w:sz w:val="16"/>
                <w:szCs w:val="16"/>
              </w:rPr>
              <w:t>Niveaux de référence actualisés à fin 2013 :</w:t>
            </w:r>
          </w:p>
          <w:p w:rsidR="006E2BB1" w:rsidRPr="00C258AD" w:rsidRDefault="00B26AF7" w:rsidP="001A4D6C">
            <w:pPr>
              <w:rPr>
                <w:color w:val="002060"/>
                <w:sz w:val="16"/>
                <w:szCs w:val="16"/>
              </w:rPr>
            </w:pPr>
            <w:r w:rsidRPr="00C258AD">
              <w:rPr>
                <w:color w:val="002060"/>
                <w:sz w:val="16"/>
                <w:szCs w:val="16"/>
              </w:rPr>
              <w:t>accord sur le programme de travail de la neuvième session de l’ACE</w:t>
            </w:r>
          </w:p>
          <w:p w:rsidR="006E2BB1" w:rsidRPr="00C258AD" w:rsidRDefault="006E2BB1" w:rsidP="001A4D6C">
            <w:pPr>
              <w:rPr>
                <w:i/>
                <w:color w:val="002060"/>
                <w:sz w:val="16"/>
                <w:szCs w:val="16"/>
              </w:rPr>
            </w:pPr>
          </w:p>
          <w:p w:rsidR="006E2BB1" w:rsidRPr="00C258AD" w:rsidRDefault="00B26AF7" w:rsidP="001A4D6C">
            <w:pPr>
              <w:rPr>
                <w:sz w:val="16"/>
                <w:szCs w:val="16"/>
                <w:lang w:bidi="th-TH"/>
              </w:rPr>
            </w:pPr>
            <w:r w:rsidRPr="00C258AD">
              <w:rPr>
                <w:i/>
                <w:sz w:val="16"/>
                <w:szCs w:val="16"/>
                <w:lang w:bidi="th-TH"/>
              </w:rPr>
              <w:t>Niveau de référence initial dans le programme et budget 2014</w:t>
            </w:r>
            <w:r w:rsidRPr="00C258AD">
              <w:rPr>
                <w:i/>
                <w:sz w:val="16"/>
                <w:szCs w:val="16"/>
                <w:lang w:bidi="th-TH"/>
              </w:rPr>
              <w:noBreakHyphen/>
              <w:t>2015 :</w:t>
            </w:r>
          </w:p>
          <w:p w:rsidR="00B26AF7" w:rsidRPr="00C258AD" w:rsidRDefault="00B26AF7" w:rsidP="001A4D6C">
            <w:pPr>
              <w:rPr>
                <w:sz w:val="16"/>
                <w:szCs w:val="16"/>
              </w:rPr>
            </w:pPr>
            <w:r w:rsidRPr="00C258AD">
              <w:rPr>
                <w:sz w:val="16"/>
                <w:szCs w:val="16"/>
                <w:lang w:bidi="th-TH"/>
              </w:rPr>
              <w:t>accord sur le programme de travail de la huitième session de l’ACE</w:t>
            </w:r>
          </w:p>
        </w:tc>
        <w:tc>
          <w:tcPr>
            <w:tcW w:w="819" w:type="pct"/>
            <w:shd w:val="clear" w:color="auto" w:fill="auto"/>
            <w:tcMar>
              <w:top w:w="113" w:type="dxa"/>
              <w:bottom w:w="113" w:type="dxa"/>
            </w:tcMar>
          </w:tcPr>
          <w:p w:rsidR="00B26AF7" w:rsidRPr="00C258AD" w:rsidRDefault="00B26AF7" w:rsidP="001A4D6C">
            <w:pPr>
              <w:rPr>
                <w:sz w:val="16"/>
                <w:szCs w:val="16"/>
              </w:rPr>
            </w:pPr>
            <w:r w:rsidRPr="00C258AD">
              <w:rPr>
                <w:sz w:val="16"/>
                <w:szCs w:val="16"/>
              </w:rPr>
              <w:t>Accord sur le programme de travail de la session suivante de l’ACE</w:t>
            </w:r>
          </w:p>
        </w:tc>
        <w:tc>
          <w:tcPr>
            <w:tcW w:w="1268" w:type="pct"/>
            <w:shd w:val="clear" w:color="auto" w:fill="FFFFFF"/>
            <w:tcMar>
              <w:top w:w="113" w:type="dxa"/>
              <w:bottom w:w="113" w:type="dxa"/>
            </w:tcMar>
          </w:tcPr>
          <w:p w:rsidR="00B26AF7" w:rsidRPr="00C258AD" w:rsidRDefault="00B26AF7" w:rsidP="001A4D6C">
            <w:pPr>
              <w:pStyle w:val="ListParagraph"/>
              <w:numPr>
                <w:ilvl w:val="0"/>
                <w:numId w:val="0"/>
              </w:numPr>
              <w:rPr>
                <w:sz w:val="16"/>
                <w:szCs w:val="16"/>
              </w:rPr>
            </w:pPr>
            <w:r w:rsidRPr="00C258AD">
              <w:rPr>
                <w:sz w:val="16"/>
                <w:szCs w:val="16"/>
              </w:rPr>
              <w:t>Un accord sur le programme de travail a été trouvé durant les neuvième et dixième sessions de l’ACE (paragraphe 44 du document WIPO/ACE/9/29, document WIPO/ACE/10/26 </w:t>
            </w:r>
            <w:proofErr w:type="spellStart"/>
            <w:r w:rsidRPr="00C258AD">
              <w:rPr>
                <w:sz w:val="16"/>
                <w:szCs w:val="16"/>
              </w:rPr>
              <w:t>Prov</w:t>
            </w:r>
            <w:proofErr w:type="spellEnd"/>
            <w:r w:rsidRPr="00C258AD">
              <w:rPr>
                <w:sz w:val="16"/>
                <w:szCs w:val="16"/>
              </w:rPr>
              <w:t>. et paragraphe 40 du document WIPO/ACE/10/26 </w:t>
            </w:r>
            <w:proofErr w:type="spellStart"/>
            <w:r w:rsidRPr="00C258AD">
              <w:rPr>
                <w:sz w:val="16"/>
                <w:szCs w:val="16"/>
              </w:rPr>
              <w:t>Prov</w:t>
            </w:r>
            <w:proofErr w:type="spellEnd"/>
            <w:r w:rsidRPr="00C258AD">
              <w:rPr>
                <w:sz w:val="16"/>
                <w:szCs w:val="16"/>
              </w:rPr>
              <w:t>).</w:t>
            </w:r>
          </w:p>
        </w:tc>
        <w:tc>
          <w:tcPr>
            <w:tcW w:w="522" w:type="pct"/>
            <w:shd w:val="clear" w:color="auto" w:fill="auto"/>
            <w:tcMar>
              <w:top w:w="113" w:type="dxa"/>
              <w:bottom w:w="113" w:type="dxa"/>
            </w:tcMar>
          </w:tcPr>
          <w:p w:rsidR="00B26AF7" w:rsidRPr="00C258AD" w:rsidRDefault="00B26AF7" w:rsidP="001A4D6C">
            <w:pPr>
              <w:jc w:val="center"/>
              <w:rPr>
                <w:b/>
                <w:bCs/>
                <w:sz w:val="16"/>
                <w:szCs w:val="16"/>
              </w:rPr>
            </w:pPr>
            <w:r w:rsidRPr="00C258AD">
              <w:rPr>
                <w:b/>
                <w:bCs/>
                <w:color w:val="00B050"/>
                <w:sz w:val="16"/>
                <w:szCs w:val="16"/>
              </w:rPr>
              <w:t>Objectif pleinement atteint</w:t>
            </w:r>
          </w:p>
        </w:tc>
      </w:tr>
      <w:tr w:rsidR="00B26AF7" w:rsidRPr="00C258AD" w:rsidTr="001A4D6C">
        <w:trPr>
          <w:cantSplit/>
        </w:trPr>
        <w:tc>
          <w:tcPr>
            <w:tcW w:w="5000" w:type="pct"/>
            <w:gridSpan w:val="5"/>
            <w:tcBorders>
              <w:top w:val="single" w:sz="4" w:space="0" w:color="auto"/>
              <w:bottom w:val="single" w:sz="4" w:space="0" w:color="auto"/>
            </w:tcBorders>
            <w:shd w:val="clear" w:color="auto" w:fill="C5D9F1"/>
            <w:tcMar>
              <w:top w:w="113" w:type="dxa"/>
              <w:bottom w:w="113" w:type="dxa"/>
            </w:tcMar>
            <w:vAlign w:val="center"/>
          </w:tcPr>
          <w:p w:rsidR="00B26AF7" w:rsidRPr="00C258AD" w:rsidRDefault="00B26AF7" w:rsidP="001A4D6C">
            <w:pPr>
              <w:keepNext/>
              <w:rPr>
                <w:b/>
                <w:sz w:val="16"/>
                <w:szCs w:val="16"/>
              </w:rPr>
            </w:pPr>
            <w:r w:rsidRPr="00C258AD">
              <w:rPr>
                <w:b/>
                <w:sz w:val="16"/>
                <w:szCs w:val="16"/>
              </w:rPr>
              <w:lastRenderedPageBreak/>
              <w:t>Résultat escompté :</w:t>
            </w:r>
            <w:r w:rsidRPr="00C258AD">
              <w:rPr>
                <w:sz w:val="16"/>
                <w:szCs w:val="16"/>
              </w:rPr>
              <w:t xml:space="preserve"> VI.2 Coopération et coordination systématiques, efficaces et transparentes entre les travaux de l’OMPI et ceux d’autres organisations internationales dans le domaine de la promotion du respect de la propriété intellectuelle</w:t>
            </w:r>
          </w:p>
        </w:tc>
      </w:tr>
      <w:tr w:rsidR="00B26AF7" w:rsidRPr="00C258AD" w:rsidTr="001A4D6C">
        <w:trPr>
          <w:cantSplit/>
        </w:trPr>
        <w:tc>
          <w:tcPr>
            <w:tcW w:w="1121" w:type="pct"/>
            <w:tcBorders>
              <w:top w:val="single" w:sz="4" w:space="0" w:color="auto"/>
            </w:tcBorders>
            <w:shd w:val="clear" w:color="auto" w:fill="auto"/>
            <w:tcMar>
              <w:top w:w="113" w:type="dxa"/>
              <w:bottom w:w="113" w:type="dxa"/>
            </w:tcMar>
            <w:vAlign w:val="center"/>
          </w:tcPr>
          <w:p w:rsidR="00B26AF7" w:rsidRPr="00C258AD" w:rsidRDefault="00B26AF7" w:rsidP="001A4D6C">
            <w:pPr>
              <w:keepNext/>
              <w:jc w:val="center"/>
              <w:rPr>
                <w:sz w:val="16"/>
                <w:szCs w:val="16"/>
              </w:rPr>
            </w:pPr>
            <w:r w:rsidRPr="00C258AD">
              <w:rPr>
                <w:b/>
                <w:sz w:val="16"/>
                <w:szCs w:val="16"/>
              </w:rPr>
              <w:t>Indicateurs d’exécution</w:t>
            </w:r>
          </w:p>
        </w:tc>
        <w:tc>
          <w:tcPr>
            <w:tcW w:w="1269" w:type="pct"/>
            <w:tcBorders>
              <w:top w:val="single" w:sz="4" w:space="0" w:color="auto"/>
            </w:tcBorders>
            <w:shd w:val="clear" w:color="auto" w:fill="auto"/>
            <w:tcMar>
              <w:top w:w="113" w:type="dxa"/>
              <w:bottom w:w="113" w:type="dxa"/>
            </w:tcMar>
            <w:vAlign w:val="center"/>
          </w:tcPr>
          <w:p w:rsidR="00B26AF7" w:rsidRPr="00C258AD" w:rsidRDefault="00B26AF7" w:rsidP="001A4D6C">
            <w:pPr>
              <w:keepNext/>
              <w:jc w:val="center"/>
              <w:rPr>
                <w:b/>
                <w:bCs/>
                <w:sz w:val="16"/>
                <w:szCs w:val="16"/>
              </w:rPr>
            </w:pPr>
            <w:r w:rsidRPr="00C258AD">
              <w:rPr>
                <w:b/>
                <w:bCs/>
                <w:sz w:val="16"/>
                <w:szCs w:val="16"/>
              </w:rPr>
              <w:t>Niveaux de référence</w:t>
            </w:r>
          </w:p>
        </w:tc>
        <w:tc>
          <w:tcPr>
            <w:tcW w:w="819" w:type="pct"/>
            <w:tcBorders>
              <w:top w:val="single" w:sz="4" w:space="0" w:color="auto"/>
            </w:tcBorders>
            <w:shd w:val="clear" w:color="auto" w:fill="auto"/>
            <w:tcMar>
              <w:top w:w="113" w:type="dxa"/>
              <w:bottom w:w="113" w:type="dxa"/>
            </w:tcMar>
            <w:vAlign w:val="center"/>
          </w:tcPr>
          <w:p w:rsidR="00B26AF7" w:rsidRPr="00C258AD" w:rsidRDefault="00B26AF7" w:rsidP="001A4D6C">
            <w:pPr>
              <w:keepNext/>
              <w:jc w:val="center"/>
              <w:rPr>
                <w:b/>
                <w:sz w:val="16"/>
                <w:szCs w:val="16"/>
              </w:rPr>
            </w:pPr>
            <w:r w:rsidRPr="00C258AD">
              <w:rPr>
                <w:b/>
                <w:sz w:val="16"/>
                <w:szCs w:val="16"/>
              </w:rPr>
              <w:t>Objectifs visés</w:t>
            </w:r>
          </w:p>
        </w:tc>
        <w:tc>
          <w:tcPr>
            <w:tcW w:w="1268" w:type="pct"/>
            <w:tcBorders>
              <w:top w:val="single" w:sz="4" w:space="0" w:color="auto"/>
            </w:tcBorders>
            <w:shd w:val="clear" w:color="auto" w:fill="FFFFFF"/>
            <w:tcMar>
              <w:top w:w="113" w:type="dxa"/>
              <w:bottom w:w="113" w:type="dxa"/>
            </w:tcMar>
            <w:vAlign w:val="center"/>
          </w:tcPr>
          <w:p w:rsidR="00B26AF7" w:rsidRPr="00C258AD" w:rsidRDefault="00B26AF7" w:rsidP="001A4D6C">
            <w:pPr>
              <w:keepNext/>
              <w:jc w:val="center"/>
              <w:rPr>
                <w:sz w:val="16"/>
                <w:szCs w:val="16"/>
              </w:rPr>
            </w:pPr>
            <w:r w:rsidRPr="00C258AD">
              <w:rPr>
                <w:b/>
                <w:sz w:val="16"/>
                <w:szCs w:val="16"/>
              </w:rPr>
              <w:t>Données relatives à l’exécution</w:t>
            </w:r>
          </w:p>
        </w:tc>
        <w:tc>
          <w:tcPr>
            <w:tcW w:w="522" w:type="pct"/>
            <w:tcBorders>
              <w:top w:val="single" w:sz="4" w:space="0" w:color="auto"/>
            </w:tcBorders>
            <w:shd w:val="clear" w:color="auto" w:fill="auto"/>
            <w:tcMar>
              <w:top w:w="113" w:type="dxa"/>
              <w:bottom w:w="113" w:type="dxa"/>
            </w:tcMar>
            <w:vAlign w:val="center"/>
          </w:tcPr>
          <w:p w:rsidR="00B26AF7" w:rsidRPr="00C258AD" w:rsidRDefault="00B26AF7" w:rsidP="001A4D6C">
            <w:pPr>
              <w:keepNext/>
              <w:keepLines/>
              <w:jc w:val="center"/>
              <w:rPr>
                <w:b/>
                <w:bCs/>
                <w:sz w:val="16"/>
                <w:szCs w:val="16"/>
              </w:rPr>
            </w:pPr>
            <w:r w:rsidRPr="00C258AD">
              <w:rPr>
                <w:b/>
                <w:bCs/>
                <w:sz w:val="16"/>
                <w:szCs w:val="16"/>
              </w:rPr>
              <w:t>Code de couleurs</w:t>
            </w:r>
          </w:p>
        </w:tc>
      </w:tr>
      <w:tr w:rsidR="00B26AF7" w:rsidRPr="00C258AD" w:rsidTr="001A4D6C">
        <w:trPr>
          <w:cantSplit/>
        </w:trPr>
        <w:tc>
          <w:tcPr>
            <w:tcW w:w="1121" w:type="pct"/>
            <w:shd w:val="clear" w:color="auto" w:fill="auto"/>
            <w:tcMar>
              <w:top w:w="113" w:type="dxa"/>
              <w:bottom w:w="113" w:type="dxa"/>
            </w:tcMar>
          </w:tcPr>
          <w:p w:rsidR="00B26AF7" w:rsidRPr="00C258AD" w:rsidRDefault="00B26AF7" w:rsidP="001A4D6C">
            <w:pPr>
              <w:keepNext/>
              <w:keepLines/>
              <w:rPr>
                <w:sz w:val="16"/>
                <w:szCs w:val="16"/>
              </w:rPr>
            </w:pPr>
            <w:r w:rsidRPr="00C258AD">
              <w:rPr>
                <w:sz w:val="16"/>
                <w:szCs w:val="16"/>
              </w:rPr>
              <w:t>Nombre d’activités communes relatives à la promotion du respect de la propriété intellectuelle</w:t>
            </w:r>
          </w:p>
        </w:tc>
        <w:tc>
          <w:tcPr>
            <w:tcW w:w="1269" w:type="pct"/>
            <w:shd w:val="clear" w:color="auto" w:fill="auto"/>
            <w:tcMar>
              <w:top w:w="113" w:type="dxa"/>
              <w:bottom w:w="113" w:type="dxa"/>
            </w:tcMar>
          </w:tcPr>
          <w:p w:rsidR="006E2BB1" w:rsidRPr="00C258AD" w:rsidRDefault="00B26AF7" w:rsidP="001A4D6C">
            <w:pPr>
              <w:keepNext/>
              <w:keepLines/>
              <w:rPr>
                <w:i/>
                <w:color w:val="002060"/>
                <w:sz w:val="16"/>
                <w:szCs w:val="16"/>
              </w:rPr>
            </w:pPr>
            <w:r w:rsidRPr="00C258AD">
              <w:rPr>
                <w:i/>
                <w:color w:val="002060"/>
                <w:sz w:val="16"/>
                <w:szCs w:val="16"/>
              </w:rPr>
              <w:t>Niveau de référence actualisé à fin 2013</w:t>
            </w:r>
            <w:r w:rsidRPr="00C258AD">
              <w:rPr>
                <w:color w:val="002060"/>
                <w:sz w:val="16"/>
                <w:szCs w:val="16"/>
              </w:rPr>
              <w:t> :</w:t>
            </w:r>
          </w:p>
          <w:p w:rsidR="006E2BB1" w:rsidRPr="00C258AD" w:rsidRDefault="00B26AF7" w:rsidP="001A4D6C">
            <w:pPr>
              <w:keepNext/>
              <w:keepLines/>
              <w:rPr>
                <w:i/>
                <w:color w:val="002060"/>
                <w:sz w:val="16"/>
                <w:szCs w:val="16"/>
              </w:rPr>
            </w:pPr>
            <w:r w:rsidRPr="00C258AD">
              <w:rPr>
                <w:color w:val="002060"/>
                <w:sz w:val="16"/>
                <w:szCs w:val="16"/>
              </w:rPr>
              <w:t>39 en 2012</w:t>
            </w:r>
            <w:r w:rsidRPr="00C258AD">
              <w:rPr>
                <w:color w:val="002060"/>
                <w:sz w:val="16"/>
                <w:szCs w:val="16"/>
              </w:rPr>
              <w:noBreakHyphen/>
              <w:t>2013</w:t>
            </w:r>
          </w:p>
          <w:p w:rsidR="006E2BB1" w:rsidRPr="00C258AD" w:rsidRDefault="006E2BB1" w:rsidP="001A4D6C">
            <w:pPr>
              <w:keepNext/>
              <w:keepLines/>
              <w:rPr>
                <w:i/>
                <w:sz w:val="16"/>
                <w:szCs w:val="16"/>
              </w:rPr>
            </w:pPr>
          </w:p>
          <w:p w:rsidR="006E2BB1" w:rsidRPr="00C258AD" w:rsidRDefault="00B26AF7" w:rsidP="001A4D6C">
            <w:pPr>
              <w:keepNext/>
              <w:keepLines/>
              <w:rPr>
                <w:sz w:val="16"/>
                <w:szCs w:val="16"/>
              </w:rPr>
            </w:pPr>
            <w:r w:rsidRPr="00C258AD">
              <w:rPr>
                <w:i/>
                <w:sz w:val="16"/>
                <w:szCs w:val="16"/>
              </w:rPr>
              <w:t>Niveau de référence initial dans le programme et budget 2014</w:t>
            </w:r>
            <w:r w:rsidRPr="00C258AD">
              <w:rPr>
                <w:i/>
                <w:sz w:val="16"/>
                <w:szCs w:val="16"/>
              </w:rPr>
              <w:noBreakHyphen/>
              <w:t>2015 :</w:t>
            </w:r>
          </w:p>
          <w:p w:rsidR="00B26AF7" w:rsidRPr="00C258AD" w:rsidRDefault="00B26AF7" w:rsidP="001A4D6C">
            <w:pPr>
              <w:keepNext/>
              <w:keepLines/>
              <w:rPr>
                <w:sz w:val="16"/>
                <w:szCs w:val="16"/>
              </w:rPr>
            </w:pPr>
            <w:r w:rsidRPr="00C258AD">
              <w:rPr>
                <w:sz w:val="16"/>
                <w:szCs w:val="16"/>
              </w:rPr>
              <w:t>30</w:t>
            </w:r>
          </w:p>
        </w:tc>
        <w:tc>
          <w:tcPr>
            <w:tcW w:w="819" w:type="pct"/>
            <w:shd w:val="clear" w:color="auto" w:fill="auto"/>
            <w:tcMar>
              <w:top w:w="113" w:type="dxa"/>
              <w:bottom w:w="113" w:type="dxa"/>
            </w:tcMar>
          </w:tcPr>
          <w:p w:rsidR="00B26AF7" w:rsidRPr="00C258AD" w:rsidRDefault="00B26AF7" w:rsidP="001A4D6C">
            <w:pPr>
              <w:keepNext/>
              <w:keepLines/>
              <w:rPr>
                <w:sz w:val="16"/>
                <w:szCs w:val="16"/>
                <w:lang w:bidi="th-TH"/>
              </w:rPr>
            </w:pPr>
            <w:r w:rsidRPr="00C258AD">
              <w:rPr>
                <w:sz w:val="16"/>
                <w:szCs w:val="16"/>
              </w:rPr>
              <w:t>30</w:t>
            </w:r>
          </w:p>
        </w:tc>
        <w:tc>
          <w:tcPr>
            <w:tcW w:w="1268" w:type="pct"/>
            <w:shd w:val="clear" w:color="auto" w:fill="FFFFFF"/>
            <w:tcMar>
              <w:top w:w="113" w:type="dxa"/>
              <w:bottom w:w="113" w:type="dxa"/>
            </w:tcMar>
          </w:tcPr>
          <w:p w:rsidR="006E2BB1" w:rsidRPr="00C258AD" w:rsidRDefault="00B26AF7" w:rsidP="001A4D6C">
            <w:pPr>
              <w:rPr>
                <w:sz w:val="16"/>
                <w:szCs w:val="16"/>
              </w:rPr>
            </w:pPr>
            <w:r w:rsidRPr="00C258AD">
              <w:rPr>
                <w:sz w:val="16"/>
                <w:szCs w:val="16"/>
              </w:rPr>
              <w:t>En 2014</w:t>
            </w:r>
            <w:r w:rsidRPr="00C258AD">
              <w:rPr>
                <w:sz w:val="16"/>
                <w:szCs w:val="16"/>
              </w:rPr>
              <w:noBreakHyphen/>
              <w:t>2015, un total de sept collaborations stratégiques</w:t>
            </w:r>
            <w:r w:rsidRPr="00C258AD">
              <w:rPr>
                <w:rStyle w:val="FootnoteReference"/>
                <w:rFonts w:eastAsia="SimSun"/>
                <w:sz w:val="16"/>
                <w:szCs w:val="16"/>
              </w:rPr>
              <w:footnoteReference w:id="99"/>
            </w:r>
            <w:r w:rsidRPr="00C258AD">
              <w:rPr>
                <w:sz w:val="16"/>
                <w:szCs w:val="16"/>
              </w:rPr>
              <w:t xml:space="preserve"> (en tout) et 55 activités tenues conjointement avec des organisations partenaires et des parties prenantes ou auxquelles le programme 17 a participé :</w:t>
            </w:r>
          </w:p>
          <w:p w:rsidR="006E2BB1" w:rsidRPr="00C258AD" w:rsidRDefault="00B26AF7" w:rsidP="00BB4DBC">
            <w:pPr>
              <w:pStyle w:val="ListParagraph"/>
              <w:numPr>
                <w:ilvl w:val="0"/>
                <w:numId w:val="33"/>
              </w:numPr>
              <w:rPr>
                <w:sz w:val="16"/>
                <w:szCs w:val="16"/>
              </w:rPr>
            </w:pPr>
            <w:r w:rsidRPr="00C258AD">
              <w:rPr>
                <w:sz w:val="16"/>
                <w:szCs w:val="16"/>
              </w:rPr>
              <w:t>6 collaborations stratégiques et 29 autres activités communes en 2014</w:t>
            </w:r>
            <w:r w:rsidRPr="00C258AD">
              <w:rPr>
                <w:rStyle w:val="FootnoteReference"/>
                <w:rFonts w:eastAsia="SimSun"/>
                <w:sz w:val="16"/>
                <w:szCs w:val="16"/>
              </w:rPr>
              <w:footnoteReference w:id="100"/>
            </w:r>
          </w:p>
          <w:p w:rsidR="00B26AF7" w:rsidRPr="00C258AD" w:rsidRDefault="00B26AF7" w:rsidP="00BB4DBC">
            <w:pPr>
              <w:pStyle w:val="ListParagraph"/>
              <w:numPr>
                <w:ilvl w:val="0"/>
                <w:numId w:val="33"/>
              </w:numPr>
              <w:rPr>
                <w:sz w:val="16"/>
                <w:szCs w:val="16"/>
              </w:rPr>
            </w:pPr>
            <w:r w:rsidRPr="00C258AD">
              <w:rPr>
                <w:sz w:val="16"/>
                <w:szCs w:val="16"/>
              </w:rPr>
              <w:t>7 collaborations stratégiques (1 supplémentaire) et 26 autres activités communes en 2015.</w:t>
            </w:r>
          </w:p>
        </w:tc>
        <w:tc>
          <w:tcPr>
            <w:tcW w:w="522" w:type="pct"/>
            <w:shd w:val="clear" w:color="auto" w:fill="auto"/>
            <w:tcMar>
              <w:top w:w="113" w:type="dxa"/>
              <w:bottom w:w="113" w:type="dxa"/>
            </w:tcMar>
          </w:tcPr>
          <w:p w:rsidR="00B26AF7" w:rsidRPr="00C258AD" w:rsidRDefault="00B26AF7" w:rsidP="001A4D6C">
            <w:pPr>
              <w:keepNext/>
              <w:keepLines/>
              <w:jc w:val="center"/>
              <w:rPr>
                <w:b/>
                <w:bCs/>
                <w:sz w:val="16"/>
                <w:szCs w:val="16"/>
              </w:rPr>
            </w:pPr>
            <w:r w:rsidRPr="00C258AD">
              <w:rPr>
                <w:b/>
                <w:bCs/>
                <w:color w:val="00B050"/>
                <w:sz w:val="16"/>
                <w:szCs w:val="16"/>
              </w:rPr>
              <w:t>Objectif pleinement atteint</w:t>
            </w:r>
          </w:p>
        </w:tc>
      </w:tr>
    </w:tbl>
    <w:p w:rsidR="006E2BB1" w:rsidRPr="00C258AD" w:rsidRDefault="006E2BB1" w:rsidP="001A4D6C">
      <w:pPr>
        <w:jc w:val="both"/>
        <w:rPr>
          <w:color w:val="000000"/>
        </w:rPr>
      </w:pPr>
    </w:p>
    <w:p w:rsidR="006E2BB1" w:rsidRPr="00C258AD" w:rsidRDefault="006E2BB1" w:rsidP="001A4D6C">
      <w:pPr>
        <w:jc w:val="both"/>
        <w:rPr>
          <w:color w:val="000000"/>
        </w:rPr>
      </w:pPr>
    </w:p>
    <w:p w:rsidR="006E2BB1" w:rsidRPr="00C258AD" w:rsidRDefault="00B26AF7" w:rsidP="00305CE5">
      <w:pPr>
        <w:keepNext/>
        <w:rPr>
          <w:rFonts w:cs="Arial"/>
          <w:caps/>
          <w:sz w:val="22"/>
          <w:szCs w:val="22"/>
        </w:rPr>
      </w:pPr>
      <w:r w:rsidRPr="00C258AD">
        <w:rPr>
          <w:rFonts w:cs="Arial"/>
          <w:caps/>
          <w:sz w:val="22"/>
          <w:szCs w:val="22"/>
        </w:rPr>
        <w:t>Rapport d’évaluation des risques pour l’exercice biennal</w:t>
      </w:r>
    </w:p>
    <w:p w:rsidR="00B26AF7" w:rsidRPr="00C258AD" w:rsidRDefault="00B26AF7" w:rsidP="001A4D6C">
      <w:pPr>
        <w:keepNext/>
        <w:keepLines/>
        <w:rPr>
          <w:rFonts w:cs="Arial"/>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B26AF7" w:rsidRPr="00C258AD" w:rsidTr="001A4D6C">
        <w:trPr>
          <w:cantSplit/>
        </w:trPr>
        <w:tc>
          <w:tcPr>
            <w:tcW w:w="2372" w:type="dxa"/>
            <w:tcBorders>
              <w:top w:val="single" w:sz="4" w:space="0" w:color="auto"/>
              <w:left w:val="single" w:sz="4" w:space="0" w:color="auto"/>
              <w:bottom w:val="single" w:sz="4" w:space="0" w:color="auto"/>
            </w:tcBorders>
            <w:shd w:val="clear" w:color="auto" w:fill="C5D9F1"/>
            <w:vAlign w:val="center"/>
          </w:tcPr>
          <w:p w:rsidR="00B26AF7" w:rsidRPr="00C258AD" w:rsidRDefault="00B26AF7" w:rsidP="001A4D6C">
            <w:pPr>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B26AF7" w:rsidRPr="00C258AD" w:rsidRDefault="00B26AF7" w:rsidP="001A4D6C">
            <w:pPr>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B26AF7" w:rsidRPr="00C258AD" w:rsidRDefault="00B26AF7" w:rsidP="001A4D6C">
            <w:pPr>
              <w:autoSpaceDE w:val="0"/>
              <w:autoSpaceDN w:val="0"/>
              <w:adjustRightInd w:val="0"/>
              <w:ind w:right="-59"/>
              <w:jc w:val="center"/>
              <w:rPr>
                <w:b/>
                <w:bCs/>
                <w:iCs/>
                <w:sz w:val="16"/>
                <w:szCs w:val="16"/>
              </w:rPr>
            </w:pPr>
            <w:r w:rsidRPr="00C258AD">
              <w:rPr>
                <w:b/>
                <w:bCs/>
                <w:iCs/>
                <w:sz w:val="16"/>
                <w:szCs w:val="16"/>
              </w:rPr>
              <w:t>Évolution des risques et des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B26AF7" w:rsidRPr="00C258AD" w:rsidRDefault="00B26AF7" w:rsidP="001A4D6C">
            <w:pPr>
              <w:autoSpaceDE w:val="0"/>
              <w:autoSpaceDN w:val="0"/>
              <w:adjustRightInd w:val="0"/>
              <w:jc w:val="center"/>
              <w:rPr>
                <w:b/>
                <w:bCs/>
                <w:iCs/>
                <w:sz w:val="16"/>
                <w:szCs w:val="16"/>
              </w:rPr>
            </w:pPr>
            <w:r w:rsidRPr="00C258AD">
              <w:rPr>
                <w:b/>
                <w:bCs/>
                <w:iCs/>
                <w:sz w:val="16"/>
                <w:szCs w:val="16"/>
              </w:rPr>
              <w:t>Incidence sur les résultats du programme</w:t>
            </w:r>
          </w:p>
        </w:tc>
      </w:tr>
      <w:tr w:rsidR="00B26AF7" w:rsidRPr="00C258AD" w:rsidTr="001A4D6C">
        <w:tblPrEx>
          <w:tblBorders>
            <w:top w:val="single" w:sz="4" w:space="0" w:color="auto"/>
            <w:left w:val="single" w:sz="4" w:space="0" w:color="auto"/>
            <w:bottom w:val="single" w:sz="4" w:space="0" w:color="auto"/>
            <w:right w:val="single" w:sz="4" w:space="0" w:color="auto"/>
          </w:tblBorders>
        </w:tblPrEx>
        <w:trPr>
          <w:cantSplit/>
        </w:trPr>
        <w:tc>
          <w:tcPr>
            <w:tcW w:w="2372" w:type="dxa"/>
            <w:tcBorders>
              <w:top w:val="single" w:sz="4" w:space="0" w:color="auto"/>
            </w:tcBorders>
            <w:shd w:val="clear" w:color="auto" w:fill="auto"/>
            <w:tcMar>
              <w:top w:w="113" w:type="dxa"/>
              <w:bottom w:w="85" w:type="dxa"/>
            </w:tcMar>
          </w:tcPr>
          <w:p w:rsidR="00B26AF7" w:rsidRPr="00C258AD" w:rsidRDefault="00B26AF7" w:rsidP="001A4D6C">
            <w:pPr>
              <w:keepNext/>
              <w:keepLines/>
              <w:autoSpaceDE w:val="0"/>
              <w:autoSpaceDN w:val="0"/>
              <w:adjustRightInd w:val="0"/>
              <w:ind w:right="-59"/>
              <w:rPr>
                <w:sz w:val="16"/>
                <w:szCs w:val="16"/>
              </w:rPr>
            </w:pPr>
            <w:r w:rsidRPr="00C258AD">
              <w:rPr>
                <w:sz w:val="16"/>
                <w:szCs w:val="16"/>
              </w:rPr>
              <w:t xml:space="preserve">Absence d’accord entre les États membres, et de soutien politique de leur part, s’agissant des activités de promotion du respect de la propriété intellectuelle de l’OMPI.  Le rôle de l’OMPI dans ce domaine pourrait alors être remis en question.  </w:t>
            </w:r>
          </w:p>
        </w:tc>
        <w:tc>
          <w:tcPr>
            <w:tcW w:w="2373" w:type="dxa"/>
            <w:tcBorders>
              <w:top w:val="single" w:sz="4" w:space="0" w:color="auto"/>
            </w:tcBorders>
            <w:shd w:val="clear" w:color="auto" w:fill="auto"/>
            <w:tcMar>
              <w:top w:w="113" w:type="dxa"/>
              <w:bottom w:w="85" w:type="dxa"/>
            </w:tcMar>
          </w:tcPr>
          <w:p w:rsidR="00B26AF7" w:rsidRPr="00C258AD" w:rsidRDefault="00B26AF7" w:rsidP="001A4D6C">
            <w:pPr>
              <w:keepNext/>
              <w:keepLines/>
              <w:autoSpaceDE w:val="0"/>
              <w:autoSpaceDN w:val="0"/>
              <w:adjustRightInd w:val="0"/>
              <w:ind w:right="-59"/>
              <w:rPr>
                <w:sz w:val="16"/>
                <w:szCs w:val="16"/>
              </w:rPr>
            </w:pPr>
            <w:r w:rsidRPr="00C258AD">
              <w:rPr>
                <w:sz w:val="16"/>
                <w:szCs w:val="16"/>
              </w:rPr>
              <w:t>Ce programme prévoit des consultations régulières avec les États membres pour faciliter une convergence de vues quant à la pertinence du Comité consultatif de l’OMPI sur l’application des droits (ACE), à sa fonction en matière d’élaboration de politiques et aux activités de renforcement des capacités y afférentes.  Toutes les activités répondent à des normes rigoureuses, ce qui est un gage de qualité, de transparence, de neutralité et d’une approche équilibrée.</w:t>
            </w:r>
          </w:p>
        </w:tc>
        <w:tc>
          <w:tcPr>
            <w:tcW w:w="2373" w:type="dxa"/>
            <w:tcBorders>
              <w:top w:val="single" w:sz="4" w:space="0" w:color="auto"/>
            </w:tcBorders>
          </w:tcPr>
          <w:p w:rsidR="00B26AF7" w:rsidRPr="00C258AD" w:rsidRDefault="00B26AF7" w:rsidP="001A4D6C">
            <w:pPr>
              <w:keepNext/>
              <w:keepLines/>
              <w:autoSpaceDE w:val="0"/>
              <w:autoSpaceDN w:val="0"/>
              <w:adjustRightInd w:val="0"/>
              <w:ind w:right="-59"/>
              <w:rPr>
                <w:color w:val="C0504D" w:themeColor="accent2"/>
                <w:sz w:val="16"/>
                <w:szCs w:val="16"/>
              </w:rPr>
            </w:pPr>
            <w:r w:rsidRPr="00C258AD">
              <w:rPr>
                <w:sz w:val="16"/>
                <w:szCs w:val="16"/>
              </w:rPr>
              <w:t>Le risque est toujours présent.  Il a été géré grâce à l’application stricte et totale du plan d’atténuation.  Les États membres ont exprimé leur appui aux activités de promotion du respect de la propriété intellectuelle de l’OMPI, ainsi qu’il est ressorti des délibérations de l’ACE et de l’évaluation de la Division de la supervision interne (DSI) pour l’objectif stratégique VI</w:t>
            </w:r>
            <w:r w:rsidRPr="00C258AD">
              <w:rPr>
                <w:rStyle w:val="FootnoteReference"/>
                <w:rFonts w:eastAsia="SimSun"/>
                <w:sz w:val="16"/>
                <w:szCs w:val="16"/>
              </w:rPr>
              <w:footnoteReference w:id="101"/>
            </w:r>
            <w:r w:rsidRPr="00C258AD">
              <w:rPr>
                <w:sz w:val="16"/>
                <w:szCs w:val="16"/>
              </w:rPr>
              <w:t xml:space="preserve">.  </w:t>
            </w:r>
          </w:p>
        </w:tc>
        <w:tc>
          <w:tcPr>
            <w:tcW w:w="2373" w:type="dxa"/>
            <w:tcBorders>
              <w:top w:val="single" w:sz="4" w:space="0" w:color="auto"/>
            </w:tcBorders>
          </w:tcPr>
          <w:p w:rsidR="00B26AF7" w:rsidRPr="00C258AD" w:rsidRDefault="00B26AF7" w:rsidP="001A4D6C">
            <w:pPr>
              <w:keepNext/>
              <w:keepLines/>
              <w:autoSpaceDE w:val="0"/>
              <w:autoSpaceDN w:val="0"/>
              <w:adjustRightInd w:val="0"/>
              <w:ind w:right="-59"/>
              <w:rPr>
                <w:sz w:val="16"/>
                <w:szCs w:val="16"/>
              </w:rPr>
            </w:pPr>
            <w:r w:rsidRPr="00C258AD">
              <w:rPr>
                <w:sz w:val="16"/>
                <w:szCs w:val="16"/>
              </w:rPr>
              <w:t xml:space="preserve">Le risque ne s’est pas réalisé durant l’exercice biennal.  Le respect du plan d’atténuation a emporté l’adhésion des États membres et permis que le programme soit pleinement mené à bien.  </w:t>
            </w:r>
          </w:p>
        </w:tc>
      </w:tr>
    </w:tbl>
    <w:p w:rsidR="006E2BB1" w:rsidRPr="00C258AD" w:rsidRDefault="006E2BB1" w:rsidP="001A4D6C">
      <w:pPr>
        <w:jc w:val="both"/>
        <w:rPr>
          <w:color w:val="000000"/>
        </w:rPr>
      </w:pPr>
    </w:p>
    <w:p w:rsidR="006E2BB1" w:rsidRPr="00C258AD" w:rsidRDefault="006E2BB1" w:rsidP="001A4D6C">
      <w:pPr>
        <w:jc w:val="both"/>
        <w:rPr>
          <w:color w:val="000000"/>
        </w:rPr>
      </w:pPr>
    </w:p>
    <w:p w:rsidR="006E2BB1" w:rsidRPr="00C258AD" w:rsidRDefault="00B26AF7" w:rsidP="00305CE5">
      <w:pPr>
        <w:keepNext/>
        <w:rPr>
          <w:rFonts w:cs="Arial"/>
          <w:caps/>
          <w:sz w:val="22"/>
          <w:szCs w:val="22"/>
        </w:rPr>
      </w:pPr>
      <w:r w:rsidRPr="00C258AD">
        <w:rPr>
          <w:rFonts w:cs="Arial"/>
          <w:caps/>
          <w:sz w:val="22"/>
          <w:szCs w:val="22"/>
        </w:rPr>
        <w:lastRenderedPageBreak/>
        <w:t>Utilisation des ressources</w:t>
      </w:r>
    </w:p>
    <w:p w:rsidR="006E2BB1" w:rsidRPr="00C258AD" w:rsidRDefault="006E2BB1" w:rsidP="001A4D6C">
      <w:pPr>
        <w:keepNext/>
        <w:jc w:val="center"/>
      </w:pPr>
    </w:p>
    <w:p w:rsidR="006E2BB1" w:rsidRPr="00C258AD" w:rsidRDefault="00B26AF7" w:rsidP="001A4D6C">
      <w:pPr>
        <w:pStyle w:val="NormalWeb"/>
        <w:keepNext/>
        <w:spacing w:before="0" w:beforeAutospacing="0" w:after="0" w:afterAutospacing="0"/>
        <w:jc w:val="center"/>
        <w:rPr>
          <w:sz w:val="20"/>
          <w:szCs w:val="20"/>
        </w:rPr>
      </w:pPr>
      <w:r w:rsidRPr="00C258AD">
        <w:rPr>
          <w:sz w:val="20"/>
          <w:szCs w:val="20"/>
        </w:rPr>
        <w:t>Budget et dépenses effectives (par résultat)</w:t>
      </w:r>
    </w:p>
    <w:p w:rsidR="006E2BB1" w:rsidRPr="00C258AD" w:rsidRDefault="00B26AF7" w:rsidP="001A4D6C">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B26AF7" w:rsidRPr="00C258AD" w:rsidRDefault="00B26AF7" w:rsidP="001A4D6C">
      <w:pPr>
        <w:keepNext/>
        <w:jc w:val="both"/>
      </w:pPr>
    </w:p>
    <w:tbl>
      <w:tblPr>
        <w:tblW w:w="5000" w:type="pct"/>
        <w:tblCellMar>
          <w:top w:w="113" w:type="dxa"/>
          <w:left w:w="70" w:type="dxa"/>
          <w:bottom w:w="113" w:type="dxa"/>
          <w:right w:w="70" w:type="dxa"/>
        </w:tblCellMar>
        <w:tblLook w:val="04A0" w:firstRow="1" w:lastRow="0" w:firstColumn="1" w:lastColumn="0" w:noHBand="0" w:noVBand="1"/>
      </w:tblPr>
      <w:tblGrid>
        <w:gridCol w:w="541"/>
        <w:gridCol w:w="4688"/>
        <w:gridCol w:w="1422"/>
        <w:gridCol w:w="1422"/>
        <w:gridCol w:w="1422"/>
      </w:tblGrid>
      <w:tr w:rsidR="00B26AF7" w:rsidRPr="00C258AD" w:rsidTr="001A4D6C">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B26AF7" w:rsidRPr="00C258AD" w:rsidRDefault="00B26AF7" w:rsidP="001A4D6C">
            <w:pPr>
              <w:keepNext/>
              <w:jc w:val="center"/>
              <w:rPr>
                <w:i/>
                <w:iCs/>
                <w:sz w:val="16"/>
                <w:szCs w:val="16"/>
                <w:lang w:eastAsia="fr-FR"/>
              </w:rPr>
            </w:pPr>
            <w:r w:rsidRPr="00C258AD">
              <w:rPr>
                <w:i/>
                <w:iCs/>
                <w:sz w:val="16"/>
                <w:szCs w:val="16"/>
                <w:lang w:eastAsia="fr-FR"/>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B26AF7" w:rsidRPr="00C258AD" w:rsidRDefault="00B26AF7" w:rsidP="001A4D6C">
            <w:pPr>
              <w:keepNext/>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Pr="00C258AD">
              <w:rPr>
                <w:i/>
                <w:iCs/>
                <w:sz w:val="16"/>
                <w:szCs w:val="16"/>
                <w:lang w:eastAsia="fr-FR"/>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B26AF7" w:rsidRPr="00C258AD" w:rsidRDefault="00B26AF7" w:rsidP="001A4D6C">
            <w:pPr>
              <w:keepNext/>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Pr="00C258AD">
              <w:rPr>
                <w:i/>
                <w:iCs/>
                <w:sz w:val="16"/>
                <w:szCs w:val="16"/>
                <w:lang w:eastAsia="fr-FR"/>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B26AF7" w:rsidRPr="00C258AD" w:rsidRDefault="00B26AF7" w:rsidP="001A4D6C">
            <w:pPr>
              <w:keepNext/>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Pr="00C258AD">
              <w:rPr>
                <w:i/>
                <w:iCs/>
                <w:sz w:val="16"/>
                <w:szCs w:val="16"/>
                <w:lang w:eastAsia="fr-FR"/>
              </w:rPr>
              <w:noBreakHyphen/>
              <w:t>2015</w:t>
            </w:r>
          </w:p>
        </w:tc>
      </w:tr>
      <w:tr w:rsidR="00B26AF7" w:rsidRPr="00C258AD" w:rsidTr="001A4D6C">
        <w:trPr>
          <w:cantSplit/>
        </w:trPr>
        <w:tc>
          <w:tcPr>
            <w:tcW w:w="517" w:type="dxa"/>
            <w:tcBorders>
              <w:top w:val="nil"/>
              <w:left w:val="single" w:sz="4" w:space="0" w:color="auto"/>
              <w:bottom w:val="nil"/>
              <w:right w:val="nil"/>
            </w:tcBorders>
            <w:shd w:val="clear" w:color="auto" w:fill="auto"/>
            <w:noWrap/>
            <w:vAlign w:val="center"/>
            <w:hideMark/>
          </w:tcPr>
          <w:p w:rsidR="00B26AF7" w:rsidRPr="00C258AD" w:rsidRDefault="00B26AF7" w:rsidP="001A4D6C">
            <w:pPr>
              <w:keepNext/>
              <w:rPr>
                <w:sz w:val="16"/>
                <w:szCs w:val="16"/>
                <w:lang w:eastAsia="fr-FR"/>
              </w:rPr>
            </w:pPr>
            <w:r w:rsidRPr="00C258AD">
              <w:rPr>
                <w:sz w:val="16"/>
                <w:szCs w:val="16"/>
                <w:lang w:eastAsia="fr-FR"/>
              </w:rPr>
              <w:t>I.2</w:t>
            </w:r>
          </w:p>
        </w:tc>
        <w:tc>
          <w:tcPr>
            <w:tcW w:w="4483" w:type="dxa"/>
            <w:tcBorders>
              <w:top w:val="nil"/>
              <w:left w:val="nil"/>
              <w:bottom w:val="nil"/>
              <w:right w:val="nil"/>
            </w:tcBorders>
            <w:shd w:val="clear" w:color="auto" w:fill="auto"/>
            <w:vAlign w:val="center"/>
            <w:hideMark/>
          </w:tcPr>
          <w:p w:rsidR="00B26AF7" w:rsidRPr="00C258AD" w:rsidRDefault="00B26AF7" w:rsidP="001A4D6C">
            <w:pPr>
              <w:keepNext/>
              <w:rPr>
                <w:sz w:val="16"/>
                <w:szCs w:val="16"/>
                <w:lang w:eastAsia="fr-FR"/>
              </w:rPr>
            </w:pPr>
            <w:r w:rsidRPr="00C258AD">
              <w:rPr>
                <w:sz w:val="16"/>
                <w:szCs w:val="16"/>
                <w:lang w:eastAsia="fr-FR"/>
              </w:rPr>
              <w:t>Cadres législatifs, réglementaires et politiques adaptés et équilibrés en matière de propriété intellectuelle</w:t>
            </w:r>
          </w:p>
        </w:tc>
        <w:tc>
          <w:tcPr>
            <w:tcW w:w="1360" w:type="dxa"/>
            <w:tcBorders>
              <w:top w:val="nil"/>
              <w:left w:val="nil"/>
              <w:bottom w:val="nil"/>
              <w:right w:val="nil"/>
            </w:tcBorders>
            <w:shd w:val="clear" w:color="auto" w:fill="auto"/>
            <w:vAlign w:val="center"/>
            <w:hideMark/>
          </w:tcPr>
          <w:p w:rsidR="00B26AF7" w:rsidRPr="00C258AD" w:rsidRDefault="00B26AF7" w:rsidP="001A4D6C">
            <w:pPr>
              <w:keepNext/>
              <w:jc w:val="right"/>
              <w:rPr>
                <w:sz w:val="16"/>
                <w:szCs w:val="16"/>
                <w:lang w:eastAsia="fr-FR"/>
              </w:rPr>
            </w:pPr>
            <w:r w:rsidRPr="00C258AD">
              <w:rPr>
                <w:sz w:val="16"/>
                <w:szCs w:val="16"/>
                <w:lang w:eastAsia="fr-FR"/>
              </w:rPr>
              <w:t>130</w:t>
            </w:r>
          </w:p>
        </w:tc>
        <w:tc>
          <w:tcPr>
            <w:tcW w:w="1360" w:type="dxa"/>
            <w:tcBorders>
              <w:top w:val="nil"/>
              <w:left w:val="nil"/>
              <w:bottom w:val="nil"/>
              <w:right w:val="nil"/>
            </w:tcBorders>
            <w:shd w:val="clear" w:color="auto" w:fill="auto"/>
            <w:vAlign w:val="center"/>
            <w:hideMark/>
          </w:tcPr>
          <w:p w:rsidR="00B26AF7" w:rsidRPr="00C258AD" w:rsidRDefault="00B26AF7" w:rsidP="001A4D6C">
            <w:pPr>
              <w:keepNext/>
              <w:jc w:val="right"/>
              <w:rPr>
                <w:sz w:val="16"/>
                <w:szCs w:val="16"/>
                <w:lang w:eastAsia="fr-FR"/>
              </w:rPr>
            </w:pPr>
            <w:r w:rsidRPr="00C258AD">
              <w:rPr>
                <w:sz w:val="16"/>
                <w:szCs w:val="16"/>
                <w:lang w:eastAsia="fr-FR"/>
              </w:rPr>
              <w:t>498</w:t>
            </w:r>
          </w:p>
        </w:tc>
        <w:tc>
          <w:tcPr>
            <w:tcW w:w="1360" w:type="dxa"/>
            <w:tcBorders>
              <w:top w:val="nil"/>
              <w:left w:val="nil"/>
              <w:bottom w:val="nil"/>
              <w:right w:val="single" w:sz="4" w:space="0" w:color="auto"/>
            </w:tcBorders>
            <w:shd w:val="clear" w:color="auto" w:fill="auto"/>
            <w:vAlign w:val="center"/>
            <w:hideMark/>
          </w:tcPr>
          <w:p w:rsidR="00B26AF7" w:rsidRPr="00C258AD" w:rsidRDefault="00B26AF7" w:rsidP="001A4D6C">
            <w:pPr>
              <w:keepNext/>
              <w:jc w:val="right"/>
              <w:rPr>
                <w:sz w:val="16"/>
                <w:szCs w:val="16"/>
                <w:lang w:eastAsia="fr-FR"/>
              </w:rPr>
            </w:pPr>
            <w:r w:rsidRPr="00C258AD">
              <w:rPr>
                <w:sz w:val="16"/>
                <w:szCs w:val="16"/>
                <w:lang w:eastAsia="fr-FR"/>
              </w:rPr>
              <w:t>465</w:t>
            </w:r>
          </w:p>
        </w:tc>
      </w:tr>
      <w:tr w:rsidR="00B26AF7" w:rsidRPr="00C258AD" w:rsidTr="001A4D6C">
        <w:trPr>
          <w:cantSplit/>
        </w:trPr>
        <w:tc>
          <w:tcPr>
            <w:tcW w:w="517" w:type="dxa"/>
            <w:tcBorders>
              <w:top w:val="nil"/>
              <w:left w:val="single" w:sz="4" w:space="0" w:color="auto"/>
              <w:bottom w:val="nil"/>
              <w:right w:val="nil"/>
            </w:tcBorders>
            <w:shd w:val="clear" w:color="auto" w:fill="auto"/>
            <w:noWrap/>
            <w:vAlign w:val="center"/>
            <w:hideMark/>
          </w:tcPr>
          <w:p w:rsidR="00B26AF7" w:rsidRPr="00C258AD" w:rsidRDefault="00B26AF7" w:rsidP="001A4D6C">
            <w:pPr>
              <w:keepNext/>
              <w:rPr>
                <w:sz w:val="16"/>
                <w:szCs w:val="16"/>
                <w:lang w:eastAsia="fr-FR"/>
              </w:rPr>
            </w:pPr>
            <w:r w:rsidRPr="00C258AD">
              <w:rPr>
                <w:sz w:val="16"/>
                <w:szCs w:val="16"/>
                <w:lang w:eastAsia="fr-FR"/>
              </w:rPr>
              <w:t>III.2</w:t>
            </w:r>
          </w:p>
        </w:tc>
        <w:tc>
          <w:tcPr>
            <w:tcW w:w="4483" w:type="dxa"/>
            <w:tcBorders>
              <w:top w:val="nil"/>
              <w:left w:val="nil"/>
              <w:bottom w:val="nil"/>
              <w:right w:val="nil"/>
            </w:tcBorders>
            <w:shd w:val="clear" w:color="auto" w:fill="auto"/>
            <w:vAlign w:val="center"/>
            <w:hideMark/>
          </w:tcPr>
          <w:p w:rsidR="00B26AF7" w:rsidRPr="00C258AD" w:rsidRDefault="00B26AF7" w:rsidP="001A4D6C">
            <w:pPr>
              <w:keepNext/>
              <w:rPr>
                <w:sz w:val="16"/>
                <w:szCs w:val="16"/>
                <w:lang w:eastAsia="fr-FR"/>
              </w:rPr>
            </w:pPr>
            <w:r w:rsidRPr="00C258AD">
              <w:rPr>
                <w:sz w:val="16"/>
                <w:szCs w:val="16"/>
                <w:lang w:eastAsia="fr-FR"/>
              </w:rPr>
              <w:t>Renforcement des capacités en matière de ressources humaines pour pouvoir répondre aux nombreuses exigences en ce qui concerne l’utilisation efficace de la propriété intellectuelle au service du développement dans les pays en développement, les PMA et les pays en transition</w:t>
            </w:r>
          </w:p>
        </w:tc>
        <w:tc>
          <w:tcPr>
            <w:tcW w:w="1360" w:type="dxa"/>
            <w:tcBorders>
              <w:top w:val="nil"/>
              <w:left w:val="nil"/>
              <w:bottom w:val="nil"/>
              <w:right w:val="nil"/>
            </w:tcBorders>
            <w:shd w:val="clear" w:color="auto" w:fill="auto"/>
            <w:vAlign w:val="center"/>
            <w:hideMark/>
          </w:tcPr>
          <w:p w:rsidR="00B26AF7" w:rsidRPr="00C258AD" w:rsidRDefault="00B26AF7" w:rsidP="001A4D6C">
            <w:pPr>
              <w:keepNext/>
              <w:jc w:val="right"/>
              <w:rPr>
                <w:sz w:val="16"/>
                <w:szCs w:val="16"/>
                <w:lang w:eastAsia="fr-FR"/>
              </w:rPr>
            </w:pPr>
            <w:r w:rsidRPr="00C258AD">
              <w:rPr>
                <w:sz w:val="16"/>
                <w:szCs w:val="16"/>
                <w:lang w:eastAsia="fr-FR"/>
              </w:rPr>
              <w:t>2 307</w:t>
            </w:r>
          </w:p>
        </w:tc>
        <w:tc>
          <w:tcPr>
            <w:tcW w:w="1360" w:type="dxa"/>
            <w:tcBorders>
              <w:top w:val="nil"/>
              <w:left w:val="nil"/>
              <w:bottom w:val="nil"/>
              <w:right w:val="nil"/>
            </w:tcBorders>
            <w:shd w:val="clear" w:color="auto" w:fill="auto"/>
            <w:vAlign w:val="center"/>
            <w:hideMark/>
          </w:tcPr>
          <w:p w:rsidR="00B26AF7" w:rsidRPr="00C258AD" w:rsidRDefault="00B26AF7" w:rsidP="001A4D6C">
            <w:pPr>
              <w:keepNext/>
              <w:jc w:val="right"/>
              <w:rPr>
                <w:sz w:val="16"/>
                <w:szCs w:val="16"/>
                <w:lang w:eastAsia="fr-FR"/>
              </w:rPr>
            </w:pPr>
            <w:r w:rsidRPr="00C258AD">
              <w:rPr>
                <w:sz w:val="16"/>
                <w:szCs w:val="16"/>
                <w:lang w:eastAsia="fr-FR"/>
              </w:rPr>
              <w:t>2 254</w:t>
            </w:r>
          </w:p>
        </w:tc>
        <w:tc>
          <w:tcPr>
            <w:tcW w:w="1360" w:type="dxa"/>
            <w:tcBorders>
              <w:top w:val="nil"/>
              <w:left w:val="nil"/>
              <w:bottom w:val="nil"/>
              <w:right w:val="single" w:sz="4" w:space="0" w:color="auto"/>
            </w:tcBorders>
            <w:shd w:val="clear" w:color="auto" w:fill="auto"/>
            <w:vAlign w:val="center"/>
            <w:hideMark/>
          </w:tcPr>
          <w:p w:rsidR="00B26AF7" w:rsidRPr="00C258AD" w:rsidRDefault="00B26AF7" w:rsidP="001A4D6C">
            <w:pPr>
              <w:keepNext/>
              <w:jc w:val="right"/>
              <w:rPr>
                <w:sz w:val="16"/>
                <w:szCs w:val="16"/>
                <w:lang w:eastAsia="fr-FR"/>
              </w:rPr>
            </w:pPr>
            <w:r w:rsidRPr="00C258AD">
              <w:rPr>
                <w:sz w:val="16"/>
                <w:szCs w:val="16"/>
                <w:lang w:eastAsia="fr-FR"/>
              </w:rPr>
              <w:t>2 058</w:t>
            </w:r>
          </w:p>
        </w:tc>
      </w:tr>
      <w:tr w:rsidR="00B26AF7" w:rsidRPr="00C258AD" w:rsidTr="001A4D6C">
        <w:trPr>
          <w:cantSplit/>
        </w:trPr>
        <w:tc>
          <w:tcPr>
            <w:tcW w:w="517" w:type="dxa"/>
            <w:tcBorders>
              <w:top w:val="nil"/>
              <w:left w:val="single" w:sz="4" w:space="0" w:color="auto"/>
              <w:bottom w:val="nil"/>
              <w:right w:val="nil"/>
            </w:tcBorders>
            <w:shd w:val="clear" w:color="auto" w:fill="auto"/>
            <w:noWrap/>
            <w:vAlign w:val="center"/>
            <w:hideMark/>
          </w:tcPr>
          <w:p w:rsidR="00B26AF7" w:rsidRPr="00C258AD" w:rsidRDefault="00B26AF7" w:rsidP="001A4D6C">
            <w:pPr>
              <w:keepNext/>
              <w:rPr>
                <w:sz w:val="16"/>
                <w:szCs w:val="16"/>
                <w:lang w:eastAsia="fr-FR"/>
              </w:rPr>
            </w:pPr>
            <w:r w:rsidRPr="00C258AD">
              <w:rPr>
                <w:sz w:val="16"/>
                <w:szCs w:val="16"/>
                <w:lang w:eastAsia="fr-FR"/>
              </w:rPr>
              <w:t>VI.1</w:t>
            </w:r>
          </w:p>
        </w:tc>
        <w:tc>
          <w:tcPr>
            <w:tcW w:w="4483" w:type="dxa"/>
            <w:tcBorders>
              <w:top w:val="nil"/>
              <w:left w:val="nil"/>
              <w:bottom w:val="nil"/>
              <w:right w:val="nil"/>
            </w:tcBorders>
            <w:shd w:val="clear" w:color="auto" w:fill="auto"/>
            <w:vAlign w:val="center"/>
            <w:hideMark/>
          </w:tcPr>
          <w:p w:rsidR="00B26AF7" w:rsidRPr="00C258AD" w:rsidRDefault="00B26AF7" w:rsidP="001A4D6C">
            <w:pPr>
              <w:keepNext/>
              <w:rPr>
                <w:sz w:val="16"/>
                <w:szCs w:val="16"/>
                <w:lang w:eastAsia="fr-FR"/>
              </w:rPr>
            </w:pPr>
            <w:r w:rsidRPr="00C258AD">
              <w:rPr>
                <w:sz w:val="16"/>
                <w:szCs w:val="16"/>
                <w:lang w:eastAsia="fr-FR"/>
              </w:rPr>
              <w:t>Progrès du dialogue international de politique générale entre les États membres de l’OMPI en ce qui concerne la promotion du respect de la propriété intellectuelle, compte tenu de la recommandation n° 45 du Plan d’action pour le développement</w:t>
            </w:r>
          </w:p>
        </w:tc>
        <w:tc>
          <w:tcPr>
            <w:tcW w:w="1360" w:type="dxa"/>
            <w:tcBorders>
              <w:top w:val="nil"/>
              <w:left w:val="nil"/>
              <w:bottom w:val="nil"/>
              <w:right w:val="nil"/>
            </w:tcBorders>
            <w:shd w:val="clear" w:color="auto" w:fill="auto"/>
            <w:vAlign w:val="center"/>
            <w:hideMark/>
          </w:tcPr>
          <w:p w:rsidR="00B26AF7" w:rsidRPr="00C258AD" w:rsidRDefault="00B26AF7" w:rsidP="001A4D6C">
            <w:pPr>
              <w:keepNext/>
              <w:jc w:val="right"/>
              <w:rPr>
                <w:sz w:val="16"/>
                <w:szCs w:val="16"/>
                <w:lang w:eastAsia="fr-FR"/>
              </w:rPr>
            </w:pPr>
            <w:r w:rsidRPr="00C258AD">
              <w:rPr>
                <w:sz w:val="16"/>
                <w:szCs w:val="16"/>
                <w:lang w:eastAsia="fr-FR"/>
              </w:rPr>
              <w:t>429</w:t>
            </w:r>
          </w:p>
        </w:tc>
        <w:tc>
          <w:tcPr>
            <w:tcW w:w="1360" w:type="dxa"/>
            <w:tcBorders>
              <w:top w:val="nil"/>
              <w:left w:val="nil"/>
              <w:bottom w:val="nil"/>
              <w:right w:val="nil"/>
            </w:tcBorders>
            <w:shd w:val="clear" w:color="auto" w:fill="auto"/>
            <w:vAlign w:val="center"/>
            <w:hideMark/>
          </w:tcPr>
          <w:p w:rsidR="00B26AF7" w:rsidRPr="00C258AD" w:rsidRDefault="00B26AF7" w:rsidP="001A4D6C">
            <w:pPr>
              <w:keepNext/>
              <w:jc w:val="right"/>
              <w:rPr>
                <w:sz w:val="16"/>
                <w:szCs w:val="16"/>
                <w:lang w:eastAsia="fr-FR"/>
              </w:rPr>
            </w:pPr>
            <w:r w:rsidRPr="00C258AD">
              <w:rPr>
                <w:sz w:val="16"/>
                <w:szCs w:val="16"/>
                <w:lang w:eastAsia="fr-FR"/>
              </w:rPr>
              <w:t>898</w:t>
            </w:r>
          </w:p>
        </w:tc>
        <w:tc>
          <w:tcPr>
            <w:tcW w:w="1360" w:type="dxa"/>
            <w:tcBorders>
              <w:top w:val="nil"/>
              <w:left w:val="nil"/>
              <w:bottom w:val="nil"/>
              <w:right w:val="single" w:sz="4" w:space="0" w:color="auto"/>
            </w:tcBorders>
            <w:shd w:val="clear" w:color="auto" w:fill="auto"/>
            <w:vAlign w:val="center"/>
            <w:hideMark/>
          </w:tcPr>
          <w:p w:rsidR="00B26AF7" w:rsidRPr="00C258AD" w:rsidRDefault="00B26AF7" w:rsidP="001A4D6C">
            <w:pPr>
              <w:keepNext/>
              <w:jc w:val="right"/>
              <w:rPr>
                <w:sz w:val="16"/>
                <w:szCs w:val="16"/>
                <w:lang w:eastAsia="fr-FR"/>
              </w:rPr>
            </w:pPr>
            <w:r w:rsidRPr="00C258AD">
              <w:rPr>
                <w:sz w:val="16"/>
                <w:szCs w:val="16"/>
                <w:lang w:eastAsia="fr-FR"/>
              </w:rPr>
              <w:t>823</w:t>
            </w:r>
          </w:p>
        </w:tc>
      </w:tr>
      <w:tr w:rsidR="00B26AF7" w:rsidRPr="00C258AD" w:rsidTr="001A4D6C">
        <w:trPr>
          <w:cantSplit/>
        </w:trPr>
        <w:tc>
          <w:tcPr>
            <w:tcW w:w="517" w:type="dxa"/>
            <w:tcBorders>
              <w:top w:val="nil"/>
              <w:left w:val="single" w:sz="4" w:space="0" w:color="auto"/>
              <w:bottom w:val="nil"/>
              <w:right w:val="nil"/>
            </w:tcBorders>
            <w:shd w:val="clear" w:color="auto" w:fill="auto"/>
            <w:noWrap/>
            <w:vAlign w:val="center"/>
            <w:hideMark/>
          </w:tcPr>
          <w:p w:rsidR="00B26AF7" w:rsidRPr="00C258AD" w:rsidRDefault="00B26AF7" w:rsidP="001A4D6C">
            <w:pPr>
              <w:keepNext/>
              <w:rPr>
                <w:sz w:val="16"/>
                <w:szCs w:val="16"/>
                <w:lang w:eastAsia="fr-FR"/>
              </w:rPr>
            </w:pPr>
            <w:r w:rsidRPr="00C258AD">
              <w:rPr>
                <w:sz w:val="16"/>
                <w:szCs w:val="16"/>
                <w:lang w:eastAsia="fr-FR"/>
              </w:rPr>
              <w:t>VI.2</w:t>
            </w:r>
          </w:p>
        </w:tc>
        <w:tc>
          <w:tcPr>
            <w:tcW w:w="4483" w:type="dxa"/>
            <w:tcBorders>
              <w:top w:val="nil"/>
              <w:left w:val="nil"/>
              <w:bottom w:val="nil"/>
              <w:right w:val="nil"/>
            </w:tcBorders>
            <w:shd w:val="clear" w:color="auto" w:fill="auto"/>
            <w:vAlign w:val="center"/>
            <w:hideMark/>
          </w:tcPr>
          <w:p w:rsidR="00B26AF7" w:rsidRPr="00C258AD" w:rsidRDefault="00B26AF7" w:rsidP="001A4D6C">
            <w:pPr>
              <w:keepNext/>
              <w:rPr>
                <w:sz w:val="16"/>
                <w:szCs w:val="16"/>
                <w:lang w:eastAsia="fr-FR"/>
              </w:rPr>
            </w:pPr>
            <w:r w:rsidRPr="00C258AD">
              <w:rPr>
                <w:sz w:val="16"/>
                <w:szCs w:val="16"/>
                <w:lang w:eastAsia="fr-FR"/>
              </w:rPr>
              <w:t>Coopération et coordination systématiques, efficaces et transparentes entre les travaux de l’OMPI et ceux d’autres organisations internationales dans le domaine de la promotion du respect de la propriété intellectuelle</w:t>
            </w:r>
          </w:p>
        </w:tc>
        <w:tc>
          <w:tcPr>
            <w:tcW w:w="1360" w:type="dxa"/>
            <w:tcBorders>
              <w:top w:val="nil"/>
              <w:left w:val="nil"/>
              <w:bottom w:val="nil"/>
              <w:right w:val="nil"/>
            </w:tcBorders>
            <w:shd w:val="clear" w:color="auto" w:fill="auto"/>
            <w:vAlign w:val="center"/>
            <w:hideMark/>
          </w:tcPr>
          <w:p w:rsidR="00B26AF7" w:rsidRPr="00C258AD" w:rsidRDefault="00B26AF7" w:rsidP="001A4D6C">
            <w:pPr>
              <w:keepNext/>
              <w:jc w:val="right"/>
              <w:rPr>
                <w:sz w:val="16"/>
                <w:szCs w:val="16"/>
                <w:lang w:eastAsia="fr-FR"/>
              </w:rPr>
            </w:pPr>
            <w:r w:rsidRPr="00C258AD">
              <w:rPr>
                <w:sz w:val="16"/>
                <w:szCs w:val="16"/>
                <w:lang w:eastAsia="fr-FR"/>
              </w:rPr>
              <w:t>1 124</w:t>
            </w:r>
          </w:p>
        </w:tc>
        <w:tc>
          <w:tcPr>
            <w:tcW w:w="1360" w:type="dxa"/>
            <w:tcBorders>
              <w:top w:val="nil"/>
              <w:left w:val="nil"/>
              <w:bottom w:val="nil"/>
              <w:right w:val="nil"/>
            </w:tcBorders>
            <w:shd w:val="clear" w:color="auto" w:fill="auto"/>
            <w:vAlign w:val="center"/>
            <w:hideMark/>
          </w:tcPr>
          <w:p w:rsidR="00B26AF7" w:rsidRPr="00C258AD" w:rsidRDefault="00B26AF7" w:rsidP="001A4D6C">
            <w:pPr>
              <w:keepNext/>
              <w:jc w:val="right"/>
              <w:rPr>
                <w:sz w:val="16"/>
                <w:szCs w:val="16"/>
                <w:lang w:eastAsia="fr-FR"/>
              </w:rPr>
            </w:pPr>
            <w:r w:rsidRPr="00C258AD">
              <w:rPr>
                <w:sz w:val="16"/>
                <w:szCs w:val="16"/>
                <w:lang w:eastAsia="fr-FR"/>
              </w:rPr>
              <w:t>510</w:t>
            </w:r>
          </w:p>
        </w:tc>
        <w:tc>
          <w:tcPr>
            <w:tcW w:w="1360" w:type="dxa"/>
            <w:tcBorders>
              <w:top w:val="nil"/>
              <w:left w:val="nil"/>
              <w:bottom w:val="nil"/>
              <w:right w:val="single" w:sz="4" w:space="0" w:color="auto"/>
            </w:tcBorders>
            <w:shd w:val="clear" w:color="auto" w:fill="auto"/>
            <w:vAlign w:val="center"/>
            <w:hideMark/>
          </w:tcPr>
          <w:p w:rsidR="00B26AF7" w:rsidRPr="00C258AD" w:rsidRDefault="00B26AF7" w:rsidP="001A4D6C">
            <w:pPr>
              <w:keepNext/>
              <w:jc w:val="right"/>
              <w:rPr>
                <w:sz w:val="16"/>
                <w:szCs w:val="16"/>
                <w:lang w:eastAsia="fr-FR"/>
              </w:rPr>
            </w:pPr>
            <w:r w:rsidRPr="00C258AD">
              <w:rPr>
                <w:sz w:val="16"/>
                <w:szCs w:val="16"/>
                <w:lang w:eastAsia="fr-FR"/>
              </w:rPr>
              <w:t>464</w:t>
            </w:r>
          </w:p>
        </w:tc>
      </w:tr>
      <w:tr w:rsidR="00B26AF7" w:rsidRPr="00C258AD" w:rsidTr="001A4D6C">
        <w:trPr>
          <w:cantSplit/>
        </w:trPr>
        <w:tc>
          <w:tcPr>
            <w:tcW w:w="517" w:type="dxa"/>
            <w:tcBorders>
              <w:top w:val="single" w:sz="4" w:space="0" w:color="auto"/>
              <w:left w:val="single" w:sz="4" w:space="0" w:color="auto"/>
              <w:bottom w:val="single" w:sz="4" w:space="0" w:color="auto"/>
              <w:right w:val="nil"/>
            </w:tcBorders>
            <w:shd w:val="clear" w:color="auto" w:fill="C5D9F1"/>
            <w:noWrap/>
            <w:vAlign w:val="bottom"/>
            <w:hideMark/>
          </w:tcPr>
          <w:p w:rsidR="00B26AF7" w:rsidRPr="00C258AD" w:rsidRDefault="00B26AF7" w:rsidP="001A4D6C">
            <w:pPr>
              <w:keepNext/>
              <w:rPr>
                <w:sz w:val="16"/>
                <w:szCs w:val="16"/>
                <w:lang w:eastAsia="fr-FR"/>
              </w:rPr>
            </w:pPr>
            <w:r w:rsidRPr="00C258AD">
              <w:rPr>
                <w:sz w:val="16"/>
                <w:szCs w:val="16"/>
                <w:lang w:eastAsia="fr-FR"/>
              </w:rPr>
              <w:t> </w:t>
            </w:r>
          </w:p>
        </w:tc>
        <w:tc>
          <w:tcPr>
            <w:tcW w:w="4483" w:type="dxa"/>
            <w:tcBorders>
              <w:top w:val="single" w:sz="4" w:space="0" w:color="auto"/>
              <w:left w:val="nil"/>
              <w:bottom w:val="single" w:sz="4" w:space="0" w:color="auto"/>
              <w:right w:val="single" w:sz="4" w:space="0" w:color="auto"/>
            </w:tcBorders>
            <w:shd w:val="clear" w:color="auto" w:fill="C5D9F1"/>
            <w:noWrap/>
            <w:vAlign w:val="bottom"/>
            <w:hideMark/>
          </w:tcPr>
          <w:p w:rsidR="00B26AF7" w:rsidRPr="00C258AD" w:rsidRDefault="00B26AF7" w:rsidP="001A4D6C">
            <w:pPr>
              <w:keepNext/>
              <w:rPr>
                <w:b/>
                <w:bCs/>
                <w:sz w:val="16"/>
                <w:szCs w:val="16"/>
                <w:lang w:eastAsia="fr-FR"/>
              </w:rPr>
            </w:pPr>
            <w:r w:rsidRPr="00C258AD">
              <w:rPr>
                <w:b/>
                <w:bCs/>
                <w:sz w:val="16"/>
                <w:szCs w:val="16"/>
                <w:lang w:eastAsia="fr-FR"/>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B26AF7" w:rsidRPr="00C258AD" w:rsidRDefault="00B26AF7" w:rsidP="001A4D6C">
            <w:pPr>
              <w:keepNext/>
              <w:jc w:val="right"/>
              <w:rPr>
                <w:b/>
                <w:bCs/>
                <w:sz w:val="16"/>
                <w:szCs w:val="16"/>
                <w:lang w:eastAsia="fr-FR"/>
              </w:rPr>
            </w:pPr>
            <w:r w:rsidRPr="00C258AD">
              <w:rPr>
                <w:b/>
                <w:bCs/>
                <w:sz w:val="16"/>
                <w:szCs w:val="16"/>
                <w:lang w:eastAsia="fr-FR"/>
              </w:rPr>
              <w:t>3 989</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B26AF7" w:rsidRPr="00C258AD" w:rsidRDefault="00B26AF7" w:rsidP="001A4D6C">
            <w:pPr>
              <w:keepNext/>
              <w:jc w:val="right"/>
              <w:rPr>
                <w:b/>
                <w:bCs/>
                <w:sz w:val="16"/>
                <w:szCs w:val="16"/>
                <w:lang w:eastAsia="fr-FR"/>
              </w:rPr>
            </w:pPr>
            <w:r w:rsidRPr="00C258AD">
              <w:rPr>
                <w:b/>
                <w:bCs/>
                <w:sz w:val="16"/>
                <w:szCs w:val="16"/>
                <w:lang w:eastAsia="fr-FR"/>
              </w:rPr>
              <w:t>4 160</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B26AF7" w:rsidRPr="00C258AD" w:rsidRDefault="00B26AF7" w:rsidP="001A4D6C">
            <w:pPr>
              <w:keepNext/>
              <w:jc w:val="right"/>
              <w:rPr>
                <w:b/>
                <w:bCs/>
                <w:sz w:val="16"/>
                <w:szCs w:val="16"/>
                <w:lang w:eastAsia="fr-FR"/>
              </w:rPr>
            </w:pPr>
            <w:r w:rsidRPr="00C258AD">
              <w:rPr>
                <w:b/>
                <w:bCs/>
                <w:sz w:val="16"/>
                <w:szCs w:val="16"/>
                <w:lang w:eastAsia="fr-FR"/>
              </w:rPr>
              <w:t>3 811</w:t>
            </w:r>
          </w:p>
        </w:tc>
      </w:tr>
    </w:tbl>
    <w:p w:rsidR="006E2BB1" w:rsidRPr="00C258AD" w:rsidRDefault="006E2BB1" w:rsidP="001A4D6C"/>
    <w:p w:rsidR="006E2BB1" w:rsidRPr="00C258AD" w:rsidRDefault="006E2BB1" w:rsidP="001A4D6C"/>
    <w:p w:rsidR="006E2BB1" w:rsidRPr="00C258AD" w:rsidRDefault="00B26AF7" w:rsidP="001A4D6C">
      <w:pPr>
        <w:pStyle w:val="NormalWeb"/>
        <w:keepNext/>
        <w:keepLines/>
        <w:spacing w:before="0" w:beforeAutospacing="0" w:after="0" w:afterAutospacing="0"/>
        <w:jc w:val="center"/>
        <w:rPr>
          <w:sz w:val="20"/>
          <w:szCs w:val="20"/>
        </w:rPr>
      </w:pPr>
      <w:r w:rsidRPr="00C258AD">
        <w:rPr>
          <w:sz w:val="20"/>
          <w:szCs w:val="20"/>
        </w:rPr>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B26AF7" w:rsidP="001A4D6C">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B26AF7" w:rsidRPr="00C258AD" w:rsidRDefault="00B26AF7" w:rsidP="001A4D6C">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B26AF7" w:rsidRPr="00C258AD" w:rsidTr="001A4D6C">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B26AF7" w:rsidRPr="00C258AD" w:rsidRDefault="00B26AF7" w:rsidP="001A4D6C">
            <w:pPr>
              <w:rPr>
                <w:color w:val="000000"/>
                <w:sz w:val="16"/>
                <w:szCs w:val="18"/>
                <w:lang w:eastAsia="fr-FR"/>
              </w:rPr>
            </w:pPr>
            <w:r w:rsidRPr="00C258AD">
              <w:rPr>
                <w:color w:val="000000"/>
                <w:sz w:val="16"/>
                <w:szCs w:val="18"/>
                <w:lang w:eastAsia="fr-FR"/>
              </w:rPr>
              <w:t> </w:t>
            </w:r>
          </w:p>
        </w:tc>
        <w:tc>
          <w:tcPr>
            <w:tcW w:w="1745" w:type="dxa"/>
            <w:tcBorders>
              <w:top w:val="single" w:sz="4" w:space="0" w:color="auto"/>
              <w:left w:val="nil"/>
              <w:bottom w:val="nil"/>
              <w:right w:val="single" w:sz="4" w:space="0" w:color="auto"/>
            </w:tcBorders>
            <w:shd w:val="clear" w:color="auto" w:fill="C5D9F1"/>
            <w:vAlign w:val="center"/>
            <w:hideMark/>
          </w:tcPr>
          <w:p w:rsidR="00B26AF7" w:rsidRPr="00C258AD" w:rsidRDefault="00B26AF7" w:rsidP="001A4D6C">
            <w:pPr>
              <w:jc w:val="center"/>
              <w:rPr>
                <w:b/>
                <w:bCs/>
                <w:color w:val="000000"/>
                <w:sz w:val="16"/>
                <w:szCs w:val="18"/>
                <w:lang w:eastAsia="fr-FR"/>
              </w:rPr>
            </w:pPr>
            <w:r w:rsidRPr="00C258AD">
              <w:rPr>
                <w:b/>
                <w:bCs/>
                <w:color w:val="000000"/>
                <w:sz w:val="16"/>
                <w:szCs w:val="18"/>
                <w:lang w:eastAsia="fr-FR"/>
              </w:rPr>
              <w:t>Budget 2014</w:t>
            </w:r>
            <w:r w:rsidRPr="00C258AD">
              <w:rPr>
                <w:b/>
                <w:bCs/>
                <w:color w:val="000000"/>
                <w:sz w:val="16"/>
                <w:szCs w:val="18"/>
                <w:lang w:eastAsia="fr-FR"/>
              </w:rPr>
              <w:noBreakHyphen/>
              <w:t>2015 approuvé</w:t>
            </w:r>
          </w:p>
        </w:tc>
        <w:tc>
          <w:tcPr>
            <w:tcW w:w="1746" w:type="dxa"/>
            <w:tcBorders>
              <w:top w:val="single" w:sz="4" w:space="0" w:color="auto"/>
              <w:left w:val="nil"/>
              <w:bottom w:val="nil"/>
              <w:right w:val="single" w:sz="4" w:space="0" w:color="auto"/>
            </w:tcBorders>
            <w:shd w:val="clear" w:color="auto" w:fill="C5D9F1"/>
            <w:vAlign w:val="center"/>
            <w:hideMark/>
          </w:tcPr>
          <w:p w:rsidR="00B26AF7" w:rsidRPr="00C258AD" w:rsidRDefault="00B26AF7" w:rsidP="001A4D6C">
            <w:pPr>
              <w:jc w:val="center"/>
              <w:rPr>
                <w:b/>
                <w:bCs/>
                <w:color w:val="000000"/>
                <w:sz w:val="16"/>
                <w:szCs w:val="18"/>
                <w:lang w:eastAsia="fr-FR"/>
              </w:rPr>
            </w:pPr>
            <w:r w:rsidRPr="00C258AD">
              <w:rPr>
                <w:b/>
                <w:bCs/>
                <w:color w:val="000000"/>
                <w:sz w:val="16"/>
                <w:szCs w:val="18"/>
                <w:lang w:eastAsia="fr-FR"/>
              </w:rPr>
              <w:t>Budget final 2014</w:t>
            </w:r>
            <w:r w:rsidRPr="00C258AD">
              <w:rPr>
                <w:b/>
                <w:bCs/>
                <w:color w:val="000000"/>
                <w:sz w:val="16"/>
                <w:szCs w:val="18"/>
                <w:lang w:eastAsia="fr-FR"/>
              </w:rPr>
              <w:noBreakHyphen/>
              <w:t>2015</w:t>
            </w:r>
            <w:r w:rsidRPr="00C258AD">
              <w:rPr>
                <w:b/>
                <w:bCs/>
                <w:color w:val="000000"/>
                <w:sz w:val="16"/>
                <w:szCs w:val="18"/>
                <w:lang w:eastAsia="fr-FR"/>
              </w:rPr>
              <w:br/>
              <w:t>après virements</w:t>
            </w:r>
          </w:p>
        </w:tc>
        <w:tc>
          <w:tcPr>
            <w:tcW w:w="1745" w:type="dxa"/>
            <w:tcBorders>
              <w:top w:val="single" w:sz="4" w:space="0" w:color="auto"/>
              <w:left w:val="nil"/>
              <w:bottom w:val="nil"/>
              <w:right w:val="single" w:sz="4" w:space="0" w:color="auto"/>
            </w:tcBorders>
            <w:shd w:val="clear" w:color="auto" w:fill="C5D9F1"/>
            <w:vAlign w:val="center"/>
            <w:hideMark/>
          </w:tcPr>
          <w:p w:rsidR="00B26AF7" w:rsidRPr="00C258AD" w:rsidRDefault="00B26AF7" w:rsidP="001A4D6C">
            <w:pPr>
              <w:jc w:val="center"/>
              <w:rPr>
                <w:b/>
                <w:bCs/>
                <w:color w:val="000000"/>
                <w:sz w:val="16"/>
                <w:szCs w:val="18"/>
                <w:lang w:eastAsia="fr-FR"/>
              </w:rPr>
            </w:pPr>
            <w:r w:rsidRPr="00C258AD">
              <w:rPr>
                <w:b/>
                <w:bCs/>
                <w:color w:val="000000"/>
                <w:sz w:val="16"/>
                <w:szCs w:val="18"/>
                <w:lang w:eastAsia="fr-FR"/>
              </w:rPr>
              <w:t>Dépenses</w:t>
            </w:r>
            <w:r w:rsidRPr="00C258AD">
              <w:rPr>
                <w:b/>
                <w:bCs/>
                <w:color w:val="000000"/>
                <w:sz w:val="16"/>
                <w:szCs w:val="18"/>
                <w:lang w:eastAsia="fr-FR"/>
              </w:rPr>
              <w:br/>
              <w:t>2014</w:t>
            </w:r>
            <w:r w:rsidRPr="00C258AD">
              <w:rPr>
                <w:b/>
                <w:bCs/>
                <w:color w:val="000000"/>
                <w:sz w:val="16"/>
                <w:szCs w:val="18"/>
                <w:lang w:eastAsia="fr-FR"/>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B26AF7" w:rsidRPr="00C258AD" w:rsidRDefault="00B26AF7" w:rsidP="001A4D6C">
            <w:pPr>
              <w:jc w:val="center"/>
              <w:rPr>
                <w:b/>
                <w:bCs/>
                <w:color w:val="000000"/>
                <w:sz w:val="16"/>
                <w:szCs w:val="18"/>
                <w:lang w:eastAsia="fr-FR"/>
              </w:rPr>
            </w:pPr>
            <w:r w:rsidRPr="00C258AD">
              <w:rPr>
                <w:b/>
                <w:bCs/>
                <w:color w:val="000000"/>
                <w:sz w:val="16"/>
                <w:szCs w:val="18"/>
                <w:lang w:eastAsia="fr-FR"/>
              </w:rPr>
              <w:t>Taux d’utilisation (%)</w:t>
            </w:r>
          </w:p>
        </w:tc>
      </w:tr>
      <w:tr w:rsidR="00B26AF7"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B26AF7" w:rsidRPr="00C258AD" w:rsidRDefault="00B26AF7" w:rsidP="001A4D6C">
            <w:pPr>
              <w:rPr>
                <w:color w:val="000000"/>
                <w:sz w:val="16"/>
                <w:szCs w:val="18"/>
                <w:lang w:eastAsia="fr-FR"/>
              </w:rPr>
            </w:pPr>
            <w:r w:rsidRPr="00C258AD">
              <w:rPr>
                <w:color w:val="000000"/>
                <w:sz w:val="16"/>
                <w:szCs w:val="18"/>
                <w:lang w:eastAsia="fr-FR"/>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B26AF7" w:rsidRPr="00C258AD" w:rsidRDefault="00B26AF7" w:rsidP="001A4D6C">
            <w:pPr>
              <w:jc w:val="center"/>
              <w:rPr>
                <w:color w:val="000000"/>
                <w:sz w:val="16"/>
                <w:szCs w:val="18"/>
                <w:lang w:eastAsia="fr-FR"/>
              </w:rPr>
            </w:pPr>
            <w:r w:rsidRPr="00C258AD">
              <w:rPr>
                <w:color w:val="000000"/>
                <w:sz w:val="16"/>
                <w:szCs w:val="18"/>
                <w:lang w:eastAsia="fr-FR"/>
              </w:rPr>
              <w:t>3 277</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B26AF7" w:rsidRPr="00C258AD" w:rsidRDefault="00B26AF7" w:rsidP="001A4D6C">
            <w:pPr>
              <w:jc w:val="center"/>
              <w:rPr>
                <w:color w:val="000000"/>
                <w:sz w:val="16"/>
                <w:szCs w:val="18"/>
                <w:lang w:eastAsia="fr-FR"/>
              </w:rPr>
            </w:pPr>
            <w:r w:rsidRPr="00C258AD">
              <w:rPr>
                <w:color w:val="000000"/>
                <w:sz w:val="16"/>
                <w:szCs w:val="18"/>
                <w:lang w:eastAsia="fr-FR"/>
              </w:rPr>
              <w:t>3 494</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B26AF7" w:rsidRPr="00C258AD" w:rsidRDefault="00B26AF7" w:rsidP="001A4D6C">
            <w:pPr>
              <w:jc w:val="center"/>
              <w:rPr>
                <w:color w:val="000000"/>
                <w:sz w:val="16"/>
                <w:szCs w:val="18"/>
                <w:lang w:eastAsia="fr-FR"/>
              </w:rPr>
            </w:pPr>
            <w:r w:rsidRPr="00C258AD">
              <w:rPr>
                <w:color w:val="000000"/>
                <w:sz w:val="16"/>
                <w:szCs w:val="18"/>
                <w:lang w:eastAsia="fr-FR"/>
              </w:rPr>
              <w:t>3 199</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B26AF7" w:rsidRPr="00C258AD" w:rsidRDefault="00B26AF7" w:rsidP="001A4D6C">
            <w:pPr>
              <w:jc w:val="center"/>
              <w:rPr>
                <w:color w:val="000000"/>
                <w:sz w:val="16"/>
                <w:szCs w:val="18"/>
                <w:lang w:eastAsia="fr-FR"/>
              </w:rPr>
            </w:pPr>
            <w:r w:rsidRPr="00C258AD">
              <w:rPr>
                <w:color w:val="000000"/>
                <w:sz w:val="16"/>
                <w:szCs w:val="18"/>
                <w:lang w:eastAsia="fr-FR"/>
              </w:rPr>
              <w:t>92%</w:t>
            </w:r>
          </w:p>
        </w:tc>
      </w:tr>
      <w:tr w:rsidR="00B26AF7"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B26AF7" w:rsidRPr="00C258AD" w:rsidRDefault="00B26AF7" w:rsidP="001A4D6C">
            <w:pPr>
              <w:rPr>
                <w:color w:val="000000"/>
                <w:sz w:val="16"/>
                <w:szCs w:val="18"/>
                <w:lang w:eastAsia="fr-FR"/>
              </w:rPr>
            </w:pPr>
            <w:r w:rsidRPr="00C258AD">
              <w:rPr>
                <w:color w:val="000000"/>
                <w:sz w:val="16"/>
                <w:szCs w:val="18"/>
                <w:lang w:eastAsia="fr-FR"/>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B26AF7" w:rsidRPr="00C258AD" w:rsidRDefault="00B26AF7" w:rsidP="001A4D6C">
            <w:pPr>
              <w:jc w:val="center"/>
              <w:rPr>
                <w:color w:val="000000"/>
                <w:sz w:val="16"/>
                <w:szCs w:val="18"/>
                <w:lang w:eastAsia="fr-FR"/>
              </w:rPr>
            </w:pPr>
            <w:r w:rsidRPr="00C258AD">
              <w:rPr>
                <w:color w:val="000000"/>
                <w:sz w:val="16"/>
                <w:szCs w:val="18"/>
                <w:lang w:eastAsia="fr-FR"/>
              </w:rPr>
              <w:t>712</w:t>
            </w:r>
          </w:p>
        </w:tc>
        <w:tc>
          <w:tcPr>
            <w:tcW w:w="1746" w:type="dxa"/>
            <w:tcBorders>
              <w:top w:val="nil"/>
              <w:left w:val="nil"/>
              <w:bottom w:val="single" w:sz="4" w:space="0" w:color="auto"/>
              <w:right w:val="single" w:sz="4" w:space="0" w:color="auto"/>
            </w:tcBorders>
            <w:shd w:val="clear" w:color="auto" w:fill="auto"/>
            <w:vAlign w:val="center"/>
            <w:hideMark/>
          </w:tcPr>
          <w:p w:rsidR="00B26AF7" w:rsidRPr="00C258AD" w:rsidRDefault="00B26AF7" w:rsidP="001A4D6C">
            <w:pPr>
              <w:jc w:val="center"/>
              <w:rPr>
                <w:color w:val="000000"/>
                <w:sz w:val="16"/>
                <w:szCs w:val="18"/>
                <w:lang w:eastAsia="fr-FR"/>
              </w:rPr>
            </w:pPr>
            <w:r w:rsidRPr="00C258AD">
              <w:rPr>
                <w:color w:val="000000"/>
                <w:sz w:val="16"/>
                <w:szCs w:val="18"/>
                <w:lang w:eastAsia="fr-FR"/>
              </w:rPr>
              <w:t>666</w:t>
            </w:r>
          </w:p>
        </w:tc>
        <w:tc>
          <w:tcPr>
            <w:tcW w:w="1745" w:type="dxa"/>
            <w:tcBorders>
              <w:top w:val="nil"/>
              <w:left w:val="nil"/>
              <w:bottom w:val="single" w:sz="4" w:space="0" w:color="auto"/>
              <w:right w:val="single" w:sz="4" w:space="0" w:color="auto"/>
            </w:tcBorders>
            <w:shd w:val="clear" w:color="auto" w:fill="auto"/>
            <w:vAlign w:val="center"/>
            <w:hideMark/>
          </w:tcPr>
          <w:p w:rsidR="00B26AF7" w:rsidRPr="00C258AD" w:rsidRDefault="00B26AF7" w:rsidP="001A4D6C">
            <w:pPr>
              <w:jc w:val="center"/>
              <w:rPr>
                <w:color w:val="000000"/>
                <w:sz w:val="16"/>
                <w:szCs w:val="18"/>
                <w:lang w:eastAsia="fr-FR"/>
              </w:rPr>
            </w:pPr>
            <w:r w:rsidRPr="00C258AD">
              <w:rPr>
                <w:color w:val="000000"/>
                <w:sz w:val="16"/>
                <w:szCs w:val="18"/>
                <w:lang w:eastAsia="fr-FR"/>
              </w:rPr>
              <w:t>612</w:t>
            </w:r>
          </w:p>
        </w:tc>
        <w:tc>
          <w:tcPr>
            <w:tcW w:w="1746" w:type="dxa"/>
            <w:tcBorders>
              <w:top w:val="nil"/>
              <w:left w:val="nil"/>
              <w:bottom w:val="single" w:sz="4" w:space="0" w:color="auto"/>
              <w:right w:val="single" w:sz="4" w:space="0" w:color="auto"/>
            </w:tcBorders>
            <w:shd w:val="clear" w:color="auto" w:fill="auto"/>
            <w:vAlign w:val="center"/>
            <w:hideMark/>
          </w:tcPr>
          <w:p w:rsidR="00B26AF7" w:rsidRPr="00C258AD" w:rsidRDefault="00B26AF7" w:rsidP="001A4D6C">
            <w:pPr>
              <w:jc w:val="center"/>
              <w:rPr>
                <w:color w:val="000000"/>
                <w:sz w:val="16"/>
                <w:szCs w:val="18"/>
                <w:lang w:eastAsia="fr-FR"/>
              </w:rPr>
            </w:pPr>
            <w:r w:rsidRPr="00C258AD">
              <w:rPr>
                <w:color w:val="000000"/>
                <w:sz w:val="16"/>
                <w:szCs w:val="18"/>
                <w:lang w:eastAsia="fr-FR"/>
              </w:rPr>
              <w:t>92%</w:t>
            </w:r>
          </w:p>
        </w:tc>
      </w:tr>
      <w:tr w:rsidR="00B26AF7"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B26AF7" w:rsidRPr="00C258AD" w:rsidRDefault="00B26AF7" w:rsidP="001A4D6C">
            <w:pPr>
              <w:jc w:val="right"/>
              <w:rPr>
                <w:b/>
                <w:bCs/>
                <w:color w:val="000000"/>
                <w:sz w:val="16"/>
                <w:szCs w:val="18"/>
                <w:lang w:eastAsia="fr-FR"/>
              </w:rPr>
            </w:pPr>
            <w:r w:rsidRPr="00C258AD">
              <w:rPr>
                <w:b/>
                <w:bCs/>
                <w:color w:val="000000"/>
                <w:sz w:val="16"/>
                <w:szCs w:val="18"/>
                <w:lang w:eastAsia="fr-FR"/>
              </w:rPr>
              <w:t xml:space="preserve">TOTAL </w:t>
            </w:r>
          </w:p>
        </w:tc>
        <w:tc>
          <w:tcPr>
            <w:tcW w:w="1745" w:type="dxa"/>
            <w:tcBorders>
              <w:top w:val="nil"/>
              <w:left w:val="nil"/>
              <w:bottom w:val="single" w:sz="4" w:space="0" w:color="auto"/>
              <w:right w:val="single" w:sz="4" w:space="0" w:color="auto"/>
            </w:tcBorders>
            <w:shd w:val="clear" w:color="auto" w:fill="auto"/>
            <w:vAlign w:val="center"/>
            <w:hideMark/>
          </w:tcPr>
          <w:p w:rsidR="00B26AF7" w:rsidRPr="00C258AD" w:rsidRDefault="00B26AF7" w:rsidP="001A4D6C">
            <w:pPr>
              <w:jc w:val="center"/>
              <w:rPr>
                <w:b/>
                <w:bCs/>
                <w:color w:val="000000"/>
                <w:sz w:val="16"/>
                <w:szCs w:val="18"/>
                <w:lang w:eastAsia="fr-FR"/>
              </w:rPr>
            </w:pPr>
            <w:r w:rsidRPr="00C258AD">
              <w:rPr>
                <w:b/>
                <w:bCs/>
                <w:color w:val="000000"/>
                <w:sz w:val="16"/>
                <w:szCs w:val="18"/>
                <w:lang w:eastAsia="fr-FR"/>
              </w:rPr>
              <w:t>3 989</w:t>
            </w:r>
          </w:p>
        </w:tc>
        <w:tc>
          <w:tcPr>
            <w:tcW w:w="1746" w:type="dxa"/>
            <w:tcBorders>
              <w:top w:val="nil"/>
              <w:left w:val="nil"/>
              <w:bottom w:val="single" w:sz="4" w:space="0" w:color="auto"/>
              <w:right w:val="single" w:sz="4" w:space="0" w:color="auto"/>
            </w:tcBorders>
            <w:shd w:val="clear" w:color="auto" w:fill="auto"/>
            <w:vAlign w:val="center"/>
            <w:hideMark/>
          </w:tcPr>
          <w:p w:rsidR="00B26AF7" w:rsidRPr="00C258AD" w:rsidRDefault="00B26AF7" w:rsidP="001A4D6C">
            <w:pPr>
              <w:jc w:val="center"/>
              <w:rPr>
                <w:b/>
                <w:bCs/>
                <w:color w:val="000000"/>
                <w:sz w:val="16"/>
                <w:szCs w:val="18"/>
                <w:lang w:eastAsia="fr-FR"/>
              </w:rPr>
            </w:pPr>
            <w:r w:rsidRPr="00C258AD">
              <w:rPr>
                <w:b/>
                <w:bCs/>
                <w:color w:val="000000"/>
                <w:sz w:val="16"/>
                <w:szCs w:val="18"/>
                <w:lang w:eastAsia="fr-FR"/>
              </w:rPr>
              <w:t>4 160</w:t>
            </w:r>
          </w:p>
        </w:tc>
        <w:tc>
          <w:tcPr>
            <w:tcW w:w="1745" w:type="dxa"/>
            <w:tcBorders>
              <w:top w:val="nil"/>
              <w:left w:val="nil"/>
              <w:bottom w:val="single" w:sz="4" w:space="0" w:color="auto"/>
              <w:right w:val="single" w:sz="4" w:space="0" w:color="auto"/>
            </w:tcBorders>
            <w:shd w:val="clear" w:color="auto" w:fill="auto"/>
            <w:vAlign w:val="center"/>
            <w:hideMark/>
          </w:tcPr>
          <w:p w:rsidR="00B26AF7" w:rsidRPr="00C258AD" w:rsidRDefault="00B26AF7" w:rsidP="001A4D6C">
            <w:pPr>
              <w:jc w:val="center"/>
              <w:rPr>
                <w:b/>
                <w:bCs/>
                <w:color w:val="000000"/>
                <w:sz w:val="16"/>
                <w:szCs w:val="18"/>
                <w:lang w:eastAsia="fr-FR"/>
              </w:rPr>
            </w:pPr>
            <w:r w:rsidRPr="00C258AD">
              <w:rPr>
                <w:b/>
                <w:bCs/>
                <w:color w:val="000000"/>
                <w:sz w:val="16"/>
                <w:szCs w:val="18"/>
                <w:lang w:eastAsia="fr-FR"/>
              </w:rPr>
              <w:t>3 811</w:t>
            </w:r>
          </w:p>
        </w:tc>
        <w:tc>
          <w:tcPr>
            <w:tcW w:w="1746" w:type="dxa"/>
            <w:tcBorders>
              <w:top w:val="nil"/>
              <w:left w:val="nil"/>
              <w:bottom w:val="single" w:sz="4" w:space="0" w:color="auto"/>
              <w:right w:val="single" w:sz="4" w:space="0" w:color="auto"/>
            </w:tcBorders>
            <w:shd w:val="clear" w:color="auto" w:fill="auto"/>
            <w:vAlign w:val="center"/>
            <w:hideMark/>
          </w:tcPr>
          <w:p w:rsidR="00B26AF7" w:rsidRPr="00C258AD" w:rsidRDefault="00B26AF7" w:rsidP="001A4D6C">
            <w:pPr>
              <w:jc w:val="center"/>
              <w:rPr>
                <w:b/>
                <w:bCs/>
                <w:color w:val="000000"/>
                <w:sz w:val="16"/>
                <w:szCs w:val="18"/>
                <w:lang w:eastAsia="fr-FR"/>
              </w:rPr>
            </w:pPr>
            <w:r w:rsidRPr="00C258AD">
              <w:rPr>
                <w:b/>
                <w:bCs/>
                <w:color w:val="000000"/>
                <w:sz w:val="16"/>
                <w:szCs w:val="18"/>
                <w:lang w:eastAsia="fr-FR"/>
              </w:rPr>
              <w:t>92%</w:t>
            </w:r>
          </w:p>
        </w:tc>
      </w:tr>
    </w:tbl>
    <w:p w:rsidR="006E2BB1" w:rsidRPr="00C258AD" w:rsidRDefault="006E2BB1" w:rsidP="001A4D6C">
      <w:pPr>
        <w:widowControl w:val="0"/>
        <w:autoSpaceDE w:val="0"/>
        <w:autoSpaceDN w:val="0"/>
        <w:adjustRightInd w:val="0"/>
        <w:jc w:val="both"/>
      </w:pPr>
    </w:p>
    <w:p w:rsidR="006E2BB1" w:rsidRPr="00C258AD" w:rsidRDefault="006E2BB1" w:rsidP="001A4D6C">
      <w:pPr>
        <w:widowControl w:val="0"/>
        <w:autoSpaceDE w:val="0"/>
        <w:autoSpaceDN w:val="0"/>
        <w:adjustRightInd w:val="0"/>
        <w:jc w:val="both"/>
      </w:pPr>
    </w:p>
    <w:p w:rsidR="006E2BB1" w:rsidRPr="00C258AD" w:rsidRDefault="00B26AF7" w:rsidP="001A4D6C">
      <w:pPr>
        <w:jc w:val="both"/>
        <w:rPr>
          <w:u w:val="single"/>
        </w:rPr>
      </w:pPr>
      <w:r w:rsidRPr="00C258AD">
        <w:t>A.</w:t>
      </w:r>
      <w:r w:rsidRPr="00C258AD">
        <w:tab/>
      </w:r>
      <w:r w:rsidRPr="00C258AD">
        <w:rPr>
          <w:u w:val="single"/>
        </w:rPr>
        <w:t>Budget final 2014</w:t>
      </w:r>
      <w:r w:rsidRPr="00C258AD">
        <w:rPr>
          <w:u w:val="single"/>
        </w:rPr>
        <w:noBreakHyphen/>
        <w:t>2015 après virements</w:t>
      </w:r>
    </w:p>
    <w:p w:rsidR="006E2BB1" w:rsidRPr="00C258AD" w:rsidRDefault="006E2BB1" w:rsidP="001A4D6C">
      <w:pPr>
        <w:autoSpaceDE w:val="0"/>
        <w:autoSpaceDN w:val="0"/>
        <w:jc w:val="both"/>
        <w:rPr>
          <w:lang w:eastAsia="ko-KR"/>
        </w:rPr>
      </w:pPr>
    </w:p>
    <w:p w:rsidR="006E2BB1" w:rsidRPr="00C258AD" w:rsidRDefault="00B26AF7" w:rsidP="00BB4DBC">
      <w:pPr>
        <w:pStyle w:val="ListParagraph"/>
        <w:numPr>
          <w:ilvl w:val="0"/>
          <w:numId w:val="31"/>
        </w:numPr>
        <w:ind w:left="0" w:firstLine="0"/>
        <w:jc w:val="both"/>
        <w:rPr>
          <w:lang w:eastAsia="ko-KR"/>
        </w:rPr>
      </w:pPr>
      <w:r w:rsidRPr="00C258AD">
        <w:rPr>
          <w:lang w:eastAsia="ko-KR"/>
        </w:rPr>
        <w:t>Les ajustements des résultats dans le budget final 2014</w:t>
      </w:r>
      <w:r w:rsidRPr="00C258AD">
        <w:rPr>
          <w:lang w:eastAsia="ko-KR"/>
        </w:rPr>
        <w:noBreakHyphen/>
        <w:t>2015 après virements découlaient principalement :</w:t>
      </w:r>
    </w:p>
    <w:p w:rsidR="006E2BB1" w:rsidRPr="00C258AD" w:rsidRDefault="006E2BB1" w:rsidP="001A4D6C">
      <w:pPr>
        <w:jc w:val="both"/>
        <w:rPr>
          <w:lang w:eastAsia="ko-KR"/>
        </w:rPr>
      </w:pPr>
    </w:p>
    <w:p w:rsidR="006E2BB1" w:rsidRPr="00C258AD" w:rsidRDefault="00B26AF7" w:rsidP="00BB4DBC">
      <w:pPr>
        <w:pStyle w:val="ListParagraph"/>
        <w:numPr>
          <w:ilvl w:val="0"/>
          <w:numId w:val="34"/>
        </w:numPr>
        <w:rPr>
          <w:lang w:eastAsia="ko-KR"/>
        </w:rPr>
      </w:pPr>
      <w:r w:rsidRPr="00C258AD">
        <w:rPr>
          <w:lang w:eastAsia="ko-KR"/>
        </w:rPr>
        <w:t>d’une augmentation continue de la demande de conseils législatifs émanant des États membres, y compris pour des missions de diagnostic, entraînant une redistribution des ressources du résultat VI.2 (Coopération dans le domaine de la promotion du respect de la propriété intellectuelle) au résultat I.2 (Conseils législatifs);  et</w:t>
      </w:r>
    </w:p>
    <w:p w:rsidR="006E2BB1" w:rsidRPr="00C258AD" w:rsidRDefault="006E2BB1" w:rsidP="001A4D6C">
      <w:pPr>
        <w:rPr>
          <w:lang w:eastAsia="ko-KR"/>
        </w:rPr>
      </w:pPr>
    </w:p>
    <w:p w:rsidR="006E2BB1" w:rsidRPr="00C258AD" w:rsidRDefault="00B26AF7" w:rsidP="00BB4DBC">
      <w:pPr>
        <w:pStyle w:val="ListParagraph"/>
        <w:numPr>
          <w:ilvl w:val="0"/>
          <w:numId w:val="34"/>
        </w:numPr>
        <w:rPr>
          <w:lang w:eastAsia="ko-KR"/>
        </w:rPr>
      </w:pPr>
      <w:r w:rsidRPr="00C258AD">
        <w:rPr>
          <w:lang w:eastAsia="ko-KR"/>
        </w:rPr>
        <w:t>de la tenue, à la demande des États membres, de deux sessions de l’ACE durant l’exercice biennal au lieu d’une, comme prévu initialement, conduisant à une redistribution des ressources du résultat VI.2 (Coopération dans le domaine de la promotion du respect de la propriété intellectuelle) au résultat VI.1 (Progrès du dialogue international de politique générale entre les États membres de l’OMPI en ce qui concerne la promotion du respect de la propriété intellectuelle).</w:t>
      </w:r>
    </w:p>
    <w:p w:rsidR="006E2BB1" w:rsidRPr="00C258AD" w:rsidRDefault="006E2BB1" w:rsidP="001A4D6C">
      <w:pPr>
        <w:rPr>
          <w:lang w:eastAsia="ko-KR"/>
        </w:rPr>
      </w:pPr>
    </w:p>
    <w:p w:rsidR="006E2BB1" w:rsidRPr="00C258AD" w:rsidRDefault="00B26AF7" w:rsidP="00BB4DBC">
      <w:pPr>
        <w:pStyle w:val="ListParagraph"/>
        <w:numPr>
          <w:ilvl w:val="0"/>
          <w:numId w:val="31"/>
        </w:numPr>
        <w:ind w:left="0" w:firstLine="0"/>
        <w:jc w:val="both"/>
        <w:rPr>
          <w:lang w:eastAsia="ko-KR"/>
        </w:rPr>
      </w:pPr>
      <w:r w:rsidRPr="00C258AD">
        <w:rPr>
          <w:lang w:eastAsia="ko-KR"/>
        </w:rPr>
        <w:t>L’augmentation nette des ressources en personnel est due au transfert provisoire d’un fonctionnaire du programme 6 pour faire face à l’augmentation de la demande de conseils législatifs.</w:t>
      </w:r>
    </w:p>
    <w:p w:rsidR="006E2BB1" w:rsidRPr="00C258AD" w:rsidRDefault="00B26AF7" w:rsidP="001A4D6C">
      <w:pPr>
        <w:rPr>
          <w:lang w:eastAsia="ko-KR"/>
        </w:rPr>
      </w:pPr>
      <w:r w:rsidRPr="00C258AD">
        <w:rPr>
          <w:lang w:eastAsia="ko-KR"/>
        </w:rPr>
        <w:br w:type="page"/>
      </w:r>
    </w:p>
    <w:p w:rsidR="006E2BB1" w:rsidRPr="00C258AD" w:rsidRDefault="00B26AF7" w:rsidP="001A4D6C">
      <w:pPr>
        <w:jc w:val="both"/>
        <w:rPr>
          <w:u w:val="single"/>
          <w:lang w:eastAsia="ko-KR"/>
        </w:rPr>
      </w:pPr>
      <w:r w:rsidRPr="00C258AD">
        <w:rPr>
          <w:lang w:eastAsia="ko-KR"/>
        </w:rPr>
        <w:lastRenderedPageBreak/>
        <w:t>B.</w:t>
      </w:r>
      <w:r w:rsidRPr="00C258AD">
        <w:rPr>
          <w:lang w:eastAsia="ko-KR"/>
        </w:rPr>
        <w:tab/>
      </w:r>
      <w:r w:rsidRPr="00C258AD">
        <w:rPr>
          <w:u w:val="single"/>
          <w:lang w:eastAsia="ko-KR"/>
        </w:rPr>
        <w:t>Utilisation du budget en 2014</w:t>
      </w:r>
      <w:r w:rsidRPr="00C258AD">
        <w:rPr>
          <w:u w:val="single"/>
          <w:lang w:eastAsia="ko-KR"/>
        </w:rPr>
        <w:noBreakHyphen/>
        <w:t>2015</w:t>
      </w:r>
    </w:p>
    <w:p w:rsidR="006E2BB1" w:rsidRPr="00C258AD" w:rsidRDefault="006E2BB1" w:rsidP="001A4D6C">
      <w:pPr>
        <w:jc w:val="both"/>
        <w:rPr>
          <w:u w:val="single"/>
          <w:lang w:eastAsia="ko-KR"/>
        </w:rPr>
      </w:pPr>
    </w:p>
    <w:p w:rsidR="006E2BB1" w:rsidRPr="00C258AD" w:rsidRDefault="00B26AF7" w:rsidP="00BB4DBC">
      <w:pPr>
        <w:pStyle w:val="ListParagraph"/>
        <w:numPr>
          <w:ilvl w:val="0"/>
          <w:numId w:val="31"/>
        </w:numPr>
        <w:ind w:left="0" w:firstLine="0"/>
        <w:jc w:val="both"/>
        <w:rPr>
          <w:lang w:eastAsia="ko-KR"/>
        </w:rPr>
      </w:pPr>
      <w:r w:rsidRPr="00C258AD">
        <w:rPr>
          <w:lang w:eastAsia="ko-KR"/>
        </w:rPr>
        <w:t>L’utilisation du budget se situe dans la fourchette prévue pour l’exercice biennal.</w:t>
      </w:r>
    </w:p>
    <w:p w:rsidR="006E2BB1" w:rsidRPr="00C258AD" w:rsidRDefault="006E2BB1" w:rsidP="001A4D6C">
      <w:pPr>
        <w:pStyle w:val="ListParagraph"/>
        <w:numPr>
          <w:ilvl w:val="0"/>
          <w:numId w:val="0"/>
        </w:numPr>
        <w:jc w:val="both"/>
        <w:rPr>
          <w:lang w:eastAsia="ko-KR"/>
        </w:rPr>
      </w:pPr>
    </w:p>
    <w:p w:rsidR="006E2BB1" w:rsidRPr="00C258AD" w:rsidRDefault="006E2BB1" w:rsidP="00066B9C">
      <w:pPr>
        <w:rPr>
          <w:lang w:eastAsia="ko-KR"/>
        </w:rPr>
      </w:pPr>
    </w:p>
    <w:p w:rsidR="006E2BB1" w:rsidRPr="00C258AD" w:rsidRDefault="005A1C92">
      <w:pPr>
        <w:spacing w:after="200" w:line="276" w:lineRule="auto"/>
        <w:rPr>
          <w:rFonts w:cs="Arial"/>
          <w:b/>
          <w:bCs/>
          <w:iCs/>
          <w:caps/>
          <w:sz w:val="22"/>
          <w:szCs w:val="28"/>
          <w:lang w:eastAsia="ko-KR"/>
        </w:rPr>
      </w:pPr>
      <w:r w:rsidRPr="00C258AD">
        <w:rPr>
          <w:lang w:eastAsia="ko-KR"/>
        </w:rPr>
        <w:br w:type="page"/>
      </w:r>
    </w:p>
    <w:p w:rsidR="00431966" w:rsidRPr="00C258AD" w:rsidRDefault="00431966" w:rsidP="00431966">
      <w:pPr>
        <w:pStyle w:val="StyleHeading214ptAuto"/>
        <w:jc w:val="center"/>
        <w:rPr>
          <w:lang w:val="fr-FR"/>
        </w:rPr>
      </w:pPr>
      <w:bookmarkStart w:id="135" w:name="_Toc455394202"/>
      <w:bookmarkStart w:id="136" w:name="_Toc367350596"/>
      <w:bookmarkStart w:id="137" w:name="_Toc422404242"/>
      <w:bookmarkStart w:id="138" w:name="_Toc423352890"/>
      <w:r w:rsidRPr="00C258AD">
        <w:rPr>
          <w:lang w:val="fr-FR"/>
        </w:rPr>
        <w:lastRenderedPageBreak/>
        <w:t>Objectif stratégique VII</w:t>
      </w:r>
      <w:bookmarkEnd w:id="135"/>
    </w:p>
    <w:p w:rsidR="00431966" w:rsidRPr="00C258AD" w:rsidRDefault="00431966" w:rsidP="00431966"/>
    <w:bookmarkEnd w:id="136"/>
    <w:p w:rsidR="00431966" w:rsidRPr="00C258AD" w:rsidRDefault="00431966" w:rsidP="00431966">
      <w:pPr>
        <w:jc w:val="center"/>
        <w:rPr>
          <w:caps/>
        </w:rPr>
      </w:pPr>
      <w:r w:rsidRPr="00C258AD">
        <w:rPr>
          <w:b/>
          <w:caps/>
        </w:rPr>
        <w:t>Propriété intellectuelle et enjeux mondiaux</w:t>
      </w:r>
    </w:p>
    <w:p w:rsidR="00431966" w:rsidRPr="00C258AD" w:rsidRDefault="00431966" w:rsidP="00431966">
      <w:pPr>
        <w:jc w:val="center"/>
      </w:pPr>
    </w:p>
    <w:p w:rsidR="00431966" w:rsidRPr="00C258AD" w:rsidRDefault="00431966" w:rsidP="00431966">
      <w:pPr>
        <w:jc w:val="center"/>
      </w:pPr>
    </w:p>
    <w:p w:rsidR="00431966" w:rsidRPr="00C258AD" w:rsidRDefault="00431966" w:rsidP="00431966">
      <w:pPr>
        <w:jc w:val="center"/>
        <w:rPr>
          <w:b/>
        </w:rPr>
      </w:pPr>
      <w:r w:rsidRPr="00C258AD">
        <w:rPr>
          <w:b/>
        </w:rPr>
        <w:t>Tableau de bord de l’exécution du programme biennal</w:t>
      </w:r>
    </w:p>
    <w:p w:rsidR="00431966" w:rsidRPr="00C258AD" w:rsidRDefault="00431966" w:rsidP="00431966"/>
    <w:p w:rsidR="00431966" w:rsidRPr="00C258AD" w:rsidRDefault="00431966" w:rsidP="00431966">
      <w:pPr>
        <w:autoSpaceDE w:val="0"/>
        <w:autoSpaceDN w:val="0"/>
        <w:adjustRightInd w:val="0"/>
        <w:jc w:val="both"/>
        <w:rPr>
          <w:rFonts w:cs="Arial"/>
        </w:rPr>
      </w:pPr>
      <w:r w:rsidRPr="00C258AD">
        <w:rPr>
          <w:rFonts w:cs="Arial"/>
        </w:rPr>
        <w:t>Le tableau de bord ci</w:t>
      </w:r>
      <w:r w:rsidRPr="00C258AD">
        <w:rPr>
          <w:rFonts w:cs="Arial"/>
        </w:rPr>
        <w:noBreakHyphen/>
        <w:t>dessous présente un résumé de la réalisation des résultats escomptés pour l’exercice biennal 2014</w:t>
      </w:r>
      <w:r w:rsidRPr="00C258AD">
        <w:rPr>
          <w:rFonts w:cs="Arial"/>
        </w:rPr>
        <w:noBreakHyphen/>
        <w:t>2015, telle que mesurée par les indicateurs au titre des programmes contribuant à cet objectif stratégique.</w:t>
      </w:r>
    </w:p>
    <w:p w:rsidR="00431966" w:rsidRPr="00C258AD" w:rsidRDefault="00431966" w:rsidP="00431966">
      <w:pPr>
        <w:jc w:val="center"/>
      </w:pPr>
      <w:r w:rsidRPr="00C258AD">
        <w:rPr>
          <w:noProof/>
          <w:lang w:val="en-US"/>
        </w:rPr>
        <w:drawing>
          <wp:inline distT="0" distB="0" distL="0" distR="0" wp14:anchorId="194D64B4" wp14:editId="491D121A">
            <wp:extent cx="5940425" cy="3002930"/>
            <wp:effectExtent l="0" t="0" r="3175" b="698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940425" cy="3002930"/>
                    </a:xfrm>
                    <a:prstGeom prst="rect">
                      <a:avLst/>
                    </a:prstGeom>
                    <a:noFill/>
                    <a:ln>
                      <a:noFill/>
                    </a:ln>
                  </pic:spPr>
                </pic:pic>
              </a:graphicData>
            </a:graphic>
          </wp:inline>
        </w:drawing>
      </w:r>
    </w:p>
    <w:p w:rsidR="00431966" w:rsidRPr="00C258AD" w:rsidRDefault="00431966" w:rsidP="00431966">
      <w:pPr>
        <w:jc w:val="center"/>
      </w:pPr>
    </w:p>
    <w:tbl>
      <w:tblPr>
        <w:tblW w:w="5000" w:type="pct"/>
        <w:tblInd w:w="-175" w:type="dxa"/>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731"/>
        <w:gridCol w:w="4032"/>
        <w:gridCol w:w="1568"/>
        <w:gridCol w:w="1160"/>
      </w:tblGrid>
      <w:tr w:rsidR="00431966" w:rsidRPr="00C258AD" w:rsidTr="00927E1F">
        <w:trPr>
          <w:cantSplit/>
          <w:tblHeader/>
        </w:trPr>
        <w:tc>
          <w:tcPr>
            <w:tcW w:w="1439"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431966" w:rsidRPr="00C258AD" w:rsidRDefault="00431966" w:rsidP="00927E1F">
            <w:pPr>
              <w:spacing w:after="120"/>
              <w:jc w:val="center"/>
              <w:rPr>
                <w:rFonts w:cs="Arial"/>
                <w:b/>
                <w:bCs/>
                <w:sz w:val="18"/>
                <w:szCs w:val="18"/>
              </w:rPr>
            </w:pPr>
            <w:r w:rsidRPr="00C258AD">
              <w:rPr>
                <w:rFonts w:cs="Arial"/>
                <w:b/>
                <w:bCs/>
                <w:sz w:val="18"/>
                <w:szCs w:val="18"/>
              </w:rPr>
              <w:t>Résultats escomptés</w:t>
            </w:r>
          </w:p>
        </w:tc>
        <w:tc>
          <w:tcPr>
            <w:tcW w:w="2124"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431966" w:rsidRPr="00C258AD" w:rsidRDefault="00431966" w:rsidP="00927E1F">
            <w:pPr>
              <w:spacing w:after="120"/>
              <w:jc w:val="center"/>
              <w:rPr>
                <w:rFonts w:cs="Arial"/>
                <w:b/>
                <w:sz w:val="18"/>
                <w:szCs w:val="18"/>
              </w:rPr>
            </w:pPr>
            <w:r w:rsidRPr="00C258AD">
              <w:rPr>
                <w:rFonts w:cs="Arial"/>
                <w:b/>
                <w:sz w:val="18"/>
                <w:szCs w:val="18"/>
              </w:rPr>
              <w:t>Indicateurs d’exécution</w:t>
            </w:r>
          </w:p>
        </w:tc>
        <w:tc>
          <w:tcPr>
            <w:tcW w:w="826"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431966" w:rsidRPr="00C258AD" w:rsidRDefault="00431966" w:rsidP="00927E1F">
            <w:pPr>
              <w:spacing w:after="120"/>
              <w:ind w:left="85"/>
              <w:jc w:val="center"/>
              <w:rPr>
                <w:rFonts w:cs="Arial"/>
                <w:sz w:val="18"/>
                <w:szCs w:val="18"/>
              </w:rPr>
            </w:pPr>
            <w:r w:rsidRPr="00C258AD">
              <w:rPr>
                <w:rFonts w:cs="Arial"/>
                <w:b/>
                <w:sz w:val="18"/>
                <w:szCs w:val="18"/>
              </w:rPr>
              <w:t>Programme(s) concerné(s)</w:t>
            </w:r>
          </w:p>
        </w:tc>
        <w:tc>
          <w:tcPr>
            <w:tcW w:w="611" w:type="pct"/>
            <w:tcBorders>
              <w:top w:val="single" w:sz="4" w:space="0" w:color="auto"/>
              <w:bottom w:val="single" w:sz="4" w:space="0" w:color="auto"/>
            </w:tcBorders>
            <w:shd w:val="clear" w:color="auto" w:fill="DAEEF3" w:themeFill="accent5" w:themeFillTint="33"/>
            <w:vAlign w:val="center"/>
          </w:tcPr>
          <w:p w:rsidR="00431966" w:rsidRPr="00C258AD" w:rsidRDefault="00431966" w:rsidP="00927E1F">
            <w:pPr>
              <w:spacing w:after="120"/>
              <w:ind w:left="85"/>
              <w:jc w:val="center"/>
              <w:rPr>
                <w:rFonts w:cs="Arial"/>
                <w:b/>
                <w:bCs/>
                <w:sz w:val="18"/>
                <w:szCs w:val="18"/>
              </w:rPr>
            </w:pPr>
            <w:r w:rsidRPr="00C258AD">
              <w:rPr>
                <w:rFonts w:cs="Arial"/>
                <w:b/>
                <w:bCs/>
                <w:sz w:val="18"/>
                <w:szCs w:val="18"/>
              </w:rPr>
              <w:t>Code de couleurs</w:t>
            </w:r>
          </w:p>
        </w:tc>
      </w:tr>
      <w:tr w:rsidR="00431966" w:rsidRPr="00C258AD" w:rsidTr="00927E1F">
        <w:trPr>
          <w:cantSplit/>
        </w:trPr>
        <w:tc>
          <w:tcPr>
            <w:tcW w:w="1439" w:type="pct"/>
            <w:vMerge w:val="restart"/>
            <w:tcBorders>
              <w:top w:val="single" w:sz="4" w:space="0" w:color="auto"/>
              <w:right w:val="nil"/>
            </w:tcBorders>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VII.2  Les instruments et plateformes axés sur la propriété intellectuelle sont utilisés pour le transfert de connaissances ainsi que l’adaptation et la diffusion des technologies et à des fins de diffusion entre les pays développés et les pays en développement, notamment les pays les moins avancés, pour répondre aux défis mondiaux</w:t>
            </w:r>
          </w:p>
        </w:tc>
        <w:tc>
          <w:tcPr>
            <w:tcW w:w="2124" w:type="pct"/>
            <w:tcBorders>
              <w:top w:val="single" w:sz="4" w:space="0" w:color="auto"/>
              <w:left w:val="nil"/>
              <w:bottom w:val="nil"/>
              <w:right w:val="nil"/>
            </w:tcBorders>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 xml:space="preserve">Augmentation du nombre de participants à WIPO </w:t>
            </w:r>
            <w:proofErr w:type="spellStart"/>
            <w:r w:rsidRPr="00C258AD">
              <w:rPr>
                <w:rFonts w:cs="Arial"/>
                <w:sz w:val="16"/>
                <w:szCs w:val="16"/>
              </w:rPr>
              <w:t>Re:Search</w:t>
            </w:r>
            <w:proofErr w:type="spellEnd"/>
            <w:r w:rsidRPr="00C258AD">
              <w:rPr>
                <w:rFonts w:cs="Arial"/>
                <w:sz w:val="16"/>
                <w:szCs w:val="16"/>
              </w:rPr>
              <w:t xml:space="preserve">, y compris dans les pays en développement et les PMA </w:t>
            </w:r>
          </w:p>
        </w:tc>
        <w:tc>
          <w:tcPr>
            <w:tcW w:w="826" w:type="pct"/>
            <w:tcBorders>
              <w:top w:val="single" w:sz="4" w:space="0" w:color="auto"/>
              <w:left w:val="nil"/>
              <w:bottom w:val="nil"/>
              <w:right w:val="nil"/>
            </w:tcBorders>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 xml:space="preserve">Programme 18 </w:t>
            </w:r>
          </w:p>
        </w:tc>
        <w:tc>
          <w:tcPr>
            <w:tcW w:w="611" w:type="pct"/>
            <w:tcBorders>
              <w:top w:val="single" w:sz="4" w:space="0" w:color="auto"/>
              <w:left w:val="nil"/>
            </w:tcBorders>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439" w:type="pct"/>
            <w:vMerge/>
            <w:tcBorders>
              <w:right w:val="nil"/>
            </w:tcBorders>
            <w:shd w:val="clear" w:color="auto" w:fill="auto"/>
            <w:tcMar>
              <w:top w:w="113" w:type="dxa"/>
              <w:bottom w:w="85" w:type="dxa"/>
            </w:tcMar>
          </w:tcPr>
          <w:p w:rsidR="00431966" w:rsidRPr="00C258AD" w:rsidRDefault="00431966" w:rsidP="00927E1F">
            <w:pPr>
              <w:rPr>
                <w:rFonts w:cs="Arial"/>
                <w:sz w:val="16"/>
                <w:szCs w:val="16"/>
              </w:rPr>
            </w:pPr>
          </w:p>
        </w:tc>
        <w:tc>
          <w:tcPr>
            <w:tcW w:w="2124" w:type="pct"/>
            <w:tcBorders>
              <w:top w:val="nil"/>
              <w:left w:val="nil"/>
              <w:bottom w:val="nil"/>
              <w:right w:val="nil"/>
            </w:tcBorders>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 xml:space="preserve">Augmentation du nombre de contributions en faveur de la base de données WIPO </w:t>
            </w:r>
            <w:proofErr w:type="spellStart"/>
            <w:r w:rsidRPr="00C258AD">
              <w:rPr>
                <w:rFonts w:cs="Arial"/>
                <w:sz w:val="16"/>
                <w:szCs w:val="16"/>
              </w:rPr>
              <w:t>Re:Search</w:t>
            </w:r>
            <w:proofErr w:type="spellEnd"/>
            <w:r w:rsidRPr="00C258AD">
              <w:rPr>
                <w:rFonts w:cs="Arial"/>
                <w:sz w:val="16"/>
                <w:szCs w:val="16"/>
              </w:rPr>
              <w:t xml:space="preserve"> </w:t>
            </w:r>
          </w:p>
        </w:tc>
        <w:tc>
          <w:tcPr>
            <w:tcW w:w="826" w:type="pct"/>
            <w:tcBorders>
              <w:top w:val="nil"/>
              <w:left w:val="nil"/>
              <w:bottom w:val="nil"/>
              <w:right w:val="nil"/>
            </w:tcBorders>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 xml:space="preserve">Programme 18 </w:t>
            </w:r>
          </w:p>
        </w:tc>
        <w:tc>
          <w:tcPr>
            <w:tcW w:w="611" w:type="pct"/>
            <w:tcBorders>
              <w:top w:val="nil"/>
              <w:left w:val="nil"/>
            </w:tcBorders>
            <w:shd w:val="clear" w:color="auto" w:fill="FFFFFF"/>
          </w:tcPr>
          <w:p w:rsidR="00431966" w:rsidRPr="00C258AD" w:rsidRDefault="00431966" w:rsidP="00927E1F">
            <w:pPr>
              <w:jc w:val="center"/>
            </w:pPr>
            <w:r w:rsidRPr="00C258AD">
              <w:rPr>
                <w:rFonts w:cs="Arial"/>
                <w:color w:val="FF0000"/>
                <w:sz w:val="22"/>
                <w:szCs w:val="22"/>
              </w:rPr>
              <w:sym w:font="Wingdings" w:char="F06C"/>
            </w:r>
          </w:p>
        </w:tc>
      </w:tr>
      <w:tr w:rsidR="00431966" w:rsidRPr="00C258AD" w:rsidTr="00927E1F">
        <w:trPr>
          <w:cantSplit/>
        </w:trPr>
        <w:tc>
          <w:tcPr>
            <w:tcW w:w="1439" w:type="pct"/>
            <w:vMerge/>
            <w:tcBorders>
              <w:right w:val="nil"/>
            </w:tcBorders>
            <w:shd w:val="clear" w:color="auto" w:fill="auto"/>
            <w:tcMar>
              <w:top w:w="113" w:type="dxa"/>
              <w:bottom w:w="85" w:type="dxa"/>
            </w:tcMar>
          </w:tcPr>
          <w:p w:rsidR="00431966" w:rsidRPr="00C258AD" w:rsidRDefault="00431966" w:rsidP="00927E1F">
            <w:pPr>
              <w:rPr>
                <w:rFonts w:cs="Arial"/>
                <w:sz w:val="16"/>
                <w:szCs w:val="16"/>
              </w:rPr>
            </w:pPr>
          </w:p>
        </w:tc>
        <w:tc>
          <w:tcPr>
            <w:tcW w:w="2124" w:type="pct"/>
            <w:tcBorders>
              <w:top w:val="nil"/>
              <w:left w:val="nil"/>
              <w:bottom w:val="nil"/>
              <w:right w:val="nil"/>
            </w:tcBorders>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 xml:space="preserve">Augmentation du nombre d’accords au titre de WIPO </w:t>
            </w:r>
            <w:proofErr w:type="spellStart"/>
            <w:r w:rsidRPr="00C258AD">
              <w:rPr>
                <w:rFonts w:cs="Arial"/>
                <w:sz w:val="16"/>
                <w:szCs w:val="16"/>
              </w:rPr>
              <w:t>Re:Search</w:t>
            </w:r>
            <w:proofErr w:type="spellEnd"/>
            <w:r w:rsidRPr="00C258AD">
              <w:rPr>
                <w:rFonts w:cs="Arial"/>
                <w:sz w:val="16"/>
                <w:szCs w:val="16"/>
              </w:rPr>
              <w:t xml:space="preserve"> qui </w:t>
            </w:r>
            <w:proofErr w:type="gramStart"/>
            <w:r w:rsidRPr="00C258AD">
              <w:rPr>
                <w:rFonts w:cs="Arial"/>
                <w:sz w:val="16"/>
                <w:szCs w:val="16"/>
              </w:rPr>
              <w:t>mènent</w:t>
            </w:r>
            <w:proofErr w:type="gramEnd"/>
            <w:r w:rsidRPr="00C258AD">
              <w:rPr>
                <w:rFonts w:cs="Arial"/>
                <w:sz w:val="16"/>
                <w:szCs w:val="16"/>
              </w:rPr>
              <w:t xml:space="preserve"> à des activités nouvelles ou accélérées de recherche</w:t>
            </w:r>
            <w:r w:rsidRPr="00C258AD">
              <w:rPr>
                <w:rFonts w:cs="Arial"/>
                <w:sz w:val="16"/>
                <w:szCs w:val="16"/>
              </w:rPr>
              <w:noBreakHyphen/>
              <w:t>développement dans le domaine des maladies tropicales négligées, du paludisme et de la tuberculose</w:t>
            </w:r>
          </w:p>
        </w:tc>
        <w:tc>
          <w:tcPr>
            <w:tcW w:w="826" w:type="pct"/>
            <w:tcBorders>
              <w:top w:val="nil"/>
              <w:left w:val="nil"/>
              <w:bottom w:val="nil"/>
              <w:right w:val="nil"/>
            </w:tcBorders>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18</w:t>
            </w:r>
          </w:p>
          <w:p w:rsidR="00431966" w:rsidRPr="00C258AD" w:rsidRDefault="00431966" w:rsidP="00927E1F">
            <w:pPr>
              <w:ind w:left="661"/>
              <w:rPr>
                <w:rFonts w:cs="Arial"/>
                <w:sz w:val="16"/>
                <w:szCs w:val="16"/>
                <w:lang w:bidi="th-TH"/>
              </w:rPr>
            </w:pPr>
          </w:p>
        </w:tc>
        <w:tc>
          <w:tcPr>
            <w:tcW w:w="611" w:type="pct"/>
            <w:tcBorders>
              <w:top w:val="nil"/>
              <w:left w:val="nil"/>
            </w:tcBorders>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439" w:type="pct"/>
            <w:shd w:val="clear" w:color="auto" w:fill="auto"/>
            <w:tcMar>
              <w:top w:w="113" w:type="dxa"/>
              <w:bottom w:w="85" w:type="dxa"/>
            </w:tcMar>
          </w:tcPr>
          <w:p w:rsidR="00431966" w:rsidRPr="00C258AD" w:rsidRDefault="00431966" w:rsidP="00927E1F">
            <w:pPr>
              <w:rPr>
                <w:rFonts w:cs="Arial"/>
                <w:sz w:val="16"/>
                <w:szCs w:val="16"/>
              </w:rPr>
            </w:pPr>
          </w:p>
        </w:tc>
        <w:tc>
          <w:tcPr>
            <w:tcW w:w="2124" w:type="pct"/>
            <w:tcBorders>
              <w:top w:val="nil"/>
            </w:tcBorders>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Nombre de membres de WIPO GREEN</w:t>
            </w:r>
          </w:p>
        </w:tc>
        <w:tc>
          <w:tcPr>
            <w:tcW w:w="826" w:type="pct"/>
            <w:tcBorders>
              <w:top w:val="nil"/>
            </w:tcBorders>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18</w:t>
            </w:r>
          </w:p>
        </w:tc>
        <w:tc>
          <w:tcPr>
            <w:tcW w:w="611" w:type="pct"/>
            <w:shd w:val="clear" w:color="auto" w:fill="FFFFFF"/>
          </w:tcPr>
          <w:p w:rsidR="00431966" w:rsidRPr="00C258AD" w:rsidRDefault="00431966" w:rsidP="00927E1F">
            <w:pPr>
              <w:jc w:val="center"/>
            </w:pP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p>
        </w:tc>
      </w:tr>
      <w:tr w:rsidR="00431966" w:rsidRPr="00C258AD" w:rsidTr="00927E1F">
        <w:trPr>
          <w:cantSplit/>
        </w:trPr>
        <w:tc>
          <w:tcPr>
            <w:tcW w:w="1439" w:type="pct"/>
            <w:shd w:val="clear" w:color="auto" w:fill="auto"/>
            <w:tcMar>
              <w:top w:w="113" w:type="dxa"/>
              <w:bottom w:w="85" w:type="dxa"/>
            </w:tcMar>
          </w:tcPr>
          <w:p w:rsidR="00431966" w:rsidRPr="00C258AD" w:rsidRDefault="00431966" w:rsidP="00927E1F">
            <w:pPr>
              <w:rPr>
                <w:rFonts w:cs="Arial"/>
                <w:sz w:val="16"/>
                <w:szCs w:val="16"/>
              </w:rPr>
            </w:pPr>
          </w:p>
        </w:tc>
        <w:tc>
          <w:tcPr>
            <w:tcW w:w="2124"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Nombre de liens établis entre WIPO GREEN et d’autres mécanismes pertinents tels que les centres et réseaux des technologies climatiques (CCNUCC) et les centres d’innovation en matière climatique (</w:t>
            </w:r>
            <w:proofErr w:type="spellStart"/>
            <w:r w:rsidRPr="00C258AD">
              <w:rPr>
                <w:rFonts w:cs="Arial"/>
                <w:sz w:val="16"/>
                <w:szCs w:val="16"/>
              </w:rPr>
              <w:t>infoDev</w:t>
            </w:r>
            <w:proofErr w:type="spellEnd"/>
            <w:r w:rsidRPr="00C258AD">
              <w:rPr>
                <w:rFonts w:cs="Arial"/>
                <w:sz w:val="16"/>
                <w:szCs w:val="16"/>
              </w:rPr>
              <w:t>)</w:t>
            </w:r>
          </w:p>
        </w:tc>
        <w:tc>
          <w:tcPr>
            <w:tcW w:w="826"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18</w:t>
            </w:r>
          </w:p>
        </w:tc>
        <w:tc>
          <w:tcPr>
            <w:tcW w:w="611"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439" w:type="pct"/>
            <w:shd w:val="clear" w:color="auto" w:fill="auto"/>
            <w:tcMar>
              <w:top w:w="113" w:type="dxa"/>
              <w:bottom w:w="85" w:type="dxa"/>
            </w:tcMar>
          </w:tcPr>
          <w:p w:rsidR="00431966" w:rsidRPr="00C258AD" w:rsidRDefault="00431966" w:rsidP="00927E1F">
            <w:pPr>
              <w:rPr>
                <w:rFonts w:cs="Arial"/>
                <w:sz w:val="16"/>
                <w:szCs w:val="16"/>
              </w:rPr>
            </w:pPr>
          </w:p>
        </w:tc>
        <w:tc>
          <w:tcPr>
            <w:tcW w:w="2124"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Nombre d’accords favorisés par WIPO GREEN qui facilitent le transfert de connaissances, et l’adaptation, le transfert ou la diffusion des technologies</w:t>
            </w:r>
          </w:p>
        </w:tc>
        <w:tc>
          <w:tcPr>
            <w:tcW w:w="826"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18</w:t>
            </w:r>
          </w:p>
        </w:tc>
        <w:tc>
          <w:tcPr>
            <w:tcW w:w="611" w:type="pct"/>
            <w:shd w:val="clear" w:color="auto" w:fill="FFFFFF"/>
          </w:tcPr>
          <w:p w:rsidR="00431966" w:rsidRPr="00C258AD" w:rsidRDefault="00431966" w:rsidP="00927E1F">
            <w:pPr>
              <w:jc w:val="center"/>
            </w:pPr>
            <w:r w:rsidRPr="00C258AD">
              <w:rPr>
                <w:rFonts w:cs="Arial"/>
                <w:color w:val="FF0000"/>
                <w:sz w:val="22"/>
                <w:szCs w:val="22"/>
              </w:rPr>
              <w:sym w:font="Wingdings" w:char="F06C"/>
            </w:r>
          </w:p>
        </w:tc>
      </w:tr>
      <w:tr w:rsidR="00431966" w:rsidRPr="00C258AD" w:rsidTr="00927E1F">
        <w:trPr>
          <w:cantSplit/>
        </w:trPr>
        <w:tc>
          <w:tcPr>
            <w:tcW w:w="1439" w:type="pct"/>
            <w:shd w:val="clear" w:color="auto" w:fill="auto"/>
            <w:tcMar>
              <w:top w:w="113" w:type="dxa"/>
              <w:bottom w:w="85" w:type="dxa"/>
            </w:tcMar>
          </w:tcPr>
          <w:p w:rsidR="00431966" w:rsidRPr="00C258AD" w:rsidRDefault="00431966" w:rsidP="00927E1F">
            <w:pPr>
              <w:rPr>
                <w:rFonts w:cs="Arial"/>
                <w:sz w:val="16"/>
                <w:szCs w:val="16"/>
              </w:rPr>
            </w:pPr>
          </w:p>
        </w:tc>
        <w:tc>
          <w:tcPr>
            <w:tcW w:w="2124"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Nombre de visites sur le site Web consacré aux enjeux mondiaux</w:t>
            </w:r>
          </w:p>
        </w:tc>
        <w:tc>
          <w:tcPr>
            <w:tcW w:w="826"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18</w:t>
            </w:r>
          </w:p>
        </w:tc>
        <w:tc>
          <w:tcPr>
            <w:tcW w:w="611"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FF0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FF0000"/>
                <w:sz w:val="22"/>
                <w:szCs w:val="22"/>
              </w:rPr>
              <w:sym w:font="Wingdings" w:char="F06C"/>
            </w:r>
          </w:p>
        </w:tc>
      </w:tr>
      <w:tr w:rsidR="00431966" w:rsidRPr="00C258AD" w:rsidTr="00927E1F">
        <w:trPr>
          <w:cantSplit/>
        </w:trPr>
        <w:tc>
          <w:tcPr>
            <w:tcW w:w="1439" w:type="pct"/>
            <w:shd w:val="clear" w:color="auto" w:fill="auto"/>
            <w:tcMar>
              <w:top w:w="113" w:type="dxa"/>
              <w:bottom w:w="85" w:type="dxa"/>
            </w:tcMar>
          </w:tcPr>
          <w:p w:rsidR="00431966" w:rsidRPr="00C258AD" w:rsidRDefault="00431966" w:rsidP="00927E1F">
            <w:pPr>
              <w:rPr>
                <w:rFonts w:cs="Arial"/>
                <w:sz w:val="16"/>
                <w:szCs w:val="16"/>
              </w:rPr>
            </w:pPr>
          </w:p>
        </w:tc>
        <w:tc>
          <w:tcPr>
            <w:tcW w:w="2124"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 xml:space="preserve">Participation de parties prenantes aux différentes plateformes de l’OMPI, à l’image de WIPO GREEN ou de WIPO </w:t>
            </w:r>
            <w:proofErr w:type="spellStart"/>
            <w:r w:rsidRPr="00C258AD">
              <w:rPr>
                <w:rFonts w:cs="Arial"/>
                <w:sz w:val="16"/>
                <w:szCs w:val="16"/>
              </w:rPr>
              <w:t>Re:Search</w:t>
            </w:r>
            <w:proofErr w:type="spellEnd"/>
          </w:p>
        </w:tc>
        <w:tc>
          <w:tcPr>
            <w:tcW w:w="826"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20</w:t>
            </w:r>
          </w:p>
        </w:tc>
        <w:tc>
          <w:tcPr>
            <w:tcW w:w="611" w:type="pct"/>
            <w:shd w:val="clear" w:color="auto" w:fill="FFFFFF"/>
          </w:tcPr>
          <w:p w:rsidR="00431966" w:rsidRPr="00C258AD" w:rsidRDefault="00431966" w:rsidP="00927E1F">
            <w:pPr>
              <w:jc w:val="center"/>
              <w:rPr>
                <w:rFonts w:cs="Arial"/>
                <w:color w:val="008000"/>
                <w:sz w:val="22"/>
                <w:szCs w:val="22"/>
              </w:rPr>
            </w:pPr>
            <w:r w:rsidRPr="00C258AD">
              <w:rPr>
                <w:rFonts w:cs="Arial"/>
                <w:color w:val="FF0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A6A6A6" w:themeColor="background1" w:themeShade="A6"/>
                <w:sz w:val="22"/>
                <w:szCs w:val="22"/>
              </w:rPr>
              <w:sym w:font="Wingdings" w:char="F06C"/>
            </w:r>
            <w:r w:rsidRPr="00C258AD">
              <w:rPr>
                <w:rFonts w:cs="Arial"/>
                <w:color w:val="FF0000"/>
                <w:sz w:val="22"/>
                <w:szCs w:val="22"/>
              </w:rPr>
              <w:sym w:font="Wingdings" w:char="F06C"/>
            </w:r>
          </w:p>
        </w:tc>
      </w:tr>
      <w:tr w:rsidR="00431966" w:rsidRPr="00C258AD" w:rsidTr="00927E1F">
        <w:trPr>
          <w:cantSplit/>
        </w:trPr>
        <w:tc>
          <w:tcPr>
            <w:tcW w:w="1439" w:type="pct"/>
            <w:vMerge w:val="restar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VII.3  Crédibilité croissante de l’OMPI en tant qu’instance d’analyse des questions relatives à la propriété intellectuelle et à la politique en matière de concurrence</w:t>
            </w:r>
          </w:p>
        </w:tc>
        <w:tc>
          <w:tcPr>
            <w:tcW w:w="2124"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Nombre de pays demandant à l’OMPI une contribution dans le domaine de la propriété intellectuelle en rapport avec des questions relatives aux PC</w:t>
            </w:r>
          </w:p>
        </w:tc>
        <w:tc>
          <w:tcPr>
            <w:tcW w:w="826"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18</w:t>
            </w:r>
          </w:p>
        </w:tc>
        <w:tc>
          <w:tcPr>
            <w:tcW w:w="611"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439" w:type="pct"/>
            <w:vMerge/>
            <w:shd w:val="clear" w:color="auto" w:fill="auto"/>
            <w:tcMar>
              <w:top w:w="113" w:type="dxa"/>
              <w:bottom w:w="85" w:type="dxa"/>
            </w:tcMar>
          </w:tcPr>
          <w:p w:rsidR="00431966" w:rsidRPr="00C258AD" w:rsidRDefault="00431966" w:rsidP="00927E1F">
            <w:pPr>
              <w:rPr>
                <w:rFonts w:cs="Arial"/>
                <w:sz w:val="16"/>
                <w:szCs w:val="16"/>
              </w:rPr>
            </w:pPr>
          </w:p>
        </w:tc>
        <w:tc>
          <w:tcPr>
            <w:tcW w:w="2124" w:type="pct"/>
            <w:shd w:val="clear" w:color="auto" w:fill="auto"/>
            <w:tcMar>
              <w:top w:w="113" w:type="dxa"/>
              <w:bottom w:w="85" w:type="dxa"/>
            </w:tcMar>
          </w:tcPr>
          <w:p w:rsidR="00431966" w:rsidRPr="00C258AD" w:rsidRDefault="00431966" w:rsidP="00927E1F">
            <w:pPr>
              <w:rPr>
                <w:rFonts w:eastAsia="MS Mincho" w:cs="Courier New"/>
                <w:sz w:val="16"/>
                <w:szCs w:val="16"/>
                <w:lang w:eastAsia="zh-CN" w:bidi="th-TH"/>
              </w:rPr>
            </w:pPr>
            <w:r w:rsidRPr="00C258AD">
              <w:rPr>
                <w:rFonts w:eastAsia="MS Mincho" w:cs="Courier New"/>
                <w:sz w:val="16"/>
                <w:szCs w:val="16"/>
                <w:lang w:eastAsia="zh-CN" w:bidi="th-TH"/>
              </w:rPr>
              <w:t>Nombre et éventail de parties prenantes (offices de propriété intellectuelle, services chargés de l’application du droit de la concurrence, organisations intergouvernementales et ONG compétentes) ayant engagé un dialogue avec l’OMPI</w:t>
            </w:r>
          </w:p>
        </w:tc>
        <w:tc>
          <w:tcPr>
            <w:tcW w:w="826"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18</w:t>
            </w:r>
          </w:p>
        </w:tc>
        <w:tc>
          <w:tcPr>
            <w:tcW w:w="611"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bl>
    <w:p w:rsidR="00431966" w:rsidRPr="00C258AD" w:rsidRDefault="00431966" w:rsidP="00431966">
      <w:pPr>
        <w:rPr>
          <w:rFonts w:cs="Arial"/>
          <w:b/>
          <w:bCs/>
          <w:iCs/>
          <w:caps/>
          <w:szCs w:val="20"/>
          <w:lang w:eastAsia="da-DK"/>
        </w:rPr>
      </w:pPr>
    </w:p>
    <w:p w:rsidR="006E2BB1" w:rsidRPr="00C258AD" w:rsidRDefault="00A068F8" w:rsidP="00A068F8">
      <w:pPr>
        <w:rPr>
          <w:rFonts w:cs="Arial"/>
          <w:b/>
          <w:bCs/>
          <w:iCs/>
          <w:caps/>
          <w:szCs w:val="20"/>
          <w:lang w:eastAsia="da-DK"/>
        </w:rPr>
      </w:pPr>
      <w:r w:rsidRPr="00C258AD">
        <w:rPr>
          <w:rFonts w:cs="Arial"/>
          <w:b/>
          <w:bCs/>
          <w:iCs/>
          <w:caps/>
          <w:szCs w:val="20"/>
          <w:lang w:eastAsia="da-DK"/>
        </w:rPr>
        <w:br w:type="page"/>
      </w:r>
    </w:p>
    <w:p w:rsidR="006E2BB1" w:rsidRPr="00C258AD" w:rsidRDefault="00066B9C" w:rsidP="00305CE5">
      <w:pPr>
        <w:pStyle w:val="Heading3"/>
      </w:pPr>
      <w:bookmarkStart w:id="139" w:name="_Toc455394203"/>
      <w:r w:rsidRPr="00C258AD">
        <w:lastRenderedPageBreak/>
        <w:t>Programme 18</w:t>
      </w:r>
      <w:r w:rsidRPr="00C258AD">
        <w:tab/>
        <w:t>Propriété intellectuelle et défis mondiaux</w:t>
      </w:r>
      <w:bookmarkEnd w:id="137"/>
      <w:bookmarkEnd w:id="138"/>
      <w:bookmarkEnd w:id="139"/>
    </w:p>
    <w:p w:rsidR="006E2BB1" w:rsidRPr="00C258AD" w:rsidRDefault="006E2BB1" w:rsidP="001A4D6C"/>
    <w:p w:rsidR="006E2BB1" w:rsidRPr="00C258AD" w:rsidRDefault="00066B9C" w:rsidP="001A4D6C">
      <w:pPr>
        <w:rPr>
          <w:b/>
        </w:rPr>
      </w:pPr>
      <w:r w:rsidRPr="00C258AD">
        <w:rPr>
          <w:b/>
        </w:rPr>
        <w:t>Chef de programme</w:t>
      </w:r>
      <w:r w:rsidRPr="00C258AD">
        <w:rPr>
          <w:b/>
        </w:rPr>
        <w:tab/>
        <w:t>M. M. A. Getahun</w:t>
      </w:r>
    </w:p>
    <w:p w:rsidR="006E2BB1" w:rsidRPr="00C258AD" w:rsidRDefault="006E2BB1" w:rsidP="001A4D6C"/>
    <w:p w:rsidR="006E2BB1" w:rsidRPr="00C258AD" w:rsidRDefault="006E2BB1" w:rsidP="001A4D6C"/>
    <w:p w:rsidR="006E2BB1" w:rsidRPr="00C258AD" w:rsidRDefault="00066B9C" w:rsidP="00305CE5">
      <w:pPr>
        <w:keepNext/>
        <w:rPr>
          <w:rFonts w:cs="Arial"/>
          <w:caps/>
          <w:sz w:val="22"/>
          <w:szCs w:val="22"/>
        </w:rPr>
      </w:pPr>
      <w:r w:rsidRPr="00C258AD">
        <w:rPr>
          <w:rFonts w:cs="Arial"/>
          <w:caps/>
          <w:sz w:val="22"/>
          <w:szCs w:val="22"/>
        </w:rPr>
        <w:t>Réalisations au cours de l’exercice biennal 2014</w:t>
      </w:r>
      <w:r w:rsidRPr="00C258AD">
        <w:rPr>
          <w:rFonts w:cs="Arial"/>
          <w:caps/>
          <w:sz w:val="22"/>
          <w:szCs w:val="22"/>
        </w:rPr>
        <w:noBreakHyphen/>
        <w:t>2015</w:t>
      </w:r>
    </w:p>
    <w:p w:rsidR="006E2BB1" w:rsidRPr="00C258AD" w:rsidRDefault="006E2BB1" w:rsidP="001A4D6C">
      <w:pPr>
        <w:jc w:val="both"/>
      </w:pPr>
    </w:p>
    <w:p w:rsidR="006E2BB1" w:rsidRPr="00C258AD" w:rsidRDefault="00066B9C" w:rsidP="00066B9C">
      <w:pPr>
        <w:pStyle w:val="Default"/>
        <w:numPr>
          <w:ilvl w:val="0"/>
          <w:numId w:val="49"/>
        </w:numPr>
        <w:tabs>
          <w:tab w:val="left" w:pos="709"/>
        </w:tabs>
        <w:jc w:val="both"/>
        <w:rPr>
          <w:color w:val="auto"/>
          <w:sz w:val="20"/>
          <w:szCs w:val="20"/>
        </w:rPr>
      </w:pPr>
      <w:r w:rsidRPr="00C258AD">
        <w:rPr>
          <w:bCs/>
          <w:color w:val="auto"/>
          <w:sz w:val="20"/>
          <w:szCs w:val="20"/>
        </w:rPr>
        <w:t>Le programme 18 traite de l’innovation et de la propriété intellectuelle au regard de questions mondiales interdépendantes, telles que la santé publique, le changement climatique et la sécurité alimentaire.  En 2014</w:t>
      </w:r>
      <w:r w:rsidRPr="00C258AD">
        <w:rPr>
          <w:bCs/>
          <w:color w:val="auto"/>
          <w:sz w:val="20"/>
          <w:szCs w:val="20"/>
        </w:rPr>
        <w:noBreakHyphen/>
        <w:t xml:space="preserve">2015, il a continué de favoriser une meilleure compréhension par les décideurs du rapport entre les défis mondiaux, l’innovation et la propriété intellectuelle, notamment par le biais de deux plateformes multipartites (WIPO </w:t>
      </w:r>
      <w:proofErr w:type="spellStart"/>
      <w:r w:rsidRPr="00C258AD">
        <w:rPr>
          <w:bCs/>
          <w:color w:val="auto"/>
          <w:sz w:val="20"/>
          <w:szCs w:val="20"/>
        </w:rPr>
        <w:t>Re:Search</w:t>
      </w:r>
      <w:proofErr w:type="spellEnd"/>
      <w:r w:rsidRPr="00C258AD">
        <w:rPr>
          <w:bCs/>
          <w:color w:val="auto"/>
          <w:sz w:val="20"/>
          <w:szCs w:val="20"/>
        </w:rPr>
        <w:t xml:space="preserve"> et WIPO GREEN), et la poursuite de la collaboration avec l’OMS et l’OMC sur des questions communes aux domaines de la santé, de l’innovation et du commerce.  </w:t>
      </w:r>
      <w:r w:rsidRPr="00C258AD">
        <w:rPr>
          <w:color w:val="auto"/>
          <w:sz w:val="20"/>
          <w:szCs w:val="20"/>
        </w:rPr>
        <w:t>Au cours de l’exercice biennal, l’équipe chargée du programme a continué de recevoir des retours d’information positifs d’un large éventail de parties prenantes pour les travaux de l’OMPI sur la propriété intellectuelle et les défis mondiaux.</w:t>
      </w:r>
    </w:p>
    <w:p w:rsidR="006E2BB1" w:rsidRPr="00C258AD" w:rsidRDefault="006E2BB1" w:rsidP="001A4D6C">
      <w:pPr>
        <w:pStyle w:val="Default"/>
        <w:tabs>
          <w:tab w:val="left" w:pos="709"/>
        </w:tabs>
        <w:jc w:val="both"/>
        <w:rPr>
          <w:color w:val="auto"/>
          <w:sz w:val="20"/>
          <w:szCs w:val="20"/>
        </w:rPr>
      </w:pPr>
    </w:p>
    <w:p w:rsidR="006E2BB1" w:rsidRPr="00C258AD" w:rsidRDefault="00066B9C" w:rsidP="00066B9C">
      <w:pPr>
        <w:pStyle w:val="Default"/>
        <w:numPr>
          <w:ilvl w:val="0"/>
          <w:numId w:val="49"/>
        </w:numPr>
        <w:tabs>
          <w:tab w:val="left" w:pos="709"/>
        </w:tabs>
        <w:jc w:val="both"/>
        <w:rPr>
          <w:color w:val="auto"/>
          <w:sz w:val="20"/>
          <w:szCs w:val="20"/>
        </w:rPr>
      </w:pPr>
      <w:r w:rsidRPr="00C258AD">
        <w:rPr>
          <w:color w:val="auto"/>
          <w:sz w:val="20"/>
          <w:szCs w:val="20"/>
        </w:rPr>
        <w:t>Grâce à une étroite collaboration avec des secteurs concernés au sein de l’OMPI, notamment les programmes 20 (Relations extérieures, partenariats et bureaux extérieurs) et 30 (PME et innovation), l’Organisation a pu asseoir sa position en tant que source fiable d’appui, de coopération et de référence en matière d’information sur les questions de politique publique et de propriété intellectuelle, suscitant des demandes continues de contribution et de participation de l’OMPI à des enceintes de discussion de la part d’autres organisations internationales et non gouvernementales, dont l’OMS et l’OMC, des ONG, le secteur privé et des universités.  En 2014</w:t>
      </w:r>
      <w:r w:rsidRPr="00C258AD">
        <w:rPr>
          <w:color w:val="auto"/>
          <w:sz w:val="20"/>
          <w:szCs w:val="20"/>
        </w:rPr>
        <w:noBreakHyphen/>
        <w:t>2015, trois séminaires de l’OMPI portant sur les défis mondiaux ont été organisés et ont permis aux participants d’échanger des idées, des connaissances spécialisées et des informations : i) </w:t>
      </w:r>
      <w:r w:rsidRPr="00C258AD">
        <w:rPr>
          <w:bCs/>
          <w:color w:val="000000" w:themeColor="text1"/>
          <w:sz w:val="20"/>
          <w:szCs w:val="20"/>
        </w:rPr>
        <w:t>Panorama des brevets liés aux énergies renouvelables</w:t>
      </w:r>
      <w:r w:rsidRPr="00C258AD">
        <w:rPr>
          <w:color w:val="auto"/>
          <w:sz w:val="20"/>
          <w:szCs w:val="20"/>
        </w:rPr>
        <w:t xml:space="preserve"> (juin 2014);  ii) </w:t>
      </w:r>
      <w:r w:rsidRPr="00C258AD">
        <w:rPr>
          <w:sz w:val="20"/>
          <w:szCs w:val="20"/>
        </w:rPr>
        <w:t>Innovation et accès aux médicaments : étude de cas pour le VIH/SIDA et l’hépatite C</w:t>
      </w:r>
      <w:r w:rsidRPr="00C258AD">
        <w:rPr>
          <w:rStyle w:val="Hyperlink"/>
          <w:color w:val="auto"/>
          <w:sz w:val="20"/>
          <w:szCs w:val="20"/>
        </w:rPr>
        <w:t xml:space="preserve"> </w:t>
      </w:r>
      <w:r w:rsidRPr="007E6877">
        <w:rPr>
          <w:rStyle w:val="Hyperlink"/>
          <w:color w:val="auto"/>
          <w:sz w:val="20"/>
          <w:szCs w:val="20"/>
          <w:u w:val="none"/>
        </w:rPr>
        <w:t>(décembre 2014);  et iii) </w:t>
      </w:r>
      <w:r w:rsidRPr="00C258AD">
        <w:rPr>
          <w:bCs/>
          <w:kern w:val="36"/>
          <w:sz w:val="20"/>
          <w:szCs w:val="20"/>
        </w:rPr>
        <w:t xml:space="preserve">Promouvoir une nouvelle génération de produits pour lutter contre les maladies </w:t>
      </w:r>
      <w:r w:rsidRPr="00C258AD">
        <w:rPr>
          <w:bCs/>
          <w:color w:val="auto"/>
          <w:kern w:val="36"/>
          <w:sz w:val="20"/>
          <w:szCs w:val="20"/>
        </w:rPr>
        <w:t>tropicales négligées (</w:t>
      </w:r>
      <w:r w:rsidRPr="007E6877">
        <w:rPr>
          <w:rStyle w:val="Hyperlink"/>
          <w:color w:val="auto"/>
          <w:sz w:val="20"/>
          <w:szCs w:val="20"/>
          <w:u w:val="none"/>
        </w:rPr>
        <w:t xml:space="preserve">octobre 2015).  Par ailleurs, </w:t>
      </w:r>
      <w:r w:rsidRPr="007E6877">
        <w:rPr>
          <w:rStyle w:val="Hyperlink"/>
          <w:color w:val="auto"/>
          <w:sz w:val="20"/>
          <w:u w:val="none"/>
        </w:rPr>
        <w:t>quatre</w:t>
      </w:r>
      <w:r w:rsidRPr="007E6877">
        <w:rPr>
          <w:rStyle w:val="Hyperlink"/>
          <w:color w:val="auto"/>
          <w:sz w:val="20"/>
          <w:szCs w:val="20"/>
          <w:u w:val="none"/>
        </w:rPr>
        <w:t> </w:t>
      </w:r>
      <w:r w:rsidRPr="00C258AD">
        <w:rPr>
          <w:color w:val="auto"/>
          <w:sz w:val="20"/>
          <w:szCs w:val="20"/>
        </w:rPr>
        <w:t>notes d’information sur les défis mondiaux</w:t>
      </w:r>
      <w:r w:rsidRPr="00C258AD">
        <w:rPr>
          <w:rStyle w:val="FootnoteReference"/>
          <w:color w:val="auto"/>
          <w:sz w:val="20"/>
        </w:rPr>
        <w:footnoteReference w:id="102"/>
      </w:r>
      <w:r w:rsidRPr="00C258AD">
        <w:rPr>
          <w:color w:val="auto"/>
          <w:sz w:val="20"/>
          <w:szCs w:val="20"/>
        </w:rPr>
        <w:t xml:space="preserve"> et </w:t>
      </w:r>
      <w:r w:rsidRPr="00C258AD">
        <w:rPr>
          <w:color w:val="000000" w:themeColor="text1"/>
          <w:sz w:val="20"/>
          <w:szCs w:val="20"/>
        </w:rPr>
        <w:t>trois rapports sur les défis mondiaux</w:t>
      </w:r>
      <w:r w:rsidRPr="00C258AD">
        <w:rPr>
          <w:rStyle w:val="FootnoteReference"/>
          <w:color w:val="000000" w:themeColor="text1"/>
          <w:sz w:val="20"/>
        </w:rPr>
        <w:footnoteReference w:id="103"/>
      </w:r>
      <w:r w:rsidRPr="00C258AD">
        <w:rPr>
          <w:color w:val="000000" w:themeColor="text1"/>
          <w:sz w:val="20"/>
          <w:szCs w:val="20"/>
        </w:rPr>
        <w:t xml:space="preserve"> ont été </w:t>
      </w:r>
      <w:proofErr w:type="gramStart"/>
      <w:r w:rsidRPr="00C258AD">
        <w:rPr>
          <w:color w:val="000000" w:themeColor="text1"/>
          <w:sz w:val="20"/>
          <w:szCs w:val="20"/>
        </w:rPr>
        <w:t>publiés</w:t>
      </w:r>
      <w:proofErr w:type="gramEnd"/>
      <w:r w:rsidRPr="00C258AD">
        <w:rPr>
          <w:color w:val="000000" w:themeColor="text1"/>
          <w:sz w:val="20"/>
          <w:szCs w:val="20"/>
        </w:rPr>
        <w:t xml:space="preserve">.  </w:t>
      </w:r>
      <w:r w:rsidRPr="00C258AD">
        <w:rPr>
          <w:rFonts w:eastAsia="Times New Roman"/>
          <w:color w:val="auto"/>
          <w:sz w:val="20"/>
          <w:szCs w:val="20"/>
        </w:rPr>
        <w:t xml:space="preserve">Dans le cadre des activités de WIPO </w:t>
      </w:r>
      <w:proofErr w:type="spellStart"/>
      <w:r w:rsidRPr="00C258AD">
        <w:rPr>
          <w:rFonts w:eastAsia="Times New Roman"/>
          <w:color w:val="auto"/>
          <w:sz w:val="20"/>
          <w:szCs w:val="20"/>
        </w:rPr>
        <w:t>Re:Search</w:t>
      </w:r>
      <w:proofErr w:type="spellEnd"/>
      <w:r w:rsidRPr="00C258AD">
        <w:rPr>
          <w:rFonts w:eastAsia="Times New Roman"/>
          <w:color w:val="auto"/>
          <w:sz w:val="20"/>
          <w:szCs w:val="20"/>
        </w:rPr>
        <w:t xml:space="preserve"> visant à renforcer les capacités dans les pays en développement, deux séminaires de formation à la gestion des actifs de propriété intellectuelle ont été organisés, en collaboration avec les responsables du programme 9 (Bureaux régionaux) et du programme 30 (PME et innovation), à l’intention des scientifiques de pays en développement membres de la plateforme.</w:t>
      </w:r>
    </w:p>
    <w:p w:rsidR="006E2BB1" w:rsidRPr="00C258AD" w:rsidRDefault="006E2BB1" w:rsidP="001A4D6C">
      <w:pPr>
        <w:pStyle w:val="Default"/>
        <w:tabs>
          <w:tab w:val="left" w:pos="709"/>
        </w:tabs>
        <w:jc w:val="both"/>
        <w:rPr>
          <w:bCs/>
          <w:color w:val="auto"/>
          <w:sz w:val="20"/>
          <w:szCs w:val="20"/>
        </w:rPr>
      </w:pPr>
    </w:p>
    <w:p w:rsidR="006E2BB1" w:rsidRPr="00C258AD" w:rsidRDefault="00066B9C" w:rsidP="00066B9C">
      <w:pPr>
        <w:pStyle w:val="Default"/>
        <w:numPr>
          <w:ilvl w:val="0"/>
          <w:numId w:val="49"/>
        </w:numPr>
        <w:tabs>
          <w:tab w:val="left" w:pos="567"/>
          <w:tab w:val="left" w:pos="709"/>
        </w:tabs>
        <w:jc w:val="both"/>
        <w:rPr>
          <w:rFonts w:eastAsia="Times New Roman"/>
          <w:color w:val="auto"/>
          <w:sz w:val="20"/>
          <w:szCs w:val="20"/>
        </w:rPr>
      </w:pPr>
      <w:r w:rsidRPr="00C258AD">
        <w:rPr>
          <w:color w:val="auto"/>
          <w:sz w:val="20"/>
          <w:szCs w:val="20"/>
        </w:rPr>
        <w:t>Après son lancement en novembre 2013, WIPO GREEN a connu en 2014 sa première année complète de fonctionnement.  Grâce à une campagne de sensibilisation ciblée, WIPO GREEN, le marché des technologies durables, s’est fait sensiblement mieux connaître en 2014</w:t>
      </w:r>
      <w:r w:rsidRPr="00C258AD">
        <w:rPr>
          <w:color w:val="auto"/>
          <w:sz w:val="20"/>
          <w:szCs w:val="20"/>
        </w:rPr>
        <w:noBreakHyphen/>
        <w:t>2015.</w:t>
      </w:r>
      <w:r w:rsidRPr="00C258AD">
        <w:rPr>
          <w:color w:val="auto"/>
          <w:sz w:val="20"/>
        </w:rPr>
        <w:t xml:space="preserve">  </w:t>
      </w:r>
      <w:r w:rsidRPr="00C258AD">
        <w:rPr>
          <w:color w:val="auto"/>
          <w:sz w:val="20"/>
          <w:szCs w:val="20"/>
        </w:rPr>
        <w:t>Le réseau de partenaires est passé de 36 membres en 2013, à 54 en 2014 et à 65 en 2015, et le nombre d’utilisateurs enregistrés a triplé, passant de 160 en 2013 à 490 à la fin de 2015.</w:t>
      </w:r>
      <w:r w:rsidRPr="00C258AD">
        <w:rPr>
          <w:color w:val="auto"/>
          <w:sz w:val="20"/>
        </w:rPr>
        <w:t xml:space="preserve">  </w:t>
      </w:r>
      <w:r w:rsidRPr="00C258AD">
        <w:rPr>
          <w:color w:val="auto"/>
          <w:sz w:val="20"/>
          <w:szCs w:val="20"/>
        </w:rPr>
        <w:t>Le contenu de la base de données WIPO GREEN a également plus que doublé, passant de 830 entrées en 2013 à 2181 en 2015, grâce à des accords d’intégration de la base de données et des téléchargements individuels.</w:t>
      </w:r>
    </w:p>
    <w:p w:rsidR="006E2BB1" w:rsidRPr="00C258AD" w:rsidRDefault="006E2BB1" w:rsidP="001A4D6C"/>
    <w:p w:rsidR="00066B9C" w:rsidRPr="00C258AD" w:rsidRDefault="00066B9C" w:rsidP="001A4D6C">
      <w:pPr>
        <w:keepNext/>
        <w:jc w:val="center"/>
        <w:rPr>
          <w:rFonts w:cs="Arial"/>
          <w:i/>
          <w:sz w:val="16"/>
          <w:szCs w:val="16"/>
        </w:rPr>
      </w:pPr>
      <w:r w:rsidRPr="00C258AD">
        <w:rPr>
          <w:rFonts w:cs="Arial"/>
          <w:i/>
          <w:sz w:val="16"/>
          <w:szCs w:val="16"/>
        </w:rPr>
        <w:lastRenderedPageBreak/>
        <w:t>WIPO GREEN : nombre de partenaires, d’utilisateurs enregistrés et de téléchargements, 2013</w:t>
      </w:r>
      <w:r w:rsidRPr="00C258AD">
        <w:rPr>
          <w:rFonts w:cs="Arial"/>
          <w:i/>
          <w:sz w:val="16"/>
          <w:szCs w:val="16"/>
        </w:rPr>
        <w:noBreakHyphen/>
        <w:t>2015</w:t>
      </w:r>
    </w:p>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left w:w="68" w:type="dxa"/>
          <w:bottom w:w="113" w:type="dxa"/>
          <w:right w:w="68" w:type="dxa"/>
        </w:tblCellMar>
        <w:tblLook w:val="04A0" w:firstRow="1" w:lastRow="0" w:firstColumn="1" w:lastColumn="0" w:noHBand="0" w:noVBand="1"/>
      </w:tblPr>
      <w:tblGrid>
        <w:gridCol w:w="4745"/>
        <w:gridCol w:w="4746"/>
      </w:tblGrid>
      <w:tr w:rsidR="00066B9C" w:rsidRPr="00C258AD" w:rsidTr="001A4D6C">
        <w:trPr>
          <w:cantSplit/>
          <w:jc w:val="center"/>
        </w:trPr>
        <w:tc>
          <w:tcPr>
            <w:tcW w:w="4745" w:type="dxa"/>
          </w:tcPr>
          <w:p w:rsidR="00066B9C" w:rsidRPr="00C258AD" w:rsidRDefault="00066B9C" w:rsidP="001A4D6C">
            <w:pPr>
              <w:pStyle w:val="Default"/>
              <w:tabs>
                <w:tab w:val="left" w:pos="709"/>
              </w:tabs>
              <w:jc w:val="center"/>
              <w:rPr>
                <w:bCs/>
                <w:color w:val="auto"/>
                <w:sz w:val="20"/>
                <w:szCs w:val="20"/>
              </w:rPr>
            </w:pPr>
            <w:r w:rsidRPr="00C258AD">
              <w:rPr>
                <w:bCs/>
                <w:noProof/>
                <w:color w:val="auto"/>
                <w:sz w:val="20"/>
                <w:szCs w:val="20"/>
                <w:lang w:val="en-US"/>
              </w:rPr>
              <w:drawing>
                <wp:inline distT="0" distB="0" distL="0" distR="0" wp14:anchorId="7B4C3892" wp14:editId="36234408">
                  <wp:extent cx="2922905" cy="17494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922905" cy="1749425"/>
                          </a:xfrm>
                          <a:prstGeom prst="rect">
                            <a:avLst/>
                          </a:prstGeom>
                          <a:noFill/>
                          <a:ln>
                            <a:noFill/>
                          </a:ln>
                        </pic:spPr>
                      </pic:pic>
                    </a:graphicData>
                  </a:graphic>
                </wp:inline>
              </w:drawing>
            </w:r>
          </w:p>
        </w:tc>
        <w:tc>
          <w:tcPr>
            <w:tcW w:w="4746" w:type="dxa"/>
          </w:tcPr>
          <w:p w:rsidR="00066B9C" w:rsidRPr="00C258AD" w:rsidRDefault="00066B9C" w:rsidP="001A4D6C">
            <w:pPr>
              <w:pStyle w:val="Default"/>
              <w:tabs>
                <w:tab w:val="left" w:pos="709"/>
              </w:tabs>
              <w:jc w:val="both"/>
              <w:rPr>
                <w:bCs/>
                <w:color w:val="auto"/>
                <w:sz w:val="20"/>
                <w:szCs w:val="20"/>
              </w:rPr>
            </w:pPr>
            <w:r w:rsidRPr="00C258AD">
              <w:rPr>
                <w:bCs/>
                <w:noProof/>
                <w:color w:val="auto"/>
                <w:sz w:val="20"/>
                <w:szCs w:val="20"/>
                <w:lang w:val="en-US"/>
              </w:rPr>
              <w:drawing>
                <wp:inline distT="0" distB="0" distL="0" distR="0" wp14:anchorId="01F5BEA7" wp14:editId="4B9FB4AE">
                  <wp:extent cx="2922905" cy="174942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922905" cy="1749425"/>
                          </a:xfrm>
                          <a:prstGeom prst="rect">
                            <a:avLst/>
                          </a:prstGeom>
                          <a:noFill/>
                          <a:ln>
                            <a:noFill/>
                          </a:ln>
                        </pic:spPr>
                      </pic:pic>
                    </a:graphicData>
                  </a:graphic>
                </wp:inline>
              </w:drawing>
            </w:r>
          </w:p>
        </w:tc>
      </w:tr>
    </w:tbl>
    <w:p w:rsidR="006E2BB1" w:rsidRPr="00C258AD" w:rsidRDefault="006E2BB1" w:rsidP="001A4D6C"/>
    <w:p w:rsidR="006E2BB1" w:rsidRPr="00C258AD" w:rsidRDefault="00066B9C" w:rsidP="00066B9C">
      <w:pPr>
        <w:pStyle w:val="Default"/>
        <w:numPr>
          <w:ilvl w:val="0"/>
          <w:numId w:val="49"/>
        </w:numPr>
        <w:tabs>
          <w:tab w:val="left" w:pos="567"/>
          <w:tab w:val="left" w:pos="709"/>
        </w:tabs>
        <w:jc w:val="both"/>
        <w:rPr>
          <w:rFonts w:eastAsia="Times New Roman"/>
          <w:color w:val="auto"/>
          <w:sz w:val="20"/>
          <w:szCs w:val="20"/>
        </w:rPr>
      </w:pPr>
      <w:r w:rsidRPr="00C258AD">
        <w:rPr>
          <w:rFonts w:eastAsia="Times New Roman"/>
          <w:color w:val="auto"/>
          <w:sz w:val="20"/>
          <w:szCs w:val="20"/>
        </w:rPr>
        <w:t xml:space="preserve">Étant donné qu’en 2014 et 2015, l’accent continuait d’être mis sur l’établissement d’un réseau solide de partenaires et l’augmentation du nombre d’entrées pour promouvoir une interaction et une utilisation transactionnelle plus grandes du marché, </w:t>
      </w:r>
      <w:r w:rsidRPr="00C258AD">
        <w:rPr>
          <w:rFonts w:cstheme="minorBidi"/>
          <w:sz w:val="20"/>
        </w:rPr>
        <w:t xml:space="preserve">aucun accord conclu pouvant être mis en lien direct avec l’utilisation de WIPO GREEN n’a été enregistré à ce stade.  </w:t>
      </w:r>
      <w:r w:rsidRPr="00C258AD">
        <w:rPr>
          <w:rFonts w:eastAsia="Times New Roman"/>
          <w:color w:val="auto"/>
          <w:sz w:val="20"/>
          <w:szCs w:val="20"/>
        </w:rPr>
        <w:t xml:space="preserve">En outre, le fait que WIPO GREEN ne dispose pas actuellement de “centre de partenariat” ou de prestataire de services, combiné au temps nécessaire pour conclure des accords, explique aussi le manque d’accords conclus.  </w:t>
      </w:r>
      <w:r w:rsidRPr="00C258AD">
        <w:rPr>
          <w:bCs/>
          <w:color w:val="auto"/>
          <w:sz w:val="20"/>
          <w:szCs w:val="20"/>
        </w:rPr>
        <w:t>En 2015, les travaux entrepris visaient principalement à aider les demandeurs à définir de manière plus précise leurs besoins et à faciliter les connexions.  Par conséquent, des directives plus détaillées destinées aux demandeurs ont été introduites en 2015, entraînant une amélioration de la qualité de la description des besoins.  La première activité de mise en relation organisée à Manille (Philippines) par WIPO GREEN en 2015, intitulée “Faciliter le transfert et la diffusion des technologies vertes : opportunités dans le cadre d’un projet pilote sur le traitement des eaux usées en Asie du Sud Est” a débouché sur la signature de 16 lettres d’intention par les parties.</w:t>
      </w:r>
    </w:p>
    <w:p w:rsidR="006E2BB1" w:rsidRPr="00C258AD" w:rsidRDefault="006E2BB1" w:rsidP="001A4D6C">
      <w:pPr>
        <w:pStyle w:val="Default"/>
        <w:tabs>
          <w:tab w:val="left" w:pos="567"/>
          <w:tab w:val="left" w:pos="709"/>
        </w:tabs>
        <w:jc w:val="both"/>
        <w:rPr>
          <w:color w:val="auto"/>
          <w:sz w:val="20"/>
          <w:szCs w:val="20"/>
        </w:rPr>
      </w:pPr>
    </w:p>
    <w:p w:rsidR="006E2BB1" w:rsidRPr="00C258AD" w:rsidRDefault="00066B9C" w:rsidP="00066B9C">
      <w:pPr>
        <w:pStyle w:val="Default"/>
        <w:numPr>
          <w:ilvl w:val="0"/>
          <w:numId w:val="49"/>
        </w:numPr>
        <w:tabs>
          <w:tab w:val="left" w:pos="567"/>
          <w:tab w:val="left" w:pos="709"/>
        </w:tabs>
        <w:jc w:val="both"/>
        <w:rPr>
          <w:color w:val="auto"/>
          <w:sz w:val="20"/>
          <w:szCs w:val="20"/>
        </w:rPr>
      </w:pPr>
      <w:r w:rsidRPr="00C258AD">
        <w:rPr>
          <w:color w:val="auto"/>
          <w:sz w:val="20"/>
          <w:szCs w:val="20"/>
        </w:rPr>
        <w:t xml:space="preserve">Le volet “Mettre les innovations en commun pour lutter contre les maladies tropicales négligées” de WIPO </w:t>
      </w:r>
      <w:proofErr w:type="spellStart"/>
      <w:r w:rsidRPr="00C258AD">
        <w:rPr>
          <w:color w:val="auto"/>
          <w:sz w:val="20"/>
          <w:szCs w:val="20"/>
        </w:rPr>
        <w:t>Re:Search</w:t>
      </w:r>
      <w:proofErr w:type="spellEnd"/>
      <w:r w:rsidRPr="00C258AD">
        <w:rPr>
          <w:color w:val="auto"/>
          <w:sz w:val="20"/>
          <w:szCs w:val="20"/>
        </w:rPr>
        <w:t xml:space="preserve"> a gagné en reconnaissance en tant que plateforme d’appui à l’innovation, au transfert des savoirs et des technologies, ainsi qu’au renforcement des capacités dans le domaine de la recherche sur les maladies tropicales négligées, la tuberculose et le paludisme.  Au cours de l’exercice biennal, 52 collaborations supplémentaires entre des membres de WIPO </w:t>
      </w:r>
      <w:proofErr w:type="spellStart"/>
      <w:r w:rsidRPr="00C258AD">
        <w:rPr>
          <w:color w:val="auto"/>
          <w:sz w:val="20"/>
          <w:szCs w:val="20"/>
        </w:rPr>
        <w:t>Re:Search</w:t>
      </w:r>
      <w:proofErr w:type="spellEnd"/>
      <w:r w:rsidRPr="00C258AD">
        <w:rPr>
          <w:color w:val="auto"/>
          <w:sz w:val="20"/>
          <w:szCs w:val="20"/>
        </w:rPr>
        <w:t xml:space="preserve"> et 20 nouveaux membres, dont 6 provenant de pays en développement, ont été enregistrées, portant les chiffres totaux à 96 collaborations et 100 membres, dont 22 issus de pays en développement.  En outre, le potentiel de la plateforme pour le transfert de technologie des pays développés vers les pays en développement, concernant des actifs de propriété intellectuelle, notamment le savoir</w:t>
      </w:r>
      <w:r w:rsidRPr="00C258AD">
        <w:rPr>
          <w:color w:val="auto"/>
          <w:sz w:val="20"/>
          <w:szCs w:val="20"/>
        </w:rPr>
        <w:noBreakHyphen/>
        <w:t>faire et l’expertise, a été encore démontré avec la possibilité offerte à six chercheurs scientifiques africains de prendre un congé sabbatique pour travailler dans des instituts de recherche à l’étranger.  Ces congés sabbatiques, qui ont débuté durant l’exercice biennal précédent, ont été rendus possibles grâce à un fonds fiduciaire financé par le Gouvernement australien et quatre d’entre eux étaient achevés à la fin de l’exercice biennal.</w:t>
      </w:r>
    </w:p>
    <w:p w:rsidR="006E2BB1" w:rsidRPr="00C258AD" w:rsidRDefault="006E2BB1" w:rsidP="001A4D6C">
      <w:pPr>
        <w:tabs>
          <w:tab w:val="left" w:pos="709"/>
        </w:tabs>
        <w:jc w:val="both"/>
        <w:rPr>
          <w:bCs/>
        </w:rPr>
      </w:pPr>
    </w:p>
    <w:p w:rsidR="006E2BB1" w:rsidRPr="00C258AD" w:rsidRDefault="00066B9C" w:rsidP="00066B9C">
      <w:pPr>
        <w:pStyle w:val="ListParagraph"/>
        <w:numPr>
          <w:ilvl w:val="0"/>
          <w:numId w:val="49"/>
        </w:numPr>
        <w:tabs>
          <w:tab w:val="left" w:pos="709"/>
        </w:tabs>
        <w:jc w:val="both"/>
      </w:pPr>
      <w:r w:rsidRPr="00C258AD">
        <w:t>La coopération trilatérale avec l’OMS et l’OMC a continué de se concentrer sur une meilleure compréhension par les décideurs de l’interaction entre la santé, la propriété intellectuelle et le commerce.  En novembre 2014 et octobre 2015, les quatrième et cinquième colloques de la coopération trilatérale se sont tenus à Genève et ont permis d’étudier les enjeux et les opportunités de l’innovation dans le domaine de la santé pour les pays à revenu intermédiaire, ainsi que les politiques publiques nécessaires pour faire en sorte qu’une croissance économique rapide favorise l’accès aux soins de santé et une couverture médicale universelle.  En octobre 2015, cette coopération trilatérale a organisé conjointement un atelier technique consacré aux critères de brevetabilité;  dans l’ensemble, les participants lui ont réservé un accueil positif.</w:t>
      </w:r>
    </w:p>
    <w:p w:rsidR="006E2BB1" w:rsidRPr="00C258AD" w:rsidRDefault="006E2BB1" w:rsidP="001A4D6C">
      <w:pPr>
        <w:tabs>
          <w:tab w:val="left" w:pos="709"/>
        </w:tabs>
        <w:jc w:val="both"/>
      </w:pPr>
    </w:p>
    <w:p w:rsidR="006E2BB1" w:rsidRPr="00C258AD" w:rsidRDefault="00066B9C" w:rsidP="00066B9C">
      <w:pPr>
        <w:pStyle w:val="ListParagraph"/>
        <w:numPr>
          <w:ilvl w:val="0"/>
          <w:numId w:val="49"/>
        </w:numPr>
        <w:tabs>
          <w:tab w:val="left" w:pos="709"/>
        </w:tabs>
        <w:jc w:val="both"/>
        <w:rPr>
          <w:bCs/>
        </w:rPr>
      </w:pPr>
      <w:r w:rsidRPr="00C258AD">
        <w:rPr>
          <w:bCs/>
        </w:rPr>
        <w:t>Dans le domaine de la propriété intellectuelle et de la politique en matière de concurrence, il a été constaté que les États membres exprimaient un intérêt soutenu à participer à des échanges pour mieux comprendre l’interface entre ces deux secteurs.  Les demandes émanaient d’offices de propriété intellectuelle et d’administrations chargées de la concurrence, notamment dans des pays ayant une moins bonne connaissance des questions de concurrence en rapport avec la propriété intellectuelle.</w:t>
      </w:r>
    </w:p>
    <w:p w:rsidR="006E2BB1" w:rsidRPr="00C258AD" w:rsidRDefault="006E2BB1" w:rsidP="001A4D6C">
      <w:pPr>
        <w:tabs>
          <w:tab w:val="left" w:pos="709"/>
        </w:tabs>
        <w:jc w:val="both"/>
        <w:rPr>
          <w:bCs/>
        </w:rPr>
      </w:pPr>
    </w:p>
    <w:p w:rsidR="006E2BB1" w:rsidRPr="00C258AD" w:rsidRDefault="00066B9C" w:rsidP="00066B9C">
      <w:pPr>
        <w:pStyle w:val="ListParagraph"/>
        <w:numPr>
          <w:ilvl w:val="0"/>
          <w:numId w:val="49"/>
        </w:numPr>
        <w:tabs>
          <w:tab w:val="left" w:pos="709"/>
        </w:tabs>
        <w:jc w:val="both"/>
        <w:rPr>
          <w:bCs/>
        </w:rPr>
      </w:pPr>
      <w:r w:rsidRPr="00C258AD">
        <w:rPr>
          <w:bCs/>
        </w:rPr>
        <w:t xml:space="preserve">Les parties prenantes à un dialogue avec l’OMPI comptaient 39 administrations chargées des questions de concurrence et la coopération structurée et informelle avec d’autres organisations dans ce domaine, principalement l’OCDE, la CNUCED, l’OMC, le Réseau international de la concurrence et le </w:t>
      </w:r>
      <w:r w:rsidRPr="00C258AD">
        <w:rPr>
          <w:bCs/>
        </w:rPr>
        <w:lastRenderedPageBreak/>
        <w:t>Marché commun de l’Afrique orientale et australe (COMESA), mise en place au cours du précédent exercice biennal a été renforcée.</w:t>
      </w:r>
      <w:r w:rsidRPr="00C258AD">
        <w:t xml:space="preserve"> </w:t>
      </w:r>
      <w:r w:rsidRPr="00C258AD">
        <w:rPr>
          <w:bCs/>
        </w:rPr>
        <w:t xml:space="preserve"> L’OMPI a </w:t>
      </w:r>
      <w:proofErr w:type="spellStart"/>
      <w:r w:rsidRPr="00C258AD">
        <w:rPr>
          <w:bCs/>
        </w:rPr>
        <w:t>coorganisé</w:t>
      </w:r>
      <w:proofErr w:type="spellEnd"/>
      <w:r w:rsidRPr="00C258AD">
        <w:rPr>
          <w:bCs/>
        </w:rPr>
        <w:t>, ou a participé à, neuf ateliers.  Les efforts conjoints des offices de propriété intellectuelle et des administrations chargées de la concurrence ont permis de définir un cadre propice au dialogue et aux débats sur l’interface entre la propriété intellectuelle et la politique en matière de concurrence.</w:t>
      </w:r>
    </w:p>
    <w:p w:rsidR="006E2BB1" w:rsidRPr="00C258AD" w:rsidRDefault="006E2BB1" w:rsidP="001A4D6C">
      <w:pPr>
        <w:tabs>
          <w:tab w:val="left" w:pos="709"/>
        </w:tabs>
        <w:jc w:val="both"/>
        <w:rPr>
          <w:bCs/>
          <w:szCs w:val="22"/>
        </w:rPr>
      </w:pPr>
    </w:p>
    <w:p w:rsidR="006E2BB1" w:rsidRPr="00C258AD" w:rsidRDefault="00066B9C" w:rsidP="00066B9C">
      <w:pPr>
        <w:pStyle w:val="ListParagraph"/>
        <w:numPr>
          <w:ilvl w:val="0"/>
          <w:numId w:val="49"/>
        </w:numPr>
        <w:tabs>
          <w:tab w:val="left" w:pos="709"/>
        </w:tabs>
        <w:jc w:val="both"/>
        <w:rPr>
          <w:bCs/>
        </w:rPr>
      </w:pPr>
      <w:r w:rsidRPr="00C258AD">
        <w:rPr>
          <w:bCs/>
        </w:rPr>
        <w:t>La conception, la planification et la mise en œuvre des activités entreprises au titre du programme 18 se sont appuyées sur les recommandations pertinentes du Plan d’action pour le développement, en particulier les recommandations n</w:t>
      </w:r>
      <w:r w:rsidRPr="00C258AD">
        <w:rPr>
          <w:vertAlign w:val="superscript"/>
        </w:rPr>
        <w:t>os</w:t>
      </w:r>
      <w:r w:rsidRPr="00C258AD">
        <w:t> </w:t>
      </w:r>
      <w:r w:rsidRPr="00C258AD">
        <w:rPr>
          <w:bCs/>
        </w:rPr>
        <w:t>19, 25, 30, 40 et 42.</w:t>
      </w:r>
    </w:p>
    <w:p w:rsidR="006E2BB1" w:rsidRPr="00C258AD" w:rsidRDefault="006E2BB1" w:rsidP="001A4D6C">
      <w:pPr>
        <w:tabs>
          <w:tab w:val="left" w:pos="709"/>
        </w:tabs>
        <w:jc w:val="both"/>
        <w:rPr>
          <w:bCs/>
        </w:rPr>
      </w:pPr>
    </w:p>
    <w:p w:rsidR="006E2BB1" w:rsidRPr="00C258AD" w:rsidRDefault="006E2BB1" w:rsidP="001A4D6C">
      <w:pPr>
        <w:tabs>
          <w:tab w:val="left" w:pos="709"/>
        </w:tabs>
        <w:rPr>
          <w:bCs/>
          <w:szCs w:val="22"/>
        </w:rPr>
      </w:pPr>
    </w:p>
    <w:p w:rsidR="006E2BB1" w:rsidRPr="00C258AD" w:rsidRDefault="00066B9C" w:rsidP="00305CE5">
      <w:pPr>
        <w:keepNext/>
        <w:rPr>
          <w:rFonts w:cs="Arial"/>
          <w:caps/>
          <w:sz w:val="22"/>
          <w:szCs w:val="22"/>
        </w:rPr>
      </w:pPr>
      <w:r w:rsidRPr="00C258AD">
        <w:rPr>
          <w:rFonts w:cs="Arial"/>
          <w:caps/>
          <w:sz w:val="22"/>
          <w:szCs w:val="22"/>
        </w:rPr>
        <w:t>Données relatives à l’exécution</w:t>
      </w:r>
    </w:p>
    <w:p w:rsidR="00066B9C" w:rsidRPr="00C258AD" w:rsidRDefault="00066B9C" w:rsidP="001A4D6C">
      <w:pPr>
        <w:keepNext/>
        <w:keepLines/>
        <w:rPr>
          <w:bCs/>
          <w:szCs w:val="22"/>
        </w:rPr>
      </w:pPr>
    </w:p>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057"/>
        <w:gridCol w:w="133"/>
        <w:gridCol w:w="2268"/>
        <w:gridCol w:w="1520"/>
        <w:gridCol w:w="2454"/>
        <w:gridCol w:w="1059"/>
      </w:tblGrid>
      <w:tr w:rsidR="00066B9C" w:rsidRPr="00C258AD" w:rsidTr="001A4D6C">
        <w:trPr>
          <w:cantSplit/>
        </w:trPr>
        <w:tc>
          <w:tcPr>
            <w:tcW w:w="5000" w:type="pct"/>
            <w:gridSpan w:val="6"/>
            <w:tcBorders>
              <w:top w:val="single" w:sz="4" w:space="0" w:color="auto"/>
              <w:bottom w:val="single" w:sz="4" w:space="0" w:color="auto"/>
            </w:tcBorders>
            <w:shd w:val="clear" w:color="auto" w:fill="C5D9F1"/>
            <w:tcMar>
              <w:top w:w="113" w:type="dxa"/>
              <w:bottom w:w="113" w:type="dxa"/>
            </w:tcMar>
            <w:vAlign w:val="center"/>
          </w:tcPr>
          <w:p w:rsidR="00066B9C" w:rsidRPr="00C258AD" w:rsidRDefault="00066B9C" w:rsidP="001A4D6C">
            <w:pPr>
              <w:keepNext/>
              <w:keepLines/>
              <w:tabs>
                <w:tab w:val="left" w:pos="1452"/>
              </w:tabs>
              <w:rPr>
                <w:b/>
                <w:bCs/>
                <w:sz w:val="16"/>
                <w:szCs w:val="16"/>
              </w:rPr>
            </w:pPr>
            <w:r w:rsidRPr="00C258AD">
              <w:rPr>
                <w:b/>
                <w:bCs/>
                <w:sz w:val="16"/>
                <w:szCs w:val="16"/>
              </w:rPr>
              <w:t xml:space="preserve">Résultat escompté : </w:t>
            </w:r>
            <w:r w:rsidRPr="00C258AD">
              <w:rPr>
                <w:bCs/>
                <w:sz w:val="16"/>
                <w:szCs w:val="16"/>
              </w:rPr>
              <w:t>III.2 Renforcement des capacités en matière de ressources humaines pour pouvoir répondre aux nombreuses exigences en ce qui concerne l’utilisation efficace de la propriété intellectuelle au service du développement dans les pays en développement, les PMA et les pays en transition</w:t>
            </w:r>
          </w:p>
        </w:tc>
      </w:tr>
      <w:tr w:rsidR="00066B9C" w:rsidRPr="00C258AD" w:rsidTr="001A4D6C">
        <w:trPr>
          <w:cantSplit/>
        </w:trPr>
        <w:tc>
          <w:tcPr>
            <w:tcW w:w="1083" w:type="pct"/>
            <w:tcBorders>
              <w:top w:val="single" w:sz="4" w:space="0" w:color="auto"/>
            </w:tcBorders>
            <w:shd w:val="clear" w:color="auto" w:fill="auto"/>
            <w:tcMar>
              <w:top w:w="113" w:type="dxa"/>
              <w:bottom w:w="113" w:type="dxa"/>
            </w:tcMar>
            <w:vAlign w:val="center"/>
          </w:tcPr>
          <w:p w:rsidR="00066B9C" w:rsidRPr="00C258AD" w:rsidRDefault="00066B9C" w:rsidP="001A4D6C">
            <w:pPr>
              <w:jc w:val="center"/>
              <w:rPr>
                <w:b/>
                <w:sz w:val="16"/>
                <w:szCs w:val="16"/>
              </w:rPr>
            </w:pPr>
            <w:r w:rsidRPr="00C258AD">
              <w:rPr>
                <w:b/>
                <w:sz w:val="16"/>
                <w:szCs w:val="16"/>
              </w:rPr>
              <w:t>Indicateurs d’exécution</w:t>
            </w:r>
          </w:p>
        </w:tc>
        <w:tc>
          <w:tcPr>
            <w:tcW w:w="1265" w:type="pct"/>
            <w:gridSpan w:val="2"/>
            <w:tcBorders>
              <w:top w:val="single" w:sz="4" w:space="0" w:color="auto"/>
            </w:tcBorders>
            <w:shd w:val="clear" w:color="auto" w:fill="auto"/>
            <w:tcMar>
              <w:top w:w="113" w:type="dxa"/>
              <w:bottom w:w="113" w:type="dxa"/>
            </w:tcMar>
            <w:vAlign w:val="center"/>
          </w:tcPr>
          <w:p w:rsidR="00066B9C" w:rsidRPr="00C258AD" w:rsidRDefault="00066B9C" w:rsidP="001A4D6C">
            <w:pPr>
              <w:jc w:val="center"/>
              <w:rPr>
                <w:b/>
                <w:bCs/>
                <w:sz w:val="16"/>
                <w:szCs w:val="16"/>
              </w:rPr>
            </w:pPr>
            <w:r w:rsidRPr="00C258AD">
              <w:rPr>
                <w:b/>
                <w:bCs/>
                <w:sz w:val="16"/>
                <w:szCs w:val="16"/>
              </w:rPr>
              <w:t>Niveaux de référence</w:t>
            </w:r>
          </w:p>
        </w:tc>
        <w:tc>
          <w:tcPr>
            <w:tcW w:w="801" w:type="pct"/>
            <w:tcBorders>
              <w:top w:val="single" w:sz="4" w:space="0" w:color="auto"/>
            </w:tcBorders>
            <w:shd w:val="clear" w:color="auto" w:fill="auto"/>
            <w:tcMar>
              <w:top w:w="113" w:type="dxa"/>
              <w:bottom w:w="113" w:type="dxa"/>
            </w:tcMar>
            <w:vAlign w:val="center"/>
          </w:tcPr>
          <w:p w:rsidR="00066B9C" w:rsidRPr="00C258AD" w:rsidRDefault="00066B9C" w:rsidP="001A4D6C">
            <w:pPr>
              <w:jc w:val="center"/>
              <w:rPr>
                <w:b/>
                <w:sz w:val="16"/>
                <w:szCs w:val="16"/>
              </w:rPr>
            </w:pPr>
            <w:r w:rsidRPr="00C258AD">
              <w:rPr>
                <w:b/>
                <w:sz w:val="16"/>
                <w:szCs w:val="16"/>
              </w:rPr>
              <w:t>Objectifs visés</w:t>
            </w:r>
          </w:p>
        </w:tc>
        <w:tc>
          <w:tcPr>
            <w:tcW w:w="1293" w:type="pct"/>
            <w:tcBorders>
              <w:top w:val="single" w:sz="4" w:space="0" w:color="auto"/>
            </w:tcBorders>
            <w:shd w:val="clear" w:color="auto" w:fill="FFFFFF"/>
            <w:tcMar>
              <w:top w:w="113" w:type="dxa"/>
              <w:bottom w:w="113" w:type="dxa"/>
            </w:tcMar>
            <w:vAlign w:val="center"/>
          </w:tcPr>
          <w:p w:rsidR="00066B9C" w:rsidRPr="00C258AD" w:rsidRDefault="00066B9C" w:rsidP="001A4D6C">
            <w:pPr>
              <w:jc w:val="center"/>
              <w:rPr>
                <w:b/>
                <w:sz w:val="16"/>
                <w:szCs w:val="16"/>
              </w:rPr>
            </w:pPr>
            <w:r w:rsidRPr="00C258AD">
              <w:rPr>
                <w:b/>
                <w:sz w:val="16"/>
                <w:szCs w:val="16"/>
              </w:rPr>
              <w:t>Données relatives à l’exécution</w:t>
            </w:r>
          </w:p>
        </w:tc>
        <w:tc>
          <w:tcPr>
            <w:tcW w:w="558" w:type="pct"/>
            <w:tcBorders>
              <w:top w:val="single" w:sz="4" w:space="0" w:color="auto"/>
            </w:tcBorders>
            <w:shd w:val="clear" w:color="auto" w:fill="auto"/>
            <w:tcMar>
              <w:top w:w="113" w:type="dxa"/>
              <w:bottom w:w="113" w:type="dxa"/>
            </w:tcMar>
            <w:vAlign w:val="center"/>
          </w:tcPr>
          <w:p w:rsidR="00066B9C" w:rsidRPr="00C258AD" w:rsidRDefault="00066B9C" w:rsidP="001A4D6C">
            <w:pPr>
              <w:keepNext/>
              <w:keepLines/>
              <w:jc w:val="center"/>
              <w:rPr>
                <w:b/>
                <w:bCs/>
                <w:sz w:val="16"/>
                <w:szCs w:val="16"/>
              </w:rPr>
            </w:pPr>
            <w:r w:rsidRPr="00C258AD">
              <w:rPr>
                <w:b/>
                <w:bCs/>
                <w:sz w:val="16"/>
                <w:szCs w:val="16"/>
              </w:rPr>
              <w:t>Code de couleurs</w:t>
            </w:r>
          </w:p>
        </w:tc>
      </w:tr>
      <w:tr w:rsidR="00066B9C" w:rsidRPr="00C258AD" w:rsidTr="001A4D6C">
        <w:trPr>
          <w:cantSplit/>
        </w:trPr>
        <w:tc>
          <w:tcPr>
            <w:tcW w:w="1083" w:type="pct"/>
            <w:tcBorders>
              <w:bottom w:val="single" w:sz="4" w:space="0" w:color="auto"/>
            </w:tcBorders>
            <w:shd w:val="clear" w:color="auto" w:fill="auto"/>
            <w:tcMar>
              <w:top w:w="113" w:type="dxa"/>
              <w:bottom w:w="113" w:type="dxa"/>
            </w:tcMar>
          </w:tcPr>
          <w:p w:rsidR="00066B9C" w:rsidRPr="00C258AD" w:rsidRDefault="00066B9C" w:rsidP="001A4D6C">
            <w:pPr>
              <w:rPr>
                <w:sz w:val="16"/>
                <w:szCs w:val="16"/>
              </w:rPr>
            </w:pPr>
            <w:r w:rsidRPr="00C258AD">
              <w:rPr>
                <w:sz w:val="16"/>
                <w:szCs w:val="16"/>
              </w:rPr>
              <w:t>Nombre d’accords d’accueil de scientifiques provenant de pays en développement</w:t>
            </w:r>
          </w:p>
        </w:tc>
        <w:tc>
          <w:tcPr>
            <w:tcW w:w="1265" w:type="pct"/>
            <w:gridSpan w:val="2"/>
            <w:tcBorders>
              <w:bottom w:val="single" w:sz="4" w:space="0" w:color="auto"/>
            </w:tcBorders>
            <w:shd w:val="clear" w:color="auto" w:fill="auto"/>
            <w:tcMar>
              <w:top w:w="113" w:type="dxa"/>
              <w:bottom w:w="113" w:type="dxa"/>
            </w:tcMar>
          </w:tcPr>
          <w:p w:rsidR="00066B9C" w:rsidRPr="00C258AD" w:rsidRDefault="00066B9C" w:rsidP="001A4D6C">
            <w:pPr>
              <w:rPr>
                <w:sz w:val="16"/>
                <w:szCs w:val="16"/>
              </w:rPr>
            </w:pPr>
            <w:r w:rsidRPr="00C258AD">
              <w:rPr>
                <w:i/>
                <w:sz w:val="16"/>
                <w:szCs w:val="16"/>
              </w:rPr>
              <w:t>Niveau de référence initial dans le programme et budget 2014</w:t>
            </w:r>
            <w:r w:rsidRPr="00C258AD">
              <w:rPr>
                <w:i/>
                <w:sz w:val="16"/>
                <w:szCs w:val="16"/>
              </w:rPr>
              <w:noBreakHyphen/>
              <w:t xml:space="preserve">2015 : </w:t>
            </w:r>
            <w:r w:rsidRPr="00C258AD">
              <w:rPr>
                <w:sz w:val="16"/>
                <w:szCs w:val="16"/>
              </w:rPr>
              <w:t>5</w:t>
            </w:r>
          </w:p>
        </w:tc>
        <w:tc>
          <w:tcPr>
            <w:tcW w:w="801" w:type="pct"/>
            <w:tcBorders>
              <w:bottom w:val="single" w:sz="4" w:space="0" w:color="auto"/>
            </w:tcBorders>
            <w:shd w:val="clear" w:color="auto" w:fill="auto"/>
            <w:tcMar>
              <w:top w:w="113" w:type="dxa"/>
              <w:bottom w:w="113" w:type="dxa"/>
            </w:tcMar>
          </w:tcPr>
          <w:p w:rsidR="00066B9C" w:rsidRPr="00C258AD" w:rsidRDefault="00066B9C" w:rsidP="001A4D6C">
            <w:pPr>
              <w:autoSpaceDE w:val="0"/>
              <w:autoSpaceDN w:val="0"/>
              <w:adjustRightInd w:val="0"/>
              <w:rPr>
                <w:sz w:val="16"/>
                <w:szCs w:val="16"/>
              </w:rPr>
            </w:pPr>
            <w:r w:rsidRPr="00C258AD">
              <w:rPr>
                <w:sz w:val="16"/>
                <w:szCs w:val="16"/>
              </w:rPr>
              <w:t>4</w:t>
            </w:r>
          </w:p>
        </w:tc>
        <w:tc>
          <w:tcPr>
            <w:tcW w:w="1293" w:type="pct"/>
            <w:tcBorders>
              <w:bottom w:val="single" w:sz="4" w:space="0" w:color="auto"/>
            </w:tcBorders>
            <w:shd w:val="clear" w:color="auto" w:fill="FFFFFF"/>
            <w:tcMar>
              <w:top w:w="113" w:type="dxa"/>
              <w:bottom w:w="113" w:type="dxa"/>
            </w:tcMar>
          </w:tcPr>
          <w:p w:rsidR="00066B9C" w:rsidRPr="00C258AD" w:rsidRDefault="00066B9C" w:rsidP="001A4D6C">
            <w:pPr>
              <w:rPr>
                <w:sz w:val="16"/>
                <w:szCs w:val="16"/>
                <w:lang w:bidi="th-TH"/>
              </w:rPr>
            </w:pPr>
            <w:r w:rsidRPr="00C258AD">
              <w:rPr>
                <w:sz w:val="16"/>
                <w:szCs w:val="16"/>
                <w:lang w:bidi="th-TH"/>
              </w:rPr>
              <w:t>1 nouvel accord d’accueil</w:t>
            </w:r>
          </w:p>
        </w:tc>
        <w:tc>
          <w:tcPr>
            <w:tcW w:w="558" w:type="pct"/>
            <w:tcBorders>
              <w:bottom w:val="single" w:sz="4" w:space="0" w:color="auto"/>
            </w:tcBorders>
            <w:shd w:val="clear" w:color="auto" w:fill="auto"/>
            <w:tcMar>
              <w:top w:w="113" w:type="dxa"/>
              <w:bottom w:w="113" w:type="dxa"/>
            </w:tcMar>
          </w:tcPr>
          <w:p w:rsidR="00066B9C" w:rsidRPr="00C258AD" w:rsidRDefault="00066B9C" w:rsidP="001A4D6C">
            <w:pPr>
              <w:keepNext/>
              <w:keepLines/>
              <w:jc w:val="center"/>
              <w:rPr>
                <w:b/>
                <w:bCs/>
                <w:sz w:val="16"/>
                <w:szCs w:val="16"/>
              </w:rPr>
            </w:pPr>
            <w:r w:rsidRPr="00C258AD">
              <w:rPr>
                <w:rFonts w:cs="Arial"/>
                <w:b/>
                <w:bCs/>
                <w:color w:val="FF0000"/>
                <w:sz w:val="16"/>
                <w:szCs w:val="16"/>
              </w:rPr>
              <w:t>Objectif pas atteint</w:t>
            </w:r>
          </w:p>
        </w:tc>
      </w:tr>
      <w:tr w:rsidR="00066B9C" w:rsidRPr="00C258AD" w:rsidTr="001A4D6C">
        <w:trPr>
          <w:cantSplit/>
        </w:trPr>
        <w:tc>
          <w:tcPr>
            <w:tcW w:w="5000" w:type="pct"/>
            <w:gridSpan w:val="6"/>
            <w:tcBorders>
              <w:top w:val="single" w:sz="4" w:space="0" w:color="auto"/>
              <w:bottom w:val="single" w:sz="4" w:space="0" w:color="auto"/>
            </w:tcBorders>
            <w:shd w:val="clear" w:color="auto" w:fill="C5D9F1"/>
            <w:tcMar>
              <w:top w:w="113" w:type="dxa"/>
              <w:bottom w:w="113" w:type="dxa"/>
            </w:tcMar>
            <w:vAlign w:val="center"/>
          </w:tcPr>
          <w:p w:rsidR="00066B9C" w:rsidRPr="00C258AD" w:rsidRDefault="00066B9C" w:rsidP="001A4D6C">
            <w:pPr>
              <w:keepNext/>
              <w:keepLines/>
              <w:tabs>
                <w:tab w:val="left" w:pos="1452"/>
              </w:tabs>
              <w:rPr>
                <w:b/>
                <w:bCs/>
                <w:sz w:val="16"/>
                <w:szCs w:val="16"/>
              </w:rPr>
            </w:pPr>
            <w:r w:rsidRPr="00C258AD">
              <w:rPr>
                <w:b/>
                <w:bCs/>
                <w:sz w:val="16"/>
                <w:szCs w:val="16"/>
              </w:rPr>
              <w:t xml:space="preserve">Résultat escompté : </w:t>
            </w:r>
            <w:r w:rsidRPr="00C258AD">
              <w:rPr>
                <w:bCs/>
                <w:sz w:val="16"/>
                <w:szCs w:val="16"/>
              </w:rPr>
              <w:t>IV.2 Amélioration de l’accessibilité et de l’utilisation de l’information en matière de propriété intellectuelle par les institutions compétentes et le public afin de promouvoir l’innovation et la créativité</w:t>
            </w:r>
          </w:p>
        </w:tc>
      </w:tr>
      <w:tr w:rsidR="00066B9C" w:rsidRPr="00C258AD" w:rsidTr="001A4D6C">
        <w:trPr>
          <w:cantSplit/>
        </w:trPr>
        <w:tc>
          <w:tcPr>
            <w:tcW w:w="1083" w:type="pct"/>
            <w:tcBorders>
              <w:top w:val="single" w:sz="4" w:space="0" w:color="auto"/>
            </w:tcBorders>
            <w:shd w:val="clear" w:color="auto" w:fill="auto"/>
            <w:tcMar>
              <w:top w:w="113" w:type="dxa"/>
              <w:bottom w:w="113" w:type="dxa"/>
            </w:tcMar>
            <w:vAlign w:val="center"/>
          </w:tcPr>
          <w:p w:rsidR="00066B9C" w:rsidRPr="00C258AD" w:rsidRDefault="00066B9C" w:rsidP="001A4D6C">
            <w:pPr>
              <w:jc w:val="center"/>
              <w:rPr>
                <w:b/>
                <w:sz w:val="16"/>
                <w:szCs w:val="16"/>
              </w:rPr>
            </w:pPr>
            <w:r w:rsidRPr="00C258AD">
              <w:rPr>
                <w:b/>
                <w:sz w:val="16"/>
                <w:szCs w:val="16"/>
              </w:rPr>
              <w:t>Indicateurs d’exécution</w:t>
            </w:r>
          </w:p>
        </w:tc>
        <w:tc>
          <w:tcPr>
            <w:tcW w:w="1265" w:type="pct"/>
            <w:gridSpan w:val="2"/>
            <w:tcBorders>
              <w:top w:val="single" w:sz="4" w:space="0" w:color="auto"/>
            </w:tcBorders>
            <w:shd w:val="clear" w:color="auto" w:fill="auto"/>
            <w:tcMar>
              <w:top w:w="113" w:type="dxa"/>
              <w:bottom w:w="113" w:type="dxa"/>
            </w:tcMar>
            <w:vAlign w:val="center"/>
          </w:tcPr>
          <w:p w:rsidR="00066B9C" w:rsidRPr="00C258AD" w:rsidRDefault="00066B9C" w:rsidP="001A4D6C">
            <w:pPr>
              <w:jc w:val="center"/>
              <w:rPr>
                <w:b/>
                <w:bCs/>
                <w:sz w:val="16"/>
                <w:szCs w:val="16"/>
              </w:rPr>
            </w:pPr>
            <w:r w:rsidRPr="00C258AD">
              <w:rPr>
                <w:b/>
                <w:bCs/>
                <w:sz w:val="16"/>
                <w:szCs w:val="16"/>
              </w:rPr>
              <w:t>Niveaux de référence</w:t>
            </w:r>
          </w:p>
        </w:tc>
        <w:tc>
          <w:tcPr>
            <w:tcW w:w="801" w:type="pct"/>
            <w:tcBorders>
              <w:top w:val="single" w:sz="4" w:space="0" w:color="auto"/>
            </w:tcBorders>
            <w:shd w:val="clear" w:color="auto" w:fill="auto"/>
            <w:tcMar>
              <w:top w:w="113" w:type="dxa"/>
              <w:bottom w:w="113" w:type="dxa"/>
            </w:tcMar>
            <w:vAlign w:val="center"/>
          </w:tcPr>
          <w:p w:rsidR="00066B9C" w:rsidRPr="00C258AD" w:rsidRDefault="00066B9C" w:rsidP="001A4D6C">
            <w:pPr>
              <w:jc w:val="center"/>
              <w:rPr>
                <w:b/>
                <w:sz w:val="16"/>
                <w:szCs w:val="16"/>
              </w:rPr>
            </w:pPr>
            <w:r w:rsidRPr="00C258AD">
              <w:rPr>
                <w:b/>
                <w:sz w:val="16"/>
                <w:szCs w:val="16"/>
              </w:rPr>
              <w:t>Objectifs visés</w:t>
            </w:r>
          </w:p>
        </w:tc>
        <w:tc>
          <w:tcPr>
            <w:tcW w:w="1293" w:type="pct"/>
            <w:tcBorders>
              <w:top w:val="single" w:sz="4" w:space="0" w:color="auto"/>
            </w:tcBorders>
            <w:shd w:val="clear" w:color="auto" w:fill="FFFFFF"/>
            <w:tcMar>
              <w:top w:w="113" w:type="dxa"/>
              <w:bottom w:w="113" w:type="dxa"/>
            </w:tcMar>
            <w:vAlign w:val="center"/>
          </w:tcPr>
          <w:p w:rsidR="00066B9C" w:rsidRPr="00C258AD" w:rsidRDefault="00066B9C" w:rsidP="001A4D6C">
            <w:pPr>
              <w:jc w:val="center"/>
              <w:rPr>
                <w:b/>
                <w:sz w:val="16"/>
                <w:szCs w:val="16"/>
              </w:rPr>
            </w:pPr>
            <w:r w:rsidRPr="00C258AD">
              <w:rPr>
                <w:b/>
                <w:sz w:val="16"/>
                <w:szCs w:val="16"/>
              </w:rPr>
              <w:t>Données relatives à l’exécution</w:t>
            </w:r>
          </w:p>
        </w:tc>
        <w:tc>
          <w:tcPr>
            <w:tcW w:w="558" w:type="pct"/>
            <w:tcBorders>
              <w:top w:val="single" w:sz="4" w:space="0" w:color="auto"/>
            </w:tcBorders>
            <w:shd w:val="clear" w:color="auto" w:fill="auto"/>
            <w:tcMar>
              <w:top w:w="113" w:type="dxa"/>
              <w:bottom w:w="113" w:type="dxa"/>
            </w:tcMar>
            <w:vAlign w:val="center"/>
          </w:tcPr>
          <w:p w:rsidR="00066B9C" w:rsidRPr="00C258AD" w:rsidRDefault="00066B9C" w:rsidP="001A4D6C">
            <w:pPr>
              <w:keepNext/>
              <w:keepLines/>
              <w:jc w:val="center"/>
              <w:rPr>
                <w:b/>
                <w:bCs/>
                <w:sz w:val="16"/>
                <w:szCs w:val="16"/>
              </w:rPr>
            </w:pPr>
            <w:r w:rsidRPr="00C258AD">
              <w:rPr>
                <w:b/>
                <w:bCs/>
                <w:sz w:val="16"/>
                <w:szCs w:val="16"/>
              </w:rPr>
              <w:t>Code de couleurs</w:t>
            </w:r>
          </w:p>
        </w:tc>
      </w:tr>
      <w:tr w:rsidR="00066B9C" w:rsidRPr="00C258AD" w:rsidTr="001A4D6C">
        <w:trPr>
          <w:cantSplit/>
        </w:trPr>
        <w:tc>
          <w:tcPr>
            <w:tcW w:w="1083" w:type="pct"/>
            <w:shd w:val="clear" w:color="auto" w:fill="auto"/>
            <w:tcMar>
              <w:top w:w="113" w:type="dxa"/>
              <w:bottom w:w="113" w:type="dxa"/>
            </w:tcMar>
          </w:tcPr>
          <w:p w:rsidR="00066B9C" w:rsidRPr="00C258AD" w:rsidRDefault="00066B9C" w:rsidP="001A4D6C">
            <w:pPr>
              <w:rPr>
                <w:sz w:val="16"/>
                <w:szCs w:val="16"/>
              </w:rPr>
            </w:pPr>
            <w:r w:rsidRPr="00C258AD">
              <w:rPr>
                <w:sz w:val="16"/>
                <w:szCs w:val="16"/>
              </w:rPr>
              <w:t>Nombre de pays ayant vérifié des données et inscrit des médicaments essentiels nationaux dans WIPO Essential</w:t>
            </w:r>
          </w:p>
        </w:tc>
        <w:tc>
          <w:tcPr>
            <w:tcW w:w="1265" w:type="pct"/>
            <w:gridSpan w:val="2"/>
            <w:shd w:val="clear" w:color="auto" w:fill="auto"/>
            <w:tcMar>
              <w:top w:w="113" w:type="dxa"/>
              <w:bottom w:w="113" w:type="dxa"/>
            </w:tcMar>
          </w:tcPr>
          <w:p w:rsidR="00066B9C" w:rsidRPr="00C258AD" w:rsidRDefault="00066B9C" w:rsidP="001A4D6C">
            <w:pPr>
              <w:rPr>
                <w:sz w:val="16"/>
                <w:szCs w:val="16"/>
              </w:rPr>
            </w:pPr>
            <w:r w:rsidRPr="00C258AD">
              <w:rPr>
                <w:sz w:val="16"/>
                <w:szCs w:val="16"/>
              </w:rPr>
              <w:t>0 (zéro)</w:t>
            </w:r>
          </w:p>
        </w:tc>
        <w:tc>
          <w:tcPr>
            <w:tcW w:w="801" w:type="pct"/>
            <w:shd w:val="clear" w:color="auto" w:fill="auto"/>
            <w:tcMar>
              <w:top w:w="113" w:type="dxa"/>
              <w:bottom w:w="113" w:type="dxa"/>
            </w:tcMar>
          </w:tcPr>
          <w:p w:rsidR="00066B9C" w:rsidRPr="00C258AD" w:rsidRDefault="00066B9C" w:rsidP="001A4D6C">
            <w:pPr>
              <w:rPr>
                <w:sz w:val="16"/>
                <w:szCs w:val="16"/>
              </w:rPr>
            </w:pPr>
            <w:r w:rsidRPr="00C258AD">
              <w:rPr>
                <w:sz w:val="16"/>
                <w:szCs w:val="16"/>
              </w:rPr>
              <w:t>1 pays par région (Afrique, Asie, pays d’Amérique latine et des Caraïbes)</w:t>
            </w:r>
          </w:p>
        </w:tc>
        <w:tc>
          <w:tcPr>
            <w:tcW w:w="1293" w:type="pct"/>
            <w:shd w:val="clear" w:color="auto" w:fill="FFFFFF"/>
            <w:tcMar>
              <w:top w:w="113" w:type="dxa"/>
              <w:bottom w:w="113" w:type="dxa"/>
            </w:tcMar>
          </w:tcPr>
          <w:p w:rsidR="00066B9C" w:rsidRPr="00C258AD" w:rsidRDefault="00066B9C" w:rsidP="001A4D6C">
            <w:pPr>
              <w:rPr>
                <w:sz w:val="16"/>
                <w:szCs w:val="16"/>
              </w:rPr>
            </w:pPr>
            <w:r w:rsidRPr="00C258AD">
              <w:rPr>
                <w:sz w:val="16"/>
                <w:szCs w:val="16"/>
              </w:rPr>
              <w:t>WIPO Essential a été redéfini en 2014 en tant qu’étude sur la situation des médicaments dans le domaine des brevets figurant sur la Liste modèle des médicaments essentiels de l’OMS (LEM).</w:t>
            </w:r>
          </w:p>
        </w:tc>
        <w:tc>
          <w:tcPr>
            <w:tcW w:w="558" w:type="pct"/>
            <w:shd w:val="clear" w:color="auto" w:fill="auto"/>
            <w:tcMar>
              <w:top w:w="113" w:type="dxa"/>
              <w:bottom w:w="113" w:type="dxa"/>
            </w:tcMar>
          </w:tcPr>
          <w:p w:rsidR="00066B9C" w:rsidRPr="00C258AD" w:rsidRDefault="00066B9C" w:rsidP="001A4D6C">
            <w:pPr>
              <w:keepNext/>
              <w:keepLines/>
              <w:jc w:val="center"/>
              <w:rPr>
                <w:b/>
                <w:bCs/>
                <w:sz w:val="16"/>
                <w:szCs w:val="16"/>
              </w:rPr>
            </w:pPr>
            <w:r w:rsidRPr="00C258AD">
              <w:rPr>
                <w:b/>
                <w:sz w:val="16"/>
                <w:szCs w:val="16"/>
              </w:rPr>
              <w:t>Objectif abandonné</w:t>
            </w:r>
            <w:r w:rsidRPr="00C258AD" w:rsidDel="00683D81">
              <w:rPr>
                <w:b/>
                <w:sz w:val="16"/>
                <w:szCs w:val="16"/>
              </w:rPr>
              <w:t xml:space="preserve"> </w:t>
            </w:r>
          </w:p>
        </w:tc>
      </w:tr>
      <w:tr w:rsidR="00066B9C" w:rsidRPr="00C258AD" w:rsidTr="001A4D6C">
        <w:trPr>
          <w:cantSplit/>
        </w:trPr>
        <w:tc>
          <w:tcPr>
            <w:tcW w:w="5000" w:type="pct"/>
            <w:gridSpan w:val="6"/>
            <w:tcBorders>
              <w:top w:val="single" w:sz="4" w:space="0" w:color="auto"/>
              <w:bottom w:val="single" w:sz="4" w:space="0" w:color="auto"/>
            </w:tcBorders>
            <w:shd w:val="clear" w:color="auto" w:fill="C5D9F1"/>
            <w:tcMar>
              <w:top w:w="113" w:type="dxa"/>
              <w:bottom w:w="113" w:type="dxa"/>
            </w:tcMar>
            <w:vAlign w:val="center"/>
          </w:tcPr>
          <w:p w:rsidR="00066B9C" w:rsidRPr="00C258AD" w:rsidRDefault="00066B9C" w:rsidP="001A4D6C">
            <w:pPr>
              <w:keepNext/>
              <w:keepLines/>
              <w:tabs>
                <w:tab w:val="left" w:pos="1452"/>
              </w:tabs>
              <w:rPr>
                <w:b/>
                <w:bCs/>
                <w:sz w:val="16"/>
                <w:szCs w:val="16"/>
              </w:rPr>
            </w:pPr>
            <w:r w:rsidRPr="00C258AD">
              <w:rPr>
                <w:b/>
                <w:bCs/>
                <w:sz w:val="16"/>
                <w:szCs w:val="16"/>
              </w:rPr>
              <w:t xml:space="preserve">Résultat escompté : </w:t>
            </w:r>
            <w:r w:rsidRPr="00C258AD">
              <w:rPr>
                <w:bCs/>
                <w:sz w:val="16"/>
                <w:szCs w:val="16"/>
              </w:rPr>
              <w:t>VII.2 Les instruments et plateformes axés sur la propriété intellectuelle sont utilisés pour le transfert de connaissances ainsi que l’adaptation et la diffusion des technologies et à des fins de diffusion entre les pays développés et les pays en développement, notamment les pays les moins avancés, pour répondre aux défis mondiaux</w:t>
            </w:r>
          </w:p>
        </w:tc>
      </w:tr>
      <w:tr w:rsidR="00066B9C" w:rsidRPr="00C258AD" w:rsidTr="001A4D6C">
        <w:trPr>
          <w:cantSplit/>
        </w:trPr>
        <w:tc>
          <w:tcPr>
            <w:tcW w:w="1083" w:type="pct"/>
            <w:tcBorders>
              <w:top w:val="single" w:sz="4" w:space="0" w:color="auto"/>
            </w:tcBorders>
            <w:shd w:val="clear" w:color="auto" w:fill="auto"/>
            <w:tcMar>
              <w:top w:w="113" w:type="dxa"/>
              <w:bottom w:w="113" w:type="dxa"/>
            </w:tcMar>
            <w:vAlign w:val="center"/>
          </w:tcPr>
          <w:p w:rsidR="00066B9C" w:rsidRPr="00C258AD" w:rsidRDefault="00066B9C" w:rsidP="001A4D6C">
            <w:pPr>
              <w:keepNext/>
              <w:keepLines/>
              <w:jc w:val="center"/>
              <w:rPr>
                <w:b/>
                <w:sz w:val="16"/>
                <w:szCs w:val="16"/>
              </w:rPr>
            </w:pPr>
            <w:r w:rsidRPr="00C258AD">
              <w:rPr>
                <w:b/>
                <w:sz w:val="16"/>
                <w:szCs w:val="16"/>
              </w:rPr>
              <w:t>Indicateurs d’exécution</w:t>
            </w:r>
          </w:p>
        </w:tc>
        <w:tc>
          <w:tcPr>
            <w:tcW w:w="1265" w:type="pct"/>
            <w:gridSpan w:val="2"/>
            <w:tcBorders>
              <w:top w:val="single" w:sz="4" w:space="0" w:color="auto"/>
            </w:tcBorders>
            <w:shd w:val="clear" w:color="auto" w:fill="auto"/>
            <w:tcMar>
              <w:top w:w="113" w:type="dxa"/>
              <w:bottom w:w="113" w:type="dxa"/>
            </w:tcMar>
            <w:vAlign w:val="center"/>
          </w:tcPr>
          <w:p w:rsidR="00066B9C" w:rsidRPr="00C258AD" w:rsidRDefault="00066B9C" w:rsidP="001A4D6C">
            <w:pPr>
              <w:keepNext/>
              <w:keepLines/>
              <w:jc w:val="center"/>
              <w:rPr>
                <w:b/>
                <w:bCs/>
                <w:sz w:val="16"/>
                <w:szCs w:val="16"/>
              </w:rPr>
            </w:pPr>
            <w:r w:rsidRPr="00C258AD">
              <w:rPr>
                <w:b/>
                <w:bCs/>
                <w:sz w:val="16"/>
                <w:szCs w:val="16"/>
              </w:rPr>
              <w:t>Niveaux de référence</w:t>
            </w:r>
          </w:p>
        </w:tc>
        <w:tc>
          <w:tcPr>
            <w:tcW w:w="801" w:type="pct"/>
            <w:tcBorders>
              <w:top w:val="single" w:sz="4" w:space="0" w:color="auto"/>
            </w:tcBorders>
            <w:shd w:val="clear" w:color="auto" w:fill="auto"/>
            <w:tcMar>
              <w:top w:w="113" w:type="dxa"/>
              <w:bottom w:w="113" w:type="dxa"/>
            </w:tcMar>
            <w:vAlign w:val="center"/>
          </w:tcPr>
          <w:p w:rsidR="00066B9C" w:rsidRPr="00C258AD" w:rsidRDefault="00066B9C" w:rsidP="001A4D6C">
            <w:pPr>
              <w:keepNext/>
              <w:keepLines/>
              <w:jc w:val="center"/>
              <w:rPr>
                <w:b/>
                <w:sz w:val="16"/>
                <w:szCs w:val="16"/>
              </w:rPr>
            </w:pPr>
            <w:r w:rsidRPr="00C258AD">
              <w:rPr>
                <w:b/>
                <w:sz w:val="16"/>
                <w:szCs w:val="16"/>
              </w:rPr>
              <w:t>Objectifs visés</w:t>
            </w:r>
          </w:p>
        </w:tc>
        <w:tc>
          <w:tcPr>
            <w:tcW w:w="1293" w:type="pct"/>
            <w:tcBorders>
              <w:top w:val="single" w:sz="4" w:space="0" w:color="auto"/>
            </w:tcBorders>
            <w:shd w:val="clear" w:color="auto" w:fill="FFFFFF"/>
            <w:tcMar>
              <w:top w:w="113" w:type="dxa"/>
              <w:bottom w:w="113" w:type="dxa"/>
            </w:tcMar>
            <w:vAlign w:val="center"/>
          </w:tcPr>
          <w:p w:rsidR="00066B9C" w:rsidRPr="00C258AD" w:rsidRDefault="00066B9C" w:rsidP="001A4D6C">
            <w:pPr>
              <w:keepNext/>
              <w:keepLines/>
              <w:jc w:val="center"/>
              <w:rPr>
                <w:b/>
                <w:sz w:val="16"/>
                <w:szCs w:val="16"/>
              </w:rPr>
            </w:pPr>
            <w:r w:rsidRPr="00C258AD">
              <w:rPr>
                <w:b/>
                <w:sz w:val="16"/>
                <w:szCs w:val="16"/>
              </w:rPr>
              <w:t>Données relatives à l’exécution</w:t>
            </w:r>
          </w:p>
        </w:tc>
        <w:tc>
          <w:tcPr>
            <w:tcW w:w="558" w:type="pct"/>
            <w:tcBorders>
              <w:top w:val="single" w:sz="4" w:space="0" w:color="auto"/>
            </w:tcBorders>
            <w:shd w:val="clear" w:color="auto" w:fill="auto"/>
            <w:tcMar>
              <w:top w:w="113" w:type="dxa"/>
              <w:bottom w:w="113" w:type="dxa"/>
            </w:tcMar>
            <w:vAlign w:val="center"/>
          </w:tcPr>
          <w:p w:rsidR="00066B9C" w:rsidRPr="00C258AD" w:rsidRDefault="00066B9C" w:rsidP="001A4D6C">
            <w:pPr>
              <w:keepNext/>
              <w:keepLines/>
              <w:jc w:val="center"/>
              <w:rPr>
                <w:b/>
                <w:bCs/>
                <w:sz w:val="16"/>
                <w:szCs w:val="16"/>
              </w:rPr>
            </w:pPr>
            <w:r w:rsidRPr="00C258AD">
              <w:rPr>
                <w:b/>
                <w:bCs/>
                <w:sz w:val="16"/>
                <w:szCs w:val="16"/>
              </w:rPr>
              <w:t>Code de couleurs</w:t>
            </w:r>
          </w:p>
        </w:tc>
      </w:tr>
      <w:tr w:rsidR="00066B9C" w:rsidRPr="00C258AD" w:rsidTr="001A4D6C">
        <w:trPr>
          <w:cantSplit/>
        </w:trPr>
        <w:tc>
          <w:tcPr>
            <w:tcW w:w="1083" w:type="pct"/>
            <w:shd w:val="clear" w:color="auto" w:fill="auto"/>
            <w:tcMar>
              <w:top w:w="113" w:type="dxa"/>
              <w:bottom w:w="113" w:type="dxa"/>
            </w:tcMar>
          </w:tcPr>
          <w:p w:rsidR="00066B9C" w:rsidRPr="00C258AD" w:rsidRDefault="00066B9C" w:rsidP="001A4D6C">
            <w:pPr>
              <w:rPr>
                <w:sz w:val="16"/>
                <w:szCs w:val="16"/>
              </w:rPr>
            </w:pPr>
            <w:r w:rsidRPr="00C258AD">
              <w:rPr>
                <w:sz w:val="16"/>
                <w:szCs w:val="16"/>
              </w:rPr>
              <w:t xml:space="preserve">Augmentation du nombre de membres de WIPO </w:t>
            </w:r>
            <w:proofErr w:type="spellStart"/>
            <w:r w:rsidRPr="00C258AD">
              <w:rPr>
                <w:sz w:val="16"/>
                <w:szCs w:val="16"/>
              </w:rPr>
              <w:t>Re:Search</w:t>
            </w:r>
            <w:proofErr w:type="spellEnd"/>
            <w:r w:rsidRPr="00C258AD">
              <w:rPr>
                <w:sz w:val="16"/>
                <w:szCs w:val="16"/>
              </w:rPr>
              <w:t>, y compris dans les pays en développement et les PMA</w:t>
            </w:r>
          </w:p>
        </w:tc>
        <w:tc>
          <w:tcPr>
            <w:tcW w:w="1265" w:type="pct"/>
            <w:gridSpan w:val="2"/>
            <w:shd w:val="clear" w:color="auto" w:fill="auto"/>
            <w:tcMar>
              <w:top w:w="113" w:type="dxa"/>
              <w:bottom w:w="113" w:type="dxa"/>
            </w:tcMar>
          </w:tcPr>
          <w:p w:rsidR="006E2BB1" w:rsidRPr="00C258AD" w:rsidRDefault="00066B9C" w:rsidP="001A4D6C">
            <w:pPr>
              <w:rPr>
                <w:color w:val="002060"/>
                <w:sz w:val="16"/>
                <w:szCs w:val="16"/>
              </w:rPr>
            </w:pPr>
            <w:r w:rsidRPr="00C258AD">
              <w:rPr>
                <w:i/>
                <w:color w:val="002060"/>
                <w:sz w:val="16"/>
                <w:szCs w:val="16"/>
              </w:rPr>
              <w:t>Niveau de référence actualisé à fin 2013</w:t>
            </w:r>
            <w:r w:rsidRPr="00C258AD">
              <w:rPr>
                <w:color w:val="002060"/>
                <w:sz w:val="16"/>
                <w:szCs w:val="16"/>
              </w:rPr>
              <w:t xml:space="preserve"> : </w:t>
            </w:r>
            <w:r w:rsidRPr="00C258AD">
              <w:rPr>
                <w:color w:val="002060"/>
                <w:sz w:val="16"/>
                <w:szCs w:val="16"/>
              </w:rPr>
              <w:br/>
              <w:t xml:space="preserve">au cours de l’exercice biennal, WIPO </w:t>
            </w:r>
            <w:proofErr w:type="spellStart"/>
            <w:r w:rsidRPr="00C258AD">
              <w:rPr>
                <w:color w:val="002060"/>
                <w:sz w:val="16"/>
                <w:szCs w:val="16"/>
              </w:rPr>
              <w:t>Re:Search</w:t>
            </w:r>
            <w:proofErr w:type="spellEnd"/>
            <w:r w:rsidRPr="00C258AD">
              <w:rPr>
                <w:color w:val="002060"/>
                <w:sz w:val="16"/>
                <w:szCs w:val="16"/>
              </w:rPr>
              <w:t xml:space="preserve"> a ajouté 49 nouveaux membres (fournisseurs, utilisateurs et partisans) et 167 nouvelles entrées dans la base de données :</w:t>
            </w:r>
          </w:p>
          <w:p w:rsidR="006E2BB1" w:rsidRPr="00C258AD" w:rsidRDefault="00066B9C" w:rsidP="001A4D6C">
            <w:pPr>
              <w:tabs>
                <w:tab w:val="left" w:pos="211"/>
                <w:tab w:val="left" w:pos="425"/>
              </w:tabs>
              <w:ind w:left="211" w:hanging="211"/>
              <w:rPr>
                <w:color w:val="002060"/>
                <w:sz w:val="16"/>
                <w:szCs w:val="16"/>
              </w:rPr>
            </w:pPr>
            <w:r w:rsidRPr="00C258AD">
              <w:rPr>
                <w:color w:val="002060"/>
                <w:sz w:val="16"/>
                <w:szCs w:val="16"/>
              </w:rPr>
              <w:t xml:space="preserve">- </w:t>
            </w:r>
            <w:r w:rsidRPr="00C258AD">
              <w:rPr>
                <w:color w:val="002060"/>
                <w:sz w:val="16"/>
                <w:szCs w:val="16"/>
              </w:rPr>
              <w:tab/>
              <w:t>30 nouveaux membres et 90 nouvelles entrées en 2012;  et</w:t>
            </w:r>
          </w:p>
          <w:p w:rsidR="006E2BB1" w:rsidRPr="00C258AD" w:rsidRDefault="00066B9C" w:rsidP="001A4D6C">
            <w:pPr>
              <w:tabs>
                <w:tab w:val="left" w:pos="211"/>
                <w:tab w:val="left" w:pos="434"/>
              </w:tabs>
              <w:ind w:left="211" w:hanging="211"/>
              <w:rPr>
                <w:color w:val="002060"/>
                <w:sz w:val="16"/>
                <w:szCs w:val="16"/>
              </w:rPr>
            </w:pPr>
            <w:r w:rsidRPr="00C258AD">
              <w:rPr>
                <w:color w:val="002060"/>
                <w:sz w:val="16"/>
                <w:szCs w:val="16"/>
              </w:rPr>
              <w:t xml:space="preserve">- </w:t>
            </w:r>
            <w:r w:rsidRPr="00C258AD">
              <w:rPr>
                <w:color w:val="002060"/>
                <w:sz w:val="16"/>
                <w:szCs w:val="16"/>
              </w:rPr>
              <w:tab/>
              <w:t>19 nouveaux membres et 77 nouvelles entrées en 2013</w:t>
            </w:r>
          </w:p>
          <w:p w:rsidR="006E2BB1" w:rsidRPr="00C258AD" w:rsidRDefault="00066B9C" w:rsidP="001A4D6C">
            <w:pPr>
              <w:rPr>
                <w:color w:val="002060"/>
                <w:sz w:val="16"/>
                <w:szCs w:val="16"/>
              </w:rPr>
            </w:pPr>
            <w:r w:rsidRPr="00C258AD">
              <w:rPr>
                <w:color w:val="002060"/>
                <w:sz w:val="16"/>
                <w:szCs w:val="16"/>
              </w:rPr>
              <w:t>portant le total cumulé à 80 membres et 247 entrées.</w:t>
            </w:r>
          </w:p>
          <w:p w:rsidR="006E2BB1" w:rsidRPr="00C258AD" w:rsidRDefault="006E2BB1" w:rsidP="001A4D6C">
            <w:pPr>
              <w:rPr>
                <w:i/>
                <w:sz w:val="16"/>
                <w:szCs w:val="16"/>
              </w:rPr>
            </w:pPr>
          </w:p>
          <w:p w:rsidR="00066B9C" w:rsidRPr="00C258AD" w:rsidRDefault="00066B9C" w:rsidP="001A4D6C">
            <w:pPr>
              <w:rPr>
                <w:sz w:val="16"/>
                <w:szCs w:val="16"/>
              </w:rPr>
            </w:pPr>
            <w:r w:rsidRPr="00C258AD">
              <w:rPr>
                <w:i/>
                <w:sz w:val="16"/>
                <w:szCs w:val="16"/>
              </w:rPr>
              <w:t>Niveau de référence initial dans le programme et budget 2014</w:t>
            </w:r>
            <w:r w:rsidRPr="00C258AD">
              <w:rPr>
                <w:i/>
                <w:sz w:val="16"/>
                <w:szCs w:val="16"/>
              </w:rPr>
              <w:noBreakHyphen/>
              <w:t>2015</w:t>
            </w:r>
            <w:r w:rsidRPr="00C258AD">
              <w:rPr>
                <w:sz w:val="16"/>
                <w:szCs w:val="16"/>
              </w:rPr>
              <w:t xml:space="preserve"> : </w:t>
            </w:r>
            <w:r w:rsidRPr="00C258AD">
              <w:rPr>
                <w:sz w:val="16"/>
                <w:szCs w:val="16"/>
              </w:rPr>
              <w:br/>
              <w:t>67 membres dont 16 dans des pays en développement</w:t>
            </w:r>
          </w:p>
        </w:tc>
        <w:tc>
          <w:tcPr>
            <w:tcW w:w="801" w:type="pct"/>
            <w:shd w:val="clear" w:color="auto" w:fill="auto"/>
            <w:tcMar>
              <w:top w:w="113" w:type="dxa"/>
              <w:bottom w:w="113" w:type="dxa"/>
            </w:tcMar>
          </w:tcPr>
          <w:p w:rsidR="00066B9C" w:rsidRPr="00C258AD" w:rsidRDefault="00066B9C" w:rsidP="001A4D6C">
            <w:pPr>
              <w:rPr>
                <w:sz w:val="16"/>
                <w:szCs w:val="16"/>
              </w:rPr>
            </w:pPr>
            <w:r w:rsidRPr="00C258AD">
              <w:rPr>
                <w:sz w:val="16"/>
                <w:szCs w:val="16"/>
              </w:rPr>
              <w:t>15 (dont au moins 5 dans des pays en développement ou des PMA)</w:t>
            </w:r>
          </w:p>
        </w:tc>
        <w:tc>
          <w:tcPr>
            <w:tcW w:w="1293" w:type="pct"/>
            <w:shd w:val="clear" w:color="auto" w:fill="FFFFFF"/>
            <w:tcMar>
              <w:top w:w="113" w:type="dxa"/>
              <w:bottom w:w="113" w:type="dxa"/>
            </w:tcMar>
          </w:tcPr>
          <w:p w:rsidR="006E2BB1" w:rsidRPr="00C258AD" w:rsidRDefault="00066B9C" w:rsidP="001A4D6C">
            <w:pPr>
              <w:rPr>
                <w:sz w:val="16"/>
                <w:szCs w:val="16"/>
                <w:lang w:bidi="th-TH"/>
              </w:rPr>
            </w:pPr>
            <w:r w:rsidRPr="00C258AD">
              <w:rPr>
                <w:sz w:val="16"/>
                <w:szCs w:val="16"/>
                <w:lang w:bidi="th-TH"/>
              </w:rPr>
              <w:t>20 nouveaux membres (dont 6 de pays en développement ou de PMA)</w:t>
            </w:r>
          </w:p>
          <w:p w:rsidR="00066B9C" w:rsidRPr="00C258AD" w:rsidRDefault="00066B9C" w:rsidP="001A4D6C">
            <w:pPr>
              <w:rPr>
                <w:sz w:val="16"/>
                <w:szCs w:val="16"/>
              </w:rPr>
            </w:pPr>
            <w:r w:rsidRPr="00C258AD">
              <w:rPr>
                <w:sz w:val="16"/>
                <w:szCs w:val="16"/>
                <w:lang w:bidi="th-TH"/>
              </w:rPr>
              <w:t>100 membres au total (dont 22 de pays en développement ou de PMA)</w:t>
            </w:r>
          </w:p>
        </w:tc>
        <w:tc>
          <w:tcPr>
            <w:tcW w:w="558" w:type="pct"/>
            <w:shd w:val="clear" w:color="auto" w:fill="auto"/>
            <w:tcMar>
              <w:top w:w="113" w:type="dxa"/>
              <w:bottom w:w="113" w:type="dxa"/>
            </w:tcMar>
          </w:tcPr>
          <w:p w:rsidR="00066B9C" w:rsidRPr="00C258AD" w:rsidRDefault="00066B9C" w:rsidP="001A4D6C">
            <w:pPr>
              <w:keepNext/>
              <w:keepLines/>
              <w:jc w:val="center"/>
              <w:rPr>
                <w:b/>
                <w:bCs/>
                <w:sz w:val="16"/>
                <w:szCs w:val="16"/>
              </w:rPr>
            </w:pPr>
            <w:r w:rsidRPr="00C258AD">
              <w:rPr>
                <w:rFonts w:cs="Arial"/>
                <w:b/>
                <w:bCs/>
                <w:color w:val="00B050"/>
                <w:sz w:val="16"/>
                <w:szCs w:val="16"/>
              </w:rPr>
              <w:t>Objectif pleinement atteint</w:t>
            </w:r>
          </w:p>
        </w:tc>
      </w:tr>
      <w:tr w:rsidR="00066B9C" w:rsidRPr="00C258AD" w:rsidTr="001A4D6C">
        <w:trPr>
          <w:cantSplit/>
        </w:trPr>
        <w:tc>
          <w:tcPr>
            <w:tcW w:w="1083" w:type="pct"/>
            <w:shd w:val="clear" w:color="auto" w:fill="auto"/>
            <w:tcMar>
              <w:top w:w="113" w:type="dxa"/>
              <w:bottom w:w="113" w:type="dxa"/>
            </w:tcMar>
          </w:tcPr>
          <w:p w:rsidR="00066B9C" w:rsidRPr="00C258AD" w:rsidRDefault="00066B9C" w:rsidP="001A4D6C">
            <w:pPr>
              <w:rPr>
                <w:sz w:val="16"/>
                <w:szCs w:val="16"/>
              </w:rPr>
            </w:pPr>
            <w:r w:rsidRPr="00C258AD">
              <w:rPr>
                <w:sz w:val="16"/>
                <w:szCs w:val="16"/>
              </w:rPr>
              <w:lastRenderedPageBreak/>
              <w:t xml:space="preserve">Augmentation du nombre de contributions à la base de données WIPO </w:t>
            </w:r>
            <w:proofErr w:type="spellStart"/>
            <w:r w:rsidRPr="00C258AD">
              <w:rPr>
                <w:sz w:val="16"/>
                <w:szCs w:val="16"/>
              </w:rPr>
              <w:t>Re:Search</w:t>
            </w:r>
            <w:proofErr w:type="spellEnd"/>
          </w:p>
        </w:tc>
        <w:tc>
          <w:tcPr>
            <w:tcW w:w="1265" w:type="pct"/>
            <w:gridSpan w:val="2"/>
            <w:shd w:val="clear" w:color="auto" w:fill="auto"/>
            <w:tcMar>
              <w:top w:w="113" w:type="dxa"/>
              <w:bottom w:w="113" w:type="dxa"/>
            </w:tcMar>
          </w:tcPr>
          <w:p w:rsidR="006E2BB1" w:rsidRPr="00C258AD" w:rsidRDefault="00066B9C" w:rsidP="001A4D6C">
            <w:pPr>
              <w:rPr>
                <w:color w:val="002060"/>
                <w:sz w:val="16"/>
                <w:szCs w:val="16"/>
              </w:rPr>
            </w:pPr>
            <w:r w:rsidRPr="00C258AD">
              <w:rPr>
                <w:i/>
                <w:color w:val="002060"/>
                <w:sz w:val="16"/>
                <w:szCs w:val="16"/>
              </w:rPr>
              <w:t>Niveau de référence actualisé à fin 2013 :</w:t>
            </w:r>
            <w:r w:rsidRPr="00C258AD">
              <w:rPr>
                <w:color w:val="002060"/>
                <w:sz w:val="16"/>
                <w:szCs w:val="16"/>
              </w:rPr>
              <w:t xml:space="preserve"> fin 2013, WIPO </w:t>
            </w:r>
            <w:proofErr w:type="spellStart"/>
            <w:r w:rsidRPr="00C258AD">
              <w:rPr>
                <w:color w:val="002060"/>
                <w:sz w:val="16"/>
                <w:szCs w:val="16"/>
              </w:rPr>
              <w:t>Re:Search</w:t>
            </w:r>
            <w:proofErr w:type="spellEnd"/>
            <w:r w:rsidRPr="00C258AD">
              <w:rPr>
                <w:color w:val="002060"/>
                <w:sz w:val="16"/>
                <w:szCs w:val="16"/>
              </w:rPr>
              <w:t xml:space="preserve"> avait favorisé 44 activités de collaboration en matière de recherche (11 en 2012 et 33 en 2013)</w:t>
            </w:r>
          </w:p>
          <w:p w:rsidR="006E2BB1" w:rsidRPr="00C258AD" w:rsidRDefault="00066B9C" w:rsidP="001A4D6C">
            <w:pPr>
              <w:rPr>
                <w:i/>
                <w:sz w:val="16"/>
                <w:szCs w:val="16"/>
              </w:rPr>
            </w:pPr>
            <w:r w:rsidRPr="00C258AD">
              <w:rPr>
                <w:sz w:val="16"/>
                <w:szCs w:val="16"/>
              </w:rPr>
              <w:br/>
            </w:r>
          </w:p>
          <w:p w:rsidR="00066B9C" w:rsidRPr="00C258AD" w:rsidRDefault="00066B9C" w:rsidP="001A4D6C">
            <w:pPr>
              <w:rPr>
                <w:sz w:val="16"/>
                <w:szCs w:val="16"/>
              </w:rPr>
            </w:pPr>
            <w:r w:rsidRPr="00C258AD">
              <w:rPr>
                <w:i/>
                <w:sz w:val="16"/>
                <w:szCs w:val="16"/>
              </w:rPr>
              <w:t>Niveau de référence initial dans le programme et budget 2014</w:t>
            </w:r>
            <w:r w:rsidRPr="00C258AD">
              <w:rPr>
                <w:i/>
                <w:sz w:val="16"/>
                <w:szCs w:val="16"/>
              </w:rPr>
              <w:noBreakHyphen/>
              <w:t xml:space="preserve">2015 : </w:t>
            </w:r>
            <w:r w:rsidRPr="00C258AD">
              <w:rPr>
                <w:sz w:val="16"/>
                <w:szCs w:val="16"/>
              </w:rPr>
              <w:t>200</w:t>
            </w:r>
          </w:p>
        </w:tc>
        <w:tc>
          <w:tcPr>
            <w:tcW w:w="801" w:type="pct"/>
            <w:shd w:val="clear" w:color="auto" w:fill="auto"/>
            <w:tcMar>
              <w:top w:w="113" w:type="dxa"/>
              <w:bottom w:w="113" w:type="dxa"/>
            </w:tcMar>
          </w:tcPr>
          <w:p w:rsidR="00066B9C" w:rsidRPr="00C258AD" w:rsidRDefault="00066B9C" w:rsidP="001A4D6C">
            <w:pPr>
              <w:rPr>
                <w:sz w:val="16"/>
                <w:szCs w:val="16"/>
              </w:rPr>
            </w:pPr>
            <w:r w:rsidRPr="00C258AD">
              <w:rPr>
                <w:sz w:val="16"/>
                <w:szCs w:val="16"/>
              </w:rPr>
              <w:t>50%</w:t>
            </w:r>
          </w:p>
        </w:tc>
        <w:tc>
          <w:tcPr>
            <w:tcW w:w="1293" w:type="pct"/>
            <w:shd w:val="clear" w:color="auto" w:fill="FFFFFF"/>
            <w:tcMar>
              <w:top w:w="113" w:type="dxa"/>
              <w:bottom w:w="113" w:type="dxa"/>
            </w:tcMar>
          </w:tcPr>
          <w:p w:rsidR="006E2BB1" w:rsidRPr="00C258AD" w:rsidRDefault="00066B9C" w:rsidP="001A4D6C">
            <w:pPr>
              <w:rPr>
                <w:sz w:val="16"/>
                <w:szCs w:val="16"/>
                <w:lang w:bidi="th-TH"/>
              </w:rPr>
            </w:pPr>
            <w:r w:rsidRPr="00C258AD">
              <w:rPr>
                <w:sz w:val="16"/>
                <w:szCs w:val="16"/>
                <w:lang w:bidi="th-TH"/>
              </w:rPr>
              <w:t>193 contributions à la fin de 2015 (–22% par rapport aux 247 contributions relevées à la fin de 2013)</w:t>
            </w:r>
          </w:p>
          <w:p w:rsidR="006E2BB1" w:rsidRPr="00C258AD" w:rsidRDefault="006E2BB1" w:rsidP="001A4D6C">
            <w:pPr>
              <w:rPr>
                <w:sz w:val="16"/>
                <w:szCs w:val="16"/>
                <w:lang w:bidi="th-TH"/>
              </w:rPr>
            </w:pPr>
          </w:p>
          <w:p w:rsidR="00066B9C" w:rsidRPr="00C258AD" w:rsidRDefault="00066B9C" w:rsidP="001A4D6C">
            <w:pPr>
              <w:rPr>
                <w:sz w:val="16"/>
                <w:szCs w:val="16"/>
              </w:rPr>
            </w:pPr>
            <w:r w:rsidRPr="00C258AD">
              <w:rPr>
                <w:sz w:val="16"/>
                <w:szCs w:val="16"/>
                <w:lang w:bidi="th-TH"/>
              </w:rPr>
              <w:t>La diminution du nombre de données est due au retrait de deux membres.</w:t>
            </w:r>
          </w:p>
        </w:tc>
        <w:tc>
          <w:tcPr>
            <w:tcW w:w="558" w:type="pct"/>
            <w:shd w:val="clear" w:color="auto" w:fill="auto"/>
            <w:tcMar>
              <w:top w:w="113" w:type="dxa"/>
              <w:bottom w:w="113" w:type="dxa"/>
            </w:tcMar>
          </w:tcPr>
          <w:p w:rsidR="00066B9C" w:rsidRPr="00C258AD" w:rsidRDefault="00066B9C" w:rsidP="001A4D6C">
            <w:pPr>
              <w:keepNext/>
              <w:keepLines/>
              <w:jc w:val="center"/>
              <w:rPr>
                <w:b/>
                <w:bCs/>
                <w:sz w:val="16"/>
                <w:szCs w:val="16"/>
              </w:rPr>
            </w:pPr>
            <w:r w:rsidRPr="00C258AD">
              <w:rPr>
                <w:rFonts w:cs="Arial"/>
                <w:b/>
                <w:bCs/>
                <w:color w:val="FF0000"/>
                <w:sz w:val="16"/>
                <w:szCs w:val="16"/>
              </w:rPr>
              <w:t>Objectif pas atteint</w:t>
            </w:r>
          </w:p>
        </w:tc>
      </w:tr>
      <w:tr w:rsidR="00066B9C" w:rsidRPr="00C258AD" w:rsidTr="001A4D6C">
        <w:trPr>
          <w:cantSplit/>
        </w:trPr>
        <w:tc>
          <w:tcPr>
            <w:tcW w:w="1083" w:type="pct"/>
            <w:shd w:val="clear" w:color="auto" w:fill="auto"/>
            <w:tcMar>
              <w:top w:w="113" w:type="dxa"/>
              <w:bottom w:w="113" w:type="dxa"/>
            </w:tcMar>
          </w:tcPr>
          <w:p w:rsidR="00066B9C" w:rsidRPr="00C258AD" w:rsidRDefault="00066B9C" w:rsidP="001A4D6C">
            <w:pPr>
              <w:rPr>
                <w:sz w:val="16"/>
                <w:szCs w:val="16"/>
              </w:rPr>
            </w:pPr>
            <w:r w:rsidRPr="00C258AD">
              <w:rPr>
                <w:sz w:val="16"/>
                <w:szCs w:val="16"/>
              </w:rPr>
              <w:t xml:space="preserve">Augmentation du nombre d’accords au titre de WIPO </w:t>
            </w:r>
            <w:proofErr w:type="spellStart"/>
            <w:r w:rsidRPr="00C258AD">
              <w:rPr>
                <w:sz w:val="16"/>
                <w:szCs w:val="16"/>
              </w:rPr>
              <w:t>Re:Search</w:t>
            </w:r>
            <w:proofErr w:type="spellEnd"/>
            <w:r w:rsidRPr="00C258AD">
              <w:rPr>
                <w:sz w:val="16"/>
                <w:szCs w:val="16"/>
              </w:rPr>
              <w:t xml:space="preserve"> qui </w:t>
            </w:r>
            <w:proofErr w:type="gramStart"/>
            <w:r w:rsidRPr="00C258AD">
              <w:rPr>
                <w:sz w:val="16"/>
                <w:szCs w:val="16"/>
              </w:rPr>
              <w:t>mènent</w:t>
            </w:r>
            <w:proofErr w:type="gramEnd"/>
            <w:r w:rsidRPr="00C258AD">
              <w:rPr>
                <w:sz w:val="16"/>
                <w:szCs w:val="16"/>
              </w:rPr>
              <w:t xml:space="preserve"> à des activités nouvelles ou accélérées de recherche</w:t>
            </w:r>
            <w:r w:rsidRPr="00C258AD">
              <w:rPr>
                <w:sz w:val="16"/>
                <w:szCs w:val="16"/>
              </w:rPr>
              <w:noBreakHyphen/>
              <w:t>développement dans le domaine des maladies tropicales négligées, du paludisme et de la tuberculose</w:t>
            </w:r>
          </w:p>
        </w:tc>
        <w:tc>
          <w:tcPr>
            <w:tcW w:w="1265" w:type="pct"/>
            <w:gridSpan w:val="2"/>
            <w:shd w:val="clear" w:color="auto" w:fill="auto"/>
            <w:tcMar>
              <w:top w:w="113" w:type="dxa"/>
              <w:bottom w:w="113" w:type="dxa"/>
            </w:tcMar>
          </w:tcPr>
          <w:p w:rsidR="006E2BB1" w:rsidRPr="00C258AD" w:rsidRDefault="00066B9C" w:rsidP="001A4D6C">
            <w:pPr>
              <w:rPr>
                <w:i/>
                <w:color w:val="002060"/>
                <w:sz w:val="16"/>
                <w:szCs w:val="16"/>
              </w:rPr>
            </w:pPr>
            <w:r w:rsidRPr="00C258AD">
              <w:rPr>
                <w:i/>
                <w:color w:val="002060"/>
                <w:sz w:val="16"/>
                <w:szCs w:val="16"/>
              </w:rPr>
              <w:t xml:space="preserve">Niveau de référence actualisé à fin 2013 : </w:t>
            </w:r>
            <w:r w:rsidRPr="00C258AD">
              <w:rPr>
                <w:color w:val="002060"/>
                <w:sz w:val="16"/>
                <w:szCs w:val="16"/>
              </w:rPr>
              <w:t>44</w:t>
            </w:r>
          </w:p>
          <w:p w:rsidR="006E2BB1" w:rsidRPr="00C258AD" w:rsidRDefault="006E2BB1" w:rsidP="001A4D6C">
            <w:pPr>
              <w:rPr>
                <w:i/>
                <w:sz w:val="16"/>
                <w:szCs w:val="16"/>
              </w:rPr>
            </w:pPr>
          </w:p>
          <w:p w:rsidR="00066B9C" w:rsidRPr="00C258AD" w:rsidRDefault="00066B9C" w:rsidP="001A4D6C">
            <w:pPr>
              <w:rPr>
                <w:rFonts w:eastAsiaTheme="minorHAnsi"/>
                <w:i/>
                <w:sz w:val="16"/>
                <w:szCs w:val="16"/>
              </w:rPr>
            </w:pPr>
            <w:r w:rsidRPr="00C258AD">
              <w:rPr>
                <w:rFonts w:eastAsiaTheme="minorHAnsi"/>
                <w:i/>
                <w:sz w:val="16"/>
                <w:szCs w:val="16"/>
              </w:rPr>
              <w:t>Niveau de référence initial dans le programme et budget 2014</w:t>
            </w:r>
            <w:r w:rsidRPr="00C258AD">
              <w:rPr>
                <w:rFonts w:eastAsiaTheme="minorHAnsi"/>
                <w:i/>
                <w:sz w:val="16"/>
                <w:szCs w:val="16"/>
              </w:rPr>
              <w:noBreakHyphen/>
              <w:t xml:space="preserve">2015 : </w:t>
            </w:r>
            <w:r w:rsidRPr="00C258AD">
              <w:rPr>
                <w:rFonts w:eastAsiaTheme="minorHAnsi"/>
                <w:sz w:val="16"/>
                <w:szCs w:val="16"/>
              </w:rPr>
              <w:t>16</w:t>
            </w:r>
          </w:p>
        </w:tc>
        <w:tc>
          <w:tcPr>
            <w:tcW w:w="801" w:type="pct"/>
            <w:shd w:val="clear" w:color="auto" w:fill="auto"/>
            <w:tcMar>
              <w:top w:w="113" w:type="dxa"/>
              <w:bottom w:w="113" w:type="dxa"/>
            </w:tcMar>
          </w:tcPr>
          <w:p w:rsidR="00066B9C" w:rsidRPr="00C258AD" w:rsidRDefault="00066B9C" w:rsidP="001A4D6C">
            <w:pPr>
              <w:rPr>
                <w:sz w:val="16"/>
                <w:szCs w:val="16"/>
              </w:rPr>
            </w:pPr>
            <w:r w:rsidRPr="00C258AD">
              <w:rPr>
                <w:sz w:val="16"/>
                <w:szCs w:val="16"/>
              </w:rPr>
              <w:t>20</w:t>
            </w:r>
          </w:p>
        </w:tc>
        <w:tc>
          <w:tcPr>
            <w:tcW w:w="1293" w:type="pct"/>
            <w:shd w:val="clear" w:color="auto" w:fill="FFFFFF"/>
            <w:tcMar>
              <w:top w:w="113" w:type="dxa"/>
              <w:bottom w:w="113" w:type="dxa"/>
            </w:tcMar>
          </w:tcPr>
          <w:p w:rsidR="00066B9C" w:rsidRPr="00C258AD" w:rsidRDefault="00066B9C" w:rsidP="001A4D6C">
            <w:pPr>
              <w:rPr>
                <w:sz w:val="16"/>
                <w:szCs w:val="16"/>
                <w:lang w:bidi="th-TH"/>
              </w:rPr>
            </w:pPr>
            <w:r w:rsidRPr="00C258AD">
              <w:rPr>
                <w:sz w:val="16"/>
                <w:szCs w:val="16"/>
                <w:lang w:bidi="th-TH"/>
              </w:rPr>
              <w:t>52 nouveaux accords de collaboration (96 en tout)</w:t>
            </w:r>
          </w:p>
        </w:tc>
        <w:tc>
          <w:tcPr>
            <w:tcW w:w="558" w:type="pct"/>
            <w:shd w:val="clear" w:color="auto" w:fill="auto"/>
            <w:tcMar>
              <w:top w:w="113" w:type="dxa"/>
              <w:bottom w:w="113" w:type="dxa"/>
            </w:tcMar>
          </w:tcPr>
          <w:p w:rsidR="00066B9C" w:rsidRPr="00C258AD" w:rsidRDefault="00066B9C" w:rsidP="001A4D6C">
            <w:pPr>
              <w:keepNext/>
              <w:keepLines/>
              <w:jc w:val="center"/>
              <w:rPr>
                <w:b/>
                <w:bCs/>
                <w:color w:val="00B050"/>
                <w:sz w:val="16"/>
                <w:szCs w:val="16"/>
              </w:rPr>
            </w:pPr>
            <w:r w:rsidRPr="00C258AD">
              <w:rPr>
                <w:rFonts w:cs="Arial"/>
                <w:b/>
                <w:bCs/>
                <w:color w:val="00B050"/>
                <w:sz w:val="16"/>
                <w:szCs w:val="16"/>
              </w:rPr>
              <w:t>Objectif pleinement atteint</w:t>
            </w:r>
          </w:p>
        </w:tc>
      </w:tr>
      <w:tr w:rsidR="00066B9C" w:rsidRPr="00C258AD" w:rsidTr="001A4D6C">
        <w:trPr>
          <w:cantSplit/>
        </w:trPr>
        <w:tc>
          <w:tcPr>
            <w:tcW w:w="1083" w:type="pct"/>
            <w:shd w:val="clear" w:color="auto" w:fill="auto"/>
            <w:tcMar>
              <w:top w:w="113" w:type="dxa"/>
              <w:bottom w:w="113" w:type="dxa"/>
            </w:tcMar>
          </w:tcPr>
          <w:p w:rsidR="00066B9C" w:rsidRPr="00C258AD" w:rsidRDefault="00066B9C" w:rsidP="001A4D6C">
            <w:pPr>
              <w:rPr>
                <w:sz w:val="16"/>
                <w:szCs w:val="16"/>
              </w:rPr>
            </w:pPr>
            <w:r w:rsidRPr="00C258AD">
              <w:rPr>
                <w:sz w:val="16"/>
                <w:szCs w:val="16"/>
              </w:rPr>
              <w:t>Nombre de membres de WIPO GREEN</w:t>
            </w:r>
          </w:p>
        </w:tc>
        <w:tc>
          <w:tcPr>
            <w:tcW w:w="1265" w:type="pct"/>
            <w:gridSpan w:val="2"/>
            <w:shd w:val="clear" w:color="auto" w:fill="auto"/>
            <w:tcMar>
              <w:top w:w="113" w:type="dxa"/>
              <w:bottom w:w="113" w:type="dxa"/>
            </w:tcMar>
          </w:tcPr>
          <w:p w:rsidR="006E2BB1" w:rsidRPr="00C258AD" w:rsidRDefault="00066B9C" w:rsidP="001A4D6C">
            <w:pPr>
              <w:rPr>
                <w:color w:val="002060"/>
                <w:sz w:val="16"/>
                <w:szCs w:val="16"/>
              </w:rPr>
            </w:pPr>
            <w:r w:rsidRPr="00C258AD">
              <w:rPr>
                <w:i/>
                <w:color w:val="002060"/>
                <w:sz w:val="16"/>
                <w:szCs w:val="16"/>
              </w:rPr>
              <w:t xml:space="preserve">Niveau de référence actualisé à fin 2013 : </w:t>
            </w:r>
            <w:r w:rsidRPr="00C258AD">
              <w:rPr>
                <w:color w:val="002060"/>
                <w:sz w:val="16"/>
                <w:szCs w:val="16"/>
              </w:rPr>
              <w:t>36 partenaires, 160 utilisateurs, 830 téléchargements</w:t>
            </w:r>
            <w:r w:rsidRPr="00C258AD">
              <w:rPr>
                <w:rStyle w:val="FootnoteReference"/>
                <w:rFonts w:eastAsia="SimSun"/>
                <w:color w:val="002060"/>
                <w:sz w:val="16"/>
                <w:szCs w:val="16"/>
              </w:rPr>
              <w:footnoteReference w:id="104"/>
            </w:r>
          </w:p>
          <w:p w:rsidR="006E2BB1" w:rsidRPr="00C258AD" w:rsidRDefault="006E2BB1" w:rsidP="001A4D6C">
            <w:pPr>
              <w:rPr>
                <w:i/>
                <w:sz w:val="16"/>
                <w:szCs w:val="16"/>
              </w:rPr>
            </w:pPr>
          </w:p>
          <w:p w:rsidR="006E2BB1" w:rsidRPr="00C258AD" w:rsidRDefault="006E2BB1" w:rsidP="001A4D6C">
            <w:pPr>
              <w:rPr>
                <w:i/>
                <w:sz w:val="16"/>
                <w:szCs w:val="16"/>
              </w:rPr>
            </w:pPr>
          </w:p>
          <w:p w:rsidR="006E2BB1" w:rsidRPr="00C258AD" w:rsidRDefault="006E2BB1" w:rsidP="001A4D6C">
            <w:pPr>
              <w:rPr>
                <w:i/>
                <w:sz w:val="16"/>
                <w:szCs w:val="16"/>
              </w:rPr>
            </w:pPr>
          </w:p>
          <w:p w:rsidR="006E2BB1" w:rsidRPr="00C258AD" w:rsidRDefault="006E2BB1" w:rsidP="001A4D6C">
            <w:pPr>
              <w:rPr>
                <w:i/>
                <w:sz w:val="16"/>
                <w:szCs w:val="16"/>
              </w:rPr>
            </w:pPr>
          </w:p>
          <w:p w:rsidR="006E2BB1" w:rsidRPr="00C258AD" w:rsidRDefault="006E2BB1" w:rsidP="001A4D6C">
            <w:pPr>
              <w:rPr>
                <w:i/>
                <w:sz w:val="16"/>
                <w:szCs w:val="16"/>
              </w:rPr>
            </w:pPr>
          </w:p>
          <w:p w:rsidR="006E2BB1" w:rsidRPr="00C258AD" w:rsidRDefault="006E2BB1" w:rsidP="001A4D6C">
            <w:pPr>
              <w:rPr>
                <w:i/>
                <w:sz w:val="16"/>
                <w:szCs w:val="16"/>
              </w:rPr>
            </w:pPr>
          </w:p>
          <w:p w:rsidR="00066B9C" w:rsidRPr="00C258AD" w:rsidRDefault="00066B9C" w:rsidP="001A4D6C">
            <w:pPr>
              <w:rPr>
                <w:i/>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1 partenaire;  48 téléchargements</w:t>
            </w:r>
          </w:p>
        </w:tc>
        <w:tc>
          <w:tcPr>
            <w:tcW w:w="801" w:type="pct"/>
            <w:shd w:val="clear" w:color="auto" w:fill="auto"/>
            <w:tcMar>
              <w:top w:w="113" w:type="dxa"/>
              <w:bottom w:w="113" w:type="dxa"/>
            </w:tcMar>
          </w:tcPr>
          <w:p w:rsidR="006E2BB1" w:rsidRPr="00C258AD" w:rsidRDefault="00066B9C" w:rsidP="001A4D6C">
            <w:pPr>
              <w:rPr>
                <w:sz w:val="16"/>
                <w:szCs w:val="16"/>
              </w:rPr>
            </w:pPr>
            <w:r w:rsidRPr="00C258AD">
              <w:rPr>
                <w:sz w:val="16"/>
                <w:szCs w:val="16"/>
              </w:rPr>
              <w:t>10 nouveaux partenaires</w:t>
            </w:r>
          </w:p>
          <w:p w:rsidR="006E2BB1" w:rsidRPr="00C258AD" w:rsidRDefault="006E2BB1" w:rsidP="001A4D6C">
            <w:pPr>
              <w:rPr>
                <w:sz w:val="16"/>
                <w:szCs w:val="16"/>
              </w:rPr>
            </w:pPr>
          </w:p>
          <w:p w:rsidR="006E2BB1" w:rsidRPr="00C258AD" w:rsidRDefault="006E2BB1" w:rsidP="001A4D6C">
            <w:pPr>
              <w:rPr>
                <w:sz w:val="16"/>
                <w:szCs w:val="16"/>
              </w:rPr>
            </w:pPr>
          </w:p>
          <w:p w:rsidR="006E2BB1" w:rsidRPr="00C258AD" w:rsidRDefault="00066B9C" w:rsidP="001A4D6C">
            <w:pPr>
              <w:rPr>
                <w:sz w:val="16"/>
                <w:szCs w:val="16"/>
              </w:rPr>
            </w:pPr>
            <w:r w:rsidRPr="00C258AD">
              <w:rPr>
                <w:sz w:val="16"/>
                <w:szCs w:val="16"/>
              </w:rPr>
              <w:t>160 utilisateurs</w:t>
            </w:r>
          </w:p>
          <w:p w:rsidR="006E2BB1" w:rsidRPr="00C258AD" w:rsidRDefault="006E2BB1" w:rsidP="001A4D6C">
            <w:pPr>
              <w:rPr>
                <w:sz w:val="16"/>
                <w:szCs w:val="16"/>
              </w:rPr>
            </w:pPr>
          </w:p>
          <w:p w:rsidR="006E2BB1" w:rsidRPr="00C258AD" w:rsidRDefault="006E2BB1" w:rsidP="001A4D6C">
            <w:pPr>
              <w:rPr>
                <w:sz w:val="16"/>
                <w:szCs w:val="16"/>
              </w:rPr>
            </w:pPr>
          </w:p>
          <w:p w:rsidR="006E2BB1" w:rsidRPr="00C258AD" w:rsidRDefault="006E2BB1" w:rsidP="001A4D6C">
            <w:pPr>
              <w:rPr>
                <w:sz w:val="16"/>
                <w:szCs w:val="16"/>
              </w:rPr>
            </w:pPr>
          </w:p>
          <w:p w:rsidR="00066B9C" w:rsidRPr="00C258AD" w:rsidRDefault="00066B9C" w:rsidP="001A4D6C">
            <w:pPr>
              <w:rPr>
                <w:sz w:val="16"/>
                <w:szCs w:val="16"/>
              </w:rPr>
            </w:pPr>
            <w:r w:rsidRPr="00C258AD">
              <w:rPr>
                <w:sz w:val="16"/>
                <w:szCs w:val="16"/>
              </w:rPr>
              <w:t>400 téléchargements</w:t>
            </w:r>
          </w:p>
        </w:tc>
        <w:tc>
          <w:tcPr>
            <w:tcW w:w="1293" w:type="pct"/>
            <w:shd w:val="clear" w:color="auto" w:fill="FFFFFF"/>
            <w:tcMar>
              <w:top w:w="113" w:type="dxa"/>
              <w:bottom w:w="113" w:type="dxa"/>
            </w:tcMar>
          </w:tcPr>
          <w:p w:rsidR="006E2BB1" w:rsidRPr="00C258AD" w:rsidRDefault="00066B9C" w:rsidP="001A4D6C">
            <w:pPr>
              <w:tabs>
                <w:tab w:val="left" w:pos="433"/>
              </w:tabs>
              <w:rPr>
                <w:sz w:val="16"/>
                <w:szCs w:val="16"/>
                <w:lang w:bidi="th-TH"/>
              </w:rPr>
            </w:pPr>
            <w:r w:rsidRPr="00C258AD">
              <w:rPr>
                <w:sz w:val="16"/>
                <w:szCs w:val="16"/>
                <w:lang w:bidi="th-TH"/>
              </w:rPr>
              <w:t>29 nouveaux partenaires (65 en tout)</w:t>
            </w:r>
          </w:p>
          <w:p w:rsidR="006E2BB1" w:rsidRPr="00C258AD" w:rsidRDefault="006E2BB1" w:rsidP="001A4D6C">
            <w:pPr>
              <w:tabs>
                <w:tab w:val="left" w:pos="433"/>
              </w:tabs>
              <w:rPr>
                <w:sz w:val="16"/>
                <w:szCs w:val="16"/>
                <w:lang w:bidi="th-TH"/>
              </w:rPr>
            </w:pPr>
          </w:p>
          <w:p w:rsidR="006E2BB1" w:rsidRPr="00C258AD" w:rsidRDefault="006E2BB1" w:rsidP="001A4D6C">
            <w:pPr>
              <w:tabs>
                <w:tab w:val="left" w:pos="433"/>
              </w:tabs>
              <w:rPr>
                <w:sz w:val="16"/>
                <w:szCs w:val="16"/>
                <w:lang w:bidi="th-TH"/>
              </w:rPr>
            </w:pPr>
          </w:p>
          <w:p w:rsidR="006E2BB1" w:rsidRPr="00C258AD" w:rsidRDefault="00066B9C" w:rsidP="001A4D6C">
            <w:pPr>
              <w:tabs>
                <w:tab w:val="left" w:pos="443"/>
              </w:tabs>
              <w:rPr>
                <w:sz w:val="16"/>
                <w:szCs w:val="16"/>
                <w:lang w:bidi="th-TH"/>
              </w:rPr>
            </w:pPr>
            <w:r w:rsidRPr="00C258AD">
              <w:rPr>
                <w:sz w:val="16"/>
                <w:szCs w:val="16"/>
                <w:lang w:bidi="th-TH"/>
              </w:rPr>
              <w:t>330 nouveaux utilisateurs (490 en tout)</w:t>
            </w:r>
          </w:p>
          <w:p w:rsidR="006E2BB1" w:rsidRPr="00C258AD" w:rsidRDefault="006E2BB1" w:rsidP="001A4D6C">
            <w:pPr>
              <w:tabs>
                <w:tab w:val="left" w:pos="443"/>
              </w:tabs>
              <w:rPr>
                <w:sz w:val="16"/>
                <w:szCs w:val="16"/>
                <w:lang w:bidi="th-TH"/>
              </w:rPr>
            </w:pPr>
          </w:p>
          <w:p w:rsidR="006E2BB1" w:rsidRPr="00C258AD" w:rsidRDefault="006E2BB1" w:rsidP="001A4D6C">
            <w:pPr>
              <w:tabs>
                <w:tab w:val="left" w:pos="443"/>
              </w:tabs>
              <w:rPr>
                <w:sz w:val="16"/>
                <w:szCs w:val="16"/>
                <w:lang w:bidi="th-TH"/>
              </w:rPr>
            </w:pPr>
          </w:p>
          <w:p w:rsidR="00066B9C" w:rsidRPr="00C258AD" w:rsidRDefault="00066B9C" w:rsidP="001A4D6C">
            <w:pPr>
              <w:tabs>
                <w:tab w:val="left" w:pos="443"/>
              </w:tabs>
              <w:rPr>
                <w:sz w:val="16"/>
                <w:szCs w:val="16"/>
                <w:lang w:bidi="th-TH"/>
              </w:rPr>
            </w:pPr>
            <w:r w:rsidRPr="00C258AD">
              <w:rPr>
                <w:sz w:val="16"/>
                <w:szCs w:val="16"/>
                <w:lang w:bidi="th-TH"/>
              </w:rPr>
              <w:t>1351 nouveaux téléchargements (2181 en tout</w:t>
            </w:r>
            <w:r w:rsidRPr="00C258AD">
              <w:rPr>
                <w:rStyle w:val="FootnoteReference"/>
                <w:rFonts w:eastAsia="SimSun"/>
                <w:sz w:val="16"/>
                <w:szCs w:val="16"/>
                <w:lang w:bidi="th-TH"/>
              </w:rPr>
              <w:footnoteReference w:id="105"/>
            </w:r>
            <w:r w:rsidRPr="00C258AD">
              <w:rPr>
                <w:sz w:val="16"/>
                <w:szCs w:val="16"/>
                <w:lang w:bidi="th-TH"/>
              </w:rPr>
              <w:t>)</w:t>
            </w:r>
          </w:p>
        </w:tc>
        <w:tc>
          <w:tcPr>
            <w:tcW w:w="558" w:type="pct"/>
            <w:shd w:val="clear" w:color="auto" w:fill="auto"/>
            <w:tcMar>
              <w:top w:w="113" w:type="dxa"/>
              <w:bottom w:w="113" w:type="dxa"/>
            </w:tcMar>
          </w:tcPr>
          <w:p w:rsidR="006E2BB1" w:rsidRPr="00C258AD" w:rsidRDefault="00066B9C" w:rsidP="001A4D6C">
            <w:pPr>
              <w:keepNext/>
              <w:keepLines/>
              <w:jc w:val="center"/>
              <w:rPr>
                <w:rFonts w:cs="Arial"/>
                <w:b/>
                <w:bCs/>
                <w:color w:val="00B050"/>
                <w:sz w:val="16"/>
                <w:szCs w:val="16"/>
              </w:rPr>
            </w:pPr>
            <w:r w:rsidRPr="00C258AD">
              <w:rPr>
                <w:rFonts w:cs="Arial"/>
                <w:b/>
                <w:bCs/>
                <w:color w:val="00B050"/>
                <w:sz w:val="16"/>
                <w:szCs w:val="16"/>
              </w:rPr>
              <w:t>Objectif pleinement atteint</w:t>
            </w:r>
          </w:p>
          <w:p w:rsidR="006E2BB1" w:rsidRPr="00C258AD" w:rsidRDefault="006E2BB1" w:rsidP="001A4D6C">
            <w:pPr>
              <w:keepNext/>
              <w:keepLines/>
              <w:jc w:val="center"/>
              <w:rPr>
                <w:rFonts w:cs="Arial"/>
                <w:b/>
                <w:bCs/>
                <w:color w:val="00B050"/>
                <w:sz w:val="16"/>
                <w:szCs w:val="16"/>
              </w:rPr>
            </w:pPr>
          </w:p>
          <w:p w:rsidR="006E2BB1" w:rsidRPr="00C258AD" w:rsidRDefault="00066B9C" w:rsidP="001A4D6C">
            <w:pPr>
              <w:keepNext/>
              <w:keepLines/>
              <w:jc w:val="center"/>
              <w:rPr>
                <w:rFonts w:cs="Arial"/>
                <w:b/>
                <w:bCs/>
                <w:color w:val="00B050"/>
                <w:sz w:val="16"/>
                <w:szCs w:val="16"/>
              </w:rPr>
            </w:pPr>
            <w:r w:rsidRPr="00C258AD">
              <w:rPr>
                <w:rFonts w:cs="Arial"/>
                <w:b/>
                <w:bCs/>
                <w:color w:val="00B050"/>
                <w:sz w:val="16"/>
                <w:szCs w:val="16"/>
              </w:rPr>
              <w:t>Objectif pleinement atteint</w:t>
            </w:r>
          </w:p>
          <w:p w:rsidR="006E2BB1" w:rsidRPr="00C258AD" w:rsidRDefault="006E2BB1" w:rsidP="001A4D6C">
            <w:pPr>
              <w:keepNext/>
              <w:keepLines/>
              <w:jc w:val="center"/>
              <w:rPr>
                <w:rFonts w:cs="Arial"/>
                <w:b/>
                <w:bCs/>
                <w:color w:val="00B050"/>
                <w:sz w:val="16"/>
                <w:szCs w:val="16"/>
              </w:rPr>
            </w:pPr>
          </w:p>
          <w:p w:rsidR="00066B9C" w:rsidRPr="00C258AD" w:rsidRDefault="00066B9C" w:rsidP="001A4D6C">
            <w:pPr>
              <w:keepNext/>
              <w:keepLines/>
              <w:jc w:val="center"/>
              <w:rPr>
                <w:b/>
                <w:bCs/>
                <w:color w:val="00B050"/>
                <w:sz w:val="16"/>
                <w:szCs w:val="16"/>
              </w:rPr>
            </w:pPr>
            <w:r w:rsidRPr="00C258AD">
              <w:rPr>
                <w:rFonts w:cs="Arial"/>
                <w:b/>
                <w:bCs/>
                <w:color w:val="00B050"/>
                <w:sz w:val="16"/>
                <w:szCs w:val="16"/>
              </w:rPr>
              <w:t>Objectif pleinement atteint</w:t>
            </w:r>
          </w:p>
        </w:tc>
      </w:tr>
      <w:tr w:rsidR="00066B9C" w:rsidRPr="00C258AD" w:rsidTr="001A4D6C">
        <w:trPr>
          <w:cantSplit/>
        </w:trPr>
        <w:tc>
          <w:tcPr>
            <w:tcW w:w="1083" w:type="pct"/>
            <w:shd w:val="clear" w:color="auto" w:fill="auto"/>
            <w:tcMar>
              <w:top w:w="113" w:type="dxa"/>
              <w:bottom w:w="113" w:type="dxa"/>
            </w:tcMar>
          </w:tcPr>
          <w:p w:rsidR="00066B9C" w:rsidRPr="00C258AD" w:rsidRDefault="00066B9C" w:rsidP="001A4D6C">
            <w:pPr>
              <w:rPr>
                <w:sz w:val="16"/>
                <w:szCs w:val="16"/>
              </w:rPr>
            </w:pPr>
            <w:r w:rsidRPr="00C258AD">
              <w:rPr>
                <w:sz w:val="16"/>
                <w:szCs w:val="16"/>
              </w:rPr>
              <w:t>Nombre de liens établis entre WIPO GREEN et d’autres mécanismes pertinents tels que les centres et réseaux des technologies climatiques (CCNUCC) et les centres d’innovation en matière climatique (</w:t>
            </w:r>
            <w:proofErr w:type="spellStart"/>
            <w:r w:rsidRPr="00C258AD">
              <w:rPr>
                <w:sz w:val="16"/>
                <w:szCs w:val="16"/>
              </w:rPr>
              <w:t>infoDev</w:t>
            </w:r>
            <w:proofErr w:type="spellEnd"/>
            <w:r w:rsidRPr="00C258AD">
              <w:rPr>
                <w:sz w:val="16"/>
                <w:szCs w:val="16"/>
              </w:rPr>
              <w:t>)</w:t>
            </w:r>
          </w:p>
        </w:tc>
        <w:tc>
          <w:tcPr>
            <w:tcW w:w="1265" w:type="pct"/>
            <w:gridSpan w:val="2"/>
            <w:shd w:val="clear" w:color="auto" w:fill="auto"/>
            <w:tcMar>
              <w:top w:w="113" w:type="dxa"/>
              <w:bottom w:w="113" w:type="dxa"/>
            </w:tcMar>
          </w:tcPr>
          <w:p w:rsidR="006E2BB1" w:rsidRPr="00C258AD" w:rsidRDefault="00066B9C" w:rsidP="001A4D6C">
            <w:pPr>
              <w:rPr>
                <w:i/>
                <w:color w:val="002060"/>
                <w:sz w:val="16"/>
                <w:szCs w:val="16"/>
              </w:rPr>
            </w:pPr>
            <w:r w:rsidRPr="00C258AD">
              <w:rPr>
                <w:i/>
                <w:color w:val="002060"/>
                <w:sz w:val="16"/>
                <w:szCs w:val="16"/>
              </w:rPr>
              <w:t>Niveau de référence actualisé à fin 2013 :</w:t>
            </w:r>
          </w:p>
          <w:p w:rsidR="006E2BB1" w:rsidRPr="006B4497" w:rsidRDefault="00066B9C" w:rsidP="001A4D6C">
            <w:pPr>
              <w:rPr>
                <w:color w:val="002060"/>
                <w:sz w:val="16"/>
                <w:szCs w:val="16"/>
                <w:lang w:val="en-US"/>
              </w:rPr>
            </w:pPr>
            <w:r w:rsidRPr="006B4497">
              <w:rPr>
                <w:color w:val="002060"/>
                <w:sz w:val="16"/>
                <w:szCs w:val="16"/>
                <w:lang w:val="en-US"/>
              </w:rPr>
              <w:t>1 (East Africa Climate Innovation Network (EACIN))</w:t>
            </w:r>
          </w:p>
          <w:p w:rsidR="006E2BB1" w:rsidRPr="006B4497" w:rsidRDefault="006E2BB1" w:rsidP="001A4D6C">
            <w:pPr>
              <w:rPr>
                <w:i/>
                <w:sz w:val="16"/>
                <w:szCs w:val="16"/>
                <w:lang w:val="en-US"/>
              </w:rPr>
            </w:pPr>
          </w:p>
          <w:p w:rsidR="00066B9C" w:rsidRPr="00C258AD" w:rsidRDefault="00066B9C" w:rsidP="001A4D6C">
            <w:pPr>
              <w:rPr>
                <w:i/>
                <w:sz w:val="16"/>
                <w:szCs w:val="16"/>
              </w:rPr>
            </w:pPr>
            <w:r w:rsidRPr="00C258AD">
              <w:rPr>
                <w:i/>
                <w:sz w:val="16"/>
                <w:szCs w:val="16"/>
              </w:rPr>
              <w:t>Niveau de référence initial dans le programme et budget 2014</w:t>
            </w:r>
            <w:r w:rsidRPr="00C258AD">
              <w:rPr>
                <w:i/>
                <w:sz w:val="16"/>
                <w:szCs w:val="16"/>
              </w:rPr>
              <w:noBreakHyphen/>
              <w:t xml:space="preserve">2015 : </w:t>
            </w:r>
            <w:r w:rsidRPr="00C258AD">
              <w:rPr>
                <w:sz w:val="16"/>
                <w:szCs w:val="16"/>
              </w:rPr>
              <w:t>0 (zéro)</w:t>
            </w:r>
          </w:p>
        </w:tc>
        <w:tc>
          <w:tcPr>
            <w:tcW w:w="801" w:type="pct"/>
            <w:shd w:val="clear" w:color="auto" w:fill="auto"/>
            <w:tcMar>
              <w:top w:w="113" w:type="dxa"/>
              <w:bottom w:w="113" w:type="dxa"/>
            </w:tcMar>
          </w:tcPr>
          <w:p w:rsidR="00066B9C" w:rsidRPr="00C258AD" w:rsidRDefault="00066B9C" w:rsidP="001A4D6C">
            <w:pPr>
              <w:rPr>
                <w:sz w:val="16"/>
                <w:szCs w:val="16"/>
              </w:rPr>
            </w:pPr>
            <w:r w:rsidRPr="00C258AD">
              <w:rPr>
                <w:sz w:val="16"/>
                <w:szCs w:val="16"/>
              </w:rPr>
              <w:t>3</w:t>
            </w:r>
          </w:p>
        </w:tc>
        <w:tc>
          <w:tcPr>
            <w:tcW w:w="1293" w:type="pct"/>
            <w:shd w:val="clear" w:color="auto" w:fill="FFFFFF"/>
            <w:tcMar>
              <w:top w:w="113" w:type="dxa"/>
              <w:bottom w:w="113" w:type="dxa"/>
            </w:tcMar>
          </w:tcPr>
          <w:p w:rsidR="006E2BB1" w:rsidRPr="00C258AD" w:rsidRDefault="00066B9C" w:rsidP="001A4D6C">
            <w:pPr>
              <w:rPr>
                <w:sz w:val="16"/>
                <w:szCs w:val="16"/>
                <w:lang w:bidi="th-TH"/>
              </w:rPr>
            </w:pPr>
            <w:r w:rsidRPr="00C258AD">
              <w:rPr>
                <w:sz w:val="16"/>
                <w:szCs w:val="16"/>
                <w:lang w:bidi="th-TH"/>
              </w:rPr>
              <w:t>6 liens supplémentaires en 2014</w:t>
            </w:r>
            <w:r w:rsidRPr="00C258AD">
              <w:rPr>
                <w:sz w:val="16"/>
                <w:szCs w:val="16"/>
                <w:lang w:bidi="th-TH"/>
              </w:rPr>
              <w:noBreakHyphen/>
              <w:t>2015 :</w:t>
            </w:r>
          </w:p>
          <w:p w:rsidR="006E2BB1" w:rsidRPr="00C258AD" w:rsidRDefault="00066B9C" w:rsidP="00066B9C">
            <w:pPr>
              <w:pStyle w:val="ListParagraph"/>
              <w:numPr>
                <w:ilvl w:val="0"/>
                <w:numId w:val="50"/>
              </w:numPr>
              <w:rPr>
                <w:sz w:val="16"/>
                <w:szCs w:val="16"/>
                <w:lang w:bidi="th-TH"/>
              </w:rPr>
            </w:pPr>
            <w:r w:rsidRPr="00C258AD">
              <w:rPr>
                <w:sz w:val="16"/>
                <w:szCs w:val="16"/>
                <w:lang w:bidi="th-TH"/>
              </w:rPr>
              <w:t>Centre et Réseau des technologies climatiques (CTCN)</w:t>
            </w:r>
          </w:p>
          <w:p w:rsidR="006E2BB1" w:rsidRPr="00C258AD" w:rsidRDefault="00066B9C" w:rsidP="00066B9C">
            <w:pPr>
              <w:pStyle w:val="ListParagraph"/>
              <w:numPr>
                <w:ilvl w:val="0"/>
                <w:numId w:val="50"/>
              </w:numPr>
              <w:rPr>
                <w:sz w:val="16"/>
                <w:szCs w:val="16"/>
                <w:lang w:bidi="th-TH"/>
              </w:rPr>
            </w:pPr>
            <w:proofErr w:type="spellStart"/>
            <w:r w:rsidRPr="00C258AD">
              <w:rPr>
                <w:sz w:val="16"/>
                <w:szCs w:val="16"/>
                <w:lang w:bidi="th-TH"/>
              </w:rPr>
              <w:t>inforDev</w:t>
            </w:r>
            <w:proofErr w:type="spellEnd"/>
          </w:p>
          <w:p w:rsidR="006E2BB1" w:rsidRPr="00C258AD" w:rsidRDefault="00066B9C" w:rsidP="00066B9C">
            <w:pPr>
              <w:pStyle w:val="ListParagraph"/>
              <w:numPr>
                <w:ilvl w:val="0"/>
                <w:numId w:val="50"/>
              </w:numPr>
              <w:rPr>
                <w:sz w:val="16"/>
                <w:szCs w:val="16"/>
                <w:lang w:bidi="th-TH"/>
              </w:rPr>
            </w:pPr>
            <w:proofErr w:type="spellStart"/>
            <w:r w:rsidRPr="00C258AD">
              <w:rPr>
                <w:sz w:val="16"/>
                <w:szCs w:val="16"/>
                <w:lang w:bidi="th-TH"/>
              </w:rPr>
              <w:t>EcoPatent</w:t>
            </w:r>
            <w:proofErr w:type="spellEnd"/>
            <w:r w:rsidRPr="00C258AD">
              <w:rPr>
                <w:sz w:val="16"/>
                <w:szCs w:val="16"/>
                <w:lang w:bidi="th-TH"/>
              </w:rPr>
              <w:t xml:space="preserve"> Commons</w:t>
            </w:r>
          </w:p>
          <w:p w:rsidR="006E2BB1" w:rsidRPr="00C258AD" w:rsidRDefault="00066B9C" w:rsidP="00066B9C">
            <w:pPr>
              <w:pStyle w:val="ListParagraph"/>
              <w:numPr>
                <w:ilvl w:val="0"/>
                <w:numId w:val="50"/>
              </w:numPr>
              <w:rPr>
                <w:sz w:val="16"/>
                <w:szCs w:val="16"/>
                <w:lang w:bidi="th-TH"/>
              </w:rPr>
            </w:pPr>
            <w:r w:rsidRPr="00C258AD">
              <w:rPr>
                <w:sz w:val="16"/>
                <w:szCs w:val="16"/>
                <w:lang w:bidi="th-TH"/>
              </w:rPr>
              <w:t xml:space="preserve">Kenya </w:t>
            </w:r>
            <w:proofErr w:type="spellStart"/>
            <w:r w:rsidRPr="00C258AD">
              <w:rPr>
                <w:sz w:val="16"/>
                <w:szCs w:val="16"/>
                <w:lang w:bidi="th-TH"/>
              </w:rPr>
              <w:t>Climate</w:t>
            </w:r>
            <w:proofErr w:type="spellEnd"/>
            <w:r w:rsidRPr="00C258AD">
              <w:rPr>
                <w:sz w:val="16"/>
                <w:szCs w:val="16"/>
                <w:lang w:bidi="th-TH"/>
              </w:rPr>
              <w:t xml:space="preserve"> Innovation Center (KCIC)</w:t>
            </w:r>
          </w:p>
          <w:p w:rsidR="006E2BB1" w:rsidRPr="00C258AD" w:rsidRDefault="00066B9C" w:rsidP="00066B9C">
            <w:pPr>
              <w:pStyle w:val="ListParagraph"/>
              <w:numPr>
                <w:ilvl w:val="0"/>
                <w:numId w:val="50"/>
              </w:numPr>
              <w:rPr>
                <w:sz w:val="16"/>
                <w:szCs w:val="16"/>
                <w:lang w:bidi="th-TH"/>
              </w:rPr>
            </w:pPr>
            <w:proofErr w:type="spellStart"/>
            <w:r w:rsidRPr="00C258AD">
              <w:rPr>
                <w:sz w:val="16"/>
                <w:szCs w:val="16"/>
                <w:lang w:bidi="th-TH"/>
              </w:rPr>
              <w:t>Climate</w:t>
            </w:r>
            <w:proofErr w:type="spellEnd"/>
            <w:r w:rsidRPr="00C258AD">
              <w:rPr>
                <w:sz w:val="16"/>
                <w:szCs w:val="16"/>
                <w:lang w:bidi="th-TH"/>
              </w:rPr>
              <w:t xml:space="preserve"> KIC</w:t>
            </w:r>
          </w:p>
          <w:p w:rsidR="006E2BB1" w:rsidRPr="00C258AD" w:rsidRDefault="00066B9C" w:rsidP="00066B9C">
            <w:pPr>
              <w:pStyle w:val="ListParagraph"/>
              <w:numPr>
                <w:ilvl w:val="0"/>
                <w:numId w:val="50"/>
              </w:numPr>
              <w:rPr>
                <w:sz w:val="16"/>
                <w:szCs w:val="16"/>
                <w:lang w:bidi="th-TH"/>
              </w:rPr>
            </w:pPr>
            <w:proofErr w:type="spellStart"/>
            <w:r w:rsidRPr="00C258AD">
              <w:rPr>
                <w:sz w:val="16"/>
                <w:szCs w:val="16"/>
                <w:lang w:bidi="th-TH"/>
              </w:rPr>
              <w:t>Waseda</w:t>
            </w:r>
            <w:proofErr w:type="spellEnd"/>
            <w:r w:rsidRPr="00C258AD">
              <w:rPr>
                <w:sz w:val="16"/>
                <w:szCs w:val="16"/>
                <w:lang w:bidi="th-TH"/>
              </w:rPr>
              <w:t xml:space="preserve"> </w:t>
            </w:r>
            <w:proofErr w:type="spellStart"/>
            <w:r w:rsidRPr="00C258AD">
              <w:rPr>
                <w:sz w:val="16"/>
                <w:szCs w:val="16"/>
                <w:lang w:bidi="th-TH"/>
              </w:rPr>
              <w:t>Environmental</w:t>
            </w:r>
            <w:proofErr w:type="spellEnd"/>
            <w:r w:rsidRPr="00C258AD">
              <w:rPr>
                <w:sz w:val="16"/>
                <w:szCs w:val="16"/>
                <w:lang w:bidi="th-TH"/>
              </w:rPr>
              <w:t xml:space="preserve"> Institute</w:t>
            </w:r>
          </w:p>
          <w:p w:rsidR="00066B9C" w:rsidRPr="00C258AD" w:rsidRDefault="00066B9C" w:rsidP="001A4D6C">
            <w:pPr>
              <w:rPr>
                <w:sz w:val="16"/>
                <w:szCs w:val="16"/>
                <w:lang w:bidi="th-TH"/>
              </w:rPr>
            </w:pPr>
            <w:r w:rsidRPr="00C258AD">
              <w:rPr>
                <w:sz w:val="16"/>
                <w:szCs w:val="16"/>
                <w:lang w:bidi="th-TH"/>
              </w:rPr>
              <w:t>(7 en tout)</w:t>
            </w:r>
          </w:p>
        </w:tc>
        <w:tc>
          <w:tcPr>
            <w:tcW w:w="558" w:type="pct"/>
            <w:shd w:val="clear" w:color="auto" w:fill="auto"/>
            <w:tcMar>
              <w:top w:w="113" w:type="dxa"/>
              <w:bottom w:w="113" w:type="dxa"/>
            </w:tcMar>
          </w:tcPr>
          <w:p w:rsidR="00066B9C" w:rsidRPr="00C258AD" w:rsidRDefault="00066B9C" w:rsidP="001A4D6C">
            <w:pPr>
              <w:keepNext/>
              <w:keepLines/>
              <w:jc w:val="center"/>
              <w:rPr>
                <w:b/>
                <w:bCs/>
                <w:sz w:val="16"/>
                <w:szCs w:val="16"/>
              </w:rPr>
            </w:pPr>
            <w:r w:rsidRPr="00C258AD">
              <w:rPr>
                <w:rFonts w:cs="Arial"/>
                <w:b/>
                <w:bCs/>
                <w:color w:val="00B050"/>
                <w:sz w:val="16"/>
                <w:szCs w:val="16"/>
              </w:rPr>
              <w:t>Objectif pleinement atteint</w:t>
            </w:r>
          </w:p>
        </w:tc>
      </w:tr>
      <w:tr w:rsidR="00066B9C" w:rsidRPr="00C258AD" w:rsidTr="001A4D6C">
        <w:trPr>
          <w:cantSplit/>
        </w:trPr>
        <w:tc>
          <w:tcPr>
            <w:tcW w:w="1083" w:type="pct"/>
            <w:shd w:val="clear" w:color="auto" w:fill="auto"/>
            <w:tcMar>
              <w:top w:w="113" w:type="dxa"/>
              <w:bottom w:w="113" w:type="dxa"/>
            </w:tcMar>
          </w:tcPr>
          <w:p w:rsidR="00066B9C" w:rsidRPr="00C258AD" w:rsidRDefault="00066B9C" w:rsidP="001A4D6C">
            <w:pPr>
              <w:rPr>
                <w:sz w:val="16"/>
                <w:szCs w:val="16"/>
              </w:rPr>
            </w:pPr>
            <w:r w:rsidRPr="00C258AD">
              <w:rPr>
                <w:sz w:val="16"/>
                <w:szCs w:val="16"/>
              </w:rPr>
              <w:t>Nombre d’accords conclus grâce à WIPO GREEN qui facilitent le transfert de connaissances et l’adaptation, le transfert ou la diffusion des technologies</w:t>
            </w:r>
          </w:p>
        </w:tc>
        <w:tc>
          <w:tcPr>
            <w:tcW w:w="1265" w:type="pct"/>
            <w:gridSpan w:val="2"/>
            <w:shd w:val="clear" w:color="auto" w:fill="auto"/>
            <w:tcMar>
              <w:top w:w="113" w:type="dxa"/>
              <w:bottom w:w="113" w:type="dxa"/>
            </w:tcMar>
          </w:tcPr>
          <w:p w:rsidR="006E2BB1" w:rsidRPr="00C258AD" w:rsidRDefault="00066B9C" w:rsidP="001A4D6C">
            <w:pPr>
              <w:rPr>
                <w:color w:val="002060"/>
                <w:sz w:val="16"/>
                <w:szCs w:val="16"/>
              </w:rPr>
            </w:pPr>
            <w:r w:rsidRPr="00C258AD">
              <w:rPr>
                <w:i/>
                <w:color w:val="002060"/>
                <w:sz w:val="16"/>
                <w:szCs w:val="16"/>
              </w:rPr>
              <w:t xml:space="preserve">Niveau de référence actualisé à fin 2013 : </w:t>
            </w:r>
            <w:r w:rsidRPr="00C258AD">
              <w:rPr>
                <w:color w:val="002060"/>
                <w:sz w:val="16"/>
                <w:szCs w:val="16"/>
              </w:rPr>
              <w:t>en 2012 et 2013, WIPO GREEN a conclu :</w:t>
            </w:r>
          </w:p>
          <w:p w:rsidR="006E2BB1" w:rsidRPr="00C258AD" w:rsidRDefault="00066B9C" w:rsidP="001A4D6C">
            <w:pPr>
              <w:rPr>
                <w:color w:val="002060"/>
                <w:sz w:val="16"/>
                <w:szCs w:val="16"/>
              </w:rPr>
            </w:pPr>
            <w:r w:rsidRPr="00C258AD">
              <w:rPr>
                <w:color w:val="002060"/>
                <w:sz w:val="16"/>
                <w:szCs w:val="16"/>
              </w:rPr>
              <w:t>deux accords avec des partenaires externes pour l’intégration de données</w:t>
            </w:r>
          </w:p>
          <w:p w:rsidR="006E2BB1" w:rsidRPr="006B4497" w:rsidRDefault="00066B9C" w:rsidP="001A4D6C">
            <w:pPr>
              <w:rPr>
                <w:color w:val="002060"/>
                <w:sz w:val="16"/>
                <w:szCs w:val="16"/>
                <w:lang w:val="en-US"/>
              </w:rPr>
            </w:pPr>
            <w:r w:rsidRPr="006B4497">
              <w:rPr>
                <w:color w:val="002060"/>
                <w:sz w:val="16"/>
                <w:szCs w:val="16"/>
                <w:lang w:val="en-US"/>
              </w:rPr>
              <w:t>(Association of University Technology Managers (AUTM) et East Africa Climate Innovation Network (EACIN))</w:t>
            </w:r>
          </w:p>
          <w:p w:rsidR="006E2BB1" w:rsidRPr="006B4497" w:rsidRDefault="006E2BB1" w:rsidP="001A4D6C">
            <w:pPr>
              <w:rPr>
                <w:i/>
                <w:sz w:val="16"/>
                <w:szCs w:val="16"/>
                <w:lang w:val="en-US"/>
              </w:rPr>
            </w:pPr>
          </w:p>
          <w:p w:rsidR="00066B9C" w:rsidRPr="00C258AD" w:rsidRDefault="00066B9C" w:rsidP="001A4D6C">
            <w:pPr>
              <w:rPr>
                <w:i/>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0 (zéro)</w:t>
            </w:r>
          </w:p>
        </w:tc>
        <w:tc>
          <w:tcPr>
            <w:tcW w:w="801" w:type="pct"/>
            <w:shd w:val="clear" w:color="auto" w:fill="auto"/>
            <w:tcMar>
              <w:top w:w="113" w:type="dxa"/>
              <w:bottom w:w="113" w:type="dxa"/>
            </w:tcMar>
          </w:tcPr>
          <w:p w:rsidR="00066B9C" w:rsidRPr="00C258AD" w:rsidRDefault="00066B9C" w:rsidP="001A4D6C">
            <w:pPr>
              <w:rPr>
                <w:sz w:val="16"/>
                <w:szCs w:val="16"/>
              </w:rPr>
            </w:pPr>
            <w:r w:rsidRPr="00C258AD">
              <w:rPr>
                <w:sz w:val="16"/>
                <w:szCs w:val="16"/>
              </w:rPr>
              <w:t>250</w:t>
            </w:r>
          </w:p>
        </w:tc>
        <w:tc>
          <w:tcPr>
            <w:tcW w:w="1293" w:type="pct"/>
            <w:shd w:val="clear" w:color="auto" w:fill="FFFFFF"/>
            <w:tcMar>
              <w:top w:w="113" w:type="dxa"/>
              <w:bottom w:w="113" w:type="dxa"/>
            </w:tcMar>
          </w:tcPr>
          <w:p w:rsidR="006E2BB1" w:rsidRPr="00C258AD" w:rsidRDefault="00066B9C" w:rsidP="001A4D6C">
            <w:pPr>
              <w:rPr>
                <w:sz w:val="16"/>
                <w:szCs w:val="16"/>
                <w:lang w:bidi="th-TH"/>
              </w:rPr>
            </w:pPr>
            <w:r w:rsidRPr="00C258AD">
              <w:rPr>
                <w:sz w:val="16"/>
                <w:szCs w:val="16"/>
                <w:lang w:bidi="th-TH"/>
              </w:rPr>
              <w:t>5 accords supplémentaires en 2014</w:t>
            </w:r>
            <w:r w:rsidRPr="00C258AD">
              <w:rPr>
                <w:sz w:val="16"/>
                <w:szCs w:val="16"/>
                <w:lang w:bidi="th-TH"/>
              </w:rPr>
              <w:noBreakHyphen/>
              <w:t>2015 :</w:t>
            </w:r>
          </w:p>
          <w:p w:rsidR="006E2BB1" w:rsidRPr="00C258AD" w:rsidRDefault="00066B9C" w:rsidP="00066B9C">
            <w:pPr>
              <w:pStyle w:val="ListParagraph"/>
              <w:numPr>
                <w:ilvl w:val="0"/>
                <w:numId w:val="50"/>
              </w:numPr>
              <w:rPr>
                <w:sz w:val="16"/>
                <w:szCs w:val="16"/>
                <w:lang w:bidi="th-TH"/>
              </w:rPr>
            </w:pPr>
            <w:r w:rsidRPr="00C258AD">
              <w:rPr>
                <w:sz w:val="16"/>
                <w:szCs w:val="16"/>
                <w:lang w:bidi="th-TH"/>
              </w:rPr>
              <w:t>Office danois des brevets et des marques (DKPTO)</w:t>
            </w:r>
          </w:p>
          <w:p w:rsidR="006E2BB1" w:rsidRPr="00C258AD" w:rsidRDefault="00066B9C" w:rsidP="00066B9C">
            <w:pPr>
              <w:pStyle w:val="ListParagraph"/>
              <w:numPr>
                <w:ilvl w:val="0"/>
                <w:numId w:val="50"/>
              </w:numPr>
              <w:rPr>
                <w:sz w:val="16"/>
                <w:szCs w:val="16"/>
                <w:lang w:bidi="th-TH"/>
              </w:rPr>
            </w:pPr>
            <w:r w:rsidRPr="00C258AD">
              <w:rPr>
                <w:sz w:val="16"/>
                <w:szCs w:val="16"/>
                <w:lang w:bidi="th-TH"/>
              </w:rPr>
              <w:t>KOTEC</w:t>
            </w:r>
          </w:p>
          <w:p w:rsidR="006E2BB1" w:rsidRPr="00C258AD" w:rsidRDefault="00066B9C" w:rsidP="00066B9C">
            <w:pPr>
              <w:pStyle w:val="ListParagraph"/>
              <w:numPr>
                <w:ilvl w:val="0"/>
                <w:numId w:val="50"/>
              </w:numPr>
              <w:rPr>
                <w:sz w:val="16"/>
                <w:szCs w:val="16"/>
                <w:lang w:bidi="th-TH"/>
              </w:rPr>
            </w:pPr>
            <w:r w:rsidRPr="00C258AD">
              <w:rPr>
                <w:sz w:val="16"/>
                <w:szCs w:val="16"/>
                <w:lang w:bidi="th-TH"/>
              </w:rPr>
              <w:t>Technologie Allianz</w:t>
            </w:r>
          </w:p>
          <w:p w:rsidR="006E2BB1" w:rsidRPr="00C258AD" w:rsidRDefault="00066B9C" w:rsidP="00066B9C">
            <w:pPr>
              <w:pStyle w:val="ListParagraph"/>
              <w:numPr>
                <w:ilvl w:val="0"/>
                <w:numId w:val="50"/>
              </w:numPr>
              <w:rPr>
                <w:sz w:val="16"/>
                <w:szCs w:val="16"/>
                <w:lang w:bidi="th-TH"/>
              </w:rPr>
            </w:pPr>
            <w:r w:rsidRPr="00C258AD">
              <w:rPr>
                <w:sz w:val="16"/>
                <w:szCs w:val="16"/>
                <w:lang w:bidi="th-TH"/>
              </w:rPr>
              <w:t>Office des Nations Unies pour la coopération Sud</w:t>
            </w:r>
            <w:r w:rsidRPr="00C258AD">
              <w:rPr>
                <w:sz w:val="16"/>
                <w:szCs w:val="16"/>
                <w:lang w:bidi="th-TH"/>
              </w:rPr>
              <w:noBreakHyphen/>
              <w:t>Sud (UNOSSC)</w:t>
            </w:r>
          </w:p>
          <w:p w:rsidR="006E2BB1" w:rsidRPr="00C258AD" w:rsidRDefault="00066B9C" w:rsidP="00066B9C">
            <w:pPr>
              <w:pStyle w:val="ListParagraph"/>
              <w:numPr>
                <w:ilvl w:val="0"/>
                <w:numId w:val="50"/>
              </w:numPr>
              <w:rPr>
                <w:sz w:val="16"/>
                <w:szCs w:val="16"/>
                <w:lang w:bidi="th-TH"/>
              </w:rPr>
            </w:pPr>
            <w:r w:rsidRPr="00C258AD">
              <w:rPr>
                <w:sz w:val="16"/>
                <w:szCs w:val="16"/>
                <w:lang w:bidi="th-TH"/>
              </w:rPr>
              <w:t>Ministère de l’économie (Israël)</w:t>
            </w:r>
          </w:p>
          <w:p w:rsidR="00066B9C" w:rsidRPr="00C258AD" w:rsidRDefault="00066B9C" w:rsidP="001A4D6C">
            <w:pPr>
              <w:rPr>
                <w:sz w:val="16"/>
                <w:szCs w:val="16"/>
                <w:lang w:bidi="th-TH"/>
              </w:rPr>
            </w:pPr>
            <w:r w:rsidRPr="00C258AD">
              <w:rPr>
                <w:sz w:val="16"/>
                <w:szCs w:val="16"/>
                <w:lang w:bidi="th-TH"/>
              </w:rPr>
              <w:t>(7 en tout)</w:t>
            </w:r>
          </w:p>
        </w:tc>
        <w:tc>
          <w:tcPr>
            <w:tcW w:w="558" w:type="pct"/>
            <w:shd w:val="clear" w:color="auto" w:fill="auto"/>
            <w:tcMar>
              <w:top w:w="113" w:type="dxa"/>
              <w:bottom w:w="113" w:type="dxa"/>
            </w:tcMar>
          </w:tcPr>
          <w:p w:rsidR="00066B9C" w:rsidRPr="00C258AD" w:rsidRDefault="00066B9C" w:rsidP="001A4D6C">
            <w:pPr>
              <w:keepNext/>
              <w:keepLines/>
              <w:jc w:val="center"/>
              <w:rPr>
                <w:b/>
                <w:bCs/>
                <w:sz w:val="16"/>
                <w:szCs w:val="16"/>
              </w:rPr>
            </w:pPr>
            <w:r w:rsidRPr="00C258AD">
              <w:rPr>
                <w:rFonts w:cs="Arial"/>
                <w:b/>
                <w:bCs/>
                <w:color w:val="FF0000"/>
                <w:sz w:val="16"/>
                <w:szCs w:val="16"/>
              </w:rPr>
              <w:t>Objectif pas atteint</w:t>
            </w:r>
          </w:p>
        </w:tc>
      </w:tr>
      <w:tr w:rsidR="00066B9C" w:rsidRPr="00C258AD" w:rsidTr="001A4D6C">
        <w:trPr>
          <w:cantSplit/>
        </w:trPr>
        <w:tc>
          <w:tcPr>
            <w:tcW w:w="1153" w:type="pct"/>
            <w:gridSpan w:val="2"/>
            <w:tcBorders>
              <w:bottom w:val="single" w:sz="4" w:space="0" w:color="auto"/>
            </w:tcBorders>
            <w:shd w:val="clear" w:color="auto" w:fill="auto"/>
            <w:tcMar>
              <w:top w:w="113" w:type="dxa"/>
              <w:bottom w:w="113" w:type="dxa"/>
            </w:tcMar>
          </w:tcPr>
          <w:p w:rsidR="00066B9C" w:rsidRPr="00C258AD" w:rsidRDefault="00066B9C" w:rsidP="001A4D6C">
            <w:pPr>
              <w:rPr>
                <w:sz w:val="16"/>
                <w:szCs w:val="16"/>
              </w:rPr>
            </w:pPr>
            <w:r w:rsidRPr="00C258AD">
              <w:rPr>
                <w:sz w:val="16"/>
                <w:szCs w:val="16"/>
              </w:rPr>
              <w:lastRenderedPageBreak/>
              <w:t>Nombre de consultations du site Web sur les défis mondiaux</w:t>
            </w:r>
          </w:p>
        </w:tc>
        <w:tc>
          <w:tcPr>
            <w:tcW w:w="1195" w:type="pct"/>
            <w:tcBorders>
              <w:bottom w:val="single" w:sz="4" w:space="0" w:color="auto"/>
            </w:tcBorders>
            <w:shd w:val="clear" w:color="auto" w:fill="auto"/>
            <w:tcMar>
              <w:top w:w="113" w:type="dxa"/>
              <w:bottom w:w="113" w:type="dxa"/>
            </w:tcMar>
          </w:tcPr>
          <w:p w:rsidR="006E2BB1" w:rsidRPr="00C258AD" w:rsidRDefault="00066B9C" w:rsidP="001A4D6C">
            <w:pPr>
              <w:rPr>
                <w:color w:val="002060"/>
                <w:sz w:val="16"/>
                <w:szCs w:val="16"/>
              </w:rPr>
            </w:pPr>
            <w:r w:rsidRPr="00C258AD">
              <w:rPr>
                <w:i/>
                <w:color w:val="002060"/>
                <w:sz w:val="16"/>
                <w:szCs w:val="16"/>
              </w:rPr>
              <w:t>Niveau de référence actualisé à fin 2013 :</w:t>
            </w:r>
          </w:p>
          <w:p w:rsidR="006E2BB1" w:rsidRPr="00C258AD" w:rsidRDefault="00066B9C" w:rsidP="001A4D6C">
            <w:pPr>
              <w:rPr>
                <w:color w:val="002060"/>
                <w:sz w:val="16"/>
                <w:szCs w:val="16"/>
              </w:rPr>
            </w:pPr>
            <w:r w:rsidRPr="00C258AD">
              <w:rPr>
                <w:color w:val="002060"/>
                <w:sz w:val="16"/>
                <w:szCs w:val="16"/>
              </w:rPr>
              <w:t>6476 pages consultées (Division des défis mondiaux)</w:t>
            </w:r>
          </w:p>
          <w:p w:rsidR="006E2BB1" w:rsidRPr="00C258AD" w:rsidRDefault="00066B9C" w:rsidP="001A4D6C">
            <w:pPr>
              <w:rPr>
                <w:color w:val="002060"/>
                <w:sz w:val="16"/>
                <w:szCs w:val="16"/>
              </w:rPr>
            </w:pPr>
            <w:r w:rsidRPr="00C258AD">
              <w:rPr>
                <w:color w:val="002060"/>
                <w:sz w:val="16"/>
                <w:szCs w:val="16"/>
              </w:rPr>
              <w:t xml:space="preserve">3773 téléchargements de fichiers </w:t>
            </w:r>
            <w:proofErr w:type="spellStart"/>
            <w:r w:rsidRPr="00C258AD">
              <w:rPr>
                <w:color w:val="002060"/>
                <w:sz w:val="16"/>
                <w:szCs w:val="16"/>
              </w:rPr>
              <w:t>pdf</w:t>
            </w:r>
            <w:proofErr w:type="spellEnd"/>
          </w:p>
          <w:p w:rsidR="006E2BB1" w:rsidRPr="00C258AD" w:rsidRDefault="00066B9C" w:rsidP="001A4D6C">
            <w:pPr>
              <w:rPr>
                <w:color w:val="002060"/>
                <w:sz w:val="16"/>
                <w:szCs w:val="16"/>
              </w:rPr>
            </w:pPr>
            <w:r w:rsidRPr="00C258AD">
              <w:rPr>
                <w:color w:val="002060"/>
                <w:sz w:val="16"/>
                <w:szCs w:val="16"/>
              </w:rPr>
              <w:t>73 648 pages de WIPO GREEN consultées</w:t>
            </w:r>
          </w:p>
          <w:p w:rsidR="006E2BB1" w:rsidRPr="00C258AD" w:rsidRDefault="00066B9C" w:rsidP="001A4D6C">
            <w:pPr>
              <w:rPr>
                <w:color w:val="002060"/>
                <w:sz w:val="16"/>
                <w:szCs w:val="16"/>
              </w:rPr>
            </w:pPr>
            <w:r w:rsidRPr="00C258AD">
              <w:rPr>
                <w:color w:val="002060"/>
                <w:sz w:val="16"/>
                <w:szCs w:val="16"/>
              </w:rPr>
              <w:t xml:space="preserve">60 712 pages de WIPO </w:t>
            </w:r>
            <w:proofErr w:type="spellStart"/>
            <w:r w:rsidRPr="00C258AD">
              <w:rPr>
                <w:color w:val="002060"/>
                <w:sz w:val="16"/>
                <w:szCs w:val="16"/>
              </w:rPr>
              <w:t>Re:Search</w:t>
            </w:r>
            <w:proofErr w:type="spellEnd"/>
            <w:r w:rsidRPr="00C258AD">
              <w:rPr>
                <w:color w:val="002060"/>
                <w:sz w:val="16"/>
                <w:szCs w:val="16"/>
              </w:rPr>
              <w:t xml:space="preserve"> consultées</w:t>
            </w:r>
          </w:p>
          <w:p w:rsidR="006E2BB1" w:rsidRPr="00C258AD" w:rsidRDefault="006E2BB1" w:rsidP="001A4D6C">
            <w:pPr>
              <w:rPr>
                <w:i/>
                <w:sz w:val="16"/>
                <w:szCs w:val="16"/>
              </w:rPr>
            </w:pPr>
          </w:p>
          <w:p w:rsidR="00066B9C" w:rsidRPr="00C258AD" w:rsidRDefault="00066B9C" w:rsidP="001A4D6C">
            <w:pPr>
              <w:rPr>
                <w:i/>
                <w:sz w:val="16"/>
                <w:szCs w:val="16"/>
              </w:rPr>
            </w:pPr>
            <w:r w:rsidRPr="00C258AD">
              <w:rPr>
                <w:i/>
                <w:sz w:val="16"/>
                <w:szCs w:val="16"/>
              </w:rPr>
              <w:t>Niveau de référence initial dans le programme et budget 2014</w:t>
            </w:r>
            <w:r w:rsidRPr="00C258AD">
              <w:rPr>
                <w:i/>
                <w:sz w:val="16"/>
                <w:szCs w:val="16"/>
              </w:rPr>
              <w:noBreakHyphen/>
              <w:t xml:space="preserve">2015 : </w:t>
            </w:r>
            <w:proofErr w:type="spellStart"/>
            <w:r w:rsidRPr="00C258AD">
              <w:rPr>
                <w:sz w:val="16"/>
                <w:szCs w:val="16"/>
              </w:rPr>
              <w:t>n.d</w:t>
            </w:r>
            <w:proofErr w:type="spellEnd"/>
            <w:r w:rsidRPr="00C258AD">
              <w:rPr>
                <w:sz w:val="16"/>
                <w:szCs w:val="16"/>
              </w:rPr>
              <w:t>.</w:t>
            </w:r>
          </w:p>
        </w:tc>
        <w:tc>
          <w:tcPr>
            <w:tcW w:w="801" w:type="pct"/>
            <w:tcBorders>
              <w:bottom w:val="single" w:sz="4" w:space="0" w:color="auto"/>
            </w:tcBorders>
            <w:shd w:val="clear" w:color="auto" w:fill="auto"/>
            <w:tcMar>
              <w:top w:w="113" w:type="dxa"/>
              <w:bottom w:w="113" w:type="dxa"/>
            </w:tcMar>
          </w:tcPr>
          <w:p w:rsidR="00066B9C" w:rsidRPr="00C258AD" w:rsidRDefault="00066B9C" w:rsidP="001A4D6C">
            <w:pPr>
              <w:rPr>
                <w:sz w:val="16"/>
                <w:szCs w:val="16"/>
              </w:rPr>
            </w:pPr>
            <w:r w:rsidRPr="00C258AD">
              <w:rPr>
                <w:sz w:val="16"/>
                <w:szCs w:val="16"/>
              </w:rPr>
              <w:t>Augmentation de 50%</w:t>
            </w:r>
          </w:p>
        </w:tc>
        <w:tc>
          <w:tcPr>
            <w:tcW w:w="1293" w:type="pct"/>
            <w:tcBorders>
              <w:bottom w:val="single" w:sz="4" w:space="0" w:color="auto"/>
            </w:tcBorders>
            <w:shd w:val="clear" w:color="auto" w:fill="FFFFFF"/>
            <w:tcMar>
              <w:top w:w="113" w:type="dxa"/>
              <w:bottom w:w="113" w:type="dxa"/>
            </w:tcMar>
          </w:tcPr>
          <w:p w:rsidR="006E2BB1" w:rsidRPr="00C258AD" w:rsidRDefault="00066B9C" w:rsidP="001A4D6C">
            <w:pPr>
              <w:rPr>
                <w:sz w:val="16"/>
                <w:szCs w:val="16"/>
                <w:lang w:bidi="th-TH"/>
              </w:rPr>
            </w:pPr>
            <w:r w:rsidRPr="00C258AD">
              <w:rPr>
                <w:sz w:val="16"/>
                <w:szCs w:val="16"/>
                <w:lang w:bidi="th-TH"/>
              </w:rPr>
              <w:t>Nombre de pages consultées :</w:t>
            </w:r>
          </w:p>
          <w:p w:rsidR="006E2BB1" w:rsidRPr="00C258AD" w:rsidRDefault="00066B9C" w:rsidP="00066B9C">
            <w:pPr>
              <w:pStyle w:val="ListParagraph"/>
              <w:numPr>
                <w:ilvl w:val="0"/>
                <w:numId w:val="50"/>
              </w:numPr>
              <w:rPr>
                <w:sz w:val="16"/>
                <w:szCs w:val="16"/>
                <w:lang w:bidi="th-TH"/>
              </w:rPr>
            </w:pPr>
            <w:r w:rsidRPr="00C258AD">
              <w:rPr>
                <w:sz w:val="16"/>
                <w:szCs w:val="16"/>
                <w:lang w:bidi="th-TH"/>
              </w:rPr>
              <w:t>Division des défis mondiaux : 2693</w:t>
            </w:r>
          </w:p>
          <w:p w:rsidR="006E2BB1" w:rsidRPr="00C258AD" w:rsidRDefault="00066B9C" w:rsidP="00066B9C">
            <w:pPr>
              <w:pStyle w:val="ListParagraph"/>
              <w:numPr>
                <w:ilvl w:val="0"/>
                <w:numId w:val="50"/>
              </w:numPr>
              <w:rPr>
                <w:sz w:val="16"/>
                <w:szCs w:val="16"/>
                <w:lang w:bidi="th-TH"/>
              </w:rPr>
            </w:pPr>
            <w:r w:rsidRPr="00C258AD">
              <w:rPr>
                <w:sz w:val="16"/>
                <w:szCs w:val="16"/>
                <w:lang w:bidi="th-TH"/>
              </w:rPr>
              <w:t>téléchargements de fichiers PDF : 45,253</w:t>
            </w:r>
          </w:p>
          <w:p w:rsidR="006E2BB1" w:rsidRPr="00C258AD" w:rsidRDefault="00066B9C" w:rsidP="00066B9C">
            <w:pPr>
              <w:pStyle w:val="ListParagraph"/>
              <w:numPr>
                <w:ilvl w:val="0"/>
                <w:numId w:val="50"/>
              </w:numPr>
              <w:rPr>
                <w:sz w:val="16"/>
                <w:szCs w:val="16"/>
                <w:lang w:bidi="th-TH"/>
              </w:rPr>
            </w:pPr>
            <w:r w:rsidRPr="00C258AD">
              <w:rPr>
                <w:sz w:val="16"/>
                <w:szCs w:val="16"/>
                <w:lang w:bidi="th-TH"/>
              </w:rPr>
              <w:t>WIPO GREEN : 207 716</w:t>
            </w:r>
          </w:p>
          <w:p w:rsidR="006E2BB1" w:rsidRPr="00C258AD" w:rsidRDefault="00066B9C" w:rsidP="00066B9C">
            <w:pPr>
              <w:pStyle w:val="ListParagraph"/>
              <w:numPr>
                <w:ilvl w:val="0"/>
                <w:numId w:val="50"/>
              </w:numPr>
              <w:rPr>
                <w:sz w:val="16"/>
                <w:szCs w:val="16"/>
                <w:lang w:bidi="th-TH"/>
              </w:rPr>
            </w:pPr>
            <w:r w:rsidRPr="00C258AD">
              <w:rPr>
                <w:sz w:val="16"/>
                <w:szCs w:val="16"/>
                <w:lang w:bidi="th-TH"/>
              </w:rPr>
              <w:t xml:space="preserve">WIPO </w:t>
            </w:r>
            <w:proofErr w:type="spellStart"/>
            <w:r w:rsidRPr="00C258AD">
              <w:rPr>
                <w:sz w:val="16"/>
                <w:szCs w:val="16"/>
                <w:lang w:bidi="th-TH"/>
              </w:rPr>
              <w:t>Re:Search</w:t>
            </w:r>
            <w:proofErr w:type="spellEnd"/>
            <w:r w:rsidRPr="00C258AD">
              <w:rPr>
                <w:sz w:val="16"/>
                <w:szCs w:val="16"/>
                <w:lang w:bidi="th-TH"/>
              </w:rPr>
              <w:t> : 62 118</w:t>
            </w:r>
          </w:p>
          <w:p w:rsidR="006E2BB1" w:rsidRPr="00C258AD" w:rsidRDefault="00066B9C" w:rsidP="00066B9C">
            <w:pPr>
              <w:pStyle w:val="ListParagraph"/>
              <w:numPr>
                <w:ilvl w:val="0"/>
                <w:numId w:val="50"/>
              </w:numPr>
              <w:rPr>
                <w:sz w:val="16"/>
                <w:szCs w:val="16"/>
                <w:lang w:bidi="th-TH"/>
              </w:rPr>
            </w:pPr>
            <w:r w:rsidRPr="00C258AD">
              <w:rPr>
                <w:sz w:val="16"/>
                <w:szCs w:val="16"/>
                <w:lang w:bidi="th-TH"/>
              </w:rPr>
              <w:t>Santé mondiale et propriété intellectuelle : 31 800</w:t>
            </w:r>
          </w:p>
          <w:p w:rsidR="00066B9C" w:rsidRPr="00C258AD" w:rsidRDefault="00066B9C" w:rsidP="00066B9C">
            <w:pPr>
              <w:pStyle w:val="ListParagraph"/>
              <w:numPr>
                <w:ilvl w:val="0"/>
                <w:numId w:val="50"/>
              </w:numPr>
              <w:rPr>
                <w:sz w:val="16"/>
                <w:szCs w:val="16"/>
                <w:lang w:bidi="th-TH"/>
              </w:rPr>
            </w:pPr>
            <w:r w:rsidRPr="00C258AD">
              <w:rPr>
                <w:sz w:val="16"/>
                <w:szCs w:val="16"/>
                <w:lang w:bidi="th-TH"/>
              </w:rPr>
              <w:t>Changement climatique et propriété intellectuelle : 4952</w:t>
            </w:r>
          </w:p>
        </w:tc>
        <w:tc>
          <w:tcPr>
            <w:tcW w:w="558" w:type="pct"/>
            <w:tcBorders>
              <w:bottom w:val="single" w:sz="4" w:space="0" w:color="auto"/>
            </w:tcBorders>
            <w:shd w:val="clear" w:color="auto" w:fill="auto"/>
            <w:tcMar>
              <w:top w:w="113" w:type="dxa"/>
              <w:bottom w:w="113" w:type="dxa"/>
            </w:tcMar>
          </w:tcPr>
          <w:p w:rsidR="006E2BB1" w:rsidRPr="00C258AD" w:rsidRDefault="006E2BB1" w:rsidP="001A4D6C">
            <w:pPr>
              <w:keepNext/>
              <w:keepLines/>
              <w:jc w:val="center"/>
              <w:rPr>
                <w:b/>
                <w:bCs/>
                <w:sz w:val="16"/>
                <w:szCs w:val="16"/>
              </w:rPr>
            </w:pPr>
          </w:p>
          <w:p w:rsidR="006E2BB1" w:rsidRPr="00C258AD" w:rsidRDefault="00066B9C" w:rsidP="001A4D6C">
            <w:pPr>
              <w:keepNext/>
              <w:keepLines/>
              <w:jc w:val="center"/>
              <w:rPr>
                <w:b/>
                <w:bCs/>
                <w:color w:val="FF0000"/>
                <w:sz w:val="16"/>
                <w:szCs w:val="16"/>
              </w:rPr>
            </w:pPr>
            <w:r w:rsidRPr="00C258AD">
              <w:rPr>
                <w:rFonts w:cs="Arial"/>
                <w:b/>
                <w:bCs/>
                <w:color w:val="FF0000"/>
                <w:sz w:val="16"/>
                <w:szCs w:val="16"/>
              </w:rPr>
              <w:t>Objectif pas atteint</w:t>
            </w:r>
          </w:p>
          <w:p w:rsidR="006E2BB1" w:rsidRPr="00C258AD" w:rsidRDefault="00066B9C" w:rsidP="001A4D6C">
            <w:pPr>
              <w:keepNext/>
              <w:keepLines/>
              <w:jc w:val="center"/>
              <w:rPr>
                <w:b/>
                <w:bCs/>
                <w:color w:val="A6A6A6" w:themeColor="background1" w:themeShade="A6"/>
                <w:sz w:val="16"/>
                <w:szCs w:val="16"/>
              </w:rPr>
            </w:pPr>
            <w:r w:rsidRPr="00C258AD">
              <w:rPr>
                <w:rFonts w:cs="Arial"/>
                <w:b/>
                <w:bCs/>
                <w:color w:val="00B050"/>
                <w:sz w:val="16"/>
                <w:szCs w:val="16"/>
              </w:rPr>
              <w:t>Objectif pleinement atteint</w:t>
            </w:r>
          </w:p>
          <w:p w:rsidR="006E2BB1" w:rsidRPr="00C258AD" w:rsidRDefault="00066B9C" w:rsidP="001A4D6C">
            <w:pPr>
              <w:keepNext/>
              <w:keepLines/>
              <w:jc w:val="center"/>
              <w:rPr>
                <w:b/>
                <w:bCs/>
                <w:color w:val="A6A6A6" w:themeColor="background1" w:themeShade="A6"/>
                <w:sz w:val="16"/>
                <w:szCs w:val="16"/>
              </w:rPr>
            </w:pPr>
            <w:r w:rsidRPr="00C258AD">
              <w:rPr>
                <w:rFonts w:cs="Arial"/>
                <w:b/>
                <w:bCs/>
                <w:color w:val="00B050"/>
                <w:sz w:val="16"/>
                <w:szCs w:val="16"/>
              </w:rPr>
              <w:t>Objectif pleinement atteint</w:t>
            </w:r>
          </w:p>
          <w:p w:rsidR="00066B9C" w:rsidRPr="00C258AD" w:rsidRDefault="00066B9C" w:rsidP="001A4D6C">
            <w:pPr>
              <w:keepNext/>
              <w:keepLines/>
              <w:jc w:val="center"/>
              <w:rPr>
                <w:b/>
                <w:bCs/>
                <w:sz w:val="16"/>
                <w:szCs w:val="16"/>
              </w:rPr>
            </w:pPr>
            <w:r w:rsidRPr="00C258AD">
              <w:rPr>
                <w:rFonts w:cs="Arial"/>
                <w:b/>
                <w:bCs/>
                <w:color w:val="FF0000"/>
                <w:sz w:val="16"/>
                <w:szCs w:val="16"/>
              </w:rPr>
              <w:t>Objectif pas atteint</w:t>
            </w:r>
            <w:r w:rsidRPr="00C258AD">
              <w:rPr>
                <w:b/>
                <w:bCs/>
                <w:color w:val="A6A6A6" w:themeColor="background1" w:themeShade="A6"/>
                <w:sz w:val="16"/>
                <w:szCs w:val="16"/>
              </w:rPr>
              <w:t xml:space="preserve"> </w:t>
            </w:r>
          </w:p>
        </w:tc>
      </w:tr>
      <w:tr w:rsidR="00066B9C" w:rsidRPr="00C258AD" w:rsidTr="001A4D6C">
        <w:trPr>
          <w:cantSplit/>
        </w:trPr>
        <w:tc>
          <w:tcPr>
            <w:tcW w:w="5000" w:type="pct"/>
            <w:gridSpan w:val="6"/>
            <w:tcBorders>
              <w:top w:val="single" w:sz="4" w:space="0" w:color="auto"/>
              <w:bottom w:val="single" w:sz="4" w:space="0" w:color="auto"/>
            </w:tcBorders>
            <w:shd w:val="clear" w:color="auto" w:fill="C5D9F1"/>
            <w:tcMar>
              <w:top w:w="113" w:type="dxa"/>
              <w:bottom w:w="113" w:type="dxa"/>
            </w:tcMar>
            <w:vAlign w:val="center"/>
          </w:tcPr>
          <w:p w:rsidR="00066B9C" w:rsidRPr="00C258AD" w:rsidRDefault="00066B9C" w:rsidP="001A4D6C">
            <w:pPr>
              <w:keepNext/>
              <w:keepLines/>
              <w:tabs>
                <w:tab w:val="left" w:pos="1452"/>
              </w:tabs>
              <w:rPr>
                <w:b/>
                <w:bCs/>
                <w:sz w:val="16"/>
                <w:szCs w:val="16"/>
              </w:rPr>
            </w:pPr>
            <w:r w:rsidRPr="00C258AD">
              <w:rPr>
                <w:b/>
                <w:bCs/>
                <w:sz w:val="16"/>
                <w:szCs w:val="16"/>
              </w:rPr>
              <w:t xml:space="preserve">Résultat escompté : </w:t>
            </w:r>
            <w:r w:rsidRPr="00C258AD">
              <w:rPr>
                <w:bCs/>
                <w:sz w:val="16"/>
                <w:szCs w:val="16"/>
              </w:rPr>
              <w:t>VII.3 Crédibilité croissante de l’OMPI en tant qu’instance d’analyse des questions relatives à la propriété intellectuelle et à la politique en matière de concurrence</w:t>
            </w:r>
          </w:p>
        </w:tc>
      </w:tr>
      <w:tr w:rsidR="00066B9C" w:rsidRPr="00C258AD" w:rsidTr="001A4D6C">
        <w:trPr>
          <w:cantSplit/>
        </w:trPr>
        <w:tc>
          <w:tcPr>
            <w:tcW w:w="1153" w:type="pct"/>
            <w:gridSpan w:val="2"/>
            <w:tcBorders>
              <w:top w:val="single" w:sz="4" w:space="0" w:color="auto"/>
            </w:tcBorders>
            <w:shd w:val="clear" w:color="auto" w:fill="auto"/>
            <w:vAlign w:val="center"/>
          </w:tcPr>
          <w:p w:rsidR="00066B9C" w:rsidRPr="00C258AD" w:rsidRDefault="00066B9C" w:rsidP="001A4D6C">
            <w:pPr>
              <w:jc w:val="center"/>
              <w:rPr>
                <w:b/>
                <w:sz w:val="16"/>
                <w:szCs w:val="16"/>
              </w:rPr>
            </w:pPr>
            <w:r w:rsidRPr="00C258AD">
              <w:rPr>
                <w:b/>
                <w:sz w:val="16"/>
                <w:szCs w:val="16"/>
              </w:rPr>
              <w:t>Indicateurs d’exécution</w:t>
            </w:r>
          </w:p>
        </w:tc>
        <w:tc>
          <w:tcPr>
            <w:tcW w:w="1195" w:type="pct"/>
            <w:tcBorders>
              <w:top w:val="single" w:sz="4" w:space="0" w:color="auto"/>
            </w:tcBorders>
            <w:shd w:val="clear" w:color="auto" w:fill="auto"/>
            <w:vAlign w:val="center"/>
          </w:tcPr>
          <w:p w:rsidR="00066B9C" w:rsidRPr="00C258AD" w:rsidRDefault="00066B9C" w:rsidP="001A4D6C">
            <w:pPr>
              <w:jc w:val="center"/>
              <w:rPr>
                <w:b/>
                <w:bCs/>
                <w:sz w:val="16"/>
                <w:szCs w:val="16"/>
              </w:rPr>
            </w:pPr>
            <w:r w:rsidRPr="00C258AD">
              <w:rPr>
                <w:b/>
                <w:bCs/>
                <w:sz w:val="16"/>
                <w:szCs w:val="16"/>
              </w:rPr>
              <w:t>Niveaux de référence</w:t>
            </w:r>
          </w:p>
        </w:tc>
        <w:tc>
          <w:tcPr>
            <w:tcW w:w="801" w:type="pct"/>
            <w:tcBorders>
              <w:top w:val="single" w:sz="4" w:space="0" w:color="auto"/>
            </w:tcBorders>
            <w:shd w:val="clear" w:color="auto" w:fill="auto"/>
            <w:tcMar>
              <w:top w:w="110" w:type="dxa"/>
            </w:tcMar>
            <w:vAlign w:val="center"/>
          </w:tcPr>
          <w:p w:rsidR="00066B9C" w:rsidRPr="00C258AD" w:rsidRDefault="00066B9C" w:rsidP="001A4D6C">
            <w:pPr>
              <w:jc w:val="center"/>
              <w:rPr>
                <w:b/>
                <w:sz w:val="16"/>
                <w:szCs w:val="16"/>
              </w:rPr>
            </w:pPr>
            <w:r w:rsidRPr="00C258AD">
              <w:rPr>
                <w:b/>
                <w:sz w:val="16"/>
                <w:szCs w:val="16"/>
              </w:rPr>
              <w:t>Objectifs visés</w:t>
            </w:r>
          </w:p>
        </w:tc>
        <w:tc>
          <w:tcPr>
            <w:tcW w:w="1293" w:type="pct"/>
            <w:tcBorders>
              <w:top w:val="single" w:sz="4" w:space="0" w:color="auto"/>
            </w:tcBorders>
            <w:shd w:val="clear" w:color="auto" w:fill="FFFFFF"/>
            <w:tcMar>
              <w:top w:w="110" w:type="dxa"/>
            </w:tcMar>
            <w:vAlign w:val="center"/>
          </w:tcPr>
          <w:p w:rsidR="00066B9C" w:rsidRPr="00C258AD" w:rsidRDefault="00066B9C" w:rsidP="001A4D6C">
            <w:pPr>
              <w:jc w:val="center"/>
              <w:rPr>
                <w:b/>
                <w:sz w:val="16"/>
                <w:szCs w:val="16"/>
              </w:rPr>
            </w:pPr>
            <w:r w:rsidRPr="00C258AD">
              <w:rPr>
                <w:b/>
                <w:sz w:val="16"/>
                <w:szCs w:val="16"/>
              </w:rPr>
              <w:t>Données relatives à l’exécution</w:t>
            </w:r>
          </w:p>
        </w:tc>
        <w:tc>
          <w:tcPr>
            <w:tcW w:w="558" w:type="pct"/>
            <w:tcBorders>
              <w:top w:val="single" w:sz="4" w:space="0" w:color="auto"/>
            </w:tcBorders>
            <w:shd w:val="clear" w:color="auto" w:fill="auto"/>
            <w:tcMar>
              <w:top w:w="110" w:type="dxa"/>
            </w:tcMar>
            <w:vAlign w:val="center"/>
          </w:tcPr>
          <w:p w:rsidR="00066B9C" w:rsidRPr="00C258AD" w:rsidRDefault="00066B9C" w:rsidP="001A4D6C">
            <w:pPr>
              <w:keepNext/>
              <w:keepLines/>
              <w:jc w:val="center"/>
              <w:rPr>
                <w:b/>
                <w:bCs/>
                <w:sz w:val="16"/>
                <w:szCs w:val="16"/>
              </w:rPr>
            </w:pPr>
            <w:r w:rsidRPr="00C258AD">
              <w:rPr>
                <w:b/>
                <w:bCs/>
                <w:sz w:val="16"/>
                <w:szCs w:val="16"/>
              </w:rPr>
              <w:t>Code de couleurs</w:t>
            </w:r>
          </w:p>
        </w:tc>
      </w:tr>
      <w:tr w:rsidR="00066B9C" w:rsidRPr="00C258AD" w:rsidTr="001A4D6C">
        <w:trPr>
          <w:cantSplit/>
        </w:trPr>
        <w:tc>
          <w:tcPr>
            <w:tcW w:w="1153" w:type="pct"/>
            <w:gridSpan w:val="2"/>
            <w:shd w:val="clear" w:color="auto" w:fill="auto"/>
            <w:tcMar>
              <w:top w:w="113" w:type="dxa"/>
              <w:bottom w:w="113" w:type="dxa"/>
            </w:tcMar>
          </w:tcPr>
          <w:p w:rsidR="00066B9C" w:rsidRPr="00C258AD" w:rsidRDefault="00066B9C" w:rsidP="001A4D6C">
            <w:pPr>
              <w:rPr>
                <w:sz w:val="16"/>
                <w:szCs w:val="16"/>
              </w:rPr>
            </w:pPr>
            <w:r w:rsidRPr="00C258AD">
              <w:rPr>
                <w:sz w:val="16"/>
                <w:szCs w:val="16"/>
              </w:rPr>
              <w:t>Nombre de pays demandant à l’OMPI une contribution dans le domaine de la propriété intellectuelle en rapport avec des questions relatives à la politique en matière de concurrence</w:t>
            </w:r>
          </w:p>
        </w:tc>
        <w:tc>
          <w:tcPr>
            <w:tcW w:w="1195" w:type="pct"/>
            <w:shd w:val="clear" w:color="auto" w:fill="auto"/>
            <w:tcMar>
              <w:top w:w="113" w:type="dxa"/>
              <w:bottom w:w="113" w:type="dxa"/>
            </w:tcMar>
          </w:tcPr>
          <w:p w:rsidR="006E2BB1" w:rsidRPr="00C258AD" w:rsidRDefault="00066B9C" w:rsidP="001A4D6C">
            <w:pPr>
              <w:rPr>
                <w:sz w:val="16"/>
                <w:szCs w:val="16"/>
              </w:rPr>
            </w:pPr>
            <w:r w:rsidRPr="00C258AD">
              <w:rPr>
                <w:i/>
                <w:color w:val="002060"/>
                <w:sz w:val="16"/>
                <w:szCs w:val="16"/>
              </w:rPr>
              <w:t>Niveau de référence actualisé à fin 2013 :</w:t>
            </w:r>
            <w:r w:rsidRPr="00C258AD">
              <w:rPr>
                <w:color w:val="002060"/>
                <w:sz w:val="16"/>
                <w:szCs w:val="16"/>
              </w:rPr>
              <w:t xml:space="preserve"> 6 demandes d’entretiens bilatéraux (Chili, Brésil, Équateur, Inde, République dominicaine, République de Moldova) et 1 demande d’assistance en matière de législation (Bhoutan</w:t>
            </w:r>
            <w:r w:rsidRPr="00C258AD">
              <w:rPr>
                <w:sz w:val="16"/>
                <w:szCs w:val="16"/>
              </w:rPr>
              <w:t>).</w:t>
            </w:r>
          </w:p>
          <w:p w:rsidR="006E2BB1" w:rsidRPr="00C258AD" w:rsidRDefault="006E2BB1" w:rsidP="001A4D6C">
            <w:pPr>
              <w:rPr>
                <w:i/>
                <w:sz w:val="16"/>
                <w:szCs w:val="16"/>
              </w:rPr>
            </w:pPr>
          </w:p>
          <w:p w:rsidR="00066B9C" w:rsidRPr="00C258AD" w:rsidRDefault="00066B9C" w:rsidP="001A4D6C">
            <w:pPr>
              <w:rPr>
                <w:sz w:val="16"/>
                <w:szCs w:val="16"/>
              </w:rPr>
            </w:pPr>
            <w:r w:rsidRPr="00C258AD">
              <w:rPr>
                <w:i/>
                <w:sz w:val="16"/>
                <w:szCs w:val="16"/>
              </w:rPr>
              <w:t>Niveau de référence initial dans le programme et budget 2014</w:t>
            </w:r>
            <w:r w:rsidRPr="00C258AD">
              <w:rPr>
                <w:i/>
                <w:sz w:val="16"/>
                <w:szCs w:val="16"/>
              </w:rPr>
              <w:noBreakHyphen/>
              <w:t xml:space="preserve">2015 : </w:t>
            </w:r>
            <w:r w:rsidRPr="00C258AD">
              <w:rPr>
                <w:sz w:val="16"/>
                <w:szCs w:val="16"/>
              </w:rPr>
              <w:t>12</w:t>
            </w:r>
          </w:p>
        </w:tc>
        <w:tc>
          <w:tcPr>
            <w:tcW w:w="801" w:type="pct"/>
            <w:shd w:val="clear" w:color="auto" w:fill="auto"/>
            <w:tcMar>
              <w:top w:w="113" w:type="dxa"/>
              <w:bottom w:w="113" w:type="dxa"/>
            </w:tcMar>
          </w:tcPr>
          <w:p w:rsidR="00066B9C" w:rsidRPr="00C258AD" w:rsidRDefault="00066B9C" w:rsidP="001A4D6C">
            <w:pPr>
              <w:rPr>
                <w:sz w:val="16"/>
                <w:szCs w:val="16"/>
              </w:rPr>
            </w:pPr>
            <w:r w:rsidRPr="00C258AD">
              <w:rPr>
                <w:sz w:val="16"/>
                <w:szCs w:val="16"/>
              </w:rPr>
              <w:t>15</w:t>
            </w:r>
          </w:p>
        </w:tc>
        <w:tc>
          <w:tcPr>
            <w:tcW w:w="1293" w:type="pct"/>
            <w:shd w:val="clear" w:color="auto" w:fill="FFFFFF"/>
            <w:tcMar>
              <w:top w:w="113" w:type="dxa"/>
              <w:bottom w:w="113" w:type="dxa"/>
            </w:tcMar>
          </w:tcPr>
          <w:p w:rsidR="00066B9C" w:rsidRPr="00C258AD" w:rsidRDefault="00066B9C" w:rsidP="001A4D6C">
            <w:pPr>
              <w:rPr>
                <w:sz w:val="16"/>
                <w:szCs w:val="16"/>
                <w:lang w:bidi="th-TH"/>
              </w:rPr>
            </w:pPr>
            <w:r w:rsidRPr="00C258AD">
              <w:rPr>
                <w:sz w:val="16"/>
                <w:szCs w:val="16"/>
                <w:lang w:bidi="th-TH"/>
              </w:rPr>
              <w:t>16 demandes/</w:t>
            </w:r>
            <w:r w:rsidRPr="00C258AD">
              <w:rPr>
                <w:rFonts w:cs="Arial"/>
                <w:sz w:val="16"/>
                <w:szCs w:val="16"/>
                <w:lang w:bidi="th-TH"/>
              </w:rPr>
              <w:t>suivis d’entretiens bilatéraux</w:t>
            </w:r>
            <w:r w:rsidRPr="00C258AD">
              <w:rPr>
                <w:sz w:val="16"/>
                <w:szCs w:val="16"/>
                <w:lang w:bidi="th-TH"/>
              </w:rPr>
              <w:t xml:space="preserve"> (Afrique du Sud, Brésil, Colombie, Cuba, El Salvador, Équateur, Honduras, Inde, Italie, Koweït, Macao (région administrative spéciale de Chine), Pérou, Philippines, République dominicaine, Singapour, Viet Nam)</w:t>
            </w:r>
          </w:p>
        </w:tc>
        <w:tc>
          <w:tcPr>
            <w:tcW w:w="558" w:type="pct"/>
            <w:shd w:val="clear" w:color="auto" w:fill="auto"/>
            <w:tcMar>
              <w:top w:w="113" w:type="dxa"/>
              <w:bottom w:w="113" w:type="dxa"/>
            </w:tcMar>
          </w:tcPr>
          <w:p w:rsidR="00066B9C" w:rsidRPr="00C258AD" w:rsidRDefault="00066B9C" w:rsidP="001A4D6C">
            <w:pPr>
              <w:keepNext/>
              <w:keepLines/>
              <w:jc w:val="center"/>
              <w:rPr>
                <w:b/>
                <w:bCs/>
                <w:color w:val="00B050"/>
                <w:sz w:val="16"/>
                <w:szCs w:val="16"/>
              </w:rPr>
            </w:pPr>
            <w:r w:rsidRPr="00C258AD">
              <w:rPr>
                <w:rFonts w:cs="Arial"/>
                <w:b/>
                <w:bCs/>
                <w:color w:val="00B050"/>
                <w:sz w:val="16"/>
                <w:szCs w:val="16"/>
              </w:rPr>
              <w:t>Objectif pleinement atteint</w:t>
            </w:r>
          </w:p>
        </w:tc>
      </w:tr>
      <w:tr w:rsidR="00066B9C" w:rsidRPr="00C258AD" w:rsidTr="001A4D6C">
        <w:trPr>
          <w:cantSplit/>
        </w:trPr>
        <w:tc>
          <w:tcPr>
            <w:tcW w:w="1153" w:type="pct"/>
            <w:gridSpan w:val="2"/>
            <w:shd w:val="clear" w:color="auto" w:fill="auto"/>
            <w:tcMar>
              <w:top w:w="113" w:type="dxa"/>
              <w:bottom w:w="113" w:type="dxa"/>
            </w:tcMar>
          </w:tcPr>
          <w:p w:rsidR="00066B9C" w:rsidRPr="00C258AD" w:rsidRDefault="00066B9C" w:rsidP="001A4D6C">
            <w:pPr>
              <w:rPr>
                <w:sz w:val="16"/>
                <w:szCs w:val="16"/>
              </w:rPr>
            </w:pPr>
            <w:r w:rsidRPr="00C258AD">
              <w:rPr>
                <w:sz w:val="16"/>
                <w:szCs w:val="16"/>
              </w:rPr>
              <w:t>Nombre et éventail de parties prenantes (offices de propriété intellectuelle, administrations chargées des questions de concurrence, organisations intergouvernementales et ONG concernées) ayant engagé un dialogue avec l’OMPI</w:t>
            </w:r>
          </w:p>
        </w:tc>
        <w:tc>
          <w:tcPr>
            <w:tcW w:w="1195" w:type="pct"/>
            <w:shd w:val="clear" w:color="auto" w:fill="auto"/>
            <w:tcMar>
              <w:top w:w="113" w:type="dxa"/>
              <w:bottom w:w="113" w:type="dxa"/>
            </w:tcMar>
          </w:tcPr>
          <w:p w:rsidR="006E2BB1" w:rsidRPr="00C258AD" w:rsidRDefault="00066B9C" w:rsidP="001A4D6C">
            <w:pPr>
              <w:rPr>
                <w:color w:val="002060"/>
                <w:sz w:val="16"/>
                <w:szCs w:val="16"/>
              </w:rPr>
            </w:pPr>
            <w:r w:rsidRPr="00C258AD">
              <w:rPr>
                <w:i/>
                <w:color w:val="002060"/>
                <w:sz w:val="16"/>
                <w:szCs w:val="16"/>
              </w:rPr>
              <w:t>Niveau de référence actualisé à fin 2013 :</w:t>
            </w:r>
            <w:r w:rsidRPr="00C258AD">
              <w:rPr>
                <w:color w:val="002060"/>
                <w:sz w:val="16"/>
                <w:szCs w:val="16"/>
              </w:rPr>
              <w:t xml:space="preserve"> 19 ateliers et réunions avec 38 administrations chargées des questions de concurrence et 5 organisations intergouvernementales.  </w:t>
            </w:r>
            <w:r w:rsidRPr="00C258AD">
              <w:rPr>
                <w:color w:val="002060"/>
                <w:sz w:val="16"/>
              </w:rPr>
              <w:t>Mise en place</w:t>
            </w:r>
            <w:r w:rsidRPr="00C258AD">
              <w:rPr>
                <w:color w:val="002060"/>
                <w:sz w:val="16"/>
                <w:szCs w:val="16"/>
              </w:rPr>
              <w:t xml:space="preserve"> d’une coordination informelle avec la CNUCED, l’OMC et l’OCDE.  Participation active au Réseau international de la concurrence.  Coopération avec le Marché commun de l’Afrique orientale et australe (COMESA).</w:t>
            </w:r>
          </w:p>
          <w:p w:rsidR="006E2BB1" w:rsidRPr="00C258AD" w:rsidRDefault="006E2BB1" w:rsidP="001A4D6C">
            <w:pPr>
              <w:rPr>
                <w:i/>
                <w:color w:val="002060"/>
                <w:sz w:val="16"/>
                <w:szCs w:val="16"/>
              </w:rPr>
            </w:pPr>
          </w:p>
          <w:p w:rsidR="00066B9C" w:rsidRPr="00C258AD" w:rsidRDefault="00066B9C" w:rsidP="001A4D6C">
            <w:pPr>
              <w:rPr>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25 administrations nationales chargées du droit de la concurrence et 3 organisations intergouvernementales participent aux activités de l’OMPI</w:t>
            </w:r>
          </w:p>
        </w:tc>
        <w:tc>
          <w:tcPr>
            <w:tcW w:w="801" w:type="pct"/>
            <w:shd w:val="clear" w:color="auto" w:fill="auto"/>
            <w:tcMar>
              <w:top w:w="113" w:type="dxa"/>
              <w:bottom w:w="113" w:type="dxa"/>
            </w:tcMar>
          </w:tcPr>
          <w:p w:rsidR="00066B9C" w:rsidRPr="00C258AD" w:rsidRDefault="00066B9C" w:rsidP="001A4D6C">
            <w:pPr>
              <w:autoSpaceDE w:val="0"/>
              <w:autoSpaceDN w:val="0"/>
              <w:adjustRightInd w:val="0"/>
              <w:rPr>
                <w:sz w:val="16"/>
                <w:szCs w:val="16"/>
              </w:rPr>
            </w:pPr>
            <w:r w:rsidRPr="00C258AD">
              <w:rPr>
                <w:sz w:val="16"/>
                <w:szCs w:val="16"/>
              </w:rPr>
              <w:t xml:space="preserve">Augmentation du nombre de parties prenantes aux activités de l’OMPI : 35 administrations nationales et 5 ONG ou organisations </w:t>
            </w:r>
            <w:proofErr w:type="spellStart"/>
            <w:r w:rsidRPr="00C258AD">
              <w:rPr>
                <w:sz w:val="16"/>
                <w:szCs w:val="16"/>
              </w:rPr>
              <w:t>intergouverne</w:t>
            </w:r>
            <w:proofErr w:type="spellEnd"/>
            <w:r w:rsidRPr="00C258AD">
              <w:rPr>
                <w:sz w:val="16"/>
                <w:szCs w:val="16"/>
              </w:rPr>
              <w:noBreakHyphen/>
            </w:r>
            <w:r w:rsidRPr="00C258AD">
              <w:rPr>
                <w:sz w:val="16"/>
                <w:szCs w:val="16"/>
              </w:rPr>
              <w:br/>
              <w:t>mentales</w:t>
            </w:r>
          </w:p>
        </w:tc>
        <w:tc>
          <w:tcPr>
            <w:tcW w:w="1293" w:type="pct"/>
            <w:shd w:val="clear" w:color="auto" w:fill="FFFFFF"/>
            <w:tcMar>
              <w:top w:w="113" w:type="dxa"/>
              <w:bottom w:w="113" w:type="dxa"/>
            </w:tcMar>
          </w:tcPr>
          <w:p w:rsidR="00066B9C" w:rsidRPr="00C258AD" w:rsidRDefault="00066B9C" w:rsidP="001A4D6C">
            <w:pPr>
              <w:rPr>
                <w:sz w:val="16"/>
                <w:szCs w:val="16"/>
              </w:rPr>
            </w:pPr>
            <w:r w:rsidRPr="00C258AD">
              <w:rPr>
                <w:sz w:val="16"/>
                <w:szCs w:val="16"/>
              </w:rPr>
              <w:t>39 administrations supplémentaires chargées des questions de concurrence se sont impliquées et maintien de la participation de 5 organisations intergouvernementales ou ONG (OCDE, CNUCED, OMC, ICN, COMESA</w:t>
            </w:r>
            <w:r w:rsidRPr="00C258AD">
              <w:rPr>
                <w:rFonts w:cs="Arial"/>
                <w:sz w:val="16"/>
                <w:szCs w:val="16"/>
              </w:rPr>
              <w:t>).  Participation active au Réseau international de la concurrence (notamment membre du groupe de travail sur les comportements unilatéraux).  Coopération avec l’UE.</w:t>
            </w:r>
          </w:p>
        </w:tc>
        <w:tc>
          <w:tcPr>
            <w:tcW w:w="558" w:type="pct"/>
            <w:shd w:val="clear" w:color="auto" w:fill="auto"/>
            <w:tcMar>
              <w:top w:w="113" w:type="dxa"/>
              <w:bottom w:w="113" w:type="dxa"/>
            </w:tcMar>
          </w:tcPr>
          <w:p w:rsidR="00066B9C" w:rsidRPr="00C258AD" w:rsidRDefault="00066B9C" w:rsidP="001A4D6C">
            <w:pPr>
              <w:keepNext/>
              <w:keepLines/>
              <w:jc w:val="center"/>
              <w:rPr>
                <w:b/>
                <w:bCs/>
                <w:color w:val="00B050"/>
                <w:sz w:val="16"/>
                <w:szCs w:val="16"/>
              </w:rPr>
            </w:pPr>
            <w:r w:rsidRPr="00C258AD">
              <w:rPr>
                <w:rFonts w:cs="Arial"/>
                <w:b/>
                <w:bCs/>
                <w:color w:val="00B050"/>
                <w:sz w:val="16"/>
                <w:szCs w:val="16"/>
              </w:rPr>
              <w:t>Objectif pleinement atteint</w:t>
            </w:r>
          </w:p>
        </w:tc>
      </w:tr>
    </w:tbl>
    <w:p w:rsidR="006E2BB1" w:rsidRPr="00C258AD" w:rsidRDefault="006E2BB1" w:rsidP="001A4D6C">
      <w:pPr>
        <w:rPr>
          <w:bCs/>
          <w:sz w:val="22"/>
          <w:szCs w:val="22"/>
        </w:rPr>
      </w:pPr>
    </w:p>
    <w:p w:rsidR="006E2BB1" w:rsidRPr="00C258AD" w:rsidRDefault="006E2BB1" w:rsidP="001A4D6C">
      <w:pPr>
        <w:rPr>
          <w:bCs/>
          <w:sz w:val="22"/>
          <w:szCs w:val="22"/>
        </w:rPr>
      </w:pPr>
    </w:p>
    <w:p w:rsidR="006E2BB1" w:rsidRPr="00C258AD" w:rsidRDefault="00066B9C" w:rsidP="00305CE5">
      <w:pPr>
        <w:keepNext/>
        <w:rPr>
          <w:rFonts w:cs="Arial"/>
          <w:caps/>
          <w:sz w:val="22"/>
          <w:szCs w:val="22"/>
        </w:rPr>
      </w:pPr>
      <w:r w:rsidRPr="00C258AD">
        <w:rPr>
          <w:rFonts w:cs="Arial"/>
          <w:caps/>
          <w:sz w:val="22"/>
          <w:szCs w:val="22"/>
        </w:rPr>
        <w:lastRenderedPageBreak/>
        <w:t>Rapport d’évaluation des risques pour l’exercice biennal</w:t>
      </w:r>
    </w:p>
    <w:p w:rsidR="00066B9C" w:rsidRPr="00C258AD" w:rsidRDefault="00066B9C" w:rsidP="001A4D6C">
      <w:pPr>
        <w:keepNext/>
        <w:keepLines/>
        <w:rPr>
          <w:rFonts w:cs="Arial"/>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066B9C" w:rsidRPr="00C258AD" w:rsidTr="001A4D6C">
        <w:trPr>
          <w:cantSplit/>
        </w:trPr>
        <w:tc>
          <w:tcPr>
            <w:tcW w:w="2372" w:type="dxa"/>
            <w:tcBorders>
              <w:top w:val="single" w:sz="4" w:space="0" w:color="auto"/>
              <w:left w:val="single" w:sz="4" w:space="0" w:color="auto"/>
              <w:bottom w:val="single" w:sz="4" w:space="0" w:color="auto"/>
            </w:tcBorders>
            <w:shd w:val="clear" w:color="auto" w:fill="C5D9F1"/>
            <w:vAlign w:val="center"/>
          </w:tcPr>
          <w:p w:rsidR="00066B9C" w:rsidRPr="00C258AD" w:rsidRDefault="00066B9C" w:rsidP="001A4D6C">
            <w:pPr>
              <w:keepNext/>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066B9C" w:rsidRPr="00C258AD" w:rsidRDefault="00066B9C" w:rsidP="001A4D6C">
            <w:pPr>
              <w:keepNext/>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066B9C" w:rsidRPr="00C258AD" w:rsidRDefault="00066B9C" w:rsidP="001A4D6C">
            <w:pPr>
              <w:keepNext/>
              <w:autoSpaceDE w:val="0"/>
              <w:autoSpaceDN w:val="0"/>
              <w:adjustRightInd w:val="0"/>
              <w:ind w:right="-59"/>
              <w:jc w:val="center"/>
              <w:rPr>
                <w:b/>
                <w:bCs/>
                <w:iCs/>
                <w:sz w:val="16"/>
                <w:szCs w:val="16"/>
              </w:rPr>
            </w:pPr>
            <w:r w:rsidRPr="00C258AD">
              <w:rPr>
                <w:b/>
                <w:bCs/>
                <w:iCs/>
                <w:sz w:val="16"/>
                <w:szCs w:val="16"/>
              </w:rPr>
              <w:t>Évolution des risques et des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066B9C" w:rsidRPr="00C258AD" w:rsidRDefault="00066B9C" w:rsidP="001A4D6C">
            <w:pPr>
              <w:keepNext/>
              <w:autoSpaceDE w:val="0"/>
              <w:autoSpaceDN w:val="0"/>
              <w:adjustRightInd w:val="0"/>
              <w:jc w:val="center"/>
              <w:rPr>
                <w:b/>
                <w:bCs/>
                <w:iCs/>
                <w:sz w:val="16"/>
                <w:szCs w:val="16"/>
              </w:rPr>
            </w:pPr>
            <w:r w:rsidRPr="00C258AD">
              <w:rPr>
                <w:b/>
                <w:bCs/>
                <w:iCs/>
                <w:sz w:val="16"/>
                <w:szCs w:val="16"/>
              </w:rPr>
              <w:t>Incidence sur les résultats du programme</w:t>
            </w:r>
          </w:p>
        </w:tc>
      </w:tr>
      <w:tr w:rsidR="00066B9C" w:rsidRPr="00C258AD" w:rsidTr="001A4D6C">
        <w:tblPrEx>
          <w:tblBorders>
            <w:top w:val="single" w:sz="4" w:space="0" w:color="auto"/>
            <w:left w:val="single" w:sz="4" w:space="0" w:color="auto"/>
            <w:bottom w:val="single" w:sz="4" w:space="0" w:color="auto"/>
            <w:right w:val="single" w:sz="4" w:space="0" w:color="auto"/>
          </w:tblBorders>
        </w:tblPrEx>
        <w:trPr>
          <w:cantSplit/>
        </w:trPr>
        <w:tc>
          <w:tcPr>
            <w:tcW w:w="2372" w:type="dxa"/>
            <w:tcBorders>
              <w:top w:val="single" w:sz="4" w:space="0" w:color="auto"/>
            </w:tcBorders>
            <w:shd w:val="clear" w:color="auto" w:fill="auto"/>
            <w:tcMar>
              <w:top w:w="113" w:type="dxa"/>
              <w:bottom w:w="85" w:type="dxa"/>
            </w:tcMar>
          </w:tcPr>
          <w:p w:rsidR="00066B9C" w:rsidRPr="00C258AD" w:rsidRDefault="00066B9C" w:rsidP="001A4D6C">
            <w:pPr>
              <w:rPr>
                <w:sz w:val="16"/>
                <w:szCs w:val="16"/>
                <w:lang w:eastAsia="zh-CN"/>
              </w:rPr>
            </w:pPr>
            <w:r w:rsidRPr="00C258AD">
              <w:rPr>
                <w:sz w:val="16"/>
                <w:szCs w:val="16"/>
                <w:lang w:eastAsia="zh-CN"/>
              </w:rPr>
              <w:t>L’absence de ralliement de la part des partenaires participant aux plateformes ou sa diminution, le départ de certains membres ou un nombre insuffisant de téléchargements par des membres aurait une incidence directe sur le fonctionnement des plateformes et le rôle qu’elles sont censées jouer, ainsi que sur la crédibilité des projets, ce qui leur ferait perdre toute utilité comparé à d’autres projets similaires de plateformes extérieures à l’OMPI.</w:t>
            </w:r>
          </w:p>
        </w:tc>
        <w:tc>
          <w:tcPr>
            <w:tcW w:w="2373" w:type="dxa"/>
            <w:tcBorders>
              <w:top w:val="single" w:sz="4" w:space="0" w:color="auto"/>
            </w:tcBorders>
            <w:shd w:val="clear" w:color="auto" w:fill="auto"/>
            <w:tcMar>
              <w:top w:w="113" w:type="dxa"/>
              <w:bottom w:w="85" w:type="dxa"/>
            </w:tcMar>
          </w:tcPr>
          <w:p w:rsidR="00066B9C" w:rsidRPr="00C258AD" w:rsidRDefault="00066B9C" w:rsidP="001A4D6C">
            <w:pPr>
              <w:rPr>
                <w:sz w:val="16"/>
                <w:szCs w:val="16"/>
                <w:lang w:eastAsia="zh-CN"/>
              </w:rPr>
            </w:pPr>
            <w:r w:rsidRPr="00C258AD">
              <w:rPr>
                <w:sz w:val="16"/>
                <w:szCs w:val="16"/>
                <w:lang w:eastAsia="zh-CN"/>
              </w:rPr>
              <w:t>Examen constant de la stratégie, de l’environnement et de la planification afin de déceler de manière précoce les tendances et de prendre les mesures appropriées dans les plus brefs délais.</w:t>
            </w:r>
          </w:p>
        </w:tc>
        <w:tc>
          <w:tcPr>
            <w:tcW w:w="2373" w:type="dxa"/>
            <w:tcBorders>
              <w:top w:val="single" w:sz="4" w:space="0" w:color="auto"/>
            </w:tcBorders>
          </w:tcPr>
          <w:p w:rsidR="00066B9C" w:rsidRPr="00C258AD" w:rsidRDefault="00066B9C" w:rsidP="001A4D6C">
            <w:pPr>
              <w:rPr>
                <w:sz w:val="16"/>
                <w:szCs w:val="16"/>
              </w:rPr>
            </w:pPr>
            <w:r w:rsidRPr="00C258AD">
              <w:rPr>
                <w:sz w:val="16"/>
                <w:szCs w:val="16"/>
              </w:rPr>
              <w:t xml:space="preserve">Après le retrait d’un premier membre issu du secteur privé en 2013, un deuxième membre de WIPO </w:t>
            </w:r>
            <w:proofErr w:type="spellStart"/>
            <w:r w:rsidRPr="00C258AD">
              <w:rPr>
                <w:sz w:val="16"/>
                <w:szCs w:val="16"/>
              </w:rPr>
              <w:t>Re:Search</w:t>
            </w:r>
            <w:proofErr w:type="spellEnd"/>
            <w:r w:rsidRPr="00C258AD">
              <w:rPr>
                <w:sz w:val="16"/>
                <w:szCs w:val="16"/>
              </w:rPr>
              <w:t xml:space="preserve"> s’est retiré en 2015.  Les efforts constants visant à attirer de nouveaux membres collectifs ont été couronnés de succès et se sont avérés suffisants pour compenser le départ des deux membres.  Aucun partenaire de WIPO GREEN n’a quitté le consortium.</w:t>
            </w:r>
          </w:p>
        </w:tc>
        <w:tc>
          <w:tcPr>
            <w:tcW w:w="2373" w:type="dxa"/>
            <w:tcBorders>
              <w:top w:val="single" w:sz="4" w:space="0" w:color="auto"/>
            </w:tcBorders>
          </w:tcPr>
          <w:p w:rsidR="00066B9C" w:rsidRPr="00C258AD" w:rsidRDefault="00066B9C" w:rsidP="001A4D6C">
            <w:pPr>
              <w:rPr>
                <w:sz w:val="16"/>
                <w:szCs w:val="16"/>
              </w:rPr>
            </w:pPr>
            <w:r w:rsidRPr="00C258AD">
              <w:rPr>
                <w:sz w:val="16"/>
                <w:szCs w:val="16"/>
              </w:rPr>
              <w:t xml:space="preserve">Le retrait du membre de WIPO </w:t>
            </w:r>
            <w:proofErr w:type="spellStart"/>
            <w:r w:rsidRPr="00C258AD">
              <w:rPr>
                <w:sz w:val="16"/>
                <w:szCs w:val="16"/>
              </w:rPr>
              <w:t>Re:Search</w:t>
            </w:r>
            <w:proofErr w:type="spellEnd"/>
            <w:r w:rsidRPr="00C258AD">
              <w:rPr>
                <w:sz w:val="16"/>
                <w:szCs w:val="16"/>
              </w:rPr>
              <w:t xml:space="preserve"> issu du secteur privé a été compensé par l’arrivée de trois nouveaux membres collectifs en 2014 (un membre) et 2015 (deux membres).  Le départ du membre de WIPO </w:t>
            </w:r>
            <w:proofErr w:type="spellStart"/>
            <w:r w:rsidRPr="00C258AD">
              <w:rPr>
                <w:sz w:val="16"/>
                <w:szCs w:val="16"/>
              </w:rPr>
              <w:t>Re:Search</w:t>
            </w:r>
            <w:proofErr w:type="spellEnd"/>
            <w:r w:rsidRPr="00C258AD">
              <w:rPr>
                <w:sz w:val="16"/>
                <w:szCs w:val="16"/>
              </w:rPr>
              <w:t xml:space="preserve"> qui s’était retiré en 2013 avait donné lieu à une diminution de 27% des entrées de la base de données en 2014, diminution en partie compensée par l’augmentation de 7% observée en 2015.  </w:t>
            </w:r>
          </w:p>
        </w:tc>
      </w:tr>
      <w:tr w:rsidR="00066B9C" w:rsidRPr="00C258AD" w:rsidTr="001A4D6C">
        <w:tblPrEx>
          <w:tblBorders>
            <w:top w:val="single" w:sz="4" w:space="0" w:color="auto"/>
            <w:left w:val="single" w:sz="4" w:space="0" w:color="auto"/>
            <w:bottom w:val="single" w:sz="4" w:space="0" w:color="auto"/>
            <w:right w:val="single" w:sz="4" w:space="0" w:color="auto"/>
          </w:tblBorders>
        </w:tblPrEx>
        <w:trPr>
          <w:cantSplit/>
        </w:trPr>
        <w:tc>
          <w:tcPr>
            <w:tcW w:w="2372" w:type="dxa"/>
            <w:shd w:val="clear" w:color="auto" w:fill="auto"/>
            <w:tcMar>
              <w:top w:w="113" w:type="dxa"/>
              <w:bottom w:w="85" w:type="dxa"/>
            </w:tcMar>
          </w:tcPr>
          <w:p w:rsidR="00066B9C" w:rsidRPr="00C258AD" w:rsidRDefault="00066B9C" w:rsidP="001A4D6C">
            <w:pPr>
              <w:rPr>
                <w:sz w:val="16"/>
                <w:szCs w:val="16"/>
                <w:lang w:eastAsia="zh-CN"/>
              </w:rPr>
            </w:pPr>
            <w:r w:rsidRPr="00C258AD">
              <w:rPr>
                <w:sz w:val="16"/>
                <w:szCs w:val="16"/>
                <w:lang w:eastAsia="zh-CN"/>
              </w:rPr>
              <w:t>L’accessibilité des bases de données de l’OMPI sur le plan technique ainsi que le bon fonctionnement et la fiabilité de l’infrastructure des bases de données à long terme.  Des difficultés d’accès récurrentes pourraient avoir un effet négatif sur la réputation et la crédibilité de l’OMPI.</w:t>
            </w:r>
          </w:p>
        </w:tc>
        <w:tc>
          <w:tcPr>
            <w:tcW w:w="2373" w:type="dxa"/>
            <w:shd w:val="clear" w:color="auto" w:fill="auto"/>
            <w:tcMar>
              <w:top w:w="113" w:type="dxa"/>
              <w:bottom w:w="85" w:type="dxa"/>
            </w:tcMar>
          </w:tcPr>
          <w:p w:rsidR="00066B9C" w:rsidRPr="00C258AD" w:rsidRDefault="00066B9C" w:rsidP="001A4D6C">
            <w:pPr>
              <w:rPr>
                <w:sz w:val="16"/>
                <w:szCs w:val="16"/>
                <w:lang w:eastAsia="zh-CN"/>
              </w:rPr>
            </w:pPr>
            <w:r w:rsidRPr="00C258AD">
              <w:rPr>
                <w:sz w:val="16"/>
                <w:szCs w:val="16"/>
                <w:lang w:eastAsia="zh-CN"/>
              </w:rPr>
              <w:t>Veiller à offrir les services recherchés, assurer efficacement leur promotion et rester en contact étroit avec les principales parties prenantes.</w:t>
            </w:r>
          </w:p>
        </w:tc>
        <w:tc>
          <w:tcPr>
            <w:tcW w:w="2373" w:type="dxa"/>
          </w:tcPr>
          <w:p w:rsidR="00066B9C" w:rsidRPr="00C258AD" w:rsidRDefault="00066B9C" w:rsidP="001A4D6C">
            <w:pPr>
              <w:rPr>
                <w:sz w:val="16"/>
                <w:szCs w:val="16"/>
              </w:rPr>
            </w:pPr>
            <w:r w:rsidRPr="00C258AD">
              <w:rPr>
                <w:sz w:val="16"/>
                <w:szCs w:val="16"/>
              </w:rPr>
              <w:t>Le risque reste important.  Le service des technologies de l’information contrôlait et testait régulièrement les fonctions des deux bases de données, ce qui s’avérait être une stratégie d’atténuation efficace.</w:t>
            </w:r>
          </w:p>
        </w:tc>
        <w:tc>
          <w:tcPr>
            <w:tcW w:w="2373" w:type="dxa"/>
          </w:tcPr>
          <w:p w:rsidR="00066B9C" w:rsidRPr="00C258AD" w:rsidRDefault="00066B9C" w:rsidP="001A4D6C">
            <w:pPr>
              <w:rPr>
                <w:sz w:val="16"/>
                <w:szCs w:val="16"/>
              </w:rPr>
            </w:pPr>
            <w:r w:rsidRPr="00C258AD">
              <w:rPr>
                <w:sz w:val="16"/>
                <w:szCs w:val="16"/>
              </w:rPr>
              <w:t xml:space="preserve">Les deux bases de données fonctionnaient généralement de manière stable, il n’y avait donc pas de problèmes ayant une incidence sur les résultats du programme.  </w:t>
            </w:r>
          </w:p>
        </w:tc>
      </w:tr>
      <w:tr w:rsidR="00066B9C" w:rsidRPr="00C258AD" w:rsidTr="001A4D6C">
        <w:tblPrEx>
          <w:tblBorders>
            <w:top w:val="single" w:sz="4" w:space="0" w:color="auto"/>
            <w:left w:val="single" w:sz="4" w:space="0" w:color="auto"/>
            <w:bottom w:val="single" w:sz="4" w:space="0" w:color="auto"/>
            <w:right w:val="single" w:sz="4" w:space="0" w:color="auto"/>
          </w:tblBorders>
        </w:tblPrEx>
        <w:trPr>
          <w:cantSplit/>
        </w:trPr>
        <w:tc>
          <w:tcPr>
            <w:tcW w:w="2372" w:type="dxa"/>
            <w:shd w:val="clear" w:color="auto" w:fill="auto"/>
            <w:tcMar>
              <w:top w:w="113" w:type="dxa"/>
              <w:bottom w:w="85" w:type="dxa"/>
            </w:tcMar>
          </w:tcPr>
          <w:p w:rsidR="00066B9C" w:rsidRPr="00C258AD" w:rsidRDefault="00066B9C" w:rsidP="001A4D6C">
            <w:pPr>
              <w:rPr>
                <w:sz w:val="16"/>
                <w:szCs w:val="16"/>
                <w:lang w:eastAsia="zh-CN"/>
              </w:rPr>
            </w:pPr>
            <w:r w:rsidRPr="00C258AD">
              <w:rPr>
                <w:sz w:val="16"/>
                <w:szCs w:val="16"/>
                <w:lang w:eastAsia="zh-CN"/>
              </w:rPr>
              <w:t>Un niveau de participation des organismes nationaux aux activités de l’OMPI dans le domaine de la propriété intellectuelle et de la politique en matière de concurrence moins important que prévu.</w:t>
            </w:r>
          </w:p>
        </w:tc>
        <w:tc>
          <w:tcPr>
            <w:tcW w:w="2373" w:type="dxa"/>
            <w:shd w:val="clear" w:color="auto" w:fill="auto"/>
            <w:tcMar>
              <w:top w:w="113" w:type="dxa"/>
              <w:bottom w:w="85" w:type="dxa"/>
            </w:tcMar>
          </w:tcPr>
          <w:p w:rsidR="00066B9C" w:rsidRPr="00C258AD" w:rsidRDefault="00066B9C" w:rsidP="001A4D6C">
            <w:pPr>
              <w:rPr>
                <w:sz w:val="16"/>
                <w:szCs w:val="16"/>
                <w:lang w:eastAsia="zh-CN"/>
              </w:rPr>
            </w:pPr>
            <w:r w:rsidRPr="00C258AD">
              <w:rPr>
                <w:sz w:val="16"/>
                <w:szCs w:val="16"/>
                <w:lang w:eastAsia="zh-CN"/>
              </w:rPr>
              <w:t xml:space="preserve">Renforcer les actions d’information systématiques auprès des États membres;  présenter des exemples réussis de coopération entre autorités en charge de la propriété intellectuelle </w:t>
            </w:r>
            <w:r w:rsidRPr="00C258AD">
              <w:rPr>
                <w:bCs/>
                <w:sz w:val="16"/>
                <w:szCs w:val="16"/>
              </w:rPr>
              <w:t>et les</w:t>
            </w:r>
            <w:r w:rsidRPr="00C258AD">
              <w:t xml:space="preserve"> </w:t>
            </w:r>
            <w:r w:rsidRPr="00C258AD">
              <w:rPr>
                <w:bCs/>
                <w:sz w:val="16"/>
                <w:szCs w:val="16"/>
              </w:rPr>
              <w:t>services chargés de l’application du droit de la concurrence</w:t>
            </w:r>
            <w:r w:rsidRPr="00C258AD">
              <w:rPr>
                <w:sz w:val="16"/>
                <w:szCs w:val="16"/>
                <w:lang w:eastAsia="zh-CN"/>
              </w:rPr>
              <w:t xml:space="preserve"> ainsi qu’entre organisations intergouvernementales et ONG concernées.  </w:t>
            </w:r>
          </w:p>
        </w:tc>
        <w:tc>
          <w:tcPr>
            <w:tcW w:w="2373" w:type="dxa"/>
          </w:tcPr>
          <w:p w:rsidR="00066B9C" w:rsidRPr="00C258AD" w:rsidRDefault="00066B9C" w:rsidP="001A4D6C">
            <w:pPr>
              <w:pStyle w:val="ListParagraph"/>
              <w:numPr>
                <w:ilvl w:val="0"/>
                <w:numId w:val="0"/>
              </w:numPr>
              <w:tabs>
                <w:tab w:val="left" w:pos="709"/>
              </w:tabs>
              <w:rPr>
                <w:sz w:val="16"/>
                <w:szCs w:val="16"/>
              </w:rPr>
            </w:pPr>
            <w:r w:rsidRPr="00C258AD">
              <w:rPr>
                <w:sz w:val="16"/>
                <w:szCs w:val="16"/>
              </w:rPr>
              <w:t>Le niveau de participation est resté important en 2014</w:t>
            </w:r>
            <w:r w:rsidRPr="00C258AD">
              <w:rPr>
                <w:sz w:val="16"/>
                <w:szCs w:val="16"/>
              </w:rPr>
              <w:noBreakHyphen/>
              <w:t xml:space="preserve">2015, ainsi que la </w:t>
            </w:r>
            <w:r w:rsidRPr="00C258AD">
              <w:rPr>
                <w:bCs/>
                <w:sz w:val="16"/>
                <w:szCs w:val="16"/>
              </w:rPr>
              <w:t>collaboration continue avec les offices de propriété intellectuelle et les</w:t>
            </w:r>
            <w:r w:rsidRPr="00C258AD">
              <w:t xml:space="preserve"> </w:t>
            </w:r>
            <w:r w:rsidRPr="00C258AD">
              <w:rPr>
                <w:bCs/>
                <w:sz w:val="16"/>
                <w:szCs w:val="16"/>
              </w:rPr>
              <w:t>services chargés de l’application du droit de la concurrence au titre des travaux du programme, particulièrement pendant les ateliers au cours desquels les deux communautés échangeaient leurs vues sur l’interface entre la propriété intellectuelle et la concurrence.</w:t>
            </w:r>
          </w:p>
        </w:tc>
        <w:tc>
          <w:tcPr>
            <w:tcW w:w="2373" w:type="dxa"/>
          </w:tcPr>
          <w:p w:rsidR="00066B9C" w:rsidRPr="00C258AD" w:rsidRDefault="00066B9C" w:rsidP="001A4D6C">
            <w:pPr>
              <w:rPr>
                <w:sz w:val="16"/>
                <w:szCs w:val="16"/>
              </w:rPr>
            </w:pPr>
            <w:r w:rsidRPr="00C258AD">
              <w:rPr>
                <w:sz w:val="16"/>
                <w:szCs w:val="16"/>
              </w:rPr>
              <w:t>Pas d’incidence concrète sur les résultats du programme en 2014</w:t>
            </w:r>
            <w:r w:rsidRPr="00C258AD">
              <w:rPr>
                <w:sz w:val="16"/>
                <w:szCs w:val="16"/>
              </w:rPr>
              <w:noBreakHyphen/>
              <w:t>2015.</w:t>
            </w:r>
          </w:p>
        </w:tc>
      </w:tr>
    </w:tbl>
    <w:p w:rsidR="006E2BB1" w:rsidRPr="00C258AD" w:rsidRDefault="006E2BB1"/>
    <w:p w:rsidR="006E2BB1" w:rsidRPr="00C258AD" w:rsidRDefault="006E2BB1">
      <w:pPr>
        <w:rPr>
          <w:caps/>
          <w:sz w:val="22"/>
        </w:rPr>
      </w:pPr>
    </w:p>
    <w:p w:rsidR="006E2BB1" w:rsidRPr="00C258AD" w:rsidRDefault="00066B9C">
      <w:pPr>
        <w:rPr>
          <w:caps/>
          <w:sz w:val="22"/>
        </w:rPr>
      </w:pPr>
      <w:r w:rsidRPr="00C258AD">
        <w:br w:type="page"/>
      </w:r>
    </w:p>
    <w:p w:rsidR="006E2BB1" w:rsidRPr="00C258AD" w:rsidRDefault="00066B9C" w:rsidP="00305CE5">
      <w:pPr>
        <w:keepNext/>
        <w:rPr>
          <w:rFonts w:cs="Arial"/>
          <w:caps/>
          <w:sz w:val="22"/>
          <w:szCs w:val="22"/>
        </w:rPr>
      </w:pPr>
      <w:r w:rsidRPr="00C258AD">
        <w:rPr>
          <w:rFonts w:cs="Arial"/>
          <w:caps/>
          <w:sz w:val="22"/>
          <w:szCs w:val="22"/>
        </w:rPr>
        <w:lastRenderedPageBreak/>
        <w:t>Utilisation des ressources</w:t>
      </w:r>
    </w:p>
    <w:p w:rsidR="006E2BB1" w:rsidRPr="00C258AD" w:rsidRDefault="006E2BB1" w:rsidP="001A4D6C">
      <w:pPr>
        <w:jc w:val="center"/>
      </w:pPr>
    </w:p>
    <w:p w:rsidR="006E2BB1" w:rsidRPr="00C258AD" w:rsidRDefault="00066B9C" w:rsidP="001A4D6C">
      <w:pPr>
        <w:pStyle w:val="NormalWeb"/>
        <w:keepNext/>
        <w:spacing w:before="0" w:beforeAutospacing="0" w:after="0" w:afterAutospacing="0"/>
        <w:jc w:val="center"/>
        <w:rPr>
          <w:sz w:val="20"/>
          <w:szCs w:val="20"/>
        </w:rPr>
      </w:pPr>
      <w:r w:rsidRPr="00C258AD">
        <w:rPr>
          <w:sz w:val="20"/>
          <w:szCs w:val="20"/>
        </w:rPr>
        <w:t>Budget et dépenses effectives (par résultat)</w:t>
      </w:r>
    </w:p>
    <w:p w:rsidR="006E2BB1" w:rsidRPr="00C258AD" w:rsidRDefault="00066B9C" w:rsidP="001A4D6C">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066B9C" w:rsidRPr="00C258AD" w:rsidRDefault="00066B9C" w:rsidP="001A4D6C">
      <w:pPr>
        <w:keepNext/>
        <w:jc w:val="both"/>
      </w:pPr>
    </w:p>
    <w:tbl>
      <w:tblPr>
        <w:tblW w:w="5000" w:type="pct"/>
        <w:tblCellMar>
          <w:top w:w="113" w:type="dxa"/>
          <w:left w:w="70" w:type="dxa"/>
          <w:bottom w:w="113" w:type="dxa"/>
          <w:right w:w="70" w:type="dxa"/>
        </w:tblCellMar>
        <w:tblLook w:val="04A0" w:firstRow="1" w:lastRow="0" w:firstColumn="1" w:lastColumn="0" w:noHBand="0" w:noVBand="1"/>
      </w:tblPr>
      <w:tblGrid>
        <w:gridCol w:w="630"/>
        <w:gridCol w:w="4599"/>
        <w:gridCol w:w="1422"/>
        <w:gridCol w:w="1422"/>
        <w:gridCol w:w="1422"/>
      </w:tblGrid>
      <w:tr w:rsidR="00066B9C" w:rsidRPr="00C258AD" w:rsidTr="001A4D6C">
        <w:trPr>
          <w:cantSplit/>
        </w:trPr>
        <w:tc>
          <w:tcPr>
            <w:tcW w:w="5229"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066B9C" w:rsidRPr="00C258AD" w:rsidRDefault="00066B9C" w:rsidP="001A4D6C">
            <w:pPr>
              <w:jc w:val="center"/>
              <w:rPr>
                <w:i/>
                <w:iCs/>
                <w:sz w:val="16"/>
                <w:szCs w:val="16"/>
                <w:lang w:eastAsia="fr-FR"/>
              </w:rPr>
            </w:pPr>
            <w:r w:rsidRPr="00C258AD">
              <w:rPr>
                <w:i/>
                <w:iCs/>
                <w:sz w:val="16"/>
                <w:szCs w:val="16"/>
                <w:lang w:eastAsia="fr-FR"/>
              </w:rPr>
              <w:t>Numéro et description du résultat escompté</w:t>
            </w:r>
          </w:p>
        </w:tc>
        <w:tc>
          <w:tcPr>
            <w:tcW w:w="1422" w:type="dxa"/>
            <w:tcBorders>
              <w:top w:val="single" w:sz="4" w:space="0" w:color="auto"/>
              <w:left w:val="nil"/>
              <w:bottom w:val="single" w:sz="4" w:space="0" w:color="auto"/>
              <w:right w:val="single" w:sz="4" w:space="0" w:color="auto"/>
            </w:tcBorders>
            <w:shd w:val="clear" w:color="auto" w:fill="C5D9F1"/>
            <w:vAlign w:val="center"/>
            <w:hideMark/>
          </w:tcPr>
          <w:p w:rsidR="00066B9C" w:rsidRPr="00C258AD" w:rsidRDefault="00066B9C" w:rsidP="001A4D6C">
            <w:pPr>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Pr="00C258AD">
              <w:rPr>
                <w:i/>
                <w:iCs/>
                <w:sz w:val="16"/>
                <w:szCs w:val="16"/>
                <w:lang w:eastAsia="fr-FR"/>
              </w:rPr>
              <w:noBreakHyphen/>
              <w:t>2015 approuvé</w:t>
            </w:r>
          </w:p>
        </w:tc>
        <w:tc>
          <w:tcPr>
            <w:tcW w:w="1422" w:type="dxa"/>
            <w:tcBorders>
              <w:top w:val="single" w:sz="4" w:space="0" w:color="auto"/>
              <w:left w:val="nil"/>
              <w:bottom w:val="single" w:sz="4" w:space="0" w:color="auto"/>
              <w:right w:val="single" w:sz="4" w:space="0" w:color="auto"/>
            </w:tcBorders>
            <w:shd w:val="clear" w:color="auto" w:fill="C5D9F1"/>
            <w:vAlign w:val="center"/>
            <w:hideMark/>
          </w:tcPr>
          <w:p w:rsidR="00066B9C" w:rsidRPr="00C258AD" w:rsidRDefault="00066B9C" w:rsidP="001A4D6C">
            <w:pPr>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Pr="00C258AD">
              <w:rPr>
                <w:i/>
                <w:iCs/>
                <w:sz w:val="16"/>
                <w:szCs w:val="16"/>
                <w:lang w:eastAsia="fr-FR"/>
              </w:rPr>
              <w:noBreakHyphen/>
              <w:t>2015 après virements</w:t>
            </w:r>
          </w:p>
        </w:tc>
        <w:tc>
          <w:tcPr>
            <w:tcW w:w="1422" w:type="dxa"/>
            <w:tcBorders>
              <w:top w:val="single" w:sz="4" w:space="0" w:color="auto"/>
              <w:left w:val="nil"/>
              <w:bottom w:val="single" w:sz="4" w:space="0" w:color="auto"/>
              <w:right w:val="single" w:sz="4" w:space="0" w:color="auto"/>
            </w:tcBorders>
            <w:shd w:val="clear" w:color="auto" w:fill="C5D9F1"/>
            <w:vAlign w:val="center"/>
            <w:hideMark/>
          </w:tcPr>
          <w:p w:rsidR="00066B9C" w:rsidRPr="00C258AD" w:rsidRDefault="00066B9C" w:rsidP="001A4D6C">
            <w:pPr>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Pr="00C258AD">
              <w:rPr>
                <w:i/>
                <w:iCs/>
                <w:sz w:val="16"/>
                <w:szCs w:val="16"/>
                <w:lang w:eastAsia="fr-FR"/>
              </w:rPr>
              <w:noBreakHyphen/>
              <w:t>2015</w:t>
            </w:r>
          </w:p>
        </w:tc>
      </w:tr>
      <w:tr w:rsidR="00066B9C" w:rsidRPr="00C258AD" w:rsidTr="001A4D6C">
        <w:trPr>
          <w:cantSplit/>
        </w:trPr>
        <w:tc>
          <w:tcPr>
            <w:tcW w:w="630" w:type="dxa"/>
            <w:tcBorders>
              <w:top w:val="nil"/>
              <w:left w:val="single" w:sz="4" w:space="0" w:color="auto"/>
              <w:bottom w:val="nil"/>
              <w:right w:val="nil"/>
            </w:tcBorders>
            <w:shd w:val="clear" w:color="auto" w:fill="auto"/>
            <w:noWrap/>
            <w:vAlign w:val="center"/>
            <w:hideMark/>
          </w:tcPr>
          <w:p w:rsidR="00066B9C" w:rsidRPr="00C258AD" w:rsidRDefault="00066B9C" w:rsidP="001A4D6C">
            <w:pPr>
              <w:rPr>
                <w:sz w:val="16"/>
                <w:szCs w:val="16"/>
                <w:lang w:eastAsia="fr-FR"/>
              </w:rPr>
            </w:pPr>
            <w:r w:rsidRPr="00C258AD">
              <w:rPr>
                <w:sz w:val="16"/>
                <w:szCs w:val="16"/>
                <w:lang w:eastAsia="fr-FR"/>
              </w:rPr>
              <w:t>I.1</w:t>
            </w:r>
          </w:p>
        </w:tc>
        <w:tc>
          <w:tcPr>
            <w:tcW w:w="4599" w:type="dxa"/>
            <w:tcBorders>
              <w:top w:val="nil"/>
              <w:left w:val="nil"/>
              <w:bottom w:val="nil"/>
              <w:right w:val="nil"/>
            </w:tcBorders>
            <w:shd w:val="clear" w:color="auto" w:fill="auto"/>
            <w:vAlign w:val="center"/>
            <w:hideMark/>
          </w:tcPr>
          <w:p w:rsidR="00066B9C" w:rsidRPr="00C258AD" w:rsidRDefault="00066B9C" w:rsidP="001A4D6C">
            <w:pPr>
              <w:rPr>
                <w:sz w:val="16"/>
                <w:szCs w:val="16"/>
                <w:lang w:eastAsia="fr-FR"/>
              </w:rPr>
            </w:pPr>
            <w:r w:rsidRPr="00C258AD">
              <w:rPr>
                <w:sz w:val="16"/>
                <w:szCs w:val="16"/>
                <w:lang w:eastAsia="fr-FR"/>
              </w:rPr>
              <w:t xml:space="preserve">Renforcement de la coopération entre les États membres en ce qui concerne l’élaboration de cadres normatifs internationaux équilibrés dans le domaine de la propriété intellectuelle et d’un accord sur des questions concrètes donnant lieu à des instruments internationaux </w:t>
            </w:r>
          </w:p>
        </w:tc>
        <w:tc>
          <w:tcPr>
            <w:tcW w:w="1422"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noBreakHyphen/>
            </w:r>
          </w:p>
        </w:tc>
        <w:tc>
          <w:tcPr>
            <w:tcW w:w="1422"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234</w:t>
            </w:r>
          </w:p>
        </w:tc>
        <w:tc>
          <w:tcPr>
            <w:tcW w:w="1422" w:type="dxa"/>
            <w:tcBorders>
              <w:top w:val="nil"/>
              <w:left w:val="nil"/>
              <w:bottom w:val="nil"/>
              <w:right w:val="single" w:sz="4" w:space="0" w:color="auto"/>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232</w:t>
            </w:r>
          </w:p>
        </w:tc>
      </w:tr>
      <w:tr w:rsidR="00066B9C" w:rsidRPr="00C258AD" w:rsidTr="001A4D6C">
        <w:trPr>
          <w:cantSplit/>
        </w:trPr>
        <w:tc>
          <w:tcPr>
            <w:tcW w:w="630" w:type="dxa"/>
            <w:tcBorders>
              <w:top w:val="nil"/>
              <w:left w:val="single" w:sz="4" w:space="0" w:color="auto"/>
              <w:bottom w:val="nil"/>
              <w:right w:val="nil"/>
            </w:tcBorders>
            <w:shd w:val="clear" w:color="auto" w:fill="auto"/>
            <w:noWrap/>
            <w:vAlign w:val="center"/>
          </w:tcPr>
          <w:p w:rsidR="00066B9C" w:rsidRPr="00C258AD" w:rsidRDefault="00066B9C" w:rsidP="001A4D6C">
            <w:pPr>
              <w:rPr>
                <w:sz w:val="16"/>
                <w:szCs w:val="16"/>
                <w:lang w:eastAsia="fr-FR"/>
              </w:rPr>
            </w:pPr>
            <w:r w:rsidRPr="00C258AD">
              <w:rPr>
                <w:sz w:val="16"/>
                <w:szCs w:val="16"/>
                <w:lang w:eastAsia="fr-FR"/>
              </w:rPr>
              <w:t>II.8</w:t>
            </w:r>
          </w:p>
        </w:tc>
        <w:tc>
          <w:tcPr>
            <w:tcW w:w="4599" w:type="dxa"/>
            <w:tcBorders>
              <w:top w:val="nil"/>
              <w:left w:val="nil"/>
              <w:bottom w:val="nil"/>
              <w:right w:val="nil"/>
            </w:tcBorders>
            <w:shd w:val="clear" w:color="auto" w:fill="auto"/>
            <w:vAlign w:val="center"/>
          </w:tcPr>
          <w:p w:rsidR="00066B9C" w:rsidRPr="00C258AD" w:rsidRDefault="00066B9C" w:rsidP="001A4D6C">
            <w:pPr>
              <w:rPr>
                <w:sz w:val="16"/>
                <w:szCs w:val="16"/>
                <w:lang w:eastAsia="fr-FR"/>
              </w:rPr>
            </w:pPr>
            <w:r w:rsidRPr="00C258AD">
              <w:rPr>
                <w:sz w:val="16"/>
                <w:szCs w:val="16"/>
                <w:lang w:eastAsia="fr-FR"/>
              </w:rPr>
              <w:t>De plus en plus de litiges internationaux ou nationaux de propriété intellectuelle sont évités ou réglés par la médiation, l’arbitrage et les autres modes extrajudiciaires de règlement des litiges de l’OMPI</w:t>
            </w:r>
          </w:p>
        </w:tc>
        <w:tc>
          <w:tcPr>
            <w:tcW w:w="1422" w:type="dxa"/>
            <w:tcBorders>
              <w:top w:val="nil"/>
              <w:left w:val="nil"/>
              <w:bottom w:val="nil"/>
              <w:right w:val="nil"/>
            </w:tcBorders>
            <w:shd w:val="clear" w:color="auto" w:fill="auto"/>
            <w:vAlign w:val="center"/>
          </w:tcPr>
          <w:p w:rsidR="00066B9C" w:rsidRPr="00C258AD" w:rsidRDefault="00066B9C" w:rsidP="001A4D6C">
            <w:pPr>
              <w:jc w:val="right"/>
              <w:rPr>
                <w:sz w:val="16"/>
                <w:szCs w:val="16"/>
                <w:lang w:eastAsia="fr-FR"/>
              </w:rPr>
            </w:pPr>
            <w:r w:rsidRPr="00C258AD">
              <w:rPr>
                <w:sz w:val="16"/>
                <w:szCs w:val="16"/>
                <w:lang w:eastAsia="fr-FR"/>
              </w:rPr>
              <w:t>–</w:t>
            </w:r>
          </w:p>
        </w:tc>
        <w:tc>
          <w:tcPr>
            <w:tcW w:w="1422" w:type="dxa"/>
            <w:tcBorders>
              <w:top w:val="nil"/>
              <w:left w:val="nil"/>
              <w:bottom w:val="nil"/>
              <w:right w:val="nil"/>
            </w:tcBorders>
            <w:shd w:val="clear" w:color="auto" w:fill="auto"/>
            <w:vAlign w:val="center"/>
          </w:tcPr>
          <w:p w:rsidR="00066B9C" w:rsidRPr="00C258AD" w:rsidRDefault="00066B9C" w:rsidP="001A4D6C">
            <w:pPr>
              <w:jc w:val="right"/>
              <w:rPr>
                <w:sz w:val="16"/>
                <w:szCs w:val="16"/>
                <w:lang w:eastAsia="fr-FR"/>
              </w:rPr>
            </w:pPr>
            <w:r w:rsidRPr="00C258AD">
              <w:rPr>
                <w:sz w:val="16"/>
                <w:szCs w:val="16"/>
                <w:lang w:eastAsia="fr-FR"/>
              </w:rPr>
              <w:t>94</w:t>
            </w:r>
          </w:p>
        </w:tc>
        <w:tc>
          <w:tcPr>
            <w:tcW w:w="1422" w:type="dxa"/>
            <w:tcBorders>
              <w:top w:val="nil"/>
              <w:left w:val="nil"/>
              <w:bottom w:val="nil"/>
              <w:right w:val="single" w:sz="4" w:space="0" w:color="auto"/>
            </w:tcBorders>
            <w:shd w:val="clear" w:color="auto" w:fill="auto"/>
            <w:vAlign w:val="center"/>
          </w:tcPr>
          <w:p w:rsidR="00066B9C" w:rsidRPr="00C258AD" w:rsidRDefault="00066B9C" w:rsidP="001A4D6C">
            <w:pPr>
              <w:jc w:val="right"/>
              <w:rPr>
                <w:sz w:val="16"/>
                <w:szCs w:val="16"/>
                <w:lang w:eastAsia="fr-FR"/>
              </w:rPr>
            </w:pPr>
            <w:r w:rsidRPr="00C258AD">
              <w:rPr>
                <w:sz w:val="16"/>
                <w:szCs w:val="16"/>
                <w:lang w:eastAsia="fr-FR"/>
              </w:rPr>
              <w:t>100</w:t>
            </w:r>
          </w:p>
        </w:tc>
      </w:tr>
      <w:tr w:rsidR="00066B9C" w:rsidRPr="00C258AD" w:rsidTr="001A4D6C">
        <w:trPr>
          <w:cantSplit/>
        </w:trPr>
        <w:tc>
          <w:tcPr>
            <w:tcW w:w="630" w:type="dxa"/>
            <w:tcBorders>
              <w:top w:val="nil"/>
              <w:left w:val="single" w:sz="4" w:space="0" w:color="auto"/>
              <w:bottom w:val="nil"/>
              <w:right w:val="nil"/>
            </w:tcBorders>
            <w:shd w:val="clear" w:color="auto" w:fill="auto"/>
            <w:noWrap/>
            <w:vAlign w:val="center"/>
          </w:tcPr>
          <w:p w:rsidR="00066B9C" w:rsidRPr="00C258AD" w:rsidRDefault="00066B9C" w:rsidP="001A4D6C">
            <w:pPr>
              <w:rPr>
                <w:sz w:val="16"/>
                <w:szCs w:val="16"/>
                <w:lang w:eastAsia="fr-FR"/>
              </w:rPr>
            </w:pPr>
            <w:r w:rsidRPr="00C258AD">
              <w:rPr>
                <w:sz w:val="16"/>
                <w:szCs w:val="16"/>
                <w:lang w:eastAsia="fr-FR"/>
              </w:rPr>
              <w:t>II.9</w:t>
            </w:r>
          </w:p>
        </w:tc>
        <w:tc>
          <w:tcPr>
            <w:tcW w:w="4599" w:type="dxa"/>
            <w:tcBorders>
              <w:top w:val="nil"/>
              <w:left w:val="nil"/>
              <w:bottom w:val="nil"/>
              <w:right w:val="nil"/>
            </w:tcBorders>
            <w:shd w:val="clear" w:color="auto" w:fill="auto"/>
            <w:vAlign w:val="center"/>
          </w:tcPr>
          <w:p w:rsidR="00066B9C" w:rsidRPr="00C258AD" w:rsidRDefault="00066B9C" w:rsidP="001A4D6C">
            <w:pPr>
              <w:rPr>
                <w:sz w:val="16"/>
                <w:szCs w:val="16"/>
                <w:lang w:eastAsia="fr-FR"/>
              </w:rPr>
            </w:pPr>
            <w:r w:rsidRPr="00C258AD">
              <w:rPr>
                <w:sz w:val="16"/>
                <w:szCs w:val="16"/>
                <w:lang w:eastAsia="fr-FR"/>
              </w:rPr>
              <w:t xml:space="preserve">Protection efficace de la propriété intellectuelle dans les </w:t>
            </w:r>
            <w:proofErr w:type="spellStart"/>
            <w:r w:rsidRPr="00C258AD">
              <w:rPr>
                <w:sz w:val="16"/>
                <w:szCs w:val="16"/>
                <w:lang w:eastAsia="fr-FR"/>
              </w:rPr>
              <w:t>gTLD</w:t>
            </w:r>
            <w:proofErr w:type="spellEnd"/>
            <w:r w:rsidRPr="00C258AD">
              <w:rPr>
                <w:sz w:val="16"/>
                <w:szCs w:val="16"/>
                <w:lang w:eastAsia="fr-FR"/>
              </w:rPr>
              <w:t xml:space="preserve"> et les </w:t>
            </w:r>
            <w:proofErr w:type="spellStart"/>
            <w:r w:rsidRPr="00C258AD">
              <w:rPr>
                <w:sz w:val="16"/>
                <w:szCs w:val="16"/>
                <w:lang w:eastAsia="fr-FR"/>
              </w:rPr>
              <w:t>ccTLD</w:t>
            </w:r>
            <w:proofErr w:type="spellEnd"/>
          </w:p>
        </w:tc>
        <w:tc>
          <w:tcPr>
            <w:tcW w:w="1422" w:type="dxa"/>
            <w:tcBorders>
              <w:top w:val="nil"/>
              <w:left w:val="nil"/>
              <w:bottom w:val="nil"/>
              <w:right w:val="nil"/>
            </w:tcBorders>
            <w:shd w:val="clear" w:color="auto" w:fill="auto"/>
            <w:vAlign w:val="center"/>
          </w:tcPr>
          <w:p w:rsidR="00066B9C" w:rsidRPr="00C258AD" w:rsidRDefault="00066B9C" w:rsidP="001A4D6C">
            <w:pPr>
              <w:jc w:val="right"/>
              <w:rPr>
                <w:sz w:val="16"/>
                <w:szCs w:val="16"/>
                <w:lang w:eastAsia="fr-FR"/>
              </w:rPr>
            </w:pPr>
            <w:r w:rsidRPr="00C258AD">
              <w:rPr>
                <w:sz w:val="16"/>
                <w:szCs w:val="16"/>
                <w:lang w:eastAsia="fr-FR"/>
              </w:rPr>
              <w:t>–</w:t>
            </w:r>
          </w:p>
        </w:tc>
        <w:tc>
          <w:tcPr>
            <w:tcW w:w="1422" w:type="dxa"/>
            <w:tcBorders>
              <w:top w:val="nil"/>
              <w:left w:val="nil"/>
              <w:bottom w:val="nil"/>
              <w:right w:val="nil"/>
            </w:tcBorders>
            <w:shd w:val="clear" w:color="auto" w:fill="auto"/>
            <w:vAlign w:val="center"/>
          </w:tcPr>
          <w:p w:rsidR="00066B9C" w:rsidRPr="00C258AD" w:rsidRDefault="00066B9C" w:rsidP="001A4D6C">
            <w:pPr>
              <w:jc w:val="right"/>
              <w:rPr>
                <w:sz w:val="16"/>
                <w:szCs w:val="16"/>
                <w:lang w:eastAsia="fr-FR"/>
              </w:rPr>
            </w:pPr>
            <w:r w:rsidRPr="00C258AD">
              <w:rPr>
                <w:sz w:val="16"/>
                <w:szCs w:val="16"/>
                <w:lang w:eastAsia="fr-FR"/>
              </w:rPr>
              <w:t>95</w:t>
            </w:r>
          </w:p>
        </w:tc>
        <w:tc>
          <w:tcPr>
            <w:tcW w:w="1422" w:type="dxa"/>
            <w:tcBorders>
              <w:top w:val="nil"/>
              <w:left w:val="nil"/>
              <w:bottom w:val="nil"/>
              <w:right w:val="single" w:sz="4" w:space="0" w:color="auto"/>
            </w:tcBorders>
            <w:shd w:val="clear" w:color="auto" w:fill="auto"/>
            <w:vAlign w:val="center"/>
          </w:tcPr>
          <w:p w:rsidR="00066B9C" w:rsidRPr="00C258AD" w:rsidRDefault="00066B9C" w:rsidP="001A4D6C">
            <w:pPr>
              <w:jc w:val="right"/>
              <w:rPr>
                <w:sz w:val="16"/>
                <w:szCs w:val="16"/>
                <w:lang w:eastAsia="fr-FR"/>
              </w:rPr>
            </w:pPr>
            <w:r w:rsidRPr="00C258AD">
              <w:rPr>
                <w:sz w:val="16"/>
                <w:szCs w:val="16"/>
                <w:lang w:eastAsia="fr-FR"/>
              </w:rPr>
              <w:t>101</w:t>
            </w:r>
          </w:p>
        </w:tc>
      </w:tr>
      <w:tr w:rsidR="00066B9C" w:rsidRPr="00C258AD" w:rsidTr="001A4D6C">
        <w:trPr>
          <w:cantSplit/>
        </w:trPr>
        <w:tc>
          <w:tcPr>
            <w:tcW w:w="630" w:type="dxa"/>
            <w:tcBorders>
              <w:top w:val="nil"/>
              <w:left w:val="single" w:sz="4" w:space="0" w:color="auto"/>
              <w:bottom w:val="nil"/>
              <w:right w:val="nil"/>
            </w:tcBorders>
            <w:shd w:val="clear" w:color="auto" w:fill="auto"/>
            <w:noWrap/>
            <w:vAlign w:val="center"/>
            <w:hideMark/>
          </w:tcPr>
          <w:p w:rsidR="00066B9C" w:rsidRPr="00C258AD" w:rsidRDefault="00066B9C" w:rsidP="001A4D6C">
            <w:pPr>
              <w:rPr>
                <w:sz w:val="16"/>
                <w:szCs w:val="16"/>
                <w:lang w:eastAsia="fr-FR"/>
              </w:rPr>
            </w:pPr>
            <w:r w:rsidRPr="00C258AD">
              <w:rPr>
                <w:sz w:val="16"/>
                <w:szCs w:val="16"/>
                <w:lang w:eastAsia="fr-FR"/>
              </w:rPr>
              <w:t>III.2</w:t>
            </w:r>
          </w:p>
        </w:tc>
        <w:tc>
          <w:tcPr>
            <w:tcW w:w="4599" w:type="dxa"/>
            <w:tcBorders>
              <w:top w:val="nil"/>
              <w:left w:val="nil"/>
              <w:bottom w:val="nil"/>
              <w:right w:val="nil"/>
            </w:tcBorders>
            <w:shd w:val="clear" w:color="auto" w:fill="auto"/>
            <w:vAlign w:val="center"/>
            <w:hideMark/>
          </w:tcPr>
          <w:p w:rsidR="00066B9C" w:rsidRPr="00C258AD" w:rsidRDefault="00066B9C" w:rsidP="001A4D6C">
            <w:pPr>
              <w:rPr>
                <w:sz w:val="16"/>
                <w:szCs w:val="16"/>
                <w:lang w:eastAsia="fr-FR"/>
              </w:rPr>
            </w:pPr>
            <w:r w:rsidRPr="00C258AD">
              <w:rPr>
                <w:sz w:val="16"/>
                <w:szCs w:val="16"/>
                <w:lang w:eastAsia="fr-FR"/>
              </w:rPr>
              <w:t>Renforcement des capacités en matière de ressources humaines pour pouvoir répondre aux nombreuses exigences en ce qui concerne l’utilisation efficace de la propriété intellectuelle au service du développement dans les pays en développement, les PMA et les pays en transition</w:t>
            </w:r>
          </w:p>
        </w:tc>
        <w:tc>
          <w:tcPr>
            <w:tcW w:w="1422"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506</w:t>
            </w:r>
          </w:p>
        </w:tc>
        <w:tc>
          <w:tcPr>
            <w:tcW w:w="1422"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312</w:t>
            </w:r>
          </w:p>
        </w:tc>
        <w:tc>
          <w:tcPr>
            <w:tcW w:w="1422" w:type="dxa"/>
            <w:tcBorders>
              <w:top w:val="nil"/>
              <w:left w:val="nil"/>
              <w:bottom w:val="nil"/>
              <w:right w:val="single" w:sz="4" w:space="0" w:color="auto"/>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297</w:t>
            </w:r>
          </w:p>
        </w:tc>
      </w:tr>
      <w:tr w:rsidR="00066B9C" w:rsidRPr="00C258AD" w:rsidTr="001A4D6C">
        <w:trPr>
          <w:cantSplit/>
        </w:trPr>
        <w:tc>
          <w:tcPr>
            <w:tcW w:w="630" w:type="dxa"/>
            <w:tcBorders>
              <w:top w:val="nil"/>
              <w:left w:val="single" w:sz="4" w:space="0" w:color="auto"/>
              <w:bottom w:val="nil"/>
              <w:right w:val="nil"/>
            </w:tcBorders>
            <w:shd w:val="clear" w:color="auto" w:fill="auto"/>
            <w:noWrap/>
            <w:vAlign w:val="center"/>
            <w:hideMark/>
          </w:tcPr>
          <w:p w:rsidR="00066B9C" w:rsidRPr="00C258AD" w:rsidRDefault="00066B9C" w:rsidP="001A4D6C">
            <w:pPr>
              <w:rPr>
                <w:sz w:val="16"/>
                <w:szCs w:val="16"/>
                <w:lang w:eastAsia="fr-FR"/>
              </w:rPr>
            </w:pPr>
            <w:r w:rsidRPr="00C258AD">
              <w:rPr>
                <w:sz w:val="16"/>
                <w:szCs w:val="16"/>
                <w:lang w:eastAsia="fr-FR"/>
              </w:rPr>
              <w:t>IV.2</w:t>
            </w:r>
          </w:p>
        </w:tc>
        <w:tc>
          <w:tcPr>
            <w:tcW w:w="4599" w:type="dxa"/>
            <w:tcBorders>
              <w:top w:val="nil"/>
              <w:left w:val="nil"/>
              <w:bottom w:val="nil"/>
              <w:right w:val="nil"/>
            </w:tcBorders>
            <w:shd w:val="clear" w:color="auto" w:fill="auto"/>
            <w:vAlign w:val="center"/>
            <w:hideMark/>
          </w:tcPr>
          <w:p w:rsidR="00066B9C" w:rsidRPr="00C258AD" w:rsidRDefault="00066B9C" w:rsidP="001A4D6C">
            <w:pPr>
              <w:rPr>
                <w:sz w:val="16"/>
                <w:szCs w:val="16"/>
                <w:lang w:eastAsia="fr-FR"/>
              </w:rPr>
            </w:pPr>
            <w:r w:rsidRPr="00C258AD">
              <w:rPr>
                <w:sz w:val="16"/>
                <w:szCs w:val="16"/>
                <w:lang w:eastAsia="fr-FR"/>
              </w:rPr>
              <w:t>Amélioration de l’accessibilité et de l’utilisation de l’information en matière de propriété intellectuelle par les institutions compétentes et le public afin de promouvoir l’innovation et la créativité</w:t>
            </w:r>
          </w:p>
        </w:tc>
        <w:tc>
          <w:tcPr>
            <w:tcW w:w="1422"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303</w:t>
            </w:r>
          </w:p>
        </w:tc>
        <w:tc>
          <w:tcPr>
            <w:tcW w:w="1422"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370</w:t>
            </w:r>
          </w:p>
        </w:tc>
        <w:tc>
          <w:tcPr>
            <w:tcW w:w="1422" w:type="dxa"/>
            <w:tcBorders>
              <w:top w:val="nil"/>
              <w:left w:val="nil"/>
              <w:bottom w:val="nil"/>
              <w:right w:val="single" w:sz="4" w:space="0" w:color="auto"/>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351</w:t>
            </w:r>
          </w:p>
        </w:tc>
      </w:tr>
      <w:tr w:rsidR="00066B9C" w:rsidRPr="00C258AD" w:rsidTr="001A4D6C">
        <w:trPr>
          <w:cantSplit/>
        </w:trPr>
        <w:tc>
          <w:tcPr>
            <w:tcW w:w="630" w:type="dxa"/>
            <w:tcBorders>
              <w:top w:val="nil"/>
              <w:left w:val="single" w:sz="4" w:space="0" w:color="auto"/>
              <w:bottom w:val="nil"/>
              <w:right w:val="nil"/>
            </w:tcBorders>
            <w:shd w:val="clear" w:color="auto" w:fill="auto"/>
            <w:noWrap/>
            <w:vAlign w:val="center"/>
            <w:hideMark/>
          </w:tcPr>
          <w:p w:rsidR="00066B9C" w:rsidRPr="00C258AD" w:rsidRDefault="00066B9C" w:rsidP="001A4D6C">
            <w:pPr>
              <w:rPr>
                <w:sz w:val="16"/>
                <w:szCs w:val="16"/>
                <w:lang w:eastAsia="fr-FR"/>
              </w:rPr>
            </w:pPr>
            <w:r w:rsidRPr="00C258AD">
              <w:rPr>
                <w:sz w:val="16"/>
                <w:szCs w:val="16"/>
                <w:lang w:eastAsia="fr-FR"/>
              </w:rPr>
              <w:t>VI.1</w:t>
            </w:r>
          </w:p>
        </w:tc>
        <w:tc>
          <w:tcPr>
            <w:tcW w:w="4599" w:type="dxa"/>
            <w:tcBorders>
              <w:top w:val="nil"/>
              <w:left w:val="nil"/>
              <w:bottom w:val="nil"/>
              <w:right w:val="nil"/>
            </w:tcBorders>
            <w:shd w:val="clear" w:color="auto" w:fill="auto"/>
            <w:vAlign w:val="center"/>
            <w:hideMark/>
          </w:tcPr>
          <w:p w:rsidR="00066B9C" w:rsidRPr="00C258AD" w:rsidRDefault="00066B9C" w:rsidP="001A4D6C">
            <w:pPr>
              <w:rPr>
                <w:sz w:val="16"/>
                <w:szCs w:val="16"/>
                <w:lang w:eastAsia="fr-FR"/>
              </w:rPr>
            </w:pPr>
            <w:r w:rsidRPr="00C258AD">
              <w:rPr>
                <w:sz w:val="16"/>
                <w:szCs w:val="16"/>
                <w:lang w:eastAsia="fr-FR"/>
              </w:rPr>
              <w:t>Progrès du dialogue international de politique générale entre les États membres de l’OMPI en ce qui concerne la promotion du respect de la propriété intellectuelle, compte tenu de la recommandation n° 45 du Plan d’action pour le développement</w:t>
            </w:r>
          </w:p>
        </w:tc>
        <w:tc>
          <w:tcPr>
            <w:tcW w:w="1422"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noBreakHyphen/>
            </w:r>
          </w:p>
        </w:tc>
        <w:tc>
          <w:tcPr>
            <w:tcW w:w="1422"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222</w:t>
            </w:r>
          </w:p>
        </w:tc>
        <w:tc>
          <w:tcPr>
            <w:tcW w:w="1422" w:type="dxa"/>
            <w:tcBorders>
              <w:top w:val="nil"/>
              <w:left w:val="nil"/>
              <w:bottom w:val="nil"/>
              <w:right w:val="single" w:sz="4" w:space="0" w:color="auto"/>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231</w:t>
            </w:r>
          </w:p>
        </w:tc>
      </w:tr>
      <w:tr w:rsidR="00066B9C" w:rsidRPr="00C258AD" w:rsidTr="001A4D6C">
        <w:trPr>
          <w:cantSplit/>
        </w:trPr>
        <w:tc>
          <w:tcPr>
            <w:tcW w:w="630" w:type="dxa"/>
            <w:tcBorders>
              <w:top w:val="nil"/>
              <w:left w:val="single" w:sz="4" w:space="0" w:color="auto"/>
              <w:bottom w:val="nil"/>
              <w:right w:val="nil"/>
            </w:tcBorders>
            <w:shd w:val="clear" w:color="auto" w:fill="auto"/>
            <w:noWrap/>
            <w:vAlign w:val="center"/>
            <w:hideMark/>
          </w:tcPr>
          <w:p w:rsidR="00066B9C" w:rsidRPr="00C258AD" w:rsidRDefault="00066B9C" w:rsidP="001A4D6C">
            <w:pPr>
              <w:rPr>
                <w:sz w:val="16"/>
                <w:szCs w:val="16"/>
                <w:lang w:eastAsia="fr-FR"/>
              </w:rPr>
            </w:pPr>
            <w:r w:rsidRPr="00C258AD">
              <w:rPr>
                <w:sz w:val="16"/>
                <w:szCs w:val="16"/>
                <w:lang w:eastAsia="fr-FR"/>
              </w:rPr>
              <w:t>VI.2</w:t>
            </w:r>
          </w:p>
        </w:tc>
        <w:tc>
          <w:tcPr>
            <w:tcW w:w="4599" w:type="dxa"/>
            <w:tcBorders>
              <w:top w:val="nil"/>
              <w:left w:val="nil"/>
              <w:bottom w:val="nil"/>
              <w:right w:val="nil"/>
            </w:tcBorders>
            <w:shd w:val="clear" w:color="auto" w:fill="auto"/>
            <w:vAlign w:val="center"/>
            <w:hideMark/>
          </w:tcPr>
          <w:p w:rsidR="00066B9C" w:rsidRPr="00C258AD" w:rsidRDefault="00066B9C" w:rsidP="001A4D6C">
            <w:pPr>
              <w:rPr>
                <w:sz w:val="16"/>
                <w:szCs w:val="16"/>
                <w:lang w:eastAsia="fr-FR"/>
              </w:rPr>
            </w:pPr>
            <w:r w:rsidRPr="00C258AD">
              <w:rPr>
                <w:sz w:val="16"/>
                <w:szCs w:val="16"/>
                <w:lang w:eastAsia="fr-FR"/>
              </w:rPr>
              <w:t>Coopération et coordination systématiques, efficaces et transparentes entre les travaux de l’OMPI et ceux d’autres organisations internationales dans le domaine de la promotion du respect de la propriété intellectuelle</w:t>
            </w:r>
          </w:p>
        </w:tc>
        <w:tc>
          <w:tcPr>
            <w:tcW w:w="1422"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noBreakHyphen/>
            </w:r>
          </w:p>
        </w:tc>
        <w:tc>
          <w:tcPr>
            <w:tcW w:w="1422"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222</w:t>
            </w:r>
          </w:p>
        </w:tc>
        <w:tc>
          <w:tcPr>
            <w:tcW w:w="1422" w:type="dxa"/>
            <w:tcBorders>
              <w:top w:val="nil"/>
              <w:left w:val="nil"/>
              <w:bottom w:val="nil"/>
              <w:right w:val="single" w:sz="4" w:space="0" w:color="auto"/>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231</w:t>
            </w:r>
          </w:p>
        </w:tc>
      </w:tr>
      <w:tr w:rsidR="00066B9C" w:rsidRPr="00C258AD" w:rsidTr="001A4D6C">
        <w:trPr>
          <w:cantSplit/>
        </w:trPr>
        <w:tc>
          <w:tcPr>
            <w:tcW w:w="630" w:type="dxa"/>
            <w:tcBorders>
              <w:top w:val="nil"/>
              <w:left w:val="single" w:sz="4" w:space="0" w:color="auto"/>
              <w:bottom w:val="nil"/>
              <w:right w:val="nil"/>
            </w:tcBorders>
            <w:shd w:val="clear" w:color="auto" w:fill="auto"/>
            <w:noWrap/>
            <w:vAlign w:val="center"/>
            <w:hideMark/>
          </w:tcPr>
          <w:p w:rsidR="00066B9C" w:rsidRPr="00C258AD" w:rsidRDefault="00066B9C" w:rsidP="001A4D6C">
            <w:pPr>
              <w:rPr>
                <w:sz w:val="16"/>
                <w:szCs w:val="16"/>
                <w:lang w:eastAsia="fr-FR"/>
              </w:rPr>
            </w:pPr>
            <w:r w:rsidRPr="00C258AD">
              <w:rPr>
                <w:sz w:val="16"/>
                <w:szCs w:val="16"/>
                <w:lang w:eastAsia="fr-FR"/>
              </w:rPr>
              <w:t>VII.2</w:t>
            </w:r>
          </w:p>
        </w:tc>
        <w:tc>
          <w:tcPr>
            <w:tcW w:w="4599" w:type="dxa"/>
            <w:tcBorders>
              <w:top w:val="nil"/>
              <w:left w:val="nil"/>
              <w:bottom w:val="nil"/>
              <w:right w:val="nil"/>
            </w:tcBorders>
            <w:shd w:val="clear" w:color="auto" w:fill="auto"/>
            <w:vAlign w:val="center"/>
            <w:hideMark/>
          </w:tcPr>
          <w:p w:rsidR="00066B9C" w:rsidRPr="00C258AD" w:rsidRDefault="00066B9C" w:rsidP="001A4D6C">
            <w:pPr>
              <w:rPr>
                <w:sz w:val="16"/>
                <w:szCs w:val="16"/>
                <w:lang w:eastAsia="fr-FR"/>
              </w:rPr>
            </w:pPr>
            <w:r w:rsidRPr="00C258AD">
              <w:rPr>
                <w:sz w:val="16"/>
                <w:szCs w:val="16"/>
                <w:lang w:eastAsia="fr-FR"/>
              </w:rPr>
              <w:t xml:space="preserve">Des plateformes et instruments fondés sur la propriété intellectuelle sont utilisés pour le transfert de connaissances et l’adaptation et la diffusion de la technologie entre les pays développés et les pays en développement, notamment les PMA, pour relever des défis mondiaux </w:t>
            </w:r>
          </w:p>
        </w:tc>
        <w:tc>
          <w:tcPr>
            <w:tcW w:w="1422"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4 097</w:t>
            </w:r>
          </w:p>
        </w:tc>
        <w:tc>
          <w:tcPr>
            <w:tcW w:w="1422" w:type="dxa"/>
            <w:tcBorders>
              <w:top w:val="nil"/>
              <w:left w:val="nil"/>
              <w:bottom w:val="nil"/>
              <w:right w:val="nil"/>
            </w:tcBorders>
            <w:shd w:val="clear" w:color="auto" w:fill="auto"/>
            <w:noWrap/>
            <w:vAlign w:val="center"/>
            <w:hideMark/>
          </w:tcPr>
          <w:p w:rsidR="00066B9C" w:rsidRPr="00C258AD" w:rsidRDefault="00066B9C" w:rsidP="001A4D6C">
            <w:pPr>
              <w:jc w:val="right"/>
              <w:rPr>
                <w:sz w:val="16"/>
                <w:szCs w:val="16"/>
                <w:lang w:eastAsia="fr-FR"/>
              </w:rPr>
            </w:pPr>
            <w:r w:rsidRPr="00C258AD">
              <w:rPr>
                <w:sz w:val="16"/>
                <w:szCs w:val="16"/>
                <w:lang w:eastAsia="fr-FR"/>
              </w:rPr>
              <w:t>3 184</w:t>
            </w:r>
          </w:p>
        </w:tc>
        <w:tc>
          <w:tcPr>
            <w:tcW w:w="1422" w:type="dxa"/>
            <w:tcBorders>
              <w:top w:val="nil"/>
              <w:left w:val="nil"/>
              <w:bottom w:val="nil"/>
              <w:right w:val="single" w:sz="4" w:space="0" w:color="auto"/>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3 021</w:t>
            </w:r>
          </w:p>
        </w:tc>
      </w:tr>
      <w:tr w:rsidR="00066B9C" w:rsidRPr="00C258AD" w:rsidTr="001A4D6C">
        <w:trPr>
          <w:cantSplit/>
        </w:trPr>
        <w:tc>
          <w:tcPr>
            <w:tcW w:w="630" w:type="dxa"/>
            <w:tcBorders>
              <w:top w:val="nil"/>
              <w:left w:val="single" w:sz="4" w:space="0" w:color="auto"/>
              <w:bottom w:val="nil"/>
              <w:right w:val="nil"/>
            </w:tcBorders>
            <w:shd w:val="clear" w:color="auto" w:fill="auto"/>
            <w:noWrap/>
            <w:vAlign w:val="center"/>
            <w:hideMark/>
          </w:tcPr>
          <w:p w:rsidR="00066B9C" w:rsidRPr="00C258AD" w:rsidRDefault="00066B9C" w:rsidP="001A4D6C">
            <w:pPr>
              <w:rPr>
                <w:sz w:val="16"/>
                <w:szCs w:val="16"/>
                <w:lang w:eastAsia="fr-FR"/>
              </w:rPr>
            </w:pPr>
            <w:r w:rsidRPr="00C258AD">
              <w:rPr>
                <w:sz w:val="16"/>
                <w:szCs w:val="16"/>
                <w:lang w:eastAsia="fr-FR"/>
              </w:rPr>
              <w:t>VII.3</w:t>
            </w:r>
          </w:p>
        </w:tc>
        <w:tc>
          <w:tcPr>
            <w:tcW w:w="4599" w:type="dxa"/>
            <w:tcBorders>
              <w:top w:val="nil"/>
              <w:left w:val="nil"/>
              <w:bottom w:val="nil"/>
              <w:right w:val="nil"/>
            </w:tcBorders>
            <w:shd w:val="clear" w:color="auto" w:fill="auto"/>
            <w:vAlign w:val="center"/>
            <w:hideMark/>
          </w:tcPr>
          <w:p w:rsidR="00066B9C" w:rsidRPr="00C258AD" w:rsidRDefault="00066B9C" w:rsidP="001A4D6C">
            <w:pPr>
              <w:rPr>
                <w:sz w:val="16"/>
                <w:szCs w:val="16"/>
                <w:lang w:eastAsia="fr-FR"/>
              </w:rPr>
            </w:pPr>
            <w:r w:rsidRPr="00C258AD">
              <w:rPr>
                <w:sz w:val="16"/>
                <w:szCs w:val="16"/>
                <w:lang w:eastAsia="fr-FR"/>
              </w:rPr>
              <w:t>Crédibilité croissante de l’OMPI en tant qu’instance d’analyse des questions relatives à la propriété intellectuelle et à la politique en matière de concurrence</w:t>
            </w:r>
          </w:p>
        </w:tc>
        <w:tc>
          <w:tcPr>
            <w:tcW w:w="1422"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2 032</w:t>
            </w:r>
          </w:p>
        </w:tc>
        <w:tc>
          <w:tcPr>
            <w:tcW w:w="1422" w:type="dxa"/>
            <w:tcBorders>
              <w:top w:val="nil"/>
              <w:left w:val="nil"/>
              <w:bottom w:val="nil"/>
              <w:right w:val="nil"/>
            </w:tcBorders>
            <w:shd w:val="clear" w:color="auto" w:fill="auto"/>
            <w:noWrap/>
            <w:vAlign w:val="center"/>
            <w:hideMark/>
          </w:tcPr>
          <w:p w:rsidR="00066B9C" w:rsidRPr="00C258AD" w:rsidRDefault="00066B9C" w:rsidP="001A4D6C">
            <w:pPr>
              <w:jc w:val="right"/>
              <w:rPr>
                <w:sz w:val="16"/>
                <w:szCs w:val="16"/>
                <w:lang w:eastAsia="fr-FR"/>
              </w:rPr>
            </w:pPr>
            <w:r w:rsidRPr="00C258AD">
              <w:rPr>
                <w:sz w:val="16"/>
                <w:szCs w:val="16"/>
                <w:lang w:eastAsia="fr-FR"/>
              </w:rPr>
              <w:t>1 806</w:t>
            </w:r>
          </w:p>
        </w:tc>
        <w:tc>
          <w:tcPr>
            <w:tcW w:w="1422" w:type="dxa"/>
            <w:tcBorders>
              <w:top w:val="nil"/>
              <w:left w:val="nil"/>
              <w:bottom w:val="nil"/>
              <w:right w:val="single" w:sz="4" w:space="0" w:color="auto"/>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1 604</w:t>
            </w:r>
          </w:p>
        </w:tc>
      </w:tr>
      <w:tr w:rsidR="00066B9C" w:rsidRPr="00C258AD" w:rsidTr="001A4D6C">
        <w:trPr>
          <w:cantSplit/>
        </w:trPr>
        <w:tc>
          <w:tcPr>
            <w:tcW w:w="630" w:type="dxa"/>
            <w:tcBorders>
              <w:top w:val="nil"/>
              <w:left w:val="single" w:sz="4" w:space="0" w:color="auto"/>
              <w:bottom w:val="nil"/>
              <w:right w:val="nil"/>
            </w:tcBorders>
            <w:shd w:val="clear" w:color="auto" w:fill="auto"/>
            <w:noWrap/>
            <w:vAlign w:val="center"/>
          </w:tcPr>
          <w:p w:rsidR="00066B9C" w:rsidRPr="00C258AD" w:rsidRDefault="00066B9C" w:rsidP="001A4D6C">
            <w:pPr>
              <w:rPr>
                <w:sz w:val="16"/>
                <w:szCs w:val="16"/>
                <w:lang w:eastAsia="fr-FR"/>
              </w:rPr>
            </w:pPr>
            <w:r w:rsidRPr="00C258AD">
              <w:rPr>
                <w:sz w:val="16"/>
                <w:szCs w:val="16"/>
                <w:lang w:eastAsia="fr-FR"/>
              </w:rPr>
              <w:t>VIII.1</w:t>
            </w:r>
          </w:p>
        </w:tc>
        <w:tc>
          <w:tcPr>
            <w:tcW w:w="4599" w:type="dxa"/>
            <w:tcBorders>
              <w:top w:val="nil"/>
              <w:left w:val="nil"/>
              <w:bottom w:val="nil"/>
              <w:right w:val="nil"/>
            </w:tcBorders>
            <w:shd w:val="clear" w:color="auto" w:fill="auto"/>
            <w:vAlign w:val="center"/>
          </w:tcPr>
          <w:p w:rsidR="00066B9C" w:rsidRPr="00C258AD" w:rsidRDefault="00066B9C" w:rsidP="001A4D6C">
            <w:pPr>
              <w:rPr>
                <w:sz w:val="16"/>
                <w:szCs w:val="16"/>
                <w:lang w:eastAsia="fr-FR"/>
              </w:rPr>
            </w:pPr>
            <w:r w:rsidRPr="00C258AD">
              <w:rPr>
                <w:sz w:val="16"/>
                <w:szCs w:val="16"/>
                <w:lang w:eastAsia="fr-FR"/>
              </w:rPr>
              <w:t>Communication plus efficace avec le grand public concernant la propriété intellectuelle et le rôle de l’OMPI</w:t>
            </w:r>
          </w:p>
        </w:tc>
        <w:tc>
          <w:tcPr>
            <w:tcW w:w="1422" w:type="dxa"/>
            <w:tcBorders>
              <w:top w:val="nil"/>
              <w:left w:val="nil"/>
              <w:bottom w:val="nil"/>
              <w:right w:val="nil"/>
            </w:tcBorders>
            <w:shd w:val="clear" w:color="auto" w:fill="auto"/>
            <w:vAlign w:val="center"/>
          </w:tcPr>
          <w:p w:rsidR="00066B9C" w:rsidRPr="00C258AD" w:rsidRDefault="00066B9C" w:rsidP="001A4D6C">
            <w:pPr>
              <w:jc w:val="right"/>
              <w:rPr>
                <w:sz w:val="16"/>
                <w:szCs w:val="16"/>
                <w:lang w:eastAsia="fr-FR"/>
              </w:rPr>
            </w:pPr>
            <w:r w:rsidRPr="00C258AD">
              <w:rPr>
                <w:sz w:val="16"/>
                <w:szCs w:val="16"/>
                <w:lang w:eastAsia="fr-FR"/>
              </w:rPr>
              <w:t>–</w:t>
            </w:r>
          </w:p>
        </w:tc>
        <w:tc>
          <w:tcPr>
            <w:tcW w:w="1422" w:type="dxa"/>
            <w:tcBorders>
              <w:top w:val="nil"/>
              <w:left w:val="nil"/>
              <w:bottom w:val="nil"/>
              <w:right w:val="nil"/>
            </w:tcBorders>
            <w:shd w:val="clear" w:color="auto" w:fill="auto"/>
            <w:noWrap/>
            <w:vAlign w:val="center"/>
          </w:tcPr>
          <w:p w:rsidR="00066B9C" w:rsidRPr="00C258AD" w:rsidRDefault="00066B9C" w:rsidP="001A4D6C">
            <w:pPr>
              <w:jc w:val="right"/>
              <w:rPr>
                <w:sz w:val="16"/>
                <w:szCs w:val="16"/>
                <w:lang w:eastAsia="fr-FR"/>
              </w:rPr>
            </w:pPr>
            <w:r w:rsidRPr="00C258AD">
              <w:rPr>
                <w:sz w:val="16"/>
                <w:szCs w:val="16"/>
                <w:lang w:eastAsia="fr-FR"/>
              </w:rPr>
              <w:t>100</w:t>
            </w:r>
          </w:p>
        </w:tc>
        <w:tc>
          <w:tcPr>
            <w:tcW w:w="1422" w:type="dxa"/>
            <w:tcBorders>
              <w:top w:val="nil"/>
              <w:left w:val="nil"/>
              <w:bottom w:val="nil"/>
              <w:right w:val="single" w:sz="4" w:space="0" w:color="auto"/>
            </w:tcBorders>
            <w:shd w:val="clear" w:color="auto" w:fill="auto"/>
            <w:vAlign w:val="center"/>
          </w:tcPr>
          <w:p w:rsidR="00066B9C" w:rsidRPr="00C258AD" w:rsidRDefault="00066B9C" w:rsidP="001A4D6C">
            <w:pPr>
              <w:jc w:val="right"/>
              <w:rPr>
                <w:sz w:val="16"/>
                <w:szCs w:val="16"/>
                <w:lang w:eastAsia="fr-FR"/>
              </w:rPr>
            </w:pPr>
            <w:r w:rsidRPr="00C258AD">
              <w:rPr>
                <w:sz w:val="16"/>
                <w:szCs w:val="16"/>
                <w:lang w:eastAsia="fr-FR"/>
              </w:rPr>
              <w:t>106</w:t>
            </w:r>
          </w:p>
        </w:tc>
      </w:tr>
      <w:tr w:rsidR="00066B9C" w:rsidRPr="00C258AD" w:rsidTr="001A4D6C">
        <w:trPr>
          <w:cantSplit/>
        </w:trPr>
        <w:tc>
          <w:tcPr>
            <w:tcW w:w="630" w:type="dxa"/>
            <w:tcBorders>
              <w:top w:val="nil"/>
              <w:left w:val="single" w:sz="4" w:space="0" w:color="auto"/>
              <w:bottom w:val="nil"/>
              <w:right w:val="nil"/>
            </w:tcBorders>
            <w:shd w:val="clear" w:color="auto" w:fill="auto"/>
            <w:noWrap/>
            <w:vAlign w:val="center"/>
          </w:tcPr>
          <w:p w:rsidR="00066B9C" w:rsidRPr="00C258AD" w:rsidRDefault="00066B9C" w:rsidP="001A4D6C">
            <w:pPr>
              <w:rPr>
                <w:sz w:val="16"/>
                <w:szCs w:val="16"/>
                <w:lang w:eastAsia="fr-FR"/>
              </w:rPr>
            </w:pPr>
            <w:r w:rsidRPr="00C258AD">
              <w:rPr>
                <w:sz w:val="16"/>
                <w:szCs w:val="16"/>
                <w:lang w:eastAsia="fr-FR"/>
              </w:rPr>
              <w:t>VIII.2</w:t>
            </w:r>
          </w:p>
        </w:tc>
        <w:tc>
          <w:tcPr>
            <w:tcW w:w="4599" w:type="dxa"/>
            <w:tcBorders>
              <w:top w:val="nil"/>
              <w:left w:val="nil"/>
              <w:bottom w:val="nil"/>
              <w:right w:val="nil"/>
            </w:tcBorders>
            <w:shd w:val="clear" w:color="auto" w:fill="auto"/>
            <w:vAlign w:val="center"/>
          </w:tcPr>
          <w:p w:rsidR="00066B9C" w:rsidRPr="00C258AD" w:rsidRDefault="00066B9C" w:rsidP="001A4D6C">
            <w:pPr>
              <w:rPr>
                <w:sz w:val="16"/>
                <w:szCs w:val="16"/>
                <w:lang w:eastAsia="fr-FR"/>
              </w:rPr>
            </w:pPr>
            <w:r w:rsidRPr="00C258AD">
              <w:rPr>
                <w:sz w:val="16"/>
                <w:szCs w:val="16"/>
                <w:lang w:eastAsia="fr-FR"/>
              </w:rPr>
              <w:t>Amélioration de l’orientation vers les services et de la réactivité à la demande</w:t>
            </w:r>
          </w:p>
        </w:tc>
        <w:tc>
          <w:tcPr>
            <w:tcW w:w="1422" w:type="dxa"/>
            <w:tcBorders>
              <w:top w:val="nil"/>
              <w:left w:val="nil"/>
              <w:bottom w:val="nil"/>
              <w:right w:val="nil"/>
            </w:tcBorders>
            <w:shd w:val="clear" w:color="auto" w:fill="auto"/>
            <w:vAlign w:val="center"/>
          </w:tcPr>
          <w:p w:rsidR="00066B9C" w:rsidRPr="00C258AD" w:rsidRDefault="00066B9C" w:rsidP="001A4D6C">
            <w:pPr>
              <w:jc w:val="right"/>
              <w:rPr>
                <w:sz w:val="16"/>
                <w:szCs w:val="16"/>
                <w:lang w:eastAsia="fr-FR"/>
              </w:rPr>
            </w:pPr>
            <w:r w:rsidRPr="00C258AD">
              <w:rPr>
                <w:sz w:val="16"/>
                <w:szCs w:val="16"/>
                <w:lang w:eastAsia="fr-FR"/>
              </w:rPr>
              <w:t>–</w:t>
            </w:r>
          </w:p>
        </w:tc>
        <w:tc>
          <w:tcPr>
            <w:tcW w:w="1422" w:type="dxa"/>
            <w:tcBorders>
              <w:top w:val="nil"/>
              <w:left w:val="nil"/>
              <w:bottom w:val="nil"/>
              <w:right w:val="nil"/>
            </w:tcBorders>
            <w:shd w:val="clear" w:color="auto" w:fill="auto"/>
            <w:noWrap/>
            <w:vAlign w:val="center"/>
          </w:tcPr>
          <w:p w:rsidR="00066B9C" w:rsidRPr="00C258AD" w:rsidRDefault="00066B9C" w:rsidP="001A4D6C">
            <w:pPr>
              <w:jc w:val="right"/>
              <w:rPr>
                <w:sz w:val="16"/>
                <w:szCs w:val="16"/>
                <w:lang w:eastAsia="fr-FR"/>
              </w:rPr>
            </w:pPr>
            <w:r w:rsidRPr="00C258AD">
              <w:rPr>
                <w:sz w:val="16"/>
                <w:szCs w:val="16"/>
                <w:lang w:eastAsia="fr-FR"/>
              </w:rPr>
              <w:t>94</w:t>
            </w:r>
          </w:p>
        </w:tc>
        <w:tc>
          <w:tcPr>
            <w:tcW w:w="1422" w:type="dxa"/>
            <w:tcBorders>
              <w:top w:val="nil"/>
              <w:left w:val="nil"/>
              <w:bottom w:val="nil"/>
              <w:right w:val="single" w:sz="4" w:space="0" w:color="auto"/>
            </w:tcBorders>
            <w:shd w:val="clear" w:color="auto" w:fill="auto"/>
            <w:vAlign w:val="center"/>
          </w:tcPr>
          <w:p w:rsidR="00066B9C" w:rsidRPr="00C258AD" w:rsidRDefault="00066B9C" w:rsidP="001A4D6C">
            <w:pPr>
              <w:jc w:val="right"/>
              <w:rPr>
                <w:sz w:val="16"/>
                <w:szCs w:val="16"/>
                <w:lang w:eastAsia="fr-FR"/>
              </w:rPr>
            </w:pPr>
            <w:r w:rsidRPr="00C258AD">
              <w:rPr>
                <w:sz w:val="16"/>
                <w:szCs w:val="16"/>
                <w:lang w:eastAsia="fr-FR"/>
              </w:rPr>
              <w:t>100</w:t>
            </w:r>
          </w:p>
        </w:tc>
      </w:tr>
      <w:tr w:rsidR="00066B9C" w:rsidRPr="00C258AD" w:rsidTr="001A4D6C">
        <w:trPr>
          <w:cantSplit/>
        </w:trPr>
        <w:tc>
          <w:tcPr>
            <w:tcW w:w="630" w:type="dxa"/>
            <w:tcBorders>
              <w:top w:val="nil"/>
              <w:left w:val="single" w:sz="4" w:space="0" w:color="auto"/>
              <w:bottom w:val="nil"/>
              <w:right w:val="nil"/>
            </w:tcBorders>
            <w:shd w:val="clear" w:color="auto" w:fill="auto"/>
            <w:noWrap/>
            <w:vAlign w:val="center"/>
          </w:tcPr>
          <w:p w:rsidR="00066B9C" w:rsidRPr="00C258AD" w:rsidRDefault="00066B9C" w:rsidP="001A4D6C">
            <w:pPr>
              <w:rPr>
                <w:sz w:val="16"/>
                <w:szCs w:val="16"/>
                <w:lang w:eastAsia="fr-FR"/>
              </w:rPr>
            </w:pPr>
            <w:r w:rsidRPr="00C258AD">
              <w:rPr>
                <w:sz w:val="16"/>
                <w:szCs w:val="16"/>
                <w:lang w:eastAsia="fr-FR"/>
              </w:rPr>
              <w:t>VIII.4</w:t>
            </w:r>
          </w:p>
        </w:tc>
        <w:tc>
          <w:tcPr>
            <w:tcW w:w="4599" w:type="dxa"/>
            <w:tcBorders>
              <w:top w:val="nil"/>
              <w:left w:val="nil"/>
              <w:bottom w:val="nil"/>
              <w:right w:val="nil"/>
            </w:tcBorders>
            <w:shd w:val="clear" w:color="auto" w:fill="auto"/>
            <w:vAlign w:val="center"/>
          </w:tcPr>
          <w:p w:rsidR="00066B9C" w:rsidRPr="00C258AD" w:rsidRDefault="00066B9C" w:rsidP="001A4D6C">
            <w:pPr>
              <w:rPr>
                <w:sz w:val="16"/>
                <w:szCs w:val="16"/>
                <w:lang w:eastAsia="fr-FR"/>
              </w:rPr>
            </w:pPr>
            <w:r w:rsidRPr="00C258AD">
              <w:rPr>
                <w:sz w:val="16"/>
                <w:szCs w:val="16"/>
                <w:lang w:eastAsia="fr-FR"/>
              </w:rPr>
              <w:t>Échanges ouverts, transparents et dynamiques avec les parties prenantes non gouvernementales</w:t>
            </w:r>
          </w:p>
        </w:tc>
        <w:tc>
          <w:tcPr>
            <w:tcW w:w="1422" w:type="dxa"/>
            <w:tcBorders>
              <w:top w:val="nil"/>
              <w:left w:val="nil"/>
              <w:bottom w:val="nil"/>
              <w:right w:val="nil"/>
            </w:tcBorders>
            <w:shd w:val="clear" w:color="auto" w:fill="auto"/>
            <w:vAlign w:val="center"/>
          </w:tcPr>
          <w:p w:rsidR="00066B9C" w:rsidRPr="00C258AD" w:rsidRDefault="00066B9C" w:rsidP="001A4D6C">
            <w:pPr>
              <w:jc w:val="right"/>
              <w:rPr>
                <w:sz w:val="16"/>
                <w:szCs w:val="16"/>
                <w:lang w:eastAsia="fr-FR"/>
              </w:rPr>
            </w:pPr>
            <w:r w:rsidRPr="00C258AD">
              <w:rPr>
                <w:sz w:val="16"/>
                <w:szCs w:val="16"/>
                <w:lang w:eastAsia="fr-FR"/>
              </w:rPr>
              <w:t>–</w:t>
            </w:r>
          </w:p>
        </w:tc>
        <w:tc>
          <w:tcPr>
            <w:tcW w:w="1422" w:type="dxa"/>
            <w:tcBorders>
              <w:top w:val="nil"/>
              <w:left w:val="nil"/>
              <w:bottom w:val="nil"/>
              <w:right w:val="nil"/>
            </w:tcBorders>
            <w:shd w:val="clear" w:color="auto" w:fill="auto"/>
            <w:noWrap/>
            <w:vAlign w:val="center"/>
          </w:tcPr>
          <w:p w:rsidR="00066B9C" w:rsidRPr="00C258AD" w:rsidRDefault="00066B9C" w:rsidP="001A4D6C">
            <w:pPr>
              <w:jc w:val="right"/>
              <w:rPr>
                <w:sz w:val="16"/>
                <w:szCs w:val="16"/>
                <w:lang w:eastAsia="fr-FR"/>
              </w:rPr>
            </w:pPr>
            <w:r w:rsidRPr="00C258AD">
              <w:rPr>
                <w:sz w:val="16"/>
                <w:szCs w:val="16"/>
                <w:lang w:eastAsia="fr-FR"/>
              </w:rPr>
              <w:t>94</w:t>
            </w:r>
          </w:p>
        </w:tc>
        <w:tc>
          <w:tcPr>
            <w:tcW w:w="1422" w:type="dxa"/>
            <w:tcBorders>
              <w:top w:val="nil"/>
              <w:left w:val="nil"/>
              <w:bottom w:val="nil"/>
              <w:right w:val="single" w:sz="4" w:space="0" w:color="auto"/>
            </w:tcBorders>
            <w:shd w:val="clear" w:color="auto" w:fill="auto"/>
            <w:vAlign w:val="center"/>
          </w:tcPr>
          <w:p w:rsidR="00066B9C" w:rsidRPr="00C258AD" w:rsidRDefault="00066B9C" w:rsidP="001A4D6C">
            <w:pPr>
              <w:jc w:val="right"/>
              <w:rPr>
                <w:sz w:val="16"/>
                <w:szCs w:val="16"/>
                <w:lang w:eastAsia="fr-FR"/>
              </w:rPr>
            </w:pPr>
            <w:r w:rsidRPr="00C258AD">
              <w:rPr>
                <w:sz w:val="16"/>
                <w:szCs w:val="16"/>
                <w:lang w:eastAsia="fr-FR"/>
              </w:rPr>
              <w:t>100</w:t>
            </w:r>
          </w:p>
        </w:tc>
      </w:tr>
      <w:tr w:rsidR="00066B9C" w:rsidRPr="00C258AD" w:rsidTr="001A4D6C">
        <w:trPr>
          <w:cantSplit/>
        </w:trPr>
        <w:tc>
          <w:tcPr>
            <w:tcW w:w="630" w:type="dxa"/>
            <w:tcBorders>
              <w:top w:val="nil"/>
              <w:left w:val="single" w:sz="4" w:space="0" w:color="auto"/>
              <w:bottom w:val="nil"/>
              <w:right w:val="nil"/>
            </w:tcBorders>
            <w:shd w:val="clear" w:color="auto" w:fill="auto"/>
            <w:noWrap/>
            <w:vAlign w:val="center"/>
            <w:hideMark/>
          </w:tcPr>
          <w:p w:rsidR="00066B9C" w:rsidRPr="00C258AD" w:rsidRDefault="00066B9C" w:rsidP="001A4D6C">
            <w:pPr>
              <w:rPr>
                <w:sz w:val="16"/>
                <w:szCs w:val="16"/>
                <w:lang w:eastAsia="fr-FR"/>
              </w:rPr>
            </w:pPr>
            <w:r w:rsidRPr="00C258AD">
              <w:rPr>
                <w:sz w:val="16"/>
                <w:szCs w:val="16"/>
                <w:lang w:eastAsia="fr-FR"/>
              </w:rPr>
              <w:t>VIII.5</w:t>
            </w:r>
          </w:p>
        </w:tc>
        <w:tc>
          <w:tcPr>
            <w:tcW w:w="4599" w:type="dxa"/>
            <w:tcBorders>
              <w:top w:val="nil"/>
              <w:left w:val="nil"/>
              <w:bottom w:val="nil"/>
              <w:right w:val="nil"/>
            </w:tcBorders>
            <w:shd w:val="clear" w:color="auto" w:fill="auto"/>
            <w:vAlign w:val="center"/>
            <w:hideMark/>
          </w:tcPr>
          <w:p w:rsidR="00066B9C" w:rsidRPr="00C258AD" w:rsidRDefault="00066B9C" w:rsidP="001A4D6C">
            <w:pPr>
              <w:rPr>
                <w:sz w:val="16"/>
                <w:szCs w:val="16"/>
                <w:lang w:eastAsia="fr-FR"/>
              </w:rPr>
            </w:pPr>
            <w:r w:rsidRPr="00C258AD">
              <w:rPr>
                <w:sz w:val="16"/>
                <w:szCs w:val="16"/>
                <w:lang w:eastAsia="fr-FR"/>
              </w:rPr>
              <w:t>L’OMPI collabore efficacement avec d’autres processus et instances de négociation de l’ONU et d’autres organisations intergouvernementales</w:t>
            </w:r>
          </w:p>
        </w:tc>
        <w:tc>
          <w:tcPr>
            <w:tcW w:w="1422" w:type="dxa"/>
            <w:tcBorders>
              <w:top w:val="nil"/>
              <w:left w:val="nil"/>
              <w:bottom w:val="nil"/>
              <w:right w:val="nil"/>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noBreakHyphen/>
            </w:r>
          </w:p>
        </w:tc>
        <w:tc>
          <w:tcPr>
            <w:tcW w:w="1422" w:type="dxa"/>
            <w:tcBorders>
              <w:top w:val="nil"/>
              <w:left w:val="nil"/>
              <w:bottom w:val="nil"/>
              <w:right w:val="nil"/>
            </w:tcBorders>
            <w:shd w:val="clear" w:color="auto" w:fill="auto"/>
            <w:noWrap/>
            <w:vAlign w:val="center"/>
            <w:hideMark/>
          </w:tcPr>
          <w:p w:rsidR="00066B9C" w:rsidRPr="00C258AD" w:rsidRDefault="00066B9C" w:rsidP="001A4D6C">
            <w:pPr>
              <w:jc w:val="right"/>
              <w:rPr>
                <w:sz w:val="16"/>
                <w:szCs w:val="16"/>
                <w:lang w:eastAsia="fr-FR"/>
              </w:rPr>
            </w:pPr>
            <w:r w:rsidRPr="00C258AD">
              <w:rPr>
                <w:sz w:val="16"/>
                <w:szCs w:val="16"/>
                <w:lang w:eastAsia="fr-FR"/>
              </w:rPr>
              <w:t>229</w:t>
            </w:r>
          </w:p>
        </w:tc>
        <w:tc>
          <w:tcPr>
            <w:tcW w:w="1422" w:type="dxa"/>
            <w:tcBorders>
              <w:top w:val="nil"/>
              <w:left w:val="nil"/>
              <w:bottom w:val="nil"/>
              <w:right w:val="single" w:sz="4" w:space="0" w:color="auto"/>
            </w:tcBorders>
            <w:shd w:val="clear" w:color="auto" w:fill="auto"/>
            <w:vAlign w:val="center"/>
            <w:hideMark/>
          </w:tcPr>
          <w:p w:rsidR="00066B9C" w:rsidRPr="00C258AD" w:rsidRDefault="00066B9C" w:rsidP="001A4D6C">
            <w:pPr>
              <w:jc w:val="right"/>
              <w:rPr>
                <w:sz w:val="16"/>
                <w:szCs w:val="16"/>
                <w:lang w:eastAsia="fr-FR"/>
              </w:rPr>
            </w:pPr>
            <w:r w:rsidRPr="00C258AD">
              <w:rPr>
                <w:sz w:val="16"/>
                <w:szCs w:val="16"/>
                <w:lang w:eastAsia="fr-FR"/>
              </w:rPr>
              <w:t>231</w:t>
            </w:r>
          </w:p>
        </w:tc>
      </w:tr>
      <w:tr w:rsidR="00066B9C" w:rsidRPr="00C258AD" w:rsidTr="001A4D6C">
        <w:trPr>
          <w:cantSplit/>
        </w:trPr>
        <w:tc>
          <w:tcPr>
            <w:tcW w:w="630" w:type="dxa"/>
            <w:tcBorders>
              <w:top w:val="single" w:sz="4" w:space="0" w:color="auto"/>
              <w:left w:val="single" w:sz="4" w:space="0" w:color="auto"/>
              <w:bottom w:val="single" w:sz="4" w:space="0" w:color="auto"/>
              <w:right w:val="nil"/>
            </w:tcBorders>
            <w:shd w:val="clear" w:color="auto" w:fill="C5D9F1"/>
            <w:noWrap/>
            <w:vAlign w:val="bottom"/>
            <w:hideMark/>
          </w:tcPr>
          <w:p w:rsidR="00066B9C" w:rsidRPr="00C258AD" w:rsidRDefault="00066B9C" w:rsidP="001A4D6C">
            <w:pPr>
              <w:rPr>
                <w:sz w:val="16"/>
                <w:szCs w:val="16"/>
                <w:lang w:eastAsia="fr-FR"/>
              </w:rPr>
            </w:pPr>
            <w:r w:rsidRPr="00C258AD">
              <w:rPr>
                <w:sz w:val="16"/>
                <w:szCs w:val="16"/>
                <w:lang w:eastAsia="fr-FR"/>
              </w:rPr>
              <w:t> </w:t>
            </w:r>
          </w:p>
        </w:tc>
        <w:tc>
          <w:tcPr>
            <w:tcW w:w="4599" w:type="dxa"/>
            <w:tcBorders>
              <w:top w:val="single" w:sz="4" w:space="0" w:color="auto"/>
              <w:left w:val="nil"/>
              <w:bottom w:val="single" w:sz="4" w:space="0" w:color="auto"/>
              <w:right w:val="single" w:sz="4" w:space="0" w:color="auto"/>
            </w:tcBorders>
            <w:shd w:val="clear" w:color="auto" w:fill="C5D9F1"/>
            <w:noWrap/>
            <w:vAlign w:val="bottom"/>
            <w:hideMark/>
          </w:tcPr>
          <w:p w:rsidR="00066B9C" w:rsidRPr="00C258AD" w:rsidRDefault="00066B9C" w:rsidP="001A4D6C">
            <w:pPr>
              <w:rPr>
                <w:b/>
                <w:bCs/>
                <w:sz w:val="16"/>
                <w:szCs w:val="16"/>
                <w:lang w:eastAsia="fr-FR"/>
              </w:rPr>
            </w:pPr>
            <w:r w:rsidRPr="00C258AD">
              <w:rPr>
                <w:b/>
                <w:bCs/>
                <w:sz w:val="16"/>
                <w:szCs w:val="16"/>
                <w:lang w:eastAsia="fr-FR"/>
              </w:rPr>
              <w:t>Total</w:t>
            </w:r>
          </w:p>
        </w:tc>
        <w:tc>
          <w:tcPr>
            <w:tcW w:w="1422" w:type="dxa"/>
            <w:tcBorders>
              <w:top w:val="single" w:sz="4" w:space="0" w:color="auto"/>
              <w:left w:val="nil"/>
              <w:bottom w:val="single" w:sz="4" w:space="0" w:color="auto"/>
              <w:right w:val="single" w:sz="4" w:space="0" w:color="auto"/>
            </w:tcBorders>
            <w:shd w:val="clear" w:color="auto" w:fill="C5D9F1"/>
            <w:noWrap/>
            <w:vAlign w:val="bottom"/>
            <w:hideMark/>
          </w:tcPr>
          <w:p w:rsidR="00066B9C" w:rsidRPr="00C258AD" w:rsidRDefault="00066B9C" w:rsidP="001A4D6C">
            <w:pPr>
              <w:jc w:val="right"/>
              <w:rPr>
                <w:b/>
                <w:bCs/>
                <w:sz w:val="16"/>
                <w:szCs w:val="16"/>
                <w:lang w:eastAsia="fr-FR"/>
              </w:rPr>
            </w:pPr>
            <w:r w:rsidRPr="00C258AD">
              <w:rPr>
                <w:b/>
                <w:bCs/>
                <w:sz w:val="16"/>
                <w:szCs w:val="16"/>
                <w:lang w:eastAsia="fr-FR"/>
              </w:rPr>
              <w:t>6 938</w:t>
            </w:r>
          </w:p>
        </w:tc>
        <w:tc>
          <w:tcPr>
            <w:tcW w:w="1422" w:type="dxa"/>
            <w:tcBorders>
              <w:top w:val="single" w:sz="4" w:space="0" w:color="auto"/>
              <w:left w:val="nil"/>
              <w:bottom w:val="single" w:sz="4" w:space="0" w:color="auto"/>
              <w:right w:val="single" w:sz="4" w:space="0" w:color="auto"/>
            </w:tcBorders>
            <w:shd w:val="clear" w:color="auto" w:fill="C5D9F1"/>
            <w:noWrap/>
            <w:vAlign w:val="bottom"/>
            <w:hideMark/>
          </w:tcPr>
          <w:p w:rsidR="00066B9C" w:rsidRPr="00C258AD" w:rsidRDefault="00066B9C" w:rsidP="001A4D6C">
            <w:pPr>
              <w:jc w:val="right"/>
              <w:rPr>
                <w:b/>
                <w:bCs/>
                <w:sz w:val="16"/>
                <w:szCs w:val="16"/>
                <w:lang w:eastAsia="fr-FR"/>
              </w:rPr>
            </w:pPr>
            <w:r w:rsidRPr="00C258AD">
              <w:rPr>
                <w:b/>
                <w:bCs/>
                <w:sz w:val="16"/>
                <w:szCs w:val="16"/>
                <w:lang w:eastAsia="fr-FR"/>
              </w:rPr>
              <w:t>7 056</w:t>
            </w:r>
          </w:p>
        </w:tc>
        <w:tc>
          <w:tcPr>
            <w:tcW w:w="1422" w:type="dxa"/>
            <w:tcBorders>
              <w:top w:val="single" w:sz="4" w:space="0" w:color="auto"/>
              <w:left w:val="nil"/>
              <w:bottom w:val="single" w:sz="4" w:space="0" w:color="auto"/>
              <w:right w:val="single" w:sz="4" w:space="0" w:color="auto"/>
            </w:tcBorders>
            <w:shd w:val="clear" w:color="auto" w:fill="C5D9F1"/>
            <w:noWrap/>
            <w:vAlign w:val="bottom"/>
            <w:hideMark/>
          </w:tcPr>
          <w:p w:rsidR="00066B9C" w:rsidRPr="00C258AD" w:rsidRDefault="00066B9C" w:rsidP="001A4D6C">
            <w:pPr>
              <w:jc w:val="right"/>
              <w:rPr>
                <w:b/>
                <w:bCs/>
                <w:sz w:val="16"/>
                <w:szCs w:val="16"/>
                <w:lang w:eastAsia="fr-FR"/>
              </w:rPr>
            </w:pPr>
            <w:r w:rsidRPr="00C258AD">
              <w:rPr>
                <w:b/>
                <w:bCs/>
                <w:sz w:val="16"/>
                <w:szCs w:val="16"/>
                <w:lang w:eastAsia="fr-FR"/>
              </w:rPr>
              <w:t>6 707</w:t>
            </w:r>
          </w:p>
        </w:tc>
      </w:tr>
    </w:tbl>
    <w:p w:rsidR="006E2BB1" w:rsidRPr="00C258AD" w:rsidRDefault="006E2BB1" w:rsidP="001A4D6C"/>
    <w:p w:rsidR="006E2BB1" w:rsidRPr="00C258AD" w:rsidRDefault="006E2BB1" w:rsidP="001A4D6C"/>
    <w:p w:rsidR="006E2BB1" w:rsidRPr="00C258AD" w:rsidRDefault="00066B9C" w:rsidP="001A4D6C">
      <w:pPr>
        <w:pStyle w:val="NormalWeb"/>
        <w:keepNext/>
        <w:keepLines/>
        <w:spacing w:before="0" w:beforeAutospacing="0" w:after="0" w:afterAutospacing="0"/>
        <w:jc w:val="center"/>
        <w:rPr>
          <w:sz w:val="20"/>
          <w:szCs w:val="20"/>
        </w:rPr>
      </w:pPr>
      <w:r w:rsidRPr="00C258AD">
        <w:rPr>
          <w:sz w:val="20"/>
          <w:szCs w:val="20"/>
        </w:rPr>
        <w:lastRenderedPageBreak/>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066B9C" w:rsidP="001A4D6C">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066B9C" w:rsidRPr="00C258AD" w:rsidRDefault="00066B9C" w:rsidP="001A4D6C">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066B9C" w:rsidRPr="00C258AD" w:rsidTr="001A4D6C">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066B9C" w:rsidRPr="00C258AD" w:rsidRDefault="00066B9C" w:rsidP="001A4D6C">
            <w:pPr>
              <w:keepNext/>
              <w:rPr>
                <w:sz w:val="16"/>
                <w:szCs w:val="18"/>
                <w:lang w:eastAsia="fr-FR"/>
              </w:rPr>
            </w:pPr>
            <w:r w:rsidRPr="00C258AD">
              <w:rPr>
                <w:sz w:val="16"/>
                <w:szCs w:val="18"/>
                <w:lang w:eastAsia="fr-FR"/>
              </w:rPr>
              <w:t> </w:t>
            </w:r>
          </w:p>
        </w:tc>
        <w:tc>
          <w:tcPr>
            <w:tcW w:w="1745" w:type="dxa"/>
            <w:tcBorders>
              <w:top w:val="single" w:sz="4" w:space="0" w:color="auto"/>
              <w:left w:val="nil"/>
              <w:bottom w:val="nil"/>
              <w:right w:val="single" w:sz="4" w:space="0" w:color="auto"/>
            </w:tcBorders>
            <w:shd w:val="clear" w:color="auto" w:fill="C5D9F1"/>
            <w:vAlign w:val="center"/>
            <w:hideMark/>
          </w:tcPr>
          <w:p w:rsidR="00066B9C" w:rsidRPr="00C258AD" w:rsidRDefault="00066B9C" w:rsidP="001A4D6C">
            <w:pPr>
              <w:keepNext/>
              <w:jc w:val="center"/>
              <w:rPr>
                <w:b/>
                <w:bCs/>
                <w:sz w:val="16"/>
                <w:szCs w:val="18"/>
                <w:lang w:eastAsia="fr-FR"/>
              </w:rPr>
            </w:pPr>
            <w:r w:rsidRPr="00C258AD">
              <w:rPr>
                <w:b/>
                <w:bCs/>
                <w:sz w:val="16"/>
                <w:szCs w:val="18"/>
                <w:lang w:eastAsia="fr-FR"/>
              </w:rPr>
              <w:t>Budget 2014</w:t>
            </w:r>
            <w:r w:rsidRPr="00C258AD">
              <w:rPr>
                <w:b/>
                <w:bCs/>
                <w:sz w:val="16"/>
                <w:szCs w:val="18"/>
                <w:lang w:eastAsia="fr-FR"/>
              </w:rPr>
              <w:noBreakHyphen/>
              <w:t>2015 approuvé</w:t>
            </w:r>
          </w:p>
        </w:tc>
        <w:tc>
          <w:tcPr>
            <w:tcW w:w="1746" w:type="dxa"/>
            <w:tcBorders>
              <w:top w:val="single" w:sz="4" w:space="0" w:color="auto"/>
              <w:left w:val="nil"/>
              <w:bottom w:val="nil"/>
              <w:right w:val="single" w:sz="4" w:space="0" w:color="auto"/>
            </w:tcBorders>
            <w:shd w:val="clear" w:color="auto" w:fill="C5D9F1"/>
            <w:vAlign w:val="center"/>
            <w:hideMark/>
          </w:tcPr>
          <w:p w:rsidR="00066B9C" w:rsidRPr="00C258AD" w:rsidRDefault="00066B9C" w:rsidP="001A4D6C">
            <w:pPr>
              <w:keepNext/>
              <w:jc w:val="center"/>
              <w:rPr>
                <w:b/>
                <w:bCs/>
                <w:sz w:val="16"/>
                <w:szCs w:val="18"/>
                <w:lang w:eastAsia="fr-FR"/>
              </w:rPr>
            </w:pPr>
            <w:r w:rsidRPr="00C258AD">
              <w:rPr>
                <w:b/>
                <w:bCs/>
                <w:sz w:val="16"/>
                <w:szCs w:val="18"/>
                <w:lang w:eastAsia="fr-FR"/>
              </w:rPr>
              <w:t>Budget final 2014</w:t>
            </w:r>
            <w:r w:rsidRPr="00C258AD">
              <w:rPr>
                <w:b/>
                <w:bCs/>
                <w:sz w:val="16"/>
                <w:szCs w:val="18"/>
                <w:lang w:eastAsia="fr-FR"/>
              </w:rPr>
              <w:noBreakHyphen/>
              <w:t>2015</w:t>
            </w:r>
            <w:r w:rsidRPr="00C258AD">
              <w:rPr>
                <w:b/>
                <w:bCs/>
                <w:sz w:val="16"/>
                <w:szCs w:val="18"/>
                <w:lang w:eastAsia="fr-FR"/>
              </w:rPr>
              <w:br/>
              <w:t>après virements</w:t>
            </w:r>
          </w:p>
        </w:tc>
        <w:tc>
          <w:tcPr>
            <w:tcW w:w="1745" w:type="dxa"/>
            <w:tcBorders>
              <w:top w:val="single" w:sz="4" w:space="0" w:color="auto"/>
              <w:left w:val="nil"/>
              <w:bottom w:val="nil"/>
              <w:right w:val="single" w:sz="4" w:space="0" w:color="auto"/>
            </w:tcBorders>
            <w:shd w:val="clear" w:color="auto" w:fill="C5D9F1"/>
            <w:vAlign w:val="center"/>
            <w:hideMark/>
          </w:tcPr>
          <w:p w:rsidR="00066B9C" w:rsidRPr="00C258AD" w:rsidRDefault="00066B9C" w:rsidP="001A4D6C">
            <w:pPr>
              <w:keepNext/>
              <w:jc w:val="center"/>
              <w:rPr>
                <w:b/>
                <w:bCs/>
                <w:sz w:val="16"/>
                <w:szCs w:val="18"/>
                <w:lang w:eastAsia="fr-FR"/>
              </w:rPr>
            </w:pPr>
            <w:r w:rsidRPr="00C258AD">
              <w:rPr>
                <w:b/>
                <w:bCs/>
                <w:sz w:val="16"/>
                <w:szCs w:val="18"/>
                <w:lang w:eastAsia="fr-FR"/>
              </w:rPr>
              <w:t xml:space="preserve">Dépenses </w:t>
            </w:r>
            <w:r w:rsidRPr="00C258AD">
              <w:rPr>
                <w:b/>
                <w:bCs/>
                <w:sz w:val="16"/>
                <w:szCs w:val="18"/>
                <w:lang w:eastAsia="fr-FR"/>
              </w:rPr>
              <w:br/>
              <w:t>2014</w:t>
            </w:r>
            <w:r w:rsidRPr="00C258AD">
              <w:rPr>
                <w:b/>
                <w:bCs/>
                <w:sz w:val="16"/>
                <w:szCs w:val="18"/>
                <w:lang w:eastAsia="fr-FR"/>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066B9C" w:rsidRPr="00C258AD" w:rsidRDefault="00066B9C" w:rsidP="001A4D6C">
            <w:pPr>
              <w:keepNext/>
              <w:jc w:val="center"/>
              <w:rPr>
                <w:b/>
                <w:bCs/>
                <w:sz w:val="16"/>
                <w:szCs w:val="18"/>
                <w:lang w:eastAsia="fr-FR"/>
              </w:rPr>
            </w:pPr>
            <w:r w:rsidRPr="00C258AD">
              <w:rPr>
                <w:b/>
                <w:bCs/>
                <w:sz w:val="16"/>
                <w:szCs w:val="18"/>
                <w:lang w:eastAsia="fr-FR"/>
              </w:rPr>
              <w:t>Taux d’utilisation (%)</w:t>
            </w:r>
          </w:p>
        </w:tc>
      </w:tr>
      <w:tr w:rsidR="00066B9C"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066B9C" w:rsidRPr="00C258AD" w:rsidRDefault="00066B9C" w:rsidP="001A4D6C">
            <w:pPr>
              <w:keepNext/>
              <w:rPr>
                <w:sz w:val="16"/>
                <w:szCs w:val="18"/>
                <w:lang w:eastAsia="fr-FR"/>
              </w:rPr>
            </w:pPr>
            <w:r w:rsidRPr="00C258AD">
              <w:rPr>
                <w:sz w:val="16"/>
                <w:szCs w:val="18"/>
                <w:lang w:eastAsia="fr-FR"/>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066B9C" w:rsidRPr="00C258AD" w:rsidRDefault="00066B9C" w:rsidP="001A4D6C">
            <w:pPr>
              <w:keepNext/>
              <w:jc w:val="center"/>
              <w:rPr>
                <w:sz w:val="16"/>
                <w:szCs w:val="18"/>
                <w:lang w:eastAsia="fr-FR"/>
              </w:rPr>
            </w:pPr>
            <w:r w:rsidRPr="00C258AD">
              <w:rPr>
                <w:sz w:val="16"/>
                <w:szCs w:val="18"/>
                <w:lang w:eastAsia="fr-FR"/>
              </w:rPr>
              <w:t>6 008</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066B9C" w:rsidRPr="00C258AD" w:rsidRDefault="00066B9C" w:rsidP="001A4D6C">
            <w:pPr>
              <w:keepNext/>
              <w:jc w:val="center"/>
              <w:rPr>
                <w:sz w:val="16"/>
                <w:szCs w:val="18"/>
                <w:lang w:eastAsia="fr-FR"/>
              </w:rPr>
            </w:pPr>
            <w:r w:rsidRPr="00C258AD">
              <w:rPr>
                <w:sz w:val="16"/>
                <w:szCs w:val="18"/>
                <w:lang w:eastAsia="fr-FR"/>
              </w:rPr>
              <w:t>5 715</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066B9C" w:rsidRPr="00C258AD" w:rsidRDefault="00066B9C" w:rsidP="001A4D6C">
            <w:pPr>
              <w:keepNext/>
              <w:jc w:val="center"/>
              <w:rPr>
                <w:sz w:val="16"/>
                <w:szCs w:val="18"/>
                <w:lang w:eastAsia="fr-FR"/>
              </w:rPr>
            </w:pPr>
            <w:r w:rsidRPr="00C258AD">
              <w:rPr>
                <w:sz w:val="16"/>
                <w:szCs w:val="18"/>
                <w:lang w:eastAsia="fr-FR"/>
              </w:rPr>
              <w:t>5 490</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066B9C" w:rsidRPr="00C258AD" w:rsidRDefault="00066B9C" w:rsidP="001A4D6C">
            <w:pPr>
              <w:keepNext/>
              <w:jc w:val="center"/>
              <w:rPr>
                <w:sz w:val="16"/>
                <w:szCs w:val="18"/>
                <w:lang w:eastAsia="fr-FR"/>
              </w:rPr>
            </w:pPr>
            <w:r w:rsidRPr="00C258AD">
              <w:rPr>
                <w:sz w:val="16"/>
                <w:szCs w:val="18"/>
                <w:lang w:eastAsia="fr-FR"/>
              </w:rPr>
              <w:t>96%</w:t>
            </w:r>
          </w:p>
        </w:tc>
      </w:tr>
      <w:tr w:rsidR="00066B9C"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066B9C" w:rsidRPr="00C258AD" w:rsidRDefault="00066B9C" w:rsidP="001A4D6C">
            <w:pPr>
              <w:keepNext/>
              <w:rPr>
                <w:sz w:val="16"/>
                <w:szCs w:val="18"/>
                <w:lang w:eastAsia="fr-FR"/>
              </w:rPr>
            </w:pPr>
            <w:r w:rsidRPr="00C258AD">
              <w:rPr>
                <w:sz w:val="16"/>
                <w:szCs w:val="18"/>
                <w:lang w:eastAsia="fr-FR"/>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066B9C" w:rsidRPr="00C258AD" w:rsidRDefault="00066B9C" w:rsidP="001A4D6C">
            <w:pPr>
              <w:keepNext/>
              <w:jc w:val="center"/>
              <w:rPr>
                <w:sz w:val="16"/>
                <w:szCs w:val="18"/>
                <w:lang w:eastAsia="fr-FR"/>
              </w:rPr>
            </w:pPr>
            <w:r w:rsidRPr="00C258AD">
              <w:rPr>
                <w:sz w:val="16"/>
                <w:szCs w:val="18"/>
                <w:lang w:eastAsia="fr-FR"/>
              </w:rPr>
              <w:t>930</w:t>
            </w:r>
          </w:p>
        </w:tc>
        <w:tc>
          <w:tcPr>
            <w:tcW w:w="1746" w:type="dxa"/>
            <w:tcBorders>
              <w:top w:val="nil"/>
              <w:left w:val="nil"/>
              <w:bottom w:val="single" w:sz="4" w:space="0" w:color="auto"/>
              <w:right w:val="single" w:sz="4" w:space="0" w:color="auto"/>
            </w:tcBorders>
            <w:shd w:val="clear" w:color="auto" w:fill="auto"/>
            <w:vAlign w:val="center"/>
            <w:hideMark/>
          </w:tcPr>
          <w:p w:rsidR="00066B9C" w:rsidRPr="00C258AD" w:rsidRDefault="00066B9C" w:rsidP="001A4D6C">
            <w:pPr>
              <w:keepNext/>
              <w:jc w:val="center"/>
              <w:rPr>
                <w:sz w:val="16"/>
                <w:szCs w:val="18"/>
                <w:lang w:eastAsia="fr-FR"/>
              </w:rPr>
            </w:pPr>
            <w:r w:rsidRPr="00C258AD">
              <w:rPr>
                <w:sz w:val="16"/>
                <w:szCs w:val="18"/>
                <w:lang w:eastAsia="fr-FR"/>
              </w:rPr>
              <w:t>1 341</w:t>
            </w:r>
          </w:p>
        </w:tc>
        <w:tc>
          <w:tcPr>
            <w:tcW w:w="1745" w:type="dxa"/>
            <w:tcBorders>
              <w:top w:val="nil"/>
              <w:left w:val="nil"/>
              <w:bottom w:val="single" w:sz="4" w:space="0" w:color="auto"/>
              <w:right w:val="single" w:sz="4" w:space="0" w:color="auto"/>
            </w:tcBorders>
            <w:shd w:val="clear" w:color="auto" w:fill="auto"/>
            <w:vAlign w:val="center"/>
            <w:hideMark/>
          </w:tcPr>
          <w:p w:rsidR="00066B9C" w:rsidRPr="00C258AD" w:rsidRDefault="00066B9C" w:rsidP="001A4D6C">
            <w:pPr>
              <w:keepNext/>
              <w:jc w:val="center"/>
              <w:rPr>
                <w:sz w:val="16"/>
                <w:szCs w:val="18"/>
                <w:lang w:eastAsia="fr-FR"/>
              </w:rPr>
            </w:pPr>
            <w:r w:rsidRPr="00C258AD">
              <w:rPr>
                <w:sz w:val="16"/>
                <w:szCs w:val="18"/>
                <w:lang w:eastAsia="fr-FR"/>
              </w:rPr>
              <w:t>1 216</w:t>
            </w:r>
          </w:p>
        </w:tc>
        <w:tc>
          <w:tcPr>
            <w:tcW w:w="1746" w:type="dxa"/>
            <w:tcBorders>
              <w:top w:val="nil"/>
              <w:left w:val="nil"/>
              <w:bottom w:val="single" w:sz="4" w:space="0" w:color="auto"/>
              <w:right w:val="single" w:sz="4" w:space="0" w:color="auto"/>
            </w:tcBorders>
            <w:shd w:val="clear" w:color="auto" w:fill="auto"/>
            <w:vAlign w:val="center"/>
            <w:hideMark/>
          </w:tcPr>
          <w:p w:rsidR="00066B9C" w:rsidRPr="00C258AD" w:rsidRDefault="00066B9C" w:rsidP="001A4D6C">
            <w:pPr>
              <w:keepNext/>
              <w:jc w:val="center"/>
              <w:rPr>
                <w:sz w:val="16"/>
                <w:szCs w:val="18"/>
                <w:lang w:eastAsia="fr-FR"/>
              </w:rPr>
            </w:pPr>
            <w:r w:rsidRPr="00C258AD">
              <w:rPr>
                <w:sz w:val="16"/>
                <w:szCs w:val="18"/>
                <w:lang w:eastAsia="fr-FR"/>
              </w:rPr>
              <w:t>91%</w:t>
            </w:r>
          </w:p>
        </w:tc>
      </w:tr>
      <w:tr w:rsidR="00066B9C"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066B9C" w:rsidRPr="00C258AD" w:rsidRDefault="00066B9C" w:rsidP="001A4D6C">
            <w:pPr>
              <w:keepNext/>
              <w:jc w:val="right"/>
              <w:rPr>
                <w:b/>
                <w:bCs/>
                <w:sz w:val="16"/>
                <w:szCs w:val="18"/>
                <w:lang w:eastAsia="fr-FR"/>
              </w:rPr>
            </w:pPr>
            <w:r w:rsidRPr="00C258AD">
              <w:rPr>
                <w:b/>
                <w:bCs/>
                <w:sz w:val="16"/>
                <w:szCs w:val="18"/>
                <w:lang w:eastAsia="fr-FR"/>
              </w:rPr>
              <w:t>TOTAL</w:t>
            </w:r>
          </w:p>
        </w:tc>
        <w:tc>
          <w:tcPr>
            <w:tcW w:w="1745" w:type="dxa"/>
            <w:tcBorders>
              <w:top w:val="nil"/>
              <w:left w:val="nil"/>
              <w:bottom w:val="single" w:sz="4" w:space="0" w:color="auto"/>
              <w:right w:val="single" w:sz="4" w:space="0" w:color="auto"/>
            </w:tcBorders>
            <w:shd w:val="clear" w:color="auto" w:fill="auto"/>
            <w:vAlign w:val="center"/>
            <w:hideMark/>
          </w:tcPr>
          <w:p w:rsidR="00066B9C" w:rsidRPr="00C258AD" w:rsidRDefault="00066B9C" w:rsidP="001A4D6C">
            <w:pPr>
              <w:keepNext/>
              <w:jc w:val="center"/>
              <w:rPr>
                <w:b/>
                <w:bCs/>
                <w:sz w:val="16"/>
                <w:szCs w:val="18"/>
                <w:lang w:eastAsia="fr-FR"/>
              </w:rPr>
            </w:pPr>
            <w:r w:rsidRPr="00C258AD">
              <w:rPr>
                <w:b/>
                <w:bCs/>
                <w:sz w:val="16"/>
                <w:szCs w:val="18"/>
                <w:lang w:eastAsia="fr-FR"/>
              </w:rPr>
              <w:t>6 938</w:t>
            </w:r>
          </w:p>
        </w:tc>
        <w:tc>
          <w:tcPr>
            <w:tcW w:w="1746" w:type="dxa"/>
            <w:tcBorders>
              <w:top w:val="nil"/>
              <w:left w:val="nil"/>
              <w:bottom w:val="single" w:sz="4" w:space="0" w:color="auto"/>
              <w:right w:val="single" w:sz="4" w:space="0" w:color="auto"/>
            </w:tcBorders>
            <w:shd w:val="clear" w:color="auto" w:fill="auto"/>
            <w:vAlign w:val="center"/>
            <w:hideMark/>
          </w:tcPr>
          <w:p w:rsidR="00066B9C" w:rsidRPr="00C258AD" w:rsidRDefault="00066B9C" w:rsidP="001A4D6C">
            <w:pPr>
              <w:keepNext/>
              <w:jc w:val="center"/>
              <w:rPr>
                <w:b/>
                <w:bCs/>
                <w:sz w:val="16"/>
                <w:szCs w:val="18"/>
                <w:lang w:eastAsia="fr-FR"/>
              </w:rPr>
            </w:pPr>
            <w:r w:rsidRPr="00C258AD">
              <w:rPr>
                <w:b/>
                <w:bCs/>
                <w:sz w:val="16"/>
                <w:szCs w:val="18"/>
                <w:lang w:eastAsia="fr-FR"/>
              </w:rPr>
              <w:t>7 056</w:t>
            </w:r>
          </w:p>
        </w:tc>
        <w:tc>
          <w:tcPr>
            <w:tcW w:w="1745" w:type="dxa"/>
            <w:tcBorders>
              <w:top w:val="nil"/>
              <w:left w:val="nil"/>
              <w:bottom w:val="single" w:sz="4" w:space="0" w:color="auto"/>
              <w:right w:val="single" w:sz="4" w:space="0" w:color="auto"/>
            </w:tcBorders>
            <w:shd w:val="clear" w:color="auto" w:fill="auto"/>
            <w:vAlign w:val="center"/>
            <w:hideMark/>
          </w:tcPr>
          <w:p w:rsidR="00066B9C" w:rsidRPr="00C258AD" w:rsidRDefault="00066B9C" w:rsidP="001A4D6C">
            <w:pPr>
              <w:keepNext/>
              <w:jc w:val="center"/>
              <w:rPr>
                <w:b/>
                <w:bCs/>
                <w:sz w:val="16"/>
                <w:szCs w:val="18"/>
                <w:lang w:eastAsia="fr-FR"/>
              </w:rPr>
            </w:pPr>
            <w:r w:rsidRPr="00C258AD">
              <w:rPr>
                <w:b/>
                <w:bCs/>
                <w:sz w:val="16"/>
                <w:szCs w:val="18"/>
                <w:lang w:eastAsia="fr-FR"/>
              </w:rPr>
              <w:t>6 707</w:t>
            </w:r>
          </w:p>
        </w:tc>
        <w:tc>
          <w:tcPr>
            <w:tcW w:w="1746" w:type="dxa"/>
            <w:tcBorders>
              <w:top w:val="nil"/>
              <w:left w:val="nil"/>
              <w:bottom w:val="single" w:sz="4" w:space="0" w:color="auto"/>
              <w:right w:val="single" w:sz="4" w:space="0" w:color="auto"/>
            </w:tcBorders>
            <w:shd w:val="clear" w:color="auto" w:fill="auto"/>
            <w:vAlign w:val="center"/>
            <w:hideMark/>
          </w:tcPr>
          <w:p w:rsidR="00066B9C" w:rsidRPr="00C258AD" w:rsidRDefault="00066B9C" w:rsidP="001A4D6C">
            <w:pPr>
              <w:keepNext/>
              <w:jc w:val="center"/>
              <w:rPr>
                <w:b/>
                <w:bCs/>
                <w:sz w:val="16"/>
                <w:szCs w:val="18"/>
                <w:lang w:eastAsia="fr-FR"/>
              </w:rPr>
            </w:pPr>
            <w:r w:rsidRPr="00C258AD">
              <w:rPr>
                <w:b/>
                <w:bCs/>
                <w:sz w:val="16"/>
                <w:szCs w:val="18"/>
                <w:lang w:eastAsia="fr-FR"/>
              </w:rPr>
              <w:t>95%</w:t>
            </w:r>
          </w:p>
        </w:tc>
      </w:tr>
    </w:tbl>
    <w:p w:rsidR="006E2BB1" w:rsidRPr="00C258AD" w:rsidRDefault="006E2BB1" w:rsidP="001A4D6C">
      <w:pPr>
        <w:widowControl w:val="0"/>
        <w:autoSpaceDE w:val="0"/>
        <w:autoSpaceDN w:val="0"/>
        <w:adjustRightInd w:val="0"/>
        <w:jc w:val="both"/>
      </w:pPr>
    </w:p>
    <w:p w:rsidR="006E2BB1" w:rsidRPr="00C258AD" w:rsidRDefault="006E2BB1" w:rsidP="001A4D6C">
      <w:pPr>
        <w:widowControl w:val="0"/>
        <w:autoSpaceDE w:val="0"/>
        <w:autoSpaceDN w:val="0"/>
        <w:adjustRightInd w:val="0"/>
        <w:jc w:val="both"/>
      </w:pPr>
    </w:p>
    <w:p w:rsidR="006E2BB1" w:rsidRPr="00C258AD" w:rsidRDefault="00066B9C" w:rsidP="001A4D6C">
      <w:pPr>
        <w:keepNext/>
        <w:keepLines/>
        <w:rPr>
          <w:u w:val="single"/>
        </w:rPr>
      </w:pPr>
      <w:r w:rsidRPr="00C258AD">
        <w:t>A.</w:t>
      </w:r>
      <w:r w:rsidRPr="00C258AD">
        <w:tab/>
      </w:r>
      <w:r w:rsidRPr="00C258AD">
        <w:rPr>
          <w:u w:val="single"/>
        </w:rPr>
        <w:t>Budget final 2014</w:t>
      </w:r>
      <w:r w:rsidRPr="00C258AD">
        <w:rPr>
          <w:szCs w:val="22"/>
          <w:u w:val="single"/>
        </w:rPr>
        <w:noBreakHyphen/>
        <w:t>20</w:t>
      </w:r>
      <w:r w:rsidRPr="00C258AD">
        <w:rPr>
          <w:u w:val="single"/>
        </w:rPr>
        <w:t>15 après virements</w:t>
      </w:r>
    </w:p>
    <w:p w:rsidR="006E2BB1" w:rsidRPr="00C258AD" w:rsidRDefault="006E2BB1" w:rsidP="001A4D6C">
      <w:pPr>
        <w:keepNext/>
        <w:keepLines/>
        <w:rPr>
          <w:lang w:eastAsia="ko-KR"/>
        </w:rPr>
      </w:pPr>
    </w:p>
    <w:p w:rsidR="006E2BB1" w:rsidRPr="00C258AD" w:rsidRDefault="00066B9C" w:rsidP="00066B9C">
      <w:pPr>
        <w:pStyle w:val="ListParagraph"/>
        <w:keepNext/>
        <w:keepLines/>
        <w:numPr>
          <w:ilvl w:val="0"/>
          <w:numId w:val="49"/>
        </w:numPr>
        <w:tabs>
          <w:tab w:val="left" w:pos="709"/>
        </w:tabs>
        <w:jc w:val="both"/>
        <w:rPr>
          <w:lang w:eastAsia="ko-KR"/>
        </w:rPr>
      </w:pPr>
      <w:r w:rsidRPr="00C258AD">
        <w:rPr>
          <w:lang w:eastAsia="ko-KR"/>
        </w:rPr>
        <w:t>La nette baisse des dépenses de personnel s’explique par : i) le transfert temporaire d’un fonctionnaire au programme 6 en vue de faciliter les travaux liés aux nouvelles adhésions au système de Madrid;  et ii) </w:t>
      </w:r>
      <w:r w:rsidRPr="00C258AD">
        <w:rPr>
          <w:bCs/>
          <w:color w:val="000000" w:themeColor="text1"/>
        </w:rPr>
        <w:t>le transfert d’un fonctionnaire du fait de changements organisationnels suite à l’entrée en fonction de la nouvelle Équipe de haute direction en décembre 2014</w:t>
      </w:r>
      <w:r w:rsidRPr="00C258AD">
        <w:rPr>
          <w:lang w:eastAsia="ko-KR"/>
        </w:rPr>
        <w:t>.</w:t>
      </w:r>
    </w:p>
    <w:p w:rsidR="006E2BB1" w:rsidRPr="00C258AD" w:rsidRDefault="006E2BB1" w:rsidP="001A4D6C">
      <w:pPr>
        <w:autoSpaceDE w:val="0"/>
        <w:autoSpaceDN w:val="0"/>
        <w:jc w:val="both"/>
        <w:rPr>
          <w:lang w:eastAsia="ko-KR"/>
        </w:rPr>
      </w:pPr>
    </w:p>
    <w:p w:rsidR="006E2BB1" w:rsidRPr="00C258AD" w:rsidRDefault="00066B9C" w:rsidP="00066B9C">
      <w:pPr>
        <w:pStyle w:val="ListParagraph"/>
        <w:numPr>
          <w:ilvl w:val="0"/>
          <w:numId w:val="49"/>
        </w:numPr>
        <w:tabs>
          <w:tab w:val="left" w:pos="709"/>
        </w:tabs>
        <w:jc w:val="both"/>
        <w:rPr>
          <w:lang w:eastAsia="ko-KR"/>
        </w:rPr>
      </w:pPr>
      <w:r w:rsidRPr="00C258AD">
        <w:rPr>
          <w:lang w:eastAsia="ko-KR"/>
        </w:rPr>
        <w:t>L’augmentation des dépenses hors personnel est due : i) au transfert de fonds des programmes 6 et 9 pour les services contractuels pour compenser les transferts temporaires des fonctionnaires susmentionnés afin d’assurer la continuité des opérations des plateformes et des applications informatiques de l’OMPI dans le secteur des questions mondiales;  ii) </w:t>
      </w:r>
      <w:r w:rsidRPr="00C258AD">
        <w:rPr>
          <w:bCs/>
          <w:color w:val="000000" w:themeColor="text1"/>
        </w:rPr>
        <w:t xml:space="preserve">au transfert de ressources hors personnel supplémentaires afin de soutenir l’utilisation accrue des plateformes de l’OMPI et les améliorations qui leur sont apportées;  et iii) au transfert de fonds additionnels afin de couvrir les obligations de l’OMPI relatives à WIPO </w:t>
      </w:r>
      <w:proofErr w:type="spellStart"/>
      <w:r w:rsidRPr="00C258AD">
        <w:rPr>
          <w:bCs/>
          <w:color w:val="000000" w:themeColor="text1"/>
        </w:rPr>
        <w:t>Re:Search</w:t>
      </w:r>
      <w:proofErr w:type="spellEnd"/>
      <w:r w:rsidRPr="00C258AD">
        <w:rPr>
          <w:bCs/>
          <w:color w:val="000000" w:themeColor="text1"/>
        </w:rPr>
        <w:t xml:space="preserve"> conformément au mémorandum d’accord signé avec Bio Ventures for Global </w:t>
      </w:r>
      <w:proofErr w:type="spellStart"/>
      <w:r w:rsidRPr="00C258AD">
        <w:rPr>
          <w:bCs/>
          <w:color w:val="000000" w:themeColor="text1"/>
        </w:rPr>
        <w:t>Health</w:t>
      </w:r>
      <w:proofErr w:type="spellEnd"/>
      <w:r w:rsidRPr="00C258AD">
        <w:rPr>
          <w:bCs/>
          <w:color w:val="000000" w:themeColor="text1"/>
        </w:rPr>
        <w:t>.</w:t>
      </w:r>
    </w:p>
    <w:p w:rsidR="006E2BB1" w:rsidRPr="00C258AD" w:rsidRDefault="006E2BB1" w:rsidP="001A4D6C">
      <w:pPr>
        <w:autoSpaceDE w:val="0"/>
        <w:autoSpaceDN w:val="0"/>
        <w:jc w:val="both"/>
        <w:rPr>
          <w:lang w:eastAsia="ko-KR"/>
        </w:rPr>
      </w:pPr>
    </w:p>
    <w:p w:rsidR="006E2BB1" w:rsidRPr="00C258AD" w:rsidRDefault="00066B9C" w:rsidP="00066B9C">
      <w:pPr>
        <w:pStyle w:val="ListParagraph"/>
        <w:numPr>
          <w:ilvl w:val="0"/>
          <w:numId w:val="49"/>
        </w:numPr>
        <w:tabs>
          <w:tab w:val="left" w:pos="709"/>
        </w:tabs>
        <w:jc w:val="both"/>
        <w:rPr>
          <w:lang w:eastAsia="ko-KR"/>
        </w:rPr>
      </w:pPr>
      <w:r w:rsidRPr="00C258AD">
        <w:rPr>
          <w:lang w:eastAsia="ko-KR"/>
        </w:rPr>
        <w:t>D’une manière générale, les ajustements apportés aux résultats escomptés dans le budget final 2014</w:t>
      </w:r>
      <w:r w:rsidRPr="00C258AD">
        <w:rPr>
          <w:lang w:eastAsia="ko-KR"/>
        </w:rPr>
        <w:noBreakHyphen/>
        <w:t>2015 après virements découlent de l’application d’une nouvelle méthode plus précise d’affectation des ressources en personnel résultant des améliorations apportées au système de gestion des performances pour les exercices annuels 2014 et 2015 de planification des activités.</w:t>
      </w:r>
    </w:p>
    <w:p w:rsidR="006E2BB1" w:rsidRPr="00C258AD" w:rsidRDefault="006E2BB1" w:rsidP="001A4D6C">
      <w:pPr>
        <w:autoSpaceDE w:val="0"/>
        <w:autoSpaceDN w:val="0"/>
        <w:jc w:val="both"/>
        <w:rPr>
          <w:lang w:eastAsia="ko-KR"/>
        </w:rPr>
      </w:pPr>
    </w:p>
    <w:p w:rsidR="006E2BB1" w:rsidRPr="00C258AD" w:rsidRDefault="00066B9C" w:rsidP="00066B9C">
      <w:pPr>
        <w:pStyle w:val="ListParagraph"/>
        <w:numPr>
          <w:ilvl w:val="0"/>
          <w:numId w:val="49"/>
        </w:numPr>
        <w:tabs>
          <w:tab w:val="left" w:pos="709"/>
        </w:tabs>
        <w:jc w:val="both"/>
      </w:pPr>
      <w:r w:rsidRPr="00C258AD">
        <w:t>Les ressources liées aux résultats escomptés I.1, II.8, II.9, VI.1, VI.2 et VIII.5 dans le cadre du présent programme témoignent des efforts déployés par le Bureau du sous</w:t>
      </w:r>
      <w:r w:rsidRPr="00C258AD">
        <w:noBreakHyphen/>
        <w:t>directeur général, Secteur des questions mondiales, aux fins des activités menées au titre des programmes 4, 7, 17 et 20.</w:t>
      </w:r>
    </w:p>
    <w:p w:rsidR="006E2BB1" w:rsidRPr="00C258AD" w:rsidRDefault="006E2BB1" w:rsidP="001A4D6C">
      <w:pPr>
        <w:autoSpaceDE w:val="0"/>
        <w:autoSpaceDN w:val="0"/>
        <w:jc w:val="both"/>
        <w:rPr>
          <w:lang w:eastAsia="ko-KR"/>
        </w:rPr>
      </w:pPr>
    </w:p>
    <w:p w:rsidR="006E2BB1" w:rsidRPr="00C258AD" w:rsidRDefault="006E2BB1" w:rsidP="001A4D6C">
      <w:pPr>
        <w:autoSpaceDE w:val="0"/>
        <w:autoSpaceDN w:val="0"/>
        <w:jc w:val="both"/>
        <w:rPr>
          <w:lang w:eastAsia="ko-KR"/>
        </w:rPr>
      </w:pPr>
    </w:p>
    <w:p w:rsidR="006E2BB1" w:rsidRPr="00C258AD" w:rsidRDefault="00066B9C" w:rsidP="001A4D6C">
      <w:pPr>
        <w:jc w:val="both"/>
        <w:rPr>
          <w:u w:val="single"/>
          <w:lang w:eastAsia="ko-KR"/>
        </w:rPr>
      </w:pPr>
      <w:r w:rsidRPr="00C258AD">
        <w:rPr>
          <w:lang w:eastAsia="ko-KR"/>
        </w:rPr>
        <w:t>B.</w:t>
      </w:r>
      <w:r w:rsidRPr="00C258AD">
        <w:rPr>
          <w:lang w:eastAsia="ko-KR"/>
        </w:rPr>
        <w:tab/>
      </w:r>
      <w:r w:rsidRPr="00C258AD">
        <w:rPr>
          <w:u w:val="single"/>
          <w:lang w:eastAsia="ko-KR"/>
        </w:rPr>
        <w:t>Utilisation du budget en 2014</w:t>
      </w:r>
      <w:r w:rsidRPr="00C258AD">
        <w:rPr>
          <w:u w:val="single"/>
          <w:lang w:eastAsia="ko-KR"/>
        </w:rPr>
        <w:noBreakHyphen/>
        <w:t>2015</w:t>
      </w:r>
    </w:p>
    <w:p w:rsidR="006E2BB1" w:rsidRPr="00C258AD" w:rsidRDefault="006E2BB1" w:rsidP="001A4D6C">
      <w:pPr>
        <w:tabs>
          <w:tab w:val="left" w:pos="709"/>
        </w:tabs>
        <w:jc w:val="both"/>
        <w:rPr>
          <w:u w:val="single"/>
          <w:lang w:eastAsia="ko-KR"/>
        </w:rPr>
      </w:pPr>
    </w:p>
    <w:p w:rsidR="006E2BB1" w:rsidRPr="00C258AD" w:rsidRDefault="00066B9C" w:rsidP="00066B9C">
      <w:pPr>
        <w:pStyle w:val="ListParagraph"/>
        <w:numPr>
          <w:ilvl w:val="0"/>
          <w:numId w:val="49"/>
        </w:numPr>
        <w:tabs>
          <w:tab w:val="left" w:pos="709"/>
        </w:tabs>
        <w:autoSpaceDE w:val="0"/>
        <w:autoSpaceDN w:val="0"/>
        <w:jc w:val="both"/>
      </w:pPr>
      <w:r w:rsidRPr="00C258AD">
        <w:t>La légère sous</w:t>
      </w:r>
      <w:r w:rsidRPr="00C258AD">
        <w:noBreakHyphen/>
        <w:t>utilisation des ressources hors personnel traduit : i) les économies réalisées, en particulier en ce qui concerne les voyages et l’organisation de réunions;  et ii) </w:t>
      </w:r>
      <w:r w:rsidRPr="00C258AD">
        <w:rPr>
          <w:bCs/>
          <w:color w:val="000000" w:themeColor="text1"/>
        </w:rPr>
        <w:t>le départ à la retraite du directeur de la Division de la propriété intellectuelle et de la politique en matière de concurrence à la mi</w:t>
      </w:r>
      <w:r w:rsidRPr="00C258AD">
        <w:rPr>
          <w:bCs/>
          <w:color w:val="000000" w:themeColor="text1"/>
        </w:rPr>
        <w:noBreakHyphen/>
        <w:t>2015</w:t>
      </w:r>
      <w:r w:rsidRPr="00C258AD">
        <w:t>.</w:t>
      </w:r>
    </w:p>
    <w:p w:rsidR="006E2BB1" w:rsidRPr="00C258AD" w:rsidRDefault="006E2BB1" w:rsidP="00066B9C">
      <w:pPr>
        <w:rPr>
          <w:lang w:eastAsia="ko-KR"/>
        </w:rPr>
      </w:pPr>
    </w:p>
    <w:p w:rsidR="006E2BB1" w:rsidRPr="00C258AD" w:rsidRDefault="005A1C92">
      <w:pPr>
        <w:spacing w:after="200" w:line="276" w:lineRule="auto"/>
        <w:rPr>
          <w:rFonts w:cs="Arial"/>
          <w:b/>
          <w:bCs/>
          <w:iCs/>
          <w:caps/>
          <w:sz w:val="22"/>
          <w:szCs w:val="28"/>
          <w:lang w:eastAsia="ko-KR"/>
        </w:rPr>
      </w:pPr>
      <w:r w:rsidRPr="00C258AD">
        <w:rPr>
          <w:lang w:eastAsia="ko-KR"/>
        </w:rPr>
        <w:br w:type="page"/>
      </w:r>
    </w:p>
    <w:p w:rsidR="00431966" w:rsidRPr="00C258AD" w:rsidRDefault="00431966" w:rsidP="00431966">
      <w:pPr>
        <w:pStyle w:val="StyleHeading214ptAuto"/>
        <w:jc w:val="center"/>
        <w:rPr>
          <w:lang w:val="fr-FR"/>
        </w:rPr>
      </w:pPr>
      <w:bookmarkStart w:id="140" w:name="_Toc455394204"/>
      <w:bookmarkStart w:id="141" w:name="_Toc367350598"/>
      <w:bookmarkStart w:id="142" w:name="_Toc422404244"/>
      <w:bookmarkStart w:id="143" w:name="_Toc423352892"/>
      <w:r w:rsidRPr="00C258AD">
        <w:rPr>
          <w:lang w:val="fr-FR"/>
        </w:rPr>
        <w:lastRenderedPageBreak/>
        <w:t>OBJECTIF STRATÉGIQUE VIII</w:t>
      </w:r>
      <w:bookmarkEnd w:id="140"/>
    </w:p>
    <w:p w:rsidR="00431966" w:rsidRPr="00C258AD" w:rsidRDefault="00431966" w:rsidP="00431966">
      <w:pPr>
        <w:jc w:val="center"/>
      </w:pPr>
    </w:p>
    <w:bookmarkEnd w:id="141"/>
    <w:p w:rsidR="00431966" w:rsidRPr="00C258AD" w:rsidRDefault="00431966" w:rsidP="00431966">
      <w:pPr>
        <w:jc w:val="center"/>
      </w:pPr>
      <w:r w:rsidRPr="00C258AD">
        <w:rPr>
          <w:b/>
        </w:rPr>
        <w:t>INTERFACE DE COMMUNICATION DYNAMIQUE ENTRE L’OMPI, SES ÉTATS MEMBRES ET L’ENSEMBLE DES PARTIES PRENANTES</w:t>
      </w:r>
    </w:p>
    <w:p w:rsidR="00431966" w:rsidRPr="00C258AD" w:rsidRDefault="00431966" w:rsidP="00431966">
      <w:pPr>
        <w:jc w:val="center"/>
      </w:pPr>
    </w:p>
    <w:p w:rsidR="00431966" w:rsidRPr="00C258AD" w:rsidRDefault="00431966" w:rsidP="00431966">
      <w:pPr>
        <w:jc w:val="center"/>
      </w:pPr>
    </w:p>
    <w:p w:rsidR="00431966" w:rsidRPr="00C258AD" w:rsidRDefault="00431966" w:rsidP="00431966">
      <w:pPr>
        <w:jc w:val="center"/>
        <w:rPr>
          <w:b/>
        </w:rPr>
      </w:pPr>
      <w:r w:rsidRPr="00C258AD">
        <w:rPr>
          <w:b/>
        </w:rPr>
        <w:t>Tableau de bord de l’exécution du programme biennal</w:t>
      </w:r>
    </w:p>
    <w:p w:rsidR="00431966" w:rsidRPr="00C258AD" w:rsidRDefault="00431966" w:rsidP="00431966"/>
    <w:p w:rsidR="00431966" w:rsidRPr="00C258AD" w:rsidRDefault="00431966" w:rsidP="00431966">
      <w:pPr>
        <w:autoSpaceDE w:val="0"/>
        <w:autoSpaceDN w:val="0"/>
        <w:adjustRightInd w:val="0"/>
        <w:jc w:val="both"/>
        <w:rPr>
          <w:rFonts w:cs="Arial"/>
        </w:rPr>
      </w:pPr>
      <w:r w:rsidRPr="00C258AD">
        <w:rPr>
          <w:rFonts w:cs="Arial"/>
        </w:rPr>
        <w:t>Le tableau de bord ci</w:t>
      </w:r>
      <w:r w:rsidRPr="00C258AD">
        <w:rPr>
          <w:rFonts w:cs="Arial"/>
        </w:rPr>
        <w:noBreakHyphen/>
        <w:t>dessous présente un résumé de la réalisation des résultats escomptés pour l’exercice biennal 2014</w:t>
      </w:r>
      <w:r w:rsidRPr="00C258AD">
        <w:rPr>
          <w:rFonts w:cs="Arial"/>
        </w:rPr>
        <w:noBreakHyphen/>
        <w:t>2015, telle que mesurée par les indicateurs au titre des programmes contribuant à cet objectif stratégique.</w:t>
      </w:r>
    </w:p>
    <w:p w:rsidR="00431966" w:rsidRPr="00C258AD" w:rsidRDefault="00431966" w:rsidP="00431966">
      <w:pPr>
        <w:jc w:val="center"/>
      </w:pPr>
      <w:r w:rsidRPr="00C258AD">
        <w:rPr>
          <w:noProof/>
          <w:lang w:val="en-US"/>
        </w:rPr>
        <w:drawing>
          <wp:inline distT="0" distB="0" distL="0" distR="0" wp14:anchorId="48E350E7" wp14:editId="53A388A8">
            <wp:extent cx="5940425" cy="2997578"/>
            <wp:effectExtent l="0" t="0" r="317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940425" cy="2997578"/>
                    </a:xfrm>
                    <a:prstGeom prst="rect">
                      <a:avLst/>
                    </a:prstGeom>
                    <a:noFill/>
                    <a:ln>
                      <a:noFill/>
                    </a:ln>
                  </pic:spPr>
                </pic:pic>
              </a:graphicData>
            </a:graphic>
          </wp:inline>
        </w:drawing>
      </w:r>
    </w:p>
    <w:p w:rsidR="00431966" w:rsidRPr="00C258AD" w:rsidRDefault="00431966" w:rsidP="00431966"/>
    <w:tbl>
      <w:tblPr>
        <w:tblW w:w="5000" w:type="pct"/>
        <w:tblInd w:w="108" w:type="dxa"/>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837"/>
        <w:gridCol w:w="4014"/>
        <w:gridCol w:w="1668"/>
        <w:gridCol w:w="972"/>
      </w:tblGrid>
      <w:tr w:rsidR="00431966" w:rsidRPr="00C258AD" w:rsidTr="00927E1F">
        <w:trPr>
          <w:cantSplit/>
          <w:tblHeader/>
        </w:trPr>
        <w:tc>
          <w:tcPr>
            <w:tcW w:w="1507"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431966" w:rsidRPr="00C258AD" w:rsidRDefault="00431966" w:rsidP="00927E1F">
            <w:pPr>
              <w:spacing w:after="120"/>
              <w:jc w:val="center"/>
              <w:rPr>
                <w:rFonts w:cs="Arial"/>
                <w:b/>
                <w:bCs/>
                <w:sz w:val="18"/>
                <w:szCs w:val="18"/>
              </w:rPr>
            </w:pPr>
            <w:r w:rsidRPr="00C258AD">
              <w:rPr>
                <w:rFonts w:cs="Arial"/>
                <w:b/>
                <w:bCs/>
                <w:sz w:val="18"/>
                <w:szCs w:val="18"/>
              </w:rPr>
              <w:t>Résultats escomptés</w:t>
            </w:r>
          </w:p>
        </w:tc>
        <w:tc>
          <w:tcPr>
            <w:tcW w:w="2127"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431966" w:rsidRPr="00C258AD" w:rsidRDefault="00431966" w:rsidP="00927E1F">
            <w:pPr>
              <w:spacing w:after="120"/>
              <w:jc w:val="center"/>
              <w:rPr>
                <w:rFonts w:cs="Arial"/>
                <w:b/>
                <w:sz w:val="18"/>
                <w:szCs w:val="18"/>
              </w:rPr>
            </w:pPr>
            <w:r w:rsidRPr="00C258AD">
              <w:rPr>
                <w:rFonts w:cs="Arial"/>
                <w:b/>
                <w:sz w:val="18"/>
                <w:szCs w:val="18"/>
              </w:rPr>
              <w:t>Indicateurs d’exécution</w:t>
            </w:r>
          </w:p>
        </w:tc>
        <w:tc>
          <w:tcPr>
            <w:tcW w:w="891"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431966" w:rsidRPr="00C258AD" w:rsidRDefault="00431966" w:rsidP="00927E1F">
            <w:pPr>
              <w:spacing w:after="120"/>
              <w:ind w:left="85"/>
              <w:jc w:val="center"/>
              <w:rPr>
                <w:rFonts w:cs="Arial"/>
                <w:sz w:val="18"/>
                <w:szCs w:val="18"/>
              </w:rPr>
            </w:pPr>
            <w:r w:rsidRPr="00C258AD">
              <w:rPr>
                <w:rFonts w:cs="Arial"/>
                <w:b/>
                <w:sz w:val="18"/>
                <w:szCs w:val="18"/>
              </w:rPr>
              <w:t>Programme(s) concerné(s)</w:t>
            </w:r>
          </w:p>
        </w:tc>
        <w:tc>
          <w:tcPr>
            <w:tcW w:w="475" w:type="pct"/>
            <w:tcBorders>
              <w:top w:val="single" w:sz="4" w:space="0" w:color="auto"/>
              <w:bottom w:val="single" w:sz="4" w:space="0" w:color="auto"/>
            </w:tcBorders>
            <w:shd w:val="clear" w:color="auto" w:fill="DAEEF3" w:themeFill="accent5" w:themeFillTint="33"/>
            <w:vAlign w:val="center"/>
          </w:tcPr>
          <w:p w:rsidR="00431966" w:rsidRPr="00C258AD" w:rsidRDefault="00431966" w:rsidP="00927E1F">
            <w:pPr>
              <w:spacing w:after="120"/>
              <w:ind w:left="85"/>
              <w:jc w:val="center"/>
              <w:rPr>
                <w:rFonts w:cs="Arial"/>
                <w:b/>
                <w:bCs/>
                <w:sz w:val="18"/>
                <w:szCs w:val="18"/>
              </w:rPr>
            </w:pPr>
            <w:r w:rsidRPr="00C258AD">
              <w:rPr>
                <w:rFonts w:cs="Arial"/>
                <w:b/>
                <w:bCs/>
                <w:sz w:val="18"/>
                <w:szCs w:val="18"/>
              </w:rPr>
              <w:t>Code de couleurs</w:t>
            </w:r>
          </w:p>
        </w:tc>
      </w:tr>
      <w:tr w:rsidR="00431966" w:rsidRPr="00C258AD" w:rsidTr="00927E1F">
        <w:trPr>
          <w:cantSplit/>
        </w:trPr>
        <w:tc>
          <w:tcPr>
            <w:tcW w:w="1507" w:type="pct"/>
            <w:vMerge w:val="restart"/>
            <w:tcBorders>
              <w:top w:val="single" w:sz="4" w:space="0" w:color="auto"/>
            </w:tcBorders>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VIII.1 Communication plus efficace avec le grand public concernant la propriété intellectuelle et le rôle de l’OMPI</w:t>
            </w:r>
          </w:p>
        </w:tc>
        <w:tc>
          <w:tcPr>
            <w:tcW w:w="2127" w:type="pct"/>
            <w:tcBorders>
              <w:top w:val="single" w:sz="4" w:space="0" w:color="auto"/>
            </w:tcBorders>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Intérêt du public pour les principales manifestations et réalisations de l’OMPI</w:t>
            </w:r>
          </w:p>
        </w:tc>
        <w:tc>
          <w:tcPr>
            <w:tcW w:w="891" w:type="pct"/>
            <w:tcBorders>
              <w:top w:val="single" w:sz="4" w:space="0" w:color="auto"/>
            </w:tcBorders>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19</w:t>
            </w:r>
          </w:p>
        </w:tc>
        <w:tc>
          <w:tcPr>
            <w:tcW w:w="475" w:type="pct"/>
            <w:tcBorders>
              <w:top w:val="single" w:sz="4" w:space="0" w:color="auto"/>
            </w:tcBorders>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07" w:type="pct"/>
            <w:vMerge/>
            <w:shd w:val="clear" w:color="auto" w:fill="auto"/>
            <w:tcMar>
              <w:top w:w="113" w:type="dxa"/>
              <w:bottom w:w="85" w:type="dxa"/>
            </w:tcMar>
          </w:tcPr>
          <w:p w:rsidR="00431966" w:rsidRPr="00C258AD" w:rsidRDefault="00431966" w:rsidP="00927E1F">
            <w:pPr>
              <w:rPr>
                <w:rFonts w:cs="Arial"/>
                <w:sz w:val="16"/>
                <w:szCs w:val="16"/>
              </w:rPr>
            </w:pPr>
          </w:p>
        </w:tc>
        <w:tc>
          <w:tcPr>
            <w:tcW w:w="2127" w:type="pct"/>
            <w:vMerge w:val="restar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de parties prenantes accueillant favorablement la mission, les activités et l’image de marque de l’OMPI</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19</w:t>
            </w:r>
          </w:p>
        </w:tc>
        <w:tc>
          <w:tcPr>
            <w:tcW w:w="475"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07" w:type="pct"/>
            <w:vMerge/>
            <w:shd w:val="clear" w:color="auto" w:fill="auto"/>
            <w:tcMar>
              <w:top w:w="113" w:type="dxa"/>
              <w:bottom w:w="85" w:type="dxa"/>
            </w:tcMar>
          </w:tcPr>
          <w:p w:rsidR="00431966" w:rsidRPr="00C258AD" w:rsidRDefault="00431966" w:rsidP="00927E1F">
            <w:pPr>
              <w:rPr>
                <w:rFonts w:cs="Arial"/>
                <w:sz w:val="16"/>
                <w:szCs w:val="16"/>
              </w:rPr>
            </w:pPr>
          </w:p>
        </w:tc>
        <w:tc>
          <w:tcPr>
            <w:tcW w:w="2127" w:type="pct"/>
            <w:vMerge/>
            <w:shd w:val="clear" w:color="auto" w:fill="auto"/>
            <w:tcMar>
              <w:top w:w="113" w:type="dxa"/>
              <w:bottom w:w="85" w:type="dxa"/>
            </w:tcMar>
          </w:tcPr>
          <w:p w:rsidR="00431966" w:rsidRPr="00C258AD" w:rsidRDefault="00431966" w:rsidP="00927E1F">
            <w:pPr>
              <w:rPr>
                <w:rFonts w:cs="Arial"/>
                <w:sz w:val="16"/>
                <w:szCs w:val="16"/>
              </w:rPr>
            </w:pP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20</w:t>
            </w:r>
          </w:p>
        </w:tc>
        <w:tc>
          <w:tcPr>
            <w:tcW w:w="475"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p>
        </w:tc>
      </w:tr>
      <w:tr w:rsidR="00431966" w:rsidRPr="00C258AD" w:rsidTr="00927E1F">
        <w:trPr>
          <w:cantSplit/>
        </w:trPr>
        <w:tc>
          <w:tcPr>
            <w:tcW w:w="1507" w:type="pct"/>
            <w:shd w:val="clear" w:color="auto" w:fill="auto"/>
            <w:tcMar>
              <w:top w:w="113" w:type="dxa"/>
              <w:bottom w:w="85" w:type="dxa"/>
            </w:tcMar>
          </w:tcPr>
          <w:p w:rsidR="00431966" w:rsidRPr="00C258AD" w:rsidRDefault="00431966" w:rsidP="00927E1F">
            <w:pPr>
              <w:rPr>
                <w:rFonts w:cs="Arial"/>
                <w:sz w:val="16"/>
                <w:szCs w:val="16"/>
              </w:rPr>
            </w:pPr>
          </w:p>
        </w:tc>
        <w:tc>
          <w:tcPr>
            <w:tcW w:w="212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d’augmentation des consultations des contenus presse, vidéo et photo de l’OMPI</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19</w:t>
            </w:r>
          </w:p>
        </w:tc>
        <w:tc>
          <w:tcPr>
            <w:tcW w:w="475" w:type="pct"/>
            <w:shd w:val="clear" w:color="auto" w:fill="FFFFFF"/>
          </w:tcPr>
          <w:p w:rsidR="00431966" w:rsidRPr="00C258AD" w:rsidRDefault="00431966" w:rsidP="00927E1F">
            <w:pPr>
              <w:jc w:val="center"/>
            </w:pPr>
            <w:r w:rsidRPr="00C258AD">
              <w:rPr>
                <w:rFonts w:cs="Arial"/>
                <w:color w:val="FF0000"/>
                <w:sz w:val="22"/>
                <w:szCs w:val="22"/>
              </w:rPr>
              <w:sym w:font="Wingdings" w:char="F06C"/>
            </w:r>
            <w:r w:rsidRPr="00C258AD">
              <w:rPr>
                <w:rFonts w:cs="Arial"/>
                <w:color w:val="FF0000"/>
                <w:sz w:val="22"/>
                <w:szCs w:val="22"/>
              </w:rPr>
              <w:sym w:font="Wingdings" w:char="F06C"/>
            </w:r>
            <w:r w:rsidRPr="00C258AD">
              <w:rPr>
                <w:rFonts w:cs="Arial"/>
                <w:color w:val="008000"/>
                <w:sz w:val="22"/>
                <w:szCs w:val="22"/>
              </w:rPr>
              <w:sym w:font="Wingdings" w:char="F06C"/>
            </w:r>
          </w:p>
        </w:tc>
      </w:tr>
      <w:tr w:rsidR="00431966" w:rsidRPr="00C258AD" w:rsidTr="00927E1F">
        <w:trPr>
          <w:cantSplit/>
        </w:trPr>
        <w:tc>
          <w:tcPr>
            <w:tcW w:w="1507" w:type="pct"/>
            <w:shd w:val="clear" w:color="auto" w:fill="auto"/>
            <w:tcMar>
              <w:top w:w="113" w:type="dxa"/>
              <w:bottom w:w="85" w:type="dxa"/>
            </w:tcMar>
          </w:tcPr>
          <w:p w:rsidR="00431966" w:rsidRPr="00C258AD" w:rsidRDefault="00431966" w:rsidP="00927E1F">
            <w:pPr>
              <w:rPr>
                <w:rFonts w:cs="Arial"/>
                <w:sz w:val="16"/>
                <w:szCs w:val="16"/>
              </w:rPr>
            </w:pPr>
          </w:p>
        </w:tc>
        <w:tc>
          <w:tcPr>
            <w:tcW w:w="212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d’augmentation de la participation à la Journée mondiale de la propriété intellectuelle au moyen de la page Facebook (portée totale de la campagne)</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19</w:t>
            </w:r>
          </w:p>
        </w:tc>
        <w:tc>
          <w:tcPr>
            <w:tcW w:w="475"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07" w:type="pct"/>
            <w:shd w:val="clear" w:color="auto" w:fill="auto"/>
            <w:tcMar>
              <w:top w:w="113" w:type="dxa"/>
              <w:bottom w:w="85" w:type="dxa"/>
            </w:tcMar>
          </w:tcPr>
          <w:p w:rsidR="00431966" w:rsidRPr="00C258AD" w:rsidRDefault="00431966" w:rsidP="00927E1F">
            <w:pPr>
              <w:rPr>
                <w:rFonts w:cs="Arial"/>
                <w:sz w:val="16"/>
                <w:szCs w:val="16"/>
              </w:rPr>
            </w:pPr>
          </w:p>
        </w:tc>
        <w:tc>
          <w:tcPr>
            <w:tcW w:w="212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d’augmentation des consultations des publications en ligne</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19</w:t>
            </w:r>
          </w:p>
        </w:tc>
        <w:tc>
          <w:tcPr>
            <w:tcW w:w="475" w:type="pct"/>
            <w:shd w:val="clear" w:color="auto" w:fill="FFFFFF"/>
          </w:tcPr>
          <w:p w:rsidR="00431966" w:rsidRPr="00C258AD" w:rsidRDefault="00431966" w:rsidP="00927E1F">
            <w:pPr>
              <w:jc w:val="center"/>
              <w:rPr>
                <w:rFonts w:cs="Arial"/>
                <w:color w:val="0070C0"/>
                <w:sz w:val="22"/>
                <w:szCs w:val="22"/>
              </w:rPr>
            </w:pPr>
            <w:r w:rsidRPr="00C258AD">
              <w:rPr>
                <w:rFonts w:cs="Arial"/>
                <w:color w:val="A6A6A6" w:themeColor="background1" w:themeShade="A6"/>
                <w:sz w:val="22"/>
                <w:szCs w:val="22"/>
              </w:rPr>
              <w:sym w:font="Wingdings" w:char="F06C"/>
            </w:r>
            <w:r w:rsidRPr="00C258AD">
              <w:rPr>
                <w:rFonts w:cs="Arial"/>
                <w:color w:val="008000"/>
                <w:sz w:val="22"/>
                <w:szCs w:val="22"/>
              </w:rPr>
              <w:sym w:font="Wingdings" w:char="F06C"/>
            </w:r>
          </w:p>
        </w:tc>
      </w:tr>
      <w:tr w:rsidR="00431966" w:rsidRPr="00C258AD" w:rsidTr="00927E1F">
        <w:trPr>
          <w:cantSplit/>
        </w:trPr>
        <w:tc>
          <w:tcPr>
            <w:tcW w:w="1507" w:type="pct"/>
            <w:shd w:val="clear" w:color="auto" w:fill="auto"/>
            <w:tcMar>
              <w:top w:w="113" w:type="dxa"/>
              <w:bottom w:w="85" w:type="dxa"/>
            </w:tcMar>
          </w:tcPr>
          <w:p w:rsidR="00431966" w:rsidRPr="00C258AD" w:rsidRDefault="00431966" w:rsidP="00927E1F">
            <w:pPr>
              <w:rPr>
                <w:rFonts w:cs="Arial"/>
                <w:sz w:val="16"/>
                <w:szCs w:val="16"/>
              </w:rPr>
            </w:pPr>
          </w:p>
        </w:tc>
        <w:tc>
          <w:tcPr>
            <w:tcW w:w="212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d’utilisateurs satisfaits du site Web de l’OMPI</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19</w:t>
            </w:r>
          </w:p>
        </w:tc>
        <w:tc>
          <w:tcPr>
            <w:tcW w:w="475" w:type="pct"/>
            <w:shd w:val="clear" w:color="auto" w:fill="FFFFFF"/>
          </w:tcPr>
          <w:p w:rsidR="00431966" w:rsidRPr="00C258AD" w:rsidRDefault="00431966" w:rsidP="00927E1F">
            <w:pPr>
              <w:jc w:val="center"/>
            </w:pPr>
            <w:r w:rsidRPr="00C258AD">
              <w:rPr>
                <w:rFonts w:cs="Arial"/>
                <w:color w:val="A6A6A6" w:themeColor="background1" w:themeShade="A6"/>
                <w:sz w:val="22"/>
                <w:szCs w:val="22"/>
              </w:rPr>
              <w:sym w:font="Wingdings" w:char="F06C"/>
            </w:r>
          </w:p>
        </w:tc>
      </w:tr>
      <w:tr w:rsidR="00431966" w:rsidRPr="00C258AD" w:rsidTr="00927E1F">
        <w:trPr>
          <w:cantSplit/>
        </w:trPr>
        <w:tc>
          <w:tcPr>
            <w:tcW w:w="1507" w:type="pct"/>
            <w:shd w:val="clear" w:color="auto" w:fill="auto"/>
            <w:tcMar>
              <w:top w:w="113" w:type="dxa"/>
              <w:bottom w:w="85" w:type="dxa"/>
            </w:tcMar>
          </w:tcPr>
          <w:p w:rsidR="00431966" w:rsidRPr="00C258AD" w:rsidRDefault="00431966" w:rsidP="00927E1F">
            <w:pPr>
              <w:rPr>
                <w:rFonts w:cs="Arial"/>
                <w:sz w:val="16"/>
                <w:szCs w:val="16"/>
              </w:rPr>
            </w:pPr>
          </w:p>
        </w:tc>
        <w:tc>
          <w:tcPr>
            <w:tcW w:w="212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Renforcement de l’influence et de l’engagement de l’OMPI dans les médias sociaux</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19</w:t>
            </w:r>
          </w:p>
        </w:tc>
        <w:tc>
          <w:tcPr>
            <w:tcW w:w="475" w:type="pct"/>
            <w:shd w:val="clear" w:color="auto" w:fill="FFFFFF"/>
          </w:tcPr>
          <w:p w:rsidR="00431966" w:rsidRPr="00C258AD" w:rsidRDefault="00431966" w:rsidP="00927E1F">
            <w:pPr>
              <w:jc w:val="center"/>
            </w:pPr>
            <w:r w:rsidRPr="00C258AD">
              <w:rPr>
                <w:rFonts w:cs="Arial"/>
                <w:sz w:val="22"/>
                <w:szCs w:val="22"/>
              </w:rPr>
              <w:sym w:font="Wingdings" w:char="F06C"/>
            </w:r>
            <w:r w:rsidRPr="00C258AD">
              <w:rPr>
                <w:rFonts w:cs="Arial"/>
                <w:color w:val="008000"/>
                <w:sz w:val="22"/>
                <w:szCs w:val="22"/>
              </w:rPr>
              <w:sym w:font="Wingdings" w:char="F06C"/>
            </w:r>
          </w:p>
        </w:tc>
      </w:tr>
      <w:tr w:rsidR="00431966" w:rsidRPr="00C258AD" w:rsidTr="00927E1F">
        <w:trPr>
          <w:cantSplit/>
        </w:trPr>
        <w:tc>
          <w:tcPr>
            <w:tcW w:w="1507" w:type="pct"/>
            <w:shd w:val="clear" w:color="auto" w:fill="auto"/>
            <w:tcMar>
              <w:top w:w="113" w:type="dxa"/>
              <w:bottom w:w="85" w:type="dxa"/>
            </w:tcMar>
          </w:tcPr>
          <w:p w:rsidR="00431966" w:rsidRPr="00C258AD" w:rsidRDefault="00431966" w:rsidP="00927E1F">
            <w:pPr>
              <w:rPr>
                <w:rFonts w:cs="Arial"/>
                <w:sz w:val="16"/>
                <w:szCs w:val="16"/>
              </w:rPr>
            </w:pPr>
          </w:p>
        </w:tc>
        <w:tc>
          <w:tcPr>
            <w:tcW w:w="212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Augmentation de la fréquentation du site Web des bureaux extérieurs de l’OMPI</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20</w:t>
            </w:r>
          </w:p>
        </w:tc>
        <w:tc>
          <w:tcPr>
            <w:tcW w:w="475"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A6A6A6" w:themeColor="background1" w:themeShade="A6"/>
                <w:sz w:val="22"/>
                <w:szCs w:val="22"/>
              </w:rPr>
              <w:sym w:font="Wingdings" w:char="F06C"/>
            </w:r>
            <w:r w:rsidRPr="00C258AD">
              <w:rPr>
                <w:rFonts w:cs="Arial"/>
                <w:color w:val="008000"/>
                <w:sz w:val="22"/>
                <w:szCs w:val="22"/>
              </w:rPr>
              <w:sym w:font="Wingdings" w:char="F06C"/>
            </w:r>
            <w:r w:rsidRPr="00C258AD">
              <w:rPr>
                <w:rFonts w:cs="Arial"/>
                <w:color w:val="E26B0A"/>
                <w:sz w:val="22"/>
                <w:szCs w:val="22"/>
              </w:rPr>
              <w:sym w:font="Wingdings" w:char="F06C"/>
            </w:r>
          </w:p>
        </w:tc>
      </w:tr>
      <w:tr w:rsidR="00431966" w:rsidRPr="00C258AD" w:rsidTr="00927E1F">
        <w:trPr>
          <w:cantSplit/>
        </w:trPr>
        <w:tc>
          <w:tcPr>
            <w:tcW w:w="1507" w:type="pct"/>
            <w:vMerge w:val="restar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lastRenderedPageBreak/>
              <w:t>VIII.2 Amélioration de l’orientation vers les services et de la réactivité à la demande</w:t>
            </w:r>
          </w:p>
        </w:tc>
        <w:tc>
          <w:tcPr>
            <w:tcW w:w="212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d’utilisateurs satisfaits des services de bibliothèque</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19</w:t>
            </w:r>
          </w:p>
        </w:tc>
        <w:tc>
          <w:tcPr>
            <w:tcW w:w="475"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07" w:type="pct"/>
            <w:vMerge/>
            <w:shd w:val="clear" w:color="auto" w:fill="auto"/>
            <w:tcMar>
              <w:top w:w="113" w:type="dxa"/>
              <w:bottom w:w="85" w:type="dxa"/>
            </w:tcMar>
          </w:tcPr>
          <w:p w:rsidR="00431966" w:rsidRPr="00C258AD" w:rsidRDefault="00431966" w:rsidP="00927E1F">
            <w:pPr>
              <w:rPr>
                <w:rFonts w:cs="Arial"/>
                <w:sz w:val="16"/>
                <w:szCs w:val="16"/>
              </w:rPr>
            </w:pPr>
          </w:p>
        </w:tc>
        <w:tc>
          <w:tcPr>
            <w:tcW w:w="2127" w:type="pct"/>
            <w:vMerge w:val="restar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Taux de satisfaction des clients et des parties prenantes</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19</w:t>
            </w:r>
          </w:p>
        </w:tc>
        <w:tc>
          <w:tcPr>
            <w:tcW w:w="475"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A6A6A6" w:themeColor="background1" w:themeShade="A6"/>
                <w:sz w:val="22"/>
                <w:szCs w:val="22"/>
              </w:rPr>
              <w:sym w:font="Wingdings" w:char="F06C"/>
            </w:r>
          </w:p>
        </w:tc>
      </w:tr>
      <w:tr w:rsidR="00431966" w:rsidRPr="00C258AD" w:rsidTr="00927E1F">
        <w:trPr>
          <w:cantSplit/>
        </w:trPr>
        <w:tc>
          <w:tcPr>
            <w:tcW w:w="1507" w:type="pct"/>
            <w:vMerge/>
            <w:shd w:val="clear" w:color="auto" w:fill="auto"/>
            <w:tcMar>
              <w:top w:w="113" w:type="dxa"/>
              <w:bottom w:w="85" w:type="dxa"/>
            </w:tcMar>
          </w:tcPr>
          <w:p w:rsidR="00431966" w:rsidRPr="00C258AD" w:rsidRDefault="00431966" w:rsidP="00927E1F">
            <w:pPr>
              <w:rPr>
                <w:rFonts w:cs="Arial"/>
                <w:sz w:val="16"/>
                <w:szCs w:val="16"/>
              </w:rPr>
            </w:pPr>
          </w:p>
        </w:tc>
        <w:tc>
          <w:tcPr>
            <w:tcW w:w="2127" w:type="pct"/>
            <w:vMerge/>
            <w:shd w:val="clear" w:color="auto" w:fill="auto"/>
            <w:tcMar>
              <w:top w:w="113" w:type="dxa"/>
              <w:bottom w:w="85" w:type="dxa"/>
            </w:tcMar>
          </w:tcPr>
          <w:p w:rsidR="00431966" w:rsidRPr="00C258AD" w:rsidRDefault="00431966" w:rsidP="00927E1F">
            <w:pPr>
              <w:rPr>
                <w:rFonts w:cs="Arial"/>
                <w:sz w:val="16"/>
                <w:szCs w:val="16"/>
              </w:rPr>
            </w:pP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20</w:t>
            </w:r>
          </w:p>
        </w:tc>
        <w:tc>
          <w:tcPr>
            <w:tcW w:w="475"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A6A6A6" w:themeColor="background1" w:themeShade="A6"/>
                <w:sz w:val="22"/>
                <w:szCs w:val="22"/>
              </w:rPr>
              <w:sym w:font="Wingdings" w:char="F06C"/>
            </w:r>
            <w:r w:rsidRPr="00C258AD">
              <w:rPr>
                <w:rFonts w:cs="Arial"/>
                <w:color w:val="A6A6A6" w:themeColor="background1" w:themeShade="A6"/>
                <w:sz w:val="22"/>
                <w:szCs w:val="22"/>
              </w:rPr>
              <w:sym w:font="Wingdings" w:char="F06C"/>
            </w:r>
            <w:r w:rsidRPr="00C258AD">
              <w:rPr>
                <w:rFonts w:cs="Arial"/>
                <w:color w:val="008000"/>
                <w:sz w:val="22"/>
                <w:szCs w:val="22"/>
              </w:rPr>
              <w:sym w:font="Wingdings" w:char="F06C"/>
            </w:r>
          </w:p>
        </w:tc>
      </w:tr>
      <w:tr w:rsidR="00431966" w:rsidRPr="00C258AD" w:rsidTr="00927E1F">
        <w:trPr>
          <w:cantSplit/>
        </w:trPr>
        <w:tc>
          <w:tcPr>
            <w:tcW w:w="1507" w:type="pct"/>
            <w:shd w:val="clear" w:color="auto" w:fill="auto"/>
            <w:tcMar>
              <w:top w:w="113" w:type="dxa"/>
              <w:bottom w:w="85" w:type="dxa"/>
            </w:tcMar>
          </w:tcPr>
          <w:p w:rsidR="00431966" w:rsidRPr="00C258AD" w:rsidRDefault="00431966" w:rsidP="00927E1F">
            <w:pPr>
              <w:rPr>
                <w:rFonts w:cs="Arial"/>
                <w:sz w:val="16"/>
                <w:szCs w:val="16"/>
              </w:rPr>
            </w:pPr>
          </w:p>
        </w:tc>
        <w:tc>
          <w:tcPr>
            <w:tcW w:w="212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Objectifs en matière de normes de service définis sur le site Web de l’OMPI</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19</w:t>
            </w:r>
          </w:p>
        </w:tc>
        <w:tc>
          <w:tcPr>
            <w:tcW w:w="475"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r w:rsidRPr="00C258AD">
              <w:rPr>
                <w:rFonts w:cs="Arial"/>
                <w:color w:val="008000"/>
                <w:sz w:val="22"/>
                <w:szCs w:val="22"/>
              </w:rPr>
              <w:sym w:font="Wingdings" w:char="F06C"/>
            </w:r>
          </w:p>
        </w:tc>
      </w:tr>
      <w:tr w:rsidR="00431966" w:rsidRPr="00C258AD" w:rsidTr="00927E1F">
        <w:trPr>
          <w:cantSplit/>
        </w:trPr>
        <w:tc>
          <w:tcPr>
            <w:tcW w:w="1507" w:type="pct"/>
            <w:shd w:val="clear" w:color="auto" w:fill="auto"/>
            <w:tcMar>
              <w:top w:w="113" w:type="dxa"/>
              <w:bottom w:w="85" w:type="dxa"/>
            </w:tcMar>
          </w:tcPr>
          <w:p w:rsidR="00431966" w:rsidRPr="00C258AD" w:rsidRDefault="00431966" w:rsidP="00927E1F">
            <w:pPr>
              <w:rPr>
                <w:rFonts w:cs="Arial"/>
                <w:sz w:val="16"/>
                <w:szCs w:val="16"/>
              </w:rPr>
            </w:pPr>
          </w:p>
        </w:tc>
        <w:tc>
          <w:tcPr>
            <w:tcW w:w="212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Durée de traitement des demandes de renseignements</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20</w:t>
            </w:r>
          </w:p>
        </w:tc>
        <w:tc>
          <w:tcPr>
            <w:tcW w:w="475" w:type="pct"/>
            <w:shd w:val="clear" w:color="auto" w:fill="FFFFFF"/>
          </w:tcPr>
          <w:p w:rsidR="00431966" w:rsidRPr="00C258AD" w:rsidRDefault="00431966" w:rsidP="00927E1F">
            <w:pPr>
              <w:jc w:val="center"/>
            </w:pPr>
            <w:r w:rsidRPr="00C258AD">
              <w:rPr>
                <w:rFonts w:cs="Arial"/>
                <w:color w:val="A6A6A6" w:themeColor="background1" w:themeShade="A6"/>
                <w:sz w:val="22"/>
                <w:szCs w:val="22"/>
              </w:rPr>
              <w:sym w:font="Wingdings" w:char="F06C"/>
            </w:r>
            <w:r w:rsidRPr="00C258AD">
              <w:rPr>
                <w:rFonts w:cs="Arial"/>
                <w:color w:val="A6A6A6" w:themeColor="background1" w:themeShade="A6"/>
                <w:sz w:val="22"/>
                <w:szCs w:val="22"/>
              </w:rPr>
              <w:sym w:font="Wingdings" w:char="F06C"/>
            </w:r>
            <w:r w:rsidRPr="00C258AD">
              <w:rPr>
                <w:rFonts w:cs="Arial"/>
                <w:color w:val="008000"/>
                <w:sz w:val="22"/>
                <w:szCs w:val="22"/>
              </w:rPr>
              <w:sym w:font="Wingdings" w:char="F06C"/>
            </w:r>
          </w:p>
        </w:tc>
      </w:tr>
      <w:tr w:rsidR="00431966" w:rsidRPr="00C258AD" w:rsidTr="00927E1F">
        <w:trPr>
          <w:cantSplit/>
        </w:trPr>
        <w:tc>
          <w:tcPr>
            <w:tcW w:w="150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VIII.3 Engagement réel auprès des États membres</w:t>
            </w:r>
          </w:p>
        </w:tc>
        <w:tc>
          <w:tcPr>
            <w:tcW w:w="212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de réunions de comité pour lesquelles des réunions d’information préalables sont tenues pour les États membres</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21</w:t>
            </w:r>
          </w:p>
        </w:tc>
        <w:tc>
          <w:tcPr>
            <w:tcW w:w="475"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07" w:type="pct"/>
            <w:shd w:val="clear" w:color="auto" w:fill="auto"/>
            <w:tcMar>
              <w:top w:w="113" w:type="dxa"/>
              <w:bottom w:w="85" w:type="dxa"/>
            </w:tcMar>
          </w:tcPr>
          <w:p w:rsidR="00431966" w:rsidRPr="00C258AD" w:rsidRDefault="00431966" w:rsidP="00927E1F">
            <w:pPr>
              <w:rPr>
                <w:rFonts w:cs="Arial"/>
                <w:sz w:val="16"/>
                <w:szCs w:val="16"/>
              </w:rPr>
            </w:pPr>
          </w:p>
        </w:tc>
        <w:tc>
          <w:tcPr>
            <w:tcW w:w="212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de lettres adressées par les États membres au Directeur général qui obtiennent une réponse dans un délai de deux semaines</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21</w:t>
            </w:r>
          </w:p>
        </w:tc>
        <w:tc>
          <w:tcPr>
            <w:tcW w:w="475"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07" w:type="pct"/>
            <w:shd w:val="clear" w:color="auto" w:fill="auto"/>
            <w:tcMar>
              <w:top w:w="113" w:type="dxa"/>
              <w:bottom w:w="85" w:type="dxa"/>
            </w:tcMar>
          </w:tcPr>
          <w:p w:rsidR="00431966" w:rsidRPr="00C258AD" w:rsidRDefault="00431966" w:rsidP="00927E1F">
            <w:pPr>
              <w:rPr>
                <w:rFonts w:cs="Arial"/>
                <w:sz w:val="16"/>
                <w:szCs w:val="16"/>
              </w:rPr>
            </w:pPr>
          </w:p>
        </w:tc>
        <w:tc>
          <w:tcPr>
            <w:tcW w:w="212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d’actes d’adhésion et autres actes accomplis à l’égard de traités faisant l’objet d’un traitement dans les délais requis</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21</w:t>
            </w:r>
          </w:p>
        </w:tc>
        <w:tc>
          <w:tcPr>
            <w:tcW w:w="475"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07" w:type="pct"/>
            <w:shd w:val="clear" w:color="auto" w:fill="auto"/>
            <w:tcMar>
              <w:top w:w="113" w:type="dxa"/>
              <w:bottom w:w="85" w:type="dxa"/>
            </w:tcMar>
          </w:tcPr>
          <w:p w:rsidR="00431966" w:rsidRPr="00C258AD" w:rsidRDefault="00431966" w:rsidP="00927E1F">
            <w:pPr>
              <w:rPr>
                <w:rFonts w:cs="Arial"/>
                <w:sz w:val="16"/>
                <w:szCs w:val="16"/>
              </w:rPr>
            </w:pPr>
          </w:p>
        </w:tc>
        <w:tc>
          <w:tcPr>
            <w:tcW w:w="212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Niveaux de satisfaction des États membres quant à la préparation et au fonctionnement des assemblées</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21</w:t>
            </w:r>
          </w:p>
        </w:tc>
        <w:tc>
          <w:tcPr>
            <w:tcW w:w="475"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07" w:type="pct"/>
            <w:shd w:val="clear" w:color="auto" w:fill="auto"/>
            <w:tcMar>
              <w:top w:w="113" w:type="dxa"/>
              <w:bottom w:w="85" w:type="dxa"/>
            </w:tcMar>
          </w:tcPr>
          <w:p w:rsidR="00431966" w:rsidRPr="00C258AD" w:rsidRDefault="00431966" w:rsidP="00927E1F">
            <w:pPr>
              <w:rPr>
                <w:rFonts w:cs="Arial"/>
                <w:sz w:val="16"/>
                <w:szCs w:val="16"/>
              </w:rPr>
            </w:pPr>
          </w:p>
        </w:tc>
        <w:tc>
          <w:tcPr>
            <w:tcW w:w="212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Respect des délais pour la publication des documents des assemblées</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21</w:t>
            </w:r>
          </w:p>
        </w:tc>
        <w:tc>
          <w:tcPr>
            <w:tcW w:w="475"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0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VIII.4 Échanges ouverts, transparents et dynamiques avec les parties prenantes non gouvernementales</w:t>
            </w:r>
          </w:p>
        </w:tc>
        <w:tc>
          <w:tcPr>
            <w:tcW w:w="212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Renforcement de l’engagement réel des parties prenantes non gouvernementales lors des manifestations de l’OMPI et vice</w:t>
            </w:r>
            <w:r w:rsidRPr="00C258AD">
              <w:rPr>
                <w:rFonts w:cs="Arial"/>
                <w:sz w:val="16"/>
                <w:szCs w:val="16"/>
              </w:rPr>
              <w:noBreakHyphen/>
              <w:t>versa</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20</w:t>
            </w:r>
          </w:p>
        </w:tc>
        <w:tc>
          <w:tcPr>
            <w:tcW w:w="475"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0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VIII.5 L’OMPI collabore efficacement avec d’autres processus et instances de négociation de l’ONU et d’autres organisations intergouvernementales</w:t>
            </w:r>
          </w:p>
        </w:tc>
        <w:tc>
          <w:tcPr>
            <w:tcW w:w="212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Utilisation des contributions de l’OMPI dans les rapports, les résolutions et les documents des processus ciblés</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20</w:t>
            </w:r>
          </w:p>
        </w:tc>
        <w:tc>
          <w:tcPr>
            <w:tcW w:w="475"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07" w:type="pct"/>
            <w:shd w:val="clear" w:color="auto" w:fill="auto"/>
            <w:tcMar>
              <w:top w:w="113" w:type="dxa"/>
              <w:bottom w:w="85" w:type="dxa"/>
            </w:tcMar>
          </w:tcPr>
          <w:p w:rsidR="00431966" w:rsidRPr="00C258AD" w:rsidRDefault="00431966" w:rsidP="00927E1F">
            <w:pPr>
              <w:rPr>
                <w:rFonts w:cs="Arial"/>
                <w:sz w:val="16"/>
                <w:szCs w:val="16"/>
              </w:rPr>
            </w:pPr>
          </w:p>
        </w:tc>
        <w:tc>
          <w:tcPr>
            <w:tcW w:w="212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de réponses aux demandes externes de contributions émanant des Nations Unies, des organisations intergouvernementales, etc., soumises à temps</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20</w:t>
            </w:r>
          </w:p>
        </w:tc>
        <w:tc>
          <w:tcPr>
            <w:tcW w:w="475"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07" w:type="pct"/>
            <w:shd w:val="clear" w:color="auto" w:fill="auto"/>
            <w:tcMar>
              <w:top w:w="113" w:type="dxa"/>
              <w:bottom w:w="85" w:type="dxa"/>
            </w:tcMar>
          </w:tcPr>
          <w:p w:rsidR="00431966" w:rsidRPr="00C258AD" w:rsidRDefault="00431966" w:rsidP="00927E1F">
            <w:pPr>
              <w:rPr>
                <w:rFonts w:cs="Arial"/>
                <w:sz w:val="16"/>
                <w:szCs w:val="16"/>
              </w:rPr>
            </w:pPr>
          </w:p>
        </w:tc>
        <w:tc>
          <w:tcPr>
            <w:tcW w:w="212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Nombre de programmes de propriété intellectuelle mis en œuvre conjointement avec d’autres organismes des Nations Unies et d’autres organisations intergouvernementales</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20</w:t>
            </w:r>
          </w:p>
        </w:tc>
        <w:tc>
          <w:tcPr>
            <w:tcW w:w="475"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07" w:type="pct"/>
            <w:shd w:val="clear" w:color="auto" w:fill="auto"/>
            <w:tcMar>
              <w:top w:w="113" w:type="dxa"/>
              <w:bottom w:w="85" w:type="dxa"/>
            </w:tcMar>
          </w:tcPr>
          <w:p w:rsidR="00431966" w:rsidRPr="00C258AD" w:rsidRDefault="00431966" w:rsidP="00927E1F">
            <w:pPr>
              <w:rPr>
                <w:rFonts w:cs="Arial"/>
                <w:sz w:val="16"/>
                <w:szCs w:val="16"/>
              </w:rPr>
            </w:pPr>
          </w:p>
        </w:tc>
        <w:tc>
          <w:tcPr>
            <w:tcW w:w="212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Nouvelles initiatives communes avec d’autres organismes des Nations Unies</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21</w:t>
            </w:r>
          </w:p>
        </w:tc>
        <w:tc>
          <w:tcPr>
            <w:tcW w:w="475"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07" w:type="pct"/>
            <w:shd w:val="clear" w:color="auto" w:fill="auto"/>
            <w:tcMar>
              <w:top w:w="113" w:type="dxa"/>
              <w:bottom w:w="85" w:type="dxa"/>
            </w:tcMar>
          </w:tcPr>
          <w:p w:rsidR="00431966" w:rsidRPr="00C258AD" w:rsidRDefault="00431966" w:rsidP="00927E1F">
            <w:pPr>
              <w:rPr>
                <w:rFonts w:cs="Arial"/>
                <w:sz w:val="16"/>
                <w:szCs w:val="16"/>
              </w:rPr>
            </w:pPr>
          </w:p>
        </w:tc>
        <w:tc>
          <w:tcPr>
            <w:tcW w:w="2127" w:type="pct"/>
            <w:shd w:val="clear" w:color="auto" w:fill="auto"/>
            <w:tcMar>
              <w:top w:w="113" w:type="dxa"/>
              <w:bottom w:w="85" w:type="dxa"/>
            </w:tcMar>
          </w:tcPr>
          <w:p w:rsidR="00431966" w:rsidRPr="00C258AD" w:rsidRDefault="00431966" w:rsidP="00927E1F">
            <w:pPr>
              <w:rPr>
                <w:rFonts w:cs="Arial"/>
                <w:bCs/>
                <w:sz w:val="16"/>
                <w:szCs w:val="16"/>
              </w:rPr>
            </w:pPr>
            <w:r w:rsidRPr="00C258AD">
              <w:rPr>
                <w:rFonts w:cs="Arial"/>
                <w:bCs/>
                <w:sz w:val="16"/>
                <w:szCs w:val="16"/>
              </w:rPr>
              <w:t>Recommandations du Comité de haut niveau sur la gestion et des réseaux subsidiaires</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24</w:t>
            </w:r>
          </w:p>
        </w:tc>
        <w:tc>
          <w:tcPr>
            <w:tcW w:w="475" w:type="pct"/>
            <w:shd w:val="clear" w:color="auto" w:fill="FFFFFF"/>
          </w:tcPr>
          <w:p w:rsidR="00431966" w:rsidRPr="00C258AD" w:rsidRDefault="00431966" w:rsidP="00927E1F">
            <w:pPr>
              <w:jc w:val="center"/>
            </w:pPr>
            <w:r w:rsidRPr="00C258AD">
              <w:rPr>
                <w:rFonts w:cs="Arial"/>
                <w:color w:val="A6A6A6" w:themeColor="background1" w:themeShade="A6"/>
                <w:sz w:val="22"/>
                <w:szCs w:val="22"/>
              </w:rPr>
              <w:sym w:font="Wingdings" w:char="F06C"/>
            </w:r>
          </w:p>
        </w:tc>
      </w:tr>
      <w:tr w:rsidR="00431966" w:rsidRPr="00C258AD" w:rsidTr="00927E1F">
        <w:trPr>
          <w:cantSplit/>
        </w:trPr>
        <w:tc>
          <w:tcPr>
            <w:tcW w:w="1507" w:type="pct"/>
            <w:shd w:val="clear" w:color="auto" w:fill="auto"/>
            <w:tcMar>
              <w:top w:w="113" w:type="dxa"/>
              <w:bottom w:w="85" w:type="dxa"/>
            </w:tcMar>
          </w:tcPr>
          <w:p w:rsidR="00431966" w:rsidRPr="00C258AD" w:rsidRDefault="00431966" w:rsidP="00927E1F">
            <w:pPr>
              <w:rPr>
                <w:rFonts w:cs="Arial"/>
                <w:sz w:val="16"/>
                <w:szCs w:val="16"/>
              </w:rPr>
            </w:pPr>
          </w:p>
        </w:tc>
        <w:tc>
          <w:tcPr>
            <w:tcW w:w="212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des biens et services d’origine locale par rapport au total des biens et services acquis pour les activités de développement</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24</w:t>
            </w:r>
          </w:p>
        </w:tc>
        <w:tc>
          <w:tcPr>
            <w:tcW w:w="475" w:type="pct"/>
            <w:shd w:val="clear" w:color="auto" w:fill="FFFFFF"/>
          </w:tcPr>
          <w:p w:rsidR="00431966" w:rsidRPr="00C258AD" w:rsidRDefault="00431966" w:rsidP="00927E1F">
            <w:pPr>
              <w:jc w:val="center"/>
            </w:pPr>
            <w:r w:rsidRPr="00C258AD">
              <w:rPr>
                <w:rFonts w:cs="Arial"/>
                <w:color w:val="FF0000"/>
                <w:sz w:val="22"/>
                <w:szCs w:val="22"/>
              </w:rPr>
              <w:sym w:font="Wingdings" w:char="F06C"/>
            </w:r>
            <w:r w:rsidRPr="00C258AD">
              <w:rPr>
                <w:rFonts w:cs="Arial"/>
                <w:color w:val="008000"/>
                <w:sz w:val="22"/>
                <w:szCs w:val="22"/>
              </w:rPr>
              <w:sym w:font="Wingdings" w:char="F06C"/>
            </w:r>
          </w:p>
        </w:tc>
      </w:tr>
      <w:tr w:rsidR="00431966" w:rsidRPr="00C258AD" w:rsidTr="00927E1F">
        <w:trPr>
          <w:cantSplit/>
        </w:trPr>
        <w:tc>
          <w:tcPr>
            <w:tcW w:w="1507" w:type="pct"/>
            <w:shd w:val="clear" w:color="auto" w:fill="auto"/>
            <w:tcMar>
              <w:top w:w="113" w:type="dxa"/>
              <w:bottom w:w="85" w:type="dxa"/>
            </w:tcMar>
          </w:tcPr>
          <w:p w:rsidR="00431966" w:rsidRPr="00C258AD" w:rsidRDefault="00431966" w:rsidP="00927E1F">
            <w:pPr>
              <w:rPr>
                <w:rFonts w:cs="Arial"/>
                <w:sz w:val="16"/>
                <w:szCs w:val="16"/>
              </w:rPr>
            </w:pPr>
          </w:p>
        </w:tc>
        <w:tc>
          <w:tcPr>
            <w:tcW w:w="2127"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de dépenses soumises à effet de levier de l’ONU (appels d’offre communs ou portage)</w:t>
            </w:r>
          </w:p>
        </w:tc>
        <w:tc>
          <w:tcPr>
            <w:tcW w:w="891"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24</w:t>
            </w:r>
          </w:p>
        </w:tc>
        <w:tc>
          <w:tcPr>
            <w:tcW w:w="475"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bl>
    <w:p w:rsidR="00431966" w:rsidRPr="00C258AD" w:rsidRDefault="00431966" w:rsidP="00431966"/>
    <w:p w:rsidR="006E2BB1" w:rsidRPr="00C258AD" w:rsidRDefault="00A068F8" w:rsidP="00A068F8">
      <w:r w:rsidRPr="00C258AD">
        <w:br w:type="page"/>
      </w:r>
    </w:p>
    <w:p w:rsidR="006E2BB1" w:rsidRPr="00C258AD" w:rsidRDefault="003A56B4" w:rsidP="00305CE5">
      <w:pPr>
        <w:pStyle w:val="Heading3"/>
      </w:pPr>
      <w:bookmarkStart w:id="144" w:name="_Toc455394205"/>
      <w:r w:rsidRPr="00C258AD">
        <w:lastRenderedPageBreak/>
        <w:t>Programme 19‏</w:t>
      </w:r>
      <w:r w:rsidRPr="00C258AD">
        <w:tab/>
        <w:t>Communications</w:t>
      </w:r>
      <w:bookmarkEnd w:id="142"/>
      <w:bookmarkEnd w:id="143"/>
      <w:bookmarkEnd w:id="144"/>
    </w:p>
    <w:p w:rsidR="006E2BB1" w:rsidRPr="00C258AD" w:rsidRDefault="006E2BB1" w:rsidP="001A4D6C"/>
    <w:p w:rsidR="006E2BB1" w:rsidRPr="00C258AD" w:rsidRDefault="003A56B4" w:rsidP="001A4D6C">
      <w:pPr>
        <w:tabs>
          <w:tab w:val="left" w:pos="2268"/>
        </w:tabs>
        <w:rPr>
          <w:b/>
        </w:rPr>
      </w:pPr>
      <w:r w:rsidRPr="00C258AD">
        <w:rPr>
          <w:b/>
        </w:rPr>
        <w:t>Chef de programme</w:t>
      </w:r>
      <w:r w:rsidRPr="00C258AD">
        <w:rPr>
          <w:b/>
        </w:rPr>
        <w:tab/>
        <w:t>M. J. Tarpey</w:t>
      </w:r>
    </w:p>
    <w:p w:rsidR="006E2BB1" w:rsidRPr="00C258AD" w:rsidRDefault="006E2BB1" w:rsidP="001A4D6C"/>
    <w:p w:rsidR="006E2BB1" w:rsidRPr="00C258AD" w:rsidRDefault="006E2BB1" w:rsidP="001A4D6C"/>
    <w:p w:rsidR="006E2BB1" w:rsidRPr="00C258AD" w:rsidRDefault="003A56B4" w:rsidP="00305CE5">
      <w:pPr>
        <w:keepNext/>
        <w:rPr>
          <w:rFonts w:cs="Arial"/>
          <w:caps/>
          <w:sz w:val="22"/>
          <w:szCs w:val="22"/>
        </w:rPr>
      </w:pPr>
      <w:r w:rsidRPr="00C258AD">
        <w:rPr>
          <w:rFonts w:cs="Arial"/>
          <w:caps/>
          <w:sz w:val="22"/>
          <w:szCs w:val="22"/>
        </w:rPr>
        <w:t>Réalisations au cours de l’exercice biennal 2014</w:t>
      </w:r>
      <w:r w:rsidRPr="00C258AD">
        <w:rPr>
          <w:rFonts w:cs="Arial"/>
          <w:caps/>
          <w:sz w:val="22"/>
          <w:szCs w:val="22"/>
        </w:rPr>
        <w:noBreakHyphen/>
        <w:t>2015</w:t>
      </w:r>
    </w:p>
    <w:p w:rsidR="006E2BB1" w:rsidRPr="00C258AD" w:rsidRDefault="006E2BB1" w:rsidP="001A4D6C">
      <w:pPr>
        <w:jc w:val="both"/>
      </w:pPr>
    </w:p>
    <w:p w:rsidR="006E2BB1" w:rsidRPr="00C258AD" w:rsidRDefault="003A56B4" w:rsidP="003A56B4">
      <w:pPr>
        <w:pStyle w:val="ListParagraph"/>
        <w:numPr>
          <w:ilvl w:val="0"/>
          <w:numId w:val="55"/>
        </w:numPr>
        <w:tabs>
          <w:tab w:val="left" w:pos="709"/>
        </w:tabs>
        <w:ind w:left="0" w:firstLine="0"/>
        <w:jc w:val="both"/>
        <w:rPr>
          <w:rFonts w:cs="Arial"/>
          <w:spacing w:val="-2"/>
        </w:rPr>
      </w:pPr>
      <w:r w:rsidRPr="00C258AD">
        <w:rPr>
          <w:rFonts w:cs="Arial"/>
          <w:spacing w:val="-2"/>
        </w:rPr>
        <w:t>Le programme 19 a continué de mettre l’accent sur la création et la mise à disposition d’un contenu pertinent et de haute qualité, sur une plus grande visibilité des travaux de l’OMPI et une sensibilisation accrue du public à ces travaux, et sur le renforcement de la culture du service au sein de l’Organisation.</w:t>
      </w:r>
    </w:p>
    <w:p w:rsidR="006E2BB1" w:rsidRPr="00C258AD" w:rsidRDefault="006E2BB1" w:rsidP="001A4D6C"/>
    <w:p w:rsidR="006E2BB1" w:rsidRPr="00C258AD" w:rsidRDefault="003A56B4" w:rsidP="003A56B4">
      <w:pPr>
        <w:pStyle w:val="ListParagraph"/>
        <w:numPr>
          <w:ilvl w:val="0"/>
          <w:numId w:val="55"/>
        </w:numPr>
        <w:tabs>
          <w:tab w:val="left" w:pos="709"/>
        </w:tabs>
        <w:ind w:left="0" w:firstLine="0"/>
        <w:jc w:val="both"/>
        <w:rPr>
          <w:rFonts w:cs="Arial"/>
        </w:rPr>
      </w:pPr>
      <w:r w:rsidRPr="00C258AD">
        <w:rPr>
          <w:rFonts w:cs="Arial"/>
        </w:rPr>
        <w:t xml:space="preserve">Le principal projet de bulletin d’information électronique a abouti à une nouvelle solution de </w:t>
      </w:r>
      <w:r w:rsidRPr="00C258AD">
        <w:rPr>
          <w:rFonts w:cs="Arial"/>
          <w:b/>
        </w:rPr>
        <w:t>marketing par courrier électronique</w:t>
      </w:r>
      <w:r w:rsidRPr="00C258AD">
        <w:rPr>
          <w:rFonts w:cs="Arial"/>
        </w:rPr>
        <w:t xml:space="preserve">, qui a transformé la capacité de l’OMPI de transmettre des </w:t>
      </w:r>
      <w:r w:rsidRPr="00C258AD">
        <w:rPr>
          <w:rFonts w:cs="Arial"/>
          <w:color w:val="000000"/>
        </w:rPr>
        <w:t>communications numériques efficaces et sur mesure aux parties prenantes intéressées.  Le projet comprenait une réorganisation et une refonte totales des multiples prestations de l’OMPI dans le domaine des bulletins d’information électroniques, l’élaboration d’une politique visant à assurer un service de qualité aux abonnés et le déploiement en juin 2015 d’une plateforme sophistiquée pour la diffusion des bulletins d’information en six langues.  Quelque 508 bulletins d’information, provenant des différents secteurs de l’OMPI, ont été envoyés au cours des six premiers mois de fonctionnement du système.  La plateforme a également permis le lancement de WIPO </w:t>
      </w:r>
      <w:proofErr w:type="spellStart"/>
      <w:r w:rsidRPr="00C258AD">
        <w:rPr>
          <w:rFonts w:cs="Arial"/>
          <w:color w:val="000000"/>
        </w:rPr>
        <w:t>Wire</w:t>
      </w:r>
      <w:proofErr w:type="spellEnd"/>
      <w:r w:rsidRPr="00C258AD">
        <w:rPr>
          <w:rFonts w:cs="Arial"/>
          <w:color w:val="000000"/>
        </w:rPr>
        <w:t xml:space="preserve">, un bulletin d’information bihebdomadaire en six langues qui, pour la première fois, permettait de s’informer sur les diverses activités de l’OMPI et sur les ressources mises à disposition gratuitement par l’Organisation.  Le bulletin WIPO </w:t>
      </w:r>
      <w:proofErr w:type="spellStart"/>
      <w:r w:rsidRPr="00C258AD">
        <w:rPr>
          <w:rFonts w:cs="Arial"/>
          <w:color w:val="000000"/>
        </w:rPr>
        <w:t>Wire</w:t>
      </w:r>
      <w:proofErr w:type="spellEnd"/>
      <w:r w:rsidRPr="00C258AD">
        <w:rPr>
          <w:rFonts w:cs="Arial"/>
          <w:color w:val="000000"/>
        </w:rPr>
        <w:t xml:space="preserve"> a gagné 10 000 abonnés durant les six premiers mois compris entre son lancement et la fin de l’année 2015, notamment des fonctionnaires des États membres, des professionnels de la propriété intellectuelle et des décideurs de 173 pays.</w:t>
      </w:r>
    </w:p>
    <w:p w:rsidR="006E2BB1" w:rsidRPr="00C258AD" w:rsidRDefault="006E2BB1" w:rsidP="001A4D6C"/>
    <w:p w:rsidR="006E2BB1" w:rsidRPr="00C258AD" w:rsidRDefault="003A56B4" w:rsidP="003A56B4">
      <w:pPr>
        <w:pStyle w:val="ListParagraph"/>
        <w:numPr>
          <w:ilvl w:val="0"/>
          <w:numId w:val="55"/>
        </w:numPr>
        <w:tabs>
          <w:tab w:val="left" w:pos="709"/>
        </w:tabs>
        <w:ind w:left="0" w:firstLine="0"/>
        <w:jc w:val="both"/>
        <w:rPr>
          <w:rFonts w:cs="Arial"/>
        </w:rPr>
      </w:pPr>
      <w:r w:rsidRPr="00C258AD">
        <w:rPr>
          <w:rFonts w:cs="Arial"/>
          <w:color w:val="000000"/>
        </w:rPr>
        <w:t>Une stratégie plus intégrée en matière de contenus et de médias a permis de renforcer l’</w:t>
      </w:r>
      <w:r w:rsidRPr="00C258AD">
        <w:rPr>
          <w:rFonts w:cs="Arial"/>
          <w:b/>
          <w:color w:val="000000"/>
        </w:rPr>
        <w:t>impact</w:t>
      </w:r>
      <w:r w:rsidRPr="00C258AD">
        <w:rPr>
          <w:rFonts w:cs="Arial"/>
          <w:color w:val="000000"/>
        </w:rPr>
        <w:t>, en termes de communication, des principaux événements et lancements de produits de l’OMPI</w:t>
      </w:r>
      <w:r w:rsidRPr="00C258AD">
        <w:rPr>
          <w:color w:val="000000"/>
        </w:rPr>
        <w:t xml:space="preserve">.  </w:t>
      </w:r>
      <w:r w:rsidRPr="00C258AD">
        <w:rPr>
          <w:rFonts w:cs="Arial"/>
          <w:color w:val="000000"/>
        </w:rPr>
        <w:t>L’Indice mondial de l’innovation (GII) est devenu un sujet “tendance” sur Twitter à Londres le jour de son lancement au Royaume</w:t>
      </w:r>
      <w:r w:rsidRPr="00C258AD">
        <w:rPr>
          <w:rFonts w:cs="Arial"/>
          <w:color w:val="000000"/>
        </w:rPr>
        <w:noBreakHyphen/>
        <w:t>Uni en 2015</w:t>
      </w:r>
      <w:r w:rsidRPr="00C258AD">
        <w:rPr>
          <w:color w:val="000000"/>
        </w:rPr>
        <w:t xml:space="preserve">.  </w:t>
      </w:r>
      <w:r w:rsidRPr="00C258AD">
        <w:rPr>
          <w:rFonts w:cs="Arial"/>
          <w:color w:val="000000"/>
        </w:rPr>
        <w:t xml:space="preserve">La couverture de certains sujets par les médias les plus influents du monde a permis de positionner les principaux rapports de l’OMPI en tant que sources de références mondiales pour la propriété intellectuelle et l’innovation (Indice mondial de l’innovation, Rapport de l’OMPI sur la propriété intellectuelle dans le monde, Revues annuelles du système de Madrid et de La Haye et indicateurs mondiaux relatifs à la propriété intellectuelle).  La promotion du Rapport de l’OMPI sur la propriété intellectuelle dans le monde a donné lieu à quelque 200 articles de presse dans les semaines ayant suivi sa publication.  Les activités concertées de la presse et des médias sociaux pour promouvoir la Conférence ministérielle de Dakar ont été largement reprises dans les médias africains, notamment en ligne, ce qui a stimulé l’intérêt du public pour la propriété intellectuelle et les questions de développement.  Pour tous les grands événements, des pages Web ont été publiées dans les six langues.  Les activités de sensibilisation à l’appui du </w:t>
      </w:r>
      <w:r w:rsidRPr="00C258AD">
        <w:rPr>
          <w:rFonts w:cs="Arial"/>
          <w:bCs/>
        </w:rPr>
        <w:t>Consortium pour des livres accessibles </w:t>
      </w:r>
      <w:r w:rsidRPr="00C258AD">
        <w:rPr>
          <w:rFonts w:cs="Arial"/>
          <w:color w:val="000000"/>
        </w:rPr>
        <w:t>(ABC) ont été renforcées avec la production d’une vidéo remarquable sur le renforcement des capacités en Inde, dans le cadre du projet ABC.</w:t>
      </w:r>
    </w:p>
    <w:p w:rsidR="006E2BB1" w:rsidRPr="00C258AD" w:rsidRDefault="006E2BB1" w:rsidP="001A4D6C"/>
    <w:p w:rsidR="006E2BB1" w:rsidRPr="00C258AD" w:rsidRDefault="003A56B4" w:rsidP="003A56B4">
      <w:pPr>
        <w:pStyle w:val="ListParagraph"/>
        <w:numPr>
          <w:ilvl w:val="0"/>
          <w:numId w:val="55"/>
        </w:numPr>
        <w:tabs>
          <w:tab w:val="left" w:pos="709"/>
        </w:tabs>
        <w:ind w:left="0" w:firstLine="0"/>
        <w:jc w:val="both"/>
        <w:rPr>
          <w:rFonts w:cs="Arial"/>
        </w:rPr>
      </w:pPr>
      <w:r w:rsidRPr="00C258AD">
        <w:rPr>
          <w:rFonts w:cs="Arial"/>
          <w:color w:val="000000"/>
        </w:rPr>
        <w:t xml:space="preserve">La </w:t>
      </w:r>
      <w:r w:rsidRPr="00C258AD">
        <w:rPr>
          <w:rFonts w:cs="Arial"/>
          <w:b/>
          <w:color w:val="000000"/>
        </w:rPr>
        <w:t xml:space="preserve">participation </w:t>
      </w:r>
      <w:r w:rsidRPr="00C258AD">
        <w:rPr>
          <w:rFonts w:cs="Arial"/>
          <w:color w:val="000000"/>
        </w:rPr>
        <w:t xml:space="preserve">des États membres et du public à la campagne annuelle pour la Journée </w:t>
      </w:r>
      <w:r w:rsidRPr="00C258AD">
        <w:rPr>
          <w:rFonts w:cs="Arial"/>
        </w:rPr>
        <w:t xml:space="preserve">mondiale de la propriété intellectuelle a atteint des niveaux </w:t>
      </w:r>
      <w:proofErr w:type="gramStart"/>
      <w:r w:rsidRPr="00C258AD">
        <w:rPr>
          <w:rFonts w:cs="Arial"/>
        </w:rPr>
        <w:t>records</w:t>
      </w:r>
      <w:proofErr w:type="gramEnd"/>
      <w:r w:rsidRPr="00C258AD">
        <w:rPr>
          <w:rFonts w:cs="Arial"/>
        </w:rPr>
        <w:t xml:space="preserve"> au cours des deux années de l’exercice.  Le thème de 2015, Tous pour la musique!, a inspiré quelque 350 événements dans le cadre de la Journée mondiale de la propriété intellectuelle, dans 105 pays (par rapport à 236 événements dans 93 pays en 2013), notamment une table ronde qui a réuni un grand nombre de participants et une exposition au siège de l’OMPI.  Les tweets pour la Journée mondiale de la propriété intellectuelle 2015 (#</w:t>
      </w:r>
      <w:proofErr w:type="spellStart"/>
      <w:r w:rsidRPr="00C258AD">
        <w:rPr>
          <w:rFonts w:cs="Arial"/>
        </w:rPr>
        <w:t>worldipday</w:t>
      </w:r>
      <w:proofErr w:type="spellEnd"/>
      <w:r w:rsidRPr="00C258AD">
        <w:rPr>
          <w:rFonts w:cs="Arial"/>
        </w:rPr>
        <w:t xml:space="preserve">) ont donné lieu à 5,2 millions d’impressions potentielles (par rapport à 1,55 million en 2013) et à 900 retweets.  La participation a été véritablement mondiale et le nombre de consultations de la page en chinois a dépassé celui de la page en anglais en 2014, tandis que les plus grands nombres de “J’aime” sur la page Facebook ont été atteints, respectivement, en Inde, aux </w:t>
      </w:r>
      <w:r w:rsidRPr="00C258AD">
        <w:t>États</w:t>
      </w:r>
      <w:r w:rsidRPr="00C258AD">
        <w:noBreakHyphen/>
        <w:t>Unis d’Amérique</w:t>
      </w:r>
      <w:r w:rsidRPr="00C258AD">
        <w:rPr>
          <w:rFonts w:cs="Arial"/>
        </w:rPr>
        <w:t>, au Mexique, en Égypte et au Brésil.</w:t>
      </w:r>
    </w:p>
    <w:p w:rsidR="006E2BB1" w:rsidRPr="00C258AD" w:rsidRDefault="006E2BB1" w:rsidP="001A4D6C">
      <w:pPr>
        <w:tabs>
          <w:tab w:val="left" w:pos="7007"/>
        </w:tabs>
      </w:pPr>
    </w:p>
    <w:p w:rsidR="006E2BB1" w:rsidRPr="00C258AD" w:rsidRDefault="003A56B4" w:rsidP="003A56B4">
      <w:pPr>
        <w:pStyle w:val="ListParagraph"/>
        <w:numPr>
          <w:ilvl w:val="0"/>
          <w:numId w:val="55"/>
        </w:numPr>
        <w:tabs>
          <w:tab w:val="left" w:pos="709"/>
        </w:tabs>
        <w:ind w:left="0" w:firstLine="0"/>
        <w:jc w:val="both"/>
        <w:rPr>
          <w:rFonts w:cs="Arial"/>
        </w:rPr>
      </w:pPr>
      <w:r w:rsidRPr="00C258AD">
        <w:rPr>
          <w:rFonts w:cs="Arial"/>
        </w:rPr>
        <w:t>La communication en personne s’est notamment faite dans le cadre des séances d’information de l’OMPI.  En 2014</w:t>
      </w:r>
      <w:r w:rsidRPr="00C258AD">
        <w:rPr>
          <w:rFonts w:cs="Arial"/>
        </w:rPr>
        <w:noBreakHyphen/>
        <w:t>2015, les fonctionnaires ont présenté des exposés sur mesure à 178 groupes en visite, notamment 4000 étudiants venus du monde entier.  La participation à des événements locaux, notamment la Journée portes ouvertes des Nations Unies, a également permis de mieux faire connaître l’ONU au public genevois.</w:t>
      </w:r>
    </w:p>
    <w:p w:rsidR="006E2BB1" w:rsidRPr="00C258AD" w:rsidRDefault="006E2BB1" w:rsidP="001A4D6C"/>
    <w:p w:rsidR="006E2BB1" w:rsidRPr="00C258AD" w:rsidRDefault="003A56B4" w:rsidP="003A56B4">
      <w:pPr>
        <w:pStyle w:val="ListParagraph"/>
        <w:numPr>
          <w:ilvl w:val="0"/>
          <w:numId w:val="55"/>
        </w:numPr>
        <w:tabs>
          <w:tab w:val="left" w:pos="709"/>
        </w:tabs>
        <w:ind w:left="0" w:firstLine="0"/>
        <w:jc w:val="both"/>
        <w:rPr>
          <w:rFonts w:cs="Arial"/>
        </w:rPr>
      </w:pPr>
      <w:r w:rsidRPr="00C258AD">
        <w:rPr>
          <w:rFonts w:cs="Arial"/>
          <w:color w:val="000000"/>
        </w:rPr>
        <w:lastRenderedPageBreak/>
        <w:t xml:space="preserve">La volonté de créer des </w:t>
      </w:r>
      <w:r w:rsidRPr="00C258AD">
        <w:rPr>
          <w:rFonts w:cs="Arial"/>
          <w:b/>
          <w:color w:val="000000"/>
        </w:rPr>
        <w:t>contenus éditoriaux et visuels</w:t>
      </w:r>
      <w:r w:rsidRPr="00C258AD">
        <w:rPr>
          <w:rFonts w:cs="Arial"/>
          <w:color w:val="000000"/>
        </w:rPr>
        <w:t xml:space="preserve"> originaux et de qualité a continué de produire des effets positifs en 2014</w:t>
      </w:r>
      <w:r w:rsidRPr="00C258AD">
        <w:rPr>
          <w:rFonts w:cs="Arial"/>
          <w:color w:val="000000"/>
        </w:rPr>
        <w:noBreakHyphen/>
        <w:t>2015</w:t>
      </w:r>
      <w:r w:rsidRPr="00C258AD">
        <w:rPr>
          <w:color w:val="000000"/>
        </w:rPr>
        <w:t xml:space="preserve">.  </w:t>
      </w:r>
      <w:r w:rsidRPr="00C258AD">
        <w:rPr>
          <w:rFonts w:cs="Arial"/>
          <w:color w:val="000000"/>
        </w:rPr>
        <w:t xml:space="preserve">Une infographie créée pour présenter l’Indice mondial de l’innovation de 2015 a été retweetée plus de 400 fois, devenant ainsi l’élément d’un média social de l’OMPI le </w:t>
      </w:r>
      <w:r w:rsidRPr="00C258AD">
        <w:rPr>
          <w:rFonts w:cs="Arial"/>
        </w:rPr>
        <w:t>plus partagé à ce jour.  Plus de 425 produits ont été créés pour être imprimés ou utilisés en ligne en 2014</w:t>
      </w:r>
      <w:r w:rsidRPr="00C258AD">
        <w:rPr>
          <w:rFonts w:cs="Arial"/>
        </w:rPr>
        <w:noBreakHyphen/>
        <w:t>2015, notamment des brochures, des publications, des contenus Web et du matériel promotionnel en plusieurs langues.  Le Magazine de l’OMPI, qui paraît tous les deux mois, a donné lieu à plus d’un million de consultations durant l’exercice biennal, en hausse de 19%, avec des lecteurs qui partagent régulièrement les articles par l’intermédiaire d’un média social.  Le nouveau Centre de médias, fondé sur le Web, a été élaboré pour servir de fenêtre sur les travaux de l’OMPI et sur la façon dont ceux</w:t>
      </w:r>
      <w:r w:rsidRPr="00C258AD">
        <w:rPr>
          <w:rFonts w:cs="Arial"/>
        </w:rPr>
        <w:noBreakHyphen/>
        <w:t>ci profitent au grand public, avec des contenus vidéo, de brefs rapports et des récits plus longs.  Conformément à la tendance en matière de communications, la consultation de la presse traditionnelle a légèrement chuté (1,6%), tandis que les contenus plus accessibles du Centre de médias ont fait l’objet de plus de 500 000 vues uniques durant l’exercice biennal.</w:t>
      </w:r>
    </w:p>
    <w:p w:rsidR="006E2BB1" w:rsidRPr="00C258AD" w:rsidRDefault="006E2BB1" w:rsidP="001A4D6C"/>
    <w:p w:rsidR="006E2BB1" w:rsidRPr="00C258AD" w:rsidRDefault="003A56B4" w:rsidP="003A56B4">
      <w:pPr>
        <w:pStyle w:val="ListParagraph"/>
        <w:numPr>
          <w:ilvl w:val="0"/>
          <w:numId w:val="55"/>
        </w:numPr>
        <w:tabs>
          <w:tab w:val="left" w:pos="709"/>
        </w:tabs>
        <w:ind w:left="0" w:firstLine="0"/>
        <w:jc w:val="both"/>
        <w:rPr>
          <w:rFonts w:cs="Arial"/>
        </w:rPr>
      </w:pPr>
      <w:r w:rsidRPr="00C258AD">
        <w:rPr>
          <w:rFonts w:cs="Arial"/>
        </w:rPr>
        <w:t xml:space="preserve">La production </w:t>
      </w:r>
      <w:r w:rsidRPr="00C258AD">
        <w:rPr>
          <w:rFonts w:cs="Arial"/>
          <w:b/>
        </w:rPr>
        <w:t xml:space="preserve">vidéo </w:t>
      </w:r>
      <w:r w:rsidRPr="00C258AD">
        <w:rPr>
          <w:rFonts w:cs="Arial"/>
        </w:rPr>
        <w:t>de l’OMPI a continué de s’intensifier en réponse à l’intérêt que suscite ce moyen de communication dans le monde.  Quelque 272 nouvelles vidéos ont été créées, dont 161 ont été postées sur YouTube en 2014</w:t>
      </w:r>
      <w:r w:rsidRPr="00C258AD">
        <w:rPr>
          <w:rFonts w:cs="Arial"/>
        </w:rPr>
        <w:noBreakHyphen/>
        <w:t xml:space="preserve">2015, notamment des reportages sur des sujets d’actualité, des histoires concernant des innovateurs et des créateurs et des supports promotionnels.  Le nombre de consultations des dessins animés populaires pour enfants </w:t>
      </w:r>
      <w:proofErr w:type="spellStart"/>
      <w:r w:rsidRPr="00C258AD">
        <w:rPr>
          <w:rFonts w:cs="Arial"/>
          <w:i/>
        </w:rPr>
        <w:t>Pororo</w:t>
      </w:r>
      <w:proofErr w:type="spellEnd"/>
      <w:r w:rsidRPr="00C258AD">
        <w:rPr>
          <w:rFonts w:cs="Arial"/>
        </w:rPr>
        <w:t>, qui avait connu un pic viral en 2012</w:t>
      </w:r>
      <w:r w:rsidRPr="00C258AD">
        <w:rPr>
          <w:rFonts w:cs="Arial"/>
        </w:rPr>
        <w:noBreakHyphen/>
        <w:t>2013, a diminué, mais pour les consultations des autres vidéos (pas les dessins animés), la tendance est restée à la hausse.  Le nombre total des consultations de vidéos sur la chaîne YouTube de l’OMPI (depuis son lancement en avril 2010) a dépassé les 9 millions.  Les photos de l’OMPI visualisées sur Flickr ont enregistré plus de 2,5 millions de consultations supplémentaires durant l’exercice biennal 2014</w:t>
      </w:r>
      <w:r w:rsidRPr="00C258AD">
        <w:rPr>
          <w:rFonts w:cs="Arial"/>
        </w:rPr>
        <w:noBreakHyphen/>
        <w:t>2015, pour un total général de 3,4 millions de consultations, contre 900 000 durant l’exercice 2012</w:t>
      </w:r>
      <w:r w:rsidRPr="00C258AD">
        <w:rPr>
          <w:rFonts w:cs="Arial"/>
        </w:rPr>
        <w:noBreakHyphen/>
        <w:t>2013.</w:t>
      </w:r>
    </w:p>
    <w:p w:rsidR="006E2BB1" w:rsidRPr="00C258AD" w:rsidRDefault="006E2BB1" w:rsidP="001A4D6C"/>
    <w:p w:rsidR="006E2BB1" w:rsidRPr="00C258AD" w:rsidRDefault="003A56B4" w:rsidP="003A56B4">
      <w:pPr>
        <w:pStyle w:val="ListParagraph"/>
        <w:numPr>
          <w:ilvl w:val="0"/>
          <w:numId w:val="55"/>
        </w:numPr>
        <w:tabs>
          <w:tab w:val="left" w:pos="709"/>
        </w:tabs>
        <w:ind w:left="0" w:firstLine="0"/>
        <w:jc w:val="both"/>
        <w:rPr>
          <w:rFonts w:cs="Arial"/>
        </w:rPr>
      </w:pPr>
      <w:r w:rsidRPr="00C258AD">
        <w:rPr>
          <w:rFonts w:cs="Arial"/>
        </w:rPr>
        <w:t xml:space="preserve">La deuxième phase de la restructuration du </w:t>
      </w:r>
      <w:r w:rsidRPr="00C258AD">
        <w:rPr>
          <w:b/>
        </w:rPr>
        <w:t>site</w:t>
      </w:r>
      <w:r w:rsidRPr="00C258AD">
        <w:rPr>
          <w:rFonts w:cs="Arial"/>
          <w:b/>
        </w:rPr>
        <w:t> </w:t>
      </w:r>
      <w:r w:rsidRPr="00C258AD">
        <w:rPr>
          <w:b/>
        </w:rPr>
        <w:t>Web</w:t>
      </w:r>
      <w:r w:rsidRPr="00C258AD">
        <w:rPr>
          <w:rFonts w:cs="Arial"/>
        </w:rPr>
        <w:t xml:space="preserve"> de l’OMPI a bien avancé avec le nettoyage, l’amélioration et la refonte systématiques des pages de niveau inférieur</w:t>
      </w:r>
      <w:r w:rsidRPr="00C258AD">
        <w:t xml:space="preserve">;  </w:t>
      </w:r>
      <w:r w:rsidRPr="00C258AD">
        <w:rPr>
          <w:rFonts w:cs="Arial"/>
        </w:rPr>
        <w:t>l’amélioration de la fonction de recherche</w:t>
      </w:r>
      <w:r w:rsidRPr="00C258AD">
        <w:t xml:space="preserve">;  </w:t>
      </w:r>
      <w:r w:rsidRPr="00C258AD">
        <w:rPr>
          <w:rFonts w:cs="Arial"/>
        </w:rPr>
        <w:t>la modernisation technique du système de gestion de contenus et de nouvelles améliorations des éléments visuels pour une mise en œuvre en 2016</w:t>
      </w:r>
      <w:r w:rsidRPr="00C258AD">
        <w:t xml:space="preserve">.  </w:t>
      </w:r>
      <w:r w:rsidRPr="00C258AD">
        <w:rPr>
          <w:rFonts w:cs="Arial"/>
        </w:rPr>
        <w:t>De nouveaux contenus Web ont été créés, par exemple pour les bureaux extérieurs</w:t>
      </w:r>
      <w:r w:rsidRPr="00C258AD">
        <w:t xml:space="preserve">;  </w:t>
      </w:r>
      <w:r w:rsidRPr="00C258AD">
        <w:rPr>
          <w:rFonts w:cs="Arial"/>
        </w:rPr>
        <w:t>les femmes et la propriété intellectuelle</w:t>
      </w:r>
      <w:r w:rsidRPr="00C258AD">
        <w:t xml:space="preserve">;  </w:t>
      </w:r>
      <w:r w:rsidRPr="00C258AD">
        <w:rPr>
          <w:rFonts w:cs="Arial"/>
        </w:rPr>
        <w:t>les assemblées</w:t>
      </w:r>
      <w:r w:rsidRPr="00C258AD">
        <w:t xml:space="preserve">;  </w:t>
      </w:r>
      <w:r w:rsidRPr="00C258AD">
        <w:rPr>
          <w:rFonts w:cs="Arial"/>
        </w:rPr>
        <w:t xml:space="preserve">et tous les événements, produits et initiatives importants.  Une priorité élevée a été accordée à la traduction et </w:t>
      </w:r>
      <w:proofErr w:type="gramStart"/>
      <w:r w:rsidRPr="00C258AD">
        <w:rPr>
          <w:rFonts w:cs="Arial"/>
        </w:rPr>
        <w:t>à la publication rapides</w:t>
      </w:r>
      <w:proofErr w:type="gramEnd"/>
      <w:r w:rsidRPr="00C258AD">
        <w:rPr>
          <w:rFonts w:cs="Arial"/>
        </w:rPr>
        <w:t xml:space="preserve"> des contenus Web dans les six langues.  Les fonctionnaires de la Division linguistique ont été formés, en 2015, à insérer directement les contenus en arabe, chinois et russe sur le </w:t>
      </w:r>
      <w:r w:rsidRPr="00C258AD">
        <w:t>site</w:t>
      </w:r>
      <w:r w:rsidRPr="00C258AD">
        <w:rPr>
          <w:rFonts w:cs="Arial"/>
        </w:rPr>
        <w:t> </w:t>
      </w:r>
      <w:r w:rsidRPr="00C258AD">
        <w:t>Web</w:t>
      </w:r>
      <w:r w:rsidRPr="00C258AD">
        <w:rPr>
          <w:rFonts w:cs="Arial"/>
        </w:rPr>
        <w:t xml:space="preserve">, ce qui a amélioré la qualité, la quantité et la rapidité de la publication en ligne dans ces langues.  Les </w:t>
      </w:r>
      <w:r w:rsidRPr="00C258AD">
        <w:rPr>
          <w:rFonts w:cs="Arial"/>
          <w:b/>
        </w:rPr>
        <w:t>médias sociaux</w:t>
      </w:r>
      <w:r w:rsidRPr="00C258AD">
        <w:rPr>
          <w:rFonts w:cs="Arial"/>
        </w:rPr>
        <w:t xml:space="preserve"> de l’OMPI ont continué de bénéficier d’une forte participation sur Twitter, et la stratégie relative aux supports sociaux a commencé d’être examinée, pour une mise en œuvre en 2016</w:t>
      </w:r>
      <w:r w:rsidRPr="00C258AD">
        <w:rPr>
          <w:rFonts w:cs="Arial"/>
        </w:rPr>
        <w:noBreakHyphen/>
        <w:t>2017.</w:t>
      </w:r>
    </w:p>
    <w:p w:rsidR="006E2BB1" w:rsidRPr="00C258AD" w:rsidRDefault="006E2BB1" w:rsidP="001A4D6C">
      <w:pPr>
        <w:pStyle w:val="ListParagraph"/>
        <w:numPr>
          <w:ilvl w:val="0"/>
          <w:numId w:val="0"/>
        </w:numPr>
        <w:tabs>
          <w:tab w:val="left" w:pos="709"/>
        </w:tabs>
        <w:jc w:val="both"/>
        <w:rPr>
          <w:rFonts w:cs="Arial"/>
        </w:rPr>
      </w:pPr>
    </w:p>
    <w:p w:rsidR="006E2BB1" w:rsidRPr="00C258AD" w:rsidRDefault="003A56B4" w:rsidP="003A56B4">
      <w:pPr>
        <w:pStyle w:val="ListParagraph"/>
        <w:numPr>
          <w:ilvl w:val="0"/>
          <w:numId w:val="55"/>
        </w:numPr>
        <w:tabs>
          <w:tab w:val="left" w:pos="709"/>
        </w:tabs>
        <w:ind w:left="0" w:firstLine="0"/>
        <w:jc w:val="both"/>
        <w:rPr>
          <w:rFonts w:cs="Arial"/>
        </w:rPr>
      </w:pPr>
      <w:r w:rsidRPr="00C258AD">
        <w:rPr>
          <w:rFonts w:cs="Arial"/>
        </w:rPr>
        <w:t xml:space="preserve">La politique de diffusion des </w:t>
      </w:r>
      <w:r w:rsidRPr="00C258AD">
        <w:rPr>
          <w:rFonts w:cs="Arial"/>
          <w:b/>
        </w:rPr>
        <w:t xml:space="preserve">publications </w:t>
      </w:r>
      <w:r w:rsidRPr="00C258AD">
        <w:rPr>
          <w:rFonts w:cs="Arial"/>
        </w:rPr>
        <w:t>a été mise en œuvre afin de rendre toutes les publications et études de l’OMPI accessibles en ligne et téléchargeables gratuitement.  Les efforts ont été intensifiés pour réduire la production, le stockage et l’expédition des publications sur support papier, notamment avec l’introduction d’un service externe d’impression à la demande.  Le nouveau système de gestion des publications, introduit fin 2015 et qui a remplacé le système obsolète de contrôle de l’inventaire et de traitement des commandes, devrait contribuer à effectuer des économies.  En réponse aux demandes des États membres, 15 nouvelles bibliothèques dépositaires ont été créées durant l’exercice biennal, portant le nombre total de ces bibliothèques à 105, tandis que la Bibliothèque de l’OMPI a accueilli 2044 visiteurs et a répondu à 1323 demandes d’information provenant du monde entier.</w:t>
      </w:r>
    </w:p>
    <w:p w:rsidR="006E2BB1" w:rsidRPr="00C258AD" w:rsidRDefault="006E2BB1" w:rsidP="001A4D6C"/>
    <w:p w:rsidR="006E2BB1" w:rsidRPr="00C258AD" w:rsidRDefault="003A56B4" w:rsidP="003A56B4">
      <w:pPr>
        <w:pStyle w:val="ListParagraph"/>
        <w:numPr>
          <w:ilvl w:val="0"/>
          <w:numId w:val="55"/>
        </w:numPr>
        <w:tabs>
          <w:tab w:val="left" w:pos="709"/>
        </w:tabs>
        <w:ind w:left="0" w:firstLine="0"/>
        <w:jc w:val="both"/>
        <w:rPr>
          <w:rFonts w:cs="Arial"/>
        </w:rPr>
      </w:pPr>
      <w:r w:rsidRPr="00C258AD">
        <w:rPr>
          <w:rFonts w:cs="Arial"/>
        </w:rPr>
        <w:t xml:space="preserve">Les efforts de </w:t>
      </w:r>
      <w:r w:rsidRPr="00C258AD">
        <w:rPr>
          <w:rFonts w:cs="Arial"/>
          <w:b/>
        </w:rPr>
        <w:t xml:space="preserve">valorisation de l’image de marque, </w:t>
      </w:r>
      <w:r w:rsidRPr="00C258AD">
        <w:rPr>
          <w:rFonts w:cs="Arial"/>
        </w:rPr>
        <w:t>accomplis en 2012</w:t>
      </w:r>
      <w:r w:rsidRPr="00C258AD">
        <w:rPr>
          <w:rFonts w:cs="Arial"/>
        </w:rPr>
        <w:noBreakHyphen/>
        <w:t>2013 afin de renforcer l’image de marque de l’OMPI, ont occupé une place centrale en 2014</w:t>
      </w:r>
      <w:r w:rsidRPr="00C258AD">
        <w:rPr>
          <w:rFonts w:cs="Arial"/>
        </w:rPr>
        <w:noBreakHyphen/>
        <w:t>2015</w:t>
      </w:r>
      <w:r w:rsidRPr="00C258AD">
        <w:t xml:space="preserve">.  </w:t>
      </w:r>
      <w:r w:rsidRPr="00C258AD">
        <w:rPr>
          <w:rFonts w:cs="Arial"/>
        </w:rPr>
        <w:t>Avec les procédures d’examen des éléments relatifs à la rédaction et à la conception, il a été possible de rendre plus claire et plus cohérente la description verbale et visuelle de l’image de marque, du rôle, de la mission, de la vision et des valeurs de l’OMPI dans les communications.  L’enquête menée en 2014 sur les perceptions des parties prenantes a permis de recenser les principaux aspects sur lesquels l’OMPI est jugée et d’élaborer un outil de suivi des résultats de l’Organisation tels qu’ils sont perçus, en relation avec ces facteurs d’image.</w:t>
      </w:r>
    </w:p>
    <w:p w:rsidR="006E2BB1" w:rsidRPr="00C258AD" w:rsidRDefault="006E2BB1" w:rsidP="001A4D6C"/>
    <w:p w:rsidR="006E2BB1" w:rsidRPr="00C258AD" w:rsidRDefault="003A56B4" w:rsidP="003A56B4">
      <w:pPr>
        <w:pStyle w:val="ListParagraph"/>
        <w:numPr>
          <w:ilvl w:val="0"/>
          <w:numId w:val="55"/>
        </w:numPr>
        <w:tabs>
          <w:tab w:val="left" w:pos="709"/>
        </w:tabs>
        <w:ind w:left="0" w:firstLine="0"/>
        <w:jc w:val="both"/>
        <w:rPr>
          <w:rFonts w:cs="Arial"/>
        </w:rPr>
      </w:pPr>
      <w:r w:rsidRPr="00C258AD">
        <w:rPr>
          <w:rFonts w:cs="Arial"/>
        </w:rPr>
        <w:t xml:space="preserve">La forte volonté de répondre </w:t>
      </w:r>
      <w:r w:rsidRPr="00C258AD">
        <w:rPr>
          <w:rFonts w:cs="Arial"/>
          <w:color w:val="000000"/>
        </w:rPr>
        <w:t xml:space="preserve">rapidement et efficacement aux diverses parties prenantes de l’OMPI est restée au cœur des efforts actuellement déployés par l’Organisation pour promouvoir une </w:t>
      </w:r>
      <w:r w:rsidRPr="00C258AD">
        <w:rPr>
          <w:rFonts w:cs="Arial"/>
          <w:b/>
          <w:color w:val="000000"/>
        </w:rPr>
        <w:t xml:space="preserve">culture du service </w:t>
      </w:r>
      <w:r w:rsidRPr="00C258AD">
        <w:rPr>
          <w:rFonts w:cs="Arial"/>
          <w:color w:val="000000"/>
        </w:rPr>
        <w:t xml:space="preserve">et comprenait notamment le déploiement de la nouvelle Charte de services de </w:t>
      </w:r>
      <w:r w:rsidRPr="00C258AD">
        <w:rPr>
          <w:rFonts w:cs="Arial"/>
          <w:color w:val="000000"/>
        </w:rPr>
        <w:lastRenderedPageBreak/>
        <w:t xml:space="preserve">l’OMPI, des exposés en interne et des activités de sensibilisation, ainsi que la deuxième semaine </w:t>
      </w:r>
      <w:r w:rsidRPr="00C258AD">
        <w:rPr>
          <w:rFonts w:cs="Arial"/>
        </w:rPr>
        <w:t>“Nétiquette”</w:t>
      </w:r>
      <w:r w:rsidRPr="00C258AD">
        <w:t xml:space="preserve">.  </w:t>
      </w:r>
      <w:r w:rsidRPr="00C258AD">
        <w:rPr>
          <w:rFonts w:cs="Arial"/>
        </w:rPr>
        <w:t xml:space="preserve">Le personnel du Centre de services à la clientèle a traité 92% des 10 280 demandes de renseignement reçues en moins d’un jour de travail, et 100% des 283 réclamations reçues en moins de 8 heures de travail.  Le système de notification des demandes de l’OMPI (système WINS) a été déployé auprès des équipes du Service d’enregistrement de Madrid chargées du service à la clientèle, ce qui a permis de traiter plus de 7000 demandes de renseignements émises par les clients chaque mois, et 12 000 demandes à travers l’Organisation en général.  Le suivi de la </w:t>
      </w:r>
      <w:r w:rsidRPr="00C258AD">
        <w:rPr>
          <w:rFonts w:cs="Arial"/>
          <w:b/>
        </w:rPr>
        <w:t>satisfaction de la clientèle</w:t>
      </w:r>
      <w:r w:rsidRPr="00C258AD">
        <w:rPr>
          <w:rFonts w:cs="Arial"/>
        </w:rPr>
        <w:t xml:space="preserve"> a été effectué au moyen d’enquêtes exhaustives sur la satisfaction des utilisateurs du PCT (pour la première fois en neuf langues) et du Service d’enregistrement de Madrid.</w:t>
      </w:r>
    </w:p>
    <w:p w:rsidR="006E2BB1" w:rsidRPr="00C258AD" w:rsidRDefault="006E2BB1" w:rsidP="001A4D6C"/>
    <w:p w:rsidR="006E2BB1" w:rsidRPr="00C258AD" w:rsidRDefault="003A56B4" w:rsidP="003A56B4">
      <w:pPr>
        <w:pStyle w:val="ListParagraph"/>
        <w:numPr>
          <w:ilvl w:val="0"/>
          <w:numId w:val="55"/>
        </w:numPr>
        <w:tabs>
          <w:tab w:val="left" w:pos="709"/>
        </w:tabs>
        <w:ind w:left="0" w:firstLine="0"/>
        <w:jc w:val="both"/>
        <w:rPr>
          <w:rFonts w:cs="Arial"/>
        </w:rPr>
      </w:pPr>
      <w:r w:rsidRPr="00C258AD">
        <w:rPr>
          <w:rFonts w:cs="Arial"/>
        </w:rPr>
        <w:t xml:space="preserve">L’élaboration, la planification et la mise en œuvre des activités menées au titre du programme 19 se sont appuyées sur les recommandations pertinentes du Plan d’action pour le développement.  L’équipe chargée du programme 19 a continué d’étoffer la base de données relative aux études de cas </w:t>
      </w:r>
      <w:r w:rsidRPr="00C258AD">
        <w:rPr>
          <w:rFonts w:cs="Arial"/>
          <w:i/>
        </w:rPr>
        <w:t>IP </w:t>
      </w:r>
      <w:proofErr w:type="spellStart"/>
      <w:r w:rsidRPr="00C258AD">
        <w:rPr>
          <w:rFonts w:cs="Arial"/>
          <w:i/>
        </w:rPr>
        <w:t>Advantage</w:t>
      </w:r>
      <w:proofErr w:type="spellEnd"/>
      <w:r w:rsidRPr="00C258AD">
        <w:rPr>
          <w:rFonts w:cs="Arial"/>
        </w:rPr>
        <w:t>, initiative du Plan d’action pour le développement approuvée par le CDIP, qui a fait l’objet de 468 200 consultations en 2014</w:t>
      </w:r>
      <w:r w:rsidRPr="00C258AD">
        <w:rPr>
          <w:rFonts w:cs="Arial"/>
        </w:rPr>
        <w:noBreakHyphen/>
        <w:t>2015 (contre 312 000 en 2012</w:t>
      </w:r>
      <w:r w:rsidRPr="00C258AD">
        <w:rPr>
          <w:rFonts w:cs="Arial"/>
        </w:rPr>
        <w:noBreakHyphen/>
        <w:t xml:space="preserve">2013) et a fourni un appui sous la forme d’éditoriaux, de dessins, de vidéos, de </w:t>
      </w:r>
      <w:r w:rsidRPr="00C258AD">
        <w:t>sites</w:t>
      </w:r>
      <w:r w:rsidRPr="00C258AD">
        <w:rPr>
          <w:rFonts w:cs="Arial"/>
        </w:rPr>
        <w:t> </w:t>
      </w:r>
      <w:r w:rsidRPr="00C258AD">
        <w:t>Web</w:t>
      </w:r>
      <w:r w:rsidRPr="00C258AD">
        <w:rPr>
          <w:rFonts w:cs="Arial"/>
        </w:rPr>
        <w:t xml:space="preserve"> et d’autres moyens de communication à un grand nombre de produits liés au Plan d’action pour le développement et de réalisations d’autres programmes de l’Organisation.</w:t>
      </w:r>
    </w:p>
    <w:p w:rsidR="006E2BB1" w:rsidRPr="00C258AD" w:rsidRDefault="006E2BB1" w:rsidP="001A4D6C"/>
    <w:p w:rsidR="006E2BB1" w:rsidRPr="00C258AD" w:rsidRDefault="006E2BB1" w:rsidP="001A4D6C"/>
    <w:p w:rsidR="006E2BB1" w:rsidRPr="00C258AD" w:rsidRDefault="003A56B4" w:rsidP="00305CE5">
      <w:pPr>
        <w:keepNext/>
        <w:rPr>
          <w:rFonts w:cs="Arial"/>
          <w:caps/>
          <w:sz w:val="22"/>
          <w:szCs w:val="22"/>
        </w:rPr>
      </w:pPr>
      <w:r w:rsidRPr="00C258AD">
        <w:rPr>
          <w:rFonts w:cs="Arial"/>
          <w:caps/>
          <w:sz w:val="22"/>
          <w:szCs w:val="22"/>
        </w:rPr>
        <w:t>Données relatives à l’exécution</w:t>
      </w:r>
    </w:p>
    <w:p w:rsidR="003A56B4" w:rsidRPr="00C258AD" w:rsidRDefault="003A56B4" w:rsidP="001A4D6C">
      <w:pPr>
        <w:keepNext/>
      </w:pPr>
    </w:p>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093"/>
        <w:gridCol w:w="2561"/>
        <w:gridCol w:w="1424"/>
        <w:gridCol w:w="2418"/>
        <w:gridCol w:w="995"/>
      </w:tblGrid>
      <w:tr w:rsidR="003A56B4" w:rsidRPr="00C258AD" w:rsidTr="001A4D6C">
        <w:trPr>
          <w:cantSplit/>
        </w:trPr>
        <w:tc>
          <w:tcPr>
            <w:tcW w:w="5000" w:type="pct"/>
            <w:gridSpan w:val="5"/>
            <w:tcBorders>
              <w:top w:val="single" w:sz="4" w:space="0" w:color="auto"/>
              <w:bottom w:val="single" w:sz="4" w:space="0" w:color="auto"/>
            </w:tcBorders>
            <w:shd w:val="clear" w:color="auto" w:fill="C5D9F1"/>
            <w:vAlign w:val="center"/>
          </w:tcPr>
          <w:p w:rsidR="003A56B4" w:rsidRPr="00C258AD" w:rsidRDefault="003A56B4" w:rsidP="001A4D6C">
            <w:pPr>
              <w:keepNext/>
              <w:keepLines/>
              <w:rPr>
                <w:bCs/>
                <w:sz w:val="16"/>
                <w:szCs w:val="16"/>
              </w:rPr>
            </w:pPr>
            <w:r w:rsidRPr="00C258AD">
              <w:rPr>
                <w:b/>
                <w:bCs/>
                <w:color w:val="000000"/>
                <w:sz w:val="16"/>
                <w:szCs w:val="16"/>
              </w:rPr>
              <w:t>Résultat escompté :</w:t>
            </w:r>
            <w:r w:rsidRPr="00C258AD">
              <w:rPr>
                <w:bCs/>
                <w:color w:val="000000"/>
                <w:sz w:val="16"/>
                <w:szCs w:val="16"/>
              </w:rPr>
              <w:t xml:space="preserve"> </w:t>
            </w:r>
            <w:r w:rsidRPr="00C258AD">
              <w:rPr>
                <w:bCs/>
                <w:sz w:val="16"/>
                <w:szCs w:val="16"/>
              </w:rPr>
              <w:t>VIII.1 Communication plus efficace avec le grand public concernant la propriété intellectuelle et le rôle de l’OMPI</w:t>
            </w:r>
          </w:p>
        </w:tc>
      </w:tr>
      <w:tr w:rsidR="003A56B4" w:rsidRPr="00C258AD" w:rsidTr="001A4D6C">
        <w:trPr>
          <w:cantSplit/>
        </w:trPr>
        <w:tc>
          <w:tcPr>
            <w:tcW w:w="1103" w:type="pct"/>
            <w:tcBorders>
              <w:top w:val="single" w:sz="4" w:space="0" w:color="auto"/>
            </w:tcBorders>
            <w:vAlign w:val="center"/>
          </w:tcPr>
          <w:p w:rsidR="003A56B4" w:rsidRPr="00C258AD" w:rsidRDefault="003A56B4" w:rsidP="001A4D6C">
            <w:pPr>
              <w:jc w:val="center"/>
              <w:rPr>
                <w:sz w:val="16"/>
                <w:szCs w:val="16"/>
              </w:rPr>
            </w:pPr>
            <w:r w:rsidRPr="00C258AD">
              <w:rPr>
                <w:b/>
                <w:sz w:val="16"/>
                <w:szCs w:val="16"/>
              </w:rPr>
              <w:t>Indicateurs d’exécution</w:t>
            </w:r>
          </w:p>
        </w:tc>
        <w:tc>
          <w:tcPr>
            <w:tcW w:w="1349" w:type="pct"/>
            <w:tcBorders>
              <w:top w:val="single" w:sz="4" w:space="0" w:color="auto"/>
            </w:tcBorders>
            <w:shd w:val="clear" w:color="auto" w:fill="auto"/>
            <w:vAlign w:val="center"/>
          </w:tcPr>
          <w:p w:rsidR="003A56B4" w:rsidRPr="00C258AD" w:rsidRDefault="003A56B4" w:rsidP="001A4D6C">
            <w:pPr>
              <w:jc w:val="center"/>
              <w:rPr>
                <w:b/>
                <w:bCs/>
                <w:sz w:val="16"/>
                <w:szCs w:val="16"/>
              </w:rPr>
            </w:pPr>
            <w:r w:rsidRPr="00C258AD">
              <w:rPr>
                <w:b/>
                <w:bCs/>
                <w:sz w:val="16"/>
                <w:szCs w:val="16"/>
              </w:rPr>
              <w:t>Niveaux de référence</w:t>
            </w:r>
          </w:p>
        </w:tc>
        <w:tc>
          <w:tcPr>
            <w:tcW w:w="750" w:type="pct"/>
            <w:tcBorders>
              <w:top w:val="single" w:sz="4" w:space="0" w:color="auto"/>
            </w:tcBorders>
            <w:tcMar>
              <w:top w:w="110" w:type="dxa"/>
            </w:tcMar>
            <w:vAlign w:val="center"/>
          </w:tcPr>
          <w:p w:rsidR="003A56B4" w:rsidRPr="00C258AD" w:rsidRDefault="003A56B4" w:rsidP="001A4D6C">
            <w:pPr>
              <w:jc w:val="center"/>
              <w:rPr>
                <w:b/>
                <w:bCs/>
                <w:sz w:val="16"/>
                <w:szCs w:val="16"/>
              </w:rPr>
            </w:pPr>
            <w:r w:rsidRPr="00C258AD">
              <w:rPr>
                <w:b/>
                <w:bCs/>
                <w:sz w:val="16"/>
                <w:szCs w:val="16"/>
              </w:rPr>
              <w:t>Objectifs visés</w:t>
            </w:r>
          </w:p>
        </w:tc>
        <w:tc>
          <w:tcPr>
            <w:tcW w:w="1274" w:type="pct"/>
            <w:tcBorders>
              <w:top w:val="single" w:sz="4" w:space="0" w:color="auto"/>
            </w:tcBorders>
            <w:shd w:val="clear" w:color="auto" w:fill="FFFFFF"/>
            <w:tcMar>
              <w:top w:w="110" w:type="dxa"/>
            </w:tcMar>
            <w:vAlign w:val="center"/>
          </w:tcPr>
          <w:p w:rsidR="003A56B4" w:rsidRPr="00C258AD" w:rsidRDefault="003A56B4" w:rsidP="001A4D6C">
            <w:pPr>
              <w:jc w:val="center"/>
              <w:rPr>
                <w:sz w:val="16"/>
                <w:szCs w:val="16"/>
              </w:rPr>
            </w:pPr>
            <w:r w:rsidRPr="00C258AD">
              <w:rPr>
                <w:b/>
                <w:sz w:val="16"/>
                <w:szCs w:val="16"/>
              </w:rPr>
              <w:t>Données relatives à l’exécution</w:t>
            </w:r>
          </w:p>
        </w:tc>
        <w:tc>
          <w:tcPr>
            <w:tcW w:w="524" w:type="pct"/>
            <w:tcBorders>
              <w:top w:val="single" w:sz="4" w:space="0" w:color="auto"/>
            </w:tcBorders>
            <w:tcMar>
              <w:top w:w="110" w:type="dxa"/>
            </w:tcMar>
            <w:vAlign w:val="center"/>
          </w:tcPr>
          <w:p w:rsidR="003A56B4" w:rsidRPr="00C258AD" w:rsidRDefault="003A56B4" w:rsidP="001A4D6C">
            <w:pPr>
              <w:keepNext/>
              <w:keepLines/>
              <w:jc w:val="center"/>
              <w:rPr>
                <w:b/>
                <w:bCs/>
                <w:sz w:val="16"/>
                <w:szCs w:val="16"/>
              </w:rPr>
            </w:pPr>
            <w:r w:rsidRPr="00C258AD">
              <w:rPr>
                <w:b/>
                <w:bCs/>
                <w:sz w:val="16"/>
                <w:szCs w:val="16"/>
              </w:rPr>
              <w:t>Code de couleurs</w:t>
            </w:r>
          </w:p>
        </w:tc>
      </w:tr>
      <w:tr w:rsidR="003A56B4" w:rsidRPr="00C258AD" w:rsidTr="001A4D6C">
        <w:trPr>
          <w:cantSplit/>
        </w:trPr>
        <w:tc>
          <w:tcPr>
            <w:tcW w:w="1103" w:type="pct"/>
          </w:tcPr>
          <w:p w:rsidR="003A56B4" w:rsidRPr="00C258AD" w:rsidRDefault="003A56B4" w:rsidP="003A56B4">
            <w:pPr>
              <w:rPr>
                <w:sz w:val="16"/>
                <w:szCs w:val="16"/>
              </w:rPr>
            </w:pPr>
            <w:r w:rsidRPr="00C258AD">
              <w:rPr>
                <w:sz w:val="16"/>
                <w:szCs w:val="16"/>
              </w:rPr>
              <w:t>Intérêt du public pour les principales manifestations et réalisations de l’OMPI</w:t>
            </w:r>
          </w:p>
        </w:tc>
        <w:tc>
          <w:tcPr>
            <w:tcW w:w="1349" w:type="pct"/>
            <w:shd w:val="clear" w:color="auto" w:fill="auto"/>
          </w:tcPr>
          <w:p w:rsidR="006E2BB1" w:rsidRPr="00C258AD" w:rsidRDefault="003A56B4" w:rsidP="003A56B4">
            <w:pPr>
              <w:rPr>
                <w:color w:val="002060"/>
                <w:sz w:val="16"/>
                <w:szCs w:val="16"/>
              </w:rPr>
            </w:pPr>
            <w:r w:rsidRPr="00C258AD">
              <w:rPr>
                <w:i/>
                <w:color w:val="002060"/>
                <w:sz w:val="16"/>
                <w:szCs w:val="16"/>
              </w:rPr>
              <w:t>Niveau de référence actualisé à fin 2013 :</w:t>
            </w:r>
            <w:r w:rsidRPr="00C258AD">
              <w:rPr>
                <w:color w:val="002060"/>
                <w:sz w:val="16"/>
                <w:szCs w:val="16"/>
              </w:rPr>
              <w:t xml:space="preserve"> exemple d’événement = lancement de l’Indice mondial de l’innovation annuel.  Nombre total de consultations (pour une période de 11 semaines après le lancement en 2013) pour l’ensemble du contenu en ligne (pages Web, communiqués de presse, infographies) = 45 564 + 685 consultations de vidéos</w:t>
            </w:r>
          </w:p>
          <w:p w:rsidR="006E2BB1" w:rsidRPr="00C258AD" w:rsidRDefault="006E2BB1" w:rsidP="003A56B4">
            <w:pPr>
              <w:rPr>
                <w:i/>
                <w:color w:val="002060"/>
                <w:sz w:val="16"/>
                <w:szCs w:val="16"/>
              </w:rPr>
            </w:pPr>
          </w:p>
          <w:p w:rsidR="003A56B4" w:rsidRPr="00C258AD" w:rsidRDefault="003A56B4" w:rsidP="003A56B4">
            <w:pPr>
              <w:rPr>
                <w:sz w:val="16"/>
                <w:szCs w:val="16"/>
              </w:rPr>
            </w:pPr>
            <w:r w:rsidRPr="00C258AD">
              <w:rPr>
                <w:i/>
                <w:color w:val="000000"/>
                <w:sz w:val="16"/>
                <w:szCs w:val="16"/>
              </w:rPr>
              <w:t>Niveau de référence initial dans le programme et budget 2014</w:t>
            </w:r>
            <w:r w:rsidRPr="00C258AD">
              <w:rPr>
                <w:i/>
                <w:color w:val="000000"/>
                <w:sz w:val="16"/>
                <w:szCs w:val="16"/>
              </w:rPr>
              <w:noBreakHyphen/>
              <w:t>2015 :</w:t>
            </w:r>
            <w:r w:rsidRPr="00C258AD">
              <w:rPr>
                <w:color w:val="000000"/>
                <w:sz w:val="16"/>
                <w:szCs w:val="16"/>
              </w:rPr>
              <w:t xml:space="preserve"> (exemple d’événement) 12 111 consultations uniques du communiqué de presse sur l’Indice mondial de l’innovation en un mois.</w:t>
            </w:r>
          </w:p>
        </w:tc>
        <w:tc>
          <w:tcPr>
            <w:tcW w:w="750" w:type="pct"/>
            <w:tcMar>
              <w:top w:w="110" w:type="dxa"/>
            </w:tcMar>
          </w:tcPr>
          <w:p w:rsidR="003A56B4" w:rsidRPr="00C258AD" w:rsidRDefault="003A56B4" w:rsidP="003A56B4">
            <w:pPr>
              <w:rPr>
                <w:sz w:val="16"/>
                <w:szCs w:val="16"/>
              </w:rPr>
            </w:pPr>
            <w:r w:rsidRPr="00C258AD">
              <w:rPr>
                <w:sz w:val="16"/>
                <w:szCs w:val="16"/>
              </w:rPr>
              <w:t>Augmentation de 10% du nombre de consultations des pages Web concernées</w:t>
            </w:r>
          </w:p>
        </w:tc>
        <w:tc>
          <w:tcPr>
            <w:tcW w:w="1274" w:type="pct"/>
            <w:shd w:val="clear" w:color="auto" w:fill="FFFFFF"/>
            <w:tcMar>
              <w:top w:w="110" w:type="dxa"/>
            </w:tcMar>
          </w:tcPr>
          <w:p w:rsidR="006E2BB1" w:rsidRPr="00C258AD" w:rsidRDefault="003A56B4" w:rsidP="003A56B4">
            <w:pPr>
              <w:rPr>
                <w:rFonts w:cs="Arial"/>
                <w:sz w:val="16"/>
                <w:szCs w:val="16"/>
              </w:rPr>
            </w:pPr>
            <w:r w:rsidRPr="00C258AD">
              <w:rPr>
                <w:rFonts w:cs="Arial"/>
                <w:sz w:val="16"/>
                <w:szCs w:val="16"/>
              </w:rPr>
              <w:t>Lancement annuel du GII </w:t>
            </w:r>
            <w:r w:rsidRPr="00C258AD">
              <w:rPr>
                <w:sz w:val="16"/>
              </w:rPr>
              <w:t>:</w:t>
            </w:r>
            <w:r w:rsidRPr="00C258AD">
              <w:rPr>
                <w:rFonts w:cs="Arial"/>
                <w:sz w:val="16"/>
                <w:szCs w:val="16"/>
              </w:rPr>
              <w:t xml:space="preserve"> le nombre total de consultations (pour une période de 11 semaines après le lancement) s’est élevé à 53 062 consultations du contenu en ligne + 9563 consultations de vidéos en 2014</w:t>
            </w:r>
            <w:r w:rsidRPr="00C258AD">
              <w:rPr>
                <w:sz w:val="16"/>
              </w:rPr>
              <w:t xml:space="preserve">;  </w:t>
            </w:r>
            <w:r w:rsidRPr="00C258AD">
              <w:rPr>
                <w:rFonts w:cs="Arial"/>
                <w:sz w:val="16"/>
                <w:szCs w:val="16"/>
              </w:rPr>
              <w:t>et 140 475 consultations du contenu en ligne + 10 653 consultations de vidéos en 2015.</w:t>
            </w:r>
          </w:p>
          <w:p w:rsidR="006E2BB1" w:rsidRPr="00C258AD" w:rsidRDefault="006E2BB1" w:rsidP="003A56B4">
            <w:pPr>
              <w:rPr>
                <w:rFonts w:cs="Arial"/>
                <w:sz w:val="16"/>
                <w:szCs w:val="16"/>
              </w:rPr>
            </w:pPr>
          </w:p>
          <w:p w:rsidR="006E2BB1" w:rsidRPr="00C258AD" w:rsidRDefault="003A56B4" w:rsidP="003A56B4">
            <w:pPr>
              <w:rPr>
                <w:rFonts w:cs="Arial"/>
                <w:sz w:val="16"/>
                <w:szCs w:val="16"/>
              </w:rPr>
            </w:pPr>
            <w:r w:rsidRPr="00C258AD">
              <w:rPr>
                <w:rFonts w:cs="Arial"/>
                <w:sz w:val="16"/>
                <w:szCs w:val="16"/>
              </w:rPr>
              <w:t>Augmentation (2015 par rapport à 2013) = +208% pour le contenu en ligne</w:t>
            </w:r>
            <w:r w:rsidRPr="00C258AD">
              <w:rPr>
                <w:sz w:val="16"/>
              </w:rPr>
              <w:t xml:space="preserve">; </w:t>
            </w:r>
            <w:r w:rsidRPr="00C258AD">
              <w:rPr>
                <w:rFonts w:cs="Arial"/>
                <w:sz w:val="16"/>
                <w:szCs w:val="16"/>
              </w:rPr>
              <w:t xml:space="preserve"> et</w:t>
            </w:r>
          </w:p>
          <w:p w:rsidR="003A56B4" w:rsidRPr="00C258AD" w:rsidRDefault="003A56B4" w:rsidP="003A56B4">
            <w:pPr>
              <w:rPr>
                <w:sz w:val="16"/>
                <w:szCs w:val="16"/>
              </w:rPr>
            </w:pPr>
            <w:r w:rsidRPr="00C258AD">
              <w:rPr>
                <w:color w:val="000000"/>
                <w:sz w:val="16"/>
                <w:szCs w:val="16"/>
              </w:rPr>
              <w:t>+1455% pour les vidéos.</w:t>
            </w:r>
          </w:p>
        </w:tc>
        <w:tc>
          <w:tcPr>
            <w:tcW w:w="524" w:type="pct"/>
            <w:tcMar>
              <w:top w:w="110" w:type="dxa"/>
            </w:tcMar>
          </w:tcPr>
          <w:p w:rsidR="003A56B4" w:rsidRPr="00C258AD" w:rsidRDefault="003A56B4" w:rsidP="003A56B4">
            <w:pPr>
              <w:jc w:val="center"/>
              <w:rPr>
                <w:b/>
                <w:color w:val="00B050"/>
                <w:sz w:val="16"/>
                <w:szCs w:val="16"/>
              </w:rPr>
            </w:pPr>
            <w:r w:rsidRPr="00C258AD">
              <w:rPr>
                <w:rFonts w:cs="Arial"/>
                <w:b/>
                <w:bCs/>
                <w:color w:val="00B050"/>
                <w:sz w:val="16"/>
                <w:szCs w:val="16"/>
              </w:rPr>
              <w:t>Objectif pleinement atteint</w:t>
            </w:r>
          </w:p>
        </w:tc>
      </w:tr>
      <w:tr w:rsidR="003A56B4" w:rsidRPr="00C258AD" w:rsidTr="001A4D6C">
        <w:trPr>
          <w:cantSplit/>
        </w:trPr>
        <w:tc>
          <w:tcPr>
            <w:tcW w:w="1103" w:type="pct"/>
          </w:tcPr>
          <w:p w:rsidR="003A56B4" w:rsidRPr="00C258AD" w:rsidRDefault="003A56B4" w:rsidP="001A4D6C">
            <w:pPr>
              <w:rPr>
                <w:sz w:val="16"/>
                <w:szCs w:val="16"/>
              </w:rPr>
            </w:pPr>
            <w:r w:rsidRPr="00C258AD">
              <w:rPr>
                <w:sz w:val="16"/>
                <w:szCs w:val="16"/>
              </w:rPr>
              <w:lastRenderedPageBreak/>
              <w:t>Pourcentage de parties prenantes ayant une image positive de la mission, des activités et de l’image de marque de l’OMPI</w:t>
            </w:r>
          </w:p>
        </w:tc>
        <w:tc>
          <w:tcPr>
            <w:tcW w:w="1349" w:type="pct"/>
            <w:shd w:val="clear" w:color="auto" w:fill="auto"/>
          </w:tcPr>
          <w:p w:rsidR="006E2BB1" w:rsidRPr="00C258AD" w:rsidRDefault="003A56B4" w:rsidP="001A4D6C">
            <w:pPr>
              <w:keepNext/>
              <w:rPr>
                <w:sz w:val="16"/>
                <w:szCs w:val="16"/>
              </w:rPr>
            </w:pPr>
            <w:r w:rsidRPr="00C258AD">
              <w:rPr>
                <w:i/>
                <w:color w:val="002060"/>
                <w:sz w:val="16"/>
                <w:szCs w:val="16"/>
              </w:rPr>
              <w:t>Niveau de référence actualisé à fin 2013 :</w:t>
            </w:r>
            <w:r w:rsidRPr="00C258AD">
              <w:rPr>
                <w:color w:val="002060"/>
                <w:sz w:val="16"/>
                <w:szCs w:val="16"/>
              </w:rPr>
              <w:t xml:space="preserve"> 87% des personnes ayant répondu au questionnaire percevaient l’image publique de l’OMPI comme bonne, très bonne ou excellente.  81% des personnes ayant répondu au questionnaire considéraient l‏’‎OMPI comme l’instance mondiale pour la promotion de la propriété intellectuelle (résultats de l’enquête sur l’orientation vers les services de l’OMPI, août 2013)</w:t>
            </w:r>
            <w:r w:rsidRPr="00C258AD">
              <w:rPr>
                <w:rStyle w:val="FootnoteReference"/>
                <w:rFonts w:eastAsia="SimSun"/>
                <w:color w:val="002060"/>
                <w:sz w:val="16"/>
                <w:szCs w:val="16"/>
              </w:rPr>
              <w:footnoteReference w:id="106"/>
            </w:r>
            <w:r w:rsidRPr="00C258AD">
              <w:rPr>
                <w:color w:val="002060"/>
                <w:sz w:val="16"/>
                <w:szCs w:val="16"/>
              </w:rPr>
              <w:t>.</w:t>
            </w:r>
          </w:p>
          <w:p w:rsidR="006E2BB1" w:rsidRPr="00C258AD" w:rsidRDefault="006E2BB1" w:rsidP="001A4D6C">
            <w:pPr>
              <w:keepNext/>
              <w:rPr>
                <w:i/>
                <w:sz w:val="16"/>
                <w:szCs w:val="16"/>
              </w:rPr>
            </w:pPr>
          </w:p>
          <w:p w:rsidR="006E2BB1" w:rsidRPr="00C258AD" w:rsidRDefault="003A56B4" w:rsidP="001A4D6C">
            <w:pPr>
              <w:keepNext/>
              <w:rPr>
                <w:sz w:val="16"/>
                <w:szCs w:val="16"/>
              </w:rPr>
            </w:pPr>
            <w:r w:rsidRPr="00C258AD">
              <w:rPr>
                <w:i/>
                <w:sz w:val="16"/>
                <w:szCs w:val="16"/>
              </w:rPr>
              <w:t>Niveau de référence initial dans le programme et budget 2014</w:t>
            </w:r>
            <w:r w:rsidRPr="00C258AD">
              <w:rPr>
                <w:i/>
                <w:sz w:val="16"/>
                <w:szCs w:val="16"/>
              </w:rPr>
              <w:noBreakHyphen/>
              <w:t>2015 :</w:t>
            </w:r>
          </w:p>
          <w:p w:rsidR="003A56B4" w:rsidRPr="00C258AD" w:rsidRDefault="003A56B4" w:rsidP="001A4D6C">
            <w:pPr>
              <w:rPr>
                <w:sz w:val="16"/>
                <w:szCs w:val="16"/>
              </w:rPr>
            </w:pPr>
            <w:r w:rsidRPr="00C258AD">
              <w:rPr>
                <w:sz w:val="16"/>
                <w:szCs w:val="16"/>
              </w:rPr>
              <w:t>65% des personnes ayant répondu au questionnaire percevaient l’OMPI comme le chef de file dans le monde de la protection et de la promotion de la propriété intellectuelle (enquête de l’OMPI sur les perceptions des parties prenantes, janvier 2012)</w:t>
            </w:r>
          </w:p>
        </w:tc>
        <w:tc>
          <w:tcPr>
            <w:tcW w:w="750" w:type="pct"/>
            <w:tcMar>
              <w:top w:w="110" w:type="dxa"/>
            </w:tcMar>
          </w:tcPr>
          <w:p w:rsidR="003A56B4" w:rsidRPr="00C258AD" w:rsidRDefault="003A56B4" w:rsidP="001A4D6C">
            <w:pPr>
              <w:rPr>
                <w:sz w:val="16"/>
                <w:szCs w:val="16"/>
              </w:rPr>
            </w:pPr>
            <w:r w:rsidRPr="00C258AD">
              <w:rPr>
                <w:sz w:val="16"/>
                <w:szCs w:val="16"/>
              </w:rPr>
              <w:t>75%</w:t>
            </w:r>
          </w:p>
        </w:tc>
        <w:tc>
          <w:tcPr>
            <w:tcW w:w="1274" w:type="pct"/>
            <w:shd w:val="clear" w:color="auto" w:fill="FFFFFF"/>
            <w:tcMar>
              <w:top w:w="110" w:type="dxa"/>
            </w:tcMar>
          </w:tcPr>
          <w:p w:rsidR="006E2BB1" w:rsidRPr="00C258AD" w:rsidRDefault="003A56B4" w:rsidP="001A4D6C">
            <w:pPr>
              <w:rPr>
                <w:sz w:val="16"/>
                <w:szCs w:val="16"/>
              </w:rPr>
            </w:pPr>
            <w:r w:rsidRPr="00C258AD">
              <w:rPr>
                <w:color w:val="000000"/>
                <w:sz w:val="16"/>
                <w:szCs w:val="16"/>
              </w:rPr>
              <w:t>70% des personnes ayant répondu au questionnaire considéraient l’OMPI comme l’instance mondiale pour la promotion des services, de la politique, de l’information et de la coopération en matière de propriété intellectuelle</w:t>
            </w:r>
            <w:r w:rsidRPr="00C258AD">
              <w:rPr>
                <w:rStyle w:val="FootnoteReference"/>
                <w:rFonts w:eastAsia="SimSun"/>
                <w:color w:val="000000"/>
                <w:sz w:val="16"/>
                <w:szCs w:val="16"/>
              </w:rPr>
              <w:footnoteReference w:id="107"/>
            </w:r>
            <w:r w:rsidRPr="00C258AD">
              <w:rPr>
                <w:color w:val="000000"/>
                <w:sz w:val="16"/>
                <w:szCs w:val="16"/>
              </w:rPr>
              <w:t>.  85% des personnes ayant répondu au questionnaire convenaient (ou convenaient tout à fait) que l’OMPI avait une bonne image générale.</w:t>
            </w:r>
          </w:p>
          <w:p w:rsidR="006E2BB1" w:rsidRPr="00C258AD" w:rsidRDefault="006E2BB1" w:rsidP="001A4D6C">
            <w:pPr>
              <w:rPr>
                <w:sz w:val="16"/>
                <w:szCs w:val="16"/>
              </w:rPr>
            </w:pPr>
          </w:p>
          <w:p w:rsidR="003A56B4" w:rsidRPr="00C258AD" w:rsidRDefault="003A56B4" w:rsidP="001A4D6C">
            <w:pPr>
              <w:rPr>
                <w:i/>
                <w:sz w:val="16"/>
                <w:szCs w:val="16"/>
              </w:rPr>
            </w:pPr>
            <w:r w:rsidRPr="00C258AD">
              <w:rPr>
                <w:i/>
                <w:color w:val="000000"/>
                <w:sz w:val="16"/>
                <w:szCs w:val="16"/>
              </w:rPr>
              <w:t>(Source : enquête de l’OMPI sur les perceptions des parties prenantes, juin 2014)</w:t>
            </w:r>
          </w:p>
        </w:tc>
        <w:tc>
          <w:tcPr>
            <w:tcW w:w="524" w:type="pct"/>
            <w:tcMar>
              <w:top w:w="110" w:type="dxa"/>
            </w:tcMar>
          </w:tcPr>
          <w:p w:rsidR="003A56B4" w:rsidRPr="00C258AD" w:rsidRDefault="003A56B4" w:rsidP="001A4D6C">
            <w:pPr>
              <w:keepNext/>
              <w:keepLines/>
              <w:jc w:val="center"/>
              <w:rPr>
                <w:b/>
                <w:bCs/>
                <w:color w:val="00B050"/>
                <w:sz w:val="16"/>
                <w:szCs w:val="16"/>
              </w:rPr>
            </w:pPr>
            <w:r w:rsidRPr="00C258AD">
              <w:rPr>
                <w:rFonts w:cs="Arial"/>
                <w:b/>
                <w:bCs/>
                <w:color w:val="00B050"/>
                <w:sz w:val="16"/>
                <w:szCs w:val="16"/>
              </w:rPr>
              <w:t>Objectif pleinement atteint</w:t>
            </w:r>
          </w:p>
        </w:tc>
      </w:tr>
      <w:tr w:rsidR="003A56B4" w:rsidRPr="00C258AD" w:rsidTr="001A4D6C">
        <w:trPr>
          <w:cantSplit/>
        </w:trPr>
        <w:tc>
          <w:tcPr>
            <w:tcW w:w="1103" w:type="pct"/>
          </w:tcPr>
          <w:p w:rsidR="003A56B4" w:rsidRPr="00C258AD" w:rsidRDefault="003A56B4" w:rsidP="001A4D6C">
            <w:pPr>
              <w:rPr>
                <w:sz w:val="16"/>
                <w:szCs w:val="16"/>
              </w:rPr>
            </w:pPr>
            <w:r w:rsidRPr="00C258AD">
              <w:rPr>
                <w:sz w:val="16"/>
                <w:szCs w:val="16"/>
              </w:rPr>
              <w:t>Pourcentage d’augmentation du nombre de consultations des contenus presse, vidéo et photo de l’OMPI</w:t>
            </w:r>
          </w:p>
        </w:tc>
        <w:tc>
          <w:tcPr>
            <w:tcW w:w="1349" w:type="pct"/>
            <w:shd w:val="clear" w:color="auto" w:fill="auto"/>
          </w:tcPr>
          <w:p w:rsidR="006E2BB1" w:rsidRPr="00C258AD" w:rsidRDefault="003A56B4" w:rsidP="001A4D6C">
            <w:pPr>
              <w:rPr>
                <w:i/>
                <w:color w:val="002060"/>
                <w:sz w:val="16"/>
                <w:szCs w:val="16"/>
              </w:rPr>
            </w:pPr>
            <w:r w:rsidRPr="00C258AD">
              <w:rPr>
                <w:i/>
                <w:color w:val="002060"/>
                <w:sz w:val="16"/>
                <w:szCs w:val="16"/>
              </w:rPr>
              <w:t>Niveau de référence actualisé à fin 2013 :</w:t>
            </w:r>
          </w:p>
          <w:p w:rsidR="006E2BB1" w:rsidRPr="00C258AD" w:rsidRDefault="003A56B4" w:rsidP="001A4D6C">
            <w:pPr>
              <w:rPr>
                <w:color w:val="002060"/>
                <w:sz w:val="16"/>
                <w:szCs w:val="16"/>
              </w:rPr>
            </w:pPr>
            <w:r w:rsidRPr="00C258AD">
              <w:rPr>
                <w:color w:val="002060"/>
                <w:sz w:val="16"/>
                <w:szCs w:val="16"/>
              </w:rPr>
              <w:t>i) le nombre moyen de consultations uniques par communiqué de presse était de 5506 (143 169 consultations pour 26 communiqués de presse diffusés en 2013, toutes langues).</w:t>
            </w:r>
          </w:p>
          <w:p w:rsidR="006E2BB1" w:rsidRPr="00C258AD" w:rsidRDefault="003A56B4" w:rsidP="001A4D6C">
            <w:pPr>
              <w:rPr>
                <w:color w:val="002060"/>
                <w:sz w:val="16"/>
                <w:szCs w:val="16"/>
              </w:rPr>
            </w:pPr>
            <w:r w:rsidRPr="00C258AD">
              <w:rPr>
                <w:color w:val="002060"/>
                <w:sz w:val="16"/>
                <w:szCs w:val="16"/>
              </w:rPr>
              <w:t>ii) le nombre moyen de consultations par vidéo était de 16 612 (3 787 601 consultations pour 228</w:t>
            </w:r>
            <w:r w:rsidRPr="00C258AD">
              <w:rPr>
                <w:rStyle w:val="FootnoteReference"/>
                <w:rFonts w:eastAsia="SimSun"/>
                <w:color w:val="002060"/>
                <w:sz w:val="16"/>
                <w:szCs w:val="16"/>
              </w:rPr>
              <w:footnoteReference w:id="108"/>
            </w:r>
            <w:r w:rsidRPr="00C258AD">
              <w:rPr>
                <w:color w:val="002060"/>
                <w:sz w:val="16"/>
                <w:szCs w:val="16"/>
              </w:rPr>
              <w:t> vidéos)</w:t>
            </w:r>
          </w:p>
          <w:p w:rsidR="006E2BB1" w:rsidRPr="00C258AD" w:rsidRDefault="003A56B4" w:rsidP="001A4D6C">
            <w:pPr>
              <w:rPr>
                <w:color w:val="002060"/>
                <w:sz w:val="16"/>
                <w:szCs w:val="16"/>
              </w:rPr>
            </w:pPr>
            <w:r w:rsidRPr="00C258AD">
              <w:rPr>
                <w:color w:val="002060"/>
                <w:sz w:val="16"/>
                <w:szCs w:val="16"/>
              </w:rPr>
              <w:t>iii) 900 000 consultations de photos sur Flickr en tout</w:t>
            </w:r>
          </w:p>
          <w:p w:rsidR="006E2BB1" w:rsidRPr="00C258AD" w:rsidRDefault="006E2BB1" w:rsidP="001A4D6C">
            <w:pPr>
              <w:rPr>
                <w:i/>
                <w:color w:val="002060"/>
                <w:sz w:val="16"/>
                <w:szCs w:val="16"/>
              </w:rPr>
            </w:pPr>
          </w:p>
          <w:p w:rsidR="006E2BB1" w:rsidRPr="00C258AD" w:rsidRDefault="003A56B4" w:rsidP="001A4D6C">
            <w:pPr>
              <w:rPr>
                <w:sz w:val="16"/>
                <w:szCs w:val="16"/>
              </w:rPr>
            </w:pPr>
            <w:r w:rsidRPr="00C258AD">
              <w:rPr>
                <w:i/>
                <w:color w:val="000000"/>
                <w:sz w:val="16"/>
                <w:szCs w:val="16"/>
              </w:rPr>
              <w:t>Niveau de référence initial dans le programme et budget 2014</w:t>
            </w:r>
            <w:r w:rsidRPr="00C258AD">
              <w:rPr>
                <w:i/>
                <w:color w:val="000000"/>
                <w:sz w:val="16"/>
                <w:szCs w:val="16"/>
              </w:rPr>
              <w:noBreakHyphen/>
              <w:t>2015 :</w:t>
            </w:r>
          </w:p>
          <w:p w:rsidR="006E2BB1" w:rsidRPr="00C258AD" w:rsidRDefault="003A56B4" w:rsidP="001A4D6C">
            <w:pPr>
              <w:rPr>
                <w:sz w:val="16"/>
                <w:szCs w:val="16"/>
              </w:rPr>
            </w:pPr>
            <w:r w:rsidRPr="00C258AD">
              <w:rPr>
                <w:sz w:val="16"/>
                <w:szCs w:val="16"/>
              </w:rPr>
              <w:t>i) en 2012, le nombre moyen de consultations uniques par communiqué de presse était de 3575 (92 958 consultations pour 26 articles publiés en 2012).</w:t>
            </w:r>
          </w:p>
          <w:p w:rsidR="006E2BB1" w:rsidRPr="00C258AD" w:rsidRDefault="003A56B4" w:rsidP="001A4D6C">
            <w:pPr>
              <w:rPr>
                <w:sz w:val="16"/>
                <w:szCs w:val="16"/>
              </w:rPr>
            </w:pPr>
            <w:r w:rsidRPr="00C258AD">
              <w:rPr>
                <w:sz w:val="16"/>
                <w:szCs w:val="16"/>
              </w:rPr>
              <w:t>ii) en 2012, le nombre moyen de consultations par vidéo était de 3280 (478 888 consultations pour un total de 146 vidéos)</w:t>
            </w:r>
          </w:p>
          <w:p w:rsidR="003A56B4" w:rsidRPr="00C258AD" w:rsidRDefault="003A56B4" w:rsidP="001A4D6C">
            <w:pPr>
              <w:rPr>
                <w:sz w:val="16"/>
                <w:szCs w:val="16"/>
              </w:rPr>
            </w:pPr>
            <w:r w:rsidRPr="00C258AD">
              <w:rPr>
                <w:sz w:val="16"/>
                <w:szCs w:val="16"/>
              </w:rPr>
              <w:t>iii) 155 000 consultations de photos au total sur Flickr fin 2012</w:t>
            </w:r>
          </w:p>
        </w:tc>
        <w:tc>
          <w:tcPr>
            <w:tcW w:w="750" w:type="pct"/>
            <w:tcMar>
              <w:top w:w="110" w:type="dxa"/>
            </w:tcMar>
          </w:tcPr>
          <w:p w:rsidR="006E2BB1" w:rsidRPr="00C258AD" w:rsidRDefault="006E2BB1" w:rsidP="001A4D6C">
            <w:pPr>
              <w:rPr>
                <w:sz w:val="16"/>
                <w:szCs w:val="16"/>
              </w:rPr>
            </w:pPr>
          </w:p>
          <w:p w:rsidR="006E2BB1" w:rsidRPr="00C258AD" w:rsidRDefault="006E2BB1" w:rsidP="001A4D6C">
            <w:pPr>
              <w:rPr>
                <w:sz w:val="16"/>
                <w:szCs w:val="16"/>
              </w:rPr>
            </w:pPr>
          </w:p>
          <w:p w:rsidR="006E2BB1" w:rsidRPr="00C258AD" w:rsidRDefault="003A56B4" w:rsidP="001A4D6C">
            <w:pPr>
              <w:rPr>
                <w:sz w:val="16"/>
                <w:szCs w:val="16"/>
              </w:rPr>
            </w:pPr>
            <w:r w:rsidRPr="00C258AD">
              <w:rPr>
                <w:sz w:val="16"/>
                <w:szCs w:val="16"/>
              </w:rPr>
              <w:t>i) Augmentation de 10% du nombre moyen de consultations par communiqué de presse</w:t>
            </w:r>
          </w:p>
          <w:p w:rsidR="006E2BB1" w:rsidRPr="00C258AD" w:rsidRDefault="006E2BB1" w:rsidP="001A4D6C">
            <w:pPr>
              <w:rPr>
                <w:sz w:val="16"/>
              </w:rPr>
            </w:pPr>
          </w:p>
          <w:p w:rsidR="006E2BB1" w:rsidRPr="00C258AD" w:rsidRDefault="006E2BB1" w:rsidP="001A4D6C">
            <w:pPr>
              <w:rPr>
                <w:sz w:val="16"/>
              </w:rPr>
            </w:pPr>
          </w:p>
          <w:p w:rsidR="006E2BB1" w:rsidRPr="00C258AD" w:rsidRDefault="006E2BB1" w:rsidP="001A4D6C">
            <w:pPr>
              <w:rPr>
                <w:sz w:val="16"/>
              </w:rPr>
            </w:pPr>
          </w:p>
          <w:p w:rsidR="006E2BB1" w:rsidRPr="00C258AD" w:rsidRDefault="006E2BB1" w:rsidP="001A4D6C">
            <w:pPr>
              <w:rPr>
                <w:sz w:val="16"/>
              </w:rPr>
            </w:pPr>
          </w:p>
          <w:p w:rsidR="006E2BB1" w:rsidRPr="00C258AD" w:rsidRDefault="006E2BB1" w:rsidP="001A4D6C">
            <w:pPr>
              <w:rPr>
                <w:sz w:val="16"/>
              </w:rPr>
            </w:pPr>
          </w:p>
          <w:p w:rsidR="006E2BB1" w:rsidRPr="00C258AD" w:rsidRDefault="006E2BB1" w:rsidP="001A4D6C">
            <w:pPr>
              <w:rPr>
                <w:sz w:val="16"/>
              </w:rPr>
            </w:pPr>
          </w:p>
          <w:p w:rsidR="006E2BB1" w:rsidRPr="00C258AD" w:rsidRDefault="006E2BB1" w:rsidP="001A4D6C">
            <w:pPr>
              <w:rPr>
                <w:sz w:val="16"/>
              </w:rPr>
            </w:pPr>
          </w:p>
          <w:p w:rsidR="006E2BB1" w:rsidRPr="00C258AD" w:rsidRDefault="006E2BB1" w:rsidP="001A4D6C">
            <w:pPr>
              <w:rPr>
                <w:sz w:val="16"/>
              </w:rPr>
            </w:pPr>
          </w:p>
          <w:p w:rsidR="006E2BB1" w:rsidRPr="00C258AD" w:rsidRDefault="003A56B4" w:rsidP="001A4D6C">
            <w:pPr>
              <w:rPr>
                <w:sz w:val="16"/>
                <w:szCs w:val="16"/>
              </w:rPr>
            </w:pPr>
            <w:r w:rsidRPr="00C258AD">
              <w:rPr>
                <w:sz w:val="16"/>
                <w:szCs w:val="16"/>
              </w:rPr>
              <w:t>ii) Augmentation de 10% en moyenne des consultations par vidéo sur la chaîne YouTube de l’OMPI</w:t>
            </w:r>
          </w:p>
          <w:p w:rsidR="006E2BB1" w:rsidRPr="00C258AD" w:rsidRDefault="006E2BB1" w:rsidP="001A4D6C">
            <w:pPr>
              <w:rPr>
                <w:sz w:val="16"/>
                <w:szCs w:val="16"/>
              </w:rPr>
            </w:pPr>
          </w:p>
          <w:p w:rsidR="003A56B4" w:rsidRPr="00C258AD" w:rsidRDefault="003A56B4" w:rsidP="001A4D6C">
            <w:pPr>
              <w:rPr>
                <w:sz w:val="16"/>
                <w:szCs w:val="16"/>
              </w:rPr>
            </w:pPr>
            <w:r w:rsidRPr="00C258AD">
              <w:rPr>
                <w:sz w:val="16"/>
                <w:szCs w:val="16"/>
              </w:rPr>
              <w:t>iii) Objectif : 300 000 consultations supplémentaires de photos sur Flickr</w:t>
            </w:r>
          </w:p>
        </w:tc>
        <w:tc>
          <w:tcPr>
            <w:tcW w:w="1274" w:type="pct"/>
            <w:shd w:val="clear" w:color="auto" w:fill="FFFFFF"/>
            <w:tcMar>
              <w:top w:w="110" w:type="dxa"/>
            </w:tcMar>
          </w:tcPr>
          <w:p w:rsidR="006E2BB1" w:rsidRPr="00C258AD" w:rsidRDefault="003A56B4" w:rsidP="001A4D6C">
            <w:pPr>
              <w:rPr>
                <w:color w:val="000000"/>
                <w:sz w:val="16"/>
                <w:szCs w:val="16"/>
              </w:rPr>
            </w:pPr>
            <w:r w:rsidRPr="00C258AD">
              <w:rPr>
                <w:color w:val="000000"/>
                <w:sz w:val="16"/>
                <w:szCs w:val="16"/>
              </w:rPr>
              <w:t>En 2014</w:t>
            </w:r>
            <w:r w:rsidRPr="00C258AD">
              <w:rPr>
                <w:color w:val="000000"/>
                <w:sz w:val="16"/>
                <w:szCs w:val="16"/>
              </w:rPr>
              <w:noBreakHyphen/>
              <w:t>2015 :</w:t>
            </w:r>
          </w:p>
          <w:p w:rsidR="006E2BB1" w:rsidRPr="00C258AD" w:rsidRDefault="006E2BB1" w:rsidP="001A4D6C">
            <w:pPr>
              <w:rPr>
                <w:color w:val="000000"/>
                <w:sz w:val="16"/>
                <w:szCs w:val="16"/>
              </w:rPr>
            </w:pPr>
          </w:p>
          <w:p w:rsidR="006E2BB1" w:rsidRPr="00C258AD" w:rsidRDefault="003A56B4" w:rsidP="001A4D6C">
            <w:pPr>
              <w:rPr>
                <w:sz w:val="16"/>
                <w:szCs w:val="16"/>
              </w:rPr>
            </w:pPr>
            <w:r w:rsidRPr="00C258AD">
              <w:rPr>
                <w:color w:val="000000"/>
                <w:sz w:val="16"/>
                <w:szCs w:val="16"/>
              </w:rPr>
              <w:t>i) le nombre moyen de consultations uniques par communiqué de presse était de 4467 (–1,6% par rapport à 2012</w:t>
            </w:r>
            <w:r w:rsidRPr="00C258AD">
              <w:rPr>
                <w:color w:val="000000"/>
                <w:sz w:val="16"/>
                <w:szCs w:val="16"/>
              </w:rPr>
              <w:noBreakHyphen/>
              <w:t>2013)</w:t>
            </w:r>
          </w:p>
          <w:p w:rsidR="006E2BB1" w:rsidRPr="00C258AD" w:rsidRDefault="003A56B4" w:rsidP="003A56B4">
            <w:pPr>
              <w:pStyle w:val="ListParagraph"/>
              <w:numPr>
                <w:ilvl w:val="0"/>
                <w:numId w:val="56"/>
              </w:numPr>
              <w:rPr>
                <w:sz w:val="16"/>
                <w:szCs w:val="16"/>
              </w:rPr>
            </w:pPr>
            <w:r w:rsidRPr="00C258AD">
              <w:rPr>
                <w:color w:val="000000"/>
                <w:sz w:val="16"/>
                <w:szCs w:val="16"/>
              </w:rPr>
              <w:t>75 173 consultations pour 18 communiqués de presse publiés en 2014 (</w:t>
            </w:r>
            <w:r w:rsidRPr="00C258AD">
              <w:rPr>
                <w:color w:val="000000"/>
                <w:sz w:val="16"/>
                <w:szCs w:val="16"/>
              </w:rPr>
              <w:noBreakHyphen/>
              <w:t>24,2% par rapport à 2013)</w:t>
            </w:r>
          </w:p>
          <w:p w:rsidR="006E2BB1" w:rsidRPr="00C258AD" w:rsidRDefault="003A56B4" w:rsidP="003A56B4">
            <w:pPr>
              <w:pStyle w:val="ListParagraph"/>
              <w:numPr>
                <w:ilvl w:val="0"/>
                <w:numId w:val="56"/>
              </w:numPr>
              <w:rPr>
                <w:sz w:val="16"/>
                <w:szCs w:val="16"/>
              </w:rPr>
            </w:pPr>
            <w:r w:rsidRPr="00C258AD">
              <w:rPr>
                <w:color w:val="000000"/>
                <w:sz w:val="16"/>
                <w:szCs w:val="16"/>
              </w:rPr>
              <w:t>72 232 consultations pour 15 communiqués de presse publiés en 2015 (</w:t>
            </w:r>
            <w:r w:rsidRPr="00C258AD">
              <w:rPr>
                <w:color w:val="000000"/>
                <w:sz w:val="16"/>
                <w:szCs w:val="16"/>
              </w:rPr>
              <w:noBreakHyphen/>
              <w:t>12,5% par rapport à 2014)</w:t>
            </w:r>
          </w:p>
          <w:p w:rsidR="006E2BB1" w:rsidRPr="00C258AD" w:rsidRDefault="006E2BB1" w:rsidP="001A4D6C">
            <w:pPr>
              <w:rPr>
                <w:sz w:val="16"/>
                <w:szCs w:val="16"/>
              </w:rPr>
            </w:pPr>
          </w:p>
          <w:p w:rsidR="006E2BB1" w:rsidRPr="00C258AD" w:rsidRDefault="003A56B4" w:rsidP="001A4D6C">
            <w:pPr>
              <w:rPr>
                <w:sz w:val="16"/>
                <w:szCs w:val="16"/>
              </w:rPr>
            </w:pPr>
            <w:r w:rsidRPr="00C258AD">
              <w:rPr>
                <w:color w:val="000000"/>
                <w:sz w:val="16"/>
                <w:szCs w:val="16"/>
              </w:rPr>
              <w:t>ii) le nombre moyen de consultations par vidéo était de 12 871 (5 006 946 pour 389 vidéos fin 2014</w:t>
            </w:r>
            <w:r w:rsidRPr="00C258AD">
              <w:rPr>
                <w:color w:val="000000"/>
                <w:sz w:val="16"/>
                <w:szCs w:val="16"/>
              </w:rPr>
              <w:noBreakHyphen/>
              <w:t>2015) (</w:t>
            </w:r>
            <w:r w:rsidRPr="00C258AD">
              <w:rPr>
                <w:color w:val="000000"/>
                <w:sz w:val="16"/>
                <w:szCs w:val="16"/>
              </w:rPr>
              <w:noBreakHyphen/>
              <w:t>31%)</w:t>
            </w:r>
          </w:p>
          <w:p w:rsidR="006E2BB1" w:rsidRPr="00C258AD" w:rsidRDefault="006E2BB1" w:rsidP="001A4D6C">
            <w:pPr>
              <w:rPr>
                <w:sz w:val="16"/>
                <w:szCs w:val="16"/>
              </w:rPr>
            </w:pPr>
          </w:p>
          <w:p w:rsidR="006E2BB1" w:rsidRPr="00C258AD" w:rsidRDefault="006E2BB1" w:rsidP="001A4D6C">
            <w:pPr>
              <w:rPr>
                <w:sz w:val="16"/>
                <w:szCs w:val="16"/>
              </w:rPr>
            </w:pPr>
          </w:p>
          <w:p w:rsidR="006E2BB1" w:rsidRPr="00C258AD" w:rsidRDefault="006E2BB1" w:rsidP="001A4D6C">
            <w:pPr>
              <w:rPr>
                <w:sz w:val="16"/>
                <w:szCs w:val="16"/>
              </w:rPr>
            </w:pPr>
          </w:p>
          <w:p w:rsidR="003A56B4" w:rsidRPr="00C258AD" w:rsidRDefault="003A56B4" w:rsidP="001A4D6C">
            <w:pPr>
              <w:rPr>
                <w:sz w:val="16"/>
                <w:szCs w:val="16"/>
              </w:rPr>
            </w:pPr>
            <w:r w:rsidRPr="00C258AD">
              <w:rPr>
                <w:color w:val="000000"/>
                <w:sz w:val="16"/>
                <w:szCs w:val="16"/>
              </w:rPr>
              <w:t>iii) 2 541 702 consultations supplémentaires de photos sur Flickr (+182%) (3 441 702 consultations au total à la fin 2015)</w:t>
            </w:r>
          </w:p>
        </w:tc>
        <w:tc>
          <w:tcPr>
            <w:tcW w:w="524" w:type="pct"/>
            <w:tcMar>
              <w:top w:w="110" w:type="dxa"/>
            </w:tcMar>
          </w:tcPr>
          <w:p w:rsidR="006E2BB1" w:rsidRPr="00C258AD" w:rsidRDefault="006E2BB1" w:rsidP="001A4D6C">
            <w:pPr>
              <w:keepNext/>
              <w:keepLines/>
              <w:jc w:val="center"/>
              <w:rPr>
                <w:b/>
                <w:color w:val="FF0000"/>
                <w:sz w:val="16"/>
                <w:szCs w:val="16"/>
              </w:rPr>
            </w:pPr>
          </w:p>
          <w:p w:rsidR="006E2BB1" w:rsidRPr="00C258AD" w:rsidRDefault="006E2BB1" w:rsidP="001A4D6C">
            <w:pPr>
              <w:keepNext/>
              <w:keepLines/>
              <w:jc w:val="center"/>
              <w:rPr>
                <w:b/>
                <w:color w:val="FF0000"/>
                <w:sz w:val="16"/>
                <w:szCs w:val="16"/>
              </w:rPr>
            </w:pPr>
          </w:p>
          <w:p w:rsidR="006E2BB1" w:rsidRPr="00C258AD" w:rsidRDefault="003A56B4" w:rsidP="001A4D6C">
            <w:pPr>
              <w:keepNext/>
              <w:keepLines/>
              <w:jc w:val="center"/>
              <w:rPr>
                <w:b/>
                <w:color w:val="FF0000"/>
                <w:sz w:val="16"/>
                <w:szCs w:val="16"/>
              </w:rPr>
            </w:pPr>
            <w:r w:rsidRPr="00C258AD">
              <w:rPr>
                <w:rFonts w:cs="Arial"/>
                <w:b/>
                <w:color w:val="FF0000"/>
                <w:sz w:val="16"/>
                <w:szCs w:val="16"/>
              </w:rPr>
              <w:t>Objectif pas atteint</w:t>
            </w:r>
          </w:p>
          <w:p w:rsidR="006E2BB1" w:rsidRPr="00C258AD" w:rsidRDefault="006E2BB1" w:rsidP="001A4D6C">
            <w:pPr>
              <w:keepNext/>
              <w:keepLines/>
              <w:jc w:val="center"/>
              <w:rPr>
                <w:b/>
                <w:color w:val="FF0000"/>
                <w:sz w:val="16"/>
                <w:szCs w:val="16"/>
              </w:rPr>
            </w:pPr>
          </w:p>
          <w:p w:rsidR="006E2BB1" w:rsidRPr="00C258AD" w:rsidRDefault="006E2BB1" w:rsidP="001A4D6C">
            <w:pPr>
              <w:keepNext/>
              <w:keepLines/>
              <w:jc w:val="center"/>
              <w:rPr>
                <w:b/>
                <w:color w:val="FF0000"/>
                <w:sz w:val="16"/>
                <w:szCs w:val="16"/>
              </w:rPr>
            </w:pPr>
          </w:p>
          <w:p w:rsidR="006E2BB1" w:rsidRPr="00C258AD" w:rsidRDefault="006E2BB1" w:rsidP="001A4D6C">
            <w:pPr>
              <w:keepNext/>
              <w:keepLines/>
              <w:jc w:val="center"/>
              <w:rPr>
                <w:b/>
                <w:color w:val="FF0000"/>
                <w:sz w:val="16"/>
                <w:szCs w:val="16"/>
              </w:rPr>
            </w:pPr>
          </w:p>
          <w:p w:rsidR="006E2BB1" w:rsidRPr="00C258AD" w:rsidRDefault="006E2BB1" w:rsidP="001A4D6C">
            <w:pPr>
              <w:keepNext/>
              <w:keepLines/>
              <w:jc w:val="center"/>
              <w:rPr>
                <w:b/>
                <w:color w:val="FF0000"/>
                <w:sz w:val="16"/>
                <w:szCs w:val="16"/>
              </w:rPr>
            </w:pPr>
          </w:p>
          <w:p w:rsidR="006E2BB1" w:rsidRPr="00C258AD" w:rsidRDefault="006E2BB1" w:rsidP="001A4D6C">
            <w:pPr>
              <w:keepNext/>
              <w:keepLines/>
              <w:jc w:val="center"/>
              <w:rPr>
                <w:b/>
                <w:color w:val="FF0000"/>
                <w:sz w:val="16"/>
                <w:szCs w:val="16"/>
              </w:rPr>
            </w:pPr>
          </w:p>
          <w:p w:rsidR="006E2BB1" w:rsidRPr="00C258AD" w:rsidRDefault="006E2BB1" w:rsidP="001A4D6C">
            <w:pPr>
              <w:keepNext/>
              <w:keepLines/>
              <w:jc w:val="center"/>
              <w:rPr>
                <w:b/>
                <w:color w:val="FF0000"/>
                <w:sz w:val="16"/>
                <w:szCs w:val="16"/>
              </w:rPr>
            </w:pPr>
          </w:p>
          <w:p w:rsidR="006E2BB1" w:rsidRPr="00C258AD" w:rsidRDefault="006E2BB1" w:rsidP="001A4D6C">
            <w:pPr>
              <w:keepNext/>
              <w:keepLines/>
              <w:jc w:val="center"/>
              <w:rPr>
                <w:b/>
                <w:color w:val="FF0000"/>
                <w:sz w:val="16"/>
                <w:szCs w:val="16"/>
              </w:rPr>
            </w:pPr>
          </w:p>
          <w:p w:rsidR="006E2BB1" w:rsidRPr="00C258AD" w:rsidRDefault="006E2BB1" w:rsidP="001A4D6C">
            <w:pPr>
              <w:keepNext/>
              <w:keepLines/>
              <w:jc w:val="center"/>
              <w:rPr>
                <w:b/>
                <w:color w:val="FF0000"/>
                <w:sz w:val="16"/>
                <w:szCs w:val="16"/>
              </w:rPr>
            </w:pPr>
          </w:p>
          <w:p w:rsidR="006E2BB1" w:rsidRPr="00C258AD" w:rsidRDefault="006E2BB1" w:rsidP="001A4D6C">
            <w:pPr>
              <w:keepNext/>
              <w:keepLines/>
              <w:jc w:val="center"/>
              <w:rPr>
                <w:b/>
                <w:color w:val="FF0000"/>
                <w:sz w:val="16"/>
                <w:szCs w:val="16"/>
              </w:rPr>
            </w:pPr>
          </w:p>
          <w:p w:rsidR="006E2BB1" w:rsidRPr="00C258AD" w:rsidRDefault="006E2BB1" w:rsidP="001A4D6C">
            <w:pPr>
              <w:keepNext/>
              <w:keepLines/>
              <w:jc w:val="center"/>
              <w:rPr>
                <w:b/>
                <w:color w:val="FF0000"/>
                <w:sz w:val="16"/>
                <w:szCs w:val="16"/>
              </w:rPr>
            </w:pPr>
          </w:p>
          <w:p w:rsidR="006E2BB1" w:rsidRPr="00C258AD" w:rsidRDefault="006E2BB1" w:rsidP="001A4D6C">
            <w:pPr>
              <w:keepNext/>
              <w:keepLines/>
              <w:jc w:val="center"/>
              <w:rPr>
                <w:b/>
                <w:color w:val="FF0000"/>
                <w:sz w:val="16"/>
                <w:szCs w:val="16"/>
              </w:rPr>
            </w:pPr>
          </w:p>
          <w:p w:rsidR="006E2BB1" w:rsidRPr="00C258AD" w:rsidRDefault="006E2BB1" w:rsidP="001A4D6C">
            <w:pPr>
              <w:keepNext/>
              <w:keepLines/>
              <w:jc w:val="center"/>
              <w:rPr>
                <w:b/>
                <w:color w:val="FF0000"/>
                <w:sz w:val="16"/>
                <w:szCs w:val="16"/>
              </w:rPr>
            </w:pPr>
          </w:p>
          <w:p w:rsidR="006E2BB1" w:rsidRPr="00C258AD" w:rsidRDefault="003A56B4" w:rsidP="001A4D6C">
            <w:pPr>
              <w:keepNext/>
              <w:keepLines/>
              <w:jc w:val="center"/>
              <w:rPr>
                <w:b/>
                <w:color w:val="FF0000"/>
                <w:sz w:val="16"/>
                <w:szCs w:val="16"/>
              </w:rPr>
            </w:pPr>
            <w:r w:rsidRPr="00C258AD">
              <w:rPr>
                <w:rFonts w:cs="Arial"/>
                <w:b/>
                <w:color w:val="FF0000"/>
                <w:sz w:val="16"/>
                <w:szCs w:val="16"/>
              </w:rPr>
              <w:t>Objectif pas atteint</w:t>
            </w:r>
          </w:p>
          <w:p w:rsidR="006E2BB1" w:rsidRPr="00C258AD" w:rsidRDefault="006E2BB1" w:rsidP="001A4D6C">
            <w:pPr>
              <w:keepNext/>
              <w:keepLines/>
              <w:jc w:val="center"/>
              <w:rPr>
                <w:b/>
                <w:color w:val="FF0000"/>
                <w:sz w:val="16"/>
                <w:szCs w:val="16"/>
              </w:rPr>
            </w:pPr>
          </w:p>
          <w:p w:rsidR="006E2BB1" w:rsidRPr="00C258AD" w:rsidRDefault="006E2BB1" w:rsidP="001A4D6C">
            <w:pPr>
              <w:keepNext/>
              <w:keepLines/>
              <w:jc w:val="center"/>
              <w:rPr>
                <w:b/>
                <w:color w:val="FF0000"/>
                <w:sz w:val="16"/>
                <w:szCs w:val="16"/>
              </w:rPr>
            </w:pPr>
          </w:p>
          <w:p w:rsidR="006E2BB1" w:rsidRPr="00C258AD" w:rsidRDefault="006E2BB1" w:rsidP="001A4D6C">
            <w:pPr>
              <w:keepNext/>
              <w:keepLines/>
              <w:jc w:val="center"/>
              <w:rPr>
                <w:b/>
                <w:color w:val="FF0000"/>
                <w:sz w:val="16"/>
                <w:szCs w:val="16"/>
              </w:rPr>
            </w:pPr>
          </w:p>
          <w:p w:rsidR="006E2BB1" w:rsidRPr="00C258AD" w:rsidRDefault="006E2BB1" w:rsidP="001A4D6C">
            <w:pPr>
              <w:keepNext/>
              <w:keepLines/>
              <w:jc w:val="center"/>
              <w:rPr>
                <w:b/>
                <w:color w:val="FF0000"/>
                <w:sz w:val="16"/>
                <w:szCs w:val="16"/>
              </w:rPr>
            </w:pPr>
          </w:p>
          <w:p w:rsidR="006E2BB1" w:rsidRPr="00C258AD" w:rsidRDefault="006E2BB1" w:rsidP="001A4D6C">
            <w:pPr>
              <w:keepNext/>
              <w:keepLines/>
              <w:jc w:val="center"/>
              <w:rPr>
                <w:b/>
                <w:color w:val="FF0000"/>
                <w:sz w:val="16"/>
                <w:szCs w:val="16"/>
              </w:rPr>
            </w:pPr>
          </w:p>
          <w:p w:rsidR="006E2BB1" w:rsidRPr="00C258AD" w:rsidRDefault="006E2BB1" w:rsidP="001A4D6C">
            <w:pPr>
              <w:keepNext/>
              <w:keepLines/>
              <w:jc w:val="center"/>
              <w:rPr>
                <w:b/>
                <w:color w:val="FF0000"/>
                <w:sz w:val="16"/>
                <w:szCs w:val="16"/>
              </w:rPr>
            </w:pPr>
          </w:p>
          <w:p w:rsidR="003A56B4" w:rsidRPr="00C258AD" w:rsidRDefault="003A56B4" w:rsidP="001A4D6C">
            <w:pPr>
              <w:keepNext/>
              <w:keepLines/>
              <w:jc w:val="center"/>
              <w:rPr>
                <w:b/>
                <w:color w:val="FF0000"/>
                <w:sz w:val="16"/>
                <w:szCs w:val="16"/>
              </w:rPr>
            </w:pPr>
            <w:r w:rsidRPr="00C258AD">
              <w:rPr>
                <w:rFonts w:cs="Arial"/>
                <w:b/>
                <w:bCs/>
                <w:color w:val="00B050"/>
                <w:sz w:val="16"/>
                <w:szCs w:val="16"/>
              </w:rPr>
              <w:t>Objectif pleinement atteint</w:t>
            </w:r>
          </w:p>
        </w:tc>
      </w:tr>
      <w:tr w:rsidR="003A56B4" w:rsidRPr="00C258AD" w:rsidTr="001A4D6C">
        <w:trPr>
          <w:cantSplit/>
        </w:trPr>
        <w:tc>
          <w:tcPr>
            <w:tcW w:w="1103" w:type="pct"/>
          </w:tcPr>
          <w:p w:rsidR="003A56B4" w:rsidRPr="00C258AD" w:rsidRDefault="003A56B4" w:rsidP="001A4D6C">
            <w:pPr>
              <w:rPr>
                <w:sz w:val="16"/>
                <w:szCs w:val="16"/>
              </w:rPr>
            </w:pPr>
            <w:r w:rsidRPr="00C258AD">
              <w:rPr>
                <w:sz w:val="16"/>
                <w:szCs w:val="16"/>
              </w:rPr>
              <w:lastRenderedPageBreak/>
              <w:t>Pourcentage d’augmentation de la participation à la Journée mondiale de la propriété intellectuelle sur la page Facebook (portée totale de la campagne)</w:t>
            </w:r>
          </w:p>
        </w:tc>
        <w:tc>
          <w:tcPr>
            <w:tcW w:w="1349" w:type="pct"/>
            <w:shd w:val="clear" w:color="auto" w:fill="auto"/>
          </w:tcPr>
          <w:p w:rsidR="006E2BB1" w:rsidRPr="00C258AD" w:rsidRDefault="003A56B4" w:rsidP="001A4D6C">
            <w:pPr>
              <w:rPr>
                <w:i/>
                <w:color w:val="002060"/>
                <w:sz w:val="16"/>
                <w:szCs w:val="16"/>
              </w:rPr>
            </w:pPr>
            <w:r w:rsidRPr="00C258AD">
              <w:rPr>
                <w:i/>
                <w:color w:val="002060"/>
                <w:sz w:val="16"/>
                <w:szCs w:val="16"/>
              </w:rPr>
              <w:t xml:space="preserve">Niveau de référence actualisé à fin 2013 : </w:t>
            </w:r>
            <w:r w:rsidRPr="00C258AD">
              <w:rPr>
                <w:color w:val="002060"/>
                <w:sz w:val="16"/>
                <w:szCs w:val="16"/>
              </w:rPr>
              <w:t>414 121 personnes ont consulté du contenu ayant trait à la Journée mondiale de la propriété intellectuelle grâce à notre campagne sur Facebook en 2013 (portée cumulée [constante])</w:t>
            </w:r>
          </w:p>
          <w:p w:rsidR="006E2BB1" w:rsidRPr="00C258AD" w:rsidRDefault="006E2BB1" w:rsidP="001A4D6C">
            <w:pPr>
              <w:rPr>
                <w:i/>
                <w:color w:val="002060"/>
                <w:sz w:val="16"/>
                <w:szCs w:val="16"/>
              </w:rPr>
            </w:pPr>
          </w:p>
          <w:p w:rsidR="003A56B4" w:rsidRPr="00C258AD" w:rsidRDefault="003A56B4" w:rsidP="001A4D6C">
            <w:pPr>
              <w:rPr>
                <w:sz w:val="16"/>
                <w:szCs w:val="16"/>
              </w:rPr>
            </w:pPr>
            <w:r w:rsidRPr="00C258AD">
              <w:rPr>
                <w:i/>
                <w:color w:val="000000"/>
                <w:sz w:val="16"/>
                <w:szCs w:val="16"/>
              </w:rPr>
              <w:t>Niveau de référence initial dans le programme et budget 2014</w:t>
            </w:r>
            <w:r w:rsidRPr="00C258AD">
              <w:rPr>
                <w:i/>
                <w:color w:val="000000"/>
                <w:sz w:val="16"/>
                <w:szCs w:val="16"/>
              </w:rPr>
              <w:noBreakHyphen/>
              <w:t xml:space="preserve">2015 : </w:t>
            </w:r>
            <w:r w:rsidRPr="00C258AD">
              <w:rPr>
                <w:color w:val="000000"/>
                <w:sz w:val="16"/>
                <w:szCs w:val="16"/>
              </w:rPr>
              <w:t>379 600 personnes ont consulté du contenu ayant trait à la Journée mondiale de la propriété intellectuelle grâce à notre campagne sur Facebook en 2012</w:t>
            </w:r>
          </w:p>
        </w:tc>
        <w:tc>
          <w:tcPr>
            <w:tcW w:w="750" w:type="pct"/>
            <w:tcMar>
              <w:top w:w="110" w:type="dxa"/>
            </w:tcMar>
          </w:tcPr>
          <w:p w:rsidR="003A56B4" w:rsidRPr="00C258AD" w:rsidRDefault="003A56B4" w:rsidP="001A4D6C">
            <w:pPr>
              <w:rPr>
                <w:sz w:val="16"/>
                <w:szCs w:val="16"/>
              </w:rPr>
            </w:pPr>
            <w:r w:rsidRPr="00C258AD">
              <w:rPr>
                <w:sz w:val="16"/>
                <w:szCs w:val="16"/>
              </w:rPr>
              <w:t>Augmentation de 30% du nombre de personnes ayant consulté un contenu relatif à la Journée mondiale sur notre page Facebook (portée totale)</w:t>
            </w:r>
          </w:p>
        </w:tc>
        <w:tc>
          <w:tcPr>
            <w:tcW w:w="1274" w:type="pct"/>
            <w:shd w:val="clear" w:color="auto" w:fill="FFFFFF"/>
            <w:tcMar>
              <w:top w:w="110" w:type="dxa"/>
            </w:tcMar>
          </w:tcPr>
          <w:p w:rsidR="006E2BB1" w:rsidRPr="00C258AD" w:rsidRDefault="003A56B4" w:rsidP="001A4D6C">
            <w:pPr>
              <w:rPr>
                <w:bCs/>
                <w:color w:val="000000"/>
                <w:sz w:val="16"/>
                <w:szCs w:val="16"/>
              </w:rPr>
            </w:pPr>
            <w:r w:rsidRPr="00C258AD">
              <w:rPr>
                <w:bCs/>
                <w:color w:val="000000"/>
                <w:sz w:val="16"/>
                <w:szCs w:val="16"/>
              </w:rPr>
              <w:t>En 2014</w:t>
            </w:r>
            <w:r w:rsidRPr="00C258AD">
              <w:rPr>
                <w:bCs/>
                <w:color w:val="000000"/>
                <w:sz w:val="16"/>
                <w:szCs w:val="16"/>
              </w:rPr>
              <w:noBreakHyphen/>
              <w:t>2015, un total de 1 020 128 personnes ont consulté du contenu ayant trait à la Journée mondiale de la propriété intellectuelle grâce à nos campagnes sur Facebook (+28,5% par rapport à 2012</w:t>
            </w:r>
            <w:r w:rsidRPr="00C258AD">
              <w:rPr>
                <w:bCs/>
                <w:color w:val="000000"/>
                <w:sz w:val="16"/>
                <w:szCs w:val="16"/>
              </w:rPr>
              <w:noBreakHyphen/>
              <w:t>2013) :</w:t>
            </w:r>
          </w:p>
          <w:p w:rsidR="006E2BB1" w:rsidRPr="00C258AD" w:rsidRDefault="003A56B4" w:rsidP="003A56B4">
            <w:pPr>
              <w:pStyle w:val="ListParagraph"/>
              <w:numPr>
                <w:ilvl w:val="0"/>
                <w:numId w:val="56"/>
              </w:numPr>
              <w:rPr>
                <w:bCs/>
                <w:sz w:val="16"/>
                <w:szCs w:val="16"/>
              </w:rPr>
            </w:pPr>
            <w:r w:rsidRPr="00C258AD">
              <w:rPr>
                <w:bCs/>
                <w:sz w:val="16"/>
                <w:szCs w:val="16"/>
              </w:rPr>
              <w:t>563 816 en 2014</w:t>
            </w:r>
          </w:p>
          <w:p w:rsidR="003A56B4" w:rsidRPr="00C258AD" w:rsidRDefault="003A56B4" w:rsidP="003A56B4">
            <w:pPr>
              <w:pStyle w:val="ListParagraph"/>
              <w:numPr>
                <w:ilvl w:val="0"/>
                <w:numId w:val="56"/>
              </w:numPr>
              <w:rPr>
                <w:bCs/>
                <w:sz w:val="16"/>
                <w:szCs w:val="16"/>
              </w:rPr>
            </w:pPr>
            <w:r w:rsidRPr="00C258AD">
              <w:rPr>
                <w:bCs/>
                <w:sz w:val="16"/>
                <w:szCs w:val="16"/>
              </w:rPr>
              <w:t>456 312 en 2015</w:t>
            </w:r>
          </w:p>
        </w:tc>
        <w:tc>
          <w:tcPr>
            <w:tcW w:w="524" w:type="pct"/>
            <w:tcMar>
              <w:top w:w="110" w:type="dxa"/>
            </w:tcMar>
          </w:tcPr>
          <w:p w:rsidR="003A56B4" w:rsidRPr="00C258AD" w:rsidRDefault="003A56B4" w:rsidP="001A4D6C">
            <w:pPr>
              <w:keepNext/>
              <w:keepLines/>
              <w:jc w:val="center"/>
              <w:rPr>
                <w:color w:val="808080"/>
                <w:sz w:val="16"/>
                <w:szCs w:val="16"/>
              </w:rPr>
            </w:pPr>
            <w:r w:rsidRPr="00C258AD">
              <w:rPr>
                <w:rFonts w:cs="Arial"/>
                <w:b/>
                <w:bCs/>
                <w:color w:val="00B050"/>
                <w:sz w:val="16"/>
                <w:szCs w:val="16"/>
              </w:rPr>
              <w:t>Objectif pleinement atteint</w:t>
            </w:r>
          </w:p>
        </w:tc>
      </w:tr>
      <w:tr w:rsidR="003A56B4" w:rsidRPr="00C258AD" w:rsidTr="001A4D6C">
        <w:trPr>
          <w:cantSplit/>
        </w:trPr>
        <w:tc>
          <w:tcPr>
            <w:tcW w:w="1103" w:type="pct"/>
          </w:tcPr>
          <w:p w:rsidR="003A56B4" w:rsidRPr="00C258AD" w:rsidRDefault="003A56B4" w:rsidP="001A4D6C">
            <w:pPr>
              <w:rPr>
                <w:sz w:val="16"/>
                <w:szCs w:val="16"/>
              </w:rPr>
            </w:pPr>
            <w:r w:rsidRPr="00C258AD">
              <w:rPr>
                <w:sz w:val="16"/>
                <w:szCs w:val="16"/>
              </w:rPr>
              <w:t>Pourcentage d’augmentation des consultations de publications en ligne</w:t>
            </w:r>
          </w:p>
        </w:tc>
        <w:tc>
          <w:tcPr>
            <w:tcW w:w="1349" w:type="pct"/>
            <w:shd w:val="clear" w:color="auto" w:fill="auto"/>
          </w:tcPr>
          <w:p w:rsidR="006E2BB1" w:rsidRPr="00C258AD" w:rsidRDefault="003A56B4" w:rsidP="001A4D6C">
            <w:pPr>
              <w:rPr>
                <w:i/>
                <w:color w:val="002060"/>
                <w:sz w:val="16"/>
                <w:szCs w:val="16"/>
              </w:rPr>
            </w:pPr>
            <w:r w:rsidRPr="00C258AD">
              <w:rPr>
                <w:i/>
                <w:color w:val="002060"/>
                <w:sz w:val="16"/>
                <w:szCs w:val="16"/>
              </w:rPr>
              <w:t>Niveau de référence actualisé à fin 2013 :</w:t>
            </w:r>
          </w:p>
          <w:p w:rsidR="006E2BB1" w:rsidRPr="00C258AD" w:rsidRDefault="003A56B4" w:rsidP="001A4D6C">
            <w:pPr>
              <w:rPr>
                <w:color w:val="002060"/>
                <w:sz w:val="16"/>
                <w:szCs w:val="16"/>
              </w:rPr>
            </w:pPr>
            <w:r w:rsidRPr="00C258AD">
              <w:rPr>
                <w:color w:val="002060"/>
                <w:sz w:val="16"/>
                <w:szCs w:val="16"/>
              </w:rPr>
              <w:t>i) 3 940 490 téléchargements de publications gratuites en 2013 (toutes langues)</w:t>
            </w:r>
          </w:p>
          <w:p w:rsidR="006E2BB1" w:rsidRPr="00C258AD" w:rsidRDefault="003A56B4" w:rsidP="001A4D6C">
            <w:pPr>
              <w:rPr>
                <w:color w:val="002060"/>
                <w:sz w:val="16"/>
                <w:szCs w:val="16"/>
              </w:rPr>
            </w:pPr>
            <w:r w:rsidRPr="00C258AD">
              <w:rPr>
                <w:color w:val="002060"/>
                <w:sz w:val="16"/>
                <w:szCs w:val="16"/>
              </w:rPr>
              <w:t>ii) 450 499 consultations uniques du site Web du Magazine de l’OMPI en 2013 (toutes langues)</w:t>
            </w:r>
          </w:p>
          <w:p w:rsidR="006E2BB1" w:rsidRPr="00C258AD" w:rsidRDefault="006E2BB1" w:rsidP="001A4D6C">
            <w:pPr>
              <w:rPr>
                <w:i/>
                <w:color w:val="002060"/>
                <w:sz w:val="16"/>
                <w:szCs w:val="16"/>
              </w:rPr>
            </w:pPr>
          </w:p>
          <w:p w:rsidR="006E2BB1" w:rsidRPr="00C258AD" w:rsidRDefault="003A56B4" w:rsidP="001A4D6C">
            <w:pPr>
              <w:rPr>
                <w:iCs/>
                <w:color w:val="000000"/>
                <w:sz w:val="16"/>
                <w:szCs w:val="16"/>
              </w:rPr>
            </w:pPr>
            <w:r w:rsidRPr="00C258AD">
              <w:rPr>
                <w:i/>
                <w:iCs/>
                <w:color w:val="000000"/>
                <w:sz w:val="16"/>
                <w:szCs w:val="16"/>
              </w:rPr>
              <w:t>Niveau de référence initial dans le programme et budget 2014</w:t>
            </w:r>
            <w:r w:rsidRPr="00C258AD">
              <w:rPr>
                <w:i/>
                <w:iCs/>
                <w:color w:val="000000"/>
                <w:sz w:val="16"/>
                <w:szCs w:val="16"/>
              </w:rPr>
              <w:noBreakHyphen/>
              <w:t>2015 :</w:t>
            </w:r>
          </w:p>
          <w:p w:rsidR="006E2BB1" w:rsidRPr="00C258AD" w:rsidRDefault="003A56B4" w:rsidP="001A4D6C">
            <w:pPr>
              <w:rPr>
                <w:iCs/>
                <w:sz w:val="16"/>
                <w:szCs w:val="16"/>
              </w:rPr>
            </w:pPr>
            <w:r w:rsidRPr="00C258AD">
              <w:rPr>
                <w:iCs/>
                <w:color w:val="000000"/>
                <w:sz w:val="16"/>
                <w:szCs w:val="16"/>
              </w:rPr>
              <w:t>i) à déterminer (statistiques comparables non disponibles pour 2012)</w:t>
            </w:r>
          </w:p>
          <w:p w:rsidR="003A56B4" w:rsidRPr="00C258AD" w:rsidRDefault="003A56B4" w:rsidP="001A4D6C">
            <w:pPr>
              <w:rPr>
                <w:sz w:val="16"/>
                <w:szCs w:val="16"/>
              </w:rPr>
            </w:pPr>
            <w:r w:rsidRPr="00C258AD">
              <w:rPr>
                <w:sz w:val="16"/>
                <w:szCs w:val="16"/>
              </w:rPr>
              <w:t>ii) 409 265 consultations uniques du site Web du Magazine de l’OMPI en 2012</w:t>
            </w:r>
          </w:p>
        </w:tc>
        <w:tc>
          <w:tcPr>
            <w:tcW w:w="750" w:type="pct"/>
            <w:tcMar>
              <w:top w:w="110" w:type="dxa"/>
            </w:tcMar>
          </w:tcPr>
          <w:p w:rsidR="006E2BB1" w:rsidRPr="00C258AD" w:rsidRDefault="003A56B4" w:rsidP="001A4D6C">
            <w:pPr>
              <w:rPr>
                <w:sz w:val="16"/>
                <w:szCs w:val="16"/>
              </w:rPr>
            </w:pPr>
            <w:r w:rsidRPr="00C258AD">
              <w:rPr>
                <w:sz w:val="16"/>
                <w:szCs w:val="16"/>
              </w:rPr>
              <w:t>i) Augmentation de 10% des consultations de publications en ligne</w:t>
            </w:r>
          </w:p>
          <w:p w:rsidR="006E2BB1" w:rsidRPr="00C258AD" w:rsidRDefault="006E2BB1" w:rsidP="001A4D6C">
            <w:pPr>
              <w:rPr>
                <w:sz w:val="16"/>
                <w:szCs w:val="16"/>
              </w:rPr>
            </w:pPr>
          </w:p>
          <w:p w:rsidR="006E2BB1" w:rsidRPr="00C258AD" w:rsidRDefault="006E2BB1" w:rsidP="001A4D6C">
            <w:pPr>
              <w:rPr>
                <w:sz w:val="16"/>
                <w:szCs w:val="16"/>
              </w:rPr>
            </w:pPr>
          </w:p>
          <w:p w:rsidR="006E2BB1" w:rsidRPr="00C258AD" w:rsidRDefault="006E2BB1" w:rsidP="001A4D6C">
            <w:pPr>
              <w:rPr>
                <w:sz w:val="16"/>
                <w:szCs w:val="16"/>
              </w:rPr>
            </w:pPr>
          </w:p>
          <w:p w:rsidR="003A56B4" w:rsidRPr="00C258AD" w:rsidRDefault="003A56B4" w:rsidP="001A4D6C">
            <w:pPr>
              <w:rPr>
                <w:sz w:val="16"/>
                <w:szCs w:val="16"/>
              </w:rPr>
            </w:pPr>
            <w:r w:rsidRPr="00C258AD">
              <w:rPr>
                <w:sz w:val="16"/>
                <w:szCs w:val="16"/>
              </w:rPr>
              <w:t>ii) Augmentation de 10% des consultations du site Web du Magazine de l’OMPI</w:t>
            </w:r>
          </w:p>
        </w:tc>
        <w:tc>
          <w:tcPr>
            <w:tcW w:w="1274" w:type="pct"/>
            <w:shd w:val="clear" w:color="auto" w:fill="FFFFFF"/>
            <w:tcMar>
              <w:top w:w="110" w:type="dxa"/>
            </w:tcMar>
          </w:tcPr>
          <w:p w:rsidR="006E2BB1" w:rsidRPr="00C258AD" w:rsidRDefault="003A56B4" w:rsidP="001A4D6C">
            <w:pPr>
              <w:rPr>
                <w:rFonts w:cs="Arial"/>
                <w:sz w:val="16"/>
                <w:szCs w:val="16"/>
              </w:rPr>
            </w:pPr>
            <w:r w:rsidRPr="00C258AD">
              <w:rPr>
                <w:rFonts w:cs="Arial"/>
                <w:sz w:val="16"/>
                <w:szCs w:val="16"/>
              </w:rPr>
              <w:t>i) De nouveaux outils et méthodologies statistiques fondés sur le Web étaient mis au point et testés à la fin de l’exercice biennal, en raison d’un retard dans la mise en œuvre du projet.</w:t>
            </w:r>
          </w:p>
          <w:p w:rsidR="006E2BB1" w:rsidRPr="00C258AD" w:rsidRDefault="006E2BB1" w:rsidP="001A4D6C">
            <w:pPr>
              <w:rPr>
                <w:rFonts w:cs="Arial"/>
                <w:sz w:val="16"/>
                <w:szCs w:val="16"/>
              </w:rPr>
            </w:pPr>
          </w:p>
          <w:p w:rsidR="003A56B4" w:rsidRPr="00C258AD" w:rsidRDefault="003A56B4" w:rsidP="001A4D6C">
            <w:pPr>
              <w:rPr>
                <w:sz w:val="16"/>
                <w:szCs w:val="16"/>
              </w:rPr>
            </w:pPr>
            <w:r w:rsidRPr="00C258AD">
              <w:rPr>
                <w:sz w:val="16"/>
                <w:szCs w:val="16"/>
              </w:rPr>
              <w:t xml:space="preserve">ii) 1 024 787 consultations uniques du </w:t>
            </w:r>
            <w:r w:rsidRPr="00C258AD">
              <w:rPr>
                <w:sz w:val="16"/>
              </w:rPr>
              <w:t>site Web</w:t>
            </w:r>
            <w:r w:rsidRPr="00C258AD">
              <w:rPr>
                <w:sz w:val="16"/>
                <w:szCs w:val="16"/>
              </w:rPr>
              <w:t xml:space="preserve"> du Magazine de l’OMPI en 2014</w:t>
            </w:r>
            <w:r w:rsidRPr="00C258AD">
              <w:rPr>
                <w:sz w:val="16"/>
                <w:szCs w:val="16"/>
              </w:rPr>
              <w:noBreakHyphen/>
              <w:t>2015, soit une augmentation de 19,2% par rapport à 2012</w:t>
            </w:r>
            <w:r w:rsidRPr="00C258AD">
              <w:rPr>
                <w:sz w:val="16"/>
                <w:szCs w:val="16"/>
              </w:rPr>
              <w:noBreakHyphen/>
              <w:t>2013.</w:t>
            </w:r>
          </w:p>
        </w:tc>
        <w:tc>
          <w:tcPr>
            <w:tcW w:w="524" w:type="pct"/>
            <w:tcMar>
              <w:top w:w="110" w:type="dxa"/>
            </w:tcMar>
          </w:tcPr>
          <w:p w:rsidR="006E2BB1" w:rsidRPr="00C258AD" w:rsidRDefault="003A56B4" w:rsidP="001A4D6C">
            <w:pPr>
              <w:keepNext/>
              <w:keepLines/>
              <w:jc w:val="center"/>
              <w:rPr>
                <w:b/>
                <w:bCs/>
                <w:sz w:val="16"/>
                <w:szCs w:val="16"/>
              </w:rPr>
            </w:pPr>
            <w:r w:rsidRPr="00C258AD">
              <w:rPr>
                <w:b/>
                <w:bCs/>
                <w:color w:val="808080"/>
                <w:sz w:val="16"/>
                <w:szCs w:val="16"/>
              </w:rPr>
              <w:t>Non évaluable</w:t>
            </w: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6E2BB1" w:rsidRPr="00C258AD" w:rsidRDefault="006E2BB1" w:rsidP="001A4D6C">
            <w:pPr>
              <w:keepNext/>
              <w:keepLines/>
              <w:jc w:val="center"/>
              <w:rPr>
                <w:b/>
                <w:bCs/>
                <w:sz w:val="16"/>
                <w:szCs w:val="16"/>
              </w:rPr>
            </w:pPr>
          </w:p>
          <w:p w:rsidR="003A56B4" w:rsidRPr="00C258AD" w:rsidRDefault="003A56B4" w:rsidP="001A4D6C">
            <w:pPr>
              <w:keepNext/>
              <w:keepLines/>
              <w:jc w:val="center"/>
              <w:rPr>
                <w:b/>
                <w:sz w:val="16"/>
                <w:szCs w:val="16"/>
              </w:rPr>
            </w:pPr>
            <w:r w:rsidRPr="00C258AD">
              <w:rPr>
                <w:rFonts w:cs="Arial"/>
                <w:b/>
                <w:bCs/>
                <w:color w:val="00B050"/>
                <w:sz w:val="16"/>
                <w:szCs w:val="16"/>
              </w:rPr>
              <w:t>Objectif pleinement atteint</w:t>
            </w:r>
          </w:p>
        </w:tc>
      </w:tr>
      <w:tr w:rsidR="003A56B4" w:rsidRPr="00C258AD" w:rsidTr="001A4D6C">
        <w:trPr>
          <w:cantSplit/>
        </w:trPr>
        <w:tc>
          <w:tcPr>
            <w:tcW w:w="1103" w:type="pct"/>
          </w:tcPr>
          <w:p w:rsidR="003A56B4" w:rsidRPr="00C258AD" w:rsidRDefault="003A56B4" w:rsidP="001A4D6C">
            <w:pPr>
              <w:keepNext/>
              <w:rPr>
                <w:sz w:val="16"/>
                <w:szCs w:val="16"/>
              </w:rPr>
            </w:pPr>
            <w:r w:rsidRPr="00C258AD">
              <w:rPr>
                <w:sz w:val="16"/>
                <w:szCs w:val="16"/>
              </w:rPr>
              <w:t>Pourcentage d’utilisateurs satisfaits du site Web de l’OMPI</w:t>
            </w:r>
          </w:p>
        </w:tc>
        <w:tc>
          <w:tcPr>
            <w:tcW w:w="1349" w:type="pct"/>
            <w:shd w:val="clear" w:color="auto" w:fill="auto"/>
          </w:tcPr>
          <w:p w:rsidR="003A56B4" w:rsidRPr="00C258AD" w:rsidRDefault="003A56B4" w:rsidP="001A4D6C">
            <w:pPr>
              <w:rPr>
                <w:sz w:val="16"/>
                <w:szCs w:val="16"/>
              </w:rPr>
            </w:pPr>
            <w:r w:rsidRPr="00C258AD">
              <w:rPr>
                <w:iCs/>
                <w:sz w:val="16"/>
                <w:szCs w:val="16"/>
              </w:rPr>
              <w:t>À déterminer</w:t>
            </w:r>
          </w:p>
        </w:tc>
        <w:tc>
          <w:tcPr>
            <w:tcW w:w="750" w:type="pct"/>
            <w:tcMar>
              <w:top w:w="110" w:type="dxa"/>
            </w:tcMar>
          </w:tcPr>
          <w:p w:rsidR="003A56B4" w:rsidRPr="00C258AD" w:rsidRDefault="003A56B4" w:rsidP="001A4D6C">
            <w:pPr>
              <w:rPr>
                <w:sz w:val="16"/>
                <w:szCs w:val="16"/>
              </w:rPr>
            </w:pPr>
            <w:r w:rsidRPr="00C258AD">
              <w:rPr>
                <w:sz w:val="16"/>
                <w:szCs w:val="16"/>
              </w:rPr>
              <w:t>≥ 60% des utilisateurs sont satisfaits</w:t>
            </w:r>
          </w:p>
        </w:tc>
        <w:tc>
          <w:tcPr>
            <w:tcW w:w="1274" w:type="pct"/>
            <w:shd w:val="clear" w:color="auto" w:fill="FFFFFF"/>
            <w:tcMar>
              <w:top w:w="110" w:type="dxa"/>
            </w:tcMar>
          </w:tcPr>
          <w:p w:rsidR="003A56B4" w:rsidRPr="00C258AD" w:rsidRDefault="003A56B4" w:rsidP="001A4D6C">
            <w:pPr>
              <w:rPr>
                <w:sz w:val="16"/>
                <w:szCs w:val="16"/>
              </w:rPr>
            </w:pPr>
            <w:r w:rsidRPr="00C258AD">
              <w:rPr>
                <w:color w:val="000000"/>
                <w:sz w:val="16"/>
                <w:szCs w:val="16"/>
              </w:rPr>
              <w:t>Aucune enquête n’a été menée en </w:t>
            </w:r>
            <w:r w:rsidRPr="00C258AD">
              <w:rPr>
                <w:rFonts w:cs="Arial"/>
                <w:sz w:val="16"/>
                <w:szCs w:val="16"/>
              </w:rPr>
              <w:t>2014</w:t>
            </w:r>
            <w:r w:rsidRPr="00C258AD">
              <w:rPr>
                <w:rFonts w:cs="Arial"/>
                <w:sz w:val="16"/>
                <w:szCs w:val="16"/>
              </w:rPr>
              <w:noBreakHyphen/>
              <w:t>2015.</w:t>
            </w:r>
          </w:p>
        </w:tc>
        <w:tc>
          <w:tcPr>
            <w:tcW w:w="524" w:type="pct"/>
            <w:tcMar>
              <w:top w:w="110" w:type="dxa"/>
            </w:tcMar>
          </w:tcPr>
          <w:p w:rsidR="003A56B4" w:rsidRPr="00C258AD" w:rsidRDefault="003A56B4" w:rsidP="001A4D6C">
            <w:pPr>
              <w:keepNext/>
              <w:keepLines/>
              <w:jc w:val="center"/>
              <w:rPr>
                <w:b/>
                <w:color w:val="808080"/>
                <w:sz w:val="16"/>
                <w:szCs w:val="16"/>
              </w:rPr>
            </w:pPr>
            <w:r w:rsidRPr="00C258AD">
              <w:rPr>
                <w:b/>
                <w:bCs/>
                <w:color w:val="808080"/>
                <w:sz w:val="16"/>
                <w:szCs w:val="16"/>
              </w:rPr>
              <w:t>Non évaluable</w:t>
            </w:r>
          </w:p>
        </w:tc>
      </w:tr>
      <w:tr w:rsidR="003A56B4" w:rsidRPr="00C258AD" w:rsidTr="001A4D6C">
        <w:trPr>
          <w:cantSplit/>
        </w:trPr>
        <w:tc>
          <w:tcPr>
            <w:tcW w:w="1103" w:type="pct"/>
            <w:tcBorders>
              <w:bottom w:val="single" w:sz="4" w:space="0" w:color="auto"/>
            </w:tcBorders>
          </w:tcPr>
          <w:p w:rsidR="003A56B4" w:rsidRPr="00C258AD" w:rsidRDefault="003A56B4" w:rsidP="001A4D6C">
            <w:pPr>
              <w:rPr>
                <w:sz w:val="16"/>
                <w:szCs w:val="16"/>
              </w:rPr>
            </w:pPr>
            <w:r w:rsidRPr="00C258AD">
              <w:rPr>
                <w:sz w:val="16"/>
                <w:szCs w:val="16"/>
              </w:rPr>
              <w:t>Renforcement de l’influence et de l’engagement de l’OMPI dans les médias sociaux</w:t>
            </w:r>
          </w:p>
        </w:tc>
        <w:tc>
          <w:tcPr>
            <w:tcW w:w="1349" w:type="pct"/>
            <w:tcBorders>
              <w:bottom w:val="single" w:sz="4" w:space="0" w:color="auto"/>
            </w:tcBorders>
            <w:shd w:val="clear" w:color="auto" w:fill="auto"/>
          </w:tcPr>
          <w:p w:rsidR="006E2BB1" w:rsidRPr="00C258AD" w:rsidRDefault="003A56B4" w:rsidP="001A4D6C">
            <w:pPr>
              <w:rPr>
                <w:i/>
                <w:color w:val="002060"/>
                <w:sz w:val="16"/>
                <w:szCs w:val="16"/>
              </w:rPr>
            </w:pPr>
            <w:r w:rsidRPr="00C258AD">
              <w:rPr>
                <w:i/>
                <w:color w:val="002060"/>
                <w:sz w:val="16"/>
                <w:szCs w:val="16"/>
              </w:rPr>
              <w:t>Niveau de référence actualisé à fin 2013 :</w:t>
            </w:r>
          </w:p>
          <w:p w:rsidR="006E2BB1" w:rsidRPr="00C258AD" w:rsidRDefault="003A56B4" w:rsidP="001A4D6C">
            <w:pPr>
              <w:rPr>
                <w:color w:val="002060"/>
                <w:sz w:val="16"/>
                <w:szCs w:val="16"/>
              </w:rPr>
            </w:pPr>
            <w:r w:rsidRPr="00C258AD">
              <w:rPr>
                <w:color w:val="002060"/>
                <w:sz w:val="16"/>
                <w:szCs w:val="16"/>
              </w:rPr>
              <w:t>i) le score “</w:t>
            </w:r>
            <w:proofErr w:type="spellStart"/>
            <w:r w:rsidRPr="00C258AD">
              <w:rPr>
                <w:color w:val="002060"/>
                <w:sz w:val="16"/>
                <w:szCs w:val="16"/>
              </w:rPr>
              <w:t>Klout</w:t>
            </w:r>
            <w:proofErr w:type="spellEnd"/>
            <w:r w:rsidRPr="00C258AD">
              <w:rPr>
                <w:color w:val="002060"/>
                <w:sz w:val="16"/>
                <w:szCs w:val="16"/>
              </w:rPr>
              <w:t>” était de 64 (sur 100) à la fin de 2013</w:t>
            </w:r>
          </w:p>
          <w:p w:rsidR="006E2BB1" w:rsidRPr="00C258AD" w:rsidRDefault="003A56B4" w:rsidP="001A4D6C">
            <w:pPr>
              <w:rPr>
                <w:color w:val="002060"/>
                <w:sz w:val="16"/>
                <w:szCs w:val="16"/>
              </w:rPr>
            </w:pPr>
            <w:r w:rsidRPr="00C258AD">
              <w:rPr>
                <w:color w:val="002060"/>
                <w:sz w:val="16"/>
                <w:szCs w:val="16"/>
              </w:rPr>
              <w:t>ii) 6744 messages transférés au total en 2013</w:t>
            </w:r>
          </w:p>
          <w:p w:rsidR="006E2BB1" w:rsidRPr="00C258AD" w:rsidRDefault="006E2BB1" w:rsidP="001A4D6C">
            <w:pPr>
              <w:rPr>
                <w:color w:val="002060"/>
                <w:sz w:val="16"/>
                <w:szCs w:val="16"/>
              </w:rPr>
            </w:pPr>
          </w:p>
          <w:p w:rsidR="006E2BB1" w:rsidRPr="00C258AD" w:rsidRDefault="003A56B4" w:rsidP="001A4D6C">
            <w:pPr>
              <w:rPr>
                <w:iCs/>
                <w:sz w:val="16"/>
                <w:szCs w:val="16"/>
              </w:rPr>
            </w:pPr>
            <w:r w:rsidRPr="00C258AD">
              <w:rPr>
                <w:i/>
                <w:color w:val="000000"/>
                <w:sz w:val="16"/>
                <w:szCs w:val="16"/>
              </w:rPr>
              <w:t>Niveau de référence initial dans le programme et budget 2014</w:t>
            </w:r>
            <w:r w:rsidRPr="00C258AD">
              <w:rPr>
                <w:i/>
                <w:color w:val="000000"/>
                <w:sz w:val="16"/>
                <w:szCs w:val="16"/>
              </w:rPr>
              <w:noBreakHyphen/>
              <w:t>2015 :</w:t>
            </w:r>
          </w:p>
          <w:p w:rsidR="006E2BB1" w:rsidRPr="00C258AD" w:rsidRDefault="003A56B4" w:rsidP="001A4D6C">
            <w:pPr>
              <w:rPr>
                <w:sz w:val="16"/>
                <w:szCs w:val="16"/>
              </w:rPr>
            </w:pPr>
            <w:r w:rsidRPr="00C258AD">
              <w:rPr>
                <w:sz w:val="16"/>
                <w:szCs w:val="16"/>
              </w:rPr>
              <w:t>i) le score “</w:t>
            </w:r>
            <w:proofErr w:type="spellStart"/>
            <w:r w:rsidRPr="00C258AD">
              <w:rPr>
                <w:sz w:val="16"/>
                <w:szCs w:val="16"/>
              </w:rPr>
              <w:t>Klout</w:t>
            </w:r>
            <w:proofErr w:type="spellEnd"/>
            <w:r w:rsidRPr="00C258AD">
              <w:rPr>
                <w:sz w:val="16"/>
                <w:szCs w:val="16"/>
              </w:rPr>
              <w:t>” était de 62 au 1</w:t>
            </w:r>
            <w:r w:rsidRPr="00C258AD">
              <w:rPr>
                <w:sz w:val="16"/>
                <w:szCs w:val="16"/>
                <w:vertAlign w:val="superscript"/>
              </w:rPr>
              <w:t>er</w:t>
            </w:r>
            <w:r w:rsidRPr="00C258AD">
              <w:rPr>
                <w:sz w:val="16"/>
                <w:szCs w:val="16"/>
              </w:rPr>
              <w:t> janvier 2013</w:t>
            </w:r>
          </w:p>
          <w:p w:rsidR="003A56B4" w:rsidRPr="00C258AD" w:rsidRDefault="003A56B4" w:rsidP="001A4D6C">
            <w:pPr>
              <w:rPr>
                <w:sz w:val="16"/>
                <w:szCs w:val="16"/>
              </w:rPr>
            </w:pPr>
            <w:r w:rsidRPr="00C258AD">
              <w:rPr>
                <w:sz w:val="16"/>
                <w:szCs w:val="16"/>
              </w:rPr>
              <w:t>ii) 3112 messages transférés au total en 2012</w:t>
            </w:r>
          </w:p>
        </w:tc>
        <w:tc>
          <w:tcPr>
            <w:tcW w:w="750" w:type="pct"/>
            <w:tcBorders>
              <w:bottom w:val="single" w:sz="4" w:space="0" w:color="auto"/>
            </w:tcBorders>
            <w:tcMar>
              <w:top w:w="110" w:type="dxa"/>
            </w:tcMar>
          </w:tcPr>
          <w:p w:rsidR="006E2BB1" w:rsidRPr="00C258AD" w:rsidRDefault="003A56B4" w:rsidP="001A4D6C">
            <w:pPr>
              <w:rPr>
                <w:sz w:val="16"/>
              </w:rPr>
            </w:pPr>
            <w:r w:rsidRPr="00C258AD">
              <w:rPr>
                <w:sz w:val="16"/>
              </w:rPr>
              <w:t>i) Score “</w:t>
            </w:r>
            <w:proofErr w:type="spellStart"/>
            <w:r w:rsidRPr="00C258AD">
              <w:rPr>
                <w:sz w:val="16"/>
              </w:rPr>
              <w:t>Klout</w:t>
            </w:r>
            <w:proofErr w:type="spellEnd"/>
            <w:r w:rsidRPr="00C258AD">
              <w:rPr>
                <w:sz w:val="16"/>
              </w:rPr>
              <w:t>” de 73</w:t>
            </w:r>
          </w:p>
          <w:p w:rsidR="006E2BB1" w:rsidRPr="00C258AD" w:rsidRDefault="006E2BB1" w:rsidP="001A4D6C">
            <w:pPr>
              <w:rPr>
                <w:sz w:val="16"/>
              </w:rPr>
            </w:pPr>
          </w:p>
          <w:p w:rsidR="006E2BB1" w:rsidRPr="00C258AD" w:rsidRDefault="006E2BB1" w:rsidP="001A4D6C">
            <w:pPr>
              <w:rPr>
                <w:sz w:val="16"/>
              </w:rPr>
            </w:pPr>
          </w:p>
          <w:p w:rsidR="006E2BB1" w:rsidRPr="00C258AD" w:rsidRDefault="006E2BB1" w:rsidP="001A4D6C">
            <w:pPr>
              <w:rPr>
                <w:sz w:val="16"/>
              </w:rPr>
            </w:pPr>
          </w:p>
          <w:p w:rsidR="006E2BB1" w:rsidRPr="00C258AD" w:rsidRDefault="006E2BB1" w:rsidP="001A4D6C">
            <w:pPr>
              <w:rPr>
                <w:sz w:val="16"/>
              </w:rPr>
            </w:pPr>
          </w:p>
          <w:p w:rsidR="006E2BB1" w:rsidRPr="00C258AD" w:rsidRDefault="006E2BB1" w:rsidP="001A4D6C">
            <w:pPr>
              <w:rPr>
                <w:sz w:val="16"/>
              </w:rPr>
            </w:pPr>
          </w:p>
          <w:p w:rsidR="006E2BB1" w:rsidRPr="00C258AD" w:rsidRDefault="006E2BB1" w:rsidP="001A4D6C">
            <w:pPr>
              <w:rPr>
                <w:sz w:val="16"/>
              </w:rPr>
            </w:pPr>
          </w:p>
          <w:p w:rsidR="003A56B4" w:rsidRPr="00C258AD" w:rsidRDefault="003A56B4" w:rsidP="001A4D6C">
            <w:r w:rsidRPr="00C258AD">
              <w:rPr>
                <w:sz w:val="16"/>
              </w:rPr>
              <w:t>ii) Augmentation de 30% du nombre annuel total de messages transférés</w:t>
            </w:r>
          </w:p>
        </w:tc>
        <w:tc>
          <w:tcPr>
            <w:tcW w:w="1274" w:type="pct"/>
            <w:tcBorders>
              <w:bottom w:val="single" w:sz="4" w:space="0" w:color="auto"/>
            </w:tcBorders>
            <w:shd w:val="clear" w:color="auto" w:fill="FFFFFF"/>
            <w:tcMar>
              <w:top w:w="110" w:type="dxa"/>
            </w:tcMar>
          </w:tcPr>
          <w:p w:rsidR="006E2BB1" w:rsidRPr="00C258AD" w:rsidRDefault="003A56B4" w:rsidP="001A4D6C">
            <w:pPr>
              <w:rPr>
                <w:rFonts w:cs="Arial"/>
                <w:i/>
                <w:sz w:val="16"/>
                <w:szCs w:val="16"/>
              </w:rPr>
            </w:pPr>
            <w:r w:rsidRPr="00C258AD">
              <w:rPr>
                <w:rFonts w:cs="Arial"/>
                <w:sz w:val="16"/>
                <w:szCs w:val="16"/>
              </w:rPr>
              <w:t>i) Score “</w:t>
            </w:r>
            <w:proofErr w:type="spellStart"/>
            <w:r w:rsidRPr="00C258AD">
              <w:rPr>
                <w:rFonts w:cs="Arial"/>
                <w:sz w:val="16"/>
                <w:szCs w:val="16"/>
              </w:rPr>
              <w:t>Klout</w:t>
            </w:r>
            <w:proofErr w:type="spellEnd"/>
            <w:r w:rsidRPr="00C258AD">
              <w:rPr>
                <w:rFonts w:cs="Arial"/>
                <w:sz w:val="16"/>
                <w:szCs w:val="16"/>
              </w:rPr>
              <w:t>” de 66 fin 2015 et de 64 fin 2014</w:t>
            </w:r>
            <w:r w:rsidRPr="00C258AD">
              <w:rPr>
                <w:sz w:val="16"/>
              </w:rPr>
              <w:t xml:space="preserve">.  </w:t>
            </w:r>
            <w:r w:rsidRPr="00C258AD">
              <w:rPr>
                <w:rFonts w:cs="Arial"/>
                <w:sz w:val="16"/>
                <w:szCs w:val="16"/>
              </w:rPr>
              <w:t>Note </w:t>
            </w:r>
            <w:r w:rsidRPr="00C258AD">
              <w:rPr>
                <w:sz w:val="16"/>
              </w:rPr>
              <w:t>:</w:t>
            </w:r>
            <w:r w:rsidRPr="00C258AD">
              <w:rPr>
                <w:rFonts w:cs="Arial"/>
                <w:sz w:val="16"/>
                <w:szCs w:val="16"/>
              </w:rPr>
              <w:t xml:space="preserve"> indicateur abandonné en raison d’une comparabilité et d’une pertinence limitées compte tenu des changements apportés à la méthodologie “</w:t>
            </w:r>
            <w:proofErr w:type="spellStart"/>
            <w:r w:rsidRPr="00C258AD">
              <w:rPr>
                <w:rFonts w:cs="Arial"/>
                <w:sz w:val="16"/>
                <w:szCs w:val="16"/>
              </w:rPr>
              <w:t>Klout</w:t>
            </w:r>
            <w:proofErr w:type="spellEnd"/>
            <w:r w:rsidRPr="00C258AD">
              <w:rPr>
                <w:rFonts w:cs="Arial"/>
                <w:sz w:val="16"/>
                <w:szCs w:val="16"/>
              </w:rPr>
              <w:t>”</w:t>
            </w:r>
          </w:p>
          <w:p w:rsidR="006E2BB1" w:rsidRPr="00C258AD" w:rsidRDefault="006E2BB1" w:rsidP="001A4D6C">
            <w:pPr>
              <w:rPr>
                <w:rFonts w:cs="Arial"/>
                <w:sz w:val="16"/>
                <w:szCs w:val="16"/>
              </w:rPr>
            </w:pPr>
          </w:p>
          <w:p w:rsidR="003A56B4" w:rsidRPr="00C258AD" w:rsidRDefault="003A56B4" w:rsidP="001A4D6C">
            <w:pPr>
              <w:rPr>
                <w:sz w:val="16"/>
                <w:szCs w:val="16"/>
              </w:rPr>
            </w:pPr>
            <w:r w:rsidRPr="00C258AD">
              <w:rPr>
                <w:color w:val="000000"/>
                <w:sz w:val="16"/>
                <w:szCs w:val="16"/>
              </w:rPr>
              <w:t>ii) Moyenne annuelle de 13 362 retweets, c’est</w:t>
            </w:r>
            <w:r w:rsidRPr="00C258AD">
              <w:rPr>
                <w:color w:val="000000"/>
                <w:sz w:val="16"/>
                <w:szCs w:val="16"/>
              </w:rPr>
              <w:noBreakHyphen/>
              <w:t>à</w:t>
            </w:r>
            <w:r w:rsidRPr="00C258AD">
              <w:rPr>
                <w:color w:val="000000"/>
                <w:sz w:val="16"/>
                <w:szCs w:val="16"/>
              </w:rPr>
              <w:noBreakHyphen/>
              <w:t>dire une augmentation de 171% par rapport à l’exercice biennal précédent.</w:t>
            </w:r>
          </w:p>
        </w:tc>
        <w:tc>
          <w:tcPr>
            <w:tcW w:w="524" w:type="pct"/>
            <w:tcBorders>
              <w:bottom w:val="single" w:sz="4" w:space="0" w:color="auto"/>
            </w:tcBorders>
            <w:tcMar>
              <w:top w:w="110" w:type="dxa"/>
            </w:tcMar>
          </w:tcPr>
          <w:p w:rsidR="006E2BB1" w:rsidRPr="00C258AD" w:rsidRDefault="003A56B4" w:rsidP="001A4D6C">
            <w:pPr>
              <w:keepNext/>
              <w:keepLines/>
              <w:jc w:val="center"/>
              <w:rPr>
                <w:b/>
                <w:sz w:val="16"/>
                <w:szCs w:val="16"/>
              </w:rPr>
            </w:pPr>
            <w:r w:rsidRPr="00C258AD">
              <w:rPr>
                <w:b/>
                <w:sz w:val="16"/>
                <w:szCs w:val="16"/>
              </w:rPr>
              <w:t>Objectif abandonné</w:t>
            </w:r>
          </w:p>
          <w:p w:rsidR="006E2BB1" w:rsidRPr="00C258AD" w:rsidRDefault="006E2BB1" w:rsidP="001A4D6C">
            <w:pPr>
              <w:keepNext/>
              <w:keepLines/>
              <w:jc w:val="center"/>
              <w:rPr>
                <w:b/>
                <w:sz w:val="16"/>
                <w:szCs w:val="16"/>
              </w:rPr>
            </w:pPr>
          </w:p>
          <w:p w:rsidR="006E2BB1" w:rsidRPr="00C258AD" w:rsidRDefault="006E2BB1" w:rsidP="001A4D6C">
            <w:pPr>
              <w:keepNext/>
              <w:keepLines/>
              <w:jc w:val="center"/>
              <w:rPr>
                <w:b/>
                <w:sz w:val="16"/>
                <w:szCs w:val="16"/>
              </w:rPr>
            </w:pPr>
          </w:p>
          <w:p w:rsidR="006E2BB1" w:rsidRPr="00C258AD" w:rsidRDefault="006E2BB1" w:rsidP="001A4D6C">
            <w:pPr>
              <w:keepNext/>
              <w:keepLines/>
              <w:jc w:val="center"/>
              <w:rPr>
                <w:b/>
                <w:sz w:val="16"/>
                <w:szCs w:val="16"/>
              </w:rPr>
            </w:pPr>
          </w:p>
          <w:p w:rsidR="006E2BB1" w:rsidRPr="00C258AD" w:rsidRDefault="006E2BB1" w:rsidP="001A4D6C">
            <w:pPr>
              <w:keepNext/>
              <w:keepLines/>
              <w:jc w:val="center"/>
              <w:rPr>
                <w:b/>
                <w:sz w:val="16"/>
                <w:szCs w:val="16"/>
              </w:rPr>
            </w:pPr>
          </w:p>
          <w:p w:rsidR="006E2BB1" w:rsidRPr="00C258AD" w:rsidRDefault="006E2BB1" w:rsidP="001A4D6C">
            <w:pPr>
              <w:keepNext/>
              <w:keepLines/>
              <w:jc w:val="center"/>
              <w:rPr>
                <w:b/>
                <w:sz w:val="16"/>
                <w:szCs w:val="16"/>
              </w:rPr>
            </w:pPr>
          </w:p>
          <w:p w:rsidR="006E2BB1" w:rsidRPr="00C258AD" w:rsidRDefault="006E2BB1" w:rsidP="001A4D6C">
            <w:pPr>
              <w:keepNext/>
              <w:keepLines/>
              <w:jc w:val="center"/>
              <w:rPr>
                <w:b/>
                <w:sz w:val="16"/>
                <w:szCs w:val="16"/>
              </w:rPr>
            </w:pPr>
          </w:p>
          <w:p w:rsidR="003A56B4" w:rsidRPr="00C258AD" w:rsidRDefault="003A56B4" w:rsidP="001A4D6C">
            <w:pPr>
              <w:keepNext/>
              <w:keepLines/>
              <w:jc w:val="center"/>
              <w:rPr>
                <w:color w:val="808080"/>
                <w:sz w:val="16"/>
                <w:szCs w:val="16"/>
              </w:rPr>
            </w:pPr>
            <w:r w:rsidRPr="00C258AD">
              <w:rPr>
                <w:rFonts w:cs="Arial"/>
                <w:b/>
                <w:bCs/>
                <w:color w:val="00B050"/>
                <w:sz w:val="16"/>
                <w:szCs w:val="16"/>
              </w:rPr>
              <w:t>Objectif pleinement atteint</w:t>
            </w:r>
            <w:r w:rsidRPr="00C258AD">
              <w:rPr>
                <w:color w:val="808080"/>
                <w:sz w:val="16"/>
                <w:szCs w:val="16"/>
              </w:rPr>
              <w:t xml:space="preserve"> </w:t>
            </w:r>
          </w:p>
        </w:tc>
      </w:tr>
      <w:tr w:rsidR="003A56B4" w:rsidRPr="00C258AD" w:rsidTr="001A4D6C">
        <w:trPr>
          <w:cantSplit/>
        </w:trPr>
        <w:tc>
          <w:tcPr>
            <w:tcW w:w="5000" w:type="pct"/>
            <w:gridSpan w:val="5"/>
            <w:tcBorders>
              <w:top w:val="single" w:sz="4" w:space="0" w:color="auto"/>
              <w:bottom w:val="single" w:sz="4" w:space="0" w:color="auto"/>
            </w:tcBorders>
            <w:shd w:val="clear" w:color="auto" w:fill="C5D9F1"/>
            <w:vAlign w:val="center"/>
          </w:tcPr>
          <w:p w:rsidR="003A56B4" w:rsidRPr="00C258AD" w:rsidRDefault="003A56B4" w:rsidP="003A56B4">
            <w:pPr>
              <w:keepNext/>
              <w:keepLines/>
              <w:tabs>
                <w:tab w:val="left" w:pos="1452"/>
              </w:tabs>
              <w:ind w:left="1452" w:hanging="1452"/>
              <w:rPr>
                <w:bCs/>
                <w:sz w:val="16"/>
                <w:szCs w:val="16"/>
              </w:rPr>
            </w:pPr>
            <w:r w:rsidRPr="00C258AD">
              <w:rPr>
                <w:b/>
                <w:bCs/>
                <w:color w:val="000000"/>
                <w:sz w:val="16"/>
                <w:szCs w:val="16"/>
              </w:rPr>
              <w:lastRenderedPageBreak/>
              <w:t>Résultat escompté :</w:t>
            </w:r>
            <w:r w:rsidRPr="00C258AD">
              <w:rPr>
                <w:bCs/>
                <w:color w:val="000000"/>
                <w:sz w:val="16"/>
                <w:szCs w:val="16"/>
              </w:rPr>
              <w:t xml:space="preserve"> VIII.2 Amélioration de l’orientation vers les services et de la réactivité à la demande</w:t>
            </w:r>
          </w:p>
        </w:tc>
      </w:tr>
      <w:tr w:rsidR="003A56B4" w:rsidRPr="00C258AD" w:rsidTr="001A4D6C">
        <w:trPr>
          <w:cantSplit/>
        </w:trPr>
        <w:tc>
          <w:tcPr>
            <w:tcW w:w="1103" w:type="pct"/>
            <w:tcBorders>
              <w:top w:val="single" w:sz="4" w:space="0" w:color="auto"/>
            </w:tcBorders>
          </w:tcPr>
          <w:p w:rsidR="003A56B4" w:rsidRPr="00C258AD" w:rsidRDefault="003A56B4" w:rsidP="003A56B4">
            <w:pPr>
              <w:keepNext/>
              <w:jc w:val="center"/>
              <w:rPr>
                <w:b/>
                <w:sz w:val="16"/>
                <w:szCs w:val="16"/>
              </w:rPr>
            </w:pPr>
            <w:r w:rsidRPr="00C258AD">
              <w:rPr>
                <w:b/>
                <w:sz w:val="16"/>
                <w:szCs w:val="16"/>
              </w:rPr>
              <w:t>Indicateurs d’exécution</w:t>
            </w:r>
          </w:p>
        </w:tc>
        <w:tc>
          <w:tcPr>
            <w:tcW w:w="1349" w:type="pct"/>
            <w:tcBorders>
              <w:top w:val="single" w:sz="4" w:space="0" w:color="auto"/>
            </w:tcBorders>
            <w:shd w:val="clear" w:color="auto" w:fill="auto"/>
          </w:tcPr>
          <w:p w:rsidR="003A56B4" w:rsidRPr="00C258AD" w:rsidRDefault="003A56B4" w:rsidP="003A56B4">
            <w:pPr>
              <w:keepNext/>
              <w:jc w:val="center"/>
              <w:rPr>
                <w:b/>
                <w:sz w:val="16"/>
                <w:szCs w:val="16"/>
              </w:rPr>
            </w:pPr>
            <w:r w:rsidRPr="00C258AD">
              <w:rPr>
                <w:b/>
                <w:sz w:val="16"/>
                <w:szCs w:val="16"/>
              </w:rPr>
              <w:t>Niveaux de référence</w:t>
            </w:r>
          </w:p>
        </w:tc>
        <w:tc>
          <w:tcPr>
            <w:tcW w:w="750" w:type="pct"/>
            <w:tcBorders>
              <w:top w:val="single" w:sz="4" w:space="0" w:color="auto"/>
            </w:tcBorders>
            <w:tcMar>
              <w:top w:w="110" w:type="dxa"/>
            </w:tcMar>
          </w:tcPr>
          <w:p w:rsidR="003A56B4" w:rsidRPr="00C258AD" w:rsidRDefault="003A56B4" w:rsidP="003A56B4">
            <w:pPr>
              <w:keepNext/>
              <w:jc w:val="center"/>
              <w:rPr>
                <w:b/>
                <w:sz w:val="16"/>
                <w:szCs w:val="16"/>
              </w:rPr>
            </w:pPr>
            <w:r w:rsidRPr="00C258AD">
              <w:rPr>
                <w:b/>
                <w:sz w:val="16"/>
                <w:szCs w:val="16"/>
              </w:rPr>
              <w:t>Objectifs visés</w:t>
            </w:r>
          </w:p>
        </w:tc>
        <w:tc>
          <w:tcPr>
            <w:tcW w:w="1274" w:type="pct"/>
            <w:tcBorders>
              <w:top w:val="single" w:sz="4" w:space="0" w:color="auto"/>
            </w:tcBorders>
            <w:shd w:val="clear" w:color="auto" w:fill="FFFFFF"/>
            <w:tcMar>
              <w:top w:w="110" w:type="dxa"/>
            </w:tcMar>
          </w:tcPr>
          <w:p w:rsidR="003A56B4" w:rsidRPr="00C258AD" w:rsidRDefault="003A56B4" w:rsidP="003A56B4">
            <w:pPr>
              <w:keepNext/>
              <w:jc w:val="center"/>
              <w:rPr>
                <w:b/>
                <w:sz w:val="16"/>
                <w:szCs w:val="16"/>
              </w:rPr>
            </w:pPr>
            <w:r w:rsidRPr="00C258AD">
              <w:rPr>
                <w:b/>
                <w:sz w:val="16"/>
                <w:szCs w:val="16"/>
              </w:rPr>
              <w:t>Données relatives à l’exécution</w:t>
            </w:r>
          </w:p>
        </w:tc>
        <w:tc>
          <w:tcPr>
            <w:tcW w:w="524" w:type="pct"/>
            <w:tcBorders>
              <w:top w:val="single" w:sz="4" w:space="0" w:color="auto"/>
            </w:tcBorders>
            <w:tcMar>
              <w:top w:w="110" w:type="dxa"/>
            </w:tcMar>
          </w:tcPr>
          <w:p w:rsidR="003A56B4" w:rsidRPr="00C258AD" w:rsidRDefault="003A56B4" w:rsidP="003A56B4">
            <w:pPr>
              <w:keepNext/>
              <w:jc w:val="center"/>
              <w:rPr>
                <w:b/>
                <w:sz w:val="16"/>
                <w:szCs w:val="16"/>
              </w:rPr>
            </w:pPr>
            <w:r w:rsidRPr="00C258AD">
              <w:rPr>
                <w:b/>
                <w:sz w:val="16"/>
                <w:szCs w:val="16"/>
              </w:rPr>
              <w:t>Code de couleurs</w:t>
            </w:r>
          </w:p>
        </w:tc>
      </w:tr>
      <w:tr w:rsidR="003A56B4" w:rsidRPr="00C258AD" w:rsidTr="001A4D6C">
        <w:trPr>
          <w:cantSplit/>
        </w:trPr>
        <w:tc>
          <w:tcPr>
            <w:tcW w:w="1103" w:type="pct"/>
          </w:tcPr>
          <w:p w:rsidR="003A56B4" w:rsidRPr="00C258AD" w:rsidRDefault="003A56B4" w:rsidP="001A4D6C">
            <w:pPr>
              <w:rPr>
                <w:sz w:val="16"/>
                <w:szCs w:val="16"/>
              </w:rPr>
            </w:pPr>
            <w:r w:rsidRPr="00C258AD">
              <w:rPr>
                <w:sz w:val="16"/>
                <w:szCs w:val="16"/>
              </w:rPr>
              <w:t xml:space="preserve">Pourcentage d’utilisateurs satisfaits des services de bibliothèque </w:t>
            </w:r>
          </w:p>
        </w:tc>
        <w:tc>
          <w:tcPr>
            <w:tcW w:w="1349" w:type="pct"/>
            <w:shd w:val="clear" w:color="auto" w:fill="auto"/>
          </w:tcPr>
          <w:p w:rsidR="006E2BB1" w:rsidRPr="00C258AD" w:rsidRDefault="003A56B4" w:rsidP="001A4D6C">
            <w:pPr>
              <w:rPr>
                <w:color w:val="002060"/>
                <w:sz w:val="16"/>
                <w:szCs w:val="16"/>
              </w:rPr>
            </w:pPr>
            <w:r w:rsidRPr="00C258AD">
              <w:rPr>
                <w:i/>
                <w:color w:val="002060"/>
                <w:sz w:val="16"/>
                <w:szCs w:val="16"/>
              </w:rPr>
              <w:t>Niveau de référence actualisé à fin 2013 :</w:t>
            </w:r>
            <w:r w:rsidRPr="00C258AD">
              <w:rPr>
                <w:i/>
                <w:color w:val="002060"/>
                <w:sz w:val="16"/>
                <w:szCs w:val="16"/>
              </w:rPr>
              <w:br/>
              <w:t>9</w:t>
            </w:r>
            <w:r w:rsidRPr="00C258AD">
              <w:rPr>
                <w:color w:val="002060"/>
                <w:sz w:val="16"/>
                <w:szCs w:val="16"/>
              </w:rPr>
              <w:t>4% des personnes ayant répondu à un questionnaire adressé aux visiteurs externes enregistrés (utilisateurs de la bibliothèque) qui avaient utilisé la bibliothèque en 2013 se sont déclarés satisfaits ou très satisfaits</w:t>
            </w:r>
          </w:p>
          <w:p w:rsidR="006E2BB1" w:rsidRPr="00C258AD" w:rsidRDefault="006E2BB1" w:rsidP="001A4D6C">
            <w:pPr>
              <w:rPr>
                <w:color w:val="002060"/>
                <w:sz w:val="16"/>
                <w:szCs w:val="16"/>
              </w:rPr>
            </w:pPr>
          </w:p>
          <w:p w:rsidR="003A56B4" w:rsidRPr="00C258AD" w:rsidRDefault="003A56B4" w:rsidP="001A4D6C">
            <w:pPr>
              <w:rPr>
                <w:sz w:val="16"/>
                <w:szCs w:val="16"/>
              </w:rPr>
            </w:pPr>
            <w:r w:rsidRPr="00C258AD">
              <w:rPr>
                <w:i/>
                <w:color w:val="000000"/>
                <w:sz w:val="16"/>
                <w:szCs w:val="16"/>
              </w:rPr>
              <w:t>Niveau de référence initial dans le programme et budget 2014</w:t>
            </w:r>
            <w:r w:rsidRPr="00C258AD">
              <w:rPr>
                <w:i/>
                <w:color w:val="000000"/>
                <w:sz w:val="16"/>
                <w:szCs w:val="16"/>
              </w:rPr>
              <w:noBreakHyphen/>
              <w:t>2015 :</w:t>
            </w:r>
            <w:r w:rsidRPr="00C258AD">
              <w:rPr>
                <w:sz w:val="16"/>
                <w:szCs w:val="16"/>
              </w:rPr>
              <w:t xml:space="preserve"> </w:t>
            </w:r>
            <w:r w:rsidRPr="00C258AD">
              <w:rPr>
                <w:iCs/>
                <w:sz w:val="16"/>
                <w:szCs w:val="16"/>
              </w:rPr>
              <w:t>à déterminer</w:t>
            </w:r>
          </w:p>
        </w:tc>
        <w:tc>
          <w:tcPr>
            <w:tcW w:w="750" w:type="pct"/>
            <w:tcMar>
              <w:top w:w="110" w:type="dxa"/>
            </w:tcMar>
          </w:tcPr>
          <w:p w:rsidR="003A56B4" w:rsidRPr="00C258AD" w:rsidRDefault="003A56B4" w:rsidP="001A4D6C">
            <w:pPr>
              <w:autoSpaceDE w:val="0"/>
              <w:autoSpaceDN w:val="0"/>
              <w:adjustRightInd w:val="0"/>
              <w:rPr>
                <w:sz w:val="16"/>
                <w:szCs w:val="16"/>
              </w:rPr>
            </w:pPr>
            <w:r w:rsidRPr="00C258AD">
              <w:rPr>
                <w:sz w:val="16"/>
                <w:szCs w:val="16"/>
              </w:rPr>
              <w:t>≥ 70% de visiteurs et de clients en ligne satisfaits</w:t>
            </w:r>
          </w:p>
        </w:tc>
        <w:tc>
          <w:tcPr>
            <w:tcW w:w="1274" w:type="pct"/>
            <w:shd w:val="clear" w:color="auto" w:fill="FFFFFF"/>
            <w:tcMar>
              <w:top w:w="110" w:type="dxa"/>
            </w:tcMar>
          </w:tcPr>
          <w:p w:rsidR="003A56B4" w:rsidRPr="00C258AD" w:rsidRDefault="003A56B4" w:rsidP="001A4D6C">
            <w:pPr>
              <w:rPr>
                <w:sz w:val="16"/>
                <w:szCs w:val="16"/>
              </w:rPr>
            </w:pPr>
            <w:r w:rsidRPr="00C258AD">
              <w:rPr>
                <w:color w:val="000000"/>
                <w:sz w:val="16"/>
                <w:szCs w:val="16"/>
              </w:rPr>
              <w:t>70% des personnes ayant répondu à un questionnaire adressé aux utilisateurs de la bibliothèque se sont déclarés très satisfaits des services (100% satisfaits ou très satisfaits).</w:t>
            </w:r>
          </w:p>
        </w:tc>
        <w:tc>
          <w:tcPr>
            <w:tcW w:w="524" w:type="pct"/>
            <w:tcMar>
              <w:top w:w="110" w:type="dxa"/>
            </w:tcMar>
          </w:tcPr>
          <w:p w:rsidR="003A56B4" w:rsidRPr="00C258AD" w:rsidRDefault="003A56B4" w:rsidP="001A4D6C">
            <w:pPr>
              <w:keepNext/>
              <w:keepLines/>
              <w:jc w:val="center"/>
              <w:rPr>
                <w:color w:val="808080"/>
                <w:sz w:val="16"/>
                <w:szCs w:val="16"/>
              </w:rPr>
            </w:pPr>
            <w:r w:rsidRPr="00C258AD">
              <w:rPr>
                <w:rFonts w:cs="Arial"/>
                <w:b/>
                <w:bCs/>
                <w:color w:val="00B050"/>
                <w:sz w:val="16"/>
                <w:szCs w:val="16"/>
              </w:rPr>
              <w:t>Objectif pleinement atteint</w:t>
            </w:r>
          </w:p>
        </w:tc>
      </w:tr>
      <w:tr w:rsidR="003A56B4" w:rsidRPr="00C258AD" w:rsidTr="001A4D6C">
        <w:trPr>
          <w:cantSplit/>
        </w:trPr>
        <w:tc>
          <w:tcPr>
            <w:tcW w:w="1103" w:type="pct"/>
          </w:tcPr>
          <w:p w:rsidR="003A56B4" w:rsidRPr="00C258AD" w:rsidRDefault="003A56B4" w:rsidP="001A4D6C">
            <w:pPr>
              <w:rPr>
                <w:sz w:val="16"/>
                <w:szCs w:val="16"/>
              </w:rPr>
            </w:pPr>
            <w:r w:rsidRPr="00C258AD">
              <w:rPr>
                <w:sz w:val="16"/>
                <w:szCs w:val="16"/>
              </w:rPr>
              <w:t>Taux de satisfaction des clients et des parties prenantes</w:t>
            </w:r>
          </w:p>
        </w:tc>
        <w:tc>
          <w:tcPr>
            <w:tcW w:w="1349" w:type="pct"/>
            <w:shd w:val="clear" w:color="auto" w:fill="auto"/>
          </w:tcPr>
          <w:p w:rsidR="006E2BB1" w:rsidRPr="00C258AD" w:rsidRDefault="003A56B4" w:rsidP="001A4D6C">
            <w:pPr>
              <w:rPr>
                <w:color w:val="002060"/>
                <w:sz w:val="16"/>
                <w:szCs w:val="16"/>
              </w:rPr>
            </w:pPr>
            <w:r w:rsidRPr="00C258AD">
              <w:rPr>
                <w:i/>
                <w:color w:val="002060"/>
                <w:sz w:val="16"/>
                <w:szCs w:val="16"/>
              </w:rPr>
              <w:t>Niveau de référence actualisé à fin 2013 :</w:t>
            </w:r>
          </w:p>
          <w:p w:rsidR="006E2BB1" w:rsidRPr="00C258AD" w:rsidRDefault="003A56B4" w:rsidP="001A4D6C">
            <w:pPr>
              <w:rPr>
                <w:color w:val="002060"/>
                <w:sz w:val="16"/>
                <w:szCs w:val="16"/>
              </w:rPr>
            </w:pPr>
            <w:r w:rsidRPr="00C258AD">
              <w:rPr>
                <w:color w:val="002060"/>
                <w:sz w:val="16"/>
                <w:szCs w:val="16"/>
              </w:rPr>
              <w:t>84% de clients de Madrid et de La Haye satisfaits ou très satisfaits :</w:t>
            </w:r>
          </w:p>
          <w:p w:rsidR="006E2BB1" w:rsidRPr="00C258AD" w:rsidRDefault="003A56B4" w:rsidP="001A4D6C">
            <w:pPr>
              <w:rPr>
                <w:color w:val="002060"/>
                <w:sz w:val="16"/>
                <w:szCs w:val="16"/>
              </w:rPr>
            </w:pPr>
            <w:r w:rsidRPr="00C258AD">
              <w:rPr>
                <w:color w:val="002060"/>
                <w:sz w:val="16"/>
                <w:szCs w:val="16"/>
              </w:rPr>
              <w:t>Madrid = 80%</w:t>
            </w:r>
          </w:p>
          <w:p w:rsidR="006E2BB1" w:rsidRPr="00C258AD" w:rsidRDefault="003A56B4" w:rsidP="001A4D6C">
            <w:pPr>
              <w:rPr>
                <w:color w:val="002060"/>
                <w:sz w:val="16"/>
                <w:szCs w:val="16"/>
              </w:rPr>
            </w:pPr>
            <w:r w:rsidRPr="00C258AD">
              <w:rPr>
                <w:color w:val="002060"/>
                <w:sz w:val="16"/>
                <w:szCs w:val="16"/>
              </w:rPr>
              <w:t>La Haye = 88%</w:t>
            </w:r>
          </w:p>
          <w:p w:rsidR="006E2BB1" w:rsidRPr="00C258AD" w:rsidRDefault="006E2BB1" w:rsidP="001A4D6C">
            <w:pPr>
              <w:rPr>
                <w:i/>
                <w:sz w:val="16"/>
                <w:szCs w:val="16"/>
              </w:rPr>
            </w:pPr>
          </w:p>
          <w:p w:rsidR="003A56B4" w:rsidRPr="00C258AD" w:rsidRDefault="003A56B4" w:rsidP="001A4D6C">
            <w:pPr>
              <w:rPr>
                <w:sz w:val="16"/>
                <w:szCs w:val="16"/>
              </w:rPr>
            </w:pPr>
            <w:r w:rsidRPr="00C258AD">
              <w:rPr>
                <w:i/>
                <w:color w:val="000000"/>
                <w:sz w:val="16"/>
                <w:szCs w:val="16"/>
              </w:rPr>
              <w:t>Niveau de référence initial dans le programme et budget 2014</w:t>
            </w:r>
            <w:r w:rsidRPr="00C258AD">
              <w:rPr>
                <w:i/>
                <w:color w:val="000000"/>
                <w:sz w:val="16"/>
                <w:szCs w:val="16"/>
              </w:rPr>
              <w:noBreakHyphen/>
              <w:t>2015 :</w:t>
            </w:r>
            <w:r w:rsidRPr="00C258AD">
              <w:rPr>
                <w:color w:val="000000"/>
                <w:sz w:val="16"/>
                <w:szCs w:val="16"/>
              </w:rPr>
              <w:t xml:space="preserve"> résultats de l’enquête de 2012 : 86% des clients de Madrid et de La Haye satisfaits ou très satisfaits</w:t>
            </w:r>
          </w:p>
        </w:tc>
        <w:tc>
          <w:tcPr>
            <w:tcW w:w="750" w:type="pct"/>
            <w:tcMar>
              <w:top w:w="110" w:type="dxa"/>
            </w:tcMar>
          </w:tcPr>
          <w:p w:rsidR="003A56B4" w:rsidRPr="00C258AD" w:rsidRDefault="003A56B4" w:rsidP="001A4D6C">
            <w:pPr>
              <w:ind w:firstLineChars="21" w:firstLine="34"/>
              <w:rPr>
                <w:sz w:val="16"/>
                <w:szCs w:val="16"/>
              </w:rPr>
            </w:pPr>
            <w:r w:rsidRPr="00C258AD">
              <w:rPr>
                <w:sz w:val="16"/>
                <w:szCs w:val="16"/>
              </w:rPr>
              <w:t>≥ 86% de satisfaits ou très satisfaits</w:t>
            </w:r>
          </w:p>
        </w:tc>
        <w:tc>
          <w:tcPr>
            <w:tcW w:w="1274" w:type="pct"/>
            <w:shd w:val="clear" w:color="auto" w:fill="FFFFFF"/>
            <w:tcMar>
              <w:top w:w="110" w:type="dxa"/>
            </w:tcMar>
          </w:tcPr>
          <w:p w:rsidR="006E2BB1" w:rsidRPr="00C258AD" w:rsidRDefault="003A56B4" w:rsidP="001A4D6C">
            <w:pPr>
              <w:ind w:left="32"/>
              <w:rPr>
                <w:color w:val="000000"/>
                <w:sz w:val="16"/>
                <w:szCs w:val="16"/>
              </w:rPr>
            </w:pPr>
            <w:r w:rsidRPr="00C258AD">
              <w:rPr>
                <w:color w:val="000000"/>
                <w:sz w:val="16"/>
                <w:szCs w:val="16"/>
              </w:rPr>
              <w:t>Un total de 85% des clients du PCT et de Madrid se sont déclarés satisfaits ou très satisfaits :</w:t>
            </w:r>
          </w:p>
          <w:p w:rsidR="006E2BB1" w:rsidRPr="00C258AD" w:rsidRDefault="006E2BB1" w:rsidP="001A4D6C">
            <w:pPr>
              <w:ind w:left="32"/>
              <w:rPr>
                <w:color w:val="000000"/>
                <w:sz w:val="16"/>
                <w:szCs w:val="16"/>
              </w:rPr>
            </w:pPr>
          </w:p>
          <w:p w:rsidR="006E2BB1" w:rsidRPr="00C258AD" w:rsidRDefault="003A56B4" w:rsidP="001A4D6C">
            <w:pPr>
              <w:ind w:left="32"/>
              <w:rPr>
                <w:color w:val="000000"/>
                <w:sz w:val="16"/>
                <w:szCs w:val="16"/>
              </w:rPr>
            </w:pPr>
            <w:r w:rsidRPr="00C258AD">
              <w:rPr>
                <w:color w:val="000000"/>
                <w:sz w:val="16"/>
                <w:szCs w:val="16"/>
              </w:rPr>
              <w:t>PCT = 89%</w:t>
            </w:r>
          </w:p>
          <w:p w:rsidR="006E2BB1" w:rsidRPr="00C258AD" w:rsidRDefault="006E2BB1" w:rsidP="001A4D6C">
            <w:pPr>
              <w:ind w:left="32"/>
              <w:rPr>
                <w:color w:val="000000"/>
                <w:sz w:val="16"/>
                <w:szCs w:val="16"/>
              </w:rPr>
            </w:pPr>
          </w:p>
          <w:p w:rsidR="006E2BB1" w:rsidRPr="00C258AD" w:rsidRDefault="006E2BB1" w:rsidP="001A4D6C">
            <w:pPr>
              <w:ind w:left="32"/>
              <w:rPr>
                <w:color w:val="000000"/>
                <w:sz w:val="16"/>
                <w:szCs w:val="16"/>
              </w:rPr>
            </w:pPr>
          </w:p>
          <w:p w:rsidR="006E2BB1" w:rsidRPr="00C258AD" w:rsidRDefault="006E2BB1" w:rsidP="001A4D6C">
            <w:pPr>
              <w:ind w:left="32"/>
              <w:rPr>
                <w:color w:val="000000"/>
                <w:sz w:val="16"/>
                <w:szCs w:val="16"/>
              </w:rPr>
            </w:pPr>
          </w:p>
          <w:p w:rsidR="006E2BB1" w:rsidRPr="00C258AD" w:rsidRDefault="003A56B4" w:rsidP="001A4D6C">
            <w:pPr>
              <w:ind w:left="32"/>
              <w:rPr>
                <w:sz w:val="16"/>
                <w:szCs w:val="16"/>
              </w:rPr>
            </w:pPr>
            <w:r w:rsidRPr="00C258AD">
              <w:rPr>
                <w:color w:val="000000"/>
                <w:sz w:val="16"/>
                <w:szCs w:val="16"/>
              </w:rPr>
              <w:t>Madrid = 81%</w:t>
            </w:r>
          </w:p>
          <w:p w:rsidR="006E2BB1" w:rsidRPr="00C258AD" w:rsidRDefault="006E2BB1" w:rsidP="001A4D6C">
            <w:pPr>
              <w:ind w:left="32"/>
              <w:rPr>
                <w:sz w:val="16"/>
                <w:szCs w:val="16"/>
              </w:rPr>
            </w:pPr>
          </w:p>
          <w:p w:rsidR="006E2BB1" w:rsidRPr="00C258AD" w:rsidRDefault="006E2BB1" w:rsidP="001A4D6C">
            <w:pPr>
              <w:ind w:left="32"/>
              <w:rPr>
                <w:sz w:val="16"/>
                <w:szCs w:val="16"/>
              </w:rPr>
            </w:pPr>
          </w:p>
          <w:p w:rsidR="006E2BB1" w:rsidRPr="00C258AD" w:rsidRDefault="006E2BB1" w:rsidP="001A4D6C">
            <w:pPr>
              <w:ind w:left="32"/>
              <w:rPr>
                <w:sz w:val="16"/>
                <w:szCs w:val="16"/>
              </w:rPr>
            </w:pPr>
          </w:p>
          <w:p w:rsidR="003A56B4" w:rsidRPr="00C258AD" w:rsidRDefault="003A56B4" w:rsidP="001A4D6C">
            <w:pPr>
              <w:ind w:left="32"/>
              <w:rPr>
                <w:sz w:val="16"/>
                <w:szCs w:val="16"/>
              </w:rPr>
            </w:pPr>
            <w:r w:rsidRPr="00C258AD">
              <w:rPr>
                <w:color w:val="000000"/>
                <w:sz w:val="16"/>
                <w:szCs w:val="16"/>
              </w:rPr>
              <w:t>Il n’y a pas eu d’enquête de satisfaction des clients du système de La Haye en 2014</w:t>
            </w:r>
            <w:r w:rsidRPr="00C258AD">
              <w:rPr>
                <w:color w:val="000000"/>
                <w:sz w:val="16"/>
                <w:szCs w:val="16"/>
              </w:rPr>
              <w:noBreakHyphen/>
              <w:t>2015.</w:t>
            </w:r>
          </w:p>
        </w:tc>
        <w:tc>
          <w:tcPr>
            <w:tcW w:w="524" w:type="pct"/>
            <w:tcMar>
              <w:top w:w="110" w:type="dxa"/>
            </w:tcMar>
          </w:tcPr>
          <w:p w:rsidR="006E2BB1" w:rsidRPr="00C258AD" w:rsidRDefault="006E2BB1" w:rsidP="001A4D6C">
            <w:pPr>
              <w:keepNext/>
              <w:keepLines/>
              <w:jc w:val="center"/>
              <w:rPr>
                <w:b/>
                <w:color w:val="00B050"/>
                <w:sz w:val="16"/>
                <w:szCs w:val="16"/>
              </w:rPr>
            </w:pPr>
          </w:p>
          <w:p w:rsidR="006E2BB1" w:rsidRPr="00C258AD" w:rsidRDefault="006E2BB1" w:rsidP="001A4D6C">
            <w:pPr>
              <w:keepNext/>
              <w:keepLines/>
              <w:jc w:val="center"/>
              <w:rPr>
                <w:color w:val="00B050"/>
                <w:sz w:val="16"/>
                <w:szCs w:val="16"/>
              </w:rPr>
            </w:pPr>
          </w:p>
          <w:p w:rsidR="006E2BB1" w:rsidRPr="00C258AD" w:rsidRDefault="006E2BB1" w:rsidP="001A4D6C">
            <w:pPr>
              <w:keepNext/>
              <w:keepLines/>
              <w:jc w:val="center"/>
              <w:rPr>
                <w:color w:val="00B050"/>
                <w:sz w:val="16"/>
                <w:szCs w:val="16"/>
              </w:rPr>
            </w:pPr>
          </w:p>
          <w:p w:rsidR="006E2BB1" w:rsidRPr="00C258AD" w:rsidRDefault="006E2BB1" w:rsidP="001A4D6C">
            <w:pPr>
              <w:keepNext/>
              <w:keepLines/>
              <w:jc w:val="center"/>
              <w:rPr>
                <w:color w:val="00B050"/>
                <w:sz w:val="16"/>
                <w:szCs w:val="16"/>
              </w:rPr>
            </w:pPr>
          </w:p>
          <w:p w:rsidR="006E2BB1" w:rsidRPr="00C258AD" w:rsidRDefault="006E2BB1" w:rsidP="001A4D6C">
            <w:pPr>
              <w:keepNext/>
              <w:keepLines/>
              <w:jc w:val="center"/>
              <w:rPr>
                <w:color w:val="00B050"/>
                <w:sz w:val="16"/>
                <w:szCs w:val="16"/>
              </w:rPr>
            </w:pPr>
          </w:p>
          <w:p w:rsidR="006E2BB1" w:rsidRPr="00C258AD" w:rsidRDefault="003A56B4" w:rsidP="001A4D6C">
            <w:pPr>
              <w:keepNext/>
              <w:keepLines/>
              <w:jc w:val="center"/>
              <w:rPr>
                <w:color w:val="00B050"/>
                <w:sz w:val="16"/>
                <w:szCs w:val="16"/>
              </w:rPr>
            </w:pPr>
            <w:r w:rsidRPr="00C258AD">
              <w:rPr>
                <w:rFonts w:cs="Arial"/>
                <w:b/>
                <w:bCs/>
                <w:color w:val="00B050"/>
                <w:sz w:val="16"/>
                <w:szCs w:val="16"/>
              </w:rPr>
              <w:t>Objectif pleinement atteint</w:t>
            </w:r>
          </w:p>
          <w:p w:rsidR="006E2BB1" w:rsidRPr="00C258AD" w:rsidRDefault="006E2BB1" w:rsidP="001A4D6C">
            <w:pPr>
              <w:keepNext/>
              <w:keepLines/>
              <w:jc w:val="center"/>
              <w:rPr>
                <w:color w:val="00B050"/>
                <w:sz w:val="16"/>
                <w:szCs w:val="16"/>
              </w:rPr>
            </w:pPr>
          </w:p>
          <w:p w:rsidR="006E2BB1" w:rsidRPr="00C258AD" w:rsidRDefault="003A56B4" w:rsidP="001A4D6C">
            <w:pPr>
              <w:keepNext/>
              <w:keepLines/>
              <w:jc w:val="center"/>
              <w:rPr>
                <w:color w:val="00B050"/>
                <w:sz w:val="16"/>
                <w:szCs w:val="16"/>
              </w:rPr>
            </w:pPr>
            <w:r w:rsidRPr="00C258AD">
              <w:rPr>
                <w:rFonts w:cs="Arial"/>
                <w:b/>
                <w:bCs/>
                <w:color w:val="00B050"/>
                <w:sz w:val="16"/>
                <w:szCs w:val="16"/>
              </w:rPr>
              <w:t>Objectif pleinement atteint</w:t>
            </w:r>
          </w:p>
          <w:p w:rsidR="006E2BB1" w:rsidRPr="00C258AD" w:rsidRDefault="006E2BB1" w:rsidP="001A4D6C">
            <w:pPr>
              <w:keepNext/>
              <w:keepLines/>
              <w:jc w:val="center"/>
              <w:rPr>
                <w:color w:val="00B050"/>
                <w:sz w:val="16"/>
                <w:szCs w:val="16"/>
              </w:rPr>
            </w:pPr>
          </w:p>
          <w:p w:rsidR="006E2BB1" w:rsidRPr="00C258AD" w:rsidRDefault="003A56B4" w:rsidP="001A4D6C">
            <w:pPr>
              <w:keepNext/>
              <w:keepLines/>
              <w:jc w:val="center"/>
              <w:rPr>
                <w:color w:val="808080"/>
                <w:sz w:val="16"/>
                <w:szCs w:val="16"/>
              </w:rPr>
            </w:pPr>
            <w:r w:rsidRPr="00C258AD">
              <w:rPr>
                <w:b/>
                <w:bCs/>
                <w:color w:val="808080"/>
                <w:sz w:val="16"/>
                <w:szCs w:val="16"/>
              </w:rPr>
              <w:t>Non évaluable</w:t>
            </w:r>
          </w:p>
          <w:p w:rsidR="003A56B4" w:rsidRPr="00C258AD" w:rsidRDefault="003A56B4" w:rsidP="001A4D6C">
            <w:pPr>
              <w:keepNext/>
              <w:keepLines/>
              <w:jc w:val="center"/>
              <w:rPr>
                <w:color w:val="808080"/>
                <w:sz w:val="16"/>
                <w:szCs w:val="16"/>
              </w:rPr>
            </w:pPr>
          </w:p>
        </w:tc>
      </w:tr>
      <w:tr w:rsidR="003A56B4" w:rsidRPr="00C258AD" w:rsidTr="001A4D6C">
        <w:trPr>
          <w:cantSplit/>
        </w:trPr>
        <w:tc>
          <w:tcPr>
            <w:tcW w:w="1103" w:type="pct"/>
            <w:tcBorders>
              <w:bottom w:val="single" w:sz="4" w:space="0" w:color="auto"/>
            </w:tcBorders>
          </w:tcPr>
          <w:p w:rsidR="003A56B4" w:rsidRPr="00C258AD" w:rsidRDefault="003A56B4" w:rsidP="001A4D6C">
            <w:pPr>
              <w:keepNext/>
              <w:rPr>
                <w:sz w:val="16"/>
                <w:szCs w:val="16"/>
              </w:rPr>
            </w:pPr>
            <w:r w:rsidRPr="00C258AD">
              <w:rPr>
                <w:sz w:val="16"/>
                <w:szCs w:val="16"/>
              </w:rPr>
              <w:t>Objectifs en matière de normes de service définis sur le site Web de l’OMPI</w:t>
            </w:r>
          </w:p>
        </w:tc>
        <w:tc>
          <w:tcPr>
            <w:tcW w:w="1349" w:type="pct"/>
            <w:tcBorders>
              <w:bottom w:val="single" w:sz="4" w:space="0" w:color="auto"/>
            </w:tcBorders>
            <w:shd w:val="clear" w:color="auto" w:fill="auto"/>
          </w:tcPr>
          <w:p w:rsidR="006E2BB1" w:rsidRPr="00C258AD" w:rsidRDefault="003A56B4" w:rsidP="001A4D6C">
            <w:pPr>
              <w:rPr>
                <w:color w:val="002060"/>
                <w:sz w:val="16"/>
                <w:szCs w:val="16"/>
              </w:rPr>
            </w:pPr>
            <w:r w:rsidRPr="00C258AD">
              <w:rPr>
                <w:i/>
                <w:color w:val="002060"/>
                <w:sz w:val="16"/>
                <w:szCs w:val="16"/>
              </w:rPr>
              <w:t xml:space="preserve">Niveau de référence actualisé à fin 2013 : </w:t>
            </w:r>
            <w:r w:rsidRPr="00C258AD">
              <w:rPr>
                <w:color w:val="002060"/>
                <w:sz w:val="16"/>
                <w:szCs w:val="16"/>
              </w:rPr>
              <w:t>pas intégrés au niveau de référence</w:t>
            </w:r>
          </w:p>
          <w:p w:rsidR="006E2BB1" w:rsidRPr="00C258AD" w:rsidRDefault="006E2BB1" w:rsidP="001A4D6C">
            <w:pPr>
              <w:rPr>
                <w:color w:val="002060"/>
                <w:sz w:val="16"/>
                <w:szCs w:val="16"/>
              </w:rPr>
            </w:pPr>
          </w:p>
          <w:p w:rsidR="003A56B4" w:rsidRPr="00C258AD" w:rsidRDefault="003A56B4" w:rsidP="001A4D6C">
            <w:pPr>
              <w:rPr>
                <w:i/>
                <w:color w:val="002060"/>
                <w:sz w:val="16"/>
                <w:szCs w:val="16"/>
              </w:rPr>
            </w:pPr>
            <w:r w:rsidRPr="00C258AD">
              <w:rPr>
                <w:i/>
                <w:color w:val="000000"/>
                <w:sz w:val="16"/>
                <w:szCs w:val="16"/>
              </w:rPr>
              <w:t>Niveau de référence initial dans le programme et budget 2014</w:t>
            </w:r>
            <w:r w:rsidRPr="00C258AD">
              <w:rPr>
                <w:i/>
                <w:color w:val="000000"/>
                <w:sz w:val="16"/>
                <w:szCs w:val="16"/>
              </w:rPr>
              <w:noBreakHyphen/>
              <w:t>2015 :</w:t>
            </w:r>
            <w:r w:rsidRPr="00C258AD">
              <w:rPr>
                <w:color w:val="000000"/>
                <w:sz w:val="16"/>
                <w:szCs w:val="16"/>
              </w:rPr>
              <w:t xml:space="preserve"> à définir pour certains domaines</w:t>
            </w:r>
          </w:p>
        </w:tc>
        <w:tc>
          <w:tcPr>
            <w:tcW w:w="750" w:type="pct"/>
            <w:tcBorders>
              <w:bottom w:val="single" w:sz="4" w:space="0" w:color="auto"/>
            </w:tcBorders>
            <w:tcMar>
              <w:top w:w="110" w:type="dxa"/>
            </w:tcMar>
          </w:tcPr>
          <w:p w:rsidR="006E2BB1" w:rsidRPr="00C258AD" w:rsidRDefault="003A56B4" w:rsidP="001A4D6C">
            <w:pPr>
              <w:autoSpaceDE w:val="0"/>
              <w:autoSpaceDN w:val="0"/>
              <w:adjustRightInd w:val="0"/>
              <w:rPr>
                <w:sz w:val="16"/>
                <w:szCs w:val="16"/>
              </w:rPr>
            </w:pPr>
            <w:r w:rsidRPr="00C258AD">
              <w:rPr>
                <w:i/>
                <w:color w:val="000000"/>
                <w:sz w:val="16"/>
                <w:szCs w:val="16"/>
              </w:rPr>
              <w:t>Objectif défini :</w:t>
            </w:r>
            <w:r w:rsidRPr="00C258AD">
              <w:rPr>
                <w:color w:val="000000"/>
                <w:sz w:val="16"/>
                <w:szCs w:val="16"/>
              </w:rPr>
              <w:t xml:space="preserve"> normes du Centre des services à la clientèle :</w:t>
            </w:r>
          </w:p>
          <w:p w:rsidR="006E2BB1" w:rsidRPr="00C258AD" w:rsidRDefault="003A56B4" w:rsidP="001A4D6C">
            <w:pPr>
              <w:autoSpaceDE w:val="0"/>
              <w:autoSpaceDN w:val="0"/>
              <w:adjustRightInd w:val="0"/>
              <w:rPr>
                <w:sz w:val="16"/>
                <w:szCs w:val="16"/>
              </w:rPr>
            </w:pPr>
            <w:r w:rsidRPr="00C258AD">
              <w:rPr>
                <w:color w:val="000000"/>
                <w:sz w:val="16"/>
                <w:szCs w:val="16"/>
              </w:rPr>
              <w:t>i) 90% de tickets traités dans un délai d’un jour</w:t>
            </w:r>
          </w:p>
          <w:p w:rsidR="006E2BB1" w:rsidRPr="00C258AD" w:rsidRDefault="006E2BB1" w:rsidP="001A4D6C">
            <w:pPr>
              <w:autoSpaceDE w:val="0"/>
              <w:autoSpaceDN w:val="0"/>
              <w:adjustRightInd w:val="0"/>
              <w:rPr>
                <w:sz w:val="16"/>
                <w:szCs w:val="16"/>
              </w:rPr>
            </w:pPr>
          </w:p>
          <w:p w:rsidR="006E2BB1" w:rsidRPr="00C258AD" w:rsidRDefault="003A56B4" w:rsidP="001A4D6C">
            <w:pPr>
              <w:autoSpaceDE w:val="0"/>
              <w:autoSpaceDN w:val="0"/>
              <w:adjustRightInd w:val="0"/>
              <w:rPr>
                <w:sz w:val="16"/>
                <w:szCs w:val="16"/>
              </w:rPr>
            </w:pPr>
            <w:r w:rsidRPr="00C258AD">
              <w:rPr>
                <w:color w:val="000000"/>
                <w:sz w:val="16"/>
                <w:szCs w:val="16"/>
              </w:rPr>
              <w:t>ii) 90% de plaintes traitées dans un délai de huit heures de travail</w:t>
            </w:r>
          </w:p>
          <w:p w:rsidR="006E2BB1" w:rsidRPr="00C258AD" w:rsidRDefault="006E2BB1" w:rsidP="001A4D6C">
            <w:pPr>
              <w:autoSpaceDE w:val="0"/>
              <w:autoSpaceDN w:val="0"/>
              <w:adjustRightInd w:val="0"/>
              <w:rPr>
                <w:sz w:val="16"/>
                <w:szCs w:val="16"/>
              </w:rPr>
            </w:pPr>
          </w:p>
          <w:p w:rsidR="003A56B4" w:rsidRPr="00C258AD" w:rsidRDefault="003A56B4" w:rsidP="001A4D6C">
            <w:pPr>
              <w:autoSpaceDE w:val="0"/>
              <w:autoSpaceDN w:val="0"/>
              <w:adjustRightInd w:val="0"/>
              <w:rPr>
                <w:sz w:val="16"/>
                <w:szCs w:val="16"/>
              </w:rPr>
            </w:pPr>
            <w:r w:rsidRPr="00C258AD">
              <w:rPr>
                <w:i/>
                <w:color w:val="000000"/>
                <w:sz w:val="16"/>
                <w:szCs w:val="16"/>
              </w:rPr>
              <w:t>Objectif initial dans le programme et budget 2014</w:t>
            </w:r>
            <w:r w:rsidRPr="00C258AD">
              <w:rPr>
                <w:i/>
                <w:color w:val="000000"/>
                <w:sz w:val="16"/>
                <w:szCs w:val="16"/>
              </w:rPr>
              <w:noBreakHyphen/>
              <w:t>2015 :</w:t>
            </w:r>
            <w:r w:rsidRPr="00C258AD">
              <w:rPr>
                <w:color w:val="000000"/>
                <w:sz w:val="16"/>
                <w:szCs w:val="16"/>
              </w:rPr>
              <w:t xml:space="preserve"> à définir pour certains domaines</w:t>
            </w:r>
          </w:p>
        </w:tc>
        <w:tc>
          <w:tcPr>
            <w:tcW w:w="1274" w:type="pct"/>
            <w:tcBorders>
              <w:bottom w:val="single" w:sz="4" w:space="0" w:color="auto"/>
            </w:tcBorders>
            <w:shd w:val="clear" w:color="auto" w:fill="FFFFFF"/>
            <w:tcMar>
              <w:top w:w="110" w:type="dxa"/>
            </w:tcMar>
          </w:tcPr>
          <w:p w:rsidR="006E2BB1" w:rsidRPr="00C258AD" w:rsidRDefault="003A56B4" w:rsidP="001A4D6C">
            <w:pPr>
              <w:rPr>
                <w:sz w:val="16"/>
                <w:szCs w:val="16"/>
              </w:rPr>
            </w:pPr>
            <w:r w:rsidRPr="00C258AD">
              <w:rPr>
                <w:sz w:val="16"/>
                <w:szCs w:val="16"/>
              </w:rPr>
              <w:t>i) 92% des tickets traités dans un délai d’un jour</w:t>
            </w:r>
          </w:p>
          <w:p w:rsidR="006E2BB1" w:rsidRPr="00C258AD" w:rsidRDefault="006E2BB1" w:rsidP="001A4D6C">
            <w:pPr>
              <w:rPr>
                <w:sz w:val="16"/>
                <w:szCs w:val="16"/>
              </w:rPr>
            </w:pPr>
          </w:p>
          <w:p w:rsidR="006E2BB1" w:rsidRPr="00C258AD" w:rsidRDefault="006E2BB1" w:rsidP="001A4D6C">
            <w:pPr>
              <w:rPr>
                <w:sz w:val="16"/>
                <w:szCs w:val="16"/>
              </w:rPr>
            </w:pPr>
          </w:p>
          <w:p w:rsidR="003A56B4" w:rsidRPr="00C258AD" w:rsidRDefault="003A56B4" w:rsidP="001A4D6C">
            <w:pPr>
              <w:rPr>
                <w:sz w:val="16"/>
                <w:szCs w:val="16"/>
              </w:rPr>
            </w:pPr>
            <w:r w:rsidRPr="00C258AD">
              <w:rPr>
                <w:color w:val="000000"/>
                <w:sz w:val="16"/>
                <w:szCs w:val="16"/>
              </w:rPr>
              <w:t>ii) 100% des plaintes traitées dans un délai de huit heures de travail.</w:t>
            </w:r>
          </w:p>
        </w:tc>
        <w:tc>
          <w:tcPr>
            <w:tcW w:w="524" w:type="pct"/>
            <w:tcBorders>
              <w:bottom w:val="single" w:sz="4" w:space="0" w:color="auto"/>
            </w:tcBorders>
            <w:tcMar>
              <w:top w:w="110" w:type="dxa"/>
            </w:tcMar>
          </w:tcPr>
          <w:p w:rsidR="006E2BB1" w:rsidRPr="00C258AD" w:rsidRDefault="003A56B4" w:rsidP="001A4D6C">
            <w:pPr>
              <w:keepNext/>
              <w:keepLines/>
              <w:jc w:val="center"/>
              <w:rPr>
                <w:b/>
                <w:color w:val="00B050"/>
                <w:sz w:val="16"/>
                <w:szCs w:val="16"/>
              </w:rPr>
            </w:pPr>
            <w:r w:rsidRPr="00C258AD">
              <w:rPr>
                <w:rFonts w:cs="Arial"/>
                <w:b/>
                <w:bCs/>
                <w:color w:val="00B050"/>
                <w:sz w:val="16"/>
                <w:szCs w:val="16"/>
              </w:rPr>
              <w:t>Objectif pleinement atteint</w:t>
            </w:r>
          </w:p>
          <w:p w:rsidR="006E2BB1" w:rsidRPr="00C258AD" w:rsidRDefault="006E2BB1" w:rsidP="001A4D6C">
            <w:pPr>
              <w:keepNext/>
              <w:keepLines/>
              <w:jc w:val="center"/>
              <w:rPr>
                <w:b/>
                <w:color w:val="00B050"/>
                <w:sz w:val="16"/>
                <w:szCs w:val="16"/>
              </w:rPr>
            </w:pPr>
          </w:p>
          <w:p w:rsidR="003A56B4" w:rsidRPr="00C258AD" w:rsidRDefault="003A56B4" w:rsidP="001A4D6C">
            <w:pPr>
              <w:keepNext/>
              <w:keepLines/>
              <w:jc w:val="center"/>
              <w:rPr>
                <w:b/>
                <w:color w:val="00B050"/>
                <w:sz w:val="16"/>
                <w:szCs w:val="16"/>
              </w:rPr>
            </w:pPr>
            <w:r w:rsidRPr="00C258AD">
              <w:rPr>
                <w:rFonts w:cs="Arial"/>
                <w:b/>
                <w:bCs/>
                <w:color w:val="00B050"/>
                <w:sz w:val="16"/>
                <w:szCs w:val="16"/>
              </w:rPr>
              <w:t>Objectif pleinement atteint</w:t>
            </w:r>
          </w:p>
        </w:tc>
      </w:tr>
    </w:tbl>
    <w:p w:rsidR="006E2BB1" w:rsidRPr="00C258AD" w:rsidRDefault="006E2BB1" w:rsidP="001A4D6C">
      <w:pPr>
        <w:jc w:val="both"/>
        <w:rPr>
          <w:color w:val="000000"/>
          <w:sz w:val="22"/>
          <w:szCs w:val="22"/>
        </w:rPr>
      </w:pPr>
    </w:p>
    <w:p w:rsidR="006E2BB1" w:rsidRPr="00C258AD" w:rsidRDefault="006E2BB1" w:rsidP="001A4D6C">
      <w:pPr>
        <w:jc w:val="both"/>
        <w:rPr>
          <w:color w:val="000000"/>
          <w:sz w:val="22"/>
          <w:szCs w:val="22"/>
        </w:rPr>
      </w:pPr>
    </w:p>
    <w:p w:rsidR="006E2BB1" w:rsidRPr="00C258AD" w:rsidRDefault="003A56B4" w:rsidP="00305CE5">
      <w:pPr>
        <w:keepNext/>
        <w:rPr>
          <w:rFonts w:cs="Arial"/>
          <w:caps/>
          <w:sz w:val="22"/>
          <w:szCs w:val="22"/>
        </w:rPr>
      </w:pPr>
      <w:r w:rsidRPr="00C258AD">
        <w:rPr>
          <w:rFonts w:cs="Arial"/>
          <w:caps/>
          <w:sz w:val="22"/>
          <w:szCs w:val="22"/>
        </w:rPr>
        <w:lastRenderedPageBreak/>
        <w:t>Rapport d’évaluation des risques pour l’exercice biennal</w:t>
      </w:r>
    </w:p>
    <w:p w:rsidR="003A56B4" w:rsidRPr="00C258AD" w:rsidRDefault="003A56B4" w:rsidP="003A56B4">
      <w:pPr>
        <w:keepNext/>
        <w:keepLines/>
        <w:rPr>
          <w:rFonts w:cs="Arial"/>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3A56B4" w:rsidRPr="00C258AD" w:rsidTr="001A4D6C">
        <w:trPr>
          <w:cantSplit/>
        </w:trPr>
        <w:tc>
          <w:tcPr>
            <w:tcW w:w="2372" w:type="dxa"/>
            <w:tcBorders>
              <w:top w:val="single" w:sz="4" w:space="0" w:color="auto"/>
              <w:left w:val="single" w:sz="4" w:space="0" w:color="auto"/>
              <w:bottom w:val="single" w:sz="4" w:space="0" w:color="auto"/>
            </w:tcBorders>
            <w:shd w:val="clear" w:color="auto" w:fill="C5D9F1"/>
            <w:vAlign w:val="center"/>
          </w:tcPr>
          <w:p w:rsidR="003A56B4" w:rsidRPr="00C258AD" w:rsidRDefault="003A56B4" w:rsidP="003A56B4">
            <w:pPr>
              <w:keepNext/>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3A56B4" w:rsidRPr="00C258AD" w:rsidRDefault="003A56B4" w:rsidP="003A56B4">
            <w:pPr>
              <w:keepNext/>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3A56B4" w:rsidRPr="00C258AD" w:rsidRDefault="003A56B4" w:rsidP="003A56B4">
            <w:pPr>
              <w:keepNext/>
              <w:autoSpaceDE w:val="0"/>
              <w:autoSpaceDN w:val="0"/>
              <w:adjustRightInd w:val="0"/>
              <w:ind w:right="-59"/>
              <w:jc w:val="center"/>
              <w:rPr>
                <w:b/>
                <w:bCs/>
                <w:iCs/>
                <w:sz w:val="16"/>
                <w:szCs w:val="16"/>
              </w:rPr>
            </w:pPr>
            <w:r w:rsidRPr="00C258AD">
              <w:rPr>
                <w:b/>
                <w:bCs/>
                <w:iCs/>
                <w:sz w:val="16"/>
                <w:szCs w:val="16"/>
              </w:rPr>
              <w:t>Évolution des risques et des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3A56B4" w:rsidRPr="00C258AD" w:rsidRDefault="003A56B4" w:rsidP="003A56B4">
            <w:pPr>
              <w:keepNext/>
              <w:autoSpaceDE w:val="0"/>
              <w:autoSpaceDN w:val="0"/>
              <w:adjustRightInd w:val="0"/>
              <w:jc w:val="center"/>
              <w:rPr>
                <w:b/>
                <w:bCs/>
                <w:iCs/>
                <w:sz w:val="16"/>
                <w:szCs w:val="16"/>
              </w:rPr>
            </w:pPr>
            <w:r w:rsidRPr="00C258AD">
              <w:rPr>
                <w:b/>
                <w:bCs/>
                <w:iCs/>
                <w:sz w:val="16"/>
                <w:szCs w:val="16"/>
              </w:rPr>
              <w:t>Incidence sur les résultats du programme</w:t>
            </w:r>
          </w:p>
        </w:tc>
      </w:tr>
      <w:tr w:rsidR="003A56B4" w:rsidRPr="00C258AD" w:rsidTr="001A4D6C">
        <w:tblPrEx>
          <w:tblBorders>
            <w:top w:val="single" w:sz="4" w:space="0" w:color="auto"/>
            <w:left w:val="single" w:sz="4" w:space="0" w:color="auto"/>
            <w:bottom w:val="single" w:sz="4" w:space="0" w:color="auto"/>
            <w:right w:val="single" w:sz="4" w:space="0" w:color="auto"/>
          </w:tblBorders>
        </w:tblPrEx>
        <w:trPr>
          <w:cantSplit/>
        </w:trPr>
        <w:tc>
          <w:tcPr>
            <w:tcW w:w="2372" w:type="dxa"/>
            <w:tcBorders>
              <w:top w:val="single" w:sz="4" w:space="0" w:color="auto"/>
            </w:tcBorders>
            <w:shd w:val="clear" w:color="auto" w:fill="auto"/>
            <w:tcMar>
              <w:top w:w="113" w:type="dxa"/>
              <w:bottom w:w="85" w:type="dxa"/>
            </w:tcMar>
          </w:tcPr>
          <w:p w:rsidR="003A56B4" w:rsidRPr="00C258AD" w:rsidRDefault="003A56B4" w:rsidP="001A4D6C">
            <w:pPr>
              <w:keepNext/>
              <w:keepLines/>
              <w:autoSpaceDE w:val="0"/>
              <w:autoSpaceDN w:val="0"/>
              <w:adjustRightInd w:val="0"/>
              <w:ind w:right="-59"/>
              <w:rPr>
                <w:sz w:val="16"/>
                <w:szCs w:val="16"/>
              </w:rPr>
            </w:pPr>
            <w:r w:rsidRPr="00C258AD">
              <w:rPr>
                <w:sz w:val="16"/>
                <w:szCs w:val="16"/>
              </w:rPr>
              <w:t>La prolifération de nouvelles demandes empêche le programme d’atteindre le ciblage et l’impact nécessaires pour produire des communications efficaces.</w:t>
            </w:r>
          </w:p>
        </w:tc>
        <w:tc>
          <w:tcPr>
            <w:tcW w:w="2373" w:type="dxa"/>
            <w:tcBorders>
              <w:top w:val="single" w:sz="4" w:space="0" w:color="auto"/>
            </w:tcBorders>
            <w:shd w:val="clear" w:color="auto" w:fill="auto"/>
            <w:tcMar>
              <w:top w:w="113" w:type="dxa"/>
              <w:bottom w:w="85" w:type="dxa"/>
            </w:tcMar>
          </w:tcPr>
          <w:p w:rsidR="003A56B4" w:rsidRPr="00C258AD" w:rsidRDefault="003A56B4" w:rsidP="001A4D6C">
            <w:pPr>
              <w:keepNext/>
              <w:keepLines/>
              <w:autoSpaceDE w:val="0"/>
              <w:autoSpaceDN w:val="0"/>
              <w:adjustRightInd w:val="0"/>
              <w:ind w:right="-59"/>
              <w:rPr>
                <w:sz w:val="16"/>
                <w:szCs w:val="16"/>
              </w:rPr>
            </w:pPr>
            <w:r w:rsidRPr="00C258AD">
              <w:rPr>
                <w:sz w:val="16"/>
                <w:szCs w:val="16"/>
                <w:lang w:eastAsia="zh-CN"/>
              </w:rPr>
              <w:t xml:space="preserve">Un nombre limité de manifestations, produits et réalisations de l’OMPI seront identifiés chaque année comme priorités principales en termes de promotion et de commercialisation.  </w:t>
            </w:r>
          </w:p>
        </w:tc>
        <w:tc>
          <w:tcPr>
            <w:tcW w:w="2373" w:type="dxa"/>
            <w:tcBorders>
              <w:top w:val="single" w:sz="4" w:space="0" w:color="auto"/>
            </w:tcBorders>
          </w:tcPr>
          <w:p w:rsidR="003A56B4" w:rsidRPr="00C258AD" w:rsidRDefault="003A56B4" w:rsidP="001A4D6C">
            <w:pPr>
              <w:keepNext/>
              <w:keepLines/>
              <w:autoSpaceDE w:val="0"/>
              <w:autoSpaceDN w:val="0"/>
              <w:adjustRightInd w:val="0"/>
              <w:ind w:right="-59"/>
              <w:rPr>
                <w:sz w:val="16"/>
                <w:szCs w:val="16"/>
                <w:lang w:eastAsia="zh-CN"/>
              </w:rPr>
            </w:pPr>
            <w:r w:rsidRPr="00C258AD">
              <w:rPr>
                <w:sz w:val="16"/>
                <w:szCs w:val="16"/>
                <w:lang w:eastAsia="zh-CN"/>
              </w:rPr>
              <w:t>La stratégie d’atténuation a été mise en œuvre efficacement.  Les grands événements mis en avant et appuyés avec succès ont été la Journée mondiale de la propriété intellectuelle, le lancement de l’Indice mondial de l’innovation, le lancement du Rapport sur la propriété intellectuelle dans le monde, les assemblées et la Conférence ministérielle de Dakar.</w:t>
            </w:r>
          </w:p>
        </w:tc>
        <w:tc>
          <w:tcPr>
            <w:tcW w:w="2373" w:type="dxa"/>
            <w:tcBorders>
              <w:top w:val="single" w:sz="4" w:space="0" w:color="auto"/>
            </w:tcBorders>
          </w:tcPr>
          <w:p w:rsidR="003A56B4" w:rsidRPr="00C258AD" w:rsidRDefault="003A56B4" w:rsidP="001A4D6C">
            <w:pPr>
              <w:keepNext/>
              <w:keepLines/>
              <w:autoSpaceDE w:val="0"/>
              <w:autoSpaceDN w:val="0"/>
              <w:adjustRightInd w:val="0"/>
              <w:ind w:right="-59"/>
              <w:rPr>
                <w:sz w:val="16"/>
                <w:szCs w:val="16"/>
                <w:lang w:eastAsia="zh-CN"/>
              </w:rPr>
            </w:pPr>
            <w:r w:rsidRPr="00C258AD">
              <w:rPr>
                <w:sz w:val="16"/>
                <w:szCs w:val="16"/>
                <w:lang w:eastAsia="zh-CN"/>
              </w:rPr>
              <w:t xml:space="preserve">La couverture accrue par les médias et les médias sociaux, ainsi que la fréquentation du </w:t>
            </w:r>
            <w:r w:rsidRPr="00C258AD">
              <w:rPr>
                <w:sz w:val="16"/>
              </w:rPr>
              <w:t>site</w:t>
            </w:r>
            <w:r w:rsidRPr="00C258AD">
              <w:rPr>
                <w:sz w:val="16"/>
                <w:szCs w:val="16"/>
                <w:lang w:eastAsia="zh-CN"/>
              </w:rPr>
              <w:t> </w:t>
            </w:r>
            <w:r w:rsidRPr="00C258AD">
              <w:rPr>
                <w:sz w:val="16"/>
              </w:rPr>
              <w:t>Web</w:t>
            </w:r>
            <w:r w:rsidRPr="00C258AD">
              <w:rPr>
                <w:sz w:val="16"/>
                <w:szCs w:val="16"/>
                <w:lang w:eastAsia="zh-CN"/>
              </w:rPr>
              <w:t xml:space="preserve"> pour les principaux événements, indiquent que les éléments considérés bénéficient de l’attention requise et que l’incidence souhaitée est atteinte.</w:t>
            </w:r>
          </w:p>
        </w:tc>
      </w:tr>
      <w:tr w:rsidR="003A56B4" w:rsidRPr="00C258AD" w:rsidTr="001A4D6C">
        <w:tblPrEx>
          <w:tblBorders>
            <w:top w:val="single" w:sz="4" w:space="0" w:color="auto"/>
            <w:left w:val="single" w:sz="4" w:space="0" w:color="auto"/>
            <w:bottom w:val="single" w:sz="4" w:space="0" w:color="auto"/>
            <w:right w:val="single" w:sz="4" w:space="0" w:color="auto"/>
          </w:tblBorders>
        </w:tblPrEx>
        <w:trPr>
          <w:cantSplit/>
        </w:trPr>
        <w:tc>
          <w:tcPr>
            <w:tcW w:w="2372" w:type="dxa"/>
            <w:shd w:val="clear" w:color="auto" w:fill="auto"/>
            <w:tcMar>
              <w:top w:w="113" w:type="dxa"/>
              <w:bottom w:w="85" w:type="dxa"/>
            </w:tcMar>
          </w:tcPr>
          <w:p w:rsidR="003A56B4" w:rsidRPr="00C258AD" w:rsidRDefault="003A56B4" w:rsidP="001A4D6C">
            <w:pPr>
              <w:keepNext/>
              <w:keepLines/>
              <w:autoSpaceDE w:val="0"/>
              <w:autoSpaceDN w:val="0"/>
              <w:adjustRightInd w:val="0"/>
              <w:ind w:right="-59"/>
              <w:rPr>
                <w:sz w:val="16"/>
                <w:szCs w:val="16"/>
              </w:rPr>
            </w:pPr>
            <w:r w:rsidRPr="00C258AD">
              <w:rPr>
                <w:sz w:val="16"/>
                <w:szCs w:val="16"/>
                <w:lang w:eastAsia="zh-CN"/>
              </w:rPr>
              <w:t xml:space="preserve">L’OMPI n’est pas en mesure de suivre les nouvelles tendances et l’évolution des technologies, et perd ainsi en visibilité et en influence dans le monde des communications numériques.  </w:t>
            </w:r>
          </w:p>
        </w:tc>
        <w:tc>
          <w:tcPr>
            <w:tcW w:w="2373" w:type="dxa"/>
            <w:shd w:val="clear" w:color="auto" w:fill="auto"/>
            <w:tcMar>
              <w:top w:w="113" w:type="dxa"/>
              <w:bottom w:w="85" w:type="dxa"/>
            </w:tcMar>
          </w:tcPr>
          <w:p w:rsidR="003A56B4" w:rsidRPr="00C258AD" w:rsidRDefault="003A56B4" w:rsidP="001A4D6C">
            <w:pPr>
              <w:keepNext/>
              <w:keepLines/>
              <w:autoSpaceDE w:val="0"/>
              <w:autoSpaceDN w:val="0"/>
              <w:adjustRightInd w:val="0"/>
              <w:ind w:right="-59"/>
              <w:rPr>
                <w:sz w:val="16"/>
                <w:szCs w:val="16"/>
              </w:rPr>
            </w:pPr>
            <w:r w:rsidRPr="00C258AD">
              <w:rPr>
                <w:sz w:val="16"/>
                <w:szCs w:val="16"/>
              </w:rPr>
              <w:t>Le personnel chargé de l’application du programme est encouragé en permanence à acquérir de nouvelles compétences et à mettre à jour ses connaissances par la formation et l’autoformation;  des structures souples permettent le partage des nouvelles connaissances et compétences;  il est fait appel à des ressources et à des partenariats extérieurs pour renforcer les capacités internes.</w:t>
            </w:r>
          </w:p>
        </w:tc>
        <w:tc>
          <w:tcPr>
            <w:tcW w:w="2373" w:type="dxa"/>
          </w:tcPr>
          <w:p w:rsidR="003A56B4" w:rsidRPr="00C258AD" w:rsidRDefault="003A56B4" w:rsidP="001A4D6C">
            <w:pPr>
              <w:keepNext/>
              <w:keepLines/>
              <w:autoSpaceDE w:val="0"/>
              <w:autoSpaceDN w:val="0"/>
              <w:adjustRightInd w:val="0"/>
              <w:ind w:right="-59"/>
              <w:rPr>
                <w:sz w:val="16"/>
                <w:szCs w:val="16"/>
                <w:lang w:eastAsia="zh-CN"/>
              </w:rPr>
            </w:pPr>
            <w:r w:rsidRPr="00C258AD">
              <w:rPr>
                <w:sz w:val="16"/>
                <w:szCs w:val="16"/>
                <w:lang w:eastAsia="zh-CN"/>
              </w:rPr>
              <w:t>Les stratégies d’atténuation ont été mises en œuvre efficacement.  La formation sur les compétences numériques portait notamment sur la facilité d’utilisation du Web, l’élaboration du contenu Web, les outils analytiques en ligne et au format HTML.  Nouvelle technologie introduite afin de doter l’OMPI d’une plateforme performante en termes de communication (bulletin d’information électronique) et de marketing.  En outre, la redéfinition des fonctions relatives aux documents imprimés et à certaines tâches de secrétariat, avec un passage à des activités de communication numériques, a contribué à renforcer les capacités</w:t>
            </w:r>
            <w:r w:rsidRPr="00C258AD">
              <w:rPr>
                <w:sz w:val="16"/>
              </w:rPr>
              <w:t xml:space="preserve">. </w:t>
            </w:r>
            <w:r w:rsidRPr="00C258AD">
              <w:rPr>
                <w:sz w:val="16"/>
                <w:szCs w:val="16"/>
                <w:lang w:eastAsia="zh-CN"/>
              </w:rPr>
              <w:t xml:space="preserve"> </w:t>
            </w:r>
          </w:p>
        </w:tc>
        <w:tc>
          <w:tcPr>
            <w:tcW w:w="2373" w:type="dxa"/>
          </w:tcPr>
          <w:p w:rsidR="003A56B4" w:rsidRPr="00C258AD" w:rsidRDefault="003A56B4" w:rsidP="001A4D6C">
            <w:pPr>
              <w:keepNext/>
              <w:keepLines/>
              <w:autoSpaceDE w:val="0"/>
              <w:autoSpaceDN w:val="0"/>
              <w:adjustRightInd w:val="0"/>
              <w:ind w:right="-59"/>
              <w:rPr>
                <w:sz w:val="16"/>
                <w:szCs w:val="16"/>
                <w:lang w:eastAsia="zh-CN"/>
              </w:rPr>
            </w:pPr>
            <w:r w:rsidRPr="00C258AD">
              <w:rPr>
                <w:sz w:val="16"/>
                <w:szCs w:val="16"/>
                <w:lang w:eastAsia="zh-CN"/>
              </w:rPr>
              <w:t>Pas d’incidence majeure sur les résultats du programme, sauf dans le domaine des outils analytiques en ligne pour lesquels la mise en œuvre tardive des nouveaux outils a nui à la capacité du programme d’évaluer certains grands indicateurs d’exécution.</w:t>
            </w:r>
          </w:p>
        </w:tc>
      </w:tr>
    </w:tbl>
    <w:p w:rsidR="006E2BB1" w:rsidRPr="00C258AD" w:rsidRDefault="006E2BB1" w:rsidP="001A4D6C">
      <w:pPr>
        <w:jc w:val="both"/>
        <w:rPr>
          <w:color w:val="000000"/>
          <w:sz w:val="22"/>
          <w:szCs w:val="22"/>
        </w:rPr>
      </w:pPr>
    </w:p>
    <w:p w:rsidR="006E2BB1" w:rsidRPr="00C258AD" w:rsidRDefault="006E2BB1" w:rsidP="001A4D6C">
      <w:pPr>
        <w:jc w:val="both"/>
        <w:rPr>
          <w:color w:val="000000"/>
          <w:sz w:val="22"/>
          <w:szCs w:val="22"/>
        </w:rPr>
      </w:pPr>
    </w:p>
    <w:p w:rsidR="006E2BB1" w:rsidRPr="00C258AD" w:rsidRDefault="003A56B4" w:rsidP="00305CE5">
      <w:pPr>
        <w:keepNext/>
        <w:rPr>
          <w:rFonts w:cs="Arial"/>
          <w:caps/>
          <w:sz w:val="22"/>
          <w:szCs w:val="22"/>
        </w:rPr>
      </w:pPr>
      <w:r w:rsidRPr="00C258AD">
        <w:rPr>
          <w:rFonts w:cs="Arial"/>
          <w:caps/>
          <w:sz w:val="22"/>
          <w:szCs w:val="22"/>
        </w:rPr>
        <w:t>Utilisation des ressources</w:t>
      </w:r>
    </w:p>
    <w:p w:rsidR="006E2BB1" w:rsidRPr="00C258AD" w:rsidRDefault="006E2BB1" w:rsidP="001A4D6C">
      <w:pPr>
        <w:jc w:val="center"/>
      </w:pPr>
    </w:p>
    <w:p w:rsidR="006E2BB1" w:rsidRPr="00C258AD" w:rsidRDefault="003A56B4" w:rsidP="001A4D6C">
      <w:pPr>
        <w:pStyle w:val="NormalWeb"/>
        <w:keepNext/>
        <w:spacing w:before="0" w:beforeAutospacing="0" w:after="0" w:afterAutospacing="0"/>
        <w:jc w:val="center"/>
        <w:rPr>
          <w:sz w:val="20"/>
          <w:szCs w:val="20"/>
        </w:rPr>
      </w:pPr>
      <w:r w:rsidRPr="00C258AD">
        <w:rPr>
          <w:sz w:val="20"/>
          <w:szCs w:val="20"/>
        </w:rPr>
        <w:t>Budget et dépenses effectives (par résultat)</w:t>
      </w:r>
    </w:p>
    <w:p w:rsidR="006E2BB1" w:rsidRPr="00C258AD" w:rsidRDefault="003A56B4" w:rsidP="001A4D6C">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3A56B4" w:rsidRPr="00C258AD" w:rsidRDefault="003A56B4" w:rsidP="001A4D6C">
      <w:pPr>
        <w:keepNext/>
        <w:jc w:val="both"/>
      </w:pPr>
    </w:p>
    <w:tbl>
      <w:tblPr>
        <w:tblW w:w="5000" w:type="pct"/>
        <w:tblCellMar>
          <w:top w:w="113" w:type="dxa"/>
          <w:left w:w="70" w:type="dxa"/>
          <w:bottom w:w="113" w:type="dxa"/>
          <w:right w:w="70" w:type="dxa"/>
        </w:tblCellMar>
        <w:tblLook w:val="04A0" w:firstRow="1" w:lastRow="0" w:firstColumn="1" w:lastColumn="0" w:noHBand="0" w:noVBand="1"/>
      </w:tblPr>
      <w:tblGrid>
        <w:gridCol w:w="683"/>
        <w:gridCol w:w="4546"/>
        <w:gridCol w:w="1422"/>
        <w:gridCol w:w="1422"/>
        <w:gridCol w:w="1422"/>
      </w:tblGrid>
      <w:tr w:rsidR="003A56B4" w:rsidRPr="00C258AD" w:rsidTr="001A4D6C">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3A56B4" w:rsidRPr="00C258AD" w:rsidRDefault="003A56B4" w:rsidP="001A4D6C">
            <w:pPr>
              <w:jc w:val="center"/>
              <w:rPr>
                <w:i/>
                <w:iCs/>
                <w:sz w:val="16"/>
                <w:szCs w:val="16"/>
                <w:lang w:eastAsia="fr-FR"/>
              </w:rPr>
            </w:pPr>
            <w:r w:rsidRPr="00C258AD">
              <w:rPr>
                <w:i/>
                <w:iCs/>
                <w:sz w:val="16"/>
                <w:szCs w:val="16"/>
                <w:lang w:eastAsia="fr-FR"/>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3A56B4" w:rsidRPr="00C258AD" w:rsidRDefault="003A56B4" w:rsidP="001A4D6C">
            <w:pPr>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Pr="00C258AD">
              <w:rPr>
                <w:i/>
                <w:iCs/>
                <w:sz w:val="16"/>
                <w:szCs w:val="16"/>
                <w:lang w:eastAsia="fr-FR"/>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3A56B4" w:rsidRPr="00C258AD" w:rsidRDefault="003A56B4" w:rsidP="001A4D6C">
            <w:pPr>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Pr="00C258AD">
              <w:rPr>
                <w:i/>
                <w:iCs/>
                <w:sz w:val="16"/>
                <w:szCs w:val="16"/>
                <w:lang w:eastAsia="fr-FR"/>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3A56B4" w:rsidRPr="00C258AD" w:rsidRDefault="003A56B4" w:rsidP="001A4D6C">
            <w:pPr>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Pr="00C258AD">
              <w:rPr>
                <w:i/>
                <w:iCs/>
                <w:sz w:val="16"/>
                <w:szCs w:val="16"/>
                <w:lang w:eastAsia="fr-FR"/>
              </w:rPr>
              <w:noBreakHyphen/>
              <w:t>2015</w:t>
            </w:r>
          </w:p>
        </w:tc>
      </w:tr>
      <w:tr w:rsidR="003A56B4" w:rsidRPr="00C258AD" w:rsidTr="001A4D6C">
        <w:trPr>
          <w:cantSplit/>
        </w:trPr>
        <w:tc>
          <w:tcPr>
            <w:tcW w:w="653" w:type="dxa"/>
            <w:tcBorders>
              <w:top w:val="nil"/>
              <w:left w:val="single" w:sz="4" w:space="0" w:color="auto"/>
              <w:bottom w:val="nil"/>
              <w:right w:val="nil"/>
            </w:tcBorders>
            <w:shd w:val="clear" w:color="auto" w:fill="auto"/>
            <w:noWrap/>
            <w:vAlign w:val="center"/>
            <w:hideMark/>
          </w:tcPr>
          <w:p w:rsidR="003A56B4" w:rsidRPr="00C258AD" w:rsidRDefault="003A56B4" w:rsidP="001A4D6C">
            <w:pPr>
              <w:rPr>
                <w:sz w:val="16"/>
                <w:szCs w:val="16"/>
                <w:lang w:eastAsia="fr-FR"/>
              </w:rPr>
            </w:pPr>
            <w:r w:rsidRPr="00C258AD">
              <w:rPr>
                <w:sz w:val="16"/>
                <w:szCs w:val="16"/>
                <w:lang w:eastAsia="fr-FR"/>
              </w:rPr>
              <w:t>VIII.1</w:t>
            </w:r>
          </w:p>
        </w:tc>
        <w:tc>
          <w:tcPr>
            <w:tcW w:w="4347" w:type="dxa"/>
            <w:tcBorders>
              <w:top w:val="nil"/>
              <w:left w:val="nil"/>
              <w:bottom w:val="nil"/>
              <w:right w:val="nil"/>
            </w:tcBorders>
            <w:shd w:val="clear" w:color="auto" w:fill="auto"/>
            <w:vAlign w:val="center"/>
            <w:hideMark/>
          </w:tcPr>
          <w:p w:rsidR="003A56B4" w:rsidRPr="00C258AD" w:rsidRDefault="003A56B4" w:rsidP="001A4D6C">
            <w:pPr>
              <w:rPr>
                <w:sz w:val="16"/>
                <w:szCs w:val="16"/>
                <w:lang w:eastAsia="fr-FR"/>
              </w:rPr>
            </w:pPr>
            <w:r w:rsidRPr="00C258AD">
              <w:rPr>
                <w:sz w:val="16"/>
                <w:szCs w:val="16"/>
                <w:lang w:eastAsia="fr-FR"/>
              </w:rPr>
              <w:t>Communication plus efficace avec le grand public concernant la propriété intellectuelle et le rôle de l’OMPI</w:t>
            </w:r>
          </w:p>
        </w:tc>
        <w:tc>
          <w:tcPr>
            <w:tcW w:w="1360" w:type="dxa"/>
            <w:tcBorders>
              <w:top w:val="nil"/>
              <w:left w:val="nil"/>
              <w:bottom w:val="nil"/>
              <w:right w:val="nil"/>
            </w:tcBorders>
            <w:shd w:val="clear" w:color="auto" w:fill="auto"/>
            <w:vAlign w:val="center"/>
            <w:hideMark/>
          </w:tcPr>
          <w:p w:rsidR="003A56B4" w:rsidRPr="00C258AD" w:rsidRDefault="003A56B4" w:rsidP="001A4D6C">
            <w:pPr>
              <w:jc w:val="right"/>
              <w:rPr>
                <w:sz w:val="16"/>
                <w:szCs w:val="16"/>
                <w:lang w:eastAsia="fr-FR"/>
              </w:rPr>
            </w:pPr>
            <w:r w:rsidRPr="00C258AD">
              <w:rPr>
                <w:sz w:val="16"/>
                <w:szCs w:val="16"/>
                <w:lang w:eastAsia="fr-FR"/>
              </w:rPr>
              <w:t>12 034</w:t>
            </w:r>
          </w:p>
        </w:tc>
        <w:tc>
          <w:tcPr>
            <w:tcW w:w="1360" w:type="dxa"/>
            <w:tcBorders>
              <w:top w:val="nil"/>
              <w:left w:val="nil"/>
              <w:bottom w:val="nil"/>
              <w:right w:val="nil"/>
            </w:tcBorders>
            <w:shd w:val="clear" w:color="auto" w:fill="auto"/>
            <w:vAlign w:val="center"/>
            <w:hideMark/>
          </w:tcPr>
          <w:p w:rsidR="003A56B4" w:rsidRPr="00C258AD" w:rsidRDefault="003A56B4" w:rsidP="001A4D6C">
            <w:pPr>
              <w:jc w:val="right"/>
              <w:rPr>
                <w:sz w:val="16"/>
                <w:szCs w:val="16"/>
                <w:lang w:eastAsia="fr-FR"/>
              </w:rPr>
            </w:pPr>
            <w:r w:rsidRPr="00C258AD">
              <w:rPr>
                <w:sz w:val="16"/>
                <w:szCs w:val="16"/>
                <w:lang w:eastAsia="fr-FR"/>
              </w:rPr>
              <w:t>11 707</w:t>
            </w:r>
          </w:p>
        </w:tc>
        <w:tc>
          <w:tcPr>
            <w:tcW w:w="1360" w:type="dxa"/>
            <w:tcBorders>
              <w:top w:val="nil"/>
              <w:left w:val="nil"/>
              <w:bottom w:val="nil"/>
              <w:right w:val="single" w:sz="4" w:space="0" w:color="auto"/>
            </w:tcBorders>
            <w:shd w:val="clear" w:color="auto" w:fill="auto"/>
            <w:vAlign w:val="center"/>
            <w:hideMark/>
          </w:tcPr>
          <w:p w:rsidR="003A56B4" w:rsidRPr="00C258AD" w:rsidRDefault="003A56B4" w:rsidP="001A4D6C">
            <w:pPr>
              <w:jc w:val="right"/>
              <w:rPr>
                <w:sz w:val="16"/>
                <w:szCs w:val="16"/>
                <w:lang w:eastAsia="fr-FR"/>
              </w:rPr>
            </w:pPr>
            <w:r w:rsidRPr="00C258AD">
              <w:rPr>
                <w:sz w:val="16"/>
                <w:szCs w:val="16"/>
                <w:lang w:eastAsia="fr-FR"/>
              </w:rPr>
              <w:t>11 318</w:t>
            </w:r>
          </w:p>
        </w:tc>
      </w:tr>
      <w:tr w:rsidR="003A56B4" w:rsidRPr="00C258AD" w:rsidTr="001A4D6C">
        <w:trPr>
          <w:cantSplit/>
        </w:trPr>
        <w:tc>
          <w:tcPr>
            <w:tcW w:w="653" w:type="dxa"/>
            <w:tcBorders>
              <w:top w:val="nil"/>
              <w:left w:val="single" w:sz="4" w:space="0" w:color="auto"/>
              <w:bottom w:val="nil"/>
              <w:right w:val="nil"/>
            </w:tcBorders>
            <w:shd w:val="clear" w:color="auto" w:fill="auto"/>
            <w:noWrap/>
            <w:vAlign w:val="center"/>
            <w:hideMark/>
          </w:tcPr>
          <w:p w:rsidR="003A56B4" w:rsidRPr="00C258AD" w:rsidRDefault="003A56B4" w:rsidP="001A4D6C">
            <w:pPr>
              <w:rPr>
                <w:sz w:val="16"/>
                <w:szCs w:val="16"/>
                <w:lang w:eastAsia="fr-FR"/>
              </w:rPr>
            </w:pPr>
            <w:r w:rsidRPr="00C258AD">
              <w:rPr>
                <w:sz w:val="16"/>
                <w:szCs w:val="16"/>
                <w:lang w:eastAsia="fr-FR"/>
              </w:rPr>
              <w:t>VIII.2</w:t>
            </w:r>
          </w:p>
        </w:tc>
        <w:tc>
          <w:tcPr>
            <w:tcW w:w="4347" w:type="dxa"/>
            <w:tcBorders>
              <w:top w:val="nil"/>
              <w:left w:val="nil"/>
              <w:bottom w:val="nil"/>
              <w:right w:val="nil"/>
            </w:tcBorders>
            <w:shd w:val="clear" w:color="auto" w:fill="auto"/>
            <w:vAlign w:val="center"/>
            <w:hideMark/>
          </w:tcPr>
          <w:p w:rsidR="003A56B4" w:rsidRPr="00C258AD" w:rsidRDefault="003A56B4" w:rsidP="001A4D6C">
            <w:pPr>
              <w:rPr>
                <w:sz w:val="16"/>
                <w:szCs w:val="16"/>
                <w:lang w:eastAsia="fr-FR"/>
              </w:rPr>
            </w:pPr>
            <w:r w:rsidRPr="00C258AD">
              <w:rPr>
                <w:sz w:val="16"/>
                <w:szCs w:val="16"/>
                <w:lang w:eastAsia="fr-FR"/>
              </w:rPr>
              <w:t>Amélioration de l’orientation vers les services et de la réactivité à la demande</w:t>
            </w:r>
          </w:p>
        </w:tc>
        <w:tc>
          <w:tcPr>
            <w:tcW w:w="1360" w:type="dxa"/>
            <w:tcBorders>
              <w:top w:val="nil"/>
              <w:left w:val="nil"/>
              <w:bottom w:val="nil"/>
              <w:right w:val="nil"/>
            </w:tcBorders>
            <w:shd w:val="clear" w:color="auto" w:fill="auto"/>
            <w:vAlign w:val="center"/>
            <w:hideMark/>
          </w:tcPr>
          <w:p w:rsidR="003A56B4" w:rsidRPr="00C258AD" w:rsidRDefault="003A56B4" w:rsidP="001A4D6C">
            <w:pPr>
              <w:jc w:val="right"/>
              <w:rPr>
                <w:sz w:val="16"/>
                <w:szCs w:val="16"/>
                <w:lang w:eastAsia="fr-FR"/>
              </w:rPr>
            </w:pPr>
            <w:r w:rsidRPr="00C258AD">
              <w:rPr>
                <w:sz w:val="16"/>
                <w:szCs w:val="16"/>
                <w:lang w:eastAsia="fr-FR"/>
              </w:rPr>
              <w:t>5 223</w:t>
            </w:r>
          </w:p>
        </w:tc>
        <w:tc>
          <w:tcPr>
            <w:tcW w:w="1360" w:type="dxa"/>
            <w:tcBorders>
              <w:top w:val="nil"/>
              <w:left w:val="nil"/>
              <w:bottom w:val="nil"/>
              <w:right w:val="nil"/>
            </w:tcBorders>
            <w:shd w:val="clear" w:color="auto" w:fill="auto"/>
            <w:vAlign w:val="center"/>
            <w:hideMark/>
          </w:tcPr>
          <w:p w:rsidR="003A56B4" w:rsidRPr="00C258AD" w:rsidRDefault="003A56B4" w:rsidP="001A4D6C">
            <w:pPr>
              <w:jc w:val="right"/>
              <w:rPr>
                <w:sz w:val="16"/>
                <w:szCs w:val="16"/>
                <w:lang w:eastAsia="fr-FR"/>
              </w:rPr>
            </w:pPr>
            <w:r w:rsidRPr="00C258AD">
              <w:rPr>
                <w:sz w:val="16"/>
                <w:szCs w:val="16"/>
                <w:lang w:eastAsia="fr-FR"/>
              </w:rPr>
              <w:t>4 798</w:t>
            </w:r>
          </w:p>
        </w:tc>
        <w:tc>
          <w:tcPr>
            <w:tcW w:w="1360" w:type="dxa"/>
            <w:tcBorders>
              <w:top w:val="nil"/>
              <w:left w:val="nil"/>
              <w:bottom w:val="nil"/>
              <w:right w:val="single" w:sz="4" w:space="0" w:color="auto"/>
            </w:tcBorders>
            <w:shd w:val="clear" w:color="auto" w:fill="auto"/>
            <w:vAlign w:val="center"/>
            <w:hideMark/>
          </w:tcPr>
          <w:p w:rsidR="003A56B4" w:rsidRPr="00C258AD" w:rsidRDefault="003A56B4" w:rsidP="001A4D6C">
            <w:pPr>
              <w:jc w:val="right"/>
              <w:rPr>
                <w:sz w:val="16"/>
                <w:szCs w:val="16"/>
                <w:lang w:eastAsia="fr-FR"/>
              </w:rPr>
            </w:pPr>
            <w:r w:rsidRPr="00C258AD">
              <w:rPr>
                <w:sz w:val="16"/>
                <w:szCs w:val="16"/>
                <w:lang w:eastAsia="fr-FR"/>
              </w:rPr>
              <w:t>4 643</w:t>
            </w:r>
          </w:p>
        </w:tc>
      </w:tr>
      <w:tr w:rsidR="003A56B4" w:rsidRPr="00C258AD" w:rsidTr="001A4D6C">
        <w:trPr>
          <w:cantSplit/>
        </w:trPr>
        <w:tc>
          <w:tcPr>
            <w:tcW w:w="653" w:type="dxa"/>
            <w:tcBorders>
              <w:top w:val="single" w:sz="4" w:space="0" w:color="auto"/>
              <w:left w:val="single" w:sz="4" w:space="0" w:color="auto"/>
              <w:bottom w:val="single" w:sz="4" w:space="0" w:color="auto"/>
              <w:right w:val="nil"/>
            </w:tcBorders>
            <w:shd w:val="clear" w:color="auto" w:fill="C5D9F1"/>
            <w:noWrap/>
            <w:vAlign w:val="bottom"/>
            <w:hideMark/>
          </w:tcPr>
          <w:p w:rsidR="003A56B4" w:rsidRPr="00C258AD" w:rsidRDefault="003A56B4" w:rsidP="001A4D6C">
            <w:pPr>
              <w:rPr>
                <w:sz w:val="16"/>
                <w:szCs w:val="16"/>
                <w:lang w:eastAsia="fr-FR"/>
              </w:rPr>
            </w:pPr>
            <w:r w:rsidRPr="00C258AD">
              <w:rPr>
                <w:sz w:val="16"/>
                <w:szCs w:val="16"/>
                <w:lang w:eastAsia="fr-FR"/>
              </w:rPr>
              <w:t> </w:t>
            </w:r>
          </w:p>
        </w:tc>
        <w:tc>
          <w:tcPr>
            <w:tcW w:w="4347" w:type="dxa"/>
            <w:tcBorders>
              <w:top w:val="single" w:sz="4" w:space="0" w:color="auto"/>
              <w:left w:val="nil"/>
              <w:bottom w:val="single" w:sz="4" w:space="0" w:color="auto"/>
              <w:right w:val="single" w:sz="4" w:space="0" w:color="auto"/>
            </w:tcBorders>
            <w:shd w:val="clear" w:color="auto" w:fill="C5D9F1"/>
            <w:noWrap/>
            <w:vAlign w:val="bottom"/>
            <w:hideMark/>
          </w:tcPr>
          <w:p w:rsidR="003A56B4" w:rsidRPr="00C258AD" w:rsidRDefault="003A56B4" w:rsidP="001A4D6C">
            <w:pPr>
              <w:rPr>
                <w:b/>
                <w:bCs/>
                <w:sz w:val="16"/>
                <w:szCs w:val="16"/>
                <w:lang w:eastAsia="fr-FR"/>
              </w:rPr>
            </w:pPr>
            <w:r w:rsidRPr="00C258AD">
              <w:rPr>
                <w:b/>
                <w:bCs/>
                <w:sz w:val="16"/>
                <w:szCs w:val="16"/>
                <w:lang w:eastAsia="fr-FR"/>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3A56B4" w:rsidRPr="00C258AD" w:rsidRDefault="003A56B4" w:rsidP="001A4D6C">
            <w:pPr>
              <w:jc w:val="right"/>
              <w:rPr>
                <w:b/>
                <w:bCs/>
                <w:sz w:val="16"/>
                <w:szCs w:val="16"/>
                <w:lang w:eastAsia="fr-FR"/>
              </w:rPr>
            </w:pPr>
            <w:r w:rsidRPr="00C258AD">
              <w:rPr>
                <w:b/>
                <w:bCs/>
                <w:sz w:val="16"/>
                <w:szCs w:val="16"/>
                <w:lang w:eastAsia="fr-FR"/>
              </w:rPr>
              <w:t>17 257</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3A56B4" w:rsidRPr="00C258AD" w:rsidRDefault="003A56B4" w:rsidP="001A4D6C">
            <w:pPr>
              <w:jc w:val="right"/>
              <w:rPr>
                <w:b/>
                <w:bCs/>
                <w:sz w:val="16"/>
                <w:szCs w:val="16"/>
                <w:lang w:eastAsia="fr-FR"/>
              </w:rPr>
            </w:pPr>
            <w:r w:rsidRPr="00C258AD">
              <w:rPr>
                <w:b/>
                <w:bCs/>
                <w:sz w:val="16"/>
                <w:szCs w:val="16"/>
                <w:lang w:eastAsia="fr-FR"/>
              </w:rPr>
              <w:t>16 506</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3A56B4" w:rsidRPr="00C258AD" w:rsidRDefault="003A56B4" w:rsidP="001A4D6C">
            <w:pPr>
              <w:jc w:val="right"/>
              <w:rPr>
                <w:b/>
                <w:bCs/>
                <w:sz w:val="16"/>
                <w:szCs w:val="16"/>
                <w:lang w:eastAsia="fr-FR"/>
              </w:rPr>
            </w:pPr>
            <w:r w:rsidRPr="00C258AD">
              <w:rPr>
                <w:b/>
                <w:bCs/>
                <w:sz w:val="16"/>
                <w:szCs w:val="16"/>
                <w:lang w:eastAsia="fr-FR"/>
              </w:rPr>
              <w:t>15 961</w:t>
            </w:r>
          </w:p>
        </w:tc>
      </w:tr>
    </w:tbl>
    <w:p w:rsidR="006E2BB1" w:rsidRPr="00C258AD" w:rsidRDefault="006E2BB1" w:rsidP="001A4D6C"/>
    <w:p w:rsidR="006E2BB1" w:rsidRPr="00C258AD" w:rsidRDefault="006E2BB1" w:rsidP="001A4D6C"/>
    <w:p w:rsidR="006E2BB1" w:rsidRPr="00C258AD" w:rsidRDefault="003A56B4" w:rsidP="001A4D6C">
      <w:pPr>
        <w:pStyle w:val="NormalWeb"/>
        <w:keepNext/>
        <w:keepLines/>
        <w:spacing w:before="0" w:beforeAutospacing="0" w:after="0" w:afterAutospacing="0"/>
        <w:jc w:val="center"/>
        <w:rPr>
          <w:sz w:val="20"/>
          <w:szCs w:val="20"/>
        </w:rPr>
      </w:pPr>
      <w:r w:rsidRPr="00C258AD">
        <w:rPr>
          <w:sz w:val="20"/>
          <w:szCs w:val="20"/>
        </w:rPr>
        <w:lastRenderedPageBreak/>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3A56B4" w:rsidP="001A4D6C">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3A56B4" w:rsidRPr="00C258AD" w:rsidRDefault="003A56B4" w:rsidP="001A4D6C">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3A56B4" w:rsidRPr="00C258AD" w:rsidTr="001A4D6C">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3A56B4" w:rsidRPr="00C258AD" w:rsidRDefault="003A56B4" w:rsidP="003A56B4">
            <w:pPr>
              <w:keepNext/>
              <w:rPr>
                <w:color w:val="000000"/>
                <w:sz w:val="16"/>
                <w:szCs w:val="18"/>
                <w:lang w:eastAsia="fr-FR"/>
              </w:rPr>
            </w:pPr>
            <w:r w:rsidRPr="00C258AD">
              <w:rPr>
                <w:color w:val="000000"/>
                <w:sz w:val="16"/>
                <w:szCs w:val="18"/>
                <w:lang w:eastAsia="fr-FR"/>
              </w:rPr>
              <w:t> </w:t>
            </w:r>
          </w:p>
        </w:tc>
        <w:tc>
          <w:tcPr>
            <w:tcW w:w="1745" w:type="dxa"/>
            <w:tcBorders>
              <w:top w:val="single" w:sz="4" w:space="0" w:color="auto"/>
              <w:left w:val="nil"/>
              <w:bottom w:val="nil"/>
              <w:right w:val="single" w:sz="4" w:space="0" w:color="auto"/>
            </w:tcBorders>
            <w:shd w:val="clear" w:color="auto" w:fill="C5D9F1"/>
            <w:vAlign w:val="center"/>
            <w:hideMark/>
          </w:tcPr>
          <w:p w:rsidR="003A56B4" w:rsidRPr="00C258AD" w:rsidRDefault="003A56B4" w:rsidP="003A56B4">
            <w:pPr>
              <w:keepNext/>
              <w:jc w:val="center"/>
              <w:rPr>
                <w:b/>
                <w:bCs/>
                <w:color w:val="000000"/>
                <w:sz w:val="16"/>
                <w:szCs w:val="18"/>
                <w:lang w:eastAsia="fr-FR"/>
              </w:rPr>
            </w:pPr>
            <w:r w:rsidRPr="00C258AD">
              <w:rPr>
                <w:b/>
                <w:bCs/>
                <w:color w:val="000000"/>
                <w:sz w:val="16"/>
                <w:szCs w:val="18"/>
                <w:lang w:eastAsia="fr-FR"/>
              </w:rPr>
              <w:t>Budget 2014</w:t>
            </w:r>
            <w:r w:rsidRPr="00C258AD">
              <w:rPr>
                <w:b/>
                <w:bCs/>
                <w:color w:val="000000"/>
                <w:sz w:val="16"/>
                <w:szCs w:val="18"/>
                <w:lang w:eastAsia="fr-FR"/>
              </w:rPr>
              <w:noBreakHyphen/>
              <w:t>2015 approuvé</w:t>
            </w:r>
          </w:p>
        </w:tc>
        <w:tc>
          <w:tcPr>
            <w:tcW w:w="1746" w:type="dxa"/>
            <w:tcBorders>
              <w:top w:val="single" w:sz="4" w:space="0" w:color="auto"/>
              <w:left w:val="nil"/>
              <w:bottom w:val="nil"/>
              <w:right w:val="single" w:sz="4" w:space="0" w:color="auto"/>
            </w:tcBorders>
            <w:shd w:val="clear" w:color="auto" w:fill="C5D9F1"/>
            <w:vAlign w:val="center"/>
            <w:hideMark/>
          </w:tcPr>
          <w:p w:rsidR="003A56B4" w:rsidRPr="00C258AD" w:rsidRDefault="003A56B4" w:rsidP="003A56B4">
            <w:pPr>
              <w:keepNext/>
              <w:jc w:val="center"/>
              <w:rPr>
                <w:b/>
                <w:bCs/>
                <w:color w:val="000000"/>
                <w:sz w:val="16"/>
                <w:szCs w:val="18"/>
                <w:lang w:eastAsia="fr-FR"/>
              </w:rPr>
            </w:pPr>
            <w:r w:rsidRPr="00C258AD">
              <w:rPr>
                <w:b/>
                <w:bCs/>
                <w:color w:val="000000"/>
                <w:sz w:val="16"/>
                <w:szCs w:val="18"/>
                <w:lang w:eastAsia="fr-FR"/>
              </w:rPr>
              <w:t>Budget final 2014</w:t>
            </w:r>
            <w:r w:rsidRPr="00C258AD">
              <w:rPr>
                <w:b/>
                <w:bCs/>
                <w:color w:val="000000"/>
                <w:sz w:val="16"/>
                <w:szCs w:val="18"/>
                <w:lang w:eastAsia="fr-FR"/>
              </w:rPr>
              <w:noBreakHyphen/>
              <w:t>2015</w:t>
            </w:r>
            <w:r w:rsidRPr="00C258AD">
              <w:rPr>
                <w:b/>
                <w:bCs/>
                <w:color w:val="000000"/>
                <w:sz w:val="16"/>
                <w:szCs w:val="18"/>
                <w:lang w:eastAsia="fr-FR"/>
              </w:rPr>
              <w:br/>
              <w:t>après virements</w:t>
            </w:r>
          </w:p>
        </w:tc>
        <w:tc>
          <w:tcPr>
            <w:tcW w:w="1745" w:type="dxa"/>
            <w:tcBorders>
              <w:top w:val="single" w:sz="4" w:space="0" w:color="auto"/>
              <w:left w:val="nil"/>
              <w:bottom w:val="nil"/>
              <w:right w:val="single" w:sz="4" w:space="0" w:color="auto"/>
            </w:tcBorders>
            <w:shd w:val="clear" w:color="auto" w:fill="C5D9F1"/>
            <w:vAlign w:val="center"/>
            <w:hideMark/>
          </w:tcPr>
          <w:p w:rsidR="003A56B4" w:rsidRPr="00C258AD" w:rsidRDefault="003A56B4" w:rsidP="003A56B4">
            <w:pPr>
              <w:keepNext/>
              <w:jc w:val="center"/>
              <w:rPr>
                <w:b/>
                <w:bCs/>
                <w:color w:val="000000"/>
                <w:sz w:val="16"/>
                <w:szCs w:val="18"/>
                <w:lang w:eastAsia="fr-FR"/>
              </w:rPr>
            </w:pPr>
            <w:r w:rsidRPr="00C258AD">
              <w:rPr>
                <w:b/>
                <w:bCs/>
                <w:color w:val="000000"/>
                <w:sz w:val="16"/>
                <w:szCs w:val="18"/>
                <w:lang w:eastAsia="fr-FR"/>
              </w:rPr>
              <w:t xml:space="preserve">Dépenses </w:t>
            </w:r>
            <w:r w:rsidRPr="00C258AD">
              <w:rPr>
                <w:b/>
                <w:bCs/>
                <w:color w:val="000000"/>
                <w:sz w:val="16"/>
                <w:szCs w:val="18"/>
                <w:lang w:eastAsia="fr-FR"/>
              </w:rPr>
              <w:br/>
              <w:t>2014</w:t>
            </w:r>
            <w:r w:rsidRPr="00C258AD">
              <w:rPr>
                <w:b/>
                <w:bCs/>
                <w:color w:val="000000"/>
                <w:sz w:val="16"/>
                <w:szCs w:val="18"/>
                <w:lang w:eastAsia="fr-FR"/>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3A56B4" w:rsidRPr="00C258AD" w:rsidRDefault="003A56B4" w:rsidP="003A56B4">
            <w:pPr>
              <w:keepNext/>
              <w:jc w:val="center"/>
              <w:rPr>
                <w:b/>
                <w:bCs/>
                <w:color w:val="000000"/>
                <w:sz w:val="16"/>
                <w:szCs w:val="18"/>
                <w:lang w:eastAsia="fr-FR"/>
              </w:rPr>
            </w:pPr>
            <w:r w:rsidRPr="00C258AD">
              <w:rPr>
                <w:b/>
                <w:bCs/>
                <w:color w:val="000000"/>
                <w:sz w:val="16"/>
                <w:szCs w:val="18"/>
                <w:lang w:eastAsia="fr-FR"/>
              </w:rPr>
              <w:t>Taux d’utilisation (%)</w:t>
            </w:r>
          </w:p>
        </w:tc>
      </w:tr>
      <w:tr w:rsidR="003A56B4"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3A56B4" w:rsidRPr="00C258AD" w:rsidRDefault="003A56B4" w:rsidP="001A4D6C">
            <w:pPr>
              <w:rPr>
                <w:color w:val="000000"/>
                <w:sz w:val="16"/>
                <w:szCs w:val="18"/>
                <w:lang w:eastAsia="fr-FR"/>
              </w:rPr>
            </w:pPr>
            <w:r w:rsidRPr="00C258AD">
              <w:rPr>
                <w:color w:val="000000"/>
                <w:sz w:val="16"/>
                <w:szCs w:val="18"/>
                <w:lang w:eastAsia="fr-FR"/>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3A56B4" w:rsidRPr="00C258AD" w:rsidRDefault="003A56B4" w:rsidP="001A4D6C">
            <w:pPr>
              <w:jc w:val="center"/>
              <w:rPr>
                <w:color w:val="000000"/>
                <w:sz w:val="16"/>
                <w:szCs w:val="18"/>
                <w:lang w:eastAsia="fr-FR"/>
              </w:rPr>
            </w:pPr>
            <w:r w:rsidRPr="00C258AD">
              <w:rPr>
                <w:color w:val="000000"/>
                <w:sz w:val="16"/>
                <w:szCs w:val="18"/>
                <w:lang w:eastAsia="fr-FR"/>
              </w:rPr>
              <w:t>14 712</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3A56B4" w:rsidRPr="00C258AD" w:rsidRDefault="003A56B4" w:rsidP="001A4D6C">
            <w:pPr>
              <w:jc w:val="center"/>
              <w:rPr>
                <w:color w:val="000000"/>
                <w:sz w:val="16"/>
                <w:szCs w:val="18"/>
                <w:lang w:eastAsia="fr-FR"/>
              </w:rPr>
            </w:pPr>
            <w:r w:rsidRPr="00C258AD">
              <w:rPr>
                <w:color w:val="000000"/>
                <w:sz w:val="16"/>
                <w:szCs w:val="18"/>
                <w:lang w:eastAsia="fr-FR"/>
              </w:rPr>
              <w:t>13 948</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3A56B4" w:rsidRPr="00C258AD" w:rsidRDefault="003A56B4" w:rsidP="001A4D6C">
            <w:pPr>
              <w:jc w:val="center"/>
              <w:rPr>
                <w:color w:val="000000"/>
                <w:sz w:val="16"/>
                <w:szCs w:val="18"/>
                <w:lang w:eastAsia="fr-FR"/>
              </w:rPr>
            </w:pPr>
            <w:r w:rsidRPr="00C258AD">
              <w:rPr>
                <w:color w:val="000000"/>
                <w:sz w:val="16"/>
                <w:szCs w:val="18"/>
                <w:lang w:eastAsia="fr-FR"/>
              </w:rPr>
              <w:t>13 651</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3A56B4" w:rsidRPr="00C258AD" w:rsidRDefault="003A56B4" w:rsidP="001A4D6C">
            <w:pPr>
              <w:jc w:val="center"/>
              <w:rPr>
                <w:color w:val="000000"/>
                <w:sz w:val="16"/>
                <w:szCs w:val="18"/>
                <w:lang w:eastAsia="fr-FR"/>
              </w:rPr>
            </w:pPr>
            <w:r w:rsidRPr="00C258AD">
              <w:rPr>
                <w:color w:val="000000"/>
                <w:sz w:val="16"/>
                <w:szCs w:val="18"/>
                <w:lang w:eastAsia="fr-FR"/>
              </w:rPr>
              <w:t>98%</w:t>
            </w:r>
          </w:p>
        </w:tc>
      </w:tr>
      <w:tr w:rsidR="003A56B4"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3A56B4" w:rsidRPr="00C258AD" w:rsidRDefault="003A56B4" w:rsidP="001A4D6C">
            <w:pPr>
              <w:rPr>
                <w:color w:val="000000"/>
                <w:sz w:val="16"/>
                <w:szCs w:val="18"/>
                <w:lang w:eastAsia="fr-FR"/>
              </w:rPr>
            </w:pPr>
            <w:r w:rsidRPr="00C258AD">
              <w:rPr>
                <w:color w:val="000000"/>
                <w:sz w:val="16"/>
                <w:szCs w:val="18"/>
                <w:lang w:eastAsia="fr-FR"/>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3A56B4" w:rsidRPr="00C258AD" w:rsidRDefault="003A56B4" w:rsidP="001A4D6C">
            <w:pPr>
              <w:jc w:val="center"/>
              <w:rPr>
                <w:color w:val="000000"/>
                <w:sz w:val="16"/>
                <w:szCs w:val="18"/>
                <w:lang w:eastAsia="fr-FR"/>
              </w:rPr>
            </w:pPr>
            <w:r w:rsidRPr="00C258AD">
              <w:rPr>
                <w:color w:val="000000"/>
                <w:sz w:val="16"/>
                <w:szCs w:val="18"/>
                <w:lang w:eastAsia="fr-FR"/>
              </w:rPr>
              <w:t>2 545</w:t>
            </w:r>
          </w:p>
        </w:tc>
        <w:tc>
          <w:tcPr>
            <w:tcW w:w="1746" w:type="dxa"/>
            <w:tcBorders>
              <w:top w:val="nil"/>
              <w:left w:val="nil"/>
              <w:bottom w:val="single" w:sz="4" w:space="0" w:color="auto"/>
              <w:right w:val="single" w:sz="4" w:space="0" w:color="auto"/>
            </w:tcBorders>
            <w:shd w:val="clear" w:color="auto" w:fill="auto"/>
            <w:vAlign w:val="center"/>
            <w:hideMark/>
          </w:tcPr>
          <w:p w:rsidR="003A56B4" w:rsidRPr="00C258AD" w:rsidRDefault="003A56B4" w:rsidP="001A4D6C">
            <w:pPr>
              <w:jc w:val="center"/>
              <w:rPr>
                <w:color w:val="000000"/>
                <w:sz w:val="16"/>
                <w:szCs w:val="18"/>
                <w:lang w:eastAsia="fr-FR"/>
              </w:rPr>
            </w:pPr>
            <w:r w:rsidRPr="00C258AD">
              <w:rPr>
                <w:color w:val="000000"/>
                <w:sz w:val="16"/>
                <w:szCs w:val="18"/>
                <w:lang w:eastAsia="fr-FR"/>
              </w:rPr>
              <w:t>2 558</w:t>
            </w:r>
          </w:p>
        </w:tc>
        <w:tc>
          <w:tcPr>
            <w:tcW w:w="1745" w:type="dxa"/>
            <w:tcBorders>
              <w:top w:val="nil"/>
              <w:left w:val="nil"/>
              <w:bottom w:val="single" w:sz="4" w:space="0" w:color="auto"/>
              <w:right w:val="single" w:sz="4" w:space="0" w:color="auto"/>
            </w:tcBorders>
            <w:shd w:val="clear" w:color="auto" w:fill="auto"/>
            <w:vAlign w:val="center"/>
            <w:hideMark/>
          </w:tcPr>
          <w:p w:rsidR="003A56B4" w:rsidRPr="00C258AD" w:rsidRDefault="003A56B4" w:rsidP="001A4D6C">
            <w:pPr>
              <w:jc w:val="center"/>
              <w:rPr>
                <w:color w:val="000000"/>
                <w:sz w:val="16"/>
                <w:szCs w:val="18"/>
                <w:lang w:eastAsia="fr-FR"/>
              </w:rPr>
            </w:pPr>
            <w:r w:rsidRPr="00C258AD">
              <w:rPr>
                <w:color w:val="000000"/>
                <w:sz w:val="16"/>
                <w:szCs w:val="18"/>
                <w:lang w:eastAsia="fr-FR"/>
              </w:rPr>
              <w:t>2 310</w:t>
            </w:r>
          </w:p>
        </w:tc>
        <w:tc>
          <w:tcPr>
            <w:tcW w:w="1746" w:type="dxa"/>
            <w:tcBorders>
              <w:top w:val="nil"/>
              <w:left w:val="nil"/>
              <w:bottom w:val="single" w:sz="4" w:space="0" w:color="auto"/>
              <w:right w:val="single" w:sz="4" w:space="0" w:color="auto"/>
            </w:tcBorders>
            <w:shd w:val="clear" w:color="auto" w:fill="auto"/>
            <w:vAlign w:val="center"/>
            <w:hideMark/>
          </w:tcPr>
          <w:p w:rsidR="003A56B4" w:rsidRPr="00C258AD" w:rsidRDefault="003A56B4" w:rsidP="001A4D6C">
            <w:pPr>
              <w:jc w:val="center"/>
              <w:rPr>
                <w:color w:val="000000"/>
                <w:sz w:val="16"/>
                <w:szCs w:val="18"/>
                <w:lang w:eastAsia="fr-FR"/>
              </w:rPr>
            </w:pPr>
            <w:r w:rsidRPr="00C258AD">
              <w:rPr>
                <w:color w:val="000000"/>
                <w:sz w:val="16"/>
                <w:szCs w:val="18"/>
                <w:lang w:eastAsia="fr-FR"/>
              </w:rPr>
              <w:t>90%</w:t>
            </w:r>
          </w:p>
        </w:tc>
      </w:tr>
      <w:tr w:rsidR="003A56B4"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3A56B4" w:rsidRPr="00C258AD" w:rsidRDefault="003A56B4" w:rsidP="001A4D6C">
            <w:pPr>
              <w:jc w:val="right"/>
              <w:rPr>
                <w:b/>
                <w:bCs/>
                <w:color w:val="000000"/>
                <w:sz w:val="16"/>
                <w:szCs w:val="18"/>
                <w:lang w:eastAsia="fr-FR"/>
              </w:rPr>
            </w:pPr>
            <w:r w:rsidRPr="00C258AD">
              <w:rPr>
                <w:b/>
                <w:bCs/>
                <w:color w:val="000000"/>
                <w:sz w:val="16"/>
                <w:szCs w:val="18"/>
                <w:lang w:eastAsia="fr-FR"/>
              </w:rPr>
              <w:t>TOTAL</w:t>
            </w:r>
          </w:p>
        </w:tc>
        <w:tc>
          <w:tcPr>
            <w:tcW w:w="1745" w:type="dxa"/>
            <w:tcBorders>
              <w:top w:val="nil"/>
              <w:left w:val="nil"/>
              <w:bottom w:val="single" w:sz="4" w:space="0" w:color="auto"/>
              <w:right w:val="single" w:sz="4" w:space="0" w:color="auto"/>
            </w:tcBorders>
            <w:shd w:val="clear" w:color="auto" w:fill="auto"/>
            <w:vAlign w:val="center"/>
            <w:hideMark/>
          </w:tcPr>
          <w:p w:rsidR="003A56B4" w:rsidRPr="00C258AD" w:rsidRDefault="003A56B4" w:rsidP="001A4D6C">
            <w:pPr>
              <w:jc w:val="center"/>
              <w:rPr>
                <w:b/>
                <w:bCs/>
                <w:color w:val="000000"/>
                <w:sz w:val="16"/>
                <w:szCs w:val="18"/>
                <w:lang w:eastAsia="fr-FR"/>
              </w:rPr>
            </w:pPr>
            <w:r w:rsidRPr="00C258AD">
              <w:rPr>
                <w:b/>
                <w:bCs/>
                <w:color w:val="000000"/>
                <w:sz w:val="16"/>
                <w:szCs w:val="18"/>
                <w:lang w:eastAsia="fr-FR"/>
              </w:rPr>
              <w:t>17 257</w:t>
            </w:r>
          </w:p>
        </w:tc>
        <w:tc>
          <w:tcPr>
            <w:tcW w:w="1746" w:type="dxa"/>
            <w:tcBorders>
              <w:top w:val="nil"/>
              <w:left w:val="nil"/>
              <w:bottom w:val="single" w:sz="4" w:space="0" w:color="auto"/>
              <w:right w:val="single" w:sz="4" w:space="0" w:color="auto"/>
            </w:tcBorders>
            <w:shd w:val="clear" w:color="auto" w:fill="auto"/>
            <w:vAlign w:val="center"/>
            <w:hideMark/>
          </w:tcPr>
          <w:p w:rsidR="003A56B4" w:rsidRPr="00C258AD" w:rsidRDefault="003A56B4" w:rsidP="001A4D6C">
            <w:pPr>
              <w:jc w:val="center"/>
              <w:rPr>
                <w:b/>
                <w:bCs/>
                <w:color w:val="000000"/>
                <w:sz w:val="16"/>
                <w:szCs w:val="18"/>
                <w:lang w:eastAsia="fr-FR"/>
              </w:rPr>
            </w:pPr>
            <w:r w:rsidRPr="00C258AD">
              <w:rPr>
                <w:b/>
                <w:bCs/>
                <w:color w:val="000000"/>
                <w:sz w:val="16"/>
                <w:szCs w:val="18"/>
                <w:lang w:eastAsia="fr-FR"/>
              </w:rPr>
              <w:t>16 506</w:t>
            </w:r>
          </w:p>
        </w:tc>
        <w:tc>
          <w:tcPr>
            <w:tcW w:w="1745" w:type="dxa"/>
            <w:tcBorders>
              <w:top w:val="nil"/>
              <w:left w:val="nil"/>
              <w:bottom w:val="single" w:sz="4" w:space="0" w:color="auto"/>
              <w:right w:val="single" w:sz="4" w:space="0" w:color="auto"/>
            </w:tcBorders>
            <w:shd w:val="clear" w:color="auto" w:fill="auto"/>
            <w:vAlign w:val="center"/>
            <w:hideMark/>
          </w:tcPr>
          <w:p w:rsidR="003A56B4" w:rsidRPr="00C258AD" w:rsidRDefault="003A56B4" w:rsidP="001A4D6C">
            <w:pPr>
              <w:jc w:val="center"/>
              <w:rPr>
                <w:b/>
                <w:bCs/>
                <w:color w:val="000000"/>
                <w:sz w:val="16"/>
                <w:szCs w:val="18"/>
                <w:lang w:eastAsia="fr-FR"/>
              </w:rPr>
            </w:pPr>
            <w:r w:rsidRPr="00C258AD">
              <w:rPr>
                <w:b/>
                <w:bCs/>
                <w:color w:val="000000"/>
                <w:sz w:val="16"/>
                <w:szCs w:val="18"/>
                <w:lang w:eastAsia="fr-FR"/>
              </w:rPr>
              <w:t>15 961</w:t>
            </w:r>
          </w:p>
        </w:tc>
        <w:tc>
          <w:tcPr>
            <w:tcW w:w="1746" w:type="dxa"/>
            <w:tcBorders>
              <w:top w:val="nil"/>
              <w:left w:val="nil"/>
              <w:bottom w:val="single" w:sz="4" w:space="0" w:color="auto"/>
              <w:right w:val="single" w:sz="4" w:space="0" w:color="auto"/>
            </w:tcBorders>
            <w:shd w:val="clear" w:color="auto" w:fill="auto"/>
            <w:vAlign w:val="center"/>
            <w:hideMark/>
          </w:tcPr>
          <w:p w:rsidR="003A56B4" w:rsidRPr="00C258AD" w:rsidRDefault="003A56B4" w:rsidP="001A4D6C">
            <w:pPr>
              <w:jc w:val="center"/>
              <w:rPr>
                <w:b/>
                <w:bCs/>
                <w:color w:val="000000"/>
                <w:sz w:val="16"/>
                <w:szCs w:val="18"/>
                <w:lang w:eastAsia="fr-FR"/>
              </w:rPr>
            </w:pPr>
            <w:r w:rsidRPr="00C258AD">
              <w:rPr>
                <w:b/>
                <w:bCs/>
                <w:color w:val="000000"/>
                <w:sz w:val="16"/>
                <w:szCs w:val="18"/>
                <w:lang w:eastAsia="fr-FR"/>
              </w:rPr>
              <w:t>97%</w:t>
            </w:r>
          </w:p>
        </w:tc>
      </w:tr>
    </w:tbl>
    <w:p w:rsidR="006E2BB1" w:rsidRPr="00C258AD" w:rsidRDefault="006E2BB1" w:rsidP="001A4D6C">
      <w:pPr>
        <w:widowControl w:val="0"/>
        <w:autoSpaceDE w:val="0"/>
        <w:autoSpaceDN w:val="0"/>
        <w:adjustRightInd w:val="0"/>
        <w:jc w:val="both"/>
      </w:pPr>
    </w:p>
    <w:p w:rsidR="006E2BB1" w:rsidRPr="00C258AD" w:rsidRDefault="006E2BB1" w:rsidP="001A4D6C">
      <w:pPr>
        <w:widowControl w:val="0"/>
        <w:autoSpaceDE w:val="0"/>
        <w:autoSpaceDN w:val="0"/>
        <w:adjustRightInd w:val="0"/>
        <w:jc w:val="both"/>
      </w:pPr>
    </w:p>
    <w:p w:rsidR="006E2BB1" w:rsidRPr="00C258AD" w:rsidRDefault="003A56B4" w:rsidP="001A4D6C">
      <w:pPr>
        <w:rPr>
          <w:u w:val="single"/>
        </w:rPr>
      </w:pPr>
      <w:r w:rsidRPr="00C258AD">
        <w:t>A.</w:t>
      </w:r>
      <w:r w:rsidRPr="00C258AD">
        <w:tab/>
      </w:r>
      <w:r w:rsidRPr="00C258AD">
        <w:rPr>
          <w:u w:val="single"/>
        </w:rPr>
        <w:t>Budget final 2014</w:t>
      </w:r>
      <w:r w:rsidRPr="00C258AD">
        <w:rPr>
          <w:u w:val="single"/>
        </w:rPr>
        <w:noBreakHyphen/>
        <w:t>2015 après virements</w:t>
      </w:r>
    </w:p>
    <w:p w:rsidR="006E2BB1" w:rsidRPr="00C258AD" w:rsidRDefault="006E2BB1" w:rsidP="001A4D6C">
      <w:pPr>
        <w:autoSpaceDE w:val="0"/>
        <w:autoSpaceDN w:val="0"/>
        <w:jc w:val="both"/>
        <w:rPr>
          <w:lang w:eastAsia="ko-KR"/>
        </w:rPr>
      </w:pPr>
    </w:p>
    <w:p w:rsidR="006E2BB1" w:rsidRPr="00C258AD" w:rsidRDefault="003A56B4" w:rsidP="003A56B4">
      <w:pPr>
        <w:pStyle w:val="ListParagraph"/>
        <w:numPr>
          <w:ilvl w:val="0"/>
          <w:numId w:val="55"/>
        </w:numPr>
        <w:tabs>
          <w:tab w:val="left" w:pos="709"/>
        </w:tabs>
        <w:ind w:left="0" w:firstLine="0"/>
        <w:jc w:val="both"/>
        <w:rPr>
          <w:lang w:eastAsia="ko-KR"/>
        </w:rPr>
      </w:pPr>
      <w:r w:rsidRPr="00C258AD">
        <w:rPr>
          <w:lang w:eastAsia="ko-KR"/>
        </w:rPr>
        <w:t>La diminution dans le budget final 2014</w:t>
      </w:r>
      <w:r w:rsidRPr="00C258AD">
        <w:rPr>
          <w:lang w:eastAsia="ko-KR"/>
        </w:rPr>
        <w:noBreakHyphen/>
        <w:t xml:space="preserve">2015 après virements était principalement due : i) au transfert du Centre d’information de l’OMPI au programme 21 (Direction générale) au cours du second semestre de 2014;  ii) au transfert de ressources de personnel pour appuyer l’augmentation de la charge de travail du système de La Haye depuis l’adhésion de pays supplémentaires à l’Acte de Genève (1999) de l’Arrangement de La Haye;  et </w:t>
      </w:r>
      <w:r w:rsidRPr="00C258AD">
        <w:rPr>
          <w:color w:val="000000"/>
          <w:lang w:eastAsia="ko-KR"/>
        </w:rPr>
        <w:t>au transfert de ressources autres que des ressources de personnel pour un stagiaire (au programme 23 qui centralise la gestion des stagiaires) afin de faciliter les travaux relatifs au Magazine de l’OMPI et de fournir une aide pour les préparatifs de la Journée mondiale de la propriété intellectuelle 2015.</w:t>
      </w:r>
    </w:p>
    <w:p w:rsidR="006E2BB1" w:rsidRPr="00C258AD" w:rsidRDefault="006E2BB1" w:rsidP="001A4D6C">
      <w:pPr>
        <w:autoSpaceDE w:val="0"/>
        <w:autoSpaceDN w:val="0"/>
        <w:jc w:val="both"/>
        <w:rPr>
          <w:lang w:eastAsia="ko-KR"/>
        </w:rPr>
      </w:pPr>
    </w:p>
    <w:p w:rsidR="006E2BB1" w:rsidRPr="00C258AD" w:rsidRDefault="006E2BB1" w:rsidP="001A4D6C">
      <w:pPr>
        <w:autoSpaceDE w:val="0"/>
        <w:autoSpaceDN w:val="0"/>
        <w:jc w:val="both"/>
        <w:rPr>
          <w:lang w:eastAsia="ko-KR"/>
        </w:rPr>
      </w:pPr>
    </w:p>
    <w:p w:rsidR="006E2BB1" w:rsidRPr="00C258AD" w:rsidRDefault="003A56B4" w:rsidP="001A4D6C">
      <w:pPr>
        <w:jc w:val="both"/>
        <w:rPr>
          <w:u w:val="single"/>
          <w:lang w:eastAsia="ko-KR"/>
        </w:rPr>
      </w:pPr>
      <w:r w:rsidRPr="00C258AD">
        <w:rPr>
          <w:lang w:eastAsia="ko-KR"/>
        </w:rPr>
        <w:t>B.</w:t>
      </w:r>
      <w:r w:rsidRPr="00C258AD">
        <w:rPr>
          <w:lang w:eastAsia="ko-KR"/>
        </w:rPr>
        <w:tab/>
      </w:r>
      <w:r w:rsidRPr="00C258AD">
        <w:rPr>
          <w:u w:val="single"/>
          <w:lang w:eastAsia="ko-KR"/>
        </w:rPr>
        <w:t>Utilisation du budget en 2014</w:t>
      </w:r>
      <w:r w:rsidR="00AA7A91">
        <w:rPr>
          <w:u w:val="single"/>
          <w:lang w:eastAsia="ko-KR"/>
        </w:rPr>
        <w:noBreakHyphen/>
        <w:t>2015</w:t>
      </w:r>
    </w:p>
    <w:p w:rsidR="006E2BB1" w:rsidRPr="00C258AD" w:rsidRDefault="006E2BB1" w:rsidP="001A4D6C">
      <w:pPr>
        <w:tabs>
          <w:tab w:val="left" w:pos="709"/>
        </w:tabs>
        <w:jc w:val="both"/>
        <w:rPr>
          <w:u w:val="single"/>
          <w:lang w:eastAsia="ko-KR"/>
        </w:rPr>
      </w:pPr>
    </w:p>
    <w:p w:rsidR="006E2BB1" w:rsidRPr="00C258AD" w:rsidRDefault="003A56B4" w:rsidP="003A56B4">
      <w:pPr>
        <w:pStyle w:val="ListParagraph"/>
        <w:numPr>
          <w:ilvl w:val="0"/>
          <w:numId w:val="55"/>
        </w:numPr>
        <w:tabs>
          <w:tab w:val="left" w:pos="709"/>
        </w:tabs>
        <w:ind w:left="0" w:firstLine="0"/>
        <w:jc w:val="both"/>
        <w:rPr>
          <w:b/>
          <w:lang w:eastAsia="ko-KR"/>
        </w:rPr>
      </w:pPr>
      <w:r w:rsidRPr="00C258AD">
        <w:rPr>
          <w:lang w:eastAsia="ko-KR"/>
        </w:rPr>
        <w:t xml:space="preserve">La légère baisse des dépenses de personnel, par rapport aux prévisions, était principalement due au départ en retraite de certains fonctionnaires et au retard pris pour pourvoir les postes vacants.  La légère baisse des autres dépenses, par rapport aux prévisions, était principalement due au report d’une enquête auprès des utilisateurs du système de La Haye et au report partiel, jusqu’au prochain exercice biennal, de deux projets informatiques (base de données de contacts </w:t>
      </w:r>
      <w:proofErr w:type="spellStart"/>
      <w:r w:rsidRPr="00C258AD">
        <w:rPr>
          <w:lang w:eastAsia="ko-KR"/>
        </w:rPr>
        <w:t>PROdest</w:t>
      </w:r>
      <w:proofErr w:type="spellEnd"/>
      <w:r w:rsidRPr="00C258AD">
        <w:rPr>
          <w:lang w:eastAsia="ko-KR"/>
        </w:rPr>
        <w:t xml:space="preserve"> et </w:t>
      </w:r>
      <w:r w:rsidRPr="00C258AD">
        <w:rPr>
          <w:rStyle w:val="st1"/>
          <w:rFonts w:cs="Arial"/>
        </w:rPr>
        <w:t xml:space="preserve">dispositif de </w:t>
      </w:r>
      <w:r w:rsidRPr="00C258AD">
        <w:rPr>
          <w:rStyle w:val="Emphasis"/>
          <w:b w:val="0"/>
        </w:rPr>
        <w:t>distribution automatique des appels</w:t>
      </w:r>
      <w:r w:rsidRPr="00C258AD">
        <w:rPr>
          <w:b/>
          <w:lang w:eastAsia="ko-KR"/>
        </w:rPr>
        <w:t>).</w:t>
      </w:r>
    </w:p>
    <w:p w:rsidR="006E2BB1" w:rsidRPr="00C258AD" w:rsidRDefault="006E2BB1" w:rsidP="00305CE5">
      <w:pPr>
        <w:pStyle w:val="Heading3"/>
        <w:rPr>
          <w:lang w:eastAsia="ko-KR"/>
        </w:rPr>
      </w:pPr>
    </w:p>
    <w:p w:rsidR="006E2BB1" w:rsidRPr="00C258AD" w:rsidRDefault="005A1C92">
      <w:pPr>
        <w:spacing w:after="200" w:line="276" w:lineRule="auto"/>
        <w:rPr>
          <w:rFonts w:cs="Arial"/>
          <w:b/>
          <w:bCs/>
          <w:iCs/>
          <w:caps/>
          <w:sz w:val="22"/>
          <w:szCs w:val="28"/>
          <w:lang w:eastAsia="ko-KR"/>
        </w:rPr>
      </w:pPr>
      <w:r w:rsidRPr="00C258AD">
        <w:rPr>
          <w:lang w:eastAsia="ko-KR"/>
        </w:rPr>
        <w:br w:type="page"/>
      </w:r>
    </w:p>
    <w:p w:rsidR="00C258AD" w:rsidRPr="00C258AD" w:rsidRDefault="00C258AD" w:rsidP="00927E1F">
      <w:pPr>
        <w:pStyle w:val="Heading3"/>
      </w:pPr>
      <w:bookmarkStart w:id="145" w:name="_Toc422404245"/>
      <w:bookmarkStart w:id="146" w:name="_Toc423352893"/>
      <w:bookmarkStart w:id="147" w:name="_Toc455394206"/>
      <w:r w:rsidRPr="00C258AD">
        <w:lastRenderedPageBreak/>
        <w:t>Programme 20</w:t>
      </w:r>
      <w:bookmarkEnd w:id="145"/>
      <w:r w:rsidRPr="00C258AD">
        <w:tab/>
        <w:t>Relations extérieures, partenariats et bureaux extérieurs</w:t>
      </w:r>
      <w:bookmarkEnd w:id="146"/>
      <w:bookmarkEnd w:id="147"/>
    </w:p>
    <w:p w:rsidR="00C258AD" w:rsidRPr="00C258AD" w:rsidRDefault="00C258AD" w:rsidP="00927E1F"/>
    <w:p w:rsidR="00C258AD" w:rsidRPr="00C258AD" w:rsidRDefault="00C258AD" w:rsidP="007E6877">
      <w:pPr>
        <w:tabs>
          <w:tab w:val="left" w:pos="2268"/>
        </w:tabs>
        <w:rPr>
          <w:b/>
        </w:rPr>
      </w:pPr>
      <w:r w:rsidRPr="00C258AD">
        <w:rPr>
          <w:b/>
        </w:rPr>
        <w:t xml:space="preserve">Chef de programme </w:t>
      </w:r>
      <w:r w:rsidRPr="00C258AD">
        <w:rPr>
          <w:b/>
        </w:rPr>
        <w:tab/>
        <w:t>Directeur général</w:t>
      </w:r>
    </w:p>
    <w:p w:rsidR="00C258AD" w:rsidRPr="006B4497" w:rsidRDefault="00C258AD" w:rsidP="007E6877">
      <w:pPr>
        <w:ind w:left="2268"/>
        <w:rPr>
          <w:b/>
          <w:lang w:val="fr-CH"/>
        </w:rPr>
      </w:pPr>
      <w:r w:rsidRPr="00C258AD">
        <w:rPr>
          <w:b/>
        </w:rPr>
        <w:t>M. M. </w:t>
      </w:r>
      <w:r w:rsidRPr="006B4497">
        <w:rPr>
          <w:b/>
          <w:lang w:val="fr-CH"/>
        </w:rPr>
        <w:t>A</w:t>
      </w:r>
      <w:r w:rsidRPr="00C258AD">
        <w:rPr>
          <w:b/>
        </w:rPr>
        <w:t>. </w:t>
      </w:r>
      <w:r w:rsidRPr="006B4497">
        <w:rPr>
          <w:b/>
          <w:lang w:val="fr-CH"/>
        </w:rPr>
        <w:t>Getahun</w:t>
      </w:r>
    </w:p>
    <w:p w:rsidR="00C258AD" w:rsidRPr="006B4497" w:rsidRDefault="00C258AD" w:rsidP="007E6877">
      <w:pPr>
        <w:ind w:left="2268"/>
        <w:rPr>
          <w:b/>
          <w:lang w:val="fr-CH"/>
        </w:rPr>
      </w:pPr>
      <w:r w:rsidRPr="006B4497">
        <w:rPr>
          <w:b/>
          <w:lang w:val="fr-CH"/>
        </w:rPr>
        <w:t>M. Y. Takagi</w:t>
      </w:r>
    </w:p>
    <w:p w:rsidR="00C258AD" w:rsidRPr="00C258AD" w:rsidRDefault="00C258AD" w:rsidP="007E6877">
      <w:pPr>
        <w:ind w:left="2268"/>
        <w:rPr>
          <w:b/>
        </w:rPr>
      </w:pPr>
      <w:r w:rsidRPr="00C258AD">
        <w:rPr>
          <w:b/>
        </w:rPr>
        <w:t>Mme B. Wang</w:t>
      </w:r>
    </w:p>
    <w:p w:rsidR="00C258AD" w:rsidRPr="00C258AD" w:rsidRDefault="00C258AD" w:rsidP="00927E1F"/>
    <w:p w:rsidR="00C258AD" w:rsidRPr="00C258AD" w:rsidRDefault="00C258AD" w:rsidP="00927E1F"/>
    <w:p w:rsidR="00C258AD" w:rsidRPr="00C258AD" w:rsidRDefault="00C258AD" w:rsidP="00927E1F">
      <w:pPr>
        <w:keepNext/>
        <w:rPr>
          <w:caps/>
          <w:sz w:val="22"/>
          <w:szCs w:val="22"/>
        </w:rPr>
      </w:pPr>
      <w:r w:rsidRPr="00C258AD">
        <w:rPr>
          <w:caps/>
          <w:sz w:val="22"/>
          <w:szCs w:val="22"/>
        </w:rPr>
        <w:t>Réalisations au cours de l’exercice biennal 2014</w:t>
      </w:r>
      <w:r w:rsidRPr="00C258AD">
        <w:rPr>
          <w:caps/>
          <w:sz w:val="22"/>
          <w:szCs w:val="22"/>
        </w:rPr>
        <w:noBreakHyphen/>
        <w:t>2015</w:t>
      </w:r>
    </w:p>
    <w:p w:rsidR="00C258AD" w:rsidRPr="00C258AD" w:rsidRDefault="00C258AD" w:rsidP="00927E1F">
      <w:pPr>
        <w:jc w:val="both"/>
        <w:rPr>
          <w:bCs/>
        </w:rPr>
      </w:pPr>
    </w:p>
    <w:p w:rsidR="00C258AD" w:rsidRPr="00C258AD" w:rsidRDefault="00C258AD" w:rsidP="00927E1F">
      <w:pPr>
        <w:jc w:val="both"/>
        <w:rPr>
          <w:bCs/>
        </w:rPr>
      </w:pPr>
      <w:r w:rsidRPr="00C258AD">
        <w:t>RELATIONS EXTÉRIEURES ET PARTENARIATS (M. M. A. Getahun)</w:t>
      </w:r>
    </w:p>
    <w:p w:rsidR="00C258AD" w:rsidRPr="00C258AD" w:rsidRDefault="00C258AD" w:rsidP="00927E1F">
      <w:pPr>
        <w:jc w:val="both"/>
      </w:pPr>
    </w:p>
    <w:p w:rsidR="00C258AD" w:rsidRPr="00C258AD" w:rsidRDefault="00C258AD" w:rsidP="00DF2EEF">
      <w:pPr>
        <w:pStyle w:val="ListParagraph"/>
        <w:numPr>
          <w:ilvl w:val="0"/>
          <w:numId w:val="107"/>
        </w:numPr>
        <w:tabs>
          <w:tab w:val="left" w:pos="709"/>
        </w:tabs>
        <w:ind w:left="0" w:firstLine="0"/>
        <w:contextualSpacing/>
        <w:jc w:val="both"/>
      </w:pPr>
      <w:r w:rsidRPr="00C258AD">
        <w:t>Au cours de l’exercice biennal 2014</w:t>
      </w:r>
      <w:r w:rsidRPr="00C258AD">
        <w:noBreakHyphen/>
        <w:t xml:space="preserve">2015, l’Organisation des Nations Unies et ses États membres ont conclu un certain nombre de processus de négociations particulièrement importants pour le travail de l’OMPI.  Parmi eux, l’adoption du </w:t>
      </w:r>
      <w:r w:rsidRPr="00C258AD">
        <w:rPr>
          <w:rFonts w:eastAsia="SimSun"/>
          <w:lang w:eastAsia="zh-CN"/>
        </w:rPr>
        <w:t xml:space="preserve">Programme </w:t>
      </w:r>
      <w:r w:rsidRPr="00C258AD">
        <w:t>d’action d’Addis</w:t>
      </w:r>
      <w:r w:rsidRPr="00C258AD">
        <w:noBreakHyphen/>
        <w:t>Abeba à l’occasion de la troisième Conférence internationale sur le financement du développement, l’adoption de la résolution “Transformer notre monde : le Programme de développement durable à l’horizon 2030” et l’adoption de l’Accord de Paris au titre de la Convention</w:t>
      </w:r>
      <w:r w:rsidRPr="00C258AD">
        <w:noBreakHyphen/>
        <w:t>cadre des Nations Unies sur les changements climatiques (CCNUCC).  En qualité d’organisme spécialisé des Nations Unies, et conformément à son mandat et aux recommandations n</w:t>
      </w:r>
      <w:r w:rsidRPr="00C258AD">
        <w:rPr>
          <w:vertAlign w:val="superscript"/>
        </w:rPr>
        <w:t>os</w:t>
      </w:r>
      <w:r w:rsidRPr="00C258AD">
        <w:t xml:space="preserve"> 30 et 40 du Plan d’action pour le développement, l’OMPI a continué de jouer son rôle en soutenant ces processus à travers son engagement stratégique, son apport d’informations objectives et empiriques, ainsi que sa fourniture de réponses en temps voulu aux demandes particulières de contributions et de coopération.  En 2014</w:t>
      </w:r>
      <w:r w:rsidRPr="00C258AD">
        <w:noBreakHyphen/>
        <w:t>2015, le programme 20, conduit par le bureau de coordination de l’OMPI à New York, a entrepris notamment les processus suivants :</w:t>
      </w:r>
    </w:p>
    <w:p w:rsidR="00C258AD" w:rsidRPr="00C258AD" w:rsidRDefault="00C258AD" w:rsidP="00927E1F">
      <w:pPr>
        <w:jc w:val="both"/>
      </w:pPr>
    </w:p>
    <w:p w:rsidR="00C258AD" w:rsidRPr="00C258AD" w:rsidRDefault="00C258AD" w:rsidP="00DF2EEF">
      <w:pPr>
        <w:pStyle w:val="ListParagraph"/>
        <w:numPr>
          <w:ilvl w:val="0"/>
          <w:numId w:val="105"/>
        </w:numPr>
        <w:contextualSpacing/>
        <w:jc w:val="both"/>
      </w:pPr>
      <w:r w:rsidRPr="00C258AD">
        <w:t xml:space="preserve">Contributions à la mise en œuvre des résultats du </w:t>
      </w:r>
      <w:r w:rsidRPr="00C258AD">
        <w:rPr>
          <w:rFonts w:eastAsia="SimSun"/>
          <w:lang w:eastAsia="zh-CN"/>
        </w:rPr>
        <w:t xml:space="preserve">Sommet mondial sur </w:t>
      </w:r>
      <w:r w:rsidRPr="00C258AD">
        <w:t xml:space="preserve">la société de l’information (SMSI) et à l’examen décennal de la mise en œuvre des résultats du SMSI en réponse à la résolution 2013/9 du Conseil économique et social (ECOSOC) ainsi qu’à l’appui pour la recommandation n° 24 du Plan d’action pour le développement.  L’OMPI a également pris une part active aux manifestations de haut niveau du SMSI+10 qui se sont déroulées en 2014 et 2015, au cours desquelles le Directeur général s’est exprimé dans le cadre des sessions d’ouverture.  L’OMPI s’est aussi engagée activement dans le Forum sur la gouvernance d’Internet en 2014, pour lequel elle a </w:t>
      </w:r>
      <w:proofErr w:type="spellStart"/>
      <w:r w:rsidRPr="00C258AD">
        <w:t>coorganisé</w:t>
      </w:r>
      <w:proofErr w:type="spellEnd"/>
      <w:r w:rsidRPr="00C258AD">
        <w:t xml:space="preserve"> deux ateliers intitulés “Le secteur de la créativité” et “Créer, protéger et donner accès à la culture numérique”.  En 2015, un forum ouvert de l’OMPI, au cours duquel le travail et l’engagement de l’OMPI pour les licences </w:t>
      </w:r>
      <w:proofErr w:type="spellStart"/>
      <w:r w:rsidRPr="00C258AD">
        <w:t>Creative</w:t>
      </w:r>
      <w:proofErr w:type="spellEnd"/>
      <w:r w:rsidRPr="00C258AD">
        <w:t xml:space="preserve"> Commons avec d’autres organisations intergouvernementales ont été examinés, a également été organisé pour promouvoir de meilleures politiques en matière d’accès libre et pour étudier les activités de l’OMPI dans le domaine du développement de logiciels, y compris vis</w:t>
      </w:r>
      <w:r w:rsidRPr="00C258AD">
        <w:noBreakHyphen/>
        <w:t>à</w:t>
      </w:r>
      <w:r w:rsidRPr="00C258AD">
        <w:noBreakHyphen/>
        <w:t>vis de l’accès libre et de l’industrie des jeux vidéo;</w:t>
      </w:r>
    </w:p>
    <w:p w:rsidR="00C258AD" w:rsidRPr="00C258AD" w:rsidRDefault="00C258AD" w:rsidP="00C258AD"/>
    <w:p w:rsidR="00C258AD" w:rsidRPr="00C258AD" w:rsidRDefault="00C258AD" w:rsidP="00DF2EEF">
      <w:pPr>
        <w:pStyle w:val="ListParagraph"/>
        <w:numPr>
          <w:ilvl w:val="0"/>
          <w:numId w:val="105"/>
        </w:numPr>
        <w:contextualSpacing/>
        <w:jc w:val="both"/>
      </w:pPr>
      <w:r w:rsidRPr="00C258AD">
        <w:t>Contributions aux rapports de 2014 et 2015 du groupe de réflexion sur le retard pris dans la réalisation des objectifs du Millénaire pour le développement, pour lequel, conformément à la recommandation n° 22 du Plan d’action pour le développement, l’OMPI a travaillé en collaboration avec l’OMC et l’OMS sur les parties des rapports portant sur le thème de l’accès à un coût abordable aux médicaments essentiels;</w:t>
      </w:r>
    </w:p>
    <w:p w:rsidR="00C258AD" w:rsidRPr="00C258AD" w:rsidRDefault="00C258AD" w:rsidP="00C258AD">
      <w:pPr>
        <w:pStyle w:val="ListParagraph"/>
        <w:numPr>
          <w:ilvl w:val="0"/>
          <w:numId w:val="0"/>
        </w:numPr>
        <w:ind w:left="1134"/>
        <w:contextualSpacing/>
        <w:jc w:val="both"/>
      </w:pPr>
    </w:p>
    <w:p w:rsidR="00C258AD" w:rsidRPr="00C258AD" w:rsidRDefault="00C258AD" w:rsidP="00DF2EEF">
      <w:pPr>
        <w:pStyle w:val="ListParagraph"/>
        <w:numPr>
          <w:ilvl w:val="0"/>
          <w:numId w:val="105"/>
        </w:numPr>
        <w:contextualSpacing/>
        <w:jc w:val="both"/>
      </w:pPr>
      <w:r w:rsidRPr="00C258AD">
        <w:t xml:space="preserve">L’OMPI a contribué à neuf partenariats sur la plateforme d’action pour les </w:t>
      </w:r>
      <w:r w:rsidRPr="00C258AD">
        <w:rPr>
          <w:rStyle w:val="admitted"/>
        </w:rPr>
        <w:t xml:space="preserve">petits États insulaires en développement (PEID) et a participé au groupe consultatif </w:t>
      </w:r>
      <w:proofErr w:type="spellStart"/>
      <w:r w:rsidRPr="00C258AD">
        <w:rPr>
          <w:rStyle w:val="admitted"/>
        </w:rPr>
        <w:t>interinstitutions</w:t>
      </w:r>
      <w:proofErr w:type="spellEnd"/>
      <w:r w:rsidRPr="00C258AD">
        <w:rPr>
          <w:rStyle w:val="admitted"/>
        </w:rPr>
        <w:t xml:space="preserve"> travaillant sur </w:t>
      </w:r>
      <w:r w:rsidRPr="00C258AD">
        <w:t>la mise en œuvre du document final consacré à la voie à suivre de SAMOA.  Dans le contexte de la troisième conférence internationale sur les PEID, qui s’est tenue à Samoa en 2014, l’OMPI a organisé une manifestation parallèle sur l’utilisation du système de propriété intellectuelle aux fins du développement culturel et économique durable des PEID;</w:t>
      </w:r>
    </w:p>
    <w:p w:rsidR="00C258AD" w:rsidRPr="00C258AD" w:rsidRDefault="00C258AD" w:rsidP="00C258AD">
      <w:pPr>
        <w:pStyle w:val="ListParagraph"/>
        <w:numPr>
          <w:ilvl w:val="0"/>
          <w:numId w:val="0"/>
        </w:numPr>
        <w:ind w:left="1134"/>
        <w:contextualSpacing/>
        <w:jc w:val="both"/>
      </w:pPr>
    </w:p>
    <w:p w:rsidR="00C258AD" w:rsidRPr="00C258AD" w:rsidRDefault="00C258AD" w:rsidP="00DF2EEF">
      <w:pPr>
        <w:pStyle w:val="ListParagraph"/>
        <w:numPr>
          <w:ilvl w:val="0"/>
          <w:numId w:val="105"/>
        </w:numPr>
        <w:contextualSpacing/>
        <w:jc w:val="both"/>
        <w:rPr>
          <w:rStyle w:val="acronym"/>
        </w:rPr>
      </w:pPr>
      <w:r w:rsidRPr="00C258AD">
        <w:t xml:space="preserve">Participation au Groupe de travail </w:t>
      </w:r>
      <w:proofErr w:type="spellStart"/>
      <w:r w:rsidRPr="00C258AD">
        <w:t>interinstitutions</w:t>
      </w:r>
      <w:proofErr w:type="spellEnd"/>
      <w:r w:rsidRPr="00C258AD">
        <w:t xml:space="preserve"> des Nations Unies sur la science, la technologie et l’innovation pour la réalisation des objectifs de développement durable, dans le cadre du Mécanisme de facilitation des technologies, ainsi qu’au Groupe d’experts </w:t>
      </w:r>
      <w:proofErr w:type="spellStart"/>
      <w:r w:rsidRPr="00C258AD">
        <w:t>interinstitutions</w:t>
      </w:r>
      <w:proofErr w:type="spellEnd"/>
      <w:r w:rsidRPr="00C258AD">
        <w:t xml:space="preserve"> sur les objectifs de développement durable.  L’OMPI a notamment participé aux travaux en cours du Groupe de travail</w:t>
      </w:r>
      <w:r w:rsidRPr="00C258AD">
        <w:rPr>
          <w:rStyle w:val="preferred"/>
        </w:rPr>
        <w:t xml:space="preserve"> </w:t>
      </w:r>
      <w:proofErr w:type="spellStart"/>
      <w:r w:rsidRPr="00C258AD">
        <w:rPr>
          <w:rStyle w:val="preferred"/>
        </w:rPr>
        <w:t>interinstitutions</w:t>
      </w:r>
      <w:proofErr w:type="spellEnd"/>
      <w:r w:rsidRPr="00C258AD">
        <w:rPr>
          <w:rStyle w:val="preferred"/>
        </w:rPr>
        <w:t xml:space="preserve"> concernant l’organisation du Forum multipartite sur la science, la technologie et l’innovation pour la réalisation des </w:t>
      </w:r>
      <w:r w:rsidRPr="00C258AD">
        <w:rPr>
          <w:rStyle w:val="preferred"/>
        </w:rPr>
        <w:lastRenderedPageBreak/>
        <w:t xml:space="preserve">objectifs de développement durable, ainsi que l’inventaire pour une plateforme en ligne de facilitation des technologies, dans le cadre du Mécanisme de facilitation des technologies.  L’OMPI a </w:t>
      </w:r>
      <w:proofErr w:type="spellStart"/>
      <w:r w:rsidRPr="00C258AD">
        <w:rPr>
          <w:rStyle w:val="preferred"/>
        </w:rPr>
        <w:t>coorganisé</w:t>
      </w:r>
      <w:proofErr w:type="spellEnd"/>
      <w:r w:rsidRPr="00C258AD">
        <w:rPr>
          <w:rStyle w:val="preferred"/>
        </w:rPr>
        <w:t xml:space="preserve"> avec la </w:t>
      </w:r>
      <w:r w:rsidRPr="00C258AD">
        <w:rPr>
          <w:rStyle w:val="acronym"/>
        </w:rPr>
        <w:t>CNUCED et l’ONUDI un événement sur les synergies entre l’industrialisation, l’innovation et le commerce pour favoriser le développement durable au siège des Nations Unies à New York en mai 2015.  Dans le même contexte, l’OMPI a organisé, en collaboration avec le Département des affaires économiques et sociales de l’ONU, une manifestation parallèle sur le rôle transformatif des technologies et de l’innovation en matière de développement au siège des Nations Unies à New York en octobre 2015;</w:t>
      </w:r>
    </w:p>
    <w:p w:rsidR="00C258AD" w:rsidRPr="00C258AD" w:rsidRDefault="00C258AD" w:rsidP="00C258AD">
      <w:pPr>
        <w:pStyle w:val="ListParagraph"/>
        <w:numPr>
          <w:ilvl w:val="0"/>
          <w:numId w:val="0"/>
        </w:numPr>
        <w:ind w:left="1134"/>
        <w:contextualSpacing/>
        <w:jc w:val="both"/>
        <w:rPr>
          <w:rStyle w:val="acronym"/>
        </w:rPr>
      </w:pPr>
    </w:p>
    <w:p w:rsidR="00C258AD" w:rsidRPr="00C258AD" w:rsidRDefault="00C258AD" w:rsidP="00DF2EEF">
      <w:pPr>
        <w:pStyle w:val="ListParagraph"/>
        <w:numPr>
          <w:ilvl w:val="0"/>
          <w:numId w:val="105"/>
        </w:numPr>
        <w:contextualSpacing/>
        <w:jc w:val="both"/>
        <w:rPr>
          <w:i/>
        </w:rPr>
      </w:pPr>
      <w:r w:rsidRPr="00C258AD">
        <w:rPr>
          <w:rStyle w:val="acronym"/>
        </w:rPr>
        <w:t>Les travaux relatifs à la technologie dans le cadre de la Convention</w:t>
      </w:r>
      <w:r w:rsidRPr="00C258AD">
        <w:rPr>
          <w:rStyle w:val="acronym"/>
        </w:rPr>
        <w:noBreakHyphen/>
        <w:t>cadre des Nations Unies sur les changements climatiques (CCNUCC), notamment le mécanisme technologique de la CCNUCC, le Comité exécutif</w:t>
      </w:r>
      <w:r w:rsidRPr="00C258AD">
        <w:t xml:space="preserve"> technologique (TEC) et le Centre et Réseau des technologies climatiques (CRTC).  Dans ce contexte, le programme a appuyé un atelier du TEC sur les systèmes d’innovation nationaux en présentant l’indice mondial de l’innovation lors des sessions de juin 2014 de la CCNUCC et a </w:t>
      </w:r>
      <w:proofErr w:type="spellStart"/>
      <w:r w:rsidRPr="00C258AD">
        <w:t>coorganisé</w:t>
      </w:r>
      <w:proofErr w:type="spellEnd"/>
      <w:r w:rsidRPr="00C258AD">
        <w:t xml:space="preserve"> une manifestation parallèle avec l’Agence internationale pour les énergies renouvelables (IRENA) en 2014.  En 2015, le programme a organisé une manifestation parallèle sur le thème “</w:t>
      </w:r>
      <w:r w:rsidRPr="00C258AD">
        <w:rPr>
          <w:i/>
        </w:rPr>
        <w:t>Politiques et éléments à l’appui du changement climatique, du transfert de technologie et de l’innovation</w:t>
      </w:r>
      <w:r w:rsidRPr="00C258AD">
        <w:t>” pour présenter le Rapport sur les défis mondiaux de l’OMPI : “</w:t>
      </w:r>
      <w:r w:rsidRPr="00C258AD">
        <w:rPr>
          <w:i/>
        </w:rPr>
        <w:t>Innovation et diffusion des technologies vertes : le rôle de la propriété intellectuelle et d’autres facteurs favorables</w:t>
      </w:r>
      <w:r w:rsidRPr="00C258AD">
        <w:t>” au cours des sessions de la CCNUCC de juin 2015, ainsi qu’une présentation des technologies novatrices et propres au cours de la COP 21, qui s’est tenue à Paris en décembre 2015;</w:t>
      </w:r>
    </w:p>
    <w:p w:rsidR="00C258AD" w:rsidRPr="00C258AD" w:rsidRDefault="00C258AD" w:rsidP="00C258AD">
      <w:pPr>
        <w:pStyle w:val="ListParagraph"/>
        <w:numPr>
          <w:ilvl w:val="0"/>
          <w:numId w:val="0"/>
        </w:numPr>
        <w:ind w:left="1134"/>
        <w:contextualSpacing/>
        <w:jc w:val="both"/>
        <w:rPr>
          <w:i/>
        </w:rPr>
      </w:pPr>
    </w:p>
    <w:p w:rsidR="00C258AD" w:rsidRPr="00C258AD" w:rsidRDefault="00C258AD" w:rsidP="00DF2EEF">
      <w:pPr>
        <w:pStyle w:val="ListParagraph"/>
        <w:numPr>
          <w:ilvl w:val="0"/>
          <w:numId w:val="105"/>
        </w:numPr>
        <w:contextualSpacing/>
        <w:jc w:val="both"/>
        <w:rPr>
          <w:rStyle w:val="acronym"/>
        </w:rPr>
      </w:pPr>
      <w:r w:rsidRPr="00C258AD">
        <w:t xml:space="preserve">Dans le contexte de la Convention relative aux droits des personnes handicapées et de la campagne des Nations Unies intitulée “2015 – année d’action mondiale pour les peuples et la planète”, l’OMPI a organisé, en collaboration avec le </w:t>
      </w:r>
      <w:r w:rsidRPr="00C258AD">
        <w:rPr>
          <w:rStyle w:val="acronym"/>
        </w:rPr>
        <w:t xml:space="preserve">Département des affaires économiques et sociales de l’ONU, une réunion sur le thème des </w:t>
      </w:r>
      <w:r w:rsidRPr="00C258AD">
        <w:rPr>
          <w:rStyle w:val="acronym"/>
          <w:i/>
        </w:rPr>
        <w:t>technologies novatrices pour rendre accessible le monde des livres aux personnes souffrant d’un handicap de lecture</w:t>
      </w:r>
      <w:r w:rsidRPr="00C258AD">
        <w:rPr>
          <w:rStyle w:val="acronym"/>
        </w:rPr>
        <w:t>, au siège des Nations Unies à New York en mars 2015;</w:t>
      </w:r>
    </w:p>
    <w:p w:rsidR="00C258AD" w:rsidRPr="00C258AD" w:rsidRDefault="00C258AD" w:rsidP="00C258AD">
      <w:pPr>
        <w:pStyle w:val="ListParagraph"/>
        <w:numPr>
          <w:ilvl w:val="0"/>
          <w:numId w:val="0"/>
        </w:numPr>
        <w:ind w:left="1134"/>
        <w:contextualSpacing/>
        <w:jc w:val="both"/>
        <w:rPr>
          <w:rStyle w:val="acronym"/>
        </w:rPr>
      </w:pPr>
    </w:p>
    <w:p w:rsidR="00C258AD" w:rsidRPr="00C258AD" w:rsidRDefault="00C258AD" w:rsidP="00DF2EEF">
      <w:pPr>
        <w:pStyle w:val="ListParagraph"/>
        <w:numPr>
          <w:ilvl w:val="0"/>
          <w:numId w:val="105"/>
        </w:numPr>
        <w:contextualSpacing/>
        <w:jc w:val="both"/>
        <w:rPr>
          <w:rStyle w:val="preferred"/>
        </w:rPr>
      </w:pPr>
      <w:r w:rsidRPr="00C258AD">
        <w:rPr>
          <w:rStyle w:val="acronym"/>
        </w:rPr>
        <w:t>Contributions aux rapports du Secrétaire général des Nations Unies sur : i) </w:t>
      </w:r>
      <w:r w:rsidRPr="00C258AD">
        <w:rPr>
          <w:rStyle w:val="admitted"/>
        </w:rPr>
        <w:t xml:space="preserve">le système d’appui des Nations Unies au Nouveau Partenariat pour le développement de l’Afrique et ii) les droits des personnes handicapées, conformément à la résolution 24/3 du </w:t>
      </w:r>
      <w:r w:rsidRPr="00C258AD">
        <w:rPr>
          <w:rStyle w:val="preferred"/>
        </w:rPr>
        <w:t xml:space="preserve">Conseil des droits de l’homme des Nations Unies, ainsi qu’au bulletin UN </w:t>
      </w:r>
      <w:proofErr w:type="spellStart"/>
      <w:r w:rsidRPr="00C258AD">
        <w:rPr>
          <w:rStyle w:val="preferred"/>
        </w:rPr>
        <w:t>Enable</w:t>
      </w:r>
      <w:proofErr w:type="spellEnd"/>
      <w:r w:rsidRPr="00C258AD">
        <w:rPr>
          <w:rStyle w:val="preferred"/>
        </w:rPr>
        <w:t xml:space="preserve"> et à la révision de la Recommandation concernant la condition des chercheurs scientifiques (1974) de l’UNESCO.</w:t>
      </w:r>
    </w:p>
    <w:p w:rsidR="00C258AD" w:rsidRPr="00C258AD" w:rsidRDefault="00C258AD" w:rsidP="00927E1F">
      <w:pPr>
        <w:jc w:val="both"/>
      </w:pPr>
    </w:p>
    <w:p w:rsidR="00C258AD" w:rsidRPr="00C258AD" w:rsidRDefault="00C258AD" w:rsidP="00DF2EEF">
      <w:pPr>
        <w:pStyle w:val="ListParagraph"/>
        <w:numPr>
          <w:ilvl w:val="0"/>
          <w:numId w:val="107"/>
        </w:numPr>
        <w:tabs>
          <w:tab w:val="left" w:pos="709"/>
        </w:tabs>
        <w:ind w:left="0" w:firstLine="0"/>
        <w:contextualSpacing/>
        <w:jc w:val="both"/>
      </w:pPr>
      <w:r w:rsidRPr="00C258AD">
        <w:t>Tout au long de l’exercice biennal, l’OMPI a également continué de promouvoir des partenariats renforcés avec d’importantes organisations intergouvernementales partenaires des institutions, comme suit :</w:t>
      </w:r>
    </w:p>
    <w:p w:rsidR="00C258AD" w:rsidRPr="00C258AD" w:rsidRDefault="00C258AD" w:rsidP="00927E1F">
      <w:pPr>
        <w:jc w:val="both"/>
      </w:pPr>
    </w:p>
    <w:p w:rsidR="00C258AD" w:rsidRPr="00C258AD" w:rsidRDefault="00C258AD" w:rsidP="00DF2EEF">
      <w:pPr>
        <w:pStyle w:val="ListParagraph"/>
        <w:numPr>
          <w:ilvl w:val="0"/>
          <w:numId w:val="106"/>
        </w:numPr>
        <w:contextualSpacing/>
        <w:jc w:val="both"/>
      </w:pPr>
      <w:r w:rsidRPr="00C258AD">
        <w:t xml:space="preserve">En coopération avec la CNUCED, l’Office des Nations Unies à Genève (UNOG), le Centre du commerce international, le Département du développement économique du canton de Genève, l’Université de Genève (UNIGE) et la Fédération des entreprises romandes (FER), l’OMPI a de nouveau participé activement à la Semaine mondiale de l’entrepreneuriat à Genève de 2014 et 2015, pour lesquelles elle a </w:t>
      </w:r>
      <w:proofErr w:type="spellStart"/>
      <w:r w:rsidRPr="00C258AD">
        <w:t>coorganisé</w:t>
      </w:r>
      <w:proofErr w:type="spellEnd"/>
      <w:r w:rsidRPr="00C258AD">
        <w:t xml:space="preserve"> une semaine d’événements et de séances de formation.  L’accent a été principalement mis sur la promotion de l’innovation, l’esprit d’entreprise chez les jeunes et l’organisation de sessions consacrées au renforcement des capacités dans le domaine de l’information en matière de brevets, de la propriété intellectuelle et des PME (à l’appui des recommandations n</w:t>
      </w:r>
      <w:r w:rsidRPr="00C258AD">
        <w:rPr>
          <w:vertAlign w:val="superscript"/>
        </w:rPr>
        <w:t>os</w:t>
      </w:r>
      <w:r w:rsidRPr="00C258AD">
        <w:t> 4, 11 et 40 du Plan d’action pour le développement ainsi que les travaux des programmes 11, 14 et 30);</w:t>
      </w:r>
    </w:p>
    <w:p w:rsidR="00C258AD" w:rsidRPr="00C258AD" w:rsidRDefault="00C258AD" w:rsidP="00C258AD">
      <w:pPr>
        <w:pStyle w:val="ListParagraph"/>
        <w:numPr>
          <w:ilvl w:val="0"/>
          <w:numId w:val="0"/>
        </w:numPr>
        <w:ind w:left="720"/>
        <w:jc w:val="both"/>
      </w:pPr>
    </w:p>
    <w:p w:rsidR="00C258AD" w:rsidRPr="00C258AD" w:rsidRDefault="00C258AD" w:rsidP="00DF2EEF">
      <w:pPr>
        <w:pStyle w:val="ListParagraph"/>
        <w:numPr>
          <w:ilvl w:val="0"/>
          <w:numId w:val="106"/>
        </w:numPr>
        <w:contextualSpacing/>
        <w:jc w:val="both"/>
      </w:pPr>
      <w:r w:rsidRPr="00C258AD">
        <w:t>La coopération avec l’OMS est restée une priorité élevée au cours de l’exercice biennal.  Outre les travaux entrepris en coopération avec les programmes 1, 14 et 18 dans le contexte de la coopération trilatérale OMPI</w:t>
      </w:r>
      <w:r w:rsidRPr="00C258AD">
        <w:noBreakHyphen/>
        <w:t>OMS</w:t>
      </w:r>
      <w:r w:rsidRPr="00C258AD">
        <w:noBreakHyphen/>
        <w:t xml:space="preserve">OMC, l’OMPI a participé efficacement à d’autres réunions et processus afférents de l’OMS, ainsi qu’à une série de réunions dans le cadre du processus des Nations Unies sur les maladies non transmissibles.  En ce qui concerne la recommandation n° 14 relative à la fourniture d’avis aux pays en développement et PMA sur l’application et l’exercice des droits et des obligations ainsi que sur la compréhension et l’utilisation des éléments de flexibilité prévus par l’Accord sur les ADPIC, le programme 20, </w:t>
      </w:r>
      <w:r w:rsidRPr="00C258AD">
        <w:lastRenderedPageBreak/>
        <w:t>en coopération avec les secteurs opérationnels de l’OMPI, a veillé à ce que les activités entreprises avec l’OMC et l’OMS reflètent cette recommandation;</w:t>
      </w:r>
    </w:p>
    <w:p w:rsidR="00C258AD" w:rsidRPr="00C258AD" w:rsidRDefault="00C258AD" w:rsidP="00C258AD">
      <w:pPr>
        <w:pStyle w:val="ListParagraph"/>
        <w:numPr>
          <w:ilvl w:val="0"/>
          <w:numId w:val="0"/>
        </w:numPr>
        <w:ind w:left="1134"/>
        <w:contextualSpacing/>
        <w:jc w:val="both"/>
      </w:pPr>
    </w:p>
    <w:p w:rsidR="00C258AD" w:rsidRPr="00C258AD" w:rsidRDefault="00C258AD" w:rsidP="00DF2EEF">
      <w:pPr>
        <w:pStyle w:val="ListParagraph"/>
        <w:numPr>
          <w:ilvl w:val="0"/>
          <w:numId w:val="106"/>
        </w:numPr>
        <w:contextualSpacing/>
        <w:jc w:val="both"/>
      </w:pPr>
      <w:r w:rsidRPr="00C258AD">
        <w:t xml:space="preserve">Les travaux menés avec </w:t>
      </w:r>
      <w:proofErr w:type="gramStart"/>
      <w:r w:rsidRPr="00C258AD">
        <w:t>les programmes</w:t>
      </w:r>
      <w:proofErr w:type="gramEnd"/>
      <w:r w:rsidRPr="00C258AD">
        <w:t xml:space="preserve"> 1, 2, 3, 4, 9, 17, 18 et 20 ont assuré l’engagement efficace de l’OMPI dans le Conseil des ADPIC de l’OMC.  Ils ont permis de coordonner la participation de l’OMPI aux ateliers régionaux, nationaux et internationaux de l’OMC sur des thématiques variées, au colloque de l’OMC “Atteindre les objectifs de développement du système de propriété intellectuelle : besoins prioritaires des PMA en matière de coopération technique et financière” à Genève, ainsi qu’à l’atelier annuel de l’OMC sur le commerce et la santé publique;</w:t>
      </w:r>
    </w:p>
    <w:p w:rsidR="00C258AD" w:rsidRPr="00C258AD" w:rsidRDefault="00C258AD" w:rsidP="00927E1F">
      <w:pPr>
        <w:jc w:val="both"/>
      </w:pPr>
    </w:p>
    <w:p w:rsidR="00C258AD" w:rsidRPr="00C258AD" w:rsidRDefault="00C258AD" w:rsidP="00DF2EEF">
      <w:pPr>
        <w:pStyle w:val="ListParagraph"/>
        <w:numPr>
          <w:ilvl w:val="0"/>
          <w:numId w:val="106"/>
        </w:numPr>
        <w:contextualSpacing/>
        <w:jc w:val="both"/>
      </w:pPr>
      <w:r w:rsidRPr="00C258AD">
        <w:t>En outre, la coopération avec d’autres institutions des Nations Unies, en particulier le CERN, l’Organisation internationale de normalisation (ISO), l’Union internationale des télécommunications, l’UNESCO et l’ONUDI a continué à apporter un soutien mutuel afin d’atteindre les résultats escomptés par l’OMPI et de mettre en œuvre le Plan d’action pour le développement.</w:t>
      </w:r>
    </w:p>
    <w:p w:rsidR="00C258AD" w:rsidRPr="00C258AD" w:rsidRDefault="00C258AD" w:rsidP="00927E1F">
      <w:pPr>
        <w:jc w:val="both"/>
      </w:pPr>
    </w:p>
    <w:p w:rsidR="00C258AD" w:rsidRPr="00C258AD" w:rsidRDefault="00C258AD" w:rsidP="00DF2EEF">
      <w:pPr>
        <w:pStyle w:val="ListParagraph"/>
        <w:numPr>
          <w:ilvl w:val="0"/>
          <w:numId w:val="107"/>
        </w:numPr>
        <w:tabs>
          <w:tab w:val="left" w:pos="709"/>
        </w:tabs>
        <w:ind w:left="0" w:firstLine="0"/>
        <w:contextualSpacing/>
        <w:jc w:val="both"/>
      </w:pPr>
      <w:r w:rsidRPr="00C258AD">
        <w:t>Les travaux de l’Organisation visant à mobiliser des partenariats et des contributions financières volontaires pour des projets consacrés à la propriété intellectuelle se sont poursuivis tout au long de l’exercice biennal 2014</w:t>
      </w:r>
      <w:r w:rsidRPr="00C258AD">
        <w:noBreakHyphen/>
        <w:t xml:space="preserve">2015 et rendaient compte de l’intégration continue et réussie de la recommandation n° 2 du Plan d’action pour le développement dans les activités du programme.  Une part importante de ces travaux consistait à fournir des conseils et une orientation aux projets de l’OMPI tels que WIPO GREEN, WIPO </w:t>
      </w:r>
      <w:proofErr w:type="spellStart"/>
      <w:r w:rsidRPr="00C258AD">
        <w:t>Re:Search</w:t>
      </w:r>
      <w:proofErr w:type="spellEnd"/>
      <w:r w:rsidRPr="00C258AD">
        <w:t xml:space="preserve"> et le Consortium pour des livres accessibles (Consortium ABC) quant au recensement des donateurs potentiels et à l’élaboration de stratégies visant à établir des partenariats et à attirer un soutien financier.</w:t>
      </w:r>
    </w:p>
    <w:p w:rsidR="00C258AD" w:rsidRPr="00C258AD" w:rsidRDefault="00C258AD" w:rsidP="00927E1F">
      <w:pPr>
        <w:keepNext/>
        <w:rPr>
          <w:caps/>
          <w:sz w:val="22"/>
          <w:szCs w:val="22"/>
        </w:rPr>
      </w:pPr>
    </w:p>
    <w:p w:rsidR="00C258AD" w:rsidRPr="00C258AD" w:rsidRDefault="00C258AD" w:rsidP="00C258AD">
      <w:r w:rsidRPr="00C258AD">
        <w:t>ORGANISATIONS NON GOUVERNEMENTALES ET RELATIONS AVEC LE MONDE DE L’ENTREPRISE (Directeur général)</w:t>
      </w:r>
    </w:p>
    <w:p w:rsidR="00C258AD" w:rsidRPr="00C258AD" w:rsidRDefault="00C258AD" w:rsidP="00C258AD">
      <w:pPr>
        <w:pStyle w:val="ListParagraph"/>
        <w:numPr>
          <w:ilvl w:val="0"/>
          <w:numId w:val="0"/>
        </w:numPr>
        <w:tabs>
          <w:tab w:val="left" w:pos="709"/>
        </w:tabs>
        <w:contextualSpacing/>
        <w:jc w:val="both"/>
      </w:pPr>
    </w:p>
    <w:p w:rsidR="00C258AD" w:rsidRPr="00C258AD" w:rsidRDefault="00C258AD" w:rsidP="00DF2EEF">
      <w:pPr>
        <w:pStyle w:val="ListParagraph"/>
        <w:numPr>
          <w:ilvl w:val="0"/>
          <w:numId w:val="107"/>
        </w:numPr>
        <w:tabs>
          <w:tab w:val="left" w:pos="709"/>
        </w:tabs>
        <w:ind w:left="0" w:firstLine="0"/>
        <w:contextualSpacing/>
        <w:jc w:val="both"/>
      </w:pPr>
      <w:r w:rsidRPr="00C258AD">
        <w:t>Tout au long de l’exercice biennal, l’OMPI a continué de recenser et de promouvoir les opportunités d’amélioration de l’engagement de parties prenantes non gouvernementales dans ses activités.  En 2014 et 2015, l’OMPI a animé un certain nombre de forums divers par l’entremise desquels elle a sollicité la participation et la coopération des représentants de la société civile, forums qui comprenaient des ateliers et des séminaires, des consultations sur des projets spécifiques et des manifestations parallèles.  Des telles opportunités ont permis des échanges continus ouverts, transparents et dynamiques avec lesdites parties prenantes, conformément à la recommandation n° 42 du Plan d’action pour le développement.  Organisées exclusivement pour les ONG accréditées, les troisième et quatrième rencontres annuelles avec le Directeur général, qui ont respectivement eu lieu aux printemps 2014 et 2015, ont constitué une précieuse occasion d’échanger directement des points de vue sur le système international de propriété intellectuelle en général et sur les activités de l’OMPI en particulier.</w:t>
      </w:r>
    </w:p>
    <w:p w:rsidR="00C258AD" w:rsidRPr="00C258AD" w:rsidRDefault="00C258AD" w:rsidP="00C258AD">
      <w:pPr>
        <w:pStyle w:val="ListParagraph"/>
        <w:numPr>
          <w:ilvl w:val="0"/>
          <w:numId w:val="0"/>
        </w:numPr>
        <w:tabs>
          <w:tab w:val="left" w:pos="709"/>
        </w:tabs>
        <w:contextualSpacing/>
        <w:jc w:val="both"/>
      </w:pPr>
    </w:p>
    <w:p w:rsidR="00C258AD" w:rsidRPr="00C258AD" w:rsidRDefault="00C258AD" w:rsidP="00DF2EEF">
      <w:pPr>
        <w:pStyle w:val="ListParagraph"/>
        <w:numPr>
          <w:ilvl w:val="0"/>
          <w:numId w:val="107"/>
        </w:numPr>
        <w:tabs>
          <w:tab w:val="left" w:pos="709"/>
        </w:tabs>
        <w:ind w:left="0" w:firstLine="0"/>
        <w:contextualSpacing/>
        <w:jc w:val="both"/>
      </w:pPr>
      <w:r w:rsidRPr="00C258AD">
        <w:t>En outre, l’OMPI a poursuivi son étroite collaboration avec des parties prenantes non gouvernementales, en continuant à élaborer des plateformes et des partenariats contribuant à la promotion de la propriété intellectuelle en tant qu’outil de développement et de croissance économique dans le monde.  Notamment, suite à l’adoption réussie du Traité de Marrakech en 2013, l’OMPI a lancé en 2014 une série de séminaires intitulée “De la politique à la pratique : mettre en œuvre le Traité de Marrakech et assurer la disponibilité des livres accessibles” afin de guider toutes les parties prenantes et les sensibiliser aux dispositions du traité et aux initiatives pratiques multipartites visant à accroître la disponibilité des livres dans des formats accessibles, comme le Consortium ABC.  De plus, en 2015, l’organisation de l’atelier destiné aux jeunes inventeurs, créateurs et chefs d’entreprise africains, dans le contexte de la Conférence ministérielle africaine 2015 tenue à Dakar, a constitué un exemple notable de l’engagement réel auprès des parties prenantes non gouvernementales pour contribuer à mettre en avant la propriété intellectuelle en tant qu’outil de promotion de l’innovation, de la créativité et de la transformation économique.  Les résultats de l’atelier, incluant ses recommandations, ont été directement soumis à la Conférence ministérielle, et l’atelier a également été mentionné dans la version finale de la Déclaration de Dakar sur la propriété intellectuelle pour l’Afrique.</w:t>
      </w:r>
    </w:p>
    <w:p w:rsidR="00C258AD" w:rsidRPr="00C258AD" w:rsidRDefault="00C258AD" w:rsidP="00C258AD">
      <w:pPr>
        <w:pStyle w:val="ListParagraph"/>
        <w:numPr>
          <w:ilvl w:val="0"/>
          <w:numId w:val="0"/>
        </w:numPr>
        <w:tabs>
          <w:tab w:val="left" w:pos="709"/>
        </w:tabs>
        <w:contextualSpacing/>
        <w:jc w:val="both"/>
      </w:pPr>
    </w:p>
    <w:p w:rsidR="00C258AD" w:rsidRPr="00C258AD" w:rsidRDefault="00C258AD" w:rsidP="00375300">
      <w:pPr>
        <w:keepNext/>
        <w:jc w:val="both"/>
      </w:pPr>
      <w:r w:rsidRPr="00C258AD">
        <w:lastRenderedPageBreak/>
        <w:t>BUREAUX EXTÉRIEURS</w:t>
      </w:r>
    </w:p>
    <w:p w:rsidR="00C258AD" w:rsidRPr="00C258AD" w:rsidRDefault="00C258AD" w:rsidP="00375300">
      <w:pPr>
        <w:pStyle w:val="ListParagraph"/>
        <w:keepNext/>
        <w:numPr>
          <w:ilvl w:val="0"/>
          <w:numId w:val="0"/>
        </w:numPr>
        <w:tabs>
          <w:tab w:val="left" w:pos="709"/>
        </w:tabs>
        <w:contextualSpacing/>
        <w:jc w:val="both"/>
      </w:pPr>
    </w:p>
    <w:p w:rsidR="00C258AD" w:rsidRPr="00C258AD" w:rsidRDefault="00C258AD" w:rsidP="00DF2EEF">
      <w:pPr>
        <w:pStyle w:val="ListParagraph"/>
        <w:numPr>
          <w:ilvl w:val="0"/>
          <w:numId w:val="107"/>
        </w:numPr>
        <w:tabs>
          <w:tab w:val="left" w:pos="709"/>
        </w:tabs>
        <w:ind w:left="0" w:firstLine="0"/>
        <w:contextualSpacing/>
        <w:jc w:val="both"/>
      </w:pPr>
      <w:r w:rsidRPr="00C258AD">
        <w:t>Le réseau de bureaux extérieurs de l’OMPI fait partie intégrante de l’Organisation et est conçu pour apporter les services et la coopération de l’OMPI au plus près des États membres, des parties prenantes et des partenaires afin d’accroître l’efficacité et l’efficacité de l’exécution du programme, tout en répondant aux besoins et priorités spécifiques des pays ou des régions qu’ils servent.  En 2014, le réseau des bureaux est passé au nombre de cinq, avec l’ouverture des bureaux de l’OMPI en Chine et en Fédération de Russie en 2014.  Les résultats obtenus sur la période couverte par le rapport ont continué à mettre en évidence la contribution des bureaux extérieurs de l’OMPI à la mise en œuvre du mandat de l’Organisation.</w:t>
      </w:r>
    </w:p>
    <w:p w:rsidR="00C258AD" w:rsidRPr="00C258AD" w:rsidRDefault="00C258AD" w:rsidP="00375300">
      <w:pPr>
        <w:pStyle w:val="ListParagraph"/>
        <w:numPr>
          <w:ilvl w:val="0"/>
          <w:numId w:val="0"/>
        </w:numPr>
        <w:tabs>
          <w:tab w:val="left" w:pos="709"/>
        </w:tabs>
        <w:contextualSpacing/>
        <w:jc w:val="both"/>
      </w:pPr>
    </w:p>
    <w:p w:rsidR="00C258AD" w:rsidRPr="00C258AD" w:rsidRDefault="00C258AD" w:rsidP="00927E1F">
      <w:pPr>
        <w:jc w:val="both"/>
        <w:rPr>
          <w:u w:val="single"/>
        </w:rPr>
      </w:pPr>
      <w:r w:rsidRPr="00C258AD">
        <w:rPr>
          <w:u w:val="single"/>
        </w:rPr>
        <w:t>Bureau de l’OMPI au Brésil (Directeur général/M. N. Prasad)</w:t>
      </w:r>
    </w:p>
    <w:p w:rsidR="00C258AD" w:rsidRPr="00C258AD" w:rsidRDefault="00C258AD" w:rsidP="00927E1F">
      <w:pPr>
        <w:jc w:val="both"/>
      </w:pPr>
    </w:p>
    <w:p w:rsidR="00C258AD" w:rsidRPr="00C258AD" w:rsidRDefault="00C258AD" w:rsidP="00DF2EEF">
      <w:pPr>
        <w:pStyle w:val="ListParagraph"/>
        <w:numPr>
          <w:ilvl w:val="0"/>
          <w:numId w:val="107"/>
        </w:numPr>
        <w:tabs>
          <w:tab w:val="left" w:pos="709"/>
        </w:tabs>
        <w:ind w:left="0" w:firstLine="0"/>
        <w:contextualSpacing/>
        <w:jc w:val="both"/>
      </w:pPr>
      <w:r w:rsidRPr="00C258AD">
        <w:t>Au cours de l’exercice biennal, le Bureau de l’OMPI au Brésil s’est efforcé de mener des activités de renforcement des capacités au Brésil et la promotion de l’utilisation des services de l’OMPI.  Pour soutenir l’Institut national de la propriété industrielle (INPI), qui s’est concentré sur l’amélioration de sa productivité et de son efficacité, le Bureau de l’OMPI au Brésil a contribué à l’organisation d’activités de renforcement des activités dans le domaine de l’examen des brevets.  Par exemple, un projet de collaboration avec la Confédération nationale d’industries a été mis sur pied, dans le cadre duquel une série d’ateliers ont été organisés pour donner des informations sur les initiatives internationales en cours concernant des modèles de collaboration en matière d’examen des brevets.</w:t>
      </w:r>
    </w:p>
    <w:p w:rsidR="00C258AD" w:rsidRPr="00C258AD" w:rsidRDefault="00C258AD" w:rsidP="00375300">
      <w:pPr>
        <w:pStyle w:val="ListParagraph"/>
        <w:numPr>
          <w:ilvl w:val="0"/>
          <w:numId w:val="0"/>
        </w:numPr>
        <w:tabs>
          <w:tab w:val="left" w:pos="709"/>
        </w:tabs>
        <w:contextualSpacing/>
        <w:jc w:val="both"/>
      </w:pPr>
    </w:p>
    <w:p w:rsidR="00C258AD" w:rsidRPr="00C258AD" w:rsidRDefault="00C258AD" w:rsidP="00DF2EEF">
      <w:pPr>
        <w:pStyle w:val="ListParagraph"/>
        <w:numPr>
          <w:ilvl w:val="0"/>
          <w:numId w:val="107"/>
        </w:numPr>
        <w:tabs>
          <w:tab w:val="left" w:pos="709"/>
        </w:tabs>
        <w:ind w:left="0" w:firstLine="0"/>
        <w:contextualSpacing/>
        <w:jc w:val="both"/>
      </w:pPr>
      <w:r w:rsidRPr="00C258AD">
        <w:t>Le Bureau de l’OMPI au Brésil a consulté activement les parties prenantes au Brésil afin de les sensibiliser aux avantages que présente la protection de la propriété intellectuelle et à l’importance de la commercialisation des actifs de propriété intellectuelle.  À cet égard, le Bureau de l’OMPI au Brésil a collaboré étroitement avec l’Association nationale pour la recherche et le développement des entreprises innovantes (ANPEI) et a été invité à participer à deux comités créés par celle</w:t>
      </w:r>
      <w:r w:rsidRPr="00C258AD">
        <w:noBreakHyphen/>
        <w:t>ci, à savoir un comité chargé de promouvoir l’innovation et un comité axé sur la propriété intellectuelle.  Ces activités ont permis de souligner l’importance du PCT et d’expliquer ses procédures.</w:t>
      </w:r>
    </w:p>
    <w:p w:rsidR="00C258AD" w:rsidRPr="00C258AD" w:rsidRDefault="00C258AD" w:rsidP="00375300">
      <w:pPr>
        <w:pStyle w:val="ListParagraph"/>
        <w:numPr>
          <w:ilvl w:val="0"/>
          <w:numId w:val="0"/>
        </w:numPr>
        <w:tabs>
          <w:tab w:val="left" w:pos="709"/>
        </w:tabs>
        <w:contextualSpacing/>
        <w:jc w:val="both"/>
      </w:pPr>
    </w:p>
    <w:p w:rsidR="00C258AD" w:rsidRPr="00C258AD" w:rsidRDefault="00C258AD" w:rsidP="00DF2EEF">
      <w:pPr>
        <w:pStyle w:val="ListParagraph"/>
        <w:numPr>
          <w:ilvl w:val="0"/>
          <w:numId w:val="107"/>
        </w:numPr>
        <w:tabs>
          <w:tab w:val="left" w:pos="709"/>
        </w:tabs>
        <w:ind w:left="0" w:firstLine="0"/>
        <w:contextualSpacing/>
        <w:jc w:val="both"/>
      </w:pPr>
      <w:r w:rsidRPr="00C258AD">
        <w:t>Le fonds fiduciaire du Brésil pour la coopération Sud</w:t>
      </w:r>
      <w:r w:rsidRPr="00C258AD">
        <w:noBreakHyphen/>
        <w:t>Sud, créé en 2012 et géré par le Bureau de l’OMPI au Brésil, a permis à plusieurs reprises de faire progresser certaines activités, notamment dans le domaine du transfert de technologie et de la commercialisation de la propriété intellectuelle.  L’atelier régional sur la propriété intellectuelle et le transfert de technologie organisé en Uruguay en décembre 2014 a réuni plusieurs pays (Argentine, Brésil, Chili, Paraguay et Uruguay) et a permis de partager des informations et des données d’expérience relatives à l’élaboration des stratégies nationales et institutionnelles en matière de propriété intellectuelle et des modèles stratégiques de promotion de l’innovation.  Le fonds fiduciaire a également permis d’organiser des programmes de formation dans plusieurs régions du Brésil pour renforcer les capacités dans le domaine de la concession de licences de technologie et dans celui de la rédaction des demandes de brevet.</w:t>
      </w:r>
    </w:p>
    <w:p w:rsidR="00C258AD" w:rsidRPr="00C258AD" w:rsidRDefault="00C258AD" w:rsidP="00375300">
      <w:pPr>
        <w:pStyle w:val="ListParagraph"/>
        <w:numPr>
          <w:ilvl w:val="0"/>
          <w:numId w:val="0"/>
        </w:numPr>
        <w:tabs>
          <w:tab w:val="left" w:pos="709"/>
        </w:tabs>
        <w:contextualSpacing/>
        <w:jc w:val="both"/>
      </w:pPr>
    </w:p>
    <w:p w:rsidR="00C258AD" w:rsidRPr="00C258AD" w:rsidRDefault="00C258AD" w:rsidP="00DF2EEF">
      <w:pPr>
        <w:pStyle w:val="ListParagraph"/>
        <w:numPr>
          <w:ilvl w:val="0"/>
          <w:numId w:val="107"/>
        </w:numPr>
        <w:tabs>
          <w:tab w:val="left" w:pos="709"/>
        </w:tabs>
        <w:ind w:left="0" w:firstLine="0"/>
        <w:contextualSpacing/>
        <w:jc w:val="both"/>
      </w:pPr>
      <w:r w:rsidRPr="00C258AD">
        <w:t>Le Bureau de l’OMPI au Brésil est allé à la rencontre de partenaires locaux et du système des Nations Unies au Brésil pour examiner des questions présentant un intérêt mutuel, afin de tirer parti au maximum des ressources pour contribuer à l’avancement du mandat.  Le Bureau de l’OMPI au Brésil a également lancé, en collaboration avec le PNUD et l’Agence brésilienne pour l’innovation (FINEP), un projet visant à former des négociateurs sur les questions relatives aux technologies et au développement.  À cette fin, au titre d’un nouveau fonds fiduciaire signé entre le PNUD et la FINEP en octobre 2015, il s’est tenu un programme de formation destiné aux négociateurs dans le domaine du développement technologique, auquel ont participé vingt</w:t>
      </w:r>
      <w:r w:rsidRPr="00C258AD">
        <w:noBreakHyphen/>
        <w:t>huit responsables des technologies.  En ce qui concerne la promotion des plateformes de l’OMPI, le Bureau de l’OMPI au Brésil a poursuivi sa collaboration avec le Forum des gestionnaires de technologie dans les universités (FORTEC) sur WIPO GREEN, collaboration qui a commencé à porter ses fruits en 2015, à mesure que les sept premières technologies développées par les institutions et entreprises brésiliennes ont été téléchargées dans la base de données.</w:t>
      </w:r>
    </w:p>
    <w:p w:rsidR="00C258AD" w:rsidRPr="00C258AD" w:rsidRDefault="00C258AD" w:rsidP="00375300">
      <w:pPr>
        <w:pStyle w:val="ListParagraph"/>
        <w:numPr>
          <w:ilvl w:val="0"/>
          <w:numId w:val="0"/>
        </w:numPr>
        <w:tabs>
          <w:tab w:val="left" w:pos="709"/>
        </w:tabs>
        <w:contextualSpacing/>
        <w:jc w:val="both"/>
      </w:pPr>
    </w:p>
    <w:p w:rsidR="00C258AD" w:rsidRPr="00C258AD" w:rsidRDefault="00C258AD" w:rsidP="00DF2EEF">
      <w:pPr>
        <w:pStyle w:val="ListParagraph"/>
        <w:numPr>
          <w:ilvl w:val="0"/>
          <w:numId w:val="107"/>
        </w:numPr>
        <w:tabs>
          <w:tab w:val="left" w:pos="709"/>
        </w:tabs>
        <w:ind w:left="0" w:firstLine="0"/>
        <w:contextualSpacing/>
        <w:jc w:val="both"/>
      </w:pPr>
      <w:r w:rsidRPr="00C258AD">
        <w:t xml:space="preserve">Le Bureau de l’OMPI au Brésil s’est également concentré en 2014 sur les avantages économiques que confèrent les indications géographiques et sur les avantages liés à la protection des dessins et modèles.  Une attention particulière a également été portée sur la promotion du système de Madrid, le secteur industriel brésilien ayant joué un rôle particulièrement actif dans la </w:t>
      </w:r>
      <w:proofErr w:type="spellStart"/>
      <w:r w:rsidRPr="00C258AD">
        <w:t>coorganisation</w:t>
      </w:r>
      <w:proofErr w:type="spellEnd"/>
      <w:r w:rsidRPr="00C258AD">
        <w:t xml:space="preserve"> de débats sur les avantages du Protocole de Madrid quant à la compétitivité des entreprises mondiales brésiliennes.  En outre, le Bureau de l’OMPI au Brésil a travaillé en collaboration avec le programme 7 (Arbitrage, médiation et noms de domaine) afin de renforcer la collaboration avec l’Association </w:t>
      </w:r>
      <w:r w:rsidRPr="00C258AD">
        <w:lastRenderedPageBreak/>
        <w:t>brésilienne de la franchise (ABF), pour la promotion de services de médiation dans le contexte de contrats de franchise et de transfert de technologies.</w:t>
      </w:r>
    </w:p>
    <w:p w:rsidR="00C258AD" w:rsidRPr="00C258AD" w:rsidRDefault="00C258AD" w:rsidP="00375300">
      <w:pPr>
        <w:pStyle w:val="ListParagraph"/>
        <w:numPr>
          <w:ilvl w:val="0"/>
          <w:numId w:val="0"/>
        </w:numPr>
        <w:tabs>
          <w:tab w:val="left" w:pos="709"/>
        </w:tabs>
        <w:contextualSpacing/>
        <w:jc w:val="both"/>
      </w:pPr>
    </w:p>
    <w:p w:rsidR="00C258AD" w:rsidRPr="00C258AD" w:rsidRDefault="00C258AD" w:rsidP="00DF2EEF">
      <w:pPr>
        <w:pStyle w:val="ListParagraph"/>
        <w:numPr>
          <w:ilvl w:val="0"/>
          <w:numId w:val="107"/>
        </w:numPr>
        <w:tabs>
          <w:tab w:val="left" w:pos="709"/>
        </w:tabs>
        <w:ind w:left="0" w:firstLine="0"/>
        <w:contextualSpacing/>
        <w:jc w:val="both"/>
      </w:pPr>
      <w:r w:rsidRPr="00C258AD">
        <w:t>En coopération avec la Fédération des industries de l’État de Rio de Janeiro (FIRJAN), l’Université Cornell et le Réseau de technologie de Rio de Janeiro (REDETEC), et avec le soutien de l’Institut national brésilien de la propriété industrielle (INPI), le Bureau de l’OMPI au Brésil a organisé conjointement le lancement régional de l’Indice mondial 2015 de l’innovation, qui a eu lieu à Rio de Janeiro en septembre 2015.</w:t>
      </w:r>
    </w:p>
    <w:p w:rsidR="00C258AD" w:rsidRPr="00C258AD" w:rsidRDefault="00C258AD" w:rsidP="00375300">
      <w:pPr>
        <w:pStyle w:val="ListParagraph"/>
        <w:numPr>
          <w:ilvl w:val="0"/>
          <w:numId w:val="0"/>
        </w:numPr>
        <w:tabs>
          <w:tab w:val="left" w:pos="709"/>
        </w:tabs>
        <w:contextualSpacing/>
        <w:jc w:val="both"/>
      </w:pPr>
    </w:p>
    <w:p w:rsidR="00C258AD" w:rsidRPr="00C258AD" w:rsidRDefault="00C258AD" w:rsidP="00927E1F">
      <w:pPr>
        <w:jc w:val="both"/>
        <w:rPr>
          <w:u w:val="single"/>
        </w:rPr>
      </w:pPr>
      <w:r w:rsidRPr="00C258AD">
        <w:rPr>
          <w:u w:val="single"/>
        </w:rPr>
        <w:t>Bureau de l’OMPI en Chine (Mme B. Wang)</w:t>
      </w:r>
    </w:p>
    <w:p w:rsidR="00C258AD" w:rsidRPr="00C258AD" w:rsidRDefault="00C258AD" w:rsidP="00927E1F">
      <w:pPr>
        <w:jc w:val="both"/>
      </w:pPr>
    </w:p>
    <w:p w:rsidR="00C258AD" w:rsidRPr="00C258AD" w:rsidRDefault="00C258AD" w:rsidP="00DF2EEF">
      <w:pPr>
        <w:pStyle w:val="ListParagraph"/>
        <w:numPr>
          <w:ilvl w:val="0"/>
          <w:numId w:val="107"/>
        </w:numPr>
        <w:tabs>
          <w:tab w:val="left" w:pos="709"/>
        </w:tabs>
        <w:ind w:left="0" w:firstLine="0"/>
        <w:contextualSpacing/>
        <w:jc w:val="both"/>
      </w:pPr>
      <w:r w:rsidRPr="00C258AD">
        <w:t>Le Bureau de l’OMPI en Chine a été créé en juillet 2014 et s’est attaché durant la deuxième moitié de l’année à s’établir et à consolider sa structure administrative.  À cet égard, le Bureau de l’OMPI en Chine a travaillé en étroite concertation avec le Ministère des affaires étrangères, l’Office d’État de la propriété intellectuelle de la République populaire de Chine (SIPO), l’Administration d’État pour l’industrie et le commerce de la République populaire de Chine (SAIC), l’Administration nationale du droit d’auteur de la République populaire de Chine (NCAC) et le gouvernement municipal de Beijing, qui a dans une large mesure aidé le Bureau de l’OMPI en Chine à devenir rapidement opérationnel.</w:t>
      </w:r>
    </w:p>
    <w:p w:rsidR="00C258AD" w:rsidRPr="00C258AD" w:rsidRDefault="00C258AD" w:rsidP="00375300">
      <w:pPr>
        <w:pStyle w:val="ListParagraph"/>
        <w:numPr>
          <w:ilvl w:val="0"/>
          <w:numId w:val="0"/>
        </w:numPr>
        <w:tabs>
          <w:tab w:val="left" w:pos="709"/>
        </w:tabs>
        <w:contextualSpacing/>
        <w:jc w:val="both"/>
      </w:pPr>
    </w:p>
    <w:p w:rsidR="00C258AD" w:rsidRPr="00C258AD" w:rsidRDefault="00C258AD" w:rsidP="00DF2EEF">
      <w:pPr>
        <w:pStyle w:val="ListParagraph"/>
        <w:numPr>
          <w:ilvl w:val="0"/>
          <w:numId w:val="107"/>
        </w:numPr>
        <w:tabs>
          <w:tab w:val="left" w:pos="709"/>
        </w:tabs>
        <w:ind w:left="0" w:firstLine="0"/>
        <w:contextualSpacing/>
        <w:jc w:val="both"/>
      </w:pPr>
      <w:r w:rsidRPr="00C258AD">
        <w:t>En 2014 et 2015, la Chine a été le troisième plus grand utilisateur du système du PCT et le septième plus grand utilisateur du système de Madrid, c’est pourquoi la promotion des services de l’OMPI sur le marché chinois a été une priorité pour le Bureau de l’OMPI en Chine dès le départ.  Les demandes PCT en provenance de la Chine ont connu une augmentation de 38% en 2014</w:t>
      </w:r>
      <w:r w:rsidRPr="00C258AD">
        <w:noBreakHyphen/>
        <w:t>2015 (55 394) par rapport à 2012/2013 (40 134).  Les demandes pour le système de Madrid provenant de la Chine ont augmenté de deux pour cent en 2014</w:t>
      </w:r>
      <w:r w:rsidRPr="00C258AD">
        <w:noBreakHyphen/>
        <w:t>2015 (4461) par rapport à 2012</w:t>
      </w:r>
      <w:r w:rsidRPr="00C258AD">
        <w:noBreakHyphen/>
        <w:t>2013 (4373).  En effet, l’année 2015 a été témoin d’un nombre record de demandes provenant de la Chine (2401) depuis son adhésion au système en 1989.  Des événements ont été organisés à Beijing, autour de Beijing et dans des régions plus éloignées, à l’intention des utilisateurs actuels et futurs des services de l’OMPI.  Les liens tissés avec l’industrie et d’autres parties prenantes ont évolué et se sont renforcés au cours de l’exercice biennal en vue d’élargir le rayon d’action du Bureau à d’autres utilisateurs en Chine.</w:t>
      </w:r>
    </w:p>
    <w:p w:rsidR="00C258AD" w:rsidRPr="00C258AD" w:rsidRDefault="00C258AD" w:rsidP="00375300">
      <w:pPr>
        <w:pStyle w:val="ListParagraph"/>
        <w:numPr>
          <w:ilvl w:val="0"/>
          <w:numId w:val="0"/>
        </w:numPr>
        <w:tabs>
          <w:tab w:val="left" w:pos="709"/>
        </w:tabs>
        <w:contextualSpacing/>
        <w:jc w:val="both"/>
      </w:pPr>
    </w:p>
    <w:p w:rsidR="00C258AD" w:rsidRPr="00C258AD" w:rsidRDefault="00C258AD" w:rsidP="00DF2EEF">
      <w:pPr>
        <w:pStyle w:val="ListParagraph"/>
        <w:numPr>
          <w:ilvl w:val="0"/>
          <w:numId w:val="107"/>
        </w:numPr>
        <w:tabs>
          <w:tab w:val="left" w:pos="709"/>
        </w:tabs>
        <w:ind w:left="0" w:firstLine="0"/>
        <w:contextualSpacing/>
        <w:jc w:val="both"/>
      </w:pPr>
      <w:r w:rsidRPr="00C258AD">
        <w:t>L’année 2014 a été marquée par la ratification par la Chine du Traité de Beijing sur les interprétations et exécutions audiovisuelles.  Plusieurs événements ont été organisés par le Bureau de l’OMPI en Chine, en coopération avec le Gouvernement chinois, pour promouvoir une meilleure compréhension du Traité.  Pendant ce temps, le Bureau de l’OMPI en Chine a également concentré ses efforts sur la promotion du Traité de Marrakech.  En décembre 2014, une table ronde a été organisée avec la collaboration de l’Administration nationale du droit d’auteur de la Chine, à laquelle ont participé des fonctionnaires des milieux académiques et des instances publiques.  Le Bureau de l’OMPI en Chine a aussi facilité la production du Traité de Marrakech (version chinoise) en Braille, en formats DAISY et audio.</w:t>
      </w:r>
    </w:p>
    <w:p w:rsidR="00C258AD" w:rsidRPr="00C258AD" w:rsidRDefault="00C258AD" w:rsidP="00375300">
      <w:pPr>
        <w:pStyle w:val="ListParagraph"/>
        <w:numPr>
          <w:ilvl w:val="0"/>
          <w:numId w:val="0"/>
        </w:numPr>
        <w:tabs>
          <w:tab w:val="left" w:pos="709"/>
        </w:tabs>
        <w:contextualSpacing/>
        <w:jc w:val="both"/>
      </w:pPr>
    </w:p>
    <w:p w:rsidR="00C258AD" w:rsidRPr="00C258AD" w:rsidRDefault="00C258AD" w:rsidP="00DF2EEF">
      <w:pPr>
        <w:pStyle w:val="ListParagraph"/>
        <w:numPr>
          <w:ilvl w:val="0"/>
          <w:numId w:val="107"/>
        </w:numPr>
        <w:tabs>
          <w:tab w:val="left" w:pos="709"/>
        </w:tabs>
        <w:ind w:left="0" w:firstLine="0"/>
        <w:contextualSpacing/>
        <w:jc w:val="both"/>
      </w:pPr>
      <w:r w:rsidRPr="00C258AD">
        <w:t xml:space="preserve">Dans le domaine des dessins et modèles industriels, le Bureau de l’OMPI en Chine a continué de soutenir la Chine dans sa volonté d’adhérer au système de La Haye.  Des pourparlers ont été engagés avec de hauts fonctionnaires de l’administration et du pouvoir législatif.  Le Bureau de l’OMPI en Chine a participé à un colloque international et a organisé ou </w:t>
      </w:r>
      <w:proofErr w:type="spellStart"/>
      <w:r w:rsidRPr="00C258AD">
        <w:t>coorganisé</w:t>
      </w:r>
      <w:proofErr w:type="spellEnd"/>
      <w:r w:rsidRPr="00C258AD">
        <w:t xml:space="preserve"> de nombreux séminaires sur les dessins et modèles industriels, au cours desquels il a pu souligner les avantages du système et en expliquer le fonctionnement.  En parallèle, le Bureau de l’OMPI en Chine s’est engagé directement avec le secteur des entreprises pour promouvoir le système de La Haye.  En conséquence, l’entreprise chinoise Lenovo est devenue le septième plus grand utilisateur du système de La Haye en 2014.  En 2015, </w:t>
      </w:r>
      <w:proofErr w:type="spellStart"/>
      <w:r w:rsidRPr="00C258AD">
        <w:t>Huawei</w:t>
      </w:r>
      <w:proofErr w:type="spellEnd"/>
      <w:r w:rsidRPr="00C258AD">
        <w:t xml:space="preserve"> et </w:t>
      </w:r>
      <w:proofErr w:type="spellStart"/>
      <w:r w:rsidRPr="00C258AD">
        <w:t>Xiaomi</w:t>
      </w:r>
      <w:proofErr w:type="spellEnd"/>
      <w:r w:rsidRPr="00C258AD">
        <w:t xml:space="preserve"> ont également commencé à utiliser ce système.</w:t>
      </w:r>
    </w:p>
    <w:p w:rsidR="00C258AD" w:rsidRPr="00C258AD" w:rsidRDefault="00C258AD" w:rsidP="00375300">
      <w:pPr>
        <w:pStyle w:val="ListParagraph"/>
        <w:numPr>
          <w:ilvl w:val="0"/>
          <w:numId w:val="0"/>
        </w:numPr>
        <w:tabs>
          <w:tab w:val="left" w:pos="709"/>
        </w:tabs>
        <w:contextualSpacing/>
        <w:jc w:val="both"/>
      </w:pPr>
    </w:p>
    <w:p w:rsidR="00C258AD" w:rsidRPr="00C258AD" w:rsidRDefault="00C258AD" w:rsidP="00DF2EEF">
      <w:pPr>
        <w:pStyle w:val="ListParagraph"/>
        <w:numPr>
          <w:ilvl w:val="0"/>
          <w:numId w:val="107"/>
        </w:numPr>
        <w:tabs>
          <w:tab w:val="left" w:pos="709"/>
        </w:tabs>
        <w:ind w:left="0" w:firstLine="0"/>
        <w:contextualSpacing/>
        <w:jc w:val="both"/>
      </w:pPr>
      <w:r w:rsidRPr="00C258AD">
        <w:t xml:space="preserve">Le Bureau de l’OMPI en Chine a également été actif au cours de l’exercice biennal dans de nombreux autres domaines.  Les discussions avec l’Administration d’État pour l’industrie et le commerce de la République populaire de Chine ont progressé en ce qui concerne la coopération avec la Chine en matière d’échange de données pour la base de données mondiale sur les marques de l’OMPI, donnant lieu à l’initiation d’un échange de données expérimental en 2015.  Le Bureau de l’OMPI en Chine a continué de promouvoir les plateformes de l’OMPI.  Il est à noter que le groupe </w:t>
      </w:r>
      <w:proofErr w:type="spellStart"/>
      <w:r w:rsidRPr="00C258AD">
        <w:t>Haier</w:t>
      </w:r>
      <w:proofErr w:type="spellEnd"/>
      <w:r w:rsidRPr="00C258AD">
        <w:t xml:space="preserve"> (l’un des plus grands fabricants d’appareils électroniques au monde) et le centre chinois pour l’échange de technologies ont rejoint le réseau WIPO GREEN en 2014, soit peu après la création du Bureau de l’OMPI en Chine.  De plus, en coopération avec le Centre d’arbitrage et de médiation de l’OMPI, le Bureau de l’OMPI en Chine a entrepris un certain nombre d’activités promotionnelles et de sessions de formation </w:t>
      </w:r>
      <w:r w:rsidRPr="00C258AD">
        <w:lastRenderedPageBreak/>
        <w:t>pour accroître la sensibilisation des parties prenantes chinoises et les encourager à utiliser les services proposés par le Centre.</w:t>
      </w:r>
    </w:p>
    <w:p w:rsidR="00C258AD" w:rsidRPr="00C258AD" w:rsidRDefault="00C258AD" w:rsidP="00375300">
      <w:pPr>
        <w:pStyle w:val="ListParagraph"/>
        <w:numPr>
          <w:ilvl w:val="0"/>
          <w:numId w:val="0"/>
        </w:numPr>
        <w:tabs>
          <w:tab w:val="left" w:pos="709"/>
        </w:tabs>
        <w:contextualSpacing/>
        <w:jc w:val="both"/>
      </w:pPr>
    </w:p>
    <w:p w:rsidR="00C258AD" w:rsidRPr="00C258AD" w:rsidRDefault="00C258AD" w:rsidP="00DF2EEF">
      <w:pPr>
        <w:pStyle w:val="ListParagraph"/>
        <w:numPr>
          <w:ilvl w:val="0"/>
          <w:numId w:val="107"/>
        </w:numPr>
        <w:tabs>
          <w:tab w:val="left" w:pos="709"/>
        </w:tabs>
        <w:ind w:left="0" w:firstLine="0"/>
        <w:contextualSpacing/>
        <w:jc w:val="both"/>
      </w:pPr>
      <w:r w:rsidRPr="00C258AD">
        <w:t>Parallèlement, le Bureau de l’OMPI en Chine a lancé des activités visant à la faire connaître et à souligner le rôle essentiel que jouent la propriété intellectuelle et l’innovation dans le développement de la Chine.  À cet égard, on peut citer par exemple la seizième cérémonie de remise du prix OMPI</w:t>
      </w:r>
      <w:r w:rsidRPr="00C258AD">
        <w:noBreakHyphen/>
        <w:t>SIPO pour l’invention brevetée et le dessin ou modèle industriel chinois les plus exceptionnels ou le huitième Salon international des inventions organisé par l’Association des inventions de la Chine, au cours duquel le Bureau de l’OMPI en Chine a également présenté le programme des prix de l’OMPI.</w:t>
      </w:r>
    </w:p>
    <w:p w:rsidR="00C258AD" w:rsidRPr="00C258AD" w:rsidRDefault="00C258AD" w:rsidP="00375300">
      <w:pPr>
        <w:pStyle w:val="ListParagraph"/>
        <w:numPr>
          <w:ilvl w:val="0"/>
          <w:numId w:val="0"/>
        </w:numPr>
        <w:tabs>
          <w:tab w:val="left" w:pos="709"/>
        </w:tabs>
        <w:contextualSpacing/>
        <w:jc w:val="both"/>
      </w:pPr>
    </w:p>
    <w:p w:rsidR="00C258AD" w:rsidRPr="00C258AD" w:rsidRDefault="00C258AD" w:rsidP="00DF2EEF">
      <w:pPr>
        <w:pStyle w:val="ListParagraph"/>
        <w:numPr>
          <w:ilvl w:val="0"/>
          <w:numId w:val="107"/>
        </w:numPr>
        <w:tabs>
          <w:tab w:val="left" w:pos="709"/>
        </w:tabs>
        <w:ind w:left="0" w:firstLine="0"/>
        <w:contextualSpacing/>
        <w:jc w:val="both"/>
      </w:pPr>
      <w:r w:rsidRPr="00C258AD">
        <w:t>En novembre 2015, un mémorandum d’accord a été signé entre l’OMPI et l’Administration nationale du droit d’auteur en Chine en vue de renforcer la coopération bilatérale avec le pays hôte du Bureau de l’OMPI en Chine.  En outre, l’engagement et la coopération avec les gouvernements locaux, à l’échelon local et provincial, ont continué d’être renforcés.  Deux mémorandums d’accord ont d’ailleurs été signés entre l’OMPI et le gouvernement municipal de Shanghai (2014) et le gouvernement municipal de Beijing (2015).</w:t>
      </w:r>
    </w:p>
    <w:p w:rsidR="00C258AD" w:rsidRPr="00C258AD" w:rsidRDefault="00C258AD" w:rsidP="00375300">
      <w:pPr>
        <w:pStyle w:val="ListParagraph"/>
        <w:numPr>
          <w:ilvl w:val="0"/>
          <w:numId w:val="0"/>
        </w:numPr>
        <w:tabs>
          <w:tab w:val="left" w:pos="709"/>
        </w:tabs>
        <w:contextualSpacing/>
        <w:jc w:val="both"/>
      </w:pPr>
    </w:p>
    <w:p w:rsidR="00C258AD" w:rsidRPr="00C258AD" w:rsidRDefault="00C258AD" w:rsidP="00DF2EEF">
      <w:pPr>
        <w:pStyle w:val="ListParagraph"/>
        <w:numPr>
          <w:ilvl w:val="0"/>
          <w:numId w:val="107"/>
        </w:numPr>
        <w:tabs>
          <w:tab w:val="left" w:pos="709"/>
        </w:tabs>
        <w:ind w:left="0" w:firstLine="0"/>
        <w:contextualSpacing/>
        <w:jc w:val="both"/>
      </w:pPr>
      <w:r w:rsidRPr="00C258AD">
        <w:t>Dans le domaine de l’assistance technique et du renforcement des capacités, le Bureau de l’OMPI en Chine a apporté son soutien au programme 11 (Académie de l’OMPI) pour l’ouverture du premier cours d’été de l’OMPI sur le campus de l’Université de sciences politiques et de droit de Chine de l’Est en mai 2015;  il a également soutenu la préparation d’un mémorandum d’accord avec le Centre chinois de formation pour la propriété intellectuelle.</w:t>
      </w:r>
    </w:p>
    <w:p w:rsidR="00C258AD" w:rsidRPr="00C258AD" w:rsidRDefault="00C258AD" w:rsidP="00375300">
      <w:pPr>
        <w:pStyle w:val="ListParagraph"/>
        <w:numPr>
          <w:ilvl w:val="0"/>
          <w:numId w:val="0"/>
        </w:numPr>
        <w:tabs>
          <w:tab w:val="left" w:pos="709"/>
        </w:tabs>
        <w:contextualSpacing/>
        <w:jc w:val="both"/>
      </w:pPr>
    </w:p>
    <w:p w:rsidR="00C258AD" w:rsidRPr="00C258AD" w:rsidRDefault="00C258AD" w:rsidP="00DF2EEF">
      <w:pPr>
        <w:pStyle w:val="ListParagraph"/>
        <w:numPr>
          <w:ilvl w:val="0"/>
          <w:numId w:val="107"/>
        </w:numPr>
        <w:tabs>
          <w:tab w:val="left" w:pos="709"/>
        </w:tabs>
        <w:ind w:left="0" w:firstLine="0"/>
        <w:contextualSpacing/>
        <w:jc w:val="both"/>
      </w:pPr>
      <w:r w:rsidRPr="00C258AD">
        <w:t>La sensibilisation des parties prenantes concernées, en vue d’informer davantage le public sur l’OMPI et les droits de propriété intellectuelle en Chine, a continué d’être renforcée en collaboration avec les autorités chinoises de propriété intellectuelle, y compris à l’occasion de la Journée mondiale de la propriété intellectuelle.  En juillet 2015, le Bureau de l’OMPI en Chine a organisé un séminaire auquel ont participé plus de 80 journalistes.</w:t>
      </w:r>
    </w:p>
    <w:p w:rsidR="00C258AD" w:rsidRPr="00C258AD" w:rsidRDefault="00C258AD" w:rsidP="00375300">
      <w:pPr>
        <w:pStyle w:val="ListParagraph"/>
        <w:numPr>
          <w:ilvl w:val="0"/>
          <w:numId w:val="0"/>
        </w:numPr>
        <w:tabs>
          <w:tab w:val="left" w:pos="709"/>
        </w:tabs>
        <w:contextualSpacing/>
        <w:jc w:val="both"/>
      </w:pPr>
    </w:p>
    <w:p w:rsidR="00C258AD" w:rsidRDefault="00C258AD" w:rsidP="00DF2EEF">
      <w:pPr>
        <w:pStyle w:val="ListParagraph"/>
        <w:numPr>
          <w:ilvl w:val="0"/>
          <w:numId w:val="107"/>
        </w:numPr>
        <w:tabs>
          <w:tab w:val="left" w:pos="709"/>
        </w:tabs>
        <w:ind w:left="0" w:firstLine="0"/>
        <w:contextualSpacing/>
        <w:jc w:val="both"/>
      </w:pPr>
      <w:r w:rsidRPr="00C258AD">
        <w:t>En outre, le Bureau de l’OMPI en Chine a continué de jouer un rôle essentiel pour assurer un service à la clientèle 24h/24.  Doté de deux numéros d’urgence et d’une boîte de réception électronique pour la clientèle, le Bureau de l’OMPI en Chine a répondu à plus de 700 demandes formulées en mandarin par les utilisateurs des services de l’OMPI en Chine durant les heures de travail locales, ce qui a considérablement accru la satisfaction des utilisateurs.</w:t>
      </w:r>
    </w:p>
    <w:p w:rsidR="00375300" w:rsidRPr="00C258AD" w:rsidRDefault="00375300" w:rsidP="00375300">
      <w:pPr>
        <w:tabs>
          <w:tab w:val="left" w:pos="709"/>
        </w:tabs>
        <w:contextualSpacing/>
        <w:jc w:val="both"/>
      </w:pPr>
    </w:p>
    <w:p w:rsidR="00C258AD" w:rsidRPr="00C258AD" w:rsidRDefault="00C258AD" w:rsidP="00927E1F">
      <w:pPr>
        <w:jc w:val="both"/>
        <w:rPr>
          <w:u w:val="single"/>
        </w:rPr>
      </w:pPr>
      <w:r w:rsidRPr="00C258AD">
        <w:rPr>
          <w:u w:val="single"/>
        </w:rPr>
        <w:t>Bureau de l’OMPI au Japon (M. Y. Takagi)</w:t>
      </w:r>
    </w:p>
    <w:p w:rsidR="00C258AD" w:rsidRPr="00C258AD" w:rsidRDefault="00C258AD" w:rsidP="00927E1F">
      <w:pPr>
        <w:jc w:val="both"/>
        <w:rPr>
          <w:u w:val="single"/>
        </w:rPr>
      </w:pPr>
    </w:p>
    <w:p w:rsidR="00C258AD" w:rsidRPr="00C258AD" w:rsidRDefault="00C258AD" w:rsidP="00DF2EEF">
      <w:pPr>
        <w:pStyle w:val="ListParagraph"/>
        <w:numPr>
          <w:ilvl w:val="0"/>
          <w:numId w:val="107"/>
        </w:numPr>
        <w:tabs>
          <w:tab w:val="left" w:pos="709"/>
        </w:tabs>
        <w:ind w:left="0" w:firstLine="0"/>
        <w:jc w:val="both"/>
      </w:pPr>
      <w:r w:rsidRPr="00C258AD">
        <w:t>Au cours de l’exercice biennal, le Bureau de l’OMPI au Japon a continué de concentrer son attention sur les systèmes de propriété intellectuelle, les bases de données mondiales et les plateformes multipartites de l’OMPI sur le marché japonais.  Cet effort passait par la fourniture de services rapides et efficaces aux utilisateurs de ces outils.  À un certain niveau, cela impliquait la fourniture par le Bureau de conseils et d’informations en réponse aux près de 1500 demandes qu’il avait reçues lors de l’exercice biennal.  À un autre niveau, cela voulait dire communiquer avec les utilisateurs des services de l’OMPI et d’autres parties prenantes, en collaborant étroitement avec les institutions du gouvernement hôte, l’industrie et les universités au Japon et en s’appuyant sur elles.  À cet égard, 75 activités promotionnelles ont été organisées.  Ces activités s’adressaient aux principales parties prenantes japonaises et ont réuni quelque 10 000 participants.</w:t>
      </w:r>
    </w:p>
    <w:p w:rsidR="00C258AD" w:rsidRPr="00C258AD" w:rsidRDefault="00C258AD" w:rsidP="00375300">
      <w:pPr>
        <w:pStyle w:val="ListParagraph"/>
        <w:numPr>
          <w:ilvl w:val="0"/>
          <w:numId w:val="0"/>
        </w:numPr>
        <w:tabs>
          <w:tab w:val="left" w:pos="709"/>
        </w:tabs>
        <w:jc w:val="both"/>
      </w:pPr>
    </w:p>
    <w:p w:rsidR="00C258AD" w:rsidRPr="00C258AD" w:rsidRDefault="00C258AD" w:rsidP="00DF2EEF">
      <w:pPr>
        <w:pStyle w:val="ListParagraph"/>
        <w:numPr>
          <w:ilvl w:val="0"/>
          <w:numId w:val="107"/>
        </w:numPr>
        <w:tabs>
          <w:tab w:val="left" w:pos="709"/>
        </w:tabs>
        <w:ind w:left="0" w:firstLine="0"/>
        <w:jc w:val="both"/>
      </w:pPr>
      <w:r w:rsidRPr="00C258AD">
        <w:t>L’une des grandes réussites de cet exercice biennal était l’adhésion du Japon au système de La Haye en février 2015 et l’entrée en vigueur du système pour le pays en mai 2015.  Le Bureau de l’OMPI au Japon a donné aux utilisateurs potentiels tels que les entreprises et les cabinets d’avocat les dernières informations concernant le système de La Haye.  Afin de faciliter l’utilisation du système, il a dispensé une formation pratique sur le dépôt électronique et répondu aux questions des utilisateurs en vue de les rassurer et d’accroître l’intérêt à l’égard du système et son utilisation.  À la fin de l’exercice biennal, 411 dessins et modèles avaient déjà été déposés en utilisant le système, en sept mois et demi.</w:t>
      </w:r>
    </w:p>
    <w:p w:rsidR="00C258AD" w:rsidRPr="00C258AD" w:rsidRDefault="00C258AD" w:rsidP="00375300">
      <w:pPr>
        <w:pStyle w:val="ListParagraph"/>
        <w:numPr>
          <w:ilvl w:val="0"/>
          <w:numId w:val="0"/>
        </w:numPr>
        <w:tabs>
          <w:tab w:val="left" w:pos="709"/>
        </w:tabs>
        <w:jc w:val="both"/>
      </w:pPr>
    </w:p>
    <w:p w:rsidR="00C258AD" w:rsidRPr="00C258AD" w:rsidRDefault="00C258AD" w:rsidP="00DF2EEF">
      <w:pPr>
        <w:pStyle w:val="ListParagraph"/>
        <w:numPr>
          <w:ilvl w:val="0"/>
          <w:numId w:val="107"/>
        </w:numPr>
        <w:tabs>
          <w:tab w:val="left" w:pos="709"/>
        </w:tabs>
        <w:ind w:left="0" w:firstLine="0"/>
        <w:jc w:val="both"/>
      </w:pPr>
      <w:r w:rsidRPr="00C258AD">
        <w:t xml:space="preserve">Le Bureau s’est aussi concentré, de manière plus générale, sur la sensibilisation à l’OMPI et à ses activités.  Cet objectif a été atteint en organisant de nombreuses réunions avec les parties prenantes japonaises, en participant à des événements, en donnant des cours dans des universités et par le biais de l’apprentissage en ligne, en produisant des brochures contenant des renseignements importants sur l’OMPI en japonais et en fournissant des informations relatives à l’Organisation sur le site du Bureau de </w:t>
      </w:r>
      <w:r w:rsidRPr="00C258AD">
        <w:lastRenderedPageBreak/>
        <w:t>l’OMPI au Japon.  Ce dernier a continué de jouer un rôle essentiel en garantissant un service à la clientèle 24h/24.</w:t>
      </w:r>
    </w:p>
    <w:p w:rsidR="00C258AD" w:rsidRPr="00C258AD" w:rsidRDefault="00C258AD" w:rsidP="00375300">
      <w:pPr>
        <w:pStyle w:val="ListParagraph"/>
        <w:numPr>
          <w:ilvl w:val="0"/>
          <w:numId w:val="0"/>
        </w:numPr>
        <w:tabs>
          <w:tab w:val="left" w:pos="709"/>
        </w:tabs>
        <w:jc w:val="both"/>
      </w:pPr>
    </w:p>
    <w:p w:rsidR="00C258AD" w:rsidRPr="00C258AD" w:rsidRDefault="00C258AD" w:rsidP="00DF2EEF">
      <w:pPr>
        <w:pStyle w:val="ListParagraph"/>
        <w:numPr>
          <w:ilvl w:val="0"/>
          <w:numId w:val="107"/>
        </w:numPr>
        <w:tabs>
          <w:tab w:val="left" w:pos="709"/>
        </w:tabs>
        <w:ind w:left="0" w:firstLine="0"/>
        <w:jc w:val="both"/>
      </w:pPr>
      <w:r w:rsidRPr="00C258AD">
        <w:t>Outre la promotion du PCT et du PATENTSCOPE, un membre du Bureau de l’OMPI au Japon pleinement engagé dans la promotion du système de Madrid a visité à titre individuel quelque 200 entreprises et a participé à de nombreux séminaires en tant qu’intervenant.  Cette initiative, destinée à faire en sorte que les utilisateurs actuels et potentiels restent informés des dernières évolutions législatives et des bases de données, a contribué à une augmentation importante du nombre de demandes liées au système de Madrid provenant du Japon (en tant qu’office d’origine), qui est passé de 1845 en 2013 à 2167 en 2015 (augmentation de 17%).</w:t>
      </w:r>
    </w:p>
    <w:p w:rsidR="00C258AD" w:rsidRPr="00C258AD" w:rsidRDefault="00C258AD" w:rsidP="00375300">
      <w:pPr>
        <w:pStyle w:val="ListParagraph"/>
        <w:numPr>
          <w:ilvl w:val="0"/>
          <w:numId w:val="0"/>
        </w:numPr>
        <w:tabs>
          <w:tab w:val="left" w:pos="709"/>
        </w:tabs>
        <w:jc w:val="both"/>
      </w:pPr>
    </w:p>
    <w:p w:rsidR="00C258AD" w:rsidRPr="00C258AD" w:rsidRDefault="00C258AD" w:rsidP="00DF2EEF">
      <w:pPr>
        <w:pStyle w:val="ListParagraph"/>
        <w:numPr>
          <w:ilvl w:val="0"/>
          <w:numId w:val="107"/>
        </w:numPr>
        <w:tabs>
          <w:tab w:val="left" w:pos="709"/>
        </w:tabs>
        <w:ind w:left="0" w:firstLine="0"/>
        <w:jc w:val="both"/>
      </w:pPr>
      <w:r w:rsidRPr="00C258AD">
        <w:t xml:space="preserve">Par ailleurs, le Bureau de l’OMPI au Japon a assuré de manière active la promotion des plateformes multipartites de l’OMPI.  Ces efforts se sont traduits par l’adhésion de quatre nouveaux organismes japonais en tant que partenaires de WIPO GREEN et d’un institut pharmaceutique en tant que membre de WIPO </w:t>
      </w:r>
      <w:proofErr w:type="spellStart"/>
      <w:r w:rsidRPr="00C258AD">
        <w:t>Re:Search</w:t>
      </w:r>
      <w:proofErr w:type="spellEnd"/>
      <w:r w:rsidRPr="00C258AD">
        <w:t xml:space="preserve"> au cours de l’exercice biennal.  Ils ont aussi contribué à une augmentation du nombre d’adhésions au réseau WIPO GREEN.</w:t>
      </w:r>
    </w:p>
    <w:p w:rsidR="00C258AD" w:rsidRPr="00C258AD" w:rsidRDefault="00C258AD" w:rsidP="00375300">
      <w:pPr>
        <w:pStyle w:val="ListParagraph"/>
        <w:numPr>
          <w:ilvl w:val="0"/>
          <w:numId w:val="0"/>
        </w:numPr>
        <w:tabs>
          <w:tab w:val="left" w:pos="709"/>
        </w:tabs>
        <w:jc w:val="both"/>
      </w:pPr>
    </w:p>
    <w:p w:rsidR="00C258AD" w:rsidRPr="00C258AD" w:rsidRDefault="00C258AD" w:rsidP="00DF2EEF">
      <w:pPr>
        <w:pStyle w:val="ListParagraph"/>
        <w:numPr>
          <w:ilvl w:val="0"/>
          <w:numId w:val="107"/>
        </w:numPr>
        <w:tabs>
          <w:tab w:val="left" w:pos="709"/>
        </w:tabs>
        <w:ind w:left="0" w:firstLine="0"/>
        <w:jc w:val="both"/>
      </w:pPr>
      <w:r w:rsidRPr="00C258AD">
        <w:t>Le Bureau de l’OMPI au Japon a joué un rôle déterminant dans la création d’un lien entre les parties prenantes au Japon et le siège, par le biais d’échanges positifs, notamment en faisant remonter leurs réactions aux secteurs pertinents au siège, en donnant aux fonctionnaires de l’OMPI des possibilités d’assurer, avec les parties prenantes, le suivi des services mondiaux de l’OMPI, des bases de données mondiales, du Centre d’arbitrage et de médiation et du Rapport sur la propriété intellectuelle dans le monde.</w:t>
      </w:r>
    </w:p>
    <w:p w:rsidR="00C258AD" w:rsidRPr="00C258AD" w:rsidRDefault="00C258AD" w:rsidP="00375300">
      <w:pPr>
        <w:pStyle w:val="ListParagraph"/>
        <w:numPr>
          <w:ilvl w:val="0"/>
          <w:numId w:val="0"/>
        </w:numPr>
        <w:tabs>
          <w:tab w:val="left" w:pos="709"/>
        </w:tabs>
        <w:jc w:val="both"/>
      </w:pPr>
    </w:p>
    <w:p w:rsidR="00C258AD" w:rsidRPr="00C258AD" w:rsidRDefault="00C258AD" w:rsidP="00DF2EEF">
      <w:pPr>
        <w:pStyle w:val="ListParagraph"/>
        <w:numPr>
          <w:ilvl w:val="0"/>
          <w:numId w:val="107"/>
        </w:numPr>
        <w:tabs>
          <w:tab w:val="left" w:pos="709"/>
        </w:tabs>
        <w:ind w:left="0" w:firstLine="0"/>
        <w:jc w:val="both"/>
      </w:pPr>
      <w:r w:rsidRPr="00C258AD">
        <w:t>Le fonds fiduciaire du Japon destiné à la propriété industrielle a continué de donner au Bureau de l’OMPI au Japon de précieuses occasions de contribuer à la mise en œuvre des activités dans le pays.  Le Bureau tenait et actualisait une base de données d’études de cas (“IP </w:t>
      </w:r>
      <w:proofErr w:type="spellStart"/>
      <w:r w:rsidRPr="00C258AD">
        <w:t>Advantage</w:t>
      </w:r>
      <w:proofErr w:type="spellEnd"/>
      <w:r w:rsidRPr="00C258AD">
        <w:t xml:space="preserve">”) dans lesquels la propriété intellectuelle avait été utilisée avec succès pour promouvoir le développement, sur le site Web de l’OMPI.  Il avait ajouté à la base de données 22 nouvelles études de cas mettant en avant l’utilisation de la propriété intellectuelle par les PME et les entrepreneurs, portant ainsi le nombre de cas contenus dans la base de données à 210.  Le Bureau a réalisé six présentations dans des universités en s’appuyant sur la base de données IP </w:t>
      </w:r>
      <w:proofErr w:type="spellStart"/>
      <w:r w:rsidRPr="00C258AD">
        <w:t>Advantage</w:t>
      </w:r>
      <w:proofErr w:type="spellEnd"/>
      <w:r w:rsidRPr="00C258AD">
        <w:t xml:space="preserve"> afin de donner des exemples concrets de la manière dont la propriété intellectuelle pouvait contribuer au développement.</w:t>
      </w:r>
    </w:p>
    <w:p w:rsidR="00C258AD" w:rsidRPr="00C258AD" w:rsidRDefault="00C258AD" w:rsidP="00375300">
      <w:pPr>
        <w:pStyle w:val="ListParagraph"/>
        <w:numPr>
          <w:ilvl w:val="0"/>
          <w:numId w:val="0"/>
        </w:numPr>
        <w:tabs>
          <w:tab w:val="left" w:pos="709"/>
        </w:tabs>
        <w:jc w:val="both"/>
      </w:pPr>
    </w:p>
    <w:p w:rsidR="00C258AD" w:rsidRPr="00C258AD" w:rsidRDefault="00C258AD" w:rsidP="00DF2EEF">
      <w:pPr>
        <w:pStyle w:val="ListParagraph"/>
        <w:numPr>
          <w:ilvl w:val="0"/>
          <w:numId w:val="107"/>
        </w:numPr>
        <w:tabs>
          <w:tab w:val="left" w:pos="709"/>
        </w:tabs>
        <w:ind w:left="0" w:firstLine="0"/>
        <w:jc w:val="both"/>
      </w:pPr>
      <w:r w:rsidRPr="00C258AD">
        <w:t>Pour la première fois, le Bureau de l’OMPI au Japon a mis en place des bourses d’étude de courte durée en coordination avec ses homologues au siège (notamment l’Académie de l’OMPI), qui comprenaient deux semaines de formation dans des cabinets juridiques de Tokyo spécialisés en propriété intellectuelle.  Ces bourses étaient destinées aux titulaires d’une maîtrise en droit de la propriété intellectuelle de l’OMPI issus de pays en développement de la région Asie et Pacifique, et avaient pour objectif de consolider les connaissances théoriques des participants en leur proposant une expérience concrète dans le domaine de la propriété intellectuelle.</w:t>
      </w:r>
    </w:p>
    <w:p w:rsidR="00C258AD" w:rsidRPr="00C258AD" w:rsidRDefault="00C258AD" w:rsidP="00375300">
      <w:pPr>
        <w:pStyle w:val="ListParagraph"/>
        <w:numPr>
          <w:ilvl w:val="0"/>
          <w:numId w:val="0"/>
        </w:numPr>
        <w:tabs>
          <w:tab w:val="left" w:pos="709"/>
        </w:tabs>
        <w:jc w:val="both"/>
      </w:pPr>
    </w:p>
    <w:p w:rsidR="00C258AD" w:rsidRPr="00C258AD" w:rsidRDefault="00C258AD" w:rsidP="00DF2EEF">
      <w:pPr>
        <w:pStyle w:val="ListParagraph"/>
        <w:numPr>
          <w:ilvl w:val="0"/>
          <w:numId w:val="107"/>
        </w:numPr>
        <w:tabs>
          <w:tab w:val="left" w:pos="709"/>
        </w:tabs>
        <w:ind w:left="0" w:firstLine="0"/>
        <w:jc w:val="both"/>
      </w:pPr>
      <w:r w:rsidRPr="00C258AD">
        <w:t>En outre, le Bureau de l’OMPI au Japon a servi de bureau pilote pour la mise en œuvre de la solution informatique d’architecture mondiale des bureaux, assurant une intégration homogène et une connexion sécurisée à tous les systèmes informatiques administratifs de l’OMPI présents au siège.</w:t>
      </w:r>
    </w:p>
    <w:p w:rsidR="00C258AD" w:rsidRPr="00C258AD" w:rsidRDefault="00C258AD" w:rsidP="00927E1F">
      <w:pPr>
        <w:tabs>
          <w:tab w:val="left" w:pos="709"/>
        </w:tabs>
        <w:jc w:val="both"/>
        <w:rPr>
          <w:bCs/>
          <w:u w:val="single"/>
        </w:rPr>
      </w:pPr>
    </w:p>
    <w:p w:rsidR="00C258AD" w:rsidRPr="00C258AD" w:rsidRDefault="00C258AD" w:rsidP="00927E1F">
      <w:pPr>
        <w:keepNext/>
        <w:jc w:val="both"/>
        <w:rPr>
          <w:u w:val="single"/>
        </w:rPr>
      </w:pPr>
      <w:r w:rsidRPr="00C258AD">
        <w:rPr>
          <w:u w:val="single"/>
        </w:rPr>
        <w:t>Bureau de l’OMPI en Russie (Directeur général)</w:t>
      </w:r>
    </w:p>
    <w:p w:rsidR="00C258AD" w:rsidRPr="00C258AD" w:rsidRDefault="00C258AD" w:rsidP="00927E1F">
      <w:pPr>
        <w:keepNext/>
        <w:jc w:val="both"/>
      </w:pPr>
    </w:p>
    <w:p w:rsidR="00C258AD" w:rsidRPr="00C258AD" w:rsidRDefault="00C258AD" w:rsidP="00DF2EEF">
      <w:pPr>
        <w:pStyle w:val="ListParagraph"/>
        <w:numPr>
          <w:ilvl w:val="0"/>
          <w:numId w:val="107"/>
        </w:numPr>
        <w:tabs>
          <w:tab w:val="left" w:pos="709"/>
        </w:tabs>
        <w:ind w:left="0" w:firstLine="0"/>
        <w:jc w:val="both"/>
      </w:pPr>
      <w:r w:rsidRPr="00C258AD">
        <w:rPr>
          <w:szCs w:val="22"/>
        </w:rPr>
        <w:t xml:space="preserve">Le Bureau de l’OMPI en Russie a été créé en juillet 2014 et, à l’instar du Bureau de l’OMPI en Chine, </w:t>
      </w:r>
      <w:r w:rsidRPr="00C258AD">
        <w:t xml:space="preserve">s’est </w:t>
      </w:r>
      <w:proofErr w:type="gramStart"/>
      <w:r w:rsidRPr="00C258AD">
        <w:t>attaché</w:t>
      </w:r>
      <w:proofErr w:type="gramEnd"/>
      <w:r w:rsidRPr="00C258AD">
        <w:t xml:space="preserve"> durant la deuxième moitié de 2014 à s’établir et à consolider sa structure administrative.  À cet égard, le Bureau de l’OMPI en Russie a travaillé en étroite concertation avec le pays hôte, notamment avec le Service fédéral pour la propriété intellectuelle (ROSPATENT), le Conseil de la Fédération de l’Assemblée fédérale de la Fédération de Russie, la Cour des droits de propriété intellectuelle et l’Académie de la propriété intellectuelle de la Fédération de Russie (RGAIS).  Cette collaboration </w:t>
      </w:r>
      <w:r w:rsidRPr="00C258AD">
        <w:rPr>
          <w:lang w:eastAsia="zh-CN"/>
        </w:rPr>
        <w:t>a dans une large mesure aidé le Bureau de l’OMPI en Russie à devenir rapidement opérationnel.</w:t>
      </w:r>
    </w:p>
    <w:p w:rsidR="00C258AD" w:rsidRPr="00C258AD" w:rsidRDefault="00C258AD" w:rsidP="00927E1F">
      <w:pPr>
        <w:tabs>
          <w:tab w:val="left" w:pos="709"/>
        </w:tabs>
        <w:jc w:val="both"/>
      </w:pPr>
    </w:p>
    <w:p w:rsidR="00C258AD" w:rsidRPr="00C258AD" w:rsidRDefault="00C258AD" w:rsidP="00DF2EEF">
      <w:pPr>
        <w:pStyle w:val="ListParagraph"/>
        <w:numPr>
          <w:ilvl w:val="0"/>
          <w:numId w:val="107"/>
        </w:numPr>
        <w:tabs>
          <w:tab w:val="left" w:pos="709"/>
        </w:tabs>
        <w:ind w:left="0" w:firstLine="0"/>
        <w:jc w:val="both"/>
      </w:pPr>
      <w:r w:rsidRPr="00C258AD">
        <w:rPr>
          <w:szCs w:val="22"/>
        </w:rPr>
        <w:t xml:space="preserve">Le Bureau de l’OMPI en Russie s’est efforcé au cours de l’exercice biennal d’assurer la promotion des services de l’OMPI sur le marché russe.  À cet égard, il a participé à plusieurs événements nationaux organisés par </w:t>
      </w:r>
      <w:r w:rsidRPr="00C258AD">
        <w:t xml:space="preserve">ROSPATENT et l’OMPI ainsi qu’à des activités de renforcement des capacités à Moscou et dans d’autres villes, axées sur la promotion des systèmes du PCT, de Madrid et de La Haye.  </w:t>
      </w:r>
      <w:r w:rsidRPr="00C258AD">
        <w:rPr>
          <w:szCs w:val="22"/>
        </w:rPr>
        <w:t xml:space="preserve">En outre, ces réunions ont permis d’aider la Fédération de Russie à mettre sur pied son réseau de </w:t>
      </w:r>
      <w:r w:rsidRPr="00C258AD">
        <w:rPr>
          <w:szCs w:val="22"/>
        </w:rPr>
        <w:lastRenderedPageBreak/>
        <w:t>centres d’appui à la technologie et à l’innovation</w:t>
      </w:r>
      <w:r w:rsidRPr="00C258AD">
        <w:t xml:space="preserve">, à renforcer les capacités des universités et des instituts de recherche locaux en ce qui concerne l’élaboration d’une politique en matière de propriété intellectuelle, et de mieux faire connaître le système international de la propriété intellectuelle.  </w:t>
      </w:r>
      <w:r w:rsidRPr="00C258AD">
        <w:rPr>
          <w:szCs w:val="22"/>
        </w:rPr>
        <w:t xml:space="preserve">Ces réunions ont également permis de rapprocher le Bureau de l’OMPI en Russie nouvellement créé et les parties prenantes nationales, telles que la Chambre de commerce et d’industrie, avec lesquelles le Bureau de l’OMPI en Russie entend collaborer étroitement dans l’avenir lorsqu’il </w:t>
      </w:r>
      <w:r w:rsidRPr="00C258AD">
        <w:t>élargira son rayon d’action en Fédération de Russie et dans des régions éloignées.</w:t>
      </w:r>
    </w:p>
    <w:p w:rsidR="00C258AD" w:rsidRPr="00C258AD" w:rsidRDefault="00C258AD" w:rsidP="00927E1F">
      <w:pPr>
        <w:tabs>
          <w:tab w:val="left" w:pos="709"/>
        </w:tabs>
        <w:jc w:val="both"/>
      </w:pPr>
    </w:p>
    <w:p w:rsidR="00C258AD" w:rsidRPr="00C258AD" w:rsidRDefault="00C258AD" w:rsidP="00DF2EEF">
      <w:pPr>
        <w:pStyle w:val="ListParagraph"/>
        <w:numPr>
          <w:ilvl w:val="0"/>
          <w:numId w:val="107"/>
        </w:numPr>
        <w:tabs>
          <w:tab w:val="left" w:pos="709"/>
        </w:tabs>
        <w:ind w:left="0" w:firstLine="0"/>
        <w:jc w:val="both"/>
      </w:pPr>
      <w:r w:rsidRPr="00C258AD">
        <w:t>Le Bureau a aussi apporté un appui à son pays d’accueil pour l’adhésion au Traité de Beijing en novembre 2015, ainsi que pour les adhésions prévues au Traité de Marrakech et à l’</w:t>
      </w:r>
      <w:r w:rsidRPr="00C258AD">
        <w:rPr>
          <w:bCs/>
        </w:rPr>
        <w:t>Acte de Genève de l’Arrangement de La Haye</w:t>
      </w:r>
      <w:r w:rsidRPr="00C258AD">
        <w:t>.</w:t>
      </w:r>
    </w:p>
    <w:p w:rsidR="00C258AD" w:rsidRPr="00C258AD" w:rsidRDefault="00C258AD" w:rsidP="00375300">
      <w:pPr>
        <w:pStyle w:val="ListParagraph"/>
        <w:numPr>
          <w:ilvl w:val="0"/>
          <w:numId w:val="0"/>
        </w:numPr>
        <w:tabs>
          <w:tab w:val="left" w:pos="709"/>
        </w:tabs>
        <w:jc w:val="both"/>
      </w:pPr>
    </w:p>
    <w:p w:rsidR="00C258AD" w:rsidRPr="00C258AD" w:rsidRDefault="00C258AD" w:rsidP="00DF2EEF">
      <w:pPr>
        <w:pStyle w:val="ListParagraph"/>
        <w:numPr>
          <w:ilvl w:val="0"/>
          <w:numId w:val="107"/>
        </w:numPr>
        <w:tabs>
          <w:tab w:val="left" w:pos="709"/>
        </w:tabs>
        <w:ind w:left="0" w:firstLine="0"/>
        <w:jc w:val="both"/>
      </w:pPr>
      <w:r w:rsidRPr="00C258AD">
        <w:t>Afin de sensibiliser le public au système international de propriété intellectuelle et de renforcer les capacités des universités et des instituts de recherches locaux en matière d’élaboration des politiques de propriété intellectuelle ainsi que celles des PME d’utiliser efficacement la propriété intellectuelle pour protéger leurs actifs commerciaux, le Bureau de l’OMPI en Russie a soutenu la croissance du réseau de CATI en Fédération de Russie en ouvrant un dialogue avec des parties prenantes de régions excentrées du pays.</w:t>
      </w:r>
    </w:p>
    <w:p w:rsidR="00C258AD" w:rsidRPr="00C258AD" w:rsidRDefault="00C258AD" w:rsidP="00375300">
      <w:pPr>
        <w:pStyle w:val="ListParagraph"/>
        <w:numPr>
          <w:ilvl w:val="0"/>
          <w:numId w:val="0"/>
        </w:numPr>
        <w:tabs>
          <w:tab w:val="left" w:pos="709"/>
        </w:tabs>
        <w:jc w:val="both"/>
      </w:pPr>
    </w:p>
    <w:p w:rsidR="00C258AD" w:rsidRPr="00C258AD" w:rsidRDefault="00C258AD" w:rsidP="00DF2EEF">
      <w:pPr>
        <w:pStyle w:val="ListParagraph"/>
        <w:numPr>
          <w:ilvl w:val="0"/>
          <w:numId w:val="107"/>
        </w:numPr>
        <w:tabs>
          <w:tab w:val="left" w:pos="709"/>
        </w:tabs>
        <w:ind w:left="0" w:firstLine="0"/>
        <w:jc w:val="both"/>
      </w:pPr>
      <w:r w:rsidRPr="00C258AD">
        <w:t xml:space="preserve">À la fin de 2015, suite à la proposition du Gouvernement de la Fédération de Russie, le Bureau de l’OMPI en Russie a été déplacé vers de nouveaux locaux à l’ouest de Moscou, au Centre d’innovation de </w:t>
      </w:r>
      <w:proofErr w:type="spellStart"/>
      <w:r w:rsidRPr="00C258AD">
        <w:t>Skolkovo</w:t>
      </w:r>
      <w:proofErr w:type="spellEnd"/>
      <w:r w:rsidRPr="00C258AD">
        <w:t>, un écosystème de l’innovation soutenant les nouvelles technologies et les entreprises innovantes.  Les nouveaux locaux étaient équipés de la nouvelle solution informatique d’architecture mondiale des bureaux, assurant une intégration homogène et une connexion sécurisée à tous les systèmes informatiques administratifs de l’OMPI présents au siège.</w:t>
      </w:r>
    </w:p>
    <w:p w:rsidR="00C258AD" w:rsidRPr="00C258AD" w:rsidRDefault="00C258AD" w:rsidP="00375300">
      <w:pPr>
        <w:pStyle w:val="ListParagraph"/>
        <w:numPr>
          <w:ilvl w:val="0"/>
          <w:numId w:val="0"/>
        </w:numPr>
        <w:tabs>
          <w:tab w:val="left" w:pos="709"/>
        </w:tabs>
        <w:jc w:val="both"/>
      </w:pPr>
    </w:p>
    <w:p w:rsidR="00C258AD" w:rsidRPr="00C258AD" w:rsidRDefault="00C258AD" w:rsidP="00927E1F">
      <w:pPr>
        <w:tabs>
          <w:tab w:val="left" w:pos="709"/>
        </w:tabs>
        <w:jc w:val="both"/>
        <w:rPr>
          <w:u w:val="single"/>
        </w:rPr>
      </w:pPr>
      <w:r w:rsidRPr="00C258AD">
        <w:rPr>
          <w:u w:val="single"/>
        </w:rPr>
        <w:t>Bureau de l’OMPI à Singapour (Directeur général/M. N. Prasad)</w:t>
      </w:r>
    </w:p>
    <w:p w:rsidR="00C258AD" w:rsidRPr="00C258AD" w:rsidRDefault="00C258AD" w:rsidP="00927E1F">
      <w:pPr>
        <w:jc w:val="both"/>
      </w:pPr>
    </w:p>
    <w:p w:rsidR="00C258AD" w:rsidRPr="00C258AD" w:rsidRDefault="00C258AD" w:rsidP="00DF2EEF">
      <w:pPr>
        <w:pStyle w:val="ListParagraph"/>
        <w:numPr>
          <w:ilvl w:val="0"/>
          <w:numId w:val="107"/>
        </w:numPr>
        <w:tabs>
          <w:tab w:val="left" w:pos="709"/>
        </w:tabs>
        <w:ind w:left="0" w:firstLine="0"/>
        <w:jc w:val="both"/>
      </w:pPr>
      <w:r w:rsidRPr="00C258AD">
        <w:t>Au cours de l’exercice biennal 2014</w:t>
      </w:r>
      <w:r w:rsidRPr="00C258AD">
        <w:noBreakHyphen/>
        <w:t>2015, le Bureau de l’OMPI à Singapour a continué de renforcer sa présence en tant que centre de services de l’OMPI et qu’instance de la propriété intellectuelle pour les États membres, les organisations internationales, les ONG et les entreprises dans la région, ainsi que sa position d’acteur clé de l’écosystème de la propriété intellectuelle dans les pays de l’ASEAN.  Il a conservé son rôle actif dans la promotion des services mondiaux de l’OMPI dans les pays de l’ASEAN.  Les résultats concrets observés dans l’ASEAN pour 2014</w:t>
      </w:r>
      <w:r w:rsidRPr="00C258AD">
        <w:noBreakHyphen/>
        <w:t>2015 étaient notamment : i) une hausse de 17% du nombre de demandes selon le PCT par rapport à 2012</w:t>
      </w:r>
      <w:r w:rsidRPr="00C258AD">
        <w:noBreakHyphen/>
        <w:t>2013;  et ii) une augmentation de 4% par rapport à 2013 et de 45% par rapport à 2014 du nombre de demandes d’enregistrement international selon le système de Madrid.</w:t>
      </w:r>
    </w:p>
    <w:p w:rsidR="00C258AD" w:rsidRPr="00C258AD" w:rsidRDefault="00C258AD" w:rsidP="00375300">
      <w:pPr>
        <w:pStyle w:val="ListParagraph"/>
        <w:numPr>
          <w:ilvl w:val="0"/>
          <w:numId w:val="0"/>
        </w:numPr>
        <w:tabs>
          <w:tab w:val="left" w:pos="709"/>
        </w:tabs>
        <w:jc w:val="both"/>
      </w:pPr>
    </w:p>
    <w:p w:rsidR="00C258AD" w:rsidRPr="00C258AD" w:rsidRDefault="00C258AD" w:rsidP="00DF2EEF">
      <w:pPr>
        <w:pStyle w:val="ListParagraph"/>
        <w:numPr>
          <w:ilvl w:val="0"/>
          <w:numId w:val="107"/>
        </w:numPr>
        <w:tabs>
          <w:tab w:val="left" w:pos="709"/>
        </w:tabs>
        <w:ind w:left="0" w:firstLine="0"/>
        <w:jc w:val="both"/>
      </w:pPr>
      <w:r w:rsidRPr="00C258AD">
        <w:t>L’année 2015 a été marquée par le dixième anniversaire de la mise en place du Bureau de l’OMPI à Singapour.  En novembre 2015, lors d’un événement célébrant ce tournant, plus de 130 ressortissants de pays de l’ASEAN se sont rassemblés pour réfléchir aux progrès accomplis au cours des 10 dernières années dans le domaine de la propriété intellectuelle, et pour examiner la situation actuelle ainsi que les évolutions susceptibles de toucher Singapour et l’ASEAN au cours des 10 années à venir.  Parmi les participants, on comptait plus de 15 ambassadeurs et hauts commissaires, ainsi que des dirigeants des communautés de créateurs, d’innovateurs et de spécialistes de la propriété intellectuelle de Singapour et de la région.</w:t>
      </w:r>
    </w:p>
    <w:p w:rsidR="00C258AD" w:rsidRPr="00C258AD" w:rsidRDefault="00C258AD" w:rsidP="00375300">
      <w:pPr>
        <w:pStyle w:val="ListParagraph"/>
        <w:numPr>
          <w:ilvl w:val="0"/>
          <w:numId w:val="0"/>
        </w:numPr>
        <w:tabs>
          <w:tab w:val="left" w:pos="709"/>
        </w:tabs>
        <w:jc w:val="both"/>
      </w:pPr>
    </w:p>
    <w:p w:rsidR="00C258AD" w:rsidRPr="00C258AD" w:rsidRDefault="00C258AD" w:rsidP="00DF2EEF">
      <w:pPr>
        <w:pStyle w:val="ListParagraph"/>
        <w:numPr>
          <w:ilvl w:val="0"/>
          <w:numId w:val="107"/>
        </w:numPr>
        <w:tabs>
          <w:tab w:val="left" w:pos="709"/>
        </w:tabs>
        <w:ind w:left="0" w:firstLine="0"/>
        <w:jc w:val="both"/>
        <w:rPr>
          <w:szCs w:val="22"/>
        </w:rPr>
      </w:pPr>
      <w:r w:rsidRPr="00C258AD">
        <w:t xml:space="preserve">De par son organisation et du fait de sa participation à des événements organisés avec de nombreux partenaires, tels que le forum de l’Asian </w:t>
      </w:r>
      <w:proofErr w:type="spellStart"/>
      <w:r w:rsidRPr="00C258AD">
        <w:t>Legal</w:t>
      </w:r>
      <w:proofErr w:type="spellEnd"/>
      <w:r w:rsidRPr="00C258AD">
        <w:t xml:space="preserve"> Business (ALB), les chambres de commerce et les associations professionnelles concernées, la </w:t>
      </w:r>
      <w:proofErr w:type="spellStart"/>
      <w:r w:rsidRPr="00C258AD">
        <w:t>Licensing</w:t>
      </w:r>
      <w:proofErr w:type="spellEnd"/>
      <w:r w:rsidRPr="00C258AD">
        <w:t xml:space="preserve"> </w:t>
      </w:r>
      <w:proofErr w:type="spellStart"/>
      <w:r w:rsidRPr="00C258AD">
        <w:t>Executive</w:t>
      </w:r>
      <w:proofErr w:type="spellEnd"/>
      <w:r w:rsidRPr="00C258AD">
        <w:t xml:space="preserve"> Society (LES) et l’Université nationale de Singapour (NUS), le Bureau de l’OMPI à Singapour a pu toucher de nombreuses parties prenantes et de nombreux utilisateurs dans le cadre de ses activités de promotion des services mondiaux de propriété intellectuelle de l’OMPI, de WIPO GREEN, de </w:t>
      </w:r>
      <w:r w:rsidRPr="00C258AD">
        <w:rPr>
          <w:szCs w:val="22"/>
        </w:rPr>
        <w:t>WIPO </w:t>
      </w:r>
      <w:proofErr w:type="spellStart"/>
      <w:r w:rsidRPr="00C258AD">
        <w:rPr>
          <w:szCs w:val="22"/>
        </w:rPr>
        <w:t>Re:Search</w:t>
      </w:r>
      <w:proofErr w:type="spellEnd"/>
      <w:r w:rsidRPr="00C258AD">
        <w:rPr>
          <w:szCs w:val="22"/>
        </w:rPr>
        <w:t xml:space="preserve">, des bases de données mondiales de l’OMPI, du programme relatif aux centres d’appui à la technologie et à l’innovation et de </w:t>
      </w:r>
      <w:r w:rsidRPr="00C258AD">
        <w:t>WIPO CASE</w:t>
      </w:r>
      <w:r w:rsidRPr="00C258AD">
        <w:rPr>
          <w:szCs w:val="22"/>
        </w:rPr>
        <w:t>.</w:t>
      </w:r>
    </w:p>
    <w:p w:rsidR="00C258AD" w:rsidRPr="00C258AD" w:rsidRDefault="00C258AD" w:rsidP="00375300">
      <w:pPr>
        <w:pStyle w:val="ListParagraph"/>
        <w:numPr>
          <w:ilvl w:val="0"/>
          <w:numId w:val="0"/>
        </w:numPr>
        <w:tabs>
          <w:tab w:val="left" w:pos="709"/>
        </w:tabs>
        <w:jc w:val="both"/>
      </w:pPr>
    </w:p>
    <w:p w:rsidR="00C258AD" w:rsidRPr="00C258AD" w:rsidRDefault="00C258AD" w:rsidP="00DF2EEF">
      <w:pPr>
        <w:pStyle w:val="ListParagraph"/>
        <w:numPr>
          <w:ilvl w:val="0"/>
          <w:numId w:val="107"/>
        </w:numPr>
        <w:tabs>
          <w:tab w:val="left" w:pos="709"/>
        </w:tabs>
        <w:ind w:left="0" w:firstLine="0"/>
        <w:jc w:val="both"/>
      </w:pPr>
      <w:r w:rsidRPr="00C258AD">
        <w:t>L’engagement auprès de l’ASEAN a été renforcé au cours de l’exercice biennal et le Bureau de l’OMPI à Singapour a joué un rôle toujours plus central dans la coordination des activités requises par le Groupe de travail de l’ASEAN sur la coopération en matière de propriété intellectuelle (AWGIPC) dans le cadre de la mise en œuvre du Plan d’action de l’ASEAN sur la propriété intellectuelle (2011</w:t>
      </w:r>
      <w:r w:rsidRPr="00C258AD">
        <w:noBreakHyphen/>
        <w:t>2015) aux fins de la création de la communauté économique de l’ASEAN prévue en 2015</w:t>
      </w:r>
      <w:r w:rsidRPr="00C258AD">
        <w:rPr>
          <w:szCs w:val="22"/>
        </w:rPr>
        <w:t xml:space="preserve">.  De plus, des ateliers ont été organisés dans chacun des États membres de l’ASEAN pour faire progresser les efforts déployés en </w:t>
      </w:r>
      <w:r w:rsidRPr="00C258AD">
        <w:rPr>
          <w:szCs w:val="22"/>
        </w:rPr>
        <w:lastRenderedPageBreak/>
        <w:t xml:space="preserve">vue de l’adhésion aux systèmes de Madrid et de La Haye.  Les partenariats conclus avec des parties prenantes et des partenaires ont permis d’organiser des événements essentiels pour le Bureau de l’OMPI à Singapour, tels que l’atelier </w:t>
      </w:r>
      <w:proofErr w:type="spellStart"/>
      <w:r w:rsidRPr="00C258AD">
        <w:rPr>
          <w:szCs w:val="22"/>
        </w:rPr>
        <w:t>sous</w:t>
      </w:r>
      <w:r w:rsidRPr="00C258AD">
        <w:rPr>
          <w:szCs w:val="22"/>
        </w:rPr>
        <w:noBreakHyphen/>
        <w:t>régional</w:t>
      </w:r>
      <w:proofErr w:type="spellEnd"/>
      <w:r w:rsidRPr="00C258AD">
        <w:rPr>
          <w:szCs w:val="22"/>
        </w:rPr>
        <w:t xml:space="preserve"> sur le système de La Haye pour les pays de l’ASEAN, avec l’Office de l’harmonisation dans le marché intérieur (OHIM) dans le cadre du projet UE</w:t>
      </w:r>
      <w:r w:rsidRPr="00C258AD">
        <w:noBreakHyphen/>
        <w:t>ASEAN sur la protection des droits de propriété intellectuelle (OHIM/ECAP III</w:t>
      </w:r>
      <w:r w:rsidRPr="00C258AD">
        <w:rPr>
          <w:szCs w:val="22"/>
        </w:rPr>
        <w:t>), ou l’atelier sous régional OMPI</w:t>
      </w:r>
      <w:r w:rsidRPr="00C258AD">
        <w:rPr>
          <w:szCs w:val="22"/>
        </w:rPr>
        <w:noBreakHyphen/>
        <w:t>ASEAN</w:t>
      </w:r>
      <w:r w:rsidRPr="00C258AD">
        <w:rPr>
          <w:szCs w:val="22"/>
        </w:rPr>
        <w:noBreakHyphen/>
        <w:t>AANZFTA (Accord de libre</w:t>
      </w:r>
      <w:r w:rsidRPr="00C258AD">
        <w:rPr>
          <w:szCs w:val="22"/>
        </w:rPr>
        <w:noBreakHyphen/>
        <w:t>échange entre l’Association des nations de l’Asie du Sud</w:t>
      </w:r>
      <w:r w:rsidRPr="00C258AD">
        <w:rPr>
          <w:szCs w:val="22"/>
        </w:rPr>
        <w:noBreakHyphen/>
        <w:t>Est (ASEAN), l’Australie et la Nouvelle</w:t>
      </w:r>
      <w:r w:rsidRPr="00C258AD">
        <w:rPr>
          <w:szCs w:val="22"/>
        </w:rPr>
        <w:noBreakHyphen/>
        <w:t>Zélande) pour les examinateurs de marques de l’ASEAN sur le système de Madrid</w:t>
      </w:r>
      <w:r w:rsidRPr="00C258AD">
        <w:t>.</w:t>
      </w:r>
    </w:p>
    <w:p w:rsidR="00C258AD" w:rsidRPr="00C258AD" w:rsidRDefault="00C258AD" w:rsidP="00375300">
      <w:pPr>
        <w:pStyle w:val="ListParagraph"/>
        <w:numPr>
          <w:ilvl w:val="0"/>
          <w:numId w:val="0"/>
        </w:numPr>
        <w:tabs>
          <w:tab w:val="left" w:pos="709"/>
        </w:tabs>
        <w:jc w:val="both"/>
      </w:pPr>
    </w:p>
    <w:p w:rsidR="00C258AD" w:rsidRPr="00C258AD" w:rsidRDefault="00C258AD" w:rsidP="00DF2EEF">
      <w:pPr>
        <w:pStyle w:val="ListParagraph"/>
        <w:numPr>
          <w:ilvl w:val="0"/>
          <w:numId w:val="107"/>
        </w:numPr>
        <w:tabs>
          <w:tab w:val="left" w:pos="709"/>
        </w:tabs>
        <w:ind w:left="0" w:firstLine="0"/>
        <w:jc w:val="both"/>
        <w:rPr>
          <w:szCs w:val="22"/>
        </w:rPr>
      </w:pPr>
      <w:r w:rsidRPr="00C258AD">
        <w:t>En 2014</w:t>
      </w:r>
      <w:r w:rsidRPr="00C258AD">
        <w:noBreakHyphen/>
        <w:t>2015, le Bureau de l’OMPI à Singapour a poursuivi la gestion et la mise en œuvre du mémorandum d’accord conclu entre l’OMPI et le Gouvernement de Singapour, qui est axé sur le renforcement des capacités et des connaissances des fonctionnaires et des parties prenantes de la propriété intellectuelle de la région Asie et Pacifique</w:t>
      </w:r>
      <w:r w:rsidRPr="00C258AD">
        <w:rPr>
          <w:szCs w:val="22"/>
        </w:rPr>
        <w:t xml:space="preserve">, en organisant ou participant à l’organisation de trois séminaires régionaux.  </w:t>
      </w:r>
      <w:r w:rsidRPr="00C258AD">
        <w:t xml:space="preserve">De plus, quelque 27 activités d’assistance technique ont été exécutées dans 34 États membres pour aider à la mise en œuvre de systèmes efficaces d’administration de la propriété intellectuelle et des activités d’assistance ont été proposées concernant les systèmes de Madrid et de La Haye et dans le domaine du droit d’auteur et des droits connexes, des organisations de gestion collective, de l’enseignement, de la sensibilisation et dans celui du renforcement des capacités.  Le Bureau de l’OMPI à Singapour a également organisé 17 visites d’étude au cours de l’exercice biennal, contre six en 2013, destinées aux parties prenantes de la propriété intellectuelle de la région et des principales institutions de Singapour.  </w:t>
      </w:r>
      <w:r w:rsidRPr="00C258AD">
        <w:rPr>
          <w:szCs w:val="22"/>
        </w:rPr>
        <w:t xml:space="preserve">Le Bureau de l’OMPI à Singapour s’est associé au Bureau de la propriété intellectuelle de Singapour (IPOS) pour organiser des événements et des ateliers de première importance, et a fourni les conférenciers pour l’édition annuelle de la semaine de la propriété intellectuelle à Singapour pour les gouvernements, les entreprises, les innovateurs et les créateurs.  </w:t>
      </w:r>
      <w:r w:rsidRPr="00C258AD">
        <w:t xml:space="preserve">De plus, six ateliers portant sur une vaste gamme de sujets ont été organisés.  </w:t>
      </w:r>
      <w:r w:rsidRPr="00C258AD">
        <w:rPr>
          <w:szCs w:val="22"/>
        </w:rPr>
        <w:t xml:space="preserve">Le Bureau de l’OMPI à Singapour </w:t>
      </w:r>
      <w:r w:rsidRPr="00C258AD">
        <w:rPr>
          <w:iCs/>
        </w:rPr>
        <w:t>a continué de soutenir les activités entreprises par le Centre d’arbitrage et de médiation de l’OMPI grâce à la présence de cette dernière à Singapour</w:t>
      </w:r>
      <w:r w:rsidRPr="00C258AD">
        <w:t>.</w:t>
      </w:r>
    </w:p>
    <w:p w:rsidR="00C258AD" w:rsidRPr="00C258AD" w:rsidRDefault="00C258AD" w:rsidP="00375300">
      <w:pPr>
        <w:pStyle w:val="ListParagraph"/>
        <w:numPr>
          <w:ilvl w:val="0"/>
          <w:numId w:val="0"/>
        </w:numPr>
        <w:tabs>
          <w:tab w:val="left" w:pos="709"/>
        </w:tabs>
        <w:jc w:val="both"/>
      </w:pPr>
    </w:p>
    <w:p w:rsidR="00C258AD" w:rsidRPr="00C258AD" w:rsidRDefault="00C258AD" w:rsidP="00DF2EEF">
      <w:pPr>
        <w:pStyle w:val="ListParagraph"/>
        <w:numPr>
          <w:ilvl w:val="0"/>
          <w:numId w:val="107"/>
        </w:numPr>
        <w:tabs>
          <w:tab w:val="left" w:pos="709"/>
        </w:tabs>
        <w:ind w:left="0" w:firstLine="0"/>
        <w:jc w:val="both"/>
      </w:pPr>
      <w:r w:rsidRPr="00C258AD">
        <w:t>Les activités de sensibilisation ont été renforcées en 2014</w:t>
      </w:r>
      <w:r w:rsidRPr="00C258AD">
        <w:noBreakHyphen/>
        <w:t>2015.  À cette fin, le Bureau de l’OMPI à Singapour a pris la parole à l’occasion d’événements majeurs ou de conférences organisés par des organisations intergouvernementales, des ONG ou des organismes nationaux dans la région ou à Singapour, tels que l’Association de la propriété intellectuelle de l’ASEAN</w:t>
      </w:r>
      <w:r w:rsidRPr="00C258AD">
        <w:rPr>
          <w:szCs w:val="22"/>
        </w:rPr>
        <w:t xml:space="preserve"> (AIPA), l’Organisation de coopération économique Asie</w:t>
      </w:r>
      <w:r w:rsidRPr="00C258AD">
        <w:rPr>
          <w:szCs w:val="22"/>
        </w:rPr>
        <w:noBreakHyphen/>
        <w:t>Pacifique (APEC)</w:t>
      </w:r>
      <w:r w:rsidRPr="00C258AD">
        <w:t>, la Fondation Asie</w:t>
      </w:r>
      <w:r w:rsidRPr="00C258AD">
        <w:noBreakHyphen/>
        <w:t xml:space="preserve">Europe (ASEF), l’Association malaisienne pour la propriété intellectuelle (MIPA), l’Institut de recherche économique pour l’ASEAN et l’Asie orientale (ERIA), </w:t>
      </w:r>
      <w:r w:rsidRPr="00C258AD">
        <w:rPr>
          <w:szCs w:val="22"/>
        </w:rPr>
        <w:t>la Confédération internationale des sociétés d’auteurs et compositeurs</w:t>
      </w:r>
      <w:r w:rsidRPr="00C258AD">
        <w:t xml:space="preserve"> (CISAC) et le Tribunal central de la propriété intellectuelle et du commerce international de Thaïlande.  Dans ce contexte, le Bureau de l’OMPI a reçu un certain nombre de délégués lors de visites d’étude portant sur toute la gamme de droits de propriété intellectuelle et d’activités de l’OMPI.  Il a aussi renforcé ses liens avec le milieu universitaire en participant régulièrement à des cours à l’Université nationale de Singapour, à l’Université de gestion de Singapour et au campus Assas</w:t>
      </w:r>
      <w:r w:rsidRPr="00C258AD">
        <w:noBreakHyphen/>
        <w:t>Sorbonne de l’INSEAD de Singapour.  Sa participation aux cours d’été de l’OMPI à Singapour, en République de Corée et en Inde, ainsi qu’au programme d’une maîtrise de droit en Australie et aux discussions en lien avec les sociétés de perception au Japon a également permis d’élargir le champ de ses activités.</w:t>
      </w:r>
    </w:p>
    <w:p w:rsidR="00C258AD" w:rsidRPr="00C258AD" w:rsidRDefault="00C258AD" w:rsidP="00375300">
      <w:pPr>
        <w:pStyle w:val="ListParagraph"/>
        <w:numPr>
          <w:ilvl w:val="0"/>
          <w:numId w:val="0"/>
        </w:numPr>
        <w:tabs>
          <w:tab w:val="left" w:pos="709"/>
        </w:tabs>
        <w:jc w:val="both"/>
      </w:pPr>
    </w:p>
    <w:p w:rsidR="00C258AD" w:rsidRPr="00C258AD" w:rsidRDefault="00C258AD" w:rsidP="00DF2EEF">
      <w:pPr>
        <w:pStyle w:val="ListParagraph"/>
        <w:numPr>
          <w:ilvl w:val="0"/>
          <w:numId w:val="107"/>
        </w:numPr>
        <w:tabs>
          <w:tab w:val="left" w:pos="709"/>
        </w:tabs>
        <w:ind w:left="0" w:firstLine="0"/>
        <w:jc w:val="both"/>
        <w:rPr>
          <w:caps/>
          <w:sz w:val="22"/>
        </w:rPr>
      </w:pPr>
      <w:r w:rsidRPr="00C258AD">
        <w:t xml:space="preserve">En 2015, le Bureau de l’OMPI a été intégré dans le large environnement informatique de l’OMPI au titre de l’architecture mondiale des bureaux, donnant au personnel un accès sécurisé à l’ensemble des systèmes informatiques administratifs de l’OMPI présents au siège.  Les capacités en matière de vidéoconférence ont été grandement renforcées, ce qui, combiné à la mise en place de la téléphonie sur IP par le Bureau de l’OMPI à Singapour en 2014, a considérablement amélioré la communication entre le siège et le bureau.  </w:t>
      </w:r>
      <w:r w:rsidRPr="00C258AD">
        <w:rPr>
          <w:szCs w:val="22"/>
        </w:rPr>
        <w:t xml:space="preserve">Ce dernier continuait de jouer un rôle important </w:t>
      </w:r>
      <w:r w:rsidRPr="00C258AD">
        <w:t>en garantissant le service à la clientèle de l’OMPI 24h/24</w:t>
      </w:r>
      <w:r w:rsidRPr="00C258AD">
        <w:rPr>
          <w:szCs w:val="22"/>
        </w:rPr>
        <w:t>.</w:t>
      </w:r>
    </w:p>
    <w:p w:rsidR="00C258AD" w:rsidRPr="00C258AD" w:rsidRDefault="00C258AD" w:rsidP="00927E1F">
      <w:pPr>
        <w:tabs>
          <w:tab w:val="left" w:pos="709"/>
        </w:tabs>
        <w:jc w:val="both"/>
        <w:rPr>
          <w:caps/>
          <w:sz w:val="22"/>
        </w:rPr>
      </w:pPr>
    </w:p>
    <w:p w:rsidR="00C258AD" w:rsidRPr="00C258AD" w:rsidRDefault="00C258AD" w:rsidP="00927E1F">
      <w:pPr>
        <w:tabs>
          <w:tab w:val="left" w:pos="709"/>
        </w:tabs>
        <w:jc w:val="both"/>
        <w:rPr>
          <w:caps/>
          <w:sz w:val="22"/>
        </w:rPr>
      </w:pPr>
    </w:p>
    <w:p w:rsidR="00C258AD" w:rsidRPr="00375300" w:rsidRDefault="00375300" w:rsidP="00375300">
      <w:pPr>
        <w:keepNext/>
        <w:rPr>
          <w:sz w:val="22"/>
        </w:rPr>
      </w:pPr>
      <w:r w:rsidRPr="00375300">
        <w:rPr>
          <w:sz w:val="22"/>
        </w:rPr>
        <w:lastRenderedPageBreak/>
        <w:t>DONNÉES RELATIVES À L’EXÉCUTION</w:t>
      </w:r>
      <w:r w:rsidR="00C258AD" w:rsidRPr="00375300">
        <w:rPr>
          <w:rStyle w:val="FootnoteReference"/>
          <w:rFonts w:eastAsia="SimSun"/>
          <w:color w:val="000000"/>
          <w:sz w:val="22"/>
        </w:rPr>
        <w:footnoteReference w:id="109"/>
      </w:r>
    </w:p>
    <w:p w:rsidR="00C258AD" w:rsidRPr="00C258AD" w:rsidRDefault="00C258AD" w:rsidP="00927E1F">
      <w:pPr>
        <w:keepNext/>
        <w:autoSpaceDE w:val="0"/>
        <w:autoSpaceDN w:val="0"/>
        <w:adjustRightInd w:val="0"/>
        <w:rPr>
          <w:color w:val="000000"/>
        </w:rPr>
      </w:pPr>
    </w:p>
    <w:tbl>
      <w:tblPr>
        <w:tblW w:w="5000" w:type="pct"/>
        <w:tblInd w:w="108" w:type="dxa"/>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1937"/>
        <w:gridCol w:w="1633"/>
        <w:gridCol w:w="96"/>
        <w:gridCol w:w="1630"/>
        <w:gridCol w:w="3063"/>
        <w:gridCol w:w="1132"/>
      </w:tblGrid>
      <w:tr w:rsidR="00C258AD" w:rsidRPr="00C258AD" w:rsidTr="00927E1F">
        <w:trPr>
          <w:cantSplit/>
        </w:trPr>
        <w:tc>
          <w:tcPr>
            <w:tcW w:w="5000" w:type="pct"/>
            <w:gridSpan w:val="6"/>
            <w:tcBorders>
              <w:top w:val="single" w:sz="4" w:space="0" w:color="auto"/>
              <w:bottom w:val="single" w:sz="4" w:space="0" w:color="auto"/>
            </w:tcBorders>
            <w:shd w:val="clear" w:color="auto" w:fill="BFD9F1"/>
          </w:tcPr>
          <w:p w:rsidR="00C258AD" w:rsidRPr="00C258AD" w:rsidRDefault="00C258AD" w:rsidP="00927E1F">
            <w:pPr>
              <w:keepNext/>
              <w:rPr>
                <w:b/>
                <w:bCs/>
                <w:sz w:val="16"/>
                <w:szCs w:val="16"/>
              </w:rPr>
            </w:pPr>
            <w:r w:rsidRPr="00C258AD">
              <w:rPr>
                <w:b/>
                <w:sz w:val="16"/>
                <w:szCs w:val="16"/>
              </w:rPr>
              <w:t xml:space="preserve">Résultat escompté : </w:t>
            </w:r>
            <w:r w:rsidRPr="00C258AD">
              <w:rPr>
                <w:sz w:val="16"/>
                <w:szCs w:val="16"/>
              </w:rPr>
              <w:t>II.1 Utilisation accrue de la voie PCT pour le dépôt des demandes internationales de brevet</w:t>
            </w:r>
          </w:p>
        </w:tc>
      </w:tr>
      <w:tr w:rsidR="00C258AD" w:rsidRPr="00C258AD" w:rsidTr="00927E1F">
        <w:trPr>
          <w:cantSplit/>
        </w:trPr>
        <w:tc>
          <w:tcPr>
            <w:tcW w:w="1080" w:type="pct"/>
            <w:tcBorders>
              <w:top w:val="single" w:sz="4" w:space="0" w:color="auto"/>
            </w:tcBorders>
            <w:shd w:val="clear" w:color="auto" w:fill="auto"/>
            <w:vAlign w:val="center"/>
          </w:tcPr>
          <w:p w:rsidR="00C258AD" w:rsidRPr="00C258AD" w:rsidRDefault="00C258AD" w:rsidP="00927E1F">
            <w:pPr>
              <w:keepNext/>
              <w:jc w:val="center"/>
              <w:rPr>
                <w:sz w:val="16"/>
                <w:szCs w:val="16"/>
              </w:rPr>
            </w:pPr>
            <w:r w:rsidRPr="00C258AD">
              <w:rPr>
                <w:b/>
                <w:sz w:val="16"/>
                <w:szCs w:val="16"/>
              </w:rPr>
              <w:t>Indicateurs d’exécution</w:t>
            </w:r>
          </w:p>
        </w:tc>
        <w:tc>
          <w:tcPr>
            <w:tcW w:w="864" w:type="pct"/>
            <w:gridSpan w:val="2"/>
            <w:tcBorders>
              <w:top w:val="single" w:sz="4" w:space="0" w:color="auto"/>
            </w:tcBorders>
            <w:shd w:val="clear" w:color="auto" w:fill="auto"/>
            <w:vAlign w:val="center"/>
          </w:tcPr>
          <w:p w:rsidR="00C258AD" w:rsidRPr="00C258AD" w:rsidRDefault="00C258AD" w:rsidP="00927E1F">
            <w:pPr>
              <w:keepNext/>
              <w:jc w:val="center"/>
              <w:rPr>
                <w:b/>
                <w:bCs/>
                <w:sz w:val="16"/>
                <w:szCs w:val="16"/>
              </w:rPr>
            </w:pPr>
            <w:r w:rsidRPr="00C258AD">
              <w:rPr>
                <w:b/>
                <w:sz w:val="16"/>
                <w:szCs w:val="16"/>
              </w:rPr>
              <w:t>Niveaux de référence</w:t>
            </w:r>
          </w:p>
        </w:tc>
        <w:tc>
          <w:tcPr>
            <w:tcW w:w="918" w:type="pct"/>
            <w:tcBorders>
              <w:top w:val="single" w:sz="4" w:space="0" w:color="auto"/>
            </w:tcBorders>
            <w:shd w:val="clear" w:color="auto" w:fill="auto"/>
            <w:tcMar>
              <w:top w:w="110" w:type="dxa"/>
            </w:tcMar>
            <w:vAlign w:val="center"/>
          </w:tcPr>
          <w:p w:rsidR="00C258AD" w:rsidRPr="00C258AD" w:rsidRDefault="00C258AD" w:rsidP="00927E1F">
            <w:pPr>
              <w:keepNext/>
              <w:jc w:val="center"/>
              <w:rPr>
                <w:b/>
                <w:sz w:val="16"/>
                <w:szCs w:val="16"/>
              </w:rPr>
            </w:pPr>
            <w:r w:rsidRPr="00C258AD">
              <w:rPr>
                <w:b/>
                <w:sz w:val="16"/>
                <w:szCs w:val="16"/>
              </w:rPr>
              <w:t>Objectifs visés</w:t>
            </w:r>
          </w:p>
        </w:tc>
        <w:tc>
          <w:tcPr>
            <w:tcW w:w="1673" w:type="pct"/>
            <w:tcBorders>
              <w:top w:val="single" w:sz="4" w:space="0" w:color="auto"/>
            </w:tcBorders>
            <w:shd w:val="clear" w:color="auto" w:fill="FFFFFF"/>
            <w:tcMar>
              <w:top w:w="110" w:type="dxa"/>
            </w:tcMar>
            <w:vAlign w:val="center"/>
          </w:tcPr>
          <w:p w:rsidR="00C258AD" w:rsidRPr="00C258AD" w:rsidRDefault="00C258AD" w:rsidP="00927E1F">
            <w:pPr>
              <w:keepNext/>
              <w:jc w:val="center"/>
              <w:rPr>
                <w:sz w:val="16"/>
                <w:szCs w:val="16"/>
              </w:rPr>
            </w:pPr>
            <w:r w:rsidRPr="00C258AD">
              <w:rPr>
                <w:b/>
                <w:sz w:val="16"/>
                <w:szCs w:val="16"/>
              </w:rPr>
              <w:t>Données relatives à l’exécution</w:t>
            </w:r>
            <w:r w:rsidRPr="00C258AD">
              <w:rPr>
                <w:rStyle w:val="FootnoteReference"/>
                <w:rFonts w:eastAsia="SimSun"/>
                <w:b/>
                <w:bCs/>
                <w:szCs w:val="16"/>
              </w:rPr>
              <w:footnoteReference w:id="110"/>
            </w:r>
          </w:p>
        </w:tc>
        <w:tc>
          <w:tcPr>
            <w:tcW w:w="465" w:type="pct"/>
            <w:tcBorders>
              <w:top w:val="single" w:sz="4" w:space="0" w:color="auto"/>
            </w:tcBorders>
            <w:shd w:val="clear" w:color="auto" w:fill="auto"/>
            <w:tcMar>
              <w:top w:w="110" w:type="dxa"/>
            </w:tcMar>
            <w:vAlign w:val="center"/>
          </w:tcPr>
          <w:p w:rsidR="00C258AD" w:rsidRPr="00C258AD" w:rsidRDefault="00C258AD" w:rsidP="00927E1F">
            <w:pPr>
              <w:keepNext/>
              <w:keepLines/>
              <w:jc w:val="center"/>
              <w:rPr>
                <w:b/>
                <w:bCs/>
                <w:sz w:val="16"/>
                <w:szCs w:val="16"/>
              </w:rPr>
            </w:pPr>
            <w:r w:rsidRPr="00C258AD">
              <w:rPr>
                <w:b/>
                <w:sz w:val="16"/>
                <w:szCs w:val="16"/>
              </w:rPr>
              <w:t>Code de couleurs</w:t>
            </w:r>
          </w:p>
        </w:tc>
      </w:tr>
      <w:tr w:rsidR="00C258AD" w:rsidRPr="00C258AD" w:rsidTr="00927E1F">
        <w:trPr>
          <w:cantSplit/>
        </w:trPr>
        <w:tc>
          <w:tcPr>
            <w:tcW w:w="1080" w:type="pct"/>
            <w:shd w:val="clear" w:color="auto" w:fill="auto"/>
          </w:tcPr>
          <w:p w:rsidR="00C258AD" w:rsidRPr="00C258AD" w:rsidRDefault="00C258AD" w:rsidP="00927E1F">
            <w:pPr>
              <w:rPr>
                <w:sz w:val="16"/>
                <w:szCs w:val="16"/>
              </w:rPr>
            </w:pPr>
            <w:r w:rsidRPr="00C258AD">
              <w:rPr>
                <w:sz w:val="16"/>
                <w:szCs w:val="16"/>
              </w:rPr>
              <w:t>Pourcentage de dépôts selon le PCT</w:t>
            </w:r>
            <w:r w:rsidRPr="00C258AD">
              <w:rPr>
                <w:rStyle w:val="FootnoteReference"/>
                <w:rFonts w:eastAsia="SimSun"/>
                <w:color w:val="000000"/>
              </w:rPr>
              <w:footnoteReference w:id="111"/>
            </w:r>
          </w:p>
        </w:tc>
        <w:tc>
          <w:tcPr>
            <w:tcW w:w="864" w:type="pct"/>
            <w:gridSpan w:val="2"/>
            <w:shd w:val="clear" w:color="auto" w:fill="auto"/>
          </w:tcPr>
          <w:p w:rsidR="00C258AD" w:rsidRPr="00C258AD" w:rsidRDefault="00C258AD" w:rsidP="00927E1F">
            <w:pPr>
              <w:rPr>
                <w:i/>
                <w:color w:val="002060"/>
                <w:sz w:val="16"/>
                <w:szCs w:val="16"/>
              </w:rPr>
            </w:pPr>
            <w:r w:rsidRPr="00C258AD">
              <w:rPr>
                <w:i/>
                <w:color w:val="002060"/>
                <w:sz w:val="16"/>
                <w:szCs w:val="16"/>
              </w:rPr>
              <w:t>Niveau de référence actualisé fin 2013</w:t>
            </w:r>
            <w:r w:rsidRPr="00C258AD">
              <w:rPr>
                <w:color w:val="002060"/>
                <w:sz w:val="16"/>
                <w:szCs w:val="16"/>
              </w:rPr>
              <w:t> :</w:t>
            </w:r>
          </w:p>
          <w:p w:rsidR="007E6877" w:rsidRDefault="00C258AD" w:rsidP="00927E1F">
            <w:pPr>
              <w:rPr>
                <w:color w:val="002060"/>
                <w:sz w:val="16"/>
                <w:szCs w:val="16"/>
              </w:rPr>
            </w:pPr>
            <w:r w:rsidRPr="00C258AD">
              <w:rPr>
                <w:color w:val="002060"/>
                <w:sz w:val="16"/>
                <w:szCs w:val="16"/>
              </w:rPr>
              <w:t xml:space="preserve">2012 : 588;  </w:t>
            </w:r>
          </w:p>
          <w:p w:rsidR="00C258AD" w:rsidRPr="00C258AD" w:rsidRDefault="00C258AD" w:rsidP="00927E1F">
            <w:pPr>
              <w:rPr>
                <w:i/>
                <w:color w:val="002060"/>
                <w:sz w:val="16"/>
                <w:szCs w:val="16"/>
              </w:rPr>
            </w:pPr>
            <w:r w:rsidRPr="00C258AD">
              <w:rPr>
                <w:color w:val="002060"/>
                <w:sz w:val="16"/>
                <w:szCs w:val="16"/>
              </w:rPr>
              <w:t>2013 : 657 (Bureau de l’OMPI au Brésil)</w:t>
            </w:r>
          </w:p>
          <w:p w:rsidR="00C258AD" w:rsidRPr="00C258AD" w:rsidRDefault="00C258AD" w:rsidP="00927E1F">
            <w:pPr>
              <w:rPr>
                <w:i/>
                <w:color w:val="002060"/>
                <w:sz w:val="16"/>
                <w:szCs w:val="16"/>
              </w:rPr>
            </w:pPr>
          </w:p>
          <w:p w:rsidR="00C258AD" w:rsidRPr="00C258AD" w:rsidRDefault="00C258AD" w:rsidP="00927E1F">
            <w:pPr>
              <w:rPr>
                <w:i/>
                <w:color w:val="002060"/>
                <w:sz w:val="16"/>
                <w:szCs w:val="16"/>
              </w:rPr>
            </w:pPr>
            <w:r w:rsidRPr="007E6877">
              <w:rPr>
                <w:color w:val="002060"/>
                <w:sz w:val="16"/>
                <w:szCs w:val="16"/>
              </w:rPr>
              <w:t>2012 :</w:t>
            </w:r>
            <w:r w:rsidRPr="00C258AD">
              <w:rPr>
                <w:i/>
                <w:color w:val="002060"/>
                <w:sz w:val="16"/>
                <w:szCs w:val="16"/>
              </w:rPr>
              <w:t xml:space="preserve"> </w:t>
            </w:r>
            <w:r w:rsidRPr="00C258AD">
              <w:rPr>
                <w:color w:val="002060"/>
                <w:sz w:val="16"/>
                <w:szCs w:val="16"/>
              </w:rPr>
              <w:t xml:space="preserve">43 523;  </w:t>
            </w:r>
            <w:r w:rsidRPr="00C258AD">
              <w:rPr>
                <w:color w:val="002060"/>
                <w:sz w:val="16"/>
                <w:szCs w:val="16"/>
              </w:rPr>
              <w:br/>
            </w:r>
            <w:r w:rsidRPr="007E6877">
              <w:rPr>
                <w:color w:val="002060"/>
                <w:sz w:val="16"/>
                <w:szCs w:val="16"/>
              </w:rPr>
              <w:t xml:space="preserve">2013 : </w:t>
            </w:r>
            <w:r w:rsidRPr="00C258AD">
              <w:rPr>
                <w:color w:val="002060"/>
                <w:sz w:val="16"/>
                <w:szCs w:val="16"/>
              </w:rPr>
              <w:t>43 771 (Bureau de l’OMPI au Japon)</w:t>
            </w:r>
          </w:p>
          <w:p w:rsidR="00C258AD" w:rsidRPr="00C258AD" w:rsidRDefault="00C258AD" w:rsidP="00927E1F">
            <w:pPr>
              <w:rPr>
                <w:color w:val="002060"/>
                <w:sz w:val="16"/>
                <w:szCs w:val="16"/>
              </w:rPr>
            </w:pPr>
          </w:p>
          <w:p w:rsidR="007E6877" w:rsidRDefault="00C258AD" w:rsidP="00927E1F">
            <w:pPr>
              <w:rPr>
                <w:color w:val="002060"/>
                <w:sz w:val="16"/>
                <w:szCs w:val="16"/>
              </w:rPr>
            </w:pPr>
            <w:r w:rsidRPr="00C258AD">
              <w:rPr>
                <w:color w:val="002060"/>
                <w:sz w:val="16"/>
                <w:szCs w:val="16"/>
              </w:rPr>
              <w:t xml:space="preserve">2012 : 1124;  </w:t>
            </w:r>
          </w:p>
          <w:p w:rsidR="00C258AD" w:rsidRPr="00C258AD" w:rsidRDefault="00C258AD" w:rsidP="00927E1F">
            <w:pPr>
              <w:rPr>
                <w:color w:val="002060"/>
                <w:sz w:val="16"/>
                <w:szCs w:val="16"/>
              </w:rPr>
            </w:pPr>
            <w:r w:rsidRPr="00C258AD">
              <w:rPr>
                <w:color w:val="002060"/>
                <w:sz w:val="16"/>
                <w:szCs w:val="16"/>
              </w:rPr>
              <w:t>2013 : 1282 (Bureau de l’OMPI à Singapour)</w:t>
            </w:r>
          </w:p>
          <w:p w:rsidR="00C258AD" w:rsidRPr="00C258AD" w:rsidRDefault="00C258AD" w:rsidP="00927E1F">
            <w:pPr>
              <w:rPr>
                <w:i/>
                <w:sz w:val="16"/>
                <w:szCs w:val="16"/>
              </w:rPr>
            </w:pPr>
          </w:p>
          <w:p w:rsidR="00C258AD" w:rsidRPr="00C258AD" w:rsidRDefault="00C258AD" w:rsidP="00927E1F">
            <w:pPr>
              <w:rPr>
                <w:sz w:val="16"/>
                <w:szCs w:val="16"/>
              </w:rPr>
            </w:pPr>
            <w:r w:rsidRPr="00C258AD">
              <w:rPr>
                <w:i/>
                <w:sz w:val="16"/>
                <w:szCs w:val="16"/>
              </w:rPr>
              <w:t>Niveau de référence initial programme et budget 2014</w:t>
            </w:r>
            <w:r w:rsidRPr="00C258AD">
              <w:rPr>
                <w:i/>
                <w:sz w:val="16"/>
                <w:szCs w:val="16"/>
              </w:rPr>
              <w:noBreakHyphen/>
              <w:t>2015</w:t>
            </w:r>
            <w:r w:rsidRPr="00C258AD">
              <w:rPr>
                <w:sz w:val="16"/>
                <w:szCs w:val="16"/>
              </w:rPr>
              <w:t> :</w:t>
            </w:r>
          </w:p>
          <w:p w:rsidR="00C258AD" w:rsidRPr="00C258AD" w:rsidRDefault="00C258AD" w:rsidP="00927E1F">
            <w:pPr>
              <w:rPr>
                <w:sz w:val="16"/>
                <w:szCs w:val="16"/>
              </w:rPr>
            </w:pPr>
            <w:r w:rsidRPr="00C258AD">
              <w:rPr>
                <w:sz w:val="16"/>
                <w:szCs w:val="16"/>
              </w:rPr>
              <w:t>519 en 2011 (Bureau de l’OMPI au Brésil)</w:t>
            </w:r>
          </w:p>
          <w:p w:rsidR="00C258AD" w:rsidRPr="00C258AD" w:rsidRDefault="00C258AD" w:rsidP="00927E1F">
            <w:pPr>
              <w:rPr>
                <w:sz w:val="16"/>
                <w:szCs w:val="16"/>
              </w:rPr>
            </w:pPr>
            <w:r w:rsidRPr="00C258AD">
              <w:rPr>
                <w:sz w:val="16"/>
                <w:szCs w:val="16"/>
              </w:rPr>
              <w:t>à déterminer (Bureau de l’OMPI au Japon)</w:t>
            </w:r>
          </w:p>
          <w:p w:rsidR="00C258AD" w:rsidRPr="00C258AD" w:rsidRDefault="00C258AD" w:rsidP="00927E1F">
            <w:pPr>
              <w:rPr>
                <w:sz w:val="16"/>
                <w:szCs w:val="16"/>
              </w:rPr>
            </w:pPr>
            <w:r w:rsidRPr="00C258AD">
              <w:rPr>
                <w:sz w:val="16"/>
                <w:szCs w:val="16"/>
              </w:rPr>
              <w:t xml:space="preserve">à déterminer (Bureau de l’OMPI à Singapour) </w:t>
            </w:r>
          </w:p>
        </w:tc>
        <w:tc>
          <w:tcPr>
            <w:tcW w:w="918" w:type="pct"/>
            <w:shd w:val="clear" w:color="auto" w:fill="auto"/>
            <w:tcMar>
              <w:top w:w="110" w:type="dxa"/>
            </w:tcMar>
          </w:tcPr>
          <w:p w:rsidR="00C258AD" w:rsidRPr="00C258AD" w:rsidRDefault="00C258AD" w:rsidP="00927E1F">
            <w:pPr>
              <w:rPr>
                <w:sz w:val="16"/>
                <w:szCs w:val="16"/>
                <w:lang w:bidi="th-TH"/>
              </w:rPr>
            </w:pPr>
            <w:r w:rsidRPr="00C258AD">
              <w:rPr>
                <w:sz w:val="16"/>
                <w:szCs w:val="16"/>
              </w:rPr>
              <w:t>Augmentation de 15% (Bureau de l’OMPI au Brésil)</w:t>
            </w:r>
          </w:p>
          <w:p w:rsidR="00C258AD" w:rsidRPr="00C258AD" w:rsidRDefault="00C258AD" w:rsidP="00927E1F">
            <w:pPr>
              <w:rPr>
                <w:sz w:val="16"/>
                <w:szCs w:val="16"/>
                <w:lang w:bidi="th-TH"/>
              </w:rPr>
            </w:pPr>
          </w:p>
          <w:p w:rsidR="00C258AD" w:rsidRDefault="00C258AD" w:rsidP="00927E1F">
            <w:pPr>
              <w:rPr>
                <w:sz w:val="16"/>
                <w:szCs w:val="16"/>
                <w:lang w:bidi="th-TH"/>
              </w:rPr>
            </w:pPr>
          </w:p>
          <w:p w:rsidR="00C258AD" w:rsidRPr="00C258AD" w:rsidRDefault="00C258AD" w:rsidP="00927E1F">
            <w:pPr>
              <w:rPr>
                <w:sz w:val="16"/>
                <w:szCs w:val="16"/>
                <w:lang w:bidi="th-TH"/>
              </w:rPr>
            </w:pPr>
            <w:r w:rsidRPr="00C258AD">
              <w:rPr>
                <w:sz w:val="16"/>
                <w:szCs w:val="16"/>
              </w:rPr>
              <w:t>Augmentation de 1% (Bureau de l’OMPI au Japon)</w:t>
            </w:r>
          </w:p>
          <w:p w:rsidR="00C258AD" w:rsidRDefault="00C258AD" w:rsidP="00927E1F">
            <w:pPr>
              <w:rPr>
                <w:sz w:val="16"/>
                <w:szCs w:val="16"/>
                <w:lang w:bidi="th-TH"/>
              </w:rPr>
            </w:pPr>
          </w:p>
          <w:p w:rsidR="007E6877" w:rsidRPr="00C258AD" w:rsidRDefault="007E6877" w:rsidP="00927E1F">
            <w:pPr>
              <w:rPr>
                <w:sz w:val="16"/>
                <w:szCs w:val="16"/>
                <w:lang w:bidi="th-TH"/>
              </w:rPr>
            </w:pPr>
          </w:p>
          <w:p w:rsidR="00C258AD" w:rsidRPr="00C258AD" w:rsidRDefault="00C258AD" w:rsidP="00927E1F">
            <w:pPr>
              <w:rPr>
                <w:sz w:val="16"/>
                <w:szCs w:val="16"/>
                <w:lang w:bidi="th-TH"/>
              </w:rPr>
            </w:pPr>
            <w:r w:rsidRPr="00C258AD">
              <w:rPr>
                <w:sz w:val="16"/>
                <w:szCs w:val="16"/>
              </w:rPr>
              <w:t>Augmentation de 5% (Bureau de l’OMPI à Singapour)</w:t>
            </w:r>
          </w:p>
        </w:tc>
        <w:tc>
          <w:tcPr>
            <w:tcW w:w="1673" w:type="pct"/>
            <w:shd w:val="clear" w:color="auto" w:fill="FFFFFF"/>
            <w:tcMar>
              <w:top w:w="110" w:type="dxa"/>
            </w:tcMar>
          </w:tcPr>
          <w:p w:rsidR="00C258AD" w:rsidRPr="00C258AD" w:rsidRDefault="00C258AD" w:rsidP="00927E1F">
            <w:pPr>
              <w:rPr>
                <w:sz w:val="16"/>
                <w:szCs w:val="16"/>
              </w:rPr>
            </w:pPr>
            <w:r w:rsidRPr="00C258AD">
              <w:rPr>
                <w:sz w:val="16"/>
                <w:szCs w:val="16"/>
              </w:rPr>
              <w:t>2014</w:t>
            </w:r>
            <w:r w:rsidRPr="00C258AD">
              <w:rPr>
                <w:sz w:val="16"/>
                <w:szCs w:val="16"/>
              </w:rPr>
              <w:noBreakHyphen/>
              <w:t>2015 : 1128 (</w:t>
            </w:r>
            <w:r w:rsidRPr="00C258AD">
              <w:rPr>
                <w:sz w:val="16"/>
                <w:szCs w:val="16"/>
              </w:rPr>
              <w:noBreakHyphen/>
              <w:t>9%)</w:t>
            </w:r>
          </w:p>
          <w:p w:rsidR="00C258AD" w:rsidRPr="00C258AD" w:rsidRDefault="00C258AD" w:rsidP="00DF2EEF">
            <w:pPr>
              <w:pStyle w:val="ListParagraph"/>
              <w:numPr>
                <w:ilvl w:val="0"/>
                <w:numId w:val="92"/>
              </w:numPr>
              <w:ind w:left="347" w:hanging="347"/>
              <w:rPr>
                <w:rFonts w:eastAsia="SimSun"/>
                <w:sz w:val="16"/>
                <w:szCs w:val="16"/>
                <w:lang w:eastAsia="zh-CN"/>
              </w:rPr>
            </w:pPr>
            <w:r w:rsidRPr="00C258AD">
              <w:rPr>
                <w:rFonts w:eastAsia="SimSun"/>
                <w:sz w:val="16"/>
                <w:szCs w:val="16"/>
                <w:lang w:eastAsia="zh-CN"/>
              </w:rPr>
              <w:t>2014 : 580 (</w:t>
            </w:r>
            <w:r w:rsidRPr="00C258AD">
              <w:rPr>
                <w:rFonts w:eastAsia="SimSun"/>
                <w:sz w:val="16"/>
                <w:szCs w:val="16"/>
                <w:lang w:eastAsia="zh-CN"/>
              </w:rPr>
              <w:noBreakHyphen/>
              <w:t>12%)</w:t>
            </w:r>
          </w:p>
          <w:p w:rsidR="00C258AD" w:rsidRPr="00C258AD" w:rsidRDefault="00C258AD" w:rsidP="00DF2EEF">
            <w:pPr>
              <w:pStyle w:val="ListParagraph"/>
              <w:numPr>
                <w:ilvl w:val="0"/>
                <w:numId w:val="92"/>
              </w:numPr>
              <w:ind w:left="347" w:hanging="347"/>
              <w:rPr>
                <w:rFonts w:eastAsia="SimSun"/>
                <w:sz w:val="16"/>
                <w:szCs w:val="16"/>
                <w:lang w:eastAsia="zh-CN"/>
              </w:rPr>
            </w:pPr>
            <w:r w:rsidRPr="00C258AD">
              <w:rPr>
                <w:rFonts w:eastAsia="SimSun"/>
                <w:sz w:val="16"/>
                <w:szCs w:val="16"/>
                <w:lang w:eastAsia="zh-CN"/>
              </w:rPr>
              <w:t>2015 : 547 (</w:t>
            </w:r>
            <w:r w:rsidRPr="00C258AD">
              <w:rPr>
                <w:rFonts w:eastAsia="SimSun"/>
                <w:sz w:val="16"/>
                <w:szCs w:val="16"/>
                <w:lang w:eastAsia="zh-CN"/>
              </w:rPr>
              <w:noBreakHyphen/>
              <w:t>6%)</w:t>
            </w:r>
          </w:p>
          <w:p w:rsidR="00C258AD" w:rsidRPr="00C258AD" w:rsidRDefault="00C258AD" w:rsidP="00927E1F">
            <w:pPr>
              <w:rPr>
                <w:sz w:val="16"/>
                <w:szCs w:val="16"/>
              </w:rPr>
            </w:pPr>
            <w:r w:rsidRPr="00C258AD">
              <w:rPr>
                <w:sz w:val="16"/>
                <w:szCs w:val="16"/>
              </w:rPr>
              <w:t>(Bureau de l’OMPI au Brésil)</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2014</w:t>
            </w:r>
            <w:r w:rsidRPr="00C258AD">
              <w:rPr>
                <w:sz w:val="16"/>
                <w:szCs w:val="16"/>
              </w:rPr>
              <w:noBreakHyphen/>
              <w:t>2015 : 86 616 (</w:t>
            </w:r>
            <w:r w:rsidRPr="00C258AD">
              <w:rPr>
                <w:sz w:val="16"/>
                <w:szCs w:val="16"/>
              </w:rPr>
              <w:noBreakHyphen/>
              <w:t>1%)</w:t>
            </w:r>
          </w:p>
          <w:p w:rsidR="00C258AD" w:rsidRPr="00C258AD" w:rsidRDefault="00C258AD" w:rsidP="00DF2EEF">
            <w:pPr>
              <w:pStyle w:val="ListParagraph"/>
              <w:numPr>
                <w:ilvl w:val="0"/>
                <w:numId w:val="92"/>
              </w:numPr>
              <w:ind w:left="347" w:hanging="347"/>
              <w:rPr>
                <w:rFonts w:eastAsia="SimSun"/>
                <w:sz w:val="16"/>
                <w:szCs w:val="16"/>
                <w:lang w:eastAsia="zh-CN"/>
              </w:rPr>
            </w:pPr>
            <w:r w:rsidRPr="00C258AD">
              <w:rPr>
                <w:rFonts w:eastAsia="SimSun"/>
                <w:sz w:val="16"/>
                <w:szCs w:val="16"/>
                <w:lang w:eastAsia="zh-CN"/>
              </w:rPr>
              <w:t>2014 : 42 381</w:t>
            </w:r>
            <w:r w:rsidRPr="00C258AD">
              <w:rPr>
                <w:rStyle w:val="FootnoteReference"/>
                <w:rFonts w:eastAsia="SimSun"/>
                <w:szCs w:val="16"/>
              </w:rPr>
              <w:t xml:space="preserve"> </w:t>
            </w:r>
            <w:r w:rsidRPr="00C258AD">
              <w:rPr>
                <w:rFonts w:eastAsia="SimSun"/>
                <w:sz w:val="16"/>
                <w:szCs w:val="16"/>
                <w:lang w:eastAsia="zh-CN"/>
              </w:rPr>
              <w:t>(</w:t>
            </w:r>
            <w:r w:rsidRPr="00C258AD">
              <w:rPr>
                <w:rFonts w:eastAsia="SimSun"/>
                <w:sz w:val="16"/>
                <w:szCs w:val="16"/>
                <w:lang w:eastAsia="zh-CN"/>
              </w:rPr>
              <w:noBreakHyphen/>
              <w:t>3%)</w:t>
            </w:r>
          </w:p>
          <w:p w:rsidR="00C258AD" w:rsidRPr="00C258AD" w:rsidRDefault="00C258AD" w:rsidP="00DF2EEF">
            <w:pPr>
              <w:pStyle w:val="ListParagraph"/>
              <w:numPr>
                <w:ilvl w:val="0"/>
                <w:numId w:val="92"/>
              </w:numPr>
              <w:ind w:left="347" w:right="-92" w:hanging="347"/>
              <w:rPr>
                <w:rFonts w:eastAsia="SimSun"/>
                <w:sz w:val="16"/>
                <w:szCs w:val="16"/>
                <w:lang w:eastAsia="zh-CN"/>
              </w:rPr>
            </w:pPr>
            <w:r w:rsidRPr="00C258AD">
              <w:rPr>
                <w:rFonts w:eastAsia="SimSun"/>
                <w:sz w:val="16"/>
                <w:szCs w:val="16"/>
                <w:lang w:eastAsia="zh-CN"/>
              </w:rPr>
              <w:t>2015 : 44 235 (+4%)</w:t>
            </w:r>
          </w:p>
          <w:p w:rsidR="00C258AD" w:rsidRPr="00C258AD" w:rsidRDefault="00C258AD" w:rsidP="00927E1F">
            <w:pPr>
              <w:rPr>
                <w:sz w:val="16"/>
                <w:szCs w:val="16"/>
              </w:rPr>
            </w:pPr>
            <w:r w:rsidRPr="00C258AD">
              <w:rPr>
                <w:sz w:val="16"/>
                <w:szCs w:val="16"/>
              </w:rPr>
              <w:t>(Bureau de l’OMPI au Japon)</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2014</w:t>
            </w:r>
            <w:r w:rsidRPr="00C258AD">
              <w:rPr>
                <w:sz w:val="16"/>
                <w:szCs w:val="16"/>
              </w:rPr>
              <w:noBreakHyphen/>
              <w:t>2015 : 2809 (+17%)</w:t>
            </w:r>
          </w:p>
          <w:p w:rsidR="00C258AD" w:rsidRPr="00C258AD" w:rsidRDefault="00C258AD" w:rsidP="00DF2EEF">
            <w:pPr>
              <w:pStyle w:val="ListParagraph"/>
              <w:numPr>
                <w:ilvl w:val="0"/>
                <w:numId w:val="92"/>
              </w:numPr>
              <w:ind w:left="347" w:right="-92" w:hanging="347"/>
              <w:rPr>
                <w:rFonts w:eastAsia="SimSun"/>
                <w:sz w:val="16"/>
                <w:szCs w:val="16"/>
                <w:lang w:eastAsia="zh-CN"/>
              </w:rPr>
            </w:pPr>
            <w:r w:rsidRPr="00C258AD">
              <w:rPr>
                <w:rFonts w:eastAsia="SimSun"/>
                <w:sz w:val="16"/>
                <w:szCs w:val="16"/>
                <w:lang w:eastAsia="zh-CN"/>
              </w:rPr>
              <w:t>2014 : 1394 (+9%)</w:t>
            </w:r>
          </w:p>
          <w:p w:rsidR="00C258AD" w:rsidRPr="00C258AD" w:rsidRDefault="00C258AD" w:rsidP="00DF2EEF">
            <w:pPr>
              <w:pStyle w:val="ListParagraph"/>
              <w:numPr>
                <w:ilvl w:val="0"/>
                <w:numId w:val="92"/>
              </w:numPr>
              <w:ind w:left="347" w:right="-92" w:hanging="347"/>
              <w:rPr>
                <w:rFonts w:eastAsia="SimSun"/>
                <w:sz w:val="16"/>
                <w:szCs w:val="16"/>
                <w:lang w:eastAsia="zh-CN"/>
              </w:rPr>
            </w:pPr>
            <w:r w:rsidRPr="00C258AD">
              <w:rPr>
                <w:rFonts w:eastAsia="SimSun"/>
                <w:sz w:val="16"/>
                <w:szCs w:val="16"/>
                <w:lang w:eastAsia="zh-CN"/>
              </w:rPr>
              <w:t>2015 : 1415 (+2%)</w:t>
            </w:r>
          </w:p>
          <w:p w:rsidR="00C258AD" w:rsidRPr="00C258AD" w:rsidRDefault="00C258AD" w:rsidP="00927E1F">
            <w:pPr>
              <w:rPr>
                <w:sz w:val="16"/>
                <w:szCs w:val="16"/>
              </w:rPr>
            </w:pPr>
            <w:r w:rsidRPr="00C258AD">
              <w:rPr>
                <w:sz w:val="16"/>
                <w:szCs w:val="16"/>
              </w:rPr>
              <w:t>(Bureau de l’OMPI à Singapour)</w:t>
            </w:r>
          </w:p>
        </w:tc>
        <w:tc>
          <w:tcPr>
            <w:tcW w:w="465" w:type="pct"/>
            <w:shd w:val="clear" w:color="auto" w:fill="auto"/>
            <w:tcMar>
              <w:top w:w="110" w:type="dxa"/>
            </w:tcMar>
          </w:tcPr>
          <w:p w:rsidR="00C258AD" w:rsidRPr="00C258AD" w:rsidRDefault="00C258AD" w:rsidP="00927E1F">
            <w:pPr>
              <w:keepNext/>
              <w:keepLines/>
              <w:jc w:val="center"/>
              <w:rPr>
                <w:b/>
                <w:color w:val="FF0000"/>
                <w:sz w:val="16"/>
                <w:szCs w:val="16"/>
              </w:rPr>
            </w:pPr>
            <w:r w:rsidRPr="00C258AD">
              <w:rPr>
                <w:b/>
                <w:color w:val="FF0000"/>
                <w:sz w:val="16"/>
              </w:rPr>
              <w:t>Objectif pas atteint</w:t>
            </w:r>
          </w:p>
          <w:p w:rsidR="00C258AD" w:rsidRPr="00C258AD" w:rsidRDefault="00C258AD" w:rsidP="00927E1F">
            <w:pPr>
              <w:keepNext/>
              <w:keepLines/>
              <w:jc w:val="center"/>
              <w:rPr>
                <w:b/>
                <w:color w:val="FF0000"/>
                <w:sz w:val="16"/>
                <w:szCs w:val="16"/>
              </w:rPr>
            </w:pPr>
          </w:p>
          <w:p w:rsidR="00C258AD" w:rsidRPr="00C258AD" w:rsidRDefault="00C258AD" w:rsidP="00927E1F">
            <w:pPr>
              <w:keepNext/>
              <w:keepLines/>
              <w:jc w:val="center"/>
              <w:rPr>
                <w:b/>
                <w:color w:val="FF0000"/>
                <w:sz w:val="16"/>
                <w:szCs w:val="16"/>
              </w:rPr>
            </w:pPr>
          </w:p>
          <w:p w:rsidR="00C258AD" w:rsidRPr="00C258AD" w:rsidRDefault="00C258AD" w:rsidP="00927E1F">
            <w:pPr>
              <w:keepNext/>
              <w:keepLines/>
              <w:jc w:val="center"/>
              <w:rPr>
                <w:b/>
                <w:color w:val="FF0000"/>
                <w:sz w:val="16"/>
                <w:szCs w:val="16"/>
              </w:rPr>
            </w:pPr>
          </w:p>
          <w:p w:rsidR="00C258AD" w:rsidRPr="00C258AD" w:rsidRDefault="00C258AD" w:rsidP="00927E1F">
            <w:pPr>
              <w:keepNext/>
              <w:keepLines/>
              <w:jc w:val="center"/>
              <w:rPr>
                <w:b/>
                <w:color w:val="FF0000"/>
                <w:sz w:val="16"/>
                <w:szCs w:val="16"/>
              </w:rPr>
            </w:pPr>
            <w:r w:rsidRPr="00C258AD">
              <w:rPr>
                <w:b/>
                <w:color w:val="FF0000"/>
                <w:sz w:val="16"/>
              </w:rPr>
              <w:t>Objectif pas atteint</w:t>
            </w: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r w:rsidRPr="00C258AD">
              <w:rPr>
                <w:b/>
                <w:bCs/>
                <w:color w:val="00B050"/>
                <w:sz w:val="16"/>
              </w:rPr>
              <w:t>Objectif pleinement atteint</w:t>
            </w:r>
            <w:r w:rsidRPr="00C258AD">
              <w:rPr>
                <w:b/>
                <w:bCs/>
                <w:color w:val="00B050"/>
                <w:sz w:val="16"/>
                <w:szCs w:val="16"/>
              </w:rPr>
              <w:t xml:space="preserve"> </w:t>
            </w:r>
          </w:p>
        </w:tc>
      </w:tr>
      <w:tr w:rsidR="00C258AD" w:rsidRPr="00C258AD" w:rsidTr="00927E1F">
        <w:trPr>
          <w:cantSplit/>
        </w:trPr>
        <w:tc>
          <w:tcPr>
            <w:tcW w:w="1080" w:type="pct"/>
            <w:tcBorders>
              <w:bottom w:val="single" w:sz="4" w:space="0" w:color="auto"/>
            </w:tcBorders>
            <w:shd w:val="clear" w:color="auto" w:fill="auto"/>
          </w:tcPr>
          <w:p w:rsidR="00C258AD" w:rsidRPr="00C258AD" w:rsidRDefault="00C258AD" w:rsidP="00927E1F">
            <w:pPr>
              <w:rPr>
                <w:sz w:val="16"/>
                <w:szCs w:val="16"/>
              </w:rPr>
            </w:pPr>
            <w:r w:rsidRPr="00C258AD">
              <w:rPr>
                <w:sz w:val="16"/>
                <w:szCs w:val="16"/>
              </w:rPr>
              <w:t>Pourcentage de décideurs, de fonctionnaires gouvernementaux, de spécialistes de la propriété intellectuelle et de participants à des séminaires ciblés ayant une meilleure connaissance du PCT et de thèmes connexes</w:t>
            </w:r>
          </w:p>
        </w:tc>
        <w:tc>
          <w:tcPr>
            <w:tcW w:w="864" w:type="pct"/>
            <w:gridSpan w:val="2"/>
            <w:tcBorders>
              <w:bottom w:val="single" w:sz="4" w:space="0" w:color="auto"/>
            </w:tcBorders>
            <w:shd w:val="clear" w:color="auto" w:fill="auto"/>
          </w:tcPr>
          <w:p w:rsidR="00C258AD" w:rsidRPr="00C258AD" w:rsidRDefault="00C258AD" w:rsidP="00927E1F">
            <w:pPr>
              <w:rPr>
                <w:sz w:val="16"/>
                <w:szCs w:val="16"/>
              </w:rPr>
            </w:pPr>
            <w:r w:rsidRPr="00C258AD">
              <w:rPr>
                <w:sz w:val="16"/>
                <w:szCs w:val="16"/>
              </w:rPr>
              <w:t>Données non disponibles (Bureau de l’OMPI au Brésil)</w:t>
            </w:r>
          </w:p>
          <w:p w:rsidR="00C258AD" w:rsidRPr="00C258AD" w:rsidRDefault="00C258AD" w:rsidP="00927E1F">
            <w:pPr>
              <w:rPr>
                <w:sz w:val="16"/>
                <w:szCs w:val="16"/>
              </w:rPr>
            </w:pPr>
            <w:r w:rsidRPr="00C258AD">
              <w:rPr>
                <w:sz w:val="16"/>
                <w:szCs w:val="16"/>
              </w:rPr>
              <w:t>Données non disponibles (Bureau de l’OMPI au Japon)</w:t>
            </w:r>
          </w:p>
          <w:p w:rsidR="00C258AD" w:rsidRPr="00C258AD" w:rsidRDefault="00C258AD" w:rsidP="00927E1F">
            <w:pPr>
              <w:rPr>
                <w:sz w:val="16"/>
                <w:szCs w:val="16"/>
              </w:rPr>
            </w:pPr>
            <w:r w:rsidRPr="00C258AD">
              <w:rPr>
                <w:sz w:val="16"/>
                <w:szCs w:val="16"/>
              </w:rPr>
              <w:t>Données non disponibles (Bureau de l’OMPI à Singapour)</w:t>
            </w:r>
          </w:p>
        </w:tc>
        <w:tc>
          <w:tcPr>
            <w:tcW w:w="918" w:type="pct"/>
            <w:tcBorders>
              <w:bottom w:val="single" w:sz="4" w:space="0" w:color="auto"/>
            </w:tcBorders>
            <w:shd w:val="clear" w:color="auto" w:fill="auto"/>
            <w:tcMar>
              <w:top w:w="110" w:type="dxa"/>
            </w:tcMar>
          </w:tcPr>
          <w:p w:rsidR="00C258AD" w:rsidRPr="00C258AD" w:rsidRDefault="00C258AD" w:rsidP="00927E1F">
            <w:pPr>
              <w:rPr>
                <w:sz w:val="16"/>
                <w:szCs w:val="16"/>
              </w:rPr>
            </w:pPr>
            <w:r w:rsidRPr="00C258AD">
              <w:rPr>
                <w:sz w:val="16"/>
                <w:szCs w:val="16"/>
              </w:rPr>
              <w:t>75% (Bureau de l’OMPI au Brésil)</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75% (Bureau de l’OMPI au Japon)</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75% (Bureau de l’OMPI à Singapour)</w:t>
            </w:r>
          </w:p>
        </w:tc>
        <w:tc>
          <w:tcPr>
            <w:tcW w:w="1673" w:type="pct"/>
            <w:tcBorders>
              <w:bottom w:val="single" w:sz="4" w:space="0" w:color="auto"/>
            </w:tcBorders>
            <w:shd w:val="clear" w:color="auto" w:fill="FFFFFF"/>
            <w:tcMar>
              <w:top w:w="110" w:type="dxa"/>
            </w:tcMar>
          </w:tcPr>
          <w:p w:rsidR="00C258AD" w:rsidRPr="00C258AD" w:rsidRDefault="00C258AD" w:rsidP="00927E1F">
            <w:pPr>
              <w:rPr>
                <w:sz w:val="16"/>
                <w:szCs w:val="16"/>
              </w:rPr>
            </w:pPr>
            <w:r w:rsidRPr="00C258AD">
              <w:rPr>
                <w:sz w:val="16"/>
                <w:szCs w:val="16"/>
              </w:rPr>
              <w:t>Bureau de l’OMPI au Brésil</w:t>
            </w:r>
          </w:p>
          <w:p w:rsidR="00C258AD" w:rsidRPr="00C258AD" w:rsidRDefault="00C258AD" w:rsidP="00927E1F">
            <w:pPr>
              <w:rPr>
                <w:sz w:val="16"/>
                <w:szCs w:val="16"/>
              </w:rPr>
            </w:pPr>
            <w:r w:rsidRPr="00C258AD">
              <w:rPr>
                <w:sz w:val="16"/>
                <w:szCs w:val="16"/>
              </w:rPr>
              <w:t>2014 : 80%</w:t>
            </w:r>
            <w:r w:rsidRPr="00C258AD">
              <w:rPr>
                <w:sz w:val="16"/>
                <w:szCs w:val="16"/>
              </w:rPr>
              <w:tab/>
              <w:t>2015 : 75%</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Bureau de l’OMPI au Japon</w:t>
            </w:r>
          </w:p>
          <w:p w:rsidR="00C258AD" w:rsidRPr="00C258AD" w:rsidRDefault="00C258AD" w:rsidP="00927E1F">
            <w:pPr>
              <w:rPr>
                <w:sz w:val="16"/>
                <w:szCs w:val="16"/>
              </w:rPr>
            </w:pPr>
            <w:r w:rsidRPr="00C258AD">
              <w:rPr>
                <w:sz w:val="16"/>
                <w:szCs w:val="16"/>
              </w:rPr>
              <w:t>2014 : 94%</w:t>
            </w:r>
            <w:r w:rsidRPr="00C258AD">
              <w:rPr>
                <w:sz w:val="16"/>
                <w:szCs w:val="16"/>
              </w:rPr>
              <w:tab/>
              <w:t>2015 : 91%</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Bureau de l’OMPI à Singapour</w:t>
            </w:r>
          </w:p>
          <w:p w:rsidR="00C258AD" w:rsidRPr="00C258AD" w:rsidRDefault="00C258AD" w:rsidP="00927E1F">
            <w:pPr>
              <w:rPr>
                <w:sz w:val="16"/>
                <w:szCs w:val="16"/>
              </w:rPr>
            </w:pPr>
            <w:r w:rsidRPr="00C258AD">
              <w:rPr>
                <w:sz w:val="16"/>
                <w:szCs w:val="16"/>
              </w:rPr>
              <w:t>2014 : 93%</w:t>
            </w:r>
            <w:r w:rsidRPr="00C258AD">
              <w:rPr>
                <w:sz w:val="16"/>
                <w:szCs w:val="16"/>
              </w:rPr>
              <w:tab/>
              <w:t>2015 : 95%</w:t>
            </w:r>
          </w:p>
        </w:tc>
        <w:tc>
          <w:tcPr>
            <w:tcW w:w="465" w:type="pct"/>
            <w:tcBorders>
              <w:bottom w:val="single" w:sz="4" w:space="0" w:color="auto"/>
            </w:tcBorders>
            <w:shd w:val="clear" w:color="auto" w:fill="auto"/>
            <w:tcMar>
              <w:top w:w="110" w:type="dxa"/>
            </w:tcMar>
          </w:tcPr>
          <w:p w:rsidR="00C258AD" w:rsidRPr="00C258AD" w:rsidRDefault="00C258AD" w:rsidP="00927E1F">
            <w:pPr>
              <w:keepNext/>
              <w:keepLines/>
              <w:jc w:val="center"/>
              <w:rPr>
                <w:b/>
                <w:bCs/>
                <w:color w:val="00B050"/>
                <w:sz w:val="16"/>
              </w:rPr>
            </w:pPr>
            <w:r w:rsidRPr="00C258AD">
              <w:rPr>
                <w:b/>
                <w:bCs/>
                <w:color w:val="00B050"/>
                <w:sz w:val="16"/>
              </w:rPr>
              <w:t>Objectif pleinement atteint</w:t>
            </w:r>
          </w:p>
          <w:p w:rsidR="00C258AD" w:rsidRPr="00C258AD" w:rsidRDefault="00C258AD" w:rsidP="00927E1F">
            <w:pPr>
              <w:keepNext/>
              <w:keepLines/>
              <w:jc w:val="center"/>
              <w:rPr>
                <w:b/>
                <w:bCs/>
                <w:color w:val="00B050"/>
                <w:sz w:val="16"/>
              </w:rPr>
            </w:pPr>
          </w:p>
          <w:p w:rsidR="00C258AD" w:rsidRPr="00C258AD" w:rsidRDefault="00C258AD" w:rsidP="00927E1F">
            <w:pPr>
              <w:keepNext/>
              <w:keepLines/>
              <w:jc w:val="center"/>
              <w:rPr>
                <w:b/>
                <w:bCs/>
                <w:color w:val="00B050"/>
                <w:sz w:val="16"/>
              </w:rPr>
            </w:pPr>
            <w:r w:rsidRPr="00C258AD">
              <w:rPr>
                <w:b/>
                <w:bCs/>
                <w:color w:val="00B050"/>
                <w:sz w:val="16"/>
              </w:rPr>
              <w:t>Objectif pleinement atteint</w:t>
            </w:r>
          </w:p>
          <w:p w:rsidR="00C258AD" w:rsidRPr="00C258AD" w:rsidRDefault="00C258AD" w:rsidP="00927E1F">
            <w:pPr>
              <w:keepNext/>
              <w:keepLines/>
              <w:jc w:val="center"/>
              <w:rPr>
                <w:b/>
                <w:bCs/>
                <w:color w:val="00B050"/>
                <w:sz w:val="16"/>
              </w:rPr>
            </w:pPr>
          </w:p>
          <w:p w:rsidR="00C258AD" w:rsidRPr="00C258AD" w:rsidRDefault="00C258AD" w:rsidP="00927E1F">
            <w:pPr>
              <w:keepNext/>
              <w:keepLines/>
              <w:jc w:val="center"/>
              <w:rPr>
                <w:color w:val="808080"/>
                <w:sz w:val="16"/>
                <w:szCs w:val="16"/>
              </w:rPr>
            </w:pPr>
            <w:r w:rsidRPr="00C258AD">
              <w:rPr>
                <w:b/>
                <w:bCs/>
                <w:color w:val="00B050"/>
                <w:sz w:val="16"/>
              </w:rPr>
              <w:t>Objectif pleinement atteint</w:t>
            </w:r>
          </w:p>
        </w:tc>
      </w:tr>
      <w:tr w:rsidR="00C258AD" w:rsidRPr="00C258AD" w:rsidTr="00927E1F">
        <w:trPr>
          <w:cantSplit/>
        </w:trPr>
        <w:tc>
          <w:tcPr>
            <w:tcW w:w="5000" w:type="pct"/>
            <w:gridSpan w:val="6"/>
            <w:tcBorders>
              <w:top w:val="single" w:sz="4" w:space="0" w:color="auto"/>
              <w:bottom w:val="single" w:sz="4" w:space="0" w:color="auto"/>
            </w:tcBorders>
            <w:shd w:val="clear" w:color="auto" w:fill="BFD9F1"/>
          </w:tcPr>
          <w:p w:rsidR="00C258AD" w:rsidRPr="00C258AD" w:rsidRDefault="00C258AD" w:rsidP="00927E1F">
            <w:pPr>
              <w:keepNext/>
              <w:rPr>
                <w:b/>
                <w:bCs/>
                <w:sz w:val="16"/>
                <w:szCs w:val="16"/>
              </w:rPr>
            </w:pPr>
            <w:r w:rsidRPr="00C258AD">
              <w:rPr>
                <w:b/>
                <w:sz w:val="16"/>
                <w:szCs w:val="16"/>
              </w:rPr>
              <w:t xml:space="preserve">Résultat escompté : </w:t>
            </w:r>
            <w:r w:rsidRPr="00C258AD">
              <w:rPr>
                <w:sz w:val="16"/>
                <w:szCs w:val="16"/>
              </w:rPr>
              <w:t>II.4 Utilisation élargie et améliorée du système de La Haye, notamment par les pays en développement et les PMA</w:t>
            </w:r>
          </w:p>
        </w:tc>
      </w:tr>
      <w:tr w:rsidR="00C258AD" w:rsidRPr="00C258AD" w:rsidTr="00927E1F">
        <w:trPr>
          <w:cantSplit/>
        </w:trPr>
        <w:tc>
          <w:tcPr>
            <w:tcW w:w="1080" w:type="pct"/>
            <w:tcBorders>
              <w:top w:val="single" w:sz="4" w:space="0" w:color="auto"/>
            </w:tcBorders>
            <w:shd w:val="clear" w:color="auto" w:fill="auto"/>
            <w:vAlign w:val="center"/>
          </w:tcPr>
          <w:p w:rsidR="00C258AD" w:rsidRPr="00C258AD" w:rsidRDefault="00C258AD" w:rsidP="00927E1F">
            <w:pPr>
              <w:keepNext/>
              <w:jc w:val="center"/>
              <w:rPr>
                <w:sz w:val="16"/>
                <w:szCs w:val="16"/>
              </w:rPr>
            </w:pPr>
            <w:r w:rsidRPr="00C258AD">
              <w:rPr>
                <w:b/>
                <w:sz w:val="16"/>
                <w:szCs w:val="16"/>
              </w:rPr>
              <w:t>Indicateurs d’exécution</w:t>
            </w:r>
          </w:p>
        </w:tc>
        <w:tc>
          <w:tcPr>
            <w:tcW w:w="864" w:type="pct"/>
            <w:gridSpan w:val="2"/>
            <w:tcBorders>
              <w:top w:val="single" w:sz="4" w:space="0" w:color="auto"/>
            </w:tcBorders>
            <w:shd w:val="clear" w:color="auto" w:fill="auto"/>
            <w:vAlign w:val="center"/>
          </w:tcPr>
          <w:p w:rsidR="00C258AD" w:rsidRPr="00C258AD" w:rsidRDefault="00C258AD" w:rsidP="00927E1F">
            <w:pPr>
              <w:keepNext/>
              <w:jc w:val="center"/>
              <w:rPr>
                <w:b/>
                <w:bCs/>
                <w:sz w:val="16"/>
                <w:szCs w:val="16"/>
              </w:rPr>
            </w:pPr>
            <w:r w:rsidRPr="00C258AD">
              <w:rPr>
                <w:b/>
                <w:sz w:val="16"/>
                <w:szCs w:val="16"/>
              </w:rPr>
              <w:t>Niveaux de référence</w:t>
            </w:r>
          </w:p>
        </w:tc>
        <w:tc>
          <w:tcPr>
            <w:tcW w:w="918" w:type="pct"/>
            <w:tcBorders>
              <w:top w:val="single" w:sz="4" w:space="0" w:color="auto"/>
            </w:tcBorders>
            <w:shd w:val="clear" w:color="auto" w:fill="auto"/>
            <w:tcMar>
              <w:top w:w="110" w:type="dxa"/>
            </w:tcMar>
            <w:vAlign w:val="center"/>
          </w:tcPr>
          <w:p w:rsidR="00C258AD" w:rsidRPr="00C258AD" w:rsidRDefault="00C258AD" w:rsidP="00927E1F">
            <w:pPr>
              <w:keepNext/>
              <w:jc w:val="center"/>
              <w:rPr>
                <w:b/>
                <w:sz w:val="16"/>
                <w:szCs w:val="16"/>
              </w:rPr>
            </w:pPr>
            <w:r w:rsidRPr="00C258AD">
              <w:rPr>
                <w:b/>
                <w:sz w:val="16"/>
                <w:szCs w:val="16"/>
              </w:rPr>
              <w:t>Objectifs visés</w:t>
            </w:r>
          </w:p>
        </w:tc>
        <w:tc>
          <w:tcPr>
            <w:tcW w:w="1673" w:type="pct"/>
            <w:tcBorders>
              <w:top w:val="single" w:sz="4" w:space="0" w:color="auto"/>
            </w:tcBorders>
            <w:shd w:val="clear" w:color="auto" w:fill="FFFFFF"/>
            <w:tcMar>
              <w:top w:w="110" w:type="dxa"/>
            </w:tcMar>
            <w:vAlign w:val="center"/>
          </w:tcPr>
          <w:p w:rsidR="00C258AD" w:rsidRPr="00C258AD" w:rsidRDefault="00C258AD" w:rsidP="00927E1F">
            <w:pPr>
              <w:keepNext/>
              <w:jc w:val="center"/>
              <w:rPr>
                <w:sz w:val="16"/>
                <w:szCs w:val="16"/>
              </w:rPr>
            </w:pPr>
            <w:r w:rsidRPr="00C258AD">
              <w:rPr>
                <w:b/>
                <w:sz w:val="16"/>
                <w:szCs w:val="16"/>
              </w:rPr>
              <w:t>Données relatives à l’exécution</w:t>
            </w:r>
          </w:p>
        </w:tc>
        <w:tc>
          <w:tcPr>
            <w:tcW w:w="465" w:type="pct"/>
            <w:tcBorders>
              <w:top w:val="single" w:sz="4" w:space="0" w:color="auto"/>
            </w:tcBorders>
            <w:shd w:val="clear" w:color="auto" w:fill="auto"/>
            <w:tcMar>
              <w:top w:w="110" w:type="dxa"/>
            </w:tcMar>
            <w:vAlign w:val="center"/>
          </w:tcPr>
          <w:p w:rsidR="00C258AD" w:rsidRPr="00C258AD" w:rsidRDefault="00C258AD" w:rsidP="00927E1F">
            <w:pPr>
              <w:keepNext/>
              <w:jc w:val="center"/>
              <w:rPr>
                <w:b/>
                <w:bCs/>
                <w:sz w:val="16"/>
                <w:szCs w:val="16"/>
              </w:rPr>
            </w:pPr>
            <w:r w:rsidRPr="00C258AD">
              <w:rPr>
                <w:b/>
                <w:sz w:val="16"/>
                <w:szCs w:val="16"/>
              </w:rPr>
              <w:t>Code de couleurs</w:t>
            </w:r>
          </w:p>
        </w:tc>
      </w:tr>
      <w:tr w:rsidR="00C258AD" w:rsidRPr="00C258AD" w:rsidTr="00927E1F">
        <w:trPr>
          <w:cantSplit/>
        </w:trPr>
        <w:tc>
          <w:tcPr>
            <w:tcW w:w="1080" w:type="pct"/>
            <w:shd w:val="clear" w:color="auto" w:fill="auto"/>
          </w:tcPr>
          <w:p w:rsidR="00C258AD" w:rsidRPr="00C258AD" w:rsidRDefault="00C258AD" w:rsidP="00927E1F">
            <w:pPr>
              <w:rPr>
                <w:sz w:val="16"/>
                <w:szCs w:val="16"/>
              </w:rPr>
            </w:pPr>
            <w:r w:rsidRPr="00C258AD">
              <w:rPr>
                <w:sz w:val="16"/>
                <w:szCs w:val="16"/>
              </w:rPr>
              <w:t>Nombre de pays ayant élaboré leurs politiques en matière d’adhésion à l’Arrangement de La Haye ou ayant entrepris leur mise en œuvre</w:t>
            </w:r>
          </w:p>
        </w:tc>
        <w:tc>
          <w:tcPr>
            <w:tcW w:w="864" w:type="pct"/>
            <w:gridSpan w:val="2"/>
            <w:shd w:val="clear" w:color="auto" w:fill="auto"/>
          </w:tcPr>
          <w:p w:rsidR="00C258AD" w:rsidRPr="00C258AD" w:rsidRDefault="00C258AD" w:rsidP="00927E1F">
            <w:pPr>
              <w:rPr>
                <w:sz w:val="16"/>
                <w:szCs w:val="16"/>
              </w:rPr>
            </w:pPr>
            <w:r w:rsidRPr="00C258AD">
              <w:rPr>
                <w:sz w:val="16"/>
                <w:szCs w:val="16"/>
              </w:rPr>
              <w:t>Données non disponibles (Bureau de l’OMPI à Singapour)</w:t>
            </w:r>
          </w:p>
        </w:tc>
        <w:tc>
          <w:tcPr>
            <w:tcW w:w="918" w:type="pct"/>
            <w:shd w:val="clear" w:color="auto" w:fill="auto"/>
            <w:tcMar>
              <w:top w:w="110" w:type="dxa"/>
            </w:tcMar>
          </w:tcPr>
          <w:p w:rsidR="00C258AD" w:rsidRPr="00C258AD" w:rsidRDefault="00C258AD" w:rsidP="00927E1F">
            <w:pPr>
              <w:rPr>
                <w:sz w:val="16"/>
                <w:szCs w:val="16"/>
              </w:rPr>
            </w:pPr>
            <w:r w:rsidRPr="00C258AD">
              <w:rPr>
                <w:sz w:val="16"/>
                <w:szCs w:val="16"/>
              </w:rPr>
              <w:t>7 États membres de l’ASEAN (Bureau de l’OMPI à Singapour)</w:t>
            </w:r>
          </w:p>
        </w:tc>
        <w:tc>
          <w:tcPr>
            <w:tcW w:w="1673" w:type="pct"/>
            <w:shd w:val="clear" w:color="auto" w:fill="FFFFFF"/>
            <w:tcMar>
              <w:top w:w="110" w:type="dxa"/>
            </w:tcMar>
          </w:tcPr>
          <w:p w:rsidR="00C258AD" w:rsidRPr="00C258AD" w:rsidRDefault="00C258AD" w:rsidP="00927E1F">
            <w:pPr>
              <w:rPr>
                <w:sz w:val="16"/>
                <w:szCs w:val="16"/>
              </w:rPr>
            </w:pPr>
            <w:r w:rsidRPr="00C258AD">
              <w:rPr>
                <w:sz w:val="16"/>
                <w:szCs w:val="16"/>
              </w:rPr>
              <w:t>7 États membres de l’ASEAN (Cambodge, Indonésie, Malaisie, Philippines, République démocratique populaire lao, Thaïlande, Viet Nam)</w:t>
            </w:r>
          </w:p>
        </w:tc>
        <w:tc>
          <w:tcPr>
            <w:tcW w:w="465" w:type="pct"/>
            <w:shd w:val="clear" w:color="auto" w:fill="auto"/>
            <w:tcMar>
              <w:top w:w="110" w:type="dxa"/>
            </w:tcMar>
          </w:tcPr>
          <w:p w:rsidR="00C258AD" w:rsidRPr="00C258AD" w:rsidRDefault="00C258AD" w:rsidP="00927E1F">
            <w:pPr>
              <w:jc w:val="center"/>
              <w:rPr>
                <w:b/>
                <w:bCs/>
                <w:color w:val="808080"/>
                <w:sz w:val="16"/>
                <w:szCs w:val="16"/>
              </w:rPr>
            </w:pPr>
            <w:r w:rsidRPr="00C258AD">
              <w:rPr>
                <w:b/>
                <w:bCs/>
                <w:color w:val="00B050"/>
                <w:sz w:val="16"/>
              </w:rPr>
              <w:t>Objectif pleinement atteint</w:t>
            </w:r>
          </w:p>
        </w:tc>
      </w:tr>
      <w:tr w:rsidR="00C258AD" w:rsidRPr="00C258AD" w:rsidTr="00927E1F">
        <w:trPr>
          <w:cantSplit/>
        </w:trPr>
        <w:tc>
          <w:tcPr>
            <w:tcW w:w="1080" w:type="pct"/>
            <w:tcBorders>
              <w:bottom w:val="nil"/>
            </w:tcBorders>
            <w:shd w:val="clear" w:color="auto" w:fill="auto"/>
          </w:tcPr>
          <w:p w:rsidR="00C258AD" w:rsidRPr="00C258AD" w:rsidRDefault="00C258AD" w:rsidP="00927E1F">
            <w:pPr>
              <w:rPr>
                <w:sz w:val="16"/>
                <w:szCs w:val="16"/>
              </w:rPr>
            </w:pPr>
            <w:r w:rsidRPr="00C258AD">
              <w:rPr>
                <w:sz w:val="16"/>
                <w:szCs w:val="16"/>
              </w:rPr>
              <w:lastRenderedPageBreak/>
              <w:t>Pourcentage de décideurs, de fonctionnaires gouvernementaux, de spécialistes de la propriété intellectuelle et de participants à des séminaires ciblés ayant une meilleure connaissance du système de La Haye</w:t>
            </w:r>
          </w:p>
        </w:tc>
        <w:tc>
          <w:tcPr>
            <w:tcW w:w="864" w:type="pct"/>
            <w:gridSpan w:val="2"/>
            <w:tcBorders>
              <w:bottom w:val="nil"/>
            </w:tcBorders>
            <w:shd w:val="clear" w:color="auto" w:fill="auto"/>
          </w:tcPr>
          <w:p w:rsidR="00C258AD" w:rsidRPr="00C258AD" w:rsidRDefault="00C258AD" w:rsidP="00927E1F">
            <w:pPr>
              <w:rPr>
                <w:sz w:val="16"/>
                <w:szCs w:val="16"/>
              </w:rPr>
            </w:pPr>
            <w:r w:rsidRPr="00C258AD">
              <w:rPr>
                <w:sz w:val="16"/>
                <w:szCs w:val="16"/>
              </w:rPr>
              <w:t>Données non disponibles (Bureau de l’OMPI au Brésil)</w:t>
            </w:r>
          </w:p>
          <w:p w:rsidR="00C258AD" w:rsidRPr="00C258AD" w:rsidRDefault="00C258AD" w:rsidP="00927E1F">
            <w:pPr>
              <w:rPr>
                <w:sz w:val="16"/>
                <w:szCs w:val="16"/>
              </w:rPr>
            </w:pPr>
            <w:r w:rsidRPr="00C258AD">
              <w:rPr>
                <w:sz w:val="16"/>
                <w:szCs w:val="16"/>
              </w:rPr>
              <w:t>Données non disponibles (Bureau de l’OMPI au Japon)</w:t>
            </w:r>
          </w:p>
          <w:p w:rsidR="00C258AD" w:rsidRPr="00C258AD" w:rsidRDefault="00C258AD" w:rsidP="00927E1F">
            <w:pPr>
              <w:rPr>
                <w:sz w:val="16"/>
                <w:szCs w:val="16"/>
              </w:rPr>
            </w:pPr>
            <w:r w:rsidRPr="00C258AD">
              <w:rPr>
                <w:sz w:val="16"/>
                <w:szCs w:val="16"/>
              </w:rPr>
              <w:t>Données non disponibles (Bureau de l’OMPI à Singapour)</w:t>
            </w:r>
          </w:p>
        </w:tc>
        <w:tc>
          <w:tcPr>
            <w:tcW w:w="918" w:type="pct"/>
            <w:tcBorders>
              <w:bottom w:val="nil"/>
            </w:tcBorders>
            <w:shd w:val="clear" w:color="auto" w:fill="auto"/>
            <w:tcMar>
              <w:top w:w="110" w:type="dxa"/>
            </w:tcMar>
          </w:tcPr>
          <w:p w:rsidR="00C258AD" w:rsidRPr="00C258AD" w:rsidRDefault="00C258AD" w:rsidP="00927E1F">
            <w:pPr>
              <w:rPr>
                <w:sz w:val="16"/>
                <w:szCs w:val="16"/>
              </w:rPr>
            </w:pPr>
            <w:r w:rsidRPr="00C258AD">
              <w:rPr>
                <w:sz w:val="16"/>
                <w:szCs w:val="16"/>
              </w:rPr>
              <w:t>75% (Bureau de l’OMPI au Brésil)</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75% (Bureau de l’OMPI au Japon)</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75% (Bureau de l’OMPI à Singapour)</w:t>
            </w:r>
          </w:p>
        </w:tc>
        <w:tc>
          <w:tcPr>
            <w:tcW w:w="1673" w:type="pct"/>
            <w:tcBorders>
              <w:bottom w:val="nil"/>
            </w:tcBorders>
            <w:shd w:val="clear" w:color="auto" w:fill="FFFFFF"/>
            <w:tcMar>
              <w:top w:w="110" w:type="dxa"/>
            </w:tcMar>
          </w:tcPr>
          <w:p w:rsidR="00C258AD" w:rsidRPr="00C258AD" w:rsidRDefault="00C258AD" w:rsidP="00927E1F">
            <w:pPr>
              <w:rPr>
                <w:sz w:val="16"/>
                <w:szCs w:val="16"/>
              </w:rPr>
            </w:pPr>
            <w:r w:rsidRPr="00C258AD">
              <w:rPr>
                <w:sz w:val="16"/>
                <w:szCs w:val="16"/>
              </w:rPr>
              <w:t>75% (Bureau de l’OMPI au Brésil)</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94% (Bureau de l’OMPI au Japon)</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85% (Bureau de l’OMPI à Singapour)</w:t>
            </w:r>
          </w:p>
        </w:tc>
        <w:tc>
          <w:tcPr>
            <w:tcW w:w="465" w:type="pct"/>
            <w:tcBorders>
              <w:bottom w:val="nil"/>
            </w:tcBorders>
            <w:shd w:val="clear" w:color="auto" w:fill="auto"/>
            <w:tcMar>
              <w:top w:w="110" w:type="dxa"/>
            </w:tcMar>
          </w:tcPr>
          <w:p w:rsidR="00C258AD" w:rsidRPr="00C258AD" w:rsidRDefault="00C258AD" w:rsidP="00927E1F">
            <w:pPr>
              <w:keepNext/>
              <w:keepLines/>
              <w:jc w:val="center"/>
              <w:rPr>
                <w:b/>
                <w:bCs/>
                <w:color w:val="00B050"/>
                <w:sz w:val="16"/>
              </w:rPr>
            </w:pPr>
            <w:r w:rsidRPr="00C258AD">
              <w:rPr>
                <w:b/>
                <w:bCs/>
                <w:color w:val="00B050"/>
                <w:sz w:val="16"/>
              </w:rPr>
              <w:t>Objectif pleinement atteint</w:t>
            </w:r>
          </w:p>
          <w:p w:rsidR="00C258AD" w:rsidRPr="00C258AD" w:rsidRDefault="00C258AD" w:rsidP="00927E1F">
            <w:pPr>
              <w:keepNext/>
              <w:keepLines/>
              <w:jc w:val="center"/>
              <w:rPr>
                <w:b/>
                <w:bCs/>
                <w:color w:val="00B050"/>
                <w:sz w:val="16"/>
              </w:rPr>
            </w:pPr>
          </w:p>
          <w:p w:rsidR="00C258AD" w:rsidRPr="00C258AD" w:rsidRDefault="00C258AD" w:rsidP="00927E1F">
            <w:pPr>
              <w:keepNext/>
              <w:keepLines/>
              <w:jc w:val="center"/>
              <w:rPr>
                <w:b/>
                <w:bCs/>
                <w:color w:val="00B050"/>
                <w:sz w:val="16"/>
              </w:rPr>
            </w:pPr>
            <w:r w:rsidRPr="00C258AD">
              <w:rPr>
                <w:b/>
                <w:bCs/>
                <w:color w:val="00B050"/>
                <w:sz w:val="16"/>
              </w:rPr>
              <w:t>Objectif pleinement atteint</w:t>
            </w:r>
          </w:p>
          <w:p w:rsidR="00C258AD" w:rsidRPr="00C258AD" w:rsidRDefault="00C258AD" w:rsidP="00927E1F">
            <w:pPr>
              <w:keepNext/>
              <w:keepLines/>
              <w:jc w:val="center"/>
              <w:rPr>
                <w:b/>
                <w:bCs/>
                <w:color w:val="00B050"/>
                <w:sz w:val="16"/>
              </w:rPr>
            </w:pPr>
          </w:p>
          <w:p w:rsidR="00C258AD" w:rsidRPr="00C258AD" w:rsidRDefault="00C258AD" w:rsidP="00927E1F">
            <w:pPr>
              <w:keepNext/>
              <w:keepLines/>
              <w:jc w:val="center"/>
              <w:rPr>
                <w:b/>
                <w:bCs/>
                <w:color w:val="00B050"/>
                <w:sz w:val="16"/>
                <w:szCs w:val="16"/>
              </w:rPr>
            </w:pPr>
            <w:r w:rsidRPr="00C258AD">
              <w:rPr>
                <w:b/>
                <w:bCs/>
                <w:color w:val="00B050"/>
                <w:sz w:val="16"/>
              </w:rPr>
              <w:t>Objectif pleinement atteint</w:t>
            </w:r>
          </w:p>
        </w:tc>
      </w:tr>
      <w:tr w:rsidR="00C258AD" w:rsidRPr="00C258AD" w:rsidTr="00927E1F">
        <w:trPr>
          <w:cantSplit/>
        </w:trPr>
        <w:tc>
          <w:tcPr>
            <w:tcW w:w="1080" w:type="pct"/>
            <w:tcBorders>
              <w:top w:val="nil"/>
              <w:bottom w:val="nil"/>
            </w:tcBorders>
            <w:shd w:val="clear" w:color="auto" w:fill="auto"/>
          </w:tcPr>
          <w:p w:rsidR="00C258AD" w:rsidRPr="00C258AD" w:rsidRDefault="00C258AD" w:rsidP="00927E1F">
            <w:pPr>
              <w:rPr>
                <w:sz w:val="16"/>
                <w:szCs w:val="16"/>
              </w:rPr>
            </w:pPr>
            <w:r w:rsidRPr="00C258AD">
              <w:rPr>
                <w:sz w:val="16"/>
                <w:szCs w:val="16"/>
              </w:rPr>
              <w:t>Nombre de parties contractantes au système de La Haye dans la région Asie et Pacifique</w:t>
            </w:r>
          </w:p>
        </w:tc>
        <w:tc>
          <w:tcPr>
            <w:tcW w:w="864" w:type="pct"/>
            <w:gridSpan w:val="2"/>
            <w:tcBorders>
              <w:top w:val="nil"/>
              <w:bottom w:val="nil"/>
            </w:tcBorders>
            <w:shd w:val="clear" w:color="auto" w:fill="auto"/>
          </w:tcPr>
          <w:p w:rsidR="00C258AD" w:rsidRPr="00C258AD" w:rsidRDefault="00C258AD" w:rsidP="00927E1F">
            <w:pPr>
              <w:rPr>
                <w:i/>
                <w:color w:val="002060"/>
                <w:sz w:val="16"/>
                <w:szCs w:val="16"/>
              </w:rPr>
            </w:pPr>
            <w:r w:rsidRPr="00C258AD">
              <w:rPr>
                <w:i/>
                <w:color w:val="002060"/>
                <w:sz w:val="16"/>
                <w:szCs w:val="16"/>
              </w:rPr>
              <w:t>Niveau de référence actualisé fin 2013</w:t>
            </w:r>
            <w:r w:rsidRPr="00C258AD">
              <w:rPr>
                <w:color w:val="002060"/>
                <w:sz w:val="16"/>
                <w:szCs w:val="16"/>
              </w:rPr>
              <w:t> :</w:t>
            </w:r>
          </w:p>
          <w:p w:rsidR="00C258AD" w:rsidRPr="00C258AD" w:rsidRDefault="00C258AD" w:rsidP="00927E1F">
            <w:pPr>
              <w:rPr>
                <w:color w:val="002060"/>
                <w:sz w:val="16"/>
                <w:szCs w:val="16"/>
              </w:rPr>
            </w:pPr>
            <w:r w:rsidRPr="00C258AD">
              <w:rPr>
                <w:color w:val="002060"/>
                <w:sz w:val="16"/>
                <w:szCs w:val="16"/>
              </w:rPr>
              <w:t>Le Japon ne figure pas parmi les parties contractantes (Bureau de l’OMPI au Japon).</w:t>
            </w:r>
          </w:p>
          <w:p w:rsidR="00C258AD" w:rsidRPr="00C258AD" w:rsidRDefault="00C258AD" w:rsidP="00927E1F">
            <w:pPr>
              <w:rPr>
                <w:sz w:val="16"/>
                <w:szCs w:val="16"/>
              </w:rPr>
            </w:pPr>
            <w:r w:rsidRPr="00C258AD">
              <w:rPr>
                <w:color w:val="002060"/>
                <w:sz w:val="16"/>
                <w:szCs w:val="16"/>
              </w:rPr>
              <w:t>2 dans la région de l’ASEAN (</w:t>
            </w:r>
            <w:proofErr w:type="spellStart"/>
            <w:r w:rsidRPr="00C258AD">
              <w:rPr>
                <w:color w:val="002060"/>
                <w:sz w:val="16"/>
                <w:szCs w:val="16"/>
              </w:rPr>
              <w:t>Brunéi</w:t>
            </w:r>
            <w:proofErr w:type="spellEnd"/>
            <w:r w:rsidRPr="00C258AD">
              <w:rPr>
                <w:color w:val="002060"/>
                <w:sz w:val="16"/>
                <w:szCs w:val="16"/>
              </w:rPr>
              <w:t xml:space="preserve"> Darussalam et Singapour) (Bureau de l’OMPI à Singapour)</w:t>
            </w:r>
          </w:p>
        </w:tc>
        <w:tc>
          <w:tcPr>
            <w:tcW w:w="918" w:type="pct"/>
            <w:tcBorders>
              <w:top w:val="nil"/>
              <w:bottom w:val="nil"/>
            </w:tcBorders>
            <w:shd w:val="clear" w:color="auto" w:fill="auto"/>
            <w:tcMar>
              <w:top w:w="110" w:type="dxa"/>
            </w:tcMar>
          </w:tcPr>
          <w:p w:rsidR="00C258AD" w:rsidRPr="00C258AD" w:rsidRDefault="00C258AD" w:rsidP="00927E1F">
            <w:pPr>
              <w:rPr>
                <w:sz w:val="16"/>
                <w:szCs w:val="16"/>
              </w:rPr>
            </w:pPr>
            <w:r w:rsidRPr="00C258AD">
              <w:rPr>
                <w:sz w:val="16"/>
                <w:szCs w:val="16"/>
              </w:rPr>
              <w:t>Adhésion du Japon (Bureau de l’OMPI au Japon)</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7 dans la région de l’ASEAN (Bureau de l’OMPI à Singapour)</w:t>
            </w:r>
          </w:p>
        </w:tc>
        <w:tc>
          <w:tcPr>
            <w:tcW w:w="1673" w:type="pct"/>
            <w:tcBorders>
              <w:top w:val="nil"/>
              <w:bottom w:val="nil"/>
            </w:tcBorders>
            <w:shd w:val="clear" w:color="auto" w:fill="FFFFFF"/>
            <w:tcMar>
              <w:top w:w="110" w:type="dxa"/>
            </w:tcMar>
          </w:tcPr>
          <w:p w:rsidR="00C258AD" w:rsidRPr="00C258AD" w:rsidRDefault="00C258AD" w:rsidP="00927E1F">
            <w:pPr>
              <w:rPr>
                <w:sz w:val="16"/>
                <w:szCs w:val="16"/>
              </w:rPr>
            </w:pPr>
            <w:r w:rsidRPr="00C258AD">
              <w:rPr>
                <w:sz w:val="16"/>
                <w:szCs w:val="16"/>
              </w:rPr>
              <w:t>Adhésion du Japon en 2015 (Bureau de l’OMPI au Japon)</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Aucune partie contractante supplémentaire au système de La Haye dans la région ASEAN (Bureau de l’OMPI à Singapour)</w:t>
            </w:r>
          </w:p>
        </w:tc>
        <w:tc>
          <w:tcPr>
            <w:tcW w:w="465" w:type="pct"/>
            <w:tcBorders>
              <w:top w:val="nil"/>
              <w:bottom w:val="nil"/>
            </w:tcBorders>
            <w:shd w:val="clear" w:color="auto" w:fill="auto"/>
            <w:tcMar>
              <w:top w:w="110" w:type="dxa"/>
            </w:tcMar>
          </w:tcPr>
          <w:p w:rsidR="00C258AD" w:rsidRPr="00C258AD" w:rsidRDefault="00C258AD" w:rsidP="00927E1F">
            <w:pPr>
              <w:keepNext/>
              <w:keepLines/>
              <w:jc w:val="center"/>
              <w:rPr>
                <w:b/>
                <w:color w:val="FF0000"/>
                <w:sz w:val="16"/>
                <w:szCs w:val="16"/>
              </w:rPr>
            </w:pPr>
            <w:r w:rsidRPr="00C258AD">
              <w:rPr>
                <w:b/>
                <w:bCs/>
                <w:color w:val="00B050"/>
                <w:sz w:val="16"/>
              </w:rPr>
              <w:t>Objectif pleinement atteint</w:t>
            </w:r>
          </w:p>
          <w:p w:rsidR="00C258AD" w:rsidRPr="00C258AD" w:rsidRDefault="00C258AD" w:rsidP="00927E1F">
            <w:pPr>
              <w:keepNext/>
              <w:keepLines/>
              <w:jc w:val="center"/>
              <w:rPr>
                <w:b/>
                <w:color w:val="808080"/>
                <w:sz w:val="16"/>
                <w:szCs w:val="16"/>
              </w:rPr>
            </w:pPr>
          </w:p>
          <w:p w:rsidR="00C258AD" w:rsidRPr="00C258AD" w:rsidRDefault="00C258AD" w:rsidP="00927E1F">
            <w:pPr>
              <w:keepNext/>
              <w:keepLines/>
              <w:jc w:val="center"/>
              <w:rPr>
                <w:color w:val="808080"/>
                <w:sz w:val="16"/>
                <w:szCs w:val="16"/>
              </w:rPr>
            </w:pPr>
            <w:r w:rsidRPr="00C258AD">
              <w:rPr>
                <w:b/>
                <w:color w:val="FF0000"/>
                <w:sz w:val="16"/>
              </w:rPr>
              <w:t>Objectif pas atteint</w:t>
            </w:r>
          </w:p>
        </w:tc>
      </w:tr>
      <w:tr w:rsidR="00C258AD" w:rsidRPr="00C258AD" w:rsidTr="00927E1F">
        <w:trPr>
          <w:cantSplit/>
        </w:trPr>
        <w:tc>
          <w:tcPr>
            <w:tcW w:w="1080" w:type="pct"/>
            <w:tcBorders>
              <w:top w:val="nil"/>
              <w:bottom w:val="single" w:sz="4" w:space="0" w:color="auto"/>
            </w:tcBorders>
            <w:shd w:val="clear" w:color="auto" w:fill="auto"/>
          </w:tcPr>
          <w:p w:rsidR="00C258AD" w:rsidRPr="00C258AD" w:rsidRDefault="00C258AD" w:rsidP="00927E1F">
            <w:pPr>
              <w:rPr>
                <w:sz w:val="16"/>
                <w:szCs w:val="16"/>
              </w:rPr>
            </w:pPr>
          </w:p>
        </w:tc>
        <w:tc>
          <w:tcPr>
            <w:tcW w:w="864" w:type="pct"/>
            <w:gridSpan w:val="2"/>
            <w:tcBorders>
              <w:top w:val="nil"/>
              <w:bottom w:val="single" w:sz="4" w:space="0" w:color="auto"/>
            </w:tcBorders>
            <w:shd w:val="clear" w:color="auto" w:fill="auto"/>
          </w:tcPr>
          <w:p w:rsidR="00C258AD" w:rsidRPr="00C258AD" w:rsidRDefault="00C258AD" w:rsidP="00927E1F">
            <w:pPr>
              <w:rPr>
                <w:sz w:val="16"/>
                <w:szCs w:val="16"/>
              </w:rPr>
            </w:pPr>
            <w:r w:rsidRPr="00C258AD">
              <w:rPr>
                <w:i/>
                <w:sz w:val="16"/>
                <w:szCs w:val="16"/>
              </w:rPr>
              <w:t>Niveau de référence initial programme et budget 2014</w:t>
            </w:r>
            <w:r w:rsidRPr="00C258AD">
              <w:rPr>
                <w:i/>
                <w:sz w:val="16"/>
                <w:szCs w:val="16"/>
              </w:rPr>
              <w:noBreakHyphen/>
              <w:t>2015</w:t>
            </w:r>
            <w:r w:rsidRPr="00C258AD">
              <w:rPr>
                <w:sz w:val="16"/>
                <w:szCs w:val="16"/>
              </w:rPr>
              <w:t> :</w:t>
            </w:r>
          </w:p>
          <w:p w:rsidR="00C258AD" w:rsidRPr="00C258AD" w:rsidRDefault="00C258AD" w:rsidP="00927E1F">
            <w:pPr>
              <w:rPr>
                <w:sz w:val="16"/>
                <w:szCs w:val="16"/>
              </w:rPr>
            </w:pPr>
            <w:r w:rsidRPr="00C258AD">
              <w:rPr>
                <w:sz w:val="16"/>
                <w:szCs w:val="16"/>
              </w:rPr>
              <w:t>1 dans la région de l’ASEAN (Bureau de l’OMPI à Singapour)</w:t>
            </w:r>
          </w:p>
          <w:p w:rsidR="00C258AD" w:rsidRPr="00C258AD" w:rsidRDefault="00C258AD" w:rsidP="00927E1F">
            <w:pPr>
              <w:rPr>
                <w:i/>
                <w:color w:val="002060"/>
                <w:sz w:val="16"/>
                <w:szCs w:val="16"/>
              </w:rPr>
            </w:pPr>
            <w:r w:rsidRPr="00C258AD">
              <w:rPr>
                <w:sz w:val="16"/>
                <w:szCs w:val="16"/>
              </w:rPr>
              <w:t>Le Japon ne figure pas parmi les parties contractantes.</w:t>
            </w:r>
          </w:p>
        </w:tc>
        <w:tc>
          <w:tcPr>
            <w:tcW w:w="918" w:type="pct"/>
            <w:tcBorders>
              <w:top w:val="nil"/>
              <w:bottom w:val="single" w:sz="4" w:space="0" w:color="auto"/>
            </w:tcBorders>
            <w:shd w:val="clear" w:color="auto" w:fill="auto"/>
            <w:tcMar>
              <w:top w:w="110" w:type="dxa"/>
            </w:tcMar>
          </w:tcPr>
          <w:p w:rsidR="00C258AD" w:rsidRPr="00C258AD" w:rsidRDefault="00C258AD" w:rsidP="00927E1F">
            <w:pPr>
              <w:rPr>
                <w:sz w:val="16"/>
                <w:szCs w:val="16"/>
              </w:rPr>
            </w:pPr>
          </w:p>
        </w:tc>
        <w:tc>
          <w:tcPr>
            <w:tcW w:w="1673" w:type="pct"/>
            <w:tcBorders>
              <w:top w:val="nil"/>
              <w:bottom w:val="single" w:sz="4" w:space="0" w:color="auto"/>
            </w:tcBorders>
            <w:shd w:val="clear" w:color="auto" w:fill="FFFFFF"/>
            <w:tcMar>
              <w:top w:w="110" w:type="dxa"/>
            </w:tcMar>
          </w:tcPr>
          <w:p w:rsidR="00C258AD" w:rsidRPr="00C258AD" w:rsidRDefault="00C258AD" w:rsidP="00927E1F">
            <w:pPr>
              <w:rPr>
                <w:sz w:val="16"/>
                <w:szCs w:val="16"/>
              </w:rPr>
            </w:pPr>
          </w:p>
        </w:tc>
        <w:tc>
          <w:tcPr>
            <w:tcW w:w="465" w:type="pct"/>
            <w:tcBorders>
              <w:top w:val="nil"/>
              <w:bottom w:val="single" w:sz="4" w:space="0" w:color="auto"/>
            </w:tcBorders>
            <w:shd w:val="clear" w:color="auto" w:fill="auto"/>
            <w:tcMar>
              <w:top w:w="110" w:type="dxa"/>
            </w:tcMar>
          </w:tcPr>
          <w:p w:rsidR="00C258AD" w:rsidRPr="00C258AD" w:rsidRDefault="00C258AD" w:rsidP="00927E1F">
            <w:pPr>
              <w:keepNext/>
              <w:keepLines/>
              <w:jc w:val="center"/>
              <w:rPr>
                <w:b/>
                <w:color w:val="FF0000"/>
                <w:sz w:val="16"/>
                <w:szCs w:val="16"/>
              </w:rPr>
            </w:pPr>
          </w:p>
        </w:tc>
      </w:tr>
      <w:tr w:rsidR="00C258AD" w:rsidRPr="00C258AD" w:rsidTr="00927E1F">
        <w:trPr>
          <w:cantSplit/>
        </w:trPr>
        <w:tc>
          <w:tcPr>
            <w:tcW w:w="5000" w:type="pct"/>
            <w:gridSpan w:val="6"/>
            <w:tcBorders>
              <w:top w:val="single" w:sz="4" w:space="0" w:color="auto"/>
              <w:bottom w:val="single" w:sz="4" w:space="0" w:color="auto"/>
            </w:tcBorders>
            <w:shd w:val="clear" w:color="auto" w:fill="BFD9F1"/>
          </w:tcPr>
          <w:p w:rsidR="00C258AD" w:rsidRPr="00C258AD" w:rsidRDefault="00C258AD" w:rsidP="00927E1F">
            <w:pPr>
              <w:keepNext/>
              <w:keepLines/>
              <w:rPr>
                <w:b/>
                <w:bCs/>
                <w:sz w:val="16"/>
                <w:szCs w:val="16"/>
              </w:rPr>
            </w:pPr>
            <w:r w:rsidRPr="00C258AD">
              <w:rPr>
                <w:b/>
                <w:sz w:val="16"/>
                <w:szCs w:val="16"/>
              </w:rPr>
              <w:t xml:space="preserve">Résultat escompté : </w:t>
            </w:r>
            <w:r w:rsidRPr="00C258AD">
              <w:rPr>
                <w:sz w:val="16"/>
                <w:szCs w:val="16"/>
              </w:rPr>
              <w:t>II.6 Utilisation élargie et améliorée des systèmes de Madrid et de Lisbonne, notamment par les pays en développement et les PMA</w:t>
            </w:r>
          </w:p>
        </w:tc>
      </w:tr>
      <w:tr w:rsidR="00C258AD" w:rsidRPr="00C258AD" w:rsidTr="00927E1F">
        <w:trPr>
          <w:cantSplit/>
        </w:trPr>
        <w:tc>
          <w:tcPr>
            <w:tcW w:w="1080" w:type="pct"/>
            <w:tcBorders>
              <w:top w:val="single" w:sz="4" w:space="0" w:color="auto"/>
            </w:tcBorders>
            <w:shd w:val="clear" w:color="auto" w:fill="auto"/>
            <w:vAlign w:val="center"/>
          </w:tcPr>
          <w:p w:rsidR="00C258AD" w:rsidRPr="00C258AD" w:rsidRDefault="00C258AD" w:rsidP="00927E1F">
            <w:pPr>
              <w:keepNext/>
              <w:keepLines/>
              <w:jc w:val="center"/>
              <w:rPr>
                <w:sz w:val="16"/>
                <w:szCs w:val="16"/>
              </w:rPr>
            </w:pPr>
            <w:r w:rsidRPr="00C258AD">
              <w:rPr>
                <w:b/>
                <w:sz w:val="16"/>
                <w:szCs w:val="16"/>
              </w:rPr>
              <w:t>Indicateurs d’exécution</w:t>
            </w:r>
          </w:p>
        </w:tc>
        <w:tc>
          <w:tcPr>
            <w:tcW w:w="864" w:type="pct"/>
            <w:gridSpan w:val="2"/>
            <w:tcBorders>
              <w:top w:val="single" w:sz="4" w:space="0" w:color="auto"/>
            </w:tcBorders>
            <w:shd w:val="clear" w:color="auto" w:fill="auto"/>
            <w:vAlign w:val="center"/>
          </w:tcPr>
          <w:p w:rsidR="00C258AD" w:rsidRPr="00C258AD" w:rsidRDefault="00C258AD" w:rsidP="00927E1F">
            <w:pPr>
              <w:keepNext/>
              <w:keepLines/>
              <w:jc w:val="center"/>
              <w:rPr>
                <w:b/>
                <w:bCs/>
                <w:sz w:val="16"/>
                <w:szCs w:val="16"/>
              </w:rPr>
            </w:pPr>
            <w:r w:rsidRPr="00C258AD">
              <w:rPr>
                <w:b/>
                <w:sz w:val="16"/>
                <w:szCs w:val="16"/>
              </w:rPr>
              <w:t>Niveaux de référence</w:t>
            </w:r>
          </w:p>
        </w:tc>
        <w:tc>
          <w:tcPr>
            <w:tcW w:w="918" w:type="pct"/>
            <w:tcBorders>
              <w:top w:val="single" w:sz="4" w:space="0" w:color="auto"/>
            </w:tcBorders>
            <w:shd w:val="clear" w:color="auto" w:fill="auto"/>
            <w:tcMar>
              <w:top w:w="110" w:type="dxa"/>
            </w:tcMar>
            <w:vAlign w:val="center"/>
          </w:tcPr>
          <w:p w:rsidR="00C258AD" w:rsidRPr="00C258AD" w:rsidRDefault="00C258AD" w:rsidP="00927E1F">
            <w:pPr>
              <w:keepNext/>
              <w:keepLines/>
              <w:jc w:val="center"/>
              <w:rPr>
                <w:b/>
                <w:sz w:val="16"/>
                <w:szCs w:val="16"/>
              </w:rPr>
            </w:pPr>
            <w:r w:rsidRPr="00C258AD">
              <w:rPr>
                <w:b/>
                <w:sz w:val="16"/>
                <w:szCs w:val="16"/>
              </w:rPr>
              <w:t>Objectifs visés</w:t>
            </w:r>
          </w:p>
        </w:tc>
        <w:tc>
          <w:tcPr>
            <w:tcW w:w="1673" w:type="pct"/>
            <w:tcBorders>
              <w:top w:val="single" w:sz="4" w:space="0" w:color="auto"/>
            </w:tcBorders>
            <w:shd w:val="clear" w:color="auto" w:fill="FFFFFF"/>
            <w:tcMar>
              <w:top w:w="110" w:type="dxa"/>
            </w:tcMar>
            <w:vAlign w:val="center"/>
          </w:tcPr>
          <w:p w:rsidR="00C258AD" w:rsidRPr="00C258AD" w:rsidRDefault="00C258AD" w:rsidP="00927E1F">
            <w:pPr>
              <w:keepNext/>
              <w:keepLines/>
              <w:jc w:val="center"/>
              <w:rPr>
                <w:sz w:val="16"/>
                <w:szCs w:val="16"/>
              </w:rPr>
            </w:pPr>
            <w:r w:rsidRPr="00C258AD">
              <w:rPr>
                <w:b/>
                <w:sz w:val="16"/>
                <w:szCs w:val="16"/>
              </w:rPr>
              <w:t>Données relatives à l’exécution</w:t>
            </w:r>
          </w:p>
        </w:tc>
        <w:tc>
          <w:tcPr>
            <w:tcW w:w="465" w:type="pct"/>
            <w:tcBorders>
              <w:top w:val="single" w:sz="4" w:space="0" w:color="auto"/>
            </w:tcBorders>
            <w:shd w:val="clear" w:color="auto" w:fill="auto"/>
            <w:tcMar>
              <w:top w:w="110" w:type="dxa"/>
            </w:tcMar>
            <w:vAlign w:val="center"/>
          </w:tcPr>
          <w:p w:rsidR="00C258AD" w:rsidRPr="00C258AD" w:rsidRDefault="00C258AD" w:rsidP="00927E1F">
            <w:pPr>
              <w:keepNext/>
              <w:keepLines/>
              <w:jc w:val="center"/>
              <w:rPr>
                <w:b/>
                <w:bCs/>
                <w:color w:val="008000"/>
                <w:sz w:val="16"/>
                <w:szCs w:val="16"/>
              </w:rPr>
            </w:pPr>
            <w:r w:rsidRPr="00C258AD">
              <w:rPr>
                <w:b/>
                <w:sz w:val="16"/>
                <w:szCs w:val="16"/>
              </w:rPr>
              <w:t>Code de couleurs</w:t>
            </w:r>
          </w:p>
        </w:tc>
      </w:tr>
      <w:tr w:rsidR="00C258AD" w:rsidRPr="00C258AD" w:rsidTr="00927E1F">
        <w:trPr>
          <w:cantSplit/>
        </w:trPr>
        <w:tc>
          <w:tcPr>
            <w:tcW w:w="1080" w:type="pct"/>
            <w:shd w:val="clear" w:color="auto" w:fill="auto"/>
          </w:tcPr>
          <w:p w:rsidR="00C258AD" w:rsidRPr="00C258AD" w:rsidRDefault="00C258AD" w:rsidP="00927E1F">
            <w:pPr>
              <w:keepNext/>
              <w:keepLines/>
              <w:rPr>
                <w:sz w:val="16"/>
                <w:szCs w:val="16"/>
              </w:rPr>
            </w:pPr>
            <w:r w:rsidRPr="00C258AD">
              <w:rPr>
                <w:sz w:val="16"/>
                <w:szCs w:val="16"/>
              </w:rPr>
              <w:t>Nombre de pays ayant élaboré leurs politiques en matière d’adhésion au Protocole de Madrid ou ayant entrepris leur mise en œuvre</w:t>
            </w:r>
          </w:p>
        </w:tc>
        <w:tc>
          <w:tcPr>
            <w:tcW w:w="864" w:type="pct"/>
            <w:gridSpan w:val="2"/>
            <w:shd w:val="clear" w:color="auto" w:fill="auto"/>
          </w:tcPr>
          <w:p w:rsidR="00C258AD" w:rsidRPr="00C258AD" w:rsidRDefault="00C258AD" w:rsidP="00927E1F">
            <w:pPr>
              <w:keepNext/>
              <w:keepLines/>
              <w:rPr>
                <w:sz w:val="16"/>
                <w:szCs w:val="16"/>
              </w:rPr>
            </w:pPr>
            <w:r w:rsidRPr="00C258AD">
              <w:rPr>
                <w:sz w:val="16"/>
                <w:szCs w:val="16"/>
              </w:rPr>
              <w:t>Données non disponibles (Bureau de l’OMPI à Singapour)</w:t>
            </w:r>
          </w:p>
        </w:tc>
        <w:tc>
          <w:tcPr>
            <w:tcW w:w="918" w:type="pct"/>
            <w:shd w:val="clear" w:color="auto" w:fill="auto"/>
            <w:tcMar>
              <w:top w:w="110" w:type="dxa"/>
            </w:tcMar>
          </w:tcPr>
          <w:p w:rsidR="00C258AD" w:rsidRPr="00C258AD" w:rsidRDefault="00C258AD" w:rsidP="00927E1F">
            <w:pPr>
              <w:keepNext/>
              <w:keepLines/>
              <w:rPr>
                <w:sz w:val="16"/>
                <w:szCs w:val="16"/>
              </w:rPr>
            </w:pPr>
            <w:r w:rsidRPr="00C258AD">
              <w:rPr>
                <w:sz w:val="16"/>
                <w:szCs w:val="16"/>
              </w:rPr>
              <w:t>6 États membres de l’ASEAN (Bureau de l’OMPI à Singapour)</w:t>
            </w:r>
          </w:p>
        </w:tc>
        <w:tc>
          <w:tcPr>
            <w:tcW w:w="1673" w:type="pct"/>
            <w:shd w:val="clear" w:color="auto" w:fill="FFFFFF"/>
            <w:tcMar>
              <w:top w:w="110" w:type="dxa"/>
            </w:tcMar>
          </w:tcPr>
          <w:p w:rsidR="00C258AD" w:rsidRPr="00C258AD" w:rsidRDefault="00C258AD" w:rsidP="00927E1F">
            <w:pPr>
              <w:keepNext/>
              <w:keepLines/>
              <w:rPr>
                <w:sz w:val="16"/>
                <w:szCs w:val="16"/>
              </w:rPr>
            </w:pPr>
            <w:r w:rsidRPr="00C258AD">
              <w:rPr>
                <w:sz w:val="16"/>
                <w:szCs w:val="16"/>
              </w:rPr>
              <w:t>6 États membres de l’ASEAN (</w:t>
            </w:r>
            <w:proofErr w:type="spellStart"/>
            <w:r w:rsidRPr="00C258AD">
              <w:rPr>
                <w:sz w:val="16"/>
                <w:szCs w:val="16"/>
              </w:rPr>
              <w:t>Brunéi</w:t>
            </w:r>
            <w:proofErr w:type="spellEnd"/>
            <w:r w:rsidRPr="00C258AD">
              <w:rPr>
                <w:sz w:val="16"/>
                <w:szCs w:val="16"/>
              </w:rPr>
              <w:t xml:space="preserve"> Darussalam, Cambodge, Indonésie, Malaisie, République démocratique populaire lao, Thaïlande) (Bureau de l’OMPI à Singapour)</w:t>
            </w:r>
          </w:p>
        </w:tc>
        <w:tc>
          <w:tcPr>
            <w:tcW w:w="465" w:type="pct"/>
            <w:shd w:val="clear" w:color="auto" w:fill="auto"/>
            <w:tcMar>
              <w:top w:w="110" w:type="dxa"/>
            </w:tcMar>
          </w:tcPr>
          <w:p w:rsidR="00C258AD" w:rsidRPr="00C258AD" w:rsidRDefault="00C258AD" w:rsidP="00927E1F">
            <w:pPr>
              <w:keepNext/>
              <w:keepLines/>
              <w:jc w:val="center"/>
              <w:rPr>
                <w:b/>
                <w:bCs/>
                <w:color w:val="808080"/>
                <w:sz w:val="16"/>
                <w:szCs w:val="16"/>
              </w:rPr>
            </w:pPr>
            <w:r w:rsidRPr="00C258AD">
              <w:rPr>
                <w:b/>
                <w:bCs/>
                <w:color w:val="00B050"/>
                <w:sz w:val="16"/>
              </w:rPr>
              <w:t>Objectif pleinement atteint</w:t>
            </w:r>
          </w:p>
        </w:tc>
      </w:tr>
      <w:tr w:rsidR="00C258AD" w:rsidRPr="00C258AD" w:rsidTr="00927E1F">
        <w:trPr>
          <w:cantSplit/>
        </w:trPr>
        <w:tc>
          <w:tcPr>
            <w:tcW w:w="1080" w:type="pct"/>
            <w:shd w:val="clear" w:color="auto" w:fill="auto"/>
          </w:tcPr>
          <w:p w:rsidR="00C258AD" w:rsidRPr="00C258AD" w:rsidRDefault="00C258AD" w:rsidP="00927E1F">
            <w:pPr>
              <w:rPr>
                <w:sz w:val="16"/>
                <w:szCs w:val="16"/>
              </w:rPr>
            </w:pPr>
            <w:r w:rsidRPr="00C258AD">
              <w:rPr>
                <w:sz w:val="16"/>
                <w:szCs w:val="16"/>
              </w:rPr>
              <w:t>Pourcentage de participants à des ateliers/séminaires ciblés sur des thèmes liés au Protocole de Madrid faisant part de leur satisfaction</w:t>
            </w:r>
          </w:p>
        </w:tc>
        <w:tc>
          <w:tcPr>
            <w:tcW w:w="864" w:type="pct"/>
            <w:gridSpan w:val="2"/>
            <w:shd w:val="clear" w:color="auto" w:fill="auto"/>
          </w:tcPr>
          <w:p w:rsidR="00C258AD" w:rsidRPr="00C258AD" w:rsidRDefault="00C258AD" w:rsidP="00927E1F">
            <w:pPr>
              <w:rPr>
                <w:color w:val="002060"/>
                <w:sz w:val="16"/>
                <w:szCs w:val="16"/>
              </w:rPr>
            </w:pPr>
            <w:r w:rsidRPr="00C258AD">
              <w:rPr>
                <w:i/>
                <w:color w:val="002060"/>
                <w:sz w:val="16"/>
                <w:szCs w:val="16"/>
              </w:rPr>
              <w:t>Niveau de référence actualisé fin 2013</w:t>
            </w:r>
            <w:r w:rsidRPr="00C258AD">
              <w:rPr>
                <w:color w:val="002060"/>
                <w:sz w:val="16"/>
                <w:szCs w:val="16"/>
              </w:rPr>
              <w:t> :</w:t>
            </w:r>
          </w:p>
          <w:p w:rsidR="00C258AD" w:rsidRPr="00C258AD" w:rsidRDefault="00C258AD" w:rsidP="00927E1F">
            <w:pPr>
              <w:rPr>
                <w:i/>
                <w:color w:val="002060"/>
                <w:sz w:val="16"/>
                <w:szCs w:val="16"/>
              </w:rPr>
            </w:pPr>
          </w:p>
          <w:p w:rsidR="00C258AD" w:rsidRPr="00C258AD" w:rsidRDefault="00C258AD" w:rsidP="00927E1F">
            <w:pPr>
              <w:rPr>
                <w:sz w:val="16"/>
                <w:szCs w:val="16"/>
              </w:rPr>
            </w:pPr>
            <w:r w:rsidRPr="00C258AD">
              <w:rPr>
                <w:i/>
                <w:sz w:val="16"/>
                <w:szCs w:val="16"/>
              </w:rPr>
              <w:t>Niveau de référence initial programme et budget 2014</w:t>
            </w:r>
            <w:r w:rsidRPr="00C258AD">
              <w:rPr>
                <w:i/>
                <w:sz w:val="16"/>
                <w:szCs w:val="16"/>
              </w:rPr>
              <w:noBreakHyphen/>
              <w:t>2015</w:t>
            </w:r>
            <w:r w:rsidRPr="00C258AD">
              <w:rPr>
                <w:sz w:val="16"/>
                <w:szCs w:val="16"/>
              </w:rPr>
              <w:t> :</w:t>
            </w:r>
          </w:p>
          <w:p w:rsidR="00C258AD" w:rsidRPr="00C258AD" w:rsidRDefault="00C258AD" w:rsidP="00927E1F">
            <w:pPr>
              <w:rPr>
                <w:sz w:val="16"/>
                <w:szCs w:val="16"/>
              </w:rPr>
            </w:pPr>
            <w:r w:rsidRPr="00C258AD">
              <w:rPr>
                <w:sz w:val="16"/>
                <w:szCs w:val="16"/>
              </w:rPr>
              <w:t>65% (Bureau de l’OMPI au Brésil)</w:t>
            </w:r>
          </w:p>
          <w:p w:rsidR="00C258AD" w:rsidRPr="00C258AD" w:rsidRDefault="00C258AD" w:rsidP="00927E1F">
            <w:pPr>
              <w:rPr>
                <w:sz w:val="16"/>
                <w:szCs w:val="16"/>
              </w:rPr>
            </w:pPr>
            <w:r w:rsidRPr="00C258AD">
              <w:rPr>
                <w:sz w:val="16"/>
                <w:szCs w:val="16"/>
              </w:rPr>
              <w:t>65% (Bureau de l’OMPI à Singapour)</w:t>
            </w:r>
          </w:p>
        </w:tc>
        <w:tc>
          <w:tcPr>
            <w:tcW w:w="918" w:type="pct"/>
            <w:shd w:val="clear" w:color="auto" w:fill="auto"/>
            <w:tcMar>
              <w:top w:w="110" w:type="dxa"/>
            </w:tcMar>
          </w:tcPr>
          <w:p w:rsidR="00C258AD" w:rsidRPr="00C258AD" w:rsidRDefault="00C258AD" w:rsidP="00927E1F">
            <w:pPr>
              <w:rPr>
                <w:sz w:val="16"/>
                <w:szCs w:val="16"/>
              </w:rPr>
            </w:pPr>
            <w:r w:rsidRPr="00C258AD">
              <w:rPr>
                <w:sz w:val="16"/>
                <w:szCs w:val="16"/>
              </w:rPr>
              <w:t>&gt; 75% (Bureau de l’OMPI au Brésil)</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&gt; 75% (Bureau de l’OMPI à Singapour)</w:t>
            </w:r>
          </w:p>
        </w:tc>
        <w:tc>
          <w:tcPr>
            <w:tcW w:w="1673" w:type="pct"/>
            <w:shd w:val="clear" w:color="auto" w:fill="FFFFFF"/>
            <w:tcMar>
              <w:top w:w="110" w:type="dxa"/>
            </w:tcMar>
          </w:tcPr>
          <w:p w:rsidR="00C258AD" w:rsidRPr="00C258AD" w:rsidRDefault="00C258AD" w:rsidP="00927E1F">
            <w:pPr>
              <w:rPr>
                <w:sz w:val="16"/>
                <w:szCs w:val="16"/>
              </w:rPr>
            </w:pPr>
            <w:r w:rsidRPr="00C258AD">
              <w:rPr>
                <w:sz w:val="16"/>
                <w:szCs w:val="16"/>
              </w:rPr>
              <w:t>Aucun atelier/séminaire relatif au système de Madrid n’a été organisé au Brésil au cours de l’exercice biennal (Bureau de l’OMPI au Brésil).</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86% (Bureau de l’OMPI à Singapour)</w:t>
            </w:r>
          </w:p>
        </w:tc>
        <w:tc>
          <w:tcPr>
            <w:tcW w:w="465" w:type="pct"/>
            <w:shd w:val="clear" w:color="auto" w:fill="auto"/>
            <w:tcMar>
              <w:top w:w="110" w:type="dxa"/>
            </w:tcMar>
          </w:tcPr>
          <w:p w:rsidR="00C258AD" w:rsidRPr="00C258AD" w:rsidRDefault="00C258AD" w:rsidP="00927E1F">
            <w:pPr>
              <w:keepNext/>
              <w:keepLines/>
              <w:jc w:val="center"/>
              <w:rPr>
                <w:b/>
                <w:color w:val="FF0000"/>
                <w:sz w:val="16"/>
                <w:szCs w:val="16"/>
              </w:rPr>
            </w:pPr>
            <w:r w:rsidRPr="00C258AD">
              <w:rPr>
                <w:b/>
                <w:color w:val="FF0000"/>
                <w:sz w:val="16"/>
              </w:rPr>
              <w:t>Objectif pas atteint</w:t>
            </w:r>
          </w:p>
          <w:p w:rsidR="00C258AD" w:rsidRPr="00C258AD" w:rsidRDefault="00C258AD" w:rsidP="00927E1F">
            <w:pPr>
              <w:keepNext/>
              <w:keepLines/>
              <w:jc w:val="center"/>
              <w:rPr>
                <w:b/>
                <w:color w:val="FF0000"/>
                <w:sz w:val="16"/>
                <w:szCs w:val="16"/>
              </w:rPr>
            </w:pPr>
          </w:p>
          <w:p w:rsidR="00C258AD" w:rsidRPr="00C258AD" w:rsidRDefault="00C258AD" w:rsidP="00927E1F">
            <w:pPr>
              <w:keepNext/>
              <w:keepLines/>
              <w:jc w:val="center"/>
              <w:rPr>
                <w:b/>
                <w:color w:val="FF0000"/>
                <w:sz w:val="16"/>
                <w:szCs w:val="16"/>
              </w:rPr>
            </w:pPr>
          </w:p>
          <w:p w:rsidR="00C258AD" w:rsidRPr="00C258AD" w:rsidRDefault="00C258AD" w:rsidP="00927E1F">
            <w:pPr>
              <w:keepNext/>
              <w:keepLines/>
              <w:jc w:val="center"/>
              <w:rPr>
                <w:b/>
                <w:color w:val="FF0000"/>
                <w:sz w:val="16"/>
                <w:szCs w:val="16"/>
              </w:rPr>
            </w:pPr>
          </w:p>
          <w:p w:rsidR="00C258AD" w:rsidRPr="00C258AD" w:rsidRDefault="00C258AD" w:rsidP="00927E1F">
            <w:pPr>
              <w:keepNext/>
              <w:keepLines/>
              <w:jc w:val="center"/>
              <w:rPr>
                <w:b/>
                <w:bCs/>
                <w:color w:val="00B050"/>
                <w:sz w:val="16"/>
                <w:szCs w:val="16"/>
              </w:rPr>
            </w:pPr>
            <w:r w:rsidRPr="00C258AD">
              <w:rPr>
                <w:b/>
                <w:bCs/>
                <w:color w:val="00B050"/>
                <w:sz w:val="16"/>
              </w:rPr>
              <w:t>Objectif pleinement atteint</w:t>
            </w:r>
          </w:p>
        </w:tc>
      </w:tr>
      <w:tr w:rsidR="00C258AD" w:rsidRPr="00C258AD" w:rsidTr="00927E1F">
        <w:trPr>
          <w:cantSplit/>
        </w:trPr>
        <w:tc>
          <w:tcPr>
            <w:tcW w:w="1080" w:type="pct"/>
            <w:shd w:val="clear" w:color="auto" w:fill="auto"/>
          </w:tcPr>
          <w:p w:rsidR="00C258AD" w:rsidRPr="00C258AD" w:rsidRDefault="00C258AD" w:rsidP="00927E1F">
            <w:pPr>
              <w:rPr>
                <w:sz w:val="16"/>
                <w:szCs w:val="16"/>
              </w:rPr>
            </w:pPr>
            <w:r w:rsidRPr="00C258AD">
              <w:rPr>
                <w:sz w:val="16"/>
                <w:szCs w:val="16"/>
              </w:rPr>
              <w:t>Nombre de parties contractantes du Protocole de Madrid</w:t>
            </w:r>
          </w:p>
        </w:tc>
        <w:tc>
          <w:tcPr>
            <w:tcW w:w="864" w:type="pct"/>
            <w:gridSpan w:val="2"/>
            <w:shd w:val="clear" w:color="auto" w:fill="auto"/>
          </w:tcPr>
          <w:p w:rsidR="00C258AD" w:rsidRPr="00C258AD" w:rsidRDefault="00C258AD" w:rsidP="00927E1F">
            <w:pPr>
              <w:rPr>
                <w:color w:val="002060"/>
                <w:sz w:val="16"/>
                <w:szCs w:val="16"/>
              </w:rPr>
            </w:pPr>
            <w:r w:rsidRPr="00C258AD">
              <w:rPr>
                <w:i/>
                <w:color w:val="002060"/>
                <w:sz w:val="16"/>
                <w:szCs w:val="16"/>
              </w:rPr>
              <w:t>Niveau de référence actualisé fin</w:t>
            </w:r>
            <w:r w:rsidRPr="00C258AD">
              <w:rPr>
                <w:color w:val="002060"/>
                <w:sz w:val="16"/>
                <w:szCs w:val="16"/>
              </w:rPr>
              <w:t xml:space="preserve"> </w:t>
            </w:r>
            <w:r w:rsidRPr="00C258AD">
              <w:rPr>
                <w:i/>
                <w:color w:val="002060"/>
                <w:sz w:val="16"/>
                <w:szCs w:val="16"/>
              </w:rPr>
              <w:t>2013 </w:t>
            </w:r>
            <w:r w:rsidRPr="00C258AD">
              <w:rPr>
                <w:i/>
                <w:color w:val="002060"/>
                <w:sz w:val="16"/>
              </w:rPr>
              <w:t>:</w:t>
            </w:r>
            <w:r w:rsidRPr="00C258AD">
              <w:rPr>
                <w:i/>
                <w:color w:val="002060"/>
                <w:sz w:val="16"/>
                <w:szCs w:val="16"/>
              </w:rPr>
              <w:t xml:space="preserve"> </w:t>
            </w:r>
            <w:r w:rsidRPr="00C258AD">
              <w:rPr>
                <w:color w:val="002060"/>
                <w:sz w:val="16"/>
                <w:szCs w:val="16"/>
              </w:rPr>
              <w:t>3 (Philippines, Singapour, Viet Nam) (Bureau de l’OMPI à Singapour)</w:t>
            </w:r>
          </w:p>
          <w:p w:rsidR="00C258AD" w:rsidRPr="00C258AD" w:rsidRDefault="00C258AD" w:rsidP="00927E1F">
            <w:pPr>
              <w:rPr>
                <w:i/>
                <w:color w:val="002060"/>
                <w:sz w:val="16"/>
                <w:szCs w:val="16"/>
              </w:rPr>
            </w:pPr>
          </w:p>
          <w:p w:rsidR="00C258AD" w:rsidRPr="00C258AD" w:rsidRDefault="00C258AD" w:rsidP="00927E1F">
            <w:pPr>
              <w:rPr>
                <w:sz w:val="16"/>
                <w:szCs w:val="16"/>
              </w:rPr>
            </w:pPr>
            <w:r w:rsidRPr="00C258AD">
              <w:rPr>
                <w:i/>
                <w:sz w:val="16"/>
                <w:szCs w:val="16"/>
              </w:rPr>
              <w:t>Niveau de référence initial programme et budget 2014</w:t>
            </w:r>
            <w:r w:rsidRPr="00C258AD">
              <w:rPr>
                <w:i/>
                <w:sz w:val="16"/>
                <w:szCs w:val="16"/>
              </w:rPr>
              <w:noBreakHyphen/>
              <w:t>2015</w:t>
            </w:r>
            <w:r w:rsidRPr="00C258AD">
              <w:rPr>
                <w:sz w:val="16"/>
                <w:szCs w:val="16"/>
              </w:rPr>
              <w:t> :</w:t>
            </w:r>
          </w:p>
          <w:p w:rsidR="00C258AD" w:rsidRPr="00C258AD" w:rsidRDefault="00C258AD" w:rsidP="00927E1F">
            <w:pPr>
              <w:rPr>
                <w:i/>
                <w:sz w:val="16"/>
                <w:szCs w:val="16"/>
              </w:rPr>
            </w:pPr>
            <w:r w:rsidRPr="00C258AD">
              <w:rPr>
                <w:i/>
                <w:sz w:val="16"/>
                <w:szCs w:val="16"/>
              </w:rPr>
              <w:t>3 (Bureau de l’OMPI à Singapour)</w:t>
            </w:r>
          </w:p>
        </w:tc>
        <w:tc>
          <w:tcPr>
            <w:tcW w:w="918" w:type="pct"/>
            <w:shd w:val="clear" w:color="auto" w:fill="auto"/>
            <w:tcMar>
              <w:top w:w="110" w:type="dxa"/>
            </w:tcMar>
          </w:tcPr>
          <w:p w:rsidR="00C258AD" w:rsidRPr="00C258AD" w:rsidRDefault="00C258AD" w:rsidP="00927E1F">
            <w:pPr>
              <w:rPr>
                <w:sz w:val="16"/>
                <w:szCs w:val="16"/>
              </w:rPr>
            </w:pPr>
            <w:r w:rsidRPr="00C258AD">
              <w:rPr>
                <w:sz w:val="16"/>
                <w:szCs w:val="16"/>
              </w:rPr>
              <w:t>10% (Bureau de l’OMPI à Singapour)</w:t>
            </w:r>
          </w:p>
        </w:tc>
        <w:tc>
          <w:tcPr>
            <w:tcW w:w="1673" w:type="pct"/>
            <w:shd w:val="clear" w:color="auto" w:fill="FFFFFF"/>
            <w:tcMar>
              <w:top w:w="110" w:type="dxa"/>
            </w:tcMar>
          </w:tcPr>
          <w:p w:rsidR="00C258AD" w:rsidRPr="00C258AD" w:rsidRDefault="00C258AD" w:rsidP="00927E1F">
            <w:pPr>
              <w:rPr>
                <w:sz w:val="16"/>
                <w:szCs w:val="16"/>
              </w:rPr>
            </w:pPr>
            <w:r w:rsidRPr="00C258AD">
              <w:rPr>
                <w:sz w:val="16"/>
                <w:szCs w:val="16"/>
              </w:rPr>
              <w:t>2 États membres de l’ASEAN supplémentaires en 2014</w:t>
            </w:r>
            <w:r w:rsidRPr="00C258AD">
              <w:rPr>
                <w:sz w:val="16"/>
                <w:szCs w:val="16"/>
              </w:rPr>
              <w:noBreakHyphen/>
              <w:t>2015 (Cambodge, République démocratique populaire lao)</w:t>
            </w:r>
          </w:p>
          <w:p w:rsidR="00C258AD" w:rsidRPr="00C258AD" w:rsidRDefault="00C258AD" w:rsidP="00927E1F">
            <w:pPr>
              <w:rPr>
                <w:sz w:val="16"/>
                <w:szCs w:val="16"/>
              </w:rPr>
            </w:pPr>
            <w:r w:rsidRPr="00C258AD">
              <w:rPr>
                <w:sz w:val="16"/>
                <w:szCs w:val="16"/>
              </w:rPr>
              <w:t>(5 en tout)</w:t>
            </w:r>
          </w:p>
        </w:tc>
        <w:tc>
          <w:tcPr>
            <w:tcW w:w="465" w:type="pct"/>
            <w:shd w:val="clear" w:color="auto" w:fill="auto"/>
            <w:tcMar>
              <w:top w:w="110" w:type="dxa"/>
            </w:tcMar>
          </w:tcPr>
          <w:p w:rsidR="00C258AD" w:rsidRPr="00C258AD" w:rsidRDefault="00C258AD" w:rsidP="00927E1F">
            <w:pPr>
              <w:keepNext/>
              <w:keepLines/>
              <w:jc w:val="center"/>
              <w:rPr>
                <w:b/>
                <w:bCs/>
                <w:color w:val="E36C0A" w:themeColor="accent6" w:themeShade="BF"/>
                <w:sz w:val="16"/>
                <w:szCs w:val="16"/>
              </w:rPr>
            </w:pPr>
            <w:r w:rsidRPr="00C258AD">
              <w:rPr>
                <w:b/>
                <w:bCs/>
                <w:color w:val="E26B0A"/>
                <w:sz w:val="16"/>
              </w:rPr>
              <w:t>Objectif partiellement atteint</w:t>
            </w:r>
          </w:p>
        </w:tc>
      </w:tr>
      <w:tr w:rsidR="00C258AD" w:rsidRPr="00C258AD" w:rsidTr="00927E1F">
        <w:trPr>
          <w:cantSplit/>
        </w:trPr>
        <w:tc>
          <w:tcPr>
            <w:tcW w:w="1080" w:type="pct"/>
            <w:shd w:val="clear" w:color="auto" w:fill="auto"/>
          </w:tcPr>
          <w:p w:rsidR="00C258AD" w:rsidRPr="00C258AD" w:rsidRDefault="00C258AD" w:rsidP="00927E1F">
            <w:pPr>
              <w:rPr>
                <w:sz w:val="16"/>
                <w:szCs w:val="16"/>
              </w:rPr>
            </w:pPr>
            <w:r w:rsidRPr="00C258AD">
              <w:rPr>
                <w:sz w:val="16"/>
                <w:szCs w:val="16"/>
              </w:rPr>
              <w:lastRenderedPageBreak/>
              <w:t>Nombre de nouveaux enregistrements (système de Madrid)</w:t>
            </w:r>
          </w:p>
        </w:tc>
        <w:tc>
          <w:tcPr>
            <w:tcW w:w="864" w:type="pct"/>
            <w:gridSpan w:val="2"/>
            <w:shd w:val="clear" w:color="auto" w:fill="auto"/>
          </w:tcPr>
          <w:p w:rsidR="00C258AD" w:rsidRPr="00C258AD" w:rsidRDefault="00C258AD" w:rsidP="00927E1F">
            <w:pPr>
              <w:rPr>
                <w:color w:val="002060"/>
                <w:sz w:val="16"/>
                <w:szCs w:val="16"/>
              </w:rPr>
            </w:pPr>
            <w:r w:rsidRPr="00C258AD">
              <w:rPr>
                <w:i/>
                <w:color w:val="002060"/>
                <w:sz w:val="16"/>
                <w:szCs w:val="16"/>
              </w:rPr>
              <w:t>Niveau de référence actualisé fin 2013 </w:t>
            </w:r>
            <w:r w:rsidRPr="00C258AD">
              <w:rPr>
                <w:i/>
                <w:color w:val="002060"/>
                <w:sz w:val="16"/>
              </w:rPr>
              <w:t>:</w:t>
            </w:r>
          </w:p>
          <w:p w:rsidR="00C258AD" w:rsidRPr="00C258AD" w:rsidRDefault="00C258AD" w:rsidP="00927E1F">
            <w:pPr>
              <w:rPr>
                <w:i/>
                <w:color w:val="002060"/>
                <w:sz w:val="16"/>
                <w:szCs w:val="16"/>
              </w:rPr>
            </w:pPr>
          </w:p>
          <w:p w:rsidR="00C258AD" w:rsidRPr="00C258AD" w:rsidRDefault="00C258AD" w:rsidP="00927E1F">
            <w:pPr>
              <w:rPr>
                <w:color w:val="002060"/>
                <w:sz w:val="16"/>
                <w:szCs w:val="16"/>
              </w:rPr>
            </w:pPr>
            <w:r w:rsidRPr="00C258AD">
              <w:rPr>
                <w:i/>
                <w:color w:val="002060"/>
                <w:sz w:val="16"/>
                <w:szCs w:val="16"/>
              </w:rPr>
              <w:t xml:space="preserve">2012 : </w:t>
            </w:r>
            <w:r w:rsidRPr="00C258AD">
              <w:rPr>
                <w:color w:val="002060"/>
                <w:sz w:val="16"/>
                <w:szCs w:val="16"/>
              </w:rPr>
              <w:t>2054</w:t>
            </w:r>
            <w:r w:rsidRPr="00C258AD">
              <w:rPr>
                <w:color w:val="002060"/>
                <w:sz w:val="16"/>
                <w:szCs w:val="16"/>
              </w:rPr>
              <w:br/>
            </w:r>
            <w:r w:rsidRPr="00C258AD">
              <w:rPr>
                <w:i/>
                <w:color w:val="002060"/>
                <w:sz w:val="16"/>
                <w:szCs w:val="16"/>
              </w:rPr>
              <w:t xml:space="preserve">2013 : </w:t>
            </w:r>
            <w:r w:rsidRPr="00C258AD">
              <w:rPr>
                <w:color w:val="002060"/>
                <w:sz w:val="16"/>
                <w:szCs w:val="16"/>
              </w:rPr>
              <w:t>1845 (Bureau de l’OMPI au Japon)</w:t>
            </w:r>
          </w:p>
          <w:p w:rsidR="00C258AD" w:rsidRPr="00C258AD" w:rsidRDefault="00C258AD" w:rsidP="00927E1F">
            <w:pPr>
              <w:rPr>
                <w:color w:val="002060"/>
                <w:sz w:val="16"/>
                <w:szCs w:val="16"/>
              </w:rPr>
            </w:pPr>
            <w:r w:rsidRPr="00C258AD">
              <w:rPr>
                <w:color w:val="002060"/>
                <w:sz w:val="16"/>
                <w:szCs w:val="16"/>
              </w:rPr>
              <w:t>2012 = 327</w:t>
            </w:r>
          </w:p>
          <w:p w:rsidR="00C258AD" w:rsidRPr="00C258AD" w:rsidRDefault="00C258AD" w:rsidP="00927E1F">
            <w:pPr>
              <w:rPr>
                <w:color w:val="002060"/>
                <w:sz w:val="16"/>
                <w:szCs w:val="16"/>
              </w:rPr>
            </w:pPr>
            <w:r w:rsidRPr="00C258AD">
              <w:rPr>
                <w:color w:val="002060"/>
                <w:sz w:val="16"/>
                <w:szCs w:val="16"/>
              </w:rPr>
              <w:t>2013 = 337(Bureau de l’OMPI à Singapour)</w:t>
            </w:r>
          </w:p>
          <w:p w:rsidR="00C258AD" w:rsidRPr="00C258AD" w:rsidRDefault="00C258AD" w:rsidP="00927E1F">
            <w:pPr>
              <w:rPr>
                <w:color w:val="002060"/>
                <w:sz w:val="16"/>
                <w:szCs w:val="16"/>
              </w:rPr>
            </w:pPr>
          </w:p>
          <w:p w:rsidR="00C258AD" w:rsidRPr="00C258AD" w:rsidRDefault="00C258AD" w:rsidP="00927E1F">
            <w:pPr>
              <w:rPr>
                <w:color w:val="002060"/>
                <w:sz w:val="16"/>
                <w:szCs w:val="16"/>
              </w:rPr>
            </w:pPr>
            <w:r w:rsidRPr="00C258AD">
              <w:rPr>
                <w:i/>
                <w:color w:val="002060"/>
                <w:sz w:val="16"/>
                <w:szCs w:val="16"/>
              </w:rPr>
              <w:t>Niveau de référence initial programme et budget</w:t>
            </w:r>
            <w:r w:rsidRPr="00C258AD">
              <w:rPr>
                <w:i/>
                <w:sz w:val="16"/>
                <w:szCs w:val="16"/>
              </w:rPr>
              <w:t xml:space="preserve"> </w:t>
            </w:r>
            <w:r w:rsidRPr="00C258AD">
              <w:rPr>
                <w:i/>
                <w:color w:val="002060"/>
                <w:sz w:val="16"/>
                <w:szCs w:val="16"/>
              </w:rPr>
              <w:t>2014</w:t>
            </w:r>
            <w:r w:rsidRPr="00C258AD">
              <w:rPr>
                <w:i/>
                <w:color w:val="002060"/>
                <w:sz w:val="16"/>
                <w:szCs w:val="16"/>
              </w:rPr>
              <w:noBreakHyphen/>
              <w:t>2015 :</w:t>
            </w:r>
          </w:p>
          <w:p w:rsidR="00C258AD" w:rsidRPr="00C258AD" w:rsidRDefault="00C258AD" w:rsidP="00927E1F">
            <w:pPr>
              <w:rPr>
                <w:color w:val="002060"/>
                <w:sz w:val="16"/>
                <w:szCs w:val="16"/>
              </w:rPr>
            </w:pPr>
            <w:r w:rsidRPr="00C258AD">
              <w:rPr>
                <w:color w:val="002060"/>
                <w:sz w:val="16"/>
                <w:szCs w:val="16"/>
              </w:rPr>
              <w:t>Statistiques pour l’ASEAN en vertu du système de Madrid, Japon (Bureau de l’OMPI à Singapour)</w:t>
            </w:r>
          </w:p>
          <w:p w:rsidR="00C258AD" w:rsidRPr="00C258AD" w:rsidRDefault="00C258AD" w:rsidP="00927E1F">
            <w:pPr>
              <w:rPr>
                <w:i/>
                <w:sz w:val="16"/>
                <w:szCs w:val="16"/>
              </w:rPr>
            </w:pPr>
          </w:p>
          <w:p w:rsidR="00C258AD" w:rsidRPr="00C258AD" w:rsidRDefault="00C258AD" w:rsidP="00927E1F">
            <w:pPr>
              <w:rPr>
                <w:sz w:val="16"/>
                <w:szCs w:val="16"/>
              </w:rPr>
            </w:pPr>
            <w:r w:rsidRPr="00C258AD">
              <w:rPr>
                <w:i/>
                <w:sz w:val="16"/>
                <w:szCs w:val="16"/>
              </w:rPr>
              <w:t>Niveau de référence initial programme et budget 2014</w:t>
            </w:r>
            <w:r w:rsidRPr="00C258AD">
              <w:rPr>
                <w:i/>
                <w:sz w:val="16"/>
                <w:szCs w:val="16"/>
              </w:rPr>
              <w:noBreakHyphen/>
              <w:t>2015</w:t>
            </w:r>
            <w:r w:rsidRPr="00C258AD">
              <w:rPr>
                <w:sz w:val="16"/>
                <w:szCs w:val="16"/>
              </w:rPr>
              <w:t> :</w:t>
            </w:r>
          </w:p>
          <w:p w:rsidR="00C258AD" w:rsidRPr="00C258AD" w:rsidRDefault="00C258AD" w:rsidP="00927E1F">
            <w:pPr>
              <w:rPr>
                <w:sz w:val="16"/>
                <w:szCs w:val="16"/>
              </w:rPr>
            </w:pPr>
            <w:r w:rsidRPr="00C258AD">
              <w:rPr>
                <w:sz w:val="16"/>
                <w:szCs w:val="16"/>
              </w:rPr>
              <w:t>Statistiques pour l’ASEAN en vertu du système de Madrid (Bureau de l’OMPI à Singapour) 2012</w:t>
            </w:r>
            <w:r w:rsidRPr="00C258AD">
              <w:rPr>
                <w:sz w:val="16"/>
                <w:szCs w:val="16"/>
              </w:rPr>
              <w:noBreakHyphen/>
              <w:t>2013</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Statistiques pour l’ASEAN en vertu du système de Madrid, Japon (Bureau de l’OMPI au Japon)</w:t>
            </w:r>
          </w:p>
        </w:tc>
        <w:tc>
          <w:tcPr>
            <w:tcW w:w="918" w:type="pct"/>
            <w:shd w:val="clear" w:color="auto" w:fill="auto"/>
            <w:tcMar>
              <w:top w:w="110" w:type="dxa"/>
            </w:tcMar>
          </w:tcPr>
          <w:p w:rsidR="00C258AD" w:rsidRPr="00C258AD" w:rsidRDefault="00C258AD" w:rsidP="00927E1F">
            <w:pPr>
              <w:rPr>
                <w:sz w:val="16"/>
                <w:szCs w:val="16"/>
              </w:rPr>
            </w:pPr>
            <w:r w:rsidRPr="00C258AD">
              <w:rPr>
                <w:sz w:val="16"/>
                <w:szCs w:val="16"/>
              </w:rPr>
              <w:t>Augmentation des dépôts de demande (Bureau de l’OMPI au Japon)</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Augmentation de 5% des dépôts de demande (Bureau de l’OMPI à Singapour)</w:t>
            </w:r>
            <w:r w:rsidRPr="00C258AD">
              <w:rPr>
                <w:rStyle w:val="FootnoteReference"/>
                <w:rFonts w:eastAsia="SimSun"/>
                <w:sz w:val="16"/>
                <w:szCs w:val="16"/>
              </w:rPr>
              <w:footnoteReference w:id="112"/>
            </w:r>
          </w:p>
        </w:tc>
        <w:tc>
          <w:tcPr>
            <w:tcW w:w="1673" w:type="pct"/>
            <w:shd w:val="clear" w:color="auto" w:fill="FFFFFF"/>
            <w:tcMar>
              <w:top w:w="110" w:type="dxa"/>
            </w:tcMar>
          </w:tcPr>
          <w:p w:rsidR="00C258AD" w:rsidRPr="00C258AD" w:rsidRDefault="00C258AD" w:rsidP="00927E1F">
            <w:pPr>
              <w:rPr>
                <w:sz w:val="16"/>
                <w:szCs w:val="16"/>
              </w:rPr>
            </w:pPr>
            <w:r w:rsidRPr="00C258AD">
              <w:rPr>
                <w:sz w:val="16"/>
                <w:szCs w:val="16"/>
              </w:rPr>
              <w:t>2014</w:t>
            </w:r>
            <w:r w:rsidRPr="00C258AD">
              <w:rPr>
                <w:sz w:val="16"/>
                <w:szCs w:val="16"/>
              </w:rPr>
              <w:noBreakHyphen/>
              <w:t>2015 : 4200 (+8%)</w:t>
            </w:r>
          </w:p>
          <w:p w:rsidR="00C258AD" w:rsidRPr="00C258AD" w:rsidRDefault="00C258AD" w:rsidP="00927E1F">
            <w:pPr>
              <w:rPr>
                <w:sz w:val="16"/>
                <w:szCs w:val="16"/>
              </w:rPr>
            </w:pPr>
            <w:r w:rsidRPr="00C258AD">
              <w:rPr>
                <w:sz w:val="16"/>
                <w:szCs w:val="16"/>
              </w:rPr>
              <w:t>2014 : 2033 (+10%)</w:t>
            </w:r>
          </w:p>
          <w:p w:rsidR="00C258AD" w:rsidRPr="00C258AD" w:rsidRDefault="00C258AD" w:rsidP="00927E1F">
            <w:pPr>
              <w:rPr>
                <w:sz w:val="16"/>
                <w:szCs w:val="16"/>
              </w:rPr>
            </w:pPr>
            <w:r w:rsidRPr="00C258AD">
              <w:rPr>
                <w:sz w:val="16"/>
                <w:szCs w:val="16"/>
              </w:rPr>
              <w:t>2015 : 2167 (+7%)</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2014</w:t>
            </w:r>
            <w:r w:rsidRPr="00C258AD">
              <w:rPr>
                <w:sz w:val="16"/>
                <w:szCs w:val="16"/>
              </w:rPr>
              <w:noBreakHyphen/>
              <w:t>2015 : 860 (+30%)</w:t>
            </w:r>
          </w:p>
          <w:p w:rsidR="00C258AD" w:rsidRPr="00C258AD" w:rsidRDefault="00C258AD" w:rsidP="00927E1F">
            <w:pPr>
              <w:rPr>
                <w:sz w:val="16"/>
                <w:szCs w:val="16"/>
              </w:rPr>
            </w:pPr>
            <w:r w:rsidRPr="00C258AD">
              <w:rPr>
                <w:sz w:val="16"/>
                <w:szCs w:val="16"/>
              </w:rPr>
              <w:t>2014 : 351 (+4%)</w:t>
            </w:r>
          </w:p>
          <w:p w:rsidR="00C258AD" w:rsidRPr="00C258AD" w:rsidRDefault="00C258AD" w:rsidP="00927E1F">
            <w:pPr>
              <w:rPr>
                <w:sz w:val="16"/>
                <w:szCs w:val="16"/>
              </w:rPr>
            </w:pPr>
            <w:r w:rsidRPr="00C258AD">
              <w:rPr>
                <w:sz w:val="16"/>
                <w:szCs w:val="16"/>
              </w:rPr>
              <w:t>2015 : 509 (+44%</w:t>
            </w:r>
            <w:r w:rsidRPr="00C258AD">
              <w:rPr>
                <w:rStyle w:val="FootnoteReference"/>
                <w:rFonts w:eastAsia="SimSun"/>
              </w:rPr>
              <w:footnoteReference w:id="113"/>
            </w:r>
            <w:r w:rsidRPr="00C258AD">
              <w:rPr>
                <w:sz w:val="16"/>
                <w:szCs w:val="16"/>
              </w:rPr>
              <w:t>)</w:t>
            </w:r>
          </w:p>
          <w:p w:rsidR="00C258AD" w:rsidRPr="00C258AD" w:rsidRDefault="00C258AD" w:rsidP="00927E1F">
            <w:pPr>
              <w:rPr>
                <w:sz w:val="16"/>
                <w:szCs w:val="16"/>
              </w:rPr>
            </w:pPr>
          </w:p>
        </w:tc>
        <w:tc>
          <w:tcPr>
            <w:tcW w:w="465" w:type="pct"/>
            <w:shd w:val="clear" w:color="auto" w:fill="auto"/>
            <w:tcMar>
              <w:top w:w="110" w:type="dxa"/>
            </w:tcMar>
          </w:tcPr>
          <w:p w:rsidR="00C258AD" w:rsidRPr="00C258AD" w:rsidRDefault="00C258AD" w:rsidP="00927E1F">
            <w:pPr>
              <w:keepNext/>
              <w:keepLines/>
              <w:jc w:val="center"/>
              <w:rPr>
                <w:b/>
                <w:color w:val="00B050"/>
                <w:sz w:val="16"/>
                <w:szCs w:val="16"/>
              </w:rPr>
            </w:pPr>
            <w:r w:rsidRPr="00C258AD">
              <w:rPr>
                <w:b/>
                <w:bCs/>
                <w:color w:val="00B050"/>
                <w:sz w:val="16"/>
              </w:rPr>
              <w:t>Objectif pleinement atteint</w:t>
            </w:r>
          </w:p>
          <w:p w:rsidR="00C258AD" w:rsidRPr="00C258AD" w:rsidRDefault="00C258AD" w:rsidP="00927E1F">
            <w:pPr>
              <w:keepNext/>
              <w:keepLines/>
              <w:jc w:val="center"/>
              <w:rPr>
                <w:b/>
                <w:color w:val="808080"/>
                <w:sz w:val="16"/>
                <w:szCs w:val="16"/>
              </w:rPr>
            </w:pPr>
          </w:p>
          <w:p w:rsidR="00C258AD" w:rsidRPr="00C258AD" w:rsidRDefault="00C258AD" w:rsidP="00927E1F">
            <w:pPr>
              <w:keepNext/>
              <w:keepLines/>
              <w:jc w:val="center"/>
              <w:rPr>
                <w:b/>
                <w:color w:val="808080"/>
                <w:sz w:val="16"/>
                <w:szCs w:val="16"/>
              </w:rPr>
            </w:pPr>
            <w:r w:rsidRPr="00C258AD">
              <w:rPr>
                <w:b/>
                <w:bCs/>
                <w:color w:val="00B050"/>
                <w:sz w:val="16"/>
              </w:rPr>
              <w:t>Objectif pleinement atteint</w:t>
            </w:r>
            <w:r w:rsidRPr="00C258AD">
              <w:rPr>
                <w:b/>
                <w:color w:val="808080"/>
                <w:sz w:val="16"/>
                <w:szCs w:val="16"/>
              </w:rPr>
              <w:t xml:space="preserve"> </w:t>
            </w:r>
          </w:p>
        </w:tc>
      </w:tr>
      <w:tr w:rsidR="00C258AD" w:rsidRPr="00C258AD" w:rsidTr="00927E1F">
        <w:trPr>
          <w:cantSplit/>
        </w:trPr>
        <w:tc>
          <w:tcPr>
            <w:tcW w:w="1080" w:type="pct"/>
            <w:tcBorders>
              <w:bottom w:val="single" w:sz="4" w:space="0" w:color="auto"/>
            </w:tcBorders>
            <w:shd w:val="clear" w:color="auto" w:fill="auto"/>
          </w:tcPr>
          <w:p w:rsidR="00C258AD" w:rsidRPr="00C258AD" w:rsidRDefault="00C258AD" w:rsidP="00927E1F">
            <w:pPr>
              <w:rPr>
                <w:sz w:val="16"/>
                <w:szCs w:val="16"/>
              </w:rPr>
            </w:pPr>
            <w:r w:rsidRPr="00C258AD">
              <w:rPr>
                <w:sz w:val="16"/>
                <w:szCs w:val="16"/>
              </w:rPr>
              <w:t>Nombre de renouvellements (système de Madrid)</w:t>
            </w:r>
          </w:p>
        </w:tc>
        <w:tc>
          <w:tcPr>
            <w:tcW w:w="864" w:type="pct"/>
            <w:gridSpan w:val="2"/>
            <w:tcBorders>
              <w:bottom w:val="single" w:sz="4" w:space="0" w:color="auto"/>
            </w:tcBorders>
            <w:shd w:val="clear" w:color="auto" w:fill="auto"/>
          </w:tcPr>
          <w:p w:rsidR="00C258AD" w:rsidRPr="00C258AD" w:rsidRDefault="00C258AD" w:rsidP="00927E1F">
            <w:pPr>
              <w:rPr>
                <w:i/>
                <w:color w:val="002060"/>
                <w:sz w:val="16"/>
                <w:szCs w:val="16"/>
              </w:rPr>
            </w:pPr>
            <w:r w:rsidRPr="00C258AD">
              <w:rPr>
                <w:i/>
                <w:color w:val="002060"/>
                <w:sz w:val="16"/>
                <w:szCs w:val="16"/>
              </w:rPr>
              <w:t>Niveau de référence actualisé fin 2013 </w:t>
            </w:r>
            <w:r w:rsidRPr="00C258AD">
              <w:rPr>
                <w:i/>
                <w:color w:val="002060"/>
                <w:sz w:val="16"/>
              </w:rPr>
              <w:t>:</w:t>
            </w:r>
          </w:p>
          <w:p w:rsidR="00C258AD" w:rsidRPr="00C258AD" w:rsidRDefault="00C258AD" w:rsidP="00927E1F">
            <w:pPr>
              <w:rPr>
                <w:color w:val="002060"/>
                <w:sz w:val="16"/>
                <w:szCs w:val="16"/>
              </w:rPr>
            </w:pPr>
            <w:r w:rsidRPr="00C258AD">
              <w:rPr>
                <w:color w:val="002060"/>
                <w:sz w:val="16"/>
                <w:szCs w:val="16"/>
              </w:rPr>
              <w:t>2012 : 187</w:t>
            </w:r>
          </w:p>
          <w:p w:rsidR="00C258AD" w:rsidRPr="00C258AD" w:rsidRDefault="00C258AD" w:rsidP="00927E1F">
            <w:pPr>
              <w:rPr>
                <w:color w:val="002060"/>
                <w:sz w:val="16"/>
                <w:szCs w:val="16"/>
              </w:rPr>
            </w:pPr>
            <w:r w:rsidRPr="00C258AD">
              <w:rPr>
                <w:color w:val="002060"/>
                <w:sz w:val="16"/>
                <w:szCs w:val="16"/>
              </w:rPr>
              <w:t>2013 : 311 (Bureau de l’OMPI au Japon)</w:t>
            </w:r>
          </w:p>
          <w:p w:rsidR="00C258AD" w:rsidRPr="00C258AD" w:rsidRDefault="00C258AD" w:rsidP="00927E1F">
            <w:pPr>
              <w:rPr>
                <w:color w:val="002060"/>
                <w:sz w:val="16"/>
                <w:szCs w:val="16"/>
              </w:rPr>
            </w:pPr>
          </w:p>
          <w:p w:rsidR="00C258AD" w:rsidRPr="00C258AD" w:rsidRDefault="00C258AD" w:rsidP="00927E1F">
            <w:pPr>
              <w:rPr>
                <w:color w:val="002060"/>
                <w:sz w:val="16"/>
                <w:szCs w:val="16"/>
              </w:rPr>
            </w:pPr>
            <w:r w:rsidRPr="00C258AD">
              <w:rPr>
                <w:color w:val="002060"/>
                <w:sz w:val="16"/>
                <w:szCs w:val="16"/>
              </w:rPr>
              <w:t>2012 : 51</w:t>
            </w:r>
          </w:p>
          <w:p w:rsidR="00C258AD" w:rsidRPr="00C258AD" w:rsidRDefault="00C258AD" w:rsidP="00927E1F">
            <w:pPr>
              <w:rPr>
                <w:color w:val="002060"/>
                <w:sz w:val="16"/>
                <w:szCs w:val="16"/>
              </w:rPr>
            </w:pPr>
            <w:r w:rsidRPr="00C258AD">
              <w:rPr>
                <w:color w:val="002060"/>
                <w:sz w:val="16"/>
                <w:szCs w:val="16"/>
              </w:rPr>
              <w:t>2013 : 62 (Bureau de l’OMPI à Singapour)</w:t>
            </w:r>
          </w:p>
          <w:p w:rsidR="00C258AD" w:rsidRPr="00C258AD" w:rsidRDefault="00C258AD" w:rsidP="00927E1F">
            <w:pPr>
              <w:rPr>
                <w:sz w:val="16"/>
                <w:szCs w:val="16"/>
              </w:rPr>
            </w:pPr>
          </w:p>
          <w:p w:rsidR="00C258AD" w:rsidRPr="00C258AD" w:rsidRDefault="00C258AD" w:rsidP="00927E1F">
            <w:pPr>
              <w:rPr>
                <w:i/>
                <w:sz w:val="16"/>
                <w:szCs w:val="16"/>
              </w:rPr>
            </w:pPr>
            <w:r w:rsidRPr="00C258AD">
              <w:rPr>
                <w:i/>
                <w:sz w:val="16"/>
                <w:szCs w:val="16"/>
              </w:rPr>
              <w:t>Niveau de référence initial programme et budget 2014</w:t>
            </w:r>
            <w:r w:rsidRPr="00C258AD">
              <w:rPr>
                <w:i/>
                <w:sz w:val="16"/>
                <w:szCs w:val="16"/>
              </w:rPr>
              <w:noBreakHyphen/>
              <w:t>2015</w:t>
            </w:r>
            <w:r w:rsidRPr="00C258AD">
              <w:rPr>
                <w:sz w:val="16"/>
                <w:szCs w:val="16"/>
              </w:rPr>
              <w:t> :</w:t>
            </w:r>
          </w:p>
          <w:p w:rsidR="00C258AD" w:rsidRPr="00C258AD" w:rsidRDefault="00C258AD" w:rsidP="00927E1F">
            <w:pPr>
              <w:rPr>
                <w:sz w:val="16"/>
                <w:szCs w:val="16"/>
              </w:rPr>
            </w:pPr>
            <w:r w:rsidRPr="00C258AD">
              <w:rPr>
                <w:sz w:val="16"/>
                <w:szCs w:val="16"/>
              </w:rPr>
              <w:t>Statistiques pour l’ASEAN en vertu du système de Madrid (Bureau de l’OMPI à Singapour)</w:t>
            </w:r>
          </w:p>
          <w:p w:rsidR="00C258AD" w:rsidRPr="00C258AD" w:rsidRDefault="00C258AD" w:rsidP="00927E1F">
            <w:pPr>
              <w:rPr>
                <w:sz w:val="16"/>
                <w:szCs w:val="16"/>
              </w:rPr>
            </w:pPr>
            <w:r w:rsidRPr="00C258AD">
              <w:rPr>
                <w:sz w:val="16"/>
                <w:szCs w:val="16"/>
              </w:rPr>
              <w:t>Statistiques pour l’ASEAN en vertu du système de Madrid, Japon (Bureau de l’OMPI au Japon)</w:t>
            </w:r>
          </w:p>
        </w:tc>
        <w:tc>
          <w:tcPr>
            <w:tcW w:w="918" w:type="pct"/>
            <w:tcBorders>
              <w:bottom w:val="single" w:sz="4" w:space="0" w:color="auto"/>
            </w:tcBorders>
            <w:shd w:val="clear" w:color="auto" w:fill="auto"/>
            <w:tcMar>
              <w:top w:w="110" w:type="dxa"/>
            </w:tcMar>
          </w:tcPr>
          <w:p w:rsidR="00C258AD" w:rsidRPr="00C258AD" w:rsidRDefault="00C258AD" w:rsidP="00927E1F">
            <w:pPr>
              <w:rPr>
                <w:sz w:val="16"/>
                <w:szCs w:val="16"/>
              </w:rPr>
            </w:pPr>
            <w:r w:rsidRPr="00C258AD">
              <w:rPr>
                <w:sz w:val="16"/>
                <w:szCs w:val="16"/>
              </w:rPr>
              <w:t>À déterminer (Bureau de l’OMPI au Japon)</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À déterminer (Bureau de l’OMPI à Singapour)</w:t>
            </w:r>
          </w:p>
        </w:tc>
        <w:tc>
          <w:tcPr>
            <w:tcW w:w="1673" w:type="pct"/>
            <w:tcBorders>
              <w:bottom w:val="single" w:sz="4" w:space="0" w:color="auto"/>
            </w:tcBorders>
            <w:shd w:val="clear" w:color="auto" w:fill="FFFFFF"/>
            <w:tcMar>
              <w:top w:w="110" w:type="dxa"/>
            </w:tcMar>
          </w:tcPr>
          <w:p w:rsidR="00C258AD" w:rsidRPr="00C258AD" w:rsidRDefault="00C258AD" w:rsidP="00927E1F">
            <w:pPr>
              <w:rPr>
                <w:sz w:val="16"/>
              </w:rPr>
            </w:pPr>
            <w:r w:rsidRPr="00C258AD">
              <w:rPr>
                <w:sz w:val="16"/>
              </w:rPr>
              <w:t>Bureau de l’OMPI au Japon :</w:t>
            </w:r>
          </w:p>
          <w:p w:rsidR="00C258AD" w:rsidRPr="00C258AD" w:rsidRDefault="00C258AD" w:rsidP="00927E1F">
            <w:pPr>
              <w:rPr>
                <w:sz w:val="16"/>
              </w:rPr>
            </w:pPr>
            <w:r w:rsidRPr="00C258AD">
              <w:rPr>
                <w:sz w:val="16"/>
              </w:rPr>
              <w:t>2014 :</w:t>
            </w:r>
            <w:r w:rsidRPr="00C258AD">
              <w:rPr>
                <w:sz w:val="16"/>
                <w:szCs w:val="16"/>
              </w:rPr>
              <w:t xml:space="preserve"> +49% (462)</w:t>
            </w:r>
          </w:p>
          <w:p w:rsidR="00C258AD" w:rsidRPr="00C258AD" w:rsidRDefault="00C258AD" w:rsidP="00927E1F">
            <w:pPr>
              <w:rPr>
                <w:sz w:val="16"/>
              </w:rPr>
            </w:pPr>
            <w:r w:rsidRPr="00C258AD">
              <w:rPr>
                <w:sz w:val="16"/>
              </w:rPr>
              <w:t xml:space="preserve">2015 : </w:t>
            </w:r>
            <w:r w:rsidRPr="00C258AD">
              <w:rPr>
                <w:sz w:val="16"/>
                <w:szCs w:val="16"/>
              </w:rPr>
              <w:t>+27% (588)</w:t>
            </w:r>
          </w:p>
          <w:p w:rsidR="00C258AD" w:rsidRPr="00C258AD" w:rsidRDefault="00C258AD" w:rsidP="00927E1F">
            <w:pPr>
              <w:rPr>
                <w:sz w:val="16"/>
              </w:rPr>
            </w:pPr>
          </w:p>
          <w:p w:rsidR="00C258AD" w:rsidRPr="00C258AD" w:rsidRDefault="00C258AD" w:rsidP="00927E1F">
            <w:pPr>
              <w:rPr>
                <w:sz w:val="16"/>
              </w:rPr>
            </w:pPr>
            <w:r w:rsidRPr="00C258AD">
              <w:rPr>
                <w:sz w:val="16"/>
              </w:rPr>
              <w:t>Bureau de l’OMPI à Singapour :</w:t>
            </w:r>
          </w:p>
          <w:p w:rsidR="00C258AD" w:rsidRPr="00C258AD" w:rsidRDefault="00C258AD" w:rsidP="00927E1F">
            <w:pPr>
              <w:rPr>
                <w:sz w:val="16"/>
              </w:rPr>
            </w:pPr>
            <w:r w:rsidRPr="00C258AD">
              <w:rPr>
                <w:sz w:val="16"/>
              </w:rPr>
              <w:t xml:space="preserve">2014 : </w:t>
            </w:r>
            <w:r w:rsidRPr="00C258AD">
              <w:rPr>
                <w:sz w:val="16"/>
                <w:szCs w:val="16"/>
              </w:rPr>
              <w:t>+13% (54)</w:t>
            </w:r>
            <w:r w:rsidRPr="00C258AD">
              <w:rPr>
                <w:rStyle w:val="FootnoteReference"/>
                <w:rFonts w:eastAsia="SimSun"/>
                <w:sz w:val="16"/>
                <w:szCs w:val="16"/>
              </w:rPr>
              <w:footnoteReference w:id="114"/>
            </w:r>
          </w:p>
          <w:p w:rsidR="00C258AD" w:rsidRPr="00C258AD" w:rsidRDefault="00C258AD" w:rsidP="00927E1F">
            <w:pPr>
              <w:rPr>
                <w:sz w:val="16"/>
              </w:rPr>
            </w:pPr>
            <w:r w:rsidRPr="00C258AD">
              <w:rPr>
                <w:sz w:val="16"/>
              </w:rPr>
              <w:t xml:space="preserve">2015 : </w:t>
            </w:r>
            <w:r w:rsidRPr="00C258AD">
              <w:rPr>
                <w:sz w:val="16"/>
                <w:szCs w:val="16"/>
              </w:rPr>
              <w:t>+52% (82)</w:t>
            </w:r>
          </w:p>
        </w:tc>
        <w:tc>
          <w:tcPr>
            <w:tcW w:w="465" w:type="pct"/>
            <w:tcBorders>
              <w:bottom w:val="single" w:sz="4" w:space="0" w:color="auto"/>
            </w:tcBorders>
            <w:shd w:val="clear" w:color="auto" w:fill="auto"/>
            <w:tcMar>
              <w:top w:w="110" w:type="dxa"/>
            </w:tcMar>
          </w:tcPr>
          <w:p w:rsidR="00C258AD" w:rsidRPr="00C258AD" w:rsidRDefault="00C258AD" w:rsidP="00927E1F">
            <w:pPr>
              <w:keepNext/>
              <w:keepLines/>
              <w:jc w:val="center"/>
              <w:rPr>
                <w:b/>
                <w:bCs/>
                <w:color w:val="808080"/>
                <w:sz w:val="16"/>
                <w:szCs w:val="16"/>
              </w:rPr>
            </w:pPr>
            <w:r w:rsidRPr="00C258AD">
              <w:rPr>
                <w:b/>
                <w:bCs/>
                <w:color w:val="808080"/>
                <w:sz w:val="16"/>
              </w:rPr>
              <w:t>Non évaluable</w:t>
            </w:r>
          </w:p>
          <w:p w:rsidR="00C258AD" w:rsidRPr="00C258AD" w:rsidRDefault="00C258AD" w:rsidP="00927E1F">
            <w:pPr>
              <w:keepNext/>
              <w:keepLines/>
              <w:jc w:val="center"/>
              <w:rPr>
                <w:b/>
                <w:bCs/>
                <w:color w:val="808080"/>
                <w:sz w:val="16"/>
                <w:szCs w:val="16"/>
              </w:rPr>
            </w:pPr>
          </w:p>
          <w:p w:rsidR="00C258AD" w:rsidRPr="00C258AD" w:rsidRDefault="00C258AD" w:rsidP="00927E1F">
            <w:pPr>
              <w:keepNext/>
              <w:keepLines/>
              <w:jc w:val="center"/>
              <w:rPr>
                <w:b/>
                <w:bCs/>
                <w:color w:val="808080"/>
                <w:sz w:val="16"/>
                <w:szCs w:val="16"/>
              </w:rPr>
            </w:pPr>
          </w:p>
          <w:p w:rsidR="00C258AD" w:rsidRPr="00C258AD" w:rsidRDefault="00C258AD" w:rsidP="00927E1F">
            <w:pPr>
              <w:keepNext/>
              <w:keepLines/>
              <w:jc w:val="center"/>
              <w:rPr>
                <w:b/>
                <w:bCs/>
                <w:color w:val="808080"/>
                <w:sz w:val="16"/>
                <w:szCs w:val="16"/>
              </w:rPr>
            </w:pPr>
            <w:r w:rsidRPr="00C258AD">
              <w:rPr>
                <w:b/>
                <w:bCs/>
                <w:color w:val="808080"/>
                <w:sz w:val="16"/>
              </w:rPr>
              <w:t>Non évaluable</w:t>
            </w:r>
          </w:p>
        </w:tc>
      </w:tr>
      <w:tr w:rsidR="00C258AD" w:rsidRPr="00C258AD" w:rsidTr="00927E1F">
        <w:trPr>
          <w:cantSplit/>
        </w:trPr>
        <w:tc>
          <w:tcPr>
            <w:tcW w:w="5000" w:type="pct"/>
            <w:gridSpan w:val="6"/>
            <w:tcBorders>
              <w:top w:val="single" w:sz="4" w:space="0" w:color="auto"/>
              <w:bottom w:val="single" w:sz="4" w:space="0" w:color="auto"/>
            </w:tcBorders>
            <w:shd w:val="clear" w:color="auto" w:fill="BFD9F1"/>
          </w:tcPr>
          <w:p w:rsidR="00C258AD" w:rsidRPr="00C258AD" w:rsidRDefault="00C258AD" w:rsidP="00927E1F">
            <w:pPr>
              <w:keepNext/>
              <w:rPr>
                <w:b/>
                <w:color w:val="808080"/>
                <w:sz w:val="16"/>
                <w:szCs w:val="16"/>
              </w:rPr>
            </w:pPr>
            <w:r w:rsidRPr="00C258AD">
              <w:rPr>
                <w:b/>
                <w:sz w:val="16"/>
                <w:szCs w:val="16"/>
              </w:rPr>
              <w:lastRenderedPageBreak/>
              <w:t xml:space="preserve">Résultat escompté : </w:t>
            </w:r>
            <w:r w:rsidRPr="00C258AD">
              <w:rPr>
                <w:sz w:val="16"/>
                <w:szCs w:val="16"/>
              </w:rPr>
              <w:t>II.8 De plus en plus de litiges internationaux ou nationaux de propriété intellectuelle sont évités ou réglés par la médiation, l’arbitrage et d’autres modes extrajudiciaires de règlement des litiges de l’OMPI</w:t>
            </w:r>
          </w:p>
        </w:tc>
      </w:tr>
      <w:tr w:rsidR="00C258AD" w:rsidRPr="00C258AD" w:rsidTr="00927E1F">
        <w:trPr>
          <w:cantSplit/>
        </w:trPr>
        <w:tc>
          <w:tcPr>
            <w:tcW w:w="1080" w:type="pct"/>
            <w:tcBorders>
              <w:top w:val="single" w:sz="4" w:space="0" w:color="auto"/>
            </w:tcBorders>
            <w:shd w:val="clear" w:color="auto" w:fill="auto"/>
            <w:vAlign w:val="center"/>
          </w:tcPr>
          <w:p w:rsidR="00C258AD" w:rsidRPr="00C258AD" w:rsidRDefault="00C258AD" w:rsidP="00927E1F">
            <w:pPr>
              <w:keepNext/>
              <w:jc w:val="center"/>
              <w:rPr>
                <w:sz w:val="16"/>
                <w:szCs w:val="16"/>
              </w:rPr>
            </w:pPr>
            <w:r w:rsidRPr="00C258AD">
              <w:rPr>
                <w:b/>
                <w:sz w:val="16"/>
                <w:szCs w:val="16"/>
              </w:rPr>
              <w:t>Indicateurs d’exécution</w:t>
            </w:r>
          </w:p>
        </w:tc>
        <w:tc>
          <w:tcPr>
            <w:tcW w:w="816" w:type="pct"/>
            <w:tcBorders>
              <w:top w:val="single" w:sz="4" w:space="0" w:color="auto"/>
            </w:tcBorders>
            <w:shd w:val="clear" w:color="auto" w:fill="auto"/>
            <w:vAlign w:val="center"/>
          </w:tcPr>
          <w:p w:rsidR="00C258AD" w:rsidRPr="00C258AD" w:rsidRDefault="00C258AD" w:rsidP="00927E1F">
            <w:pPr>
              <w:keepNext/>
              <w:jc w:val="center"/>
              <w:rPr>
                <w:sz w:val="16"/>
                <w:szCs w:val="16"/>
              </w:rPr>
            </w:pPr>
            <w:r w:rsidRPr="00C258AD">
              <w:rPr>
                <w:b/>
                <w:sz w:val="16"/>
                <w:szCs w:val="16"/>
              </w:rPr>
              <w:t>Niveaux de référence</w:t>
            </w:r>
          </w:p>
        </w:tc>
        <w:tc>
          <w:tcPr>
            <w:tcW w:w="966" w:type="pct"/>
            <w:gridSpan w:val="2"/>
            <w:tcBorders>
              <w:top w:val="single" w:sz="4" w:space="0" w:color="auto"/>
            </w:tcBorders>
            <w:shd w:val="clear" w:color="auto" w:fill="auto"/>
            <w:tcMar>
              <w:top w:w="110" w:type="dxa"/>
            </w:tcMar>
            <w:vAlign w:val="center"/>
          </w:tcPr>
          <w:p w:rsidR="00C258AD" w:rsidRPr="00C258AD" w:rsidRDefault="00C258AD" w:rsidP="00927E1F">
            <w:pPr>
              <w:keepNext/>
              <w:jc w:val="center"/>
              <w:rPr>
                <w:sz w:val="16"/>
                <w:szCs w:val="16"/>
              </w:rPr>
            </w:pPr>
            <w:r w:rsidRPr="00C258AD">
              <w:rPr>
                <w:b/>
                <w:sz w:val="16"/>
                <w:szCs w:val="16"/>
              </w:rPr>
              <w:t>Objectifs visés</w:t>
            </w:r>
          </w:p>
        </w:tc>
        <w:tc>
          <w:tcPr>
            <w:tcW w:w="1673" w:type="pct"/>
            <w:tcBorders>
              <w:top w:val="single" w:sz="4" w:space="0" w:color="auto"/>
            </w:tcBorders>
            <w:shd w:val="clear" w:color="auto" w:fill="FFFFFF"/>
            <w:tcMar>
              <w:top w:w="110" w:type="dxa"/>
            </w:tcMar>
            <w:vAlign w:val="center"/>
          </w:tcPr>
          <w:p w:rsidR="00C258AD" w:rsidRPr="00C258AD" w:rsidRDefault="00C258AD" w:rsidP="00927E1F">
            <w:pPr>
              <w:keepNext/>
              <w:jc w:val="center"/>
              <w:rPr>
                <w:sz w:val="16"/>
                <w:szCs w:val="16"/>
              </w:rPr>
            </w:pPr>
            <w:r w:rsidRPr="00C258AD">
              <w:rPr>
                <w:b/>
                <w:sz w:val="16"/>
                <w:szCs w:val="16"/>
              </w:rPr>
              <w:t>Données relatives à l’exécution</w:t>
            </w:r>
          </w:p>
        </w:tc>
        <w:tc>
          <w:tcPr>
            <w:tcW w:w="465" w:type="pct"/>
            <w:tcBorders>
              <w:top w:val="single" w:sz="4" w:space="0" w:color="auto"/>
            </w:tcBorders>
            <w:shd w:val="clear" w:color="auto" w:fill="auto"/>
            <w:tcMar>
              <w:top w:w="110" w:type="dxa"/>
            </w:tcMar>
            <w:vAlign w:val="center"/>
          </w:tcPr>
          <w:p w:rsidR="00C258AD" w:rsidRPr="00C258AD" w:rsidRDefault="00C258AD" w:rsidP="00927E1F">
            <w:pPr>
              <w:keepNext/>
              <w:keepLines/>
              <w:jc w:val="center"/>
              <w:rPr>
                <w:b/>
                <w:bCs/>
                <w:color w:val="808080"/>
                <w:sz w:val="16"/>
                <w:szCs w:val="16"/>
              </w:rPr>
            </w:pPr>
            <w:r w:rsidRPr="00C258AD">
              <w:rPr>
                <w:b/>
                <w:sz w:val="16"/>
                <w:szCs w:val="16"/>
              </w:rPr>
              <w:t>Code de couleurs</w:t>
            </w:r>
          </w:p>
        </w:tc>
      </w:tr>
      <w:tr w:rsidR="00C258AD" w:rsidRPr="00C258AD" w:rsidTr="00927E1F">
        <w:trPr>
          <w:cantSplit/>
        </w:trPr>
        <w:tc>
          <w:tcPr>
            <w:tcW w:w="1080" w:type="pct"/>
            <w:tcBorders>
              <w:bottom w:val="single" w:sz="4" w:space="0" w:color="auto"/>
            </w:tcBorders>
            <w:shd w:val="clear" w:color="auto" w:fill="auto"/>
          </w:tcPr>
          <w:p w:rsidR="00C258AD" w:rsidRPr="00C258AD" w:rsidRDefault="00C258AD" w:rsidP="00927E1F">
            <w:pPr>
              <w:rPr>
                <w:sz w:val="16"/>
                <w:szCs w:val="16"/>
              </w:rPr>
            </w:pPr>
            <w:r w:rsidRPr="00C258AD">
              <w:rPr>
                <w:sz w:val="16"/>
                <w:szCs w:val="16"/>
              </w:rPr>
              <w:t>Prise en considération accrue de l’utilisation de services extrajudiciaires de règlement des litiges dans les transactions de propriété intellectuelle, notamment par le recours aux procédures de l’OMPI</w:t>
            </w:r>
          </w:p>
        </w:tc>
        <w:tc>
          <w:tcPr>
            <w:tcW w:w="816" w:type="pct"/>
            <w:tcBorders>
              <w:bottom w:val="single" w:sz="4" w:space="0" w:color="auto"/>
            </w:tcBorders>
            <w:shd w:val="clear" w:color="auto" w:fill="auto"/>
          </w:tcPr>
          <w:p w:rsidR="00C258AD" w:rsidRPr="00C258AD" w:rsidRDefault="00C258AD" w:rsidP="00927E1F">
            <w:pPr>
              <w:rPr>
                <w:sz w:val="16"/>
                <w:szCs w:val="16"/>
              </w:rPr>
            </w:pPr>
            <w:r w:rsidRPr="00C258AD">
              <w:rPr>
                <w:sz w:val="16"/>
                <w:szCs w:val="16"/>
              </w:rPr>
              <w:t>Données non disponibles (Bureau de l’OMPI au Brésil)</w:t>
            </w:r>
          </w:p>
        </w:tc>
        <w:tc>
          <w:tcPr>
            <w:tcW w:w="966" w:type="pct"/>
            <w:gridSpan w:val="2"/>
            <w:tcBorders>
              <w:bottom w:val="single" w:sz="4" w:space="0" w:color="auto"/>
            </w:tcBorders>
            <w:shd w:val="clear" w:color="auto" w:fill="auto"/>
            <w:tcMar>
              <w:top w:w="110" w:type="dxa"/>
            </w:tcMar>
          </w:tcPr>
          <w:p w:rsidR="00C258AD" w:rsidRPr="00C258AD" w:rsidRDefault="00C258AD" w:rsidP="00927E1F">
            <w:pPr>
              <w:rPr>
                <w:sz w:val="16"/>
                <w:szCs w:val="16"/>
              </w:rPr>
            </w:pPr>
            <w:r w:rsidRPr="00C258AD">
              <w:rPr>
                <w:sz w:val="16"/>
                <w:szCs w:val="16"/>
              </w:rPr>
              <w:t>30 litiges portés devant l’INPI par des utilisateurs brésiliens et 4 litiges portés devant le Bureau de l’OMPI au Brésil par des non</w:t>
            </w:r>
            <w:r w:rsidRPr="00C258AD">
              <w:rPr>
                <w:sz w:val="16"/>
                <w:szCs w:val="16"/>
              </w:rPr>
              <w:noBreakHyphen/>
              <w:t>résidents seront traités par WIPO MAC (Bureau de l’OMPI au Brésil).</w:t>
            </w:r>
          </w:p>
        </w:tc>
        <w:tc>
          <w:tcPr>
            <w:tcW w:w="1673" w:type="pct"/>
            <w:tcBorders>
              <w:bottom w:val="single" w:sz="4" w:space="0" w:color="auto"/>
            </w:tcBorders>
            <w:shd w:val="clear" w:color="auto" w:fill="FFFFFF"/>
            <w:tcMar>
              <w:top w:w="110" w:type="dxa"/>
            </w:tcMar>
          </w:tcPr>
          <w:p w:rsidR="00C258AD" w:rsidRPr="00C258AD" w:rsidRDefault="00C258AD" w:rsidP="00927E1F">
            <w:pPr>
              <w:rPr>
                <w:sz w:val="16"/>
                <w:szCs w:val="16"/>
              </w:rPr>
            </w:pPr>
            <w:r w:rsidRPr="00C258AD">
              <w:rPr>
                <w:sz w:val="16"/>
                <w:szCs w:val="16"/>
              </w:rPr>
              <w:t>En raison de modifications au sein de l’INPI en 2014, le projet sur l’utilisation de services de règlement alternatif extrajudiciaire des litiges dans les transactions de propriété intellectuelle a été suspendu (Bureau de l’OMPI au Brésil)</w:t>
            </w:r>
          </w:p>
        </w:tc>
        <w:tc>
          <w:tcPr>
            <w:tcW w:w="465" w:type="pct"/>
            <w:tcBorders>
              <w:bottom w:val="single" w:sz="4" w:space="0" w:color="auto"/>
            </w:tcBorders>
            <w:shd w:val="clear" w:color="auto" w:fill="auto"/>
            <w:tcMar>
              <w:top w:w="110" w:type="dxa"/>
            </w:tcMar>
          </w:tcPr>
          <w:p w:rsidR="00C258AD" w:rsidRPr="00C258AD" w:rsidRDefault="00C258AD" w:rsidP="00927E1F">
            <w:pPr>
              <w:keepNext/>
              <w:keepLines/>
              <w:jc w:val="center"/>
              <w:rPr>
                <w:b/>
                <w:bCs/>
                <w:color w:val="FF0000"/>
                <w:sz w:val="16"/>
                <w:szCs w:val="16"/>
              </w:rPr>
            </w:pPr>
            <w:r w:rsidRPr="00C258AD">
              <w:rPr>
                <w:b/>
                <w:color w:val="FF0000"/>
                <w:sz w:val="16"/>
              </w:rPr>
              <w:t>Objectif pas atteint</w:t>
            </w:r>
          </w:p>
        </w:tc>
      </w:tr>
      <w:tr w:rsidR="00C258AD" w:rsidRPr="00C258AD" w:rsidTr="00927E1F">
        <w:trPr>
          <w:cantSplit/>
        </w:trPr>
        <w:tc>
          <w:tcPr>
            <w:tcW w:w="5000" w:type="pct"/>
            <w:gridSpan w:val="6"/>
            <w:tcBorders>
              <w:top w:val="single" w:sz="4" w:space="0" w:color="auto"/>
              <w:bottom w:val="single" w:sz="4" w:space="0" w:color="auto"/>
            </w:tcBorders>
            <w:shd w:val="clear" w:color="auto" w:fill="BFD9F1"/>
          </w:tcPr>
          <w:p w:rsidR="00C258AD" w:rsidRPr="00C258AD" w:rsidRDefault="00C258AD" w:rsidP="00927E1F">
            <w:pPr>
              <w:keepNext/>
              <w:rPr>
                <w:b/>
                <w:sz w:val="16"/>
                <w:szCs w:val="16"/>
              </w:rPr>
            </w:pPr>
            <w:r w:rsidRPr="00C258AD">
              <w:rPr>
                <w:b/>
                <w:sz w:val="16"/>
                <w:szCs w:val="16"/>
              </w:rPr>
              <w:t xml:space="preserve">Résultat escompté : </w:t>
            </w:r>
            <w:r w:rsidRPr="00C258AD">
              <w:rPr>
                <w:sz w:val="16"/>
                <w:szCs w:val="16"/>
              </w:rPr>
              <w:t>III.2 Renforcement des capacités en matière de ressources humaines pour pouvoir répondre aux nombreuses exigences en ce qui concerne l’utilisation efficace de la propriété intellectuelle au service du développement dans les pays en développement, les PMA et les pays en transition</w:t>
            </w:r>
          </w:p>
        </w:tc>
      </w:tr>
      <w:tr w:rsidR="00C258AD" w:rsidRPr="00C258AD" w:rsidTr="00927E1F">
        <w:trPr>
          <w:cantSplit/>
        </w:trPr>
        <w:tc>
          <w:tcPr>
            <w:tcW w:w="1080" w:type="pct"/>
            <w:tcBorders>
              <w:top w:val="single" w:sz="4" w:space="0" w:color="auto"/>
            </w:tcBorders>
            <w:shd w:val="clear" w:color="auto" w:fill="auto"/>
            <w:vAlign w:val="center"/>
          </w:tcPr>
          <w:p w:rsidR="00C258AD" w:rsidRPr="00C258AD" w:rsidRDefault="00C258AD" w:rsidP="00927E1F">
            <w:pPr>
              <w:keepNext/>
              <w:jc w:val="center"/>
              <w:rPr>
                <w:sz w:val="16"/>
                <w:szCs w:val="16"/>
              </w:rPr>
            </w:pPr>
            <w:r w:rsidRPr="00C258AD">
              <w:rPr>
                <w:b/>
                <w:sz w:val="16"/>
                <w:szCs w:val="16"/>
              </w:rPr>
              <w:t>Indicateurs d’exécution</w:t>
            </w:r>
          </w:p>
        </w:tc>
        <w:tc>
          <w:tcPr>
            <w:tcW w:w="816" w:type="pct"/>
            <w:tcBorders>
              <w:top w:val="single" w:sz="4" w:space="0" w:color="auto"/>
            </w:tcBorders>
            <w:shd w:val="clear" w:color="auto" w:fill="auto"/>
            <w:vAlign w:val="center"/>
          </w:tcPr>
          <w:p w:rsidR="00C258AD" w:rsidRPr="00C258AD" w:rsidRDefault="00C258AD" w:rsidP="00927E1F">
            <w:pPr>
              <w:keepNext/>
              <w:jc w:val="center"/>
              <w:rPr>
                <w:i/>
                <w:sz w:val="16"/>
                <w:szCs w:val="16"/>
              </w:rPr>
            </w:pPr>
            <w:r w:rsidRPr="00C258AD">
              <w:rPr>
                <w:b/>
                <w:sz w:val="16"/>
                <w:szCs w:val="16"/>
              </w:rPr>
              <w:t>Niveaux de référence</w:t>
            </w:r>
          </w:p>
        </w:tc>
        <w:tc>
          <w:tcPr>
            <w:tcW w:w="966" w:type="pct"/>
            <w:gridSpan w:val="2"/>
            <w:tcBorders>
              <w:top w:val="single" w:sz="4" w:space="0" w:color="auto"/>
            </w:tcBorders>
            <w:shd w:val="clear" w:color="auto" w:fill="auto"/>
            <w:tcMar>
              <w:top w:w="110" w:type="dxa"/>
            </w:tcMar>
            <w:vAlign w:val="center"/>
          </w:tcPr>
          <w:p w:rsidR="00C258AD" w:rsidRPr="00C258AD" w:rsidRDefault="00C258AD" w:rsidP="00927E1F">
            <w:pPr>
              <w:keepNext/>
              <w:jc w:val="center"/>
              <w:rPr>
                <w:sz w:val="16"/>
                <w:szCs w:val="16"/>
              </w:rPr>
            </w:pPr>
            <w:r w:rsidRPr="00C258AD">
              <w:rPr>
                <w:b/>
                <w:sz w:val="16"/>
                <w:szCs w:val="16"/>
              </w:rPr>
              <w:t>Objectifs visés</w:t>
            </w:r>
          </w:p>
        </w:tc>
        <w:tc>
          <w:tcPr>
            <w:tcW w:w="1673" w:type="pct"/>
            <w:tcBorders>
              <w:top w:val="single" w:sz="4" w:space="0" w:color="auto"/>
            </w:tcBorders>
            <w:shd w:val="clear" w:color="auto" w:fill="FFFFFF"/>
            <w:tcMar>
              <w:top w:w="110" w:type="dxa"/>
            </w:tcMar>
            <w:vAlign w:val="center"/>
          </w:tcPr>
          <w:p w:rsidR="00C258AD" w:rsidRPr="00C258AD" w:rsidRDefault="00C258AD" w:rsidP="00927E1F">
            <w:pPr>
              <w:keepNext/>
              <w:jc w:val="center"/>
              <w:rPr>
                <w:sz w:val="16"/>
                <w:szCs w:val="16"/>
              </w:rPr>
            </w:pPr>
            <w:r w:rsidRPr="00C258AD">
              <w:rPr>
                <w:b/>
                <w:sz w:val="16"/>
                <w:szCs w:val="16"/>
              </w:rPr>
              <w:t>Données relatives à l’exécution</w:t>
            </w:r>
          </w:p>
        </w:tc>
        <w:tc>
          <w:tcPr>
            <w:tcW w:w="465" w:type="pct"/>
            <w:tcBorders>
              <w:top w:val="single" w:sz="4" w:space="0" w:color="auto"/>
            </w:tcBorders>
            <w:shd w:val="clear" w:color="auto" w:fill="auto"/>
            <w:tcMar>
              <w:top w:w="110" w:type="dxa"/>
            </w:tcMar>
            <w:vAlign w:val="center"/>
          </w:tcPr>
          <w:p w:rsidR="00C258AD" w:rsidRPr="00C258AD" w:rsidRDefault="00C258AD" w:rsidP="00927E1F">
            <w:pPr>
              <w:keepNext/>
              <w:keepLines/>
              <w:jc w:val="center"/>
              <w:rPr>
                <w:b/>
                <w:bCs/>
                <w:color w:val="808080"/>
                <w:sz w:val="16"/>
                <w:szCs w:val="16"/>
              </w:rPr>
            </w:pPr>
            <w:r w:rsidRPr="00C258AD">
              <w:rPr>
                <w:b/>
                <w:sz w:val="16"/>
                <w:szCs w:val="16"/>
              </w:rPr>
              <w:t>Code de couleurs</w:t>
            </w:r>
          </w:p>
        </w:tc>
      </w:tr>
      <w:tr w:rsidR="00C258AD" w:rsidRPr="00C258AD" w:rsidTr="00927E1F">
        <w:trPr>
          <w:cantSplit/>
        </w:trPr>
        <w:tc>
          <w:tcPr>
            <w:tcW w:w="1080" w:type="pct"/>
            <w:tcBorders>
              <w:bottom w:val="single" w:sz="4" w:space="0" w:color="auto"/>
            </w:tcBorders>
            <w:shd w:val="clear" w:color="auto" w:fill="auto"/>
          </w:tcPr>
          <w:p w:rsidR="00C258AD" w:rsidRPr="00C258AD" w:rsidRDefault="00C258AD" w:rsidP="00927E1F">
            <w:pPr>
              <w:rPr>
                <w:sz w:val="16"/>
                <w:szCs w:val="16"/>
              </w:rPr>
            </w:pPr>
            <w:r w:rsidRPr="00C258AD">
              <w:rPr>
                <w:sz w:val="16"/>
                <w:szCs w:val="16"/>
              </w:rPr>
              <w:t>Pourcentage de décideurs, de fonctionnaires gouvernementaux, de spécialistes de la propriété intellectuelle et de participants à des ateliers ciblés ayant une connaissance accrue des organismes de gestion collective du droit d’auteur, et de la manière d’utiliser efficacement la propriété intellectuelle au service du développement</w:t>
            </w:r>
          </w:p>
        </w:tc>
        <w:tc>
          <w:tcPr>
            <w:tcW w:w="816" w:type="pct"/>
            <w:tcBorders>
              <w:bottom w:val="single" w:sz="4" w:space="0" w:color="auto"/>
            </w:tcBorders>
            <w:shd w:val="clear" w:color="auto" w:fill="auto"/>
          </w:tcPr>
          <w:p w:rsidR="00C258AD" w:rsidRPr="00C258AD" w:rsidRDefault="00C258AD" w:rsidP="00927E1F">
            <w:pPr>
              <w:rPr>
                <w:sz w:val="16"/>
                <w:szCs w:val="16"/>
              </w:rPr>
            </w:pPr>
            <w:r w:rsidRPr="00C258AD">
              <w:rPr>
                <w:sz w:val="16"/>
                <w:szCs w:val="16"/>
              </w:rPr>
              <w:t>Données non disponibles (Bureau de l’OMPI au Brésil)</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Données non disponibles (Bureau de l’OMPI au Japon)</w:t>
            </w:r>
          </w:p>
          <w:p w:rsidR="00C258AD" w:rsidRPr="00C258AD" w:rsidRDefault="00C258AD" w:rsidP="00927E1F">
            <w:pPr>
              <w:rPr>
                <w:sz w:val="16"/>
                <w:szCs w:val="16"/>
              </w:rPr>
            </w:pPr>
          </w:p>
          <w:p w:rsidR="00C258AD" w:rsidRPr="00C258AD" w:rsidRDefault="00C258AD" w:rsidP="00927E1F">
            <w:pPr>
              <w:rPr>
                <w:i/>
                <w:sz w:val="16"/>
                <w:szCs w:val="16"/>
              </w:rPr>
            </w:pPr>
            <w:r w:rsidRPr="00C258AD">
              <w:rPr>
                <w:sz w:val="16"/>
                <w:szCs w:val="16"/>
              </w:rPr>
              <w:t>60% (Bureau de l’OMPI à Singapour)</w:t>
            </w:r>
          </w:p>
        </w:tc>
        <w:tc>
          <w:tcPr>
            <w:tcW w:w="966" w:type="pct"/>
            <w:gridSpan w:val="2"/>
            <w:tcBorders>
              <w:bottom w:val="single" w:sz="4" w:space="0" w:color="auto"/>
            </w:tcBorders>
            <w:shd w:val="clear" w:color="auto" w:fill="auto"/>
            <w:tcMar>
              <w:top w:w="110" w:type="dxa"/>
            </w:tcMar>
          </w:tcPr>
          <w:p w:rsidR="00C258AD" w:rsidRPr="00C258AD" w:rsidRDefault="00C258AD" w:rsidP="00927E1F">
            <w:pPr>
              <w:rPr>
                <w:sz w:val="16"/>
                <w:szCs w:val="16"/>
              </w:rPr>
            </w:pPr>
            <w:r w:rsidRPr="00C258AD">
              <w:rPr>
                <w:sz w:val="16"/>
                <w:szCs w:val="16"/>
              </w:rPr>
              <w:t>75% (Bureau de l’OMPI au Brésil)</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75% (Bureau de l’OMPI au Japon)</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70% (Bureau de l’OMPI à Singapour)</w:t>
            </w:r>
          </w:p>
        </w:tc>
        <w:tc>
          <w:tcPr>
            <w:tcW w:w="1673" w:type="pct"/>
            <w:tcBorders>
              <w:bottom w:val="single" w:sz="4" w:space="0" w:color="auto"/>
            </w:tcBorders>
            <w:shd w:val="clear" w:color="auto" w:fill="FFFFFF"/>
            <w:tcMar>
              <w:top w:w="110" w:type="dxa"/>
            </w:tcMar>
          </w:tcPr>
          <w:p w:rsidR="00C258AD" w:rsidRPr="00C258AD" w:rsidRDefault="00C258AD" w:rsidP="00927E1F">
            <w:pPr>
              <w:rPr>
                <w:sz w:val="16"/>
                <w:szCs w:val="16"/>
              </w:rPr>
            </w:pPr>
            <w:r w:rsidRPr="00C258AD">
              <w:rPr>
                <w:sz w:val="16"/>
                <w:szCs w:val="16"/>
              </w:rPr>
              <w:t>75% (Bureau de l’OMPI au Brésil)</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100% (Bureau de l’OMPI au Japon)</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100% (Bureau de l’OMPI à Singapour)</w:t>
            </w:r>
          </w:p>
        </w:tc>
        <w:tc>
          <w:tcPr>
            <w:tcW w:w="465" w:type="pct"/>
            <w:tcBorders>
              <w:bottom w:val="single" w:sz="4" w:space="0" w:color="auto"/>
            </w:tcBorders>
            <w:shd w:val="clear" w:color="auto" w:fill="auto"/>
            <w:tcMar>
              <w:top w:w="110" w:type="dxa"/>
            </w:tcMar>
          </w:tcPr>
          <w:p w:rsidR="00C258AD" w:rsidRPr="00C258AD" w:rsidRDefault="00C258AD" w:rsidP="00927E1F">
            <w:pPr>
              <w:keepNext/>
              <w:keepLines/>
              <w:jc w:val="center"/>
              <w:rPr>
                <w:b/>
                <w:bCs/>
                <w:color w:val="00B050"/>
                <w:sz w:val="16"/>
              </w:rPr>
            </w:pPr>
            <w:r w:rsidRPr="00C258AD">
              <w:rPr>
                <w:b/>
                <w:bCs/>
                <w:color w:val="00B050"/>
                <w:sz w:val="16"/>
              </w:rPr>
              <w:t>Objectif pleinement atteint</w:t>
            </w:r>
          </w:p>
          <w:p w:rsidR="00C258AD" w:rsidRPr="00C258AD" w:rsidRDefault="00C258AD" w:rsidP="00927E1F">
            <w:pPr>
              <w:keepNext/>
              <w:keepLines/>
              <w:jc w:val="center"/>
              <w:rPr>
                <w:b/>
                <w:bCs/>
                <w:color w:val="00B050"/>
                <w:sz w:val="16"/>
              </w:rPr>
            </w:pPr>
          </w:p>
          <w:p w:rsidR="00C258AD" w:rsidRPr="00C258AD" w:rsidRDefault="00C258AD" w:rsidP="00927E1F">
            <w:pPr>
              <w:keepNext/>
              <w:keepLines/>
              <w:jc w:val="center"/>
              <w:rPr>
                <w:b/>
                <w:bCs/>
                <w:color w:val="00B050"/>
                <w:sz w:val="16"/>
              </w:rPr>
            </w:pPr>
            <w:r w:rsidRPr="00C258AD">
              <w:rPr>
                <w:b/>
                <w:bCs/>
                <w:color w:val="00B050"/>
                <w:sz w:val="16"/>
              </w:rPr>
              <w:t>Objectif pleinement atteint</w:t>
            </w:r>
          </w:p>
          <w:p w:rsidR="00C258AD" w:rsidRPr="00C258AD" w:rsidRDefault="00C258AD" w:rsidP="00927E1F">
            <w:pPr>
              <w:keepNext/>
              <w:keepLines/>
              <w:jc w:val="center"/>
              <w:rPr>
                <w:b/>
                <w:bCs/>
                <w:color w:val="00B050"/>
                <w:sz w:val="16"/>
              </w:rPr>
            </w:pPr>
          </w:p>
          <w:p w:rsidR="00C258AD" w:rsidRPr="00C258AD" w:rsidRDefault="00C258AD" w:rsidP="00927E1F">
            <w:pPr>
              <w:keepNext/>
              <w:keepLines/>
              <w:jc w:val="center"/>
              <w:rPr>
                <w:b/>
                <w:bCs/>
                <w:color w:val="808080"/>
                <w:sz w:val="16"/>
                <w:szCs w:val="16"/>
              </w:rPr>
            </w:pPr>
            <w:r w:rsidRPr="00C258AD">
              <w:rPr>
                <w:b/>
                <w:bCs/>
                <w:color w:val="00B050"/>
                <w:sz w:val="16"/>
              </w:rPr>
              <w:t>Objectif pleinement atteint</w:t>
            </w:r>
          </w:p>
        </w:tc>
      </w:tr>
      <w:tr w:rsidR="00C258AD" w:rsidRPr="00C258AD" w:rsidTr="00927E1F">
        <w:trPr>
          <w:cantSplit/>
        </w:trPr>
        <w:tc>
          <w:tcPr>
            <w:tcW w:w="5000" w:type="pct"/>
            <w:gridSpan w:val="6"/>
            <w:tcBorders>
              <w:top w:val="single" w:sz="4" w:space="0" w:color="auto"/>
              <w:bottom w:val="single" w:sz="4" w:space="0" w:color="auto"/>
            </w:tcBorders>
            <w:shd w:val="clear" w:color="auto" w:fill="BFD9F1"/>
          </w:tcPr>
          <w:p w:rsidR="00C258AD" w:rsidRPr="00C258AD" w:rsidRDefault="00C258AD" w:rsidP="00927E1F">
            <w:pPr>
              <w:keepNext/>
              <w:rPr>
                <w:b/>
                <w:sz w:val="16"/>
                <w:szCs w:val="16"/>
              </w:rPr>
            </w:pPr>
            <w:r w:rsidRPr="00C258AD">
              <w:rPr>
                <w:b/>
                <w:sz w:val="16"/>
                <w:szCs w:val="16"/>
              </w:rPr>
              <w:lastRenderedPageBreak/>
              <w:t xml:space="preserve">Résultat escompté : </w:t>
            </w:r>
            <w:r w:rsidRPr="00C258AD">
              <w:rPr>
                <w:sz w:val="16"/>
                <w:szCs w:val="16"/>
              </w:rPr>
              <w:t>IV.2 Amélioration de l’accessibilité et de l’utilisation de l’information en matière de propriété intellectuelle par les institutions compétentes et le public afin de promouvoir l’innovation et la créativité</w:t>
            </w:r>
          </w:p>
        </w:tc>
      </w:tr>
      <w:tr w:rsidR="00C258AD" w:rsidRPr="00C258AD" w:rsidTr="00927E1F">
        <w:trPr>
          <w:cantSplit/>
        </w:trPr>
        <w:tc>
          <w:tcPr>
            <w:tcW w:w="1080" w:type="pct"/>
            <w:tcBorders>
              <w:top w:val="single" w:sz="4" w:space="0" w:color="auto"/>
            </w:tcBorders>
            <w:shd w:val="clear" w:color="auto" w:fill="auto"/>
            <w:vAlign w:val="center"/>
          </w:tcPr>
          <w:p w:rsidR="00C258AD" w:rsidRPr="00C258AD" w:rsidRDefault="00C258AD" w:rsidP="00927E1F">
            <w:pPr>
              <w:keepNext/>
              <w:jc w:val="center"/>
              <w:rPr>
                <w:sz w:val="16"/>
                <w:szCs w:val="16"/>
              </w:rPr>
            </w:pPr>
            <w:r w:rsidRPr="00C258AD">
              <w:rPr>
                <w:b/>
                <w:sz w:val="16"/>
                <w:szCs w:val="16"/>
              </w:rPr>
              <w:t>Indicateurs d’exécution</w:t>
            </w:r>
          </w:p>
        </w:tc>
        <w:tc>
          <w:tcPr>
            <w:tcW w:w="816" w:type="pct"/>
            <w:tcBorders>
              <w:top w:val="single" w:sz="4" w:space="0" w:color="auto"/>
            </w:tcBorders>
            <w:shd w:val="clear" w:color="auto" w:fill="auto"/>
            <w:vAlign w:val="center"/>
          </w:tcPr>
          <w:p w:rsidR="00C258AD" w:rsidRPr="00C258AD" w:rsidRDefault="00C258AD" w:rsidP="00927E1F">
            <w:pPr>
              <w:keepNext/>
              <w:jc w:val="center"/>
              <w:rPr>
                <w:i/>
                <w:sz w:val="16"/>
                <w:szCs w:val="16"/>
              </w:rPr>
            </w:pPr>
            <w:r w:rsidRPr="00C258AD">
              <w:rPr>
                <w:b/>
                <w:sz w:val="16"/>
                <w:szCs w:val="16"/>
              </w:rPr>
              <w:t>Niveaux de référence</w:t>
            </w:r>
          </w:p>
        </w:tc>
        <w:tc>
          <w:tcPr>
            <w:tcW w:w="966" w:type="pct"/>
            <w:gridSpan w:val="2"/>
            <w:tcBorders>
              <w:top w:val="single" w:sz="4" w:space="0" w:color="auto"/>
            </w:tcBorders>
            <w:shd w:val="clear" w:color="auto" w:fill="auto"/>
            <w:tcMar>
              <w:top w:w="110" w:type="dxa"/>
            </w:tcMar>
            <w:vAlign w:val="center"/>
          </w:tcPr>
          <w:p w:rsidR="00C258AD" w:rsidRPr="00C258AD" w:rsidRDefault="00C258AD" w:rsidP="00927E1F">
            <w:pPr>
              <w:keepNext/>
              <w:jc w:val="center"/>
              <w:rPr>
                <w:sz w:val="16"/>
                <w:szCs w:val="16"/>
              </w:rPr>
            </w:pPr>
            <w:r w:rsidRPr="00C258AD">
              <w:rPr>
                <w:b/>
                <w:sz w:val="16"/>
                <w:szCs w:val="16"/>
              </w:rPr>
              <w:t>Objectifs visés</w:t>
            </w:r>
          </w:p>
        </w:tc>
        <w:tc>
          <w:tcPr>
            <w:tcW w:w="1673" w:type="pct"/>
            <w:tcBorders>
              <w:top w:val="single" w:sz="4" w:space="0" w:color="auto"/>
            </w:tcBorders>
            <w:shd w:val="clear" w:color="auto" w:fill="FFFFFF"/>
            <w:tcMar>
              <w:top w:w="110" w:type="dxa"/>
            </w:tcMar>
            <w:vAlign w:val="center"/>
          </w:tcPr>
          <w:p w:rsidR="00C258AD" w:rsidRPr="00C258AD" w:rsidRDefault="00C258AD" w:rsidP="00927E1F">
            <w:pPr>
              <w:keepNext/>
              <w:jc w:val="center"/>
              <w:rPr>
                <w:sz w:val="16"/>
                <w:szCs w:val="16"/>
              </w:rPr>
            </w:pPr>
            <w:r w:rsidRPr="00C258AD">
              <w:rPr>
                <w:b/>
                <w:sz w:val="16"/>
                <w:szCs w:val="16"/>
              </w:rPr>
              <w:t>Données relatives à l’exécution</w:t>
            </w:r>
            <w:r w:rsidRPr="00C258AD">
              <w:rPr>
                <w:rStyle w:val="FootnoteReference"/>
                <w:rFonts w:eastAsia="SimSun"/>
                <w:b/>
                <w:bCs/>
              </w:rPr>
              <w:footnoteReference w:id="115"/>
            </w:r>
          </w:p>
        </w:tc>
        <w:tc>
          <w:tcPr>
            <w:tcW w:w="465" w:type="pct"/>
            <w:tcBorders>
              <w:top w:val="single" w:sz="4" w:space="0" w:color="auto"/>
            </w:tcBorders>
            <w:shd w:val="clear" w:color="auto" w:fill="auto"/>
            <w:tcMar>
              <w:top w:w="110" w:type="dxa"/>
            </w:tcMar>
            <w:vAlign w:val="center"/>
          </w:tcPr>
          <w:p w:rsidR="00C258AD" w:rsidRPr="00C258AD" w:rsidRDefault="00C258AD" w:rsidP="00927E1F">
            <w:pPr>
              <w:keepNext/>
              <w:keepLines/>
              <w:jc w:val="center"/>
              <w:rPr>
                <w:b/>
                <w:bCs/>
                <w:color w:val="808080"/>
                <w:sz w:val="16"/>
                <w:szCs w:val="16"/>
              </w:rPr>
            </w:pPr>
            <w:r w:rsidRPr="00C258AD">
              <w:rPr>
                <w:b/>
                <w:sz w:val="16"/>
                <w:szCs w:val="16"/>
              </w:rPr>
              <w:t>Code de couleurs</w:t>
            </w:r>
          </w:p>
        </w:tc>
      </w:tr>
      <w:tr w:rsidR="00C258AD" w:rsidRPr="00C258AD" w:rsidTr="00927E1F">
        <w:trPr>
          <w:cantSplit/>
        </w:trPr>
        <w:tc>
          <w:tcPr>
            <w:tcW w:w="1080" w:type="pct"/>
            <w:tcBorders>
              <w:bottom w:val="single" w:sz="4" w:space="0" w:color="auto"/>
            </w:tcBorders>
            <w:shd w:val="clear" w:color="auto" w:fill="auto"/>
          </w:tcPr>
          <w:p w:rsidR="00C258AD" w:rsidRPr="00C258AD" w:rsidRDefault="00C258AD" w:rsidP="00927E1F">
            <w:pPr>
              <w:rPr>
                <w:sz w:val="16"/>
                <w:szCs w:val="16"/>
              </w:rPr>
            </w:pPr>
            <w:r w:rsidRPr="00C258AD">
              <w:rPr>
                <w:sz w:val="16"/>
                <w:szCs w:val="16"/>
              </w:rPr>
              <w:t>Nombre d’utilisateurs des bases de données mondiales de l’OMPI : PATENTSCOPE et Base de données mondiale sur les marques</w:t>
            </w:r>
          </w:p>
        </w:tc>
        <w:tc>
          <w:tcPr>
            <w:tcW w:w="816" w:type="pct"/>
            <w:tcBorders>
              <w:bottom w:val="single" w:sz="4" w:space="0" w:color="auto"/>
            </w:tcBorders>
            <w:shd w:val="clear" w:color="auto" w:fill="auto"/>
          </w:tcPr>
          <w:p w:rsidR="00C258AD" w:rsidRPr="00C258AD" w:rsidRDefault="00C258AD" w:rsidP="00927E1F">
            <w:pPr>
              <w:rPr>
                <w:i/>
                <w:color w:val="002060"/>
                <w:sz w:val="16"/>
                <w:szCs w:val="16"/>
              </w:rPr>
            </w:pPr>
            <w:r w:rsidRPr="00C258AD">
              <w:rPr>
                <w:i/>
                <w:color w:val="002060"/>
                <w:sz w:val="16"/>
                <w:szCs w:val="16"/>
              </w:rPr>
              <w:t>Niveau de référence actualisé fin 2013</w:t>
            </w:r>
            <w:r w:rsidRPr="00C258AD">
              <w:rPr>
                <w:rStyle w:val="FootnoteReference"/>
                <w:rFonts w:eastAsia="SimSun"/>
                <w:i/>
                <w:color w:val="002060"/>
                <w:sz w:val="16"/>
              </w:rPr>
              <w:footnoteReference w:id="116"/>
            </w:r>
            <w:r w:rsidRPr="00C258AD">
              <w:rPr>
                <w:color w:val="002060"/>
                <w:sz w:val="16"/>
                <w:szCs w:val="16"/>
              </w:rPr>
              <w:t> :</w:t>
            </w:r>
          </w:p>
          <w:p w:rsidR="00C258AD" w:rsidRPr="00C258AD" w:rsidRDefault="00C258AD" w:rsidP="00927E1F">
            <w:pPr>
              <w:rPr>
                <w:sz w:val="16"/>
                <w:szCs w:val="16"/>
              </w:rPr>
            </w:pPr>
            <w:r w:rsidRPr="00C258AD">
              <w:rPr>
                <w:sz w:val="16"/>
                <w:szCs w:val="16"/>
              </w:rPr>
              <w:t>PATENTSCOPE (Q3 2013) :</w:t>
            </w:r>
          </w:p>
          <w:p w:rsidR="00C258AD" w:rsidRPr="00C258AD" w:rsidRDefault="00C258AD" w:rsidP="00C258AD">
            <w:pPr>
              <w:pStyle w:val="ListParagraph"/>
              <w:numPr>
                <w:ilvl w:val="0"/>
                <w:numId w:val="89"/>
              </w:numPr>
              <w:contextualSpacing/>
              <w:rPr>
                <w:rFonts w:eastAsia="SimSun"/>
                <w:sz w:val="16"/>
                <w:szCs w:val="16"/>
              </w:rPr>
            </w:pPr>
            <w:r w:rsidRPr="00C258AD">
              <w:rPr>
                <w:sz w:val="16"/>
                <w:szCs w:val="16"/>
              </w:rPr>
              <w:t>3839 (Bureau de l’OMPI au Brésil)</w:t>
            </w:r>
          </w:p>
          <w:p w:rsidR="00C258AD" w:rsidRPr="00C258AD" w:rsidRDefault="00C258AD" w:rsidP="00C258AD">
            <w:pPr>
              <w:pStyle w:val="ListParagraph"/>
              <w:numPr>
                <w:ilvl w:val="0"/>
                <w:numId w:val="89"/>
              </w:numPr>
              <w:contextualSpacing/>
              <w:rPr>
                <w:rFonts w:eastAsia="SimSun"/>
                <w:sz w:val="16"/>
                <w:szCs w:val="16"/>
              </w:rPr>
            </w:pPr>
            <w:r w:rsidRPr="00C258AD">
              <w:rPr>
                <w:sz w:val="16"/>
                <w:szCs w:val="16"/>
              </w:rPr>
              <w:t>14 906 (Bureau de l’OMPI au Japon)</w:t>
            </w:r>
          </w:p>
          <w:p w:rsidR="00C258AD" w:rsidRPr="00C258AD" w:rsidRDefault="00C258AD" w:rsidP="00C258AD">
            <w:pPr>
              <w:pStyle w:val="ListParagraph"/>
              <w:numPr>
                <w:ilvl w:val="0"/>
                <w:numId w:val="89"/>
              </w:numPr>
              <w:contextualSpacing/>
              <w:rPr>
                <w:rFonts w:eastAsia="SimSun"/>
                <w:sz w:val="16"/>
                <w:szCs w:val="16"/>
              </w:rPr>
            </w:pPr>
            <w:r w:rsidRPr="00C258AD">
              <w:rPr>
                <w:sz w:val="16"/>
                <w:szCs w:val="16"/>
              </w:rPr>
              <w:t>6772 (Bureau de l’OMPI à Singapour)</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(Q3 2012) :</w:t>
            </w:r>
          </w:p>
          <w:p w:rsidR="00C258AD" w:rsidRPr="00C258AD" w:rsidRDefault="00C258AD" w:rsidP="00C258AD">
            <w:pPr>
              <w:pStyle w:val="ListParagraph"/>
              <w:numPr>
                <w:ilvl w:val="0"/>
                <w:numId w:val="89"/>
              </w:numPr>
              <w:ind w:left="279" w:hanging="270"/>
              <w:contextualSpacing/>
              <w:rPr>
                <w:rFonts w:eastAsia="SimSun"/>
                <w:sz w:val="16"/>
                <w:szCs w:val="16"/>
                <w:lang w:eastAsia="zh-CN"/>
              </w:rPr>
            </w:pPr>
            <w:r w:rsidRPr="00C258AD">
              <w:rPr>
                <w:rFonts w:eastAsia="SimSun"/>
                <w:sz w:val="16"/>
                <w:szCs w:val="16"/>
                <w:lang w:eastAsia="zh-CN"/>
              </w:rPr>
              <w:t>3891 (Bureau de l’OMPI au Brésil)</w:t>
            </w:r>
          </w:p>
          <w:p w:rsidR="00C258AD" w:rsidRPr="00C258AD" w:rsidRDefault="00C258AD" w:rsidP="00C258AD">
            <w:pPr>
              <w:pStyle w:val="ListParagraph"/>
              <w:numPr>
                <w:ilvl w:val="0"/>
                <w:numId w:val="89"/>
              </w:numPr>
              <w:ind w:left="279" w:right="-39" w:hanging="270"/>
              <w:contextualSpacing/>
              <w:rPr>
                <w:rFonts w:eastAsia="SimSun"/>
                <w:sz w:val="16"/>
                <w:szCs w:val="16"/>
                <w:lang w:eastAsia="zh-CN"/>
              </w:rPr>
            </w:pPr>
            <w:r w:rsidRPr="00C258AD">
              <w:rPr>
                <w:rFonts w:eastAsia="SimSun"/>
                <w:sz w:val="16"/>
                <w:szCs w:val="16"/>
                <w:lang w:eastAsia="zh-CN"/>
              </w:rPr>
              <w:t>15 114 (Bureau de l’OMPI au Japon)</w:t>
            </w:r>
          </w:p>
          <w:p w:rsidR="00C258AD" w:rsidRPr="00C258AD" w:rsidRDefault="00C258AD" w:rsidP="00C258AD">
            <w:pPr>
              <w:pStyle w:val="ListParagraph"/>
              <w:numPr>
                <w:ilvl w:val="0"/>
                <w:numId w:val="89"/>
              </w:numPr>
              <w:ind w:left="279" w:hanging="270"/>
              <w:contextualSpacing/>
              <w:rPr>
                <w:rFonts w:eastAsia="SimSun"/>
                <w:sz w:val="16"/>
                <w:szCs w:val="16"/>
                <w:lang w:eastAsia="zh-CN"/>
              </w:rPr>
            </w:pPr>
            <w:r w:rsidRPr="00C258AD">
              <w:rPr>
                <w:rFonts w:eastAsia="SimSun"/>
                <w:sz w:val="16"/>
                <w:szCs w:val="16"/>
                <w:lang w:eastAsia="zh-CN"/>
              </w:rPr>
              <w:t>6595 (Bureau de l’OMPI à Singapour)</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Base de données mondiale sur les marques (Q 2013) :</w:t>
            </w:r>
          </w:p>
          <w:p w:rsidR="00C258AD" w:rsidRPr="00C258AD" w:rsidRDefault="00C258AD" w:rsidP="00C258AD">
            <w:pPr>
              <w:pStyle w:val="ListParagraph"/>
              <w:numPr>
                <w:ilvl w:val="0"/>
                <w:numId w:val="90"/>
              </w:numPr>
              <w:contextualSpacing/>
              <w:rPr>
                <w:rFonts w:eastAsia="SimSun"/>
                <w:sz w:val="16"/>
                <w:szCs w:val="16"/>
              </w:rPr>
            </w:pPr>
            <w:r w:rsidRPr="00C258AD">
              <w:rPr>
                <w:sz w:val="16"/>
                <w:szCs w:val="16"/>
              </w:rPr>
              <w:t>186 (Bureau de l’OMPI au Brésil)</w:t>
            </w:r>
          </w:p>
          <w:p w:rsidR="00C258AD" w:rsidRPr="00C258AD" w:rsidRDefault="00C258AD" w:rsidP="00C258AD">
            <w:pPr>
              <w:pStyle w:val="ListParagraph"/>
              <w:numPr>
                <w:ilvl w:val="0"/>
                <w:numId w:val="90"/>
              </w:numPr>
              <w:contextualSpacing/>
              <w:rPr>
                <w:rFonts w:eastAsia="SimSun"/>
                <w:sz w:val="16"/>
                <w:szCs w:val="16"/>
              </w:rPr>
            </w:pPr>
            <w:r w:rsidRPr="00C258AD">
              <w:rPr>
                <w:sz w:val="16"/>
                <w:szCs w:val="16"/>
              </w:rPr>
              <w:t>543 (Bureau de l’OMPI au Japon)</w:t>
            </w:r>
          </w:p>
          <w:p w:rsidR="00C258AD" w:rsidRPr="00C258AD" w:rsidRDefault="00C258AD" w:rsidP="00C258AD">
            <w:pPr>
              <w:pStyle w:val="ListParagraph"/>
              <w:numPr>
                <w:ilvl w:val="0"/>
                <w:numId w:val="90"/>
              </w:numPr>
              <w:contextualSpacing/>
              <w:rPr>
                <w:rFonts w:eastAsia="SimSun"/>
                <w:sz w:val="16"/>
                <w:szCs w:val="16"/>
              </w:rPr>
            </w:pPr>
            <w:r w:rsidRPr="00C258AD">
              <w:rPr>
                <w:sz w:val="16"/>
                <w:szCs w:val="16"/>
              </w:rPr>
              <w:t>1711 (Bureau de l’OMPI à Singapour)</w:t>
            </w:r>
          </w:p>
          <w:p w:rsidR="00C258AD" w:rsidRPr="00C258AD" w:rsidRDefault="00C258AD" w:rsidP="003B3CFF">
            <w:pPr>
              <w:pStyle w:val="ListParagraph"/>
              <w:numPr>
                <w:ilvl w:val="0"/>
                <w:numId w:val="0"/>
              </w:numPr>
              <w:ind w:left="360"/>
              <w:rPr>
                <w:rFonts w:eastAsia="SimSun"/>
                <w:sz w:val="16"/>
                <w:szCs w:val="16"/>
              </w:rPr>
            </w:pPr>
          </w:p>
          <w:p w:rsidR="00C258AD" w:rsidRPr="00C258AD" w:rsidRDefault="00C258AD" w:rsidP="00927E1F">
            <w:pPr>
              <w:rPr>
                <w:sz w:val="16"/>
                <w:szCs w:val="16"/>
              </w:rPr>
            </w:pPr>
            <w:r w:rsidRPr="00C258AD">
              <w:rPr>
                <w:sz w:val="16"/>
                <w:szCs w:val="16"/>
              </w:rPr>
              <w:t>(Q3 2012) :</w:t>
            </w:r>
          </w:p>
          <w:p w:rsidR="00C258AD" w:rsidRPr="00C258AD" w:rsidRDefault="00C258AD" w:rsidP="00C258AD">
            <w:pPr>
              <w:pStyle w:val="ListParagraph"/>
              <w:numPr>
                <w:ilvl w:val="0"/>
                <w:numId w:val="89"/>
              </w:numPr>
              <w:ind w:left="279" w:hanging="270"/>
              <w:contextualSpacing/>
              <w:rPr>
                <w:rFonts w:eastAsia="SimSun"/>
                <w:sz w:val="16"/>
                <w:szCs w:val="16"/>
                <w:lang w:eastAsia="zh-CN"/>
              </w:rPr>
            </w:pPr>
            <w:r w:rsidRPr="00C258AD">
              <w:rPr>
                <w:rFonts w:eastAsia="SimSun"/>
                <w:sz w:val="16"/>
                <w:szCs w:val="16"/>
                <w:lang w:eastAsia="zh-CN"/>
              </w:rPr>
              <w:t>75 (Bureau de l’OMPI au Brésil)</w:t>
            </w:r>
          </w:p>
          <w:p w:rsidR="00C258AD" w:rsidRPr="00C258AD" w:rsidRDefault="00C258AD" w:rsidP="00C258AD">
            <w:pPr>
              <w:pStyle w:val="ListParagraph"/>
              <w:numPr>
                <w:ilvl w:val="0"/>
                <w:numId w:val="89"/>
              </w:numPr>
              <w:ind w:left="279" w:right="-39" w:hanging="270"/>
              <w:contextualSpacing/>
              <w:rPr>
                <w:rFonts w:eastAsia="SimSun"/>
                <w:sz w:val="16"/>
                <w:szCs w:val="16"/>
                <w:lang w:eastAsia="zh-CN"/>
              </w:rPr>
            </w:pPr>
            <w:r w:rsidRPr="00C258AD">
              <w:rPr>
                <w:rFonts w:eastAsia="SimSun"/>
                <w:sz w:val="16"/>
                <w:szCs w:val="16"/>
                <w:lang w:eastAsia="zh-CN"/>
              </w:rPr>
              <w:t>275 (Bureau de l’OMPI au Japon)</w:t>
            </w:r>
          </w:p>
          <w:p w:rsidR="00C258AD" w:rsidRPr="00C258AD" w:rsidRDefault="00C258AD" w:rsidP="00C258AD">
            <w:pPr>
              <w:pStyle w:val="ListParagraph"/>
              <w:numPr>
                <w:ilvl w:val="0"/>
                <w:numId w:val="89"/>
              </w:numPr>
              <w:ind w:left="279" w:hanging="270"/>
              <w:contextualSpacing/>
              <w:rPr>
                <w:rFonts w:eastAsia="SimSun"/>
                <w:sz w:val="16"/>
                <w:szCs w:val="16"/>
                <w:lang w:eastAsia="zh-CN"/>
              </w:rPr>
            </w:pPr>
            <w:r w:rsidRPr="00C258AD">
              <w:rPr>
                <w:rFonts w:eastAsia="SimSun"/>
                <w:sz w:val="16"/>
                <w:szCs w:val="16"/>
                <w:lang w:eastAsia="zh-CN"/>
              </w:rPr>
              <w:t>415 (Bureau de l’OMPI à Singapour)</w:t>
            </w:r>
          </w:p>
          <w:p w:rsidR="00C258AD" w:rsidRPr="003B3CFF" w:rsidRDefault="00C258AD" w:rsidP="003B3CFF">
            <w:pPr>
              <w:ind w:left="720" w:hanging="360"/>
              <w:rPr>
                <w:rFonts w:eastAsia="SimSun"/>
                <w:sz w:val="16"/>
                <w:szCs w:val="16"/>
              </w:rPr>
            </w:pPr>
          </w:p>
          <w:p w:rsidR="00C258AD" w:rsidRPr="00C258AD" w:rsidRDefault="00C258AD" w:rsidP="00927E1F">
            <w:pPr>
              <w:rPr>
                <w:i/>
                <w:sz w:val="16"/>
                <w:szCs w:val="16"/>
              </w:rPr>
            </w:pPr>
            <w:r w:rsidRPr="00C258AD">
              <w:rPr>
                <w:i/>
                <w:sz w:val="16"/>
                <w:szCs w:val="16"/>
              </w:rPr>
              <w:t>Niveau de référence initial programme et budget 2014</w:t>
            </w:r>
            <w:r w:rsidRPr="00C258AD">
              <w:rPr>
                <w:i/>
                <w:sz w:val="16"/>
                <w:szCs w:val="16"/>
              </w:rPr>
              <w:noBreakHyphen/>
              <w:t>2015</w:t>
            </w:r>
            <w:r w:rsidRPr="00C258AD">
              <w:rPr>
                <w:sz w:val="16"/>
                <w:szCs w:val="16"/>
              </w:rPr>
              <w:t> :</w:t>
            </w:r>
          </w:p>
          <w:p w:rsidR="00C258AD" w:rsidRPr="00C258AD" w:rsidRDefault="00C258AD" w:rsidP="00927E1F">
            <w:pPr>
              <w:rPr>
                <w:i/>
                <w:sz w:val="16"/>
                <w:szCs w:val="16"/>
              </w:rPr>
            </w:pPr>
            <w:r w:rsidRPr="00C258AD">
              <w:rPr>
                <w:i/>
                <w:sz w:val="16"/>
                <w:szCs w:val="16"/>
              </w:rPr>
              <w:t>Statistiques fin 2013 (Bureau de l’OMPI au Brésil)</w:t>
            </w:r>
          </w:p>
          <w:p w:rsidR="00C258AD" w:rsidRPr="00C258AD" w:rsidRDefault="00C258AD" w:rsidP="00927E1F">
            <w:pPr>
              <w:rPr>
                <w:sz w:val="16"/>
                <w:szCs w:val="16"/>
              </w:rPr>
            </w:pPr>
            <w:r w:rsidRPr="00C258AD">
              <w:rPr>
                <w:sz w:val="16"/>
                <w:szCs w:val="16"/>
              </w:rPr>
              <w:t>Statistiques fin 2013 (Bureau de l’OMPI au Japon)</w:t>
            </w:r>
          </w:p>
          <w:p w:rsidR="00C258AD" w:rsidRPr="00C258AD" w:rsidRDefault="00C258AD" w:rsidP="00927E1F">
            <w:pPr>
              <w:rPr>
                <w:i/>
                <w:sz w:val="16"/>
                <w:szCs w:val="16"/>
              </w:rPr>
            </w:pPr>
            <w:r w:rsidRPr="00C258AD">
              <w:rPr>
                <w:i/>
                <w:sz w:val="16"/>
                <w:szCs w:val="16"/>
              </w:rPr>
              <w:t>à déterminer (Bureau de l’OMPI à Singapour)</w:t>
            </w:r>
          </w:p>
        </w:tc>
        <w:tc>
          <w:tcPr>
            <w:tcW w:w="966" w:type="pct"/>
            <w:gridSpan w:val="2"/>
            <w:tcBorders>
              <w:bottom w:val="single" w:sz="4" w:space="0" w:color="auto"/>
            </w:tcBorders>
            <w:shd w:val="clear" w:color="auto" w:fill="auto"/>
            <w:tcMar>
              <w:top w:w="110" w:type="dxa"/>
            </w:tcMar>
          </w:tcPr>
          <w:p w:rsidR="00C258AD" w:rsidRPr="00C258AD" w:rsidRDefault="00C258AD" w:rsidP="00927E1F">
            <w:pPr>
              <w:rPr>
                <w:sz w:val="16"/>
                <w:szCs w:val="16"/>
              </w:rPr>
            </w:pPr>
            <w:r w:rsidRPr="00C258AD">
              <w:rPr>
                <w:sz w:val="16"/>
                <w:szCs w:val="16"/>
              </w:rPr>
              <w:t>5% (Bureau de l’OMPI au Brésil)</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Augmentation de 5% (Bureau de l’OMPI au Japon)</w:t>
            </w:r>
            <w:r w:rsidRPr="00C258AD">
              <w:rPr>
                <w:rStyle w:val="FootnoteReference"/>
                <w:rFonts w:eastAsia="SimSun"/>
                <w:szCs w:val="16"/>
              </w:rPr>
              <w:footnoteReference w:id="117"/>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Augmentation de 5% chez les utilisateurs de l’ASEAN (Bureau de l’OMPI à Singapour)</w:t>
            </w:r>
          </w:p>
        </w:tc>
        <w:tc>
          <w:tcPr>
            <w:tcW w:w="1673" w:type="pct"/>
            <w:tcBorders>
              <w:bottom w:val="single" w:sz="4" w:space="0" w:color="auto"/>
            </w:tcBorders>
            <w:shd w:val="clear" w:color="auto" w:fill="FFFFFF"/>
            <w:tcMar>
              <w:top w:w="110" w:type="dxa"/>
            </w:tcMar>
          </w:tcPr>
          <w:p w:rsidR="00C258AD" w:rsidRPr="00C258AD" w:rsidRDefault="00C258AD" w:rsidP="00927E1F">
            <w:pPr>
              <w:rPr>
                <w:sz w:val="16"/>
                <w:szCs w:val="16"/>
              </w:rPr>
            </w:pPr>
            <w:r w:rsidRPr="00C258AD">
              <w:rPr>
                <w:sz w:val="16"/>
                <w:szCs w:val="16"/>
              </w:rPr>
              <w:t>PATENTSCOPE :</w:t>
            </w:r>
          </w:p>
          <w:p w:rsidR="00C258AD" w:rsidRPr="00C258AD" w:rsidRDefault="00C258AD" w:rsidP="00927E1F">
            <w:pPr>
              <w:rPr>
                <w:sz w:val="16"/>
                <w:szCs w:val="16"/>
              </w:rPr>
            </w:pPr>
            <w:r w:rsidRPr="00C258AD">
              <w:rPr>
                <w:sz w:val="16"/>
                <w:szCs w:val="16"/>
              </w:rPr>
              <w:t>2014</w:t>
            </w:r>
            <w:r w:rsidRPr="00C258AD">
              <w:rPr>
                <w:sz w:val="16"/>
                <w:szCs w:val="16"/>
              </w:rPr>
              <w:noBreakHyphen/>
              <w:t>2015 : 8533 (+10%)</w:t>
            </w:r>
          </w:p>
          <w:p w:rsidR="00C258AD" w:rsidRPr="00C258AD" w:rsidRDefault="00C258AD" w:rsidP="00C258AD">
            <w:pPr>
              <w:pStyle w:val="ListParagraph"/>
              <w:numPr>
                <w:ilvl w:val="0"/>
                <w:numId w:val="89"/>
              </w:numPr>
              <w:contextualSpacing/>
              <w:rPr>
                <w:rFonts w:eastAsia="SimSun"/>
                <w:sz w:val="16"/>
                <w:szCs w:val="16"/>
              </w:rPr>
            </w:pPr>
            <w:r w:rsidRPr="00C258AD">
              <w:rPr>
                <w:sz w:val="16"/>
                <w:szCs w:val="16"/>
              </w:rPr>
              <w:t>2014 : 4688 (+22%)</w:t>
            </w:r>
          </w:p>
          <w:p w:rsidR="00C258AD" w:rsidRPr="00C258AD" w:rsidRDefault="00C258AD" w:rsidP="00C258AD">
            <w:pPr>
              <w:pStyle w:val="ListParagraph"/>
              <w:numPr>
                <w:ilvl w:val="0"/>
                <w:numId w:val="89"/>
              </w:numPr>
              <w:contextualSpacing/>
              <w:rPr>
                <w:rFonts w:eastAsia="SimSun"/>
                <w:sz w:val="16"/>
                <w:szCs w:val="16"/>
              </w:rPr>
            </w:pPr>
            <w:r w:rsidRPr="00C258AD">
              <w:rPr>
                <w:sz w:val="16"/>
                <w:szCs w:val="16"/>
              </w:rPr>
              <w:t>2015 : 3845 (–18%)</w:t>
            </w:r>
          </w:p>
          <w:p w:rsidR="00C258AD" w:rsidRPr="00C258AD" w:rsidRDefault="00C258AD" w:rsidP="00927E1F">
            <w:pPr>
              <w:contextualSpacing/>
              <w:rPr>
                <w:sz w:val="16"/>
                <w:szCs w:val="16"/>
              </w:rPr>
            </w:pPr>
            <w:r w:rsidRPr="00C258AD">
              <w:rPr>
                <w:sz w:val="16"/>
                <w:szCs w:val="16"/>
              </w:rPr>
              <w:t>(Bureau de l’OMPI au Brésil)</w:t>
            </w:r>
          </w:p>
          <w:p w:rsidR="00C258AD" w:rsidRPr="00C258AD" w:rsidRDefault="00C258AD" w:rsidP="00927E1F">
            <w:pPr>
              <w:contextualSpacing/>
              <w:rPr>
                <w:sz w:val="16"/>
                <w:szCs w:val="16"/>
              </w:rPr>
            </w:pPr>
          </w:p>
          <w:p w:rsidR="00C258AD" w:rsidRPr="00C258AD" w:rsidRDefault="00C258AD" w:rsidP="00927E1F">
            <w:pPr>
              <w:contextualSpacing/>
              <w:rPr>
                <w:sz w:val="16"/>
                <w:szCs w:val="16"/>
              </w:rPr>
            </w:pPr>
            <w:r w:rsidRPr="00C258AD">
              <w:rPr>
                <w:sz w:val="16"/>
                <w:szCs w:val="16"/>
              </w:rPr>
              <w:t>2014</w:t>
            </w:r>
            <w:r w:rsidRPr="00C258AD">
              <w:rPr>
                <w:sz w:val="16"/>
                <w:szCs w:val="16"/>
              </w:rPr>
              <w:noBreakHyphen/>
              <w:t>2015 : 30 743 (+2%)</w:t>
            </w:r>
          </w:p>
          <w:p w:rsidR="00C258AD" w:rsidRPr="00C258AD" w:rsidRDefault="00C258AD" w:rsidP="00C258AD">
            <w:pPr>
              <w:pStyle w:val="ListParagraph"/>
              <w:numPr>
                <w:ilvl w:val="0"/>
                <w:numId w:val="89"/>
              </w:numPr>
              <w:contextualSpacing/>
              <w:rPr>
                <w:rFonts w:eastAsia="SimSun"/>
                <w:sz w:val="16"/>
                <w:szCs w:val="16"/>
              </w:rPr>
            </w:pPr>
            <w:r w:rsidRPr="00C258AD">
              <w:rPr>
                <w:sz w:val="16"/>
                <w:szCs w:val="16"/>
              </w:rPr>
              <w:t>2014 : 14 711 (</w:t>
            </w:r>
            <w:r w:rsidRPr="00C258AD">
              <w:rPr>
                <w:sz w:val="16"/>
                <w:szCs w:val="16"/>
              </w:rPr>
              <w:noBreakHyphen/>
              <w:t>1%)</w:t>
            </w:r>
          </w:p>
          <w:p w:rsidR="00C258AD" w:rsidRPr="00C258AD" w:rsidRDefault="00C258AD" w:rsidP="00C258AD">
            <w:pPr>
              <w:pStyle w:val="ListParagraph"/>
              <w:numPr>
                <w:ilvl w:val="0"/>
                <w:numId w:val="89"/>
              </w:numPr>
              <w:contextualSpacing/>
              <w:rPr>
                <w:rFonts w:eastAsia="SimSun"/>
                <w:sz w:val="16"/>
                <w:szCs w:val="16"/>
              </w:rPr>
            </w:pPr>
            <w:r w:rsidRPr="00C258AD">
              <w:rPr>
                <w:sz w:val="16"/>
                <w:szCs w:val="16"/>
              </w:rPr>
              <w:t>2015 : 16 032 (+2%)</w:t>
            </w:r>
            <w:r w:rsidRPr="00C258AD">
              <w:rPr>
                <w:rStyle w:val="FootnoteReference"/>
                <w:rFonts w:eastAsia="SimSun"/>
                <w:sz w:val="16"/>
                <w:szCs w:val="16"/>
              </w:rPr>
              <w:footnoteReference w:id="118"/>
            </w:r>
          </w:p>
          <w:p w:rsidR="00C258AD" w:rsidRPr="00C258AD" w:rsidRDefault="00C258AD" w:rsidP="00927E1F">
            <w:pPr>
              <w:contextualSpacing/>
              <w:rPr>
                <w:sz w:val="16"/>
                <w:szCs w:val="16"/>
              </w:rPr>
            </w:pPr>
            <w:r w:rsidRPr="00C258AD">
              <w:rPr>
                <w:sz w:val="16"/>
                <w:szCs w:val="16"/>
              </w:rPr>
              <w:t>(Bureau de l’OMPI au Japon)</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2014</w:t>
            </w:r>
            <w:r w:rsidRPr="00C258AD">
              <w:rPr>
                <w:sz w:val="16"/>
                <w:szCs w:val="16"/>
              </w:rPr>
              <w:noBreakHyphen/>
              <w:t>2015 : 15 525 (+16%)</w:t>
            </w:r>
          </w:p>
          <w:p w:rsidR="00C258AD" w:rsidRPr="00C258AD" w:rsidRDefault="00C258AD" w:rsidP="00C258AD">
            <w:pPr>
              <w:pStyle w:val="ListParagraph"/>
              <w:numPr>
                <w:ilvl w:val="0"/>
                <w:numId w:val="89"/>
              </w:numPr>
              <w:ind w:right="-92"/>
              <w:rPr>
                <w:rFonts w:eastAsia="SimSun"/>
                <w:sz w:val="16"/>
                <w:szCs w:val="16"/>
                <w:lang w:eastAsia="zh-CN"/>
              </w:rPr>
            </w:pPr>
            <w:r w:rsidRPr="00C258AD">
              <w:rPr>
                <w:rFonts w:eastAsia="SimSun"/>
                <w:sz w:val="16"/>
                <w:szCs w:val="16"/>
                <w:lang w:eastAsia="zh-CN"/>
              </w:rPr>
              <w:t>2014 : 8054 (+19%)</w:t>
            </w:r>
          </w:p>
          <w:p w:rsidR="00C258AD" w:rsidRPr="00C258AD" w:rsidRDefault="00C258AD" w:rsidP="00C258AD">
            <w:pPr>
              <w:pStyle w:val="ListParagraph"/>
              <w:numPr>
                <w:ilvl w:val="0"/>
                <w:numId w:val="89"/>
              </w:numPr>
              <w:ind w:right="-92"/>
              <w:rPr>
                <w:rFonts w:eastAsia="SimSun"/>
                <w:sz w:val="16"/>
                <w:szCs w:val="16"/>
                <w:lang w:eastAsia="zh-CN"/>
              </w:rPr>
            </w:pPr>
            <w:r w:rsidRPr="00C258AD">
              <w:rPr>
                <w:rFonts w:eastAsia="SimSun"/>
                <w:sz w:val="16"/>
                <w:szCs w:val="16"/>
                <w:lang w:eastAsia="zh-CN"/>
              </w:rPr>
              <w:t>2015 : 7471 (–7.2%)</w:t>
            </w:r>
          </w:p>
          <w:p w:rsidR="00C258AD" w:rsidRPr="00C258AD" w:rsidRDefault="00C258AD" w:rsidP="00927E1F">
            <w:pPr>
              <w:contextualSpacing/>
              <w:rPr>
                <w:sz w:val="16"/>
                <w:szCs w:val="16"/>
              </w:rPr>
            </w:pPr>
            <w:r w:rsidRPr="00C258AD">
              <w:rPr>
                <w:sz w:val="16"/>
                <w:szCs w:val="16"/>
              </w:rPr>
              <w:t>(Bureau de l’OMPI à Singapour)</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Base de données mondiale sur les marques :</w:t>
            </w:r>
          </w:p>
          <w:p w:rsidR="00C258AD" w:rsidRPr="00C258AD" w:rsidRDefault="00C258AD" w:rsidP="00927E1F">
            <w:pPr>
              <w:rPr>
                <w:sz w:val="16"/>
                <w:szCs w:val="16"/>
              </w:rPr>
            </w:pPr>
            <w:r w:rsidRPr="00C258AD">
              <w:rPr>
                <w:sz w:val="16"/>
                <w:szCs w:val="16"/>
              </w:rPr>
              <w:t>2014</w:t>
            </w:r>
            <w:r w:rsidRPr="00C258AD">
              <w:rPr>
                <w:sz w:val="16"/>
                <w:szCs w:val="16"/>
              </w:rPr>
              <w:noBreakHyphen/>
              <w:t>2015 : 8533 (+302%)</w:t>
            </w:r>
          </w:p>
          <w:p w:rsidR="00C258AD" w:rsidRPr="00C258AD" w:rsidRDefault="00C258AD" w:rsidP="00C258AD">
            <w:pPr>
              <w:pStyle w:val="ListParagraph"/>
              <w:numPr>
                <w:ilvl w:val="0"/>
                <w:numId w:val="89"/>
              </w:numPr>
              <w:rPr>
                <w:rFonts w:eastAsia="SimSun"/>
                <w:sz w:val="16"/>
                <w:szCs w:val="16"/>
                <w:lang w:eastAsia="zh-CN"/>
              </w:rPr>
            </w:pPr>
            <w:r w:rsidRPr="00C258AD">
              <w:rPr>
                <w:rFonts w:eastAsia="SimSun"/>
                <w:sz w:val="16"/>
                <w:szCs w:val="16"/>
                <w:lang w:eastAsia="zh-CN"/>
              </w:rPr>
              <w:t>2014 : 532 (+186%)</w:t>
            </w:r>
          </w:p>
          <w:p w:rsidR="00C258AD" w:rsidRPr="00C258AD" w:rsidRDefault="00C258AD" w:rsidP="00C258AD">
            <w:pPr>
              <w:pStyle w:val="ListParagraph"/>
              <w:numPr>
                <w:ilvl w:val="0"/>
                <w:numId w:val="89"/>
              </w:numPr>
              <w:rPr>
                <w:rFonts w:eastAsia="SimSun"/>
                <w:sz w:val="16"/>
                <w:szCs w:val="16"/>
                <w:lang w:eastAsia="zh-CN"/>
              </w:rPr>
            </w:pPr>
            <w:r w:rsidRPr="00C258AD">
              <w:rPr>
                <w:rFonts w:eastAsia="SimSun"/>
                <w:sz w:val="16"/>
                <w:szCs w:val="16"/>
                <w:lang w:eastAsia="zh-CN"/>
              </w:rPr>
              <w:t>2015 : 516 (+164%)</w:t>
            </w:r>
          </w:p>
          <w:p w:rsidR="00C258AD" w:rsidRPr="00C258AD" w:rsidRDefault="00C258AD" w:rsidP="00927E1F">
            <w:pPr>
              <w:contextualSpacing/>
              <w:rPr>
                <w:sz w:val="16"/>
                <w:szCs w:val="16"/>
              </w:rPr>
            </w:pPr>
            <w:r w:rsidRPr="00C258AD">
              <w:rPr>
                <w:sz w:val="16"/>
                <w:szCs w:val="16"/>
              </w:rPr>
              <w:t>(Bureau de l’OMPI au Brésil)</w:t>
            </w:r>
          </w:p>
          <w:p w:rsidR="00C258AD" w:rsidRPr="00C258AD" w:rsidRDefault="00C258AD" w:rsidP="00927E1F">
            <w:pPr>
              <w:contextualSpacing/>
              <w:rPr>
                <w:sz w:val="16"/>
                <w:szCs w:val="16"/>
              </w:rPr>
            </w:pPr>
          </w:p>
          <w:p w:rsidR="00C258AD" w:rsidRPr="00C258AD" w:rsidRDefault="00C258AD" w:rsidP="00927E1F">
            <w:pPr>
              <w:rPr>
                <w:sz w:val="16"/>
                <w:szCs w:val="16"/>
              </w:rPr>
            </w:pPr>
            <w:r w:rsidRPr="00C258AD">
              <w:rPr>
                <w:sz w:val="16"/>
                <w:szCs w:val="16"/>
              </w:rPr>
              <w:t>2014</w:t>
            </w:r>
            <w:r w:rsidRPr="00C258AD">
              <w:rPr>
                <w:sz w:val="16"/>
                <w:szCs w:val="16"/>
              </w:rPr>
              <w:noBreakHyphen/>
              <w:t>2015 : 30 743 (+789%)</w:t>
            </w:r>
          </w:p>
          <w:p w:rsidR="00C258AD" w:rsidRPr="00C258AD" w:rsidRDefault="00C258AD" w:rsidP="00C258AD">
            <w:pPr>
              <w:pStyle w:val="ListParagraph"/>
              <w:numPr>
                <w:ilvl w:val="0"/>
                <w:numId w:val="89"/>
              </w:numPr>
              <w:rPr>
                <w:rFonts w:eastAsia="SimSun"/>
                <w:sz w:val="16"/>
                <w:szCs w:val="16"/>
                <w:lang w:eastAsia="zh-CN"/>
              </w:rPr>
            </w:pPr>
            <w:r w:rsidRPr="00C258AD">
              <w:rPr>
                <w:rFonts w:eastAsia="SimSun"/>
                <w:sz w:val="16"/>
                <w:szCs w:val="16"/>
                <w:lang w:eastAsia="zh-CN"/>
              </w:rPr>
              <w:t>2014 : 3096</w:t>
            </w:r>
            <w:r w:rsidRPr="00C258AD">
              <w:rPr>
                <w:rStyle w:val="FootnoteReference"/>
                <w:rFonts w:eastAsia="SimSun"/>
                <w:sz w:val="16"/>
                <w:szCs w:val="16"/>
              </w:rPr>
              <w:t xml:space="preserve"> </w:t>
            </w:r>
            <w:r w:rsidRPr="00C258AD">
              <w:rPr>
                <w:rFonts w:eastAsia="SimSun"/>
                <w:sz w:val="16"/>
                <w:szCs w:val="16"/>
                <w:lang w:eastAsia="zh-CN"/>
              </w:rPr>
              <w:t>(+470%)</w:t>
            </w:r>
          </w:p>
          <w:p w:rsidR="00C258AD" w:rsidRPr="00C258AD" w:rsidRDefault="00C258AD" w:rsidP="00C258AD">
            <w:pPr>
              <w:pStyle w:val="ListParagraph"/>
              <w:numPr>
                <w:ilvl w:val="0"/>
                <w:numId w:val="89"/>
              </w:numPr>
              <w:ind w:right="-92"/>
              <w:rPr>
                <w:rFonts w:eastAsia="SimSun"/>
                <w:sz w:val="16"/>
                <w:szCs w:val="16"/>
                <w:lang w:eastAsia="zh-CN"/>
              </w:rPr>
            </w:pPr>
            <w:r w:rsidRPr="00C258AD">
              <w:rPr>
                <w:rFonts w:eastAsia="SimSun"/>
                <w:sz w:val="16"/>
                <w:szCs w:val="16"/>
                <w:lang w:eastAsia="zh-CN"/>
              </w:rPr>
              <w:t>2015 : 4173 (+632%)</w:t>
            </w:r>
          </w:p>
          <w:p w:rsidR="00C258AD" w:rsidRPr="00C258AD" w:rsidRDefault="00C258AD" w:rsidP="00927E1F">
            <w:pPr>
              <w:contextualSpacing/>
              <w:rPr>
                <w:sz w:val="16"/>
                <w:szCs w:val="16"/>
              </w:rPr>
            </w:pPr>
            <w:r w:rsidRPr="00C258AD">
              <w:rPr>
                <w:sz w:val="16"/>
                <w:szCs w:val="16"/>
              </w:rPr>
              <w:t>(Bureau de l’OMPI au Japon)</w:t>
            </w:r>
          </w:p>
          <w:p w:rsidR="00C258AD" w:rsidRPr="00C258AD" w:rsidRDefault="00C258AD" w:rsidP="00927E1F">
            <w:pPr>
              <w:contextualSpacing/>
              <w:rPr>
                <w:sz w:val="16"/>
                <w:szCs w:val="16"/>
              </w:rPr>
            </w:pPr>
          </w:p>
          <w:p w:rsidR="00C258AD" w:rsidRPr="00C258AD" w:rsidRDefault="00C258AD" w:rsidP="00927E1F">
            <w:pPr>
              <w:rPr>
                <w:sz w:val="16"/>
                <w:szCs w:val="16"/>
              </w:rPr>
            </w:pPr>
            <w:r w:rsidRPr="00C258AD">
              <w:rPr>
                <w:sz w:val="16"/>
                <w:szCs w:val="16"/>
              </w:rPr>
              <w:t>2014</w:t>
            </w:r>
            <w:r w:rsidRPr="00C258AD">
              <w:rPr>
                <w:sz w:val="16"/>
                <w:szCs w:val="16"/>
              </w:rPr>
              <w:noBreakHyphen/>
              <w:t>2015 : 15 525 (+1,153%)</w:t>
            </w:r>
          </w:p>
          <w:p w:rsidR="00C258AD" w:rsidRPr="00C258AD" w:rsidRDefault="00C258AD" w:rsidP="00C258AD">
            <w:pPr>
              <w:pStyle w:val="ListParagraph"/>
              <w:numPr>
                <w:ilvl w:val="0"/>
                <w:numId w:val="89"/>
              </w:numPr>
              <w:ind w:right="-92"/>
              <w:rPr>
                <w:rFonts w:eastAsia="SimSun"/>
                <w:sz w:val="16"/>
                <w:szCs w:val="16"/>
                <w:lang w:eastAsia="zh-CN"/>
              </w:rPr>
            </w:pPr>
            <w:r w:rsidRPr="00C258AD">
              <w:rPr>
                <w:rFonts w:eastAsia="SimSun"/>
                <w:sz w:val="16"/>
                <w:szCs w:val="16"/>
                <w:lang w:eastAsia="zh-CN"/>
              </w:rPr>
              <w:t>2014 : 8941 (+423%)</w:t>
            </w:r>
          </w:p>
          <w:p w:rsidR="00C258AD" w:rsidRPr="00C258AD" w:rsidRDefault="00C258AD" w:rsidP="00C258AD">
            <w:pPr>
              <w:pStyle w:val="ListParagraph"/>
              <w:numPr>
                <w:ilvl w:val="0"/>
                <w:numId w:val="89"/>
              </w:numPr>
              <w:contextualSpacing/>
              <w:rPr>
                <w:rFonts w:eastAsia="SimSun"/>
                <w:sz w:val="16"/>
                <w:szCs w:val="16"/>
              </w:rPr>
            </w:pPr>
            <w:r w:rsidRPr="00C258AD">
              <w:rPr>
                <w:rFonts w:eastAsia="SimSun"/>
                <w:sz w:val="16"/>
                <w:szCs w:val="16"/>
                <w:lang w:eastAsia="zh-CN"/>
              </w:rPr>
              <w:t>2015 : 17 696 (+885%)</w:t>
            </w:r>
          </w:p>
          <w:p w:rsidR="00C258AD" w:rsidRPr="00C258AD" w:rsidRDefault="00C258AD" w:rsidP="00927E1F">
            <w:pPr>
              <w:contextualSpacing/>
              <w:rPr>
                <w:sz w:val="16"/>
                <w:szCs w:val="16"/>
              </w:rPr>
            </w:pPr>
            <w:r w:rsidRPr="00C258AD">
              <w:rPr>
                <w:sz w:val="16"/>
                <w:szCs w:val="16"/>
              </w:rPr>
              <w:t>(Bureau de l’OMPI à Singapour)</w:t>
            </w:r>
          </w:p>
        </w:tc>
        <w:tc>
          <w:tcPr>
            <w:tcW w:w="465" w:type="pct"/>
            <w:tcBorders>
              <w:bottom w:val="single" w:sz="4" w:space="0" w:color="auto"/>
            </w:tcBorders>
            <w:shd w:val="clear" w:color="auto" w:fill="auto"/>
            <w:tcMar>
              <w:top w:w="110" w:type="dxa"/>
            </w:tcMar>
          </w:tcPr>
          <w:p w:rsidR="00C258AD" w:rsidRPr="00C258AD" w:rsidRDefault="00C258AD" w:rsidP="00927E1F">
            <w:pPr>
              <w:keepNext/>
              <w:keepLines/>
              <w:jc w:val="center"/>
              <w:rPr>
                <w:b/>
                <w:color w:val="00B050"/>
                <w:sz w:val="16"/>
                <w:szCs w:val="16"/>
              </w:rPr>
            </w:pPr>
            <w:r w:rsidRPr="00C258AD">
              <w:rPr>
                <w:b/>
                <w:bCs/>
                <w:color w:val="00B050"/>
                <w:sz w:val="16"/>
                <w:szCs w:val="16"/>
              </w:rPr>
              <w:t>Objectif pleinement atteint</w:t>
            </w: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r w:rsidRPr="00C258AD">
              <w:rPr>
                <w:b/>
                <w:bCs/>
                <w:color w:val="FF0000"/>
                <w:sz w:val="16"/>
                <w:szCs w:val="16"/>
              </w:rPr>
              <w:t>Objectif pas atteint</w:t>
            </w: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color w:val="00B050"/>
                <w:sz w:val="16"/>
                <w:szCs w:val="16"/>
              </w:rPr>
            </w:pPr>
            <w:r w:rsidRPr="00C258AD">
              <w:rPr>
                <w:b/>
                <w:bCs/>
                <w:color w:val="00B050"/>
                <w:sz w:val="16"/>
                <w:szCs w:val="16"/>
              </w:rPr>
              <w:t>Objectif pleinement atteint</w:t>
            </w:r>
          </w:p>
          <w:p w:rsidR="00C258AD" w:rsidRPr="00C258AD" w:rsidRDefault="00C258AD" w:rsidP="00927E1F">
            <w:pPr>
              <w:keepNext/>
              <w:keepLines/>
              <w:jc w:val="center"/>
              <w:rPr>
                <w:b/>
                <w:bCs/>
                <w:color w:val="00B050"/>
                <w:sz w:val="16"/>
                <w:szCs w:val="16"/>
              </w:rPr>
            </w:pPr>
          </w:p>
          <w:p w:rsidR="00C258AD" w:rsidRDefault="00C258AD" w:rsidP="00927E1F">
            <w:pPr>
              <w:keepNext/>
              <w:keepLines/>
              <w:jc w:val="center"/>
              <w:rPr>
                <w:b/>
                <w:bCs/>
                <w:color w:val="00B050"/>
                <w:sz w:val="16"/>
                <w:szCs w:val="16"/>
              </w:rPr>
            </w:pPr>
          </w:p>
          <w:p w:rsidR="00C258AD" w:rsidRPr="00C258AD" w:rsidRDefault="00C258AD" w:rsidP="00927E1F">
            <w:pPr>
              <w:keepNext/>
              <w:keepLines/>
              <w:jc w:val="center"/>
              <w:rPr>
                <w:b/>
                <w:color w:val="00B050"/>
                <w:sz w:val="16"/>
                <w:szCs w:val="16"/>
              </w:rPr>
            </w:pPr>
            <w:r w:rsidRPr="00C258AD">
              <w:rPr>
                <w:b/>
                <w:bCs/>
                <w:color w:val="00B050"/>
                <w:sz w:val="16"/>
                <w:szCs w:val="16"/>
              </w:rPr>
              <w:t>Objectif pleinement atteint</w:t>
            </w: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color w:val="00B050"/>
                <w:sz w:val="16"/>
                <w:szCs w:val="16"/>
              </w:rPr>
            </w:pPr>
            <w:r w:rsidRPr="00C258AD">
              <w:rPr>
                <w:b/>
                <w:bCs/>
                <w:color w:val="00B050"/>
                <w:sz w:val="16"/>
              </w:rPr>
              <w:t>Objectif pleinement atteint</w:t>
            </w: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color w:val="00B050"/>
                <w:sz w:val="16"/>
                <w:szCs w:val="16"/>
              </w:rPr>
            </w:pPr>
            <w:r w:rsidRPr="00C258AD">
              <w:rPr>
                <w:b/>
                <w:bCs/>
                <w:color w:val="00B050"/>
                <w:sz w:val="16"/>
              </w:rPr>
              <w:t>Objectif pleinement atteint</w:t>
            </w:r>
          </w:p>
          <w:p w:rsidR="00C258AD" w:rsidRPr="00C258AD" w:rsidRDefault="00C258AD" w:rsidP="00927E1F">
            <w:pPr>
              <w:keepNext/>
              <w:keepLines/>
              <w:jc w:val="center"/>
              <w:rPr>
                <w:b/>
                <w:bCs/>
                <w:color w:val="00B050"/>
                <w:sz w:val="16"/>
                <w:szCs w:val="16"/>
              </w:rPr>
            </w:pPr>
          </w:p>
        </w:tc>
      </w:tr>
      <w:tr w:rsidR="00C258AD" w:rsidRPr="00C258AD" w:rsidTr="00927E1F">
        <w:trPr>
          <w:cantSplit/>
        </w:trPr>
        <w:tc>
          <w:tcPr>
            <w:tcW w:w="5000" w:type="pct"/>
            <w:gridSpan w:val="6"/>
            <w:tcBorders>
              <w:top w:val="single" w:sz="4" w:space="0" w:color="auto"/>
              <w:bottom w:val="single" w:sz="4" w:space="0" w:color="auto"/>
            </w:tcBorders>
            <w:shd w:val="clear" w:color="auto" w:fill="BFD9F1"/>
          </w:tcPr>
          <w:p w:rsidR="00C258AD" w:rsidRPr="00C258AD" w:rsidRDefault="00C258AD" w:rsidP="00927E1F">
            <w:pPr>
              <w:keepNext/>
              <w:rPr>
                <w:bCs/>
                <w:sz w:val="16"/>
                <w:szCs w:val="16"/>
              </w:rPr>
            </w:pPr>
            <w:r w:rsidRPr="00C258AD">
              <w:rPr>
                <w:b/>
                <w:sz w:val="16"/>
                <w:szCs w:val="16"/>
              </w:rPr>
              <w:lastRenderedPageBreak/>
              <w:t xml:space="preserve">Résultat escompté : </w:t>
            </w:r>
            <w:r w:rsidRPr="00C258AD">
              <w:rPr>
                <w:sz w:val="16"/>
                <w:szCs w:val="16"/>
              </w:rPr>
              <w:t>VII.2 Des plateformes et instruments fondés sur la propriété intellectuelle sont utilisés pour le transfert de connaissances et l’adaptation et la diffusion de la technologie entre les pays développés et les pays en développement, notamment les PMA, pour relever des défis mondiaux</w:t>
            </w:r>
          </w:p>
        </w:tc>
      </w:tr>
      <w:tr w:rsidR="00C258AD" w:rsidRPr="00C258AD" w:rsidTr="00927E1F">
        <w:trPr>
          <w:cantSplit/>
        </w:trPr>
        <w:tc>
          <w:tcPr>
            <w:tcW w:w="1080" w:type="pct"/>
            <w:tcBorders>
              <w:top w:val="single" w:sz="4" w:space="0" w:color="auto"/>
            </w:tcBorders>
            <w:shd w:val="clear" w:color="auto" w:fill="auto"/>
            <w:vAlign w:val="center"/>
          </w:tcPr>
          <w:p w:rsidR="00C258AD" w:rsidRPr="00C258AD" w:rsidRDefault="00C258AD" w:rsidP="00927E1F">
            <w:pPr>
              <w:keepNext/>
              <w:jc w:val="center"/>
              <w:rPr>
                <w:sz w:val="16"/>
                <w:szCs w:val="16"/>
              </w:rPr>
            </w:pPr>
            <w:r w:rsidRPr="00C258AD">
              <w:rPr>
                <w:b/>
                <w:sz w:val="16"/>
                <w:szCs w:val="16"/>
              </w:rPr>
              <w:t>Indicateurs d’exécution</w:t>
            </w:r>
          </w:p>
        </w:tc>
        <w:tc>
          <w:tcPr>
            <w:tcW w:w="816" w:type="pct"/>
            <w:tcBorders>
              <w:top w:val="single" w:sz="4" w:space="0" w:color="auto"/>
            </w:tcBorders>
            <w:shd w:val="clear" w:color="auto" w:fill="auto"/>
            <w:vAlign w:val="center"/>
          </w:tcPr>
          <w:p w:rsidR="00C258AD" w:rsidRPr="00C258AD" w:rsidRDefault="00C258AD" w:rsidP="00927E1F">
            <w:pPr>
              <w:keepNext/>
              <w:jc w:val="center"/>
              <w:rPr>
                <w:i/>
                <w:sz w:val="16"/>
                <w:szCs w:val="16"/>
              </w:rPr>
            </w:pPr>
            <w:r w:rsidRPr="00C258AD">
              <w:rPr>
                <w:b/>
                <w:sz w:val="16"/>
                <w:szCs w:val="16"/>
              </w:rPr>
              <w:t>Niveaux de référence</w:t>
            </w:r>
          </w:p>
        </w:tc>
        <w:tc>
          <w:tcPr>
            <w:tcW w:w="966" w:type="pct"/>
            <w:gridSpan w:val="2"/>
            <w:tcBorders>
              <w:top w:val="single" w:sz="4" w:space="0" w:color="auto"/>
            </w:tcBorders>
            <w:shd w:val="clear" w:color="auto" w:fill="auto"/>
            <w:tcMar>
              <w:top w:w="110" w:type="dxa"/>
            </w:tcMar>
            <w:vAlign w:val="center"/>
          </w:tcPr>
          <w:p w:rsidR="00C258AD" w:rsidRPr="00C258AD" w:rsidRDefault="00C258AD" w:rsidP="00927E1F">
            <w:pPr>
              <w:keepNext/>
              <w:jc w:val="center"/>
              <w:rPr>
                <w:sz w:val="16"/>
                <w:szCs w:val="16"/>
              </w:rPr>
            </w:pPr>
            <w:r w:rsidRPr="00C258AD">
              <w:rPr>
                <w:b/>
                <w:sz w:val="16"/>
                <w:szCs w:val="16"/>
              </w:rPr>
              <w:t>Objectifs visés</w:t>
            </w:r>
          </w:p>
        </w:tc>
        <w:tc>
          <w:tcPr>
            <w:tcW w:w="1673" w:type="pct"/>
            <w:tcBorders>
              <w:top w:val="single" w:sz="4" w:space="0" w:color="auto"/>
            </w:tcBorders>
            <w:shd w:val="clear" w:color="auto" w:fill="FFFFFF"/>
            <w:tcMar>
              <w:top w:w="110" w:type="dxa"/>
            </w:tcMar>
            <w:vAlign w:val="center"/>
          </w:tcPr>
          <w:p w:rsidR="00C258AD" w:rsidRPr="00C258AD" w:rsidRDefault="00C258AD" w:rsidP="00927E1F">
            <w:pPr>
              <w:keepNext/>
              <w:jc w:val="center"/>
              <w:rPr>
                <w:sz w:val="16"/>
                <w:szCs w:val="16"/>
              </w:rPr>
            </w:pPr>
            <w:r w:rsidRPr="00C258AD">
              <w:rPr>
                <w:b/>
                <w:sz w:val="16"/>
                <w:szCs w:val="16"/>
              </w:rPr>
              <w:t>Données relatives à l’exécution</w:t>
            </w:r>
          </w:p>
        </w:tc>
        <w:tc>
          <w:tcPr>
            <w:tcW w:w="465" w:type="pct"/>
            <w:tcBorders>
              <w:top w:val="single" w:sz="4" w:space="0" w:color="auto"/>
            </w:tcBorders>
            <w:shd w:val="clear" w:color="auto" w:fill="auto"/>
            <w:tcMar>
              <w:top w:w="110" w:type="dxa"/>
            </w:tcMar>
            <w:vAlign w:val="center"/>
          </w:tcPr>
          <w:p w:rsidR="00C258AD" w:rsidRPr="00C258AD" w:rsidRDefault="00C258AD" w:rsidP="00927E1F">
            <w:pPr>
              <w:keepNext/>
              <w:keepLines/>
              <w:jc w:val="center"/>
              <w:rPr>
                <w:bCs/>
                <w:color w:val="808080"/>
                <w:sz w:val="16"/>
                <w:szCs w:val="16"/>
              </w:rPr>
            </w:pPr>
            <w:r w:rsidRPr="00C258AD">
              <w:rPr>
                <w:b/>
                <w:sz w:val="16"/>
                <w:szCs w:val="16"/>
              </w:rPr>
              <w:t>Code de couleurs</w:t>
            </w:r>
          </w:p>
        </w:tc>
      </w:tr>
      <w:tr w:rsidR="00C258AD" w:rsidRPr="00C258AD" w:rsidTr="00927E1F">
        <w:trPr>
          <w:cantSplit/>
        </w:trPr>
        <w:tc>
          <w:tcPr>
            <w:tcW w:w="1080" w:type="pct"/>
            <w:tcBorders>
              <w:bottom w:val="single" w:sz="4" w:space="0" w:color="auto"/>
            </w:tcBorders>
            <w:shd w:val="clear" w:color="auto" w:fill="auto"/>
          </w:tcPr>
          <w:p w:rsidR="00C258AD" w:rsidRPr="00C258AD" w:rsidRDefault="00C258AD" w:rsidP="00927E1F">
            <w:pPr>
              <w:rPr>
                <w:sz w:val="16"/>
                <w:szCs w:val="16"/>
              </w:rPr>
            </w:pPr>
            <w:r w:rsidRPr="00C258AD">
              <w:rPr>
                <w:sz w:val="16"/>
                <w:szCs w:val="16"/>
              </w:rPr>
              <w:t xml:space="preserve">Participation de parties prenantes aux différentes plateformes de l’OMPI, à l’image de WIPO GREEN ou de WIPO </w:t>
            </w:r>
            <w:proofErr w:type="spellStart"/>
            <w:r w:rsidRPr="00C258AD">
              <w:rPr>
                <w:sz w:val="16"/>
                <w:szCs w:val="16"/>
              </w:rPr>
              <w:t>Re:Search</w:t>
            </w:r>
            <w:proofErr w:type="spellEnd"/>
          </w:p>
        </w:tc>
        <w:tc>
          <w:tcPr>
            <w:tcW w:w="816" w:type="pct"/>
            <w:tcBorders>
              <w:bottom w:val="single" w:sz="4" w:space="0" w:color="auto"/>
            </w:tcBorders>
            <w:shd w:val="clear" w:color="auto" w:fill="auto"/>
          </w:tcPr>
          <w:p w:rsidR="00C258AD" w:rsidRPr="00C258AD" w:rsidRDefault="00C258AD" w:rsidP="00927E1F">
            <w:pPr>
              <w:rPr>
                <w:i/>
                <w:color w:val="002060"/>
                <w:sz w:val="16"/>
                <w:szCs w:val="16"/>
              </w:rPr>
            </w:pPr>
            <w:r w:rsidRPr="00C258AD">
              <w:rPr>
                <w:i/>
                <w:color w:val="002060"/>
                <w:sz w:val="16"/>
                <w:szCs w:val="16"/>
              </w:rPr>
              <w:t>Niveau de référence actualisé fin 2013 </w:t>
            </w:r>
            <w:r w:rsidRPr="00C258AD">
              <w:rPr>
                <w:i/>
                <w:color w:val="002060"/>
                <w:sz w:val="16"/>
              </w:rPr>
              <w:t>:</w:t>
            </w:r>
          </w:p>
          <w:p w:rsidR="00C258AD" w:rsidRPr="00C258AD" w:rsidRDefault="00C258AD" w:rsidP="00927E1F">
            <w:pPr>
              <w:rPr>
                <w:color w:val="002060"/>
                <w:sz w:val="16"/>
                <w:szCs w:val="16"/>
              </w:rPr>
            </w:pPr>
            <w:r w:rsidRPr="00C258AD">
              <w:rPr>
                <w:color w:val="002060"/>
                <w:sz w:val="16"/>
                <w:szCs w:val="16"/>
              </w:rPr>
              <w:t>Données non disponibles (Bureau de l’OMPI au Brésil)</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1 (JIPA) (Bureau de l’OMPI au Japon)</w:t>
            </w:r>
          </w:p>
          <w:p w:rsidR="00C258AD" w:rsidRPr="00C258AD" w:rsidRDefault="00C258AD" w:rsidP="00927E1F">
            <w:pPr>
              <w:rPr>
                <w:color w:val="002060"/>
                <w:sz w:val="16"/>
                <w:szCs w:val="16"/>
              </w:rPr>
            </w:pPr>
          </w:p>
          <w:p w:rsidR="00C258AD" w:rsidRPr="00C258AD" w:rsidRDefault="00C258AD" w:rsidP="00927E1F">
            <w:pPr>
              <w:rPr>
                <w:color w:val="002060"/>
                <w:sz w:val="16"/>
                <w:szCs w:val="16"/>
              </w:rPr>
            </w:pPr>
            <w:r w:rsidRPr="00C258AD">
              <w:rPr>
                <w:color w:val="002060"/>
                <w:sz w:val="16"/>
                <w:szCs w:val="16"/>
              </w:rPr>
              <w:t xml:space="preserve">Aucune donnée de référence pour WIPO GREEN en raison du lancement de la plateforme en novembre 2013;  848 visiteurs sur WIPO </w:t>
            </w:r>
            <w:proofErr w:type="spellStart"/>
            <w:r w:rsidRPr="00C258AD">
              <w:rPr>
                <w:color w:val="002060"/>
                <w:sz w:val="16"/>
                <w:szCs w:val="16"/>
              </w:rPr>
              <w:t>Re:Search</w:t>
            </w:r>
            <w:proofErr w:type="spellEnd"/>
            <w:r w:rsidRPr="00C258AD">
              <w:rPr>
                <w:color w:val="002060"/>
                <w:sz w:val="16"/>
                <w:szCs w:val="16"/>
              </w:rPr>
              <w:t xml:space="preserve"> (Bureau de l’OMPI à Singapour)</w:t>
            </w:r>
          </w:p>
          <w:p w:rsidR="00C258AD" w:rsidRPr="00C258AD" w:rsidRDefault="00C258AD" w:rsidP="00927E1F">
            <w:pPr>
              <w:rPr>
                <w:i/>
                <w:color w:val="002060"/>
                <w:sz w:val="16"/>
                <w:szCs w:val="16"/>
              </w:rPr>
            </w:pPr>
          </w:p>
          <w:p w:rsidR="00C258AD" w:rsidRPr="00C258AD" w:rsidRDefault="00C258AD" w:rsidP="00927E1F">
            <w:pPr>
              <w:rPr>
                <w:i/>
                <w:sz w:val="16"/>
                <w:szCs w:val="16"/>
              </w:rPr>
            </w:pPr>
            <w:r w:rsidRPr="00C258AD">
              <w:rPr>
                <w:i/>
                <w:sz w:val="16"/>
                <w:szCs w:val="16"/>
              </w:rPr>
              <w:t>Niveau de référence initial programme et budget 2014</w:t>
            </w:r>
            <w:r w:rsidRPr="00C258AD">
              <w:rPr>
                <w:i/>
                <w:sz w:val="16"/>
                <w:szCs w:val="16"/>
              </w:rPr>
              <w:noBreakHyphen/>
              <w:t>2015</w:t>
            </w:r>
            <w:r w:rsidRPr="00C258AD">
              <w:rPr>
                <w:sz w:val="16"/>
                <w:szCs w:val="16"/>
              </w:rPr>
              <w:t> :</w:t>
            </w:r>
          </w:p>
          <w:p w:rsidR="00C258AD" w:rsidRPr="00C258AD" w:rsidRDefault="00C258AD" w:rsidP="00927E1F">
            <w:pPr>
              <w:rPr>
                <w:sz w:val="16"/>
                <w:szCs w:val="16"/>
              </w:rPr>
            </w:pPr>
            <w:r w:rsidRPr="00C258AD">
              <w:rPr>
                <w:sz w:val="16"/>
                <w:szCs w:val="16"/>
              </w:rPr>
              <w:t>Données non disponibles (Bureau de l’OMPI au Brésil)</w:t>
            </w:r>
          </w:p>
          <w:p w:rsidR="00C258AD" w:rsidRPr="00C258AD" w:rsidRDefault="00C258AD" w:rsidP="00927E1F">
            <w:pPr>
              <w:rPr>
                <w:sz w:val="16"/>
                <w:szCs w:val="16"/>
              </w:rPr>
            </w:pPr>
            <w:r w:rsidRPr="00C258AD">
              <w:rPr>
                <w:sz w:val="16"/>
                <w:szCs w:val="16"/>
              </w:rPr>
              <w:t>Données non disponibles (Bureau de l’OMPI au Japon)</w:t>
            </w:r>
          </w:p>
          <w:p w:rsidR="00C258AD" w:rsidRPr="00C258AD" w:rsidRDefault="00C258AD" w:rsidP="00927E1F">
            <w:pPr>
              <w:rPr>
                <w:sz w:val="16"/>
                <w:szCs w:val="16"/>
              </w:rPr>
            </w:pPr>
            <w:r w:rsidRPr="00C258AD">
              <w:rPr>
                <w:sz w:val="16"/>
                <w:szCs w:val="16"/>
              </w:rPr>
              <w:t>à déterminer (Bureau de l’OMPI à Singapour)</w:t>
            </w:r>
          </w:p>
        </w:tc>
        <w:tc>
          <w:tcPr>
            <w:tcW w:w="966" w:type="pct"/>
            <w:gridSpan w:val="2"/>
            <w:tcBorders>
              <w:bottom w:val="single" w:sz="4" w:space="0" w:color="auto"/>
            </w:tcBorders>
            <w:shd w:val="clear" w:color="auto" w:fill="auto"/>
            <w:tcMar>
              <w:top w:w="110" w:type="dxa"/>
            </w:tcMar>
          </w:tcPr>
          <w:p w:rsidR="00C258AD" w:rsidRPr="00C258AD" w:rsidRDefault="00C258AD" w:rsidP="00927E1F">
            <w:pPr>
              <w:rPr>
                <w:sz w:val="16"/>
                <w:szCs w:val="16"/>
              </w:rPr>
            </w:pPr>
            <w:r w:rsidRPr="00C258AD">
              <w:rPr>
                <w:sz w:val="16"/>
                <w:szCs w:val="16"/>
              </w:rPr>
              <w:t>30 technologies développées par des institutions et des entreprises brésiliennes dans WIPO GREEN (Bureau de l’OMPI au Brésil)</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 xml:space="preserve">Nouveaux cas ajoutés à WIPO GREEN ou nouvelle participation à WIPO </w:t>
            </w:r>
            <w:proofErr w:type="spellStart"/>
            <w:r w:rsidRPr="00C258AD">
              <w:rPr>
                <w:sz w:val="16"/>
                <w:szCs w:val="16"/>
              </w:rPr>
              <w:t>Re:Search</w:t>
            </w:r>
            <w:proofErr w:type="spellEnd"/>
            <w:r w:rsidRPr="00C258AD">
              <w:rPr>
                <w:sz w:val="16"/>
                <w:szCs w:val="16"/>
              </w:rPr>
              <w:t xml:space="preserve"> (Bureau de l’OMPI au Japon)</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Augmentation de 5% chez les utilisateurs de l’ASEAN (Bureau de l’OMPI à Singapour)</w:t>
            </w:r>
          </w:p>
        </w:tc>
        <w:tc>
          <w:tcPr>
            <w:tcW w:w="1673" w:type="pct"/>
            <w:tcBorders>
              <w:bottom w:val="single" w:sz="4" w:space="0" w:color="auto"/>
            </w:tcBorders>
            <w:shd w:val="clear" w:color="auto" w:fill="FFFFFF"/>
            <w:tcMar>
              <w:top w:w="110" w:type="dxa"/>
            </w:tcMar>
          </w:tcPr>
          <w:p w:rsidR="00C258AD" w:rsidRPr="00C258AD" w:rsidRDefault="00C258AD" w:rsidP="00927E1F">
            <w:pPr>
              <w:rPr>
                <w:sz w:val="16"/>
                <w:szCs w:val="16"/>
              </w:rPr>
            </w:pPr>
            <w:r w:rsidRPr="00C258AD">
              <w:rPr>
                <w:sz w:val="16"/>
                <w:szCs w:val="16"/>
              </w:rPr>
              <w:t>7 nouvelles technologies développées par des institutions et des entreprises brésiliennes ont été téléchargées sur WIPO GREEN en 2015 (Bureau de l’OMPI au Brésil)</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WIPO GREEN : 22 cas supplémentaires en 2014</w:t>
            </w:r>
            <w:r w:rsidRPr="00C258AD">
              <w:rPr>
                <w:sz w:val="16"/>
                <w:szCs w:val="16"/>
              </w:rPr>
              <w:noBreakHyphen/>
              <w:t>2015 (50 au total);  4 partenaires supplémentaires (</w:t>
            </w:r>
            <w:proofErr w:type="spellStart"/>
            <w:r w:rsidRPr="00C258AD">
              <w:rPr>
                <w:sz w:val="16"/>
                <w:szCs w:val="16"/>
              </w:rPr>
              <w:t>Waseda</w:t>
            </w:r>
            <w:proofErr w:type="spellEnd"/>
            <w:r w:rsidRPr="00C258AD">
              <w:rPr>
                <w:sz w:val="16"/>
                <w:szCs w:val="16"/>
              </w:rPr>
              <w:t xml:space="preserve"> Institute, Team E</w:t>
            </w:r>
            <w:r w:rsidRPr="00C258AD">
              <w:rPr>
                <w:sz w:val="16"/>
                <w:szCs w:val="16"/>
              </w:rPr>
              <w:noBreakHyphen/>
              <w:t>Kansai, APICI</w:t>
            </w:r>
            <w:r w:rsidRPr="00C258AD">
              <w:rPr>
                <w:sz w:val="16"/>
                <w:szCs w:val="16"/>
              </w:rPr>
              <w:noBreakHyphen/>
              <w:t xml:space="preserve">JIPII et </w:t>
            </w:r>
            <w:proofErr w:type="spellStart"/>
            <w:r w:rsidRPr="00C258AD">
              <w:rPr>
                <w:sz w:val="16"/>
                <w:szCs w:val="16"/>
              </w:rPr>
              <w:t>Teijin</w:t>
            </w:r>
            <w:proofErr w:type="spellEnd"/>
            <w:r w:rsidRPr="00C258AD">
              <w:rPr>
                <w:sz w:val="16"/>
                <w:szCs w:val="16"/>
              </w:rPr>
              <w:t>) en 2014</w:t>
            </w:r>
            <w:r w:rsidRPr="00C258AD">
              <w:rPr>
                <w:sz w:val="16"/>
                <w:szCs w:val="16"/>
              </w:rPr>
              <w:noBreakHyphen/>
              <w:t>2015 (Bureau de l’OMPI au Japon)</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 xml:space="preserve">WIPO </w:t>
            </w:r>
            <w:proofErr w:type="spellStart"/>
            <w:r w:rsidRPr="00C258AD">
              <w:rPr>
                <w:sz w:val="16"/>
                <w:szCs w:val="16"/>
              </w:rPr>
              <w:t>Re:Search</w:t>
            </w:r>
            <w:proofErr w:type="spellEnd"/>
            <w:r w:rsidRPr="00C258AD">
              <w:rPr>
                <w:sz w:val="16"/>
                <w:szCs w:val="16"/>
              </w:rPr>
              <w:t> : 4 entreprises ont téléchargé des technologies avec l’aide du Bureau de l’OMPI au Japon;  1 nouveau partenaire (la société Takeda Pharmaceutical) (Bureau de l’OMPI au Japon)</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WIPO GREEN : 21 utilisateurs en 2014</w:t>
            </w:r>
            <w:r w:rsidRPr="00C258AD">
              <w:rPr>
                <w:sz w:val="16"/>
                <w:szCs w:val="16"/>
              </w:rPr>
              <w:noBreakHyphen/>
              <w:t>2015 (Bureau de l’OMPI à Singapour)</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 xml:space="preserve">WIPO </w:t>
            </w:r>
            <w:proofErr w:type="spellStart"/>
            <w:r w:rsidRPr="00C258AD">
              <w:rPr>
                <w:sz w:val="16"/>
                <w:szCs w:val="16"/>
              </w:rPr>
              <w:t>Re:Search</w:t>
            </w:r>
            <w:proofErr w:type="spellEnd"/>
            <w:r w:rsidRPr="00C258AD">
              <w:rPr>
                <w:sz w:val="16"/>
                <w:szCs w:val="16"/>
              </w:rPr>
              <w:t> :</w:t>
            </w:r>
          </w:p>
          <w:p w:rsidR="00C258AD" w:rsidRPr="00C258AD" w:rsidRDefault="00C258AD" w:rsidP="00DF2EEF">
            <w:pPr>
              <w:pStyle w:val="ListParagraph"/>
              <w:numPr>
                <w:ilvl w:val="0"/>
                <w:numId w:val="108"/>
              </w:numPr>
              <w:ind w:left="284" w:hanging="284"/>
              <w:rPr>
                <w:sz w:val="16"/>
                <w:szCs w:val="16"/>
              </w:rPr>
            </w:pPr>
            <w:r w:rsidRPr="00C258AD">
              <w:rPr>
                <w:sz w:val="16"/>
                <w:szCs w:val="16"/>
              </w:rPr>
              <w:t>959 visiteurs de l’ASEAN en 2014 (augmentation de 13%)</w:t>
            </w:r>
          </w:p>
          <w:p w:rsidR="00C258AD" w:rsidRPr="00C258AD" w:rsidRDefault="00C258AD" w:rsidP="00DF2EEF">
            <w:pPr>
              <w:pStyle w:val="ListParagraph"/>
              <w:numPr>
                <w:ilvl w:val="0"/>
                <w:numId w:val="108"/>
              </w:numPr>
              <w:ind w:left="284" w:hanging="284"/>
              <w:rPr>
                <w:sz w:val="16"/>
                <w:szCs w:val="16"/>
              </w:rPr>
            </w:pPr>
            <w:r w:rsidRPr="00C258AD">
              <w:rPr>
                <w:sz w:val="16"/>
                <w:szCs w:val="16"/>
              </w:rPr>
              <w:t>417 visiteurs de l’ASEAN en 2015 (diminution de 57%)</w:t>
            </w:r>
          </w:p>
          <w:p w:rsidR="00C258AD" w:rsidRPr="00C258AD" w:rsidRDefault="00C258AD" w:rsidP="00927E1F">
            <w:pPr>
              <w:rPr>
                <w:sz w:val="16"/>
                <w:szCs w:val="16"/>
              </w:rPr>
            </w:pPr>
            <w:r w:rsidRPr="00C258AD">
              <w:rPr>
                <w:sz w:val="16"/>
                <w:szCs w:val="16"/>
              </w:rPr>
              <w:t>En outre, 1 nouveau partenaire des Philippines (</w:t>
            </w:r>
            <w:proofErr w:type="spellStart"/>
            <w:r w:rsidRPr="00C258AD">
              <w:rPr>
                <w:sz w:val="16"/>
                <w:szCs w:val="16"/>
              </w:rPr>
              <w:t>Research</w:t>
            </w:r>
            <w:proofErr w:type="spellEnd"/>
            <w:r w:rsidRPr="00C258AD">
              <w:rPr>
                <w:sz w:val="16"/>
                <w:szCs w:val="16"/>
              </w:rPr>
              <w:t xml:space="preserve"> Institute of Tropical </w:t>
            </w:r>
            <w:proofErr w:type="spellStart"/>
            <w:r w:rsidRPr="00C258AD">
              <w:rPr>
                <w:sz w:val="16"/>
                <w:szCs w:val="16"/>
              </w:rPr>
              <w:t>Medicine</w:t>
            </w:r>
            <w:proofErr w:type="spellEnd"/>
            <w:r w:rsidRPr="00C258AD">
              <w:rPr>
                <w:sz w:val="16"/>
                <w:szCs w:val="16"/>
              </w:rPr>
              <w:t>)</w:t>
            </w:r>
          </w:p>
          <w:p w:rsidR="00C258AD" w:rsidRPr="00C258AD" w:rsidRDefault="00C258AD" w:rsidP="00927E1F">
            <w:pPr>
              <w:rPr>
                <w:sz w:val="16"/>
                <w:szCs w:val="16"/>
              </w:rPr>
            </w:pPr>
            <w:r w:rsidRPr="00C258AD">
              <w:rPr>
                <w:sz w:val="16"/>
                <w:szCs w:val="16"/>
              </w:rPr>
              <w:t>(Bureau de l’OMPI à Singapour)</w:t>
            </w:r>
          </w:p>
        </w:tc>
        <w:tc>
          <w:tcPr>
            <w:tcW w:w="465" w:type="pct"/>
            <w:tcBorders>
              <w:bottom w:val="single" w:sz="4" w:space="0" w:color="auto"/>
            </w:tcBorders>
            <w:shd w:val="clear" w:color="auto" w:fill="auto"/>
            <w:tcMar>
              <w:top w:w="110" w:type="dxa"/>
            </w:tcMar>
          </w:tcPr>
          <w:p w:rsidR="00C258AD" w:rsidRPr="00C258AD" w:rsidRDefault="00C258AD" w:rsidP="00927E1F">
            <w:pPr>
              <w:keepNext/>
              <w:keepLines/>
              <w:jc w:val="center"/>
              <w:rPr>
                <w:b/>
                <w:bCs/>
                <w:color w:val="00B050"/>
                <w:sz w:val="16"/>
                <w:szCs w:val="16"/>
              </w:rPr>
            </w:pPr>
            <w:r w:rsidRPr="00C258AD">
              <w:rPr>
                <w:b/>
                <w:bCs/>
                <w:color w:val="FF0000"/>
                <w:sz w:val="16"/>
              </w:rPr>
              <w:t>Objectif pas atteint</w:t>
            </w: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r w:rsidRPr="00C258AD">
              <w:rPr>
                <w:b/>
                <w:bCs/>
                <w:color w:val="00B050"/>
                <w:sz w:val="16"/>
              </w:rPr>
              <w:t>Objectif pleinement atteint</w:t>
            </w: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r w:rsidRPr="00C258AD">
              <w:rPr>
                <w:b/>
                <w:bCs/>
                <w:color w:val="00B050"/>
                <w:sz w:val="16"/>
              </w:rPr>
              <w:t>Objectif pleinement atteint</w:t>
            </w: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r w:rsidRPr="00C258AD">
              <w:rPr>
                <w:b/>
                <w:bCs/>
                <w:color w:val="808080"/>
                <w:sz w:val="16"/>
              </w:rPr>
              <w:t>Non évaluable</w:t>
            </w: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p>
          <w:p w:rsidR="00C258AD" w:rsidRPr="00C258AD" w:rsidRDefault="00C258AD" w:rsidP="00927E1F">
            <w:pPr>
              <w:keepNext/>
              <w:keepLines/>
              <w:jc w:val="center"/>
              <w:rPr>
                <w:b/>
                <w:bCs/>
                <w:color w:val="00B050"/>
                <w:sz w:val="16"/>
                <w:szCs w:val="16"/>
              </w:rPr>
            </w:pPr>
            <w:r w:rsidRPr="00C258AD">
              <w:rPr>
                <w:b/>
                <w:bCs/>
                <w:color w:val="FF0000"/>
                <w:sz w:val="16"/>
              </w:rPr>
              <w:t>Objectif pas atteint</w:t>
            </w:r>
          </w:p>
        </w:tc>
      </w:tr>
      <w:tr w:rsidR="00C258AD" w:rsidRPr="00C258AD" w:rsidTr="00927E1F">
        <w:trPr>
          <w:cantSplit/>
        </w:trPr>
        <w:tc>
          <w:tcPr>
            <w:tcW w:w="5000" w:type="pct"/>
            <w:gridSpan w:val="6"/>
            <w:tcBorders>
              <w:top w:val="single" w:sz="4" w:space="0" w:color="auto"/>
              <w:bottom w:val="single" w:sz="4" w:space="0" w:color="auto"/>
            </w:tcBorders>
            <w:shd w:val="clear" w:color="auto" w:fill="BFD9F1"/>
          </w:tcPr>
          <w:p w:rsidR="00C258AD" w:rsidRPr="00C258AD" w:rsidRDefault="00C258AD" w:rsidP="00927E1F">
            <w:pPr>
              <w:keepNext/>
              <w:keepLines/>
              <w:rPr>
                <w:sz w:val="16"/>
                <w:szCs w:val="16"/>
              </w:rPr>
            </w:pPr>
            <w:r w:rsidRPr="00C258AD">
              <w:rPr>
                <w:b/>
                <w:sz w:val="16"/>
                <w:szCs w:val="16"/>
              </w:rPr>
              <w:lastRenderedPageBreak/>
              <w:t xml:space="preserve">Résultat escompté : </w:t>
            </w:r>
            <w:r w:rsidRPr="00C258AD">
              <w:rPr>
                <w:sz w:val="16"/>
                <w:szCs w:val="16"/>
              </w:rPr>
              <w:t>VIII.1 Communication plus efficace avec le grand public concernant la propriété intellectuelle et le rôle de l’OMPI</w:t>
            </w:r>
          </w:p>
        </w:tc>
      </w:tr>
      <w:tr w:rsidR="00C258AD" w:rsidRPr="00C258AD" w:rsidTr="00927E1F">
        <w:trPr>
          <w:cantSplit/>
        </w:trPr>
        <w:tc>
          <w:tcPr>
            <w:tcW w:w="1080" w:type="pct"/>
            <w:tcBorders>
              <w:top w:val="single" w:sz="4" w:space="0" w:color="auto"/>
            </w:tcBorders>
            <w:shd w:val="clear" w:color="auto" w:fill="auto"/>
            <w:vAlign w:val="center"/>
          </w:tcPr>
          <w:p w:rsidR="00C258AD" w:rsidRPr="00C258AD" w:rsidRDefault="00C258AD" w:rsidP="00927E1F">
            <w:pPr>
              <w:keepNext/>
              <w:keepLines/>
              <w:jc w:val="center"/>
              <w:rPr>
                <w:sz w:val="16"/>
                <w:szCs w:val="16"/>
              </w:rPr>
            </w:pPr>
            <w:r w:rsidRPr="00C258AD">
              <w:rPr>
                <w:b/>
                <w:sz w:val="16"/>
                <w:szCs w:val="16"/>
              </w:rPr>
              <w:t>Indicateurs d’exécution</w:t>
            </w:r>
          </w:p>
        </w:tc>
        <w:tc>
          <w:tcPr>
            <w:tcW w:w="816" w:type="pct"/>
            <w:tcBorders>
              <w:top w:val="single" w:sz="4" w:space="0" w:color="auto"/>
            </w:tcBorders>
            <w:shd w:val="clear" w:color="auto" w:fill="auto"/>
            <w:vAlign w:val="center"/>
          </w:tcPr>
          <w:p w:rsidR="00C258AD" w:rsidRPr="00C258AD" w:rsidRDefault="00C258AD" w:rsidP="00927E1F">
            <w:pPr>
              <w:keepNext/>
              <w:keepLines/>
              <w:jc w:val="center"/>
              <w:rPr>
                <w:i/>
                <w:sz w:val="16"/>
                <w:szCs w:val="16"/>
              </w:rPr>
            </w:pPr>
            <w:r w:rsidRPr="00C258AD">
              <w:rPr>
                <w:b/>
                <w:sz w:val="16"/>
                <w:szCs w:val="16"/>
              </w:rPr>
              <w:t>Niveaux de référence</w:t>
            </w:r>
          </w:p>
        </w:tc>
        <w:tc>
          <w:tcPr>
            <w:tcW w:w="966" w:type="pct"/>
            <w:gridSpan w:val="2"/>
            <w:tcBorders>
              <w:top w:val="single" w:sz="4" w:space="0" w:color="auto"/>
            </w:tcBorders>
            <w:shd w:val="clear" w:color="auto" w:fill="auto"/>
            <w:tcMar>
              <w:top w:w="110" w:type="dxa"/>
            </w:tcMar>
            <w:vAlign w:val="center"/>
          </w:tcPr>
          <w:p w:rsidR="00C258AD" w:rsidRPr="00C258AD" w:rsidRDefault="00C258AD" w:rsidP="00927E1F">
            <w:pPr>
              <w:keepNext/>
              <w:keepLines/>
              <w:jc w:val="center"/>
              <w:rPr>
                <w:sz w:val="16"/>
                <w:szCs w:val="16"/>
              </w:rPr>
            </w:pPr>
            <w:r w:rsidRPr="00C258AD">
              <w:rPr>
                <w:b/>
                <w:sz w:val="16"/>
                <w:szCs w:val="16"/>
              </w:rPr>
              <w:t>Objectifs visés</w:t>
            </w:r>
          </w:p>
        </w:tc>
        <w:tc>
          <w:tcPr>
            <w:tcW w:w="1673" w:type="pct"/>
            <w:tcBorders>
              <w:top w:val="single" w:sz="4" w:space="0" w:color="auto"/>
            </w:tcBorders>
            <w:shd w:val="clear" w:color="auto" w:fill="FFFFFF"/>
            <w:tcMar>
              <w:top w:w="110" w:type="dxa"/>
            </w:tcMar>
            <w:vAlign w:val="center"/>
          </w:tcPr>
          <w:p w:rsidR="00C258AD" w:rsidRPr="00C258AD" w:rsidRDefault="00C258AD" w:rsidP="00927E1F">
            <w:pPr>
              <w:keepNext/>
              <w:keepLines/>
              <w:jc w:val="center"/>
              <w:rPr>
                <w:sz w:val="16"/>
                <w:szCs w:val="16"/>
              </w:rPr>
            </w:pPr>
            <w:r w:rsidRPr="00C258AD">
              <w:rPr>
                <w:b/>
                <w:sz w:val="16"/>
                <w:szCs w:val="16"/>
              </w:rPr>
              <w:t>Données relatives à l’exécution</w:t>
            </w:r>
          </w:p>
        </w:tc>
        <w:tc>
          <w:tcPr>
            <w:tcW w:w="465" w:type="pct"/>
            <w:tcBorders>
              <w:top w:val="single" w:sz="4" w:space="0" w:color="auto"/>
            </w:tcBorders>
            <w:shd w:val="clear" w:color="auto" w:fill="auto"/>
            <w:tcMar>
              <w:top w:w="110" w:type="dxa"/>
            </w:tcMar>
            <w:vAlign w:val="center"/>
          </w:tcPr>
          <w:p w:rsidR="00C258AD" w:rsidRPr="00C258AD" w:rsidRDefault="00C258AD" w:rsidP="00927E1F">
            <w:pPr>
              <w:keepNext/>
              <w:keepLines/>
              <w:jc w:val="center"/>
              <w:rPr>
                <w:bCs/>
                <w:color w:val="808080"/>
                <w:sz w:val="16"/>
                <w:szCs w:val="16"/>
              </w:rPr>
            </w:pPr>
            <w:r w:rsidRPr="00C258AD">
              <w:rPr>
                <w:b/>
                <w:sz w:val="16"/>
                <w:szCs w:val="16"/>
              </w:rPr>
              <w:t>Code de couleurs</w:t>
            </w:r>
          </w:p>
        </w:tc>
      </w:tr>
      <w:tr w:rsidR="00C258AD" w:rsidRPr="00C258AD" w:rsidTr="00927E1F">
        <w:trPr>
          <w:cantSplit/>
        </w:trPr>
        <w:tc>
          <w:tcPr>
            <w:tcW w:w="1080" w:type="pct"/>
            <w:shd w:val="clear" w:color="auto" w:fill="auto"/>
          </w:tcPr>
          <w:p w:rsidR="00C258AD" w:rsidRPr="00C258AD" w:rsidRDefault="00C258AD" w:rsidP="00927E1F">
            <w:pPr>
              <w:keepNext/>
              <w:keepLines/>
              <w:rPr>
                <w:sz w:val="16"/>
                <w:szCs w:val="16"/>
              </w:rPr>
            </w:pPr>
            <w:r w:rsidRPr="00C258AD">
              <w:rPr>
                <w:sz w:val="16"/>
                <w:szCs w:val="16"/>
              </w:rPr>
              <w:t>Augmentation de la fréquentation du site Web des bureaux extérieurs de l’OMPI</w:t>
            </w:r>
          </w:p>
        </w:tc>
        <w:tc>
          <w:tcPr>
            <w:tcW w:w="816" w:type="pct"/>
            <w:shd w:val="clear" w:color="auto" w:fill="auto"/>
          </w:tcPr>
          <w:p w:rsidR="00C258AD" w:rsidRPr="00C258AD" w:rsidRDefault="00C258AD" w:rsidP="00927E1F">
            <w:pPr>
              <w:keepNext/>
              <w:keepLines/>
              <w:rPr>
                <w:i/>
                <w:color w:val="002060"/>
                <w:sz w:val="16"/>
                <w:szCs w:val="16"/>
              </w:rPr>
            </w:pPr>
            <w:r w:rsidRPr="00C258AD">
              <w:rPr>
                <w:i/>
                <w:color w:val="002060"/>
                <w:sz w:val="16"/>
                <w:szCs w:val="16"/>
              </w:rPr>
              <w:t>Niveau de référence actualisé fin</w:t>
            </w:r>
            <w:r w:rsidRPr="00C258AD">
              <w:rPr>
                <w:color w:val="002060"/>
                <w:sz w:val="16"/>
                <w:szCs w:val="16"/>
              </w:rPr>
              <w:t xml:space="preserve"> </w:t>
            </w:r>
            <w:r w:rsidRPr="00C258AD">
              <w:rPr>
                <w:i/>
                <w:color w:val="002060"/>
                <w:sz w:val="16"/>
                <w:szCs w:val="16"/>
              </w:rPr>
              <w:t>2013</w:t>
            </w:r>
            <w:r w:rsidRPr="00C258AD">
              <w:rPr>
                <w:color w:val="002060"/>
                <w:sz w:val="16"/>
                <w:szCs w:val="16"/>
              </w:rPr>
              <w:t> :</w:t>
            </w:r>
          </w:p>
          <w:p w:rsidR="00C258AD" w:rsidRPr="00C258AD" w:rsidRDefault="00C258AD" w:rsidP="00927E1F">
            <w:pPr>
              <w:keepNext/>
              <w:keepLines/>
              <w:rPr>
                <w:color w:val="002060"/>
                <w:sz w:val="16"/>
                <w:szCs w:val="16"/>
              </w:rPr>
            </w:pPr>
            <w:r w:rsidRPr="00C258AD">
              <w:rPr>
                <w:color w:val="002060"/>
                <w:sz w:val="16"/>
                <w:szCs w:val="16"/>
              </w:rPr>
              <w:t>Données non disponibles (Bureau de l’OMPI au Brésil)</w:t>
            </w:r>
          </w:p>
          <w:p w:rsidR="00C258AD" w:rsidRPr="00C258AD" w:rsidRDefault="00C258AD" w:rsidP="00927E1F">
            <w:pPr>
              <w:keepNext/>
              <w:keepLines/>
              <w:rPr>
                <w:color w:val="002060"/>
                <w:sz w:val="16"/>
                <w:szCs w:val="16"/>
              </w:rPr>
            </w:pPr>
          </w:p>
          <w:p w:rsidR="00C258AD" w:rsidRPr="00C258AD" w:rsidRDefault="00C258AD" w:rsidP="00927E1F">
            <w:pPr>
              <w:keepNext/>
              <w:keepLines/>
              <w:rPr>
                <w:color w:val="002060"/>
                <w:sz w:val="16"/>
                <w:szCs w:val="16"/>
              </w:rPr>
            </w:pPr>
            <w:r w:rsidRPr="00C258AD">
              <w:rPr>
                <w:color w:val="002060"/>
                <w:sz w:val="16"/>
                <w:szCs w:val="16"/>
              </w:rPr>
              <w:t>5900 (Bureau de l’OMPI au Japon)</w:t>
            </w:r>
          </w:p>
          <w:p w:rsidR="00C258AD" w:rsidRPr="00C258AD" w:rsidRDefault="00C258AD" w:rsidP="00927E1F">
            <w:pPr>
              <w:keepNext/>
              <w:keepLines/>
              <w:rPr>
                <w:color w:val="002060"/>
                <w:sz w:val="16"/>
                <w:szCs w:val="16"/>
              </w:rPr>
            </w:pPr>
          </w:p>
          <w:p w:rsidR="00C258AD" w:rsidRPr="00C258AD" w:rsidRDefault="00C258AD" w:rsidP="00927E1F">
            <w:pPr>
              <w:keepNext/>
              <w:keepLines/>
              <w:rPr>
                <w:color w:val="002060"/>
                <w:sz w:val="16"/>
                <w:szCs w:val="16"/>
              </w:rPr>
            </w:pPr>
            <w:r w:rsidRPr="00C258AD">
              <w:rPr>
                <w:color w:val="002060"/>
                <w:sz w:val="16"/>
                <w:szCs w:val="16"/>
              </w:rPr>
              <w:t>9717 pages consultées (</w:t>
            </w:r>
            <w:r w:rsidRPr="00C258AD">
              <w:rPr>
                <w:sz w:val="16"/>
                <w:szCs w:val="16"/>
              </w:rPr>
              <w:t>Bureau de l’OMPI à Singapour</w:t>
            </w:r>
            <w:r w:rsidRPr="00C258AD">
              <w:rPr>
                <w:color w:val="002060"/>
                <w:sz w:val="16"/>
                <w:szCs w:val="16"/>
              </w:rPr>
              <w:t>)</w:t>
            </w:r>
          </w:p>
          <w:p w:rsidR="00C258AD" w:rsidRPr="00C258AD" w:rsidRDefault="00C258AD" w:rsidP="00927E1F">
            <w:pPr>
              <w:keepNext/>
              <w:keepLines/>
              <w:rPr>
                <w:color w:val="002060"/>
                <w:sz w:val="16"/>
                <w:szCs w:val="16"/>
              </w:rPr>
            </w:pPr>
          </w:p>
          <w:p w:rsidR="00C258AD" w:rsidRPr="00C258AD" w:rsidRDefault="00C258AD" w:rsidP="00927E1F">
            <w:pPr>
              <w:keepNext/>
              <w:keepLines/>
              <w:rPr>
                <w:i/>
                <w:sz w:val="16"/>
                <w:szCs w:val="16"/>
              </w:rPr>
            </w:pPr>
            <w:r w:rsidRPr="00C258AD">
              <w:rPr>
                <w:i/>
                <w:sz w:val="16"/>
                <w:szCs w:val="16"/>
              </w:rPr>
              <w:t>Niveau de référence initial programme et budget 2014</w:t>
            </w:r>
            <w:r w:rsidRPr="00C258AD">
              <w:rPr>
                <w:i/>
                <w:sz w:val="16"/>
                <w:szCs w:val="16"/>
              </w:rPr>
              <w:noBreakHyphen/>
              <w:t>2015</w:t>
            </w:r>
            <w:r w:rsidRPr="00C258AD">
              <w:rPr>
                <w:sz w:val="16"/>
                <w:szCs w:val="16"/>
              </w:rPr>
              <w:t> :</w:t>
            </w:r>
          </w:p>
          <w:p w:rsidR="00C258AD" w:rsidRPr="00C258AD" w:rsidRDefault="00C258AD" w:rsidP="00927E1F">
            <w:pPr>
              <w:keepNext/>
              <w:keepLines/>
              <w:rPr>
                <w:sz w:val="16"/>
                <w:szCs w:val="16"/>
              </w:rPr>
            </w:pPr>
          </w:p>
          <w:p w:rsidR="00C258AD" w:rsidRPr="00C258AD" w:rsidRDefault="00C258AD" w:rsidP="00927E1F">
            <w:pPr>
              <w:keepNext/>
              <w:keepLines/>
              <w:rPr>
                <w:sz w:val="16"/>
                <w:szCs w:val="16"/>
              </w:rPr>
            </w:pPr>
            <w:r w:rsidRPr="00C258AD">
              <w:rPr>
                <w:sz w:val="16"/>
                <w:szCs w:val="16"/>
              </w:rPr>
              <w:t>à déterminer (Bureau de l’OMPI au Brésil)</w:t>
            </w:r>
          </w:p>
          <w:p w:rsidR="00C258AD" w:rsidRPr="00C258AD" w:rsidRDefault="00C258AD" w:rsidP="00927E1F">
            <w:pPr>
              <w:keepNext/>
              <w:keepLines/>
              <w:rPr>
                <w:sz w:val="16"/>
                <w:szCs w:val="16"/>
              </w:rPr>
            </w:pPr>
          </w:p>
          <w:p w:rsidR="00C258AD" w:rsidRPr="00C258AD" w:rsidRDefault="00C258AD" w:rsidP="00927E1F">
            <w:pPr>
              <w:keepNext/>
              <w:keepLines/>
              <w:rPr>
                <w:sz w:val="16"/>
                <w:szCs w:val="16"/>
              </w:rPr>
            </w:pPr>
            <w:r w:rsidRPr="00C258AD">
              <w:rPr>
                <w:sz w:val="16"/>
                <w:szCs w:val="16"/>
              </w:rPr>
              <w:t>à déterminer (Bureau de l’OMPI au Japon)</w:t>
            </w:r>
          </w:p>
          <w:p w:rsidR="00C258AD" w:rsidRPr="00C258AD" w:rsidRDefault="00C258AD" w:rsidP="00927E1F">
            <w:pPr>
              <w:keepNext/>
              <w:keepLines/>
              <w:rPr>
                <w:sz w:val="16"/>
                <w:szCs w:val="16"/>
              </w:rPr>
            </w:pPr>
          </w:p>
          <w:p w:rsidR="00C258AD" w:rsidRPr="00C258AD" w:rsidRDefault="00C258AD" w:rsidP="00927E1F">
            <w:pPr>
              <w:keepNext/>
              <w:keepLines/>
              <w:rPr>
                <w:sz w:val="16"/>
                <w:szCs w:val="16"/>
              </w:rPr>
            </w:pPr>
            <w:r w:rsidRPr="00C258AD">
              <w:rPr>
                <w:sz w:val="16"/>
                <w:szCs w:val="16"/>
              </w:rPr>
              <w:t>à déterminer (Bureau de l’OMPI à Singapour)</w:t>
            </w:r>
          </w:p>
        </w:tc>
        <w:tc>
          <w:tcPr>
            <w:tcW w:w="966" w:type="pct"/>
            <w:gridSpan w:val="2"/>
            <w:shd w:val="clear" w:color="auto" w:fill="auto"/>
            <w:tcMar>
              <w:top w:w="110" w:type="dxa"/>
            </w:tcMar>
          </w:tcPr>
          <w:p w:rsidR="00C258AD" w:rsidRPr="00C258AD" w:rsidRDefault="00C258AD" w:rsidP="00927E1F">
            <w:pPr>
              <w:keepNext/>
              <w:keepLines/>
              <w:rPr>
                <w:sz w:val="16"/>
                <w:szCs w:val="16"/>
              </w:rPr>
            </w:pPr>
            <w:r w:rsidRPr="00C258AD">
              <w:rPr>
                <w:sz w:val="16"/>
                <w:szCs w:val="16"/>
              </w:rPr>
              <w:t>Augmentation :</w:t>
            </w:r>
          </w:p>
          <w:p w:rsidR="00C258AD" w:rsidRPr="00C258AD" w:rsidRDefault="00C258AD" w:rsidP="00927E1F">
            <w:pPr>
              <w:keepNext/>
              <w:keepLines/>
              <w:rPr>
                <w:sz w:val="16"/>
                <w:szCs w:val="16"/>
              </w:rPr>
            </w:pPr>
          </w:p>
          <w:p w:rsidR="00C258AD" w:rsidRPr="00C258AD" w:rsidRDefault="00C258AD" w:rsidP="00927E1F">
            <w:pPr>
              <w:keepNext/>
              <w:keepLines/>
              <w:rPr>
                <w:sz w:val="16"/>
                <w:szCs w:val="16"/>
              </w:rPr>
            </w:pPr>
            <w:r w:rsidRPr="00C258AD">
              <w:rPr>
                <w:sz w:val="16"/>
                <w:szCs w:val="16"/>
              </w:rPr>
              <w:t>5% du trafic au Brésil (Bureau de l’OMPI au Brésil)</w:t>
            </w:r>
          </w:p>
          <w:p w:rsidR="00C258AD" w:rsidRPr="00C258AD" w:rsidRDefault="00C258AD" w:rsidP="00927E1F">
            <w:pPr>
              <w:keepNext/>
              <w:keepLines/>
              <w:rPr>
                <w:sz w:val="16"/>
                <w:szCs w:val="16"/>
              </w:rPr>
            </w:pPr>
          </w:p>
          <w:p w:rsidR="00C258AD" w:rsidRPr="00C258AD" w:rsidRDefault="00C258AD" w:rsidP="00927E1F">
            <w:pPr>
              <w:keepNext/>
              <w:keepLines/>
              <w:rPr>
                <w:sz w:val="16"/>
                <w:szCs w:val="16"/>
              </w:rPr>
            </w:pPr>
            <w:r w:rsidRPr="00C258AD">
              <w:rPr>
                <w:sz w:val="16"/>
                <w:szCs w:val="16"/>
              </w:rPr>
              <w:t>5% (Bureau de l’OMPI au Japon)</w:t>
            </w:r>
            <w:r w:rsidRPr="00C258AD">
              <w:rPr>
                <w:rStyle w:val="FootnoteReference"/>
                <w:rFonts w:eastAsia="SimSun"/>
                <w:sz w:val="16"/>
              </w:rPr>
              <w:footnoteReference w:id="119"/>
            </w:r>
          </w:p>
          <w:p w:rsidR="00C258AD" w:rsidRPr="00C258AD" w:rsidRDefault="00C258AD" w:rsidP="00927E1F">
            <w:pPr>
              <w:keepNext/>
              <w:keepLines/>
              <w:rPr>
                <w:sz w:val="16"/>
                <w:szCs w:val="16"/>
              </w:rPr>
            </w:pPr>
          </w:p>
          <w:p w:rsidR="00C258AD" w:rsidRPr="00C258AD" w:rsidRDefault="00C258AD" w:rsidP="00927E1F">
            <w:pPr>
              <w:keepNext/>
              <w:keepLines/>
              <w:rPr>
                <w:sz w:val="16"/>
                <w:szCs w:val="16"/>
              </w:rPr>
            </w:pPr>
            <w:r w:rsidRPr="00C258AD">
              <w:rPr>
                <w:sz w:val="16"/>
                <w:szCs w:val="16"/>
              </w:rPr>
              <w:t>5% dans la région de l’ASEAN (Bureau de l’OMPI à Singapour)</w:t>
            </w:r>
          </w:p>
        </w:tc>
        <w:tc>
          <w:tcPr>
            <w:tcW w:w="1673" w:type="pct"/>
            <w:shd w:val="clear" w:color="auto" w:fill="FFFFFF"/>
            <w:tcMar>
              <w:top w:w="110" w:type="dxa"/>
            </w:tcMar>
          </w:tcPr>
          <w:p w:rsidR="00C258AD" w:rsidRPr="00C258AD" w:rsidRDefault="00C258AD" w:rsidP="00927E1F">
            <w:pPr>
              <w:keepNext/>
              <w:keepLines/>
              <w:rPr>
                <w:sz w:val="16"/>
                <w:szCs w:val="16"/>
              </w:rPr>
            </w:pPr>
            <w:r w:rsidRPr="00C258AD">
              <w:rPr>
                <w:sz w:val="16"/>
                <w:szCs w:val="16"/>
              </w:rPr>
              <w:t>Bureau de l’OMPI au Brésil :</w:t>
            </w:r>
          </w:p>
          <w:p w:rsidR="00C258AD" w:rsidRPr="00C258AD" w:rsidRDefault="00C258AD" w:rsidP="00927E1F">
            <w:pPr>
              <w:keepNext/>
              <w:keepLines/>
              <w:rPr>
                <w:sz w:val="16"/>
                <w:szCs w:val="16"/>
              </w:rPr>
            </w:pPr>
            <w:r w:rsidRPr="00C258AD">
              <w:rPr>
                <w:sz w:val="16"/>
                <w:szCs w:val="16"/>
              </w:rPr>
              <w:t xml:space="preserve">2014 : </w:t>
            </w:r>
            <w:proofErr w:type="spellStart"/>
            <w:r w:rsidRPr="00C258AD">
              <w:rPr>
                <w:sz w:val="16"/>
                <w:szCs w:val="16"/>
              </w:rPr>
              <w:t>s.o</w:t>
            </w:r>
            <w:proofErr w:type="spellEnd"/>
            <w:r w:rsidRPr="00C258AD">
              <w:rPr>
                <w:rStyle w:val="FootnoteReference"/>
                <w:rFonts w:eastAsia="SimSun"/>
                <w:sz w:val="16"/>
              </w:rPr>
              <w:footnoteReference w:id="120"/>
            </w:r>
            <w:r w:rsidRPr="00C258AD">
              <w:rPr>
                <w:sz w:val="16"/>
                <w:szCs w:val="16"/>
              </w:rPr>
              <w:t>.</w:t>
            </w:r>
          </w:p>
          <w:p w:rsidR="00C258AD" w:rsidRPr="00C258AD" w:rsidRDefault="00C258AD" w:rsidP="00927E1F">
            <w:pPr>
              <w:keepNext/>
              <w:keepLines/>
              <w:rPr>
                <w:sz w:val="16"/>
                <w:szCs w:val="16"/>
              </w:rPr>
            </w:pPr>
            <w:r w:rsidRPr="00C258AD">
              <w:rPr>
                <w:sz w:val="16"/>
                <w:szCs w:val="16"/>
              </w:rPr>
              <w:t>2015 : 1966</w:t>
            </w:r>
          </w:p>
          <w:p w:rsidR="00C258AD" w:rsidRPr="00C258AD" w:rsidRDefault="00C258AD" w:rsidP="00927E1F">
            <w:pPr>
              <w:keepNext/>
              <w:keepLines/>
              <w:rPr>
                <w:sz w:val="16"/>
                <w:szCs w:val="16"/>
              </w:rPr>
            </w:pPr>
          </w:p>
          <w:p w:rsidR="00C258AD" w:rsidRPr="00C258AD" w:rsidRDefault="00C258AD" w:rsidP="00927E1F">
            <w:pPr>
              <w:keepNext/>
              <w:keepLines/>
              <w:rPr>
                <w:sz w:val="16"/>
                <w:szCs w:val="16"/>
              </w:rPr>
            </w:pPr>
            <w:r w:rsidRPr="00C258AD">
              <w:rPr>
                <w:sz w:val="16"/>
                <w:szCs w:val="16"/>
              </w:rPr>
              <w:t>Bureau de l’OMPI au Japon :</w:t>
            </w:r>
          </w:p>
          <w:p w:rsidR="00C258AD" w:rsidRPr="00C258AD" w:rsidRDefault="00C258AD" w:rsidP="00927E1F">
            <w:pPr>
              <w:keepNext/>
              <w:keepLines/>
              <w:rPr>
                <w:sz w:val="16"/>
                <w:szCs w:val="16"/>
              </w:rPr>
            </w:pPr>
            <w:r w:rsidRPr="00C258AD">
              <w:rPr>
                <w:sz w:val="16"/>
                <w:szCs w:val="16"/>
              </w:rPr>
              <w:t>2014 : +30% (7650 vues)</w:t>
            </w:r>
          </w:p>
          <w:p w:rsidR="00C258AD" w:rsidRPr="00C258AD" w:rsidRDefault="00C258AD" w:rsidP="00927E1F">
            <w:pPr>
              <w:keepNext/>
              <w:keepLines/>
              <w:rPr>
                <w:sz w:val="16"/>
                <w:szCs w:val="16"/>
              </w:rPr>
            </w:pPr>
            <w:r w:rsidRPr="00C258AD">
              <w:rPr>
                <w:sz w:val="16"/>
                <w:szCs w:val="16"/>
              </w:rPr>
              <w:t>2015 : +13%</w:t>
            </w:r>
            <w:r w:rsidRPr="00C258AD">
              <w:rPr>
                <w:rStyle w:val="FootnoteReference"/>
                <w:rFonts w:eastAsia="SimSun"/>
                <w:sz w:val="16"/>
              </w:rPr>
              <w:footnoteReference w:id="121"/>
            </w:r>
            <w:r w:rsidRPr="00C258AD">
              <w:rPr>
                <w:sz w:val="16"/>
                <w:szCs w:val="16"/>
              </w:rPr>
              <w:t xml:space="preserve"> (7027 vues)</w:t>
            </w:r>
          </w:p>
          <w:p w:rsidR="00C258AD" w:rsidRPr="00C258AD" w:rsidRDefault="00C258AD" w:rsidP="00927E1F">
            <w:pPr>
              <w:keepNext/>
              <w:keepLines/>
              <w:rPr>
                <w:sz w:val="16"/>
                <w:szCs w:val="16"/>
              </w:rPr>
            </w:pPr>
          </w:p>
          <w:p w:rsidR="00C258AD" w:rsidRPr="00C258AD" w:rsidRDefault="00C258AD" w:rsidP="00927E1F">
            <w:pPr>
              <w:keepNext/>
              <w:keepLines/>
              <w:rPr>
                <w:sz w:val="16"/>
                <w:szCs w:val="16"/>
              </w:rPr>
            </w:pPr>
            <w:r w:rsidRPr="00C258AD">
              <w:rPr>
                <w:sz w:val="16"/>
                <w:szCs w:val="16"/>
              </w:rPr>
              <w:t>Bureau de l’OMPI à Singapour :</w:t>
            </w:r>
          </w:p>
          <w:p w:rsidR="00C258AD" w:rsidRPr="00C258AD" w:rsidRDefault="00C258AD" w:rsidP="00927E1F">
            <w:pPr>
              <w:keepNext/>
              <w:keepLines/>
              <w:rPr>
                <w:sz w:val="16"/>
                <w:szCs w:val="16"/>
              </w:rPr>
            </w:pPr>
            <w:r w:rsidRPr="00C258AD">
              <w:rPr>
                <w:sz w:val="16"/>
                <w:szCs w:val="16"/>
              </w:rPr>
              <w:t>2014 : +2% (9882 vues)</w:t>
            </w:r>
          </w:p>
          <w:p w:rsidR="00C258AD" w:rsidRPr="00C258AD" w:rsidRDefault="00C258AD" w:rsidP="00927E1F">
            <w:pPr>
              <w:keepNext/>
              <w:keepLines/>
              <w:rPr>
                <w:sz w:val="16"/>
                <w:szCs w:val="16"/>
              </w:rPr>
            </w:pPr>
            <w:r w:rsidRPr="00C258AD">
              <w:rPr>
                <w:sz w:val="16"/>
                <w:szCs w:val="16"/>
              </w:rPr>
              <w:t>2015 : +2% (10 042 vues)</w:t>
            </w:r>
          </w:p>
        </w:tc>
        <w:tc>
          <w:tcPr>
            <w:tcW w:w="465" w:type="pct"/>
            <w:shd w:val="clear" w:color="auto" w:fill="auto"/>
            <w:tcMar>
              <w:top w:w="110" w:type="dxa"/>
            </w:tcMar>
          </w:tcPr>
          <w:p w:rsidR="00C258AD" w:rsidRPr="00C258AD" w:rsidRDefault="00C258AD" w:rsidP="00927E1F">
            <w:pPr>
              <w:keepNext/>
              <w:keepLines/>
              <w:jc w:val="center"/>
              <w:rPr>
                <w:b/>
                <w:sz w:val="16"/>
                <w:szCs w:val="16"/>
              </w:rPr>
            </w:pPr>
            <w:r w:rsidRPr="00C258AD">
              <w:rPr>
                <w:b/>
                <w:bCs/>
                <w:color w:val="808080"/>
                <w:sz w:val="16"/>
              </w:rPr>
              <w:t>Non évaluable</w:t>
            </w:r>
          </w:p>
          <w:p w:rsidR="00C258AD" w:rsidRPr="00C258AD" w:rsidRDefault="00C258AD" w:rsidP="00927E1F">
            <w:pPr>
              <w:keepNext/>
              <w:keepLines/>
              <w:jc w:val="center"/>
              <w:rPr>
                <w:b/>
                <w:bCs/>
                <w:sz w:val="16"/>
                <w:szCs w:val="16"/>
              </w:rPr>
            </w:pPr>
          </w:p>
          <w:p w:rsidR="00C258AD" w:rsidRPr="00C258AD" w:rsidRDefault="00C258AD" w:rsidP="00927E1F">
            <w:pPr>
              <w:keepNext/>
              <w:keepLines/>
              <w:jc w:val="center"/>
              <w:rPr>
                <w:b/>
                <w:bCs/>
                <w:sz w:val="16"/>
                <w:szCs w:val="16"/>
              </w:rPr>
            </w:pPr>
          </w:p>
          <w:p w:rsidR="00C258AD" w:rsidRPr="00C258AD" w:rsidRDefault="00C258AD" w:rsidP="00927E1F">
            <w:pPr>
              <w:keepNext/>
              <w:keepLines/>
              <w:jc w:val="center"/>
              <w:rPr>
                <w:b/>
                <w:bCs/>
                <w:sz w:val="16"/>
                <w:szCs w:val="16"/>
              </w:rPr>
            </w:pPr>
            <w:r w:rsidRPr="00C258AD">
              <w:rPr>
                <w:b/>
                <w:bCs/>
                <w:color w:val="00B050"/>
                <w:sz w:val="16"/>
              </w:rPr>
              <w:t>Objectif pleinement atteint</w:t>
            </w:r>
          </w:p>
          <w:p w:rsidR="00C258AD" w:rsidRPr="00C258AD" w:rsidRDefault="00C258AD" w:rsidP="00927E1F">
            <w:pPr>
              <w:keepNext/>
              <w:keepLines/>
              <w:jc w:val="center"/>
              <w:rPr>
                <w:b/>
                <w:bCs/>
                <w:sz w:val="16"/>
                <w:szCs w:val="16"/>
              </w:rPr>
            </w:pPr>
          </w:p>
          <w:p w:rsidR="00C258AD" w:rsidRPr="00C258AD" w:rsidRDefault="00C258AD" w:rsidP="00927E1F">
            <w:pPr>
              <w:keepNext/>
              <w:keepLines/>
              <w:jc w:val="center"/>
              <w:rPr>
                <w:b/>
                <w:bCs/>
                <w:color w:val="E36C0A" w:themeColor="accent6" w:themeShade="BF"/>
                <w:sz w:val="16"/>
                <w:szCs w:val="16"/>
              </w:rPr>
            </w:pPr>
            <w:r w:rsidRPr="00C258AD">
              <w:rPr>
                <w:b/>
                <w:bCs/>
                <w:color w:val="E26B0A"/>
                <w:sz w:val="16"/>
              </w:rPr>
              <w:t>Objectif partiellement atteint</w:t>
            </w:r>
          </w:p>
        </w:tc>
      </w:tr>
      <w:tr w:rsidR="00C258AD" w:rsidRPr="00C258AD" w:rsidTr="00927E1F">
        <w:trPr>
          <w:cantSplit/>
        </w:trPr>
        <w:tc>
          <w:tcPr>
            <w:tcW w:w="1080" w:type="pct"/>
            <w:tcBorders>
              <w:bottom w:val="single" w:sz="4" w:space="0" w:color="auto"/>
            </w:tcBorders>
            <w:shd w:val="clear" w:color="auto" w:fill="auto"/>
          </w:tcPr>
          <w:p w:rsidR="00C258AD" w:rsidRPr="00C258AD" w:rsidRDefault="00C258AD" w:rsidP="00927E1F">
            <w:pPr>
              <w:rPr>
                <w:sz w:val="16"/>
                <w:szCs w:val="16"/>
              </w:rPr>
            </w:pPr>
            <w:r w:rsidRPr="00C258AD">
              <w:rPr>
                <w:sz w:val="16"/>
                <w:szCs w:val="16"/>
              </w:rPr>
              <w:t>Pourcentage de parties prenantes accueillant favorablement la mission, les activités et l’image de marque de l’OMPI</w:t>
            </w:r>
          </w:p>
        </w:tc>
        <w:tc>
          <w:tcPr>
            <w:tcW w:w="816" w:type="pct"/>
            <w:tcBorders>
              <w:bottom w:val="single" w:sz="4" w:space="0" w:color="auto"/>
            </w:tcBorders>
            <w:shd w:val="clear" w:color="auto" w:fill="auto"/>
          </w:tcPr>
          <w:p w:rsidR="00C258AD" w:rsidRPr="00C258AD" w:rsidRDefault="00C258AD" w:rsidP="00927E1F">
            <w:pPr>
              <w:rPr>
                <w:sz w:val="16"/>
                <w:szCs w:val="16"/>
              </w:rPr>
            </w:pPr>
            <w:r w:rsidRPr="00C258AD">
              <w:rPr>
                <w:sz w:val="16"/>
                <w:szCs w:val="16"/>
              </w:rPr>
              <w:t>Données non disponibles (Bureau de l’OMPI au Brésil)</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Données non disponibles (Bureau de l’OMPI au Japon)</w:t>
            </w:r>
          </w:p>
          <w:p w:rsidR="00C258AD" w:rsidRPr="00C258AD" w:rsidRDefault="00C258AD" w:rsidP="00927E1F">
            <w:pPr>
              <w:rPr>
                <w:sz w:val="16"/>
                <w:szCs w:val="16"/>
              </w:rPr>
            </w:pPr>
          </w:p>
          <w:p w:rsidR="00C258AD" w:rsidRPr="00C258AD" w:rsidRDefault="00C258AD" w:rsidP="00927E1F">
            <w:pPr>
              <w:rPr>
                <w:i/>
                <w:sz w:val="16"/>
                <w:szCs w:val="16"/>
              </w:rPr>
            </w:pPr>
            <w:r w:rsidRPr="00C258AD">
              <w:rPr>
                <w:sz w:val="16"/>
                <w:szCs w:val="16"/>
              </w:rPr>
              <w:t>Données non disponibles (Bureau de l’OMPI à Singapour)</w:t>
            </w:r>
          </w:p>
        </w:tc>
        <w:tc>
          <w:tcPr>
            <w:tcW w:w="966" w:type="pct"/>
            <w:gridSpan w:val="2"/>
            <w:tcBorders>
              <w:bottom w:val="single" w:sz="4" w:space="0" w:color="auto"/>
            </w:tcBorders>
            <w:shd w:val="clear" w:color="auto" w:fill="auto"/>
            <w:tcMar>
              <w:top w:w="110" w:type="dxa"/>
            </w:tcMar>
          </w:tcPr>
          <w:p w:rsidR="00C258AD" w:rsidRPr="00C258AD" w:rsidRDefault="00C258AD" w:rsidP="00927E1F">
            <w:pPr>
              <w:rPr>
                <w:sz w:val="16"/>
                <w:szCs w:val="16"/>
              </w:rPr>
            </w:pPr>
            <w:r w:rsidRPr="00C258AD">
              <w:rPr>
                <w:sz w:val="16"/>
                <w:szCs w:val="16"/>
              </w:rPr>
              <w:t>75% (Bureau de l’OMPI au Brésil)</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75% (Bureau de l’OMPI au Japon)</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&gt; 70% de participants aux grandes manifestations de l’OMPI (Bureau de l’OMPI à Singapour)</w:t>
            </w:r>
          </w:p>
        </w:tc>
        <w:tc>
          <w:tcPr>
            <w:tcW w:w="1673" w:type="pct"/>
            <w:tcBorders>
              <w:bottom w:val="single" w:sz="4" w:space="0" w:color="auto"/>
            </w:tcBorders>
            <w:shd w:val="clear" w:color="auto" w:fill="FFFFFF"/>
            <w:tcMar>
              <w:top w:w="110" w:type="dxa"/>
            </w:tcMar>
          </w:tcPr>
          <w:p w:rsidR="00C258AD" w:rsidRPr="00C258AD" w:rsidRDefault="00C258AD" w:rsidP="00927E1F">
            <w:pPr>
              <w:rPr>
                <w:sz w:val="16"/>
                <w:szCs w:val="16"/>
              </w:rPr>
            </w:pPr>
            <w:r w:rsidRPr="00C258AD">
              <w:rPr>
                <w:sz w:val="16"/>
                <w:szCs w:val="16"/>
              </w:rPr>
              <w:t>75% (Bureau de l’OMPI au Brésil)</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94% (Bureau de l’OMPI au Japon)</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90% (Bureau de l’OMPI à Singapour)</w:t>
            </w:r>
          </w:p>
        </w:tc>
        <w:tc>
          <w:tcPr>
            <w:tcW w:w="465" w:type="pct"/>
            <w:tcBorders>
              <w:bottom w:val="single" w:sz="4" w:space="0" w:color="auto"/>
            </w:tcBorders>
            <w:shd w:val="clear" w:color="auto" w:fill="auto"/>
            <w:tcMar>
              <w:top w:w="110" w:type="dxa"/>
            </w:tcMar>
          </w:tcPr>
          <w:p w:rsidR="00C258AD" w:rsidRPr="00C258AD" w:rsidRDefault="00C258AD" w:rsidP="00927E1F">
            <w:pPr>
              <w:keepNext/>
              <w:keepLines/>
              <w:jc w:val="center"/>
              <w:rPr>
                <w:b/>
                <w:bCs/>
                <w:color w:val="00B050"/>
                <w:sz w:val="16"/>
              </w:rPr>
            </w:pPr>
            <w:r w:rsidRPr="00C258AD">
              <w:rPr>
                <w:b/>
                <w:bCs/>
                <w:color w:val="00B050"/>
                <w:sz w:val="16"/>
              </w:rPr>
              <w:t>Objectif pleinement atteint</w:t>
            </w:r>
          </w:p>
          <w:p w:rsidR="00C258AD" w:rsidRPr="00C258AD" w:rsidRDefault="00C258AD" w:rsidP="00927E1F">
            <w:pPr>
              <w:keepNext/>
              <w:keepLines/>
              <w:jc w:val="center"/>
              <w:rPr>
                <w:b/>
                <w:bCs/>
                <w:color w:val="00B050"/>
                <w:sz w:val="16"/>
              </w:rPr>
            </w:pPr>
          </w:p>
          <w:p w:rsidR="00C258AD" w:rsidRPr="00C258AD" w:rsidRDefault="00C258AD" w:rsidP="00927E1F">
            <w:pPr>
              <w:keepNext/>
              <w:keepLines/>
              <w:jc w:val="center"/>
              <w:rPr>
                <w:b/>
                <w:bCs/>
                <w:color w:val="00B050"/>
                <w:sz w:val="16"/>
              </w:rPr>
            </w:pPr>
            <w:r w:rsidRPr="00C258AD">
              <w:rPr>
                <w:b/>
                <w:bCs/>
                <w:color w:val="00B050"/>
                <w:sz w:val="16"/>
              </w:rPr>
              <w:t>Objectif pleinement atteint</w:t>
            </w:r>
          </w:p>
          <w:p w:rsidR="00C258AD" w:rsidRPr="00C258AD" w:rsidRDefault="00C258AD" w:rsidP="00927E1F">
            <w:pPr>
              <w:keepNext/>
              <w:keepLines/>
              <w:jc w:val="center"/>
              <w:rPr>
                <w:b/>
                <w:bCs/>
                <w:color w:val="00B050"/>
                <w:sz w:val="16"/>
              </w:rPr>
            </w:pPr>
          </w:p>
          <w:p w:rsidR="00C258AD" w:rsidRPr="00C258AD" w:rsidRDefault="00C258AD" w:rsidP="00927E1F">
            <w:pPr>
              <w:keepNext/>
              <w:keepLines/>
              <w:jc w:val="center"/>
              <w:rPr>
                <w:bCs/>
                <w:color w:val="808080"/>
                <w:sz w:val="16"/>
                <w:szCs w:val="16"/>
              </w:rPr>
            </w:pPr>
            <w:r w:rsidRPr="00C258AD">
              <w:rPr>
                <w:b/>
                <w:bCs/>
                <w:color w:val="00B050"/>
                <w:sz w:val="16"/>
              </w:rPr>
              <w:t>Objectif pleinement atteint</w:t>
            </w:r>
          </w:p>
        </w:tc>
      </w:tr>
      <w:tr w:rsidR="00C258AD" w:rsidRPr="00C258AD" w:rsidTr="00927E1F">
        <w:trPr>
          <w:cantSplit/>
        </w:trPr>
        <w:tc>
          <w:tcPr>
            <w:tcW w:w="5000" w:type="pct"/>
            <w:gridSpan w:val="6"/>
            <w:tcBorders>
              <w:top w:val="single" w:sz="4" w:space="0" w:color="auto"/>
              <w:bottom w:val="single" w:sz="4" w:space="0" w:color="auto"/>
            </w:tcBorders>
            <w:shd w:val="clear" w:color="auto" w:fill="BFD9F1"/>
          </w:tcPr>
          <w:p w:rsidR="00C258AD" w:rsidRPr="00C258AD" w:rsidRDefault="00C258AD" w:rsidP="00927E1F">
            <w:pPr>
              <w:keepNext/>
              <w:rPr>
                <w:sz w:val="16"/>
                <w:szCs w:val="16"/>
              </w:rPr>
            </w:pPr>
            <w:r w:rsidRPr="00C258AD">
              <w:rPr>
                <w:b/>
                <w:sz w:val="16"/>
                <w:szCs w:val="16"/>
              </w:rPr>
              <w:lastRenderedPageBreak/>
              <w:t xml:space="preserve">Résultat escompté : </w:t>
            </w:r>
            <w:r w:rsidRPr="00C258AD">
              <w:rPr>
                <w:sz w:val="16"/>
                <w:szCs w:val="16"/>
              </w:rPr>
              <w:t>VIII.2 Amélioration de l’orientation vers les services et de la réactivité à la demande</w:t>
            </w:r>
          </w:p>
        </w:tc>
      </w:tr>
      <w:tr w:rsidR="00C258AD" w:rsidRPr="00C258AD" w:rsidTr="00927E1F">
        <w:trPr>
          <w:cantSplit/>
        </w:trPr>
        <w:tc>
          <w:tcPr>
            <w:tcW w:w="1080" w:type="pct"/>
            <w:tcBorders>
              <w:top w:val="single" w:sz="4" w:space="0" w:color="auto"/>
            </w:tcBorders>
            <w:shd w:val="clear" w:color="auto" w:fill="auto"/>
            <w:vAlign w:val="center"/>
          </w:tcPr>
          <w:p w:rsidR="00C258AD" w:rsidRPr="00C258AD" w:rsidRDefault="00C258AD" w:rsidP="00927E1F">
            <w:pPr>
              <w:keepNext/>
              <w:jc w:val="center"/>
              <w:rPr>
                <w:sz w:val="16"/>
                <w:szCs w:val="16"/>
              </w:rPr>
            </w:pPr>
            <w:r w:rsidRPr="00C258AD">
              <w:rPr>
                <w:b/>
                <w:sz w:val="16"/>
                <w:szCs w:val="16"/>
              </w:rPr>
              <w:t>Indicateurs d’exécution</w:t>
            </w:r>
          </w:p>
        </w:tc>
        <w:tc>
          <w:tcPr>
            <w:tcW w:w="816" w:type="pct"/>
            <w:tcBorders>
              <w:top w:val="single" w:sz="4" w:space="0" w:color="auto"/>
            </w:tcBorders>
            <w:shd w:val="clear" w:color="auto" w:fill="auto"/>
            <w:vAlign w:val="center"/>
          </w:tcPr>
          <w:p w:rsidR="00C258AD" w:rsidRPr="00C258AD" w:rsidRDefault="00C258AD" w:rsidP="00927E1F">
            <w:pPr>
              <w:keepNext/>
              <w:jc w:val="center"/>
              <w:rPr>
                <w:i/>
                <w:sz w:val="16"/>
                <w:szCs w:val="16"/>
              </w:rPr>
            </w:pPr>
            <w:r w:rsidRPr="00C258AD">
              <w:rPr>
                <w:b/>
                <w:sz w:val="16"/>
                <w:szCs w:val="16"/>
              </w:rPr>
              <w:t>Niveaux de référence</w:t>
            </w:r>
          </w:p>
        </w:tc>
        <w:tc>
          <w:tcPr>
            <w:tcW w:w="966" w:type="pct"/>
            <w:gridSpan w:val="2"/>
            <w:tcBorders>
              <w:top w:val="single" w:sz="4" w:space="0" w:color="auto"/>
            </w:tcBorders>
            <w:shd w:val="clear" w:color="auto" w:fill="auto"/>
            <w:tcMar>
              <w:top w:w="110" w:type="dxa"/>
            </w:tcMar>
            <w:vAlign w:val="center"/>
          </w:tcPr>
          <w:p w:rsidR="00C258AD" w:rsidRPr="00C258AD" w:rsidRDefault="00C258AD" w:rsidP="00927E1F">
            <w:pPr>
              <w:keepNext/>
              <w:jc w:val="center"/>
              <w:rPr>
                <w:sz w:val="16"/>
                <w:szCs w:val="16"/>
              </w:rPr>
            </w:pPr>
            <w:r w:rsidRPr="00C258AD">
              <w:rPr>
                <w:b/>
                <w:sz w:val="16"/>
                <w:szCs w:val="16"/>
              </w:rPr>
              <w:t>Objectifs visés</w:t>
            </w:r>
          </w:p>
        </w:tc>
        <w:tc>
          <w:tcPr>
            <w:tcW w:w="1673" w:type="pct"/>
            <w:tcBorders>
              <w:top w:val="single" w:sz="4" w:space="0" w:color="auto"/>
            </w:tcBorders>
            <w:shd w:val="clear" w:color="auto" w:fill="FFFFFF"/>
            <w:tcMar>
              <w:top w:w="110" w:type="dxa"/>
            </w:tcMar>
            <w:vAlign w:val="center"/>
          </w:tcPr>
          <w:p w:rsidR="00C258AD" w:rsidRPr="00C258AD" w:rsidRDefault="00C258AD" w:rsidP="00927E1F">
            <w:pPr>
              <w:keepNext/>
              <w:jc w:val="center"/>
              <w:rPr>
                <w:sz w:val="16"/>
                <w:szCs w:val="16"/>
              </w:rPr>
            </w:pPr>
            <w:r w:rsidRPr="00C258AD">
              <w:rPr>
                <w:b/>
                <w:sz w:val="16"/>
                <w:szCs w:val="16"/>
              </w:rPr>
              <w:t>Données relatives à l’exécution</w:t>
            </w:r>
          </w:p>
        </w:tc>
        <w:tc>
          <w:tcPr>
            <w:tcW w:w="465" w:type="pct"/>
            <w:tcBorders>
              <w:top w:val="single" w:sz="4" w:space="0" w:color="auto"/>
            </w:tcBorders>
            <w:shd w:val="clear" w:color="auto" w:fill="auto"/>
            <w:tcMar>
              <w:top w:w="110" w:type="dxa"/>
            </w:tcMar>
            <w:vAlign w:val="center"/>
          </w:tcPr>
          <w:p w:rsidR="00C258AD" w:rsidRPr="00C258AD" w:rsidRDefault="00C258AD" w:rsidP="00927E1F">
            <w:pPr>
              <w:keepNext/>
              <w:keepLines/>
              <w:jc w:val="center"/>
              <w:rPr>
                <w:b/>
                <w:bCs/>
                <w:color w:val="808080"/>
                <w:sz w:val="16"/>
                <w:szCs w:val="16"/>
              </w:rPr>
            </w:pPr>
            <w:r w:rsidRPr="00C258AD">
              <w:rPr>
                <w:b/>
                <w:sz w:val="16"/>
                <w:szCs w:val="16"/>
              </w:rPr>
              <w:t>Code de couleurs</w:t>
            </w:r>
          </w:p>
        </w:tc>
      </w:tr>
      <w:tr w:rsidR="00C258AD" w:rsidRPr="00C258AD" w:rsidTr="00927E1F">
        <w:trPr>
          <w:cantSplit/>
        </w:trPr>
        <w:tc>
          <w:tcPr>
            <w:tcW w:w="1080" w:type="pct"/>
            <w:shd w:val="clear" w:color="auto" w:fill="auto"/>
          </w:tcPr>
          <w:p w:rsidR="00C258AD" w:rsidRPr="00C258AD" w:rsidRDefault="00C258AD" w:rsidP="00927E1F">
            <w:pPr>
              <w:rPr>
                <w:sz w:val="16"/>
                <w:szCs w:val="16"/>
              </w:rPr>
            </w:pPr>
            <w:r w:rsidRPr="00C258AD">
              <w:rPr>
                <w:sz w:val="16"/>
                <w:szCs w:val="16"/>
              </w:rPr>
              <w:t>Taux de satisfaction des clients et des parties prenantes</w:t>
            </w:r>
          </w:p>
        </w:tc>
        <w:tc>
          <w:tcPr>
            <w:tcW w:w="816" w:type="pct"/>
            <w:shd w:val="clear" w:color="auto" w:fill="auto"/>
          </w:tcPr>
          <w:p w:rsidR="00C258AD" w:rsidRPr="00C258AD" w:rsidRDefault="00C258AD" w:rsidP="00927E1F">
            <w:pPr>
              <w:rPr>
                <w:sz w:val="16"/>
                <w:szCs w:val="16"/>
              </w:rPr>
            </w:pPr>
            <w:r w:rsidRPr="00C258AD">
              <w:rPr>
                <w:sz w:val="16"/>
                <w:szCs w:val="16"/>
              </w:rPr>
              <w:t>Données non disponibles (Bureau de l’OMPI au Brésil)</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Données non disponibles (Bureau de l’OMPI au Japon)</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Données non disponibles (Bureau de l’OMPI à Singapour)</w:t>
            </w:r>
          </w:p>
        </w:tc>
        <w:tc>
          <w:tcPr>
            <w:tcW w:w="966" w:type="pct"/>
            <w:gridSpan w:val="2"/>
            <w:shd w:val="clear" w:color="auto" w:fill="auto"/>
            <w:tcMar>
              <w:top w:w="110" w:type="dxa"/>
            </w:tcMar>
          </w:tcPr>
          <w:p w:rsidR="00C258AD" w:rsidRPr="00C258AD" w:rsidRDefault="00C258AD" w:rsidP="00927E1F">
            <w:pPr>
              <w:rPr>
                <w:sz w:val="16"/>
                <w:szCs w:val="16"/>
              </w:rPr>
            </w:pPr>
            <w:r w:rsidRPr="00C258AD">
              <w:rPr>
                <w:sz w:val="16"/>
                <w:szCs w:val="16"/>
              </w:rPr>
              <w:t>À déterminer (Bureau de l’OMPI au Brésil)</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À déterminer (Bureau de l’OMPI au Japon)</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&gt; 90% des appelants sont satisfaits des prestations de services du Bureau de l’OMPI à Singapour (Bureau de l’OMPI à Singapour)</w:t>
            </w:r>
          </w:p>
        </w:tc>
        <w:tc>
          <w:tcPr>
            <w:tcW w:w="1673" w:type="pct"/>
            <w:shd w:val="clear" w:color="auto" w:fill="FFFFFF"/>
            <w:tcMar>
              <w:top w:w="110" w:type="dxa"/>
            </w:tcMar>
          </w:tcPr>
          <w:p w:rsidR="00C258AD" w:rsidRPr="00C258AD" w:rsidRDefault="00C258AD" w:rsidP="00927E1F">
            <w:pPr>
              <w:rPr>
                <w:sz w:val="16"/>
                <w:szCs w:val="16"/>
              </w:rPr>
            </w:pPr>
            <w:r w:rsidRPr="00C258AD">
              <w:rPr>
                <w:sz w:val="16"/>
                <w:szCs w:val="16"/>
              </w:rPr>
              <w:t>Données non disponibles (Bureau de l’OMPI au Brésil)</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95% des appelants satisfaits (Bureau de l’OMPI au Japon)</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93% des appelants satisfaits (Bureau de l’OMPI à Singapour)</w:t>
            </w:r>
          </w:p>
        </w:tc>
        <w:tc>
          <w:tcPr>
            <w:tcW w:w="465" w:type="pct"/>
            <w:shd w:val="clear" w:color="auto" w:fill="auto"/>
            <w:tcMar>
              <w:top w:w="110" w:type="dxa"/>
            </w:tcMar>
          </w:tcPr>
          <w:p w:rsidR="00C258AD" w:rsidRPr="00C258AD" w:rsidRDefault="00C258AD" w:rsidP="00927E1F">
            <w:pPr>
              <w:keepNext/>
              <w:keepLines/>
              <w:jc w:val="center"/>
              <w:rPr>
                <w:b/>
                <w:color w:val="0070C0"/>
                <w:sz w:val="16"/>
                <w:szCs w:val="16"/>
              </w:rPr>
            </w:pPr>
            <w:r w:rsidRPr="00C258AD">
              <w:rPr>
                <w:b/>
                <w:bCs/>
                <w:color w:val="808080"/>
                <w:sz w:val="16"/>
              </w:rPr>
              <w:t>Non évaluable</w:t>
            </w:r>
          </w:p>
          <w:p w:rsidR="00C258AD" w:rsidRPr="00C258AD" w:rsidRDefault="00C258AD" w:rsidP="00927E1F">
            <w:pPr>
              <w:keepNext/>
              <w:keepLines/>
              <w:jc w:val="center"/>
              <w:rPr>
                <w:b/>
                <w:bCs/>
                <w:sz w:val="16"/>
                <w:szCs w:val="16"/>
              </w:rPr>
            </w:pPr>
          </w:p>
          <w:p w:rsidR="00C258AD" w:rsidRPr="00C258AD" w:rsidRDefault="00C258AD" w:rsidP="00927E1F">
            <w:pPr>
              <w:keepNext/>
              <w:keepLines/>
              <w:jc w:val="center"/>
              <w:rPr>
                <w:b/>
                <w:bCs/>
                <w:sz w:val="16"/>
                <w:szCs w:val="16"/>
              </w:rPr>
            </w:pPr>
          </w:p>
          <w:p w:rsidR="00C258AD" w:rsidRPr="00C258AD" w:rsidRDefault="00C258AD" w:rsidP="00927E1F">
            <w:pPr>
              <w:keepNext/>
              <w:keepLines/>
              <w:jc w:val="center"/>
              <w:rPr>
                <w:b/>
                <w:bCs/>
                <w:sz w:val="16"/>
                <w:szCs w:val="16"/>
              </w:rPr>
            </w:pPr>
            <w:r w:rsidRPr="00C258AD">
              <w:rPr>
                <w:b/>
                <w:bCs/>
                <w:color w:val="808080"/>
                <w:sz w:val="16"/>
              </w:rPr>
              <w:t>Non évaluable</w:t>
            </w:r>
          </w:p>
          <w:p w:rsidR="00C258AD" w:rsidRPr="00C258AD" w:rsidRDefault="00C258AD" w:rsidP="00927E1F">
            <w:pPr>
              <w:keepNext/>
              <w:keepLines/>
              <w:jc w:val="center"/>
              <w:rPr>
                <w:b/>
                <w:bCs/>
                <w:sz w:val="16"/>
                <w:szCs w:val="16"/>
              </w:rPr>
            </w:pPr>
          </w:p>
          <w:p w:rsidR="00C258AD" w:rsidRPr="00C258AD" w:rsidRDefault="00C258AD" w:rsidP="00927E1F">
            <w:pPr>
              <w:keepNext/>
              <w:keepLines/>
              <w:jc w:val="center"/>
              <w:rPr>
                <w:b/>
                <w:bCs/>
                <w:sz w:val="16"/>
                <w:szCs w:val="16"/>
              </w:rPr>
            </w:pPr>
          </w:p>
          <w:p w:rsidR="00C258AD" w:rsidRPr="00C258AD" w:rsidRDefault="00C258AD" w:rsidP="00927E1F">
            <w:pPr>
              <w:keepNext/>
              <w:keepLines/>
              <w:jc w:val="center"/>
              <w:rPr>
                <w:b/>
                <w:bCs/>
                <w:sz w:val="16"/>
                <w:szCs w:val="16"/>
              </w:rPr>
            </w:pPr>
            <w:r w:rsidRPr="00C258AD">
              <w:rPr>
                <w:b/>
                <w:bCs/>
                <w:color w:val="00B050"/>
                <w:sz w:val="16"/>
              </w:rPr>
              <w:t>Objectif pleinement atteint</w:t>
            </w:r>
          </w:p>
        </w:tc>
      </w:tr>
      <w:tr w:rsidR="00C258AD" w:rsidRPr="00C258AD" w:rsidTr="00927E1F">
        <w:trPr>
          <w:cantSplit/>
        </w:trPr>
        <w:tc>
          <w:tcPr>
            <w:tcW w:w="1080" w:type="pct"/>
            <w:tcBorders>
              <w:bottom w:val="single" w:sz="4" w:space="0" w:color="auto"/>
            </w:tcBorders>
            <w:shd w:val="clear" w:color="auto" w:fill="auto"/>
          </w:tcPr>
          <w:p w:rsidR="00C258AD" w:rsidRPr="00C258AD" w:rsidRDefault="00C258AD" w:rsidP="00927E1F">
            <w:pPr>
              <w:rPr>
                <w:sz w:val="16"/>
                <w:szCs w:val="16"/>
              </w:rPr>
            </w:pPr>
            <w:r w:rsidRPr="00C258AD">
              <w:rPr>
                <w:sz w:val="16"/>
                <w:szCs w:val="16"/>
              </w:rPr>
              <w:t>Durée de traitement des demandes de renseignements</w:t>
            </w:r>
          </w:p>
        </w:tc>
        <w:tc>
          <w:tcPr>
            <w:tcW w:w="816" w:type="pct"/>
            <w:tcBorders>
              <w:bottom w:val="single" w:sz="4" w:space="0" w:color="auto"/>
            </w:tcBorders>
            <w:shd w:val="clear" w:color="auto" w:fill="auto"/>
          </w:tcPr>
          <w:p w:rsidR="00C258AD" w:rsidRPr="00C258AD" w:rsidRDefault="00C258AD" w:rsidP="00927E1F">
            <w:pPr>
              <w:rPr>
                <w:sz w:val="16"/>
                <w:szCs w:val="16"/>
              </w:rPr>
            </w:pPr>
            <w:r w:rsidRPr="00C258AD">
              <w:rPr>
                <w:sz w:val="16"/>
                <w:szCs w:val="16"/>
              </w:rPr>
              <w:t>Données non disponibles (Bureau de l’OMPI au Brésil)</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Données non disponibles (Bureau de l’OMPI au Japon)</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Données non disponibles (Bureau de l’OMPI à Singapour)</w:t>
            </w:r>
          </w:p>
        </w:tc>
        <w:tc>
          <w:tcPr>
            <w:tcW w:w="966" w:type="pct"/>
            <w:gridSpan w:val="2"/>
            <w:tcBorders>
              <w:bottom w:val="single" w:sz="4" w:space="0" w:color="auto"/>
            </w:tcBorders>
            <w:shd w:val="clear" w:color="auto" w:fill="auto"/>
            <w:tcMar>
              <w:top w:w="110" w:type="dxa"/>
            </w:tcMar>
          </w:tcPr>
          <w:p w:rsidR="00C258AD" w:rsidRPr="00C258AD" w:rsidRDefault="00C258AD" w:rsidP="00927E1F">
            <w:pPr>
              <w:rPr>
                <w:sz w:val="16"/>
                <w:szCs w:val="16"/>
              </w:rPr>
            </w:pPr>
            <w:r w:rsidRPr="00C258AD">
              <w:rPr>
                <w:sz w:val="16"/>
                <w:szCs w:val="16"/>
              </w:rPr>
              <w:t>À déterminer (Bureau de l’OMPI au Brésil)</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À déterminer (Bureau de l’OMPI au Japon)</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Réponse préparée dans un délai de 3 jours ouvrables dans 95% des cas (Bureau de l’OMPI à Singapour)</w:t>
            </w:r>
          </w:p>
        </w:tc>
        <w:tc>
          <w:tcPr>
            <w:tcW w:w="1673" w:type="pct"/>
            <w:tcBorders>
              <w:bottom w:val="single" w:sz="4" w:space="0" w:color="auto"/>
            </w:tcBorders>
            <w:shd w:val="clear" w:color="auto" w:fill="FFFFFF"/>
            <w:tcMar>
              <w:top w:w="110" w:type="dxa"/>
            </w:tcMar>
          </w:tcPr>
          <w:p w:rsidR="00C258AD" w:rsidRPr="00C258AD" w:rsidRDefault="00C258AD" w:rsidP="00927E1F">
            <w:pPr>
              <w:rPr>
                <w:sz w:val="16"/>
                <w:szCs w:val="16"/>
              </w:rPr>
            </w:pPr>
            <w:r w:rsidRPr="00C258AD">
              <w:rPr>
                <w:sz w:val="16"/>
                <w:szCs w:val="16"/>
              </w:rPr>
              <w:t>Données non disponibles (Bureau de l’OMPI au Brésil)</w:t>
            </w:r>
          </w:p>
          <w:p w:rsidR="00C258AD" w:rsidRPr="00C258AD" w:rsidRDefault="00C258AD" w:rsidP="00927E1F">
            <w:pPr>
              <w:rPr>
                <w:sz w:val="16"/>
                <w:szCs w:val="16"/>
              </w:rPr>
            </w:pP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99% des demandes sont traitées sous 3 jours ouvrables (Bureau de l’OMPI au Japon)</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95% des demandes ont été traitées sous 3 jours ouvrables (Bureau de l’OMPI à Singapour)</w:t>
            </w:r>
          </w:p>
        </w:tc>
        <w:tc>
          <w:tcPr>
            <w:tcW w:w="465" w:type="pct"/>
            <w:tcBorders>
              <w:bottom w:val="single" w:sz="4" w:space="0" w:color="auto"/>
            </w:tcBorders>
            <w:shd w:val="clear" w:color="auto" w:fill="auto"/>
            <w:tcMar>
              <w:top w:w="110" w:type="dxa"/>
            </w:tcMar>
          </w:tcPr>
          <w:p w:rsidR="00C258AD" w:rsidRPr="00C258AD" w:rsidRDefault="00C258AD" w:rsidP="00927E1F">
            <w:pPr>
              <w:keepNext/>
              <w:keepLines/>
              <w:jc w:val="center"/>
              <w:rPr>
                <w:b/>
                <w:sz w:val="16"/>
                <w:szCs w:val="16"/>
              </w:rPr>
            </w:pPr>
            <w:r w:rsidRPr="00C258AD">
              <w:rPr>
                <w:b/>
                <w:bCs/>
                <w:color w:val="808080"/>
                <w:sz w:val="16"/>
              </w:rPr>
              <w:t>Non évaluable</w:t>
            </w:r>
          </w:p>
          <w:p w:rsidR="00C258AD" w:rsidRPr="00C258AD" w:rsidRDefault="00C258AD" w:rsidP="00927E1F">
            <w:pPr>
              <w:keepNext/>
              <w:keepLines/>
              <w:jc w:val="center"/>
              <w:rPr>
                <w:b/>
                <w:bCs/>
                <w:sz w:val="16"/>
                <w:szCs w:val="16"/>
              </w:rPr>
            </w:pPr>
          </w:p>
          <w:p w:rsidR="00C258AD" w:rsidRPr="00C258AD" w:rsidRDefault="00C258AD" w:rsidP="00927E1F">
            <w:pPr>
              <w:keepNext/>
              <w:keepLines/>
              <w:jc w:val="center"/>
              <w:rPr>
                <w:b/>
                <w:bCs/>
                <w:sz w:val="16"/>
                <w:szCs w:val="16"/>
              </w:rPr>
            </w:pPr>
          </w:p>
          <w:p w:rsidR="00C258AD" w:rsidRPr="00C258AD" w:rsidRDefault="00C258AD" w:rsidP="00927E1F">
            <w:pPr>
              <w:keepNext/>
              <w:keepLines/>
              <w:jc w:val="center"/>
              <w:rPr>
                <w:b/>
                <w:bCs/>
                <w:sz w:val="16"/>
                <w:szCs w:val="16"/>
              </w:rPr>
            </w:pPr>
            <w:r w:rsidRPr="00C258AD">
              <w:rPr>
                <w:b/>
                <w:bCs/>
                <w:color w:val="808080"/>
                <w:sz w:val="16"/>
              </w:rPr>
              <w:t>Non évaluable</w:t>
            </w:r>
          </w:p>
          <w:p w:rsidR="00C258AD" w:rsidRPr="00C258AD" w:rsidRDefault="00C258AD" w:rsidP="00927E1F">
            <w:pPr>
              <w:keepNext/>
              <w:keepLines/>
              <w:jc w:val="center"/>
              <w:rPr>
                <w:b/>
                <w:bCs/>
                <w:sz w:val="16"/>
                <w:szCs w:val="16"/>
              </w:rPr>
            </w:pPr>
          </w:p>
          <w:p w:rsidR="00C258AD" w:rsidRPr="00C258AD" w:rsidRDefault="00C258AD" w:rsidP="00927E1F">
            <w:pPr>
              <w:keepNext/>
              <w:keepLines/>
              <w:jc w:val="center"/>
              <w:rPr>
                <w:b/>
                <w:bCs/>
                <w:sz w:val="16"/>
                <w:szCs w:val="16"/>
              </w:rPr>
            </w:pPr>
          </w:p>
          <w:p w:rsidR="00C258AD" w:rsidRPr="00C258AD" w:rsidRDefault="00C258AD" w:rsidP="00927E1F">
            <w:pPr>
              <w:keepNext/>
              <w:keepLines/>
              <w:jc w:val="center"/>
              <w:rPr>
                <w:bCs/>
                <w:color w:val="808080"/>
                <w:sz w:val="16"/>
                <w:szCs w:val="16"/>
              </w:rPr>
            </w:pPr>
            <w:r w:rsidRPr="00C258AD">
              <w:rPr>
                <w:b/>
                <w:bCs/>
                <w:color w:val="00B050"/>
                <w:sz w:val="16"/>
              </w:rPr>
              <w:t>Objectif pleinement atteint</w:t>
            </w:r>
          </w:p>
        </w:tc>
      </w:tr>
      <w:tr w:rsidR="00C258AD" w:rsidRPr="00C258AD" w:rsidTr="00927E1F">
        <w:trPr>
          <w:cantSplit/>
        </w:trPr>
        <w:tc>
          <w:tcPr>
            <w:tcW w:w="5000" w:type="pct"/>
            <w:gridSpan w:val="6"/>
            <w:tcBorders>
              <w:top w:val="single" w:sz="4" w:space="0" w:color="auto"/>
              <w:bottom w:val="single" w:sz="4" w:space="0" w:color="auto"/>
            </w:tcBorders>
            <w:shd w:val="clear" w:color="auto" w:fill="BFD9F1"/>
          </w:tcPr>
          <w:p w:rsidR="00C258AD" w:rsidRPr="00C258AD" w:rsidRDefault="00C258AD" w:rsidP="00927E1F">
            <w:pPr>
              <w:rPr>
                <w:sz w:val="16"/>
                <w:szCs w:val="16"/>
              </w:rPr>
            </w:pPr>
            <w:r w:rsidRPr="00C258AD">
              <w:rPr>
                <w:b/>
                <w:sz w:val="16"/>
                <w:szCs w:val="16"/>
              </w:rPr>
              <w:t xml:space="preserve">Résultat escompté : </w:t>
            </w:r>
            <w:r w:rsidRPr="00C258AD">
              <w:rPr>
                <w:sz w:val="16"/>
                <w:szCs w:val="16"/>
              </w:rPr>
              <w:t>VIII.4 Échanges ouverts, transparents et dynamiques avec les parties prenantes non gouvernementales</w:t>
            </w:r>
          </w:p>
        </w:tc>
      </w:tr>
      <w:tr w:rsidR="00C258AD" w:rsidRPr="00C258AD" w:rsidTr="00927E1F">
        <w:trPr>
          <w:cantSplit/>
        </w:trPr>
        <w:tc>
          <w:tcPr>
            <w:tcW w:w="1080" w:type="pct"/>
            <w:tcBorders>
              <w:top w:val="single" w:sz="4" w:space="0" w:color="auto"/>
            </w:tcBorders>
            <w:shd w:val="clear" w:color="auto" w:fill="auto"/>
            <w:vAlign w:val="center"/>
          </w:tcPr>
          <w:p w:rsidR="00C258AD" w:rsidRPr="00C258AD" w:rsidRDefault="00C258AD" w:rsidP="00927E1F">
            <w:pPr>
              <w:jc w:val="center"/>
              <w:rPr>
                <w:sz w:val="16"/>
                <w:szCs w:val="16"/>
              </w:rPr>
            </w:pPr>
            <w:r w:rsidRPr="00C258AD">
              <w:rPr>
                <w:b/>
                <w:sz w:val="16"/>
                <w:szCs w:val="16"/>
              </w:rPr>
              <w:t>Indicateurs d’exécution</w:t>
            </w:r>
          </w:p>
        </w:tc>
        <w:tc>
          <w:tcPr>
            <w:tcW w:w="816" w:type="pct"/>
            <w:tcBorders>
              <w:top w:val="single" w:sz="4" w:space="0" w:color="auto"/>
            </w:tcBorders>
            <w:shd w:val="clear" w:color="auto" w:fill="auto"/>
            <w:vAlign w:val="center"/>
          </w:tcPr>
          <w:p w:rsidR="00C258AD" w:rsidRPr="00C258AD" w:rsidRDefault="00C258AD" w:rsidP="00927E1F">
            <w:pPr>
              <w:jc w:val="center"/>
              <w:rPr>
                <w:i/>
                <w:sz w:val="16"/>
                <w:szCs w:val="16"/>
              </w:rPr>
            </w:pPr>
            <w:r w:rsidRPr="00C258AD">
              <w:rPr>
                <w:b/>
                <w:sz w:val="16"/>
                <w:szCs w:val="16"/>
              </w:rPr>
              <w:t>Niveaux de référence</w:t>
            </w:r>
          </w:p>
        </w:tc>
        <w:tc>
          <w:tcPr>
            <w:tcW w:w="966" w:type="pct"/>
            <w:gridSpan w:val="2"/>
            <w:tcBorders>
              <w:top w:val="single" w:sz="4" w:space="0" w:color="auto"/>
            </w:tcBorders>
            <w:shd w:val="clear" w:color="auto" w:fill="auto"/>
            <w:tcMar>
              <w:top w:w="110" w:type="dxa"/>
            </w:tcMar>
            <w:vAlign w:val="center"/>
          </w:tcPr>
          <w:p w:rsidR="00C258AD" w:rsidRPr="00C258AD" w:rsidRDefault="00C258AD" w:rsidP="00927E1F">
            <w:pPr>
              <w:jc w:val="center"/>
              <w:rPr>
                <w:sz w:val="16"/>
                <w:szCs w:val="16"/>
              </w:rPr>
            </w:pPr>
            <w:r w:rsidRPr="00C258AD">
              <w:rPr>
                <w:b/>
                <w:sz w:val="16"/>
                <w:szCs w:val="16"/>
              </w:rPr>
              <w:t>Objectifs visés</w:t>
            </w:r>
          </w:p>
        </w:tc>
        <w:tc>
          <w:tcPr>
            <w:tcW w:w="1673" w:type="pct"/>
            <w:tcBorders>
              <w:top w:val="single" w:sz="4" w:space="0" w:color="auto"/>
            </w:tcBorders>
            <w:shd w:val="clear" w:color="auto" w:fill="FFFFFF"/>
            <w:tcMar>
              <w:top w:w="110" w:type="dxa"/>
            </w:tcMar>
            <w:vAlign w:val="center"/>
          </w:tcPr>
          <w:p w:rsidR="00C258AD" w:rsidRPr="00C258AD" w:rsidRDefault="00C258AD" w:rsidP="00927E1F">
            <w:pPr>
              <w:jc w:val="center"/>
              <w:rPr>
                <w:sz w:val="16"/>
                <w:szCs w:val="16"/>
              </w:rPr>
            </w:pPr>
            <w:r w:rsidRPr="00C258AD">
              <w:rPr>
                <w:b/>
                <w:sz w:val="16"/>
                <w:szCs w:val="16"/>
              </w:rPr>
              <w:t>Données relatives à l’exécution</w:t>
            </w:r>
          </w:p>
        </w:tc>
        <w:tc>
          <w:tcPr>
            <w:tcW w:w="465" w:type="pct"/>
            <w:tcBorders>
              <w:top w:val="single" w:sz="4" w:space="0" w:color="auto"/>
            </w:tcBorders>
            <w:shd w:val="clear" w:color="auto" w:fill="auto"/>
            <w:tcMar>
              <w:top w:w="110" w:type="dxa"/>
            </w:tcMar>
            <w:vAlign w:val="center"/>
          </w:tcPr>
          <w:p w:rsidR="00C258AD" w:rsidRPr="00C258AD" w:rsidRDefault="00C258AD" w:rsidP="00927E1F">
            <w:pPr>
              <w:keepNext/>
              <w:keepLines/>
              <w:jc w:val="center"/>
              <w:rPr>
                <w:bCs/>
                <w:color w:val="808080"/>
                <w:sz w:val="16"/>
                <w:szCs w:val="16"/>
              </w:rPr>
            </w:pPr>
            <w:r w:rsidRPr="00C258AD">
              <w:rPr>
                <w:b/>
                <w:sz w:val="16"/>
                <w:szCs w:val="16"/>
              </w:rPr>
              <w:t>Code de couleurs</w:t>
            </w:r>
          </w:p>
        </w:tc>
      </w:tr>
      <w:tr w:rsidR="00C258AD" w:rsidRPr="00C258AD" w:rsidTr="00927E1F">
        <w:trPr>
          <w:cantSplit/>
        </w:trPr>
        <w:tc>
          <w:tcPr>
            <w:tcW w:w="1080" w:type="pct"/>
            <w:tcBorders>
              <w:bottom w:val="single" w:sz="4" w:space="0" w:color="auto"/>
            </w:tcBorders>
            <w:shd w:val="clear" w:color="auto" w:fill="auto"/>
          </w:tcPr>
          <w:p w:rsidR="00C258AD" w:rsidRPr="00C258AD" w:rsidRDefault="00C258AD" w:rsidP="00927E1F">
            <w:pPr>
              <w:rPr>
                <w:sz w:val="16"/>
                <w:szCs w:val="16"/>
              </w:rPr>
            </w:pPr>
            <w:r w:rsidRPr="00C258AD">
              <w:rPr>
                <w:sz w:val="16"/>
                <w:szCs w:val="16"/>
              </w:rPr>
              <w:t>Renforcement de l’engagement réel des parties prenantes non gouvernementales lors des manifestations de l’OMPI et vice</w:t>
            </w:r>
            <w:r w:rsidRPr="00C258AD">
              <w:rPr>
                <w:sz w:val="16"/>
                <w:szCs w:val="16"/>
              </w:rPr>
              <w:noBreakHyphen/>
              <w:t>versa</w:t>
            </w:r>
          </w:p>
        </w:tc>
        <w:tc>
          <w:tcPr>
            <w:tcW w:w="816" w:type="pct"/>
            <w:tcBorders>
              <w:bottom w:val="single" w:sz="4" w:space="0" w:color="auto"/>
            </w:tcBorders>
            <w:shd w:val="clear" w:color="auto" w:fill="auto"/>
          </w:tcPr>
          <w:p w:rsidR="00C258AD" w:rsidRPr="00C258AD" w:rsidRDefault="00C258AD" w:rsidP="00927E1F">
            <w:pPr>
              <w:rPr>
                <w:i/>
                <w:color w:val="002060"/>
                <w:sz w:val="16"/>
                <w:szCs w:val="16"/>
              </w:rPr>
            </w:pPr>
            <w:r w:rsidRPr="00C258AD">
              <w:rPr>
                <w:i/>
                <w:color w:val="002060"/>
                <w:sz w:val="16"/>
                <w:szCs w:val="16"/>
              </w:rPr>
              <w:t>Niveau de référence actualisé fin 2013 :</w:t>
            </w:r>
          </w:p>
          <w:p w:rsidR="00C258AD" w:rsidRPr="00C258AD" w:rsidRDefault="00C258AD" w:rsidP="00927E1F">
            <w:pPr>
              <w:rPr>
                <w:color w:val="002060"/>
                <w:sz w:val="16"/>
                <w:szCs w:val="16"/>
              </w:rPr>
            </w:pPr>
            <w:r w:rsidRPr="00C258AD">
              <w:rPr>
                <w:color w:val="002060"/>
                <w:sz w:val="16"/>
                <w:szCs w:val="16"/>
              </w:rPr>
              <w:t>Au 31 décembre 2013, 227 représentants d’organisations non gouvernementales accréditées à titre permanent ont participé aux réunions du comité de l’OMPI en tant qu’observateurs</w:t>
            </w:r>
          </w:p>
          <w:p w:rsidR="00C258AD" w:rsidRPr="00C258AD" w:rsidRDefault="00C258AD" w:rsidP="00927E1F">
            <w:pPr>
              <w:rPr>
                <w:color w:val="002060"/>
                <w:sz w:val="16"/>
                <w:szCs w:val="16"/>
              </w:rPr>
            </w:pPr>
          </w:p>
          <w:p w:rsidR="00C258AD" w:rsidRPr="00C258AD" w:rsidRDefault="00C258AD" w:rsidP="00927E1F">
            <w:pPr>
              <w:rPr>
                <w:i/>
                <w:sz w:val="16"/>
                <w:szCs w:val="16"/>
              </w:rPr>
            </w:pPr>
            <w:r w:rsidRPr="00C258AD">
              <w:rPr>
                <w:i/>
                <w:sz w:val="16"/>
                <w:szCs w:val="16"/>
              </w:rPr>
              <w:t>Niveau de référence initial programme et budget 2014</w:t>
            </w:r>
            <w:r w:rsidRPr="00C258AD">
              <w:rPr>
                <w:i/>
                <w:sz w:val="16"/>
                <w:szCs w:val="16"/>
              </w:rPr>
              <w:noBreakHyphen/>
              <w:t>2015 :</w:t>
            </w:r>
            <w:r w:rsidRPr="00C258AD">
              <w:rPr>
                <w:sz w:val="16"/>
                <w:szCs w:val="16"/>
              </w:rPr>
              <w:t xml:space="preserve"> à déterminer</w:t>
            </w:r>
          </w:p>
        </w:tc>
        <w:tc>
          <w:tcPr>
            <w:tcW w:w="966" w:type="pct"/>
            <w:gridSpan w:val="2"/>
            <w:tcBorders>
              <w:bottom w:val="single" w:sz="4" w:space="0" w:color="auto"/>
            </w:tcBorders>
            <w:shd w:val="clear" w:color="auto" w:fill="auto"/>
            <w:tcMar>
              <w:top w:w="110" w:type="dxa"/>
            </w:tcMar>
          </w:tcPr>
          <w:p w:rsidR="00C258AD" w:rsidRPr="00C258AD" w:rsidRDefault="00C258AD" w:rsidP="00927E1F">
            <w:pPr>
              <w:rPr>
                <w:sz w:val="16"/>
                <w:szCs w:val="16"/>
              </w:rPr>
            </w:pPr>
            <w:r w:rsidRPr="00C258AD">
              <w:rPr>
                <w:sz w:val="16"/>
                <w:szCs w:val="16"/>
              </w:rPr>
              <w:t>Augmentation de 10% de l’engagement des différentes parties prenantes</w:t>
            </w:r>
          </w:p>
        </w:tc>
        <w:tc>
          <w:tcPr>
            <w:tcW w:w="1673" w:type="pct"/>
            <w:tcBorders>
              <w:bottom w:val="single" w:sz="4" w:space="0" w:color="auto"/>
            </w:tcBorders>
            <w:shd w:val="clear" w:color="auto" w:fill="FFFFFF"/>
            <w:tcMar>
              <w:top w:w="110" w:type="dxa"/>
            </w:tcMar>
          </w:tcPr>
          <w:p w:rsidR="00C258AD" w:rsidRPr="00C258AD" w:rsidRDefault="00C258AD" w:rsidP="00927E1F">
            <w:pPr>
              <w:rPr>
                <w:sz w:val="16"/>
                <w:szCs w:val="16"/>
              </w:rPr>
            </w:pPr>
            <w:r w:rsidRPr="00C258AD">
              <w:rPr>
                <w:sz w:val="16"/>
                <w:szCs w:val="16"/>
              </w:rPr>
              <w:t>En 2014, 292 représentants d’organisations non gouvernementales accréditées à titre permanent ont participé aux réunions du comité de l’OMPI (13), ce qui représentait 71,4% du nombre total d’observateurs présents à ces réunions.</w:t>
            </w:r>
          </w:p>
          <w:p w:rsidR="00C258AD" w:rsidRPr="00C258AD" w:rsidRDefault="00C258AD" w:rsidP="00927E1F">
            <w:pPr>
              <w:rPr>
                <w:sz w:val="16"/>
                <w:szCs w:val="16"/>
              </w:rPr>
            </w:pPr>
          </w:p>
          <w:p w:rsidR="00C258AD" w:rsidRPr="00C258AD" w:rsidRDefault="00C258AD" w:rsidP="00927E1F">
            <w:pPr>
              <w:rPr>
                <w:sz w:val="16"/>
                <w:szCs w:val="16"/>
              </w:rPr>
            </w:pPr>
            <w:r w:rsidRPr="00C258AD">
              <w:rPr>
                <w:sz w:val="16"/>
                <w:szCs w:val="16"/>
              </w:rPr>
              <w:t>En 2015, 196 représentants d’organisations non gouvernementales accréditées à titre permanent ont participé aux réunions du comité de l’OMPI, ce qui représentait 85,3% du nombre total d’observateurs présents à ces réunions, soit une augmentation de 13,9 points de pourcentage par rapport à 2014.</w:t>
            </w:r>
          </w:p>
        </w:tc>
        <w:tc>
          <w:tcPr>
            <w:tcW w:w="465" w:type="pct"/>
            <w:tcBorders>
              <w:bottom w:val="single" w:sz="4" w:space="0" w:color="auto"/>
            </w:tcBorders>
            <w:shd w:val="clear" w:color="auto" w:fill="auto"/>
            <w:tcMar>
              <w:top w:w="110" w:type="dxa"/>
            </w:tcMar>
          </w:tcPr>
          <w:p w:rsidR="00C258AD" w:rsidRPr="00C258AD" w:rsidRDefault="00C258AD" w:rsidP="00927E1F">
            <w:pPr>
              <w:keepNext/>
              <w:keepLines/>
              <w:jc w:val="center"/>
              <w:rPr>
                <w:b/>
                <w:bCs/>
                <w:color w:val="00B050"/>
                <w:sz w:val="16"/>
                <w:szCs w:val="16"/>
              </w:rPr>
            </w:pPr>
            <w:r w:rsidRPr="00C258AD">
              <w:rPr>
                <w:b/>
                <w:bCs/>
                <w:color w:val="00B050"/>
                <w:sz w:val="16"/>
              </w:rPr>
              <w:t>Objectif pleinement atteint</w:t>
            </w:r>
          </w:p>
        </w:tc>
      </w:tr>
      <w:tr w:rsidR="00C258AD" w:rsidRPr="00C258AD" w:rsidTr="00927E1F">
        <w:trPr>
          <w:cantSplit/>
        </w:trPr>
        <w:tc>
          <w:tcPr>
            <w:tcW w:w="5000" w:type="pct"/>
            <w:gridSpan w:val="6"/>
            <w:tcBorders>
              <w:top w:val="single" w:sz="4" w:space="0" w:color="auto"/>
              <w:bottom w:val="single" w:sz="4" w:space="0" w:color="auto"/>
            </w:tcBorders>
            <w:shd w:val="clear" w:color="auto" w:fill="BFD9F1"/>
          </w:tcPr>
          <w:p w:rsidR="00C258AD" w:rsidRPr="00C258AD" w:rsidRDefault="00C258AD" w:rsidP="00927E1F">
            <w:pPr>
              <w:keepNext/>
              <w:rPr>
                <w:sz w:val="16"/>
                <w:szCs w:val="16"/>
              </w:rPr>
            </w:pPr>
            <w:r w:rsidRPr="00C258AD">
              <w:rPr>
                <w:b/>
                <w:sz w:val="16"/>
                <w:szCs w:val="16"/>
              </w:rPr>
              <w:lastRenderedPageBreak/>
              <w:t xml:space="preserve">Résultat escompté : </w:t>
            </w:r>
            <w:r w:rsidRPr="00C258AD">
              <w:rPr>
                <w:sz w:val="16"/>
                <w:szCs w:val="16"/>
              </w:rPr>
              <w:t>VIII.5 L’OMPI collabore efficacement avec d’autres processus et instances de négociation de l’ONU et d’autres organisations intergouvernementales</w:t>
            </w:r>
          </w:p>
        </w:tc>
      </w:tr>
      <w:tr w:rsidR="00C258AD" w:rsidRPr="00C258AD" w:rsidTr="00927E1F">
        <w:trPr>
          <w:cantSplit/>
        </w:trPr>
        <w:tc>
          <w:tcPr>
            <w:tcW w:w="1080" w:type="pct"/>
            <w:tcBorders>
              <w:top w:val="single" w:sz="4" w:space="0" w:color="auto"/>
            </w:tcBorders>
            <w:shd w:val="clear" w:color="auto" w:fill="auto"/>
            <w:vAlign w:val="center"/>
          </w:tcPr>
          <w:p w:rsidR="00C258AD" w:rsidRPr="00C258AD" w:rsidRDefault="00C258AD" w:rsidP="00927E1F">
            <w:pPr>
              <w:keepNext/>
              <w:jc w:val="center"/>
              <w:rPr>
                <w:sz w:val="16"/>
                <w:szCs w:val="16"/>
              </w:rPr>
            </w:pPr>
            <w:r w:rsidRPr="00C258AD">
              <w:rPr>
                <w:b/>
                <w:sz w:val="16"/>
                <w:szCs w:val="16"/>
              </w:rPr>
              <w:t>Indicateurs d’exécution</w:t>
            </w:r>
          </w:p>
        </w:tc>
        <w:tc>
          <w:tcPr>
            <w:tcW w:w="816" w:type="pct"/>
            <w:tcBorders>
              <w:top w:val="single" w:sz="4" w:space="0" w:color="auto"/>
            </w:tcBorders>
            <w:shd w:val="clear" w:color="auto" w:fill="auto"/>
            <w:vAlign w:val="center"/>
          </w:tcPr>
          <w:p w:rsidR="00C258AD" w:rsidRPr="00C258AD" w:rsidRDefault="00C258AD" w:rsidP="00927E1F">
            <w:pPr>
              <w:keepNext/>
              <w:jc w:val="center"/>
              <w:rPr>
                <w:i/>
                <w:sz w:val="16"/>
                <w:szCs w:val="16"/>
              </w:rPr>
            </w:pPr>
            <w:r w:rsidRPr="00C258AD">
              <w:rPr>
                <w:b/>
                <w:sz w:val="16"/>
                <w:szCs w:val="16"/>
              </w:rPr>
              <w:t>Niveaux de référence</w:t>
            </w:r>
          </w:p>
        </w:tc>
        <w:tc>
          <w:tcPr>
            <w:tcW w:w="966" w:type="pct"/>
            <w:gridSpan w:val="2"/>
            <w:tcBorders>
              <w:top w:val="single" w:sz="4" w:space="0" w:color="auto"/>
            </w:tcBorders>
            <w:shd w:val="clear" w:color="auto" w:fill="auto"/>
            <w:tcMar>
              <w:top w:w="110" w:type="dxa"/>
            </w:tcMar>
            <w:vAlign w:val="center"/>
          </w:tcPr>
          <w:p w:rsidR="00C258AD" w:rsidRPr="00C258AD" w:rsidRDefault="00C258AD" w:rsidP="00927E1F">
            <w:pPr>
              <w:keepNext/>
              <w:jc w:val="center"/>
              <w:rPr>
                <w:sz w:val="16"/>
                <w:szCs w:val="16"/>
              </w:rPr>
            </w:pPr>
            <w:r w:rsidRPr="00C258AD">
              <w:rPr>
                <w:b/>
                <w:sz w:val="16"/>
                <w:szCs w:val="16"/>
              </w:rPr>
              <w:t>Objectifs visés</w:t>
            </w:r>
          </w:p>
        </w:tc>
        <w:tc>
          <w:tcPr>
            <w:tcW w:w="1673" w:type="pct"/>
            <w:tcBorders>
              <w:top w:val="single" w:sz="4" w:space="0" w:color="auto"/>
            </w:tcBorders>
            <w:shd w:val="clear" w:color="auto" w:fill="FFFFFF"/>
            <w:tcMar>
              <w:top w:w="110" w:type="dxa"/>
            </w:tcMar>
            <w:vAlign w:val="center"/>
          </w:tcPr>
          <w:p w:rsidR="00C258AD" w:rsidRPr="00C258AD" w:rsidRDefault="00C258AD" w:rsidP="00927E1F">
            <w:pPr>
              <w:keepNext/>
              <w:jc w:val="center"/>
              <w:rPr>
                <w:sz w:val="16"/>
                <w:szCs w:val="16"/>
              </w:rPr>
            </w:pPr>
            <w:r w:rsidRPr="00C258AD">
              <w:rPr>
                <w:b/>
                <w:sz w:val="16"/>
                <w:szCs w:val="16"/>
              </w:rPr>
              <w:t>Données relatives à l’exécution</w:t>
            </w:r>
          </w:p>
        </w:tc>
        <w:tc>
          <w:tcPr>
            <w:tcW w:w="465" w:type="pct"/>
            <w:tcBorders>
              <w:top w:val="single" w:sz="4" w:space="0" w:color="auto"/>
            </w:tcBorders>
            <w:shd w:val="clear" w:color="auto" w:fill="auto"/>
            <w:tcMar>
              <w:top w:w="110" w:type="dxa"/>
            </w:tcMar>
            <w:vAlign w:val="center"/>
          </w:tcPr>
          <w:p w:rsidR="00C258AD" w:rsidRPr="00C258AD" w:rsidRDefault="00C258AD" w:rsidP="00927E1F">
            <w:pPr>
              <w:keepNext/>
              <w:keepLines/>
              <w:jc w:val="center"/>
              <w:rPr>
                <w:bCs/>
                <w:color w:val="808080"/>
                <w:sz w:val="16"/>
                <w:szCs w:val="16"/>
              </w:rPr>
            </w:pPr>
            <w:r w:rsidRPr="00C258AD">
              <w:rPr>
                <w:b/>
                <w:sz w:val="16"/>
                <w:szCs w:val="16"/>
              </w:rPr>
              <w:t>Code de couleurs</w:t>
            </w:r>
          </w:p>
        </w:tc>
      </w:tr>
      <w:tr w:rsidR="00C258AD" w:rsidRPr="00C258AD" w:rsidTr="00927E1F">
        <w:trPr>
          <w:cantSplit/>
        </w:trPr>
        <w:tc>
          <w:tcPr>
            <w:tcW w:w="1080" w:type="pct"/>
            <w:shd w:val="clear" w:color="auto" w:fill="auto"/>
          </w:tcPr>
          <w:p w:rsidR="00C258AD" w:rsidRPr="00C258AD" w:rsidRDefault="00C258AD" w:rsidP="00927E1F">
            <w:pPr>
              <w:rPr>
                <w:sz w:val="16"/>
                <w:szCs w:val="16"/>
              </w:rPr>
            </w:pPr>
            <w:r w:rsidRPr="00C258AD">
              <w:rPr>
                <w:sz w:val="16"/>
                <w:szCs w:val="16"/>
              </w:rPr>
              <w:t>Utilisation des contributions de l’OMPI dans les rapports, les résolutions et les documents des processus ciblés</w:t>
            </w:r>
          </w:p>
        </w:tc>
        <w:tc>
          <w:tcPr>
            <w:tcW w:w="816" w:type="pct"/>
            <w:shd w:val="clear" w:color="auto" w:fill="auto"/>
          </w:tcPr>
          <w:p w:rsidR="00C258AD" w:rsidRPr="00C258AD" w:rsidRDefault="00C258AD" w:rsidP="00927E1F">
            <w:pPr>
              <w:rPr>
                <w:i/>
                <w:color w:val="002060"/>
                <w:sz w:val="16"/>
                <w:szCs w:val="16"/>
              </w:rPr>
            </w:pPr>
            <w:r w:rsidRPr="00C258AD">
              <w:rPr>
                <w:i/>
                <w:color w:val="002060"/>
                <w:sz w:val="16"/>
                <w:szCs w:val="16"/>
              </w:rPr>
              <w:t>Niveau de référence actualisé fin</w:t>
            </w:r>
            <w:r w:rsidRPr="00C258AD">
              <w:rPr>
                <w:color w:val="002060"/>
                <w:sz w:val="16"/>
                <w:szCs w:val="16"/>
              </w:rPr>
              <w:t xml:space="preserve"> </w:t>
            </w:r>
            <w:r w:rsidRPr="00C258AD">
              <w:rPr>
                <w:i/>
                <w:color w:val="002060"/>
                <w:sz w:val="16"/>
                <w:szCs w:val="16"/>
              </w:rPr>
              <w:t>2013</w:t>
            </w:r>
            <w:r w:rsidRPr="00C258AD">
              <w:rPr>
                <w:color w:val="002060"/>
                <w:sz w:val="16"/>
                <w:szCs w:val="16"/>
              </w:rPr>
              <w:t> :</w:t>
            </w:r>
          </w:p>
          <w:p w:rsidR="00C258AD" w:rsidRPr="00C258AD" w:rsidRDefault="00C258AD" w:rsidP="00927E1F">
            <w:pPr>
              <w:rPr>
                <w:color w:val="002060"/>
                <w:sz w:val="16"/>
                <w:szCs w:val="16"/>
              </w:rPr>
            </w:pPr>
            <w:r w:rsidRPr="00C258AD">
              <w:rPr>
                <w:color w:val="002060"/>
                <w:sz w:val="16"/>
                <w:szCs w:val="16"/>
              </w:rPr>
              <w:t>38 contributions en 2012</w:t>
            </w:r>
            <w:r w:rsidRPr="00C258AD">
              <w:rPr>
                <w:color w:val="002060"/>
                <w:sz w:val="16"/>
                <w:szCs w:val="16"/>
              </w:rPr>
              <w:noBreakHyphen/>
              <w:t>2013 qui toutes ont été accueillies avec satisfaction.</w:t>
            </w:r>
          </w:p>
          <w:p w:rsidR="00C258AD" w:rsidRPr="00C258AD" w:rsidRDefault="00C258AD" w:rsidP="00927E1F">
            <w:pPr>
              <w:rPr>
                <w:color w:val="002060"/>
                <w:sz w:val="16"/>
                <w:szCs w:val="16"/>
              </w:rPr>
            </w:pPr>
          </w:p>
          <w:p w:rsidR="00C258AD" w:rsidRPr="00C258AD" w:rsidRDefault="00C258AD" w:rsidP="00927E1F">
            <w:pPr>
              <w:rPr>
                <w:i/>
                <w:sz w:val="16"/>
                <w:szCs w:val="16"/>
              </w:rPr>
            </w:pPr>
            <w:r w:rsidRPr="00C258AD">
              <w:rPr>
                <w:i/>
                <w:sz w:val="16"/>
                <w:szCs w:val="16"/>
              </w:rPr>
              <w:t>Niveau de référence initial programme et budget 2014</w:t>
            </w:r>
            <w:r w:rsidRPr="00C258AD">
              <w:rPr>
                <w:i/>
                <w:sz w:val="16"/>
                <w:szCs w:val="16"/>
              </w:rPr>
              <w:noBreakHyphen/>
              <w:t>2015</w:t>
            </w:r>
            <w:r w:rsidRPr="00C258AD">
              <w:rPr>
                <w:sz w:val="16"/>
                <w:szCs w:val="16"/>
              </w:rPr>
              <w:t> :</w:t>
            </w:r>
          </w:p>
          <w:p w:rsidR="00C258AD" w:rsidRPr="00C258AD" w:rsidRDefault="00C258AD" w:rsidP="00927E1F">
            <w:pPr>
              <w:rPr>
                <w:sz w:val="16"/>
                <w:szCs w:val="16"/>
              </w:rPr>
            </w:pPr>
            <w:r w:rsidRPr="00C258AD">
              <w:rPr>
                <w:sz w:val="16"/>
                <w:szCs w:val="16"/>
              </w:rPr>
              <w:t>20 sur 24 (fin 2011)</w:t>
            </w:r>
          </w:p>
        </w:tc>
        <w:tc>
          <w:tcPr>
            <w:tcW w:w="966" w:type="pct"/>
            <w:gridSpan w:val="2"/>
            <w:shd w:val="clear" w:color="auto" w:fill="auto"/>
            <w:tcMar>
              <w:top w:w="110" w:type="dxa"/>
            </w:tcMar>
          </w:tcPr>
          <w:p w:rsidR="00C258AD" w:rsidRPr="00C258AD" w:rsidRDefault="00C258AD" w:rsidP="00927E1F">
            <w:pPr>
              <w:rPr>
                <w:sz w:val="16"/>
                <w:szCs w:val="16"/>
              </w:rPr>
            </w:pPr>
            <w:r w:rsidRPr="00C258AD">
              <w:rPr>
                <w:sz w:val="16"/>
                <w:szCs w:val="16"/>
              </w:rPr>
              <w:t>100% d’utilisation</w:t>
            </w:r>
          </w:p>
        </w:tc>
        <w:tc>
          <w:tcPr>
            <w:tcW w:w="1673" w:type="pct"/>
            <w:shd w:val="clear" w:color="auto" w:fill="FFFFFF"/>
            <w:tcMar>
              <w:top w:w="110" w:type="dxa"/>
            </w:tcMar>
          </w:tcPr>
          <w:p w:rsidR="00C258AD" w:rsidRPr="00C258AD" w:rsidRDefault="00C258AD" w:rsidP="00927E1F">
            <w:pPr>
              <w:rPr>
                <w:sz w:val="16"/>
                <w:szCs w:val="16"/>
              </w:rPr>
            </w:pPr>
            <w:r w:rsidRPr="00C258AD">
              <w:rPr>
                <w:sz w:val="16"/>
                <w:szCs w:val="16"/>
              </w:rPr>
              <w:t>33 contributions en 2014</w:t>
            </w:r>
            <w:r w:rsidRPr="00C258AD">
              <w:rPr>
                <w:sz w:val="16"/>
                <w:szCs w:val="16"/>
              </w:rPr>
              <w:noBreakHyphen/>
              <w:t>2015 qui toutes ont été accueillies avec satisfaction.</w:t>
            </w:r>
          </w:p>
        </w:tc>
        <w:tc>
          <w:tcPr>
            <w:tcW w:w="465" w:type="pct"/>
            <w:shd w:val="clear" w:color="auto" w:fill="auto"/>
            <w:tcMar>
              <w:top w:w="110" w:type="dxa"/>
            </w:tcMar>
          </w:tcPr>
          <w:p w:rsidR="00C258AD" w:rsidRPr="00C258AD" w:rsidRDefault="00C258AD" w:rsidP="00927E1F">
            <w:pPr>
              <w:keepNext/>
              <w:keepLines/>
              <w:jc w:val="center"/>
              <w:rPr>
                <w:b/>
                <w:bCs/>
                <w:color w:val="00B050"/>
                <w:sz w:val="16"/>
                <w:szCs w:val="16"/>
              </w:rPr>
            </w:pPr>
            <w:r w:rsidRPr="00C258AD">
              <w:rPr>
                <w:b/>
                <w:bCs/>
                <w:color w:val="00B050"/>
                <w:sz w:val="16"/>
              </w:rPr>
              <w:t>Objectif pleinement atteint</w:t>
            </w:r>
          </w:p>
        </w:tc>
      </w:tr>
      <w:tr w:rsidR="00C258AD" w:rsidRPr="00C258AD" w:rsidTr="00927E1F">
        <w:trPr>
          <w:cantSplit/>
        </w:trPr>
        <w:tc>
          <w:tcPr>
            <w:tcW w:w="1080" w:type="pct"/>
            <w:shd w:val="clear" w:color="auto" w:fill="auto"/>
          </w:tcPr>
          <w:p w:rsidR="00C258AD" w:rsidRPr="00C258AD" w:rsidRDefault="00C258AD" w:rsidP="00927E1F">
            <w:pPr>
              <w:rPr>
                <w:sz w:val="16"/>
                <w:szCs w:val="16"/>
              </w:rPr>
            </w:pPr>
            <w:r w:rsidRPr="00C258AD">
              <w:rPr>
                <w:sz w:val="16"/>
                <w:szCs w:val="16"/>
              </w:rPr>
              <w:t>Pourcentage de réponses aux demandes externes de contributions émanant des Nations Unies, des organisations intergouvernementales, etc., soumises à temps</w:t>
            </w:r>
          </w:p>
        </w:tc>
        <w:tc>
          <w:tcPr>
            <w:tcW w:w="816" w:type="pct"/>
            <w:shd w:val="clear" w:color="auto" w:fill="auto"/>
          </w:tcPr>
          <w:p w:rsidR="00C258AD" w:rsidRPr="00C258AD" w:rsidRDefault="00C258AD" w:rsidP="00927E1F">
            <w:pPr>
              <w:rPr>
                <w:i/>
                <w:color w:val="002060"/>
                <w:sz w:val="16"/>
                <w:szCs w:val="16"/>
              </w:rPr>
            </w:pPr>
            <w:r w:rsidRPr="00C258AD">
              <w:rPr>
                <w:i/>
                <w:color w:val="002060"/>
                <w:sz w:val="16"/>
                <w:szCs w:val="16"/>
              </w:rPr>
              <w:t>Niveau de référence actualisé fin 2013</w:t>
            </w:r>
            <w:r w:rsidRPr="00C258AD">
              <w:rPr>
                <w:color w:val="002060"/>
                <w:sz w:val="16"/>
                <w:szCs w:val="16"/>
              </w:rPr>
              <w:t> :</w:t>
            </w:r>
          </w:p>
          <w:p w:rsidR="00C258AD" w:rsidRPr="00C258AD" w:rsidRDefault="00C258AD" w:rsidP="00927E1F">
            <w:pPr>
              <w:rPr>
                <w:color w:val="002060"/>
                <w:sz w:val="16"/>
                <w:szCs w:val="16"/>
              </w:rPr>
            </w:pPr>
            <w:r w:rsidRPr="00C258AD">
              <w:rPr>
                <w:color w:val="002060"/>
                <w:sz w:val="16"/>
                <w:szCs w:val="16"/>
              </w:rPr>
              <w:t>90,5% traitées dans les cinq jours de travail</w:t>
            </w:r>
          </w:p>
          <w:p w:rsidR="00C258AD" w:rsidRPr="00C258AD" w:rsidRDefault="00C258AD" w:rsidP="00927E1F">
            <w:pPr>
              <w:rPr>
                <w:sz w:val="16"/>
                <w:szCs w:val="16"/>
              </w:rPr>
            </w:pPr>
          </w:p>
          <w:p w:rsidR="00C258AD" w:rsidRPr="00C258AD" w:rsidRDefault="00C258AD" w:rsidP="00927E1F">
            <w:pPr>
              <w:rPr>
                <w:i/>
                <w:sz w:val="16"/>
                <w:szCs w:val="16"/>
              </w:rPr>
            </w:pPr>
            <w:r w:rsidRPr="00C258AD">
              <w:rPr>
                <w:i/>
                <w:sz w:val="16"/>
                <w:szCs w:val="16"/>
              </w:rPr>
              <w:t>Niveau de référence initial programme et budget 2014</w:t>
            </w:r>
            <w:r w:rsidRPr="00C258AD">
              <w:rPr>
                <w:i/>
                <w:sz w:val="16"/>
                <w:szCs w:val="16"/>
              </w:rPr>
              <w:noBreakHyphen/>
              <w:t>2015</w:t>
            </w:r>
            <w:r w:rsidRPr="00C258AD">
              <w:rPr>
                <w:sz w:val="16"/>
                <w:szCs w:val="16"/>
              </w:rPr>
              <w:t> :</w:t>
            </w:r>
          </w:p>
          <w:p w:rsidR="00C258AD" w:rsidRPr="00C258AD" w:rsidRDefault="00C258AD" w:rsidP="00927E1F">
            <w:pPr>
              <w:rPr>
                <w:sz w:val="16"/>
                <w:szCs w:val="16"/>
              </w:rPr>
            </w:pPr>
            <w:r w:rsidRPr="00C258AD">
              <w:rPr>
                <w:sz w:val="16"/>
                <w:szCs w:val="16"/>
              </w:rPr>
              <w:t>à déterminer (données 2012)</w:t>
            </w:r>
          </w:p>
        </w:tc>
        <w:tc>
          <w:tcPr>
            <w:tcW w:w="966" w:type="pct"/>
            <w:gridSpan w:val="2"/>
            <w:shd w:val="clear" w:color="auto" w:fill="auto"/>
            <w:tcMar>
              <w:top w:w="110" w:type="dxa"/>
            </w:tcMar>
          </w:tcPr>
          <w:p w:rsidR="00C258AD" w:rsidRPr="00C258AD" w:rsidRDefault="00C258AD" w:rsidP="00927E1F">
            <w:pPr>
              <w:rPr>
                <w:sz w:val="16"/>
                <w:szCs w:val="16"/>
              </w:rPr>
            </w:pPr>
            <w:r w:rsidRPr="00C258AD">
              <w:rPr>
                <w:sz w:val="16"/>
                <w:szCs w:val="16"/>
              </w:rPr>
              <w:t>100%</w:t>
            </w:r>
          </w:p>
        </w:tc>
        <w:tc>
          <w:tcPr>
            <w:tcW w:w="1673" w:type="pct"/>
            <w:shd w:val="clear" w:color="auto" w:fill="FFFFFF"/>
            <w:tcMar>
              <w:top w:w="110" w:type="dxa"/>
            </w:tcMar>
          </w:tcPr>
          <w:p w:rsidR="00C258AD" w:rsidRPr="00C258AD" w:rsidRDefault="00C258AD" w:rsidP="00927E1F">
            <w:pPr>
              <w:rPr>
                <w:sz w:val="16"/>
                <w:szCs w:val="16"/>
              </w:rPr>
            </w:pPr>
            <w:r w:rsidRPr="00C258AD">
              <w:rPr>
                <w:sz w:val="16"/>
                <w:szCs w:val="16"/>
              </w:rPr>
              <w:t>254 des 273 (93%) réponses soumises dans les délais (sous 5 jours ouvrables)</w:t>
            </w:r>
          </w:p>
        </w:tc>
        <w:tc>
          <w:tcPr>
            <w:tcW w:w="465" w:type="pct"/>
            <w:shd w:val="clear" w:color="auto" w:fill="auto"/>
            <w:tcMar>
              <w:top w:w="110" w:type="dxa"/>
            </w:tcMar>
          </w:tcPr>
          <w:p w:rsidR="00C258AD" w:rsidRPr="00C258AD" w:rsidRDefault="00C258AD" w:rsidP="00927E1F">
            <w:pPr>
              <w:keepNext/>
              <w:keepLines/>
              <w:jc w:val="center"/>
              <w:rPr>
                <w:b/>
                <w:bCs/>
                <w:color w:val="00B050"/>
                <w:sz w:val="16"/>
                <w:szCs w:val="16"/>
              </w:rPr>
            </w:pPr>
            <w:r w:rsidRPr="00C258AD">
              <w:rPr>
                <w:b/>
                <w:bCs/>
                <w:color w:val="00B050"/>
                <w:sz w:val="16"/>
              </w:rPr>
              <w:t>Objectif pleinement atteint</w:t>
            </w:r>
          </w:p>
        </w:tc>
      </w:tr>
      <w:tr w:rsidR="00C258AD" w:rsidRPr="00C258AD" w:rsidTr="00927E1F">
        <w:trPr>
          <w:cantSplit/>
        </w:trPr>
        <w:tc>
          <w:tcPr>
            <w:tcW w:w="1080" w:type="pct"/>
            <w:shd w:val="clear" w:color="auto" w:fill="auto"/>
          </w:tcPr>
          <w:p w:rsidR="00C258AD" w:rsidRPr="00C258AD" w:rsidRDefault="00C258AD" w:rsidP="00927E1F">
            <w:pPr>
              <w:rPr>
                <w:sz w:val="16"/>
                <w:szCs w:val="16"/>
              </w:rPr>
            </w:pPr>
            <w:r w:rsidRPr="00C258AD">
              <w:rPr>
                <w:sz w:val="16"/>
                <w:szCs w:val="16"/>
              </w:rPr>
              <w:t>Nombre de programmes de propriété intellectuelle mis en œuvre conjointement avec d’autres organismes des Nations Unies et d’autres organisations intergouvernementales</w:t>
            </w:r>
          </w:p>
        </w:tc>
        <w:tc>
          <w:tcPr>
            <w:tcW w:w="816" w:type="pct"/>
            <w:shd w:val="clear" w:color="auto" w:fill="auto"/>
          </w:tcPr>
          <w:p w:rsidR="00C258AD" w:rsidRPr="00C258AD" w:rsidRDefault="00C258AD" w:rsidP="00927E1F">
            <w:pPr>
              <w:rPr>
                <w:sz w:val="16"/>
                <w:szCs w:val="16"/>
              </w:rPr>
            </w:pPr>
            <w:r w:rsidRPr="00C258AD">
              <w:rPr>
                <w:sz w:val="16"/>
                <w:szCs w:val="16"/>
              </w:rPr>
              <w:t>0 (zéro) (Bureau de l’OMPI à Singapour)</w:t>
            </w:r>
          </w:p>
        </w:tc>
        <w:tc>
          <w:tcPr>
            <w:tcW w:w="966" w:type="pct"/>
            <w:gridSpan w:val="2"/>
            <w:shd w:val="clear" w:color="auto" w:fill="auto"/>
            <w:tcMar>
              <w:top w:w="110" w:type="dxa"/>
            </w:tcMar>
          </w:tcPr>
          <w:p w:rsidR="00C258AD" w:rsidRPr="00C258AD" w:rsidRDefault="00C258AD" w:rsidP="00927E1F">
            <w:pPr>
              <w:rPr>
                <w:sz w:val="16"/>
                <w:szCs w:val="16"/>
              </w:rPr>
            </w:pPr>
            <w:r w:rsidRPr="00C258AD">
              <w:rPr>
                <w:sz w:val="16"/>
                <w:szCs w:val="16"/>
              </w:rPr>
              <w:t>2% (Bureau de l’OMPI à Singapour)</w:t>
            </w:r>
          </w:p>
        </w:tc>
        <w:tc>
          <w:tcPr>
            <w:tcW w:w="1673" w:type="pct"/>
            <w:shd w:val="clear" w:color="auto" w:fill="FFFFFF"/>
            <w:tcMar>
              <w:top w:w="110" w:type="dxa"/>
            </w:tcMar>
          </w:tcPr>
          <w:p w:rsidR="00C258AD" w:rsidRPr="00C258AD" w:rsidRDefault="00C258AD" w:rsidP="00C258AD">
            <w:pPr>
              <w:pStyle w:val="ListParagraph"/>
              <w:numPr>
                <w:ilvl w:val="0"/>
                <w:numId w:val="91"/>
              </w:numPr>
              <w:ind w:left="284" w:hanging="284"/>
              <w:rPr>
                <w:rFonts w:eastAsia="SimSun"/>
                <w:sz w:val="16"/>
                <w:szCs w:val="16"/>
                <w:lang w:eastAsia="zh-CN"/>
              </w:rPr>
            </w:pPr>
            <w:r w:rsidRPr="00C258AD">
              <w:rPr>
                <w:rFonts w:eastAsia="SimSun"/>
                <w:sz w:val="16"/>
                <w:szCs w:val="16"/>
                <w:lang w:eastAsia="zh-CN"/>
              </w:rPr>
              <w:t>Deux manifestations avec des organismes des Nations Unies (PNUE et ONUDI)</w:t>
            </w:r>
          </w:p>
          <w:p w:rsidR="00C258AD" w:rsidRPr="00C258AD" w:rsidRDefault="00C258AD" w:rsidP="00C258AD">
            <w:pPr>
              <w:pStyle w:val="ListParagraph"/>
              <w:numPr>
                <w:ilvl w:val="0"/>
                <w:numId w:val="91"/>
              </w:numPr>
              <w:ind w:left="284" w:hanging="284"/>
              <w:rPr>
                <w:rFonts w:eastAsia="SimSun"/>
                <w:sz w:val="16"/>
                <w:szCs w:val="16"/>
                <w:lang w:eastAsia="zh-CN"/>
              </w:rPr>
            </w:pPr>
            <w:r w:rsidRPr="00C258AD">
              <w:rPr>
                <w:rFonts w:eastAsia="SimSun"/>
                <w:sz w:val="16"/>
                <w:szCs w:val="16"/>
                <w:lang w:eastAsia="zh-CN"/>
              </w:rPr>
              <w:t>Plusieurs manifestations avec l’Accord de libre</w:t>
            </w:r>
            <w:r w:rsidRPr="00C258AD">
              <w:rPr>
                <w:rFonts w:eastAsia="SimSun"/>
                <w:sz w:val="16"/>
                <w:szCs w:val="16"/>
                <w:lang w:eastAsia="zh-CN"/>
              </w:rPr>
              <w:noBreakHyphen/>
              <w:t>échange ASEAN</w:t>
            </w:r>
            <w:r w:rsidRPr="00C258AD">
              <w:rPr>
                <w:rFonts w:eastAsia="SimSun"/>
                <w:sz w:val="16"/>
                <w:szCs w:val="16"/>
                <w:lang w:eastAsia="zh-CN"/>
              </w:rPr>
              <w:noBreakHyphen/>
              <w:t>Australie</w:t>
            </w:r>
            <w:r w:rsidRPr="00C258AD">
              <w:rPr>
                <w:rFonts w:eastAsia="SimSun"/>
                <w:sz w:val="16"/>
                <w:szCs w:val="16"/>
                <w:lang w:eastAsia="zh-CN"/>
              </w:rPr>
              <w:noBreakHyphen/>
              <w:t>Nouvelle</w:t>
            </w:r>
            <w:r w:rsidRPr="00C258AD">
              <w:rPr>
                <w:rFonts w:eastAsia="SimSun"/>
                <w:sz w:val="16"/>
                <w:szCs w:val="16"/>
                <w:lang w:eastAsia="zh-CN"/>
              </w:rPr>
              <w:noBreakHyphen/>
              <w:t>Zélande (AANZFTA), le Secrétariat de l’ASEAN, l’Organisation de coopération économique Asie Pacifique (APEC) et l’Office de l’harmonisation dans le marché intérieur/Projet UE</w:t>
            </w:r>
            <w:r w:rsidRPr="00C258AD">
              <w:rPr>
                <w:rFonts w:eastAsia="SimSun"/>
                <w:sz w:val="16"/>
                <w:szCs w:val="16"/>
                <w:lang w:eastAsia="zh-CN"/>
              </w:rPr>
              <w:noBreakHyphen/>
              <w:t>ASEAN sur la protection des droits de propriété intellectuelle (OHMI/ECAP III)</w:t>
            </w:r>
          </w:p>
          <w:p w:rsidR="00C258AD" w:rsidRPr="00C258AD" w:rsidRDefault="00C258AD" w:rsidP="00C258AD">
            <w:pPr>
              <w:pStyle w:val="ListParagraph"/>
              <w:numPr>
                <w:ilvl w:val="0"/>
                <w:numId w:val="91"/>
              </w:numPr>
              <w:ind w:left="266" w:hanging="266"/>
              <w:rPr>
                <w:rFonts w:eastAsia="SimSun"/>
                <w:sz w:val="16"/>
                <w:szCs w:val="16"/>
                <w:lang w:eastAsia="zh-CN"/>
              </w:rPr>
            </w:pPr>
            <w:r w:rsidRPr="00C258AD">
              <w:rPr>
                <w:rFonts w:eastAsia="SimSun"/>
                <w:sz w:val="16"/>
                <w:szCs w:val="16"/>
                <w:lang w:eastAsia="zh-CN"/>
              </w:rPr>
              <w:t>Un forum des prestataires d’assistance technique en matière de propriété intellectuelle</w:t>
            </w:r>
          </w:p>
          <w:p w:rsidR="00C258AD" w:rsidRPr="00C258AD" w:rsidRDefault="00C258AD" w:rsidP="00C258AD">
            <w:pPr>
              <w:pStyle w:val="ListParagraph"/>
              <w:numPr>
                <w:ilvl w:val="0"/>
                <w:numId w:val="91"/>
              </w:numPr>
              <w:ind w:left="266" w:hanging="266"/>
              <w:rPr>
                <w:rFonts w:eastAsia="SimSun"/>
                <w:sz w:val="16"/>
                <w:szCs w:val="16"/>
                <w:lang w:eastAsia="zh-CN"/>
              </w:rPr>
            </w:pPr>
            <w:r w:rsidRPr="00C258AD">
              <w:rPr>
                <w:rFonts w:eastAsia="SimSun"/>
                <w:sz w:val="16"/>
                <w:szCs w:val="16"/>
                <w:lang w:eastAsia="zh-CN"/>
              </w:rPr>
              <w:t>Manifestation conjointe avec le</w:t>
            </w:r>
            <w:r w:rsidRPr="00C258AD">
              <w:rPr>
                <w:rFonts w:eastAsia="SimSun"/>
                <w:sz w:val="16"/>
              </w:rPr>
              <w:t xml:space="preserve"> </w:t>
            </w:r>
            <w:r w:rsidRPr="00C258AD">
              <w:rPr>
                <w:rFonts w:eastAsia="SimSun"/>
                <w:sz w:val="16"/>
                <w:szCs w:val="16"/>
                <w:lang w:eastAsia="zh-CN"/>
              </w:rPr>
              <w:t>Conseil de coopération économique du Pacifique à laquelle ont participé huit autres organisations internationales et organisations intergouvernementales</w:t>
            </w:r>
          </w:p>
          <w:p w:rsidR="00C258AD" w:rsidRPr="00C258AD" w:rsidRDefault="00C258AD" w:rsidP="00C258AD">
            <w:pPr>
              <w:pStyle w:val="ListParagraph"/>
              <w:numPr>
                <w:ilvl w:val="0"/>
                <w:numId w:val="91"/>
              </w:numPr>
              <w:ind w:left="284" w:hanging="284"/>
              <w:rPr>
                <w:rFonts w:eastAsia="SimSun"/>
                <w:sz w:val="16"/>
                <w:szCs w:val="16"/>
                <w:lang w:eastAsia="zh-CN"/>
              </w:rPr>
            </w:pPr>
            <w:r w:rsidRPr="00C258AD">
              <w:rPr>
                <w:rFonts w:eastAsia="SimSun"/>
                <w:sz w:val="16"/>
                <w:szCs w:val="16"/>
                <w:lang w:eastAsia="zh-CN"/>
              </w:rPr>
              <w:t>Participation à une manifestation avec l’Association des Nations Unies de Singapour</w:t>
            </w:r>
          </w:p>
          <w:p w:rsidR="00C258AD" w:rsidRPr="00C258AD" w:rsidRDefault="00C258AD" w:rsidP="00C258AD">
            <w:pPr>
              <w:pStyle w:val="ListParagraph"/>
              <w:numPr>
                <w:ilvl w:val="0"/>
                <w:numId w:val="91"/>
              </w:numPr>
              <w:ind w:left="266" w:hanging="266"/>
              <w:contextualSpacing/>
              <w:rPr>
                <w:rFonts w:eastAsia="SimSun"/>
                <w:sz w:val="16"/>
                <w:szCs w:val="16"/>
              </w:rPr>
            </w:pPr>
            <w:r w:rsidRPr="00C258AD">
              <w:rPr>
                <w:rFonts w:eastAsia="SimSun"/>
                <w:sz w:val="16"/>
                <w:szCs w:val="16"/>
                <w:lang w:eastAsia="zh-CN"/>
              </w:rPr>
              <w:t>Participation à une manifestation du groupe pour un partenariat politique en matière de science, de technologie et d’innovation de l’Organisation de coopération économique Asie Pacifique (APEC)</w:t>
            </w:r>
            <w:r w:rsidRPr="00C258AD">
              <w:rPr>
                <w:sz w:val="16"/>
                <w:szCs w:val="16"/>
              </w:rPr>
              <w:t xml:space="preserve"> (Bureau de l’OMPI à Singapour)</w:t>
            </w:r>
          </w:p>
        </w:tc>
        <w:tc>
          <w:tcPr>
            <w:tcW w:w="465" w:type="pct"/>
            <w:shd w:val="clear" w:color="auto" w:fill="auto"/>
            <w:tcMar>
              <w:top w:w="110" w:type="dxa"/>
            </w:tcMar>
          </w:tcPr>
          <w:p w:rsidR="00C258AD" w:rsidRPr="00C258AD" w:rsidRDefault="00C258AD" w:rsidP="00927E1F">
            <w:pPr>
              <w:keepNext/>
              <w:keepLines/>
              <w:jc w:val="center"/>
              <w:rPr>
                <w:b/>
                <w:bCs/>
                <w:color w:val="00B050"/>
                <w:sz w:val="16"/>
                <w:szCs w:val="16"/>
              </w:rPr>
            </w:pPr>
            <w:r w:rsidRPr="00C258AD">
              <w:rPr>
                <w:b/>
                <w:bCs/>
                <w:color w:val="00B050"/>
                <w:sz w:val="16"/>
              </w:rPr>
              <w:t>Objectif pleinement atteint</w:t>
            </w:r>
          </w:p>
        </w:tc>
      </w:tr>
    </w:tbl>
    <w:p w:rsidR="00C258AD" w:rsidRPr="00C258AD" w:rsidRDefault="00C258AD" w:rsidP="00927E1F">
      <w:pPr>
        <w:rPr>
          <w:color w:val="000000"/>
        </w:rPr>
      </w:pPr>
    </w:p>
    <w:p w:rsidR="00C258AD" w:rsidRPr="00C258AD" w:rsidRDefault="00C258AD" w:rsidP="00927E1F">
      <w:pPr>
        <w:rPr>
          <w:color w:val="000000"/>
        </w:rPr>
      </w:pPr>
    </w:p>
    <w:p w:rsidR="00C258AD" w:rsidRPr="00C258AD" w:rsidRDefault="00C258AD" w:rsidP="00927E1F">
      <w:pPr>
        <w:keepNext/>
        <w:rPr>
          <w:caps/>
          <w:sz w:val="22"/>
          <w:szCs w:val="22"/>
        </w:rPr>
      </w:pPr>
      <w:r w:rsidRPr="00C258AD">
        <w:rPr>
          <w:caps/>
          <w:sz w:val="22"/>
          <w:szCs w:val="22"/>
        </w:rPr>
        <w:lastRenderedPageBreak/>
        <w:t>Rapport d’évaluation des risques pour l’exercice biennal</w:t>
      </w:r>
    </w:p>
    <w:p w:rsidR="00C258AD" w:rsidRPr="00C258AD" w:rsidRDefault="00C258AD" w:rsidP="00927E1F">
      <w:pPr>
        <w:keepNext/>
        <w:keepLines/>
        <w:rPr>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C258AD" w:rsidRPr="00C258AD" w:rsidTr="00927E1F">
        <w:trPr>
          <w:cantSplit/>
        </w:trPr>
        <w:tc>
          <w:tcPr>
            <w:tcW w:w="2372" w:type="dxa"/>
            <w:tcBorders>
              <w:top w:val="single" w:sz="4" w:space="0" w:color="auto"/>
              <w:left w:val="single" w:sz="4" w:space="0" w:color="auto"/>
              <w:bottom w:val="single" w:sz="4" w:space="0" w:color="auto"/>
            </w:tcBorders>
            <w:shd w:val="clear" w:color="auto" w:fill="C5D9F1"/>
            <w:vAlign w:val="center"/>
          </w:tcPr>
          <w:p w:rsidR="00C258AD" w:rsidRPr="00C258AD" w:rsidRDefault="00C258AD" w:rsidP="00927E1F">
            <w:pPr>
              <w:keepNext/>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C258AD" w:rsidRPr="00C258AD" w:rsidRDefault="00C258AD" w:rsidP="00927E1F">
            <w:pPr>
              <w:keepNext/>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C258AD" w:rsidRPr="00C258AD" w:rsidRDefault="00C258AD" w:rsidP="00927E1F">
            <w:pPr>
              <w:keepNext/>
              <w:autoSpaceDE w:val="0"/>
              <w:autoSpaceDN w:val="0"/>
              <w:adjustRightInd w:val="0"/>
              <w:ind w:right="-59"/>
              <w:jc w:val="center"/>
              <w:rPr>
                <w:b/>
                <w:bCs/>
                <w:iCs/>
                <w:sz w:val="16"/>
                <w:szCs w:val="16"/>
              </w:rPr>
            </w:pPr>
            <w:r w:rsidRPr="00C258AD">
              <w:rPr>
                <w:b/>
                <w:bCs/>
                <w:iCs/>
                <w:sz w:val="16"/>
                <w:szCs w:val="16"/>
              </w:rPr>
              <w:t>Évolution des risques et des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C258AD" w:rsidRPr="00C258AD" w:rsidRDefault="00C258AD" w:rsidP="00927E1F">
            <w:pPr>
              <w:keepNext/>
              <w:autoSpaceDE w:val="0"/>
              <w:autoSpaceDN w:val="0"/>
              <w:adjustRightInd w:val="0"/>
              <w:jc w:val="center"/>
              <w:rPr>
                <w:b/>
                <w:bCs/>
                <w:iCs/>
                <w:sz w:val="16"/>
                <w:szCs w:val="16"/>
              </w:rPr>
            </w:pPr>
            <w:r w:rsidRPr="00C258AD">
              <w:rPr>
                <w:b/>
                <w:bCs/>
                <w:iCs/>
                <w:sz w:val="16"/>
                <w:szCs w:val="16"/>
              </w:rPr>
              <w:t>Incidence sur les résultats du programme</w:t>
            </w:r>
          </w:p>
        </w:tc>
      </w:tr>
      <w:tr w:rsidR="00C258AD" w:rsidRPr="00C258AD" w:rsidTr="00927E1F">
        <w:tblPrEx>
          <w:tblBorders>
            <w:top w:val="single" w:sz="4" w:space="0" w:color="auto"/>
            <w:left w:val="single" w:sz="4" w:space="0" w:color="auto"/>
            <w:bottom w:val="single" w:sz="4" w:space="0" w:color="auto"/>
            <w:right w:val="single" w:sz="4" w:space="0" w:color="auto"/>
          </w:tblBorders>
        </w:tblPrEx>
        <w:trPr>
          <w:cantSplit/>
        </w:trPr>
        <w:tc>
          <w:tcPr>
            <w:tcW w:w="2372" w:type="dxa"/>
            <w:tcBorders>
              <w:top w:val="single" w:sz="4" w:space="0" w:color="auto"/>
            </w:tcBorders>
            <w:shd w:val="clear" w:color="auto" w:fill="auto"/>
            <w:tcMar>
              <w:top w:w="113" w:type="dxa"/>
              <w:bottom w:w="85" w:type="dxa"/>
            </w:tcMar>
          </w:tcPr>
          <w:p w:rsidR="00C258AD" w:rsidRPr="00C258AD" w:rsidRDefault="00C258AD" w:rsidP="00927E1F">
            <w:pPr>
              <w:keepNext/>
              <w:keepLines/>
              <w:tabs>
                <w:tab w:val="left" w:pos="3465"/>
              </w:tabs>
              <w:rPr>
                <w:sz w:val="16"/>
              </w:rPr>
            </w:pPr>
            <w:r w:rsidRPr="00C258AD">
              <w:rPr>
                <w:sz w:val="16"/>
              </w:rPr>
              <w:t>L’interaction efficace de l’OMPI avec les processus de l’ONU, d’autres organisations intergouvernementales et des ONG et sa pertinence par rapport à ces processus dépendent de l’acceptation du fait que l’OMPI est une source crédible et fiable de soutien, d’assistance et d’information.</w:t>
            </w:r>
          </w:p>
        </w:tc>
        <w:tc>
          <w:tcPr>
            <w:tcW w:w="2373" w:type="dxa"/>
            <w:tcBorders>
              <w:top w:val="single" w:sz="4" w:space="0" w:color="auto"/>
            </w:tcBorders>
            <w:shd w:val="clear" w:color="auto" w:fill="auto"/>
            <w:tcMar>
              <w:top w:w="113" w:type="dxa"/>
              <w:bottom w:w="85" w:type="dxa"/>
            </w:tcMar>
          </w:tcPr>
          <w:p w:rsidR="00C258AD" w:rsidRPr="00C258AD" w:rsidRDefault="00C258AD" w:rsidP="00927E1F">
            <w:pPr>
              <w:keepNext/>
              <w:keepLines/>
              <w:autoSpaceDE w:val="0"/>
              <w:autoSpaceDN w:val="0"/>
              <w:adjustRightInd w:val="0"/>
              <w:ind w:right="-59"/>
              <w:rPr>
                <w:sz w:val="16"/>
              </w:rPr>
            </w:pPr>
            <w:r w:rsidRPr="00C258AD">
              <w:rPr>
                <w:sz w:val="16"/>
              </w:rPr>
              <w:t>Veiller à ce que les contributions de l’OMPI soient factuelles, empiriques, justes, qu’elles reflètent les opinions de toutes les parties prenantes et qu’elles soient appropriées et bien ciblées.  Développement de partenariats visant à accroître l’impact des contributions de l’OMPI</w:t>
            </w:r>
          </w:p>
        </w:tc>
        <w:tc>
          <w:tcPr>
            <w:tcW w:w="2373" w:type="dxa"/>
            <w:tcBorders>
              <w:top w:val="single" w:sz="4" w:space="0" w:color="auto"/>
            </w:tcBorders>
          </w:tcPr>
          <w:p w:rsidR="00C258AD" w:rsidRPr="00C258AD" w:rsidRDefault="00C258AD" w:rsidP="00927E1F">
            <w:pPr>
              <w:rPr>
                <w:sz w:val="16"/>
                <w:szCs w:val="16"/>
              </w:rPr>
            </w:pPr>
            <w:r w:rsidRPr="00C258AD">
              <w:rPr>
                <w:sz w:val="16"/>
                <w:szCs w:val="16"/>
              </w:rPr>
              <w:t>Le risque a été accentué à mesure que les principaux processus de l’ONU au cours de l’exercice biennal donnaient lieu à des demandes de contribution de plus en plus complexes et détaillées.  Pour assurer une atténuation appropriée, l’accent a été mis sur une coordination plus intensive, tant au niveau interne qu’avec les partenaires extérieurs.</w:t>
            </w:r>
          </w:p>
        </w:tc>
        <w:tc>
          <w:tcPr>
            <w:tcW w:w="2373" w:type="dxa"/>
            <w:tcBorders>
              <w:top w:val="single" w:sz="4" w:space="0" w:color="auto"/>
            </w:tcBorders>
          </w:tcPr>
          <w:p w:rsidR="00C258AD" w:rsidRPr="00C258AD" w:rsidRDefault="00C258AD" w:rsidP="00927E1F">
            <w:pPr>
              <w:rPr>
                <w:sz w:val="16"/>
                <w:szCs w:val="16"/>
              </w:rPr>
            </w:pPr>
            <w:r w:rsidRPr="00C258AD">
              <w:rPr>
                <w:sz w:val="16"/>
              </w:rPr>
              <w:t xml:space="preserve">Pas d’incidence concrète sur les résultats du programme.  </w:t>
            </w:r>
          </w:p>
        </w:tc>
      </w:tr>
      <w:tr w:rsidR="00C258AD" w:rsidRPr="00C258AD" w:rsidTr="00927E1F">
        <w:tblPrEx>
          <w:tblBorders>
            <w:top w:val="single" w:sz="4" w:space="0" w:color="auto"/>
            <w:left w:val="single" w:sz="4" w:space="0" w:color="auto"/>
            <w:bottom w:val="single" w:sz="4" w:space="0" w:color="auto"/>
            <w:right w:val="single" w:sz="4" w:space="0" w:color="auto"/>
          </w:tblBorders>
        </w:tblPrEx>
        <w:trPr>
          <w:cantSplit/>
        </w:trPr>
        <w:tc>
          <w:tcPr>
            <w:tcW w:w="2372" w:type="dxa"/>
            <w:shd w:val="clear" w:color="auto" w:fill="auto"/>
            <w:tcMar>
              <w:top w:w="113" w:type="dxa"/>
              <w:bottom w:w="85" w:type="dxa"/>
            </w:tcMar>
          </w:tcPr>
          <w:p w:rsidR="00C258AD" w:rsidRPr="00C258AD" w:rsidRDefault="00C258AD" w:rsidP="00927E1F">
            <w:pPr>
              <w:keepNext/>
              <w:keepLines/>
              <w:tabs>
                <w:tab w:val="left" w:pos="3465"/>
              </w:tabs>
              <w:rPr>
                <w:sz w:val="16"/>
              </w:rPr>
            </w:pPr>
            <w:r w:rsidRPr="00C258AD">
              <w:rPr>
                <w:sz w:val="16"/>
              </w:rPr>
              <w:t>Les objectifs de mobilisation de ressources ne sont pas atteints, ce qui entraîne une incapacité à initier une politique de propriété intellectuelle spécifique en faveur des projets de développement.</w:t>
            </w:r>
          </w:p>
        </w:tc>
        <w:tc>
          <w:tcPr>
            <w:tcW w:w="2373" w:type="dxa"/>
            <w:shd w:val="clear" w:color="auto" w:fill="auto"/>
            <w:tcMar>
              <w:top w:w="113" w:type="dxa"/>
              <w:bottom w:w="85" w:type="dxa"/>
            </w:tcMar>
          </w:tcPr>
          <w:p w:rsidR="00C258AD" w:rsidRPr="00C258AD" w:rsidRDefault="00C258AD" w:rsidP="00927E1F">
            <w:pPr>
              <w:keepNext/>
              <w:keepLines/>
              <w:rPr>
                <w:sz w:val="16"/>
              </w:rPr>
            </w:pPr>
            <w:r w:rsidRPr="00C258AD">
              <w:rPr>
                <w:sz w:val="16"/>
              </w:rPr>
              <w:t xml:space="preserve">Garantir des projets de grande qualité pour la mobilisation de ressources, qui soient bien ciblés en fonction du financement des bailleurs de fonds.  Renforcer la capacité de l’Organisation à mobiliser et à gérer des ressources extrabudgétaires.  Mieux appréhender les priorités des bailleurs de fonds et développer les contacts avec lesdits bailleurs.  </w:t>
            </w:r>
          </w:p>
        </w:tc>
        <w:tc>
          <w:tcPr>
            <w:tcW w:w="2373" w:type="dxa"/>
          </w:tcPr>
          <w:p w:rsidR="00C258AD" w:rsidRPr="00C258AD" w:rsidRDefault="00C258AD" w:rsidP="00927E1F">
            <w:pPr>
              <w:rPr>
                <w:sz w:val="16"/>
                <w:szCs w:val="16"/>
              </w:rPr>
            </w:pPr>
            <w:r w:rsidRPr="00C258AD">
              <w:rPr>
                <w:sz w:val="16"/>
                <w:szCs w:val="16"/>
              </w:rPr>
              <w:t>Il s’agit d’un risque permanent pour le programme, qui a été traité de manière efficace par les mesures d’atténuation telles qu’elles étaient prévues</w:t>
            </w:r>
            <w:r w:rsidRPr="00C258AD">
              <w:rPr>
                <w:sz w:val="16"/>
              </w:rPr>
              <w:t xml:space="preserve">. </w:t>
            </w:r>
            <w:r w:rsidRPr="00C258AD">
              <w:rPr>
                <w:sz w:val="16"/>
                <w:szCs w:val="16"/>
              </w:rPr>
              <w:t xml:space="preserve"> </w:t>
            </w:r>
          </w:p>
        </w:tc>
        <w:tc>
          <w:tcPr>
            <w:tcW w:w="2373" w:type="dxa"/>
          </w:tcPr>
          <w:p w:rsidR="00C258AD" w:rsidRPr="00C258AD" w:rsidRDefault="00C258AD" w:rsidP="00927E1F">
            <w:pPr>
              <w:rPr>
                <w:sz w:val="16"/>
                <w:szCs w:val="16"/>
              </w:rPr>
            </w:pPr>
            <w:r w:rsidRPr="00C258AD">
              <w:rPr>
                <w:sz w:val="16"/>
              </w:rPr>
              <w:t>Pas d’incidence concrète sur les résultats du programme</w:t>
            </w:r>
            <w:r w:rsidRPr="00C258AD">
              <w:rPr>
                <w:sz w:val="16"/>
                <w:szCs w:val="16"/>
              </w:rPr>
              <w:t>.</w:t>
            </w:r>
          </w:p>
          <w:p w:rsidR="00C258AD" w:rsidRPr="00C258AD" w:rsidRDefault="00C258AD" w:rsidP="00927E1F">
            <w:pPr>
              <w:rPr>
                <w:sz w:val="16"/>
                <w:szCs w:val="16"/>
              </w:rPr>
            </w:pPr>
          </w:p>
        </w:tc>
      </w:tr>
      <w:tr w:rsidR="00C258AD" w:rsidRPr="00C258AD" w:rsidTr="00927E1F">
        <w:tblPrEx>
          <w:tblBorders>
            <w:top w:val="single" w:sz="4" w:space="0" w:color="auto"/>
            <w:left w:val="single" w:sz="4" w:space="0" w:color="auto"/>
            <w:bottom w:val="single" w:sz="4" w:space="0" w:color="auto"/>
            <w:right w:val="single" w:sz="4" w:space="0" w:color="auto"/>
          </w:tblBorders>
        </w:tblPrEx>
        <w:trPr>
          <w:cantSplit/>
        </w:trPr>
        <w:tc>
          <w:tcPr>
            <w:tcW w:w="2372" w:type="dxa"/>
            <w:shd w:val="clear" w:color="auto" w:fill="auto"/>
            <w:tcMar>
              <w:top w:w="113" w:type="dxa"/>
              <w:bottom w:w="85" w:type="dxa"/>
            </w:tcMar>
          </w:tcPr>
          <w:p w:rsidR="00C258AD" w:rsidRPr="00C258AD" w:rsidRDefault="00C258AD" w:rsidP="00927E1F">
            <w:pPr>
              <w:keepNext/>
              <w:keepLines/>
              <w:autoSpaceDE w:val="0"/>
              <w:autoSpaceDN w:val="0"/>
              <w:adjustRightInd w:val="0"/>
              <w:ind w:right="-59"/>
              <w:rPr>
                <w:sz w:val="16"/>
                <w:szCs w:val="16"/>
              </w:rPr>
            </w:pPr>
            <w:r w:rsidRPr="00C258AD">
              <w:rPr>
                <w:sz w:val="16"/>
                <w:szCs w:val="16"/>
              </w:rPr>
              <w:t>Les problèmes de sécurité ou de catastrophe naturelle mettent en péril la capacité des bureaux extérieurs à atteindre les résultats escomptés.</w:t>
            </w:r>
          </w:p>
        </w:tc>
        <w:tc>
          <w:tcPr>
            <w:tcW w:w="2373" w:type="dxa"/>
            <w:shd w:val="clear" w:color="auto" w:fill="auto"/>
            <w:tcMar>
              <w:top w:w="113" w:type="dxa"/>
              <w:bottom w:w="85" w:type="dxa"/>
            </w:tcMar>
          </w:tcPr>
          <w:p w:rsidR="00C258AD" w:rsidRPr="00C258AD" w:rsidRDefault="00C258AD" w:rsidP="00927E1F">
            <w:pPr>
              <w:keepNext/>
              <w:keepLines/>
              <w:autoSpaceDE w:val="0"/>
              <w:autoSpaceDN w:val="0"/>
              <w:adjustRightInd w:val="0"/>
              <w:ind w:right="-59"/>
              <w:rPr>
                <w:sz w:val="16"/>
                <w:szCs w:val="16"/>
              </w:rPr>
            </w:pPr>
            <w:r w:rsidRPr="00C258AD">
              <w:rPr>
                <w:sz w:val="16"/>
                <w:szCs w:val="16"/>
              </w:rPr>
              <w:t>Coopération étroite avec le gouvernement hôte et extension du plan de continuité des activités de l’OMPI, qui prévoit d’inclure les bureaux extérieurs.</w:t>
            </w:r>
          </w:p>
        </w:tc>
        <w:tc>
          <w:tcPr>
            <w:tcW w:w="2373" w:type="dxa"/>
          </w:tcPr>
          <w:p w:rsidR="00C258AD" w:rsidRPr="00C258AD" w:rsidRDefault="00C258AD" w:rsidP="00927E1F">
            <w:pPr>
              <w:keepNext/>
              <w:keepLines/>
              <w:rPr>
                <w:sz w:val="16"/>
              </w:rPr>
            </w:pPr>
            <w:r w:rsidRPr="00C258AD">
              <w:rPr>
                <w:sz w:val="16"/>
              </w:rPr>
              <w:t>Il s’agit d’un risque permanent, qui a été limité de manière efficace grâce aux mesures d’atténuation envisagées, y compris une coopération plus étroite avec les autorités pertinentes et des mesures de</w:t>
            </w:r>
            <w:r w:rsidRPr="00C258AD">
              <w:t xml:space="preserve"> </w:t>
            </w:r>
            <w:r w:rsidRPr="00C258AD">
              <w:rPr>
                <w:sz w:val="16"/>
              </w:rPr>
              <w:t xml:space="preserve">préparation en prévision des catastrophes renforcées comme la fourniture de produits de première nécessité et la création d’une chaîne de communication interne.  </w:t>
            </w:r>
          </w:p>
        </w:tc>
        <w:tc>
          <w:tcPr>
            <w:tcW w:w="2373" w:type="dxa"/>
          </w:tcPr>
          <w:p w:rsidR="00C258AD" w:rsidRPr="00C258AD" w:rsidRDefault="00C258AD" w:rsidP="00927E1F">
            <w:pPr>
              <w:keepNext/>
              <w:keepLines/>
              <w:rPr>
                <w:sz w:val="16"/>
              </w:rPr>
            </w:pPr>
            <w:r w:rsidRPr="00C258AD">
              <w:rPr>
                <w:sz w:val="16"/>
              </w:rPr>
              <w:t xml:space="preserve">Pas d’incidence concrète sur les résultats du programme.  </w:t>
            </w:r>
          </w:p>
        </w:tc>
      </w:tr>
    </w:tbl>
    <w:p w:rsidR="00C258AD" w:rsidRPr="00C258AD" w:rsidRDefault="00C258AD" w:rsidP="00927E1F">
      <w:pPr>
        <w:rPr>
          <w:sz w:val="22"/>
        </w:rPr>
      </w:pPr>
    </w:p>
    <w:p w:rsidR="00C258AD" w:rsidRPr="00C258AD" w:rsidRDefault="00C258AD" w:rsidP="00927E1F">
      <w:pPr>
        <w:rPr>
          <w:sz w:val="22"/>
        </w:rPr>
      </w:pPr>
      <w:r w:rsidRPr="00C258AD">
        <w:rPr>
          <w:sz w:val="22"/>
        </w:rPr>
        <w:br w:type="page"/>
      </w:r>
    </w:p>
    <w:p w:rsidR="00C258AD" w:rsidRPr="00C258AD" w:rsidRDefault="00C258AD" w:rsidP="00927E1F">
      <w:pPr>
        <w:rPr>
          <w:sz w:val="22"/>
        </w:rPr>
      </w:pPr>
      <w:r w:rsidRPr="00C258AD">
        <w:rPr>
          <w:sz w:val="22"/>
        </w:rPr>
        <w:lastRenderedPageBreak/>
        <w:t>UTILISATION DES RESSOURCES</w:t>
      </w:r>
    </w:p>
    <w:p w:rsidR="00C258AD" w:rsidRPr="00C258AD" w:rsidRDefault="00C258AD" w:rsidP="00927E1F">
      <w:pPr>
        <w:jc w:val="center"/>
      </w:pPr>
    </w:p>
    <w:p w:rsidR="00C258AD" w:rsidRPr="00C258AD" w:rsidRDefault="00C258AD" w:rsidP="00927E1F">
      <w:pPr>
        <w:pStyle w:val="NormalWeb"/>
        <w:keepNext/>
        <w:spacing w:before="0" w:beforeAutospacing="0" w:after="0" w:afterAutospacing="0"/>
        <w:jc w:val="center"/>
        <w:rPr>
          <w:sz w:val="20"/>
          <w:szCs w:val="20"/>
        </w:rPr>
      </w:pPr>
      <w:r w:rsidRPr="00C258AD">
        <w:rPr>
          <w:sz w:val="20"/>
        </w:rPr>
        <w:t>Budget et dépenses effectives (par résultat)</w:t>
      </w:r>
    </w:p>
    <w:p w:rsidR="00C258AD" w:rsidRPr="00C258AD" w:rsidRDefault="00C258AD" w:rsidP="00927E1F">
      <w:pPr>
        <w:pStyle w:val="NormalWeb"/>
        <w:keepNext/>
        <w:spacing w:before="0" w:beforeAutospacing="0" w:after="0" w:afterAutospacing="0"/>
        <w:jc w:val="center"/>
        <w:rPr>
          <w:i/>
          <w:iCs/>
          <w:sz w:val="20"/>
          <w:szCs w:val="20"/>
        </w:rPr>
      </w:pPr>
      <w:r w:rsidRPr="00C258AD">
        <w:rPr>
          <w:i/>
          <w:sz w:val="20"/>
        </w:rPr>
        <w:t>(</w:t>
      </w:r>
      <w:proofErr w:type="gramStart"/>
      <w:r w:rsidRPr="00C258AD">
        <w:rPr>
          <w:i/>
          <w:sz w:val="20"/>
        </w:rPr>
        <w:t>en</w:t>
      </w:r>
      <w:proofErr w:type="gramEnd"/>
      <w:r w:rsidRPr="00C258AD">
        <w:rPr>
          <w:i/>
          <w:sz w:val="20"/>
        </w:rPr>
        <w:t xml:space="preserve"> milliers de francs suisses)</w:t>
      </w:r>
    </w:p>
    <w:p w:rsidR="00C258AD" w:rsidRPr="00C258AD" w:rsidRDefault="00C258AD" w:rsidP="00927E1F">
      <w:pPr>
        <w:keepNext/>
        <w:jc w:val="both"/>
      </w:pPr>
    </w:p>
    <w:tbl>
      <w:tblPr>
        <w:tblW w:w="5000" w:type="pct"/>
        <w:tblInd w:w="55" w:type="dxa"/>
        <w:tblCellMar>
          <w:top w:w="113" w:type="dxa"/>
          <w:left w:w="70" w:type="dxa"/>
          <w:bottom w:w="113" w:type="dxa"/>
          <w:right w:w="70" w:type="dxa"/>
        </w:tblCellMar>
        <w:tblLook w:val="04A0" w:firstRow="1" w:lastRow="0" w:firstColumn="1" w:lastColumn="0" w:noHBand="0" w:noVBand="1"/>
      </w:tblPr>
      <w:tblGrid>
        <w:gridCol w:w="630"/>
        <w:gridCol w:w="4599"/>
        <w:gridCol w:w="1422"/>
        <w:gridCol w:w="1422"/>
        <w:gridCol w:w="1422"/>
      </w:tblGrid>
      <w:tr w:rsidR="00C258AD" w:rsidRPr="00C258AD" w:rsidTr="00927E1F">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BFD9F1"/>
            <w:noWrap/>
            <w:vAlign w:val="center"/>
            <w:hideMark/>
          </w:tcPr>
          <w:p w:rsidR="00C258AD" w:rsidRPr="00C258AD" w:rsidRDefault="00C258AD" w:rsidP="00927E1F">
            <w:pPr>
              <w:jc w:val="center"/>
              <w:rPr>
                <w:i/>
                <w:iCs/>
                <w:sz w:val="16"/>
                <w:szCs w:val="16"/>
              </w:rPr>
            </w:pPr>
            <w:r w:rsidRPr="00C258AD">
              <w:rPr>
                <w:i/>
                <w:sz w:val="16"/>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BFD9F1"/>
            <w:vAlign w:val="center"/>
            <w:hideMark/>
          </w:tcPr>
          <w:p w:rsidR="00C258AD" w:rsidRPr="00C258AD" w:rsidRDefault="00C258AD" w:rsidP="00927E1F">
            <w:pPr>
              <w:jc w:val="center"/>
              <w:rPr>
                <w:i/>
                <w:iCs/>
                <w:sz w:val="16"/>
                <w:szCs w:val="16"/>
              </w:rPr>
            </w:pPr>
            <w:r w:rsidRPr="00C258AD">
              <w:rPr>
                <w:i/>
                <w:sz w:val="16"/>
              </w:rPr>
              <w:t>Budget</w:t>
            </w:r>
            <w:r w:rsidRPr="00C258AD">
              <w:br/>
            </w:r>
            <w:r w:rsidRPr="00C258AD">
              <w:rPr>
                <w:i/>
                <w:sz w:val="16"/>
              </w:rPr>
              <w:t>2014</w:t>
            </w:r>
            <w:r w:rsidRPr="00C258AD">
              <w:rPr>
                <w:i/>
                <w:sz w:val="16"/>
              </w:rPr>
              <w:noBreakHyphen/>
              <w:t>2015 approuvé</w:t>
            </w:r>
          </w:p>
        </w:tc>
        <w:tc>
          <w:tcPr>
            <w:tcW w:w="1360" w:type="dxa"/>
            <w:tcBorders>
              <w:top w:val="single" w:sz="4" w:space="0" w:color="auto"/>
              <w:left w:val="nil"/>
              <w:bottom w:val="single" w:sz="4" w:space="0" w:color="auto"/>
              <w:right w:val="single" w:sz="4" w:space="0" w:color="auto"/>
            </w:tcBorders>
            <w:shd w:val="clear" w:color="auto" w:fill="BFD9F1"/>
            <w:vAlign w:val="center"/>
            <w:hideMark/>
          </w:tcPr>
          <w:p w:rsidR="00C258AD" w:rsidRPr="00C258AD" w:rsidRDefault="00C258AD" w:rsidP="00927E1F">
            <w:pPr>
              <w:jc w:val="center"/>
              <w:rPr>
                <w:i/>
                <w:iCs/>
                <w:sz w:val="16"/>
                <w:szCs w:val="16"/>
              </w:rPr>
            </w:pPr>
            <w:r w:rsidRPr="00C258AD">
              <w:rPr>
                <w:i/>
                <w:sz w:val="16"/>
              </w:rPr>
              <w:t>Budget final</w:t>
            </w:r>
            <w:r w:rsidRPr="00C258AD">
              <w:br/>
            </w:r>
            <w:r w:rsidRPr="00C258AD">
              <w:rPr>
                <w:i/>
                <w:sz w:val="16"/>
              </w:rPr>
              <w:t>2014</w:t>
            </w:r>
            <w:r w:rsidRPr="00C258AD">
              <w:rPr>
                <w:i/>
                <w:sz w:val="16"/>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BFD9F1"/>
            <w:vAlign w:val="center"/>
            <w:hideMark/>
          </w:tcPr>
          <w:p w:rsidR="00C258AD" w:rsidRPr="00C258AD" w:rsidRDefault="00C258AD" w:rsidP="00927E1F">
            <w:pPr>
              <w:jc w:val="center"/>
              <w:rPr>
                <w:i/>
                <w:iCs/>
                <w:sz w:val="16"/>
                <w:szCs w:val="16"/>
              </w:rPr>
            </w:pPr>
            <w:r w:rsidRPr="00C258AD">
              <w:rPr>
                <w:i/>
                <w:sz w:val="16"/>
              </w:rPr>
              <w:t>Dépenses</w:t>
            </w:r>
            <w:r w:rsidRPr="00C258AD">
              <w:br/>
            </w:r>
            <w:r w:rsidRPr="00C258AD">
              <w:rPr>
                <w:i/>
                <w:sz w:val="16"/>
              </w:rPr>
              <w:t>2014</w:t>
            </w:r>
            <w:r w:rsidRPr="00C258AD">
              <w:rPr>
                <w:i/>
                <w:sz w:val="16"/>
              </w:rPr>
              <w:noBreakHyphen/>
              <w:t>2015</w:t>
            </w:r>
          </w:p>
        </w:tc>
      </w:tr>
      <w:tr w:rsidR="00C258AD" w:rsidRPr="00C258AD" w:rsidTr="00927E1F">
        <w:trPr>
          <w:cantSplit/>
        </w:trPr>
        <w:tc>
          <w:tcPr>
            <w:tcW w:w="602" w:type="dxa"/>
            <w:tcBorders>
              <w:top w:val="nil"/>
              <w:left w:val="single" w:sz="4" w:space="0" w:color="auto"/>
              <w:bottom w:val="nil"/>
              <w:right w:val="nil"/>
            </w:tcBorders>
            <w:shd w:val="clear" w:color="auto" w:fill="auto"/>
            <w:noWrap/>
            <w:vAlign w:val="center"/>
            <w:hideMark/>
          </w:tcPr>
          <w:p w:rsidR="00C258AD" w:rsidRPr="00C258AD" w:rsidRDefault="00C258AD" w:rsidP="00927E1F">
            <w:pPr>
              <w:rPr>
                <w:sz w:val="16"/>
                <w:szCs w:val="16"/>
              </w:rPr>
            </w:pPr>
            <w:r w:rsidRPr="00C258AD">
              <w:rPr>
                <w:sz w:val="16"/>
              </w:rPr>
              <w:t>II.1</w:t>
            </w:r>
          </w:p>
        </w:tc>
        <w:tc>
          <w:tcPr>
            <w:tcW w:w="4398" w:type="dxa"/>
            <w:tcBorders>
              <w:top w:val="nil"/>
              <w:left w:val="nil"/>
              <w:bottom w:val="nil"/>
              <w:right w:val="nil"/>
            </w:tcBorders>
            <w:shd w:val="clear" w:color="auto" w:fill="auto"/>
            <w:vAlign w:val="center"/>
            <w:hideMark/>
          </w:tcPr>
          <w:p w:rsidR="00C258AD" w:rsidRPr="00C258AD" w:rsidRDefault="00C258AD" w:rsidP="00927E1F">
            <w:pPr>
              <w:rPr>
                <w:sz w:val="16"/>
                <w:szCs w:val="16"/>
              </w:rPr>
            </w:pPr>
            <w:r w:rsidRPr="00C258AD">
              <w:rPr>
                <w:sz w:val="16"/>
              </w:rPr>
              <w:t>Utilisation accrue de la voie PCT pour le dépôt des demandes internationales de brevet</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894</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1 412</w:t>
            </w:r>
          </w:p>
        </w:tc>
        <w:tc>
          <w:tcPr>
            <w:tcW w:w="1360" w:type="dxa"/>
            <w:tcBorders>
              <w:top w:val="nil"/>
              <w:left w:val="nil"/>
              <w:bottom w:val="nil"/>
              <w:right w:val="single" w:sz="4" w:space="0" w:color="auto"/>
            </w:tcBorders>
            <w:shd w:val="clear" w:color="auto" w:fill="auto"/>
            <w:vAlign w:val="center"/>
            <w:hideMark/>
          </w:tcPr>
          <w:p w:rsidR="00C258AD" w:rsidRPr="00C258AD" w:rsidRDefault="00C258AD" w:rsidP="00927E1F">
            <w:pPr>
              <w:jc w:val="right"/>
              <w:rPr>
                <w:sz w:val="16"/>
                <w:szCs w:val="16"/>
              </w:rPr>
            </w:pPr>
            <w:r w:rsidRPr="00C258AD">
              <w:rPr>
                <w:sz w:val="16"/>
              </w:rPr>
              <w:t>1 155</w:t>
            </w:r>
          </w:p>
        </w:tc>
      </w:tr>
      <w:tr w:rsidR="00C258AD" w:rsidRPr="00C258AD" w:rsidTr="00927E1F">
        <w:trPr>
          <w:cantSplit/>
        </w:trPr>
        <w:tc>
          <w:tcPr>
            <w:tcW w:w="602" w:type="dxa"/>
            <w:tcBorders>
              <w:top w:val="nil"/>
              <w:left w:val="single" w:sz="4" w:space="0" w:color="auto"/>
              <w:bottom w:val="nil"/>
              <w:right w:val="nil"/>
            </w:tcBorders>
            <w:shd w:val="clear" w:color="auto" w:fill="auto"/>
            <w:noWrap/>
            <w:vAlign w:val="center"/>
            <w:hideMark/>
          </w:tcPr>
          <w:p w:rsidR="00C258AD" w:rsidRPr="00C258AD" w:rsidRDefault="00C258AD" w:rsidP="00927E1F">
            <w:pPr>
              <w:rPr>
                <w:sz w:val="16"/>
                <w:szCs w:val="16"/>
              </w:rPr>
            </w:pPr>
            <w:r w:rsidRPr="00C258AD">
              <w:rPr>
                <w:sz w:val="16"/>
              </w:rPr>
              <w:t>II.4</w:t>
            </w:r>
          </w:p>
        </w:tc>
        <w:tc>
          <w:tcPr>
            <w:tcW w:w="4398" w:type="dxa"/>
            <w:tcBorders>
              <w:top w:val="nil"/>
              <w:left w:val="nil"/>
              <w:bottom w:val="nil"/>
              <w:right w:val="nil"/>
            </w:tcBorders>
            <w:shd w:val="clear" w:color="auto" w:fill="auto"/>
            <w:vAlign w:val="center"/>
            <w:hideMark/>
          </w:tcPr>
          <w:p w:rsidR="00C258AD" w:rsidRPr="00C258AD" w:rsidRDefault="00C258AD" w:rsidP="00927E1F">
            <w:pPr>
              <w:rPr>
                <w:sz w:val="16"/>
                <w:szCs w:val="16"/>
              </w:rPr>
            </w:pPr>
            <w:r w:rsidRPr="00C258AD">
              <w:rPr>
                <w:sz w:val="16"/>
              </w:rPr>
              <w:t>Utilisation élargie et améliorée du système de La Haye, notamment par les pays en développement et les PMA</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486</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373</w:t>
            </w:r>
          </w:p>
        </w:tc>
        <w:tc>
          <w:tcPr>
            <w:tcW w:w="1360" w:type="dxa"/>
            <w:tcBorders>
              <w:top w:val="nil"/>
              <w:left w:val="nil"/>
              <w:bottom w:val="nil"/>
              <w:right w:val="single" w:sz="4" w:space="0" w:color="auto"/>
            </w:tcBorders>
            <w:shd w:val="clear" w:color="auto" w:fill="auto"/>
            <w:vAlign w:val="center"/>
            <w:hideMark/>
          </w:tcPr>
          <w:p w:rsidR="00C258AD" w:rsidRPr="00C258AD" w:rsidRDefault="00C258AD" w:rsidP="00927E1F">
            <w:pPr>
              <w:jc w:val="right"/>
              <w:rPr>
                <w:sz w:val="16"/>
                <w:szCs w:val="16"/>
              </w:rPr>
            </w:pPr>
            <w:r w:rsidRPr="00C258AD">
              <w:rPr>
                <w:sz w:val="16"/>
              </w:rPr>
              <w:t>335</w:t>
            </w:r>
          </w:p>
        </w:tc>
      </w:tr>
      <w:tr w:rsidR="00C258AD" w:rsidRPr="00C258AD" w:rsidTr="00927E1F">
        <w:trPr>
          <w:cantSplit/>
        </w:trPr>
        <w:tc>
          <w:tcPr>
            <w:tcW w:w="602" w:type="dxa"/>
            <w:tcBorders>
              <w:top w:val="nil"/>
              <w:left w:val="single" w:sz="4" w:space="0" w:color="auto"/>
              <w:bottom w:val="nil"/>
              <w:right w:val="nil"/>
            </w:tcBorders>
            <w:shd w:val="clear" w:color="auto" w:fill="auto"/>
            <w:noWrap/>
            <w:vAlign w:val="center"/>
            <w:hideMark/>
          </w:tcPr>
          <w:p w:rsidR="00C258AD" w:rsidRPr="00C258AD" w:rsidRDefault="00C258AD" w:rsidP="00927E1F">
            <w:pPr>
              <w:rPr>
                <w:sz w:val="16"/>
                <w:szCs w:val="16"/>
              </w:rPr>
            </w:pPr>
            <w:r w:rsidRPr="00C258AD">
              <w:rPr>
                <w:sz w:val="16"/>
              </w:rPr>
              <w:t>II.6</w:t>
            </w:r>
          </w:p>
        </w:tc>
        <w:tc>
          <w:tcPr>
            <w:tcW w:w="4398" w:type="dxa"/>
            <w:tcBorders>
              <w:top w:val="nil"/>
              <w:left w:val="nil"/>
              <w:bottom w:val="nil"/>
              <w:right w:val="nil"/>
            </w:tcBorders>
            <w:shd w:val="clear" w:color="auto" w:fill="auto"/>
            <w:vAlign w:val="center"/>
            <w:hideMark/>
          </w:tcPr>
          <w:p w:rsidR="00C258AD" w:rsidRPr="00C258AD" w:rsidRDefault="00C258AD" w:rsidP="00927E1F">
            <w:pPr>
              <w:rPr>
                <w:sz w:val="16"/>
                <w:szCs w:val="16"/>
              </w:rPr>
            </w:pPr>
            <w:r w:rsidRPr="00C258AD">
              <w:rPr>
                <w:sz w:val="16"/>
              </w:rPr>
              <w:t>Utilisation élargie et améliorée des systèmes de Madrid et de Lisbonne, notamment par les pays en développement et les PMA</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1 114</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1 214</w:t>
            </w:r>
          </w:p>
        </w:tc>
        <w:tc>
          <w:tcPr>
            <w:tcW w:w="1360" w:type="dxa"/>
            <w:tcBorders>
              <w:top w:val="nil"/>
              <w:left w:val="nil"/>
              <w:bottom w:val="nil"/>
              <w:right w:val="single" w:sz="4" w:space="0" w:color="auto"/>
            </w:tcBorders>
            <w:shd w:val="clear" w:color="auto" w:fill="auto"/>
            <w:vAlign w:val="center"/>
            <w:hideMark/>
          </w:tcPr>
          <w:p w:rsidR="00C258AD" w:rsidRPr="00C258AD" w:rsidRDefault="00C258AD" w:rsidP="00927E1F">
            <w:pPr>
              <w:jc w:val="right"/>
              <w:rPr>
                <w:sz w:val="16"/>
                <w:szCs w:val="16"/>
              </w:rPr>
            </w:pPr>
            <w:r w:rsidRPr="00C258AD">
              <w:rPr>
                <w:sz w:val="16"/>
              </w:rPr>
              <w:t>1 028</w:t>
            </w:r>
          </w:p>
        </w:tc>
      </w:tr>
      <w:tr w:rsidR="00C258AD" w:rsidRPr="00C258AD" w:rsidTr="00927E1F">
        <w:trPr>
          <w:cantSplit/>
        </w:trPr>
        <w:tc>
          <w:tcPr>
            <w:tcW w:w="602" w:type="dxa"/>
            <w:tcBorders>
              <w:top w:val="nil"/>
              <w:left w:val="single" w:sz="4" w:space="0" w:color="auto"/>
              <w:bottom w:val="nil"/>
              <w:right w:val="nil"/>
            </w:tcBorders>
            <w:shd w:val="clear" w:color="auto" w:fill="auto"/>
            <w:noWrap/>
            <w:vAlign w:val="center"/>
            <w:hideMark/>
          </w:tcPr>
          <w:p w:rsidR="00C258AD" w:rsidRPr="00C258AD" w:rsidRDefault="00C258AD" w:rsidP="00927E1F">
            <w:pPr>
              <w:rPr>
                <w:sz w:val="16"/>
                <w:szCs w:val="16"/>
              </w:rPr>
            </w:pPr>
            <w:r w:rsidRPr="00C258AD">
              <w:rPr>
                <w:sz w:val="16"/>
              </w:rPr>
              <w:t>II.8</w:t>
            </w:r>
          </w:p>
        </w:tc>
        <w:tc>
          <w:tcPr>
            <w:tcW w:w="4398" w:type="dxa"/>
            <w:tcBorders>
              <w:top w:val="nil"/>
              <w:left w:val="nil"/>
              <w:bottom w:val="nil"/>
              <w:right w:val="nil"/>
            </w:tcBorders>
            <w:shd w:val="clear" w:color="auto" w:fill="auto"/>
            <w:vAlign w:val="center"/>
            <w:hideMark/>
          </w:tcPr>
          <w:p w:rsidR="00C258AD" w:rsidRPr="00C258AD" w:rsidRDefault="00C258AD" w:rsidP="00927E1F">
            <w:pPr>
              <w:rPr>
                <w:sz w:val="16"/>
                <w:szCs w:val="16"/>
              </w:rPr>
            </w:pPr>
            <w:r w:rsidRPr="00C258AD">
              <w:rPr>
                <w:sz w:val="16"/>
              </w:rPr>
              <w:t>De plus en plus de litiges internationaux ou nationaux de propriété intellectuelle sont évités ou réglés par la médiation, l’arbitrage et d’autres modes extrajudiciaires de règlement des litiges de l’OMPI</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122</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139</w:t>
            </w:r>
          </w:p>
        </w:tc>
        <w:tc>
          <w:tcPr>
            <w:tcW w:w="1360" w:type="dxa"/>
            <w:tcBorders>
              <w:top w:val="nil"/>
              <w:left w:val="nil"/>
              <w:bottom w:val="nil"/>
              <w:right w:val="single" w:sz="4" w:space="0" w:color="auto"/>
            </w:tcBorders>
            <w:shd w:val="clear" w:color="auto" w:fill="auto"/>
            <w:vAlign w:val="center"/>
            <w:hideMark/>
          </w:tcPr>
          <w:p w:rsidR="00C258AD" w:rsidRPr="00C258AD" w:rsidRDefault="00C258AD" w:rsidP="00927E1F">
            <w:pPr>
              <w:jc w:val="right"/>
              <w:rPr>
                <w:sz w:val="16"/>
                <w:szCs w:val="16"/>
              </w:rPr>
            </w:pPr>
            <w:r w:rsidRPr="00C258AD">
              <w:rPr>
                <w:sz w:val="16"/>
              </w:rPr>
              <w:t>105</w:t>
            </w:r>
          </w:p>
        </w:tc>
      </w:tr>
      <w:tr w:rsidR="00C258AD" w:rsidRPr="00C258AD" w:rsidTr="00927E1F">
        <w:trPr>
          <w:cantSplit/>
        </w:trPr>
        <w:tc>
          <w:tcPr>
            <w:tcW w:w="602" w:type="dxa"/>
            <w:tcBorders>
              <w:top w:val="nil"/>
              <w:left w:val="single" w:sz="4" w:space="0" w:color="auto"/>
              <w:bottom w:val="nil"/>
              <w:right w:val="nil"/>
            </w:tcBorders>
            <w:shd w:val="clear" w:color="auto" w:fill="auto"/>
            <w:noWrap/>
            <w:vAlign w:val="center"/>
            <w:hideMark/>
          </w:tcPr>
          <w:p w:rsidR="00C258AD" w:rsidRPr="00C258AD" w:rsidRDefault="00C258AD" w:rsidP="00927E1F">
            <w:pPr>
              <w:rPr>
                <w:sz w:val="16"/>
                <w:szCs w:val="16"/>
              </w:rPr>
            </w:pPr>
            <w:r w:rsidRPr="00C258AD">
              <w:rPr>
                <w:sz w:val="16"/>
              </w:rPr>
              <w:t>III.2</w:t>
            </w:r>
          </w:p>
        </w:tc>
        <w:tc>
          <w:tcPr>
            <w:tcW w:w="4398" w:type="dxa"/>
            <w:tcBorders>
              <w:top w:val="nil"/>
              <w:left w:val="nil"/>
              <w:bottom w:val="nil"/>
              <w:right w:val="nil"/>
            </w:tcBorders>
            <w:shd w:val="clear" w:color="auto" w:fill="auto"/>
            <w:vAlign w:val="center"/>
            <w:hideMark/>
          </w:tcPr>
          <w:p w:rsidR="00C258AD" w:rsidRPr="00C258AD" w:rsidRDefault="00C258AD" w:rsidP="00927E1F">
            <w:pPr>
              <w:rPr>
                <w:sz w:val="16"/>
                <w:szCs w:val="16"/>
              </w:rPr>
            </w:pPr>
            <w:r w:rsidRPr="00C258AD">
              <w:rPr>
                <w:sz w:val="16"/>
              </w:rPr>
              <w:t>Renforcement des capacités en matière de ressources humaines pour pouvoir répondre aux nombreuses exigences en ce qui concerne l’utilisation efficace de la propriété intellectuelle au service du développement dans les pays en développement, les PMA et les pays en transition</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1 231</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1 090</w:t>
            </w:r>
          </w:p>
        </w:tc>
        <w:tc>
          <w:tcPr>
            <w:tcW w:w="1360" w:type="dxa"/>
            <w:tcBorders>
              <w:top w:val="nil"/>
              <w:left w:val="nil"/>
              <w:bottom w:val="nil"/>
              <w:right w:val="single" w:sz="4" w:space="0" w:color="auto"/>
            </w:tcBorders>
            <w:shd w:val="clear" w:color="auto" w:fill="auto"/>
            <w:vAlign w:val="center"/>
            <w:hideMark/>
          </w:tcPr>
          <w:p w:rsidR="00C258AD" w:rsidRPr="00C258AD" w:rsidRDefault="00C258AD" w:rsidP="00927E1F">
            <w:pPr>
              <w:jc w:val="right"/>
              <w:rPr>
                <w:sz w:val="16"/>
                <w:szCs w:val="16"/>
              </w:rPr>
            </w:pPr>
            <w:r w:rsidRPr="00C258AD">
              <w:rPr>
                <w:sz w:val="16"/>
              </w:rPr>
              <w:t>859</w:t>
            </w:r>
          </w:p>
        </w:tc>
      </w:tr>
      <w:tr w:rsidR="00C258AD" w:rsidRPr="00C258AD" w:rsidTr="00927E1F">
        <w:trPr>
          <w:cantSplit/>
        </w:trPr>
        <w:tc>
          <w:tcPr>
            <w:tcW w:w="602" w:type="dxa"/>
            <w:tcBorders>
              <w:top w:val="nil"/>
              <w:left w:val="single" w:sz="4" w:space="0" w:color="auto"/>
              <w:bottom w:val="nil"/>
              <w:right w:val="nil"/>
            </w:tcBorders>
            <w:shd w:val="clear" w:color="auto" w:fill="auto"/>
            <w:noWrap/>
            <w:vAlign w:val="center"/>
            <w:hideMark/>
          </w:tcPr>
          <w:p w:rsidR="00C258AD" w:rsidRPr="00C258AD" w:rsidRDefault="00C258AD" w:rsidP="00927E1F">
            <w:pPr>
              <w:rPr>
                <w:sz w:val="16"/>
                <w:szCs w:val="16"/>
              </w:rPr>
            </w:pPr>
            <w:r w:rsidRPr="00C258AD">
              <w:rPr>
                <w:sz w:val="16"/>
              </w:rPr>
              <w:t>IV.2</w:t>
            </w:r>
          </w:p>
        </w:tc>
        <w:tc>
          <w:tcPr>
            <w:tcW w:w="4398" w:type="dxa"/>
            <w:tcBorders>
              <w:top w:val="nil"/>
              <w:left w:val="nil"/>
              <w:bottom w:val="nil"/>
              <w:right w:val="nil"/>
            </w:tcBorders>
            <w:shd w:val="clear" w:color="auto" w:fill="auto"/>
            <w:vAlign w:val="center"/>
            <w:hideMark/>
          </w:tcPr>
          <w:p w:rsidR="00C258AD" w:rsidRPr="00C258AD" w:rsidRDefault="00C258AD" w:rsidP="00927E1F">
            <w:pPr>
              <w:rPr>
                <w:sz w:val="16"/>
                <w:szCs w:val="16"/>
              </w:rPr>
            </w:pPr>
            <w:r w:rsidRPr="00C258AD">
              <w:rPr>
                <w:sz w:val="16"/>
              </w:rPr>
              <w:t>Amélioration de l’accessibilité et de l’utilisation de l’information en matière de propriété intellectuelle par les institutions compétentes et le public afin de promouvoir l’innovation et la créativité</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774</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335</w:t>
            </w:r>
          </w:p>
        </w:tc>
        <w:tc>
          <w:tcPr>
            <w:tcW w:w="1360" w:type="dxa"/>
            <w:tcBorders>
              <w:top w:val="nil"/>
              <w:left w:val="nil"/>
              <w:bottom w:val="nil"/>
              <w:right w:val="single" w:sz="4" w:space="0" w:color="auto"/>
            </w:tcBorders>
            <w:shd w:val="clear" w:color="auto" w:fill="auto"/>
            <w:vAlign w:val="center"/>
            <w:hideMark/>
          </w:tcPr>
          <w:p w:rsidR="00C258AD" w:rsidRPr="00C258AD" w:rsidRDefault="00C258AD" w:rsidP="00927E1F">
            <w:pPr>
              <w:jc w:val="right"/>
              <w:rPr>
                <w:sz w:val="16"/>
                <w:szCs w:val="16"/>
              </w:rPr>
            </w:pPr>
            <w:r w:rsidRPr="00C258AD">
              <w:rPr>
                <w:sz w:val="16"/>
              </w:rPr>
              <w:t>288</w:t>
            </w:r>
          </w:p>
        </w:tc>
      </w:tr>
      <w:tr w:rsidR="00C258AD" w:rsidRPr="00C258AD" w:rsidTr="00927E1F">
        <w:trPr>
          <w:cantSplit/>
        </w:trPr>
        <w:tc>
          <w:tcPr>
            <w:tcW w:w="602" w:type="dxa"/>
            <w:tcBorders>
              <w:top w:val="nil"/>
              <w:left w:val="single" w:sz="4" w:space="0" w:color="auto"/>
              <w:bottom w:val="nil"/>
              <w:right w:val="nil"/>
            </w:tcBorders>
            <w:shd w:val="clear" w:color="auto" w:fill="auto"/>
            <w:noWrap/>
            <w:vAlign w:val="center"/>
            <w:hideMark/>
          </w:tcPr>
          <w:p w:rsidR="00C258AD" w:rsidRPr="00C258AD" w:rsidRDefault="00C258AD" w:rsidP="00927E1F">
            <w:pPr>
              <w:rPr>
                <w:sz w:val="16"/>
                <w:szCs w:val="16"/>
              </w:rPr>
            </w:pPr>
            <w:r w:rsidRPr="00C258AD">
              <w:rPr>
                <w:sz w:val="16"/>
              </w:rPr>
              <w:t>VII.2</w:t>
            </w:r>
          </w:p>
        </w:tc>
        <w:tc>
          <w:tcPr>
            <w:tcW w:w="4398" w:type="dxa"/>
            <w:tcBorders>
              <w:top w:val="nil"/>
              <w:left w:val="nil"/>
              <w:bottom w:val="nil"/>
              <w:right w:val="nil"/>
            </w:tcBorders>
            <w:shd w:val="clear" w:color="auto" w:fill="auto"/>
            <w:vAlign w:val="center"/>
            <w:hideMark/>
          </w:tcPr>
          <w:p w:rsidR="00C258AD" w:rsidRPr="00C258AD" w:rsidRDefault="00C258AD" w:rsidP="00927E1F">
            <w:pPr>
              <w:rPr>
                <w:sz w:val="16"/>
                <w:szCs w:val="16"/>
              </w:rPr>
            </w:pPr>
            <w:r w:rsidRPr="00C258AD">
              <w:rPr>
                <w:sz w:val="16"/>
              </w:rPr>
              <w:t xml:space="preserve">Des plateformes et instruments fondés sur la propriété intellectuelle sont utilisés pour le transfert de connaissances et l’adaptation et la diffusion de la technologie entre les pays développés et les pays en développement, notamment les PMA, pour relever des défis mondiaux </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304</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195</w:t>
            </w:r>
          </w:p>
        </w:tc>
        <w:tc>
          <w:tcPr>
            <w:tcW w:w="1360" w:type="dxa"/>
            <w:tcBorders>
              <w:top w:val="nil"/>
              <w:left w:val="nil"/>
              <w:bottom w:val="nil"/>
              <w:right w:val="single" w:sz="4" w:space="0" w:color="auto"/>
            </w:tcBorders>
            <w:shd w:val="clear" w:color="auto" w:fill="auto"/>
            <w:vAlign w:val="center"/>
            <w:hideMark/>
          </w:tcPr>
          <w:p w:rsidR="00C258AD" w:rsidRPr="00C258AD" w:rsidRDefault="00C258AD" w:rsidP="00927E1F">
            <w:pPr>
              <w:jc w:val="right"/>
              <w:rPr>
                <w:sz w:val="16"/>
                <w:szCs w:val="16"/>
              </w:rPr>
            </w:pPr>
            <w:r w:rsidRPr="00C258AD">
              <w:rPr>
                <w:sz w:val="16"/>
              </w:rPr>
              <w:t>197</w:t>
            </w:r>
          </w:p>
        </w:tc>
      </w:tr>
      <w:tr w:rsidR="00C258AD" w:rsidRPr="00C258AD" w:rsidTr="00927E1F">
        <w:trPr>
          <w:cantSplit/>
        </w:trPr>
        <w:tc>
          <w:tcPr>
            <w:tcW w:w="602" w:type="dxa"/>
            <w:tcBorders>
              <w:top w:val="nil"/>
              <w:left w:val="single" w:sz="4" w:space="0" w:color="auto"/>
              <w:bottom w:val="nil"/>
              <w:right w:val="nil"/>
            </w:tcBorders>
            <w:shd w:val="clear" w:color="auto" w:fill="auto"/>
            <w:noWrap/>
            <w:vAlign w:val="center"/>
            <w:hideMark/>
          </w:tcPr>
          <w:p w:rsidR="00C258AD" w:rsidRPr="00C258AD" w:rsidRDefault="00C258AD" w:rsidP="00927E1F">
            <w:pPr>
              <w:rPr>
                <w:sz w:val="16"/>
                <w:szCs w:val="16"/>
              </w:rPr>
            </w:pPr>
            <w:r w:rsidRPr="00C258AD">
              <w:rPr>
                <w:sz w:val="16"/>
              </w:rPr>
              <w:t>VIII.1</w:t>
            </w:r>
          </w:p>
        </w:tc>
        <w:tc>
          <w:tcPr>
            <w:tcW w:w="4398" w:type="dxa"/>
            <w:tcBorders>
              <w:top w:val="nil"/>
              <w:left w:val="nil"/>
              <w:bottom w:val="nil"/>
              <w:right w:val="nil"/>
            </w:tcBorders>
            <w:shd w:val="clear" w:color="auto" w:fill="auto"/>
            <w:vAlign w:val="center"/>
            <w:hideMark/>
          </w:tcPr>
          <w:p w:rsidR="00C258AD" w:rsidRPr="00C258AD" w:rsidRDefault="00C258AD" w:rsidP="00927E1F">
            <w:pPr>
              <w:rPr>
                <w:sz w:val="16"/>
                <w:szCs w:val="16"/>
              </w:rPr>
            </w:pPr>
            <w:r w:rsidRPr="00C258AD">
              <w:rPr>
                <w:sz w:val="16"/>
              </w:rPr>
              <w:t>Communication plus efficace avec le grand public concernant la propriété intellectuelle et le rôle de l’OMPI</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848</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1 116</w:t>
            </w:r>
          </w:p>
        </w:tc>
        <w:tc>
          <w:tcPr>
            <w:tcW w:w="1360" w:type="dxa"/>
            <w:tcBorders>
              <w:top w:val="nil"/>
              <w:left w:val="nil"/>
              <w:bottom w:val="nil"/>
              <w:right w:val="single" w:sz="4" w:space="0" w:color="auto"/>
            </w:tcBorders>
            <w:shd w:val="clear" w:color="auto" w:fill="auto"/>
            <w:vAlign w:val="center"/>
            <w:hideMark/>
          </w:tcPr>
          <w:p w:rsidR="00C258AD" w:rsidRPr="00C258AD" w:rsidRDefault="00C258AD" w:rsidP="00927E1F">
            <w:pPr>
              <w:jc w:val="right"/>
              <w:rPr>
                <w:sz w:val="16"/>
                <w:szCs w:val="16"/>
              </w:rPr>
            </w:pPr>
            <w:r w:rsidRPr="00C258AD">
              <w:rPr>
                <w:sz w:val="16"/>
              </w:rPr>
              <w:t>911</w:t>
            </w:r>
          </w:p>
        </w:tc>
      </w:tr>
      <w:tr w:rsidR="00C258AD" w:rsidRPr="00C258AD" w:rsidTr="00927E1F">
        <w:trPr>
          <w:cantSplit/>
        </w:trPr>
        <w:tc>
          <w:tcPr>
            <w:tcW w:w="602" w:type="dxa"/>
            <w:tcBorders>
              <w:top w:val="nil"/>
              <w:left w:val="single" w:sz="4" w:space="0" w:color="auto"/>
              <w:bottom w:val="nil"/>
              <w:right w:val="nil"/>
            </w:tcBorders>
            <w:shd w:val="clear" w:color="auto" w:fill="auto"/>
            <w:noWrap/>
            <w:vAlign w:val="center"/>
            <w:hideMark/>
          </w:tcPr>
          <w:p w:rsidR="00C258AD" w:rsidRPr="00C258AD" w:rsidRDefault="00C258AD" w:rsidP="00927E1F">
            <w:pPr>
              <w:rPr>
                <w:sz w:val="16"/>
                <w:szCs w:val="16"/>
              </w:rPr>
            </w:pPr>
            <w:r w:rsidRPr="00C258AD">
              <w:rPr>
                <w:sz w:val="16"/>
              </w:rPr>
              <w:t>VIII.2</w:t>
            </w:r>
          </w:p>
        </w:tc>
        <w:tc>
          <w:tcPr>
            <w:tcW w:w="4398" w:type="dxa"/>
            <w:tcBorders>
              <w:top w:val="nil"/>
              <w:left w:val="nil"/>
              <w:bottom w:val="nil"/>
              <w:right w:val="nil"/>
            </w:tcBorders>
            <w:shd w:val="clear" w:color="auto" w:fill="auto"/>
            <w:vAlign w:val="center"/>
            <w:hideMark/>
          </w:tcPr>
          <w:p w:rsidR="00C258AD" w:rsidRPr="00C258AD" w:rsidRDefault="00C258AD" w:rsidP="00927E1F">
            <w:pPr>
              <w:rPr>
                <w:sz w:val="16"/>
                <w:szCs w:val="16"/>
              </w:rPr>
            </w:pPr>
            <w:r w:rsidRPr="00C258AD">
              <w:rPr>
                <w:sz w:val="16"/>
              </w:rPr>
              <w:t>Amélioration de l’orientation vers les services et de la réactivité à la demande</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313</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913</w:t>
            </w:r>
          </w:p>
        </w:tc>
        <w:tc>
          <w:tcPr>
            <w:tcW w:w="1360" w:type="dxa"/>
            <w:tcBorders>
              <w:top w:val="nil"/>
              <w:left w:val="nil"/>
              <w:bottom w:val="nil"/>
              <w:right w:val="single" w:sz="4" w:space="0" w:color="auto"/>
            </w:tcBorders>
            <w:shd w:val="clear" w:color="auto" w:fill="auto"/>
            <w:vAlign w:val="center"/>
            <w:hideMark/>
          </w:tcPr>
          <w:p w:rsidR="00C258AD" w:rsidRPr="00C258AD" w:rsidRDefault="00C258AD" w:rsidP="00927E1F">
            <w:pPr>
              <w:jc w:val="right"/>
              <w:rPr>
                <w:sz w:val="16"/>
                <w:szCs w:val="16"/>
              </w:rPr>
            </w:pPr>
            <w:r w:rsidRPr="00C258AD">
              <w:rPr>
                <w:sz w:val="16"/>
              </w:rPr>
              <w:t>847</w:t>
            </w:r>
          </w:p>
        </w:tc>
      </w:tr>
      <w:tr w:rsidR="00C258AD" w:rsidRPr="00C258AD" w:rsidTr="00927E1F">
        <w:trPr>
          <w:cantSplit/>
        </w:trPr>
        <w:tc>
          <w:tcPr>
            <w:tcW w:w="602" w:type="dxa"/>
            <w:tcBorders>
              <w:top w:val="nil"/>
              <w:left w:val="single" w:sz="4" w:space="0" w:color="auto"/>
              <w:bottom w:val="nil"/>
              <w:right w:val="nil"/>
            </w:tcBorders>
            <w:shd w:val="clear" w:color="auto" w:fill="auto"/>
            <w:noWrap/>
            <w:vAlign w:val="center"/>
            <w:hideMark/>
          </w:tcPr>
          <w:p w:rsidR="00C258AD" w:rsidRPr="00C258AD" w:rsidRDefault="00C258AD" w:rsidP="00927E1F">
            <w:pPr>
              <w:rPr>
                <w:sz w:val="16"/>
                <w:szCs w:val="16"/>
              </w:rPr>
            </w:pPr>
            <w:r w:rsidRPr="00C258AD">
              <w:rPr>
                <w:sz w:val="16"/>
              </w:rPr>
              <w:t>VIII.4</w:t>
            </w:r>
          </w:p>
        </w:tc>
        <w:tc>
          <w:tcPr>
            <w:tcW w:w="4398" w:type="dxa"/>
            <w:tcBorders>
              <w:top w:val="nil"/>
              <w:left w:val="nil"/>
              <w:bottom w:val="nil"/>
              <w:right w:val="nil"/>
            </w:tcBorders>
            <w:shd w:val="clear" w:color="auto" w:fill="auto"/>
            <w:vAlign w:val="center"/>
            <w:hideMark/>
          </w:tcPr>
          <w:p w:rsidR="00C258AD" w:rsidRPr="00C258AD" w:rsidRDefault="00C258AD" w:rsidP="00927E1F">
            <w:pPr>
              <w:rPr>
                <w:sz w:val="16"/>
                <w:szCs w:val="16"/>
              </w:rPr>
            </w:pPr>
            <w:r w:rsidRPr="00C258AD">
              <w:rPr>
                <w:sz w:val="16"/>
              </w:rPr>
              <w:t>Échanges ouverts, transparents et dynamiques avec les parties prenantes non gouvernementales</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1 771</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1 223</w:t>
            </w:r>
          </w:p>
        </w:tc>
        <w:tc>
          <w:tcPr>
            <w:tcW w:w="1360" w:type="dxa"/>
            <w:tcBorders>
              <w:top w:val="nil"/>
              <w:left w:val="nil"/>
              <w:bottom w:val="nil"/>
              <w:right w:val="single" w:sz="4" w:space="0" w:color="auto"/>
            </w:tcBorders>
            <w:shd w:val="clear" w:color="auto" w:fill="auto"/>
            <w:vAlign w:val="center"/>
            <w:hideMark/>
          </w:tcPr>
          <w:p w:rsidR="00C258AD" w:rsidRPr="00C258AD" w:rsidRDefault="00C258AD" w:rsidP="00927E1F">
            <w:pPr>
              <w:jc w:val="right"/>
              <w:rPr>
                <w:sz w:val="16"/>
                <w:szCs w:val="16"/>
              </w:rPr>
            </w:pPr>
            <w:r w:rsidRPr="00C258AD">
              <w:rPr>
                <w:sz w:val="16"/>
              </w:rPr>
              <w:t>1 288</w:t>
            </w:r>
          </w:p>
        </w:tc>
      </w:tr>
      <w:tr w:rsidR="00C258AD" w:rsidRPr="00C258AD" w:rsidTr="00927E1F">
        <w:trPr>
          <w:cantSplit/>
        </w:trPr>
        <w:tc>
          <w:tcPr>
            <w:tcW w:w="602" w:type="dxa"/>
            <w:tcBorders>
              <w:top w:val="nil"/>
              <w:left w:val="single" w:sz="4" w:space="0" w:color="auto"/>
              <w:bottom w:val="nil"/>
              <w:right w:val="nil"/>
            </w:tcBorders>
            <w:shd w:val="clear" w:color="auto" w:fill="auto"/>
            <w:noWrap/>
            <w:vAlign w:val="center"/>
            <w:hideMark/>
          </w:tcPr>
          <w:p w:rsidR="00C258AD" w:rsidRPr="00C258AD" w:rsidRDefault="00C258AD" w:rsidP="00927E1F">
            <w:pPr>
              <w:rPr>
                <w:sz w:val="16"/>
                <w:szCs w:val="16"/>
              </w:rPr>
            </w:pPr>
            <w:r w:rsidRPr="00C258AD">
              <w:rPr>
                <w:sz w:val="16"/>
              </w:rPr>
              <w:t>VIII.5</w:t>
            </w:r>
          </w:p>
        </w:tc>
        <w:tc>
          <w:tcPr>
            <w:tcW w:w="4398" w:type="dxa"/>
            <w:tcBorders>
              <w:top w:val="nil"/>
              <w:left w:val="nil"/>
              <w:bottom w:val="nil"/>
              <w:right w:val="nil"/>
            </w:tcBorders>
            <w:shd w:val="clear" w:color="auto" w:fill="auto"/>
            <w:vAlign w:val="center"/>
            <w:hideMark/>
          </w:tcPr>
          <w:p w:rsidR="00C258AD" w:rsidRPr="00C258AD" w:rsidRDefault="00C258AD" w:rsidP="00927E1F">
            <w:pPr>
              <w:rPr>
                <w:sz w:val="16"/>
                <w:szCs w:val="16"/>
              </w:rPr>
            </w:pPr>
            <w:r w:rsidRPr="00C258AD">
              <w:rPr>
                <w:sz w:val="16"/>
              </w:rPr>
              <w:t>L’OMPI collabore efficacement avec d’autres processus et instances de négociation de l’ONU et d’autres organisations intergouvernementales</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4 578</w:t>
            </w:r>
          </w:p>
        </w:tc>
        <w:tc>
          <w:tcPr>
            <w:tcW w:w="1360" w:type="dxa"/>
            <w:tcBorders>
              <w:top w:val="nil"/>
              <w:left w:val="nil"/>
              <w:bottom w:val="nil"/>
              <w:right w:val="nil"/>
            </w:tcBorders>
            <w:shd w:val="clear" w:color="auto" w:fill="auto"/>
            <w:vAlign w:val="center"/>
            <w:hideMark/>
          </w:tcPr>
          <w:p w:rsidR="00C258AD" w:rsidRPr="00C258AD" w:rsidRDefault="00C258AD" w:rsidP="00927E1F">
            <w:pPr>
              <w:jc w:val="right"/>
              <w:rPr>
                <w:sz w:val="16"/>
                <w:szCs w:val="16"/>
              </w:rPr>
            </w:pPr>
            <w:r w:rsidRPr="00C258AD">
              <w:rPr>
                <w:sz w:val="16"/>
              </w:rPr>
              <w:t>4 506</w:t>
            </w:r>
          </w:p>
        </w:tc>
        <w:tc>
          <w:tcPr>
            <w:tcW w:w="1360" w:type="dxa"/>
            <w:tcBorders>
              <w:top w:val="nil"/>
              <w:left w:val="nil"/>
              <w:bottom w:val="nil"/>
              <w:right w:val="single" w:sz="4" w:space="0" w:color="auto"/>
            </w:tcBorders>
            <w:shd w:val="clear" w:color="auto" w:fill="auto"/>
            <w:vAlign w:val="center"/>
            <w:hideMark/>
          </w:tcPr>
          <w:p w:rsidR="00C258AD" w:rsidRPr="00C258AD" w:rsidRDefault="00C258AD" w:rsidP="00927E1F">
            <w:pPr>
              <w:jc w:val="right"/>
              <w:rPr>
                <w:sz w:val="16"/>
                <w:szCs w:val="16"/>
              </w:rPr>
            </w:pPr>
            <w:r w:rsidRPr="00C258AD">
              <w:rPr>
                <w:sz w:val="16"/>
              </w:rPr>
              <w:t>4 024</w:t>
            </w:r>
          </w:p>
        </w:tc>
      </w:tr>
      <w:tr w:rsidR="00C258AD" w:rsidRPr="00C258AD" w:rsidTr="00927E1F">
        <w:trPr>
          <w:cantSplit/>
        </w:trPr>
        <w:tc>
          <w:tcPr>
            <w:tcW w:w="602" w:type="dxa"/>
            <w:tcBorders>
              <w:top w:val="single" w:sz="4" w:space="0" w:color="auto"/>
              <w:left w:val="single" w:sz="4" w:space="0" w:color="auto"/>
              <w:bottom w:val="single" w:sz="4" w:space="0" w:color="auto"/>
              <w:right w:val="nil"/>
            </w:tcBorders>
            <w:shd w:val="clear" w:color="auto" w:fill="BFD9F1"/>
            <w:noWrap/>
            <w:vAlign w:val="bottom"/>
            <w:hideMark/>
          </w:tcPr>
          <w:p w:rsidR="00C258AD" w:rsidRPr="00C258AD" w:rsidRDefault="00C258AD" w:rsidP="00927E1F">
            <w:pPr>
              <w:rPr>
                <w:sz w:val="16"/>
                <w:szCs w:val="16"/>
              </w:rPr>
            </w:pPr>
            <w:r w:rsidRPr="00C258AD">
              <w:rPr>
                <w:sz w:val="16"/>
              </w:rPr>
              <w:t> </w:t>
            </w:r>
          </w:p>
        </w:tc>
        <w:tc>
          <w:tcPr>
            <w:tcW w:w="4398" w:type="dxa"/>
            <w:tcBorders>
              <w:top w:val="single" w:sz="4" w:space="0" w:color="auto"/>
              <w:left w:val="nil"/>
              <w:bottom w:val="single" w:sz="4" w:space="0" w:color="auto"/>
              <w:right w:val="single" w:sz="4" w:space="0" w:color="auto"/>
            </w:tcBorders>
            <w:shd w:val="clear" w:color="auto" w:fill="BFD9F1"/>
            <w:noWrap/>
            <w:vAlign w:val="bottom"/>
            <w:hideMark/>
          </w:tcPr>
          <w:p w:rsidR="00C258AD" w:rsidRPr="00C258AD" w:rsidRDefault="00C258AD" w:rsidP="00927E1F">
            <w:pPr>
              <w:rPr>
                <w:b/>
                <w:bCs/>
                <w:sz w:val="16"/>
                <w:szCs w:val="16"/>
              </w:rPr>
            </w:pPr>
            <w:r w:rsidRPr="00C258AD">
              <w:rPr>
                <w:b/>
                <w:sz w:val="16"/>
              </w:rPr>
              <w:t>Total</w:t>
            </w:r>
          </w:p>
        </w:tc>
        <w:tc>
          <w:tcPr>
            <w:tcW w:w="1360" w:type="dxa"/>
            <w:tcBorders>
              <w:top w:val="single" w:sz="4" w:space="0" w:color="auto"/>
              <w:left w:val="nil"/>
              <w:bottom w:val="single" w:sz="4" w:space="0" w:color="auto"/>
              <w:right w:val="single" w:sz="4" w:space="0" w:color="auto"/>
            </w:tcBorders>
            <w:shd w:val="clear" w:color="auto" w:fill="BFD9F1"/>
            <w:noWrap/>
            <w:vAlign w:val="bottom"/>
            <w:hideMark/>
          </w:tcPr>
          <w:p w:rsidR="00C258AD" w:rsidRPr="00C258AD" w:rsidRDefault="00C258AD" w:rsidP="00927E1F">
            <w:pPr>
              <w:jc w:val="right"/>
              <w:rPr>
                <w:b/>
                <w:bCs/>
                <w:sz w:val="16"/>
                <w:szCs w:val="16"/>
              </w:rPr>
            </w:pPr>
            <w:r w:rsidRPr="00C258AD">
              <w:rPr>
                <w:b/>
                <w:sz w:val="16"/>
              </w:rPr>
              <w:t>12 435</w:t>
            </w:r>
          </w:p>
        </w:tc>
        <w:tc>
          <w:tcPr>
            <w:tcW w:w="1360" w:type="dxa"/>
            <w:tcBorders>
              <w:top w:val="single" w:sz="4" w:space="0" w:color="auto"/>
              <w:left w:val="nil"/>
              <w:bottom w:val="single" w:sz="4" w:space="0" w:color="auto"/>
              <w:right w:val="single" w:sz="4" w:space="0" w:color="auto"/>
            </w:tcBorders>
            <w:shd w:val="clear" w:color="auto" w:fill="BFD9F1"/>
            <w:noWrap/>
            <w:vAlign w:val="bottom"/>
            <w:hideMark/>
          </w:tcPr>
          <w:p w:rsidR="00C258AD" w:rsidRPr="00C258AD" w:rsidRDefault="00C258AD" w:rsidP="00927E1F">
            <w:pPr>
              <w:jc w:val="right"/>
              <w:rPr>
                <w:b/>
                <w:bCs/>
                <w:sz w:val="16"/>
                <w:szCs w:val="16"/>
              </w:rPr>
            </w:pPr>
            <w:r w:rsidRPr="00C258AD">
              <w:rPr>
                <w:b/>
                <w:sz w:val="16"/>
              </w:rPr>
              <w:t>12 515</w:t>
            </w:r>
          </w:p>
        </w:tc>
        <w:tc>
          <w:tcPr>
            <w:tcW w:w="1360" w:type="dxa"/>
            <w:tcBorders>
              <w:top w:val="single" w:sz="4" w:space="0" w:color="auto"/>
              <w:left w:val="nil"/>
              <w:bottom w:val="single" w:sz="4" w:space="0" w:color="auto"/>
              <w:right w:val="single" w:sz="4" w:space="0" w:color="auto"/>
            </w:tcBorders>
            <w:shd w:val="clear" w:color="auto" w:fill="BFD9F1"/>
            <w:noWrap/>
            <w:vAlign w:val="bottom"/>
            <w:hideMark/>
          </w:tcPr>
          <w:p w:rsidR="00C258AD" w:rsidRPr="00C258AD" w:rsidRDefault="00C258AD" w:rsidP="00927E1F">
            <w:pPr>
              <w:jc w:val="right"/>
              <w:rPr>
                <w:b/>
                <w:bCs/>
                <w:sz w:val="16"/>
                <w:szCs w:val="16"/>
              </w:rPr>
            </w:pPr>
            <w:r w:rsidRPr="00C258AD">
              <w:rPr>
                <w:b/>
                <w:sz w:val="16"/>
              </w:rPr>
              <w:t>11 036</w:t>
            </w:r>
          </w:p>
        </w:tc>
      </w:tr>
    </w:tbl>
    <w:p w:rsidR="00C258AD" w:rsidRPr="00C258AD" w:rsidRDefault="00C258AD" w:rsidP="00927E1F"/>
    <w:p w:rsidR="00C258AD" w:rsidRPr="00C258AD" w:rsidRDefault="00C258AD" w:rsidP="00927E1F"/>
    <w:p w:rsidR="00C258AD" w:rsidRPr="00C258AD" w:rsidRDefault="00C258AD" w:rsidP="00927E1F">
      <w:pPr>
        <w:pStyle w:val="NormalWeb"/>
        <w:keepNext/>
        <w:keepLines/>
        <w:spacing w:before="0" w:beforeAutospacing="0" w:after="0" w:afterAutospacing="0"/>
        <w:jc w:val="center"/>
        <w:rPr>
          <w:sz w:val="20"/>
          <w:szCs w:val="20"/>
        </w:rPr>
      </w:pPr>
      <w:r w:rsidRPr="00C258AD">
        <w:rPr>
          <w:sz w:val="20"/>
        </w:rPr>
        <w:lastRenderedPageBreak/>
        <w:t xml:space="preserve">Budget et dépenses effectives (dépenses de </w:t>
      </w:r>
      <w:proofErr w:type="gramStart"/>
      <w:r w:rsidRPr="00C258AD">
        <w:rPr>
          <w:sz w:val="20"/>
        </w:rPr>
        <w:t>personnel et autres dépenses</w:t>
      </w:r>
      <w:proofErr w:type="gramEnd"/>
      <w:r w:rsidRPr="00C258AD">
        <w:rPr>
          <w:sz w:val="20"/>
        </w:rPr>
        <w:t>)</w:t>
      </w:r>
    </w:p>
    <w:p w:rsidR="00C258AD" w:rsidRPr="00C258AD" w:rsidRDefault="00C258AD" w:rsidP="00927E1F">
      <w:pPr>
        <w:pStyle w:val="NormalWeb"/>
        <w:keepNext/>
        <w:keepLines/>
        <w:spacing w:before="0" w:beforeAutospacing="0" w:after="0" w:afterAutospacing="0"/>
        <w:jc w:val="center"/>
        <w:rPr>
          <w:i/>
          <w:iCs/>
          <w:sz w:val="20"/>
          <w:szCs w:val="20"/>
        </w:rPr>
      </w:pPr>
      <w:r w:rsidRPr="00C258AD">
        <w:rPr>
          <w:i/>
          <w:sz w:val="20"/>
        </w:rPr>
        <w:t>(</w:t>
      </w:r>
      <w:proofErr w:type="gramStart"/>
      <w:r w:rsidRPr="00C258AD">
        <w:rPr>
          <w:i/>
          <w:sz w:val="20"/>
        </w:rPr>
        <w:t>en</w:t>
      </w:r>
      <w:proofErr w:type="gramEnd"/>
      <w:r w:rsidRPr="00C258AD">
        <w:rPr>
          <w:i/>
          <w:sz w:val="20"/>
        </w:rPr>
        <w:t xml:space="preserve"> milliers de francs suisses)</w:t>
      </w:r>
    </w:p>
    <w:p w:rsidR="00C258AD" w:rsidRPr="00C258AD" w:rsidRDefault="00C258AD" w:rsidP="00927E1F">
      <w:pPr>
        <w:keepNext/>
      </w:pPr>
    </w:p>
    <w:tbl>
      <w:tblPr>
        <w:tblW w:w="9070" w:type="dxa"/>
        <w:tblInd w:w="55" w:type="dxa"/>
        <w:tblCellMar>
          <w:top w:w="113" w:type="dxa"/>
          <w:left w:w="70" w:type="dxa"/>
          <w:bottom w:w="113" w:type="dxa"/>
          <w:right w:w="70" w:type="dxa"/>
        </w:tblCellMar>
        <w:tblLook w:val="04A0" w:firstRow="1" w:lastRow="0" w:firstColumn="1" w:lastColumn="0" w:noHBand="0" w:noVBand="1"/>
      </w:tblPr>
      <w:tblGrid>
        <w:gridCol w:w="2401"/>
        <w:gridCol w:w="1667"/>
        <w:gridCol w:w="1667"/>
        <w:gridCol w:w="1667"/>
        <w:gridCol w:w="1668"/>
      </w:tblGrid>
      <w:tr w:rsidR="00C258AD" w:rsidRPr="00C258AD" w:rsidTr="00927E1F">
        <w:trPr>
          <w:cantSplit/>
        </w:trPr>
        <w:tc>
          <w:tcPr>
            <w:tcW w:w="2401" w:type="dxa"/>
            <w:tcBorders>
              <w:top w:val="single" w:sz="4" w:space="0" w:color="auto"/>
              <w:left w:val="single" w:sz="4" w:space="0" w:color="auto"/>
              <w:bottom w:val="single" w:sz="4" w:space="0" w:color="auto"/>
              <w:right w:val="single" w:sz="4" w:space="0" w:color="auto"/>
            </w:tcBorders>
            <w:shd w:val="clear" w:color="auto" w:fill="BFD9F1"/>
            <w:noWrap/>
            <w:vAlign w:val="center"/>
            <w:hideMark/>
          </w:tcPr>
          <w:p w:rsidR="00C258AD" w:rsidRPr="00C258AD" w:rsidRDefault="00C258AD" w:rsidP="00927E1F">
            <w:pPr>
              <w:keepNext/>
              <w:rPr>
                <w:sz w:val="16"/>
                <w:szCs w:val="18"/>
              </w:rPr>
            </w:pPr>
            <w:r w:rsidRPr="00C258AD">
              <w:rPr>
                <w:sz w:val="16"/>
              </w:rPr>
              <w:t> </w:t>
            </w:r>
          </w:p>
        </w:tc>
        <w:tc>
          <w:tcPr>
            <w:tcW w:w="1667" w:type="dxa"/>
            <w:tcBorders>
              <w:top w:val="single" w:sz="4" w:space="0" w:color="auto"/>
              <w:left w:val="nil"/>
              <w:bottom w:val="nil"/>
              <w:right w:val="single" w:sz="4" w:space="0" w:color="auto"/>
            </w:tcBorders>
            <w:shd w:val="clear" w:color="auto" w:fill="BFD9F1"/>
            <w:vAlign w:val="center"/>
            <w:hideMark/>
          </w:tcPr>
          <w:p w:rsidR="00C258AD" w:rsidRPr="00C258AD" w:rsidRDefault="00C258AD" w:rsidP="00927E1F">
            <w:pPr>
              <w:keepNext/>
              <w:jc w:val="center"/>
              <w:rPr>
                <w:b/>
                <w:bCs/>
                <w:sz w:val="16"/>
                <w:szCs w:val="18"/>
              </w:rPr>
            </w:pPr>
            <w:r w:rsidRPr="00C258AD">
              <w:rPr>
                <w:b/>
                <w:sz w:val="16"/>
              </w:rPr>
              <w:t>Budget 2014</w:t>
            </w:r>
            <w:r w:rsidRPr="00C258AD">
              <w:rPr>
                <w:b/>
                <w:sz w:val="16"/>
              </w:rPr>
              <w:noBreakHyphen/>
              <w:t>2015 approuvé</w:t>
            </w:r>
          </w:p>
        </w:tc>
        <w:tc>
          <w:tcPr>
            <w:tcW w:w="1667" w:type="dxa"/>
            <w:tcBorders>
              <w:top w:val="single" w:sz="4" w:space="0" w:color="auto"/>
              <w:left w:val="nil"/>
              <w:bottom w:val="nil"/>
              <w:right w:val="single" w:sz="4" w:space="0" w:color="auto"/>
            </w:tcBorders>
            <w:shd w:val="clear" w:color="auto" w:fill="BFD9F1"/>
            <w:vAlign w:val="center"/>
            <w:hideMark/>
          </w:tcPr>
          <w:p w:rsidR="00C258AD" w:rsidRPr="00C258AD" w:rsidRDefault="00C258AD" w:rsidP="00927E1F">
            <w:pPr>
              <w:keepNext/>
              <w:jc w:val="center"/>
              <w:rPr>
                <w:b/>
                <w:bCs/>
                <w:sz w:val="16"/>
                <w:szCs w:val="18"/>
              </w:rPr>
            </w:pPr>
            <w:r w:rsidRPr="00C258AD">
              <w:rPr>
                <w:b/>
                <w:sz w:val="16"/>
              </w:rPr>
              <w:t>Budget final 2014</w:t>
            </w:r>
            <w:r w:rsidRPr="00C258AD">
              <w:rPr>
                <w:b/>
                <w:sz w:val="16"/>
              </w:rPr>
              <w:noBreakHyphen/>
              <w:t>2015</w:t>
            </w:r>
            <w:r w:rsidRPr="00C258AD">
              <w:br/>
            </w:r>
            <w:r w:rsidRPr="00C258AD">
              <w:rPr>
                <w:b/>
                <w:sz w:val="16"/>
              </w:rPr>
              <w:t>après virements</w:t>
            </w:r>
          </w:p>
        </w:tc>
        <w:tc>
          <w:tcPr>
            <w:tcW w:w="1667" w:type="dxa"/>
            <w:tcBorders>
              <w:top w:val="single" w:sz="4" w:space="0" w:color="auto"/>
              <w:left w:val="nil"/>
              <w:bottom w:val="nil"/>
              <w:right w:val="single" w:sz="4" w:space="0" w:color="auto"/>
            </w:tcBorders>
            <w:shd w:val="clear" w:color="auto" w:fill="BFD9F1"/>
            <w:vAlign w:val="center"/>
            <w:hideMark/>
          </w:tcPr>
          <w:p w:rsidR="00C258AD" w:rsidRPr="00C258AD" w:rsidRDefault="00C258AD" w:rsidP="00927E1F">
            <w:pPr>
              <w:keepNext/>
              <w:jc w:val="center"/>
              <w:rPr>
                <w:b/>
                <w:bCs/>
                <w:sz w:val="16"/>
                <w:szCs w:val="18"/>
              </w:rPr>
            </w:pPr>
            <w:r w:rsidRPr="00C258AD">
              <w:rPr>
                <w:b/>
                <w:sz w:val="16"/>
              </w:rPr>
              <w:t xml:space="preserve">Dépenses </w:t>
            </w:r>
            <w:r w:rsidRPr="00C258AD">
              <w:rPr>
                <w:b/>
                <w:sz w:val="16"/>
              </w:rPr>
              <w:br/>
              <w:t>2014</w:t>
            </w:r>
            <w:r w:rsidRPr="00C258AD">
              <w:rPr>
                <w:b/>
                <w:sz w:val="16"/>
              </w:rPr>
              <w:noBreakHyphen/>
              <w:t>2015</w:t>
            </w:r>
          </w:p>
        </w:tc>
        <w:tc>
          <w:tcPr>
            <w:tcW w:w="1668" w:type="dxa"/>
            <w:tcBorders>
              <w:top w:val="single" w:sz="4" w:space="0" w:color="auto"/>
              <w:left w:val="nil"/>
              <w:bottom w:val="nil"/>
              <w:right w:val="single" w:sz="4" w:space="0" w:color="auto"/>
            </w:tcBorders>
            <w:shd w:val="clear" w:color="auto" w:fill="BFD9F1"/>
            <w:vAlign w:val="center"/>
            <w:hideMark/>
          </w:tcPr>
          <w:p w:rsidR="00C258AD" w:rsidRPr="00C258AD" w:rsidRDefault="00C258AD" w:rsidP="00927E1F">
            <w:pPr>
              <w:keepNext/>
              <w:jc w:val="center"/>
              <w:rPr>
                <w:b/>
                <w:bCs/>
                <w:sz w:val="16"/>
                <w:szCs w:val="18"/>
              </w:rPr>
            </w:pPr>
            <w:r w:rsidRPr="00C258AD">
              <w:rPr>
                <w:b/>
                <w:sz w:val="16"/>
              </w:rPr>
              <w:t>Taux d’utilisation (%)</w:t>
            </w:r>
          </w:p>
        </w:tc>
      </w:tr>
      <w:tr w:rsidR="00C258AD" w:rsidRPr="00C258AD" w:rsidTr="00927E1F">
        <w:trPr>
          <w:cantSplit/>
        </w:trPr>
        <w:tc>
          <w:tcPr>
            <w:tcW w:w="2401" w:type="dxa"/>
            <w:tcBorders>
              <w:top w:val="nil"/>
              <w:left w:val="single" w:sz="4" w:space="0" w:color="auto"/>
              <w:bottom w:val="single" w:sz="4" w:space="0" w:color="auto"/>
              <w:right w:val="single" w:sz="4" w:space="0" w:color="auto"/>
            </w:tcBorders>
            <w:shd w:val="clear" w:color="auto" w:fill="auto"/>
            <w:noWrap/>
            <w:vAlign w:val="center"/>
            <w:hideMark/>
          </w:tcPr>
          <w:p w:rsidR="00C258AD" w:rsidRPr="00C258AD" w:rsidRDefault="00C258AD" w:rsidP="00927E1F">
            <w:pPr>
              <w:keepNext/>
              <w:rPr>
                <w:sz w:val="16"/>
                <w:szCs w:val="18"/>
              </w:rPr>
            </w:pPr>
            <w:r w:rsidRPr="00C258AD">
              <w:rPr>
                <w:sz w:val="16"/>
              </w:rPr>
              <w:t>Dépenses de personnel</w:t>
            </w:r>
          </w:p>
        </w:tc>
        <w:tc>
          <w:tcPr>
            <w:tcW w:w="1667" w:type="dxa"/>
            <w:tcBorders>
              <w:top w:val="single" w:sz="4" w:space="0" w:color="auto"/>
              <w:left w:val="nil"/>
              <w:bottom w:val="single" w:sz="4" w:space="0" w:color="auto"/>
              <w:right w:val="single" w:sz="4" w:space="0" w:color="auto"/>
            </w:tcBorders>
            <w:shd w:val="clear" w:color="auto" w:fill="auto"/>
            <w:vAlign w:val="center"/>
            <w:hideMark/>
          </w:tcPr>
          <w:p w:rsidR="00C258AD" w:rsidRPr="00C258AD" w:rsidRDefault="00C258AD" w:rsidP="00927E1F">
            <w:pPr>
              <w:keepNext/>
              <w:jc w:val="center"/>
              <w:rPr>
                <w:sz w:val="16"/>
                <w:szCs w:val="18"/>
              </w:rPr>
            </w:pPr>
            <w:r w:rsidRPr="00C258AD">
              <w:rPr>
                <w:sz w:val="16"/>
              </w:rPr>
              <w:t>9 209</w:t>
            </w:r>
          </w:p>
        </w:tc>
        <w:tc>
          <w:tcPr>
            <w:tcW w:w="1667" w:type="dxa"/>
            <w:tcBorders>
              <w:top w:val="single" w:sz="4" w:space="0" w:color="auto"/>
              <w:left w:val="nil"/>
              <w:bottom w:val="single" w:sz="4" w:space="0" w:color="auto"/>
              <w:right w:val="single" w:sz="4" w:space="0" w:color="auto"/>
            </w:tcBorders>
            <w:shd w:val="clear" w:color="auto" w:fill="auto"/>
            <w:vAlign w:val="center"/>
            <w:hideMark/>
          </w:tcPr>
          <w:p w:rsidR="00C258AD" w:rsidRPr="00C258AD" w:rsidRDefault="00C258AD" w:rsidP="00927E1F">
            <w:pPr>
              <w:keepNext/>
              <w:jc w:val="center"/>
              <w:rPr>
                <w:sz w:val="16"/>
                <w:szCs w:val="18"/>
              </w:rPr>
            </w:pPr>
            <w:r w:rsidRPr="00C258AD">
              <w:rPr>
                <w:sz w:val="16"/>
              </w:rPr>
              <w:t>9 086</w:t>
            </w:r>
          </w:p>
        </w:tc>
        <w:tc>
          <w:tcPr>
            <w:tcW w:w="1667" w:type="dxa"/>
            <w:tcBorders>
              <w:top w:val="single" w:sz="4" w:space="0" w:color="auto"/>
              <w:left w:val="nil"/>
              <w:bottom w:val="single" w:sz="4" w:space="0" w:color="auto"/>
              <w:right w:val="single" w:sz="4" w:space="0" w:color="auto"/>
            </w:tcBorders>
            <w:shd w:val="clear" w:color="auto" w:fill="auto"/>
            <w:vAlign w:val="center"/>
            <w:hideMark/>
          </w:tcPr>
          <w:p w:rsidR="00C258AD" w:rsidRPr="00C258AD" w:rsidRDefault="00C258AD" w:rsidP="00927E1F">
            <w:pPr>
              <w:keepNext/>
              <w:jc w:val="center"/>
              <w:rPr>
                <w:sz w:val="16"/>
                <w:szCs w:val="18"/>
              </w:rPr>
            </w:pPr>
            <w:r w:rsidRPr="00C258AD">
              <w:rPr>
                <w:sz w:val="16"/>
              </w:rPr>
              <w:t>8 026</w:t>
            </w:r>
          </w:p>
        </w:tc>
        <w:tc>
          <w:tcPr>
            <w:tcW w:w="1668" w:type="dxa"/>
            <w:tcBorders>
              <w:top w:val="single" w:sz="4" w:space="0" w:color="auto"/>
              <w:left w:val="nil"/>
              <w:bottom w:val="single" w:sz="4" w:space="0" w:color="auto"/>
              <w:right w:val="single" w:sz="4" w:space="0" w:color="auto"/>
            </w:tcBorders>
            <w:shd w:val="clear" w:color="auto" w:fill="auto"/>
            <w:vAlign w:val="center"/>
            <w:hideMark/>
          </w:tcPr>
          <w:p w:rsidR="00C258AD" w:rsidRPr="00C258AD" w:rsidRDefault="00C258AD" w:rsidP="00927E1F">
            <w:pPr>
              <w:keepNext/>
              <w:jc w:val="center"/>
              <w:rPr>
                <w:sz w:val="16"/>
                <w:szCs w:val="18"/>
              </w:rPr>
            </w:pPr>
            <w:r w:rsidRPr="00C258AD">
              <w:rPr>
                <w:sz w:val="16"/>
              </w:rPr>
              <w:t>88%</w:t>
            </w:r>
          </w:p>
        </w:tc>
      </w:tr>
      <w:tr w:rsidR="00C258AD" w:rsidRPr="00C258AD" w:rsidTr="00927E1F">
        <w:trPr>
          <w:cantSplit/>
        </w:trPr>
        <w:tc>
          <w:tcPr>
            <w:tcW w:w="2401" w:type="dxa"/>
            <w:tcBorders>
              <w:top w:val="nil"/>
              <w:left w:val="single" w:sz="4" w:space="0" w:color="auto"/>
              <w:bottom w:val="single" w:sz="4" w:space="0" w:color="auto"/>
              <w:right w:val="single" w:sz="4" w:space="0" w:color="auto"/>
            </w:tcBorders>
            <w:shd w:val="clear" w:color="auto" w:fill="auto"/>
            <w:noWrap/>
            <w:vAlign w:val="center"/>
            <w:hideMark/>
          </w:tcPr>
          <w:p w:rsidR="00C258AD" w:rsidRPr="00C258AD" w:rsidRDefault="00C258AD" w:rsidP="00927E1F">
            <w:pPr>
              <w:keepNext/>
              <w:rPr>
                <w:sz w:val="16"/>
                <w:szCs w:val="18"/>
              </w:rPr>
            </w:pPr>
            <w:r w:rsidRPr="00C258AD">
              <w:rPr>
                <w:sz w:val="16"/>
              </w:rPr>
              <w:t>Autres dépenses</w:t>
            </w:r>
          </w:p>
        </w:tc>
        <w:tc>
          <w:tcPr>
            <w:tcW w:w="1667" w:type="dxa"/>
            <w:tcBorders>
              <w:top w:val="nil"/>
              <w:left w:val="nil"/>
              <w:bottom w:val="single" w:sz="4" w:space="0" w:color="auto"/>
              <w:right w:val="single" w:sz="4" w:space="0" w:color="auto"/>
            </w:tcBorders>
            <w:shd w:val="clear" w:color="auto" w:fill="auto"/>
            <w:vAlign w:val="center"/>
            <w:hideMark/>
          </w:tcPr>
          <w:p w:rsidR="00C258AD" w:rsidRPr="00C258AD" w:rsidRDefault="00C258AD" w:rsidP="00927E1F">
            <w:pPr>
              <w:keepNext/>
              <w:jc w:val="center"/>
              <w:rPr>
                <w:sz w:val="16"/>
                <w:szCs w:val="18"/>
              </w:rPr>
            </w:pPr>
            <w:r w:rsidRPr="00C258AD">
              <w:rPr>
                <w:sz w:val="16"/>
              </w:rPr>
              <w:t>3 226</w:t>
            </w:r>
          </w:p>
        </w:tc>
        <w:tc>
          <w:tcPr>
            <w:tcW w:w="1667" w:type="dxa"/>
            <w:tcBorders>
              <w:top w:val="nil"/>
              <w:left w:val="nil"/>
              <w:bottom w:val="single" w:sz="4" w:space="0" w:color="auto"/>
              <w:right w:val="single" w:sz="4" w:space="0" w:color="auto"/>
            </w:tcBorders>
            <w:shd w:val="clear" w:color="auto" w:fill="auto"/>
            <w:vAlign w:val="center"/>
            <w:hideMark/>
          </w:tcPr>
          <w:p w:rsidR="00C258AD" w:rsidRPr="00C258AD" w:rsidRDefault="00C258AD" w:rsidP="00927E1F">
            <w:pPr>
              <w:keepNext/>
              <w:jc w:val="center"/>
              <w:rPr>
                <w:sz w:val="16"/>
                <w:szCs w:val="18"/>
              </w:rPr>
            </w:pPr>
            <w:r w:rsidRPr="00C258AD">
              <w:rPr>
                <w:sz w:val="16"/>
              </w:rPr>
              <w:t>3 429</w:t>
            </w:r>
          </w:p>
        </w:tc>
        <w:tc>
          <w:tcPr>
            <w:tcW w:w="1667" w:type="dxa"/>
            <w:tcBorders>
              <w:top w:val="nil"/>
              <w:left w:val="nil"/>
              <w:bottom w:val="single" w:sz="4" w:space="0" w:color="auto"/>
              <w:right w:val="single" w:sz="4" w:space="0" w:color="auto"/>
            </w:tcBorders>
            <w:shd w:val="clear" w:color="auto" w:fill="auto"/>
            <w:vAlign w:val="center"/>
            <w:hideMark/>
          </w:tcPr>
          <w:p w:rsidR="00C258AD" w:rsidRPr="00C258AD" w:rsidRDefault="00C258AD" w:rsidP="00927E1F">
            <w:pPr>
              <w:keepNext/>
              <w:jc w:val="center"/>
              <w:rPr>
                <w:sz w:val="16"/>
                <w:szCs w:val="18"/>
              </w:rPr>
            </w:pPr>
            <w:r w:rsidRPr="00C258AD">
              <w:rPr>
                <w:sz w:val="16"/>
              </w:rPr>
              <w:t>3 009</w:t>
            </w:r>
          </w:p>
        </w:tc>
        <w:tc>
          <w:tcPr>
            <w:tcW w:w="1668" w:type="dxa"/>
            <w:tcBorders>
              <w:top w:val="nil"/>
              <w:left w:val="nil"/>
              <w:bottom w:val="single" w:sz="4" w:space="0" w:color="auto"/>
              <w:right w:val="single" w:sz="4" w:space="0" w:color="auto"/>
            </w:tcBorders>
            <w:shd w:val="clear" w:color="auto" w:fill="auto"/>
            <w:vAlign w:val="center"/>
            <w:hideMark/>
          </w:tcPr>
          <w:p w:rsidR="00C258AD" w:rsidRPr="00C258AD" w:rsidRDefault="00C258AD" w:rsidP="00927E1F">
            <w:pPr>
              <w:keepNext/>
              <w:jc w:val="center"/>
              <w:rPr>
                <w:sz w:val="16"/>
                <w:szCs w:val="18"/>
              </w:rPr>
            </w:pPr>
            <w:r w:rsidRPr="00C258AD">
              <w:rPr>
                <w:sz w:val="16"/>
              </w:rPr>
              <w:t>88%</w:t>
            </w:r>
          </w:p>
        </w:tc>
      </w:tr>
      <w:tr w:rsidR="00C258AD" w:rsidRPr="00C258AD" w:rsidTr="00927E1F">
        <w:trPr>
          <w:cantSplit/>
        </w:trPr>
        <w:tc>
          <w:tcPr>
            <w:tcW w:w="2401" w:type="dxa"/>
            <w:tcBorders>
              <w:top w:val="nil"/>
              <w:left w:val="single" w:sz="4" w:space="0" w:color="auto"/>
              <w:bottom w:val="single" w:sz="4" w:space="0" w:color="auto"/>
              <w:right w:val="single" w:sz="4" w:space="0" w:color="auto"/>
            </w:tcBorders>
            <w:shd w:val="clear" w:color="auto" w:fill="auto"/>
            <w:noWrap/>
            <w:vAlign w:val="center"/>
            <w:hideMark/>
          </w:tcPr>
          <w:p w:rsidR="00C258AD" w:rsidRPr="00C258AD" w:rsidRDefault="00C258AD" w:rsidP="00927E1F">
            <w:pPr>
              <w:keepNext/>
              <w:jc w:val="right"/>
              <w:rPr>
                <w:b/>
                <w:bCs/>
                <w:sz w:val="16"/>
                <w:szCs w:val="18"/>
              </w:rPr>
            </w:pPr>
            <w:r w:rsidRPr="00C258AD">
              <w:rPr>
                <w:b/>
                <w:sz w:val="16"/>
              </w:rPr>
              <w:t xml:space="preserve">TOTAL </w:t>
            </w:r>
          </w:p>
        </w:tc>
        <w:tc>
          <w:tcPr>
            <w:tcW w:w="1667" w:type="dxa"/>
            <w:tcBorders>
              <w:top w:val="nil"/>
              <w:left w:val="nil"/>
              <w:bottom w:val="single" w:sz="4" w:space="0" w:color="auto"/>
              <w:right w:val="single" w:sz="4" w:space="0" w:color="auto"/>
            </w:tcBorders>
            <w:shd w:val="clear" w:color="auto" w:fill="auto"/>
            <w:vAlign w:val="center"/>
            <w:hideMark/>
          </w:tcPr>
          <w:p w:rsidR="00C258AD" w:rsidRPr="00C258AD" w:rsidRDefault="00C258AD" w:rsidP="00927E1F">
            <w:pPr>
              <w:keepNext/>
              <w:jc w:val="center"/>
              <w:rPr>
                <w:b/>
                <w:bCs/>
                <w:sz w:val="16"/>
                <w:szCs w:val="18"/>
              </w:rPr>
            </w:pPr>
            <w:r w:rsidRPr="00C258AD">
              <w:rPr>
                <w:b/>
                <w:sz w:val="16"/>
              </w:rPr>
              <w:t>12 435</w:t>
            </w:r>
          </w:p>
        </w:tc>
        <w:tc>
          <w:tcPr>
            <w:tcW w:w="1667" w:type="dxa"/>
            <w:tcBorders>
              <w:top w:val="nil"/>
              <w:left w:val="nil"/>
              <w:bottom w:val="single" w:sz="4" w:space="0" w:color="auto"/>
              <w:right w:val="single" w:sz="4" w:space="0" w:color="auto"/>
            </w:tcBorders>
            <w:shd w:val="clear" w:color="auto" w:fill="auto"/>
            <w:vAlign w:val="center"/>
            <w:hideMark/>
          </w:tcPr>
          <w:p w:rsidR="00C258AD" w:rsidRPr="00C258AD" w:rsidRDefault="00C258AD" w:rsidP="00927E1F">
            <w:pPr>
              <w:keepNext/>
              <w:jc w:val="center"/>
              <w:rPr>
                <w:b/>
                <w:bCs/>
                <w:sz w:val="16"/>
                <w:szCs w:val="18"/>
              </w:rPr>
            </w:pPr>
            <w:r w:rsidRPr="00C258AD">
              <w:rPr>
                <w:b/>
                <w:sz w:val="16"/>
              </w:rPr>
              <w:t>12 515</w:t>
            </w:r>
          </w:p>
        </w:tc>
        <w:tc>
          <w:tcPr>
            <w:tcW w:w="1667" w:type="dxa"/>
            <w:tcBorders>
              <w:top w:val="nil"/>
              <w:left w:val="nil"/>
              <w:bottom w:val="single" w:sz="4" w:space="0" w:color="auto"/>
              <w:right w:val="single" w:sz="4" w:space="0" w:color="auto"/>
            </w:tcBorders>
            <w:shd w:val="clear" w:color="auto" w:fill="auto"/>
            <w:vAlign w:val="center"/>
            <w:hideMark/>
          </w:tcPr>
          <w:p w:rsidR="00C258AD" w:rsidRPr="00C258AD" w:rsidRDefault="00C258AD" w:rsidP="00927E1F">
            <w:pPr>
              <w:keepNext/>
              <w:jc w:val="center"/>
              <w:rPr>
                <w:b/>
                <w:bCs/>
                <w:sz w:val="16"/>
                <w:szCs w:val="18"/>
              </w:rPr>
            </w:pPr>
            <w:r w:rsidRPr="00C258AD">
              <w:rPr>
                <w:b/>
                <w:sz w:val="16"/>
              </w:rPr>
              <w:t>11 036</w:t>
            </w:r>
          </w:p>
        </w:tc>
        <w:tc>
          <w:tcPr>
            <w:tcW w:w="1668" w:type="dxa"/>
            <w:tcBorders>
              <w:top w:val="nil"/>
              <w:left w:val="nil"/>
              <w:bottom w:val="single" w:sz="4" w:space="0" w:color="auto"/>
              <w:right w:val="single" w:sz="4" w:space="0" w:color="auto"/>
            </w:tcBorders>
            <w:shd w:val="clear" w:color="auto" w:fill="auto"/>
            <w:vAlign w:val="center"/>
            <w:hideMark/>
          </w:tcPr>
          <w:p w:rsidR="00C258AD" w:rsidRPr="00C258AD" w:rsidRDefault="00C258AD" w:rsidP="00927E1F">
            <w:pPr>
              <w:keepNext/>
              <w:jc w:val="center"/>
              <w:rPr>
                <w:b/>
                <w:bCs/>
                <w:sz w:val="16"/>
                <w:szCs w:val="18"/>
              </w:rPr>
            </w:pPr>
            <w:r w:rsidRPr="00C258AD">
              <w:rPr>
                <w:b/>
                <w:sz w:val="16"/>
              </w:rPr>
              <w:t>88%</w:t>
            </w:r>
          </w:p>
        </w:tc>
      </w:tr>
    </w:tbl>
    <w:p w:rsidR="00C258AD" w:rsidRPr="00C258AD" w:rsidRDefault="00C258AD" w:rsidP="00927E1F">
      <w:pPr>
        <w:widowControl w:val="0"/>
        <w:autoSpaceDE w:val="0"/>
        <w:autoSpaceDN w:val="0"/>
        <w:adjustRightInd w:val="0"/>
        <w:jc w:val="both"/>
      </w:pPr>
    </w:p>
    <w:p w:rsidR="00C258AD" w:rsidRPr="00C258AD" w:rsidRDefault="00C258AD" w:rsidP="00927E1F">
      <w:pPr>
        <w:widowControl w:val="0"/>
        <w:autoSpaceDE w:val="0"/>
        <w:autoSpaceDN w:val="0"/>
        <w:adjustRightInd w:val="0"/>
        <w:jc w:val="both"/>
      </w:pPr>
    </w:p>
    <w:p w:rsidR="00C258AD" w:rsidRPr="00C258AD" w:rsidRDefault="00C258AD" w:rsidP="00927E1F">
      <w:pPr>
        <w:rPr>
          <w:u w:val="single"/>
        </w:rPr>
      </w:pPr>
      <w:r w:rsidRPr="00C258AD">
        <w:t>A.</w:t>
      </w:r>
      <w:r w:rsidRPr="00C258AD">
        <w:tab/>
      </w:r>
      <w:r w:rsidRPr="00C258AD">
        <w:rPr>
          <w:u w:val="single"/>
        </w:rPr>
        <w:t>Budget final 2014</w:t>
      </w:r>
      <w:r w:rsidRPr="00C258AD">
        <w:rPr>
          <w:u w:val="single"/>
        </w:rPr>
        <w:noBreakHyphen/>
        <w:t>2015 après virements</w:t>
      </w:r>
    </w:p>
    <w:p w:rsidR="00C258AD" w:rsidRPr="00C258AD" w:rsidRDefault="00C258AD" w:rsidP="00927E1F"/>
    <w:p w:rsidR="00C258AD" w:rsidRPr="00C258AD" w:rsidRDefault="00C258AD" w:rsidP="00DF2EEF">
      <w:pPr>
        <w:pStyle w:val="ListParagraph"/>
        <w:numPr>
          <w:ilvl w:val="0"/>
          <w:numId w:val="107"/>
        </w:numPr>
        <w:tabs>
          <w:tab w:val="left" w:pos="709"/>
        </w:tabs>
        <w:ind w:left="0" w:firstLine="0"/>
        <w:contextualSpacing/>
        <w:jc w:val="both"/>
        <w:rPr>
          <w:u w:val="single"/>
        </w:rPr>
      </w:pPr>
      <w:r w:rsidRPr="00C258AD">
        <w:t>La nette baisse des dépenses de personnel dans le budget final 2014</w:t>
      </w:r>
      <w:r w:rsidRPr="00C258AD">
        <w:noBreakHyphen/>
        <w:t>2015 après virements correspond au transfert de ressources de personnel vers le programme 9 afin de renforcer les activités du Bureau régional pour l’Afrique (qui se traduit par une baisse dans le cadre des résultats VIII.4 (Échanges ouverts, transparents et dynamiques avec les ONG).</w:t>
      </w:r>
    </w:p>
    <w:p w:rsidR="00C258AD" w:rsidRPr="00C258AD" w:rsidRDefault="00C258AD" w:rsidP="00375300">
      <w:pPr>
        <w:pStyle w:val="ListParagraph"/>
        <w:numPr>
          <w:ilvl w:val="0"/>
          <w:numId w:val="0"/>
        </w:numPr>
        <w:tabs>
          <w:tab w:val="left" w:pos="709"/>
        </w:tabs>
        <w:contextualSpacing/>
        <w:jc w:val="both"/>
        <w:rPr>
          <w:u w:val="single"/>
        </w:rPr>
      </w:pPr>
    </w:p>
    <w:p w:rsidR="00C258AD" w:rsidRPr="00C258AD" w:rsidRDefault="00C258AD" w:rsidP="00DF2EEF">
      <w:pPr>
        <w:pStyle w:val="ListParagraph"/>
        <w:numPr>
          <w:ilvl w:val="0"/>
          <w:numId w:val="107"/>
        </w:numPr>
        <w:tabs>
          <w:tab w:val="left" w:pos="709"/>
        </w:tabs>
        <w:ind w:left="0" w:firstLine="0"/>
        <w:contextualSpacing/>
        <w:jc w:val="both"/>
        <w:rPr>
          <w:u w:val="single"/>
        </w:rPr>
      </w:pPr>
      <w:r w:rsidRPr="00C258AD">
        <w:t>L’augmentation marquée des autres dépenses dans le budget final 2014</w:t>
      </w:r>
      <w:r w:rsidRPr="00C258AD">
        <w:noBreakHyphen/>
        <w:t>2015 après virements est principalement due : i) à l’affectation initiale de ressources aux Bureaux de l’OMPI en Chine et en Fédération de Russie;  ii) au transfert de fonds supplémentaires au Bureau de l’OMPI en Chine pour des travaux d’infrastructure au titre du projet d’architecture mondiale des bureaux;  et iii) au transfert de fonds supplémentaires vers les bureaux extérieurs pour la participation des chefs des bureaux extérieurs aux assemblées générales de l’OMPI</w:t>
      </w:r>
      <w:r w:rsidRPr="00C258AD">
        <w:rPr>
          <w:lang w:eastAsia="ko-KR"/>
        </w:rPr>
        <w:t>.</w:t>
      </w:r>
    </w:p>
    <w:p w:rsidR="00C258AD" w:rsidRPr="00C258AD" w:rsidRDefault="00C258AD" w:rsidP="00375300">
      <w:pPr>
        <w:pStyle w:val="ListParagraph"/>
        <w:numPr>
          <w:ilvl w:val="0"/>
          <w:numId w:val="0"/>
        </w:numPr>
        <w:tabs>
          <w:tab w:val="left" w:pos="709"/>
        </w:tabs>
        <w:jc w:val="both"/>
        <w:rPr>
          <w:u w:val="single"/>
        </w:rPr>
      </w:pPr>
    </w:p>
    <w:p w:rsidR="00C258AD" w:rsidRPr="00C258AD" w:rsidRDefault="00C258AD" w:rsidP="00DF2EEF">
      <w:pPr>
        <w:pStyle w:val="ListParagraph"/>
        <w:numPr>
          <w:ilvl w:val="0"/>
          <w:numId w:val="107"/>
        </w:numPr>
        <w:tabs>
          <w:tab w:val="left" w:pos="709"/>
        </w:tabs>
        <w:ind w:left="0" w:firstLine="0"/>
        <w:contextualSpacing/>
        <w:jc w:val="both"/>
      </w:pPr>
      <w:r w:rsidRPr="00C258AD">
        <w:t>Les ajustements apportés aux résultats escomptés sont principalement dus à : i) l’affectation initiale de ressources aux Bureaux de l’OMPI en Chine et en Fédération de Russie, qui trouve en particulier son reflet dans le cadre des résultats II.1 (Utilisation accrue du PCT) et II.6 (Utilisation élargie et améliorée des systèmes de Madrid et de Lisbonne);  ii) l’importance accrue accordée par les bureaux extérieurs à une communication plus efficace des services mondiaux de propriété intellectuelle de l’OMPI, qui trouve son reflet dans le cadre du résultat VIII.1 (Communication plus efficace avec le grand public) et un service client amélioré dans le cadre du résultat VIII.2 (Amélioration de l’orientation vers les services et de la réactivité à la demande);  et, iii) la redistribution des ressources issues du résultat VIII.4 (Échanges ouverts, transparents et dynamiques avec les ONG) vers le résultat VIII.5 (L’OMPI collabore efficacement et établit des partenariats avec d’autres processus et instances de négociation de l’ONU et d’autres organisations intergouvernementales) suite à la réorganisation interne du programme.</w:t>
      </w:r>
    </w:p>
    <w:p w:rsidR="00C258AD" w:rsidRPr="00C258AD" w:rsidRDefault="00C258AD" w:rsidP="00927E1F"/>
    <w:p w:rsidR="00C258AD" w:rsidRPr="00C258AD" w:rsidRDefault="00C258AD" w:rsidP="00927E1F"/>
    <w:p w:rsidR="00C258AD" w:rsidRPr="00C258AD" w:rsidRDefault="00C258AD" w:rsidP="00927E1F">
      <w:pPr>
        <w:jc w:val="both"/>
        <w:rPr>
          <w:u w:val="single"/>
        </w:rPr>
      </w:pPr>
      <w:r w:rsidRPr="00C258AD">
        <w:t>B.</w:t>
      </w:r>
      <w:r w:rsidRPr="00C258AD">
        <w:tab/>
      </w:r>
      <w:r w:rsidRPr="00C258AD">
        <w:rPr>
          <w:u w:val="single"/>
        </w:rPr>
        <w:t>Utilisation du budget en 2014</w:t>
      </w:r>
      <w:r w:rsidRPr="00C258AD">
        <w:rPr>
          <w:u w:val="single"/>
        </w:rPr>
        <w:noBreakHyphen/>
        <w:t>2015</w:t>
      </w:r>
    </w:p>
    <w:p w:rsidR="00C258AD" w:rsidRPr="00C258AD" w:rsidRDefault="00C258AD" w:rsidP="00927E1F"/>
    <w:p w:rsidR="00C258AD" w:rsidRPr="00C258AD" w:rsidRDefault="00C258AD" w:rsidP="00DF2EEF">
      <w:pPr>
        <w:pStyle w:val="ListParagraph"/>
        <w:numPr>
          <w:ilvl w:val="0"/>
          <w:numId w:val="107"/>
        </w:numPr>
        <w:tabs>
          <w:tab w:val="left" w:pos="709"/>
        </w:tabs>
        <w:ind w:left="0" w:firstLine="0"/>
        <w:contextualSpacing/>
        <w:jc w:val="both"/>
      </w:pPr>
      <w:r w:rsidRPr="00C258AD">
        <w:rPr>
          <w:color w:val="000000"/>
          <w:lang w:eastAsia="zh-CN"/>
        </w:rPr>
        <w:t>L’utilisation globale du budget pour l’exercice biennal 2014</w:t>
      </w:r>
      <w:r w:rsidRPr="00C258AD">
        <w:rPr>
          <w:color w:val="000000"/>
          <w:lang w:eastAsia="zh-CN"/>
        </w:rPr>
        <w:noBreakHyphen/>
        <w:t>2015 a atteint 81%</w:t>
      </w:r>
      <w:r w:rsidRPr="00C258AD">
        <w:rPr>
          <w:color w:val="000000"/>
        </w:rPr>
        <w:t xml:space="preserve">.  </w:t>
      </w:r>
      <w:r w:rsidRPr="00C258AD">
        <w:rPr>
          <w:color w:val="000000"/>
          <w:lang w:eastAsia="zh-CN"/>
        </w:rPr>
        <w:t xml:space="preserve">Cela </w:t>
      </w:r>
      <w:r w:rsidRPr="00C258AD">
        <w:t>est principalement dû : i) aux ouvertures des Bureaux de l’OMPI en Chine et en Fédération de Russie en juillet 2014, c’est</w:t>
      </w:r>
      <w:r w:rsidRPr="00C258AD">
        <w:noBreakHyphen/>
        <w:t>à</w:t>
      </w:r>
      <w:r w:rsidRPr="00C258AD">
        <w:noBreakHyphen/>
        <w:t>dire en milieu d’année, ce qui trouve en particulier son reflet dans le cadre des résultats II.1 (Utilisation accrue du PCT), II.6 (Utilisation élargie et améliorée des systèmes de Madrid et de Lisbonne) et III.2 (Renforcement des capacités en matière de ressources humaines);  ii) au report des activités relatives au projet sur le recours à des services de règlement extrajudiciaire des litiges dans les transactions de titres de propriété intellectuelle au sein du Bureau de l’OMPI au Brésil, comme l’indique le résultat II.8 (Litiges relatifs à la propriété intellectuelle internationaux et nationaux);  iii) à certaines activités de renforcement des capacités qui trouvent leur reflet dans le cadre du résultat III.2 (Renforcement des capacités en matière de ressources humaines) et qui sont entreprises par d’autres programmes directement dans les pays/régions;  et iv) à la mise en œuvre de mesures de réduction des coûts concernant les missions du personnel, en particulier sous le résultat VIII.5 (L’OMPI collabore efficacement et établit des partenariats avec d’autres instances des Nations Unies et d’autres processus d’organisations intergouvernementales).</w:t>
      </w:r>
    </w:p>
    <w:p w:rsidR="006E2BB1" w:rsidRPr="00C258AD" w:rsidRDefault="00A068F8" w:rsidP="00A068F8">
      <w:pPr>
        <w:tabs>
          <w:tab w:val="left" w:pos="709"/>
        </w:tabs>
      </w:pPr>
      <w:r w:rsidRPr="00C258AD">
        <w:br w:type="page"/>
      </w:r>
    </w:p>
    <w:p w:rsidR="00431966" w:rsidRPr="00C258AD" w:rsidRDefault="00431966" w:rsidP="00BD5530">
      <w:pPr>
        <w:pStyle w:val="StyleHeading214ptAuto"/>
        <w:jc w:val="center"/>
        <w:rPr>
          <w:lang w:val="fr-FR"/>
        </w:rPr>
      </w:pPr>
      <w:bookmarkStart w:id="148" w:name="_Toc455394207"/>
      <w:bookmarkStart w:id="149" w:name="_Toc367350601"/>
      <w:r w:rsidRPr="00C258AD">
        <w:rPr>
          <w:lang w:val="fr-FR"/>
        </w:rPr>
        <w:lastRenderedPageBreak/>
        <w:t>OBJECTIF STRATÉGIQUE IX</w:t>
      </w:r>
      <w:bookmarkEnd w:id="148"/>
    </w:p>
    <w:p w:rsidR="00431966" w:rsidRPr="00C258AD" w:rsidRDefault="00431966" w:rsidP="00431966">
      <w:pPr>
        <w:jc w:val="center"/>
      </w:pPr>
    </w:p>
    <w:bookmarkEnd w:id="149"/>
    <w:p w:rsidR="00431966" w:rsidRPr="00C258AD" w:rsidRDefault="00431966" w:rsidP="00431966">
      <w:pPr>
        <w:jc w:val="center"/>
      </w:pPr>
      <w:r w:rsidRPr="00C258AD">
        <w:rPr>
          <w:b/>
        </w:rPr>
        <w:t>STRUCTURE D’APPUI ADMINISTRATIF ET FINANCIER EFFICACE</w:t>
      </w:r>
    </w:p>
    <w:p w:rsidR="00431966" w:rsidRPr="00C258AD" w:rsidRDefault="00431966" w:rsidP="00431966">
      <w:pPr>
        <w:jc w:val="center"/>
      </w:pPr>
    </w:p>
    <w:p w:rsidR="00431966" w:rsidRPr="00C258AD" w:rsidRDefault="00431966" w:rsidP="00431966">
      <w:pPr>
        <w:jc w:val="center"/>
      </w:pPr>
    </w:p>
    <w:p w:rsidR="00431966" w:rsidRPr="00C258AD" w:rsidRDefault="00431966" w:rsidP="00431966">
      <w:pPr>
        <w:jc w:val="center"/>
        <w:rPr>
          <w:b/>
        </w:rPr>
      </w:pPr>
      <w:r w:rsidRPr="00C258AD">
        <w:rPr>
          <w:b/>
        </w:rPr>
        <w:t>Tableau de bord de l’exécution du programme biennal</w:t>
      </w:r>
    </w:p>
    <w:p w:rsidR="00431966" w:rsidRPr="00C258AD" w:rsidRDefault="00431966" w:rsidP="00431966">
      <w:pPr>
        <w:jc w:val="center"/>
        <w:rPr>
          <w:b/>
        </w:rPr>
      </w:pPr>
    </w:p>
    <w:p w:rsidR="00431966" w:rsidRPr="00C258AD" w:rsidRDefault="00431966" w:rsidP="00431966">
      <w:pPr>
        <w:autoSpaceDE w:val="0"/>
        <w:autoSpaceDN w:val="0"/>
        <w:adjustRightInd w:val="0"/>
        <w:jc w:val="both"/>
        <w:rPr>
          <w:rFonts w:cs="Arial"/>
        </w:rPr>
      </w:pPr>
      <w:r w:rsidRPr="00C258AD">
        <w:rPr>
          <w:rFonts w:cs="Arial"/>
        </w:rPr>
        <w:t>Le tableau de bord ci</w:t>
      </w:r>
      <w:r w:rsidRPr="00C258AD">
        <w:rPr>
          <w:rFonts w:cs="Arial"/>
        </w:rPr>
        <w:noBreakHyphen/>
        <w:t>dessous présente un résumé de la réalisation des résultats escomptés pour l’exercice biennal 2014</w:t>
      </w:r>
      <w:r w:rsidRPr="00C258AD">
        <w:rPr>
          <w:rFonts w:cs="Arial"/>
        </w:rPr>
        <w:noBreakHyphen/>
        <w:t>2015, telle que mesurée par les indicateurs au titre des programmes contribuant à cet objectif stratégique.</w:t>
      </w:r>
    </w:p>
    <w:p w:rsidR="00431966" w:rsidRPr="00C258AD" w:rsidRDefault="00431966" w:rsidP="00431966">
      <w:pPr>
        <w:jc w:val="center"/>
      </w:pPr>
    </w:p>
    <w:p w:rsidR="00431966" w:rsidRPr="00C258AD" w:rsidRDefault="00431966" w:rsidP="00431966">
      <w:pPr>
        <w:jc w:val="center"/>
      </w:pPr>
      <w:r w:rsidRPr="00C258AD">
        <w:rPr>
          <w:noProof/>
          <w:lang w:val="en-US"/>
        </w:rPr>
        <w:drawing>
          <wp:inline distT="0" distB="0" distL="0" distR="0" wp14:anchorId="43BE6D99" wp14:editId="7B7F54E1">
            <wp:extent cx="5940425" cy="3159452"/>
            <wp:effectExtent l="0" t="0" r="3175" b="317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940425" cy="3159452"/>
                    </a:xfrm>
                    <a:prstGeom prst="rect">
                      <a:avLst/>
                    </a:prstGeom>
                    <a:noFill/>
                    <a:ln>
                      <a:noFill/>
                    </a:ln>
                  </pic:spPr>
                </pic:pic>
              </a:graphicData>
            </a:graphic>
          </wp:inline>
        </w:drawing>
      </w:r>
    </w:p>
    <w:p w:rsidR="00431966" w:rsidRPr="00C258AD" w:rsidRDefault="00431966" w:rsidP="00431966">
      <w:pPr>
        <w:jc w:val="center"/>
        <w:rPr>
          <w:szCs w:val="20"/>
        </w:rPr>
      </w:pPr>
    </w:p>
    <w:tbl>
      <w:tblPr>
        <w:tblW w:w="5000" w:type="pct"/>
        <w:tblInd w:w="108" w:type="dxa"/>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839"/>
        <w:gridCol w:w="4013"/>
        <w:gridCol w:w="1667"/>
        <w:gridCol w:w="972"/>
      </w:tblGrid>
      <w:tr w:rsidR="00431966" w:rsidRPr="00C258AD" w:rsidTr="00927E1F">
        <w:trPr>
          <w:cantSplit/>
          <w:tblHeader/>
        </w:trPr>
        <w:tc>
          <w:tcPr>
            <w:tcW w:w="1511"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431966" w:rsidRPr="00C258AD" w:rsidRDefault="00431966" w:rsidP="00927E1F">
            <w:pPr>
              <w:spacing w:after="120"/>
              <w:jc w:val="center"/>
              <w:rPr>
                <w:rFonts w:cs="Arial"/>
                <w:b/>
                <w:bCs/>
                <w:sz w:val="18"/>
                <w:szCs w:val="18"/>
              </w:rPr>
            </w:pPr>
            <w:r w:rsidRPr="00C258AD">
              <w:rPr>
                <w:rFonts w:cs="Arial"/>
                <w:b/>
                <w:bCs/>
                <w:sz w:val="18"/>
                <w:szCs w:val="18"/>
              </w:rPr>
              <w:t>Résultats escomptés</w:t>
            </w:r>
          </w:p>
        </w:tc>
        <w:tc>
          <w:tcPr>
            <w:tcW w:w="2129"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431966" w:rsidRPr="00C258AD" w:rsidRDefault="00431966" w:rsidP="00927E1F">
            <w:pPr>
              <w:spacing w:after="120"/>
              <w:jc w:val="center"/>
              <w:rPr>
                <w:rFonts w:cs="Arial"/>
                <w:b/>
                <w:sz w:val="18"/>
                <w:szCs w:val="18"/>
              </w:rPr>
            </w:pPr>
            <w:r w:rsidRPr="00C258AD">
              <w:rPr>
                <w:rFonts w:cs="Arial"/>
                <w:b/>
                <w:sz w:val="18"/>
                <w:szCs w:val="18"/>
              </w:rPr>
              <w:t>Indicateurs d’exécution</w:t>
            </w:r>
          </w:p>
        </w:tc>
        <w:tc>
          <w:tcPr>
            <w:tcW w:w="893" w:type="pct"/>
            <w:tcBorders>
              <w:top w:val="single" w:sz="4" w:space="0" w:color="auto"/>
              <w:bottom w:val="single" w:sz="4" w:space="0" w:color="auto"/>
            </w:tcBorders>
            <w:shd w:val="clear" w:color="auto" w:fill="DAEEF3" w:themeFill="accent5" w:themeFillTint="33"/>
            <w:tcMar>
              <w:top w:w="113" w:type="dxa"/>
              <w:bottom w:w="85" w:type="dxa"/>
            </w:tcMar>
            <w:vAlign w:val="center"/>
          </w:tcPr>
          <w:p w:rsidR="00431966" w:rsidRPr="00C258AD" w:rsidRDefault="00431966" w:rsidP="00927E1F">
            <w:pPr>
              <w:spacing w:after="120"/>
              <w:ind w:left="85"/>
              <w:jc w:val="center"/>
              <w:rPr>
                <w:rFonts w:cs="Arial"/>
                <w:sz w:val="18"/>
                <w:szCs w:val="18"/>
              </w:rPr>
            </w:pPr>
            <w:r w:rsidRPr="00C258AD">
              <w:rPr>
                <w:rFonts w:cs="Arial"/>
                <w:b/>
                <w:sz w:val="18"/>
                <w:szCs w:val="18"/>
              </w:rPr>
              <w:t>Programme(s) concerné(s)</w:t>
            </w:r>
          </w:p>
        </w:tc>
        <w:tc>
          <w:tcPr>
            <w:tcW w:w="467" w:type="pct"/>
            <w:tcBorders>
              <w:top w:val="single" w:sz="4" w:space="0" w:color="auto"/>
              <w:bottom w:val="single" w:sz="4" w:space="0" w:color="auto"/>
            </w:tcBorders>
            <w:shd w:val="clear" w:color="auto" w:fill="DAEEF3" w:themeFill="accent5" w:themeFillTint="33"/>
            <w:vAlign w:val="center"/>
          </w:tcPr>
          <w:p w:rsidR="00431966" w:rsidRPr="00C258AD" w:rsidRDefault="00431966" w:rsidP="00927E1F">
            <w:pPr>
              <w:spacing w:after="120"/>
              <w:ind w:left="85"/>
              <w:jc w:val="center"/>
              <w:rPr>
                <w:rFonts w:cs="Arial"/>
                <w:b/>
                <w:bCs/>
                <w:sz w:val="18"/>
                <w:szCs w:val="18"/>
              </w:rPr>
            </w:pPr>
            <w:r w:rsidRPr="00C258AD">
              <w:rPr>
                <w:rFonts w:cs="Arial"/>
                <w:b/>
                <w:bCs/>
                <w:sz w:val="18"/>
                <w:szCs w:val="18"/>
              </w:rPr>
              <w:t>Code de couleurs</w:t>
            </w:r>
          </w:p>
        </w:tc>
      </w:tr>
      <w:tr w:rsidR="00431966" w:rsidRPr="00C258AD" w:rsidTr="00927E1F">
        <w:trPr>
          <w:cantSplit/>
        </w:trPr>
        <w:tc>
          <w:tcPr>
            <w:tcW w:w="1511" w:type="pct"/>
            <w:tcBorders>
              <w:top w:val="single" w:sz="4" w:space="0" w:color="auto"/>
            </w:tcBorders>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IX.1 Services d’appui efficaces, efficients, de qualité et tournés vers la clientèle, à l’intention à la fois des clients internes et des parties prenantes externes</w:t>
            </w:r>
          </w:p>
        </w:tc>
        <w:tc>
          <w:tcPr>
            <w:tcW w:w="2129" w:type="pct"/>
            <w:tcBorders>
              <w:top w:val="single" w:sz="4" w:space="0" w:color="auto"/>
            </w:tcBorders>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 xml:space="preserve">Fourniture des rapports et analyses financiers et de </w:t>
            </w:r>
            <w:proofErr w:type="gramStart"/>
            <w:r w:rsidRPr="00C258AD">
              <w:rPr>
                <w:rFonts w:cs="Arial"/>
                <w:sz w:val="16"/>
                <w:szCs w:val="16"/>
              </w:rPr>
              <w:t>gestion demandés</w:t>
            </w:r>
            <w:proofErr w:type="gramEnd"/>
            <w:r w:rsidRPr="00C258AD">
              <w:rPr>
                <w:rFonts w:cs="Arial"/>
                <w:sz w:val="16"/>
                <w:szCs w:val="16"/>
              </w:rPr>
              <w:t xml:space="preserve"> par la direction, les gestionnaires de programme et les États membres conformément aux échéances convenues</w:t>
            </w:r>
          </w:p>
        </w:tc>
        <w:tc>
          <w:tcPr>
            <w:tcW w:w="893" w:type="pct"/>
            <w:tcBorders>
              <w:top w:val="single" w:sz="4" w:space="0" w:color="auto"/>
            </w:tcBorders>
            <w:shd w:val="clear" w:color="auto" w:fill="FFFFFF"/>
            <w:tcMar>
              <w:top w:w="113" w:type="dxa"/>
              <w:bottom w:w="85" w:type="dxa"/>
            </w:tcMar>
          </w:tcPr>
          <w:p w:rsidR="00431966" w:rsidRPr="00C258AD" w:rsidRDefault="00431966" w:rsidP="00927E1F">
            <w:pPr>
              <w:jc w:val="center"/>
              <w:rPr>
                <w:rFonts w:cs="Arial"/>
                <w:sz w:val="16"/>
                <w:szCs w:val="16"/>
              </w:rPr>
            </w:pPr>
            <w:r w:rsidRPr="00C258AD">
              <w:rPr>
                <w:rFonts w:cs="Arial"/>
                <w:sz w:val="16"/>
                <w:szCs w:val="16"/>
              </w:rPr>
              <w:t>Programme 22</w:t>
            </w:r>
          </w:p>
        </w:tc>
        <w:tc>
          <w:tcPr>
            <w:tcW w:w="467" w:type="pct"/>
            <w:tcBorders>
              <w:top w:val="single" w:sz="4" w:space="0" w:color="auto"/>
            </w:tcBorders>
            <w:shd w:val="clear" w:color="auto" w:fill="FFFFFF"/>
          </w:tcPr>
          <w:p w:rsidR="00431966" w:rsidRPr="00C258AD" w:rsidRDefault="00431966" w:rsidP="00927E1F">
            <w:pPr>
              <w:jc w:val="center"/>
            </w:pP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FF0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Résolution des demandes internes/externes reçues dans les délais impartis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22</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bCs/>
                <w:sz w:val="16"/>
                <w:szCs w:val="16"/>
              </w:rPr>
            </w:pPr>
            <w:r w:rsidRPr="00C258AD">
              <w:rPr>
                <w:rFonts w:cs="Arial"/>
                <w:bCs/>
                <w:sz w:val="16"/>
                <w:szCs w:val="16"/>
              </w:rPr>
              <w:t>% du personnel satisfait des services des ressources humaines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rPr>
            </w:pPr>
            <w:r w:rsidRPr="00C258AD">
              <w:rPr>
                <w:rFonts w:cs="Arial"/>
                <w:sz w:val="16"/>
                <w:szCs w:val="16"/>
              </w:rPr>
              <w:t>Programme 23</w:t>
            </w:r>
          </w:p>
        </w:tc>
        <w:tc>
          <w:tcPr>
            <w:tcW w:w="467" w:type="pct"/>
            <w:shd w:val="clear" w:color="auto" w:fill="FFFFFF"/>
          </w:tcPr>
          <w:p w:rsidR="00431966" w:rsidRPr="00C258AD" w:rsidRDefault="00431966" w:rsidP="00927E1F">
            <w:pPr>
              <w:jc w:val="center"/>
            </w:pPr>
            <w:r w:rsidRPr="00C258AD">
              <w:rPr>
                <w:rFonts w:cs="Arial"/>
                <w:color w:val="A6A6A6" w:themeColor="background1" w:themeShade="A6"/>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Services des ressources humaines répondant dans les délais, de manière précise et efficace</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rPr>
            </w:pPr>
            <w:r w:rsidRPr="00C258AD">
              <w:rPr>
                <w:rFonts w:cs="Arial"/>
                <w:sz w:val="16"/>
                <w:szCs w:val="16"/>
              </w:rPr>
              <w:t>Programme 23</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Achèvement de la construction d’une nouvelle salle de conférence conformément aux critères de qualité, au budget et aux délais approuvés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29</w:t>
            </w:r>
          </w:p>
        </w:tc>
        <w:tc>
          <w:tcPr>
            <w:tcW w:w="467"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Utilisation de la salle de conférence comme lieu privilégié de réunions et de manifestations par les États membres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29</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bCs/>
                <w:sz w:val="16"/>
                <w:szCs w:val="16"/>
              </w:rPr>
            </w:pPr>
            <w:r w:rsidRPr="00C258AD">
              <w:rPr>
                <w:rFonts w:cs="Arial"/>
                <w:bCs/>
                <w:sz w:val="16"/>
                <w:szCs w:val="16"/>
              </w:rPr>
              <w:t>Économies sur les achats de biens et de services effectués par l’OMPI (par suite d’invitations à soumissionner ou de négociations directes)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24</w:t>
            </w:r>
          </w:p>
        </w:tc>
        <w:tc>
          <w:tcPr>
            <w:tcW w:w="467"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de clients internes satisfaits des services d’achat</w:t>
            </w:r>
          </w:p>
        </w:tc>
        <w:tc>
          <w:tcPr>
            <w:tcW w:w="893" w:type="pct"/>
            <w:shd w:val="clear" w:color="auto" w:fill="FFFFFF"/>
            <w:tcMar>
              <w:top w:w="113" w:type="dxa"/>
              <w:bottom w:w="85" w:type="dxa"/>
            </w:tcMar>
          </w:tcPr>
          <w:p w:rsidR="00431966" w:rsidRPr="00C258AD" w:rsidRDefault="00431966" w:rsidP="00927E1F">
            <w:pPr>
              <w:jc w:val="center"/>
              <w:rPr>
                <w:sz w:val="16"/>
                <w:szCs w:val="16"/>
              </w:rPr>
            </w:pPr>
            <w:r w:rsidRPr="00C258AD">
              <w:rPr>
                <w:sz w:val="16"/>
                <w:szCs w:val="16"/>
              </w:rPr>
              <w:t>Programme 24</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Temps de traitement des autorisations de voyage électroniques, des demandes électroniques de manifestation et des visas</w:t>
            </w:r>
          </w:p>
        </w:tc>
        <w:tc>
          <w:tcPr>
            <w:tcW w:w="893" w:type="pct"/>
            <w:shd w:val="clear" w:color="auto" w:fill="FFFFFF"/>
            <w:tcMar>
              <w:top w:w="113" w:type="dxa"/>
              <w:bottom w:w="85" w:type="dxa"/>
            </w:tcMar>
          </w:tcPr>
          <w:p w:rsidR="00431966" w:rsidRPr="00C258AD" w:rsidRDefault="00431966" w:rsidP="00927E1F">
            <w:pPr>
              <w:jc w:val="center"/>
              <w:rPr>
                <w:sz w:val="16"/>
                <w:szCs w:val="16"/>
              </w:rPr>
            </w:pPr>
            <w:r w:rsidRPr="00C258AD">
              <w:rPr>
                <w:sz w:val="16"/>
                <w:szCs w:val="16"/>
              </w:rPr>
              <w:t>Programme 24</w:t>
            </w:r>
          </w:p>
        </w:tc>
        <w:tc>
          <w:tcPr>
            <w:tcW w:w="467"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sz w:val="16"/>
                <w:szCs w:val="16"/>
              </w:rPr>
            </w:pPr>
            <w:r w:rsidRPr="00C258AD">
              <w:rPr>
                <w:sz w:val="16"/>
                <w:szCs w:val="16"/>
              </w:rPr>
              <w:t>Coût moyen du billet (billets TMC et PNUD)</w:t>
            </w:r>
          </w:p>
        </w:tc>
        <w:tc>
          <w:tcPr>
            <w:tcW w:w="893" w:type="pct"/>
            <w:shd w:val="clear" w:color="auto" w:fill="FFFFFF"/>
            <w:tcMar>
              <w:top w:w="113" w:type="dxa"/>
              <w:bottom w:w="85" w:type="dxa"/>
            </w:tcMar>
          </w:tcPr>
          <w:p w:rsidR="00431966" w:rsidRPr="00C258AD" w:rsidRDefault="00431966" w:rsidP="00927E1F">
            <w:pPr>
              <w:jc w:val="center"/>
              <w:rPr>
                <w:sz w:val="16"/>
                <w:szCs w:val="16"/>
              </w:rPr>
            </w:pPr>
            <w:r w:rsidRPr="00C258AD">
              <w:rPr>
                <w:sz w:val="16"/>
                <w:szCs w:val="16"/>
              </w:rPr>
              <w:t>Programme 24</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sz w:val="16"/>
                <w:szCs w:val="16"/>
              </w:rPr>
            </w:pPr>
            <w:r w:rsidRPr="00C258AD">
              <w:rPr>
                <w:sz w:val="16"/>
                <w:szCs w:val="16"/>
              </w:rPr>
              <w:t>Tous les types d’espace sur le campus de l’OMPI (lieux de travail, stockage et archivage) sont gérés efficacement.</w:t>
            </w:r>
          </w:p>
        </w:tc>
        <w:tc>
          <w:tcPr>
            <w:tcW w:w="893" w:type="pct"/>
            <w:shd w:val="clear" w:color="auto" w:fill="FFFFFF"/>
            <w:tcMar>
              <w:top w:w="113" w:type="dxa"/>
              <w:bottom w:w="85" w:type="dxa"/>
            </w:tcMar>
          </w:tcPr>
          <w:p w:rsidR="00431966" w:rsidRPr="00C258AD" w:rsidRDefault="00431966" w:rsidP="00927E1F">
            <w:pPr>
              <w:jc w:val="center"/>
              <w:rPr>
                <w:sz w:val="16"/>
                <w:szCs w:val="16"/>
              </w:rPr>
            </w:pPr>
            <w:r w:rsidRPr="00C258AD">
              <w:rPr>
                <w:sz w:val="16"/>
                <w:szCs w:val="16"/>
              </w:rPr>
              <w:t>Programme 24</w:t>
            </w:r>
          </w:p>
        </w:tc>
        <w:tc>
          <w:tcPr>
            <w:tcW w:w="467"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sz w:val="16"/>
                <w:szCs w:val="16"/>
              </w:rPr>
            </w:pPr>
            <w:r w:rsidRPr="00C258AD">
              <w:rPr>
                <w:sz w:val="16"/>
                <w:szCs w:val="16"/>
              </w:rPr>
              <w:t>Les bâtiments situés sur le campus de l’OMPI ont été rénovés/modernisés/transformés pour rester adaptés à l’usage prévu</w:t>
            </w:r>
          </w:p>
        </w:tc>
        <w:tc>
          <w:tcPr>
            <w:tcW w:w="893" w:type="pct"/>
            <w:shd w:val="clear" w:color="auto" w:fill="FFFFFF"/>
            <w:tcMar>
              <w:top w:w="113" w:type="dxa"/>
              <w:bottom w:w="85" w:type="dxa"/>
            </w:tcMar>
          </w:tcPr>
          <w:p w:rsidR="00431966" w:rsidRPr="00C258AD" w:rsidRDefault="00431966" w:rsidP="00927E1F">
            <w:pPr>
              <w:jc w:val="center"/>
              <w:rPr>
                <w:sz w:val="16"/>
                <w:szCs w:val="16"/>
              </w:rPr>
            </w:pPr>
            <w:r w:rsidRPr="00C258AD">
              <w:rPr>
                <w:sz w:val="16"/>
                <w:szCs w:val="16"/>
              </w:rPr>
              <w:t>Programme 24</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sz w:val="16"/>
                <w:szCs w:val="16"/>
              </w:rPr>
            </w:pPr>
            <w:r w:rsidRPr="00C258AD">
              <w:rPr>
                <w:sz w:val="16"/>
                <w:szCs w:val="16"/>
              </w:rPr>
              <w:t xml:space="preserve">Tous les types d’installations techniques principales sont conformes aux normes techniques en vigueur </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24</w:t>
            </w:r>
          </w:p>
        </w:tc>
        <w:tc>
          <w:tcPr>
            <w:tcW w:w="467"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sz w:val="16"/>
                <w:szCs w:val="16"/>
              </w:rPr>
            </w:pPr>
            <w:r w:rsidRPr="00C258AD">
              <w:rPr>
                <w:sz w:val="16"/>
                <w:szCs w:val="16"/>
              </w:rPr>
              <w:t xml:space="preserve">Les TIC sont </w:t>
            </w:r>
            <w:proofErr w:type="gramStart"/>
            <w:r w:rsidRPr="00C258AD">
              <w:rPr>
                <w:sz w:val="16"/>
                <w:szCs w:val="16"/>
              </w:rPr>
              <w:t>hébergées</w:t>
            </w:r>
            <w:proofErr w:type="gramEnd"/>
            <w:r w:rsidRPr="00C258AD">
              <w:rPr>
                <w:sz w:val="16"/>
                <w:szCs w:val="16"/>
              </w:rPr>
              <w:t xml:space="preserve"> et gérées de manière rentable, conformément aux demandes liées à l’activité</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25</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Nombre d’indicateurs de niveau de service des systèmes et des services hébergés qui sont conformes au cadre d’indicateurs défini pour les TIC</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25</w:t>
            </w:r>
          </w:p>
        </w:tc>
        <w:tc>
          <w:tcPr>
            <w:tcW w:w="467"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Continuité de service dans le domaine des TIC pour les systèmes vitaux</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25</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d’utilisateurs finaux et de secteurs d’activité qui sont satisfaits des services dans le domaine des TIC</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25</w:t>
            </w:r>
          </w:p>
        </w:tc>
        <w:tc>
          <w:tcPr>
            <w:tcW w:w="467"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sz w:val="16"/>
                <w:szCs w:val="16"/>
              </w:rPr>
            </w:pPr>
            <w:r w:rsidRPr="00C258AD">
              <w:rPr>
                <w:sz w:val="16"/>
                <w:szCs w:val="16"/>
              </w:rPr>
              <w:t>Les technologies de la communication globales et intégrées sont facilement accessibles aux membres du personnel</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25</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bCs/>
                <w:sz w:val="16"/>
                <w:szCs w:val="16"/>
              </w:rPr>
            </w:pPr>
            <w:r w:rsidRPr="00C258AD">
              <w:rPr>
                <w:rFonts w:cs="Arial"/>
                <w:bCs/>
                <w:sz w:val="16"/>
                <w:szCs w:val="16"/>
              </w:rPr>
              <w:t>Pourcentage de participants internes et externes satisfaits des services de conférence de l’OMPI</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27</w:t>
            </w:r>
          </w:p>
        </w:tc>
        <w:tc>
          <w:tcPr>
            <w:tcW w:w="467"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Mise en œuvre efficace de la politique linguistique de l’OMPI</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27</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Coût par mot traduit</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27</w:t>
            </w:r>
          </w:p>
        </w:tc>
        <w:tc>
          <w:tcPr>
            <w:tcW w:w="467"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Qualité des traductions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27</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A6A6A6" w:themeColor="background1" w:themeShade="A6"/>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sz w:val="16"/>
                <w:szCs w:val="16"/>
              </w:rPr>
            </w:pPr>
            <w:r w:rsidRPr="00C258AD">
              <w:rPr>
                <w:sz w:val="16"/>
                <w:szCs w:val="16"/>
              </w:rPr>
              <w:t>Réduction des coûts d’impression (par page)</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27</w:t>
            </w:r>
          </w:p>
        </w:tc>
        <w:tc>
          <w:tcPr>
            <w:tcW w:w="467"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sz w:val="16"/>
                <w:szCs w:val="16"/>
              </w:rPr>
            </w:pPr>
            <w:r w:rsidRPr="00C258AD">
              <w:rPr>
                <w:sz w:val="16"/>
                <w:szCs w:val="16"/>
              </w:rPr>
              <w:t>Publication en temps voulu des documents pour les comités et groupes de travail</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27</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IX.2 Un Secrétariat réactif, fonctionnant harmonieusement et doté de ressources humaines bien gérées et compétentes, à même d’obtenir des résultats concrets</w:t>
            </w: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de demandes d’avis juridique qui reçoivent des réponses rapides, indépendantes et fiables du Bureau du conseiller juridique</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21</w:t>
            </w:r>
          </w:p>
        </w:tc>
        <w:tc>
          <w:tcPr>
            <w:tcW w:w="467"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Les commissaires aux comptes externes ont produit un rapport financier satisfaisant, qui confirme que les opérations financières sont conformes aux dispositions des conventions et des traités de l’OMPI applicables, au Règlement financier de l’OMPI et aux Normes comptables internationales pour le secteur public (IPSAS)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22</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r w:rsidRPr="00C258AD">
              <w:rPr>
                <w:rFonts w:cs="Arial"/>
                <w:color w:val="A6A6A6" w:themeColor="background1" w:themeShade="A6"/>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Rendement des fonds investis conforme aux valeurs de référence fixées par le Comité consultatif des investissements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22</w:t>
            </w:r>
          </w:p>
        </w:tc>
        <w:tc>
          <w:tcPr>
            <w:tcW w:w="467"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Paiements (y compris taxes perçues au titre des services fournis dans le cadre des systèmes de Madrid et de La Haye) effectués à temps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22</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du personnel formé se déclarant satisfait de la formation (cours d’initiation, formation sur l’ERP, formation sur la gestion axée sur les résultats)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22</w:t>
            </w:r>
          </w:p>
        </w:tc>
        <w:tc>
          <w:tcPr>
            <w:tcW w:w="467"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de répondants (OMPI) qui estiment que l’OMPI doit rendre des comptes sur ses résultats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22</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de programmes de l’OMPI utilisant les données relatives à l’exécution du programme pour gérer cette exécution</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22</w:t>
            </w:r>
          </w:p>
        </w:tc>
        <w:tc>
          <w:tcPr>
            <w:tcW w:w="467"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Délai de recrutement</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23</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de pôles de l’Organisation dont les plans d’effectifs existants sont liés aux plans de travail annuels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23</w:t>
            </w:r>
          </w:p>
        </w:tc>
        <w:tc>
          <w:tcPr>
            <w:tcW w:w="467"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de nouveaux embauchés qui répondent aux besoins de l’Organisation</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23</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de personnel dont les résultats sont évalués en fonction de leurs objectifs et de leurs compétences individuelles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23</w:t>
            </w:r>
          </w:p>
        </w:tc>
        <w:tc>
          <w:tcPr>
            <w:tcW w:w="467"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sz w:val="16"/>
                <w:szCs w:val="16"/>
              </w:rPr>
            </w:pPr>
            <w:r w:rsidRPr="00C258AD">
              <w:rPr>
                <w:sz w:val="16"/>
                <w:szCs w:val="16"/>
              </w:rPr>
              <w:t xml:space="preserve">Pourcentage de besoins essentiels de formation individuelle et collective qui </w:t>
            </w:r>
            <w:proofErr w:type="gramStart"/>
            <w:r w:rsidRPr="00C258AD">
              <w:rPr>
                <w:sz w:val="16"/>
                <w:szCs w:val="16"/>
              </w:rPr>
              <w:t>ont</w:t>
            </w:r>
            <w:proofErr w:type="gramEnd"/>
            <w:r w:rsidRPr="00C258AD">
              <w:rPr>
                <w:sz w:val="16"/>
                <w:szCs w:val="16"/>
              </w:rPr>
              <w:t xml:space="preserve"> été satisfaits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23</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E26B0A"/>
                <w:sz w:val="22"/>
                <w:szCs w:val="22"/>
              </w:rPr>
              <w:sym w:font="Wingdings" w:char="F06C"/>
            </w: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sz w:val="16"/>
                <w:szCs w:val="16"/>
              </w:rPr>
            </w:pPr>
            <w:r w:rsidRPr="00C258AD">
              <w:rPr>
                <w:sz w:val="16"/>
                <w:szCs w:val="16"/>
              </w:rPr>
              <w:t>Nombre moyen de jours de congé maladie par fonctionnaire (absentéisme)</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23</w:t>
            </w:r>
          </w:p>
        </w:tc>
        <w:tc>
          <w:tcPr>
            <w:tcW w:w="467" w:type="pct"/>
            <w:shd w:val="clear" w:color="auto" w:fill="FFFFFF"/>
          </w:tcPr>
          <w:p w:rsidR="00431966" w:rsidRPr="00C258AD" w:rsidRDefault="00431966" w:rsidP="00927E1F">
            <w:pPr>
              <w:jc w:val="center"/>
              <w:rPr>
                <w:color w:val="E26B0A"/>
              </w:rPr>
            </w:pPr>
            <w:r w:rsidRPr="00C258AD">
              <w:rPr>
                <w:rFonts w:cs="Arial"/>
                <w:color w:val="E26B0A"/>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sz w:val="16"/>
                <w:szCs w:val="16"/>
              </w:rPr>
            </w:pPr>
            <w:r w:rsidRPr="00C258AD">
              <w:rPr>
                <w:sz w:val="16"/>
                <w:szCs w:val="16"/>
              </w:rPr>
              <w:t>Pourcentage de femmes dans des postes d’administrateur et les catégories supérieures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23</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r w:rsidRPr="00C258AD">
              <w:rPr>
                <w:rFonts w:cs="Arial"/>
                <w:color w:val="FF0000"/>
                <w:sz w:val="22"/>
                <w:szCs w:val="22"/>
              </w:rPr>
              <w:sym w:font="Wingdings" w:char="F06C"/>
            </w:r>
            <w:r w:rsidRPr="00C258AD">
              <w:rPr>
                <w:rFonts w:cs="Arial"/>
                <w:color w:val="FF0000"/>
                <w:sz w:val="22"/>
                <w:szCs w:val="22"/>
              </w:rPr>
              <w:sym w:font="Wingdings" w:char="F06C"/>
            </w:r>
            <w:r w:rsidRPr="00C258AD">
              <w:rPr>
                <w:rFonts w:cs="Arial"/>
                <w:color w:val="FF0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sz w:val="16"/>
                <w:szCs w:val="16"/>
              </w:rPr>
            </w:pPr>
            <w:r w:rsidRPr="00C258AD">
              <w:rPr>
                <w:sz w:val="16"/>
                <w:szCs w:val="16"/>
              </w:rPr>
              <w:t>Diversité géographique – pourcentage d’États membres représentés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23</w:t>
            </w:r>
          </w:p>
        </w:tc>
        <w:tc>
          <w:tcPr>
            <w:tcW w:w="467" w:type="pct"/>
            <w:shd w:val="clear" w:color="auto" w:fill="FFFFFF"/>
          </w:tcPr>
          <w:p w:rsidR="00431966" w:rsidRPr="00C258AD" w:rsidRDefault="00431966" w:rsidP="00927E1F">
            <w:pPr>
              <w:jc w:val="center"/>
              <w:rPr>
                <w:color w:val="A6A6A6"/>
              </w:rPr>
            </w:pPr>
            <w:r w:rsidRPr="00C258AD">
              <w:rPr>
                <w:rFonts w:cs="Arial"/>
                <w:color w:val="A6A6A6" w:themeColor="background1" w:themeShade="A6"/>
                <w:sz w:val="22"/>
                <w:szCs w:val="22"/>
              </w:rPr>
              <w:sym w:font="Wingdings" w:char="F06C"/>
            </w:r>
          </w:p>
        </w:tc>
      </w:tr>
      <w:tr w:rsidR="00431966" w:rsidRPr="00C258AD" w:rsidTr="00927E1F">
        <w:trPr>
          <w:cantSplit/>
        </w:trPr>
        <w:tc>
          <w:tcPr>
            <w:tcW w:w="1511" w:type="pct"/>
            <w:vMerge w:val="restar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IX.3  Un environnement de travail stimulant étayé par un cadre réglementaire efficace et des voies appropriées pour répondre aux préoccupations du personnel</w:t>
            </w: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du personnel de l’OMPI ayant connaissance des services qu’ils peuvent obtenir du Bureau du médiateur et de l’existence d’un mécanisme informel de résolution des conflits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21</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A6A6A6" w:themeColor="background1" w:themeShade="A6"/>
                <w:sz w:val="22"/>
                <w:szCs w:val="22"/>
              </w:rPr>
              <w:sym w:font="Wingdings" w:char="F06C"/>
            </w:r>
          </w:p>
        </w:tc>
      </w:tr>
      <w:tr w:rsidR="00431966" w:rsidRPr="00C258AD" w:rsidTr="00927E1F">
        <w:trPr>
          <w:cantSplit/>
        </w:trPr>
        <w:tc>
          <w:tcPr>
            <w:tcW w:w="1511" w:type="pct"/>
            <w:vMerge/>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de répondants ayant connaissance des principes et des politiques de l’OMPI dans le domaine éthique</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21</w:t>
            </w:r>
          </w:p>
        </w:tc>
        <w:tc>
          <w:tcPr>
            <w:tcW w:w="467" w:type="pct"/>
            <w:shd w:val="clear" w:color="auto" w:fill="FFFFFF"/>
          </w:tcPr>
          <w:p w:rsidR="00431966" w:rsidRPr="00C258AD" w:rsidRDefault="00431966" w:rsidP="00927E1F">
            <w:pPr>
              <w:jc w:val="center"/>
            </w:pPr>
            <w:r w:rsidRPr="00C258AD">
              <w:rPr>
                <w:rFonts w:cs="Arial"/>
                <w:color w:val="A6A6A6" w:themeColor="background1" w:themeShade="A6"/>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Règlement financier et son règlement d’exécution et ordres de service correspondants à jour</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22</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11" w:type="pct"/>
            <w:vMerge w:val="restart"/>
            <w:shd w:val="clear" w:color="auto" w:fill="auto"/>
            <w:tcMar>
              <w:top w:w="113" w:type="dxa"/>
              <w:bottom w:w="85" w:type="dxa"/>
            </w:tcMar>
          </w:tcPr>
          <w:p w:rsidR="00431966" w:rsidRPr="00C258AD" w:rsidRDefault="00431966" w:rsidP="003B3CFF">
            <w:pPr>
              <w:keepNext/>
              <w:keepLines/>
              <w:rPr>
                <w:rFonts w:cs="Arial"/>
                <w:sz w:val="16"/>
                <w:szCs w:val="16"/>
              </w:rPr>
            </w:pPr>
            <w:r w:rsidRPr="00C258AD">
              <w:rPr>
                <w:rFonts w:cs="Arial"/>
                <w:sz w:val="16"/>
                <w:szCs w:val="16"/>
              </w:rPr>
              <w:lastRenderedPageBreak/>
              <w:t>IX.4 Une Organisation écologiquement et socialement responsable assurant la sûreté et la sécurité du personnel, des délégués, des visiteurs, de l’information et des biens</w:t>
            </w:r>
          </w:p>
        </w:tc>
        <w:tc>
          <w:tcPr>
            <w:tcW w:w="2129" w:type="pct"/>
            <w:shd w:val="clear" w:color="auto" w:fill="auto"/>
            <w:tcMar>
              <w:top w:w="113" w:type="dxa"/>
              <w:bottom w:w="85" w:type="dxa"/>
            </w:tcMar>
          </w:tcPr>
          <w:p w:rsidR="00431966" w:rsidRPr="00C258AD" w:rsidRDefault="00431966" w:rsidP="003B3CFF">
            <w:pPr>
              <w:keepNext/>
              <w:keepLines/>
              <w:rPr>
                <w:sz w:val="16"/>
                <w:szCs w:val="16"/>
              </w:rPr>
            </w:pPr>
            <w:r w:rsidRPr="00C258AD">
              <w:rPr>
                <w:sz w:val="16"/>
                <w:szCs w:val="16"/>
              </w:rPr>
              <w:t>Amélioration de l’accès physique au campus de l’OMPI</w:t>
            </w:r>
          </w:p>
        </w:tc>
        <w:tc>
          <w:tcPr>
            <w:tcW w:w="893" w:type="pct"/>
            <w:shd w:val="clear" w:color="auto" w:fill="FFFFFF"/>
            <w:tcMar>
              <w:top w:w="113" w:type="dxa"/>
              <w:bottom w:w="85" w:type="dxa"/>
            </w:tcMar>
          </w:tcPr>
          <w:p w:rsidR="00431966" w:rsidRPr="00C258AD" w:rsidRDefault="00431966" w:rsidP="003B3CFF">
            <w:pPr>
              <w:keepNext/>
              <w:keepLines/>
              <w:jc w:val="center"/>
              <w:rPr>
                <w:rFonts w:cs="Arial"/>
                <w:sz w:val="16"/>
                <w:szCs w:val="16"/>
                <w:lang w:bidi="th-TH"/>
              </w:rPr>
            </w:pPr>
            <w:r w:rsidRPr="00C258AD">
              <w:rPr>
                <w:rFonts w:cs="Arial"/>
                <w:sz w:val="16"/>
                <w:szCs w:val="16"/>
                <w:lang w:bidi="th-TH"/>
              </w:rPr>
              <w:t>Programme 24</w:t>
            </w:r>
          </w:p>
        </w:tc>
        <w:tc>
          <w:tcPr>
            <w:tcW w:w="467" w:type="pct"/>
            <w:shd w:val="clear" w:color="auto" w:fill="FFFFFF"/>
          </w:tcPr>
          <w:p w:rsidR="00431966" w:rsidRPr="00C258AD" w:rsidRDefault="00431966" w:rsidP="003B3CFF">
            <w:pPr>
              <w:keepNext/>
              <w:keepLines/>
              <w:jc w:val="center"/>
            </w:pPr>
            <w:r w:rsidRPr="00C258AD">
              <w:rPr>
                <w:rFonts w:cs="Arial"/>
                <w:color w:val="FF0000"/>
                <w:sz w:val="22"/>
                <w:szCs w:val="22"/>
              </w:rPr>
              <w:sym w:font="Wingdings" w:char="F06C"/>
            </w:r>
          </w:p>
        </w:tc>
      </w:tr>
      <w:tr w:rsidR="00431966" w:rsidRPr="00C258AD" w:rsidTr="00927E1F">
        <w:trPr>
          <w:cantSplit/>
        </w:trPr>
        <w:tc>
          <w:tcPr>
            <w:tcW w:w="1511" w:type="pct"/>
            <w:vMerge/>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sz w:val="16"/>
                <w:szCs w:val="16"/>
              </w:rPr>
            </w:pPr>
            <w:r w:rsidRPr="00C258AD">
              <w:rPr>
                <w:sz w:val="16"/>
                <w:szCs w:val="16"/>
              </w:rPr>
              <w:t xml:space="preserve">Réduction de l’impact environnemental des bâtiments de l’OMPI </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24</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11" w:type="pct"/>
            <w:vMerge/>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sz w:val="16"/>
                <w:szCs w:val="16"/>
              </w:rPr>
            </w:pPr>
            <w:r w:rsidRPr="00C258AD">
              <w:rPr>
                <w:sz w:val="16"/>
                <w:szCs w:val="16"/>
              </w:rPr>
              <w:t>Les locaux de l’OMPI sont conformes aux recommandations de l’audit de 2009 effectué par l’Institut de sûreté et de sécurité (Neuchâtel) et aux normes minimales de sécurité opérationnelle recommandées par le siège des Nations Unies.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24</w:t>
            </w:r>
          </w:p>
        </w:tc>
        <w:tc>
          <w:tcPr>
            <w:tcW w:w="467"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sz w:val="16"/>
                <w:szCs w:val="16"/>
              </w:rPr>
            </w:pPr>
            <w:r w:rsidRPr="00C258AD">
              <w:rPr>
                <w:sz w:val="16"/>
                <w:szCs w:val="16"/>
              </w:rPr>
              <w:t>Renforcement de la sécurité de l’information aux fins de protection contre le nombre croissant de cyberattaques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25</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sz w:val="16"/>
                <w:szCs w:val="16"/>
              </w:rPr>
            </w:pPr>
            <w:r w:rsidRPr="00C258AD">
              <w:rPr>
                <w:sz w:val="16"/>
                <w:szCs w:val="16"/>
              </w:rPr>
              <w:t>Statut de la norme ISO 27001 relative aux processus de certification et de gestion de la sécurité des systèmes d’information</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25</w:t>
            </w:r>
          </w:p>
        </w:tc>
        <w:tc>
          <w:tcPr>
            <w:tcW w:w="467" w:type="pct"/>
            <w:shd w:val="clear" w:color="auto" w:fill="FFFFFF"/>
          </w:tcPr>
          <w:p w:rsidR="00431966" w:rsidRPr="00C258AD" w:rsidRDefault="00431966" w:rsidP="00927E1F">
            <w:pPr>
              <w:jc w:val="center"/>
            </w:pP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sz w:val="16"/>
                <w:szCs w:val="16"/>
              </w:rPr>
            </w:pPr>
            <w:r w:rsidRPr="00C258AD">
              <w:rPr>
                <w:sz w:val="16"/>
                <w:szCs w:val="16"/>
              </w:rPr>
              <w:t>Efficacité des contrôles de sécurité de l’information (audits internes et externes)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25</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du personnel de l’OMPI, des délégués et des visiteurs signalant une blessure ou un incident liés au travail</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28</w:t>
            </w:r>
          </w:p>
        </w:tc>
        <w:tc>
          <w:tcPr>
            <w:tcW w:w="467"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Pourcentage de demandes d’assistance en matière de sûreté et de sécurité reçues dans les délais pour des conférences ou des manifestations organisées à Genève ou hors de Genève</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28</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Contrôle des mesures d’accessibilité physique garantissant que la nouvelle salle de conférence et les installations connexes sont conformes aux normes en vigueur lors de la construction</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29</w:t>
            </w:r>
          </w:p>
        </w:tc>
        <w:tc>
          <w:tcPr>
            <w:tcW w:w="467" w:type="pct"/>
            <w:shd w:val="clear" w:color="auto" w:fill="FFFFFF"/>
          </w:tcPr>
          <w:p w:rsidR="00431966" w:rsidRPr="00C258AD" w:rsidRDefault="00431966" w:rsidP="00927E1F">
            <w:pPr>
              <w:jc w:val="center"/>
            </w:pPr>
            <w:r w:rsidRPr="00C258AD">
              <w:rPr>
                <w:rFonts w:cs="Arial"/>
                <w:color w:val="A6A6A6"/>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Contrôle des mesures respectueuses de l’environnement et des mesures de réduction de la consommation d’énergie mises en œuvre lors de la construction</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29</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A6A6A6"/>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Respect des normes minimales de sécurité opérationnelle recommandées par le siège des Nations Unies pour la nouvelle salle de conférence</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29</w:t>
            </w:r>
          </w:p>
        </w:tc>
        <w:tc>
          <w:tcPr>
            <w:tcW w:w="467"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11" w:type="pct"/>
            <w:vMerge w:val="restar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IX.8 Renforcement de l’obligation redditionnelle, de l’apprentissage institutionnel, de l’optimisation des ressources financières, de l’administration, du contrôle interne et de la gestion institutionnelle avec le concours d’une supervision indépendante efficace</w:t>
            </w: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Aucune interférence et indépendance perçue par les principales parties prenantes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26</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p>
        </w:tc>
      </w:tr>
      <w:tr w:rsidR="00431966" w:rsidRPr="00C258AD" w:rsidTr="00927E1F">
        <w:trPr>
          <w:cantSplit/>
        </w:trPr>
        <w:tc>
          <w:tcPr>
            <w:tcW w:w="1511" w:type="pct"/>
            <w:vMerge/>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EFFICACITÉ : pourcentage des travaux de la Division de l’audit et de la supervision internes qui couvrent des domaines à haut risque/de la plus haute importance</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26</w:t>
            </w:r>
          </w:p>
        </w:tc>
        <w:tc>
          <w:tcPr>
            <w:tcW w:w="467" w:type="pct"/>
            <w:shd w:val="clear" w:color="auto" w:fill="FFFFFF"/>
          </w:tcPr>
          <w:p w:rsidR="00431966" w:rsidRPr="00C258AD" w:rsidRDefault="00431966" w:rsidP="00927E1F">
            <w:pPr>
              <w:jc w:val="center"/>
            </w:pPr>
            <w:r w:rsidRPr="00C258AD">
              <w:rPr>
                <w:rFonts w:cs="Arial"/>
                <w:color w:val="008000"/>
                <w:sz w:val="22"/>
                <w:szCs w:val="22"/>
              </w:rPr>
              <w:sym w:font="Wingdings" w:char="F06C"/>
            </w:r>
          </w:p>
        </w:tc>
      </w:tr>
      <w:tr w:rsidR="00431966" w:rsidRPr="00C258AD" w:rsidTr="00927E1F">
        <w:trPr>
          <w:cantSplit/>
        </w:trPr>
        <w:tc>
          <w:tcPr>
            <w:tcW w:w="1511" w:type="pct"/>
            <w:vMerge/>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EFFICIENCE : a) achèvement des rapports de supervision dans les délais impartis et conformément aux normes de qualité;  b) nombre d’audits et d’évaluations terminés conformément au plan de supervision;  c) nombre de plaintes/rapports pour mauvaise conduite possible traités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26</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r w:rsidRPr="00C258AD">
              <w:rPr>
                <w:rFonts w:cs="Arial"/>
                <w:color w:val="008000"/>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PERTINENCE, VALEUR AJOUTÉE ET ADMINISTRATION : économies ou améliorations tangibles en ce qui concerne les processus et systèmes opérationnels</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26</w:t>
            </w:r>
          </w:p>
        </w:tc>
        <w:tc>
          <w:tcPr>
            <w:tcW w:w="467" w:type="pct"/>
            <w:shd w:val="clear" w:color="auto" w:fill="FFFFFF"/>
          </w:tcPr>
          <w:p w:rsidR="00431966" w:rsidRPr="00C258AD" w:rsidRDefault="00431966" w:rsidP="00927E1F">
            <w:pPr>
              <w:jc w:val="center"/>
              <w:rPr>
                <w:color w:val="0070C0"/>
              </w:rPr>
            </w:pPr>
            <w:r w:rsidRPr="00C258AD">
              <w:rPr>
                <w:rFonts w:cs="Arial"/>
                <w:color w:val="A6A6A6"/>
                <w:sz w:val="22"/>
                <w:szCs w:val="22"/>
              </w:rPr>
              <w:sym w:font="Wingdings" w:char="F06C"/>
            </w:r>
          </w:p>
        </w:tc>
      </w:tr>
      <w:tr w:rsidR="00431966" w:rsidRPr="00C258AD" w:rsidTr="00927E1F">
        <w:trPr>
          <w:cantSplit/>
        </w:trPr>
        <w:tc>
          <w:tcPr>
            <w:tcW w:w="1511" w:type="pct"/>
            <w:shd w:val="clear" w:color="auto" w:fill="auto"/>
            <w:tcMar>
              <w:top w:w="113" w:type="dxa"/>
              <w:bottom w:w="85" w:type="dxa"/>
            </w:tcMar>
          </w:tcPr>
          <w:p w:rsidR="00431966" w:rsidRPr="00C258AD" w:rsidRDefault="00431966" w:rsidP="00927E1F">
            <w:pPr>
              <w:rPr>
                <w:rFonts w:cs="Arial"/>
                <w:sz w:val="16"/>
                <w:szCs w:val="16"/>
              </w:rPr>
            </w:pPr>
          </w:p>
        </w:tc>
        <w:tc>
          <w:tcPr>
            <w:tcW w:w="2129" w:type="pct"/>
            <w:shd w:val="clear" w:color="auto" w:fill="auto"/>
            <w:tcMar>
              <w:top w:w="113" w:type="dxa"/>
              <w:bottom w:w="85" w:type="dxa"/>
            </w:tcMar>
          </w:tcPr>
          <w:p w:rsidR="00431966" w:rsidRPr="00C258AD" w:rsidRDefault="00431966" w:rsidP="00927E1F">
            <w:pPr>
              <w:rPr>
                <w:rFonts w:cs="Arial"/>
                <w:sz w:val="16"/>
                <w:szCs w:val="16"/>
              </w:rPr>
            </w:pPr>
            <w:r w:rsidRPr="00C258AD">
              <w:rPr>
                <w:rFonts w:cs="Arial"/>
                <w:sz w:val="16"/>
                <w:szCs w:val="16"/>
              </w:rPr>
              <w:t>APPRENTISSAGE INSTITUTIONNEL : assimilation des enseignements et des recommandations tirés des processus de supervision.</w:t>
            </w:r>
          </w:p>
        </w:tc>
        <w:tc>
          <w:tcPr>
            <w:tcW w:w="893" w:type="pct"/>
            <w:shd w:val="clear" w:color="auto" w:fill="FFFFFF"/>
            <w:tcMar>
              <w:top w:w="113" w:type="dxa"/>
              <w:bottom w:w="85" w:type="dxa"/>
            </w:tcMar>
          </w:tcPr>
          <w:p w:rsidR="00431966" w:rsidRPr="00C258AD" w:rsidRDefault="00431966" w:rsidP="00927E1F">
            <w:pPr>
              <w:jc w:val="center"/>
              <w:rPr>
                <w:rFonts w:cs="Arial"/>
                <w:sz w:val="16"/>
                <w:szCs w:val="16"/>
                <w:lang w:bidi="th-TH"/>
              </w:rPr>
            </w:pPr>
            <w:r w:rsidRPr="00C258AD">
              <w:rPr>
                <w:rFonts w:cs="Arial"/>
                <w:sz w:val="16"/>
                <w:szCs w:val="16"/>
                <w:lang w:bidi="th-TH"/>
              </w:rPr>
              <w:t>Programme 26</w:t>
            </w:r>
          </w:p>
        </w:tc>
        <w:tc>
          <w:tcPr>
            <w:tcW w:w="467" w:type="pct"/>
            <w:shd w:val="clear" w:color="auto" w:fill="FFFFFF"/>
          </w:tcPr>
          <w:p w:rsidR="00431966" w:rsidRPr="00C258AD" w:rsidRDefault="00431966" w:rsidP="00927E1F">
            <w:pPr>
              <w:jc w:val="center"/>
              <w:rPr>
                <w:rFonts w:cs="Arial"/>
                <w:color w:val="A6A6A6" w:themeColor="background1" w:themeShade="A6"/>
                <w:sz w:val="22"/>
                <w:szCs w:val="22"/>
              </w:rPr>
            </w:pPr>
            <w:r w:rsidRPr="00C258AD">
              <w:rPr>
                <w:rFonts w:cs="Arial"/>
                <w:color w:val="008000"/>
                <w:sz w:val="22"/>
                <w:szCs w:val="22"/>
              </w:rPr>
              <w:sym w:font="Wingdings" w:char="F06C"/>
            </w:r>
            <w:r w:rsidRPr="00C258AD">
              <w:rPr>
                <w:rFonts w:cs="Arial"/>
                <w:color w:val="E26B0A"/>
                <w:sz w:val="22"/>
                <w:szCs w:val="22"/>
              </w:rPr>
              <w:sym w:font="Wingdings" w:char="F06C"/>
            </w:r>
          </w:p>
        </w:tc>
      </w:tr>
    </w:tbl>
    <w:p w:rsidR="006E2BB1" w:rsidRPr="00C258AD" w:rsidRDefault="006E2BB1" w:rsidP="00A068F8"/>
    <w:p w:rsidR="006E2BB1" w:rsidRPr="00C258AD" w:rsidRDefault="005A1C92">
      <w:pPr>
        <w:spacing w:after="200" w:line="276" w:lineRule="auto"/>
        <w:rPr>
          <w:rFonts w:cs="Arial"/>
          <w:b/>
          <w:bCs/>
          <w:iCs/>
          <w:caps/>
          <w:sz w:val="22"/>
          <w:szCs w:val="28"/>
          <w:lang w:eastAsia="ko-KR"/>
        </w:rPr>
      </w:pPr>
      <w:r w:rsidRPr="00C258AD">
        <w:rPr>
          <w:lang w:eastAsia="ko-KR"/>
        </w:rPr>
        <w:br w:type="page"/>
      </w:r>
    </w:p>
    <w:p w:rsidR="006E2BB1" w:rsidRPr="00C258AD" w:rsidRDefault="00E63289" w:rsidP="00305CE5">
      <w:pPr>
        <w:pStyle w:val="Heading3"/>
      </w:pPr>
      <w:bookmarkStart w:id="150" w:name="_Toc422404247"/>
      <w:bookmarkStart w:id="151" w:name="_Toc423352895"/>
      <w:bookmarkStart w:id="152" w:name="_Toc455394208"/>
      <w:r w:rsidRPr="00C258AD">
        <w:lastRenderedPageBreak/>
        <w:t xml:space="preserve">Programme 21 </w:t>
      </w:r>
      <w:r w:rsidRPr="00C258AD">
        <w:tab/>
        <w:t>Direction générale</w:t>
      </w:r>
      <w:bookmarkEnd w:id="150"/>
      <w:bookmarkEnd w:id="151"/>
      <w:bookmarkEnd w:id="152"/>
    </w:p>
    <w:p w:rsidR="006E2BB1" w:rsidRPr="00C258AD" w:rsidRDefault="006E2BB1" w:rsidP="001A4D6C"/>
    <w:p w:rsidR="006E2BB1" w:rsidRPr="00C258AD" w:rsidRDefault="00E63289" w:rsidP="001A4D6C">
      <w:pPr>
        <w:rPr>
          <w:b/>
        </w:rPr>
      </w:pPr>
      <w:r w:rsidRPr="00C258AD">
        <w:rPr>
          <w:b/>
        </w:rPr>
        <w:t>Chef de programme</w:t>
      </w:r>
      <w:r w:rsidRPr="00C258AD">
        <w:rPr>
          <w:b/>
        </w:rPr>
        <w:tab/>
        <w:t>Le Directeur général</w:t>
      </w:r>
    </w:p>
    <w:p w:rsidR="006E2BB1" w:rsidRPr="00C258AD" w:rsidRDefault="006E2BB1" w:rsidP="001A4D6C"/>
    <w:p w:rsidR="006E2BB1" w:rsidRPr="00C258AD" w:rsidRDefault="006E2BB1" w:rsidP="001A4D6C"/>
    <w:p w:rsidR="006E2BB1" w:rsidRPr="00C258AD" w:rsidRDefault="00E63289" w:rsidP="00305CE5">
      <w:pPr>
        <w:keepNext/>
        <w:rPr>
          <w:rFonts w:cs="Arial"/>
          <w:caps/>
          <w:sz w:val="22"/>
          <w:szCs w:val="22"/>
        </w:rPr>
      </w:pPr>
      <w:r w:rsidRPr="00C258AD">
        <w:rPr>
          <w:rFonts w:cs="Arial"/>
          <w:caps/>
          <w:sz w:val="22"/>
          <w:szCs w:val="22"/>
        </w:rPr>
        <w:t>Réalisations au cours de l’exercice biennal 2014</w:t>
      </w:r>
      <w:r w:rsidRPr="00C258AD">
        <w:rPr>
          <w:rFonts w:cs="Arial"/>
          <w:caps/>
          <w:sz w:val="22"/>
          <w:szCs w:val="22"/>
        </w:rPr>
        <w:noBreakHyphen/>
        <w:t>2015</w:t>
      </w:r>
    </w:p>
    <w:p w:rsidR="006E2BB1" w:rsidRPr="00C258AD" w:rsidRDefault="006E2BB1" w:rsidP="001A4D6C"/>
    <w:p w:rsidR="006E2BB1" w:rsidRPr="00C258AD" w:rsidRDefault="00E63289" w:rsidP="00BB4DBC">
      <w:pPr>
        <w:numPr>
          <w:ilvl w:val="0"/>
          <w:numId w:val="35"/>
        </w:numPr>
        <w:autoSpaceDE w:val="0"/>
        <w:autoSpaceDN w:val="0"/>
        <w:adjustRightInd w:val="0"/>
        <w:jc w:val="both"/>
        <w:rPr>
          <w:bCs/>
        </w:rPr>
      </w:pPr>
      <w:r w:rsidRPr="00C258AD">
        <w:rPr>
          <w:bCs/>
        </w:rPr>
        <w:t>L’engagement réel auprès des États membres reste un aspect crucial pour progresser vers la réalisation des neuf objectifs stratégiques de l’Organisation.  L’exercice biennal 2014</w:t>
      </w:r>
      <w:r w:rsidRPr="00C258AD">
        <w:rPr>
          <w:bCs/>
        </w:rPr>
        <w:noBreakHyphen/>
        <w:t xml:space="preserve">2015 a mis en évidence des défis dans de nombreux domaines alors que les États membres s’efforçaient de parvenir à un consensus autour des objectifs stratégiques.  À cet égard, le Directeur général a tenu avec les États membres des discussions ciblées dans diverses instances pour favoriser l’émergence de ce consensus.  </w:t>
      </w:r>
      <w:r w:rsidRPr="00C258AD">
        <w:rPr>
          <w:szCs w:val="20"/>
        </w:rPr>
        <w:t xml:space="preserve">Des progrès ont été réalisés dans certains domaines, notamment avec l’obtention d’un consensus entre les États membres après plusieurs années de négociations difficiles au sujet des futurs travaux visant à ouvrir de nouveaux bureaux extérieurs de l’OMPI.  Dans d’autres domaines, particulièrement sur le front normatif, les États membres avaient encore beaucoup de chemin à parcourir sur de nombreuses questions.  </w:t>
      </w:r>
      <w:r w:rsidRPr="00C258AD">
        <w:rPr>
          <w:bCs/>
        </w:rPr>
        <w:t>Les mécanismes de communication, tels que les réunions d’information à l’intention des ambassadeurs, ont constitué des moyens précieux pour recevoir des informations et des conseils, ce qui a permis de faire avancer maintes questions.</w:t>
      </w:r>
    </w:p>
    <w:p w:rsidR="006E2BB1" w:rsidRPr="00C258AD" w:rsidRDefault="006E2BB1" w:rsidP="001A4D6C">
      <w:pPr>
        <w:jc w:val="both"/>
        <w:rPr>
          <w:bCs/>
        </w:rPr>
      </w:pPr>
    </w:p>
    <w:p w:rsidR="006E2BB1" w:rsidRPr="00C258AD" w:rsidRDefault="00E63289" w:rsidP="00BB4DBC">
      <w:pPr>
        <w:numPr>
          <w:ilvl w:val="0"/>
          <w:numId w:val="35"/>
        </w:numPr>
        <w:autoSpaceDE w:val="0"/>
        <w:autoSpaceDN w:val="0"/>
        <w:adjustRightInd w:val="0"/>
        <w:jc w:val="both"/>
        <w:rPr>
          <w:bCs/>
        </w:rPr>
      </w:pPr>
      <w:r w:rsidRPr="00C258AD">
        <w:rPr>
          <w:bCs/>
        </w:rPr>
        <w:t>L’engagement interne a également constitué un aspect important de l’exécution du programme, facilitant les progrès en faveur de la réalisation des objectifs stratégiques.  La communication en direction du personnel, notamment dans le cadre des réunions d’information périodiques du Directeur général, était cruciale pour expliquer les changements nécessaires et obtenir l’adhésion.  Les réunions périodiques de l’Équipe de haute direction ont donné une orientation aux pôles de l’Organisation, traduisant les décisions stratégiques dans la réalité opérationnelle.  Le second mandat du Directeur général a été l’occasion d’injecter une énergie et des idées nouvelles dans l’Équipe de haute direction, avec l’accueil de quatre nouveaux membres, tout en continuant de bénéficier de l’expérience de quatre membres faisant partie de la précédente équipe.  La composition de cet organe a été élargie afin d’inclure les directeurs chargés des ressources humaines et des affaires juridiques, qui sont des éléments intersectoriels importants pour la prise de décisions stratégiques.  Avec la conclusion fructueuse du Programme de réorientation stratégique en 2013, l’Équipe de haute direction a joué un rôle clé en veillant à pérenniser les gains, en termes de culture et de valeurs, d’efficacité des processus opérationnels et d’alignement des programmes, de la structure et des ressources sur les objectifs stratégiques.</w:t>
      </w:r>
    </w:p>
    <w:p w:rsidR="006E2BB1" w:rsidRPr="00C258AD" w:rsidRDefault="006E2BB1" w:rsidP="001A4D6C">
      <w:pPr>
        <w:jc w:val="both"/>
        <w:rPr>
          <w:bCs/>
        </w:rPr>
      </w:pPr>
    </w:p>
    <w:p w:rsidR="006E2BB1" w:rsidRPr="00C258AD" w:rsidRDefault="00E63289" w:rsidP="00BB4DBC">
      <w:pPr>
        <w:numPr>
          <w:ilvl w:val="0"/>
          <w:numId w:val="35"/>
        </w:numPr>
        <w:autoSpaceDE w:val="0"/>
        <w:autoSpaceDN w:val="0"/>
        <w:adjustRightInd w:val="0"/>
        <w:jc w:val="both"/>
        <w:rPr>
          <w:bCs/>
        </w:rPr>
      </w:pPr>
      <w:r w:rsidRPr="00C258AD">
        <w:rPr>
          <w:bCs/>
        </w:rPr>
        <w:t xml:space="preserve">Le Bureau du conseiller juridique a continué de fournir au Directeur général, au Secrétariat et aux États membres des avis et services juridiques rapides et fiables, conformément aux dispositions réglementaires et à la législation applicable, sur le droit constitutionnel, le droit des contrats et le droit des traités, ainsi que sur des questions administratives et liées aux ressources humaines, face à une demande soutenue et, dans certains domaines, croissante.  </w:t>
      </w:r>
      <w:r w:rsidRPr="00C258AD">
        <w:rPr>
          <w:szCs w:val="20"/>
        </w:rPr>
        <w:t>Il a participé activement au processus de désignation et de nomination du Directeur général en 2014, et il a fourni un appui et une assistance juridiques lors de la Conférence diplomatique pour l’adoption d’un nouvel Acte de l’Arrangement de Lisbonne en mai 2015.</w:t>
      </w:r>
      <w:r w:rsidRPr="00C258AD">
        <w:t xml:space="preserve">  </w:t>
      </w:r>
      <w:r w:rsidRPr="00C258AD">
        <w:rPr>
          <w:bCs/>
        </w:rPr>
        <w:t>L’un des principaux enjeux en 2014</w:t>
      </w:r>
      <w:r w:rsidRPr="00C258AD">
        <w:rPr>
          <w:bCs/>
        </w:rPr>
        <w:noBreakHyphen/>
        <w:t>2015 tenait à la mise en œuvre du nouveau système d’administration de la justice entré en vigueur le 1</w:t>
      </w:r>
      <w:r w:rsidRPr="00C258AD">
        <w:rPr>
          <w:bCs/>
          <w:vertAlign w:val="superscript"/>
        </w:rPr>
        <w:t>er</w:t>
      </w:r>
      <w:r w:rsidRPr="00C258AD">
        <w:rPr>
          <w:bCs/>
        </w:rPr>
        <w:t> janvier 2014.</w:t>
      </w:r>
      <w:r w:rsidRPr="00C258AD">
        <w:t xml:space="preserve">  Le Bureau du conseiller juridique s’est adapté sans heurt au nouveau système en son rôle de représentant de l’administration dans le traitement des recours et doléances du personnel.  Il a veillé à préserver l’efficacité dans l’exercice des fonctions de dépositaire des traités administrés par l’OMPI malgré le nombre croissant de demandes d’avis.  En 2014</w:t>
      </w:r>
      <w:r w:rsidRPr="00C258AD">
        <w:noBreakHyphen/>
        <w:t>2015, la base de données WIPO </w:t>
      </w:r>
      <w:proofErr w:type="spellStart"/>
      <w:r w:rsidRPr="00C258AD">
        <w:t>Lex</w:t>
      </w:r>
      <w:proofErr w:type="spellEnd"/>
      <w:r w:rsidRPr="00C258AD">
        <w:t xml:space="preserve"> d’information législative sur la propriété intellectuelle a été consultée par plus de 3,3 millions d’utilisateurs dans le monde, contre 2,2 millions en 2012</w:t>
      </w:r>
      <w:r w:rsidRPr="00C258AD">
        <w:noBreakHyphen/>
        <w:t>2013.  Le Bureau du conseiller juridique a consacré une attention considérable aux échanges avec les parties prenantes non gouvernementales, en particulier à travers les réunions annuelles des organisations non gouvernementales accréditées avec le Directeur général en 2014 et en 2015.</w:t>
      </w:r>
    </w:p>
    <w:p w:rsidR="006E2BB1" w:rsidRPr="00C258AD" w:rsidRDefault="006E2BB1" w:rsidP="001A4D6C">
      <w:pPr>
        <w:jc w:val="both"/>
        <w:rPr>
          <w:bCs/>
        </w:rPr>
      </w:pPr>
    </w:p>
    <w:p w:rsidR="006E2BB1" w:rsidRPr="00C258AD" w:rsidRDefault="00E63289" w:rsidP="00BB4DBC">
      <w:pPr>
        <w:numPr>
          <w:ilvl w:val="0"/>
          <w:numId w:val="35"/>
        </w:numPr>
        <w:autoSpaceDE w:val="0"/>
        <w:autoSpaceDN w:val="0"/>
        <w:adjustRightInd w:val="0"/>
        <w:jc w:val="both"/>
      </w:pPr>
      <w:r w:rsidRPr="00C258AD">
        <w:rPr>
          <w:szCs w:val="20"/>
        </w:rPr>
        <w:t xml:space="preserve">La Division des questions et de la documentation relatives aux assemblées a coordonné l’organisation des sessions ordinaires des assemblées en 2014 et 2015, ainsi que celle des deux sessions extraordinaires de mars 2014 (Comité de coordination) et mai 2014 (Assemblée générale).  Environ 1000 délégués issus de plus de 200 États membres et observateurs ont participé à chacune des sessions ordinaires.  Des innovations et rationalisations structurelles ont continué d’être mises en place ou perfectionnées (par exemple la diffusion sur le Web, l’inscription par voie électronique, les badges avec photographies, de nouvelles procédures de voyage) afin de rendre les réunions plus efficaces, d’en </w:t>
      </w:r>
      <w:r w:rsidRPr="00C258AD">
        <w:rPr>
          <w:szCs w:val="20"/>
        </w:rPr>
        <w:lastRenderedPageBreak/>
        <w:t xml:space="preserve">réduire le coût et l’empreinte carbone, ainsi que de promouvoir une plus grande ouverture et un meilleur accès aux procédures.  </w:t>
      </w:r>
      <w:r w:rsidRPr="00C258AD">
        <w:t>La documentation a été livrée avec une marge de temps suffisante.  L’accent mis sur le renforcement de l’efficacité des assemblées et sur l’amélioration de l’expérience des États membres qui y participent s’est traduit par les niveaux de satisfaction très élevés recueillis dans les enquêtes.</w:t>
      </w:r>
    </w:p>
    <w:p w:rsidR="006E2BB1" w:rsidRPr="00C258AD" w:rsidRDefault="006E2BB1" w:rsidP="001A4D6C">
      <w:pPr>
        <w:jc w:val="both"/>
        <w:rPr>
          <w:bCs/>
        </w:rPr>
      </w:pPr>
    </w:p>
    <w:p w:rsidR="006E2BB1" w:rsidRPr="00C258AD" w:rsidRDefault="00E63289" w:rsidP="00BB4DBC">
      <w:pPr>
        <w:numPr>
          <w:ilvl w:val="0"/>
          <w:numId w:val="35"/>
        </w:numPr>
        <w:autoSpaceDE w:val="0"/>
        <w:autoSpaceDN w:val="0"/>
        <w:adjustRightInd w:val="0"/>
        <w:jc w:val="both"/>
      </w:pPr>
      <w:r w:rsidRPr="00C258AD">
        <w:t>L’OMPI a continué de participer activement aux travaux du système des Nations Unies, notamment à ceux du Conseil des chefs de secrétariat des organismes des Nations Unies pour la coordination (CCS) et de ses deux comités, à savoir le Comité de haut niveau chargé des questions de gestion et le Comité de haut niveau sur les programmes, fournissant à l’OMPI une excellente occasion de faire valoir son point de vue dans les délibérations en cours au sein du système des Nations Unies, de faire part de ses meilleures pratiques administratives et opérationnelles et de contribuer à renforcer la cohésion à l’intérieur du système.</w:t>
      </w:r>
    </w:p>
    <w:p w:rsidR="006E2BB1" w:rsidRPr="00C258AD" w:rsidRDefault="006E2BB1" w:rsidP="001A4D6C">
      <w:pPr>
        <w:autoSpaceDE w:val="0"/>
        <w:autoSpaceDN w:val="0"/>
        <w:adjustRightInd w:val="0"/>
        <w:jc w:val="both"/>
      </w:pPr>
    </w:p>
    <w:p w:rsidR="006E2BB1" w:rsidRPr="00C258AD" w:rsidRDefault="00E63289" w:rsidP="00BB4DBC">
      <w:pPr>
        <w:numPr>
          <w:ilvl w:val="0"/>
          <w:numId w:val="35"/>
        </w:numPr>
        <w:autoSpaceDE w:val="0"/>
        <w:autoSpaceDN w:val="0"/>
        <w:adjustRightInd w:val="0"/>
        <w:jc w:val="both"/>
      </w:pPr>
      <w:r w:rsidRPr="00C258AD">
        <w:rPr>
          <w:szCs w:val="20"/>
        </w:rPr>
        <w:t>En décembre 2014, le</w:t>
      </w:r>
      <w:r w:rsidRPr="00C258AD">
        <w:t xml:space="preserve"> Cabinet </w:t>
      </w:r>
      <w:r w:rsidRPr="00C258AD">
        <w:rPr>
          <w:szCs w:val="20"/>
        </w:rPr>
        <w:t>du Directeur général a été chargé de la coordination globale de tous les bureaux extérieurs et de la supervision des bureaux de l’OMPI à Singapour et au Brésil.  Une série d’initiatives spécifiques ont été lancées en janvier 2015 en vue d’assurer plus de cohérence en termes de fonctionnement et une intégration complète des bureaux extérieurs dans les travaux de l’Organisation.  Parmi ces initiatives, il y avait notamment la toute première réunion des directeurs de bureaux au siège, de nombreux groupes de travail chargés d’examiner l’impact des politiques de l’Organisation sur les bureaux extérieurs, des</w:t>
      </w:r>
      <w:r w:rsidRPr="00C258AD">
        <w:t xml:space="preserve"> </w:t>
      </w:r>
      <w:r w:rsidRPr="00C258AD">
        <w:rPr>
          <w:szCs w:val="20"/>
        </w:rPr>
        <w:t>visioconférences bimensuelles, le lancement d’une nouvelle architecture informatique fournissant une connexion fluide entre les bureaux et le siège, et la mise à jour des pages Web des bureaux.  Les indications mettaient clairement en évidence le fait qu’une nouvelle culture des bureaux extérieurs était introduite à l’OMPI, avec des répercussions positives sur l’exécution du mandat.</w:t>
      </w:r>
    </w:p>
    <w:p w:rsidR="006E2BB1" w:rsidRPr="00C258AD" w:rsidRDefault="006E2BB1" w:rsidP="001A4D6C">
      <w:pPr>
        <w:jc w:val="both"/>
      </w:pPr>
    </w:p>
    <w:p w:rsidR="006E2BB1" w:rsidRPr="00C258AD" w:rsidRDefault="00E63289" w:rsidP="00BB4DBC">
      <w:pPr>
        <w:numPr>
          <w:ilvl w:val="0"/>
          <w:numId w:val="35"/>
        </w:numPr>
        <w:autoSpaceDE w:val="0"/>
        <w:autoSpaceDN w:val="0"/>
        <w:adjustRightInd w:val="0"/>
        <w:jc w:val="both"/>
      </w:pPr>
      <w:r w:rsidRPr="00C258AD">
        <w:t xml:space="preserve">L’activité en matière d’éthique a souffert de l’absence d’un chef du Bureau de la déontologie d’avril à juillet 2014.  Un chef par intérim du Bureau de la déontologie a été désigné d’août 2014 à septembre 2015, date à laquelle le nouveau chef du Bureau de la déontologie a été nommé.  Le Bureau de la déontologie a poursuivi la mise en œuvre de sa politique en matière de déclaration d’intérêts, qui prévoit notamment la divulgation des intérêts financiers conformément aux normes IPSAS et a supervisé la politique de protection des lanceurs d’alerte, qui consacre la valeur attachée à la participation de l’ensemble du personnel à la fonction de surveillance en prévoyant des garanties contre les représailles.  Le Code de déontologie de l’OMPI a continué de servir de plateforme commune de principes directeurs et de valeurs que les membres du personnel de l’OMPI sont censés observer dans l’exercice de leurs fonctions, et le Bureau de la déontologie a dispensé des services consultatifs aux fonctionnaires de tous rangs quant à sa mise en œuvre.  </w:t>
      </w:r>
      <w:r w:rsidRPr="00C258AD">
        <w:rPr>
          <w:szCs w:val="20"/>
        </w:rPr>
        <w:t>De plus, les fonctionnaires devaient suivre une formation obligatoire en matière d’éthique une fois recrutés par l’Organisation, afin de faire en sorte que les nouveaux collègues soient au fait de la culture de la déontologie à l’OMPI.  La participation au</w:t>
      </w:r>
      <w:r w:rsidRPr="00C258AD">
        <w:t xml:space="preserve"> </w:t>
      </w:r>
      <w:r w:rsidRPr="00C258AD">
        <w:rPr>
          <w:szCs w:val="20"/>
        </w:rPr>
        <w:t>réseau d’éthique des organisations multilatérales a également été intensifiée.</w:t>
      </w:r>
    </w:p>
    <w:p w:rsidR="006E2BB1" w:rsidRPr="00C258AD" w:rsidRDefault="006E2BB1" w:rsidP="001A4D6C">
      <w:pPr>
        <w:jc w:val="both"/>
      </w:pPr>
    </w:p>
    <w:p w:rsidR="006E2BB1" w:rsidRPr="00C258AD" w:rsidRDefault="00E63289" w:rsidP="00BB4DBC">
      <w:pPr>
        <w:numPr>
          <w:ilvl w:val="0"/>
          <w:numId w:val="35"/>
        </w:numPr>
        <w:autoSpaceDE w:val="0"/>
        <w:autoSpaceDN w:val="0"/>
        <w:adjustRightInd w:val="0"/>
        <w:jc w:val="both"/>
      </w:pPr>
      <w:r w:rsidRPr="00C258AD">
        <w:t>Le Bureau du médiateur, partie intégrante du dispositif de responsabilisation et d’intégrité de l’Organisation, a été renforcé avec l’entrée en vigueur du nouveau système d’administration de la justice le 1</w:t>
      </w:r>
      <w:r w:rsidRPr="00C258AD">
        <w:rPr>
          <w:vertAlign w:val="superscript"/>
        </w:rPr>
        <w:t>er</w:t>
      </w:r>
      <w:r w:rsidRPr="00C258AD">
        <w:t> janvier 2014.  La reconnaissance de l’importance de la prévention des conflits a été l’un des principaux aspects de cette réforme, avec l’inclusion du règlement informel des différends dans le Statut et Règlement du personnel.  Pour parachever ce changement, le bureau s’est concentré sur la sensibilisation et les compétences du personnel en matière de gestion des conflits en proposant</w:t>
      </w:r>
      <w:r w:rsidRPr="00C258AD">
        <w:rPr>
          <w:szCs w:val="20"/>
        </w:rPr>
        <w:t xml:space="preserve"> des formations, notamment : des ateliers sur la communication non violente;  le lancement d’une formation à la gestion des conflits sur deux jours dans toute l’Organisation, à laquelle ont participé 631 membres du personnel;  et des programmes d’orientation pour les nouveaux fonctionnaires</w:t>
      </w:r>
      <w:r w:rsidRPr="00C258AD">
        <w:t>.</w:t>
      </w:r>
    </w:p>
    <w:p w:rsidR="006E2BB1" w:rsidRPr="00C258AD" w:rsidRDefault="006E2BB1" w:rsidP="001A4D6C">
      <w:pPr>
        <w:jc w:val="both"/>
        <w:rPr>
          <w:bCs/>
        </w:rPr>
      </w:pPr>
    </w:p>
    <w:p w:rsidR="006E2BB1" w:rsidRPr="00C258AD" w:rsidRDefault="00E63289" w:rsidP="00BB4DBC">
      <w:pPr>
        <w:numPr>
          <w:ilvl w:val="0"/>
          <w:numId w:val="35"/>
        </w:numPr>
        <w:autoSpaceDE w:val="0"/>
        <w:autoSpaceDN w:val="0"/>
        <w:adjustRightInd w:val="0"/>
        <w:jc w:val="both"/>
        <w:rPr>
          <w:szCs w:val="20"/>
        </w:rPr>
      </w:pPr>
      <w:r w:rsidRPr="00C258AD">
        <w:t xml:space="preserve">En mai 2014, le rôle de coordonnateur de la poursuite des opérations a été créé au sein du Cabinet du Directeur général.  Des progrès considérables ont été réalisés pour mettre en place les éléments nécessaires à un système dédié de résilience, avec notamment la publication d’une politique et stratégie de l’OMPI en matière de résilience et la mise en œuvre et le lancement du premier système de notifications d’urgence.  </w:t>
      </w:r>
      <w:r w:rsidRPr="00C258AD">
        <w:rPr>
          <w:szCs w:val="20"/>
        </w:rPr>
        <w:t>À partir de ces fondations, une analyse des incidences sur les opérations a été entreprise afin d’identifier les priorités et les attentes de l’Organisation en termes de reprise et de reconstitution en cas d’événement perturbateur.  Ces éléments devraient fournir une base solide pour faire évoluer encore le système au cours de l’exercice biennal à venir.</w:t>
      </w:r>
    </w:p>
    <w:p w:rsidR="006E2BB1" w:rsidRPr="00C258AD" w:rsidRDefault="006E2BB1" w:rsidP="001A4D6C">
      <w:pPr>
        <w:jc w:val="both"/>
      </w:pPr>
    </w:p>
    <w:p w:rsidR="006E2BB1" w:rsidRPr="00C258AD" w:rsidRDefault="00E63289" w:rsidP="00BB4DBC">
      <w:pPr>
        <w:numPr>
          <w:ilvl w:val="0"/>
          <w:numId w:val="35"/>
        </w:numPr>
        <w:autoSpaceDE w:val="0"/>
        <w:autoSpaceDN w:val="0"/>
        <w:adjustRightInd w:val="0"/>
        <w:jc w:val="both"/>
        <w:rPr>
          <w:szCs w:val="20"/>
        </w:rPr>
      </w:pPr>
      <w:r w:rsidRPr="00C258AD">
        <w:t xml:space="preserve">En février 2014, avec la nomination du chef de la Section du protocole et de la gestion des événements, les activités relatives à l’événementiel ont été fusionnées avec le protocole afin de renforcer </w:t>
      </w:r>
      <w:r w:rsidRPr="00C258AD">
        <w:lastRenderedPageBreak/>
        <w:t xml:space="preserve">et d’optimiser l’engagement auprès des États membres et des autres parties prenantes.  Les assemblées générales tenues en septembre 2014 et 2015 ont vu une augmentation significative du nombre d’événements et de manifestations demandés et organisés, dont l’inauguration de la nouvelle salle de conférence de l’OMPI en 2014.  Ces événements ont reçu un accueil positif dont témoigne le niveau de satisfaction des délégués.  </w:t>
      </w:r>
      <w:r w:rsidRPr="00C258AD">
        <w:rPr>
          <w:szCs w:val="20"/>
        </w:rPr>
        <w:t>Le nombre d’événements organisés à l’OMPI, y compris les journées nationales, a augmenté en 2015, donnant ainsi au campus de l’OMPI un rôle important en tant qu’espace de rencontre pour les États membres et autres parties prenantes.</w:t>
      </w:r>
    </w:p>
    <w:p w:rsidR="006E2BB1" w:rsidRPr="00C258AD" w:rsidRDefault="006E2BB1" w:rsidP="001A4D6C">
      <w:pPr>
        <w:jc w:val="both"/>
      </w:pPr>
    </w:p>
    <w:p w:rsidR="006E2BB1" w:rsidRPr="00C258AD" w:rsidRDefault="00E63289" w:rsidP="00BB4DBC">
      <w:pPr>
        <w:numPr>
          <w:ilvl w:val="0"/>
          <w:numId w:val="35"/>
        </w:numPr>
        <w:autoSpaceDE w:val="0"/>
        <w:autoSpaceDN w:val="0"/>
        <w:adjustRightInd w:val="0"/>
        <w:jc w:val="both"/>
      </w:pPr>
      <w:r w:rsidRPr="00C258AD">
        <w:t>Le programme, qui inclut les travaux du Cabinet du Directeur général, a continué de jouer un rôle essentiel dans la fourniture de l’orientation stratégique globale et la supervision nécessaires pour faciliter l’intégration et la mise en œuvre du Plan d’action pour le développement par tous les secteurs concernés de l’OMPI.</w:t>
      </w:r>
    </w:p>
    <w:p w:rsidR="006E2BB1" w:rsidRPr="00C258AD" w:rsidRDefault="006E2BB1" w:rsidP="001A4D6C">
      <w:pPr>
        <w:jc w:val="both"/>
      </w:pPr>
    </w:p>
    <w:p w:rsidR="006E2BB1" w:rsidRPr="00C258AD" w:rsidRDefault="006E2BB1" w:rsidP="001A4D6C">
      <w:pPr>
        <w:jc w:val="both"/>
      </w:pPr>
    </w:p>
    <w:p w:rsidR="006E2BB1" w:rsidRPr="00C258AD" w:rsidRDefault="00E63289" w:rsidP="00305CE5">
      <w:pPr>
        <w:keepNext/>
        <w:rPr>
          <w:rFonts w:cs="Arial"/>
          <w:caps/>
          <w:sz w:val="22"/>
          <w:szCs w:val="22"/>
        </w:rPr>
      </w:pPr>
      <w:r w:rsidRPr="00C258AD">
        <w:rPr>
          <w:rFonts w:cs="Arial"/>
          <w:caps/>
          <w:sz w:val="22"/>
          <w:szCs w:val="22"/>
        </w:rPr>
        <w:t>Données relatives à l’exécution</w:t>
      </w:r>
    </w:p>
    <w:p w:rsidR="00E63289" w:rsidRPr="00C258AD" w:rsidRDefault="00E63289" w:rsidP="001A4D6C">
      <w:pPr>
        <w:rPr>
          <w:szCs w:val="22"/>
        </w:rPr>
      </w:pPr>
    </w:p>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266"/>
        <w:gridCol w:w="2409"/>
        <w:gridCol w:w="1416"/>
        <w:gridCol w:w="2409"/>
        <w:gridCol w:w="991"/>
      </w:tblGrid>
      <w:tr w:rsidR="00E63289" w:rsidRPr="00C258AD" w:rsidTr="001A4D6C">
        <w:trPr>
          <w:cantSplit/>
        </w:trPr>
        <w:tc>
          <w:tcPr>
            <w:tcW w:w="5000" w:type="pct"/>
            <w:gridSpan w:val="5"/>
            <w:tcBorders>
              <w:top w:val="single" w:sz="4" w:space="0" w:color="auto"/>
              <w:bottom w:val="single" w:sz="4" w:space="0" w:color="auto"/>
            </w:tcBorders>
            <w:shd w:val="clear" w:color="auto" w:fill="C5D9F1"/>
            <w:tcMar>
              <w:top w:w="113" w:type="dxa"/>
              <w:bottom w:w="113" w:type="dxa"/>
            </w:tcMar>
            <w:vAlign w:val="center"/>
          </w:tcPr>
          <w:p w:rsidR="00E63289" w:rsidRPr="00C258AD" w:rsidRDefault="00E63289" w:rsidP="001A4D6C">
            <w:pPr>
              <w:keepNext/>
              <w:keepLines/>
              <w:tabs>
                <w:tab w:val="left" w:pos="2160"/>
              </w:tabs>
              <w:rPr>
                <w:b/>
                <w:bCs/>
                <w:sz w:val="16"/>
                <w:szCs w:val="16"/>
              </w:rPr>
            </w:pPr>
            <w:r w:rsidRPr="00C258AD">
              <w:rPr>
                <w:b/>
                <w:bCs/>
                <w:sz w:val="16"/>
                <w:szCs w:val="16"/>
              </w:rPr>
              <w:t xml:space="preserve">Résultat escompté : </w:t>
            </w:r>
            <w:r w:rsidRPr="00C258AD">
              <w:rPr>
                <w:bCs/>
                <w:sz w:val="16"/>
                <w:szCs w:val="16"/>
              </w:rPr>
              <w:t>IV.2 Amélioration de l’accessibilité et de l’utilisation de l’information en matière de propriété intellectuelle par les institutions compétentes et le public afin de promouvoir l’innovation et la créativité</w:t>
            </w:r>
          </w:p>
        </w:tc>
      </w:tr>
      <w:tr w:rsidR="00E63289" w:rsidRPr="00C258AD" w:rsidTr="001A4D6C">
        <w:trPr>
          <w:cantSplit/>
        </w:trPr>
        <w:tc>
          <w:tcPr>
            <w:tcW w:w="1194" w:type="pct"/>
            <w:tcBorders>
              <w:top w:val="single" w:sz="4" w:space="0" w:color="auto"/>
            </w:tcBorders>
            <w:shd w:val="clear" w:color="auto" w:fill="auto"/>
            <w:tcMar>
              <w:top w:w="113" w:type="dxa"/>
              <w:bottom w:w="113" w:type="dxa"/>
            </w:tcMar>
            <w:vAlign w:val="center"/>
          </w:tcPr>
          <w:p w:rsidR="00E63289" w:rsidRPr="00C258AD" w:rsidRDefault="00E63289" w:rsidP="001A4D6C">
            <w:pPr>
              <w:jc w:val="center"/>
              <w:rPr>
                <w:b/>
                <w:sz w:val="16"/>
                <w:szCs w:val="16"/>
              </w:rPr>
            </w:pPr>
            <w:r w:rsidRPr="00C258AD">
              <w:rPr>
                <w:b/>
                <w:sz w:val="16"/>
                <w:szCs w:val="16"/>
              </w:rPr>
              <w:t>Indicateurs d’exécution</w:t>
            </w:r>
          </w:p>
        </w:tc>
        <w:tc>
          <w:tcPr>
            <w:tcW w:w="1269" w:type="pct"/>
            <w:tcBorders>
              <w:top w:val="single" w:sz="4" w:space="0" w:color="auto"/>
            </w:tcBorders>
            <w:shd w:val="clear" w:color="auto" w:fill="auto"/>
            <w:tcMar>
              <w:top w:w="113" w:type="dxa"/>
              <w:bottom w:w="113" w:type="dxa"/>
            </w:tcMar>
            <w:vAlign w:val="center"/>
          </w:tcPr>
          <w:p w:rsidR="00E63289" w:rsidRPr="00C258AD" w:rsidRDefault="00E63289" w:rsidP="001A4D6C">
            <w:pPr>
              <w:jc w:val="center"/>
              <w:rPr>
                <w:b/>
                <w:bCs/>
                <w:sz w:val="16"/>
                <w:szCs w:val="16"/>
              </w:rPr>
            </w:pPr>
            <w:r w:rsidRPr="00C258AD">
              <w:rPr>
                <w:b/>
                <w:bCs/>
                <w:sz w:val="16"/>
                <w:szCs w:val="16"/>
              </w:rPr>
              <w:t>Niveaux de référence</w:t>
            </w:r>
          </w:p>
        </w:tc>
        <w:tc>
          <w:tcPr>
            <w:tcW w:w="746" w:type="pct"/>
            <w:tcBorders>
              <w:top w:val="single" w:sz="4" w:space="0" w:color="auto"/>
            </w:tcBorders>
            <w:shd w:val="clear" w:color="auto" w:fill="auto"/>
            <w:tcMar>
              <w:top w:w="113" w:type="dxa"/>
              <w:bottom w:w="113" w:type="dxa"/>
            </w:tcMar>
            <w:vAlign w:val="center"/>
          </w:tcPr>
          <w:p w:rsidR="00E63289" w:rsidRPr="00C258AD" w:rsidRDefault="00E63289" w:rsidP="001A4D6C">
            <w:pPr>
              <w:jc w:val="center"/>
              <w:rPr>
                <w:b/>
                <w:sz w:val="16"/>
                <w:szCs w:val="16"/>
              </w:rPr>
            </w:pPr>
            <w:r w:rsidRPr="00C258AD">
              <w:rPr>
                <w:b/>
                <w:sz w:val="16"/>
                <w:szCs w:val="16"/>
              </w:rPr>
              <w:t>Objectifs visés</w:t>
            </w:r>
          </w:p>
        </w:tc>
        <w:tc>
          <w:tcPr>
            <w:tcW w:w="1269" w:type="pct"/>
            <w:tcBorders>
              <w:top w:val="single" w:sz="4" w:space="0" w:color="auto"/>
            </w:tcBorders>
            <w:shd w:val="clear" w:color="auto" w:fill="FFFFFF"/>
            <w:tcMar>
              <w:top w:w="113" w:type="dxa"/>
              <w:bottom w:w="113" w:type="dxa"/>
            </w:tcMar>
            <w:vAlign w:val="center"/>
          </w:tcPr>
          <w:p w:rsidR="00E63289" w:rsidRPr="00C258AD" w:rsidRDefault="00E63289" w:rsidP="001A4D6C">
            <w:pPr>
              <w:jc w:val="center"/>
              <w:rPr>
                <w:b/>
                <w:sz w:val="16"/>
                <w:szCs w:val="16"/>
              </w:rPr>
            </w:pPr>
            <w:r w:rsidRPr="00C258AD">
              <w:rPr>
                <w:b/>
                <w:sz w:val="16"/>
                <w:szCs w:val="16"/>
              </w:rPr>
              <w:t>Données relatives à l’exécution</w:t>
            </w:r>
          </w:p>
        </w:tc>
        <w:tc>
          <w:tcPr>
            <w:tcW w:w="522" w:type="pct"/>
            <w:tcBorders>
              <w:top w:val="single" w:sz="4" w:space="0" w:color="auto"/>
            </w:tcBorders>
            <w:shd w:val="clear" w:color="auto" w:fill="auto"/>
            <w:tcMar>
              <w:top w:w="113" w:type="dxa"/>
              <w:bottom w:w="113" w:type="dxa"/>
            </w:tcMar>
            <w:vAlign w:val="center"/>
          </w:tcPr>
          <w:p w:rsidR="00E63289" w:rsidRPr="00C258AD" w:rsidRDefault="00E63289" w:rsidP="001A4D6C">
            <w:pPr>
              <w:keepNext/>
              <w:keepLines/>
              <w:jc w:val="center"/>
              <w:rPr>
                <w:b/>
                <w:bCs/>
                <w:sz w:val="16"/>
                <w:szCs w:val="16"/>
              </w:rPr>
            </w:pPr>
            <w:r w:rsidRPr="00C258AD">
              <w:rPr>
                <w:b/>
                <w:bCs/>
                <w:sz w:val="16"/>
                <w:szCs w:val="16"/>
              </w:rPr>
              <w:t>Code de couleurs</w:t>
            </w:r>
          </w:p>
        </w:tc>
      </w:tr>
      <w:tr w:rsidR="00E63289" w:rsidRPr="00C258AD" w:rsidTr="001A4D6C">
        <w:trPr>
          <w:cantSplit/>
        </w:trPr>
        <w:tc>
          <w:tcPr>
            <w:tcW w:w="1194" w:type="pct"/>
            <w:tcBorders>
              <w:bottom w:val="single" w:sz="4" w:space="0" w:color="auto"/>
            </w:tcBorders>
            <w:shd w:val="clear" w:color="auto" w:fill="auto"/>
            <w:tcMar>
              <w:top w:w="113" w:type="dxa"/>
              <w:bottom w:w="113" w:type="dxa"/>
            </w:tcMar>
          </w:tcPr>
          <w:p w:rsidR="00E63289" w:rsidRPr="00C258AD" w:rsidRDefault="00E63289" w:rsidP="001A4D6C">
            <w:pPr>
              <w:rPr>
                <w:sz w:val="16"/>
                <w:szCs w:val="16"/>
              </w:rPr>
            </w:pPr>
            <w:r w:rsidRPr="00C258AD">
              <w:rPr>
                <w:sz w:val="16"/>
                <w:szCs w:val="16"/>
              </w:rPr>
              <w:t>Augmentation du nombre d’utilisateurs de WIPO </w:t>
            </w:r>
            <w:proofErr w:type="spellStart"/>
            <w:r w:rsidRPr="00C258AD">
              <w:rPr>
                <w:sz w:val="16"/>
                <w:szCs w:val="16"/>
              </w:rPr>
              <w:t>Lex</w:t>
            </w:r>
            <w:proofErr w:type="spellEnd"/>
          </w:p>
        </w:tc>
        <w:tc>
          <w:tcPr>
            <w:tcW w:w="1269" w:type="pct"/>
            <w:tcBorders>
              <w:bottom w:val="single" w:sz="4" w:space="0" w:color="auto"/>
            </w:tcBorders>
            <w:shd w:val="clear" w:color="auto" w:fill="auto"/>
            <w:tcMar>
              <w:top w:w="113" w:type="dxa"/>
              <w:bottom w:w="113" w:type="dxa"/>
            </w:tcMar>
          </w:tcPr>
          <w:p w:rsidR="006E2BB1" w:rsidRPr="00C258AD" w:rsidRDefault="00E63289" w:rsidP="001A4D6C">
            <w:pPr>
              <w:rPr>
                <w:rFonts w:eastAsiaTheme="minorHAnsi"/>
                <w:i/>
                <w:color w:val="002060"/>
                <w:sz w:val="16"/>
                <w:szCs w:val="16"/>
              </w:rPr>
            </w:pPr>
            <w:r w:rsidRPr="00C258AD">
              <w:rPr>
                <w:rFonts w:eastAsiaTheme="minorHAnsi"/>
                <w:i/>
                <w:color w:val="002060"/>
                <w:sz w:val="16"/>
                <w:szCs w:val="16"/>
              </w:rPr>
              <w:t>Niveau de référence actualisé à fin 2013</w:t>
            </w:r>
            <w:r w:rsidRPr="00C258AD">
              <w:rPr>
                <w:rFonts w:eastAsiaTheme="minorHAnsi"/>
                <w:color w:val="002060"/>
                <w:sz w:val="16"/>
                <w:szCs w:val="16"/>
              </w:rPr>
              <w:t> : 2 236 486 utilisateurs au total en 2012</w:t>
            </w:r>
            <w:r w:rsidRPr="00C258AD">
              <w:rPr>
                <w:rFonts w:eastAsiaTheme="minorHAnsi"/>
                <w:color w:val="002060"/>
                <w:sz w:val="16"/>
                <w:szCs w:val="16"/>
              </w:rPr>
              <w:noBreakHyphen/>
              <w:t>2013 (1 461 841 en 2013;  774 645 en 2012)</w:t>
            </w:r>
          </w:p>
          <w:p w:rsidR="006E2BB1" w:rsidRPr="00C258AD" w:rsidRDefault="006E2BB1" w:rsidP="001A4D6C">
            <w:pPr>
              <w:rPr>
                <w:i/>
                <w:sz w:val="16"/>
                <w:szCs w:val="16"/>
              </w:rPr>
            </w:pPr>
          </w:p>
          <w:p w:rsidR="00E63289" w:rsidRPr="00C258AD" w:rsidRDefault="00E63289" w:rsidP="001A4D6C">
            <w:pPr>
              <w:rPr>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1 123 930</w:t>
            </w:r>
            <w:r w:rsidRPr="00C258AD">
              <w:rPr>
                <w:rStyle w:val="FootnoteReference"/>
                <w:rFonts w:eastAsia="SimSun"/>
                <w:sz w:val="16"/>
                <w:szCs w:val="16"/>
              </w:rPr>
              <w:footnoteReference w:id="122"/>
            </w:r>
          </w:p>
        </w:tc>
        <w:tc>
          <w:tcPr>
            <w:tcW w:w="746" w:type="pct"/>
            <w:tcBorders>
              <w:bottom w:val="single" w:sz="4" w:space="0" w:color="auto"/>
            </w:tcBorders>
            <w:shd w:val="clear" w:color="auto" w:fill="auto"/>
            <w:tcMar>
              <w:top w:w="113" w:type="dxa"/>
              <w:bottom w:w="113" w:type="dxa"/>
            </w:tcMar>
          </w:tcPr>
          <w:p w:rsidR="00E63289" w:rsidRPr="00C258AD" w:rsidRDefault="00E63289" w:rsidP="001A4D6C">
            <w:pPr>
              <w:rPr>
                <w:sz w:val="16"/>
                <w:szCs w:val="16"/>
                <w:lang w:bidi="th-TH"/>
              </w:rPr>
            </w:pPr>
            <w:r w:rsidRPr="00C258AD">
              <w:rPr>
                <w:sz w:val="16"/>
                <w:szCs w:val="16"/>
              </w:rPr>
              <w:t>20%</w:t>
            </w:r>
          </w:p>
        </w:tc>
        <w:tc>
          <w:tcPr>
            <w:tcW w:w="1269" w:type="pct"/>
            <w:tcBorders>
              <w:bottom w:val="single" w:sz="4" w:space="0" w:color="auto"/>
            </w:tcBorders>
            <w:shd w:val="clear" w:color="auto" w:fill="FFFFFF"/>
            <w:tcMar>
              <w:top w:w="113" w:type="dxa"/>
              <w:bottom w:w="113" w:type="dxa"/>
            </w:tcMar>
          </w:tcPr>
          <w:p w:rsidR="006E2BB1" w:rsidRPr="00C258AD" w:rsidRDefault="00E63289" w:rsidP="001A4D6C">
            <w:pPr>
              <w:rPr>
                <w:sz w:val="16"/>
                <w:szCs w:val="16"/>
              </w:rPr>
            </w:pPr>
            <w:r w:rsidRPr="00C258AD">
              <w:rPr>
                <w:sz w:val="16"/>
                <w:szCs w:val="16"/>
              </w:rPr>
              <w:t>3 350 643 utilisateurs au total en 2014</w:t>
            </w:r>
            <w:r w:rsidRPr="00C258AD">
              <w:rPr>
                <w:sz w:val="16"/>
                <w:szCs w:val="16"/>
              </w:rPr>
              <w:noBreakHyphen/>
              <w:t>2015 (augmentation de 49,8% par rapport à 2012</w:t>
            </w:r>
            <w:r w:rsidRPr="00C258AD">
              <w:rPr>
                <w:sz w:val="16"/>
                <w:szCs w:val="16"/>
              </w:rPr>
              <w:noBreakHyphen/>
              <w:t>2013)</w:t>
            </w:r>
          </w:p>
          <w:p w:rsidR="006E2BB1" w:rsidRPr="00C258AD" w:rsidRDefault="00E63289" w:rsidP="00BB4DBC">
            <w:pPr>
              <w:pStyle w:val="ListParagraph"/>
              <w:numPr>
                <w:ilvl w:val="0"/>
                <w:numId w:val="36"/>
              </w:numPr>
              <w:rPr>
                <w:sz w:val="16"/>
                <w:szCs w:val="16"/>
              </w:rPr>
            </w:pPr>
            <w:r w:rsidRPr="00C258AD">
              <w:rPr>
                <w:sz w:val="16"/>
                <w:szCs w:val="16"/>
              </w:rPr>
              <w:t>1 506 508 (2014)</w:t>
            </w:r>
          </w:p>
          <w:p w:rsidR="00E63289" w:rsidRPr="00C258AD" w:rsidRDefault="00E63289" w:rsidP="00BB4DBC">
            <w:pPr>
              <w:pStyle w:val="ListParagraph"/>
              <w:numPr>
                <w:ilvl w:val="0"/>
                <w:numId w:val="36"/>
              </w:numPr>
              <w:rPr>
                <w:sz w:val="16"/>
                <w:szCs w:val="16"/>
              </w:rPr>
            </w:pPr>
            <w:r w:rsidRPr="00C258AD">
              <w:rPr>
                <w:sz w:val="16"/>
                <w:szCs w:val="16"/>
              </w:rPr>
              <w:t>1 844 135 (2015)</w:t>
            </w:r>
          </w:p>
        </w:tc>
        <w:tc>
          <w:tcPr>
            <w:tcW w:w="522" w:type="pct"/>
            <w:tcBorders>
              <w:bottom w:val="single" w:sz="4" w:space="0" w:color="auto"/>
            </w:tcBorders>
            <w:shd w:val="clear" w:color="auto" w:fill="auto"/>
            <w:tcMar>
              <w:top w:w="113" w:type="dxa"/>
              <w:bottom w:w="113" w:type="dxa"/>
            </w:tcMar>
          </w:tcPr>
          <w:p w:rsidR="00E63289" w:rsidRPr="00C258AD" w:rsidRDefault="00E63289" w:rsidP="001A4D6C">
            <w:pPr>
              <w:keepNext/>
              <w:keepLines/>
              <w:jc w:val="center"/>
              <w:rPr>
                <w:b/>
                <w:bCs/>
                <w:sz w:val="16"/>
                <w:szCs w:val="16"/>
              </w:rPr>
            </w:pPr>
            <w:r w:rsidRPr="00C258AD">
              <w:rPr>
                <w:rFonts w:cs="Arial"/>
                <w:b/>
                <w:bCs/>
                <w:color w:val="00B050"/>
                <w:sz w:val="16"/>
                <w:szCs w:val="16"/>
              </w:rPr>
              <w:t>Objectif pleinement atteint</w:t>
            </w:r>
          </w:p>
        </w:tc>
      </w:tr>
      <w:tr w:rsidR="00E63289" w:rsidRPr="00C258AD" w:rsidTr="001A4D6C">
        <w:trPr>
          <w:cantSplit/>
        </w:trPr>
        <w:tc>
          <w:tcPr>
            <w:tcW w:w="5000" w:type="pct"/>
            <w:gridSpan w:val="5"/>
            <w:tcBorders>
              <w:top w:val="single" w:sz="4" w:space="0" w:color="auto"/>
              <w:bottom w:val="single" w:sz="4" w:space="0" w:color="auto"/>
            </w:tcBorders>
            <w:shd w:val="clear" w:color="auto" w:fill="C5D9F1"/>
            <w:tcMar>
              <w:top w:w="113" w:type="dxa"/>
              <w:bottom w:w="113" w:type="dxa"/>
            </w:tcMar>
            <w:vAlign w:val="center"/>
          </w:tcPr>
          <w:p w:rsidR="00E63289" w:rsidRPr="00C258AD" w:rsidRDefault="00E63289" w:rsidP="001A4D6C">
            <w:pPr>
              <w:keepNext/>
              <w:keepLines/>
              <w:tabs>
                <w:tab w:val="left" w:pos="2160"/>
              </w:tabs>
              <w:rPr>
                <w:b/>
                <w:bCs/>
                <w:sz w:val="16"/>
                <w:szCs w:val="16"/>
              </w:rPr>
            </w:pPr>
            <w:r w:rsidRPr="00C258AD">
              <w:rPr>
                <w:b/>
                <w:bCs/>
                <w:sz w:val="16"/>
                <w:szCs w:val="16"/>
              </w:rPr>
              <w:t xml:space="preserve">Résultat escompté : </w:t>
            </w:r>
            <w:r w:rsidRPr="00C258AD">
              <w:rPr>
                <w:bCs/>
                <w:sz w:val="16"/>
                <w:szCs w:val="16"/>
              </w:rPr>
              <w:t>VIII.3 Engagement réel auprès des États membres</w:t>
            </w:r>
          </w:p>
        </w:tc>
      </w:tr>
      <w:tr w:rsidR="00E63289" w:rsidRPr="00C258AD" w:rsidTr="001A4D6C">
        <w:trPr>
          <w:cantSplit/>
        </w:trPr>
        <w:tc>
          <w:tcPr>
            <w:tcW w:w="1194" w:type="pct"/>
            <w:tcBorders>
              <w:top w:val="single" w:sz="4" w:space="0" w:color="auto"/>
            </w:tcBorders>
            <w:shd w:val="clear" w:color="auto" w:fill="auto"/>
            <w:tcMar>
              <w:top w:w="113" w:type="dxa"/>
              <w:bottom w:w="113" w:type="dxa"/>
            </w:tcMar>
            <w:vAlign w:val="center"/>
          </w:tcPr>
          <w:p w:rsidR="00E63289" w:rsidRPr="00C258AD" w:rsidRDefault="00E63289" w:rsidP="001A4D6C">
            <w:pPr>
              <w:keepNext/>
              <w:keepLines/>
              <w:jc w:val="center"/>
              <w:rPr>
                <w:b/>
                <w:sz w:val="16"/>
                <w:szCs w:val="16"/>
              </w:rPr>
            </w:pPr>
            <w:r w:rsidRPr="00C258AD">
              <w:rPr>
                <w:b/>
                <w:sz w:val="16"/>
                <w:szCs w:val="16"/>
              </w:rPr>
              <w:t>Indicateurs d’exécution</w:t>
            </w:r>
          </w:p>
        </w:tc>
        <w:tc>
          <w:tcPr>
            <w:tcW w:w="1269" w:type="pct"/>
            <w:tcBorders>
              <w:top w:val="single" w:sz="4" w:space="0" w:color="auto"/>
            </w:tcBorders>
            <w:shd w:val="clear" w:color="auto" w:fill="auto"/>
            <w:tcMar>
              <w:top w:w="113" w:type="dxa"/>
              <w:bottom w:w="113" w:type="dxa"/>
            </w:tcMar>
            <w:vAlign w:val="center"/>
          </w:tcPr>
          <w:p w:rsidR="00E63289" w:rsidRPr="00C258AD" w:rsidRDefault="00E63289" w:rsidP="001A4D6C">
            <w:pPr>
              <w:keepNext/>
              <w:keepLines/>
              <w:jc w:val="center"/>
              <w:rPr>
                <w:b/>
                <w:bCs/>
                <w:sz w:val="16"/>
                <w:szCs w:val="16"/>
              </w:rPr>
            </w:pPr>
            <w:r w:rsidRPr="00C258AD">
              <w:rPr>
                <w:b/>
                <w:bCs/>
                <w:sz w:val="16"/>
                <w:szCs w:val="16"/>
              </w:rPr>
              <w:t>Niveaux de référence</w:t>
            </w:r>
          </w:p>
        </w:tc>
        <w:tc>
          <w:tcPr>
            <w:tcW w:w="746" w:type="pct"/>
            <w:tcBorders>
              <w:top w:val="single" w:sz="4" w:space="0" w:color="auto"/>
            </w:tcBorders>
            <w:shd w:val="clear" w:color="auto" w:fill="auto"/>
            <w:tcMar>
              <w:top w:w="113" w:type="dxa"/>
              <w:bottom w:w="113" w:type="dxa"/>
            </w:tcMar>
            <w:vAlign w:val="center"/>
          </w:tcPr>
          <w:p w:rsidR="00E63289" w:rsidRPr="00C258AD" w:rsidRDefault="00E63289" w:rsidP="001A4D6C">
            <w:pPr>
              <w:keepNext/>
              <w:keepLines/>
              <w:jc w:val="center"/>
              <w:rPr>
                <w:b/>
                <w:sz w:val="16"/>
                <w:szCs w:val="16"/>
              </w:rPr>
            </w:pPr>
            <w:r w:rsidRPr="00C258AD">
              <w:rPr>
                <w:b/>
                <w:sz w:val="16"/>
                <w:szCs w:val="16"/>
              </w:rPr>
              <w:t>Objectifs visés</w:t>
            </w:r>
          </w:p>
        </w:tc>
        <w:tc>
          <w:tcPr>
            <w:tcW w:w="1269" w:type="pct"/>
            <w:tcBorders>
              <w:top w:val="single" w:sz="4" w:space="0" w:color="auto"/>
            </w:tcBorders>
            <w:shd w:val="clear" w:color="auto" w:fill="FFFFFF"/>
            <w:tcMar>
              <w:top w:w="113" w:type="dxa"/>
              <w:bottom w:w="113" w:type="dxa"/>
            </w:tcMar>
            <w:vAlign w:val="center"/>
          </w:tcPr>
          <w:p w:rsidR="00E63289" w:rsidRPr="00C258AD" w:rsidRDefault="00E63289" w:rsidP="001A4D6C">
            <w:pPr>
              <w:jc w:val="center"/>
              <w:rPr>
                <w:b/>
                <w:sz w:val="16"/>
                <w:szCs w:val="16"/>
              </w:rPr>
            </w:pPr>
            <w:r w:rsidRPr="00C258AD">
              <w:rPr>
                <w:b/>
                <w:sz w:val="16"/>
                <w:szCs w:val="16"/>
              </w:rPr>
              <w:t>Données relatives à l’exécution</w:t>
            </w:r>
          </w:p>
        </w:tc>
        <w:tc>
          <w:tcPr>
            <w:tcW w:w="522" w:type="pct"/>
            <w:tcBorders>
              <w:top w:val="single" w:sz="4" w:space="0" w:color="auto"/>
            </w:tcBorders>
            <w:shd w:val="clear" w:color="auto" w:fill="auto"/>
            <w:tcMar>
              <w:top w:w="113" w:type="dxa"/>
              <w:bottom w:w="113" w:type="dxa"/>
            </w:tcMar>
            <w:vAlign w:val="center"/>
          </w:tcPr>
          <w:p w:rsidR="00E63289" w:rsidRPr="00C258AD" w:rsidRDefault="00E63289" w:rsidP="001A4D6C">
            <w:pPr>
              <w:keepNext/>
              <w:keepLines/>
              <w:jc w:val="center"/>
              <w:rPr>
                <w:b/>
                <w:bCs/>
                <w:sz w:val="16"/>
                <w:szCs w:val="16"/>
              </w:rPr>
            </w:pPr>
            <w:r w:rsidRPr="00C258AD">
              <w:rPr>
                <w:b/>
                <w:bCs/>
                <w:sz w:val="16"/>
                <w:szCs w:val="16"/>
              </w:rPr>
              <w:t>Code de couleurs</w:t>
            </w:r>
          </w:p>
        </w:tc>
      </w:tr>
      <w:tr w:rsidR="00E63289" w:rsidRPr="00C258AD" w:rsidTr="001A4D6C">
        <w:trPr>
          <w:cantSplit/>
        </w:trPr>
        <w:tc>
          <w:tcPr>
            <w:tcW w:w="1194" w:type="pct"/>
            <w:shd w:val="clear" w:color="auto" w:fill="auto"/>
            <w:tcMar>
              <w:top w:w="113" w:type="dxa"/>
              <w:bottom w:w="113" w:type="dxa"/>
            </w:tcMar>
          </w:tcPr>
          <w:p w:rsidR="00E63289" w:rsidRPr="00C258AD" w:rsidRDefault="00E63289" w:rsidP="001A4D6C">
            <w:pPr>
              <w:keepNext/>
              <w:keepLines/>
              <w:rPr>
                <w:sz w:val="16"/>
                <w:szCs w:val="16"/>
              </w:rPr>
            </w:pPr>
            <w:r w:rsidRPr="00C258AD">
              <w:rPr>
                <w:sz w:val="16"/>
                <w:szCs w:val="16"/>
              </w:rPr>
              <w:t>Pourcentage de réunions de comité pour lesquelles des réunions d’information préalables sont tenues pour les États membres</w:t>
            </w:r>
          </w:p>
        </w:tc>
        <w:tc>
          <w:tcPr>
            <w:tcW w:w="1269" w:type="pct"/>
            <w:shd w:val="clear" w:color="auto" w:fill="auto"/>
            <w:tcMar>
              <w:top w:w="113" w:type="dxa"/>
              <w:bottom w:w="113" w:type="dxa"/>
            </w:tcMar>
          </w:tcPr>
          <w:p w:rsidR="006E2BB1" w:rsidRPr="00C258AD" w:rsidRDefault="00E63289" w:rsidP="001A4D6C">
            <w:pPr>
              <w:rPr>
                <w:rFonts w:eastAsiaTheme="minorHAnsi"/>
                <w:i/>
                <w:color w:val="002060"/>
                <w:sz w:val="16"/>
                <w:szCs w:val="16"/>
              </w:rPr>
            </w:pPr>
            <w:r w:rsidRPr="00C258AD">
              <w:rPr>
                <w:rFonts w:eastAsiaTheme="minorHAnsi"/>
                <w:i/>
                <w:color w:val="002060"/>
                <w:sz w:val="16"/>
                <w:szCs w:val="16"/>
              </w:rPr>
              <w:t>Niveau de référence actualisé à fin 2013</w:t>
            </w:r>
            <w:r w:rsidRPr="00C258AD">
              <w:rPr>
                <w:rFonts w:eastAsiaTheme="minorHAnsi"/>
                <w:color w:val="002060"/>
                <w:sz w:val="16"/>
                <w:szCs w:val="16"/>
              </w:rPr>
              <w:t> : 81% selon une enquête auprès des secrétaires des comités.</w:t>
            </w:r>
          </w:p>
          <w:p w:rsidR="006E2BB1" w:rsidRPr="00C258AD" w:rsidRDefault="006E2BB1" w:rsidP="001A4D6C">
            <w:pPr>
              <w:rPr>
                <w:i/>
                <w:sz w:val="16"/>
                <w:szCs w:val="16"/>
              </w:rPr>
            </w:pPr>
          </w:p>
          <w:p w:rsidR="00E63289" w:rsidRPr="00C258AD" w:rsidRDefault="00E63289" w:rsidP="001A4D6C">
            <w:pPr>
              <w:keepNext/>
              <w:keepLines/>
              <w:rPr>
                <w:sz w:val="16"/>
                <w:szCs w:val="16"/>
              </w:rPr>
            </w:pPr>
            <w:r w:rsidRPr="00C258AD">
              <w:rPr>
                <w:i/>
                <w:sz w:val="16"/>
                <w:szCs w:val="16"/>
              </w:rPr>
              <w:t>Niveau de référence initial dans le programme et budget 2014</w:t>
            </w:r>
            <w:r w:rsidRPr="00C258AD">
              <w:rPr>
                <w:i/>
                <w:sz w:val="16"/>
                <w:szCs w:val="16"/>
              </w:rPr>
              <w:noBreakHyphen/>
              <w:t>2015</w:t>
            </w:r>
            <w:r w:rsidRPr="00C258AD">
              <w:rPr>
                <w:sz w:val="16"/>
                <w:szCs w:val="16"/>
              </w:rPr>
              <w:t> : 80%</w:t>
            </w:r>
          </w:p>
        </w:tc>
        <w:tc>
          <w:tcPr>
            <w:tcW w:w="746" w:type="pct"/>
            <w:shd w:val="clear" w:color="auto" w:fill="auto"/>
            <w:tcMar>
              <w:top w:w="113" w:type="dxa"/>
              <w:bottom w:w="113" w:type="dxa"/>
            </w:tcMar>
          </w:tcPr>
          <w:p w:rsidR="00E63289" w:rsidRPr="00C258AD" w:rsidRDefault="00E63289" w:rsidP="001A4D6C">
            <w:pPr>
              <w:keepNext/>
              <w:keepLines/>
              <w:rPr>
                <w:sz w:val="16"/>
                <w:szCs w:val="16"/>
              </w:rPr>
            </w:pPr>
            <w:r w:rsidRPr="00C258AD">
              <w:rPr>
                <w:sz w:val="16"/>
                <w:szCs w:val="16"/>
              </w:rPr>
              <w:t>90%</w:t>
            </w:r>
          </w:p>
        </w:tc>
        <w:tc>
          <w:tcPr>
            <w:tcW w:w="1269" w:type="pct"/>
            <w:shd w:val="clear" w:color="auto" w:fill="FFFFFF"/>
            <w:tcMar>
              <w:top w:w="113" w:type="dxa"/>
              <w:bottom w:w="113" w:type="dxa"/>
            </w:tcMar>
          </w:tcPr>
          <w:p w:rsidR="00E63289" w:rsidRPr="00C258AD" w:rsidRDefault="00E63289" w:rsidP="001A4D6C">
            <w:pPr>
              <w:rPr>
                <w:sz w:val="16"/>
                <w:szCs w:val="16"/>
              </w:rPr>
            </w:pPr>
            <w:r w:rsidRPr="00C258AD">
              <w:rPr>
                <w:sz w:val="16"/>
                <w:szCs w:val="16"/>
              </w:rPr>
              <w:t>97% selon une enquête menée auprès de secrétaires de comités</w:t>
            </w:r>
          </w:p>
        </w:tc>
        <w:tc>
          <w:tcPr>
            <w:tcW w:w="522" w:type="pct"/>
            <w:shd w:val="clear" w:color="auto" w:fill="auto"/>
            <w:tcMar>
              <w:top w:w="113" w:type="dxa"/>
              <w:bottom w:w="113" w:type="dxa"/>
            </w:tcMar>
          </w:tcPr>
          <w:p w:rsidR="00E63289" w:rsidRPr="00C258AD" w:rsidRDefault="00E63289" w:rsidP="001A4D6C">
            <w:pPr>
              <w:keepNext/>
              <w:keepLines/>
              <w:jc w:val="center"/>
              <w:rPr>
                <w:b/>
                <w:sz w:val="16"/>
                <w:szCs w:val="16"/>
              </w:rPr>
            </w:pPr>
            <w:r w:rsidRPr="00C258AD">
              <w:rPr>
                <w:rFonts w:cs="Arial"/>
                <w:b/>
                <w:bCs/>
                <w:color w:val="00B050"/>
                <w:sz w:val="16"/>
                <w:szCs w:val="16"/>
              </w:rPr>
              <w:t>Objectif pleinement atteint</w:t>
            </w:r>
          </w:p>
        </w:tc>
      </w:tr>
      <w:tr w:rsidR="00E63289" w:rsidRPr="00C258AD" w:rsidTr="001A4D6C">
        <w:trPr>
          <w:cantSplit/>
        </w:trPr>
        <w:tc>
          <w:tcPr>
            <w:tcW w:w="1194" w:type="pct"/>
            <w:shd w:val="clear" w:color="auto" w:fill="auto"/>
            <w:tcMar>
              <w:top w:w="113" w:type="dxa"/>
              <w:bottom w:w="113" w:type="dxa"/>
            </w:tcMar>
          </w:tcPr>
          <w:p w:rsidR="00E63289" w:rsidRPr="00C258AD" w:rsidRDefault="00E63289" w:rsidP="001A4D6C">
            <w:pPr>
              <w:rPr>
                <w:sz w:val="16"/>
                <w:szCs w:val="16"/>
              </w:rPr>
            </w:pPr>
            <w:r w:rsidRPr="00C258AD">
              <w:rPr>
                <w:sz w:val="16"/>
                <w:szCs w:val="16"/>
              </w:rPr>
              <w:t>Pourcentage de lettres adressées par les États membres au Directeur général qui obtiennent une réponse dans un délai de deux semaines</w:t>
            </w:r>
          </w:p>
        </w:tc>
        <w:tc>
          <w:tcPr>
            <w:tcW w:w="1269" w:type="pct"/>
            <w:shd w:val="clear" w:color="auto" w:fill="auto"/>
            <w:tcMar>
              <w:top w:w="113" w:type="dxa"/>
              <w:bottom w:w="113" w:type="dxa"/>
            </w:tcMar>
          </w:tcPr>
          <w:p w:rsidR="006E2BB1" w:rsidRPr="00C258AD" w:rsidRDefault="00E63289" w:rsidP="001A4D6C">
            <w:pPr>
              <w:rPr>
                <w:rFonts w:eastAsiaTheme="minorHAnsi"/>
                <w:i/>
                <w:color w:val="002060"/>
                <w:sz w:val="16"/>
                <w:szCs w:val="16"/>
              </w:rPr>
            </w:pPr>
            <w:r w:rsidRPr="00C258AD">
              <w:rPr>
                <w:rFonts w:eastAsiaTheme="minorHAnsi"/>
                <w:i/>
                <w:color w:val="002060"/>
                <w:sz w:val="16"/>
                <w:szCs w:val="16"/>
              </w:rPr>
              <w:t>Niveau de référence actualisé à fin 2013</w:t>
            </w:r>
            <w:r w:rsidRPr="00C258AD">
              <w:rPr>
                <w:rFonts w:eastAsiaTheme="minorHAnsi"/>
                <w:color w:val="002060"/>
                <w:sz w:val="16"/>
                <w:szCs w:val="16"/>
              </w:rPr>
              <w:t> : 81% selon une évaluation des lettres reçues et envoyées</w:t>
            </w:r>
          </w:p>
          <w:p w:rsidR="006E2BB1" w:rsidRPr="00C258AD" w:rsidRDefault="006E2BB1" w:rsidP="001A4D6C">
            <w:pPr>
              <w:rPr>
                <w:i/>
                <w:sz w:val="16"/>
                <w:szCs w:val="16"/>
              </w:rPr>
            </w:pPr>
          </w:p>
          <w:p w:rsidR="00E63289" w:rsidRPr="00C258AD" w:rsidRDefault="00E63289" w:rsidP="001A4D6C">
            <w:pPr>
              <w:rPr>
                <w:i/>
                <w:sz w:val="16"/>
                <w:szCs w:val="16"/>
              </w:rPr>
            </w:pPr>
            <w:r w:rsidRPr="00C258AD">
              <w:rPr>
                <w:i/>
                <w:sz w:val="16"/>
                <w:szCs w:val="16"/>
              </w:rPr>
              <w:t>Niveau de référence initial dans le programme et budget 2014</w:t>
            </w:r>
            <w:r w:rsidRPr="00C258AD">
              <w:rPr>
                <w:i/>
                <w:sz w:val="16"/>
                <w:szCs w:val="16"/>
              </w:rPr>
              <w:noBreakHyphen/>
              <w:t>2015</w:t>
            </w:r>
            <w:r w:rsidRPr="00C258AD">
              <w:rPr>
                <w:sz w:val="16"/>
                <w:szCs w:val="16"/>
              </w:rPr>
              <w:t> : 80%</w:t>
            </w:r>
          </w:p>
        </w:tc>
        <w:tc>
          <w:tcPr>
            <w:tcW w:w="746" w:type="pct"/>
            <w:shd w:val="clear" w:color="auto" w:fill="auto"/>
            <w:tcMar>
              <w:top w:w="113" w:type="dxa"/>
              <w:bottom w:w="113" w:type="dxa"/>
            </w:tcMar>
          </w:tcPr>
          <w:p w:rsidR="00E63289" w:rsidRPr="00C258AD" w:rsidRDefault="00E63289" w:rsidP="001A4D6C">
            <w:pPr>
              <w:rPr>
                <w:sz w:val="16"/>
                <w:szCs w:val="16"/>
              </w:rPr>
            </w:pPr>
            <w:r w:rsidRPr="00C258AD">
              <w:rPr>
                <w:sz w:val="16"/>
                <w:szCs w:val="16"/>
              </w:rPr>
              <w:t>80%</w:t>
            </w:r>
          </w:p>
        </w:tc>
        <w:tc>
          <w:tcPr>
            <w:tcW w:w="1269" w:type="pct"/>
            <w:shd w:val="clear" w:color="auto" w:fill="FFFFFF"/>
            <w:tcMar>
              <w:top w:w="113" w:type="dxa"/>
              <w:bottom w:w="113" w:type="dxa"/>
            </w:tcMar>
          </w:tcPr>
          <w:p w:rsidR="00E63289" w:rsidRPr="00C258AD" w:rsidRDefault="00E63289" w:rsidP="001A4D6C">
            <w:pPr>
              <w:rPr>
                <w:sz w:val="16"/>
                <w:szCs w:val="16"/>
              </w:rPr>
            </w:pPr>
            <w:r w:rsidRPr="00C258AD">
              <w:rPr>
                <w:sz w:val="16"/>
                <w:szCs w:val="16"/>
              </w:rPr>
              <w:t>80% selon une évaluation des lettres reçues et envoyées</w:t>
            </w:r>
          </w:p>
        </w:tc>
        <w:tc>
          <w:tcPr>
            <w:tcW w:w="522" w:type="pct"/>
            <w:shd w:val="clear" w:color="auto" w:fill="auto"/>
            <w:tcMar>
              <w:top w:w="113" w:type="dxa"/>
              <w:bottom w:w="113" w:type="dxa"/>
            </w:tcMar>
          </w:tcPr>
          <w:p w:rsidR="00E63289" w:rsidRPr="00C258AD" w:rsidRDefault="00E63289" w:rsidP="001A4D6C">
            <w:pPr>
              <w:keepNext/>
              <w:keepLines/>
              <w:jc w:val="center"/>
              <w:rPr>
                <w:b/>
                <w:sz w:val="16"/>
                <w:szCs w:val="16"/>
              </w:rPr>
            </w:pPr>
            <w:r w:rsidRPr="00C258AD">
              <w:rPr>
                <w:rFonts w:cs="Arial"/>
                <w:b/>
                <w:bCs/>
                <w:color w:val="00B050"/>
                <w:sz w:val="16"/>
                <w:szCs w:val="16"/>
              </w:rPr>
              <w:t>Objectif pleinement atteint</w:t>
            </w:r>
          </w:p>
        </w:tc>
      </w:tr>
      <w:tr w:rsidR="00E63289" w:rsidRPr="00C258AD" w:rsidTr="001A4D6C">
        <w:trPr>
          <w:cantSplit/>
        </w:trPr>
        <w:tc>
          <w:tcPr>
            <w:tcW w:w="1194" w:type="pct"/>
            <w:shd w:val="clear" w:color="auto" w:fill="auto"/>
            <w:tcMar>
              <w:top w:w="113" w:type="dxa"/>
              <w:bottom w:w="113" w:type="dxa"/>
            </w:tcMar>
          </w:tcPr>
          <w:p w:rsidR="00E63289" w:rsidRPr="00C258AD" w:rsidRDefault="00E63289" w:rsidP="001A4D6C">
            <w:pPr>
              <w:rPr>
                <w:sz w:val="16"/>
                <w:szCs w:val="16"/>
              </w:rPr>
            </w:pPr>
            <w:r w:rsidRPr="00C258AD">
              <w:rPr>
                <w:sz w:val="16"/>
                <w:szCs w:val="16"/>
              </w:rPr>
              <w:t>Pourcentage d’actes d’adhésion et autres actes accomplis à l’égard de traités faisant l’objet d’un traitement dans les délais requis</w:t>
            </w:r>
          </w:p>
        </w:tc>
        <w:tc>
          <w:tcPr>
            <w:tcW w:w="1269" w:type="pct"/>
            <w:shd w:val="clear" w:color="auto" w:fill="auto"/>
            <w:tcMar>
              <w:top w:w="113" w:type="dxa"/>
              <w:bottom w:w="113" w:type="dxa"/>
            </w:tcMar>
          </w:tcPr>
          <w:p w:rsidR="006E2BB1" w:rsidRPr="00C258AD" w:rsidRDefault="00E63289" w:rsidP="001A4D6C">
            <w:pPr>
              <w:rPr>
                <w:rFonts w:eastAsiaTheme="minorHAnsi"/>
                <w:color w:val="002060"/>
                <w:sz w:val="16"/>
                <w:szCs w:val="16"/>
              </w:rPr>
            </w:pPr>
            <w:r w:rsidRPr="00C258AD">
              <w:rPr>
                <w:rFonts w:eastAsiaTheme="minorHAnsi"/>
                <w:i/>
                <w:color w:val="002060"/>
                <w:sz w:val="16"/>
                <w:szCs w:val="16"/>
              </w:rPr>
              <w:t>Niveau de référence actualisé à fin 2013</w:t>
            </w:r>
            <w:r w:rsidRPr="00C258AD">
              <w:rPr>
                <w:rFonts w:eastAsiaTheme="minorHAnsi"/>
                <w:color w:val="002060"/>
                <w:sz w:val="16"/>
                <w:szCs w:val="16"/>
              </w:rPr>
              <w:t> : 98%</w:t>
            </w:r>
            <w:r w:rsidRPr="00C258AD">
              <w:rPr>
                <w:rFonts w:eastAsiaTheme="minorHAnsi"/>
                <w:sz w:val="16"/>
                <w:szCs w:val="16"/>
              </w:rPr>
              <w:t xml:space="preserve"> des notifications d’adhésion et autres actes accomplis à l’égard de traités sont traités dans les trois jours</w:t>
            </w:r>
          </w:p>
          <w:p w:rsidR="006E2BB1" w:rsidRPr="00C258AD" w:rsidRDefault="006E2BB1" w:rsidP="001A4D6C">
            <w:pPr>
              <w:rPr>
                <w:i/>
                <w:sz w:val="16"/>
                <w:szCs w:val="16"/>
              </w:rPr>
            </w:pPr>
          </w:p>
          <w:p w:rsidR="00E63289" w:rsidRPr="00C258AD" w:rsidRDefault="00E63289" w:rsidP="001A4D6C">
            <w:pPr>
              <w:rPr>
                <w:sz w:val="16"/>
                <w:szCs w:val="16"/>
              </w:rPr>
            </w:pPr>
            <w:r w:rsidRPr="00C258AD">
              <w:rPr>
                <w:i/>
                <w:sz w:val="16"/>
                <w:szCs w:val="16"/>
              </w:rPr>
              <w:t>Niveau de référence initial dans le programme et budget 2014</w:t>
            </w:r>
            <w:r w:rsidRPr="00C258AD">
              <w:rPr>
                <w:i/>
                <w:sz w:val="16"/>
                <w:szCs w:val="16"/>
              </w:rPr>
              <w:noBreakHyphen/>
              <w:t>2015</w:t>
            </w:r>
            <w:r w:rsidRPr="00C258AD">
              <w:rPr>
                <w:sz w:val="16"/>
                <w:szCs w:val="16"/>
              </w:rPr>
              <w:t> : 95% d’actes traités dans les trois jours (fin 2012)</w:t>
            </w:r>
          </w:p>
        </w:tc>
        <w:tc>
          <w:tcPr>
            <w:tcW w:w="746" w:type="pct"/>
            <w:shd w:val="clear" w:color="auto" w:fill="auto"/>
            <w:tcMar>
              <w:top w:w="113" w:type="dxa"/>
              <w:bottom w:w="113" w:type="dxa"/>
            </w:tcMar>
          </w:tcPr>
          <w:p w:rsidR="00E63289" w:rsidRPr="00C258AD" w:rsidRDefault="00E63289" w:rsidP="001A4D6C">
            <w:pPr>
              <w:rPr>
                <w:sz w:val="16"/>
                <w:szCs w:val="16"/>
              </w:rPr>
            </w:pPr>
            <w:r w:rsidRPr="00C258AD">
              <w:rPr>
                <w:sz w:val="16"/>
                <w:szCs w:val="16"/>
              </w:rPr>
              <w:t>90% traités dans les trois jours</w:t>
            </w:r>
          </w:p>
        </w:tc>
        <w:tc>
          <w:tcPr>
            <w:tcW w:w="1269" w:type="pct"/>
            <w:shd w:val="clear" w:color="auto" w:fill="FFFFFF"/>
            <w:tcMar>
              <w:top w:w="113" w:type="dxa"/>
              <w:bottom w:w="113" w:type="dxa"/>
            </w:tcMar>
          </w:tcPr>
          <w:p w:rsidR="00E63289" w:rsidRPr="00C258AD" w:rsidRDefault="00E63289" w:rsidP="001A4D6C">
            <w:pPr>
              <w:rPr>
                <w:sz w:val="16"/>
                <w:szCs w:val="16"/>
              </w:rPr>
            </w:pPr>
            <w:r w:rsidRPr="00C258AD">
              <w:rPr>
                <w:rFonts w:eastAsiaTheme="minorHAnsi"/>
                <w:sz w:val="16"/>
                <w:szCs w:val="16"/>
              </w:rPr>
              <w:t>90% des notifications d’adhésion et autres actes accomplis à l’égard de traités sont traités dans les trois jours</w:t>
            </w:r>
          </w:p>
        </w:tc>
        <w:tc>
          <w:tcPr>
            <w:tcW w:w="522" w:type="pct"/>
            <w:shd w:val="clear" w:color="auto" w:fill="auto"/>
            <w:tcMar>
              <w:top w:w="113" w:type="dxa"/>
              <w:bottom w:w="113" w:type="dxa"/>
            </w:tcMar>
          </w:tcPr>
          <w:p w:rsidR="00E63289" w:rsidRPr="00C258AD" w:rsidRDefault="00E63289" w:rsidP="001A4D6C">
            <w:pPr>
              <w:keepNext/>
              <w:keepLines/>
              <w:jc w:val="center"/>
              <w:rPr>
                <w:b/>
                <w:sz w:val="16"/>
                <w:szCs w:val="16"/>
              </w:rPr>
            </w:pPr>
            <w:r w:rsidRPr="00C258AD">
              <w:rPr>
                <w:rFonts w:cs="Arial"/>
                <w:b/>
                <w:bCs/>
                <w:color w:val="00B050"/>
                <w:sz w:val="16"/>
                <w:szCs w:val="16"/>
              </w:rPr>
              <w:t>Objectif pleinement atteint</w:t>
            </w:r>
          </w:p>
        </w:tc>
      </w:tr>
      <w:tr w:rsidR="00E63289" w:rsidRPr="00C258AD" w:rsidTr="001A4D6C">
        <w:trPr>
          <w:cantSplit/>
        </w:trPr>
        <w:tc>
          <w:tcPr>
            <w:tcW w:w="1194" w:type="pct"/>
            <w:shd w:val="clear" w:color="auto" w:fill="auto"/>
            <w:tcMar>
              <w:top w:w="113" w:type="dxa"/>
              <w:bottom w:w="113" w:type="dxa"/>
            </w:tcMar>
          </w:tcPr>
          <w:p w:rsidR="00E63289" w:rsidRPr="00C258AD" w:rsidRDefault="00E63289" w:rsidP="001A4D6C">
            <w:pPr>
              <w:rPr>
                <w:sz w:val="16"/>
                <w:szCs w:val="16"/>
              </w:rPr>
            </w:pPr>
            <w:r w:rsidRPr="00C258AD">
              <w:rPr>
                <w:sz w:val="16"/>
                <w:szCs w:val="16"/>
              </w:rPr>
              <w:lastRenderedPageBreak/>
              <w:t>Niveaux de satisfaction des États membres quant à la préparation et au fonctionnement des assemblées</w:t>
            </w:r>
          </w:p>
        </w:tc>
        <w:tc>
          <w:tcPr>
            <w:tcW w:w="1269" w:type="pct"/>
            <w:shd w:val="clear" w:color="auto" w:fill="auto"/>
            <w:tcMar>
              <w:top w:w="113" w:type="dxa"/>
              <w:bottom w:w="113" w:type="dxa"/>
            </w:tcMar>
          </w:tcPr>
          <w:p w:rsidR="006E2BB1" w:rsidRPr="00C258AD" w:rsidRDefault="00E63289" w:rsidP="001A4D6C">
            <w:pPr>
              <w:rPr>
                <w:i/>
                <w:sz w:val="16"/>
                <w:szCs w:val="16"/>
              </w:rPr>
            </w:pPr>
            <w:r w:rsidRPr="00C258AD">
              <w:rPr>
                <w:i/>
                <w:color w:val="002060"/>
                <w:sz w:val="16"/>
                <w:szCs w:val="16"/>
              </w:rPr>
              <w:t>Niveau de référence actualisé à fin 2013</w:t>
            </w:r>
            <w:r w:rsidRPr="00C258AD">
              <w:rPr>
                <w:color w:val="002060"/>
                <w:sz w:val="16"/>
                <w:szCs w:val="16"/>
              </w:rPr>
              <w:t xml:space="preserve"> : </w:t>
            </w:r>
            <w:r w:rsidRPr="00C258AD">
              <w:rPr>
                <w:sz w:val="16"/>
                <w:szCs w:val="16"/>
              </w:rPr>
              <w:t>88% selon une enquête menée auprès des assemblées de l’OMPI en 2012 (l’enquête n’a pas pu être menée en 2013 en raison de circonstances exceptionnelles;  elle sera réintroduite en 2014).</w:t>
            </w:r>
          </w:p>
          <w:p w:rsidR="006E2BB1" w:rsidRPr="00C258AD" w:rsidRDefault="006E2BB1" w:rsidP="001A4D6C">
            <w:pPr>
              <w:rPr>
                <w:i/>
                <w:sz w:val="16"/>
                <w:szCs w:val="16"/>
              </w:rPr>
            </w:pPr>
          </w:p>
          <w:p w:rsidR="00E63289" w:rsidRPr="00C258AD" w:rsidRDefault="00E63289" w:rsidP="001A4D6C">
            <w:pPr>
              <w:rPr>
                <w:i/>
                <w:sz w:val="16"/>
                <w:szCs w:val="16"/>
              </w:rPr>
            </w:pPr>
            <w:r w:rsidRPr="00C258AD">
              <w:rPr>
                <w:i/>
                <w:sz w:val="16"/>
                <w:szCs w:val="16"/>
              </w:rPr>
              <w:t>Niveau de référence initial dans le programme et budget 2014</w:t>
            </w:r>
            <w:r w:rsidRPr="00C258AD">
              <w:rPr>
                <w:i/>
                <w:sz w:val="16"/>
                <w:szCs w:val="16"/>
              </w:rPr>
              <w:noBreakHyphen/>
              <w:t>2015</w:t>
            </w:r>
            <w:r w:rsidRPr="00C258AD">
              <w:rPr>
                <w:sz w:val="16"/>
                <w:szCs w:val="16"/>
              </w:rPr>
              <w:t> : 88% de satisfaction quant aux dispositions prises</w:t>
            </w:r>
          </w:p>
        </w:tc>
        <w:tc>
          <w:tcPr>
            <w:tcW w:w="746" w:type="pct"/>
            <w:shd w:val="clear" w:color="auto" w:fill="auto"/>
            <w:tcMar>
              <w:top w:w="113" w:type="dxa"/>
              <w:bottom w:w="113" w:type="dxa"/>
            </w:tcMar>
          </w:tcPr>
          <w:p w:rsidR="00E63289" w:rsidRPr="00C258AD" w:rsidRDefault="00E63289" w:rsidP="001A4D6C">
            <w:pPr>
              <w:rPr>
                <w:sz w:val="16"/>
                <w:szCs w:val="16"/>
              </w:rPr>
            </w:pPr>
            <w:r w:rsidRPr="00C258AD">
              <w:rPr>
                <w:sz w:val="16"/>
                <w:szCs w:val="16"/>
              </w:rPr>
              <w:t>85% de satisfaction quant aux dispositions prises</w:t>
            </w:r>
          </w:p>
        </w:tc>
        <w:tc>
          <w:tcPr>
            <w:tcW w:w="1269" w:type="pct"/>
            <w:shd w:val="clear" w:color="auto" w:fill="FFFFFF"/>
            <w:tcMar>
              <w:top w:w="113" w:type="dxa"/>
              <w:bottom w:w="113" w:type="dxa"/>
            </w:tcMar>
          </w:tcPr>
          <w:p w:rsidR="006E2BB1" w:rsidRPr="00C258AD" w:rsidRDefault="00E63289" w:rsidP="001A4D6C">
            <w:pPr>
              <w:rPr>
                <w:sz w:val="16"/>
                <w:szCs w:val="16"/>
              </w:rPr>
            </w:pPr>
            <w:r w:rsidRPr="00C258AD">
              <w:rPr>
                <w:sz w:val="16"/>
                <w:szCs w:val="16"/>
              </w:rPr>
              <w:t>87% (enquête menée sur les assemblées 2014 de l’OMPI</w:t>
            </w:r>
            <w:r w:rsidRPr="00C258AD">
              <w:rPr>
                <w:rStyle w:val="FootnoteReference"/>
                <w:rFonts w:eastAsia="SimSun"/>
                <w:sz w:val="16"/>
                <w:szCs w:val="16"/>
              </w:rPr>
              <w:footnoteReference w:id="123"/>
            </w:r>
            <w:r w:rsidRPr="00C258AD">
              <w:rPr>
                <w:sz w:val="16"/>
                <w:szCs w:val="16"/>
              </w:rPr>
              <w:t>)</w:t>
            </w:r>
          </w:p>
          <w:p w:rsidR="006E2BB1" w:rsidRPr="00C258AD" w:rsidRDefault="006E2BB1" w:rsidP="001A4D6C">
            <w:pPr>
              <w:rPr>
                <w:sz w:val="16"/>
                <w:szCs w:val="16"/>
              </w:rPr>
            </w:pPr>
          </w:p>
          <w:p w:rsidR="00E63289" w:rsidRPr="00C258AD" w:rsidRDefault="00E63289" w:rsidP="001A4D6C">
            <w:pPr>
              <w:rPr>
                <w:sz w:val="16"/>
                <w:szCs w:val="16"/>
              </w:rPr>
            </w:pPr>
            <w:r w:rsidRPr="00C258AD">
              <w:rPr>
                <w:sz w:val="16"/>
                <w:szCs w:val="16"/>
              </w:rPr>
              <w:t>90% (enquête menée sur les assemblées 2014 de l’OMPI)</w:t>
            </w:r>
          </w:p>
        </w:tc>
        <w:tc>
          <w:tcPr>
            <w:tcW w:w="522" w:type="pct"/>
            <w:shd w:val="clear" w:color="auto" w:fill="auto"/>
            <w:tcMar>
              <w:top w:w="113" w:type="dxa"/>
              <w:bottom w:w="113" w:type="dxa"/>
            </w:tcMar>
          </w:tcPr>
          <w:p w:rsidR="00E63289" w:rsidRPr="00C258AD" w:rsidRDefault="00E63289" w:rsidP="001A4D6C">
            <w:pPr>
              <w:keepNext/>
              <w:keepLines/>
              <w:jc w:val="center"/>
              <w:rPr>
                <w:b/>
                <w:sz w:val="16"/>
                <w:szCs w:val="16"/>
              </w:rPr>
            </w:pPr>
            <w:r w:rsidRPr="00C258AD">
              <w:rPr>
                <w:rFonts w:cs="Arial"/>
                <w:b/>
                <w:bCs/>
                <w:color w:val="00B050"/>
                <w:sz w:val="16"/>
                <w:szCs w:val="16"/>
              </w:rPr>
              <w:t>Objectif pleinement atteint</w:t>
            </w:r>
          </w:p>
        </w:tc>
      </w:tr>
      <w:tr w:rsidR="00E63289" w:rsidRPr="00C258AD" w:rsidTr="001A4D6C">
        <w:trPr>
          <w:cantSplit/>
        </w:trPr>
        <w:tc>
          <w:tcPr>
            <w:tcW w:w="1194" w:type="pct"/>
            <w:tcBorders>
              <w:bottom w:val="single" w:sz="4" w:space="0" w:color="auto"/>
            </w:tcBorders>
            <w:shd w:val="clear" w:color="auto" w:fill="auto"/>
            <w:tcMar>
              <w:top w:w="113" w:type="dxa"/>
              <w:bottom w:w="113" w:type="dxa"/>
            </w:tcMar>
          </w:tcPr>
          <w:p w:rsidR="00E63289" w:rsidRPr="00C258AD" w:rsidRDefault="00E63289" w:rsidP="001A4D6C">
            <w:pPr>
              <w:rPr>
                <w:sz w:val="16"/>
                <w:szCs w:val="16"/>
              </w:rPr>
            </w:pPr>
            <w:r w:rsidRPr="00C258AD">
              <w:rPr>
                <w:sz w:val="16"/>
                <w:szCs w:val="16"/>
              </w:rPr>
              <w:t>Délais de publication des documents des assemblées</w:t>
            </w:r>
          </w:p>
        </w:tc>
        <w:tc>
          <w:tcPr>
            <w:tcW w:w="1269" w:type="pct"/>
            <w:tcBorders>
              <w:bottom w:val="single" w:sz="4" w:space="0" w:color="auto"/>
            </w:tcBorders>
            <w:shd w:val="clear" w:color="auto" w:fill="auto"/>
            <w:tcMar>
              <w:top w:w="113" w:type="dxa"/>
              <w:bottom w:w="113" w:type="dxa"/>
            </w:tcMar>
          </w:tcPr>
          <w:p w:rsidR="006E2BB1" w:rsidRPr="00C258AD" w:rsidRDefault="00E63289" w:rsidP="001A4D6C">
            <w:pPr>
              <w:rPr>
                <w:sz w:val="16"/>
                <w:szCs w:val="16"/>
              </w:rPr>
            </w:pPr>
            <w:r w:rsidRPr="00C258AD">
              <w:rPr>
                <w:i/>
                <w:color w:val="002060"/>
                <w:sz w:val="16"/>
                <w:szCs w:val="16"/>
              </w:rPr>
              <w:t>Niveau de référence actualisé à fin 2013 :</w:t>
            </w:r>
            <w:r w:rsidRPr="00C258AD">
              <w:rPr>
                <w:sz w:val="16"/>
                <w:szCs w:val="16"/>
              </w:rPr>
              <w:t xml:space="preserve"> pour les assemblées ordinaires, 95% des documents ont été publiés au moins deux mois avant les assemblées.</w:t>
            </w:r>
          </w:p>
          <w:p w:rsidR="006E2BB1" w:rsidRPr="00C258AD" w:rsidRDefault="006E2BB1" w:rsidP="001A4D6C">
            <w:pPr>
              <w:rPr>
                <w:i/>
                <w:sz w:val="16"/>
                <w:szCs w:val="16"/>
              </w:rPr>
            </w:pPr>
          </w:p>
          <w:p w:rsidR="00E63289" w:rsidRPr="00C258AD" w:rsidRDefault="00E63289" w:rsidP="001A4D6C">
            <w:pPr>
              <w:rPr>
                <w:sz w:val="16"/>
                <w:szCs w:val="16"/>
              </w:rPr>
            </w:pPr>
            <w:r w:rsidRPr="00C258AD">
              <w:rPr>
                <w:i/>
                <w:sz w:val="16"/>
                <w:szCs w:val="16"/>
              </w:rPr>
              <w:t>Niveau de référence initial dans le programme et budget 2014</w:t>
            </w:r>
            <w:r w:rsidRPr="00C258AD">
              <w:rPr>
                <w:i/>
                <w:sz w:val="16"/>
                <w:szCs w:val="16"/>
              </w:rPr>
              <w:noBreakHyphen/>
              <w:t>2015</w:t>
            </w:r>
            <w:r w:rsidRPr="00C258AD">
              <w:rPr>
                <w:sz w:val="16"/>
                <w:szCs w:val="16"/>
              </w:rPr>
              <w:t> : 100% des documents publiés deux mois avant les assemblées</w:t>
            </w:r>
          </w:p>
        </w:tc>
        <w:tc>
          <w:tcPr>
            <w:tcW w:w="746" w:type="pct"/>
            <w:tcBorders>
              <w:bottom w:val="single" w:sz="4" w:space="0" w:color="auto"/>
            </w:tcBorders>
            <w:shd w:val="clear" w:color="auto" w:fill="auto"/>
            <w:tcMar>
              <w:top w:w="113" w:type="dxa"/>
              <w:bottom w:w="113" w:type="dxa"/>
            </w:tcMar>
          </w:tcPr>
          <w:p w:rsidR="00E63289" w:rsidRPr="00C258AD" w:rsidRDefault="00E63289" w:rsidP="001A4D6C">
            <w:pPr>
              <w:rPr>
                <w:sz w:val="16"/>
                <w:szCs w:val="16"/>
              </w:rPr>
            </w:pPr>
            <w:r w:rsidRPr="00C258AD">
              <w:rPr>
                <w:sz w:val="16"/>
                <w:szCs w:val="16"/>
              </w:rPr>
              <w:t>100% des documents publiés deux mois avant les assemblées</w:t>
            </w:r>
          </w:p>
        </w:tc>
        <w:tc>
          <w:tcPr>
            <w:tcW w:w="1269" w:type="pct"/>
            <w:tcBorders>
              <w:bottom w:val="single" w:sz="4" w:space="0" w:color="auto"/>
            </w:tcBorders>
            <w:shd w:val="clear" w:color="auto" w:fill="FFFFFF"/>
            <w:tcMar>
              <w:top w:w="113" w:type="dxa"/>
              <w:bottom w:w="113" w:type="dxa"/>
            </w:tcMar>
          </w:tcPr>
          <w:p w:rsidR="006E2BB1" w:rsidRPr="00C258AD" w:rsidRDefault="00E63289" w:rsidP="001A4D6C">
            <w:pPr>
              <w:rPr>
                <w:sz w:val="16"/>
                <w:szCs w:val="16"/>
              </w:rPr>
            </w:pPr>
            <w:r w:rsidRPr="00C258AD">
              <w:rPr>
                <w:sz w:val="16"/>
                <w:szCs w:val="16"/>
              </w:rPr>
              <w:t>En 2014</w:t>
            </w:r>
            <w:r w:rsidRPr="00C258AD">
              <w:rPr>
                <w:sz w:val="16"/>
                <w:szCs w:val="16"/>
              </w:rPr>
              <w:noBreakHyphen/>
              <w:t>2015, 97% des documents pertinents ont été publiés deux mois avant les assemblées :</w:t>
            </w:r>
          </w:p>
          <w:p w:rsidR="006E2BB1" w:rsidRPr="00C258AD" w:rsidRDefault="00E63289" w:rsidP="00BB4DBC">
            <w:pPr>
              <w:pStyle w:val="ListParagraph"/>
              <w:numPr>
                <w:ilvl w:val="0"/>
                <w:numId w:val="36"/>
              </w:numPr>
              <w:rPr>
                <w:sz w:val="16"/>
                <w:szCs w:val="16"/>
              </w:rPr>
            </w:pPr>
            <w:r w:rsidRPr="00C258AD">
              <w:rPr>
                <w:sz w:val="16"/>
                <w:szCs w:val="16"/>
              </w:rPr>
              <w:t>95% pour les assemblées de 2014</w:t>
            </w:r>
          </w:p>
          <w:p w:rsidR="00E63289" w:rsidRPr="00C258AD" w:rsidRDefault="00E63289" w:rsidP="00BB4DBC">
            <w:pPr>
              <w:pStyle w:val="ListParagraph"/>
              <w:numPr>
                <w:ilvl w:val="0"/>
                <w:numId w:val="36"/>
              </w:numPr>
              <w:rPr>
                <w:sz w:val="16"/>
                <w:szCs w:val="16"/>
              </w:rPr>
            </w:pPr>
            <w:r w:rsidRPr="00C258AD">
              <w:rPr>
                <w:sz w:val="16"/>
                <w:szCs w:val="16"/>
              </w:rPr>
              <w:t>99,5% pour les assemblées de 2015</w:t>
            </w:r>
          </w:p>
        </w:tc>
        <w:tc>
          <w:tcPr>
            <w:tcW w:w="522" w:type="pct"/>
            <w:tcBorders>
              <w:bottom w:val="single" w:sz="4" w:space="0" w:color="auto"/>
            </w:tcBorders>
            <w:shd w:val="clear" w:color="auto" w:fill="auto"/>
            <w:tcMar>
              <w:top w:w="113" w:type="dxa"/>
              <w:bottom w:w="113" w:type="dxa"/>
            </w:tcMar>
          </w:tcPr>
          <w:p w:rsidR="00E63289" w:rsidRPr="00C258AD" w:rsidRDefault="00E63289" w:rsidP="001A4D6C">
            <w:pPr>
              <w:keepNext/>
              <w:keepLines/>
              <w:jc w:val="center"/>
              <w:rPr>
                <w:b/>
                <w:sz w:val="16"/>
                <w:szCs w:val="16"/>
              </w:rPr>
            </w:pPr>
            <w:r w:rsidRPr="00C258AD">
              <w:rPr>
                <w:rFonts w:cs="Arial"/>
                <w:b/>
                <w:bCs/>
                <w:color w:val="00B050"/>
                <w:sz w:val="16"/>
                <w:szCs w:val="16"/>
              </w:rPr>
              <w:t>Objectif pleinement atteint</w:t>
            </w:r>
          </w:p>
        </w:tc>
      </w:tr>
      <w:tr w:rsidR="00E63289" w:rsidRPr="00C258AD" w:rsidTr="001A4D6C">
        <w:trPr>
          <w:cantSplit/>
        </w:trPr>
        <w:tc>
          <w:tcPr>
            <w:tcW w:w="5000" w:type="pct"/>
            <w:gridSpan w:val="5"/>
            <w:tcBorders>
              <w:top w:val="single" w:sz="4" w:space="0" w:color="auto"/>
              <w:bottom w:val="single" w:sz="4" w:space="0" w:color="auto"/>
            </w:tcBorders>
            <w:shd w:val="clear" w:color="auto" w:fill="C5D9F1"/>
            <w:tcMar>
              <w:top w:w="113" w:type="dxa"/>
              <w:bottom w:w="113" w:type="dxa"/>
            </w:tcMar>
            <w:vAlign w:val="center"/>
          </w:tcPr>
          <w:p w:rsidR="00E63289" w:rsidRPr="00C258AD" w:rsidRDefault="00E63289" w:rsidP="001A4D6C">
            <w:pPr>
              <w:keepNext/>
              <w:keepLines/>
              <w:tabs>
                <w:tab w:val="left" w:pos="2160"/>
              </w:tabs>
              <w:rPr>
                <w:b/>
                <w:bCs/>
                <w:sz w:val="16"/>
                <w:szCs w:val="16"/>
              </w:rPr>
            </w:pPr>
            <w:r w:rsidRPr="00C258AD">
              <w:rPr>
                <w:b/>
                <w:bCs/>
                <w:sz w:val="16"/>
                <w:szCs w:val="16"/>
              </w:rPr>
              <w:t xml:space="preserve">Résultat escompté : </w:t>
            </w:r>
            <w:r w:rsidRPr="00C258AD">
              <w:rPr>
                <w:bCs/>
                <w:sz w:val="16"/>
                <w:szCs w:val="16"/>
              </w:rPr>
              <w:t>VIII.5 L’OMPI collabore efficacement avec d’autres processus et instances de négociation de l’ONU et d’autres organisations intergouvernementales</w:t>
            </w:r>
          </w:p>
        </w:tc>
      </w:tr>
      <w:tr w:rsidR="00E63289" w:rsidRPr="00C258AD" w:rsidTr="001A4D6C">
        <w:trPr>
          <w:cantSplit/>
        </w:trPr>
        <w:tc>
          <w:tcPr>
            <w:tcW w:w="1194" w:type="pct"/>
            <w:tcBorders>
              <w:top w:val="single" w:sz="4" w:space="0" w:color="auto"/>
            </w:tcBorders>
            <w:shd w:val="clear" w:color="auto" w:fill="auto"/>
            <w:tcMar>
              <w:top w:w="113" w:type="dxa"/>
              <w:bottom w:w="113" w:type="dxa"/>
            </w:tcMar>
            <w:vAlign w:val="center"/>
          </w:tcPr>
          <w:p w:rsidR="00E63289" w:rsidRPr="00C258AD" w:rsidRDefault="00E63289" w:rsidP="001A4D6C">
            <w:pPr>
              <w:keepNext/>
              <w:keepLines/>
              <w:jc w:val="center"/>
              <w:rPr>
                <w:b/>
                <w:sz w:val="16"/>
                <w:szCs w:val="16"/>
              </w:rPr>
            </w:pPr>
            <w:r w:rsidRPr="00C258AD">
              <w:rPr>
                <w:b/>
                <w:sz w:val="16"/>
                <w:szCs w:val="16"/>
              </w:rPr>
              <w:t>Indicateurs d’exécution</w:t>
            </w:r>
          </w:p>
        </w:tc>
        <w:tc>
          <w:tcPr>
            <w:tcW w:w="1269" w:type="pct"/>
            <w:tcBorders>
              <w:top w:val="single" w:sz="4" w:space="0" w:color="auto"/>
            </w:tcBorders>
            <w:shd w:val="clear" w:color="auto" w:fill="auto"/>
            <w:tcMar>
              <w:top w:w="113" w:type="dxa"/>
              <w:bottom w:w="113" w:type="dxa"/>
            </w:tcMar>
            <w:vAlign w:val="center"/>
          </w:tcPr>
          <w:p w:rsidR="00E63289" w:rsidRPr="00C258AD" w:rsidRDefault="00E63289" w:rsidP="001A4D6C">
            <w:pPr>
              <w:keepNext/>
              <w:keepLines/>
              <w:jc w:val="center"/>
              <w:rPr>
                <w:b/>
                <w:bCs/>
                <w:sz w:val="16"/>
                <w:szCs w:val="16"/>
              </w:rPr>
            </w:pPr>
            <w:r w:rsidRPr="00C258AD">
              <w:rPr>
                <w:b/>
                <w:bCs/>
                <w:sz w:val="16"/>
                <w:szCs w:val="16"/>
              </w:rPr>
              <w:t>Niveaux de référence</w:t>
            </w:r>
          </w:p>
        </w:tc>
        <w:tc>
          <w:tcPr>
            <w:tcW w:w="746" w:type="pct"/>
            <w:tcBorders>
              <w:top w:val="single" w:sz="4" w:space="0" w:color="auto"/>
            </w:tcBorders>
            <w:shd w:val="clear" w:color="auto" w:fill="auto"/>
            <w:tcMar>
              <w:top w:w="113" w:type="dxa"/>
              <w:bottom w:w="113" w:type="dxa"/>
            </w:tcMar>
            <w:vAlign w:val="center"/>
          </w:tcPr>
          <w:p w:rsidR="00E63289" w:rsidRPr="00C258AD" w:rsidRDefault="00E63289" w:rsidP="001A4D6C">
            <w:pPr>
              <w:keepNext/>
              <w:keepLines/>
              <w:jc w:val="center"/>
              <w:rPr>
                <w:b/>
                <w:sz w:val="16"/>
                <w:szCs w:val="16"/>
              </w:rPr>
            </w:pPr>
            <w:r w:rsidRPr="00C258AD">
              <w:rPr>
                <w:b/>
                <w:sz w:val="16"/>
                <w:szCs w:val="16"/>
              </w:rPr>
              <w:t>Objectifs visés</w:t>
            </w:r>
          </w:p>
        </w:tc>
        <w:tc>
          <w:tcPr>
            <w:tcW w:w="1269" w:type="pct"/>
            <w:tcBorders>
              <w:top w:val="single" w:sz="4" w:space="0" w:color="auto"/>
            </w:tcBorders>
            <w:shd w:val="clear" w:color="auto" w:fill="FFFFFF"/>
            <w:tcMar>
              <w:top w:w="113" w:type="dxa"/>
              <w:bottom w:w="113" w:type="dxa"/>
            </w:tcMar>
            <w:vAlign w:val="center"/>
          </w:tcPr>
          <w:p w:rsidR="00E63289" w:rsidRPr="00C258AD" w:rsidRDefault="00E63289" w:rsidP="001A4D6C">
            <w:pPr>
              <w:keepNext/>
              <w:keepLines/>
              <w:jc w:val="center"/>
              <w:rPr>
                <w:b/>
                <w:sz w:val="16"/>
                <w:szCs w:val="16"/>
              </w:rPr>
            </w:pPr>
            <w:r w:rsidRPr="00C258AD">
              <w:rPr>
                <w:b/>
                <w:sz w:val="16"/>
                <w:szCs w:val="16"/>
              </w:rPr>
              <w:t>Données relatives à l’exécution</w:t>
            </w:r>
          </w:p>
        </w:tc>
        <w:tc>
          <w:tcPr>
            <w:tcW w:w="522" w:type="pct"/>
            <w:tcBorders>
              <w:top w:val="single" w:sz="4" w:space="0" w:color="auto"/>
            </w:tcBorders>
            <w:shd w:val="clear" w:color="auto" w:fill="auto"/>
            <w:tcMar>
              <w:top w:w="113" w:type="dxa"/>
              <w:bottom w:w="113" w:type="dxa"/>
            </w:tcMar>
            <w:vAlign w:val="center"/>
          </w:tcPr>
          <w:p w:rsidR="00E63289" w:rsidRPr="00C258AD" w:rsidRDefault="00E63289" w:rsidP="001A4D6C">
            <w:pPr>
              <w:keepNext/>
              <w:keepLines/>
              <w:jc w:val="center"/>
              <w:rPr>
                <w:b/>
                <w:bCs/>
                <w:sz w:val="16"/>
                <w:szCs w:val="16"/>
              </w:rPr>
            </w:pPr>
            <w:r w:rsidRPr="00C258AD">
              <w:rPr>
                <w:b/>
                <w:bCs/>
                <w:sz w:val="16"/>
                <w:szCs w:val="16"/>
              </w:rPr>
              <w:t>Code de couleurs</w:t>
            </w:r>
          </w:p>
        </w:tc>
      </w:tr>
      <w:tr w:rsidR="00E63289" w:rsidRPr="00C258AD" w:rsidTr="001A4D6C">
        <w:trPr>
          <w:cantSplit/>
        </w:trPr>
        <w:tc>
          <w:tcPr>
            <w:tcW w:w="1194" w:type="pct"/>
            <w:tcBorders>
              <w:bottom w:val="single" w:sz="4" w:space="0" w:color="auto"/>
            </w:tcBorders>
            <w:shd w:val="clear" w:color="auto" w:fill="auto"/>
            <w:tcMar>
              <w:top w:w="113" w:type="dxa"/>
              <w:bottom w:w="113" w:type="dxa"/>
            </w:tcMar>
          </w:tcPr>
          <w:p w:rsidR="00E63289" w:rsidRPr="00C258AD" w:rsidRDefault="00E63289" w:rsidP="001A4D6C">
            <w:pPr>
              <w:keepNext/>
              <w:keepLines/>
              <w:rPr>
                <w:sz w:val="16"/>
                <w:szCs w:val="16"/>
              </w:rPr>
            </w:pPr>
            <w:r w:rsidRPr="00C258AD">
              <w:rPr>
                <w:sz w:val="16"/>
                <w:szCs w:val="16"/>
              </w:rPr>
              <w:t>Nouvelles initiatives communes avec d’autres organismes des Nations Unies</w:t>
            </w:r>
          </w:p>
        </w:tc>
        <w:tc>
          <w:tcPr>
            <w:tcW w:w="1269" w:type="pct"/>
            <w:tcBorders>
              <w:bottom w:val="single" w:sz="4" w:space="0" w:color="auto"/>
            </w:tcBorders>
            <w:shd w:val="clear" w:color="auto" w:fill="auto"/>
            <w:tcMar>
              <w:top w:w="113" w:type="dxa"/>
              <w:bottom w:w="113" w:type="dxa"/>
            </w:tcMar>
          </w:tcPr>
          <w:p w:rsidR="006E2BB1" w:rsidRPr="00C258AD" w:rsidRDefault="00E63289" w:rsidP="001A4D6C">
            <w:pPr>
              <w:rPr>
                <w:rFonts w:eastAsiaTheme="minorHAnsi"/>
                <w:i/>
                <w:sz w:val="16"/>
                <w:szCs w:val="16"/>
              </w:rPr>
            </w:pPr>
            <w:r w:rsidRPr="00C258AD">
              <w:rPr>
                <w:rFonts w:eastAsiaTheme="minorHAnsi"/>
                <w:i/>
                <w:color w:val="002060"/>
                <w:sz w:val="16"/>
                <w:szCs w:val="16"/>
              </w:rPr>
              <w:t>Niveau de référence actualisé à fin 2013</w:t>
            </w:r>
            <w:r w:rsidRPr="00C258AD">
              <w:rPr>
                <w:rFonts w:eastAsiaTheme="minorHAnsi"/>
                <w:color w:val="002060"/>
                <w:sz w:val="16"/>
                <w:szCs w:val="16"/>
              </w:rPr>
              <w:t xml:space="preserve"> : </w:t>
            </w:r>
            <w:r w:rsidRPr="00C258AD">
              <w:rPr>
                <w:rFonts w:eastAsiaTheme="minorHAnsi"/>
                <w:sz w:val="16"/>
                <w:szCs w:val="16"/>
              </w:rPr>
              <w:t>deux nouvelles initiatives entreprises par le Directeur général (le Directeur général a présidé le Comité de haut niveau sur la gestion en 2012;  lancement par le Directeur général de l’Indice mondial de l’innovation à la session du Conseil économique et social à Genève en 2013).</w:t>
            </w:r>
          </w:p>
          <w:p w:rsidR="006E2BB1" w:rsidRPr="00C258AD" w:rsidRDefault="006E2BB1" w:rsidP="001A4D6C">
            <w:pPr>
              <w:rPr>
                <w:i/>
                <w:sz w:val="16"/>
                <w:szCs w:val="16"/>
              </w:rPr>
            </w:pPr>
          </w:p>
          <w:p w:rsidR="00E63289" w:rsidRPr="00C258AD" w:rsidRDefault="00E63289" w:rsidP="001A4D6C">
            <w:pPr>
              <w:keepNext/>
              <w:keepLines/>
              <w:rPr>
                <w:sz w:val="16"/>
                <w:szCs w:val="16"/>
              </w:rPr>
            </w:pPr>
            <w:r w:rsidRPr="00C258AD">
              <w:rPr>
                <w:i/>
                <w:sz w:val="16"/>
                <w:szCs w:val="16"/>
              </w:rPr>
              <w:t>Niveau de référence initial dans le programme et budget 2014</w:t>
            </w:r>
            <w:r w:rsidRPr="00C258AD">
              <w:rPr>
                <w:i/>
                <w:sz w:val="16"/>
                <w:szCs w:val="16"/>
              </w:rPr>
              <w:noBreakHyphen/>
              <w:t>2015</w:t>
            </w:r>
            <w:r w:rsidRPr="00C258AD">
              <w:rPr>
                <w:sz w:val="16"/>
                <w:szCs w:val="16"/>
              </w:rPr>
              <w:t> : deux</w:t>
            </w:r>
          </w:p>
        </w:tc>
        <w:tc>
          <w:tcPr>
            <w:tcW w:w="746" w:type="pct"/>
            <w:tcBorders>
              <w:bottom w:val="single" w:sz="4" w:space="0" w:color="auto"/>
            </w:tcBorders>
            <w:shd w:val="clear" w:color="auto" w:fill="auto"/>
            <w:tcMar>
              <w:top w:w="113" w:type="dxa"/>
              <w:bottom w:w="113" w:type="dxa"/>
            </w:tcMar>
          </w:tcPr>
          <w:p w:rsidR="00E63289" w:rsidRPr="00C258AD" w:rsidRDefault="00E63289" w:rsidP="001A4D6C">
            <w:pPr>
              <w:keepNext/>
              <w:keepLines/>
              <w:rPr>
                <w:sz w:val="16"/>
                <w:szCs w:val="16"/>
              </w:rPr>
            </w:pPr>
            <w:r w:rsidRPr="00C258AD">
              <w:rPr>
                <w:sz w:val="16"/>
                <w:szCs w:val="16"/>
              </w:rPr>
              <w:t>Deux</w:t>
            </w:r>
          </w:p>
        </w:tc>
        <w:tc>
          <w:tcPr>
            <w:tcW w:w="1269" w:type="pct"/>
            <w:tcBorders>
              <w:bottom w:val="single" w:sz="4" w:space="0" w:color="auto"/>
            </w:tcBorders>
            <w:shd w:val="clear" w:color="auto" w:fill="FFFFFF"/>
            <w:tcMar>
              <w:top w:w="113" w:type="dxa"/>
              <w:bottom w:w="113" w:type="dxa"/>
            </w:tcMar>
          </w:tcPr>
          <w:p w:rsidR="006E2BB1" w:rsidRPr="00C258AD" w:rsidRDefault="00E63289" w:rsidP="001A4D6C">
            <w:pPr>
              <w:keepNext/>
              <w:keepLines/>
              <w:rPr>
                <w:sz w:val="16"/>
                <w:szCs w:val="16"/>
              </w:rPr>
            </w:pPr>
            <w:r w:rsidRPr="00C258AD">
              <w:rPr>
                <w:sz w:val="16"/>
                <w:szCs w:val="16"/>
              </w:rPr>
              <w:t>Deux nouvelles initiatives entreprises par le Directeur général :</w:t>
            </w:r>
          </w:p>
          <w:p w:rsidR="006E2BB1" w:rsidRPr="00C258AD" w:rsidRDefault="00E63289" w:rsidP="00BB4DBC">
            <w:pPr>
              <w:pStyle w:val="ListParagraph"/>
              <w:numPr>
                <w:ilvl w:val="0"/>
                <w:numId w:val="36"/>
              </w:numPr>
              <w:rPr>
                <w:sz w:val="16"/>
                <w:szCs w:val="16"/>
              </w:rPr>
            </w:pPr>
            <w:r w:rsidRPr="00C258AD">
              <w:rPr>
                <w:sz w:val="16"/>
                <w:szCs w:val="16"/>
              </w:rPr>
              <w:t>demande de statut d’observateur auprès de l’Organisation internationale pour les migrations (OIM) en 2014;</w:t>
            </w:r>
          </w:p>
          <w:p w:rsidR="00E63289" w:rsidRPr="00C258AD" w:rsidRDefault="00E63289" w:rsidP="00BB4DBC">
            <w:pPr>
              <w:pStyle w:val="ListParagraph"/>
              <w:numPr>
                <w:ilvl w:val="0"/>
                <w:numId w:val="36"/>
              </w:numPr>
              <w:rPr>
                <w:sz w:val="16"/>
                <w:szCs w:val="16"/>
              </w:rPr>
            </w:pPr>
            <w:r w:rsidRPr="00C258AD">
              <w:rPr>
                <w:sz w:val="16"/>
                <w:szCs w:val="16"/>
              </w:rPr>
              <w:t xml:space="preserve">depuis 2015, membre du groupe de travail </w:t>
            </w:r>
            <w:proofErr w:type="spellStart"/>
            <w:r w:rsidRPr="00C258AD">
              <w:rPr>
                <w:sz w:val="16"/>
                <w:szCs w:val="16"/>
              </w:rPr>
              <w:t>interinstitutions</w:t>
            </w:r>
            <w:proofErr w:type="spellEnd"/>
            <w:r w:rsidRPr="00C258AD">
              <w:rPr>
                <w:sz w:val="16"/>
                <w:szCs w:val="16"/>
              </w:rPr>
              <w:t xml:space="preserve"> des Nations Unies sur le mécanisme de facilitation des technologies (IAWG) (établi par le Programme d’action d’Addis</w:t>
            </w:r>
            <w:r w:rsidRPr="00C258AD">
              <w:rPr>
                <w:sz w:val="16"/>
                <w:szCs w:val="16"/>
              </w:rPr>
              <w:noBreakHyphen/>
              <w:t>Abeba)</w:t>
            </w:r>
          </w:p>
        </w:tc>
        <w:tc>
          <w:tcPr>
            <w:tcW w:w="522" w:type="pct"/>
            <w:tcBorders>
              <w:bottom w:val="single" w:sz="4" w:space="0" w:color="auto"/>
            </w:tcBorders>
            <w:shd w:val="clear" w:color="auto" w:fill="auto"/>
            <w:tcMar>
              <w:top w:w="113" w:type="dxa"/>
              <w:bottom w:w="113" w:type="dxa"/>
            </w:tcMar>
          </w:tcPr>
          <w:p w:rsidR="00E63289" w:rsidRPr="00C258AD" w:rsidRDefault="00E63289" w:rsidP="001A4D6C">
            <w:pPr>
              <w:keepNext/>
              <w:keepLines/>
              <w:jc w:val="center"/>
              <w:rPr>
                <w:b/>
                <w:bCs/>
                <w:sz w:val="16"/>
                <w:szCs w:val="16"/>
              </w:rPr>
            </w:pPr>
            <w:r w:rsidRPr="00C258AD">
              <w:rPr>
                <w:rFonts w:cs="Arial"/>
                <w:b/>
                <w:bCs/>
                <w:color w:val="00B050"/>
                <w:sz w:val="16"/>
                <w:szCs w:val="16"/>
              </w:rPr>
              <w:t>Objectif pleinement atteint</w:t>
            </w:r>
          </w:p>
        </w:tc>
      </w:tr>
      <w:tr w:rsidR="00E63289" w:rsidRPr="00C258AD" w:rsidTr="001A4D6C">
        <w:trPr>
          <w:cantSplit/>
        </w:trPr>
        <w:tc>
          <w:tcPr>
            <w:tcW w:w="5000" w:type="pct"/>
            <w:gridSpan w:val="5"/>
            <w:tcBorders>
              <w:top w:val="single" w:sz="4" w:space="0" w:color="auto"/>
              <w:bottom w:val="single" w:sz="4" w:space="0" w:color="auto"/>
            </w:tcBorders>
            <w:shd w:val="clear" w:color="auto" w:fill="C5D9F1"/>
            <w:tcMar>
              <w:top w:w="113" w:type="dxa"/>
              <w:bottom w:w="113" w:type="dxa"/>
            </w:tcMar>
            <w:vAlign w:val="center"/>
          </w:tcPr>
          <w:p w:rsidR="00E63289" w:rsidRPr="00C258AD" w:rsidRDefault="00E63289" w:rsidP="001A4D6C">
            <w:pPr>
              <w:keepNext/>
              <w:keepLines/>
              <w:tabs>
                <w:tab w:val="left" w:pos="2160"/>
              </w:tabs>
              <w:rPr>
                <w:b/>
                <w:bCs/>
                <w:sz w:val="16"/>
                <w:szCs w:val="16"/>
              </w:rPr>
            </w:pPr>
            <w:r w:rsidRPr="00C258AD">
              <w:rPr>
                <w:b/>
                <w:bCs/>
                <w:sz w:val="16"/>
                <w:szCs w:val="16"/>
              </w:rPr>
              <w:t xml:space="preserve">Résultat escompté : </w:t>
            </w:r>
            <w:r w:rsidRPr="00C258AD">
              <w:rPr>
                <w:bCs/>
                <w:sz w:val="16"/>
                <w:szCs w:val="16"/>
              </w:rPr>
              <w:t>IX.2 Un Secrétariat réactif, fonctionnant harmonieusement et doté de ressources humaines bien gérées et compétentes, à même d’obtenir des résultats concrets</w:t>
            </w:r>
          </w:p>
        </w:tc>
      </w:tr>
      <w:tr w:rsidR="00E63289" w:rsidRPr="00C258AD" w:rsidTr="001A4D6C">
        <w:trPr>
          <w:cantSplit/>
        </w:trPr>
        <w:tc>
          <w:tcPr>
            <w:tcW w:w="1194" w:type="pct"/>
            <w:tcBorders>
              <w:top w:val="single" w:sz="4" w:space="0" w:color="auto"/>
            </w:tcBorders>
            <w:shd w:val="clear" w:color="auto" w:fill="auto"/>
            <w:tcMar>
              <w:top w:w="113" w:type="dxa"/>
              <w:bottom w:w="113" w:type="dxa"/>
            </w:tcMar>
            <w:vAlign w:val="center"/>
          </w:tcPr>
          <w:p w:rsidR="00E63289" w:rsidRPr="00C258AD" w:rsidRDefault="00E63289" w:rsidP="001A4D6C">
            <w:pPr>
              <w:keepNext/>
              <w:keepLines/>
              <w:jc w:val="center"/>
              <w:rPr>
                <w:b/>
                <w:sz w:val="16"/>
                <w:szCs w:val="16"/>
              </w:rPr>
            </w:pPr>
            <w:r w:rsidRPr="00C258AD">
              <w:rPr>
                <w:b/>
                <w:sz w:val="16"/>
                <w:szCs w:val="16"/>
              </w:rPr>
              <w:t>Indicateurs d’exécution</w:t>
            </w:r>
          </w:p>
        </w:tc>
        <w:tc>
          <w:tcPr>
            <w:tcW w:w="1269" w:type="pct"/>
            <w:tcBorders>
              <w:top w:val="single" w:sz="4" w:space="0" w:color="auto"/>
            </w:tcBorders>
            <w:shd w:val="clear" w:color="auto" w:fill="auto"/>
            <w:tcMar>
              <w:top w:w="113" w:type="dxa"/>
              <w:bottom w:w="113" w:type="dxa"/>
            </w:tcMar>
            <w:vAlign w:val="center"/>
          </w:tcPr>
          <w:p w:rsidR="00E63289" w:rsidRPr="00C258AD" w:rsidRDefault="00E63289" w:rsidP="001A4D6C">
            <w:pPr>
              <w:keepNext/>
              <w:keepLines/>
              <w:jc w:val="center"/>
              <w:rPr>
                <w:b/>
                <w:bCs/>
                <w:sz w:val="16"/>
                <w:szCs w:val="16"/>
              </w:rPr>
            </w:pPr>
            <w:r w:rsidRPr="00C258AD">
              <w:rPr>
                <w:b/>
                <w:bCs/>
                <w:sz w:val="16"/>
                <w:szCs w:val="16"/>
              </w:rPr>
              <w:t>Niveaux de référence</w:t>
            </w:r>
          </w:p>
        </w:tc>
        <w:tc>
          <w:tcPr>
            <w:tcW w:w="746" w:type="pct"/>
            <w:tcBorders>
              <w:top w:val="single" w:sz="4" w:space="0" w:color="auto"/>
            </w:tcBorders>
            <w:shd w:val="clear" w:color="auto" w:fill="auto"/>
            <w:tcMar>
              <w:top w:w="113" w:type="dxa"/>
              <w:bottom w:w="113" w:type="dxa"/>
            </w:tcMar>
            <w:vAlign w:val="center"/>
          </w:tcPr>
          <w:p w:rsidR="00E63289" w:rsidRPr="00C258AD" w:rsidRDefault="00E63289" w:rsidP="001A4D6C">
            <w:pPr>
              <w:keepNext/>
              <w:keepLines/>
              <w:jc w:val="center"/>
              <w:rPr>
                <w:b/>
                <w:sz w:val="16"/>
                <w:szCs w:val="16"/>
              </w:rPr>
            </w:pPr>
            <w:r w:rsidRPr="00C258AD">
              <w:rPr>
                <w:b/>
                <w:sz w:val="16"/>
                <w:szCs w:val="16"/>
              </w:rPr>
              <w:t>Objectifs visés</w:t>
            </w:r>
          </w:p>
        </w:tc>
        <w:tc>
          <w:tcPr>
            <w:tcW w:w="1269" w:type="pct"/>
            <w:tcBorders>
              <w:top w:val="single" w:sz="4" w:space="0" w:color="auto"/>
            </w:tcBorders>
            <w:shd w:val="clear" w:color="auto" w:fill="FFFFFF"/>
            <w:tcMar>
              <w:top w:w="113" w:type="dxa"/>
              <w:bottom w:w="113" w:type="dxa"/>
            </w:tcMar>
            <w:vAlign w:val="center"/>
          </w:tcPr>
          <w:p w:rsidR="00E63289" w:rsidRPr="00C258AD" w:rsidRDefault="00E63289" w:rsidP="001A4D6C">
            <w:pPr>
              <w:keepNext/>
              <w:keepLines/>
              <w:jc w:val="center"/>
              <w:rPr>
                <w:b/>
                <w:sz w:val="16"/>
                <w:szCs w:val="16"/>
              </w:rPr>
            </w:pPr>
            <w:r w:rsidRPr="00C258AD">
              <w:rPr>
                <w:b/>
                <w:sz w:val="16"/>
                <w:szCs w:val="16"/>
              </w:rPr>
              <w:t>Données relatives à l’exécution</w:t>
            </w:r>
          </w:p>
        </w:tc>
        <w:tc>
          <w:tcPr>
            <w:tcW w:w="522" w:type="pct"/>
            <w:tcBorders>
              <w:top w:val="single" w:sz="4" w:space="0" w:color="auto"/>
            </w:tcBorders>
            <w:shd w:val="clear" w:color="auto" w:fill="auto"/>
            <w:tcMar>
              <w:top w:w="113" w:type="dxa"/>
              <w:bottom w:w="113" w:type="dxa"/>
            </w:tcMar>
            <w:vAlign w:val="center"/>
          </w:tcPr>
          <w:p w:rsidR="00E63289" w:rsidRPr="00C258AD" w:rsidRDefault="00E63289" w:rsidP="001A4D6C">
            <w:pPr>
              <w:keepNext/>
              <w:keepLines/>
              <w:jc w:val="center"/>
              <w:rPr>
                <w:b/>
                <w:bCs/>
                <w:sz w:val="16"/>
                <w:szCs w:val="16"/>
              </w:rPr>
            </w:pPr>
            <w:r w:rsidRPr="00C258AD">
              <w:rPr>
                <w:b/>
                <w:bCs/>
                <w:sz w:val="16"/>
                <w:szCs w:val="16"/>
              </w:rPr>
              <w:t>Code de couleurs</w:t>
            </w:r>
          </w:p>
        </w:tc>
      </w:tr>
      <w:tr w:rsidR="00E63289" w:rsidRPr="00C258AD" w:rsidTr="001A4D6C">
        <w:trPr>
          <w:cantSplit/>
        </w:trPr>
        <w:tc>
          <w:tcPr>
            <w:tcW w:w="1194" w:type="pct"/>
            <w:tcBorders>
              <w:bottom w:val="single" w:sz="4" w:space="0" w:color="auto"/>
            </w:tcBorders>
            <w:shd w:val="clear" w:color="auto" w:fill="auto"/>
            <w:tcMar>
              <w:top w:w="113" w:type="dxa"/>
              <w:bottom w:w="113" w:type="dxa"/>
            </w:tcMar>
          </w:tcPr>
          <w:p w:rsidR="00E63289" w:rsidRPr="00C258AD" w:rsidRDefault="00E63289" w:rsidP="001A4D6C">
            <w:pPr>
              <w:rPr>
                <w:sz w:val="16"/>
                <w:szCs w:val="16"/>
              </w:rPr>
            </w:pPr>
            <w:r w:rsidRPr="00C258AD">
              <w:rPr>
                <w:sz w:val="16"/>
                <w:szCs w:val="16"/>
              </w:rPr>
              <w:t>Pourcentage de demandes d’avis juridique qui reçoivent des réponses rapides, indépendantes et fiables du Bureau du conseiller juridique</w:t>
            </w:r>
          </w:p>
        </w:tc>
        <w:tc>
          <w:tcPr>
            <w:tcW w:w="1269" w:type="pct"/>
            <w:tcBorders>
              <w:bottom w:val="single" w:sz="4" w:space="0" w:color="auto"/>
            </w:tcBorders>
            <w:shd w:val="clear" w:color="auto" w:fill="auto"/>
            <w:tcMar>
              <w:top w:w="113" w:type="dxa"/>
              <w:bottom w:w="113" w:type="dxa"/>
            </w:tcMar>
          </w:tcPr>
          <w:p w:rsidR="006E2BB1" w:rsidRPr="00C258AD" w:rsidRDefault="00E63289" w:rsidP="001A4D6C">
            <w:pPr>
              <w:rPr>
                <w:rFonts w:eastAsiaTheme="minorHAnsi"/>
                <w:i/>
                <w:color w:val="002060"/>
                <w:sz w:val="16"/>
                <w:szCs w:val="16"/>
              </w:rPr>
            </w:pPr>
            <w:r w:rsidRPr="00C258AD">
              <w:rPr>
                <w:rFonts w:eastAsiaTheme="minorHAnsi"/>
                <w:i/>
                <w:color w:val="002060"/>
                <w:sz w:val="16"/>
                <w:szCs w:val="16"/>
              </w:rPr>
              <w:t>Niveau de référence actualisé à fin 2013</w:t>
            </w:r>
            <w:r w:rsidRPr="00C258AD">
              <w:rPr>
                <w:rFonts w:eastAsiaTheme="minorHAnsi"/>
                <w:color w:val="002060"/>
                <w:sz w:val="16"/>
                <w:szCs w:val="16"/>
              </w:rPr>
              <w:t> : malgré une augmentation du nombre de demandes d’avis ainsi que des domaines couverts, 98% des demandes ont reçu des réponses rapides et fiables du Bureau du conseiller juridique.</w:t>
            </w:r>
          </w:p>
          <w:p w:rsidR="006E2BB1" w:rsidRPr="00C258AD" w:rsidRDefault="006E2BB1" w:rsidP="001A4D6C">
            <w:pPr>
              <w:rPr>
                <w:i/>
                <w:sz w:val="16"/>
                <w:szCs w:val="16"/>
              </w:rPr>
            </w:pPr>
          </w:p>
          <w:p w:rsidR="00E63289" w:rsidRPr="00C258AD" w:rsidRDefault="00E63289" w:rsidP="001A4D6C">
            <w:pPr>
              <w:rPr>
                <w:sz w:val="16"/>
                <w:szCs w:val="16"/>
              </w:rPr>
            </w:pPr>
            <w:r w:rsidRPr="00C258AD">
              <w:rPr>
                <w:i/>
                <w:sz w:val="16"/>
                <w:szCs w:val="16"/>
              </w:rPr>
              <w:t>Niveau de référence initial dans le programme et budget 2014</w:t>
            </w:r>
            <w:r w:rsidRPr="00C258AD">
              <w:rPr>
                <w:i/>
                <w:sz w:val="16"/>
                <w:szCs w:val="16"/>
              </w:rPr>
              <w:noBreakHyphen/>
              <w:t>2015</w:t>
            </w:r>
            <w:r w:rsidRPr="00C258AD">
              <w:rPr>
                <w:sz w:val="16"/>
                <w:szCs w:val="16"/>
              </w:rPr>
              <w:t> : 100%</w:t>
            </w:r>
          </w:p>
        </w:tc>
        <w:tc>
          <w:tcPr>
            <w:tcW w:w="746" w:type="pct"/>
            <w:tcBorders>
              <w:bottom w:val="single" w:sz="4" w:space="0" w:color="auto"/>
            </w:tcBorders>
            <w:shd w:val="clear" w:color="auto" w:fill="auto"/>
            <w:tcMar>
              <w:top w:w="113" w:type="dxa"/>
              <w:bottom w:w="113" w:type="dxa"/>
            </w:tcMar>
          </w:tcPr>
          <w:p w:rsidR="00E63289" w:rsidRPr="00C258AD" w:rsidRDefault="00E63289" w:rsidP="001A4D6C">
            <w:pPr>
              <w:rPr>
                <w:sz w:val="16"/>
                <w:szCs w:val="16"/>
              </w:rPr>
            </w:pPr>
            <w:r w:rsidRPr="00C258AD">
              <w:rPr>
                <w:sz w:val="16"/>
                <w:szCs w:val="16"/>
              </w:rPr>
              <w:t>90%</w:t>
            </w:r>
          </w:p>
        </w:tc>
        <w:tc>
          <w:tcPr>
            <w:tcW w:w="1269" w:type="pct"/>
            <w:tcBorders>
              <w:bottom w:val="single" w:sz="4" w:space="0" w:color="auto"/>
            </w:tcBorders>
            <w:shd w:val="clear" w:color="auto" w:fill="FFFFFF"/>
            <w:tcMar>
              <w:top w:w="113" w:type="dxa"/>
              <w:bottom w:w="113" w:type="dxa"/>
            </w:tcMar>
          </w:tcPr>
          <w:p w:rsidR="00E63289" w:rsidRPr="00C258AD" w:rsidRDefault="00E63289" w:rsidP="001A4D6C">
            <w:pPr>
              <w:rPr>
                <w:sz w:val="16"/>
                <w:szCs w:val="16"/>
              </w:rPr>
            </w:pPr>
            <w:r w:rsidRPr="00C258AD">
              <w:rPr>
                <w:sz w:val="16"/>
                <w:szCs w:val="16"/>
              </w:rPr>
              <w:t>Dans le contexte d’une demande soutenue et croissante de ses services, le Bureau du conseiller juridique a continué de fournir des réponses rapides, indépendantes et fiables à 95% des demandes d’avis reçues en 2014</w:t>
            </w:r>
            <w:r w:rsidRPr="00C258AD">
              <w:rPr>
                <w:sz w:val="16"/>
                <w:szCs w:val="16"/>
              </w:rPr>
              <w:noBreakHyphen/>
              <w:t>2015.</w:t>
            </w:r>
          </w:p>
        </w:tc>
        <w:tc>
          <w:tcPr>
            <w:tcW w:w="522" w:type="pct"/>
            <w:tcBorders>
              <w:bottom w:val="single" w:sz="4" w:space="0" w:color="auto"/>
            </w:tcBorders>
            <w:shd w:val="clear" w:color="auto" w:fill="auto"/>
            <w:tcMar>
              <w:top w:w="113" w:type="dxa"/>
              <w:bottom w:w="113" w:type="dxa"/>
            </w:tcMar>
          </w:tcPr>
          <w:p w:rsidR="00E63289" w:rsidRPr="00C258AD" w:rsidRDefault="00E63289" w:rsidP="001A4D6C">
            <w:pPr>
              <w:keepNext/>
              <w:keepLines/>
              <w:jc w:val="center"/>
              <w:rPr>
                <w:b/>
                <w:sz w:val="16"/>
                <w:szCs w:val="16"/>
              </w:rPr>
            </w:pPr>
            <w:r w:rsidRPr="00C258AD">
              <w:rPr>
                <w:rFonts w:cs="Arial"/>
                <w:b/>
                <w:bCs/>
                <w:color w:val="00B050"/>
                <w:sz w:val="16"/>
                <w:szCs w:val="16"/>
              </w:rPr>
              <w:t>Objectif pleinement atteint</w:t>
            </w:r>
          </w:p>
        </w:tc>
      </w:tr>
      <w:tr w:rsidR="00E63289" w:rsidRPr="00C258AD" w:rsidTr="001A4D6C">
        <w:trPr>
          <w:cantSplit/>
        </w:trPr>
        <w:tc>
          <w:tcPr>
            <w:tcW w:w="5000" w:type="pct"/>
            <w:gridSpan w:val="5"/>
            <w:tcBorders>
              <w:top w:val="single" w:sz="4" w:space="0" w:color="auto"/>
              <w:bottom w:val="single" w:sz="4" w:space="0" w:color="auto"/>
            </w:tcBorders>
            <w:shd w:val="clear" w:color="auto" w:fill="C5D9F1"/>
            <w:tcMar>
              <w:top w:w="113" w:type="dxa"/>
              <w:bottom w:w="113" w:type="dxa"/>
            </w:tcMar>
            <w:vAlign w:val="center"/>
          </w:tcPr>
          <w:p w:rsidR="00E63289" w:rsidRPr="00C258AD" w:rsidRDefault="00E63289" w:rsidP="001A4D6C">
            <w:pPr>
              <w:keepNext/>
              <w:keepLines/>
              <w:tabs>
                <w:tab w:val="left" w:pos="2160"/>
              </w:tabs>
              <w:rPr>
                <w:b/>
                <w:bCs/>
                <w:sz w:val="16"/>
                <w:szCs w:val="16"/>
              </w:rPr>
            </w:pPr>
            <w:r w:rsidRPr="00C258AD">
              <w:rPr>
                <w:b/>
                <w:bCs/>
                <w:sz w:val="16"/>
                <w:szCs w:val="16"/>
              </w:rPr>
              <w:lastRenderedPageBreak/>
              <w:t xml:space="preserve">Résultat escompté : </w:t>
            </w:r>
            <w:r w:rsidRPr="00C258AD">
              <w:rPr>
                <w:bCs/>
                <w:sz w:val="16"/>
                <w:szCs w:val="16"/>
              </w:rPr>
              <w:t>IX.3 Un environnement de travail stimulant étayé par un cadre réglementaire efficace et des voies appropriées pour répondre aux préoccupations du personnel</w:t>
            </w:r>
          </w:p>
        </w:tc>
      </w:tr>
      <w:tr w:rsidR="00E63289" w:rsidRPr="00C258AD" w:rsidTr="001A4D6C">
        <w:trPr>
          <w:cantSplit/>
        </w:trPr>
        <w:tc>
          <w:tcPr>
            <w:tcW w:w="1194" w:type="pct"/>
            <w:tcBorders>
              <w:top w:val="single" w:sz="4" w:space="0" w:color="auto"/>
            </w:tcBorders>
            <w:shd w:val="clear" w:color="auto" w:fill="auto"/>
            <w:tcMar>
              <w:top w:w="113" w:type="dxa"/>
              <w:bottom w:w="113" w:type="dxa"/>
            </w:tcMar>
            <w:vAlign w:val="center"/>
          </w:tcPr>
          <w:p w:rsidR="00E63289" w:rsidRPr="00C258AD" w:rsidRDefault="00E63289" w:rsidP="001A4D6C">
            <w:pPr>
              <w:keepNext/>
              <w:keepLines/>
              <w:jc w:val="center"/>
              <w:rPr>
                <w:b/>
                <w:sz w:val="16"/>
                <w:szCs w:val="16"/>
              </w:rPr>
            </w:pPr>
            <w:r w:rsidRPr="00C258AD">
              <w:rPr>
                <w:b/>
                <w:sz w:val="16"/>
                <w:szCs w:val="16"/>
              </w:rPr>
              <w:t>Indicateurs d’exécution</w:t>
            </w:r>
          </w:p>
        </w:tc>
        <w:tc>
          <w:tcPr>
            <w:tcW w:w="1269" w:type="pct"/>
            <w:tcBorders>
              <w:top w:val="single" w:sz="4" w:space="0" w:color="auto"/>
            </w:tcBorders>
            <w:shd w:val="clear" w:color="auto" w:fill="auto"/>
            <w:tcMar>
              <w:top w:w="113" w:type="dxa"/>
              <w:bottom w:w="113" w:type="dxa"/>
            </w:tcMar>
            <w:vAlign w:val="center"/>
          </w:tcPr>
          <w:p w:rsidR="00E63289" w:rsidRPr="00C258AD" w:rsidRDefault="00E63289" w:rsidP="001A4D6C">
            <w:pPr>
              <w:keepNext/>
              <w:keepLines/>
              <w:jc w:val="center"/>
              <w:rPr>
                <w:b/>
                <w:bCs/>
                <w:sz w:val="16"/>
                <w:szCs w:val="16"/>
              </w:rPr>
            </w:pPr>
            <w:r w:rsidRPr="00C258AD">
              <w:rPr>
                <w:b/>
                <w:bCs/>
                <w:sz w:val="16"/>
                <w:szCs w:val="16"/>
              </w:rPr>
              <w:t>Niveaux de référence</w:t>
            </w:r>
          </w:p>
        </w:tc>
        <w:tc>
          <w:tcPr>
            <w:tcW w:w="746" w:type="pct"/>
            <w:tcBorders>
              <w:top w:val="single" w:sz="4" w:space="0" w:color="auto"/>
            </w:tcBorders>
            <w:shd w:val="clear" w:color="auto" w:fill="auto"/>
            <w:tcMar>
              <w:top w:w="113" w:type="dxa"/>
              <w:bottom w:w="113" w:type="dxa"/>
            </w:tcMar>
            <w:vAlign w:val="center"/>
          </w:tcPr>
          <w:p w:rsidR="00E63289" w:rsidRPr="00C258AD" w:rsidRDefault="00E63289" w:rsidP="001A4D6C">
            <w:pPr>
              <w:keepNext/>
              <w:keepLines/>
              <w:jc w:val="center"/>
              <w:rPr>
                <w:b/>
                <w:sz w:val="16"/>
                <w:szCs w:val="16"/>
              </w:rPr>
            </w:pPr>
            <w:r w:rsidRPr="00C258AD">
              <w:rPr>
                <w:b/>
                <w:sz w:val="16"/>
                <w:szCs w:val="16"/>
              </w:rPr>
              <w:t>Objectifs visés</w:t>
            </w:r>
          </w:p>
        </w:tc>
        <w:tc>
          <w:tcPr>
            <w:tcW w:w="1269" w:type="pct"/>
            <w:tcBorders>
              <w:top w:val="single" w:sz="4" w:space="0" w:color="auto"/>
            </w:tcBorders>
            <w:shd w:val="clear" w:color="auto" w:fill="FFFFFF"/>
            <w:tcMar>
              <w:top w:w="113" w:type="dxa"/>
              <w:bottom w:w="113" w:type="dxa"/>
            </w:tcMar>
            <w:vAlign w:val="center"/>
          </w:tcPr>
          <w:p w:rsidR="00E63289" w:rsidRPr="00C258AD" w:rsidRDefault="00E63289" w:rsidP="001A4D6C">
            <w:pPr>
              <w:keepNext/>
              <w:keepLines/>
              <w:jc w:val="center"/>
              <w:rPr>
                <w:b/>
                <w:sz w:val="16"/>
                <w:szCs w:val="16"/>
              </w:rPr>
            </w:pPr>
            <w:r w:rsidRPr="00C258AD">
              <w:rPr>
                <w:b/>
                <w:sz w:val="16"/>
                <w:szCs w:val="16"/>
              </w:rPr>
              <w:t>Données relatives à l’exécution</w:t>
            </w:r>
          </w:p>
        </w:tc>
        <w:tc>
          <w:tcPr>
            <w:tcW w:w="522" w:type="pct"/>
            <w:tcBorders>
              <w:top w:val="single" w:sz="4" w:space="0" w:color="auto"/>
            </w:tcBorders>
            <w:shd w:val="clear" w:color="auto" w:fill="auto"/>
            <w:tcMar>
              <w:top w:w="113" w:type="dxa"/>
              <w:bottom w:w="113" w:type="dxa"/>
            </w:tcMar>
            <w:vAlign w:val="center"/>
          </w:tcPr>
          <w:p w:rsidR="00E63289" w:rsidRPr="00C258AD" w:rsidRDefault="00E63289" w:rsidP="001A4D6C">
            <w:pPr>
              <w:keepNext/>
              <w:keepLines/>
              <w:jc w:val="center"/>
              <w:rPr>
                <w:b/>
                <w:bCs/>
                <w:sz w:val="16"/>
                <w:szCs w:val="16"/>
              </w:rPr>
            </w:pPr>
            <w:r w:rsidRPr="00C258AD">
              <w:rPr>
                <w:b/>
                <w:bCs/>
                <w:sz w:val="16"/>
                <w:szCs w:val="16"/>
              </w:rPr>
              <w:t>Code de couleurs</w:t>
            </w:r>
          </w:p>
        </w:tc>
      </w:tr>
      <w:tr w:rsidR="00E63289" w:rsidRPr="00C258AD" w:rsidTr="001A4D6C">
        <w:trPr>
          <w:cantSplit/>
        </w:trPr>
        <w:tc>
          <w:tcPr>
            <w:tcW w:w="1194" w:type="pct"/>
            <w:shd w:val="clear" w:color="auto" w:fill="auto"/>
            <w:tcMar>
              <w:top w:w="113" w:type="dxa"/>
              <w:bottom w:w="113" w:type="dxa"/>
            </w:tcMar>
          </w:tcPr>
          <w:p w:rsidR="00E63289" w:rsidRPr="00C258AD" w:rsidRDefault="00E63289" w:rsidP="001A4D6C">
            <w:pPr>
              <w:rPr>
                <w:sz w:val="16"/>
                <w:szCs w:val="16"/>
              </w:rPr>
            </w:pPr>
            <w:r w:rsidRPr="00C258AD">
              <w:rPr>
                <w:sz w:val="16"/>
                <w:szCs w:val="16"/>
              </w:rPr>
              <w:t>Pourcentage du personnel de l’OMPI ayant connaissance des services qu’ils peuvent obtenir du Bureau du médiateur et de l’existence d’un mécanisme de règlement informel des différends</w:t>
            </w:r>
          </w:p>
        </w:tc>
        <w:tc>
          <w:tcPr>
            <w:tcW w:w="1269" w:type="pct"/>
            <w:shd w:val="clear" w:color="auto" w:fill="auto"/>
            <w:tcMar>
              <w:top w:w="113" w:type="dxa"/>
              <w:bottom w:w="113" w:type="dxa"/>
            </w:tcMar>
          </w:tcPr>
          <w:p w:rsidR="006E2BB1" w:rsidRPr="00C258AD" w:rsidRDefault="00E63289" w:rsidP="001A4D6C">
            <w:pPr>
              <w:rPr>
                <w:color w:val="002060"/>
                <w:sz w:val="16"/>
                <w:szCs w:val="16"/>
              </w:rPr>
            </w:pPr>
            <w:r w:rsidRPr="00C258AD">
              <w:rPr>
                <w:i/>
                <w:color w:val="002060"/>
                <w:sz w:val="16"/>
                <w:szCs w:val="16"/>
              </w:rPr>
              <w:t>Niveau de référence actualisé à fin 2013</w:t>
            </w:r>
            <w:r w:rsidRPr="00C258AD">
              <w:rPr>
                <w:color w:val="002060"/>
                <w:sz w:val="16"/>
                <w:szCs w:val="16"/>
              </w:rPr>
              <w:t xml:space="preserve"> : enquête 2013 auprès du personnel : 63% des membres du personnel ont une bonne connaissance de la fonction de médiateur, </w:t>
            </w:r>
            <w:r w:rsidRPr="00C258AD">
              <w:rPr>
                <w:color w:val="002060"/>
                <w:sz w:val="16"/>
                <w:szCs w:val="16"/>
              </w:rPr>
              <w:br/>
              <w:t>32% en ont une assez bonne connaissance</w:t>
            </w:r>
          </w:p>
          <w:p w:rsidR="006E2BB1" w:rsidRPr="00C258AD" w:rsidRDefault="006E2BB1" w:rsidP="001A4D6C">
            <w:pPr>
              <w:rPr>
                <w:sz w:val="16"/>
                <w:szCs w:val="16"/>
              </w:rPr>
            </w:pPr>
          </w:p>
          <w:p w:rsidR="006E2BB1" w:rsidRPr="00C258AD" w:rsidRDefault="00E63289" w:rsidP="001A4D6C">
            <w:pPr>
              <w:rPr>
                <w:rFonts w:eastAsiaTheme="minorHAnsi"/>
                <w:sz w:val="16"/>
                <w:szCs w:val="16"/>
              </w:rPr>
            </w:pPr>
            <w:r w:rsidRPr="00C258AD">
              <w:rPr>
                <w:rFonts w:eastAsiaTheme="minorHAnsi"/>
                <w:sz w:val="16"/>
                <w:szCs w:val="16"/>
              </w:rPr>
              <w:t>77% selon l’enquête sur les réactions des utilisateurs en 2012 (menée en mars 2013).</w:t>
            </w:r>
          </w:p>
          <w:p w:rsidR="006E2BB1" w:rsidRPr="00C258AD" w:rsidRDefault="006E2BB1" w:rsidP="001A4D6C">
            <w:pPr>
              <w:rPr>
                <w:i/>
                <w:sz w:val="16"/>
                <w:szCs w:val="16"/>
              </w:rPr>
            </w:pPr>
          </w:p>
          <w:p w:rsidR="00E63289" w:rsidRPr="00C258AD" w:rsidRDefault="00E63289" w:rsidP="001A4D6C">
            <w:pPr>
              <w:rPr>
                <w:i/>
                <w:sz w:val="16"/>
                <w:szCs w:val="16"/>
              </w:rPr>
            </w:pPr>
            <w:r w:rsidRPr="00C258AD">
              <w:rPr>
                <w:i/>
                <w:sz w:val="16"/>
                <w:szCs w:val="16"/>
              </w:rPr>
              <w:t>Niveau de référence initial dans le programme et budget 2014</w:t>
            </w:r>
            <w:r w:rsidRPr="00C258AD">
              <w:rPr>
                <w:i/>
                <w:sz w:val="16"/>
                <w:szCs w:val="16"/>
              </w:rPr>
              <w:noBreakHyphen/>
              <w:t>2015</w:t>
            </w:r>
            <w:r w:rsidRPr="00C258AD">
              <w:rPr>
                <w:sz w:val="16"/>
                <w:szCs w:val="16"/>
              </w:rPr>
              <w:t> : enquête 2011 auprès du personnel : 44% des membres du personnel ont une bonne connaissance de la fonction de médiateur, 49% en ont une assez bonne connaissance</w:t>
            </w:r>
          </w:p>
        </w:tc>
        <w:tc>
          <w:tcPr>
            <w:tcW w:w="746" w:type="pct"/>
            <w:shd w:val="clear" w:color="auto" w:fill="auto"/>
            <w:tcMar>
              <w:top w:w="113" w:type="dxa"/>
              <w:bottom w:w="113" w:type="dxa"/>
            </w:tcMar>
          </w:tcPr>
          <w:p w:rsidR="00E63289" w:rsidRPr="00C258AD" w:rsidRDefault="00E63289" w:rsidP="001A4D6C">
            <w:pPr>
              <w:rPr>
                <w:sz w:val="16"/>
                <w:szCs w:val="16"/>
              </w:rPr>
            </w:pPr>
            <w:r w:rsidRPr="00C258AD">
              <w:rPr>
                <w:sz w:val="16"/>
                <w:szCs w:val="16"/>
              </w:rPr>
              <w:t>Augmentation de la sensibilisation du personnel, qui atteint 60%</w:t>
            </w:r>
          </w:p>
        </w:tc>
        <w:tc>
          <w:tcPr>
            <w:tcW w:w="1269" w:type="pct"/>
            <w:shd w:val="clear" w:color="auto" w:fill="FFFFFF"/>
            <w:tcMar>
              <w:top w:w="113" w:type="dxa"/>
              <w:bottom w:w="113" w:type="dxa"/>
            </w:tcMar>
          </w:tcPr>
          <w:p w:rsidR="00E63289" w:rsidRPr="00C258AD" w:rsidRDefault="00E63289" w:rsidP="001A4D6C">
            <w:pPr>
              <w:rPr>
                <w:rFonts w:eastAsia="SimSun" w:cs="Arial"/>
                <w:sz w:val="16"/>
                <w:szCs w:val="16"/>
                <w:lang w:eastAsia="zh-CN"/>
              </w:rPr>
            </w:pPr>
            <w:r w:rsidRPr="00C258AD">
              <w:rPr>
                <w:rFonts w:eastAsia="SimSun" w:cs="Arial"/>
                <w:sz w:val="16"/>
                <w:szCs w:val="16"/>
                <w:lang w:eastAsia="zh-CN"/>
              </w:rPr>
              <w:t>L’enquête auprès du personnel prévue pour 2015 n’a pas été menée.</w:t>
            </w:r>
          </w:p>
        </w:tc>
        <w:tc>
          <w:tcPr>
            <w:tcW w:w="522" w:type="pct"/>
            <w:shd w:val="clear" w:color="auto" w:fill="auto"/>
            <w:tcMar>
              <w:top w:w="113" w:type="dxa"/>
              <w:bottom w:w="113" w:type="dxa"/>
            </w:tcMar>
          </w:tcPr>
          <w:p w:rsidR="00E63289" w:rsidRPr="00C258AD" w:rsidRDefault="00E63289" w:rsidP="001A4D6C">
            <w:pPr>
              <w:keepNext/>
              <w:keepLines/>
              <w:jc w:val="center"/>
              <w:rPr>
                <w:b/>
                <w:sz w:val="16"/>
                <w:szCs w:val="16"/>
              </w:rPr>
            </w:pPr>
            <w:r w:rsidRPr="00C258AD">
              <w:rPr>
                <w:b/>
                <w:bCs/>
                <w:color w:val="808080"/>
                <w:sz w:val="16"/>
                <w:szCs w:val="16"/>
              </w:rPr>
              <w:t>Non évaluable</w:t>
            </w:r>
          </w:p>
        </w:tc>
      </w:tr>
      <w:tr w:rsidR="00E63289" w:rsidRPr="00C258AD" w:rsidTr="001A4D6C">
        <w:trPr>
          <w:cantSplit/>
        </w:trPr>
        <w:tc>
          <w:tcPr>
            <w:tcW w:w="1194" w:type="pct"/>
            <w:shd w:val="clear" w:color="auto" w:fill="auto"/>
            <w:tcMar>
              <w:top w:w="113" w:type="dxa"/>
              <w:bottom w:w="113" w:type="dxa"/>
            </w:tcMar>
          </w:tcPr>
          <w:p w:rsidR="00E63289" w:rsidRPr="00C258AD" w:rsidRDefault="00E63289" w:rsidP="001A4D6C">
            <w:pPr>
              <w:rPr>
                <w:sz w:val="16"/>
                <w:szCs w:val="16"/>
              </w:rPr>
            </w:pPr>
            <w:r w:rsidRPr="00C258AD">
              <w:rPr>
                <w:sz w:val="16"/>
                <w:szCs w:val="16"/>
              </w:rPr>
              <w:t>Pourcentage des personnes interrogées ayant connaissance des principes et des politiques de l’OMPI dans le domaine éthique</w:t>
            </w:r>
          </w:p>
        </w:tc>
        <w:tc>
          <w:tcPr>
            <w:tcW w:w="1269" w:type="pct"/>
            <w:shd w:val="clear" w:color="auto" w:fill="auto"/>
            <w:tcMar>
              <w:top w:w="113" w:type="dxa"/>
              <w:bottom w:w="113" w:type="dxa"/>
            </w:tcMar>
          </w:tcPr>
          <w:p w:rsidR="006E2BB1" w:rsidRPr="00C258AD" w:rsidRDefault="00E63289" w:rsidP="001A4D6C">
            <w:pPr>
              <w:rPr>
                <w:rFonts w:eastAsiaTheme="minorHAnsi"/>
                <w:color w:val="002060"/>
                <w:sz w:val="16"/>
                <w:szCs w:val="16"/>
              </w:rPr>
            </w:pPr>
            <w:r w:rsidRPr="00C258AD">
              <w:rPr>
                <w:rFonts w:eastAsiaTheme="minorHAnsi"/>
                <w:i/>
                <w:color w:val="002060"/>
                <w:sz w:val="16"/>
                <w:szCs w:val="16"/>
              </w:rPr>
              <w:t>Niveau de référence actualisé à fin 2013</w:t>
            </w:r>
            <w:r w:rsidRPr="00C258AD">
              <w:rPr>
                <w:rFonts w:eastAsiaTheme="minorHAnsi"/>
                <w:color w:val="002060"/>
                <w:sz w:val="16"/>
                <w:szCs w:val="16"/>
              </w:rPr>
              <w:t> : 98% selon l’enquête sur les valeurs essentielles du PRS (menée de janvier à février 2013).</w:t>
            </w:r>
          </w:p>
          <w:p w:rsidR="006E2BB1" w:rsidRPr="00C258AD" w:rsidRDefault="006E2BB1" w:rsidP="001A4D6C">
            <w:pPr>
              <w:rPr>
                <w:i/>
                <w:sz w:val="16"/>
                <w:szCs w:val="16"/>
              </w:rPr>
            </w:pPr>
          </w:p>
          <w:p w:rsidR="00E63289" w:rsidRPr="00C258AD" w:rsidRDefault="00E63289" w:rsidP="001A4D6C">
            <w:pPr>
              <w:rPr>
                <w:i/>
                <w:sz w:val="16"/>
                <w:szCs w:val="16"/>
              </w:rPr>
            </w:pPr>
            <w:r w:rsidRPr="00C258AD">
              <w:rPr>
                <w:i/>
                <w:sz w:val="16"/>
                <w:szCs w:val="16"/>
              </w:rPr>
              <w:t>Niveau de référence initial dans le programme et budget 2014</w:t>
            </w:r>
            <w:r w:rsidRPr="00C258AD">
              <w:rPr>
                <w:i/>
                <w:sz w:val="16"/>
                <w:szCs w:val="16"/>
              </w:rPr>
              <w:noBreakHyphen/>
              <w:t>2015</w:t>
            </w:r>
            <w:r w:rsidRPr="00C258AD">
              <w:rPr>
                <w:sz w:val="16"/>
                <w:szCs w:val="16"/>
              </w:rPr>
              <w:t> : 70%</w:t>
            </w:r>
          </w:p>
        </w:tc>
        <w:tc>
          <w:tcPr>
            <w:tcW w:w="746" w:type="pct"/>
            <w:shd w:val="clear" w:color="auto" w:fill="auto"/>
            <w:tcMar>
              <w:top w:w="113" w:type="dxa"/>
              <w:bottom w:w="113" w:type="dxa"/>
            </w:tcMar>
          </w:tcPr>
          <w:p w:rsidR="00E63289" w:rsidRPr="00C258AD" w:rsidRDefault="00E63289" w:rsidP="001A4D6C">
            <w:pPr>
              <w:rPr>
                <w:sz w:val="16"/>
                <w:szCs w:val="16"/>
              </w:rPr>
            </w:pPr>
            <w:r w:rsidRPr="00C258AD">
              <w:rPr>
                <w:sz w:val="16"/>
                <w:szCs w:val="16"/>
              </w:rPr>
              <w:t>75%</w:t>
            </w:r>
          </w:p>
        </w:tc>
        <w:tc>
          <w:tcPr>
            <w:tcW w:w="1269" w:type="pct"/>
            <w:shd w:val="clear" w:color="auto" w:fill="FFFFFF"/>
            <w:tcMar>
              <w:top w:w="113" w:type="dxa"/>
              <w:bottom w:w="113" w:type="dxa"/>
            </w:tcMar>
          </w:tcPr>
          <w:p w:rsidR="00E63289" w:rsidRPr="00C258AD" w:rsidRDefault="00E63289" w:rsidP="001A4D6C">
            <w:pPr>
              <w:rPr>
                <w:rFonts w:eastAsia="SimSun" w:cs="Arial"/>
                <w:sz w:val="16"/>
                <w:szCs w:val="16"/>
                <w:lang w:eastAsia="zh-CN"/>
              </w:rPr>
            </w:pPr>
            <w:r w:rsidRPr="00C258AD">
              <w:rPr>
                <w:rFonts w:eastAsia="SimSun" w:cs="Arial"/>
                <w:sz w:val="16"/>
                <w:szCs w:val="16"/>
                <w:lang w:eastAsia="zh-CN"/>
              </w:rPr>
              <w:t>L’enquête auprès du personnel prévue pour l’exercice biennal n’a pas été menée.</w:t>
            </w:r>
          </w:p>
        </w:tc>
        <w:tc>
          <w:tcPr>
            <w:tcW w:w="522" w:type="pct"/>
            <w:shd w:val="clear" w:color="auto" w:fill="auto"/>
            <w:tcMar>
              <w:top w:w="113" w:type="dxa"/>
              <w:bottom w:w="113" w:type="dxa"/>
            </w:tcMar>
          </w:tcPr>
          <w:p w:rsidR="00E63289" w:rsidRPr="00C258AD" w:rsidRDefault="00E63289" w:rsidP="001A4D6C">
            <w:pPr>
              <w:keepNext/>
              <w:keepLines/>
              <w:jc w:val="center"/>
              <w:rPr>
                <w:b/>
                <w:sz w:val="16"/>
                <w:szCs w:val="16"/>
              </w:rPr>
            </w:pPr>
            <w:r w:rsidRPr="00C258AD">
              <w:rPr>
                <w:b/>
                <w:bCs/>
                <w:color w:val="808080"/>
                <w:sz w:val="16"/>
                <w:szCs w:val="16"/>
              </w:rPr>
              <w:t>Non évaluable</w:t>
            </w:r>
          </w:p>
        </w:tc>
      </w:tr>
    </w:tbl>
    <w:p w:rsidR="006E2BB1" w:rsidRPr="00C258AD" w:rsidRDefault="006E2BB1" w:rsidP="001A4D6C"/>
    <w:p w:rsidR="006E2BB1" w:rsidRPr="00C258AD" w:rsidRDefault="006E2BB1" w:rsidP="001A4D6C"/>
    <w:p w:rsidR="006E2BB1" w:rsidRPr="00C258AD" w:rsidRDefault="00E63289" w:rsidP="00305CE5">
      <w:pPr>
        <w:keepNext/>
        <w:rPr>
          <w:rFonts w:cs="Arial"/>
          <w:caps/>
          <w:sz w:val="22"/>
          <w:szCs w:val="22"/>
        </w:rPr>
      </w:pPr>
      <w:r w:rsidRPr="00C258AD">
        <w:rPr>
          <w:rFonts w:cs="Arial"/>
          <w:caps/>
          <w:sz w:val="22"/>
          <w:szCs w:val="22"/>
        </w:rPr>
        <w:t>Rapport d’évaluation des risques pour l’exercice biennal</w:t>
      </w:r>
    </w:p>
    <w:p w:rsidR="00E63289" w:rsidRPr="00C258AD" w:rsidRDefault="00E63289" w:rsidP="001A4D6C">
      <w:pPr>
        <w:keepNext/>
        <w:keepLines/>
        <w:rPr>
          <w:rFonts w:cs="Arial"/>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5"/>
        <w:gridCol w:w="2371"/>
      </w:tblGrid>
      <w:tr w:rsidR="00E63289" w:rsidRPr="00C258AD" w:rsidTr="001A4D6C">
        <w:trPr>
          <w:cantSplit/>
        </w:trPr>
        <w:tc>
          <w:tcPr>
            <w:tcW w:w="2372" w:type="dxa"/>
            <w:tcBorders>
              <w:top w:val="single" w:sz="4" w:space="0" w:color="auto"/>
              <w:left w:val="single" w:sz="4" w:space="0" w:color="auto"/>
              <w:bottom w:val="single" w:sz="4" w:space="0" w:color="auto"/>
            </w:tcBorders>
            <w:shd w:val="clear" w:color="auto" w:fill="C5D9F1"/>
            <w:vAlign w:val="center"/>
          </w:tcPr>
          <w:p w:rsidR="00E63289" w:rsidRPr="00C258AD" w:rsidRDefault="00E63289" w:rsidP="001A4D6C">
            <w:pPr>
              <w:keepNext/>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E63289" w:rsidRPr="00C258AD" w:rsidRDefault="00E63289" w:rsidP="001A4D6C">
            <w:pPr>
              <w:keepNext/>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E63289" w:rsidRPr="00C258AD" w:rsidRDefault="00E63289" w:rsidP="001A4D6C">
            <w:pPr>
              <w:keepNext/>
              <w:autoSpaceDE w:val="0"/>
              <w:autoSpaceDN w:val="0"/>
              <w:adjustRightInd w:val="0"/>
              <w:ind w:right="-59"/>
              <w:jc w:val="center"/>
              <w:rPr>
                <w:b/>
                <w:bCs/>
                <w:iCs/>
                <w:sz w:val="16"/>
                <w:szCs w:val="16"/>
              </w:rPr>
            </w:pPr>
            <w:r w:rsidRPr="00C258AD">
              <w:rPr>
                <w:b/>
                <w:bCs/>
                <w:iCs/>
                <w:sz w:val="16"/>
                <w:szCs w:val="16"/>
              </w:rPr>
              <w:t>Évolution des risques et des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E63289" w:rsidRPr="00C258AD" w:rsidRDefault="00E63289" w:rsidP="001A4D6C">
            <w:pPr>
              <w:keepNext/>
              <w:autoSpaceDE w:val="0"/>
              <w:autoSpaceDN w:val="0"/>
              <w:adjustRightInd w:val="0"/>
              <w:jc w:val="center"/>
              <w:rPr>
                <w:b/>
                <w:bCs/>
                <w:iCs/>
                <w:sz w:val="16"/>
                <w:szCs w:val="16"/>
              </w:rPr>
            </w:pPr>
            <w:r w:rsidRPr="00C258AD">
              <w:rPr>
                <w:b/>
                <w:bCs/>
                <w:iCs/>
                <w:sz w:val="16"/>
                <w:szCs w:val="16"/>
              </w:rPr>
              <w:t>Incidence sur les résultats du programme</w:t>
            </w:r>
          </w:p>
        </w:tc>
      </w:tr>
      <w:tr w:rsidR="00E63289" w:rsidRPr="00C258AD" w:rsidTr="001A4D6C">
        <w:tblPrEx>
          <w:tblBorders>
            <w:top w:val="single" w:sz="4" w:space="0" w:color="auto"/>
            <w:left w:val="single" w:sz="4" w:space="0" w:color="auto"/>
            <w:bottom w:val="single" w:sz="4" w:space="0" w:color="auto"/>
            <w:right w:val="single" w:sz="4" w:space="0" w:color="auto"/>
          </w:tblBorders>
        </w:tblPrEx>
        <w:trPr>
          <w:cantSplit/>
        </w:trPr>
        <w:tc>
          <w:tcPr>
            <w:tcW w:w="2371" w:type="dxa"/>
            <w:tcBorders>
              <w:top w:val="single" w:sz="4" w:space="0" w:color="auto"/>
            </w:tcBorders>
            <w:shd w:val="clear" w:color="auto" w:fill="auto"/>
            <w:tcMar>
              <w:top w:w="113" w:type="dxa"/>
              <w:bottom w:w="85" w:type="dxa"/>
            </w:tcMar>
          </w:tcPr>
          <w:p w:rsidR="00E63289" w:rsidRPr="00C258AD" w:rsidRDefault="00E63289" w:rsidP="001A4D6C">
            <w:pPr>
              <w:keepLines/>
              <w:rPr>
                <w:sz w:val="16"/>
                <w:szCs w:val="16"/>
                <w:lang w:eastAsia="zh-CN"/>
              </w:rPr>
            </w:pPr>
            <w:r w:rsidRPr="00C258AD">
              <w:rPr>
                <w:sz w:val="16"/>
                <w:szCs w:val="16"/>
                <w:lang w:eastAsia="zh-CN"/>
              </w:rPr>
              <w:t>Après s’être beaucoup investie, l’OMPI a rapidement progressé et obtenu des résultats grâce au Programme de réorientation stratégique (PRS), qui a pris fin début 2013.  Si la haute direction, le personnel et les États membres ne concentrent pas durablement leurs efforts sur l’amélioration, l’Organisation risque d’assister à une baisse des résultats atteints dans le cadre du PRS.  Les initiatives qui comprennent de nouveaux processus (la gestion de la continuité des opérations et la gestion des risques, par exemple) sont particulièrement menacées.</w:t>
            </w:r>
          </w:p>
        </w:tc>
        <w:tc>
          <w:tcPr>
            <w:tcW w:w="2375" w:type="dxa"/>
            <w:tcBorders>
              <w:top w:val="single" w:sz="4" w:space="0" w:color="auto"/>
            </w:tcBorders>
            <w:shd w:val="clear" w:color="auto" w:fill="auto"/>
            <w:tcMar>
              <w:top w:w="113" w:type="dxa"/>
              <w:bottom w:w="85" w:type="dxa"/>
            </w:tcMar>
          </w:tcPr>
          <w:p w:rsidR="006E2BB1" w:rsidRPr="00C258AD" w:rsidRDefault="00E63289" w:rsidP="001A4D6C">
            <w:pPr>
              <w:keepNext/>
              <w:keepLines/>
              <w:rPr>
                <w:sz w:val="16"/>
                <w:szCs w:val="16"/>
              </w:rPr>
            </w:pPr>
            <w:r w:rsidRPr="00C258AD">
              <w:rPr>
                <w:sz w:val="16"/>
                <w:szCs w:val="16"/>
              </w:rPr>
              <w:t>La structure de gouvernance du PRS prévoyait d’emblée la surveillance de l’Équipe de haute direction et des rapports réguliers de l’OCIS, des initiatives qui ont contribué à ancrer la responsabilité pour l’intégration du PRS.</w:t>
            </w:r>
          </w:p>
          <w:p w:rsidR="006E2BB1" w:rsidRPr="00C258AD" w:rsidRDefault="006E2BB1" w:rsidP="001A4D6C">
            <w:pPr>
              <w:keepNext/>
              <w:keepLines/>
              <w:rPr>
                <w:sz w:val="16"/>
                <w:szCs w:val="16"/>
              </w:rPr>
            </w:pPr>
          </w:p>
          <w:p w:rsidR="00E63289" w:rsidRPr="00C258AD" w:rsidRDefault="00E63289" w:rsidP="001A4D6C">
            <w:pPr>
              <w:keepNext/>
              <w:keepLines/>
              <w:rPr>
                <w:sz w:val="16"/>
                <w:szCs w:val="16"/>
                <w:lang w:eastAsia="zh-CN"/>
              </w:rPr>
            </w:pPr>
            <w:r w:rsidRPr="00C258AD">
              <w:rPr>
                <w:sz w:val="16"/>
                <w:szCs w:val="16"/>
                <w:lang w:eastAsia="zh-CN"/>
              </w:rPr>
              <w:t>Tandis que l’Organisation amorce la période post</w:t>
            </w:r>
            <w:r w:rsidRPr="00C258AD">
              <w:rPr>
                <w:sz w:val="16"/>
                <w:szCs w:val="16"/>
                <w:lang w:eastAsia="zh-CN"/>
              </w:rPr>
              <w:noBreakHyphen/>
              <w:t>PRS, le fait que la haute direction reste vigilante permettra de préserver et de renforcer les valeurs fondamentales et les résultats de chaque initiative dans l’intérêt de l’OMPI et de ses parties prenantes.</w:t>
            </w:r>
          </w:p>
        </w:tc>
        <w:tc>
          <w:tcPr>
            <w:tcW w:w="2376" w:type="dxa"/>
            <w:tcBorders>
              <w:top w:val="single" w:sz="4" w:space="0" w:color="auto"/>
            </w:tcBorders>
          </w:tcPr>
          <w:p w:rsidR="00E63289" w:rsidRPr="00C258AD" w:rsidRDefault="00E63289" w:rsidP="001A4D6C">
            <w:pPr>
              <w:keepNext/>
              <w:keepLines/>
              <w:rPr>
                <w:sz w:val="16"/>
                <w:szCs w:val="16"/>
              </w:rPr>
            </w:pPr>
            <w:r w:rsidRPr="00C258AD">
              <w:rPr>
                <w:rFonts w:cs="Arial"/>
                <w:sz w:val="16"/>
                <w:szCs w:val="16"/>
              </w:rPr>
              <w:t>Ce risque a diminué de manière constante au cours de l’exercice biennal, principalement en raison des stratégies proactives de suivi en place, qui consistaient notamment à intégrer la responsabilité pour que les fonctions nouvelles et solides continuent d’évoluer, et à développer les initiatives semées dans le contexte du PRS, y compris la gestion des risques, la poursuite des opérations, la déontologie et l’intégrité, la communication interne, etc.</w:t>
            </w:r>
          </w:p>
        </w:tc>
        <w:tc>
          <w:tcPr>
            <w:tcW w:w="2369" w:type="dxa"/>
            <w:tcBorders>
              <w:top w:val="single" w:sz="4" w:space="0" w:color="auto"/>
            </w:tcBorders>
          </w:tcPr>
          <w:p w:rsidR="00E63289" w:rsidRPr="00C258AD" w:rsidRDefault="00E63289" w:rsidP="001A4D6C">
            <w:pPr>
              <w:keepNext/>
              <w:keepLines/>
              <w:rPr>
                <w:sz w:val="16"/>
                <w:szCs w:val="16"/>
              </w:rPr>
            </w:pPr>
            <w:r w:rsidRPr="00C258AD">
              <w:rPr>
                <w:rFonts w:cs="Arial"/>
                <w:sz w:val="16"/>
                <w:szCs w:val="16"/>
              </w:rPr>
              <w:t xml:space="preserve">L’incidence sur les résultats du programme n’était pas matérielle, mais l’incidence sur les résultats des différents programmes dans lesquels les initiatives du PRS s’étaient établies, ainsi que sur les résultats de l’Organisation dans son ensemble, continuaient d’être très positifs, contribuant de manière importante au renforcement continu de la transparence et de l’obligation de rendre compte, et fournissant une plateforme facilitatrice à l’OMPI pour servir ses clients et parties prenantes.  </w:t>
            </w:r>
          </w:p>
        </w:tc>
      </w:tr>
      <w:tr w:rsidR="00E63289" w:rsidRPr="00C258AD" w:rsidTr="001A4D6C">
        <w:tblPrEx>
          <w:tblBorders>
            <w:top w:val="single" w:sz="4" w:space="0" w:color="auto"/>
            <w:left w:val="single" w:sz="4" w:space="0" w:color="auto"/>
            <w:bottom w:val="single" w:sz="4" w:space="0" w:color="auto"/>
            <w:right w:val="single" w:sz="4" w:space="0" w:color="auto"/>
          </w:tblBorders>
        </w:tblPrEx>
        <w:trPr>
          <w:cantSplit/>
        </w:trPr>
        <w:tc>
          <w:tcPr>
            <w:tcW w:w="2371" w:type="dxa"/>
            <w:shd w:val="clear" w:color="auto" w:fill="auto"/>
            <w:tcMar>
              <w:top w:w="113" w:type="dxa"/>
              <w:bottom w:w="85" w:type="dxa"/>
            </w:tcMar>
          </w:tcPr>
          <w:p w:rsidR="00E63289" w:rsidRPr="00C258AD" w:rsidRDefault="00E63289" w:rsidP="00E63289">
            <w:pPr>
              <w:rPr>
                <w:sz w:val="16"/>
                <w:szCs w:val="16"/>
                <w:lang w:eastAsia="zh-CN"/>
              </w:rPr>
            </w:pPr>
            <w:r w:rsidRPr="00C258AD">
              <w:rPr>
                <w:sz w:val="16"/>
                <w:szCs w:val="16"/>
                <w:lang w:eastAsia="zh-CN"/>
              </w:rPr>
              <w:lastRenderedPageBreak/>
              <w:t>L’engagement effectif de l’OMPI auprès des États membres est capital pour l’obtention de résultats dans les délais impartis.  Le ralentissement des processus intergouvernementaux de l’OMPI, y compris dans le cadre des discussions normatives, et une augmentation des coûts ou un allongement des calendriers d’exécution des programmes approuvés sont à craindre.  Cette situation nuirait à la crédibilité de l’OMPI en tant qu’organe normatif en matière de propriété intellectuelle.</w:t>
            </w:r>
          </w:p>
        </w:tc>
        <w:tc>
          <w:tcPr>
            <w:tcW w:w="2375" w:type="dxa"/>
            <w:shd w:val="clear" w:color="auto" w:fill="auto"/>
            <w:tcMar>
              <w:top w:w="113" w:type="dxa"/>
              <w:bottom w:w="85" w:type="dxa"/>
            </w:tcMar>
          </w:tcPr>
          <w:p w:rsidR="00E63289" w:rsidRPr="00C258AD" w:rsidRDefault="00E63289" w:rsidP="00E63289">
            <w:pPr>
              <w:rPr>
                <w:sz w:val="16"/>
                <w:szCs w:val="16"/>
                <w:lang w:eastAsia="zh-CN"/>
              </w:rPr>
            </w:pPr>
            <w:r w:rsidRPr="00C258AD">
              <w:rPr>
                <w:sz w:val="16"/>
                <w:szCs w:val="16"/>
                <w:lang w:eastAsia="zh-CN"/>
              </w:rPr>
              <w:t>Maintien d’une coordination étroite, fiable et transparente entre le Secrétariat et les États membres.</w:t>
            </w:r>
          </w:p>
        </w:tc>
        <w:tc>
          <w:tcPr>
            <w:tcW w:w="2376" w:type="dxa"/>
          </w:tcPr>
          <w:p w:rsidR="00E63289" w:rsidRPr="00C258AD" w:rsidRDefault="00E63289" w:rsidP="00E63289">
            <w:pPr>
              <w:rPr>
                <w:sz w:val="16"/>
                <w:szCs w:val="16"/>
                <w:lang w:eastAsia="zh-CN"/>
              </w:rPr>
            </w:pPr>
            <w:r w:rsidRPr="00C258AD">
              <w:rPr>
                <w:sz w:val="16"/>
                <w:szCs w:val="16"/>
                <w:lang w:eastAsia="zh-CN"/>
              </w:rPr>
              <w:t>Le risque global lié au programme tel qu’il est décrit n’a pas subi de changement net lors de la période examinée.  Cela est aussi vrai pour les</w:t>
            </w:r>
            <w:r w:rsidRPr="00C258AD">
              <w:t xml:space="preserve"> </w:t>
            </w:r>
            <w:r w:rsidRPr="00C258AD">
              <w:rPr>
                <w:sz w:val="16"/>
                <w:szCs w:val="16"/>
                <w:lang w:eastAsia="zh-CN"/>
              </w:rPr>
              <w:t>plans d’atténuation en place, qui continueront d’être pertinents pour l’exercice biennal 2016</w:t>
            </w:r>
            <w:r w:rsidRPr="00C258AD">
              <w:rPr>
                <w:sz w:val="16"/>
                <w:szCs w:val="16"/>
                <w:lang w:eastAsia="zh-CN"/>
              </w:rPr>
              <w:noBreakHyphen/>
              <w:t>2017.</w:t>
            </w:r>
          </w:p>
        </w:tc>
        <w:tc>
          <w:tcPr>
            <w:tcW w:w="2369" w:type="dxa"/>
          </w:tcPr>
          <w:p w:rsidR="00E63289" w:rsidRPr="00C258AD" w:rsidRDefault="00E63289" w:rsidP="00E63289">
            <w:pPr>
              <w:rPr>
                <w:sz w:val="16"/>
                <w:szCs w:val="16"/>
                <w:lang w:eastAsia="zh-CN"/>
              </w:rPr>
            </w:pPr>
            <w:r w:rsidRPr="00C258AD">
              <w:rPr>
                <w:sz w:val="16"/>
                <w:szCs w:val="16"/>
                <w:lang w:eastAsia="zh-CN"/>
              </w:rPr>
              <w:t>Les risques inhérents aux activités normatives de l’Organisation sont atténués en permanence par une coordination étroite et continue entre le Secrétariat et les États membres, basée sur la confiance et la transparence.  Aucune incidence matérielle n’a été observée sur les résultats du programme.</w:t>
            </w:r>
          </w:p>
        </w:tc>
      </w:tr>
    </w:tbl>
    <w:p w:rsidR="006E2BB1" w:rsidRPr="00C258AD" w:rsidRDefault="006E2BB1" w:rsidP="001A4D6C"/>
    <w:p w:rsidR="006E2BB1" w:rsidRPr="00C258AD" w:rsidRDefault="006E2BB1" w:rsidP="001A4D6C"/>
    <w:p w:rsidR="006E2BB1" w:rsidRPr="00C258AD" w:rsidRDefault="00E63289" w:rsidP="00305CE5">
      <w:pPr>
        <w:keepNext/>
        <w:rPr>
          <w:rFonts w:cs="Arial"/>
          <w:caps/>
          <w:sz w:val="22"/>
          <w:szCs w:val="22"/>
        </w:rPr>
      </w:pPr>
      <w:r w:rsidRPr="00C258AD">
        <w:rPr>
          <w:rFonts w:cs="Arial"/>
          <w:caps/>
          <w:sz w:val="22"/>
          <w:szCs w:val="22"/>
        </w:rPr>
        <w:t>Utilisation des ressources</w:t>
      </w:r>
    </w:p>
    <w:p w:rsidR="006E2BB1" w:rsidRPr="00C258AD" w:rsidRDefault="006E2BB1" w:rsidP="001A4D6C">
      <w:pPr>
        <w:keepNext/>
        <w:jc w:val="center"/>
      </w:pPr>
    </w:p>
    <w:p w:rsidR="006E2BB1" w:rsidRPr="00C258AD" w:rsidRDefault="00E63289" w:rsidP="001A4D6C">
      <w:pPr>
        <w:pStyle w:val="NormalWeb"/>
        <w:keepNext/>
        <w:spacing w:before="0" w:beforeAutospacing="0" w:after="0" w:afterAutospacing="0"/>
        <w:jc w:val="center"/>
        <w:rPr>
          <w:sz w:val="20"/>
          <w:szCs w:val="20"/>
        </w:rPr>
      </w:pPr>
      <w:r w:rsidRPr="00C258AD">
        <w:rPr>
          <w:sz w:val="20"/>
          <w:szCs w:val="20"/>
        </w:rPr>
        <w:t>Budget et dépenses effectives (par résultat)</w:t>
      </w:r>
    </w:p>
    <w:p w:rsidR="006E2BB1" w:rsidRPr="00C258AD" w:rsidRDefault="00E63289" w:rsidP="001A4D6C">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E63289" w:rsidRPr="00C258AD" w:rsidRDefault="00E63289" w:rsidP="001A4D6C">
      <w:pPr>
        <w:keepNext/>
        <w:jc w:val="both"/>
      </w:pPr>
    </w:p>
    <w:tbl>
      <w:tblPr>
        <w:tblW w:w="5000" w:type="pct"/>
        <w:tblCellMar>
          <w:top w:w="113" w:type="dxa"/>
          <w:left w:w="70" w:type="dxa"/>
          <w:bottom w:w="113" w:type="dxa"/>
          <w:right w:w="70" w:type="dxa"/>
        </w:tblCellMar>
        <w:tblLook w:val="04A0" w:firstRow="1" w:lastRow="0" w:firstColumn="1" w:lastColumn="0" w:noHBand="0" w:noVBand="1"/>
      </w:tblPr>
      <w:tblGrid>
        <w:gridCol w:w="630"/>
        <w:gridCol w:w="4599"/>
        <w:gridCol w:w="1422"/>
        <w:gridCol w:w="1422"/>
        <w:gridCol w:w="1422"/>
      </w:tblGrid>
      <w:tr w:rsidR="00E63289" w:rsidRPr="00C258AD" w:rsidTr="001A4D6C">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E63289" w:rsidRPr="00C258AD" w:rsidRDefault="00E63289" w:rsidP="001A4D6C">
            <w:pPr>
              <w:keepNext/>
              <w:jc w:val="center"/>
              <w:rPr>
                <w:i/>
                <w:iCs/>
                <w:sz w:val="16"/>
                <w:szCs w:val="16"/>
                <w:lang w:eastAsia="fr-FR"/>
              </w:rPr>
            </w:pPr>
            <w:r w:rsidRPr="00C258AD">
              <w:rPr>
                <w:i/>
                <w:iCs/>
                <w:sz w:val="16"/>
                <w:szCs w:val="16"/>
                <w:lang w:eastAsia="fr-FR"/>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E63289" w:rsidRPr="00C258AD" w:rsidRDefault="00E63289" w:rsidP="001A4D6C">
            <w:pPr>
              <w:keepNext/>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Pr="00C258AD">
              <w:rPr>
                <w:i/>
                <w:iCs/>
                <w:sz w:val="16"/>
                <w:szCs w:val="16"/>
                <w:lang w:eastAsia="fr-FR"/>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E63289" w:rsidRPr="00C258AD" w:rsidRDefault="00E63289" w:rsidP="001A4D6C">
            <w:pPr>
              <w:keepNext/>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Pr="00C258AD">
              <w:rPr>
                <w:i/>
                <w:iCs/>
                <w:sz w:val="16"/>
                <w:szCs w:val="16"/>
                <w:lang w:eastAsia="fr-FR"/>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E63289" w:rsidRPr="00C258AD" w:rsidRDefault="00E63289" w:rsidP="001A4D6C">
            <w:pPr>
              <w:keepNext/>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Pr="00C258AD">
              <w:rPr>
                <w:i/>
                <w:iCs/>
                <w:sz w:val="16"/>
                <w:szCs w:val="16"/>
                <w:lang w:eastAsia="fr-FR"/>
              </w:rPr>
              <w:noBreakHyphen/>
              <w:t>2015</w:t>
            </w:r>
          </w:p>
        </w:tc>
      </w:tr>
      <w:tr w:rsidR="00E63289" w:rsidRPr="00C258AD" w:rsidTr="001A4D6C">
        <w:trPr>
          <w:cantSplit/>
        </w:trPr>
        <w:tc>
          <w:tcPr>
            <w:tcW w:w="602" w:type="dxa"/>
            <w:tcBorders>
              <w:top w:val="nil"/>
              <w:left w:val="single" w:sz="4" w:space="0" w:color="auto"/>
              <w:bottom w:val="nil"/>
              <w:right w:val="nil"/>
            </w:tcBorders>
            <w:shd w:val="clear" w:color="auto" w:fill="auto"/>
            <w:noWrap/>
            <w:vAlign w:val="center"/>
            <w:hideMark/>
          </w:tcPr>
          <w:p w:rsidR="00E63289" w:rsidRPr="00C258AD" w:rsidRDefault="00E63289" w:rsidP="001A4D6C">
            <w:pPr>
              <w:keepNext/>
              <w:rPr>
                <w:sz w:val="16"/>
                <w:szCs w:val="16"/>
                <w:lang w:eastAsia="fr-FR"/>
              </w:rPr>
            </w:pPr>
            <w:r w:rsidRPr="00C258AD">
              <w:rPr>
                <w:sz w:val="16"/>
                <w:szCs w:val="16"/>
                <w:lang w:eastAsia="fr-FR"/>
              </w:rPr>
              <w:t>IV.2</w:t>
            </w:r>
          </w:p>
        </w:tc>
        <w:tc>
          <w:tcPr>
            <w:tcW w:w="4398" w:type="dxa"/>
            <w:tcBorders>
              <w:top w:val="nil"/>
              <w:left w:val="nil"/>
              <w:bottom w:val="nil"/>
              <w:right w:val="nil"/>
            </w:tcBorders>
            <w:shd w:val="clear" w:color="auto" w:fill="auto"/>
            <w:vAlign w:val="center"/>
            <w:hideMark/>
          </w:tcPr>
          <w:p w:rsidR="00E63289" w:rsidRPr="00C258AD" w:rsidRDefault="00E63289" w:rsidP="001A4D6C">
            <w:pPr>
              <w:keepNext/>
              <w:rPr>
                <w:sz w:val="16"/>
                <w:szCs w:val="16"/>
                <w:lang w:eastAsia="fr-FR"/>
              </w:rPr>
            </w:pPr>
            <w:r w:rsidRPr="00C258AD">
              <w:rPr>
                <w:sz w:val="16"/>
                <w:szCs w:val="16"/>
                <w:lang w:eastAsia="fr-FR"/>
              </w:rPr>
              <w:t>Amélioration de l’accessibilité et de l’utilisation de l’information en matière de propriété intellectuelle par les institutions compétentes et le public afin de promouvoir l’innovation et la créativité</w:t>
            </w:r>
          </w:p>
        </w:tc>
        <w:tc>
          <w:tcPr>
            <w:tcW w:w="1360" w:type="dxa"/>
            <w:tcBorders>
              <w:top w:val="nil"/>
              <w:left w:val="nil"/>
              <w:bottom w:val="nil"/>
              <w:right w:val="nil"/>
            </w:tcBorders>
            <w:shd w:val="clear" w:color="auto" w:fill="auto"/>
            <w:vAlign w:val="center"/>
            <w:hideMark/>
          </w:tcPr>
          <w:p w:rsidR="00E63289" w:rsidRPr="00C258AD" w:rsidRDefault="00E63289" w:rsidP="001A4D6C">
            <w:pPr>
              <w:keepNext/>
              <w:jc w:val="right"/>
              <w:rPr>
                <w:sz w:val="16"/>
                <w:szCs w:val="16"/>
                <w:lang w:eastAsia="fr-FR"/>
              </w:rPr>
            </w:pPr>
            <w:r w:rsidRPr="00C258AD">
              <w:rPr>
                <w:sz w:val="16"/>
                <w:szCs w:val="16"/>
                <w:lang w:eastAsia="fr-FR"/>
              </w:rPr>
              <w:t>1 939</w:t>
            </w:r>
          </w:p>
        </w:tc>
        <w:tc>
          <w:tcPr>
            <w:tcW w:w="1360" w:type="dxa"/>
            <w:tcBorders>
              <w:top w:val="nil"/>
              <w:left w:val="nil"/>
              <w:bottom w:val="nil"/>
              <w:right w:val="nil"/>
            </w:tcBorders>
            <w:shd w:val="clear" w:color="auto" w:fill="auto"/>
            <w:vAlign w:val="center"/>
            <w:hideMark/>
          </w:tcPr>
          <w:p w:rsidR="00E63289" w:rsidRPr="00C258AD" w:rsidRDefault="00E63289" w:rsidP="001A4D6C">
            <w:pPr>
              <w:keepNext/>
              <w:jc w:val="right"/>
              <w:rPr>
                <w:sz w:val="16"/>
                <w:szCs w:val="16"/>
                <w:lang w:eastAsia="fr-FR"/>
              </w:rPr>
            </w:pPr>
            <w:r w:rsidRPr="00C258AD">
              <w:rPr>
                <w:sz w:val="16"/>
                <w:szCs w:val="16"/>
                <w:lang w:eastAsia="fr-FR"/>
              </w:rPr>
              <w:t>2 313</w:t>
            </w:r>
          </w:p>
        </w:tc>
        <w:tc>
          <w:tcPr>
            <w:tcW w:w="1360" w:type="dxa"/>
            <w:tcBorders>
              <w:top w:val="nil"/>
              <w:left w:val="nil"/>
              <w:bottom w:val="nil"/>
              <w:right w:val="single" w:sz="4" w:space="0" w:color="auto"/>
            </w:tcBorders>
            <w:shd w:val="clear" w:color="auto" w:fill="auto"/>
            <w:vAlign w:val="center"/>
            <w:hideMark/>
          </w:tcPr>
          <w:p w:rsidR="00E63289" w:rsidRPr="00C258AD" w:rsidRDefault="00E63289" w:rsidP="001A4D6C">
            <w:pPr>
              <w:keepNext/>
              <w:jc w:val="right"/>
              <w:rPr>
                <w:sz w:val="16"/>
                <w:szCs w:val="16"/>
                <w:lang w:eastAsia="fr-FR"/>
              </w:rPr>
            </w:pPr>
            <w:r w:rsidRPr="00C258AD">
              <w:rPr>
                <w:sz w:val="16"/>
                <w:szCs w:val="16"/>
                <w:lang w:eastAsia="fr-FR"/>
              </w:rPr>
              <w:t>2 085</w:t>
            </w:r>
          </w:p>
        </w:tc>
      </w:tr>
      <w:tr w:rsidR="00E63289" w:rsidRPr="00C258AD" w:rsidTr="001A4D6C">
        <w:trPr>
          <w:cantSplit/>
        </w:trPr>
        <w:tc>
          <w:tcPr>
            <w:tcW w:w="602" w:type="dxa"/>
            <w:tcBorders>
              <w:top w:val="nil"/>
              <w:left w:val="single" w:sz="4" w:space="0" w:color="auto"/>
              <w:bottom w:val="nil"/>
              <w:right w:val="nil"/>
            </w:tcBorders>
            <w:shd w:val="clear" w:color="auto" w:fill="auto"/>
            <w:noWrap/>
            <w:vAlign w:val="center"/>
            <w:hideMark/>
          </w:tcPr>
          <w:p w:rsidR="00E63289" w:rsidRPr="00C258AD" w:rsidRDefault="00E63289" w:rsidP="001A4D6C">
            <w:pPr>
              <w:keepNext/>
              <w:rPr>
                <w:sz w:val="16"/>
                <w:szCs w:val="16"/>
                <w:lang w:eastAsia="fr-FR"/>
              </w:rPr>
            </w:pPr>
            <w:r w:rsidRPr="00C258AD">
              <w:rPr>
                <w:sz w:val="16"/>
                <w:szCs w:val="16"/>
                <w:lang w:eastAsia="fr-FR"/>
              </w:rPr>
              <w:t>VIII.3</w:t>
            </w:r>
          </w:p>
        </w:tc>
        <w:tc>
          <w:tcPr>
            <w:tcW w:w="4398" w:type="dxa"/>
            <w:tcBorders>
              <w:top w:val="nil"/>
              <w:left w:val="nil"/>
              <w:bottom w:val="nil"/>
              <w:right w:val="nil"/>
            </w:tcBorders>
            <w:shd w:val="clear" w:color="auto" w:fill="auto"/>
            <w:vAlign w:val="center"/>
            <w:hideMark/>
          </w:tcPr>
          <w:p w:rsidR="00E63289" w:rsidRPr="00C258AD" w:rsidRDefault="00E63289" w:rsidP="001A4D6C">
            <w:pPr>
              <w:keepNext/>
              <w:rPr>
                <w:sz w:val="16"/>
                <w:szCs w:val="16"/>
                <w:lang w:eastAsia="fr-FR"/>
              </w:rPr>
            </w:pPr>
            <w:r w:rsidRPr="00C258AD">
              <w:rPr>
                <w:sz w:val="16"/>
                <w:szCs w:val="16"/>
                <w:lang w:eastAsia="fr-FR"/>
              </w:rPr>
              <w:t>Engagement réel auprès des États membres</w:t>
            </w:r>
          </w:p>
        </w:tc>
        <w:tc>
          <w:tcPr>
            <w:tcW w:w="1360" w:type="dxa"/>
            <w:tcBorders>
              <w:top w:val="nil"/>
              <w:left w:val="nil"/>
              <w:bottom w:val="nil"/>
              <w:right w:val="nil"/>
            </w:tcBorders>
            <w:shd w:val="clear" w:color="auto" w:fill="auto"/>
            <w:vAlign w:val="center"/>
            <w:hideMark/>
          </w:tcPr>
          <w:p w:rsidR="00E63289" w:rsidRPr="00C258AD" w:rsidRDefault="00E63289" w:rsidP="001A4D6C">
            <w:pPr>
              <w:keepNext/>
              <w:jc w:val="right"/>
              <w:rPr>
                <w:sz w:val="16"/>
                <w:szCs w:val="16"/>
                <w:lang w:eastAsia="fr-FR"/>
              </w:rPr>
            </w:pPr>
            <w:r w:rsidRPr="00C258AD">
              <w:rPr>
                <w:sz w:val="16"/>
                <w:szCs w:val="16"/>
                <w:lang w:eastAsia="fr-FR"/>
              </w:rPr>
              <w:t>6 747</w:t>
            </w:r>
          </w:p>
        </w:tc>
        <w:tc>
          <w:tcPr>
            <w:tcW w:w="1360" w:type="dxa"/>
            <w:tcBorders>
              <w:top w:val="nil"/>
              <w:left w:val="nil"/>
              <w:bottom w:val="nil"/>
              <w:right w:val="nil"/>
            </w:tcBorders>
            <w:shd w:val="clear" w:color="auto" w:fill="auto"/>
            <w:vAlign w:val="center"/>
            <w:hideMark/>
          </w:tcPr>
          <w:p w:rsidR="00E63289" w:rsidRPr="00C258AD" w:rsidRDefault="00E63289" w:rsidP="001A4D6C">
            <w:pPr>
              <w:keepNext/>
              <w:jc w:val="right"/>
              <w:rPr>
                <w:sz w:val="16"/>
                <w:szCs w:val="16"/>
                <w:lang w:eastAsia="fr-FR"/>
              </w:rPr>
            </w:pPr>
            <w:r w:rsidRPr="00C258AD">
              <w:rPr>
                <w:sz w:val="16"/>
                <w:szCs w:val="16"/>
                <w:lang w:eastAsia="fr-FR"/>
              </w:rPr>
              <w:t>8 100</w:t>
            </w:r>
          </w:p>
        </w:tc>
        <w:tc>
          <w:tcPr>
            <w:tcW w:w="1360" w:type="dxa"/>
            <w:tcBorders>
              <w:top w:val="nil"/>
              <w:left w:val="nil"/>
              <w:bottom w:val="nil"/>
              <w:right w:val="single" w:sz="4" w:space="0" w:color="auto"/>
            </w:tcBorders>
            <w:shd w:val="clear" w:color="auto" w:fill="auto"/>
            <w:vAlign w:val="center"/>
            <w:hideMark/>
          </w:tcPr>
          <w:p w:rsidR="00E63289" w:rsidRPr="00C258AD" w:rsidRDefault="00E63289" w:rsidP="001A4D6C">
            <w:pPr>
              <w:keepNext/>
              <w:jc w:val="right"/>
              <w:rPr>
                <w:sz w:val="16"/>
                <w:szCs w:val="16"/>
                <w:lang w:eastAsia="fr-FR"/>
              </w:rPr>
            </w:pPr>
            <w:r w:rsidRPr="00C258AD">
              <w:rPr>
                <w:sz w:val="16"/>
                <w:szCs w:val="16"/>
                <w:lang w:eastAsia="fr-FR"/>
              </w:rPr>
              <w:t>7 273</w:t>
            </w:r>
          </w:p>
        </w:tc>
      </w:tr>
      <w:tr w:rsidR="00E63289" w:rsidRPr="00C258AD" w:rsidTr="001A4D6C">
        <w:trPr>
          <w:cantSplit/>
        </w:trPr>
        <w:tc>
          <w:tcPr>
            <w:tcW w:w="602" w:type="dxa"/>
            <w:tcBorders>
              <w:top w:val="nil"/>
              <w:left w:val="single" w:sz="4" w:space="0" w:color="auto"/>
              <w:bottom w:val="nil"/>
              <w:right w:val="nil"/>
            </w:tcBorders>
            <w:shd w:val="clear" w:color="auto" w:fill="auto"/>
            <w:noWrap/>
            <w:vAlign w:val="center"/>
            <w:hideMark/>
          </w:tcPr>
          <w:p w:rsidR="00E63289" w:rsidRPr="00C258AD" w:rsidRDefault="00E63289" w:rsidP="001A4D6C">
            <w:pPr>
              <w:keepNext/>
              <w:rPr>
                <w:sz w:val="16"/>
                <w:szCs w:val="16"/>
                <w:lang w:eastAsia="fr-FR"/>
              </w:rPr>
            </w:pPr>
            <w:r w:rsidRPr="00C258AD">
              <w:rPr>
                <w:sz w:val="16"/>
                <w:szCs w:val="16"/>
                <w:lang w:eastAsia="fr-FR"/>
              </w:rPr>
              <w:t>VIII.5</w:t>
            </w:r>
          </w:p>
        </w:tc>
        <w:tc>
          <w:tcPr>
            <w:tcW w:w="4398" w:type="dxa"/>
            <w:tcBorders>
              <w:top w:val="nil"/>
              <w:left w:val="nil"/>
              <w:bottom w:val="nil"/>
              <w:right w:val="nil"/>
            </w:tcBorders>
            <w:shd w:val="clear" w:color="auto" w:fill="auto"/>
            <w:vAlign w:val="center"/>
            <w:hideMark/>
          </w:tcPr>
          <w:p w:rsidR="00E63289" w:rsidRPr="00C258AD" w:rsidRDefault="00E63289" w:rsidP="001A4D6C">
            <w:pPr>
              <w:keepNext/>
              <w:rPr>
                <w:sz w:val="16"/>
                <w:szCs w:val="16"/>
                <w:lang w:eastAsia="fr-FR"/>
              </w:rPr>
            </w:pPr>
            <w:r w:rsidRPr="00C258AD">
              <w:rPr>
                <w:sz w:val="16"/>
                <w:szCs w:val="16"/>
                <w:lang w:eastAsia="fr-FR"/>
              </w:rPr>
              <w:t>L’OMPI collabore efficacement avec d’autres processus et instances de négociation de l’ONU et d’autres organisations intergouvernementales</w:t>
            </w:r>
          </w:p>
        </w:tc>
        <w:tc>
          <w:tcPr>
            <w:tcW w:w="1360" w:type="dxa"/>
            <w:tcBorders>
              <w:top w:val="nil"/>
              <w:left w:val="nil"/>
              <w:bottom w:val="nil"/>
              <w:right w:val="nil"/>
            </w:tcBorders>
            <w:shd w:val="clear" w:color="auto" w:fill="auto"/>
            <w:vAlign w:val="center"/>
            <w:hideMark/>
          </w:tcPr>
          <w:p w:rsidR="00E63289" w:rsidRPr="00C258AD" w:rsidRDefault="00E63289" w:rsidP="001A4D6C">
            <w:pPr>
              <w:keepNext/>
              <w:jc w:val="right"/>
              <w:rPr>
                <w:sz w:val="16"/>
                <w:szCs w:val="16"/>
                <w:lang w:eastAsia="fr-FR"/>
              </w:rPr>
            </w:pPr>
            <w:r w:rsidRPr="00C258AD">
              <w:rPr>
                <w:sz w:val="16"/>
                <w:szCs w:val="16"/>
                <w:lang w:eastAsia="fr-FR"/>
              </w:rPr>
              <w:t>266</w:t>
            </w:r>
          </w:p>
        </w:tc>
        <w:tc>
          <w:tcPr>
            <w:tcW w:w="1360" w:type="dxa"/>
            <w:tcBorders>
              <w:top w:val="nil"/>
              <w:left w:val="nil"/>
              <w:bottom w:val="nil"/>
              <w:right w:val="nil"/>
            </w:tcBorders>
            <w:shd w:val="clear" w:color="auto" w:fill="auto"/>
            <w:vAlign w:val="center"/>
            <w:hideMark/>
          </w:tcPr>
          <w:p w:rsidR="00E63289" w:rsidRPr="00C258AD" w:rsidRDefault="00E63289" w:rsidP="001A4D6C">
            <w:pPr>
              <w:keepNext/>
              <w:jc w:val="right"/>
              <w:rPr>
                <w:sz w:val="16"/>
                <w:szCs w:val="16"/>
                <w:lang w:eastAsia="fr-FR"/>
              </w:rPr>
            </w:pPr>
            <w:r w:rsidRPr="00C258AD">
              <w:rPr>
                <w:sz w:val="16"/>
                <w:szCs w:val="16"/>
                <w:lang w:eastAsia="fr-FR"/>
              </w:rPr>
              <w:t>882</w:t>
            </w:r>
          </w:p>
        </w:tc>
        <w:tc>
          <w:tcPr>
            <w:tcW w:w="1360" w:type="dxa"/>
            <w:tcBorders>
              <w:top w:val="nil"/>
              <w:left w:val="nil"/>
              <w:bottom w:val="nil"/>
              <w:right w:val="single" w:sz="4" w:space="0" w:color="auto"/>
            </w:tcBorders>
            <w:shd w:val="clear" w:color="auto" w:fill="auto"/>
            <w:vAlign w:val="center"/>
            <w:hideMark/>
          </w:tcPr>
          <w:p w:rsidR="00E63289" w:rsidRPr="00C258AD" w:rsidRDefault="00E63289" w:rsidP="001A4D6C">
            <w:pPr>
              <w:keepNext/>
              <w:jc w:val="right"/>
              <w:rPr>
                <w:sz w:val="16"/>
                <w:szCs w:val="16"/>
                <w:lang w:eastAsia="fr-FR"/>
              </w:rPr>
            </w:pPr>
            <w:r w:rsidRPr="00C258AD">
              <w:rPr>
                <w:sz w:val="16"/>
                <w:szCs w:val="16"/>
                <w:lang w:eastAsia="fr-FR"/>
              </w:rPr>
              <w:t>795</w:t>
            </w:r>
          </w:p>
        </w:tc>
      </w:tr>
      <w:tr w:rsidR="00E63289" w:rsidRPr="00C258AD" w:rsidTr="001A4D6C">
        <w:trPr>
          <w:cantSplit/>
        </w:trPr>
        <w:tc>
          <w:tcPr>
            <w:tcW w:w="602" w:type="dxa"/>
            <w:tcBorders>
              <w:top w:val="nil"/>
              <w:left w:val="single" w:sz="4" w:space="0" w:color="auto"/>
              <w:bottom w:val="nil"/>
              <w:right w:val="nil"/>
            </w:tcBorders>
            <w:shd w:val="clear" w:color="auto" w:fill="auto"/>
            <w:noWrap/>
            <w:vAlign w:val="center"/>
            <w:hideMark/>
          </w:tcPr>
          <w:p w:rsidR="00E63289" w:rsidRPr="00C258AD" w:rsidRDefault="00E63289" w:rsidP="001A4D6C">
            <w:pPr>
              <w:keepNext/>
              <w:rPr>
                <w:sz w:val="16"/>
                <w:szCs w:val="16"/>
                <w:lang w:eastAsia="fr-FR"/>
              </w:rPr>
            </w:pPr>
            <w:r w:rsidRPr="00C258AD">
              <w:rPr>
                <w:sz w:val="16"/>
                <w:szCs w:val="16"/>
                <w:lang w:eastAsia="fr-FR"/>
              </w:rPr>
              <w:t>IX.2</w:t>
            </w:r>
          </w:p>
        </w:tc>
        <w:tc>
          <w:tcPr>
            <w:tcW w:w="4398" w:type="dxa"/>
            <w:tcBorders>
              <w:top w:val="nil"/>
              <w:left w:val="nil"/>
              <w:bottom w:val="nil"/>
              <w:right w:val="nil"/>
            </w:tcBorders>
            <w:shd w:val="clear" w:color="auto" w:fill="auto"/>
            <w:vAlign w:val="center"/>
            <w:hideMark/>
          </w:tcPr>
          <w:p w:rsidR="00E63289" w:rsidRPr="00C258AD" w:rsidRDefault="00E63289" w:rsidP="001A4D6C">
            <w:pPr>
              <w:keepNext/>
              <w:rPr>
                <w:sz w:val="16"/>
                <w:szCs w:val="16"/>
                <w:lang w:eastAsia="fr-FR"/>
              </w:rPr>
            </w:pPr>
            <w:r w:rsidRPr="00C258AD">
              <w:rPr>
                <w:sz w:val="16"/>
                <w:szCs w:val="16"/>
                <w:lang w:eastAsia="fr-FR"/>
              </w:rPr>
              <w:t>Un Secrétariat réactif, fonctionnant harmonieusement et doté de ressources humaines bien gérées et compétentes, à même d’obtenir des résultats concrets</w:t>
            </w:r>
          </w:p>
        </w:tc>
        <w:tc>
          <w:tcPr>
            <w:tcW w:w="1360" w:type="dxa"/>
            <w:tcBorders>
              <w:top w:val="nil"/>
              <w:left w:val="nil"/>
              <w:bottom w:val="nil"/>
              <w:right w:val="nil"/>
            </w:tcBorders>
            <w:shd w:val="clear" w:color="auto" w:fill="auto"/>
            <w:vAlign w:val="center"/>
            <w:hideMark/>
          </w:tcPr>
          <w:p w:rsidR="00E63289" w:rsidRPr="00C258AD" w:rsidRDefault="00E63289" w:rsidP="001A4D6C">
            <w:pPr>
              <w:keepNext/>
              <w:jc w:val="right"/>
              <w:rPr>
                <w:sz w:val="16"/>
                <w:szCs w:val="16"/>
                <w:lang w:eastAsia="fr-FR"/>
              </w:rPr>
            </w:pPr>
            <w:r w:rsidRPr="00C258AD">
              <w:rPr>
                <w:sz w:val="16"/>
                <w:szCs w:val="16"/>
                <w:lang w:eastAsia="fr-FR"/>
              </w:rPr>
              <w:t>8 946</w:t>
            </w:r>
          </w:p>
        </w:tc>
        <w:tc>
          <w:tcPr>
            <w:tcW w:w="1360" w:type="dxa"/>
            <w:tcBorders>
              <w:top w:val="nil"/>
              <w:left w:val="nil"/>
              <w:bottom w:val="nil"/>
              <w:right w:val="nil"/>
            </w:tcBorders>
            <w:shd w:val="clear" w:color="auto" w:fill="auto"/>
            <w:vAlign w:val="center"/>
            <w:hideMark/>
          </w:tcPr>
          <w:p w:rsidR="00E63289" w:rsidRPr="00C258AD" w:rsidRDefault="00E63289" w:rsidP="001A4D6C">
            <w:pPr>
              <w:keepNext/>
              <w:jc w:val="right"/>
              <w:rPr>
                <w:sz w:val="16"/>
                <w:szCs w:val="16"/>
                <w:lang w:eastAsia="fr-FR"/>
              </w:rPr>
            </w:pPr>
            <w:r w:rsidRPr="00C258AD">
              <w:rPr>
                <w:sz w:val="16"/>
                <w:szCs w:val="16"/>
                <w:lang w:eastAsia="fr-FR"/>
              </w:rPr>
              <w:t>8 533</w:t>
            </w:r>
          </w:p>
        </w:tc>
        <w:tc>
          <w:tcPr>
            <w:tcW w:w="1360" w:type="dxa"/>
            <w:tcBorders>
              <w:top w:val="nil"/>
              <w:left w:val="nil"/>
              <w:bottom w:val="nil"/>
              <w:right w:val="single" w:sz="4" w:space="0" w:color="auto"/>
            </w:tcBorders>
            <w:shd w:val="clear" w:color="auto" w:fill="auto"/>
            <w:vAlign w:val="center"/>
            <w:hideMark/>
          </w:tcPr>
          <w:p w:rsidR="00E63289" w:rsidRPr="00C258AD" w:rsidRDefault="00E63289" w:rsidP="001A4D6C">
            <w:pPr>
              <w:keepNext/>
              <w:jc w:val="right"/>
              <w:rPr>
                <w:sz w:val="16"/>
                <w:szCs w:val="16"/>
                <w:lang w:eastAsia="fr-FR"/>
              </w:rPr>
            </w:pPr>
            <w:r w:rsidRPr="00C258AD">
              <w:rPr>
                <w:sz w:val="16"/>
                <w:szCs w:val="16"/>
                <w:lang w:eastAsia="fr-FR"/>
              </w:rPr>
              <w:t>7 817</w:t>
            </w:r>
          </w:p>
        </w:tc>
      </w:tr>
      <w:tr w:rsidR="00E63289" w:rsidRPr="00C258AD" w:rsidTr="001A4D6C">
        <w:trPr>
          <w:cantSplit/>
        </w:trPr>
        <w:tc>
          <w:tcPr>
            <w:tcW w:w="602" w:type="dxa"/>
            <w:tcBorders>
              <w:top w:val="nil"/>
              <w:left w:val="single" w:sz="4" w:space="0" w:color="auto"/>
              <w:bottom w:val="nil"/>
              <w:right w:val="nil"/>
            </w:tcBorders>
            <w:shd w:val="clear" w:color="auto" w:fill="auto"/>
            <w:noWrap/>
            <w:vAlign w:val="center"/>
            <w:hideMark/>
          </w:tcPr>
          <w:p w:rsidR="00E63289" w:rsidRPr="00C258AD" w:rsidRDefault="00E63289" w:rsidP="001A4D6C">
            <w:pPr>
              <w:keepNext/>
              <w:rPr>
                <w:sz w:val="16"/>
                <w:szCs w:val="16"/>
                <w:lang w:eastAsia="fr-FR"/>
              </w:rPr>
            </w:pPr>
            <w:r w:rsidRPr="00C258AD">
              <w:rPr>
                <w:sz w:val="16"/>
                <w:szCs w:val="16"/>
                <w:lang w:eastAsia="fr-FR"/>
              </w:rPr>
              <w:t>IX.3</w:t>
            </w:r>
          </w:p>
        </w:tc>
        <w:tc>
          <w:tcPr>
            <w:tcW w:w="4398" w:type="dxa"/>
            <w:tcBorders>
              <w:top w:val="nil"/>
              <w:left w:val="nil"/>
              <w:bottom w:val="nil"/>
              <w:right w:val="nil"/>
            </w:tcBorders>
            <w:shd w:val="clear" w:color="auto" w:fill="auto"/>
            <w:vAlign w:val="center"/>
            <w:hideMark/>
          </w:tcPr>
          <w:p w:rsidR="00E63289" w:rsidRPr="00C258AD" w:rsidRDefault="00E63289" w:rsidP="001A4D6C">
            <w:pPr>
              <w:keepNext/>
              <w:rPr>
                <w:sz w:val="16"/>
                <w:szCs w:val="16"/>
                <w:lang w:eastAsia="fr-FR"/>
              </w:rPr>
            </w:pPr>
            <w:r w:rsidRPr="00C258AD">
              <w:rPr>
                <w:sz w:val="16"/>
                <w:szCs w:val="16"/>
                <w:lang w:eastAsia="fr-FR"/>
              </w:rPr>
              <w:t>Un environnement de travail stimulant étayé par un cadre réglementaire efficace et des voies appropriées pour répondre aux préoccupations du personnel</w:t>
            </w:r>
          </w:p>
        </w:tc>
        <w:tc>
          <w:tcPr>
            <w:tcW w:w="1360" w:type="dxa"/>
            <w:tcBorders>
              <w:top w:val="nil"/>
              <w:left w:val="nil"/>
              <w:bottom w:val="nil"/>
              <w:right w:val="nil"/>
            </w:tcBorders>
            <w:shd w:val="clear" w:color="auto" w:fill="auto"/>
            <w:vAlign w:val="center"/>
            <w:hideMark/>
          </w:tcPr>
          <w:p w:rsidR="00E63289" w:rsidRPr="00C258AD" w:rsidRDefault="00E63289" w:rsidP="001A4D6C">
            <w:pPr>
              <w:keepNext/>
              <w:jc w:val="right"/>
              <w:rPr>
                <w:sz w:val="16"/>
                <w:szCs w:val="16"/>
                <w:lang w:eastAsia="fr-FR"/>
              </w:rPr>
            </w:pPr>
            <w:r w:rsidRPr="00C258AD">
              <w:rPr>
                <w:sz w:val="16"/>
                <w:szCs w:val="16"/>
                <w:lang w:eastAsia="fr-FR"/>
              </w:rPr>
              <w:t>1 048</w:t>
            </w:r>
          </w:p>
        </w:tc>
        <w:tc>
          <w:tcPr>
            <w:tcW w:w="1360" w:type="dxa"/>
            <w:tcBorders>
              <w:top w:val="nil"/>
              <w:left w:val="nil"/>
              <w:bottom w:val="nil"/>
              <w:right w:val="nil"/>
            </w:tcBorders>
            <w:shd w:val="clear" w:color="auto" w:fill="auto"/>
            <w:vAlign w:val="center"/>
            <w:hideMark/>
          </w:tcPr>
          <w:p w:rsidR="00E63289" w:rsidRPr="00C258AD" w:rsidRDefault="00E63289" w:rsidP="001A4D6C">
            <w:pPr>
              <w:keepNext/>
              <w:jc w:val="right"/>
              <w:rPr>
                <w:sz w:val="16"/>
                <w:szCs w:val="16"/>
                <w:lang w:eastAsia="fr-FR"/>
              </w:rPr>
            </w:pPr>
            <w:r w:rsidRPr="00C258AD">
              <w:rPr>
                <w:sz w:val="16"/>
                <w:szCs w:val="16"/>
                <w:lang w:eastAsia="fr-FR"/>
              </w:rPr>
              <w:t>1 000</w:t>
            </w:r>
          </w:p>
        </w:tc>
        <w:tc>
          <w:tcPr>
            <w:tcW w:w="1360" w:type="dxa"/>
            <w:tcBorders>
              <w:top w:val="nil"/>
              <w:left w:val="nil"/>
              <w:bottom w:val="nil"/>
              <w:right w:val="single" w:sz="4" w:space="0" w:color="auto"/>
            </w:tcBorders>
            <w:shd w:val="clear" w:color="auto" w:fill="auto"/>
            <w:vAlign w:val="center"/>
            <w:hideMark/>
          </w:tcPr>
          <w:p w:rsidR="00E63289" w:rsidRPr="00C258AD" w:rsidRDefault="00E63289" w:rsidP="001A4D6C">
            <w:pPr>
              <w:keepNext/>
              <w:jc w:val="right"/>
              <w:rPr>
                <w:sz w:val="16"/>
                <w:szCs w:val="16"/>
                <w:lang w:eastAsia="fr-FR"/>
              </w:rPr>
            </w:pPr>
            <w:r w:rsidRPr="00C258AD">
              <w:rPr>
                <w:sz w:val="16"/>
                <w:szCs w:val="16"/>
                <w:lang w:eastAsia="fr-FR"/>
              </w:rPr>
              <w:t>672</w:t>
            </w:r>
          </w:p>
        </w:tc>
      </w:tr>
      <w:tr w:rsidR="00E63289" w:rsidRPr="00C258AD" w:rsidTr="001A4D6C">
        <w:trPr>
          <w:cantSplit/>
        </w:trPr>
        <w:tc>
          <w:tcPr>
            <w:tcW w:w="602" w:type="dxa"/>
            <w:tcBorders>
              <w:top w:val="single" w:sz="4" w:space="0" w:color="auto"/>
              <w:left w:val="single" w:sz="4" w:space="0" w:color="auto"/>
              <w:bottom w:val="single" w:sz="4" w:space="0" w:color="auto"/>
              <w:right w:val="nil"/>
            </w:tcBorders>
            <w:shd w:val="clear" w:color="auto" w:fill="C5D9F1"/>
            <w:noWrap/>
            <w:vAlign w:val="bottom"/>
            <w:hideMark/>
          </w:tcPr>
          <w:p w:rsidR="00E63289" w:rsidRPr="00C258AD" w:rsidRDefault="00E63289" w:rsidP="001A4D6C">
            <w:pPr>
              <w:keepNext/>
              <w:rPr>
                <w:sz w:val="16"/>
                <w:szCs w:val="16"/>
                <w:lang w:eastAsia="fr-FR"/>
              </w:rPr>
            </w:pPr>
            <w:r w:rsidRPr="00C258AD">
              <w:rPr>
                <w:sz w:val="16"/>
                <w:szCs w:val="16"/>
                <w:lang w:eastAsia="fr-FR"/>
              </w:rPr>
              <w:t> </w:t>
            </w:r>
          </w:p>
        </w:tc>
        <w:tc>
          <w:tcPr>
            <w:tcW w:w="4398" w:type="dxa"/>
            <w:tcBorders>
              <w:top w:val="single" w:sz="4" w:space="0" w:color="auto"/>
              <w:left w:val="nil"/>
              <w:bottom w:val="single" w:sz="4" w:space="0" w:color="auto"/>
              <w:right w:val="single" w:sz="4" w:space="0" w:color="auto"/>
            </w:tcBorders>
            <w:shd w:val="clear" w:color="auto" w:fill="C5D9F1"/>
            <w:noWrap/>
            <w:vAlign w:val="bottom"/>
            <w:hideMark/>
          </w:tcPr>
          <w:p w:rsidR="00E63289" w:rsidRPr="00C258AD" w:rsidRDefault="00E63289" w:rsidP="001A4D6C">
            <w:pPr>
              <w:keepNext/>
              <w:rPr>
                <w:b/>
                <w:bCs/>
                <w:sz w:val="16"/>
                <w:szCs w:val="16"/>
                <w:lang w:eastAsia="fr-FR"/>
              </w:rPr>
            </w:pPr>
            <w:r w:rsidRPr="00C258AD">
              <w:rPr>
                <w:b/>
                <w:bCs/>
                <w:sz w:val="16"/>
                <w:szCs w:val="16"/>
                <w:lang w:eastAsia="fr-FR"/>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E63289" w:rsidRPr="00C258AD" w:rsidRDefault="00E63289" w:rsidP="001A4D6C">
            <w:pPr>
              <w:keepNext/>
              <w:jc w:val="right"/>
              <w:rPr>
                <w:b/>
                <w:bCs/>
                <w:sz w:val="16"/>
                <w:szCs w:val="16"/>
                <w:lang w:eastAsia="fr-FR"/>
              </w:rPr>
            </w:pPr>
            <w:r w:rsidRPr="00C258AD">
              <w:rPr>
                <w:b/>
                <w:bCs/>
                <w:sz w:val="16"/>
                <w:szCs w:val="16"/>
                <w:lang w:eastAsia="fr-FR"/>
              </w:rPr>
              <w:t>18 945</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E63289" w:rsidRPr="00C258AD" w:rsidRDefault="00E63289" w:rsidP="001A4D6C">
            <w:pPr>
              <w:keepNext/>
              <w:jc w:val="right"/>
              <w:rPr>
                <w:b/>
                <w:bCs/>
                <w:sz w:val="16"/>
                <w:szCs w:val="16"/>
                <w:lang w:eastAsia="fr-FR"/>
              </w:rPr>
            </w:pPr>
            <w:r w:rsidRPr="00C258AD">
              <w:rPr>
                <w:b/>
                <w:bCs/>
                <w:sz w:val="16"/>
                <w:szCs w:val="16"/>
                <w:lang w:eastAsia="fr-FR"/>
              </w:rPr>
              <w:t>20 827</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E63289" w:rsidRPr="00C258AD" w:rsidRDefault="00E63289" w:rsidP="001A4D6C">
            <w:pPr>
              <w:keepNext/>
              <w:jc w:val="right"/>
              <w:rPr>
                <w:b/>
                <w:bCs/>
                <w:sz w:val="16"/>
                <w:szCs w:val="16"/>
                <w:lang w:eastAsia="fr-FR"/>
              </w:rPr>
            </w:pPr>
            <w:r w:rsidRPr="00C258AD">
              <w:rPr>
                <w:b/>
                <w:bCs/>
                <w:sz w:val="16"/>
                <w:szCs w:val="16"/>
                <w:lang w:eastAsia="fr-FR"/>
              </w:rPr>
              <w:t>18 642</w:t>
            </w:r>
          </w:p>
        </w:tc>
      </w:tr>
    </w:tbl>
    <w:p w:rsidR="006E2BB1" w:rsidRPr="00C258AD" w:rsidRDefault="006E2BB1" w:rsidP="001A4D6C"/>
    <w:p w:rsidR="006E2BB1" w:rsidRPr="00C258AD" w:rsidRDefault="006E2BB1" w:rsidP="001A4D6C"/>
    <w:p w:rsidR="006E2BB1" w:rsidRPr="00C258AD" w:rsidRDefault="00E63289" w:rsidP="001A4D6C">
      <w:pPr>
        <w:pStyle w:val="NormalWeb"/>
        <w:keepNext/>
        <w:keepLines/>
        <w:spacing w:before="0" w:beforeAutospacing="0" w:after="0" w:afterAutospacing="0"/>
        <w:jc w:val="center"/>
        <w:rPr>
          <w:sz w:val="20"/>
          <w:szCs w:val="20"/>
        </w:rPr>
      </w:pPr>
      <w:r w:rsidRPr="00C258AD">
        <w:rPr>
          <w:sz w:val="20"/>
          <w:szCs w:val="20"/>
        </w:rPr>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E63289" w:rsidP="001A4D6C">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E63289" w:rsidRPr="00C258AD" w:rsidRDefault="00E63289" w:rsidP="001A4D6C">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E63289" w:rsidRPr="00C258AD" w:rsidTr="001A4D6C">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E63289" w:rsidRPr="00C258AD" w:rsidRDefault="00E63289" w:rsidP="001A4D6C">
            <w:pPr>
              <w:rPr>
                <w:color w:val="000000"/>
                <w:sz w:val="16"/>
                <w:szCs w:val="18"/>
                <w:lang w:eastAsia="fr-FR"/>
              </w:rPr>
            </w:pPr>
            <w:r w:rsidRPr="00C258AD">
              <w:rPr>
                <w:color w:val="000000"/>
                <w:sz w:val="16"/>
                <w:szCs w:val="18"/>
                <w:lang w:eastAsia="fr-FR"/>
              </w:rPr>
              <w:t> </w:t>
            </w:r>
          </w:p>
        </w:tc>
        <w:tc>
          <w:tcPr>
            <w:tcW w:w="1745" w:type="dxa"/>
            <w:tcBorders>
              <w:top w:val="single" w:sz="4" w:space="0" w:color="auto"/>
              <w:left w:val="nil"/>
              <w:bottom w:val="nil"/>
              <w:right w:val="single" w:sz="4" w:space="0" w:color="auto"/>
            </w:tcBorders>
            <w:shd w:val="clear" w:color="auto" w:fill="C5D9F1"/>
            <w:vAlign w:val="center"/>
            <w:hideMark/>
          </w:tcPr>
          <w:p w:rsidR="00E63289" w:rsidRPr="00C258AD" w:rsidRDefault="00E63289" w:rsidP="001A4D6C">
            <w:pPr>
              <w:jc w:val="center"/>
              <w:rPr>
                <w:b/>
                <w:bCs/>
                <w:color w:val="000000"/>
                <w:sz w:val="16"/>
                <w:szCs w:val="18"/>
                <w:lang w:eastAsia="fr-FR"/>
              </w:rPr>
            </w:pPr>
            <w:r w:rsidRPr="00C258AD">
              <w:rPr>
                <w:b/>
                <w:bCs/>
                <w:color w:val="000000"/>
                <w:sz w:val="16"/>
                <w:szCs w:val="18"/>
                <w:lang w:eastAsia="fr-FR"/>
              </w:rPr>
              <w:t>Budget 2014</w:t>
            </w:r>
            <w:r w:rsidRPr="00C258AD">
              <w:rPr>
                <w:b/>
                <w:bCs/>
                <w:color w:val="000000"/>
                <w:sz w:val="16"/>
                <w:szCs w:val="18"/>
                <w:lang w:eastAsia="fr-FR"/>
              </w:rPr>
              <w:noBreakHyphen/>
              <w:t>2015</w:t>
            </w:r>
            <w:r w:rsidRPr="00C258AD">
              <w:rPr>
                <w:b/>
                <w:bCs/>
                <w:color w:val="000000"/>
                <w:sz w:val="16"/>
                <w:szCs w:val="18"/>
                <w:lang w:eastAsia="fr-FR"/>
              </w:rPr>
              <w:br/>
              <w:t>approuvé</w:t>
            </w:r>
          </w:p>
        </w:tc>
        <w:tc>
          <w:tcPr>
            <w:tcW w:w="1746" w:type="dxa"/>
            <w:tcBorders>
              <w:top w:val="single" w:sz="4" w:space="0" w:color="auto"/>
              <w:left w:val="nil"/>
              <w:bottom w:val="nil"/>
              <w:right w:val="single" w:sz="4" w:space="0" w:color="auto"/>
            </w:tcBorders>
            <w:shd w:val="clear" w:color="auto" w:fill="C5D9F1"/>
            <w:vAlign w:val="center"/>
            <w:hideMark/>
          </w:tcPr>
          <w:p w:rsidR="00E63289" w:rsidRPr="00C258AD" w:rsidRDefault="00E63289" w:rsidP="001A4D6C">
            <w:pPr>
              <w:jc w:val="center"/>
              <w:rPr>
                <w:b/>
                <w:bCs/>
                <w:color w:val="000000"/>
                <w:sz w:val="16"/>
                <w:szCs w:val="18"/>
                <w:lang w:eastAsia="fr-FR"/>
              </w:rPr>
            </w:pPr>
            <w:r w:rsidRPr="00C258AD">
              <w:rPr>
                <w:b/>
                <w:bCs/>
                <w:color w:val="000000"/>
                <w:sz w:val="16"/>
                <w:szCs w:val="18"/>
                <w:lang w:eastAsia="fr-FR"/>
              </w:rPr>
              <w:t>Budget final 2014</w:t>
            </w:r>
            <w:r w:rsidRPr="00C258AD">
              <w:rPr>
                <w:b/>
                <w:bCs/>
                <w:color w:val="000000"/>
                <w:sz w:val="16"/>
                <w:szCs w:val="18"/>
                <w:lang w:eastAsia="fr-FR"/>
              </w:rPr>
              <w:noBreakHyphen/>
              <w:t>2015</w:t>
            </w:r>
            <w:r w:rsidRPr="00C258AD">
              <w:rPr>
                <w:b/>
                <w:bCs/>
                <w:color w:val="000000"/>
                <w:sz w:val="16"/>
                <w:szCs w:val="18"/>
                <w:lang w:eastAsia="fr-FR"/>
              </w:rPr>
              <w:br/>
              <w:t>après virements</w:t>
            </w:r>
          </w:p>
        </w:tc>
        <w:tc>
          <w:tcPr>
            <w:tcW w:w="1745" w:type="dxa"/>
            <w:tcBorders>
              <w:top w:val="single" w:sz="4" w:space="0" w:color="auto"/>
              <w:left w:val="nil"/>
              <w:bottom w:val="nil"/>
              <w:right w:val="single" w:sz="4" w:space="0" w:color="auto"/>
            </w:tcBorders>
            <w:shd w:val="clear" w:color="auto" w:fill="C5D9F1"/>
            <w:vAlign w:val="center"/>
            <w:hideMark/>
          </w:tcPr>
          <w:p w:rsidR="00E63289" w:rsidRPr="00C258AD" w:rsidRDefault="00E63289" w:rsidP="001A4D6C">
            <w:pPr>
              <w:jc w:val="center"/>
              <w:rPr>
                <w:b/>
                <w:bCs/>
                <w:color w:val="000000"/>
                <w:sz w:val="16"/>
                <w:szCs w:val="18"/>
                <w:lang w:eastAsia="fr-FR"/>
              </w:rPr>
            </w:pPr>
            <w:r w:rsidRPr="00C258AD">
              <w:rPr>
                <w:b/>
                <w:bCs/>
                <w:color w:val="000000"/>
                <w:sz w:val="16"/>
                <w:szCs w:val="18"/>
                <w:lang w:eastAsia="fr-FR"/>
              </w:rPr>
              <w:t>Dépenses</w:t>
            </w:r>
            <w:r w:rsidRPr="00C258AD">
              <w:rPr>
                <w:b/>
                <w:bCs/>
                <w:color w:val="000000"/>
                <w:sz w:val="16"/>
                <w:szCs w:val="18"/>
                <w:lang w:eastAsia="fr-FR"/>
              </w:rPr>
              <w:br/>
              <w:t>2014</w:t>
            </w:r>
            <w:r w:rsidRPr="00C258AD">
              <w:rPr>
                <w:b/>
                <w:bCs/>
                <w:color w:val="000000"/>
                <w:sz w:val="16"/>
                <w:szCs w:val="18"/>
                <w:lang w:eastAsia="fr-FR"/>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E63289" w:rsidRPr="00C258AD" w:rsidRDefault="00E63289" w:rsidP="001A4D6C">
            <w:pPr>
              <w:jc w:val="center"/>
              <w:rPr>
                <w:b/>
                <w:bCs/>
                <w:color w:val="000000"/>
                <w:sz w:val="16"/>
                <w:szCs w:val="18"/>
                <w:lang w:eastAsia="fr-FR"/>
              </w:rPr>
            </w:pPr>
            <w:r w:rsidRPr="00C258AD">
              <w:rPr>
                <w:b/>
                <w:bCs/>
                <w:color w:val="000000"/>
                <w:sz w:val="16"/>
                <w:szCs w:val="18"/>
                <w:lang w:eastAsia="fr-FR"/>
              </w:rPr>
              <w:t>Taux d’utilisation (%)</w:t>
            </w:r>
          </w:p>
        </w:tc>
      </w:tr>
      <w:tr w:rsidR="00E63289"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E63289" w:rsidRPr="00C258AD" w:rsidRDefault="00E63289" w:rsidP="001A4D6C">
            <w:pPr>
              <w:rPr>
                <w:color w:val="000000"/>
                <w:sz w:val="16"/>
                <w:szCs w:val="18"/>
                <w:lang w:eastAsia="fr-FR"/>
              </w:rPr>
            </w:pPr>
            <w:r w:rsidRPr="00C258AD">
              <w:rPr>
                <w:color w:val="000000"/>
                <w:sz w:val="16"/>
                <w:szCs w:val="18"/>
                <w:lang w:eastAsia="fr-FR"/>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E63289" w:rsidRPr="00C258AD" w:rsidRDefault="00E63289" w:rsidP="001A4D6C">
            <w:pPr>
              <w:jc w:val="center"/>
              <w:rPr>
                <w:color w:val="000000"/>
                <w:sz w:val="16"/>
                <w:szCs w:val="18"/>
                <w:lang w:eastAsia="fr-FR"/>
              </w:rPr>
            </w:pPr>
            <w:r w:rsidRPr="00C258AD">
              <w:rPr>
                <w:color w:val="000000"/>
                <w:sz w:val="16"/>
                <w:szCs w:val="18"/>
                <w:lang w:eastAsia="fr-FR"/>
              </w:rPr>
              <w:t>16 799</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E63289" w:rsidRPr="00C258AD" w:rsidRDefault="00E63289" w:rsidP="001A4D6C">
            <w:pPr>
              <w:jc w:val="center"/>
              <w:rPr>
                <w:color w:val="000000"/>
                <w:sz w:val="16"/>
                <w:szCs w:val="18"/>
                <w:lang w:eastAsia="fr-FR"/>
              </w:rPr>
            </w:pPr>
            <w:r w:rsidRPr="00C258AD">
              <w:rPr>
                <w:color w:val="000000"/>
                <w:sz w:val="16"/>
                <w:szCs w:val="18"/>
                <w:lang w:eastAsia="fr-FR"/>
              </w:rPr>
              <w:t>17 795</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E63289" w:rsidRPr="00C258AD" w:rsidRDefault="00E63289" w:rsidP="001A4D6C">
            <w:pPr>
              <w:jc w:val="center"/>
              <w:rPr>
                <w:color w:val="000000"/>
                <w:sz w:val="16"/>
                <w:szCs w:val="18"/>
                <w:lang w:eastAsia="fr-FR"/>
              </w:rPr>
            </w:pPr>
            <w:r w:rsidRPr="00C258AD">
              <w:rPr>
                <w:color w:val="000000"/>
                <w:sz w:val="16"/>
                <w:szCs w:val="18"/>
                <w:lang w:eastAsia="fr-FR"/>
              </w:rPr>
              <w:t>15 923</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E63289" w:rsidRPr="00C258AD" w:rsidRDefault="00E63289" w:rsidP="001A4D6C">
            <w:pPr>
              <w:jc w:val="center"/>
              <w:rPr>
                <w:color w:val="000000"/>
                <w:sz w:val="16"/>
                <w:szCs w:val="18"/>
                <w:lang w:eastAsia="fr-FR"/>
              </w:rPr>
            </w:pPr>
            <w:r w:rsidRPr="00C258AD">
              <w:rPr>
                <w:color w:val="000000"/>
                <w:sz w:val="16"/>
                <w:szCs w:val="18"/>
                <w:lang w:eastAsia="fr-FR"/>
              </w:rPr>
              <w:t>89%</w:t>
            </w:r>
          </w:p>
        </w:tc>
      </w:tr>
      <w:tr w:rsidR="00E63289"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E63289" w:rsidRPr="00C258AD" w:rsidRDefault="00E63289" w:rsidP="001A4D6C">
            <w:pPr>
              <w:rPr>
                <w:color w:val="000000"/>
                <w:sz w:val="16"/>
                <w:szCs w:val="18"/>
                <w:lang w:eastAsia="fr-FR"/>
              </w:rPr>
            </w:pPr>
            <w:r w:rsidRPr="00C258AD">
              <w:rPr>
                <w:color w:val="000000"/>
                <w:sz w:val="16"/>
                <w:szCs w:val="18"/>
                <w:lang w:eastAsia="fr-FR"/>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E63289" w:rsidRPr="00C258AD" w:rsidRDefault="00E63289" w:rsidP="001A4D6C">
            <w:pPr>
              <w:jc w:val="center"/>
              <w:rPr>
                <w:color w:val="000000"/>
                <w:sz w:val="16"/>
                <w:szCs w:val="18"/>
                <w:lang w:eastAsia="fr-FR"/>
              </w:rPr>
            </w:pPr>
            <w:r w:rsidRPr="00C258AD">
              <w:rPr>
                <w:color w:val="000000"/>
                <w:sz w:val="16"/>
                <w:szCs w:val="18"/>
                <w:lang w:eastAsia="fr-FR"/>
              </w:rPr>
              <w:t>2 146</w:t>
            </w:r>
          </w:p>
        </w:tc>
        <w:tc>
          <w:tcPr>
            <w:tcW w:w="1746" w:type="dxa"/>
            <w:tcBorders>
              <w:top w:val="nil"/>
              <w:left w:val="nil"/>
              <w:bottom w:val="single" w:sz="4" w:space="0" w:color="auto"/>
              <w:right w:val="single" w:sz="4" w:space="0" w:color="auto"/>
            </w:tcBorders>
            <w:shd w:val="clear" w:color="auto" w:fill="auto"/>
            <w:vAlign w:val="center"/>
            <w:hideMark/>
          </w:tcPr>
          <w:p w:rsidR="00E63289" w:rsidRPr="00C258AD" w:rsidRDefault="00E63289" w:rsidP="001A4D6C">
            <w:pPr>
              <w:jc w:val="center"/>
              <w:rPr>
                <w:color w:val="000000"/>
                <w:sz w:val="16"/>
                <w:szCs w:val="18"/>
                <w:lang w:eastAsia="fr-FR"/>
              </w:rPr>
            </w:pPr>
            <w:r w:rsidRPr="00C258AD">
              <w:rPr>
                <w:color w:val="000000"/>
                <w:sz w:val="16"/>
                <w:szCs w:val="18"/>
                <w:lang w:eastAsia="fr-FR"/>
              </w:rPr>
              <w:t>3 032</w:t>
            </w:r>
          </w:p>
        </w:tc>
        <w:tc>
          <w:tcPr>
            <w:tcW w:w="1745" w:type="dxa"/>
            <w:tcBorders>
              <w:top w:val="nil"/>
              <w:left w:val="nil"/>
              <w:bottom w:val="single" w:sz="4" w:space="0" w:color="auto"/>
              <w:right w:val="single" w:sz="4" w:space="0" w:color="auto"/>
            </w:tcBorders>
            <w:shd w:val="clear" w:color="auto" w:fill="auto"/>
            <w:vAlign w:val="center"/>
            <w:hideMark/>
          </w:tcPr>
          <w:p w:rsidR="00E63289" w:rsidRPr="00C258AD" w:rsidRDefault="00E63289" w:rsidP="001A4D6C">
            <w:pPr>
              <w:jc w:val="center"/>
              <w:rPr>
                <w:color w:val="000000"/>
                <w:sz w:val="16"/>
                <w:szCs w:val="18"/>
                <w:lang w:eastAsia="fr-FR"/>
              </w:rPr>
            </w:pPr>
            <w:r w:rsidRPr="00C258AD">
              <w:rPr>
                <w:color w:val="000000"/>
                <w:sz w:val="16"/>
                <w:szCs w:val="18"/>
                <w:lang w:eastAsia="fr-FR"/>
              </w:rPr>
              <w:t>2 718</w:t>
            </w:r>
          </w:p>
        </w:tc>
        <w:tc>
          <w:tcPr>
            <w:tcW w:w="1746" w:type="dxa"/>
            <w:tcBorders>
              <w:top w:val="nil"/>
              <w:left w:val="nil"/>
              <w:bottom w:val="single" w:sz="4" w:space="0" w:color="auto"/>
              <w:right w:val="single" w:sz="4" w:space="0" w:color="auto"/>
            </w:tcBorders>
            <w:shd w:val="clear" w:color="auto" w:fill="auto"/>
            <w:vAlign w:val="center"/>
            <w:hideMark/>
          </w:tcPr>
          <w:p w:rsidR="00E63289" w:rsidRPr="00C258AD" w:rsidRDefault="00E63289" w:rsidP="001A4D6C">
            <w:pPr>
              <w:jc w:val="center"/>
              <w:rPr>
                <w:color w:val="000000"/>
                <w:sz w:val="16"/>
                <w:szCs w:val="18"/>
                <w:lang w:eastAsia="fr-FR"/>
              </w:rPr>
            </w:pPr>
            <w:r w:rsidRPr="00C258AD">
              <w:rPr>
                <w:color w:val="000000"/>
                <w:sz w:val="16"/>
                <w:szCs w:val="18"/>
                <w:lang w:eastAsia="fr-FR"/>
              </w:rPr>
              <w:t>90%</w:t>
            </w:r>
          </w:p>
        </w:tc>
      </w:tr>
      <w:tr w:rsidR="00E63289"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E63289" w:rsidRPr="00C258AD" w:rsidRDefault="00E63289" w:rsidP="001A4D6C">
            <w:pPr>
              <w:jc w:val="right"/>
              <w:rPr>
                <w:b/>
                <w:bCs/>
                <w:color w:val="000000"/>
                <w:sz w:val="16"/>
                <w:szCs w:val="18"/>
                <w:lang w:eastAsia="fr-FR"/>
              </w:rPr>
            </w:pPr>
            <w:r w:rsidRPr="00C258AD">
              <w:rPr>
                <w:b/>
                <w:bCs/>
                <w:color w:val="000000"/>
                <w:sz w:val="16"/>
                <w:szCs w:val="18"/>
                <w:lang w:eastAsia="fr-FR"/>
              </w:rPr>
              <w:t>TOTAL</w:t>
            </w:r>
          </w:p>
        </w:tc>
        <w:tc>
          <w:tcPr>
            <w:tcW w:w="1745" w:type="dxa"/>
            <w:tcBorders>
              <w:top w:val="nil"/>
              <w:left w:val="nil"/>
              <w:bottom w:val="single" w:sz="4" w:space="0" w:color="auto"/>
              <w:right w:val="single" w:sz="4" w:space="0" w:color="auto"/>
            </w:tcBorders>
            <w:shd w:val="clear" w:color="auto" w:fill="auto"/>
            <w:vAlign w:val="center"/>
            <w:hideMark/>
          </w:tcPr>
          <w:p w:rsidR="00E63289" w:rsidRPr="00C258AD" w:rsidRDefault="00E63289" w:rsidP="001A4D6C">
            <w:pPr>
              <w:jc w:val="center"/>
              <w:rPr>
                <w:b/>
                <w:bCs/>
                <w:color w:val="000000"/>
                <w:sz w:val="16"/>
                <w:szCs w:val="18"/>
                <w:lang w:eastAsia="fr-FR"/>
              </w:rPr>
            </w:pPr>
            <w:r w:rsidRPr="00C258AD">
              <w:rPr>
                <w:b/>
                <w:bCs/>
                <w:color w:val="000000"/>
                <w:sz w:val="16"/>
                <w:szCs w:val="18"/>
                <w:lang w:eastAsia="fr-FR"/>
              </w:rPr>
              <w:t>18 945</w:t>
            </w:r>
          </w:p>
        </w:tc>
        <w:tc>
          <w:tcPr>
            <w:tcW w:w="1746" w:type="dxa"/>
            <w:tcBorders>
              <w:top w:val="nil"/>
              <w:left w:val="nil"/>
              <w:bottom w:val="single" w:sz="4" w:space="0" w:color="auto"/>
              <w:right w:val="single" w:sz="4" w:space="0" w:color="auto"/>
            </w:tcBorders>
            <w:shd w:val="clear" w:color="auto" w:fill="auto"/>
            <w:vAlign w:val="center"/>
            <w:hideMark/>
          </w:tcPr>
          <w:p w:rsidR="00E63289" w:rsidRPr="00C258AD" w:rsidRDefault="00E63289" w:rsidP="001A4D6C">
            <w:pPr>
              <w:jc w:val="center"/>
              <w:rPr>
                <w:b/>
                <w:bCs/>
                <w:color w:val="000000"/>
                <w:sz w:val="16"/>
                <w:szCs w:val="18"/>
                <w:lang w:eastAsia="fr-FR"/>
              </w:rPr>
            </w:pPr>
            <w:r w:rsidRPr="00C258AD">
              <w:rPr>
                <w:b/>
                <w:bCs/>
                <w:color w:val="000000"/>
                <w:sz w:val="16"/>
                <w:szCs w:val="18"/>
                <w:lang w:eastAsia="fr-FR"/>
              </w:rPr>
              <w:t>20 827</w:t>
            </w:r>
          </w:p>
        </w:tc>
        <w:tc>
          <w:tcPr>
            <w:tcW w:w="1745" w:type="dxa"/>
            <w:tcBorders>
              <w:top w:val="nil"/>
              <w:left w:val="nil"/>
              <w:bottom w:val="single" w:sz="4" w:space="0" w:color="auto"/>
              <w:right w:val="single" w:sz="4" w:space="0" w:color="auto"/>
            </w:tcBorders>
            <w:shd w:val="clear" w:color="auto" w:fill="auto"/>
            <w:vAlign w:val="center"/>
            <w:hideMark/>
          </w:tcPr>
          <w:p w:rsidR="00E63289" w:rsidRPr="00C258AD" w:rsidRDefault="00E63289" w:rsidP="001A4D6C">
            <w:pPr>
              <w:jc w:val="center"/>
              <w:rPr>
                <w:b/>
                <w:bCs/>
                <w:color w:val="000000"/>
                <w:sz w:val="16"/>
                <w:szCs w:val="18"/>
                <w:lang w:eastAsia="fr-FR"/>
              </w:rPr>
            </w:pPr>
            <w:r w:rsidRPr="00C258AD">
              <w:rPr>
                <w:b/>
                <w:bCs/>
                <w:color w:val="000000"/>
                <w:sz w:val="16"/>
                <w:szCs w:val="18"/>
                <w:lang w:eastAsia="fr-FR"/>
              </w:rPr>
              <w:t>18 642</w:t>
            </w:r>
          </w:p>
        </w:tc>
        <w:tc>
          <w:tcPr>
            <w:tcW w:w="1746" w:type="dxa"/>
            <w:tcBorders>
              <w:top w:val="nil"/>
              <w:left w:val="nil"/>
              <w:bottom w:val="single" w:sz="4" w:space="0" w:color="auto"/>
              <w:right w:val="single" w:sz="4" w:space="0" w:color="auto"/>
            </w:tcBorders>
            <w:shd w:val="clear" w:color="auto" w:fill="auto"/>
            <w:vAlign w:val="center"/>
            <w:hideMark/>
          </w:tcPr>
          <w:p w:rsidR="00E63289" w:rsidRPr="00C258AD" w:rsidRDefault="00E63289" w:rsidP="001A4D6C">
            <w:pPr>
              <w:jc w:val="center"/>
              <w:rPr>
                <w:b/>
                <w:bCs/>
                <w:color w:val="000000"/>
                <w:sz w:val="16"/>
                <w:szCs w:val="18"/>
                <w:lang w:eastAsia="fr-FR"/>
              </w:rPr>
            </w:pPr>
            <w:r w:rsidRPr="00C258AD">
              <w:rPr>
                <w:b/>
                <w:bCs/>
                <w:color w:val="000000"/>
                <w:sz w:val="16"/>
                <w:szCs w:val="18"/>
                <w:lang w:eastAsia="fr-FR"/>
              </w:rPr>
              <w:t>90%</w:t>
            </w:r>
          </w:p>
        </w:tc>
      </w:tr>
    </w:tbl>
    <w:p w:rsidR="006E2BB1" w:rsidRPr="00C258AD" w:rsidRDefault="006E2BB1" w:rsidP="001A4D6C">
      <w:pPr>
        <w:widowControl w:val="0"/>
        <w:autoSpaceDE w:val="0"/>
        <w:autoSpaceDN w:val="0"/>
        <w:adjustRightInd w:val="0"/>
        <w:jc w:val="both"/>
      </w:pPr>
    </w:p>
    <w:p w:rsidR="006E2BB1" w:rsidRPr="00C258AD" w:rsidRDefault="006E2BB1" w:rsidP="001A4D6C">
      <w:pPr>
        <w:widowControl w:val="0"/>
        <w:autoSpaceDE w:val="0"/>
        <w:autoSpaceDN w:val="0"/>
        <w:adjustRightInd w:val="0"/>
        <w:jc w:val="both"/>
      </w:pPr>
    </w:p>
    <w:p w:rsidR="006E2BB1" w:rsidRPr="00C258AD" w:rsidRDefault="00E63289" w:rsidP="001A4D6C">
      <w:pPr>
        <w:keepNext/>
        <w:keepLines/>
        <w:rPr>
          <w:u w:val="single"/>
        </w:rPr>
      </w:pPr>
      <w:r w:rsidRPr="00C258AD">
        <w:lastRenderedPageBreak/>
        <w:t>A.</w:t>
      </w:r>
      <w:r w:rsidRPr="00C258AD">
        <w:tab/>
      </w:r>
      <w:r w:rsidRPr="00C258AD">
        <w:rPr>
          <w:u w:val="single"/>
        </w:rPr>
        <w:t>Budget final 2014</w:t>
      </w:r>
      <w:r w:rsidRPr="00C258AD">
        <w:rPr>
          <w:u w:val="single"/>
        </w:rPr>
        <w:noBreakHyphen/>
        <w:t>2015 après virements</w:t>
      </w:r>
    </w:p>
    <w:p w:rsidR="006E2BB1" w:rsidRPr="00C258AD" w:rsidRDefault="006E2BB1" w:rsidP="001A4D6C">
      <w:pPr>
        <w:keepNext/>
        <w:keepLines/>
        <w:rPr>
          <w:u w:val="single"/>
        </w:rPr>
      </w:pPr>
    </w:p>
    <w:p w:rsidR="006E2BB1" w:rsidRPr="00C258AD" w:rsidRDefault="00E63289" w:rsidP="00BB4DBC">
      <w:pPr>
        <w:numPr>
          <w:ilvl w:val="0"/>
          <w:numId w:val="35"/>
        </w:numPr>
        <w:autoSpaceDE w:val="0"/>
        <w:autoSpaceDN w:val="0"/>
        <w:adjustRightInd w:val="0"/>
        <w:jc w:val="both"/>
        <w:rPr>
          <w:lang w:eastAsia="ko-KR"/>
        </w:rPr>
      </w:pPr>
      <w:r w:rsidRPr="00C258AD">
        <w:t>L’augmentation</w:t>
      </w:r>
      <w:r w:rsidRPr="00C258AD">
        <w:rPr>
          <w:color w:val="000000"/>
          <w:lang w:eastAsia="ko-KR"/>
        </w:rPr>
        <w:t xml:space="preserve"> des dépenses de personnel au titre du budget final après virements découlait principalement :</w:t>
      </w:r>
    </w:p>
    <w:p w:rsidR="006E2BB1" w:rsidRPr="00C258AD" w:rsidRDefault="006E2BB1" w:rsidP="001A4D6C">
      <w:pPr>
        <w:jc w:val="both"/>
        <w:rPr>
          <w:lang w:eastAsia="ko-KR"/>
        </w:rPr>
      </w:pPr>
    </w:p>
    <w:p w:rsidR="006E2BB1" w:rsidRPr="00C258AD" w:rsidRDefault="00E63289" w:rsidP="00BB4DBC">
      <w:pPr>
        <w:pStyle w:val="ListParagraph"/>
        <w:numPr>
          <w:ilvl w:val="0"/>
          <w:numId w:val="37"/>
        </w:numPr>
        <w:jc w:val="both"/>
        <w:rPr>
          <w:lang w:eastAsia="ko-KR"/>
        </w:rPr>
      </w:pPr>
      <w:r w:rsidRPr="00C258AD">
        <w:rPr>
          <w:color w:val="000000"/>
          <w:lang w:eastAsia="ko-KR"/>
        </w:rPr>
        <w:t>du transfert de postes au programme suite à la fusion de la fonction événementielle avec la fonction du protocole, répercuté sous le résultat escompté VIII.</w:t>
      </w:r>
      <w:r w:rsidRPr="00C258AD">
        <w:rPr>
          <w:lang w:eastAsia="ko-KR"/>
        </w:rPr>
        <w:t>3 (Engagement réel auprès des États membres);</w:t>
      </w:r>
    </w:p>
    <w:p w:rsidR="006E2BB1" w:rsidRPr="00C258AD" w:rsidRDefault="00E63289" w:rsidP="00BB4DBC">
      <w:pPr>
        <w:pStyle w:val="ListParagraph"/>
        <w:numPr>
          <w:ilvl w:val="0"/>
          <w:numId w:val="37"/>
        </w:numPr>
        <w:jc w:val="both"/>
        <w:rPr>
          <w:lang w:eastAsia="ko-KR"/>
        </w:rPr>
      </w:pPr>
      <w:r w:rsidRPr="00C258AD">
        <w:rPr>
          <w:lang w:eastAsia="ko-KR"/>
        </w:rPr>
        <w:t xml:space="preserve">de la création du rôle de coordonnateur pour la poursuite des opérations, répercutée sous le résultat escompté IV.2 (Amélioration de l’accessibilité et de l’utilisation </w:t>
      </w:r>
      <w:r w:rsidRPr="00C258AD">
        <w:rPr>
          <w:color w:val="000000"/>
          <w:lang w:eastAsia="ko-KR"/>
        </w:rPr>
        <w:t>de l’information en matière de propriété intellectuelle);  et</w:t>
      </w:r>
    </w:p>
    <w:p w:rsidR="006E2BB1" w:rsidRPr="00C258AD" w:rsidRDefault="00E63289" w:rsidP="00BB4DBC">
      <w:pPr>
        <w:pStyle w:val="ListParagraph"/>
        <w:numPr>
          <w:ilvl w:val="0"/>
          <w:numId w:val="37"/>
        </w:numPr>
        <w:jc w:val="both"/>
        <w:rPr>
          <w:lang w:eastAsia="ko-KR"/>
        </w:rPr>
      </w:pPr>
      <w:r w:rsidRPr="00C258AD">
        <w:rPr>
          <w:color w:val="000000"/>
          <w:lang w:eastAsia="ko-KR"/>
        </w:rPr>
        <w:t xml:space="preserve">du renforcement </w:t>
      </w:r>
      <w:r w:rsidRPr="00C258AD">
        <w:rPr>
          <w:lang w:eastAsia="ko-KR"/>
        </w:rPr>
        <w:t>du Bureau du conseiller juridique pour faire face à l’augmentation de la demande de services juridiques, répercutés sous les résultats escomptés VIII.3 (Engagement réel auprès des États membres) et VIII.5 (L’OMPI collabore efficacement avec d’autres processus de l’ONU et d’autres organisations intergouvernementales).</w:t>
      </w:r>
    </w:p>
    <w:p w:rsidR="006E2BB1" w:rsidRPr="00C258AD" w:rsidRDefault="006E2BB1" w:rsidP="001A4D6C">
      <w:pPr>
        <w:ind w:left="567"/>
        <w:jc w:val="both"/>
        <w:rPr>
          <w:lang w:eastAsia="ko-KR"/>
        </w:rPr>
      </w:pPr>
    </w:p>
    <w:p w:rsidR="006E2BB1" w:rsidRPr="00C258AD" w:rsidRDefault="00E63289" w:rsidP="001A4D6C">
      <w:pPr>
        <w:ind w:left="567"/>
        <w:jc w:val="both"/>
        <w:rPr>
          <w:lang w:eastAsia="ko-KR"/>
        </w:rPr>
      </w:pPr>
      <w:r w:rsidRPr="00C258AD">
        <w:rPr>
          <w:color w:val="000000"/>
          <w:lang w:eastAsia="ko-KR"/>
        </w:rPr>
        <w:t>La hausse des dépenses de personnel était principalement due aux exigences supplémentaires soutenant l’engagement accru et efficace auprès des États membres (Résultat escompté VIII.3).</w:t>
      </w:r>
    </w:p>
    <w:p w:rsidR="006E2BB1" w:rsidRPr="00C258AD" w:rsidRDefault="006E2BB1" w:rsidP="001A4D6C">
      <w:pPr>
        <w:jc w:val="both"/>
        <w:rPr>
          <w:lang w:eastAsia="ko-KR"/>
        </w:rPr>
      </w:pPr>
    </w:p>
    <w:p w:rsidR="006E2BB1" w:rsidRPr="00C258AD" w:rsidRDefault="00E63289" w:rsidP="00BB4DBC">
      <w:pPr>
        <w:numPr>
          <w:ilvl w:val="0"/>
          <w:numId w:val="35"/>
        </w:numPr>
        <w:autoSpaceDE w:val="0"/>
        <w:autoSpaceDN w:val="0"/>
        <w:adjustRightInd w:val="0"/>
        <w:jc w:val="both"/>
        <w:rPr>
          <w:lang w:eastAsia="ko-KR"/>
        </w:rPr>
      </w:pPr>
      <w:r w:rsidRPr="00C258AD">
        <w:rPr>
          <w:color w:val="000000"/>
          <w:lang w:eastAsia="ko-KR"/>
        </w:rPr>
        <w:t xml:space="preserve">En </w:t>
      </w:r>
      <w:r w:rsidRPr="00C258AD">
        <w:t>outre</w:t>
      </w:r>
      <w:r w:rsidRPr="00C258AD">
        <w:rPr>
          <w:color w:val="000000"/>
          <w:lang w:eastAsia="ko-KR"/>
        </w:rPr>
        <w:t>, le transfert de ressources entre résultats escomptés, en particulier avec le n° IX.2 (Un Secrétariat réactif, fonctionnant harmonieusement), découle de la mise en place récente d’une méthode plus précise pour l’affectation de ressources en personnel résultant des améliorations apportées au système de planification de la gestion des performances (EPM) pour les exercices du plan de travail 2014 et 2015.</w:t>
      </w:r>
    </w:p>
    <w:p w:rsidR="006E2BB1" w:rsidRPr="00C258AD" w:rsidRDefault="006E2BB1" w:rsidP="001A4D6C">
      <w:pPr>
        <w:autoSpaceDE w:val="0"/>
        <w:autoSpaceDN w:val="0"/>
        <w:jc w:val="both"/>
        <w:rPr>
          <w:lang w:eastAsia="ko-KR"/>
        </w:rPr>
      </w:pPr>
    </w:p>
    <w:p w:rsidR="006E2BB1" w:rsidRPr="00C258AD" w:rsidRDefault="006E2BB1" w:rsidP="001A4D6C">
      <w:pPr>
        <w:autoSpaceDE w:val="0"/>
        <w:autoSpaceDN w:val="0"/>
        <w:jc w:val="both"/>
        <w:rPr>
          <w:lang w:eastAsia="ko-KR"/>
        </w:rPr>
      </w:pPr>
    </w:p>
    <w:p w:rsidR="006E2BB1" w:rsidRPr="00C258AD" w:rsidRDefault="00E63289" w:rsidP="001A4D6C">
      <w:pPr>
        <w:jc w:val="both"/>
        <w:rPr>
          <w:u w:val="single"/>
          <w:lang w:eastAsia="ko-KR"/>
        </w:rPr>
      </w:pPr>
      <w:r w:rsidRPr="00C258AD">
        <w:rPr>
          <w:lang w:eastAsia="ko-KR"/>
        </w:rPr>
        <w:t>B.</w:t>
      </w:r>
      <w:r w:rsidRPr="00C258AD">
        <w:rPr>
          <w:lang w:eastAsia="ko-KR"/>
        </w:rPr>
        <w:tab/>
      </w:r>
      <w:r w:rsidRPr="00C258AD">
        <w:rPr>
          <w:u w:val="single"/>
          <w:lang w:eastAsia="ko-KR"/>
        </w:rPr>
        <w:t>Utilisation du budget en 2014</w:t>
      </w:r>
      <w:r w:rsidRPr="00C258AD">
        <w:rPr>
          <w:u w:val="single"/>
          <w:lang w:eastAsia="ko-KR"/>
        </w:rPr>
        <w:noBreakHyphen/>
        <w:t>2015</w:t>
      </w:r>
    </w:p>
    <w:p w:rsidR="006E2BB1" w:rsidRPr="00C258AD" w:rsidRDefault="006E2BB1" w:rsidP="001A4D6C">
      <w:pPr>
        <w:tabs>
          <w:tab w:val="left" w:pos="709"/>
        </w:tabs>
        <w:jc w:val="both"/>
        <w:rPr>
          <w:u w:val="single"/>
          <w:lang w:eastAsia="ko-KR"/>
        </w:rPr>
      </w:pPr>
    </w:p>
    <w:p w:rsidR="006E2BB1" w:rsidRPr="00C258AD" w:rsidRDefault="00E63289" w:rsidP="00BB4DBC">
      <w:pPr>
        <w:numPr>
          <w:ilvl w:val="0"/>
          <w:numId w:val="35"/>
        </w:numPr>
        <w:autoSpaceDE w:val="0"/>
        <w:autoSpaceDN w:val="0"/>
        <w:adjustRightInd w:val="0"/>
        <w:jc w:val="both"/>
        <w:rPr>
          <w:lang w:eastAsia="ko-KR"/>
        </w:rPr>
      </w:pPr>
      <w:r w:rsidRPr="00C258AD">
        <w:rPr>
          <w:color w:val="000000"/>
        </w:rPr>
        <w:t xml:space="preserve">Les </w:t>
      </w:r>
      <w:r w:rsidRPr="00C258AD">
        <w:t>dépenses</w:t>
      </w:r>
      <w:r w:rsidRPr="00C258AD">
        <w:rPr>
          <w:color w:val="000000"/>
        </w:rPr>
        <w:t xml:space="preserve"> de personnel étaient inférieures au budget estimé principalement du fait : i) de l’absence d’un chef du Bureau de la déontologie pendant les huit premiers mois de 2015;  et ii) des processus de recrutement en cours, en particulier dans les bureaux du conseiller juridique et du médiateur.  Cela a aussi donné lieu à des dépenses plus faibles que prévu au titre des dépenses connexes autres que celles de personnel.</w:t>
      </w:r>
    </w:p>
    <w:p w:rsidR="006E2BB1" w:rsidRPr="00C258AD" w:rsidRDefault="006E2BB1" w:rsidP="00E63289">
      <w:pPr>
        <w:rPr>
          <w:lang w:eastAsia="ko-KR"/>
        </w:rPr>
      </w:pPr>
    </w:p>
    <w:p w:rsidR="006E2BB1" w:rsidRPr="00C258AD" w:rsidRDefault="005A1C92">
      <w:pPr>
        <w:spacing w:after="200" w:line="276" w:lineRule="auto"/>
        <w:rPr>
          <w:lang w:eastAsia="ko-KR"/>
        </w:rPr>
      </w:pPr>
      <w:r w:rsidRPr="00C258AD">
        <w:rPr>
          <w:lang w:eastAsia="ko-KR"/>
        </w:rPr>
        <w:br w:type="page"/>
      </w:r>
    </w:p>
    <w:p w:rsidR="006E2BB1" w:rsidRPr="00C258AD" w:rsidRDefault="003737EE" w:rsidP="00305CE5">
      <w:pPr>
        <w:pStyle w:val="Heading3"/>
      </w:pPr>
      <w:bookmarkStart w:id="153" w:name="_Toc422404248"/>
      <w:bookmarkStart w:id="154" w:name="_Toc423352896"/>
      <w:bookmarkStart w:id="155" w:name="_Toc455394209"/>
      <w:r w:rsidRPr="00C258AD">
        <w:lastRenderedPageBreak/>
        <w:t xml:space="preserve">Programme 22‏ </w:t>
      </w:r>
      <w:r w:rsidRPr="00C258AD">
        <w:tab/>
        <w:t>Gestion du programme et des ressources</w:t>
      </w:r>
      <w:bookmarkEnd w:id="153"/>
      <w:bookmarkEnd w:id="154"/>
      <w:bookmarkEnd w:id="155"/>
    </w:p>
    <w:p w:rsidR="006E2BB1" w:rsidRPr="00C258AD" w:rsidRDefault="006E2BB1" w:rsidP="0066137C"/>
    <w:p w:rsidR="006E2BB1" w:rsidRPr="00C258AD" w:rsidRDefault="003737EE" w:rsidP="0066137C">
      <w:pPr>
        <w:rPr>
          <w:b/>
        </w:rPr>
      </w:pPr>
      <w:r w:rsidRPr="00C258AD">
        <w:rPr>
          <w:b/>
        </w:rPr>
        <w:t>Chef de programme</w:t>
      </w:r>
      <w:r w:rsidRPr="00C258AD">
        <w:rPr>
          <w:b/>
        </w:rPr>
        <w:tab/>
        <w:t>M. A. Sundaram</w:t>
      </w:r>
    </w:p>
    <w:p w:rsidR="006E2BB1" w:rsidRPr="00C258AD" w:rsidRDefault="006E2BB1" w:rsidP="0066137C"/>
    <w:p w:rsidR="006E2BB1" w:rsidRPr="00C258AD" w:rsidRDefault="006E2BB1" w:rsidP="0066137C"/>
    <w:p w:rsidR="006E2BB1" w:rsidRPr="00C258AD" w:rsidRDefault="003737EE" w:rsidP="00305CE5">
      <w:pPr>
        <w:keepNext/>
        <w:rPr>
          <w:rFonts w:cs="Arial"/>
          <w:caps/>
          <w:sz w:val="22"/>
          <w:szCs w:val="22"/>
        </w:rPr>
      </w:pPr>
      <w:r w:rsidRPr="00C258AD">
        <w:rPr>
          <w:rFonts w:cs="Arial"/>
          <w:caps/>
          <w:sz w:val="22"/>
          <w:szCs w:val="22"/>
        </w:rPr>
        <w:t>Réalisations au cours de l’exercice biennal 2014-2015</w:t>
      </w:r>
    </w:p>
    <w:p w:rsidR="006E2BB1" w:rsidRPr="00C258AD" w:rsidRDefault="006E2BB1" w:rsidP="0066137C"/>
    <w:p w:rsidR="006E2BB1" w:rsidRPr="00C258AD" w:rsidRDefault="003737EE" w:rsidP="00BB4DBC">
      <w:pPr>
        <w:pStyle w:val="ListParagraph"/>
        <w:numPr>
          <w:ilvl w:val="0"/>
          <w:numId w:val="22"/>
        </w:numPr>
        <w:tabs>
          <w:tab w:val="left" w:pos="709"/>
        </w:tabs>
        <w:ind w:left="0" w:firstLine="0"/>
        <w:jc w:val="both"/>
        <w:rPr>
          <w:bCs/>
        </w:rPr>
      </w:pPr>
      <w:r w:rsidRPr="00C258AD">
        <w:rPr>
          <w:bCs/>
        </w:rPr>
        <w:t>Dans le prolongement des avancées réalisées en 2012</w:t>
      </w:r>
      <w:r w:rsidRPr="00C258AD">
        <w:rPr>
          <w:bCs/>
        </w:rPr>
        <w:noBreakHyphen/>
        <w:t>2013, la gestion des programmes et des ressources financières a continué d’être renforcée en 2014</w:t>
      </w:r>
      <w:r w:rsidRPr="00C258AD">
        <w:rPr>
          <w:bCs/>
        </w:rPr>
        <w:noBreakHyphen/>
        <w:t>2015.  Pour utiliser les ressources plus efficacement, établir des pratiques recommandées en matière de planification, de gestion des résultats, de facilitation et d’appui aux activités opérationnelles à l’échelle de l’Organisation et pour renforcer la “deuxième ligne de défense</w:t>
      </w:r>
      <w:r w:rsidRPr="00C258AD">
        <w:rPr>
          <w:rStyle w:val="FootnoteReference"/>
          <w:rFonts w:eastAsia="SimSun"/>
          <w:bCs/>
        </w:rPr>
        <w:footnoteReference w:id="124"/>
      </w:r>
      <w:r w:rsidRPr="00C258AD">
        <w:rPr>
          <w:bCs/>
        </w:rPr>
        <w:t>”, une restructuration stratégique au sein du programme entreprise en novembre 2013 a été intégralement mise en œuvre en 2014.  Les changements suivants ont été apportés à cette occasion : i) fusion de la Section de la gestion et de l’exécution des programmes et de la Section du budget, devenues la Division de l’exécution des programmes et du budget afin de mettre en œuvre une approche plus globale de la gestion des programmes;  ii) affinement du rôle du “Bureau du contrôleur”, qui a permis une séparation et une répartition claires des responsabilités concernant la coordination de la gestion des risques, le respect des règles et les contrôles internes, le réexamen et le maintien du cadre réglementaire financier et le suivi des recommandations de supervision;  et iii) l’incorporation des applications administratives de l’Organisation et de l’appui connexe dans le programme 22, ce qui a permis de créer des synergies et d’intégrer efficacement les systèmes résultant du portefeuille de projets ERP.</w:t>
      </w:r>
    </w:p>
    <w:p w:rsidR="006E2BB1" w:rsidRPr="00C258AD" w:rsidRDefault="006E2BB1" w:rsidP="0066137C">
      <w:pPr>
        <w:tabs>
          <w:tab w:val="left" w:pos="709"/>
        </w:tabs>
        <w:jc w:val="both"/>
        <w:rPr>
          <w:bCs/>
        </w:rPr>
      </w:pPr>
    </w:p>
    <w:p w:rsidR="006E2BB1" w:rsidRPr="00C258AD" w:rsidRDefault="003737EE" w:rsidP="00BB4DBC">
      <w:pPr>
        <w:pStyle w:val="ListParagraph"/>
        <w:numPr>
          <w:ilvl w:val="0"/>
          <w:numId w:val="22"/>
        </w:numPr>
        <w:tabs>
          <w:tab w:val="left" w:pos="709"/>
        </w:tabs>
        <w:ind w:left="0" w:firstLine="0"/>
        <w:jc w:val="both"/>
        <w:rPr>
          <w:bCs/>
        </w:rPr>
      </w:pPr>
      <w:r w:rsidRPr="00C258AD">
        <w:rPr>
          <w:bCs/>
        </w:rPr>
        <w:t>Des progrès significatifs ont été réalisés au cours de l’exercice biennal en ce qui concerne la poursuite de l’intégration d’une culture de la gestion axée sur les résultats et le renforcement du cycle de gestion des résultats de l’OMPI.  Les processus annuel et biennal de planification ont continué d’être améliorés en 2014</w:t>
      </w:r>
      <w:r w:rsidRPr="00C258AD">
        <w:rPr>
          <w:bCs/>
        </w:rPr>
        <w:noBreakHyphen/>
        <w:t xml:space="preserve">2015.  </w:t>
      </w:r>
      <w:r w:rsidRPr="00C258AD">
        <w:rPr>
          <w:bCs/>
          <w:szCs w:val="22"/>
        </w:rPr>
        <w:t>En 2014,</w:t>
      </w:r>
      <w:r w:rsidRPr="00C258AD">
        <w:t xml:space="preserve"> </w:t>
      </w:r>
      <w:r w:rsidRPr="00C258AD">
        <w:rPr>
          <w:bCs/>
        </w:rPr>
        <w:t>la planification du niveau des postes</w:t>
      </w:r>
      <w:r w:rsidRPr="00C258AD">
        <w:t xml:space="preserve"> a été introduite </w:t>
      </w:r>
      <w:r w:rsidRPr="00C258AD">
        <w:rPr>
          <w:bCs/>
        </w:rPr>
        <w:t>en rapprochant les résultats escomptés du programme et les objectifs individuels des membres du personnel, ce qui s’est traduit par plus de transparence et une plus grande précision en ce qui concerne l’affectation et l’utilisation des ressources en personnel</w:t>
      </w:r>
      <w:r w:rsidRPr="00C258AD">
        <w:t>.</w:t>
      </w:r>
    </w:p>
    <w:p w:rsidR="006E2BB1" w:rsidRPr="00C258AD" w:rsidRDefault="006E2BB1" w:rsidP="0066137C">
      <w:pPr>
        <w:tabs>
          <w:tab w:val="left" w:pos="709"/>
        </w:tabs>
        <w:jc w:val="both"/>
        <w:rPr>
          <w:bCs/>
        </w:rPr>
      </w:pPr>
    </w:p>
    <w:p w:rsidR="006E2BB1" w:rsidRPr="00C258AD" w:rsidRDefault="003737EE" w:rsidP="00BB4DBC">
      <w:pPr>
        <w:pStyle w:val="ListParagraph"/>
        <w:numPr>
          <w:ilvl w:val="0"/>
          <w:numId w:val="22"/>
        </w:numPr>
        <w:tabs>
          <w:tab w:val="left" w:pos="709"/>
        </w:tabs>
        <w:ind w:left="0" w:firstLine="0"/>
        <w:jc w:val="both"/>
        <w:rPr>
          <w:bCs/>
          <w:szCs w:val="22"/>
        </w:rPr>
      </w:pPr>
      <w:r w:rsidRPr="00C258AD">
        <w:rPr>
          <w:bCs/>
        </w:rPr>
        <w:t>L’évolution du système de planification ERP EPM était essentielle pour les progrès réalisés au cours de l’exercice biennal.  À cet effet, deux nouveaux modules cruciaux ont été lancés pour appuyer le cycle de performances de l’OMPI, à savoir les modules “Mise en œuvre et suivi” et “Évaluation des résultats”, qui favorisent tous deux une approche plus anticipative et améliorée de la gestion et de l’évaluation des programmes.  Ces outils ont en outre permis d’améliorer l’analyse comparative entre les programmes de travail approuvés et les modifications apportées dans le courant de l’année, ce qui renforce la gestion des programmes et l’information disponible pour les cycles de planification futurs</w:t>
      </w:r>
      <w:r w:rsidRPr="00C258AD">
        <w:rPr>
          <w:bCs/>
          <w:szCs w:val="22"/>
        </w:rPr>
        <w:t xml:space="preserve">, y compris la planification pour </w:t>
      </w:r>
      <w:r w:rsidRPr="00C258AD">
        <w:rPr>
          <w:bCs/>
        </w:rPr>
        <w:t>l’exercice biennal </w:t>
      </w:r>
      <w:r w:rsidRPr="00C258AD">
        <w:rPr>
          <w:bCs/>
          <w:szCs w:val="22"/>
        </w:rPr>
        <w:t>2016</w:t>
      </w:r>
      <w:r w:rsidRPr="00C258AD">
        <w:rPr>
          <w:bCs/>
          <w:szCs w:val="22"/>
        </w:rPr>
        <w:noBreakHyphen/>
        <w:t>2017.</w:t>
      </w:r>
    </w:p>
    <w:p w:rsidR="006E2BB1" w:rsidRPr="00C258AD" w:rsidRDefault="006E2BB1" w:rsidP="0066137C">
      <w:pPr>
        <w:tabs>
          <w:tab w:val="left" w:pos="709"/>
        </w:tabs>
        <w:jc w:val="both"/>
        <w:rPr>
          <w:bCs/>
        </w:rPr>
      </w:pPr>
    </w:p>
    <w:p w:rsidR="006E2BB1" w:rsidRPr="00C258AD" w:rsidRDefault="003737EE" w:rsidP="00BB4DBC">
      <w:pPr>
        <w:pStyle w:val="ListParagraph"/>
        <w:numPr>
          <w:ilvl w:val="0"/>
          <w:numId w:val="22"/>
        </w:numPr>
        <w:tabs>
          <w:tab w:val="left" w:pos="709"/>
        </w:tabs>
        <w:ind w:left="0" w:firstLine="0"/>
        <w:jc w:val="both"/>
        <w:rPr>
          <w:bCs/>
        </w:rPr>
      </w:pPr>
      <w:r w:rsidRPr="00C258AD">
        <w:rPr>
          <w:bCs/>
        </w:rPr>
        <w:t>La poursuite de l’intégration des composants ERP en 2014</w:t>
      </w:r>
      <w:r w:rsidRPr="00C258AD">
        <w:rPr>
          <w:bCs/>
        </w:rPr>
        <w:noBreakHyphen/>
        <w:t>2015 a également permis d’améliorer les capacités en matière d’établissement de rapports et d’outils analytiques.  Pour la première fois en 2014, le système de gestion de l’information administrative (AIMS) et le système de planification de la gestion des résultats (EPM) ont été intégrés, ce qui a permis d’améliorer les informations sur les dépenses réelles par rapport aux dépenses inscrites au budget tirées du système EPM.  En outre, l’élément Gestion de la paie du module Ressources humaines de l’ERP a été lancé en janvier 2014, et l’intégration avec le système de planification EPM a été achevée en avril, améliorant considérablement les capacités en matière de gestion des postes.  Le module de veille économique</w:t>
      </w:r>
      <w:r w:rsidRPr="00C258AD">
        <w:rPr>
          <w:bCs/>
          <w:szCs w:val="22"/>
        </w:rPr>
        <w:t xml:space="preserve"> a évolué au cours de l’exercice biennal</w:t>
      </w:r>
      <w:r w:rsidRPr="00C258AD">
        <w:rPr>
          <w:bCs/>
        </w:rPr>
        <w:t>, les premiers tableaux de bord ayant été élaborés et mis en service au sein des principaux secteurs administratifs (DGRH, Achats et voyages et Finances et planification des programmes)</w:t>
      </w:r>
      <w:r w:rsidRPr="00C258AD">
        <w:rPr>
          <w:bCs/>
          <w:szCs w:val="22"/>
        </w:rPr>
        <w:t xml:space="preserve"> en 2014, puis mis en service à l’échelle de toute l’Organisation en 2015.  Un tableau de bord en matière de gestion des risques </w:t>
      </w:r>
      <w:r w:rsidRPr="00C258AD">
        <w:rPr>
          <w:rFonts w:cs="Arial"/>
        </w:rPr>
        <w:t>a également été élaboré et déployé en </w:t>
      </w:r>
      <w:r w:rsidRPr="00C258AD">
        <w:t>2015.</w:t>
      </w:r>
    </w:p>
    <w:p w:rsidR="006E2BB1" w:rsidRPr="00C258AD" w:rsidRDefault="006E2BB1" w:rsidP="0066137C">
      <w:pPr>
        <w:pStyle w:val="ListParagraph"/>
        <w:numPr>
          <w:ilvl w:val="0"/>
          <w:numId w:val="0"/>
        </w:numPr>
        <w:tabs>
          <w:tab w:val="left" w:pos="709"/>
        </w:tabs>
        <w:jc w:val="both"/>
        <w:rPr>
          <w:bCs/>
        </w:rPr>
      </w:pPr>
    </w:p>
    <w:p w:rsidR="006E2BB1" w:rsidRPr="00C258AD" w:rsidRDefault="003737EE" w:rsidP="00BB4DBC">
      <w:pPr>
        <w:pStyle w:val="ListParagraph"/>
        <w:numPr>
          <w:ilvl w:val="0"/>
          <w:numId w:val="22"/>
        </w:numPr>
        <w:tabs>
          <w:tab w:val="left" w:pos="709"/>
        </w:tabs>
        <w:ind w:left="0" w:firstLine="0"/>
        <w:jc w:val="both"/>
        <w:rPr>
          <w:bCs/>
        </w:rPr>
      </w:pPr>
      <w:r w:rsidRPr="00C258AD">
        <w:rPr>
          <w:bCs/>
        </w:rPr>
        <w:t>Au cours de l’exercice biennal,</w:t>
      </w:r>
      <w:r w:rsidRPr="00C258AD">
        <w:rPr>
          <w:bCs/>
          <w:szCs w:val="22"/>
        </w:rPr>
        <w:t xml:space="preserve"> d’autres améliorations ont été apportées au portefeuille de produits ERP, qui ont permis de renforcer les fonctions de gestion et d’en accroître l’efficacité, et notamment : i) une importante mise à jour vers la version 9.2 du système financier AIMS permettant aux systèmes de l’OMPI d’intégrer les dernières fonctionnalités en vue de réduire les dépenses d’appui;  ii) la mise en service de la première phase des </w:t>
      </w:r>
      <w:r w:rsidRPr="00C258AD">
        <w:rPr>
          <w:bCs/>
        </w:rPr>
        <w:t>outils en libre</w:t>
      </w:r>
      <w:r w:rsidRPr="00C258AD">
        <w:rPr>
          <w:bCs/>
        </w:rPr>
        <w:noBreakHyphen/>
        <w:t>service pour les ressources humaines</w:t>
      </w:r>
      <w:r w:rsidRPr="00C258AD">
        <w:rPr>
          <w:bCs/>
          <w:szCs w:val="22"/>
        </w:rPr>
        <w:t xml:space="preserve">, qui permet au personnel de modifier les informations personnelles et réduit ainsi la circulation du papier et la </w:t>
      </w:r>
      <w:r w:rsidRPr="00C258AD">
        <w:rPr>
          <w:bCs/>
          <w:szCs w:val="22"/>
        </w:rPr>
        <w:lastRenderedPageBreak/>
        <w:t xml:space="preserve">saisie manuelle des données par le Service des opérations relatives aux ressources humaines;  iii) le paiement des salaires du personnel qui n’est pas en poste à Genève par l’intermédiaire du système de gestion de la paie </w:t>
      </w:r>
      <w:proofErr w:type="spellStart"/>
      <w:r w:rsidRPr="00C258AD">
        <w:rPr>
          <w:bCs/>
          <w:szCs w:val="22"/>
        </w:rPr>
        <w:t>PeopleSoft</w:t>
      </w:r>
      <w:proofErr w:type="spellEnd"/>
      <w:r w:rsidRPr="00C258AD">
        <w:rPr>
          <w:bCs/>
          <w:szCs w:val="22"/>
        </w:rPr>
        <w:t>;  iv) l’amélioration du processus d’indemnité pour frais d’études;  v) l’intégration complète des</w:t>
      </w:r>
      <w:r w:rsidRPr="00C258AD">
        <w:rPr>
          <w:rFonts w:cs="Arial"/>
        </w:rPr>
        <w:t xml:space="preserve"> traductions du PCT dans le système financier AIMS, de façon à réduire les tâches manuelles;  vi) la création d’un portail unique de formation pour l’ERP, les TIC et le DGRH;  vii) l’intégration des données relatives aux absences et aux heures supplémentaires dans le module de veille économique;  viii) l’introduction de tableaux de bord en matière de contrôle des données dans le module de veille économique, en vue de garantir la cohérence dans toutes les demandes et de souligner à titre préventif les disparités à des fins d’enquête et de résolution des problèmes.</w:t>
      </w:r>
    </w:p>
    <w:p w:rsidR="006E2BB1" w:rsidRPr="00C258AD" w:rsidRDefault="006E2BB1" w:rsidP="0066137C">
      <w:pPr>
        <w:jc w:val="both"/>
        <w:rPr>
          <w:bCs/>
        </w:rPr>
      </w:pPr>
    </w:p>
    <w:p w:rsidR="006E2BB1" w:rsidRPr="00C258AD" w:rsidRDefault="003737EE" w:rsidP="00BB4DBC">
      <w:pPr>
        <w:pStyle w:val="ListParagraph"/>
        <w:numPr>
          <w:ilvl w:val="0"/>
          <w:numId w:val="22"/>
        </w:numPr>
        <w:tabs>
          <w:tab w:val="left" w:pos="709"/>
        </w:tabs>
        <w:ind w:left="0" w:firstLine="0"/>
        <w:jc w:val="both"/>
        <w:rPr>
          <w:bCs/>
          <w:iCs/>
        </w:rPr>
      </w:pPr>
      <w:r w:rsidRPr="00C258AD">
        <w:rPr>
          <w:bCs/>
          <w:iCs/>
        </w:rPr>
        <w:t>Conformément à la feuille de route pour la gestion des risques, un cadre formel et cohérent pour la gestion des risques et du contrôle interne au sein de l’Organisation a été établi, qui comprend le dispositif de responsabilisation de l’OMPI, la déclaration relative au risque accepté, la création du Groupe de gestion des risques, ainsi que l’élaboration d’une politique de gestion des risques et d’un Manuel de la gestion des risques et du contrôle interne.</w:t>
      </w:r>
    </w:p>
    <w:p w:rsidR="006E2BB1" w:rsidRPr="00C258AD" w:rsidRDefault="006E2BB1" w:rsidP="0066137C">
      <w:pPr>
        <w:jc w:val="both"/>
        <w:rPr>
          <w:bCs/>
          <w:iCs/>
        </w:rPr>
      </w:pPr>
    </w:p>
    <w:p w:rsidR="006E2BB1" w:rsidRPr="00C258AD" w:rsidRDefault="003737EE" w:rsidP="00BB4DBC">
      <w:pPr>
        <w:pStyle w:val="ListParagraph"/>
        <w:numPr>
          <w:ilvl w:val="0"/>
          <w:numId w:val="22"/>
        </w:numPr>
        <w:tabs>
          <w:tab w:val="left" w:pos="709"/>
        </w:tabs>
        <w:ind w:left="0" w:firstLine="0"/>
        <w:jc w:val="both"/>
        <w:rPr>
          <w:bCs/>
        </w:rPr>
      </w:pPr>
      <w:r w:rsidRPr="00C258AD">
        <w:rPr>
          <w:bCs/>
          <w:iCs/>
        </w:rPr>
        <w:t>Pour faciliter l’accès en temps réel à l’information sur les risques et les mécanismes de contrôle, appuyer une gestion anticipée des risques et des mécanismes de contrôle, et apporter des réponses efficaces aux organismes d’audit, un système de gestion des risques (ERM) a été mis en œuvre au second semestre 2014 et utilisé pour faciliter le processus de planification pour 2015 ainsi que le processus de programme et budget pour </w:t>
      </w:r>
      <w:r w:rsidRPr="00C258AD">
        <w:rPr>
          <w:bCs/>
          <w:szCs w:val="22"/>
        </w:rPr>
        <w:t>2016</w:t>
      </w:r>
      <w:r w:rsidRPr="00C258AD">
        <w:rPr>
          <w:bCs/>
          <w:szCs w:val="22"/>
        </w:rPr>
        <w:noBreakHyphen/>
        <w:t>2017</w:t>
      </w:r>
      <w:r w:rsidRPr="00C258AD">
        <w:rPr>
          <w:bCs/>
          <w:iCs/>
        </w:rPr>
        <w:t>.  Les processus de suivi et de communication des risques et de contrôle interne ont également été renforcés, grâce i) à l’introduction d’analyses et de rapports semestriels des risques;  ii) à la poursuite de l’intégration de la gestion des risques au sein des processus de gestion de l’exécution des programmes;  et iii) à la mise au point d’un cadre de contrôle interne, qui s’appuie sur le système ERM pour consigner les contrôles recensés et évalués par l’OMPI.</w:t>
      </w:r>
    </w:p>
    <w:p w:rsidR="006E2BB1" w:rsidRPr="00C258AD" w:rsidRDefault="006E2BB1" w:rsidP="0066137C">
      <w:pPr>
        <w:jc w:val="both"/>
        <w:rPr>
          <w:bCs/>
        </w:rPr>
      </w:pPr>
    </w:p>
    <w:p w:rsidR="006E2BB1" w:rsidRPr="00C258AD" w:rsidRDefault="003737EE" w:rsidP="00BB4DBC">
      <w:pPr>
        <w:pStyle w:val="ListParagraph"/>
        <w:numPr>
          <w:ilvl w:val="0"/>
          <w:numId w:val="22"/>
        </w:numPr>
        <w:tabs>
          <w:tab w:val="left" w:pos="709"/>
        </w:tabs>
        <w:ind w:left="0" w:firstLine="0"/>
        <w:jc w:val="both"/>
        <w:rPr>
          <w:bCs/>
        </w:rPr>
      </w:pPr>
      <w:r w:rsidRPr="00C258AD">
        <w:rPr>
          <w:bCs/>
        </w:rPr>
        <w:t>La modernisation du cadre réglementaire s’est poursuivie, avec la révision ou la publication d’un certain nombre d’ordres de service (achats, réceptions officielles, voyages, congé dans les foyers, avances de traitement, lignes directrices concernant les espèces détenues par les bureaux extérieurs, réserves, gestion des biens, contributions volontaires, politique relative à l’utilisation d’appareils de télécommunication portables</w:t>
      </w:r>
      <w:r w:rsidRPr="00C258AD">
        <w:rPr>
          <w:bCs/>
          <w:szCs w:val="22"/>
        </w:rPr>
        <w:t xml:space="preserve">, </w:t>
      </w:r>
      <w:r w:rsidRPr="00C258AD">
        <w:rPr>
          <w:bCs/>
        </w:rPr>
        <w:t>création du Groupe de gestion des risques, politique de gestion des risques).  Le Règlement financier de l’OMPI et son règlement d’exécution ont été réexaminés et révisés, avec l’aval des États membres, et un nouvel outil électronique a été mis en place pour appuyer la désignation des chefs de programme.</w:t>
      </w:r>
    </w:p>
    <w:p w:rsidR="006E2BB1" w:rsidRPr="00C258AD" w:rsidRDefault="006E2BB1" w:rsidP="0066137C">
      <w:pPr>
        <w:jc w:val="both"/>
        <w:rPr>
          <w:bCs/>
        </w:rPr>
      </w:pPr>
    </w:p>
    <w:p w:rsidR="006E2BB1" w:rsidRPr="00C258AD" w:rsidRDefault="003737EE" w:rsidP="00BB4DBC">
      <w:pPr>
        <w:pStyle w:val="ListParagraph"/>
        <w:numPr>
          <w:ilvl w:val="0"/>
          <w:numId w:val="22"/>
        </w:numPr>
        <w:tabs>
          <w:tab w:val="left" w:pos="709"/>
        </w:tabs>
        <w:ind w:left="0" w:firstLine="0"/>
        <w:jc w:val="both"/>
        <w:rPr>
          <w:bCs/>
        </w:rPr>
      </w:pPr>
      <w:r w:rsidRPr="00C258AD">
        <w:rPr>
          <w:bCs/>
        </w:rPr>
        <w:t>L’étude globale sur les pratiques et les risques en matière de trésorerie lancée en 2013 a été achevée au printemps 2014, débouchant sur une série de recommandations, concernant notamment la pratique de couverture des risques de change au PCT.  Un examen complet de la stratégie de couverture proposée a été effectué en 2015, qui s’est soldé par la décision finale d’élaborer un système de couverture destiné à simuler ses effets sur les résultats de l’exercice biennal 2014</w:t>
      </w:r>
      <w:r w:rsidRPr="00C258AD">
        <w:rPr>
          <w:bCs/>
        </w:rPr>
        <w:noBreakHyphen/>
        <w:t>2015 et sur ceux de l’année 2016.  Suite à des recherches approfondies menées au sein de plusieurs banques et institutions financières ainsi qu’à une étude portant sur les multiples politiques d’investissement appliquées à travers tout le système des Nations Unies, une nouvelle politique d’investissement pour l’Organisation a été mise au point et approuvée par les États membres en 2015.  Sa mise en œuvre a débuté fin 2015 avec la préparation d’une manifestation d’intérêt pour la gestion des fonds d’investissement.  Parmi les autres initiatives en termes de trésorerie figurent : i) une meilleure gestion de trésorerie afin de minimiser l’incidence des taux d’intérêts négatifs actuellement pratiqués en Suisse, notamment une tentative d’établir deux nouvelles relations bancaires;  ii) des efforts déployés pour accroître le nombre de bénéficiaires recevant des paiements de l’OMPI par voie électronique;  iii) l’introduction de deux nouvelles cartes de crédit pour les paiements effectués par l’Organisation;  et iv) l’introduction d’un convertisseur de devises évolutif autorisant le titulaire d’une carte de crédit à être débité dans la monnaie de son pays, de façon à réduire les commissions pour paiement par carte de crédit facturées à l’Organisation.</w:t>
      </w:r>
    </w:p>
    <w:p w:rsidR="006E2BB1" w:rsidRPr="00C258AD" w:rsidRDefault="006E2BB1" w:rsidP="0066137C">
      <w:pPr>
        <w:pStyle w:val="ListParagraph"/>
        <w:numPr>
          <w:ilvl w:val="0"/>
          <w:numId w:val="0"/>
        </w:numPr>
        <w:tabs>
          <w:tab w:val="left" w:pos="709"/>
        </w:tabs>
        <w:jc w:val="both"/>
        <w:rPr>
          <w:bCs/>
        </w:rPr>
      </w:pPr>
    </w:p>
    <w:p w:rsidR="006E2BB1" w:rsidRPr="00C258AD" w:rsidRDefault="003737EE" w:rsidP="00BB4DBC">
      <w:pPr>
        <w:pStyle w:val="ListParagraph"/>
        <w:numPr>
          <w:ilvl w:val="0"/>
          <w:numId w:val="22"/>
        </w:numPr>
        <w:tabs>
          <w:tab w:val="left" w:pos="709"/>
        </w:tabs>
        <w:ind w:left="0" w:firstLine="0"/>
        <w:jc w:val="both"/>
        <w:rPr>
          <w:bCs/>
        </w:rPr>
      </w:pPr>
      <w:r w:rsidRPr="00C258AD">
        <w:rPr>
          <w:bCs/>
        </w:rPr>
        <w:t>En ce qui concerne le PCT, deux nouvelles administrations chargées de la recherche internationale ont été nommées en 2014, entraînant de nouvelles modifications à apporter au système de paiements.  Au total, huit nouveaux membres ont adhéré aux systèmes de Madrid et de La Haye</w:t>
      </w:r>
      <w:r w:rsidRPr="00C258AD">
        <w:rPr>
          <w:bCs/>
          <w:szCs w:val="22"/>
        </w:rPr>
        <w:t>, d’où la nécessité d’adapter les systèmes, une nouvelle répartition ayant été introduite suite à l’adhésion du Benelux et, plus tard, de l’Australie au service de dépôt électronique du système de Madrid (</w:t>
      </w:r>
      <w:r w:rsidRPr="00C258AD">
        <w:t>E</w:t>
      </w:r>
      <w:r w:rsidRPr="00C258AD">
        <w:noBreakHyphen/>
      </w:r>
      <w:proofErr w:type="spellStart"/>
      <w:r w:rsidRPr="00C258AD">
        <w:t>Filing</w:t>
      </w:r>
      <w:proofErr w:type="spellEnd"/>
      <w:r w:rsidRPr="00C258AD">
        <w:t xml:space="preserve"> service) </w:t>
      </w:r>
      <w:r w:rsidRPr="00C258AD">
        <w:rPr>
          <w:bCs/>
          <w:szCs w:val="22"/>
        </w:rPr>
        <w:t>(IRPI).</w:t>
      </w:r>
    </w:p>
    <w:p w:rsidR="006E2BB1" w:rsidRPr="00C258AD" w:rsidRDefault="006E2BB1" w:rsidP="0066137C">
      <w:pPr>
        <w:tabs>
          <w:tab w:val="num" w:pos="540"/>
        </w:tabs>
        <w:jc w:val="both"/>
        <w:rPr>
          <w:bCs/>
        </w:rPr>
      </w:pPr>
    </w:p>
    <w:p w:rsidR="006E2BB1" w:rsidRPr="00C258AD" w:rsidRDefault="003737EE" w:rsidP="00BB4DBC">
      <w:pPr>
        <w:pStyle w:val="ListParagraph"/>
        <w:numPr>
          <w:ilvl w:val="0"/>
          <w:numId w:val="22"/>
        </w:numPr>
        <w:tabs>
          <w:tab w:val="left" w:pos="709"/>
        </w:tabs>
        <w:ind w:left="0" w:firstLine="0"/>
        <w:jc w:val="both"/>
        <w:rPr>
          <w:bCs/>
        </w:rPr>
      </w:pPr>
      <w:r w:rsidRPr="00C258AD">
        <w:rPr>
          <w:bCs/>
        </w:rPr>
        <w:lastRenderedPageBreak/>
        <w:t xml:space="preserve">En vertu du mémorandum d’accord conclu entre l’USPTO, l’OEB et le Bureau international, le projet pilote visant à déterminer les possibilités d’améliorer la gestion des risques de change associés au paiement des taxes de recherche a été lancé avec succès et, tout récemment, prolongé de deux années.  Une évaluation du projet est prévue en 2016 dans le cadre de l’analyse de la </w:t>
      </w:r>
      <w:r w:rsidRPr="00C258AD">
        <w:t>proposition de “compensation”</w:t>
      </w:r>
      <w:r w:rsidRPr="00C258AD">
        <w:rPr>
          <w:bCs/>
          <w:szCs w:val="22"/>
        </w:rPr>
        <w:t>, qui est l’une des recommandations issues de l’étude sur la trésorerie</w:t>
      </w:r>
      <w:r w:rsidRPr="00C258AD">
        <w:rPr>
          <w:bCs/>
        </w:rPr>
        <w:t>.</w:t>
      </w:r>
    </w:p>
    <w:p w:rsidR="006E2BB1" w:rsidRPr="00C258AD" w:rsidRDefault="006E2BB1" w:rsidP="0066137C">
      <w:pPr>
        <w:tabs>
          <w:tab w:val="num" w:pos="540"/>
        </w:tabs>
        <w:rPr>
          <w:bCs/>
        </w:rPr>
      </w:pPr>
    </w:p>
    <w:p w:rsidR="006E2BB1" w:rsidRPr="00C258AD" w:rsidRDefault="006E2BB1" w:rsidP="0066137C">
      <w:pPr>
        <w:tabs>
          <w:tab w:val="num" w:pos="540"/>
        </w:tabs>
        <w:rPr>
          <w:bCs/>
        </w:rPr>
      </w:pPr>
    </w:p>
    <w:p w:rsidR="006E2BB1" w:rsidRPr="00C258AD" w:rsidRDefault="003737EE" w:rsidP="00305CE5">
      <w:pPr>
        <w:keepNext/>
        <w:rPr>
          <w:rFonts w:cs="Arial"/>
          <w:caps/>
          <w:sz w:val="22"/>
          <w:szCs w:val="22"/>
        </w:rPr>
      </w:pPr>
      <w:r w:rsidRPr="00C258AD">
        <w:rPr>
          <w:rFonts w:cs="Arial"/>
          <w:caps/>
          <w:sz w:val="22"/>
          <w:szCs w:val="22"/>
        </w:rPr>
        <w:t>Données relatives à l’exécution</w:t>
      </w:r>
    </w:p>
    <w:p w:rsidR="003737EE" w:rsidRPr="00C258AD" w:rsidRDefault="003737EE" w:rsidP="0066137C">
      <w:pPr>
        <w:keepNext/>
      </w:pPr>
    </w:p>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4A0" w:firstRow="1" w:lastRow="0" w:firstColumn="1" w:lastColumn="0" w:noHBand="0" w:noVBand="1"/>
      </w:tblPr>
      <w:tblGrid>
        <w:gridCol w:w="2147"/>
        <w:gridCol w:w="8"/>
        <w:gridCol w:w="1868"/>
        <w:gridCol w:w="19"/>
        <w:gridCol w:w="1432"/>
        <w:gridCol w:w="157"/>
        <w:gridCol w:w="2879"/>
        <w:gridCol w:w="1061"/>
      </w:tblGrid>
      <w:tr w:rsidR="003737EE" w:rsidRPr="00C258AD" w:rsidTr="0066137C">
        <w:trPr>
          <w:cantSplit/>
        </w:trPr>
        <w:tc>
          <w:tcPr>
            <w:tcW w:w="5000" w:type="pct"/>
            <w:gridSpan w:val="8"/>
            <w:tcBorders>
              <w:top w:val="single" w:sz="4" w:space="0" w:color="auto"/>
              <w:bottom w:val="single" w:sz="4" w:space="0" w:color="auto"/>
            </w:tcBorders>
            <w:shd w:val="clear" w:color="auto" w:fill="C5D9F1"/>
            <w:tcMar>
              <w:top w:w="113" w:type="dxa"/>
              <w:left w:w="108" w:type="dxa"/>
              <w:bottom w:w="113" w:type="dxa"/>
              <w:right w:w="108" w:type="dxa"/>
            </w:tcMar>
            <w:vAlign w:val="center"/>
            <w:hideMark/>
          </w:tcPr>
          <w:p w:rsidR="003737EE" w:rsidRPr="00C258AD" w:rsidRDefault="003737EE" w:rsidP="0066137C">
            <w:pPr>
              <w:keepNext/>
              <w:keepLines/>
              <w:tabs>
                <w:tab w:val="left" w:pos="1452"/>
              </w:tabs>
              <w:rPr>
                <w:b/>
                <w:bCs/>
                <w:sz w:val="16"/>
                <w:szCs w:val="16"/>
              </w:rPr>
            </w:pPr>
            <w:r w:rsidRPr="00C258AD">
              <w:rPr>
                <w:b/>
                <w:bCs/>
                <w:sz w:val="16"/>
                <w:szCs w:val="16"/>
              </w:rPr>
              <w:t>Résultat escompté :</w:t>
            </w:r>
            <w:r w:rsidRPr="00C258AD">
              <w:rPr>
                <w:bCs/>
                <w:sz w:val="16"/>
                <w:szCs w:val="16"/>
              </w:rPr>
              <w:t xml:space="preserve"> IX.1 Services d’appui efficaces, efficients, de qualité et tournés vers la clientèle, à l’intention à la fois des clients internes et des parties prenantes externes</w:t>
            </w:r>
          </w:p>
        </w:tc>
      </w:tr>
      <w:tr w:rsidR="003737EE" w:rsidRPr="00C258AD" w:rsidTr="0066137C">
        <w:trPr>
          <w:cantSplit/>
        </w:trPr>
        <w:tc>
          <w:tcPr>
            <w:tcW w:w="1122" w:type="pct"/>
            <w:tcBorders>
              <w:top w:val="single" w:sz="4" w:space="0" w:color="auto"/>
            </w:tcBorders>
            <w:tcMar>
              <w:top w:w="113" w:type="dxa"/>
              <w:left w:w="108" w:type="dxa"/>
              <w:bottom w:w="113" w:type="dxa"/>
              <w:right w:w="108" w:type="dxa"/>
            </w:tcMar>
            <w:vAlign w:val="center"/>
            <w:hideMark/>
          </w:tcPr>
          <w:p w:rsidR="003737EE" w:rsidRPr="00C258AD" w:rsidRDefault="003737EE" w:rsidP="0066137C">
            <w:pPr>
              <w:jc w:val="center"/>
              <w:rPr>
                <w:sz w:val="16"/>
                <w:szCs w:val="16"/>
              </w:rPr>
            </w:pPr>
            <w:r w:rsidRPr="00C258AD">
              <w:rPr>
                <w:b/>
                <w:sz w:val="16"/>
                <w:szCs w:val="16"/>
              </w:rPr>
              <w:t>Indicateurs d’exécution</w:t>
            </w:r>
          </w:p>
        </w:tc>
        <w:tc>
          <w:tcPr>
            <w:tcW w:w="980" w:type="pct"/>
            <w:gridSpan w:val="2"/>
            <w:tcBorders>
              <w:top w:val="single" w:sz="4" w:space="0" w:color="auto"/>
            </w:tcBorders>
            <w:tcMar>
              <w:top w:w="113" w:type="dxa"/>
              <w:left w:w="108" w:type="dxa"/>
              <w:bottom w:w="113" w:type="dxa"/>
              <w:right w:w="108" w:type="dxa"/>
            </w:tcMar>
            <w:vAlign w:val="center"/>
            <w:hideMark/>
          </w:tcPr>
          <w:p w:rsidR="003737EE" w:rsidRPr="00C258AD" w:rsidRDefault="003737EE" w:rsidP="0066137C">
            <w:pPr>
              <w:jc w:val="center"/>
              <w:rPr>
                <w:b/>
                <w:bCs/>
                <w:sz w:val="16"/>
                <w:szCs w:val="16"/>
              </w:rPr>
            </w:pPr>
            <w:r w:rsidRPr="00C258AD">
              <w:rPr>
                <w:b/>
                <w:bCs/>
                <w:sz w:val="16"/>
                <w:szCs w:val="16"/>
              </w:rPr>
              <w:t>Niveaux de référence</w:t>
            </w:r>
          </w:p>
        </w:tc>
        <w:tc>
          <w:tcPr>
            <w:tcW w:w="840" w:type="pct"/>
            <w:gridSpan w:val="3"/>
            <w:tcBorders>
              <w:top w:val="single" w:sz="4" w:space="0" w:color="auto"/>
            </w:tcBorders>
            <w:tcMar>
              <w:top w:w="113" w:type="dxa"/>
              <w:left w:w="108" w:type="dxa"/>
              <w:bottom w:w="113" w:type="dxa"/>
              <w:right w:w="108" w:type="dxa"/>
            </w:tcMar>
            <w:vAlign w:val="center"/>
            <w:hideMark/>
          </w:tcPr>
          <w:p w:rsidR="003737EE" w:rsidRPr="00C258AD" w:rsidRDefault="003737EE" w:rsidP="0066137C">
            <w:pPr>
              <w:jc w:val="center"/>
              <w:rPr>
                <w:b/>
                <w:sz w:val="16"/>
                <w:szCs w:val="16"/>
              </w:rPr>
            </w:pPr>
            <w:r w:rsidRPr="00C258AD">
              <w:rPr>
                <w:b/>
                <w:sz w:val="16"/>
                <w:szCs w:val="16"/>
              </w:rPr>
              <w:t>Objectifs visés</w:t>
            </w:r>
          </w:p>
        </w:tc>
        <w:tc>
          <w:tcPr>
            <w:tcW w:w="1504" w:type="pct"/>
            <w:tcBorders>
              <w:top w:val="single" w:sz="4" w:space="0" w:color="auto"/>
            </w:tcBorders>
            <w:shd w:val="clear" w:color="auto" w:fill="FFFFFF"/>
            <w:tcMar>
              <w:top w:w="113" w:type="dxa"/>
              <w:left w:w="108" w:type="dxa"/>
              <w:bottom w:w="113" w:type="dxa"/>
              <w:right w:w="108" w:type="dxa"/>
            </w:tcMar>
            <w:vAlign w:val="center"/>
            <w:hideMark/>
          </w:tcPr>
          <w:p w:rsidR="003737EE" w:rsidRPr="00C258AD" w:rsidRDefault="003737EE" w:rsidP="0066137C">
            <w:pPr>
              <w:jc w:val="center"/>
              <w:rPr>
                <w:sz w:val="16"/>
                <w:szCs w:val="16"/>
              </w:rPr>
            </w:pPr>
            <w:r w:rsidRPr="00C258AD">
              <w:rPr>
                <w:b/>
                <w:sz w:val="16"/>
                <w:szCs w:val="16"/>
              </w:rPr>
              <w:t>Données relatives à l’exécution</w:t>
            </w:r>
          </w:p>
        </w:tc>
        <w:tc>
          <w:tcPr>
            <w:tcW w:w="554" w:type="pct"/>
            <w:tcBorders>
              <w:top w:val="single" w:sz="4" w:space="0" w:color="auto"/>
            </w:tcBorders>
            <w:tcMar>
              <w:top w:w="113" w:type="dxa"/>
              <w:left w:w="108" w:type="dxa"/>
              <w:bottom w:w="113" w:type="dxa"/>
              <w:right w:w="108" w:type="dxa"/>
            </w:tcMar>
            <w:vAlign w:val="center"/>
            <w:hideMark/>
          </w:tcPr>
          <w:p w:rsidR="003737EE" w:rsidRPr="00C258AD" w:rsidRDefault="003737EE" w:rsidP="0066137C">
            <w:pPr>
              <w:keepNext/>
              <w:keepLines/>
              <w:jc w:val="center"/>
              <w:rPr>
                <w:b/>
                <w:bCs/>
                <w:sz w:val="16"/>
                <w:szCs w:val="16"/>
              </w:rPr>
            </w:pPr>
            <w:r w:rsidRPr="00C258AD">
              <w:rPr>
                <w:b/>
                <w:bCs/>
                <w:sz w:val="16"/>
                <w:szCs w:val="16"/>
              </w:rPr>
              <w:t>Code de couleurs</w:t>
            </w:r>
          </w:p>
        </w:tc>
      </w:tr>
      <w:tr w:rsidR="003737EE" w:rsidRPr="00C258AD" w:rsidTr="0066137C">
        <w:trPr>
          <w:cantSplit/>
        </w:trPr>
        <w:tc>
          <w:tcPr>
            <w:tcW w:w="1122" w:type="pct"/>
            <w:tcMar>
              <w:top w:w="113" w:type="dxa"/>
              <w:left w:w="108" w:type="dxa"/>
              <w:bottom w:w="113" w:type="dxa"/>
              <w:right w:w="108" w:type="dxa"/>
            </w:tcMar>
            <w:hideMark/>
          </w:tcPr>
          <w:p w:rsidR="003737EE" w:rsidRPr="00C258AD" w:rsidRDefault="003737EE" w:rsidP="0066137C">
            <w:pPr>
              <w:rPr>
                <w:sz w:val="16"/>
                <w:szCs w:val="16"/>
                <w:lang w:bidi="th-TH"/>
              </w:rPr>
            </w:pPr>
            <w:r w:rsidRPr="00C258AD">
              <w:rPr>
                <w:sz w:val="16"/>
                <w:szCs w:val="16"/>
                <w:lang w:bidi="th-TH"/>
              </w:rPr>
              <w:t>Mise à disposition des rapports et analyses de nature financière et de gestion demandés par la haute direction, les chefs de programmes et les États membres conformément aux échéances convenues.</w:t>
            </w:r>
          </w:p>
        </w:tc>
        <w:tc>
          <w:tcPr>
            <w:tcW w:w="980" w:type="pct"/>
            <w:gridSpan w:val="2"/>
            <w:tcMar>
              <w:top w:w="113" w:type="dxa"/>
              <w:left w:w="108" w:type="dxa"/>
              <w:bottom w:w="113" w:type="dxa"/>
              <w:right w:w="108" w:type="dxa"/>
            </w:tcMar>
            <w:hideMark/>
          </w:tcPr>
          <w:p w:rsidR="006E2BB1" w:rsidRPr="00C258AD" w:rsidRDefault="003737EE" w:rsidP="0066137C">
            <w:pPr>
              <w:rPr>
                <w:sz w:val="16"/>
                <w:szCs w:val="16"/>
              </w:rPr>
            </w:pPr>
            <w:r w:rsidRPr="00C258AD">
              <w:rPr>
                <w:sz w:val="16"/>
                <w:szCs w:val="16"/>
              </w:rPr>
              <w:t>Clôture mensuelle à effectuer dans les 10 jours ouvrables à compter de la fin du mois (hormis le mois de janvier, où la clôture mensuelle est déterminée en fonction de la progression de la clôture annuelle).</w:t>
            </w:r>
          </w:p>
          <w:p w:rsidR="006E2BB1" w:rsidRPr="00C258AD" w:rsidRDefault="006E2BB1" w:rsidP="0066137C">
            <w:pPr>
              <w:rPr>
                <w:i/>
                <w:sz w:val="16"/>
                <w:szCs w:val="16"/>
              </w:rPr>
            </w:pPr>
          </w:p>
          <w:p w:rsidR="003737EE" w:rsidRPr="00C258AD" w:rsidRDefault="003737EE" w:rsidP="0066137C">
            <w:pPr>
              <w:rPr>
                <w:sz w:val="16"/>
                <w:szCs w:val="16"/>
                <w:lang w:bidi="th-TH"/>
              </w:rPr>
            </w:pPr>
            <w:r w:rsidRPr="00C258AD">
              <w:rPr>
                <w:sz w:val="16"/>
                <w:szCs w:val="16"/>
                <w:lang w:bidi="th-TH"/>
              </w:rPr>
              <w:t>Rapports statiques en ligne disponibles dès le lendemain;  rapports trimestriels de l’Observatoire dans les deux semaines suivant la clôture;  rapports standard mensuels dans la semaine suivant la clôture.</w:t>
            </w:r>
          </w:p>
        </w:tc>
        <w:tc>
          <w:tcPr>
            <w:tcW w:w="840" w:type="pct"/>
            <w:gridSpan w:val="3"/>
            <w:tcMar>
              <w:top w:w="113" w:type="dxa"/>
              <w:left w:w="108" w:type="dxa"/>
              <w:bottom w:w="113" w:type="dxa"/>
              <w:right w:w="108" w:type="dxa"/>
            </w:tcMar>
            <w:hideMark/>
          </w:tcPr>
          <w:p w:rsidR="006E2BB1" w:rsidRPr="00C258AD" w:rsidRDefault="003737EE" w:rsidP="0066137C">
            <w:pPr>
              <w:rPr>
                <w:sz w:val="16"/>
                <w:szCs w:val="16"/>
              </w:rPr>
            </w:pPr>
            <w:r w:rsidRPr="00C258AD">
              <w:rPr>
                <w:sz w:val="16"/>
                <w:szCs w:val="16"/>
              </w:rPr>
              <w:t>Identiques aux niveaux de référence.</w:t>
            </w:r>
          </w:p>
          <w:p w:rsidR="006E2BB1" w:rsidRPr="00C258AD" w:rsidRDefault="006E2BB1" w:rsidP="0066137C">
            <w:pPr>
              <w:rPr>
                <w:sz w:val="16"/>
                <w:szCs w:val="16"/>
              </w:rPr>
            </w:pPr>
          </w:p>
          <w:p w:rsidR="003737EE" w:rsidRPr="00C258AD" w:rsidRDefault="003737EE" w:rsidP="0066137C">
            <w:pPr>
              <w:rPr>
                <w:sz w:val="16"/>
                <w:szCs w:val="16"/>
                <w:lang w:bidi="th-TH"/>
              </w:rPr>
            </w:pPr>
            <w:r w:rsidRPr="00C258AD">
              <w:rPr>
                <w:sz w:val="16"/>
                <w:szCs w:val="16"/>
              </w:rPr>
              <w:t>Rapports interactifs en ligne paramétrables disponibles suite aux travaux ERP/BI au cours de l’exercice biennal 2014</w:t>
            </w:r>
            <w:r w:rsidRPr="00C258AD">
              <w:rPr>
                <w:sz w:val="16"/>
                <w:szCs w:val="16"/>
              </w:rPr>
              <w:noBreakHyphen/>
              <w:t>2015;  rapports trimestriels de l’Observatoire dans les deux semaines suivant la clôture;  rapports standard mensuels dans la semaine suivant la clôture.</w:t>
            </w:r>
          </w:p>
        </w:tc>
        <w:tc>
          <w:tcPr>
            <w:tcW w:w="1504" w:type="pct"/>
            <w:shd w:val="clear" w:color="auto" w:fill="FFFFFF"/>
            <w:tcMar>
              <w:top w:w="113" w:type="dxa"/>
              <w:left w:w="108" w:type="dxa"/>
              <w:bottom w:w="113" w:type="dxa"/>
              <w:right w:w="108" w:type="dxa"/>
            </w:tcMar>
            <w:hideMark/>
          </w:tcPr>
          <w:p w:rsidR="006E2BB1" w:rsidRPr="00C258AD" w:rsidRDefault="003737EE" w:rsidP="0066137C">
            <w:pPr>
              <w:rPr>
                <w:sz w:val="16"/>
                <w:szCs w:val="16"/>
                <w:lang w:bidi="th-TH"/>
              </w:rPr>
            </w:pPr>
            <w:r w:rsidRPr="00C258AD">
              <w:rPr>
                <w:sz w:val="16"/>
                <w:szCs w:val="16"/>
                <w:lang w:bidi="th-TH"/>
              </w:rPr>
              <w:t>Clôture au plus tard le dixième jour ouvrable pour 10 mois, les exceptions étant janvier (par rapport au niveau de référence) et octobre, suite à l’amélioration du système.</w:t>
            </w:r>
          </w:p>
          <w:p w:rsidR="006E2BB1" w:rsidRPr="00C258AD" w:rsidRDefault="006E2BB1" w:rsidP="0066137C">
            <w:pPr>
              <w:rPr>
                <w:sz w:val="16"/>
                <w:szCs w:val="16"/>
                <w:lang w:bidi="th-TH"/>
              </w:rPr>
            </w:pPr>
          </w:p>
          <w:p w:rsidR="006E2BB1" w:rsidRPr="00C258AD" w:rsidRDefault="003737EE" w:rsidP="0066137C">
            <w:pPr>
              <w:rPr>
                <w:bCs/>
                <w:sz w:val="16"/>
                <w:szCs w:val="16"/>
              </w:rPr>
            </w:pPr>
            <w:r w:rsidRPr="00C258AD">
              <w:rPr>
                <w:bCs/>
                <w:sz w:val="16"/>
                <w:szCs w:val="16"/>
              </w:rPr>
              <w:t>Les premiers tableaux de bord pour la direction ont été élaborés et déployés dans les secteurs administratifs cruciaux (DGRH, Achats et voyages, et Finances et planification des programmes) en 2014, puis mis en service à l’échelle de toute l’Organisation en 2015.  Un tableau de bord en matière de gestion des risques a également été élaboré et déployé en 2015.</w:t>
            </w:r>
          </w:p>
          <w:p w:rsidR="006E2BB1" w:rsidRPr="00C258AD" w:rsidRDefault="006E2BB1" w:rsidP="0066137C">
            <w:pPr>
              <w:rPr>
                <w:bCs/>
                <w:sz w:val="16"/>
                <w:szCs w:val="16"/>
              </w:rPr>
            </w:pPr>
          </w:p>
          <w:p w:rsidR="006E2BB1" w:rsidRPr="00C258AD" w:rsidRDefault="003737EE" w:rsidP="0066137C">
            <w:pPr>
              <w:rPr>
                <w:rFonts w:cs="Arial"/>
                <w:sz w:val="16"/>
                <w:szCs w:val="16"/>
                <w:lang w:bidi="th-TH"/>
              </w:rPr>
            </w:pPr>
            <w:r w:rsidRPr="00C258AD">
              <w:rPr>
                <w:rFonts w:cs="Arial"/>
                <w:sz w:val="16"/>
                <w:szCs w:val="16"/>
                <w:lang w:bidi="th-TH"/>
              </w:rPr>
              <w:t>En moyenne, rapports standard trimestriels et mensuels dans les 6 jours ouvrables suivant la clôture.</w:t>
            </w:r>
          </w:p>
          <w:p w:rsidR="006E2BB1" w:rsidRPr="00C258AD" w:rsidRDefault="006E2BB1" w:rsidP="0066137C">
            <w:pPr>
              <w:rPr>
                <w:rFonts w:cs="Arial"/>
                <w:sz w:val="16"/>
                <w:szCs w:val="16"/>
                <w:lang w:bidi="th-TH"/>
              </w:rPr>
            </w:pPr>
          </w:p>
          <w:p w:rsidR="003737EE" w:rsidRPr="00C258AD" w:rsidRDefault="003737EE" w:rsidP="0066137C">
            <w:pPr>
              <w:rPr>
                <w:sz w:val="16"/>
                <w:szCs w:val="16"/>
                <w:lang w:bidi="th-TH"/>
              </w:rPr>
            </w:pPr>
            <w:r w:rsidRPr="00C258AD">
              <w:rPr>
                <w:sz w:val="16"/>
                <w:szCs w:val="16"/>
                <w:lang w:bidi="th-TH"/>
              </w:rPr>
              <w:t>Rapports trimestriels de l’Observatoire en moyenne dans le mois suivant la clôture.</w:t>
            </w:r>
          </w:p>
        </w:tc>
        <w:tc>
          <w:tcPr>
            <w:tcW w:w="554" w:type="pct"/>
            <w:tcMar>
              <w:top w:w="113" w:type="dxa"/>
              <w:left w:w="108" w:type="dxa"/>
              <w:bottom w:w="113" w:type="dxa"/>
              <w:right w:w="108" w:type="dxa"/>
            </w:tcMar>
            <w:hideMark/>
          </w:tcPr>
          <w:p w:rsidR="006E2BB1" w:rsidRPr="00C258AD" w:rsidRDefault="003737EE" w:rsidP="0066137C">
            <w:pPr>
              <w:keepNext/>
              <w:keepLines/>
              <w:jc w:val="center"/>
              <w:rPr>
                <w:rFonts w:cs="Arial"/>
                <w:b/>
                <w:bCs/>
                <w:color w:val="00B050"/>
                <w:sz w:val="16"/>
                <w:szCs w:val="16"/>
              </w:rPr>
            </w:pPr>
            <w:r w:rsidRPr="00C258AD">
              <w:rPr>
                <w:rFonts w:cs="Arial"/>
                <w:b/>
                <w:bCs/>
                <w:color w:val="00B050"/>
                <w:sz w:val="16"/>
                <w:szCs w:val="16"/>
              </w:rPr>
              <w:t>Objectif pleinement atteint</w:t>
            </w: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3737EE" w:rsidP="0066137C">
            <w:pPr>
              <w:keepNext/>
              <w:keepLines/>
              <w:jc w:val="center"/>
              <w:rPr>
                <w:rFonts w:cs="Arial"/>
                <w:b/>
                <w:bCs/>
                <w:color w:val="00B050"/>
                <w:sz w:val="16"/>
                <w:szCs w:val="16"/>
              </w:rPr>
            </w:pPr>
            <w:r w:rsidRPr="00C258AD">
              <w:rPr>
                <w:rFonts w:cs="Arial"/>
                <w:b/>
                <w:bCs/>
                <w:color w:val="00B050"/>
                <w:sz w:val="16"/>
                <w:szCs w:val="16"/>
              </w:rPr>
              <w:t>Objectif pleinement atteint</w:t>
            </w:r>
          </w:p>
          <w:p w:rsidR="006E2BB1" w:rsidRPr="00C258AD" w:rsidRDefault="006E2BB1" w:rsidP="0066137C">
            <w:pPr>
              <w:keepNext/>
              <w:keepLines/>
              <w:jc w:val="center"/>
              <w:rPr>
                <w:b/>
                <w:bCs/>
                <w:color w:val="00B050"/>
                <w:sz w:val="16"/>
                <w:szCs w:val="16"/>
              </w:rPr>
            </w:pPr>
          </w:p>
          <w:p w:rsidR="006E2BB1" w:rsidRPr="00C258AD" w:rsidRDefault="006E2BB1" w:rsidP="0066137C">
            <w:pPr>
              <w:keepNext/>
              <w:keepLines/>
              <w:jc w:val="center"/>
              <w:rPr>
                <w:b/>
                <w:bCs/>
                <w:color w:val="00B050"/>
                <w:sz w:val="16"/>
                <w:szCs w:val="16"/>
              </w:rPr>
            </w:pPr>
          </w:p>
          <w:p w:rsidR="006E2BB1" w:rsidRPr="00C258AD" w:rsidRDefault="006E2BB1" w:rsidP="0066137C">
            <w:pPr>
              <w:keepNext/>
              <w:keepLines/>
              <w:jc w:val="center"/>
              <w:rPr>
                <w:b/>
                <w:bCs/>
                <w:color w:val="00B050"/>
                <w:sz w:val="16"/>
                <w:szCs w:val="16"/>
              </w:rPr>
            </w:pPr>
          </w:p>
          <w:p w:rsidR="006E2BB1" w:rsidRPr="00C258AD" w:rsidRDefault="006E2BB1" w:rsidP="0066137C">
            <w:pPr>
              <w:keepNext/>
              <w:keepLines/>
              <w:jc w:val="center"/>
              <w:rPr>
                <w:b/>
                <w:bCs/>
                <w:color w:val="00B050"/>
                <w:sz w:val="16"/>
                <w:szCs w:val="16"/>
              </w:rPr>
            </w:pPr>
          </w:p>
          <w:p w:rsidR="006E2BB1" w:rsidRPr="00C258AD" w:rsidRDefault="006E2BB1" w:rsidP="0066137C">
            <w:pPr>
              <w:keepNext/>
              <w:keepLines/>
              <w:jc w:val="center"/>
              <w:rPr>
                <w:b/>
                <w:bCs/>
                <w:color w:val="00B050"/>
                <w:sz w:val="16"/>
                <w:szCs w:val="16"/>
              </w:rPr>
            </w:pPr>
          </w:p>
          <w:p w:rsidR="006E2BB1" w:rsidRPr="00C258AD" w:rsidRDefault="006E2BB1" w:rsidP="0066137C">
            <w:pPr>
              <w:keepNext/>
              <w:keepLines/>
              <w:jc w:val="center"/>
              <w:rPr>
                <w:b/>
                <w:bCs/>
                <w:color w:val="00B050"/>
                <w:sz w:val="16"/>
                <w:szCs w:val="16"/>
              </w:rPr>
            </w:pPr>
          </w:p>
          <w:p w:rsidR="006E2BB1" w:rsidRPr="00C258AD" w:rsidRDefault="006E2BB1" w:rsidP="0066137C">
            <w:pPr>
              <w:keepNext/>
              <w:keepLines/>
              <w:jc w:val="center"/>
              <w:rPr>
                <w:b/>
                <w:bCs/>
                <w:color w:val="00B050"/>
                <w:sz w:val="16"/>
                <w:szCs w:val="16"/>
              </w:rPr>
            </w:pPr>
          </w:p>
          <w:p w:rsidR="006E2BB1" w:rsidRPr="00C258AD" w:rsidRDefault="006E2BB1" w:rsidP="0066137C">
            <w:pPr>
              <w:keepNext/>
              <w:keepLines/>
              <w:jc w:val="center"/>
              <w:rPr>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3737EE" w:rsidP="0066137C">
            <w:pPr>
              <w:keepNext/>
              <w:keepLines/>
              <w:jc w:val="center"/>
              <w:rPr>
                <w:b/>
                <w:bCs/>
                <w:color w:val="00B050"/>
                <w:sz w:val="16"/>
                <w:szCs w:val="16"/>
              </w:rPr>
            </w:pPr>
            <w:r w:rsidRPr="00C258AD">
              <w:rPr>
                <w:rFonts w:cs="Arial"/>
                <w:b/>
                <w:bCs/>
                <w:color w:val="00B050"/>
                <w:sz w:val="16"/>
                <w:szCs w:val="16"/>
              </w:rPr>
              <w:t>Objectif pleinement atteint</w:t>
            </w:r>
          </w:p>
          <w:p w:rsidR="006E2BB1" w:rsidRPr="00C258AD" w:rsidRDefault="006E2BB1" w:rsidP="0066137C">
            <w:pPr>
              <w:keepNext/>
              <w:keepLines/>
              <w:jc w:val="center"/>
              <w:rPr>
                <w:b/>
                <w:bCs/>
                <w:color w:val="00B050"/>
                <w:sz w:val="16"/>
                <w:szCs w:val="16"/>
              </w:rPr>
            </w:pPr>
          </w:p>
          <w:p w:rsidR="003737EE" w:rsidRPr="00C258AD" w:rsidRDefault="003737EE" w:rsidP="0066137C">
            <w:pPr>
              <w:keepNext/>
              <w:keepLines/>
              <w:jc w:val="center"/>
              <w:rPr>
                <w:b/>
                <w:bCs/>
                <w:color w:val="00B050"/>
                <w:sz w:val="16"/>
                <w:szCs w:val="16"/>
              </w:rPr>
            </w:pPr>
            <w:r w:rsidRPr="00C258AD">
              <w:rPr>
                <w:rFonts w:cs="Arial"/>
                <w:b/>
                <w:bCs/>
                <w:color w:val="FF0000"/>
                <w:sz w:val="16"/>
                <w:szCs w:val="16"/>
              </w:rPr>
              <w:t>Objectif pas atteint</w:t>
            </w:r>
          </w:p>
        </w:tc>
      </w:tr>
      <w:tr w:rsidR="003737EE" w:rsidRPr="00C258AD" w:rsidTr="0066137C">
        <w:trPr>
          <w:cantSplit/>
        </w:trPr>
        <w:tc>
          <w:tcPr>
            <w:tcW w:w="1122" w:type="pct"/>
            <w:tcMar>
              <w:top w:w="113" w:type="dxa"/>
              <w:left w:w="108" w:type="dxa"/>
              <w:bottom w:w="113" w:type="dxa"/>
              <w:right w:w="108" w:type="dxa"/>
            </w:tcMar>
            <w:hideMark/>
          </w:tcPr>
          <w:p w:rsidR="003737EE" w:rsidRPr="00C258AD" w:rsidRDefault="003737EE" w:rsidP="0066137C">
            <w:pPr>
              <w:rPr>
                <w:sz w:val="16"/>
                <w:szCs w:val="16"/>
                <w:lang w:bidi="th-TH"/>
              </w:rPr>
            </w:pPr>
            <w:r w:rsidRPr="00C258AD">
              <w:rPr>
                <w:sz w:val="16"/>
                <w:szCs w:val="16"/>
                <w:lang w:bidi="th-TH"/>
              </w:rPr>
              <w:t>Résolution des demandes internes/externes reçues dans les délais impartis.</w:t>
            </w:r>
          </w:p>
        </w:tc>
        <w:tc>
          <w:tcPr>
            <w:tcW w:w="980" w:type="pct"/>
            <w:gridSpan w:val="2"/>
            <w:tcMar>
              <w:top w:w="113" w:type="dxa"/>
              <w:left w:w="108" w:type="dxa"/>
              <w:bottom w:w="113" w:type="dxa"/>
              <w:right w:w="108" w:type="dxa"/>
            </w:tcMar>
            <w:hideMark/>
          </w:tcPr>
          <w:p w:rsidR="006E2BB1" w:rsidRPr="00C258AD" w:rsidRDefault="003737EE" w:rsidP="0066137C">
            <w:pPr>
              <w:rPr>
                <w:sz w:val="16"/>
                <w:szCs w:val="16"/>
                <w:lang w:bidi="th-TH"/>
              </w:rPr>
            </w:pPr>
            <w:r w:rsidRPr="00C258AD">
              <w:rPr>
                <w:sz w:val="16"/>
                <w:szCs w:val="16"/>
                <w:lang w:bidi="th-TH"/>
              </w:rPr>
              <w:t xml:space="preserve">75% des tickets doivent être clôturés (résolus) dans les </w:t>
            </w:r>
            <w:r w:rsidR="00E13B76" w:rsidRPr="00C258AD">
              <w:rPr>
                <w:sz w:val="16"/>
                <w:szCs w:val="16"/>
                <w:lang w:bidi="th-TH"/>
              </w:rPr>
              <w:t>3</w:t>
            </w:r>
            <w:r w:rsidRPr="00C258AD">
              <w:rPr>
                <w:sz w:val="16"/>
                <w:szCs w:val="16"/>
                <w:lang w:bidi="th-TH"/>
              </w:rPr>
              <w:t> jours suivant leur réception.</w:t>
            </w:r>
          </w:p>
          <w:p w:rsidR="006E2BB1" w:rsidRPr="00C258AD" w:rsidRDefault="006E2BB1" w:rsidP="0066137C">
            <w:pPr>
              <w:rPr>
                <w:sz w:val="16"/>
                <w:szCs w:val="16"/>
                <w:lang w:bidi="th-TH"/>
              </w:rPr>
            </w:pPr>
          </w:p>
          <w:p w:rsidR="003737EE" w:rsidRPr="00C258AD" w:rsidRDefault="003737EE" w:rsidP="0066137C">
            <w:pPr>
              <w:rPr>
                <w:sz w:val="16"/>
                <w:szCs w:val="16"/>
                <w:lang w:bidi="th-TH"/>
              </w:rPr>
            </w:pPr>
            <w:r w:rsidRPr="00C258AD">
              <w:rPr>
                <w:sz w:val="16"/>
                <w:szCs w:val="16"/>
                <w:lang w:bidi="th-TH"/>
              </w:rPr>
              <w:t>Soumettre des avis ou répondre à des fichiers et requêtes budgétaires dans les 72 heures.</w:t>
            </w:r>
          </w:p>
        </w:tc>
        <w:tc>
          <w:tcPr>
            <w:tcW w:w="840" w:type="pct"/>
            <w:gridSpan w:val="3"/>
            <w:tcMar>
              <w:top w:w="113" w:type="dxa"/>
              <w:left w:w="108" w:type="dxa"/>
              <w:bottom w:w="113" w:type="dxa"/>
              <w:right w:w="108" w:type="dxa"/>
            </w:tcMar>
            <w:hideMark/>
          </w:tcPr>
          <w:p w:rsidR="006E2BB1" w:rsidRPr="00C258AD" w:rsidRDefault="003737EE" w:rsidP="0066137C">
            <w:pPr>
              <w:rPr>
                <w:sz w:val="16"/>
                <w:szCs w:val="16"/>
              </w:rPr>
            </w:pPr>
            <w:r w:rsidRPr="00C258AD">
              <w:rPr>
                <w:sz w:val="16"/>
                <w:szCs w:val="16"/>
              </w:rPr>
              <w:t>Identiques aux niveaux de référence.</w:t>
            </w:r>
          </w:p>
          <w:p w:rsidR="006E2BB1" w:rsidRPr="00C258AD" w:rsidRDefault="006E2BB1" w:rsidP="0066137C">
            <w:pPr>
              <w:rPr>
                <w:sz w:val="16"/>
                <w:szCs w:val="16"/>
              </w:rPr>
            </w:pPr>
          </w:p>
          <w:p w:rsidR="003737EE" w:rsidRPr="00C258AD" w:rsidRDefault="003737EE" w:rsidP="0066137C">
            <w:pPr>
              <w:rPr>
                <w:sz w:val="16"/>
                <w:szCs w:val="16"/>
                <w:lang w:bidi="th-TH"/>
              </w:rPr>
            </w:pPr>
            <w:r w:rsidRPr="00C258AD">
              <w:rPr>
                <w:sz w:val="16"/>
                <w:szCs w:val="16"/>
                <w:lang w:bidi="th-TH"/>
              </w:rPr>
              <w:t>Soumettre des avis ou répondre à des fichiers et requêtes budgétaires dans les 48 heures.</w:t>
            </w:r>
          </w:p>
        </w:tc>
        <w:tc>
          <w:tcPr>
            <w:tcW w:w="1504" w:type="pct"/>
            <w:shd w:val="clear" w:color="auto" w:fill="FFFFFF"/>
            <w:tcMar>
              <w:top w:w="113" w:type="dxa"/>
              <w:left w:w="108" w:type="dxa"/>
              <w:bottom w:w="113" w:type="dxa"/>
              <w:right w:w="108" w:type="dxa"/>
            </w:tcMar>
            <w:hideMark/>
          </w:tcPr>
          <w:p w:rsidR="006E2BB1" w:rsidRPr="00C258AD" w:rsidRDefault="003737EE" w:rsidP="0066137C">
            <w:pPr>
              <w:rPr>
                <w:sz w:val="16"/>
                <w:szCs w:val="16"/>
              </w:rPr>
            </w:pPr>
            <w:r w:rsidRPr="00C258AD">
              <w:rPr>
                <w:sz w:val="16"/>
                <w:szCs w:val="16"/>
              </w:rPr>
              <w:t>En 2014</w:t>
            </w:r>
            <w:r w:rsidRPr="00C258AD">
              <w:rPr>
                <w:sz w:val="16"/>
                <w:szCs w:val="16"/>
              </w:rPr>
              <w:noBreakHyphen/>
              <w:t>2015, en moyenne 84,5% des tickets enregistrés dans le système de notification des demandes de renseignements de l’OMPI (WINS) ont été clôturés dans les 3 jours :</w:t>
            </w:r>
          </w:p>
          <w:p w:rsidR="006E2BB1" w:rsidRPr="00C258AD" w:rsidRDefault="006E2BB1" w:rsidP="0066137C">
            <w:pPr>
              <w:rPr>
                <w:sz w:val="16"/>
                <w:szCs w:val="16"/>
              </w:rPr>
            </w:pPr>
          </w:p>
          <w:p w:rsidR="006E2BB1" w:rsidRPr="00C258AD" w:rsidRDefault="003737EE" w:rsidP="00BB4DBC">
            <w:pPr>
              <w:pStyle w:val="ListParagraph"/>
              <w:numPr>
                <w:ilvl w:val="0"/>
                <w:numId w:val="23"/>
              </w:numPr>
              <w:rPr>
                <w:sz w:val="16"/>
                <w:szCs w:val="16"/>
              </w:rPr>
            </w:pPr>
            <w:r w:rsidRPr="00C258AD">
              <w:rPr>
                <w:sz w:val="16"/>
                <w:szCs w:val="16"/>
              </w:rPr>
              <w:t>En 2014, 86% dans les 3 jours, dont 71% le jour même, 6% dans les 2 jours, et 9% dans les 3 jours.</w:t>
            </w:r>
          </w:p>
          <w:p w:rsidR="006E2BB1" w:rsidRPr="00C258AD" w:rsidRDefault="006E2BB1" w:rsidP="0066137C">
            <w:pPr>
              <w:pStyle w:val="ListParagraph"/>
              <w:numPr>
                <w:ilvl w:val="0"/>
                <w:numId w:val="0"/>
              </w:numPr>
              <w:ind w:left="284"/>
              <w:rPr>
                <w:sz w:val="16"/>
                <w:szCs w:val="16"/>
              </w:rPr>
            </w:pPr>
          </w:p>
          <w:p w:rsidR="006E2BB1" w:rsidRPr="00C258AD" w:rsidRDefault="003737EE" w:rsidP="00BB4DBC">
            <w:pPr>
              <w:pStyle w:val="ListParagraph"/>
              <w:numPr>
                <w:ilvl w:val="0"/>
                <w:numId w:val="23"/>
              </w:numPr>
              <w:rPr>
                <w:sz w:val="16"/>
                <w:szCs w:val="16"/>
              </w:rPr>
            </w:pPr>
            <w:r w:rsidRPr="00C258AD">
              <w:rPr>
                <w:sz w:val="16"/>
                <w:szCs w:val="16"/>
              </w:rPr>
              <w:t>En 2015, 85% dans les 3 jours, dont 67% le jour même, 12% dans les 2 jours, et 6% dans les 3 jours.</w:t>
            </w:r>
          </w:p>
          <w:p w:rsidR="006E2BB1" w:rsidRPr="00C258AD" w:rsidRDefault="006E2BB1" w:rsidP="0066137C">
            <w:pPr>
              <w:rPr>
                <w:sz w:val="16"/>
                <w:szCs w:val="16"/>
              </w:rPr>
            </w:pPr>
          </w:p>
          <w:p w:rsidR="003737EE" w:rsidRPr="00C258AD" w:rsidRDefault="003737EE" w:rsidP="0066137C">
            <w:pPr>
              <w:rPr>
                <w:sz w:val="16"/>
                <w:szCs w:val="16"/>
              </w:rPr>
            </w:pPr>
            <w:r w:rsidRPr="00C258AD">
              <w:rPr>
                <w:sz w:val="16"/>
                <w:szCs w:val="16"/>
              </w:rPr>
              <w:t>En 2014</w:t>
            </w:r>
            <w:r w:rsidRPr="00C258AD">
              <w:rPr>
                <w:sz w:val="16"/>
                <w:szCs w:val="16"/>
              </w:rPr>
              <w:noBreakHyphen/>
              <w:t>2015, la Division de l’exécution des programmes et du budget a reçu quelque 2200 dossiers appelant une validation programmatique ou budgétaire.  Le délai moyen de réponse était de 1,9 jour.</w:t>
            </w:r>
          </w:p>
        </w:tc>
        <w:tc>
          <w:tcPr>
            <w:tcW w:w="554" w:type="pct"/>
            <w:tcMar>
              <w:top w:w="113" w:type="dxa"/>
              <w:left w:w="108" w:type="dxa"/>
              <w:bottom w:w="113" w:type="dxa"/>
              <w:right w:w="108" w:type="dxa"/>
            </w:tcMar>
            <w:hideMark/>
          </w:tcPr>
          <w:p w:rsidR="006E2BB1" w:rsidRPr="00C258AD" w:rsidRDefault="003737EE" w:rsidP="0066137C">
            <w:pPr>
              <w:keepNext/>
              <w:keepLines/>
              <w:jc w:val="center"/>
              <w:rPr>
                <w:b/>
                <w:bCs/>
                <w:color w:val="00B050"/>
                <w:sz w:val="16"/>
                <w:szCs w:val="16"/>
              </w:rPr>
            </w:pPr>
            <w:r w:rsidRPr="00C258AD">
              <w:rPr>
                <w:rFonts w:cs="Arial"/>
                <w:b/>
                <w:bCs/>
                <w:color w:val="00B050"/>
                <w:sz w:val="16"/>
                <w:szCs w:val="16"/>
              </w:rPr>
              <w:t>Objectif pleinement atteint</w:t>
            </w:r>
          </w:p>
          <w:p w:rsidR="006E2BB1" w:rsidRPr="00C258AD" w:rsidRDefault="006E2BB1" w:rsidP="0066137C">
            <w:pPr>
              <w:keepNext/>
              <w:keepLines/>
              <w:jc w:val="center"/>
              <w:rPr>
                <w:b/>
                <w:bCs/>
                <w:color w:val="00B050"/>
                <w:sz w:val="16"/>
                <w:szCs w:val="16"/>
              </w:rPr>
            </w:pPr>
          </w:p>
          <w:p w:rsidR="006E2BB1" w:rsidRPr="00C258AD" w:rsidRDefault="006E2BB1" w:rsidP="0066137C">
            <w:pPr>
              <w:keepNext/>
              <w:keepLines/>
              <w:jc w:val="center"/>
              <w:rPr>
                <w:b/>
                <w:bCs/>
                <w:color w:val="00B050"/>
                <w:sz w:val="16"/>
                <w:szCs w:val="16"/>
              </w:rPr>
            </w:pPr>
          </w:p>
          <w:p w:rsidR="006E2BB1" w:rsidRPr="00C258AD" w:rsidRDefault="006E2BB1" w:rsidP="0066137C">
            <w:pPr>
              <w:keepNext/>
              <w:keepLines/>
              <w:jc w:val="center"/>
              <w:rPr>
                <w:b/>
                <w:bCs/>
                <w:color w:val="00B050"/>
                <w:sz w:val="16"/>
                <w:szCs w:val="16"/>
              </w:rPr>
            </w:pPr>
          </w:p>
          <w:p w:rsidR="006E2BB1" w:rsidRPr="00C258AD" w:rsidRDefault="006E2BB1" w:rsidP="0066137C">
            <w:pPr>
              <w:keepNext/>
              <w:keepLines/>
              <w:jc w:val="center"/>
              <w:rPr>
                <w:b/>
                <w:bCs/>
                <w:color w:val="00B050"/>
                <w:sz w:val="16"/>
                <w:szCs w:val="16"/>
              </w:rPr>
            </w:pPr>
          </w:p>
          <w:p w:rsidR="006E2BB1" w:rsidRPr="00C258AD" w:rsidRDefault="006E2BB1" w:rsidP="0066137C">
            <w:pPr>
              <w:keepNext/>
              <w:keepLines/>
              <w:jc w:val="center"/>
              <w:rPr>
                <w:b/>
                <w:bCs/>
                <w:color w:val="00B050"/>
                <w:sz w:val="16"/>
                <w:szCs w:val="16"/>
              </w:rPr>
            </w:pPr>
          </w:p>
          <w:p w:rsidR="006E2BB1" w:rsidRPr="00C258AD" w:rsidRDefault="006E2BB1" w:rsidP="0066137C">
            <w:pPr>
              <w:keepNext/>
              <w:keepLines/>
              <w:jc w:val="center"/>
              <w:rPr>
                <w:b/>
                <w:bCs/>
                <w:color w:val="00B050"/>
                <w:sz w:val="16"/>
                <w:szCs w:val="16"/>
              </w:rPr>
            </w:pPr>
          </w:p>
          <w:p w:rsidR="006E2BB1" w:rsidRPr="00C258AD" w:rsidRDefault="006E2BB1" w:rsidP="0066137C">
            <w:pPr>
              <w:keepNext/>
              <w:keepLines/>
              <w:jc w:val="center"/>
              <w:rPr>
                <w:b/>
                <w:bCs/>
                <w:color w:val="00B050"/>
                <w:sz w:val="16"/>
                <w:szCs w:val="16"/>
              </w:rPr>
            </w:pPr>
          </w:p>
          <w:p w:rsidR="006E2BB1" w:rsidRPr="00C258AD" w:rsidRDefault="006E2BB1" w:rsidP="0066137C">
            <w:pPr>
              <w:keepNext/>
              <w:keepLines/>
              <w:jc w:val="center"/>
              <w:rPr>
                <w:b/>
                <w:bCs/>
                <w:color w:val="00B050"/>
                <w:sz w:val="16"/>
                <w:szCs w:val="16"/>
              </w:rPr>
            </w:pPr>
          </w:p>
          <w:p w:rsidR="006E2BB1" w:rsidRPr="00C258AD" w:rsidRDefault="006E2BB1" w:rsidP="0066137C">
            <w:pPr>
              <w:keepNext/>
              <w:keepLines/>
              <w:jc w:val="center"/>
              <w:rPr>
                <w:b/>
                <w:bCs/>
                <w:color w:val="00B050"/>
                <w:sz w:val="16"/>
                <w:szCs w:val="16"/>
              </w:rPr>
            </w:pPr>
          </w:p>
          <w:p w:rsidR="006E2BB1" w:rsidRPr="00C258AD" w:rsidRDefault="006E2BB1" w:rsidP="0066137C">
            <w:pPr>
              <w:keepNext/>
              <w:keepLines/>
              <w:jc w:val="center"/>
              <w:rPr>
                <w:b/>
                <w:bCs/>
                <w:color w:val="00B050"/>
                <w:sz w:val="16"/>
                <w:szCs w:val="16"/>
              </w:rPr>
            </w:pPr>
          </w:p>
          <w:p w:rsidR="006E2BB1" w:rsidRPr="00C258AD" w:rsidRDefault="006E2BB1" w:rsidP="0066137C">
            <w:pPr>
              <w:keepNext/>
              <w:keepLines/>
              <w:jc w:val="center"/>
              <w:rPr>
                <w:b/>
                <w:bCs/>
                <w:color w:val="00B050"/>
                <w:sz w:val="16"/>
                <w:szCs w:val="16"/>
              </w:rPr>
            </w:pPr>
          </w:p>
          <w:p w:rsidR="006E2BB1" w:rsidRPr="00C258AD" w:rsidRDefault="006E2BB1" w:rsidP="0066137C">
            <w:pPr>
              <w:keepNext/>
              <w:keepLines/>
              <w:jc w:val="center"/>
              <w:rPr>
                <w:b/>
                <w:bCs/>
                <w:color w:val="00B050"/>
                <w:sz w:val="16"/>
                <w:szCs w:val="16"/>
              </w:rPr>
            </w:pPr>
          </w:p>
          <w:p w:rsidR="006E2BB1" w:rsidRPr="00C258AD" w:rsidRDefault="006E2BB1" w:rsidP="0066137C">
            <w:pPr>
              <w:keepNext/>
              <w:keepLines/>
              <w:jc w:val="center"/>
              <w:rPr>
                <w:b/>
                <w:bCs/>
                <w:color w:val="00B050"/>
                <w:sz w:val="16"/>
                <w:szCs w:val="16"/>
              </w:rPr>
            </w:pPr>
          </w:p>
          <w:p w:rsidR="006E2BB1" w:rsidRPr="00C258AD" w:rsidRDefault="006E2BB1" w:rsidP="0066137C">
            <w:pPr>
              <w:keepNext/>
              <w:keepLines/>
              <w:jc w:val="center"/>
              <w:rPr>
                <w:b/>
                <w:bCs/>
                <w:color w:val="00B050"/>
                <w:sz w:val="16"/>
                <w:szCs w:val="16"/>
              </w:rPr>
            </w:pPr>
          </w:p>
          <w:p w:rsidR="003737EE" w:rsidRPr="00C258AD" w:rsidRDefault="003737EE" w:rsidP="0066137C">
            <w:pPr>
              <w:keepNext/>
              <w:keepLines/>
              <w:jc w:val="center"/>
              <w:rPr>
                <w:b/>
                <w:bCs/>
                <w:sz w:val="16"/>
                <w:szCs w:val="16"/>
              </w:rPr>
            </w:pPr>
            <w:r w:rsidRPr="00C258AD">
              <w:rPr>
                <w:rFonts w:cs="Arial"/>
                <w:b/>
                <w:bCs/>
                <w:color w:val="00B050"/>
                <w:sz w:val="16"/>
                <w:szCs w:val="16"/>
              </w:rPr>
              <w:t>Objectif pleinement atteint</w:t>
            </w:r>
          </w:p>
        </w:tc>
      </w:tr>
      <w:tr w:rsidR="003737EE" w:rsidRPr="00C258AD" w:rsidTr="0066137C">
        <w:trPr>
          <w:cantSplit/>
        </w:trPr>
        <w:tc>
          <w:tcPr>
            <w:tcW w:w="5000" w:type="pct"/>
            <w:gridSpan w:val="8"/>
            <w:tcBorders>
              <w:top w:val="single" w:sz="4" w:space="0" w:color="auto"/>
              <w:left w:val="single" w:sz="4" w:space="0" w:color="auto"/>
              <w:bottom w:val="single" w:sz="4" w:space="0" w:color="auto"/>
              <w:right w:val="single" w:sz="4" w:space="0" w:color="auto"/>
            </w:tcBorders>
            <w:shd w:val="clear" w:color="auto" w:fill="C5D9F1"/>
            <w:tcMar>
              <w:top w:w="113" w:type="dxa"/>
              <w:left w:w="108" w:type="dxa"/>
              <w:bottom w:w="113" w:type="dxa"/>
              <w:right w:w="108" w:type="dxa"/>
            </w:tcMar>
          </w:tcPr>
          <w:p w:rsidR="003737EE" w:rsidRPr="00C258AD" w:rsidRDefault="003737EE" w:rsidP="0066137C">
            <w:pPr>
              <w:keepNext/>
              <w:keepLines/>
              <w:tabs>
                <w:tab w:val="left" w:pos="1452"/>
              </w:tabs>
              <w:rPr>
                <w:bCs/>
                <w:sz w:val="16"/>
                <w:szCs w:val="16"/>
              </w:rPr>
            </w:pPr>
            <w:r w:rsidRPr="00C258AD">
              <w:rPr>
                <w:b/>
                <w:bCs/>
                <w:sz w:val="16"/>
                <w:szCs w:val="16"/>
              </w:rPr>
              <w:lastRenderedPageBreak/>
              <w:t xml:space="preserve">Résultat escompté : </w:t>
            </w:r>
            <w:r w:rsidRPr="00C258AD">
              <w:rPr>
                <w:bCs/>
                <w:sz w:val="16"/>
                <w:szCs w:val="16"/>
              </w:rPr>
              <w:t>IX.2 Un Secrétariat réactif, fonctionnant harmonieusement et doté de ressources humaines bien gérées et compétentes, à même d’obtenir des résultats concrets</w:t>
            </w:r>
          </w:p>
        </w:tc>
      </w:tr>
      <w:tr w:rsidR="003737EE" w:rsidRPr="00C258AD" w:rsidTr="0066137C">
        <w:trPr>
          <w:cantSplit/>
        </w:trPr>
        <w:tc>
          <w:tcPr>
            <w:tcW w:w="1122" w:type="pct"/>
            <w:tcBorders>
              <w:top w:val="single" w:sz="4" w:space="0" w:color="auto"/>
              <w:left w:val="single" w:sz="4" w:space="0" w:color="auto"/>
            </w:tcBorders>
            <w:tcMar>
              <w:top w:w="113" w:type="dxa"/>
              <w:left w:w="108" w:type="dxa"/>
              <w:bottom w:w="113" w:type="dxa"/>
              <w:right w:w="108" w:type="dxa"/>
            </w:tcMar>
            <w:vAlign w:val="center"/>
          </w:tcPr>
          <w:p w:rsidR="003737EE" w:rsidRPr="00C258AD" w:rsidRDefault="003737EE" w:rsidP="0066137C">
            <w:pPr>
              <w:keepNext/>
              <w:keepLines/>
              <w:jc w:val="center"/>
              <w:rPr>
                <w:b/>
                <w:bCs/>
                <w:sz w:val="16"/>
                <w:szCs w:val="16"/>
              </w:rPr>
            </w:pPr>
            <w:r w:rsidRPr="00C258AD">
              <w:rPr>
                <w:b/>
                <w:bCs/>
                <w:sz w:val="16"/>
                <w:szCs w:val="16"/>
              </w:rPr>
              <w:t>Indicateurs d’exécution</w:t>
            </w:r>
          </w:p>
        </w:tc>
        <w:tc>
          <w:tcPr>
            <w:tcW w:w="980" w:type="pct"/>
            <w:gridSpan w:val="2"/>
            <w:tcBorders>
              <w:top w:val="single" w:sz="4" w:space="0" w:color="auto"/>
            </w:tcBorders>
            <w:tcMar>
              <w:top w:w="113" w:type="dxa"/>
              <w:left w:w="108" w:type="dxa"/>
              <w:bottom w:w="113" w:type="dxa"/>
              <w:right w:w="108" w:type="dxa"/>
            </w:tcMar>
            <w:vAlign w:val="center"/>
            <w:hideMark/>
          </w:tcPr>
          <w:p w:rsidR="003737EE" w:rsidRPr="00C258AD" w:rsidRDefault="003737EE" w:rsidP="0066137C">
            <w:pPr>
              <w:keepNext/>
              <w:keepLines/>
              <w:jc w:val="center"/>
              <w:rPr>
                <w:b/>
                <w:bCs/>
                <w:sz w:val="16"/>
                <w:szCs w:val="16"/>
              </w:rPr>
            </w:pPr>
            <w:r w:rsidRPr="00C258AD">
              <w:rPr>
                <w:b/>
                <w:bCs/>
                <w:sz w:val="16"/>
                <w:szCs w:val="16"/>
              </w:rPr>
              <w:t>Niveaux de référence</w:t>
            </w:r>
          </w:p>
        </w:tc>
        <w:tc>
          <w:tcPr>
            <w:tcW w:w="840" w:type="pct"/>
            <w:gridSpan w:val="3"/>
            <w:tcBorders>
              <w:top w:val="single" w:sz="4" w:space="0" w:color="auto"/>
            </w:tcBorders>
            <w:tcMar>
              <w:top w:w="113" w:type="dxa"/>
              <w:left w:w="108" w:type="dxa"/>
              <w:bottom w:w="113" w:type="dxa"/>
              <w:right w:w="108" w:type="dxa"/>
            </w:tcMar>
            <w:vAlign w:val="center"/>
            <w:hideMark/>
          </w:tcPr>
          <w:p w:rsidR="003737EE" w:rsidRPr="00C258AD" w:rsidRDefault="003737EE" w:rsidP="0066137C">
            <w:pPr>
              <w:keepNext/>
              <w:keepLines/>
              <w:autoSpaceDE w:val="0"/>
              <w:autoSpaceDN w:val="0"/>
              <w:adjustRightInd w:val="0"/>
              <w:jc w:val="center"/>
              <w:rPr>
                <w:b/>
                <w:bCs/>
                <w:sz w:val="16"/>
                <w:szCs w:val="16"/>
              </w:rPr>
            </w:pPr>
            <w:r w:rsidRPr="00C258AD">
              <w:rPr>
                <w:b/>
                <w:bCs/>
                <w:sz w:val="16"/>
                <w:szCs w:val="16"/>
              </w:rPr>
              <w:t>Objectifs visés</w:t>
            </w:r>
          </w:p>
        </w:tc>
        <w:tc>
          <w:tcPr>
            <w:tcW w:w="1504" w:type="pct"/>
            <w:tcBorders>
              <w:top w:val="single" w:sz="4" w:space="0" w:color="auto"/>
            </w:tcBorders>
            <w:shd w:val="clear" w:color="auto" w:fill="FFFFFF"/>
            <w:tcMar>
              <w:top w:w="113" w:type="dxa"/>
              <w:left w:w="108" w:type="dxa"/>
              <w:bottom w:w="113" w:type="dxa"/>
              <w:right w:w="108" w:type="dxa"/>
            </w:tcMar>
            <w:vAlign w:val="center"/>
            <w:hideMark/>
          </w:tcPr>
          <w:p w:rsidR="003737EE" w:rsidRPr="00C258AD" w:rsidRDefault="003737EE" w:rsidP="0066137C">
            <w:pPr>
              <w:keepNext/>
              <w:keepLines/>
              <w:jc w:val="center"/>
              <w:rPr>
                <w:b/>
                <w:bCs/>
                <w:sz w:val="16"/>
                <w:szCs w:val="16"/>
              </w:rPr>
            </w:pPr>
            <w:r w:rsidRPr="00C258AD">
              <w:rPr>
                <w:b/>
                <w:bCs/>
                <w:sz w:val="16"/>
                <w:szCs w:val="16"/>
              </w:rPr>
              <w:t>Données relatives à l’exécution</w:t>
            </w:r>
          </w:p>
        </w:tc>
        <w:tc>
          <w:tcPr>
            <w:tcW w:w="554" w:type="pct"/>
            <w:tcBorders>
              <w:top w:val="single" w:sz="4" w:space="0" w:color="auto"/>
              <w:right w:val="single" w:sz="4" w:space="0" w:color="auto"/>
            </w:tcBorders>
            <w:tcMar>
              <w:top w:w="113" w:type="dxa"/>
              <w:left w:w="108" w:type="dxa"/>
              <w:bottom w:w="113" w:type="dxa"/>
              <w:right w:w="108" w:type="dxa"/>
            </w:tcMar>
            <w:vAlign w:val="center"/>
            <w:hideMark/>
          </w:tcPr>
          <w:p w:rsidR="003737EE" w:rsidRPr="00C258AD" w:rsidRDefault="003737EE" w:rsidP="0066137C">
            <w:pPr>
              <w:keepNext/>
              <w:keepLines/>
              <w:jc w:val="center"/>
              <w:rPr>
                <w:b/>
                <w:bCs/>
                <w:sz w:val="16"/>
                <w:szCs w:val="16"/>
              </w:rPr>
            </w:pPr>
            <w:r w:rsidRPr="00C258AD">
              <w:rPr>
                <w:b/>
                <w:bCs/>
                <w:sz w:val="16"/>
                <w:szCs w:val="16"/>
              </w:rPr>
              <w:t>Code de couleurs</w:t>
            </w:r>
          </w:p>
        </w:tc>
      </w:tr>
      <w:tr w:rsidR="003737EE" w:rsidRPr="00C258AD" w:rsidTr="0066137C">
        <w:trPr>
          <w:cantSplit/>
        </w:trPr>
        <w:tc>
          <w:tcPr>
            <w:tcW w:w="1122" w:type="pct"/>
            <w:tcBorders>
              <w:left w:val="single" w:sz="4" w:space="0" w:color="auto"/>
            </w:tcBorders>
            <w:tcMar>
              <w:top w:w="113" w:type="dxa"/>
              <w:left w:w="108" w:type="dxa"/>
              <w:bottom w:w="113" w:type="dxa"/>
              <w:right w:w="108" w:type="dxa"/>
            </w:tcMar>
          </w:tcPr>
          <w:p w:rsidR="003737EE" w:rsidRPr="00C258AD" w:rsidRDefault="003737EE" w:rsidP="0066137C">
            <w:pPr>
              <w:keepNext/>
              <w:keepLines/>
              <w:rPr>
                <w:sz w:val="16"/>
                <w:szCs w:val="16"/>
                <w:lang w:bidi="th-TH"/>
              </w:rPr>
            </w:pPr>
            <w:r w:rsidRPr="00C258AD">
              <w:rPr>
                <w:sz w:val="16"/>
                <w:szCs w:val="16"/>
                <w:lang w:bidi="th-TH"/>
              </w:rPr>
              <w:t>Les vérificateurs externes des comptes ont produit un rapport financier satisfaisant, qui confirme que les opérations financières sont conformes aux dispositions des conventions et des traités applicables de l’OMPI, au Règlement financier de l’OMPI et à son règlement d’exécution ainsi qu’aux normes IPSAS.</w:t>
            </w:r>
          </w:p>
        </w:tc>
        <w:tc>
          <w:tcPr>
            <w:tcW w:w="980" w:type="pct"/>
            <w:gridSpan w:val="2"/>
            <w:tcMar>
              <w:top w:w="113" w:type="dxa"/>
              <w:left w:w="108" w:type="dxa"/>
              <w:bottom w:w="113" w:type="dxa"/>
              <w:right w:w="108" w:type="dxa"/>
            </w:tcMar>
          </w:tcPr>
          <w:p w:rsidR="003737EE" w:rsidRPr="00C258AD" w:rsidRDefault="003737EE" w:rsidP="0066137C">
            <w:pPr>
              <w:keepNext/>
              <w:keepLines/>
              <w:rPr>
                <w:sz w:val="16"/>
                <w:szCs w:val="16"/>
              </w:rPr>
            </w:pPr>
            <w:r w:rsidRPr="00C258AD">
              <w:rPr>
                <w:sz w:val="16"/>
                <w:szCs w:val="16"/>
              </w:rPr>
              <w:t>Réception d’un rapport d’audit favorable pour 2012</w:t>
            </w:r>
            <w:r w:rsidRPr="00C258AD">
              <w:rPr>
                <w:sz w:val="16"/>
                <w:szCs w:val="16"/>
              </w:rPr>
              <w:noBreakHyphen/>
              <w:t>2013 et réponses apportées à toutes les recommandations de l’audit.</w:t>
            </w:r>
          </w:p>
        </w:tc>
        <w:tc>
          <w:tcPr>
            <w:tcW w:w="840" w:type="pct"/>
            <w:gridSpan w:val="3"/>
            <w:tcMar>
              <w:top w:w="113" w:type="dxa"/>
              <w:left w:w="108" w:type="dxa"/>
              <w:bottom w:w="113" w:type="dxa"/>
              <w:right w:w="108" w:type="dxa"/>
            </w:tcMar>
          </w:tcPr>
          <w:p w:rsidR="003737EE" w:rsidRPr="00C258AD" w:rsidRDefault="003737EE" w:rsidP="0066137C">
            <w:pPr>
              <w:keepNext/>
              <w:keepLines/>
              <w:autoSpaceDE w:val="0"/>
              <w:autoSpaceDN w:val="0"/>
              <w:adjustRightInd w:val="0"/>
              <w:rPr>
                <w:sz w:val="16"/>
                <w:szCs w:val="16"/>
              </w:rPr>
            </w:pPr>
            <w:r w:rsidRPr="00C258AD">
              <w:rPr>
                <w:sz w:val="16"/>
                <w:szCs w:val="16"/>
              </w:rPr>
              <w:t>Rapport d’audit favorable pour les deux années de l’exercice.</w:t>
            </w:r>
          </w:p>
        </w:tc>
        <w:tc>
          <w:tcPr>
            <w:tcW w:w="1504" w:type="pct"/>
            <w:shd w:val="clear" w:color="auto" w:fill="FFFFFF"/>
            <w:tcMar>
              <w:top w:w="113" w:type="dxa"/>
              <w:left w:w="108" w:type="dxa"/>
              <w:bottom w:w="113" w:type="dxa"/>
              <w:right w:w="108" w:type="dxa"/>
            </w:tcMar>
          </w:tcPr>
          <w:p w:rsidR="006E2BB1" w:rsidRPr="00C258AD" w:rsidRDefault="003737EE" w:rsidP="0066137C">
            <w:pPr>
              <w:rPr>
                <w:sz w:val="16"/>
                <w:szCs w:val="16"/>
              </w:rPr>
            </w:pPr>
            <w:r w:rsidRPr="00C258AD">
              <w:rPr>
                <w:sz w:val="16"/>
                <w:szCs w:val="16"/>
              </w:rPr>
              <w:t>Rapport d’audit favorable pour 2014.</w:t>
            </w:r>
          </w:p>
          <w:p w:rsidR="006E2BB1" w:rsidRPr="00C258AD" w:rsidRDefault="006E2BB1" w:rsidP="0066137C">
            <w:pPr>
              <w:rPr>
                <w:sz w:val="16"/>
                <w:szCs w:val="16"/>
              </w:rPr>
            </w:pPr>
          </w:p>
          <w:p w:rsidR="006E2BB1" w:rsidRPr="00C258AD" w:rsidRDefault="006E2BB1" w:rsidP="0066137C">
            <w:pPr>
              <w:rPr>
                <w:sz w:val="16"/>
                <w:szCs w:val="16"/>
              </w:rPr>
            </w:pPr>
          </w:p>
          <w:p w:rsidR="006E2BB1" w:rsidRPr="00C258AD" w:rsidRDefault="006E2BB1" w:rsidP="0066137C">
            <w:pPr>
              <w:rPr>
                <w:sz w:val="16"/>
                <w:szCs w:val="16"/>
              </w:rPr>
            </w:pPr>
          </w:p>
          <w:p w:rsidR="006E2BB1" w:rsidRPr="00C258AD" w:rsidRDefault="003737EE" w:rsidP="0066137C">
            <w:pPr>
              <w:rPr>
                <w:sz w:val="16"/>
                <w:szCs w:val="16"/>
              </w:rPr>
            </w:pPr>
            <w:r w:rsidRPr="00C258AD">
              <w:rPr>
                <w:sz w:val="16"/>
                <w:szCs w:val="16"/>
              </w:rPr>
              <w:t>Au moment de la publication, les résultats de l’‎audit de 2015 n’avaient pas encore été diffusés.</w:t>
            </w:r>
          </w:p>
          <w:p w:rsidR="006E2BB1" w:rsidRPr="00C258AD" w:rsidRDefault="006E2BB1" w:rsidP="0066137C">
            <w:pPr>
              <w:rPr>
                <w:sz w:val="16"/>
                <w:szCs w:val="16"/>
              </w:rPr>
            </w:pPr>
          </w:p>
          <w:p w:rsidR="003737EE" w:rsidRPr="00C258AD" w:rsidRDefault="003737EE" w:rsidP="0066137C">
            <w:pPr>
              <w:rPr>
                <w:sz w:val="16"/>
                <w:szCs w:val="16"/>
              </w:rPr>
            </w:pPr>
            <w:r w:rsidRPr="00C258AD">
              <w:rPr>
                <w:sz w:val="16"/>
                <w:szCs w:val="16"/>
              </w:rPr>
              <w:t>Réponses apportées à toutes les recommandations de l’audit reçues en 2014</w:t>
            </w:r>
            <w:r w:rsidRPr="00C258AD">
              <w:rPr>
                <w:sz w:val="16"/>
                <w:szCs w:val="16"/>
              </w:rPr>
              <w:noBreakHyphen/>
              <w:t>2015.</w:t>
            </w:r>
          </w:p>
        </w:tc>
        <w:tc>
          <w:tcPr>
            <w:tcW w:w="554" w:type="pct"/>
            <w:tcBorders>
              <w:right w:val="single" w:sz="4" w:space="0" w:color="auto"/>
            </w:tcBorders>
            <w:tcMar>
              <w:top w:w="113" w:type="dxa"/>
              <w:left w:w="108" w:type="dxa"/>
              <w:bottom w:w="113" w:type="dxa"/>
              <w:right w:w="108" w:type="dxa"/>
            </w:tcMar>
          </w:tcPr>
          <w:p w:rsidR="006E2BB1" w:rsidRPr="00C258AD" w:rsidRDefault="003737EE" w:rsidP="0066137C">
            <w:pPr>
              <w:keepNext/>
              <w:keepLines/>
              <w:jc w:val="center"/>
              <w:rPr>
                <w:bCs/>
                <w:color w:val="00B050"/>
                <w:sz w:val="16"/>
                <w:szCs w:val="16"/>
              </w:rPr>
            </w:pPr>
            <w:r w:rsidRPr="00C258AD">
              <w:rPr>
                <w:rFonts w:cs="Arial"/>
                <w:b/>
                <w:bCs/>
                <w:color w:val="00B050"/>
                <w:sz w:val="16"/>
                <w:szCs w:val="16"/>
              </w:rPr>
              <w:t>Objectif pleinement atteint</w:t>
            </w:r>
          </w:p>
          <w:p w:rsidR="006E2BB1" w:rsidRPr="00C258AD" w:rsidRDefault="006E2BB1" w:rsidP="0066137C">
            <w:pPr>
              <w:keepNext/>
              <w:keepLines/>
              <w:jc w:val="center"/>
              <w:rPr>
                <w:bCs/>
                <w:color w:val="00B050"/>
                <w:sz w:val="16"/>
                <w:szCs w:val="16"/>
              </w:rPr>
            </w:pPr>
          </w:p>
          <w:p w:rsidR="006E2BB1" w:rsidRPr="00C258AD" w:rsidRDefault="003737EE" w:rsidP="0066137C">
            <w:pPr>
              <w:keepNext/>
              <w:keepLines/>
              <w:jc w:val="center"/>
              <w:rPr>
                <w:bCs/>
                <w:color w:val="00B050"/>
                <w:sz w:val="16"/>
                <w:szCs w:val="16"/>
              </w:rPr>
            </w:pPr>
            <w:r w:rsidRPr="00C258AD">
              <w:rPr>
                <w:b/>
                <w:bCs/>
                <w:color w:val="808080"/>
                <w:sz w:val="16"/>
                <w:szCs w:val="16"/>
              </w:rPr>
              <w:t>Non évaluable</w:t>
            </w:r>
          </w:p>
          <w:p w:rsidR="003737EE" w:rsidRPr="00C258AD" w:rsidRDefault="003737EE" w:rsidP="0066137C">
            <w:pPr>
              <w:keepNext/>
              <w:keepLines/>
              <w:jc w:val="center"/>
              <w:rPr>
                <w:bCs/>
                <w:color w:val="00B050"/>
                <w:sz w:val="16"/>
                <w:szCs w:val="16"/>
              </w:rPr>
            </w:pPr>
          </w:p>
        </w:tc>
      </w:tr>
      <w:tr w:rsidR="003737EE" w:rsidRPr="00C258AD" w:rsidTr="0066137C">
        <w:trPr>
          <w:cantSplit/>
        </w:trPr>
        <w:tc>
          <w:tcPr>
            <w:tcW w:w="1122" w:type="pct"/>
            <w:tcBorders>
              <w:left w:val="single" w:sz="4" w:space="0" w:color="auto"/>
            </w:tcBorders>
            <w:tcMar>
              <w:top w:w="113" w:type="dxa"/>
              <w:left w:w="108" w:type="dxa"/>
              <w:bottom w:w="113" w:type="dxa"/>
              <w:right w:w="108" w:type="dxa"/>
            </w:tcMar>
          </w:tcPr>
          <w:p w:rsidR="003737EE" w:rsidRPr="00C258AD" w:rsidRDefault="003737EE" w:rsidP="0066137C">
            <w:pPr>
              <w:rPr>
                <w:sz w:val="16"/>
                <w:szCs w:val="16"/>
                <w:lang w:bidi="th-TH"/>
              </w:rPr>
            </w:pPr>
            <w:r w:rsidRPr="00C258AD">
              <w:rPr>
                <w:sz w:val="16"/>
                <w:szCs w:val="16"/>
                <w:lang w:bidi="th-TH"/>
              </w:rPr>
              <w:t>Retour sur investissements conforme aux critères établis par le Comité consultatif pour les placements.</w:t>
            </w:r>
          </w:p>
        </w:tc>
        <w:tc>
          <w:tcPr>
            <w:tcW w:w="980" w:type="pct"/>
            <w:gridSpan w:val="2"/>
            <w:tcMar>
              <w:top w:w="113" w:type="dxa"/>
              <w:left w:w="108" w:type="dxa"/>
              <w:bottom w:w="113" w:type="dxa"/>
              <w:right w:w="108" w:type="dxa"/>
            </w:tcMar>
          </w:tcPr>
          <w:p w:rsidR="003737EE" w:rsidRPr="00C258AD" w:rsidRDefault="003737EE" w:rsidP="0066137C">
            <w:pPr>
              <w:rPr>
                <w:i/>
                <w:sz w:val="16"/>
                <w:szCs w:val="16"/>
              </w:rPr>
            </w:pPr>
            <w:r w:rsidRPr="00C258AD">
              <w:rPr>
                <w:sz w:val="16"/>
                <w:szCs w:val="16"/>
                <w:lang w:bidi="th-TH"/>
              </w:rPr>
              <w:t>Retour sur investissements conforme aux critères établis par le Comité consultatif pour les placements pour 2012</w:t>
            </w:r>
            <w:r w:rsidRPr="00C258AD">
              <w:rPr>
                <w:sz w:val="16"/>
                <w:szCs w:val="16"/>
                <w:lang w:bidi="th-TH"/>
              </w:rPr>
              <w:noBreakHyphen/>
              <w:t>2013.</w:t>
            </w:r>
          </w:p>
        </w:tc>
        <w:tc>
          <w:tcPr>
            <w:tcW w:w="840" w:type="pct"/>
            <w:gridSpan w:val="3"/>
            <w:tcMar>
              <w:top w:w="113" w:type="dxa"/>
              <w:left w:w="108" w:type="dxa"/>
              <w:bottom w:w="113" w:type="dxa"/>
              <w:right w:w="108" w:type="dxa"/>
            </w:tcMar>
          </w:tcPr>
          <w:p w:rsidR="003737EE" w:rsidRPr="00C258AD" w:rsidRDefault="003737EE" w:rsidP="0066137C">
            <w:pPr>
              <w:autoSpaceDE w:val="0"/>
              <w:autoSpaceDN w:val="0"/>
              <w:adjustRightInd w:val="0"/>
              <w:rPr>
                <w:sz w:val="16"/>
                <w:szCs w:val="16"/>
              </w:rPr>
            </w:pPr>
            <w:r w:rsidRPr="00C258AD">
              <w:rPr>
                <w:sz w:val="16"/>
                <w:szCs w:val="16"/>
              </w:rPr>
              <w:t>Retour sur investissements conforme aux critères établis par le Comité consultatif pour les placements pour 2014</w:t>
            </w:r>
            <w:r w:rsidRPr="00C258AD">
              <w:rPr>
                <w:sz w:val="16"/>
                <w:szCs w:val="16"/>
              </w:rPr>
              <w:noBreakHyphen/>
              <w:t>2015.</w:t>
            </w:r>
          </w:p>
        </w:tc>
        <w:tc>
          <w:tcPr>
            <w:tcW w:w="1504" w:type="pct"/>
            <w:shd w:val="clear" w:color="auto" w:fill="FFFFFF"/>
            <w:tcMar>
              <w:top w:w="113" w:type="dxa"/>
              <w:left w:w="108" w:type="dxa"/>
              <w:bottom w:w="113" w:type="dxa"/>
              <w:right w:w="108" w:type="dxa"/>
            </w:tcMar>
          </w:tcPr>
          <w:p w:rsidR="006E2BB1" w:rsidRPr="00C258AD" w:rsidRDefault="003737EE" w:rsidP="0066137C">
            <w:pPr>
              <w:autoSpaceDE w:val="0"/>
              <w:autoSpaceDN w:val="0"/>
              <w:adjustRightInd w:val="0"/>
              <w:rPr>
                <w:sz w:val="16"/>
                <w:szCs w:val="16"/>
              </w:rPr>
            </w:pPr>
            <w:r w:rsidRPr="00C258AD">
              <w:rPr>
                <w:sz w:val="16"/>
                <w:szCs w:val="16"/>
              </w:rPr>
              <w:t>Cet objectif a été atteint au cours de l’exercice biennal.  Les placements ont continué d’être effectués auprès des autorités suisses, conformément au niveau de référence établi pour les placements en 2014</w:t>
            </w:r>
            <w:r w:rsidRPr="00C258AD">
              <w:rPr>
                <w:sz w:val="16"/>
                <w:szCs w:val="16"/>
              </w:rPr>
              <w:noBreakHyphen/>
              <w:t>2015.</w:t>
            </w:r>
          </w:p>
          <w:p w:rsidR="006E2BB1" w:rsidRPr="00C258AD" w:rsidRDefault="006E2BB1" w:rsidP="0066137C">
            <w:pPr>
              <w:autoSpaceDE w:val="0"/>
              <w:autoSpaceDN w:val="0"/>
              <w:adjustRightInd w:val="0"/>
              <w:rPr>
                <w:sz w:val="16"/>
                <w:szCs w:val="16"/>
              </w:rPr>
            </w:pPr>
          </w:p>
          <w:p w:rsidR="003737EE" w:rsidRPr="00C258AD" w:rsidRDefault="003737EE" w:rsidP="0066137C">
            <w:pPr>
              <w:autoSpaceDE w:val="0"/>
              <w:autoSpaceDN w:val="0"/>
              <w:adjustRightInd w:val="0"/>
              <w:rPr>
                <w:sz w:val="16"/>
                <w:szCs w:val="16"/>
              </w:rPr>
            </w:pPr>
            <w:r w:rsidRPr="00C258AD">
              <w:rPr>
                <w:sz w:val="16"/>
                <w:szCs w:val="16"/>
                <w:lang w:bidi="th-TH"/>
              </w:rPr>
              <w:t>De nouveaux critères doivent être établis par le Comité consultatif pour les placements, suite à la mise en place d’une nouvelle politique d’investissement à l’automne 2015.</w:t>
            </w:r>
          </w:p>
        </w:tc>
        <w:tc>
          <w:tcPr>
            <w:tcW w:w="554" w:type="pct"/>
            <w:tcBorders>
              <w:right w:val="single" w:sz="4" w:space="0" w:color="auto"/>
            </w:tcBorders>
            <w:tcMar>
              <w:top w:w="113" w:type="dxa"/>
              <w:left w:w="108" w:type="dxa"/>
              <w:bottom w:w="113" w:type="dxa"/>
              <w:right w:w="108" w:type="dxa"/>
            </w:tcMar>
          </w:tcPr>
          <w:p w:rsidR="003737EE" w:rsidRPr="00C258AD" w:rsidRDefault="003737EE" w:rsidP="0066137C">
            <w:pPr>
              <w:keepNext/>
              <w:keepLines/>
              <w:jc w:val="center"/>
              <w:rPr>
                <w:bCs/>
                <w:color w:val="00B050"/>
                <w:sz w:val="16"/>
                <w:szCs w:val="16"/>
              </w:rPr>
            </w:pPr>
            <w:r w:rsidRPr="00C258AD">
              <w:rPr>
                <w:rFonts w:cs="Arial"/>
                <w:b/>
                <w:bCs/>
                <w:color w:val="00B050"/>
                <w:sz w:val="16"/>
                <w:szCs w:val="16"/>
              </w:rPr>
              <w:t>Objectif pleinement atteint</w:t>
            </w:r>
          </w:p>
        </w:tc>
      </w:tr>
      <w:tr w:rsidR="003737EE" w:rsidRPr="00C258AD" w:rsidTr="0066137C">
        <w:trPr>
          <w:cantSplit/>
        </w:trPr>
        <w:tc>
          <w:tcPr>
            <w:tcW w:w="1122" w:type="pct"/>
            <w:tcBorders>
              <w:left w:val="single" w:sz="4" w:space="0" w:color="auto"/>
            </w:tcBorders>
            <w:tcMar>
              <w:top w:w="113" w:type="dxa"/>
              <w:left w:w="108" w:type="dxa"/>
              <w:bottom w:w="113" w:type="dxa"/>
              <w:right w:w="108" w:type="dxa"/>
            </w:tcMar>
          </w:tcPr>
          <w:p w:rsidR="003737EE" w:rsidRPr="00C258AD" w:rsidRDefault="003737EE" w:rsidP="0066137C">
            <w:pPr>
              <w:rPr>
                <w:sz w:val="16"/>
                <w:szCs w:val="16"/>
                <w:lang w:bidi="th-TH"/>
              </w:rPr>
            </w:pPr>
            <w:r w:rsidRPr="00C258AD">
              <w:rPr>
                <w:sz w:val="16"/>
                <w:szCs w:val="16"/>
                <w:lang w:bidi="th-TH"/>
              </w:rPr>
              <w:t>Paiements (y compris taxes perçues au titre des services fournis dans le cadre des systèmes de Madrid et de La Haye) effectués à temps.</w:t>
            </w:r>
          </w:p>
        </w:tc>
        <w:tc>
          <w:tcPr>
            <w:tcW w:w="980" w:type="pct"/>
            <w:gridSpan w:val="2"/>
            <w:tcMar>
              <w:top w:w="113" w:type="dxa"/>
              <w:left w:w="108" w:type="dxa"/>
              <w:bottom w:w="113" w:type="dxa"/>
              <w:right w:w="108" w:type="dxa"/>
            </w:tcMar>
          </w:tcPr>
          <w:p w:rsidR="003737EE" w:rsidRPr="00C258AD" w:rsidRDefault="003737EE" w:rsidP="0066137C">
            <w:pPr>
              <w:rPr>
                <w:i/>
                <w:sz w:val="16"/>
                <w:szCs w:val="16"/>
              </w:rPr>
            </w:pPr>
            <w:r w:rsidRPr="00C258AD">
              <w:rPr>
                <w:sz w:val="16"/>
                <w:szCs w:val="16"/>
                <w:lang w:bidi="th-TH"/>
              </w:rPr>
              <w:t>90% des paiements effectués avant l’expiration du délai de sept jours ou à la date de réception de la facture (en cas de réception tardive) en cas d’absence d’autres problèmes de flux de travail (non</w:t>
            </w:r>
            <w:r w:rsidRPr="00C258AD">
              <w:rPr>
                <w:sz w:val="16"/>
                <w:szCs w:val="16"/>
                <w:lang w:bidi="th-TH"/>
              </w:rPr>
              <w:noBreakHyphen/>
              <w:t>expédition du bon de commande, etc.).</w:t>
            </w:r>
          </w:p>
        </w:tc>
        <w:tc>
          <w:tcPr>
            <w:tcW w:w="840" w:type="pct"/>
            <w:gridSpan w:val="3"/>
            <w:tcMar>
              <w:top w:w="113" w:type="dxa"/>
              <w:left w:w="108" w:type="dxa"/>
              <w:bottom w:w="113" w:type="dxa"/>
              <w:right w:w="108" w:type="dxa"/>
            </w:tcMar>
          </w:tcPr>
          <w:p w:rsidR="003737EE" w:rsidRPr="00C258AD" w:rsidRDefault="003737EE" w:rsidP="0066137C">
            <w:pPr>
              <w:autoSpaceDE w:val="0"/>
              <w:autoSpaceDN w:val="0"/>
              <w:adjustRightInd w:val="0"/>
              <w:rPr>
                <w:sz w:val="16"/>
                <w:szCs w:val="16"/>
              </w:rPr>
            </w:pPr>
            <w:r w:rsidRPr="00C258AD">
              <w:rPr>
                <w:sz w:val="16"/>
                <w:szCs w:val="16"/>
              </w:rPr>
              <w:t>90% des paiements à effectuer dans les deux</w:t>
            </w:r>
            <w:r w:rsidRPr="00C258AD">
              <w:rPr>
                <w:sz w:val="16"/>
                <w:szCs w:val="16"/>
              </w:rPr>
              <w:noBreakHyphen/>
              <w:t>trois jours à compter de la date de réception de la facture.</w:t>
            </w:r>
          </w:p>
        </w:tc>
        <w:tc>
          <w:tcPr>
            <w:tcW w:w="1504" w:type="pct"/>
            <w:shd w:val="clear" w:color="auto" w:fill="FFFFFF"/>
            <w:tcMar>
              <w:top w:w="113" w:type="dxa"/>
              <w:left w:w="108" w:type="dxa"/>
              <w:bottom w:w="113" w:type="dxa"/>
              <w:right w:w="108" w:type="dxa"/>
            </w:tcMar>
          </w:tcPr>
          <w:p w:rsidR="006E2BB1" w:rsidRPr="00C258AD" w:rsidRDefault="003737EE" w:rsidP="0066137C">
            <w:pPr>
              <w:rPr>
                <w:sz w:val="16"/>
                <w:szCs w:val="16"/>
              </w:rPr>
            </w:pPr>
            <w:r w:rsidRPr="00C258AD">
              <w:rPr>
                <w:rFonts w:cs="Arial"/>
                <w:sz w:val="16"/>
                <w:szCs w:val="16"/>
              </w:rPr>
              <w:t xml:space="preserve">Toutes les factures ont été réglées conformément aux critères établis, </w:t>
            </w:r>
            <w:r w:rsidRPr="00C258AD">
              <w:rPr>
                <w:sz w:val="16"/>
                <w:szCs w:val="16"/>
              </w:rPr>
              <w:t>sauf facture tardive ou absence de demande dans le système.</w:t>
            </w:r>
          </w:p>
          <w:p w:rsidR="006E2BB1" w:rsidRPr="00C258AD" w:rsidRDefault="006E2BB1" w:rsidP="0066137C">
            <w:pPr>
              <w:rPr>
                <w:sz w:val="16"/>
                <w:szCs w:val="16"/>
              </w:rPr>
            </w:pPr>
          </w:p>
          <w:p w:rsidR="003737EE" w:rsidRPr="00C258AD" w:rsidRDefault="003737EE" w:rsidP="0066137C">
            <w:pPr>
              <w:rPr>
                <w:sz w:val="16"/>
                <w:szCs w:val="16"/>
              </w:rPr>
            </w:pPr>
            <w:r w:rsidRPr="00C258AD">
              <w:rPr>
                <w:sz w:val="16"/>
                <w:szCs w:val="16"/>
              </w:rPr>
              <w:t>Répartitions mensuelles versées/créditées sur un compte courant/déduites des contributions le mois suivant, conformément au règlement d’exécution.</w:t>
            </w:r>
          </w:p>
        </w:tc>
        <w:tc>
          <w:tcPr>
            <w:tcW w:w="554" w:type="pct"/>
            <w:tcBorders>
              <w:right w:val="single" w:sz="4" w:space="0" w:color="auto"/>
            </w:tcBorders>
            <w:tcMar>
              <w:top w:w="113" w:type="dxa"/>
              <w:left w:w="108" w:type="dxa"/>
              <w:bottom w:w="113" w:type="dxa"/>
              <w:right w:w="108" w:type="dxa"/>
            </w:tcMar>
          </w:tcPr>
          <w:p w:rsidR="003737EE" w:rsidRPr="00C258AD" w:rsidRDefault="003737EE" w:rsidP="0066137C">
            <w:pPr>
              <w:keepNext/>
              <w:keepLines/>
              <w:jc w:val="center"/>
              <w:rPr>
                <w:bCs/>
                <w:color w:val="00B050"/>
                <w:sz w:val="16"/>
                <w:szCs w:val="16"/>
              </w:rPr>
            </w:pPr>
            <w:r w:rsidRPr="00C258AD">
              <w:rPr>
                <w:rFonts w:cs="Arial"/>
                <w:b/>
                <w:bCs/>
                <w:color w:val="00B050"/>
                <w:sz w:val="16"/>
                <w:szCs w:val="16"/>
              </w:rPr>
              <w:t>Objectif pleinement atteint</w:t>
            </w:r>
          </w:p>
        </w:tc>
      </w:tr>
      <w:tr w:rsidR="003737EE" w:rsidRPr="00C258AD" w:rsidTr="0066137C">
        <w:trPr>
          <w:cantSplit/>
        </w:trPr>
        <w:tc>
          <w:tcPr>
            <w:tcW w:w="1122" w:type="pct"/>
            <w:tcBorders>
              <w:left w:val="single" w:sz="4" w:space="0" w:color="auto"/>
            </w:tcBorders>
            <w:tcMar>
              <w:top w:w="113" w:type="dxa"/>
              <w:left w:w="108" w:type="dxa"/>
              <w:bottom w:w="113" w:type="dxa"/>
              <w:right w:w="108" w:type="dxa"/>
            </w:tcMar>
          </w:tcPr>
          <w:p w:rsidR="003737EE" w:rsidRPr="00C258AD" w:rsidRDefault="003737EE" w:rsidP="0066137C">
            <w:pPr>
              <w:rPr>
                <w:sz w:val="16"/>
                <w:szCs w:val="16"/>
                <w:lang w:bidi="th-TH"/>
              </w:rPr>
            </w:pPr>
            <w:r w:rsidRPr="00C258AD">
              <w:rPr>
                <w:sz w:val="16"/>
                <w:szCs w:val="16"/>
                <w:lang w:bidi="th-TH"/>
              </w:rPr>
              <w:t>Pourcentage du personnel formé se déclarant satisfait de la formation (cours d’initiation, formation sur l’ERP, formation sur la gestion axée sur les résultats).</w:t>
            </w:r>
          </w:p>
        </w:tc>
        <w:tc>
          <w:tcPr>
            <w:tcW w:w="980" w:type="pct"/>
            <w:gridSpan w:val="2"/>
            <w:tcMar>
              <w:top w:w="113" w:type="dxa"/>
              <w:left w:w="108" w:type="dxa"/>
              <w:bottom w:w="113" w:type="dxa"/>
              <w:right w:w="108" w:type="dxa"/>
            </w:tcMar>
          </w:tcPr>
          <w:p w:rsidR="006E2BB1" w:rsidRPr="00C258AD" w:rsidRDefault="003737EE" w:rsidP="0066137C">
            <w:pPr>
              <w:rPr>
                <w:i/>
                <w:color w:val="002060"/>
                <w:sz w:val="16"/>
                <w:szCs w:val="16"/>
              </w:rPr>
            </w:pPr>
            <w:r w:rsidRPr="00C258AD">
              <w:rPr>
                <w:i/>
                <w:color w:val="002060"/>
                <w:sz w:val="16"/>
                <w:szCs w:val="16"/>
              </w:rPr>
              <w:t>Niveau de référence actualisé à fin 2013 :</w:t>
            </w:r>
          </w:p>
          <w:p w:rsidR="006E2BB1" w:rsidRPr="00C258AD" w:rsidRDefault="003737EE" w:rsidP="0066137C">
            <w:pPr>
              <w:rPr>
                <w:color w:val="002060"/>
                <w:sz w:val="16"/>
                <w:szCs w:val="16"/>
              </w:rPr>
            </w:pPr>
            <w:r w:rsidRPr="00C258AD">
              <w:rPr>
                <w:color w:val="002060"/>
                <w:sz w:val="16"/>
                <w:szCs w:val="16"/>
              </w:rPr>
              <w:t>Cours d’initiation : 94%</w:t>
            </w:r>
          </w:p>
          <w:p w:rsidR="006E2BB1" w:rsidRPr="00C258AD" w:rsidRDefault="003737EE" w:rsidP="0066137C">
            <w:pPr>
              <w:rPr>
                <w:color w:val="002060"/>
                <w:sz w:val="16"/>
                <w:szCs w:val="16"/>
              </w:rPr>
            </w:pPr>
            <w:r w:rsidRPr="00C258AD">
              <w:rPr>
                <w:color w:val="002060"/>
                <w:sz w:val="16"/>
                <w:szCs w:val="16"/>
              </w:rPr>
              <w:t>Formation à la gestion axée sur les résultats ou à l’ERP : 96%.</w:t>
            </w:r>
          </w:p>
          <w:p w:rsidR="006E2BB1" w:rsidRPr="00C258AD" w:rsidRDefault="006E2BB1" w:rsidP="0066137C">
            <w:pPr>
              <w:rPr>
                <w:i/>
                <w:sz w:val="16"/>
                <w:szCs w:val="16"/>
              </w:rPr>
            </w:pPr>
          </w:p>
          <w:p w:rsidR="003737EE" w:rsidRPr="00C258AD" w:rsidRDefault="003737EE" w:rsidP="0066137C">
            <w:pPr>
              <w:rPr>
                <w:i/>
                <w:sz w:val="16"/>
                <w:szCs w:val="16"/>
              </w:rPr>
            </w:pPr>
            <w:r w:rsidRPr="00C258AD">
              <w:rPr>
                <w:i/>
                <w:sz w:val="16"/>
                <w:szCs w:val="16"/>
                <w:lang w:bidi="th-TH"/>
              </w:rPr>
              <w:t>Niveau de référence initial dans le programme et budget 2014</w:t>
            </w:r>
            <w:r w:rsidRPr="00C258AD">
              <w:rPr>
                <w:i/>
                <w:sz w:val="16"/>
                <w:szCs w:val="16"/>
                <w:lang w:bidi="th-TH"/>
              </w:rPr>
              <w:noBreakHyphen/>
              <w:t>2015</w:t>
            </w:r>
            <w:r w:rsidRPr="00C258AD">
              <w:rPr>
                <w:sz w:val="16"/>
                <w:szCs w:val="16"/>
                <w:lang w:bidi="th-TH"/>
              </w:rPr>
              <w:t> : à déterminer.</w:t>
            </w:r>
          </w:p>
        </w:tc>
        <w:tc>
          <w:tcPr>
            <w:tcW w:w="840" w:type="pct"/>
            <w:gridSpan w:val="3"/>
            <w:tcMar>
              <w:top w:w="113" w:type="dxa"/>
              <w:left w:w="108" w:type="dxa"/>
              <w:bottom w:w="113" w:type="dxa"/>
              <w:right w:w="108" w:type="dxa"/>
            </w:tcMar>
          </w:tcPr>
          <w:p w:rsidR="003737EE" w:rsidRPr="00C258AD" w:rsidRDefault="003737EE" w:rsidP="0066137C">
            <w:pPr>
              <w:autoSpaceDE w:val="0"/>
              <w:autoSpaceDN w:val="0"/>
              <w:adjustRightInd w:val="0"/>
              <w:rPr>
                <w:sz w:val="16"/>
                <w:szCs w:val="16"/>
              </w:rPr>
            </w:pPr>
            <w:r w:rsidRPr="00C258AD">
              <w:rPr>
                <w:sz w:val="16"/>
                <w:szCs w:val="16"/>
              </w:rPr>
              <w:t>85%</w:t>
            </w:r>
          </w:p>
        </w:tc>
        <w:tc>
          <w:tcPr>
            <w:tcW w:w="1504" w:type="pct"/>
            <w:shd w:val="clear" w:color="auto" w:fill="FFFFFF"/>
            <w:tcMar>
              <w:top w:w="113" w:type="dxa"/>
              <w:left w:w="108" w:type="dxa"/>
              <w:bottom w:w="113" w:type="dxa"/>
              <w:right w:w="108" w:type="dxa"/>
            </w:tcMar>
          </w:tcPr>
          <w:p w:rsidR="006E2BB1" w:rsidRPr="00C258AD" w:rsidRDefault="003737EE" w:rsidP="00BB4DBC">
            <w:pPr>
              <w:pStyle w:val="ListParagraph"/>
              <w:numPr>
                <w:ilvl w:val="0"/>
                <w:numId w:val="21"/>
              </w:numPr>
              <w:tabs>
                <w:tab w:val="left" w:pos="284"/>
              </w:tabs>
              <w:ind w:left="0" w:firstLine="0"/>
              <w:rPr>
                <w:sz w:val="16"/>
                <w:szCs w:val="16"/>
              </w:rPr>
            </w:pPr>
            <w:r w:rsidRPr="00C258AD">
              <w:rPr>
                <w:sz w:val="16"/>
                <w:szCs w:val="16"/>
              </w:rPr>
              <w:t>Cours d’initiation : 94%</w:t>
            </w:r>
          </w:p>
          <w:p w:rsidR="006E2BB1" w:rsidRPr="00C258AD" w:rsidRDefault="003737EE" w:rsidP="00BB4DBC">
            <w:pPr>
              <w:pStyle w:val="ListParagraph"/>
              <w:numPr>
                <w:ilvl w:val="0"/>
                <w:numId w:val="21"/>
              </w:numPr>
              <w:tabs>
                <w:tab w:val="left" w:pos="284"/>
              </w:tabs>
              <w:ind w:left="0" w:firstLine="0"/>
              <w:rPr>
                <w:sz w:val="16"/>
                <w:szCs w:val="16"/>
              </w:rPr>
            </w:pPr>
            <w:r w:rsidRPr="00C258AD">
              <w:rPr>
                <w:sz w:val="16"/>
                <w:szCs w:val="16"/>
              </w:rPr>
              <w:t>Formation à la gestion axée sur les résultats ou à l’ERP : 94%</w:t>
            </w:r>
          </w:p>
          <w:p w:rsidR="006E2BB1" w:rsidRPr="00C258AD" w:rsidRDefault="003737EE" w:rsidP="00BB4DBC">
            <w:pPr>
              <w:pStyle w:val="ListParagraph"/>
              <w:numPr>
                <w:ilvl w:val="0"/>
                <w:numId w:val="21"/>
              </w:numPr>
              <w:tabs>
                <w:tab w:val="left" w:pos="284"/>
              </w:tabs>
              <w:ind w:left="0" w:firstLine="0"/>
              <w:rPr>
                <w:sz w:val="16"/>
                <w:szCs w:val="16"/>
              </w:rPr>
            </w:pPr>
            <w:r w:rsidRPr="00C258AD">
              <w:rPr>
                <w:sz w:val="16"/>
                <w:szCs w:val="16"/>
              </w:rPr>
              <w:t>Formation à l’ERM : 87% (uniquement en 2015)</w:t>
            </w:r>
          </w:p>
          <w:p w:rsidR="003737EE" w:rsidRPr="00C258AD" w:rsidRDefault="003737EE" w:rsidP="00BB4DBC">
            <w:pPr>
              <w:pStyle w:val="ListParagraph"/>
              <w:numPr>
                <w:ilvl w:val="0"/>
                <w:numId w:val="21"/>
              </w:numPr>
              <w:tabs>
                <w:tab w:val="left" w:pos="284"/>
              </w:tabs>
              <w:ind w:left="0" w:firstLine="0"/>
              <w:rPr>
                <w:sz w:val="16"/>
                <w:szCs w:val="16"/>
              </w:rPr>
            </w:pPr>
            <w:r w:rsidRPr="00C258AD">
              <w:rPr>
                <w:sz w:val="16"/>
                <w:szCs w:val="16"/>
              </w:rPr>
              <w:t>Gestion de projets en environnement de gestion axée sur les résultats : 97% (64% excellent;  33% satisfaisant).</w:t>
            </w:r>
          </w:p>
        </w:tc>
        <w:tc>
          <w:tcPr>
            <w:tcW w:w="554" w:type="pct"/>
            <w:tcBorders>
              <w:right w:val="single" w:sz="4" w:space="0" w:color="auto"/>
            </w:tcBorders>
            <w:tcMar>
              <w:top w:w="113" w:type="dxa"/>
              <w:left w:w="108" w:type="dxa"/>
              <w:bottom w:w="113" w:type="dxa"/>
              <w:right w:w="108" w:type="dxa"/>
            </w:tcMar>
          </w:tcPr>
          <w:p w:rsidR="003737EE" w:rsidRPr="00C258AD" w:rsidRDefault="003737EE" w:rsidP="0066137C">
            <w:pPr>
              <w:keepNext/>
              <w:keepLines/>
              <w:jc w:val="center"/>
              <w:rPr>
                <w:bCs/>
                <w:color w:val="00B050"/>
                <w:sz w:val="16"/>
                <w:szCs w:val="16"/>
              </w:rPr>
            </w:pPr>
            <w:r w:rsidRPr="00C258AD">
              <w:rPr>
                <w:rFonts w:cs="Arial"/>
                <w:b/>
                <w:bCs/>
                <w:color w:val="00B050"/>
                <w:sz w:val="16"/>
                <w:szCs w:val="16"/>
              </w:rPr>
              <w:t>Objectif pleinement atteint</w:t>
            </w:r>
          </w:p>
        </w:tc>
      </w:tr>
      <w:tr w:rsidR="003737EE" w:rsidRPr="00C258AD" w:rsidTr="0066137C">
        <w:trPr>
          <w:cantSplit/>
        </w:trPr>
        <w:tc>
          <w:tcPr>
            <w:tcW w:w="1122" w:type="pct"/>
            <w:tcBorders>
              <w:left w:val="single" w:sz="4" w:space="0" w:color="auto"/>
            </w:tcBorders>
            <w:tcMar>
              <w:top w:w="113" w:type="dxa"/>
              <w:left w:w="108" w:type="dxa"/>
              <w:bottom w:w="113" w:type="dxa"/>
              <w:right w:w="108" w:type="dxa"/>
            </w:tcMar>
          </w:tcPr>
          <w:p w:rsidR="003737EE" w:rsidRPr="00C258AD" w:rsidRDefault="003737EE" w:rsidP="0066137C">
            <w:pPr>
              <w:rPr>
                <w:sz w:val="16"/>
                <w:szCs w:val="16"/>
                <w:lang w:bidi="th-TH"/>
              </w:rPr>
            </w:pPr>
            <w:r w:rsidRPr="00C258AD">
              <w:rPr>
                <w:sz w:val="16"/>
                <w:szCs w:val="16"/>
                <w:lang w:bidi="th-TH"/>
              </w:rPr>
              <w:t>Pourcentage de personnes interrogées (OMPI) qui estiment que l’OMPI doit rendre des comptes sur ses résultats.</w:t>
            </w:r>
          </w:p>
        </w:tc>
        <w:tc>
          <w:tcPr>
            <w:tcW w:w="980" w:type="pct"/>
            <w:gridSpan w:val="2"/>
            <w:tcMar>
              <w:top w:w="113" w:type="dxa"/>
              <w:left w:w="108" w:type="dxa"/>
              <w:bottom w:w="113" w:type="dxa"/>
              <w:right w:w="108" w:type="dxa"/>
            </w:tcMar>
          </w:tcPr>
          <w:p w:rsidR="006E2BB1" w:rsidRPr="00C258AD" w:rsidRDefault="003737EE" w:rsidP="0066137C">
            <w:pPr>
              <w:rPr>
                <w:i/>
                <w:sz w:val="16"/>
                <w:szCs w:val="16"/>
              </w:rPr>
            </w:pPr>
            <w:r w:rsidRPr="00C258AD">
              <w:rPr>
                <w:i/>
                <w:color w:val="002060"/>
                <w:sz w:val="16"/>
                <w:szCs w:val="16"/>
              </w:rPr>
              <w:t>Niveau de référence actualisé à fin 2013</w:t>
            </w:r>
            <w:r w:rsidRPr="00C258AD">
              <w:rPr>
                <w:color w:val="002060"/>
                <w:sz w:val="16"/>
                <w:szCs w:val="16"/>
              </w:rPr>
              <w:t> : 80,7%.</w:t>
            </w:r>
          </w:p>
          <w:p w:rsidR="006E2BB1" w:rsidRPr="00C258AD" w:rsidRDefault="006E2BB1" w:rsidP="0066137C">
            <w:pPr>
              <w:rPr>
                <w:i/>
                <w:sz w:val="16"/>
                <w:szCs w:val="16"/>
              </w:rPr>
            </w:pPr>
          </w:p>
          <w:p w:rsidR="003737EE" w:rsidRPr="00C258AD" w:rsidRDefault="003737EE" w:rsidP="0066137C">
            <w:pPr>
              <w:rPr>
                <w:sz w:val="16"/>
                <w:szCs w:val="16"/>
                <w:lang w:bidi="th-TH"/>
              </w:rPr>
            </w:pPr>
            <w:r w:rsidRPr="00C258AD">
              <w:rPr>
                <w:i/>
                <w:sz w:val="16"/>
                <w:szCs w:val="16"/>
                <w:lang w:bidi="th-TH"/>
              </w:rPr>
              <w:t>Niveau de référence initial dans le programme et budget 2014</w:t>
            </w:r>
            <w:r w:rsidRPr="00C258AD">
              <w:rPr>
                <w:i/>
                <w:sz w:val="16"/>
                <w:szCs w:val="16"/>
                <w:lang w:bidi="th-TH"/>
              </w:rPr>
              <w:noBreakHyphen/>
              <w:t>2015</w:t>
            </w:r>
            <w:r w:rsidRPr="00C258AD">
              <w:rPr>
                <w:sz w:val="16"/>
                <w:szCs w:val="16"/>
                <w:lang w:bidi="th-TH"/>
              </w:rPr>
              <w:t> : 75%.</w:t>
            </w:r>
          </w:p>
        </w:tc>
        <w:tc>
          <w:tcPr>
            <w:tcW w:w="840" w:type="pct"/>
            <w:gridSpan w:val="3"/>
            <w:tcMar>
              <w:top w:w="113" w:type="dxa"/>
              <w:left w:w="108" w:type="dxa"/>
              <w:bottom w:w="113" w:type="dxa"/>
              <w:right w:w="108" w:type="dxa"/>
            </w:tcMar>
          </w:tcPr>
          <w:p w:rsidR="003737EE" w:rsidRPr="00C258AD" w:rsidRDefault="003737EE" w:rsidP="0066137C">
            <w:pPr>
              <w:autoSpaceDE w:val="0"/>
              <w:autoSpaceDN w:val="0"/>
              <w:adjustRightInd w:val="0"/>
              <w:rPr>
                <w:sz w:val="16"/>
                <w:szCs w:val="16"/>
              </w:rPr>
            </w:pPr>
            <w:r w:rsidRPr="00C258AD">
              <w:rPr>
                <w:sz w:val="16"/>
                <w:szCs w:val="16"/>
              </w:rPr>
              <w:t>80%</w:t>
            </w:r>
          </w:p>
        </w:tc>
        <w:tc>
          <w:tcPr>
            <w:tcW w:w="1504" w:type="pct"/>
            <w:shd w:val="clear" w:color="auto" w:fill="FFFFFF"/>
            <w:tcMar>
              <w:top w:w="113" w:type="dxa"/>
              <w:left w:w="108" w:type="dxa"/>
              <w:bottom w:w="113" w:type="dxa"/>
              <w:right w:w="108" w:type="dxa"/>
            </w:tcMar>
          </w:tcPr>
          <w:p w:rsidR="003737EE" w:rsidRPr="00C258AD" w:rsidRDefault="003B3CFF" w:rsidP="0008229F">
            <w:pPr>
              <w:rPr>
                <w:sz w:val="16"/>
                <w:szCs w:val="16"/>
              </w:rPr>
            </w:pPr>
            <w:r w:rsidRPr="0008229F">
              <w:rPr>
                <w:rFonts w:cs="Arial"/>
                <w:sz w:val="16"/>
                <w:szCs w:val="16"/>
              </w:rPr>
              <w:t xml:space="preserve">94% (30% </w:t>
            </w:r>
            <w:r w:rsidR="00290CD0" w:rsidRPr="0008229F">
              <w:rPr>
                <w:rFonts w:cs="Arial"/>
                <w:sz w:val="16"/>
                <w:szCs w:val="16"/>
              </w:rPr>
              <w:t>tout à fait d’accord</w:t>
            </w:r>
            <w:r w:rsidRPr="0008229F">
              <w:rPr>
                <w:rFonts w:cs="Arial"/>
                <w:sz w:val="16"/>
                <w:szCs w:val="16"/>
              </w:rPr>
              <w:t xml:space="preserve">; 64% </w:t>
            </w:r>
            <w:r w:rsidR="00290CD0" w:rsidRPr="0008229F">
              <w:rPr>
                <w:rFonts w:cs="Arial"/>
                <w:sz w:val="16"/>
                <w:szCs w:val="16"/>
              </w:rPr>
              <w:t>d’accord</w:t>
            </w:r>
            <w:r w:rsidRPr="0008229F">
              <w:rPr>
                <w:rFonts w:cs="Arial"/>
                <w:sz w:val="16"/>
                <w:szCs w:val="16"/>
              </w:rPr>
              <w:t xml:space="preserve">) </w:t>
            </w:r>
            <w:r w:rsidR="00290CD0" w:rsidRPr="0008229F">
              <w:rPr>
                <w:rFonts w:cs="Arial"/>
                <w:sz w:val="16"/>
                <w:szCs w:val="16"/>
              </w:rPr>
              <w:t>des personnes interrogées</w:t>
            </w:r>
            <w:r w:rsidRPr="0008229F">
              <w:rPr>
                <w:rStyle w:val="FootnoteReference"/>
                <w:rFonts w:cs="Arial"/>
                <w:sz w:val="16"/>
                <w:szCs w:val="16"/>
              </w:rPr>
              <w:footnoteReference w:id="125"/>
            </w:r>
            <w:r w:rsidRPr="0008229F">
              <w:rPr>
                <w:rFonts w:cs="Arial"/>
                <w:sz w:val="16"/>
                <w:szCs w:val="16"/>
              </w:rPr>
              <w:t xml:space="preserve"> </w:t>
            </w:r>
            <w:r w:rsidR="00290CD0" w:rsidRPr="0008229F">
              <w:rPr>
                <w:rFonts w:cs="Arial"/>
                <w:sz w:val="16"/>
                <w:szCs w:val="16"/>
              </w:rPr>
              <w:t xml:space="preserve">ont </w:t>
            </w:r>
            <w:r w:rsidRPr="0008229F">
              <w:rPr>
                <w:rFonts w:cs="Arial"/>
                <w:sz w:val="16"/>
                <w:szCs w:val="16"/>
              </w:rPr>
              <w:t>indi</w:t>
            </w:r>
            <w:r w:rsidR="00290CD0" w:rsidRPr="0008229F">
              <w:rPr>
                <w:rFonts w:cs="Arial"/>
                <w:sz w:val="16"/>
                <w:szCs w:val="16"/>
              </w:rPr>
              <w:t>qué</w:t>
            </w:r>
            <w:r w:rsidRPr="0008229F">
              <w:rPr>
                <w:rFonts w:cs="Arial"/>
                <w:sz w:val="16"/>
                <w:szCs w:val="16"/>
              </w:rPr>
              <w:t xml:space="preserve"> </w:t>
            </w:r>
            <w:r w:rsidR="00290CD0" w:rsidRPr="0008229F">
              <w:rPr>
                <w:rFonts w:cs="Arial"/>
                <w:sz w:val="16"/>
                <w:szCs w:val="16"/>
              </w:rPr>
              <w:t>que les données sur les résultats sont utilisées pour rendre compte aux États membres</w:t>
            </w:r>
            <w:r w:rsidRPr="0008229F">
              <w:rPr>
                <w:rFonts w:cs="Arial"/>
                <w:sz w:val="16"/>
                <w:szCs w:val="16"/>
              </w:rPr>
              <w:t xml:space="preserve">. </w:t>
            </w:r>
            <w:r w:rsidR="0076367F" w:rsidRPr="0008229F">
              <w:rPr>
                <w:rFonts w:cs="Arial"/>
                <w:sz w:val="16"/>
                <w:szCs w:val="16"/>
              </w:rPr>
              <w:t xml:space="preserve"> </w:t>
            </w:r>
            <w:r w:rsidRPr="0008229F">
              <w:rPr>
                <w:rFonts w:cs="Arial"/>
                <w:i/>
                <w:sz w:val="16"/>
                <w:szCs w:val="16"/>
              </w:rPr>
              <w:t>(</w:t>
            </w:r>
            <w:r w:rsidR="0008229F" w:rsidRPr="0008229F">
              <w:rPr>
                <w:rFonts w:cs="Arial"/>
                <w:i/>
                <w:sz w:val="16"/>
                <w:szCs w:val="16"/>
              </w:rPr>
              <w:t>S</w:t>
            </w:r>
            <w:r w:rsidR="00290CD0" w:rsidRPr="0008229F">
              <w:rPr>
                <w:rFonts w:cs="Arial"/>
                <w:i/>
                <w:sz w:val="16"/>
                <w:szCs w:val="16"/>
              </w:rPr>
              <w:t xml:space="preserve">elon le </w:t>
            </w:r>
            <w:r w:rsidR="0076367F" w:rsidRPr="0008229F">
              <w:rPr>
                <w:rFonts w:cs="Arial"/>
                <w:i/>
                <w:sz w:val="16"/>
                <w:szCs w:val="16"/>
              </w:rPr>
              <w:t>r</w:t>
            </w:r>
            <w:r w:rsidR="00290CD0" w:rsidRPr="0008229F">
              <w:rPr>
                <w:rFonts w:cs="Arial"/>
                <w:i/>
                <w:sz w:val="16"/>
                <w:szCs w:val="16"/>
              </w:rPr>
              <w:t>apport</w:t>
            </w:r>
            <w:r w:rsidR="0076367F" w:rsidRPr="0008229F">
              <w:rPr>
                <w:rFonts w:cs="Arial"/>
                <w:i/>
                <w:sz w:val="16"/>
                <w:szCs w:val="16"/>
              </w:rPr>
              <w:t xml:space="preserve"> de validation du rapport sur l’exécution du programme</w:t>
            </w:r>
            <w:r w:rsidRPr="0008229F">
              <w:rPr>
                <w:rFonts w:cs="Arial"/>
                <w:i/>
                <w:sz w:val="16"/>
                <w:szCs w:val="16"/>
              </w:rPr>
              <w:t xml:space="preserve"> </w:t>
            </w:r>
            <w:r w:rsidR="0076367F" w:rsidRPr="0008229F">
              <w:rPr>
                <w:rFonts w:cs="Arial"/>
                <w:i/>
                <w:sz w:val="16"/>
                <w:szCs w:val="16"/>
              </w:rPr>
              <w:t xml:space="preserve">en </w:t>
            </w:r>
            <w:r w:rsidRPr="0008229F">
              <w:rPr>
                <w:rFonts w:cs="Arial"/>
                <w:i/>
                <w:sz w:val="16"/>
                <w:szCs w:val="16"/>
              </w:rPr>
              <w:t>2014</w:t>
            </w:r>
            <w:r w:rsidR="0076367F" w:rsidRPr="0008229F">
              <w:rPr>
                <w:rFonts w:cs="Arial"/>
                <w:i/>
                <w:sz w:val="16"/>
                <w:szCs w:val="16"/>
              </w:rPr>
              <w:noBreakHyphen/>
              <w:t>20</w:t>
            </w:r>
            <w:r w:rsidRPr="0008229F">
              <w:rPr>
                <w:rFonts w:cs="Arial"/>
                <w:i/>
                <w:sz w:val="16"/>
                <w:szCs w:val="16"/>
              </w:rPr>
              <w:t>15</w:t>
            </w:r>
            <w:r w:rsidR="0008229F" w:rsidRPr="0008229F">
              <w:rPr>
                <w:rFonts w:cs="Arial"/>
                <w:i/>
                <w:sz w:val="16"/>
                <w:szCs w:val="16"/>
              </w:rPr>
              <w:t>.</w:t>
            </w:r>
            <w:r w:rsidRPr="0008229F">
              <w:rPr>
                <w:rFonts w:cs="Arial"/>
                <w:i/>
                <w:sz w:val="16"/>
                <w:szCs w:val="16"/>
              </w:rPr>
              <w:t>)</w:t>
            </w:r>
          </w:p>
        </w:tc>
        <w:tc>
          <w:tcPr>
            <w:tcW w:w="554" w:type="pct"/>
            <w:tcBorders>
              <w:right w:val="single" w:sz="4" w:space="0" w:color="auto"/>
            </w:tcBorders>
            <w:tcMar>
              <w:top w:w="113" w:type="dxa"/>
              <w:left w:w="108" w:type="dxa"/>
              <w:bottom w:w="113" w:type="dxa"/>
              <w:right w:w="108" w:type="dxa"/>
            </w:tcMar>
          </w:tcPr>
          <w:p w:rsidR="003737EE" w:rsidRPr="00C258AD" w:rsidRDefault="003B3CFF" w:rsidP="0066137C">
            <w:pPr>
              <w:keepNext/>
              <w:keepLines/>
              <w:jc w:val="center"/>
              <w:rPr>
                <w:b/>
                <w:bCs/>
                <w:sz w:val="16"/>
                <w:szCs w:val="16"/>
              </w:rPr>
            </w:pPr>
            <w:r w:rsidRPr="00C258AD">
              <w:rPr>
                <w:rFonts w:cs="Arial"/>
                <w:b/>
                <w:bCs/>
                <w:color w:val="00B050"/>
                <w:sz w:val="16"/>
                <w:szCs w:val="16"/>
              </w:rPr>
              <w:t>Objectif pleinement atteint</w:t>
            </w:r>
          </w:p>
        </w:tc>
      </w:tr>
      <w:tr w:rsidR="003737EE" w:rsidRPr="00C258AD" w:rsidTr="0066137C">
        <w:trPr>
          <w:cantSplit/>
        </w:trPr>
        <w:tc>
          <w:tcPr>
            <w:tcW w:w="1122" w:type="pct"/>
            <w:tcBorders>
              <w:left w:val="single" w:sz="4" w:space="0" w:color="auto"/>
            </w:tcBorders>
            <w:tcMar>
              <w:top w:w="113" w:type="dxa"/>
              <w:left w:w="108" w:type="dxa"/>
              <w:bottom w:w="113" w:type="dxa"/>
              <w:right w:w="108" w:type="dxa"/>
            </w:tcMar>
          </w:tcPr>
          <w:p w:rsidR="003737EE" w:rsidRPr="00C258AD" w:rsidRDefault="003737EE" w:rsidP="0066137C">
            <w:pPr>
              <w:rPr>
                <w:sz w:val="16"/>
                <w:szCs w:val="16"/>
                <w:lang w:bidi="th-TH"/>
              </w:rPr>
            </w:pPr>
            <w:r w:rsidRPr="00C258AD">
              <w:rPr>
                <w:sz w:val="16"/>
                <w:szCs w:val="16"/>
                <w:lang w:bidi="th-TH"/>
              </w:rPr>
              <w:lastRenderedPageBreak/>
              <w:t>Pourcentage de programmes de l’OMPI utilisant les données relatives à l’exécution du programme pour gérer cette exécution.</w:t>
            </w:r>
          </w:p>
        </w:tc>
        <w:tc>
          <w:tcPr>
            <w:tcW w:w="980" w:type="pct"/>
            <w:gridSpan w:val="2"/>
            <w:tcMar>
              <w:top w:w="113" w:type="dxa"/>
              <w:left w:w="108" w:type="dxa"/>
              <w:bottom w:w="113" w:type="dxa"/>
              <w:right w:w="108" w:type="dxa"/>
            </w:tcMar>
            <w:hideMark/>
          </w:tcPr>
          <w:p w:rsidR="003B3CFF" w:rsidRDefault="003737EE" w:rsidP="0066137C">
            <w:pPr>
              <w:rPr>
                <w:color w:val="002060"/>
                <w:sz w:val="16"/>
                <w:szCs w:val="16"/>
              </w:rPr>
            </w:pPr>
            <w:r w:rsidRPr="00C258AD">
              <w:rPr>
                <w:i/>
                <w:color w:val="002060"/>
                <w:sz w:val="16"/>
                <w:szCs w:val="16"/>
              </w:rPr>
              <w:t>Niveau de référence actualisé à fin 2013</w:t>
            </w:r>
            <w:r w:rsidRPr="00C258AD">
              <w:rPr>
                <w:color w:val="002060"/>
                <w:sz w:val="16"/>
                <w:szCs w:val="16"/>
              </w:rPr>
              <w:t xml:space="preserve"> : </w:t>
            </w:r>
          </w:p>
          <w:p w:rsidR="003B3CFF" w:rsidRDefault="003B3CFF" w:rsidP="0066137C">
            <w:pPr>
              <w:rPr>
                <w:color w:val="002060"/>
                <w:sz w:val="16"/>
                <w:szCs w:val="16"/>
              </w:rPr>
            </w:pPr>
          </w:p>
          <w:p w:rsidR="006E2BB1" w:rsidRPr="00C258AD" w:rsidRDefault="003737EE" w:rsidP="0066137C">
            <w:pPr>
              <w:rPr>
                <w:i/>
                <w:color w:val="002060"/>
                <w:sz w:val="16"/>
                <w:szCs w:val="16"/>
              </w:rPr>
            </w:pPr>
            <w:r w:rsidRPr="00C258AD">
              <w:rPr>
                <w:color w:val="002060"/>
                <w:sz w:val="16"/>
                <w:szCs w:val="16"/>
              </w:rPr>
              <w:t>55%</w:t>
            </w:r>
            <w:r w:rsidRPr="00C258AD">
              <w:rPr>
                <w:rStyle w:val="FootnoteReference"/>
                <w:rFonts w:eastAsia="SimSun"/>
                <w:color w:val="002060"/>
                <w:sz w:val="16"/>
                <w:szCs w:val="16"/>
              </w:rPr>
              <w:footnoteReference w:id="126"/>
            </w:r>
            <w:r w:rsidRPr="00C258AD">
              <w:rPr>
                <w:color w:val="002060"/>
                <w:sz w:val="16"/>
                <w:szCs w:val="16"/>
              </w:rPr>
              <w:t xml:space="preserve"> (selon le rapport de validation du rapport sur l’exécution du programme en 2010</w:t>
            </w:r>
            <w:r w:rsidRPr="00C258AD">
              <w:rPr>
                <w:color w:val="002060"/>
                <w:sz w:val="16"/>
                <w:szCs w:val="16"/>
              </w:rPr>
              <w:noBreakHyphen/>
              <w:t>2011).</w:t>
            </w:r>
          </w:p>
          <w:p w:rsidR="006E2BB1" w:rsidRPr="00C258AD" w:rsidRDefault="006E2BB1" w:rsidP="0066137C">
            <w:pPr>
              <w:rPr>
                <w:i/>
                <w:sz w:val="16"/>
                <w:szCs w:val="16"/>
              </w:rPr>
            </w:pPr>
          </w:p>
          <w:p w:rsidR="003737EE" w:rsidRPr="00C258AD" w:rsidRDefault="003737EE" w:rsidP="0066137C">
            <w:pPr>
              <w:rPr>
                <w:sz w:val="16"/>
                <w:szCs w:val="16"/>
                <w:lang w:bidi="th-TH"/>
              </w:rPr>
            </w:pPr>
            <w:r w:rsidRPr="00C258AD">
              <w:rPr>
                <w:i/>
                <w:sz w:val="16"/>
                <w:szCs w:val="16"/>
                <w:lang w:bidi="th-TH"/>
              </w:rPr>
              <w:t>Niveau de référence initial dans le programme et budget 2014</w:t>
            </w:r>
            <w:r w:rsidRPr="00C258AD">
              <w:rPr>
                <w:i/>
                <w:sz w:val="16"/>
                <w:szCs w:val="16"/>
                <w:lang w:bidi="th-TH"/>
              </w:rPr>
              <w:noBreakHyphen/>
              <w:t>2015</w:t>
            </w:r>
            <w:r w:rsidRPr="00C258AD">
              <w:rPr>
                <w:sz w:val="16"/>
                <w:szCs w:val="16"/>
                <w:lang w:bidi="th-TH"/>
              </w:rPr>
              <w:t> : 50.</w:t>
            </w:r>
          </w:p>
        </w:tc>
        <w:tc>
          <w:tcPr>
            <w:tcW w:w="840" w:type="pct"/>
            <w:gridSpan w:val="3"/>
            <w:tcMar>
              <w:top w:w="113" w:type="dxa"/>
              <w:left w:w="108" w:type="dxa"/>
              <w:bottom w:w="113" w:type="dxa"/>
              <w:right w:w="108" w:type="dxa"/>
            </w:tcMar>
            <w:hideMark/>
          </w:tcPr>
          <w:p w:rsidR="003737EE" w:rsidRPr="00C258AD" w:rsidRDefault="003737EE" w:rsidP="0066137C">
            <w:pPr>
              <w:autoSpaceDE w:val="0"/>
              <w:autoSpaceDN w:val="0"/>
              <w:adjustRightInd w:val="0"/>
              <w:rPr>
                <w:sz w:val="16"/>
                <w:szCs w:val="16"/>
              </w:rPr>
            </w:pPr>
            <w:r w:rsidRPr="00C258AD">
              <w:rPr>
                <w:sz w:val="16"/>
                <w:szCs w:val="16"/>
              </w:rPr>
              <w:t>70</w:t>
            </w:r>
          </w:p>
        </w:tc>
        <w:tc>
          <w:tcPr>
            <w:tcW w:w="1504" w:type="pct"/>
            <w:shd w:val="clear" w:color="auto" w:fill="FFFFFF"/>
            <w:tcMar>
              <w:top w:w="113" w:type="dxa"/>
              <w:left w:w="108" w:type="dxa"/>
              <w:bottom w:w="113" w:type="dxa"/>
              <w:right w:w="108" w:type="dxa"/>
            </w:tcMar>
            <w:hideMark/>
          </w:tcPr>
          <w:p w:rsidR="003B3CFF" w:rsidRPr="0008229F" w:rsidRDefault="003B3CFF" w:rsidP="003B3CFF">
            <w:pPr>
              <w:pStyle w:val="ListParagraph"/>
              <w:numPr>
                <w:ilvl w:val="0"/>
                <w:numId w:val="131"/>
              </w:numPr>
              <w:spacing w:after="60"/>
              <w:ind w:left="357" w:hanging="357"/>
              <w:rPr>
                <w:rFonts w:cs="Arial"/>
                <w:sz w:val="16"/>
                <w:szCs w:val="16"/>
              </w:rPr>
            </w:pPr>
            <w:r w:rsidRPr="0008229F">
              <w:rPr>
                <w:rFonts w:cs="Arial"/>
                <w:sz w:val="16"/>
                <w:szCs w:val="16"/>
              </w:rPr>
              <w:t xml:space="preserve">94% (30% </w:t>
            </w:r>
            <w:r w:rsidR="0076367F" w:rsidRPr="0008229F">
              <w:rPr>
                <w:rFonts w:cs="Arial"/>
                <w:sz w:val="16"/>
                <w:szCs w:val="16"/>
              </w:rPr>
              <w:t>tout à fait d’accord</w:t>
            </w:r>
            <w:r w:rsidRPr="0008229F">
              <w:rPr>
                <w:rFonts w:cs="Arial"/>
                <w:sz w:val="16"/>
                <w:szCs w:val="16"/>
              </w:rPr>
              <w:t xml:space="preserve">; 64% </w:t>
            </w:r>
            <w:r w:rsidR="0076367F" w:rsidRPr="0008229F">
              <w:rPr>
                <w:rFonts w:cs="Arial"/>
                <w:sz w:val="16"/>
                <w:szCs w:val="16"/>
              </w:rPr>
              <w:t>d’accord</w:t>
            </w:r>
            <w:r w:rsidRPr="0008229F">
              <w:rPr>
                <w:rFonts w:cs="Arial"/>
                <w:sz w:val="16"/>
                <w:szCs w:val="16"/>
              </w:rPr>
              <w:t xml:space="preserve">) </w:t>
            </w:r>
            <w:r w:rsidR="0076367F" w:rsidRPr="0008229F">
              <w:rPr>
                <w:rFonts w:cs="Arial"/>
                <w:sz w:val="16"/>
                <w:szCs w:val="16"/>
              </w:rPr>
              <w:t>des personnes interrogées</w:t>
            </w:r>
            <w:r w:rsidRPr="0008229F">
              <w:rPr>
                <w:rStyle w:val="FootnoteReference"/>
                <w:rFonts w:cs="Arial"/>
                <w:sz w:val="16"/>
                <w:szCs w:val="16"/>
              </w:rPr>
              <w:footnoteReference w:id="127"/>
            </w:r>
            <w:r w:rsidRPr="0008229F">
              <w:rPr>
                <w:rFonts w:cs="Arial"/>
                <w:sz w:val="16"/>
                <w:szCs w:val="16"/>
              </w:rPr>
              <w:t xml:space="preserve"> </w:t>
            </w:r>
            <w:r w:rsidR="0076367F" w:rsidRPr="0008229F">
              <w:rPr>
                <w:rFonts w:cs="Arial"/>
                <w:sz w:val="16"/>
                <w:szCs w:val="16"/>
              </w:rPr>
              <w:t>ont indiqué que les données sur les résultats sont utilisées pour assurer le suivi régulier de la mise en œuvre des activités de programme</w:t>
            </w:r>
          </w:p>
          <w:p w:rsidR="003B3CFF" w:rsidRPr="0008229F" w:rsidRDefault="003B3CFF" w:rsidP="003B3CFF">
            <w:pPr>
              <w:pStyle w:val="ListParagraph"/>
              <w:numPr>
                <w:ilvl w:val="0"/>
                <w:numId w:val="131"/>
              </w:numPr>
              <w:rPr>
                <w:rFonts w:cs="Arial"/>
                <w:sz w:val="16"/>
                <w:szCs w:val="16"/>
              </w:rPr>
            </w:pPr>
            <w:r w:rsidRPr="0008229F">
              <w:rPr>
                <w:rFonts w:cs="Arial"/>
                <w:sz w:val="16"/>
                <w:szCs w:val="16"/>
              </w:rPr>
              <w:t>85% (27%</w:t>
            </w:r>
            <w:r w:rsidR="0076367F" w:rsidRPr="0008229F">
              <w:rPr>
                <w:rFonts w:cs="Arial"/>
                <w:sz w:val="16"/>
                <w:szCs w:val="16"/>
              </w:rPr>
              <w:t xml:space="preserve"> tout à fait d’accord</w:t>
            </w:r>
            <w:r w:rsidRPr="0008229F">
              <w:rPr>
                <w:rFonts w:cs="Arial"/>
                <w:sz w:val="16"/>
                <w:szCs w:val="16"/>
              </w:rPr>
              <w:t xml:space="preserve">; 58% </w:t>
            </w:r>
            <w:r w:rsidR="0076367F" w:rsidRPr="0008229F">
              <w:rPr>
                <w:rFonts w:cs="Arial"/>
                <w:sz w:val="16"/>
                <w:szCs w:val="16"/>
              </w:rPr>
              <w:t>d’accord</w:t>
            </w:r>
            <w:r w:rsidRPr="0008229F">
              <w:rPr>
                <w:rFonts w:cs="Arial"/>
                <w:sz w:val="16"/>
                <w:szCs w:val="16"/>
              </w:rPr>
              <w:t xml:space="preserve">) </w:t>
            </w:r>
            <w:r w:rsidR="0076367F" w:rsidRPr="0008229F">
              <w:rPr>
                <w:rFonts w:cs="Arial"/>
                <w:sz w:val="16"/>
                <w:szCs w:val="16"/>
              </w:rPr>
              <w:t>des personnes interrogées</w:t>
            </w:r>
            <w:r w:rsidRPr="0008229F">
              <w:rPr>
                <w:rStyle w:val="FootnoteReference"/>
                <w:rFonts w:cs="Arial"/>
                <w:sz w:val="16"/>
                <w:szCs w:val="16"/>
              </w:rPr>
              <w:footnoteReference w:id="128"/>
            </w:r>
            <w:r w:rsidRPr="0008229F">
              <w:rPr>
                <w:rFonts w:cs="Arial"/>
                <w:sz w:val="16"/>
                <w:szCs w:val="16"/>
              </w:rPr>
              <w:t xml:space="preserve"> </w:t>
            </w:r>
            <w:r w:rsidR="0076367F" w:rsidRPr="0008229F">
              <w:rPr>
                <w:rFonts w:cs="Arial"/>
                <w:sz w:val="16"/>
                <w:szCs w:val="16"/>
              </w:rPr>
              <w:t xml:space="preserve">ont </w:t>
            </w:r>
            <w:r w:rsidRPr="0008229F">
              <w:rPr>
                <w:rFonts w:cs="Arial"/>
                <w:sz w:val="16"/>
                <w:szCs w:val="16"/>
              </w:rPr>
              <w:t>indi</w:t>
            </w:r>
            <w:r w:rsidR="0076367F" w:rsidRPr="0008229F">
              <w:rPr>
                <w:rFonts w:cs="Arial"/>
                <w:sz w:val="16"/>
                <w:szCs w:val="16"/>
              </w:rPr>
              <w:t>qué que les données sur les résultats sont utilisées aux fins de la prise de décisions.</w:t>
            </w:r>
          </w:p>
          <w:p w:rsidR="003737EE" w:rsidRPr="00C258AD" w:rsidRDefault="003B3CFF" w:rsidP="003B3CFF">
            <w:pPr>
              <w:rPr>
                <w:sz w:val="16"/>
                <w:szCs w:val="16"/>
              </w:rPr>
            </w:pPr>
            <w:r w:rsidRPr="0008229F">
              <w:rPr>
                <w:rFonts w:cs="Arial"/>
                <w:i/>
                <w:sz w:val="16"/>
                <w:szCs w:val="16"/>
              </w:rPr>
              <w:t>(</w:t>
            </w:r>
            <w:r w:rsidR="0008229F" w:rsidRPr="0008229F">
              <w:rPr>
                <w:rFonts w:cs="Arial"/>
                <w:i/>
                <w:sz w:val="16"/>
                <w:szCs w:val="16"/>
              </w:rPr>
              <w:t>S</w:t>
            </w:r>
            <w:r w:rsidR="0076367F" w:rsidRPr="0008229F">
              <w:rPr>
                <w:rFonts w:cs="Arial"/>
                <w:i/>
                <w:sz w:val="16"/>
                <w:szCs w:val="16"/>
              </w:rPr>
              <w:t>elon le rapport de validation du rapport sur l’exécution du programme en 2014</w:t>
            </w:r>
            <w:r w:rsidR="0076367F" w:rsidRPr="0008229F">
              <w:rPr>
                <w:rFonts w:cs="Arial"/>
                <w:i/>
                <w:sz w:val="16"/>
                <w:szCs w:val="16"/>
              </w:rPr>
              <w:noBreakHyphen/>
              <w:t>2015</w:t>
            </w:r>
            <w:r w:rsidR="0008229F" w:rsidRPr="0008229F">
              <w:rPr>
                <w:rFonts w:cs="Arial"/>
                <w:i/>
                <w:sz w:val="16"/>
                <w:szCs w:val="16"/>
              </w:rPr>
              <w:t>.</w:t>
            </w:r>
            <w:r w:rsidRPr="0008229F">
              <w:rPr>
                <w:rFonts w:cs="Arial"/>
                <w:i/>
                <w:sz w:val="16"/>
                <w:szCs w:val="16"/>
              </w:rPr>
              <w:t>)</w:t>
            </w:r>
          </w:p>
        </w:tc>
        <w:tc>
          <w:tcPr>
            <w:tcW w:w="554" w:type="pct"/>
            <w:tcBorders>
              <w:right w:val="single" w:sz="4" w:space="0" w:color="auto"/>
            </w:tcBorders>
            <w:tcMar>
              <w:top w:w="113" w:type="dxa"/>
              <w:left w:w="108" w:type="dxa"/>
              <w:bottom w:w="113" w:type="dxa"/>
              <w:right w:w="108" w:type="dxa"/>
            </w:tcMar>
            <w:hideMark/>
          </w:tcPr>
          <w:p w:rsidR="003737EE" w:rsidRPr="00C258AD" w:rsidRDefault="003B3CFF" w:rsidP="0066137C">
            <w:pPr>
              <w:keepNext/>
              <w:keepLines/>
              <w:jc w:val="center"/>
              <w:rPr>
                <w:bCs/>
                <w:sz w:val="16"/>
                <w:szCs w:val="16"/>
              </w:rPr>
            </w:pPr>
            <w:r w:rsidRPr="00C258AD">
              <w:rPr>
                <w:rFonts w:cs="Arial"/>
                <w:b/>
                <w:bCs/>
                <w:color w:val="00B050"/>
                <w:sz w:val="16"/>
                <w:szCs w:val="16"/>
              </w:rPr>
              <w:t>Objectif pleinement atteint</w:t>
            </w:r>
          </w:p>
        </w:tc>
      </w:tr>
      <w:tr w:rsidR="003737EE" w:rsidRPr="00C258AD" w:rsidTr="0066137C">
        <w:trPr>
          <w:cantSplit/>
        </w:trPr>
        <w:tc>
          <w:tcPr>
            <w:tcW w:w="5000" w:type="pct"/>
            <w:gridSpan w:val="8"/>
            <w:tcBorders>
              <w:top w:val="single" w:sz="4" w:space="0" w:color="auto"/>
              <w:left w:val="single" w:sz="4" w:space="0" w:color="auto"/>
              <w:bottom w:val="single" w:sz="4" w:space="0" w:color="auto"/>
              <w:right w:val="single" w:sz="4" w:space="0" w:color="auto"/>
            </w:tcBorders>
            <w:shd w:val="clear" w:color="auto" w:fill="C5D9F1"/>
            <w:tcMar>
              <w:top w:w="113" w:type="dxa"/>
              <w:left w:w="108" w:type="dxa"/>
              <w:bottom w:w="113" w:type="dxa"/>
              <w:right w:w="108" w:type="dxa"/>
            </w:tcMar>
          </w:tcPr>
          <w:p w:rsidR="003737EE" w:rsidRPr="00C258AD" w:rsidRDefault="003737EE" w:rsidP="0066137C">
            <w:pPr>
              <w:tabs>
                <w:tab w:val="left" w:pos="1452"/>
              </w:tabs>
              <w:rPr>
                <w:b/>
                <w:bCs/>
                <w:sz w:val="16"/>
                <w:szCs w:val="16"/>
              </w:rPr>
            </w:pPr>
            <w:r w:rsidRPr="00C258AD">
              <w:rPr>
                <w:b/>
                <w:bCs/>
                <w:sz w:val="16"/>
                <w:szCs w:val="16"/>
              </w:rPr>
              <w:t>Résultat escompté :</w:t>
            </w:r>
            <w:r w:rsidRPr="00C258AD">
              <w:rPr>
                <w:bCs/>
                <w:sz w:val="16"/>
                <w:szCs w:val="16"/>
              </w:rPr>
              <w:t xml:space="preserve"> IX.3 Un environnement de travail stimulant étayé par un cadre réglementaire efficace et des voies appropriées pour répondre aux préoccupations du personnel</w:t>
            </w:r>
          </w:p>
        </w:tc>
      </w:tr>
      <w:tr w:rsidR="003737EE" w:rsidRPr="00C258AD" w:rsidTr="0066137C">
        <w:trPr>
          <w:cantSplit/>
        </w:trPr>
        <w:tc>
          <w:tcPr>
            <w:tcW w:w="1126" w:type="pct"/>
            <w:gridSpan w:val="2"/>
            <w:tcBorders>
              <w:top w:val="single" w:sz="4" w:space="0" w:color="auto"/>
              <w:left w:val="single" w:sz="4" w:space="0" w:color="auto"/>
            </w:tcBorders>
            <w:tcMar>
              <w:top w:w="113" w:type="dxa"/>
              <w:left w:w="108" w:type="dxa"/>
              <w:bottom w:w="113" w:type="dxa"/>
              <w:right w:w="108" w:type="dxa"/>
            </w:tcMar>
            <w:vAlign w:val="center"/>
          </w:tcPr>
          <w:p w:rsidR="003737EE" w:rsidRPr="00C258AD" w:rsidRDefault="003737EE" w:rsidP="0066137C">
            <w:pPr>
              <w:jc w:val="center"/>
              <w:rPr>
                <w:b/>
                <w:sz w:val="16"/>
                <w:szCs w:val="16"/>
                <w:lang w:bidi="th-TH"/>
              </w:rPr>
            </w:pPr>
            <w:r w:rsidRPr="00C258AD">
              <w:rPr>
                <w:b/>
                <w:sz w:val="16"/>
                <w:szCs w:val="16"/>
                <w:lang w:bidi="th-TH"/>
              </w:rPr>
              <w:t>Indicateurs d’exécution</w:t>
            </w:r>
          </w:p>
        </w:tc>
        <w:tc>
          <w:tcPr>
            <w:tcW w:w="986" w:type="pct"/>
            <w:gridSpan w:val="2"/>
            <w:tcBorders>
              <w:top w:val="single" w:sz="4" w:space="0" w:color="auto"/>
            </w:tcBorders>
            <w:tcMar>
              <w:top w:w="113" w:type="dxa"/>
              <w:left w:w="108" w:type="dxa"/>
              <w:bottom w:w="113" w:type="dxa"/>
              <w:right w:w="108" w:type="dxa"/>
            </w:tcMar>
            <w:vAlign w:val="center"/>
            <w:hideMark/>
          </w:tcPr>
          <w:p w:rsidR="003737EE" w:rsidRPr="00C258AD" w:rsidRDefault="003737EE" w:rsidP="0066137C">
            <w:pPr>
              <w:jc w:val="center"/>
              <w:rPr>
                <w:b/>
                <w:sz w:val="16"/>
                <w:szCs w:val="16"/>
                <w:lang w:bidi="th-TH"/>
              </w:rPr>
            </w:pPr>
            <w:r w:rsidRPr="00C258AD">
              <w:rPr>
                <w:b/>
                <w:sz w:val="16"/>
                <w:szCs w:val="16"/>
                <w:lang w:bidi="th-TH"/>
              </w:rPr>
              <w:t>Niveaux de référence</w:t>
            </w:r>
          </w:p>
        </w:tc>
        <w:tc>
          <w:tcPr>
            <w:tcW w:w="748" w:type="pct"/>
            <w:tcBorders>
              <w:top w:val="single" w:sz="4" w:space="0" w:color="auto"/>
            </w:tcBorders>
            <w:tcMar>
              <w:top w:w="113" w:type="dxa"/>
              <w:left w:w="108" w:type="dxa"/>
              <w:bottom w:w="113" w:type="dxa"/>
              <w:right w:w="108" w:type="dxa"/>
            </w:tcMar>
            <w:vAlign w:val="center"/>
            <w:hideMark/>
          </w:tcPr>
          <w:p w:rsidR="003737EE" w:rsidRPr="00C258AD" w:rsidRDefault="003737EE" w:rsidP="0066137C">
            <w:pPr>
              <w:autoSpaceDE w:val="0"/>
              <w:autoSpaceDN w:val="0"/>
              <w:adjustRightInd w:val="0"/>
              <w:jc w:val="center"/>
              <w:rPr>
                <w:b/>
                <w:sz w:val="16"/>
                <w:szCs w:val="16"/>
              </w:rPr>
            </w:pPr>
            <w:r w:rsidRPr="00C258AD">
              <w:rPr>
                <w:b/>
                <w:sz w:val="16"/>
                <w:szCs w:val="16"/>
              </w:rPr>
              <w:t>Objectifs visés</w:t>
            </w:r>
          </w:p>
        </w:tc>
        <w:tc>
          <w:tcPr>
            <w:tcW w:w="1586" w:type="pct"/>
            <w:gridSpan w:val="2"/>
            <w:tcBorders>
              <w:top w:val="single" w:sz="4" w:space="0" w:color="auto"/>
            </w:tcBorders>
            <w:shd w:val="clear" w:color="auto" w:fill="FFFFFF"/>
            <w:tcMar>
              <w:top w:w="113" w:type="dxa"/>
              <w:left w:w="108" w:type="dxa"/>
              <w:bottom w:w="113" w:type="dxa"/>
              <w:right w:w="108" w:type="dxa"/>
            </w:tcMar>
            <w:vAlign w:val="center"/>
            <w:hideMark/>
          </w:tcPr>
          <w:p w:rsidR="003737EE" w:rsidRPr="00C258AD" w:rsidRDefault="003737EE" w:rsidP="0066137C">
            <w:pPr>
              <w:jc w:val="center"/>
              <w:rPr>
                <w:b/>
                <w:sz w:val="16"/>
                <w:szCs w:val="16"/>
              </w:rPr>
            </w:pPr>
            <w:r w:rsidRPr="00C258AD">
              <w:rPr>
                <w:b/>
                <w:sz w:val="16"/>
                <w:szCs w:val="16"/>
              </w:rPr>
              <w:t>Données relatives à l’exécution</w:t>
            </w:r>
          </w:p>
        </w:tc>
        <w:tc>
          <w:tcPr>
            <w:tcW w:w="554" w:type="pct"/>
            <w:tcBorders>
              <w:top w:val="single" w:sz="4" w:space="0" w:color="auto"/>
              <w:right w:val="single" w:sz="4" w:space="0" w:color="auto"/>
            </w:tcBorders>
            <w:tcMar>
              <w:top w:w="113" w:type="dxa"/>
              <w:left w:w="108" w:type="dxa"/>
              <w:bottom w:w="113" w:type="dxa"/>
              <w:right w:w="108" w:type="dxa"/>
            </w:tcMar>
            <w:vAlign w:val="center"/>
            <w:hideMark/>
          </w:tcPr>
          <w:p w:rsidR="003737EE" w:rsidRPr="00C258AD" w:rsidRDefault="003737EE" w:rsidP="0066137C">
            <w:pPr>
              <w:jc w:val="center"/>
              <w:rPr>
                <w:b/>
                <w:bCs/>
                <w:sz w:val="16"/>
                <w:szCs w:val="16"/>
              </w:rPr>
            </w:pPr>
            <w:r w:rsidRPr="00C258AD">
              <w:rPr>
                <w:b/>
                <w:bCs/>
                <w:sz w:val="16"/>
                <w:szCs w:val="16"/>
              </w:rPr>
              <w:t>Code de couleurs</w:t>
            </w:r>
          </w:p>
        </w:tc>
      </w:tr>
      <w:tr w:rsidR="003737EE" w:rsidRPr="00C258AD" w:rsidTr="0066137C">
        <w:trPr>
          <w:cantSplit/>
        </w:trPr>
        <w:tc>
          <w:tcPr>
            <w:tcW w:w="1126" w:type="pct"/>
            <w:gridSpan w:val="2"/>
            <w:tcBorders>
              <w:left w:val="single" w:sz="4" w:space="0" w:color="auto"/>
            </w:tcBorders>
            <w:tcMar>
              <w:top w:w="113" w:type="dxa"/>
              <w:left w:w="108" w:type="dxa"/>
              <w:bottom w:w="113" w:type="dxa"/>
              <w:right w:w="108" w:type="dxa"/>
            </w:tcMar>
          </w:tcPr>
          <w:p w:rsidR="003737EE" w:rsidRPr="00C258AD" w:rsidRDefault="003737EE" w:rsidP="0066137C">
            <w:pPr>
              <w:rPr>
                <w:sz w:val="16"/>
                <w:szCs w:val="16"/>
                <w:lang w:bidi="th-TH"/>
              </w:rPr>
            </w:pPr>
            <w:r w:rsidRPr="00C258AD">
              <w:rPr>
                <w:sz w:val="16"/>
                <w:szCs w:val="16"/>
                <w:lang w:bidi="th-TH"/>
              </w:rPr>
              <w:t>Règlement financier et son règlement d’exécution et ordres de service correspondants à jour.</w:t>
            </w:r>
          </w:p>
        </w:tc>
        <w:tc>
          <w:tcPr>
            <w:tcW w:w="986" w:type="pct"/>
            <w:gridSpan w:val="2"/>
            <w:tcMar>
              <w:top w:w="113" w:type="dxa"/>
              <w:left w:w="108" w:type="dxa"/>
              <w:bottom w:w="113" w:type="dxa"/>
              <w:right w:w="108" w:type="dxa"/>
            </w:tcMar>
          </w:tcPr>
          <w:p w:rsidR="006E2BB1" w:rsidRPr="00C258AD" w:rsidRDefault="003737EE" w:rsidP="0066137C">
            <w:pPr>
              <w:rPr>
                <w:i/>
                <w:sz w:val="16"/>
                <w:szCs w:val="16"/>
              </w:rPr>
            </w:pPr>
            <w:r w:rsidRPr="00C258AD">
              <w:rPr>
                <w:i/>
                <w:color w:val="002060"/>
                <w:sz w:val="16"/>
                <w:szCs w:val="16"/>
                <w:lang w:bidi="th-TH"/>
              </w:rPr>
              <w:t>Niveau de référence actualisé à fin 2013</w:t>
            </w:r>
            <w:r w:rsidRPr="00C258AD">
              <w:rPr>
                <w:sz w:val="16"/>
                <w:szCs w:val="16"/>
                <w:lang w:bidi="th-TH"/>
              </w:rPr>
              <w:t> : Ordres de service publiés en 2012 et 2013.  Règlement financier et règlement d’exécution du règlement financier modifiés en 2012 et 2013 selon que de besoin.</w:t>
            </w:r>
          </w:p>
          <w:p w:rsidR="006E2BB1" w:rsidRPr="00C258AD" w:rsidRDefault="006E2BB1" w:rsidP="0066137C">
            <w:pPr>
              <w:rPr>
                <w:i/>
                <w:sz w:val="16"/>
                <w:szCs w:val="16"/>
              </w:rPr>
            </w:pPr>
          </w:p>
          <w:p w:rsidR="006E2BB1" w:rsidRPr="00C258AD" w:rsidRDefault="003737EE" w:rsidP="0066137C">
            <w:pPr>
              <w:rPr>
                <w:sz w:val="16"/>
                <w:szCs w:val="16"/>
                <w:lang w:bidi="th-TH"/>
              </w:rPr>
            </w:pPr>
            <w:r w:rsidRPr="00C258AD">
              <w:rPr>
                <w:i/>
                <w:sz w:val="16"/>
                <w:szCs w:val="16"/>
                <w:lang w:bidi="th-TH"/>
              </w:rPr>
              <w:t>Niveau de référence initial dans le programme et budget 2014</w:t>
            </w:r>
            <w:r w:rsidRPr="00C258AD">
              <w:rPr>
                <w:i/>
                <w:sz w:val="16"/>
                <w:szCs w:val="16"/>
                <w:lang w:bidi="th-TH"/>
              </w:rPr>
              <w:noBreakHyphen/>
              <w:t>2015 </w:t>
            </w:r>
            <w:r w:rsidRPr="00C258AD">
              <w:rPr>
                <w:i/>
                <w:sz w:val="16"/>
              </w:rPr>
              <w:t>:</w:t>
            </w:r>
          </w:p>
          <w:p w:rsidR="003737EE" w:rsidRPr="00C258AD" w:rsidRDefault="003737EE" w:rsidP="0066137C">
            <w:pPr>
              <w:rPr>
                <w:i/>
                <w:sz w:val="16"/>
                <w:szCs w:val="16"/>
              </w:rPr>
            </w:pPr>
            <w:r w:rsidRPr="00C258AD">
              <w:rPr>
                <w:sz w:val="16"/>
                <w:szCs w:val="16"/>
                <w:lang w:bidi="th-TH"/>
              </w:rPr>
              <w:t>Ordres de service publiés en 2012 et 2013.  Règlement financier et règlement d’exécution du règlement financier modifiés en 2012 selon que de besoin.</w:t>
            </w:r>
          </w:p>
        </w:tc>
        <w:tc>
          <w:tcPr>
            <w:tcW w:w="748" w:type="pct"/>
            <w:tcMar>
              <w:top w:w="113" w:type="dxa"/>
              <w:left w:w="108" w:type="dxa"/>
              <w:bottom w:w="113" w:type="dxa"/>
              <w:right w:w="108" w:type="dxa"/>
            </w:tcMar>
          </w:tcPr>
          <w:p w:rsidR="003737EE" w:rsidRPr="00C258AD" w:rsidRDefault="003737EE" w:rsidP="0066137C">
            <w:pPr>
              <w:autoSpaceDE w:val="0"/>
              <w:autoSpaceDN w:val="0"/>
              <w:adjustRightInd w:val="0"/>
              <w:rPr>
                <w:sz w:val="16"/>
                <w:szCs w:val="16"/>
              </w:rPr>
            </w:pPr>
            <w:r w:rsidRPr="00C258AD">
              <w:rPr>
                <w:sz w:val="16"/>
                <w:szCs w:val="16"/>
              </w:rPr>
              <w:t>Examen et révision du cadre réglementaire le cas échéant.</w:t>
            </w:r>
          </w:p>
        </w:tc>
        <w:tc>
          <w:tcPr>
            <w:tcW w:w="1586" w:type="pct"/>
            <w:gridSpan w:val="2"/>
            <w:shd w:val="clear" w:color="auto" w:fill="FFFFFF"/>
            <w:tcMar>
              <w:top w:w="113" w:type="dxa"/>
              <w:left w:w="108" w:type="dxa"/>
              <w:bottom w:w="113" w:type="dxa"/>
              <w:right w:w="108" w:type="dxa"/>
            </w:tcMar>
          </w:tcPr>
          <w:p w:rsidR="006E2BB1" w:rsidRPr="00C258AD" w:rsidRDefault="003737EE" w:rsidP="0066137C">
            <w:pPr>
              <w:contextualSpacing/>
              <w:rPr>
                <w:sz w:val="16"/>
                <w:szCs w:val="16"/>
              </w:rPr>
            </w:pPr>
            <w:r w:rsidRPr="00C258AD">
              <w:rPr>
                <w:sz w:val="16"/>
                <w:szCs w:val="16"/>
              </w:rPr>
              <w:t>Révision ou publication des ordres de service suivants, notamment :</w:t>
            </w:r>
          </w:p>
          <w:p w:rsidR="006E2BB1" w:rsidRPr="00C258AD" w:rsidRDefault="006E2BB1" w:rsidP="0066137C">
            <w:pPr>
              <w:contextualSpacing/>
              <w:rPr>
                <w:sz w:val="16"/>
                <w:szCs w:val="16"/>
              </w:rPr>
            </w:pPr>
          </w:p>
          <w:p w:rsidR="006E2BB1" w:rsidRPr="00C258AD" w:rsidRDefault="003737EE" w:rsidP="00BB4DBC">
            <w:pPr>
              <w:pStyle w:val="ListParagraph"/>
              <w:numPr>
                <w:ilvl w:val="1"/>
                <w:numId w:val="20"/>
              </w:numPr>
              <w:tabs>
                <w:tab w:val="left" w:pos="730"/>
              </w:tabs>
              <w:ind w:left="568" w:hanging="284"/>
              <w:contextualSpacing/>
              <w:rPr>
                <w:sz w:val="16"/>
                <w:szCs w:val="16"/>
              </w:rPr>
            </w:pPr>
            <w:r w:rsidRPr="00C258AD">
              <w:rPr>
                <w:sz w:val="16"/>
                <w:szCs w:val="16"/>
              </w:rPr>
              <w:t>Principes généraux et règles fondamentales applicables aux achats</w:t>
            </w:r>
          </w:p>
          <w:p w:rsidR="006E2BB1" w:rsidRPr="00C258AD" w:rsidRDefault="003737EE" w:rsidP="00BB4DBC">
            <w:pPr>
              <w:pStyle w:val="ListParagraph"/>
              <w:numPr>
                <w:ilvl w:val="1"/>
                <w:numId w:val="20"/>
              </w:numPr>
              <w:tabs>
                <w:tab w:val="left" w:pos="730"/>
              </w:tabs>
              <w:ind w:left="568" w:hanging="284"/>
              <w:contextualSpacing/>
              <w:rPr>
                <w:sz w:val="16"/>
                <w:szCs w:val="16"/>
              </w:rPr>
            </w:pPr>
            <w:r w:rsidRPr="00C258AD">
              <w:rPr>
                <w:sz w:val="16"/>
                <w:szCs w:val="16"/>
              </w:rPr>
              <w:t>Avances de traitement</w:t>
            </w:r>
          </w:p>
          <w:p w:rsidR="006E2BB1" w:rsidRPr="00C258AD" w:rsidRDefault="003737EE" w:rsidP="00BB4DBC">
            <w:pPr>
              <w:pStyle w:val="ListParagraph"/>
              <w:numPr>
                <w:ilvl w:val="1"/>
                <w:numId w:val="20"/>
              </w:numPr>
              <w:tabs>
                <w:tab w:val="left" w:pos="730"/>
              </w:tabs>
              <w:ind w:left="568" w:hanging="284"/>
              <w:contextualSpacing/>
              <w:rPr>
                <w:sz w:val="16"/>
                <w:szCs w:val="16"/>
              </w:rPr>
            </w:pPr>
            <w:r w:rsidRPr="00C258AD">
              <w:rPr>
                <w:sz w:val="16"/>
                <w:szCs w:val="16"/>
              </w:rPr>
              <w:t>Politique relative à l’utilisation d’appareils de télécommunication portables</w:t>
            </w:r>
          </w:p>
          <w:p w:rsidR="006E2BB1" w:rsidRPr="00C258AD" w:rsidRDefault="003737EE" w:rsidP="00BB4DBC">
            <w:pPr>
              <w:pStyle w:val="ListParagraph"/>
              <w:numPr>
                <w:ilvl w:val="1"/>
                <w:numId w:val="20"/>
              </w:numPr>
              <w:tabs>
                <w:tab w:val="left" w:pos="730"/>
              </w:tabs>
              <w:ind w:left="568" w:hanging="284"/>
              <w:contextualSpacing/>
              <w:rPr>
                <w:sz w:val="16"/>
                <w:szCs w:val="16"/>
              </w:rPr>
            </w:pPr>
            <w:r w:rsidRPr="00C258AD">
              <w:rPr>
                <w:sz w:val="16"/>
                <w:szCs w:val="16"/>
              </w:rPr>
              <w:t>Création du Groupe de gestion des risques</w:t>
            </w:r>
          </w:p>
          <w:p w:rsidR="006E2BB1" w:rsidRPr="00C258AD" w:rsidRDefault="003737EE" w:rsidP="00BB4DBC">
            <w:pPr>
              <w:pStyle w:val="ListParagraph"/>
              <w:numPr>
                <w:ilvl w:val="1"/>
                <w:numId w:val="20"/>
              </w:numPr>
              <w:tabs>
                <w:tab w:val="left" w:pos="730"/>
              </w:tabs>
              <w:ind w:left="568" w:hanging="284"/>
              <w:contextualSpacing/>
              <w:rPr>
                <w:sz w:val="16"/>
                <w:szCs w:val="16"/>
              </w:rPr>
            </w:pPr>
            <w:r w:rsidRPr="00C258AD">
              <w:rPr>
                <w:sz w:val="16"/>
                <w:szCs w:val="16"/>
              </w:rPr>
              <w:t>Congé dans les foyers</w:t>
            </w:r>
          </w:p>
          <w:p w:rsidR="006E2BB1" w:rsidRPr="00C258AD" w:rsidRDefault="003737EE" w:rsidP="00BB4DBC">
            <w:pPr>
              <w:pStyle w:val="ListParagraph"/>
              <w:numPr>
                <w:ilvl w:val="1"/>
                <w:numId w:val="20"/>
              </w:numPr>
              <w:tabs>
                <w:tab w:val="left" w:pos="730"/>
              </w:tabs>
              <w:ind w:left="568" w:hanging="284"/>
              <w:contextualSpacing/>
              <w:rPr>
                <w:sz w:val="16"/>
                <w:szCs w:val="16"/>
              </w:rPr>
            </w:pPr>
            <w:r w:rsidRPr="00C258AD">
              <w:rPr>
                <w:sz w:val="16"/>
                <w:szCs w:val="16"/>
              </w:rPr>
              <w:t>Politique de l’OMPI en matière de gestion des risques</w:t>
            </w:r>
          </w:p>
          <w:p w:rsidR="006E2BB1" w:rsidRPr="00C258AD" w:rsidRDefault="003737EE" w:rsidP="00BB4DBC">
            <w:pPr>
              <w:pStyle w:val="ListParagraph"/>
              <w:numPr>
                <w:ilvl w:val="1"/>
                <w:numId w:val="20"/>
              </w:numPr>
              <w:tabs>
                <w:tab w:val="left" w:pos="730"/>
              </w:tabs>
              <w:ind w:left="568" w:hanging="284"/>
              <w:contextualSpacing/>
              <w:rPr>
                <w:sz w:val="16"/>
                <w:szCs w:val="16"/>
              </w:rPr>
            </w:pPr>
            <w:r w:rsidRPr="00C258AD">
              <w:rPr>
                <w:sz w:val="16"/>
                <w:szCs w:val="16"/>
              </w:rPr>
              <w:t>Gestion de trésorerie et directives financières à l’intention des bureaux extérieurs de l’OMPI – Portée et objet</w:t>
            </w:r>
          </w:p>
          <w:p w:rsidR="006E2BB1" w:rsidRPr="00C258AD" w:rsidRDefault="003737EE" w:rsidP="00BB4DBC">
            <w:pPr>
              <w:pStyle w:val="ListParagraph"/>
              <w:numPr>
                <w:ilvl w:val="1"/>
                <w:numId w:val="20"/>
              </w:numPr>
              <w:tabs>
                <w:tab w:val="left" w:pos="730"/>
              </w:tabs>
              <w:ind w:left="568" w:hanging="284"/>
              <w:contextualSpacing/>
              <w:rPr>
                <w:sz w:val="16"/>
                <w:szCs w:val="16"/>
              </w:rPr>
            </w:pPr>
            <w:r w:rsidRPr="00C258AD">
              <w:rPr>
                <w:sz w:val="16"/>
                <w:szCs w:val="16"/>
              </w:rPr>
              <w:t>Réceptions officielles</w:t>
            </w:r>
          </w:p>
          <w:p w:rsidR="006E2BB1" w:rsidRPr="00C258AD" w:rsidRDefault="003737EE" w:rsidP="00BB4DBC">
            <w:pPr>
              <w:pStyle w:val="ListParagraph"/>
              <w:numPr>
                <w:ilvl w:val="1"/>
                <w:numId w:val="20"/>
              </w:numPr>
              <w:tabs>
                <w:tab w:val="left" w:pos="730"/>
              </w:tabs>
              <w:ind w:left="568" w:hanging="284"/>
              <w:contextualSpacing/>
              <w:rPr>
                <w:sz w:val="16"/>
                <w:szCs w:val="16"/>
              </w:rPr>
            </w:pPr>
            <w:r w:rsidRPr="00C258AD">
              <w:rPr>
                <w:sz w:val="16"/>
                <w:szCs w:val="16"/>
              </w:rPr>
              <w:t>Voyages autorisés et dépenses connexes</w:t>
            </w:r>
          </w:p>
          <w:p w:rsidR="006E2BB1" w:rsidRPr="00C258AD" w:rsidRDefault="003737EE" w:rsidP="00BB4DBC">
            <w:pPr>
              <w:pStyle w:val="ListParagraph"/>
              <w:numPr>
                <w:ilvl w:val="1"/>
                <w:numId w:val="20"/>
              </w:numPr>
              <w:tabs>
                <w:tab w:val="left" w:pos="730"/>
              </w:tabs>
              <w:ind w:left="568" w:hanging="284"/>
              <w:contextualSpacing/>
              <w:rPr>
                <w:sz w:val="16"/>
                <w:szCs w:val="16"/>
              </w:rPr>
            </w:pPr>
            <w:r w:rsidRPr="00C258AD">
              <w:rPr>
                <w:sz w:val="16"/>
                <w:szCs w:val="16"/>
              </w:rPr>
              <w:t>Politique relative aux réserves</w:t>
            </w:r>
          </w:p>
          <w:p w:rsidR="006E2BB1" w:rsidRPr="00C258AD" w:rsidRDefault="003737EE" w:rsidP="00BB4DBC">
            <w:pPr>
              <w:pStyle w:val="ListParagraph"/>
              <w:numPr>
                <w:ilvl w:val="1"/>
                <w:numId w:val="20"/>
              </w:numPr>
              <w:tabs>
                <w:tab w:val="left" w:pos="730"/>
              </w:tabs>
              <w:ind w:left="568" w:hanging="284"/>
              <w:contextualSpacing/>
              <w:rPr>
                <w:sz w:val="16"/>
                <w:szCs w:val="16"/>
              </w:rPr>
            </w:pPr>
            <w:r w:rsidRPr="00C258AD">
              <w:rPr>
                <w:sz w:val="16"/>
                <w:szCs w:val="16"/>
              </w:rPr>
              <w:t>Politique de l’OMPI en matière de gestion des biens</w:t>
            </w:r>
          </w:p>
          <w:p w:rsidR="006E2BB1" w:rsidRPr="00C258AD" w:rsidRDefault="003737EE" w:rsidP="00BB4DBC">
            <w:pPr>
              <w:pStyle w:val="ListParagraph"/>
              <w:numPr>
                <w:ilvl w:val="1"/>
                <w:numId w:val="20"/>
              </w:numPr>
              <w:tabs>
                <w:tab w:val="left" w:pos="730"/>
              </w:tabs>
              <w:ind w:left="568" w:hanging="284"/>
              <w:contextualSpacing/>
              <w:rPr>
                <w:sz w:val="16"/>
                <w:szCs w:val="16"/>
              </w:rPr>
            </w:pPr>
            <w:r w:rsidRPr="00C258AD">
              <w:rPr>
                <w:sz w:val="16"/>
                <w:szCs w:val="16"/>
              </w:rPr>
              <w:t>Politique de l’OMPI en matière de gestion des contributions volontaires.</w:t>
            </w:r>
          </w:p>
          <w:p w:rsidR="006E2BB1" w:rsidRPr="00C258AD" w:rsidRDefault="006E2BB1" w:rsidP="0066137C">
            <w:pPr>
              <w:contextualSpacing/>
              <w:rPr>
                <w:sz w:val="16"/>
                <w:szCs w:val="16"/>
              </w:rPr>
            </w:pPr>
          </w:p>
          <w:p w:rsidR="006E2BB1" w:rsidRPr="00C258AD" w:rsidRDefault="003737EE" w:rsidP="0066137C">
            <w:pPr>
              <w:contextualSpacing/>
              <w:rPr>
                <w:sz w:val="16"/>
                <w:szCs w:val="16"/>
              </w:rPr>
            </w:pPr>
            <w:r w:rsidRPr="00C258AD">
              <w:rPr>
                <w:sz w:val="16"/>
                <w:szCs w:val="16"/>
              </w:rPr>
              <w:t>Révision et amendement du Règlement financier et de son règlement d’exécution en octobre 2014 et en octobre 2015.</w:t>
            </w:r>
          </w:p>
          <w:p w:rsidR="006E2BB1" w:rsidRPr="00C258AD" w:rsidRDefault="006E2BB1" w:rsidP="0066137C">
            <w:pPr>
              <w:contextualSpacing/>
              <w:rPr>
                <w:sz w:val="16"/>
                <w:szCs w:val="16"/>
              </w:rPr>
            </w:pPr>
          </w:p>
          <w:p w:rsidR="003737EE" w:rsidRPr="00C258AD" w:rsidRDefault="003737EE" w:rsidP="0066137C">
            <w:pPr>
              <w:contextualSpacing/>
              <w:rPr>
                <w:sz w:val="16"/>
                <w:szCs w:val="16"/>
              </w:rPr>
            </w:pPr>
            <w:r w:rsidRPr="00C258AD">
              <w:rPr>
                <w:spacing w:val="-2"/>
                <w:sz w:val="16"/>
                <w:szCs w:val="16"/>
              </w:rPr>
              <w:t>Examen de la désignation des chefs de programme et des fonctionnaires habilités ainsi que des signataires d’instructions au PNUD, et introduction d’une demande électronique de gestion de la désignation des chefs de programme.</w:t>
            </w:r>
          </w:p>
        </w:tc>
        <w:tc>
          <w:tcPr>
            <w:tcW w:w="554" w:type="pct"/>
            <w:tcBorders>
              <w:right w:val="single" w:sz="4" w:space="0" w:color="auto"/>
            </w:tcBorders>
            <w:tcMar>
              <w:top w:w="113" w:type="dxa"/>
              <w:left w:w="108" w:type="dxa"/>
              <w:bottom w:w="113" w:type="dxa"/>
              <w:right w:w="108" w:type="dxa"/>
            </w:tcMar>
          </w:tcPr>
          <w:p w:rsidR="003737EE" w:rsidRPr="00C258AD" w:rsidRDefault="003737EE" w:rsidP="0066137C">
            <w:pPr>
              <w:keepNext/>
              <w:keepLines/>
              <w:jc w:val="center"/>
              <w:rPr>
                <w:bCs/>
                <w:sz w:val="16"/>
                <w:szCs w:val="16"/>
              </w:rPr>
            </w:pPr>
            <w:r w:rsidRPr="00C258AD">
              <w:rPr>
                <w:rFonts w:cs="Arial"/>
                <w:b/>
                <w:bCs/>
                <w:color w:val="00B050"/>
                <w:sz w:val="16"/>
                <w:szCs w:val="16"/>
              </w:rPr>
              <w:t>Objectif pleinement atteint</w:t>
            </w:r>
          </w:p>
        </w:tc>
      </w:tr>
    </w:tbl>
    <w:p w:rsidR="006E2BB1" w:rsidRPr="00C258AD" w:rsidRDefault="003737EE" w:rsidP="00305CE5">
      <w:pPr>
        <w:keepNext/>
        <w:rPr>
          <w:rFonts w:cs="Arial"/>
          <w:caps/>
          <w:sz w:val="22"/>
          <w:szCs w:val="22"/>
        </w:rPr>
      </w:pPr>
      <w:r w:rsidRPr="00C258AD">
        <w:rPr>
          <w:rFonts w:cs="Arial"/>
          <w:caps/>
          <w:sz w:val="22"/>
          <w:szCs w:val="22"/>
        </w:rPr>
        <w:lastRenderedPageBreak/>
        <w:t>Rapport d’évaluation des risques pour l’exercice biennal</w:t>
      </w:r>
    </w:p>
    <w:p w:rsidR="003737EE" w:rsidRPr="00C258AD" w:rsidRDefault="003737EE" w:rsidP="0066137C">
      <w:pPr>
        <w:keepNext/>
        <w:keepLines/>
        <w:rPr>
          <w:rFonts w:cs="Arial"/>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3737EE" w:rsidRPr="00C258AD" w:rsidTr="0066137C">
        <w:trPr>
          <w:cantSplit/>
        </w:trPr>
        <w:tc>
          <w:tcPr>
            <w:tcW w:w="2372" w:type="dxa"/>
            <w:tcBorders>
              <w:top w:val="single" w:sz="4" w:space="0" w:color="auto"/>
              <w:left w:val="single" w:sz="4" w:space="0" w:color="auto"/>
              <w:bottom w:val="single" w:sz="4" w:space="0" w:color="auto"/>
            </w:tcBorders>
            <w:shd w:val="clear" w:color="auto" w:fill="C5D9F1"/>
            <w:vAlign w:val="center"/>
          </w:tcPr>
          <w:p w:rsidR="003737EE" w:rsidRPr="00C258AD" w:rsidRDefault="003737EE" w:rsidP="0066137C">
            <w:pPr>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3737EE" w:rsidRPr="00C258AD" w:rsidRDefault="003737EE" w:rsidP="0066137C">
            <w:pPr>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3737EE" w:rsidRPr="00C258AD" w:rsidRDefault="003737EE" w:rsidP="0066137C">
            <w:pPr>
              <w:autoSpaceDE w:val="0"/>
              <w:autoSpaceDN w:val="0"/>
              <w:adjustRightInd w:val="0"/>
              <w:ind w:right="-59"/>
              <w:jc w:val="center"/>
              <w:rPr>
                <w:b/>
                <w:bCs/>
                <w:iCs/>
                <w:sz w:val="16"/>
                <w:szCs w:val="16"/>
              </w:rPr>
            </w:pPr>
            <w:r w:rsidRPr="00C258AD">
              <w:rPr>
                <w:b/>
                <w:bCs/>
                <w:iCs/>
                <w:sz w:val="16"/>
                <w:szCs w:val="16"/>
              </w:rPr>
              <w:t>Évolution des risques et des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3737EE" w:rsidRPr="00C258AD" w:rsidRDefault="003737EE" w:rsidP="0066137C">
            <w:pPr>
              <w:autoSpaceDE w:val="0"/>
              <w:autoSpaceDN w:val="0"/>
              <w:adjustRightInd w:val="0"/>
              <w:jc w:val="center"/>
              <w:rPr>
                <w:b/>
                <w:bCs/>
                <w:iCs/>
                <w:sz w:val="16"/>
                <w:szCs w:val="16"/>
              </w:rPr>
            </w:pPr>
            <w:r w:rsidRPr="00C258AD">
              <w:rPr>
                <w:b/>
                <w:bCs/>
                <w:iCs/>
                <w:sz w:val="16"/>
                <w:szCs w:val="16"/>
              </w:rPr>
              <w:t>Incidence sur les résultats du programme</w:t>
            </w:r>
          </w:p>
        </w:tc>
      </w:tr>
      <w:tr w:rsidR="003737EE" w:rsidRPr="00C258AD" w:rsidTr="0066137C">
        <w:tblPrEx>
          <w:tblBorders>
            <w:top w:val="single" w:sz="4" w:space="0" w:color="auto"/>
            <w:left w:val="single" w:sz="4" w:space="0" w:color="auto"/>
            <w:bottom w:val="single" w:sz="4" w:space="0" w:color="auto"/>
            <w:right w:val="single" w:sz="4" w:space="0" w:color="auto"/>
          </w:tblBorders>
        </w:tblPrEx>
        <w:trPr>
          <w:cantSplit/>
        </w:trPr>
        <w:tc>
          <w:tcPr>
            <w:tcW w:w="2372" w:type="dxa"/>
            <w:tcBorders>
              <w:top w:val="single" w:sz="4" w:space="0" w:color="auto"/>
            </w:tcBorders>
            <w:shd w:val="clear" w:color="auto" w:fill="auto"/>
            <w:tcMar>
              <w:top w:w="113" w:type="dxa"/>
              <w:bottom w:w="85" w:type="dxa"/>
            </w:tcMar>
          </w:tcPr>
          <w:p w:rsidR="003737EE" w:rsidRPr="00C258AD" w:rsidRDefault="003737EE" w:rsidP="0066137C">
            <w:pPr>
              <w:rPr>
                <w:rFonts w:cs="Arial"/>
                <w:sz w:val="16"/>
                <w:szCs w:val="16"/>
              </w:rPr>
            </w:pPr>
            <w:r w:rsidRPr="00C258AD">
              <w:rPr>
                <w:rFonts w:cs="Arial"/>
                <w:sz w:val="16"/>
                <w:szCs w:val="16"/>
              </w:rPr>
              <w:t>Si la crise économique et financière mondiale perdure, les niveaux de recettes pourraient être bien plus bas que prévu.  Une incapacité concomitante à faire preuve de réactivité pour ramener les dépenses à un niveau approprié pourrait engendrer un déficit et avoir un impact négatif sur l’exécution du programme.</w:t>
            </w:r>
          </w:p>
        </w:tc>
        <w:tc>
          <w:tcPr>
            <w:tcW w:w="2373" w:type="dxa"/>
            <w:tcBorders>
              <w:top w:val="single" w:sz="4" w:space="0" w:color="auto"/>
            </w:tcBorders>
            <w:shd w:val="clear" w:color="auto" w:fill="auto"/>
            <w:tcMar>
              <w:top w:w="113" w:type="dxa"/>
              <w:bottom w:w="85" w:type="dxa"/>
            </w:tcMar>
          </w:tcPr>
          <w:p w:rsidR="006E2BB1" w:rsidRPr="00C258AD" w:rsidRDefault="003737EE" w:rsidP="0066137C">
            <w:pPr>
              <w:autoSpaceDE w:val="0"/>
              <w:autoSpaceDN w:val="0"/>
              <w:adjustRightInd w:val="0"/>
              <w:rPr>
                <w:rFonts w:cs="Arial"/>
                <w:sz w:val="16"/>
                <w:szCs w:val="16"/>
                <w:lang w:eastAsia="zh-CN"/>
              </w:rPr>
            </w:pPr>
            <w:r w:rsidRPr="00C258AD">
              <w:rPr>
                <w:rFonts w:cs="Arial"/>
                <w:sz w:val="16"/>
                <w:szCs w:val="16"/>
                <w:lang w:eastAsia="zh-CN"/>
              </w:rPr>
              <w:t>L’Organisation maintient le montant des réserves au niveau approprié (18% environ du budget biennal) pour être en mesure de pallier une éventuelle diminution des recettes.</w:t>
            </w:r>
          </w:p>
          <w:p w:rsidR="006E2BB1" w:rsidRPr="00C258AD" w:rsidRDefault="006E2BB1" w:rsidP="0066137C">
            <w:pPr>
              <w:autoSpaceDE w:val="0"/>
              <w:autoSpaceDN w:val="0"/>
              <w:adjustRightInd w:val="0"/>
              <w:rPr>
                <w:rFonts w:cs="Arial"/>
                <w:sz w:val="16"/>
                <w:szCs w:val="16"/>
                <w:lang w:eastAsia="zh-CN"/>
              </w:rPr>
            </w:pPr>
          </w:p>
          <w:p w:rsidR="003737EE" w:rsidRPr="00C258AD" w:rsidRDefault="003737EE" w:rsidP="0066137C">
            <w:pPr>
              <w:autoSpaceDE w:val="0"/>
              <w:autoSpaceDN w:val="0"/>
              <w:adjustRightInd w:val="0"/>
              <w:rPr>
                <w:rFonts w:cs="Arial"/>
                <w:sz w:val="16"/>
                <w:szCs w:val="16"/>
              </w:rPr>
            </w:pPr>
            <w:r w:rsidRPr="00C258AD">
              <w:rPr>
                <w:rFonts w:cs="Arial"/>
                <w:sz w:val="16"/>
                <w:szCs w:val="16"/>
                <w:lang w:eastAsia="zh-CN"/>
              </w:rPr>
              <w:t>Le Secrétariat surveille étroitement les dépenses grâce à un processus de suivi renforcé des recettes et des dépenses et par l’intermédiaire du Groupe de gestion de la crise.</w:t>
            </w:r>
          </w:p>
        </w:tc>
        <w:tc>
          <w:tcPr>
            <w:tcW w:w="2373" w:type="dxa"/>
            <w:tcBorders>
              <w:top w:val="single" w:sz="4" w:space="0" w:color="auto"/>
            </w:tcBorders>
          </w:tcPr>
          <w:p w:rsidR="006E2BB1" w:rsidRPr="00C258AD" w:rsidRDefault="003737EE" w:rsidP="0066137C">
            <w:pPr>
              <w:autoSpaceDE w:val="0"/>
              <w:autoSpaceDN w:val="0"/>
              <w:adjustRightInd w:val="0"/>
              <w:rPr>
                <w:sz w:val="16"/>
                <w:szCs w:val="16"/>
                <w:lang w:eastAsia="zh-CN"/>
              </w:rPr>
            </w:pPr>
            <w:r w:rsidRPr="00C258AD">
              <w:rPr>
                <w:sz w:val="16"/>
                <w:szCs w:val="16"/>
                <w:lang w:eastAsia="zh-CN"/>
              </w:rPr>
              <w:t>Les niveaux de recettes ont été plus élevés que prévu au cours de l’exercice biennal, et des mesures d’atténuation appropriées continuent d’être prises eu égard au risque identifié.</w:t>
            </w:r>
          </w:p>
          <w:p w:rsidR="006E2BB1" w:rsidRPr="00C258AD" w:rsidRDefault="006E2BB1" w:rsidP="0066137C">
            <w:pPr>
              <w:autoSpaceDE w:val="0"/>
              <w:autoSpaceDN w:val="0"/>
              <w:adjustRightInd w:val="0"/>
              <w:rPr>
                <w:sz w:val="16"/>
                <w:szCs w:val="16"/>
                <w:lang w:eastAsia="zh-CN"/>
              </w:rPr>
            </w:pPr>
          </w:p>
          <w:p w:rsidR="006E2BB1" w:rsidRPr="00C258AD" w:rsidRDefault="003737EE" w:rsidP="0066137C">
            <w:pPr>
              <w:autoSpaceDE w:val="0"/>
              <w:autoSpaceDN w:val="0"/>
              <w:adjustRightInd w:val="0"/>
              <w:rPr>
                <w:sz w:val="16"/>
                <w:szCs w:val="16"/>
                <w:lang w:eastAsia="zh-CN"/>
              </w:rPr>
            </w:pPr>
            <w:r w:rsidRPr="00C258AD">
              <w:rPr>
                <w:sz w:val="16"/>
                <w:szCs w:val="16"/>
                <w:lang w:eastAsia="zh-CN"/>
              </w:rPr>
              <w:t>Le montant recommandé des réserves a été analysé par les États membres dans le cadre de l’examen de la politique de l’OMPI en matière de réserves, et cet objectif a été relevé à 22% en vue de mieux atténuer ce risque.</w:t>
            </w:r>
          </w:p>
          <w:p w:rsidR="006E2BB1" w:rsidRPr="00C258AD" w:rsidRDefault="006E2BB1" w:rsidP="0066137C">
            <w:pPr>
              <w:autoSpaceDE w:val="0"/>
              <w:autoSpaceDN w:val="0"/>
              <w:adjustRightInd w:val="0"/>
              <w:rPr>
                <w:sz w:val="16"/>
                <w:szCs w:val="16"/>
                <w:lang w:eastAsia="zh-CN"/>
              </w:rPr>
            </w:pPr>
          </w:p>
          <w:p w:rsidR="006E2BB1" w:rsidRPr="00C258AD" w:rsidRDefault="003737EE" w:rsidP="0066137C">
            <w:pPr>
              <w:autoSpaceDE w:val="0"/>
              <w:autoSpaceDN w:val="0"/>
              <w:adjustRightInd w:val="0"/>
              <w:rPr>
                <w:sz w:val="16"/>
                <w:szCs w:val="16"/>
                <w:lang w:eastAsia="zh-CN"/>
              </w:rPr>
            </w:pPr>
            <w:r w:rsidRPr="00C258AD">
              <w:rPr>
                <w:sz w:val="16"/>
                <w:szCs w:val="16"/>
                <w:lang w:eastAsia="zh-CN"/>
              </w:rPr>
              <w:t>Par l’intermédiaire du Groupe de gestion des risques nouvelle créé, l’Organisation continue de surveiller de près l’évolution des recettes et des dépenses.</w:t>
            </w:r>
          </w:p>
          <w:p w:rsidR="006E2BB1" w:rsidRPr="00C258AD" w:rsidRDefault="006E2BB1" w:rsidP="0066137C">
            <w:pPr>
              <w:autoSpaceDE w:val="0"/>
              <w:autoSpaceDN w:val="0"/>
              <w:adjustRightInd w:val="0"/>
              <w:rPr>
                <w:sz w:val="16"/>
                <w:szCs w:val="16"/>
                <w:lang w:eastAsia="zh-CN"/>
              </w:rPr>
            </w:pPr>
          </w:p>
          <w:p w:rsidR="003737EE" w:rsidRPr="00C258AD" w:rsidRDefault="003737EE" w:rsidP="0066137C">
            <w:pPr>
              <w:autoSpaceDE w:val="0"/>
              <w:autoSpaceDN w:val="0"/>
              <w:adjustRightInd w:val="0"/>
              <w:rPr>
                <w:sz w:val="16"/>
                <w:szCs w:val="16"/>
                <w:lang w:eastAsia="zh-CN"/>
              </w:rPr>
            </w:pPr>
            <w:r w:rsidRPr="00C258AD">
              <w:rPr>
                <w:sz w:val="16"/>
                <w:szCs w:val="16"/>
                <w:lang w:eastAsia="zh-CN"/>
              </w:rPr>
              <w:t>Le 15 janvier 2015, la Banque nationale suisse a suspendu le plafonnement du taux de change minimal du franc suisse de 1,20 franc suisse pour 1 euro, et mis en place des taux d’intérêt négatifs pour la clientèle de particuliers.  Des procédures d’amélioration de la gestion de trésorerie ont été introduites pour minimiser l’incidence des taux d’intérêt négatifs sur les soldes de trésorerie de l’OMPI.</w:t>
            </w:r>
          </w:p>
        </w:tc>
        <w:tc>
          <w:tcPr>
            <w:tcW w:w="2373" w:type="dxa"/>
            <w:tcBorders>
              <w:top w:val="single" w:sz="4" w:space="0" w:color="auto"/>
            </w:tcBorders>
          </w:tcPr>
          <w:p w:rsidR="006E2BB1" w:rsidRPr="00C258AD" w:rsidRDefault="003737EE" w:rsidP="0066137C">
            <w:pPr>
              <w:autoSpaceDE w:val="0"/>
              <w:autoSpaceDN w:val="0"/>
              <w:adjustRightInd w:val="0"/>
              <w:rPr>
                <w:sz w:val="16"/>
                <w:szCs w:val="16"/>
                <w:lang w:eastAsia="zh-CN"/>
              </w:rPr>
            </w:pPr>
            <w:r w:rsidRPr="00C258AD">
              <w:rPr>
                <w:sz w:val="16"/>
                <w:szCs w:val="16"/>
                <w:lang w:eastAsia="zh-CN"/>
              </w:rPr>
              <w:t>Ce risque et son évolution n’ont pas eu d’incidence matérielle sur l’exécution du programme en 2014</w:t>
            </w:r>
            <w:r w:rsidRPr="00C258AD">
              <w:rPr>
                <w:sz w:val="16"/>
                <w:szCs w:val="16"/>
                <w:lang w:eastAsia="zh-CN"/>
              </w:rPr>
              <w:noBreakHyphen/>
              <w:t>2015.</w:t>
            </w:r>
          </w:p>
          <w:p w:rsidR="006E2BB1" w:rsidRPr="00C258AD" w:rsidRDefault="006E2BB1" w:rsidP="0066137C">
            <w:pPr>
              <w:autoSpaceDE w:val="0"/>
              <w:autoSpaceDN w:val="0"/>
              <w:adjustRightInd w:val="0"/>
              <w:rPr>
                <w:sz w:val="16"/>
                <w:szCs w:val="16"/>
                <w:lang w:eastAsia="zh-CN"/>
              </w:rPr>
            </w:pPr>
          </w:p>
          <w:p w:rsidR="006E2BB1" w:rsidRPr="00C258AD" w:rsidRDefault="006E2BB1" w:rsidP="0066137C">
            <w:pPr>
              <w:autoSpaceDE w:val="0"/>
              <w:autoSpaceDN w:val="0"/>
              <w:adjustRightInd w:val="0"/>
              <w:rPr>
                <w:sz w:val="16"/>
                <w:szCs w:val="16"/>
                <w:lang w:eastAsia="zh-CN"/>
              </w:rPr>
            </w:pPr>
          </w:p>
          <w:p w:rsidR="006E2BB1" w:rsidRPr="00C258AD" w:rsidRDefault="006E2BB1" w:rsidP="0066137C">
            <w:pPr>
              <w:autoSpaceDE w:val="0"/>
              <w:autoSpaceDN w:val="0"/>
              <w:adjustRightInd w:val="0"/>
              <w:rPr>
                <w:sz w:val="16"/>
                <w:szCs w:val="16"/>
                <w:lang w:eastAsia="zh-CN"/>
              </w:rPr>
            </w:pPr>
          </w:p>
          <w:p w:rsidR="006E2BB1" w:rsidRPr="00C258AD" w:rsidRDefault="006E2BB1" w:rsidP="0066137C">
            <w:pPr>
              <w:autoSpaceDE w:val="0"/>
              <w:autoSpaceDN w:val="0"/>
              <w:adjustRightInd w:val="0"/>
              <w:rPr>
                <w:sz w:val="16"/>
                <w:szCs w:val="16"/>
                <w:lang w:eastAsia="zh-CN"/>
              </w:rPr>
            </w:pPr>
          </w:p>
          <w:p w:rsidR="006E2BB1" w:rsidRPr="00C258AD" w:rsidRDefault="006E2BB1" w:rsidP="0066137C">
            <w:pPr>
              <w:autoSpaceDE w:val="0"/>
              <w:autoSpaceDN w:val="0"/>
              <w:adjustRightInd w:val="0"/>
              <w:rPr>
                <w:sz w:val="16"/>
                <w:szCs w:val="16"/>
                <w:lang w:eastAsia="zh-CN"/>
              </w:rPr>
            </w:pPr>
          </w:p>
          <w:p w:rsidR="006E2BB1" w:rsidRPr="00C258AD" w:rsidRDefault="006E2BB1" w:rsidP="0066137C">
            <w:pPr>
              <w:autoSpaceDE w:val="0"/>
              <w:autoSpaceDN w:val="0"/>
              <w:adjustRightInd w:val="0"/>
              <w:rPr>
                <w:sz w:val="16"/>
                <w:szCs w:val="16"/>
                <w:lang w:eastAsia="zh-CN"/>
              </w:rPr>
            </w:pPr>
          </w:p>
          <w:p w:rsidR="006E2BB1" w:rsidRPr="00C258AD" w:rsidRDefault="006E2BB1" w:rsidP="0066137C">
            <w:pPr>
              <w:autoSpaceDE w:val="0"/>
              <w:autoSpaceDN w:val="0"/>
              <w:adjustRightInd w:val="0"/>
              <w:rPr>
                <w:sz w:val="16"/>
                <w:szCs w:val="16"/>
                <w:lang w:eastAsia="zh-CN"/>
              </w:rPr>
            </w:pPr>
          </w:p>
          <w:p w:rsidR="006E2BB1" w:rsidRPr="00C258AD" w:rsidRDefault="006E2BB1" w:rsidP="0066137C">
            <w:pPr>
              <w:autoSpaceDE w:val="0"/>
              <w:autoSpaceDN w:val="0"/>
              <w:adjustRightInd w:val="0"/>
              <w:rPr>
                <w:sz w:val="16"/>
                <w:szCs w:val="16"/>
                <w:lang w:eastAsia="zh-CN"/>
              </w:rPr>
            </w:pPr>
          </w:p>
          <w:p w:rsidR="006E2BB1" w:rsidRPr="00C258AD" w:rsidRDefault="006E2BB1" w:rsidP="0066137C">
            <w:pPr>
              <w:autoSpaceDE w:val="0"/>
              <w:autoSpaceDN w:val="0"/>
              <w:adjustRightInd w:val="0"/>
              <w:rPr>
                <w:sz w:val="16"/>
                <w:szCs w:val="16"/>
                <w:lang w:eastAsia="zh-CN"/>
              </w:rPr>
            </w:pPr>
          </w:p>
          <w:p w:rsidR="006E2BB1" w:rsidRPr="00C258AD" w:rsidRDefault="006E2BB1" w:rsidP="0066137C">
            <w:pPr>
              <w:autoSpaceDE w:val="0"/>
              <w:autoSpaceDN w:val="0"/>
              <w:adjustRightInd w:val="0"/>
              <w:rPr>
                <w:sz w:val="16"/>
                <w:szCs w:val="16"/>
                <w:lang w:eastAsia="zh-CN"/>
              </w:rPr>
            </w:pPr>
          </w:p>
          <w:p w:rsidR="006E2BB1" w:rsidRPr="00C258AD" w:rsidRDefault="006E2BB1" w:rsidP="0066137C">
            <w:pPr>
              <w:autoSpaceDE w:val="0"/>
              <w:autoSpaceDN w:val="0"/>
              <w:adjustRightInd w:val="0"/>
              <w:rPr>
                <w:sz w:val="16"/>
                <w:szCs w:val="16"/>
                <w:lang w:eastAsia="zh-CN"/>
              </w:rPr>
            </w:pPr>
          </w:p>
          <w:p w:rsidR="006E2BB1" w:rsidRPr="00C258AD" w:rsidRDefault="006E2BB1" w:rsidP="0066137C">
            <w:pPr>
              <w:autoSpaceDE w:val="0"/>
              <w:autoSpaceDN w:val="0"/>
              <w:adjustRightInd w:val="0"/>
              <w:rPr>
                <w:sz w:val="16"/>
                <w:szCs w:val="16"/>
                <w:lang w:eastAsia="zh-CN"/>
              </w:rPr>
            </w:pPr>
          </w:p>
          <w:p w:rsidR="006E2BB1" w:rsidRPr="00C258AD" w:rsidRDefault="006E2BB1" w:rsidP="0066137C">
            <w:pPr>
              <w:autoSpaceDE w:val="0"/>
              <w:autoSpaceDN w:val="0"/>
              <w:adjustRightInd w:val="0"/>
              <w:rPr>
                <w:sz w:val="16"/>
                <w:szCs w:val="16"/>
                <w:lang w:eastAsia="zh-CN"/>
              </w:rPr>
            </w:pPr>
          </w:p>
          <w:p w:rsidR="006E2BB1" w:rsidRPr="00C258AD" w:rsidRDefault="006E2BB1" w:rsidP="0066137C">
            <w:pPr>
              <w:autoSpaceDE w:val="0"/>
              <w:autoSpaceDN w:val="0"/>
              <w:adjustRightInd w:val="0"/>
              <w:rPr>
                <w:sz w:val="16"/>
                <w:szCs w:val="16"/>
                <w:lang w:eastAsia="zh-CN"/>
              </w:rPr>
            </w:pPr>
          </w:p>
          <w:p w:rsidR="006E2BB1" w:rsidRPr="00C258AD" w:rsidRDefault="006E2BB1" w:rsidP="0066137C">
            <w:pPr>
              <w:autoSpaceDE w:val="0"/>
              <w:autoSpaceDN w:val="0"/>
              <w:adjustRightInd w:val="0"/>
              <w:rPr>
                <w:sz w:val="16"/>
                <w:szCs w:val="16"/>
                <w:lang w:eastAsia="zh-CN"/>
              </w:rPr>
            </w:pPr>
          </w:p>
          <w:p w:rsidR="006E2BB1" w:rsidRPr="00C258AD" w:rsidRDefault="006E2BB1" w:rsidP="0066137C">
            <w:pPr>
              <w:autoSpaceDE w:val="0"/>
              <w:autoSpaceDN w:val="0"/>
              <w:adjustRightInd w:val="0"/>
              <w:rPr>
                <w:sz w:val="16"/>
                <w:szCs w:val="16"/>
                <w:lang w:eastAsia="zh-CN"/>
              </w:rPr>
            </w:pPr>
          </w:p>
          <w:p w:rsidR="006E2BB1" w:rsidRPr="00C258AD" w:rsidRDefault="006E2BB1" w:rsidP="0066137C">
            <w:pPr>
              <w:autoSpaceDE w:val="0"/>
              <w:autoSpaceDN w:val="0"/>
              <w:adjustRightInd w:val="0"/>
              <w:rPr>
                <w:sz w:val="16"/>
                <w:szCs w:val="16"/>
                <w:lang w:eastAsia="zh-CN"/>
              </w:rPr>
            </w:pPr>
          </w:p>
          <w:p w:rsidR="006E2BB1" w:rsidRPr="00C258AD" w:rsidRDefault="006E2BB1" w:rsidP="0066137C">
            <w:pPr>
              <w:autoSpaceDE w:val="0"/>
              <w:autoSpaceDN w:val="0"/>
              <w:adjustRightInd w:val="0"/>
              <w:rPr>
                <w:sz w:val="16"/>
                <w:szCs w:val="16"/>
                <w:lang w:eastAsia="zh-CN"/>
              </w:rPr>
            </w:pPr>
          </w:p>
          <w:p w:rsidR="006E2BB1" w:rsidRPr="00C258AD" w:rsidRDefault="006E2BB1" w:rsidP="0066137C">
            <w:pPr>
              <w:autoSpaceDE w:val="0"/>
              <w:autoSpaceDN w:val="0"/>
              <w:adjustRightInd w:val="0"/>
              <w:rPr>
                <w:sz w:val="16"/>
                <w:szCs w:val="16"/>
                <w:lang w:eastAsia="zh-CN"/>
              </w:rPr>
            </w:pPr>
          </w:p>
          <w:p w:rsidR="006E2BB1" w:rsidRPr="00C258AD" w:rsidRDefault="006E2BB1" w:rsidP="0066137C">
            <w:pPr>
              <w:autoSpaceDE w:val="0"/>
              <w:autoSpaceDN w:val="0"/>
              <w:adjustRightInd w:val="0"/>
              <w:rPr>
                <w:sz w:val="16"/>
                <w:szCs w:val="16"/>
                <w:lang w:eastAsia="zh-CN"/>
              </w:rPr>
            </w:pPr>
          </w:p>
          <w:p w:rsidR="003737EE" w:rsidRPr="00C258AD" w:rsidRDefault="003737EE" w:rsidP="0066137C">
            <w:pPr>
              <w:autoSpaceDE w:val="0"/>
              <w:autoSpaceDN w:val="0"/>
              <w:adjustRightInd w:val="0"/>
              <w:rPr>
                <w:sz w:val="16"/>
                <w:szCs w:val="16"/>
                <w:lang w:eastAsia="zh-CN"/>
              </w:rPr>
            </w:pPr>
            <w:r w:rsidRPr="00C258AD">
              <w:rPr>
                <w:sz w:val="16"/>
                <w:szCs w:val="16"/>
                <w:lang w:eastAsia="zh-CN"/>
              </w:rPr>
              <w:t>La suppression du plafond a eu un effet globalement négatif sur l’équivalent en francs suisses des recettes initialement perçues en euros, réduisant du même coup sensiblement la possibilité de percevoir des intérêts sur les excédents de trésorerie.</w:t>
            </w:r>
          </w:p>
        </w:tc>
      </w:tr>
    </w:tbl>
    <w:p w:rsidR="006E2BB1" w:rsidRPr="00C258AD" w:rsidRDefault="006E2BB1" w:rsidP="0066137C"/>
    <w:p w:rsidR="006E2BB1" w:rsidRPr="00C258AD" w:rsidRDefault="006E2BB1" w:rsidP="0066137C"/>
    <w:p w:rsidR="006E2BB1" w:rsidRPr="00C258AD" w:rsidRDefault="00FE18E6">
      <w:pPr>
        <w:spacing w:after="200" w:line="276" w:lineRule="auto"/>
        <w:rPr>
          <w:caps/>
          <w:sz w:val="22"/>
        </w:rPr>
      </w:pPr>
      <w:r w:rsidRPr="00C258AD">
        <w:br w:type="page"/>
      </w:r>
    </w:p>
    <w:p w:rsidR="006E2BB1" w:rsidRPr="00C258AD" w:rsidRDefault="003737EE" w:rsidP="00305CE5">
      <w:pPr>
        <w:keepNext/>
        <w:rPr>
          <w:rFonts w:cs="Arial"/>
          <w:caps/>
          <w:sz w:val="22"/>
          <w:szCs w:val="22"/>
        </w:rPr>
      </w:pPr>
      <w:r w:rsidRPr="00C258AD">
        <w:rPr>
          <w:rFonts w:cs="Arial"/>
          <w:caps/>
          <w:sz w:val="22"/>
          <w:szCs w:val="22"/>
        </w:rPr>
        <w:lastRenderedPageBreak/>
        <w:t>Utilisation des ressources</w:t>
      </w:r>
    </w:p>
    <w:p w:rsidR="006E2BB1" w:rsidRPr="00C258AD" w:rsidRDefault="006E2BB1" w:rsidP="0066137C">
      <w:pPr>
        <w:jc w:val="center"/>
      </w:pPr>
    </w:p>
    <w:p w:rsidR="006E2BB1" w:rsidRPr="00C258AD" w:rsidRDefault="003737EE" w:rsidP="0066137C">
      <w:pPr>
        <w:pStyle w:val="NormalWeb"/>
        <w:keepNext/>
        <w:spacing w:before="0" w:beforeAutospacing="0" w:after="0" w:afterAutospacing="0"/>
        <w:jc w:val="center"/>
        <w:rPr>
          <w:sz w:val="20"/>
          <w:szCs w:val="20"/>
        </w:rPr>
      </w:pPr>
      <w:r w:rsidRPr="00C258AD">
        <w:rPr>
          <w:sz w:val="20"/>
          <w:szCs w:val="20"/>
        </w:rPr>
        <w:t>Budget et dépenses effectives (par résultat)</w:t>
      </w:r>
    </w:p>
    <w:p w:rsidR="006E2BB1" w:rsidRPr="00C258AD" w:rsidRDefault="003737EE" w:rsidP="0066137C">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3737EE" w:rsidRPr="00C258AD" w:rsidRDefault="003737EE" w:rsidP="0066137C">
      <w:pPr>
        <w:keepNext/>
        <w:jc w:val="both"/>
      </w:pPr>
    </w:p>
    <w:tbl>
      <w:tblPr>
        <w:tblW w:w="5000" w:type="pct"/>
        <w:tblCellMar>
          <w:top w:w="113" w:type="dxa"/>
          <w:left w:w="70" w:type="dxa"/>
          <w:bottom w:w="113" w:type="dxa"/>
          <w:right w:w="70" w:type="dxa"/>
        </w:tblCellMar>
        <w:tblLook w:val="04A0" w:firstRow="1" w:lastRow="0" w:firstColumn="1" w:lastColumn="0" w:noHBand="0" w:noVBand="1"/>
      </w:tblPr>
      <w:tblGrid>
        <w:gridCol w:w="534"/>
        <w:gridCol w:w="4695"/>
        <w:gridCol w:w="1422"/>
        <w:gridCol w:w="1422"/>
        <w:gridCol w:w="1422"/>
      </w:tblGrid>
      <w:tr w:rsidR="003737EE" w:rsidRPr="00C258AD" w:rsidTr="0066137C">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3737EE" w:rsidRPr="00C258AD" w:rsidRDefault="003737EE" w:rsidP="0066137C">
            <w:pPr>
              <w:jc w:val="center"/>
              <w:rPr>
                <w:i/>
                <w:iCs/>
                <w:sz w:val="16"/>
                <w:szCs w:val="16"/>
                <w:lang w:eastAsia="fr-FR"/>
              </w:rPr>
            </w:pPr>
            <w:r w:rsidRPr="00C258AD">
              <w:rPr>
                <w:i/>
                <w:iCs/>
                <w:sz w:val="16"/>
                <w:szCs w:val="16"/>
                <w:lang w:eastAsia="fr-FR"/>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3737EE" w:rsidRPr="00C258AD" w:rsidRDefault="003737EE" w:rsidP="0066137C">
            <w:pPr>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Pr="00C258AD">
              <w:rPr>
                <w:i/>
                <w:iCs/>
                <w:sz w:val="16"/>
                <w:szCs w:val="16"/>
                <w:lang w:eastAsia="fr-FR"/>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3737EE" w:rsidRPr="00C258AD" w:rsidRDefault="003737EE" w:rsidP="0066137C">
            <w:pPr>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Pr="00C258AD">
              <w:rPr>
                <w:i/>
                <w:iCs/>
                <w:sz w:val="16"/>
                <w:szCs w:val="16"/>
                <w:lang w:eastAsia="fr-FR"/>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3737EE" w:rsidRPr="00C258AD" w:rsidRDefault="003737EE" w:rsidP="0066137C">
            <w:pPr>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Pr="00C258AD">
              <w:rPr>
                <w:i/>
                <w:iCs/>
                <w:sz w:val="16"/>
                <w:szCs w:val="16"/>
                <w:lang w:eastAsia="fr-FR"/>
              </w:rPr>
              <w:noBreakHyphen/>
              <w:t>2015</w:t>
            </w:r>
          </w:p>
        </w:tc>
      </w:tr>
      <w:tr w:rsidR="003737EE" w:rsidRPr="00C258AD" w:rsidTr="0066137C">
        <w:trPr>
          <w:cantSplit/>
        </w:trPr>
        <w:tc>
          <w:tcPr>
            <w:tcW w:w="510" w:type="dxa"/>
            <w:tcBorders>
              <w:top w:val="nil"/>
              <w:left w:val="single" w:sz="4" w:space="0" w:color="auto"/>
              <w:bottom w:val="nil"/>
              <w:right w:val="nil"/>
            </w:tcBorders>
            <w:shd w:val="clear" w:color="auto" w:fill="auto"/>
            <w:noWrap/>
            <w:vAlign w:val="center"/>
            <w:hideMark/>
          </w:tcPr>
          <w:p w:rsidR="003737EE" w:rsidRPr="00C258AD" w:rsidRDefault="003737EE" w:rsidP="0066137C">
            <w:pPr>
              <w:rPr>
                <w:sz w:val="16"/>
                <w:szCs w:val="16"/>
                <w:lang w:eastAsia="fr-FR"/>
              </w:rPr>
            </w:pPr>
            <w:r w:rsidRPr="00C258AD">
              <w:rPr>
                <w:sz w:val="16"/>
                <w:szCs w:val="16"/>
                <w:lang w:eastAsia="fr-FR"/>
              </w:rPr>
              <w:t>IX.1</w:t>
            </w:r>
          </w:p>
        </w:tc>
        <w:tc>
          <w:tcPr>
            <w:tcW w:w="4490" w:type="dxa"/>
            <w:tcBorders>
              <w:top w:val="nil"/>
              <w:left w:val="nil"/>
              <w:bottom w:val="nil"/>
              <w:right w:val="nil"/>
            </w:tcBorders>
            <w:shd w:val="clear" w:color="auto" w:fill="auto"/>
            <w:vAlign w:val="center"/>
            <w:hideMark/>
          </w:tcPr>
          <w:p w:rsidR="003737EE" w:rsidRPr="00C258AD" w:rsidRDefault="003737EE" w:rsidP="0066137C">
            <w:pPr>
              <w:rPr>
                <w:sz w:val="16"/>
                <w:szCs w:val="16"/>
                <w:lang w:eastAsia="fr-FR"/>
              </w:rPr>
            </w:pPr>
            <w:r w:rsidRPr="00C258AD">
              <w:rPr>
                <w:sz w:val="16"/>
                <w:szCs w:val="16"/>
                <w:lang w:eastAsia="fr-FR"/>
              </w:rPr>
              <w:t>Services d’appui efficaces, efficients, de qualité et tournés vers la clientèle, à l’intention à la fois des clients internes et des parties prenantes externes</w:t>
            </w:r>
          </w:p>
        </w:tc>
        <w:tc>
          <w:tcPr>
            <w:tcW w:w="1360" w:type="dxa"/>
            <w:tcBorders>
              <w:top w:val="nil"/>
              <w:left w:val="nil"/>
              <w:bottom w:val="nil"/>
              <w:right w:val="nil"/>
            </w:tcBorders>
            <w:shd w:val="clear" w:color="auto" w:fill="auto"/>
            <w:vAlign w:val="center"/>
            <w:hideMark/>
          </w:tcPr>
          <w:p w:rsidR="003737EE" w:rsidRPr="00C258AD" w:rsidRDefault="003737EE" w:rsidP="0066137C">
            <w:pPr>
              <w:jc w:val="right"/>
              <w:rPr>
                <w:sz w:val="16"/>
                <w:szCs w:val="16"/>
                <w:lang w:eastAsia="fr-FR"/>
              </w:rPr>
            </w:pPr>
            <w:r w:rsidRPr="00C258AD">
              <w:rPr>
                <w:sz w:val="16"/>
                <w:szCs w:val="16"/>
                <w:lang w:eastAsia="fr-FR"/>
              </w:rPr>
              <w:t>8 212</w:t>
            </w:r>
          </w:p>
        </w:tc>
        <w:tc>
          <w:tcPr>
            <w:tcW w:w="1360" w:type="dxa"/>
            <w:tcBorders>
              <w:top w:val="nil"/>
              <w:left w:val="nil"/>
              <w:bottom w:val="nil"/>
              <w:right w:val="nil"/>
            </w:tcBorders>
            <w:shd w:val="clear" w:color="auto" w:fill="auto"/>
            <w:noWrap/>
            <w:vAlign w:val="center"/>
            <w:hideMark/>
          </w:tcPr>
          <w:p w:rsidR="003737EE" w:rsidRPr="00C258AD" w:rsidRDefault="003737EE" w:rsidP="0066137C">
            <w:pPr>
              <w:jc w:val="right"/>
              <w:rPr>
                <w:sz w:val="16"/>
                <w:szCs w:val="16"/>
                <w:lang w:eastAsia="fr-FR"/>
              </w:rPr>
            </w:pPr>
            <w:r w:rsidRPr="00C258AD">
              <w:rPr>
                <w:sz w:val="16"/>
                <w:szCs w:val="16"/>
                <w:lang w:eastAsia="fr-FR"/>
              </w:rPr>
              <w:t>11 954</w:t>
            </w:r>
          </w:p>
        </w:tc>
        <w:tc>
          <w:tcPr>
            <w:tcW w:w="1360" w:type="dxa"/>
            <w:tcBorders>
              <w:top w:val="nil"/>
              <w:left w:val="nil"/>
              <w:bottom w:val="nil"/>
              <w:right w:val="single" w:sz="4" w:space="0" w:color="auto"/>
            </w:tcBorders>
            <w:shd w:val="clear" w:color="auto" w:fill="auto"/>
            <w:vAlign w:val="center"/>
            <w:hideMark/>
          </w:tcPr>
          <w:p w:rsidR="003737EE" w:rsidRPr="00C258AD" w:rsidRDefault="003737EE" w:rsidP="0066137C">
            <w:pPr>
              <w:jc w:val="right"/>
              <w:rPr>
                <w:sz w:val="16"/>
                <w:szCs w:val="16"/>
                <w:lang w:eastAsia="fr-FR"/>
              </w:rPr>
            </w:pPr>
            <w:r w:rsidRPr="00C258AD">
              <w:rPr>
                <w:sz w:val="16"/>
                <w:szCs w:val="16"/>
                <w:lang w:eastAsia="fr-FR"/>
              </w:rPr>
              <w:t>11 933</w:t>
            </w:r>
          </w:p>
        </w:tc>
      </w:tr>
      <w:tr w:rsidR="003737EE" w:rsidRPr="00C258AD" w:rsidTr="0066137C">
        <w:trPr>
          <w:cantSplit/>
        </w:trPr>
        <w:tc>
          <w:tcPr>
            <w:tcW w:w="510" w:type="dxa"/>
            <w:tcBorders>
              <w:top w:val="nil"/>
              <w:left w:val="single" w:sz="4" w:space="0" w:color="auto"/>
              <w:bottom w:val="nil"/>
              <w:right w:val="nil"/>
            </w:tcBorders>
            <w:shd w:val="clear" w:color="auto" w:fill="auto"/>
            <w:noWrap/>
            <w:vAlign w:val="center"/>
            <w:hideMark/>
          </w:tcPr>
          <w:p w:rsidR="003737EE" w:rsidRPr="00C258AD" w:rsidRDefault="003737EE" w:rsidP="0066137C">
            <w:pPr>
              <w:rPr>
                <w:sz w:val="16"/>
                <w:szCs w:val="16"/>
                <w:lang w:eastAsia="fr-FR"/>
              </w:rPr>
            </w:pPr>
            <w:r w:rsidRPr="00C258AD">
              <w:rPr>
                <w:sz w:val="16"/>
                <w:szCs w:val="16"/>
                <w:lang w:eastAsia="fr-FR"/>
              </w:rPr>
              <w:t>IX.2</w:t>
            </w:r>
          </w:p>
        </w:tc>
        <w:tc>
          <w:tcPr>
            <w:tcW w:w="4490" w:type="dxa"/>
            <w:tcBorders>
              <w:top w:val="nil"/>
              <w:left w:val="nil"/>
              <w:bottom w:val="nil"/>
              <w:right w:val="nil"/>
            </w:tcBorders>
            <w:shd w:val="clear" w:color="auto" w:fill="auto"/>
            <w:vAlign w:val="center"/>
            <w:hideMark/>
          </w:tcPr>
          <w:p w:rsidR="003737EE" w:rsidRPr="00C258AD" w:rsidRDefault="003737EE" w:rsidP="0066137C">
            <w:pPr>
              <w:rPr>
                <w:sz w:val="16"/>
                <w:szCs w:val="16"/>
                <w:lang w:eastAsia="fr-FR"/>
              </w:rPr>
            </w:pPr>
            <w:r w:rsidRPr="00C258AD">
              <w:rPr>
                <w:sz w:val="16"/>
                <w:szCs w:val="16"/>
                <w:lang w:eastAsia="fr-FR"/>
              </w:rPr>
              <w:t>Un Secrétariat réactif, fonctionnant harmonieusement et doté de ressources humaines bien gérées et compétentes, à même d’obtenir des résultats concrets</w:t>
            </w:r>
          </w:p>
        </w:tc>
        <w:tc>
          <w:tcPr>
            <w:tcW w:w="1360" w:type="dxa"/>
            <w:tcBorders>
              <w:top w:val="nil"/>
              <w:left w:val="nil"/>
              <w:bottom w:val="nil"/>
              <w:right w:val="nil"/>
            </w:tcBorders>
            <w:shd w:val="clear" w:color="auto" w:fill="auto"/>
            <w:vAlign w:val="center"/>
            <w:hideMark/>
          </w:tcPr>
          <w:p w:rsidR="003737EE" w:rsidRPr="00C258AD" w:rsidRDefault="003737EE" w:rsidP="0066137C">
            <w:pPr>
              <w:jc w:val="right"/>
              <w:rPr>
                <w:sz w:val="16"/>
                <w:szCs w:val="16"/>
                <w:lang w:eastAsia="fr-FR"/>
              </w:rPr>
            </w:pPr>
            <w:r w:rsidRPr="00C258AD">
              <w:rPr>
                <w:sz w:val="16"/>
                <w:szCs w:val="16"/>
                <w:lang w:eastAsia="fr-FR"/>
              </w:rPr>
              <w:t>16 372</w:t>
            </w:r>
          </w:p>
        </w:tc>
        <w:tc>
          <w:tcPr>
            <w:tcW w:w="1360" w:type="dxa"/>
            <w:tcBorders>
              <w:top w:val="nil"/>
              <w:left w:val="nil"/>
              <w:bottom w:val="nil"/>
              <w:right w:val="nil"/>
            </w:tcBorders>
            <w:shd w:val="clear" w:color="auto" w:fill="auto"/>
            <w:noWrap/>
            <w:vAlign w:val="center"/>
            <w:hideMark/>
          </w:tcPr>
          <w:p w:rsidR="003737EE" w:rsidRPr="00C258AD" w:rsidRDefault="003737EE" w:rsidP="0066137C">
            <w:pPr>
              <w:jc w:val="right"/>
              <w:rPr>
                <w:sz w:val="16"/>
                <w:szCs w:val="16"/>
                <w:lang w:eastAsia="fr-FR"/>
              </w:rPr>
            </w:pPr>
            <w:r w:rsidRPr="00C258AD">
              <w:rPr>
                <w:sz w:val="16"/>
                <w:szCs w:val="16"/>
                <w:lang w:eastAsia="fr-FR"/>
              </w:rPr>
              <w:t>12 347</w:t>
            </w:r>
          </w:p>
        </w:tc>
        <w:tc>
          <w:tcPr>
            <w:tcW w:w="1360" w:type="dxa"/>
            <w:tcBorders>
              <w:top w:val="nil"/>
              <w:left w:val="nil"/>
              <w:bottom w:val="nil"/>
              <w:right w:val="single" w:sz="4" w:space="0" w:color="auto"/>
            </w:tcBorders>
            <w:shd w:val="clear" w:color="auto" w:fill="auto"/>
            <w:vAlign w:val="center"/>
            <w:hideMark/>
          </w:tcPr>
          <w:p w:rsidR="003737EE" w:rsidRPr="00C258AD" w:rsidRDefault="003737EE" w:rsidP="0066137C">
            <w:pPr>
              <w:jc w:val="right"/>
              <w:rPr>
                <w:sz w:val="16"/>
                <w:szCs w:val="16"/>
                <w:lang w:eastAsia="fr-FR"/>
              </w:rPr>
            </w:pPr>
            <w:r w:rsidRPr="00C258AD">
              <w:rPr>
                <w:sz w:val="16"/>
                <w:szCs w:val="16"/>
                <w:lang w:eastAsia="fr-FR"/>
              </w:rPr>
              <w:t>11 757</w:t>
            </w:r>
          </w:p>
        </w:tc>
      </w:tr>
      <w:tr w:rsidR="003737EE" w:rsidRPr="00C258AD" w:rsidTr="0066137C">
        <w:trPr>
          <w:cantSplit/>
        </w:trPr>
        <w:tc>
          <w:tcPr>
            <w:tcW w:w="510" w:type="dxa"/>
            <w:tcBorders>
              <w:top w:val="nil"/>
              <w:left w:val="single" w:sz="4" w:space="0" w:color="auto"/>
              <w:bottom w:val="nil"/>
              <w:right w:val="nil"/>
            </w:tcBorders>
            <w:shd w:val="clear" w:color="auto" w:fill="auto"/>
            <w:noWrap/>
            <w:vAlign w:val="center"/>
            <w:hideMark/>
          </w:tcPr>
          <w:p w:rsidR="003737EE" w:rsidRPr="00C258AD" w:rsidRDefault="003737EE" w:rsidP="0066137C">
            <w:pPr>
              <w:rPr>
                <w:sz w:val="16"/>
                <w:szCs w:val="16"/>
                <w:lang w:eastAsia="fr-FR"/>
              </w:rPr>
            </w:pPr>
            <w:r w:rsidRPr="00C258AD">
              <w:rPr>
                <w:sz w:val="16"/>
                <w:szCs w:val="16"/>
                <w:lang w:eastAsia="fr-FR"/>
              </w:rPr>
              <w:t>IX.3</w:t>
            </w:r>
          </w:p>
        </w:tc>
        <w:tc>
          <w:tcPr>
            <w:tcW w:w="4490" w:type="dxa"/>
            <w:tcBorders>
              <w:top w:val="nil"/>
              <w:left w:val="nil"/>
              <w:bottom w:val="nil"/>
              <w:right w:val="nil"/>
            </w:tcBorders>
            <w:shd w:val="clear" w:color="auto" w:fill="auto"/>
            <w:vAlign w:val="center"/>
            <w:hideMark/>
          </w:tcPr>
          <w:p w:rsidR="003737EE" w:rsidRPr="00C258AD" w:rsidRDefault="003737EE" w:rsidP="0066137C">
            <w:pPr>
              <w:rPr>
                <w:sz w:val="16"/>
                <w:szCs w:val="16"/>
                <w:lang w:eastAsia="fr-FR"/>
              </w:rPr>
            </w:pPr>
            <w:r w:rsidRPr="00C258AD">
              <w:rPr>
                <w:sz w:val="16"/>
                <w:szCs w:val="16"/>
                <w:lang w:eastAsia="fr-FR"/>
              </w:rPr>
              <w:t>Un environnement de travail stimulant étayé par un cadre réglementaire efficace et des voies appropriées pour répondre aux préoccupations du personnel</w:t>
            </w:r>
          </w:p>
        </w:tc>
        <w:tc>
          <w:tcPr>
            <w:tcW w:w="1360" w:type="dxa"/>
            <w:tcBorders>
              <w:top w:val="nil"/>
              <w:left w:val="nil"/>
              <w:bottom w:val="nil"/>
              <w:right w:val="nil"/>
            </w:tcBorders>
            <w:shd w:val="clear" w:color="auto" w:fill="auto"/>
            <w:vAlign w:val="center"/>
            <w:hideMark/>
          </w:tcPr>
          <w:p w:rsidR="003737EE" w:rsidRPr="00C258AD" w:rsidRDefault="003737EE" w:rsidP="0066137C">
            <w:pPr>
              <w:jc w:val="right"/>
              <w:rPr>
                <w:sz w:val="16"/>
                <w:szCs w:val="16"/>
                <w:lang w:eastAsia="fr-FR"/>
              </w:rPr>
            </w:pPr>
            <w:r w:rsidRPr="00C258AD">
              <w:rPr>
                <w:sz w:val="16"/>
                <w:szCs w:val="16"/>
                <w:lang w:eastAsia="fr-FR"/>
              </w:rPr>
              <w:t>1 923</w:t>
            </w:r>
          </w:p>
        </w:tc>
        <w:tc>
          <w:tcPr>
            <w:tcW w:w="1360" w:type="dxa"/>
            <w:tcBorders>
              <w:top w:val="nil"/>
              <w:left w:val="nil"/>
              <w:bottom w:val="nil"/>
              <w:right w:val="nil"/>
            </w:tcBorders>
            <w:shd w:val="clear" w:color="auto" w:fill="auto"/>
            <w:noWrap/>
            <w:vAlign w:val="center"/>
            <w:hideMark/>
          </w:tcPr>
          <w:p w:rsidR="003737EE" w:rsidRPr="00C258AD" w:rsidRDefault="003737EE" w:rsidP="0066137C">
            <w:pPr>
              <w:jc w:val="right"/>
              <w:rPr>
                <w:sz w:val="16"/>
                <w:szCs w:val="16"/>
                <w:lang w:eastAsia="fr-FR"/>
              </w:rPr>
            </w:pPr>
            <w:r w:rsidRPr="00C258AD">
              <w:rPr>
                <w:sz w:val="16"/>
                <w:szCs w:val="16"/>
                <w:lang w:eastAsia="fr-FR"/>
              </w:rPr>
              <w:t>1 238</w:t>
            </w:r>
          </w:p>
        </w:tc>
        <w:tc>
          <w:tcPr>
            <w:tcW w:w="1360" w:type="dxa"/>
            <w:tcBorders>
              <w:top w:val="nil"/>
              <w:left w:val="nil"/>
              <w:bottom w:val="nil"/>
              <w:right w:val="single" w:sz="4" w:space="0" w:color="auto"/>
            </w:tcBorders>
            <w:shd w:val="clear" w:color="auto" w:fill="auto"/>
            <w:vAlign w:val="center"/>
            <w:hideMark/>
          </w:tcPr>
          <w:p w:rsidR="003737EE" w:rsidRPr="00C258AD" w:rsidRDefault="003737EE" w:rsidP="0066137C">
            <w:pPr>
              <w:jc w:val="right"/>
              <w:rPr>
                <w:sz w:val="16"/>
                <w:szCs w:val="16"/>
                <w:lang w:eastAsia="fr-FR"/>
              </w:rPr>
            </w:pPr>
            <w:r w:rsidRPr="00C258AD">
              <w:rPr>
                <w:sz w:val="16"/>
                <w:szCs w:val="16"/>
                <w:lang w:eastAsia="fr-FR"/>
              </w:rPr>
              <w:t>1 165</w:t>
            </w:r>
          </w:p>
        </w:tc>
      </w:tr>
      <w:tr w:rsidR="003737EE" w:rsidRPr="00C258AD" w:rsidTr="0066137C">
        <w:trPr>
          <w:cantSplit/>
        </w:trPr>
        <w:tc>
          <w:tcPr>
            <w:tcW w:w="510" w:type="dxa"/>
            <w:tcBorders>
              <w:top w:val="nil"/>
              <w:left w:val="single" w:sz="4" w:space="0" w:color="auto"/>
              <w:bottom w:val="nil"/>
              <w:right w:val="nil"/>
            </w:tcBorders>
            <w:shd w:val="clear" w:color="auto" w:fill="auto"/>
            <w:noWrap/>
            <w:vAlign w:val="center"/>
            <w:hideMark/>
          </w:tcPr>
          <w:p w:rsidR="003737EE" w:rsidRPr="00C258AD" w:rsidRDefault="003737EE" w:rsidP="0066137C">
            <w:pPr>
              <w:rPr>
                <w:sz w:val="16"/>
                <w:szCs w:val="16"/>
                <w:lang w:eastAsia="fr-FR"/>
              </w:rPr>
            </w:pPr>
            <w:r w:rsidRPr="00C258AD">
              <w:rPr>
                <w:sz w:val="16"/>
                <w:szCs w:val="16"/>
                <w:lang w:eastAsia="fr-FR"/>
              </w:rPr>
              <w:t>IX.8</w:t>
            </w:r>
          </w:p>
        </w:tc>
        <w:tc>
          <w:tcPr>
            <w:tcW w:w="4490" w:type="dxa"/>
            <w:tcBorders>
              <w:top w:val="nil"/>
              <w:left w:val="nil"/>
              <w:bottom w:val="nil"/>
              <w:right w:val="nil"/>
            </w:tcBorders>
            <w:shd w:val="clear" w:color="auto" w:fill="auto"/>
            <w:vAlign w:val="center"/>
            <w:hideMark/>
          </w:tcPr>
          <w:p w:rsidR="003737EE" w:rsidRPr="00C258AD" w:rsidRDefault="003737EE" w:rsidP="0066137C">
            <w:pPr>
              <w:rPr>
                <w:sz w:val="16"/>
                <w:szCs w:val="16"/>
                <w:lang w:eastAsia="fr-FR"/>
              </w:rPr>
            </w:pPr>
            <w:r w:rsidRPr="00C258AD">
              <w:rPr>
                <w:sz w:val="16"/>
                <w:szCs w:val="16"/>
                <w:lang w:eastAsia="fr-FR"/>
              </w:rPr>
              <w:t>Renforcement de l’obligation redditionnelle, de l’apprentissage institutionnel, de l’optimisation des ressources financières, de l’administration, du contrôle interne et de la gestion institutionnelle avec le concours d’une supervision indépendante efficace</w:t>
            </w:r>
          </w:p>
        </w:tc>
        <w:tc>
          <w:tcPr>
            <w:tcW w:w="1360" w:type="dxa"/>
            <w:tcBorders>
              <w:top w:val="nil"/>
              <w:left w:val="nil"/>
              <w:bottom w:val="nil"/>
              <w:right w:val="nil"/>
            </w:tcBorders>
            <w:shd w:val="clear" w:color="auto" w:fill="auto"/>
            <w:vAlign w:val="center"/>
            <w:hideMark/>
          </w:tcPr>
          <w:p w:rsidR="003737EE" w:rsidRPr="00C258AD" w:rsidRDefault="003737EE" w:rsidP="0066137C">
            <w:pPr>
              <w:jc w:val="right"/>
              <w:rPr>
                <w:sz w:val="16"/>
                <w:szCs w:val="16"/>
                <w:lang w:eastAsia="fr-FR"/>
              </w:rPr>
            </w:pPr>
            <w:r w:rsidRPr="00C258AD">
              <w:rPr>
                <w:sz w:val="16"/>
                <w:szCs w:val="16"/>
                <w:lang w:eastAsia="fr-FR"/>
              </w:rPr>
              <w:t>1 524</w:t>
            </w:r>
          </w:p>
        </w:tc>
        <w:tc>
          <w:tcPr>
            <w:tcW w:w="1360" w:type="dxa"/>
            <w:tcBorders>
              <w:top w:val="nil"/>
              <w:left w:val="nil"/>
              <w:bottom w:val="nil"/>
              <w:right w:val="nil"/>
            </w:tcBorders>
            <w:shd w:val="clear" w:color="auto" w:fill="auto"/>
            <w:noWrap/>
            <w:vAlign w:val="center"/>
            <w:hideMark/>
          </w:tcPr>
          <w:p w:rsidR="003737EE" w:rsidRPr="00C258AD" w:rsidRDefault="003737EE" w:rsidP="0066137C">
            <w:pPr>
              <w:jc w:val="right"/>
              <w:rPr>
                <w:sz w:val="16"/>
                <w:szCs w:val="16"/>
                <w:lang w:eastAsia="fr-FR"/>
              </w:rPr>
            </w:pPr>
            <w:r w:rsidRPr="00C258AD">
              <w:rPr>
                <w:sz w:val="16"/>
                <w:szCs w:val="16"/>
                <w:lang w:eastAsia="fr-FR"/>
              </w:rPr>
              <w:t>2 622</w:t>
            </w:r>
          </w:p>
        </w:tc>
        <w:tc>
          <w:tcPr>
            <w:tcW w:w="1360" w:type="dxa"/>
            <w:tcBorders>
              <w:top w:val="nil"/>
              <w:left w:val="nil"/>
              <w:bottom w:val="nil"/>
              <w:right w:val="single" w:sz="4" w:space="0" w:color="auto"/>
            </w:tcBorders>
            <w:shd w:val="clear" w:color="auto" w:fill="auto"/>
            <w:vAlign w:val="center"/>
            <w:hideMark/>
          </w:tcPr>
          <w:p w:rsidR="003737EE" w:rsidRPr="00C258AD" w:rsidRDefault="003737EE" w:rsidP="0066137C">
            <w:pPr>
              <w:jc w:val="right"/>
              <w:rPr>
                <w:sz w:val="16"/>
                <w:szCs w:val="16"/>
                <w:lang w:eastAsia="fr-FR"/>
              </w:rPr>
            </w:pPr>
            <w:r w:rsidRPr="00C258AD">
              <w:rPr>
                <w:sz w:val="16"/>
                <w:szCs w:val="16"/>
                <w:lang w:eastAsia="fr-FR"/>
              </w:rPr>
              <w:t>2 542</w:t>
            </w:r>
          </w:p>
        </w:tc>
      </w:tr>
      <w:tr w:rsidR="003737EE" w:rsidRPr="00C258AD" w:rsidTr="0066137C">
        <w:trPr>
          <w:cantSplit/>
        </w:trPr>
        <w:tc>
          <w:tcPr>
            <w:tcW w:w="510" w:type="dxa"/>
            <w:tcBorders>
              <w:top w:val="single" w:sz="4" w:space="0" w:color="auto"/>
              <w:left w:val="single" w:sz="4" w:space="0" w:color="auto"/>
              <w:bottom w:val="single" w:sz="4" w:space="0" w:color="auto"/>
              <w:right w:val="nil"/>
            </w:tcBorders>
            <w:shd w:val="clear" w:color="auto" w:fill="C5D9F1"/>
            <w:noWrap/>
            <w:vAlign w:val="bottom"/>
            <w:hideMark/>
          </w:tcPr>
          <w:p w:rsidR="003737EE" w:rsidRPr="00C258AD" w:rsidRDefault="003737EE" w:rsidP="0066137C">
            <w:pPr>
              <w:rPr>
                <w:sz w:val="16"/>
                <w:szCs w:val="16"/>
                <w:lang w:eastAsia="fr-FR"/>
              </w:rPr>
            </w:pPr>
            <w:r w:rsidRPr="00C258AD">
              <w:rPr>
                <w:sz w:val="16"/>
                <w:szCs w:val="16"/>
                <w:lang w:eastAsia="fr-FR"/>
              </w:rPr>
              <w:t> </w:t>
            </w:r>
          </w:p>
        </w:tc>
        <w:tc>
          <w:tcPr>
            <w:tcW w:w="4490" w:type="dxa"/>
            <w:tcBorders>
              <w:top w:val="single" w:sz="4" w:space="0" w:color="auto"/>
              <w:left w:val="nil"/>
              <w:bottom w:val="single" w:sz="4" w:space="0" w:color="auto"/>
              <w:right w:val="single" w:sz="4" w:space="0" w:color="auto"/>
            </w:tcBorders>
            <w:shd w:val="clear" w:color="auto" w:fill="C5D9F1"/>
            <w:noWrap/>
            <w:vAlign w:val="bottom"/>
            <w:hideMark/>
          </w:tcPr>
          <w:p w:rsidR="003737EE" w:rsidRPr="00C258AD" w:rsidRDefault="003737EE" w:rsidP="0066137C">
            <w:pPr>
              <w:rPr>
                <w:b/>
                <w:bCs/>
                <w:sz w:val="16"/>
                <w:szCs w:val="16"/>
                <w:lang w:eastAsia="fr-FR"/>
              </w:rPr>
            </w:pPr>
            <w:r w:rsidRPr="00C258AD">
              <w:rPr>
                <w:b/>
                <w:bCs/>
                <w:sz w:val="16"/>
                <w:szCs w:val="16"/>
                <w:lang w:eastAsia="fr-FR"/>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3737EE" w:rsidRPr="00C258AD" w:rsidRDefault="003737EE" w:rsidP="0066137C">
            <w:pPr>
              <w:jc w:val="right"/>
              <w:rPr>
                <w:b/>
                <w:bCs/>
                <w:sz w:val="16"/>
                <w:szCs w:val="16"/>
                <w:lang w:eastAsia="fr-FR"/>
              </w:rPr>
            </w:pPr>
            <w:r w:rsidRPr="00C258AD">
              <w:rPr>
                <w:b/>
                <w:bCs/>
                <w:sz w:val="16"/>
                <w:szCs w:val="16"/>
                <w:lang w:eastAsia="fr-FR"/>
              </w:rPr>
              <w:t>28 032</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3737EE" w:rsidRPr="00C258AD" w:rsidRDefault="003737EE" w:rsidP="0066137C">
            <w:pPr>
              <w:jc w:val="right"/>
              <w:rPr>
                <w:b/>
                <w:bCs/>
                <w:sz w:val="16"/>
                <w:szCs w:val="16"/>
                <w:lang w:eastAsia="fr-FR"/>
              </w:rPr>
            </w:pPr>
            <w:r w:rsidRPr="00C258AD">
              <w:rPr>
                <w:b/>
                <w:bCs/>
                <w:sz w:val="16"/>
                <w:szCs w:val="16"/>
                <w:lang w:eastAsia="fr-FR"/>
              </w:rPr>
              <w:t>28 162</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3737EE" w:rsidRPr="00C258AD" w:rsidRDefault="003737EE" w:rsidP="0066137C">
            <w:pPr>
              <w:jc w:val="right"/>
              <w:rPr>
                <w:b/>
                <w:bCs/>
                <w:sz w:val="16"/>
                <w:szCs w:val="16"/>
                <w:lang w:eastAsia="fr-FR"/>
              </w:rPr>
            </w:pPr>
            <w:r w:rsidRPr="00C258AD">
              <w:rPr>
                <w:b/>
                <w:bCs/>
                <w:sz w:val="16"/>
                <w:szCs w:val="16"/>
                <w:lang w:eastAsia="fr-FR"/>
              </w:rPr>
              <w:t>27 397</w:t>
            </w:r>
          </w:p>
        </w:tc>
      </w:tr>
    </w:tbl>
    <w:p w:rsidR="006E2BB1" w:rsidRPr="00C258AD" w:rsidRDefault="006E2BB1" w:rsidP="0066137C"/>
    <w:p w:rsidR="006E2BB1" w:rsidRPr="00C258AD" w:rsidRDefault="006E2BB1" w:rsidP="0066137C"/>
    <w:p w:rsidR="006E2BB1" w:rsidRPr="00C258AD" w:rsidRDefault="003737EE" w:rsidP="0066137C">
      <w:pPr>
        <w:pStyle w:val="NormalWeb"/>
        <w:keepNext/>
        <w:keepLines/>
        <w:spacing w:before="0" w:beforeAutospacing="0" w:after="0" w:afterAutospacing="0"/>
        <w:jc w:val="center"/>
        <w:rPr>
          <w:sz w:val="20"/>
          <w:szCs w:val="20"/>
        </w:rPr>
      </w:pPr>
      <w:r w:rsidRPr="00C258AD">
        <w:rPr>
          <w:sz w:val="20"/>
          <w:szCs w:val="20"/>
        </w:rPr>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3737EE" w:rsidP="0066137C">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3737EE" w:rsidRPr="00C258AD" w:rsidRDefault="003737EE" w:rsidP="0066137C">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3737EE" w:rsidRPr="00C258AD" w:rsidTr="0066137C">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3737EE" w:rsidRPr="00C258AD" w:rsidRDefault="003737EE" w:rsidP="0066137C">
            <w:pPr>
              <w:rPr>
                <w:color w:val="000000"/>
                <w:sz w:val="16"/>
                <w:szCs w:val="18"/>
                <w:lang w:eastAsia="fr-FR"/>
              </w:rPr>
            </w:pPr>
            <w:r w:rsidRPr="00C258AD">
              <w:rPr>
                <w:color w:val="000000"/>
                <w:sz w:val="16"/>
                <w:szCs w:val="18"/>
                <w:lang w:eastAsia="fr-FR"/>
              </w:rPr>
              <w:t> </w:t>
            </w:r>
          </w:p>
        </w:tc>
        <w:tc>
          <w:tcPr>
            <w:tcW w:w="1745" w:type="dxa"/>
            <w:tcBorders>
              <w:top w:val="single" w:sz="4" w:space="0" w:color="auto"/>
              <w:left w:val="nil"/>
              <w:bottom w:val="nil"/>
              <w:right w:val="single" w:sz="4" w:space="0" w:color="auto"/>
            </w:tcBorders>
            <w:shd w:val="clear" w:color="auto" w:fill="C5D9F1"/>
            <w:vAlign w:val="center"/>
            <w:hideMark/>
          </w:tcPr>
          <w:p w:rsidR="003737EE" w:rsidRPr="00C258AD" w:rsidRDefault="003737EE" w:rsidP="0066137C">
            <w:pPr>
              <w:jc w:val="center"/>
              <w:rPr>
                <w:b/>
                <w:bCs/>
                <w:color w:val="000000"/>
                <w:sz w:val="16"/>
                <w:szCs w:val="18"/>
                <w:lang w:eastAsia="fr-FR"/>
              </w:rPr>
            </w:pPr>
            <w:r w:rsidRPr="00C258AD">
              <w:rPr>
                <w:b/>
                <w:bCs/>
                <w:color w:val="000000"/>
                <w:sz w:val="16"/>
                <w:szCs w:val="18"/>
                <w:lang w:eastAsia="fr-FR"/>
              </w:rPr>
              <w:t>Budget 2014</w:t>
            </w:r>
            <w:r w:rsidRPr="00C258AD">
              <w:rPr>
                <w:b/>
                <w:bCs/>
                <w:color w:val="000000"/>
                <w:sz w:val="16"/>
                <w:szCs w:val="18"/>
                <w:lang w:eastAsia="fr-FR"/>
              </w:rPr>
              <w:noBreakHyphen/>
              <w:t>2015 approuvé</w:t>
            </w:r>
          </w:p>
        </w:tc>
        <w:tc>
          <w:tcPr>
            <w:tcW w:w="1746" w:type="dxa"/>
            <w:tcBorders>
              <w:top w:val="single" w:sz="4" w:space="0" w:color="auto"/>
              <w:left w:val="nil"/>
              <w:bottom w:val="nil"/>
              <w:right w:val="single" w:sz="4" w:space="0" w:color="auto"/>
            </w:tcBorders>
            <w:shd w:val="clear" w:color="auto" w:fill="C5D9F1"/>
            <w:vAlign w:val="center"/>
            <w:hideMark/>
          </w:tcPr>
          <w:p w:rsidR="003737EE" w:rsidRPr="00C258AD" w:rsidRDefault="003737EE" w:rsidP="0066137C">
            <w:pPr>
              <w:jc w:val="center"/>
              <w:rPr>
                <w:b/>
                <w:bCs/>
                <w:color w:val="000000"/>
                <w:sz w:val="16"/>
                <w:szCs w:val="18"/>
                <w:lang w:eastAsia="fr-FR"/>
              </w:rPr>
            </w:pPr>
            <w:r w:rsidRPr="00C258AD">
              <w:rPr>
                <w:b/>
                <w:bCs/>
                <w:color w:val="000000"/>
                <w:sz w:val="16"/>
                <w:szCs w:val="18"/>
                <w:lang w:eastAsia="fr-FR"/>
              </w:rPr>
              <w:t>Budget final 2014</w:t>
            </w:r>
            <w:r w:rsidRPr="00C258AD">
              <w:rPr>
                <w:b/>
                <w:bCs/>
                <w:color w:val="000000"/>
                <w:sz w:val="16"/>
                <w:szCs w:val="18"/>
                <w:lang w:eastAsia="fr-FR"/>
              </w:rPr>
              <w:noBreakHyphen/>
              <w:t>2015</w:t>
            </w:r>
            <w:r w:rsidRPr="00C258AD">
              <w:rPr>
                <w:b/>
                <w:bCs/>
                <w:color w:val="000000"/>
                <w:sz w:val="16"/>
                <w:szCs w:val="18"/>
                <w:lang w:eastAsia="fr-FR"/>
              </w:rPr>
              <w:br/>
              <w:t>après virements</w:t>
            </w:r>
          </w:p>
        </w:tc>
        <w:tc>
          <w:tcPr>
            <w:tcW w:w="1745" w:type="dxa"/>
            <w:tcBorders>
              <w:top w:val="single" w:sz="4" w:space="0" w:color="auto"/>
              <w:left w:val="nil"/>
              <w:bottom w:val="nil"/>
              <w:right w:val="single" w:sz="4" w:space="0" w:color="auto"/>
            </w:tcBorders>
            <w:shd w:val="clear" w:color="auto" w:fill="C5D9F1"/>
            <w:vAlign w:val="center"/>
            <w:hideMark/>
          </w:tcPr>
          <w:p w:rsidR="003737EE" w:rsidRPr="00C258AD" w:rsidRDefault="003737EE" w:rsidP="0066137C">
            <w:pPr>
              <w:jc w:val="center"/>
              <w:rPr>
                <w:b/>
                <w:bCs/>
                <w:color w:val="000000"/>
                <w:sz w:val="16"/>
                <w:szCs w:val="18"/>
                <w:lang w:eastAsia="fr-FR"/>
              </w:rPr>
            </w:pPr>
            <w:r w:rsidRPr="00C258AD">
              <w:rPr>
                <w:b/>
                <w:bCs/>
                <w:color w:val="000000"/>
                <w:sz w:val="16"/>
                <w:szCs w:val="18"/>
                <w:lang w:eastAsia="fr-FR"/>
              </w:rPr>
              <w:t xml:space="preserve">Dépenses </w:t>
            </w:r>
            <w:r w:rsidRPr="00C258AD">
              <w:rPr>
                <w:b/>
                <w:bCs/>
                <w:color w:val="000000"/>
                <w:sz w:val="16"/>
                <w:szCs w:val="18"/>
                <w:lang w:eastAsia="fr-FR"/>
              </w:rPr>
              <w:br/>
              <w:t>2014</w:t>
            </w:r>
            <w:r w:rsidRPr="00C258AD">
              <w:rPr>
                <w:b/>
                <w:bCs/>
                <w:color w:val="000000"/>
                <w:sz w:val="16"/>
                <w:szCs w:val="18"/>
                <w:lang w:eastAsia="fr-FR"/>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3737EE" w:rsidRPr="00C258AD" w:rsidRDefault="003737EE" w:rsidP="0066137C">
            <w:pPr>
              <w:jc w:val="center"/>
              <w:rPr>
                <w:b/>
                <w:bCs/>
                <w:color w:val="000000"/>
                <w:sz w:val="16"/>
                <w:szCs w:val="18"/>
                <w:lang w:eastAsia="fr-FR"/>
              </w:rPr>
            </w:pPr>
            <w:r w:rsidRPr="00C258AD">
              <w:rPr>
                <w:b/>
                <w:bCs/>
                <w:color w:val="000000"/>
                <w:sz w:val="16"/>
                <w:szCs w:val="18"/>
                <w:lang w:eastAsia="fr-FR"/>
              </w:rPr>
              <w:t>Taux d’utilisation (%)</w:t>
            </w:r>
          </w:p>
        </w:tc>
      </w:tr>
      <w:tr w:rsidR="003737EE" w:rsidRPr="00C258AD" w:rsidTr="0066137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3737EE" w:rsidRPr="00C258AD" w:rsidRDefault="003737EE" w:rsidP="0066137C">
            <w:pPr>
              <w:rPr>
                <w:color w:val="000000"/>
                <w:sz w:val="16"/>
                <w:szCs w:val="18"/>
                <w:lang w:eastAsia="fr-FR"/>
              </w:rPr>
            </w:pPr>
            <w:r w:rsidRPr="00C258AD">
              <w:rPr>
                <w:color w:val="000000"/>
                <w:sz w:val="16"/>
                <w:szCs w:val="18"/>
                <w:lang w:eastAsia="fr-FR"/>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3737EE" w:rsidRPr="00C258AD" w:rsidRDefault="003737EE" w:rsidP="0066137C">
            <w:pPr>
              <w:jc w:val="center"/>
              <w:rPr>
                <w:color w:val="000000"/>
                <w:sz w:val="16"/>
                <w:szCs w:val="18"/>
                <w:lang w:eastAsia="fr-FR"/>
              </w:rPr>
            </w:pPr>
            <w:r w:rsidRPr="00C258AD">
              <w:rPr>
                <w:color w:val="000000"/>
                <w:sz w:val="16"/>
                <w:szCs w:val="18"/>
                <w:lang w:eastAsia="fr-FR"/>
              </w:rPr>
              <w:t>22 572</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3737EE" w:rsidRPr="00C258AD" w:rsidRDefault="003737EE" w:rsidP="0066137C">
            <w:pPr>
              <w:jc w:val="center"/>
              <w:rPr>
                <w:color w:val="000000"/>
                <w:sz w:val="16"/>
                <w:szCs w:val="18"/>
                <w:lang w:eastAsia="fr-FR"/>
              </w:rPr>
            </w:pPr>
            <w:r w:rsidRPr="00C258AD">
              <w:rPr>
                <w:color w:val="000000"/>
                <w:sz w:val="16"/>
                <w:szCs w:val="18"/>
                <w:lang w:eastAsia="fr-FR"/>
              </w:rPr>
              <w:t>22 697</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3737EE" w:rsidRPr="00C258AD" w:rsidRDefault="003737EE" w:rsidP="0066137C">
            <w:pPr>
              <w:jc w:val="center"/>
              <w:rPr>
                <w:color w:val="000000"/>
                <w:sz w:val="16"/>
                <w:szCs w:val="18"/>
                <w:lang w:eastAsia="fr-FR"/>
              </w:rPr>
            </w:pPr>
            <w:r w:rsidRPr="00C258AD">
              <w:rPr>
                <w:color w:val="000000"/>
                <w:sz w:val="16"/>
                <w:szCs w:val="18"/>
                <w:lang w:eastAsia="fr-FR"/>
              </w:rPr>
              <w:t>22 268</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3737EE" w:rsidRPr="00C258AD" w:rsidRDefault="003737EE" w:rsidP="0066137C">
            <w:pPr>
              <w:jc w:val="center"/>
              <w:rPr>
                <w:color w:val="000000"/>
                <w:sz w:val="16"/>
                <w:szCs w:val="18"/>
                <w:lang w:eastAsia="fr-FR"/>
              </w:rPr>
            </w:pPr>
            <w:r w:rsidRPr="00C258AD">
              <w:rPr>
                <w:color w:val="000000"/>
                <w:sz w:val="16"/>
                <w:szCs w:val="18"/>
                <w:lang w:eastAsia="fr-FR"/>
              </w:rPr>
              <w:t>98%</w:t>
            </w:r>
          </w:p>
        </w:tc>
      </w:tr>
      <w:tr w:rsidR="003737EE" w:rsidRPr="00C258AD" w:rsidTr="0066137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3737EE" w:rsidRPr="00C258AD" w:rsidRDefault="003737EE" w:rsidP="0066137C">
            <w:pPr>
              <w:rPr>
                <w:color w:val="000000"/>
                <w:sz w:val="16"/>
                <w:szCs w:val="18"/>
                <w:lang w:eastAsia="fr-FR"/>
              </w:rPr>
            </w:pPr>
            <w:r w:rsidRPr="00C258AD">
              <w:rPr>
                <w:color w:val="000000"/>
                <w:sz w:val="16"/>
                <w:szCs w:val="18"/>
                <w:lang w:eastAsia="fr-FR"/>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3737EE" w:rsidRPr="00C258AD" w:rsidRDefault="003737EE" w:rsidP="0066137C">
            <w:pPr>
              <w:jc w:val="center"/>
              <w:rPr>
                <w:color w:val="000000"/>
                <w:sz w:val="16"/>
                <w:szCs w:val="18"/>
                <w:lang w:eastAsia="fr-FR"/>
              </w:rPr>
            </w:pPr>
            <w:r w:rsidRPr="00C258AD">
              <w:rPr>
                <w:color w:val="000000"/>
                <w:sz w:val="16"/>
                <w:szCs w:val="18"/>
                <w:lang w:eastAsia="fr-FR"/>
              </w:rPr>
              <w:t>5 460</w:t>
            </w:r>
          </w:p>
        </w:tc>
        <w:tc>
          <w:tcPr>
            <w:tcW w:w="1746" w:type="dxa"/>
            <w:tcBorders>
              <w:top w:val="nil"/>
              <w:left w:val="nil"/>
              <w:bottom w:val="single" w:sz="4" w:space="0" w:color="auto"/>
              <w:right w:val="single" w:sz="4" w:space="0" w:color="auto"/>
            </w:tcBorders>
            <w:shd w:val="clear" w:color="auto" w:fill="auto"/>
            <w:vAlign w:val="center"/>
            <w:hideMark/>
          </w:tcPr>
          <w:p w:rsidR="003737EE" w:rsidRPr="00C258AD" w:rsidRDefault="003737EE" w:rsidP="0066137C">
            <w:pPr>
              <w:jc w:val="center"/>
              <w:rPr>
                <w:color w:val="000000"/>
                <w:sz w:val="16"/>
                <w:szCs w:val="18"/>
                <w:lang w:eastAsia="fr-FR"/>
              </w:rPr>
            </w:pPr>
            <w:r w:rsidRPr="00C258AD">
              <w:rPr>
                <w:color w:val="000000"/>
                <w:sz w:val="16"/>
                <w:szCs w:val="18"/>
                <w:lang w:eastAsia="fr-FR"/>
              </w:rPr>
              <w:t>5 465</w:t>
            </w:r>
          </w:p>
        </w:tc>
        <w:tc>
          <w:tcPr>
            <w:tcW w:w="1745" w:type="dxa"/>
            <w:tcBorders>
              <w:top w:val="nil"/>
              <w:left w:val="nil"/>
              <w:bottom w:val="single" w:sz="4" w:space="0" w:color="auto"/>
              <w:right w:val="single" w:sz="4" w:space="0" w:color="auto"/>
            </w:tcBorders>
            <w:shd w:val="clear" w:color="auto" w:fill="auto"/>
            <w:vAlign w:val="center"/>
            <w:hideMark/>
          </w:tcPr>
          <w:p w:rsidR="003737EE" w:rsidRPr="00C258AD" w:rsidRDefault="003737EE" w:rsidP="0066137C">
            <w:pPr>
              <w:jc w:val="center"/>
              <w:rPr>
                <w:color w:val="000000"/>
                <w:sz w:val="16"/>
                <w:szCs w:val="18"/>
                <w:lang w:eastAsia="fr-FR"/>
              </w:rPr>
            </w:pPr>
            <w:r w:rsidRPr="00C258AD">
              <w:rPr>
                <w:color w:val="000000"/>
                <w:sz w:val="16"/>
                <w:szCs w:val="18"/>
                <w:lang w:eastAsia="fr-FR"/>
              </w:rPr>
              <w:t>5 129</w:t>
            </w:r>
          </w:p>
        </w:tc>
        <w:tc>
          <w:tcPr>
            <w:tcW w:w="1746" w:type="dxa"/>
            <w:tcBorders>
              <w:top w:val="nil"/>
              <w:left w:val="nil"/>
              <w:bottom w:val="single" w:sz="4" w:space="0" w:color="auto"/>
              <w:right w:val="single" w:sz="4" w:space="0" w:color="auto"/>
            </w:tcBorders>
            <w:shd w:val="clear" w:color="auto" w:fill="auto"/>
            <w:vAlign w:val="center"/>
            <w:hideMark/>
          </w:tcPr>
          <w:p w:rsidR="003737EE" w:rsidRPr="00C258AD" w:rsidRDefault="003737EE" w:rsidP="0066137C">
            <w:pPr>
              <w:jc w:val="center"/>
              <w:rPr>
                <w:color w:val="000000"/>
                <w:sz w:val="16"/>
                <w:szCs w:val="18"/>
                <w:lang w:eastAsia="fr-FR"/>
              </w:rPr>
            </w:pPr>
            <w:r w:rsidRPr="00C258AD">
              <w:rPr>
                <w:color w:val="000000"/>
                <w:sz w:val="16"/>
                <w:szCs w:val="18"/>
                <w:lang w:eastAsia="fr-FR"/>
              </w:rPr>
              <w:t>94%</w:t>
            </w:r>
          </w:p>
        </w:tc>
      </w:tr>
      <w:tr w:rsidR="003737EE" w:rsidRPr="00C258AD" w:rsidTr="0066137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3737EE" w:rsidRPr="00C258AD" w:rsidRDefault="003737EE" w:rsidP="0066137C">
            <w:pPr>
              <w:jc w:val="right"/>
              <w:rPr>
                <w:b/>
                <w:bCs/>
                <w:color w:val="000000"/>
                <w:sz w:val="16"/>
                <w:szCs w:val="18"/>
                <w:lang w:eastAsia="fr-FR"/>
              </w:rPr>
            </w:pPr>
            <w:r w:rsidRPr="00C258AD">
              <w:rPr>
                <w:b/>
                <w:bCs/>
                <w:color w:val="000000"/>
                <w:sz w:val="16"/>
                <w:szCs w:val="18"/>
                <w:lang w:eastAsia="fr-FR"/>
              </w:rPr>
              <w:t>TOTAL</w:t>
            </w:r>
          </w:p>
        </w:tc>
        <w:tc>
          <w:tcPr>
            <w:tcW w:w="1745" w:type="dxa"/>
            <w:tcBorders>
              <w:top w:val="nil"/>
              <w:left w:val="nil"/>
              <w:bottom w:val="single" w:sz="4" w:space="0" w:color="auto"/>
              <w:right w:val="single" w:sz="4" w:space="0" w:color="auto"/>
            </w:tcBorders>
            <w:shd w:val="clear" w:color="auto" w:fill="auto"/>
            <w:vAlign w:val="center"/>
            <w:hideMark/>
          </w:tcPr>
          <w:p w:rsidR="003737EE" w:rsidRPr="00C258AD" w:rsidRDefault="003737EE" w:rsidP="0066137C">
            <w:pPr>
              <w:jc w:val="center"/>
              <w:rPr>
                <w:b/>
                <w:bCs/>
                <w:color w:val="000000"/>
                <w:sz w:val="16"/>
                <w:szCs w:val="18"/>
                <w:lang w:eastAsia="fr-FR"/>
              </w:rPr>
            </w:pPr>
            <w:r w:rsidRPr="00C258AD">
              <w:rPr>
                <w:b/>
                <w:bCs/>
                <w:color w:val="000000"/>
                <w:sz w:val="16"/>
                <w:szCs w:val="18"/>
                <w:lang w:eastAsia="fr-FR"/>
              </w:rPr>
              <w:t>28 032</w:t>
            </w:r>
          </w:p>
        </w:tc>
        <w:tc>
          <w:tcPr>
            <w:tcW w:w="1746" w:type="dxa"/>
            <w:tcBorders>
              <w:top w:val="nil"/>
              <w:left w:val="nil"/>
              <w:bottom w:val="single" w:sz="4" w:space="0" w:color="auto"/>
              <w:right w:val="single" w:sz="4" w:space="0" w:color="auto"/>
            </w:tcBorders>
            <w:shd w:val="clear" w:color="auto" w:fill="auto"/>
            <w:vAlign w:val="center"/>
            <w:hideMark/>
          </w:tcPr>
          <w:p w:rsidR="003737EE" w:rsidRPr="00C258AD" w:rsidRDefault="003737EE" w:rsidP="0066137C">
            <w:pPr>
              <w:jc w:val="center"/>
              <w:rPr>
                <w:b/>
                <w:bCs/>
                <w:color w:val="000000"/>
                <w:sz w:val="16"/>
                <w:szCs w:val="18"/>
                <w:lang w:eastAsia="fr-FR"/>
              </w:rPr>
            </w:pPr>
            <w:r w:rsidRPr="00C258AD">
              <w:rPr>
                <w:b/>
                <w:bCs/>
                <w:color w:val="000000"/>
                <w:sz w:val="16"/>
                <w:szCs w:val="18"/>
                <w:lang w:eastAsia="fr-FR"/>
              </w:rPr>
              <w:t>28 162</w:t>
            </w:r>
          </w:p>
        </w:tc>
        <w:tc>
          <w:tcPr>
            <w:tcW w:w="1745" w:type="dxa"/>
            <w:tcBorders>
              <w:top w:val="nil"/>
              <w:left w:val="nil"/>
              <w:bottom w:val="single" w:sz="4" w:space="0" w:color="auto"/>
              <w:right w:val="single" w:sz="4" w:space="0" w:color="auto"/>
            </w:tcBorders>
            <w:shd w:val="clear" w:color="auto" w:fill="auto"/>
            <w:vAlign w:val="center"/>
            <w:hideMark/>
          </w:tcPr>
          <w:p w:rsidR="003737EE" w:rsidRPr="00C258AD" w:rsidRDefault="003737EE" w:rsidP="0066137C">
            <w:pPr>
              <w:jc w:val="center"/>
              <w:rPr>
                <w:b/>
                <w:bCs/>
                <w:color w:val="000000"/>
                <w:sz w:val="16"/>
                <w:szCs w:val="18"/>
                <w:lang w:eastAsia="fr-FR"/>
              </w:rPr>
            </w:pPr>
            <w:r w:rsidRPr="00C258AD">
              <w:rPr>
                <w:b/>
                <w:bCs/>
                <w:color w:val="000000"/>
                <w:sz w:val="16"/>
                <w:szCs w:val="18"/>
                <w:lang w:eastAsia="fr-FR"/>
              </w:rPr>
              <w:t>27 397</w:t>
            </w:r>
          </w:p>
        </w:tc>
        <w:tc>
          <w:tcPr>
            <w:tcW w:w="1746" w:type="dxa"/>
            <w:tcBorders>
              <w:top w:val="nil"/>
              <w:left w:val="nil"/>
              <w:bottom w:val="single" w:sz="4" w:space="0" w:color="auto"/>
              <w:right w:val="single" w:sz="4" w:space="0" w:color="auto"/>
            </w:tcBorders>
            <w:shd w:val="clear" w:color="auto" w:fill="auto"/>
            <w:vAlign w:val="center"/>
            <w:hideMark/>
          </w:tcPr>
          <w:p w:rsidR="003737EE" w:rsidRPr="00C258AD" w:rsidRDefault="003737EE" w:rsidP="0066137C">
            <w:pPr>
              <w:jc w:val="center"/>
              <w:rPr>
                <w:b/>
                <w:bCs/>
                <w:color w:val="000000"/>
                <w:sz w:val="16"/>
                <w:szCs w:val="18"/>
                <w:lang w:eastAsia="fr-FR"/>
              </w:rPr>
            </w:pPr>
            <w:r w:rsidRPr="00C258AD">
              <w:rPr>
                <w:b/>
                <w:bCs/>
                <w:color w:val="000000"/>
                <w:sz w:val="16"/>
                <w:szCs w:val="18"/>
                <w:lang w:eastAsia="fr-FR"/>
              </w:rPr>
              <w:t>97%</w:t>
            </w:r>
          </w:p>
        </w:tc>
      </w:tr>
    </w:tbl>
    <w:p w:rsidR="006E2BB1" w:rsidRPr="00C258AD" w:rsidRDefault="006E2BB1" w:rsidP="0066137C">
      <w:pPr>
        <w:widowControl w:val="0"/>
        <w:autoSpaceDE w:val="0"/>
        <w:autoSpaceDN w:val="0"/>
        <w:adjustRightInd w:val="0"/>
        <w:jc w:val="both"/>
      </w:pPr>
    </w:p>
    <w:p w:rsidR="006E2BB1" w:rsidRPr="00C258AD" w:rsidRDefault="006E2BB1" w:rsidP="0066137C">
      <w:pPr>
        <w:widowControl w:val="0"/>
        <w:autoSpaceDE w:val="0"/>
        <w:autoSpaceDN w:val="0"/>
        <w:adjustRightInd w:val="0"/>
        <w:jc w:val="both"/>
      </w:pPr>
    </w:p>
    <w:p w:rsidR="006E2BB1" w:rsidRPr="00C258AD" w:rsidRDefault="003737EE" w:rsidP="0066137C">
      <w:pPr>
        <w:rPr>
          <w:u w:val="single"/>
        </w:rPr>
      </w:pPr>
      <w:r w:rsidRPr="00C258AD">
        <w:t>A.</w:t>
      </w:r>
      <w:r w:rsidRPr="00C258AD">
        <w:tab/>
      </w:r>
      <w:r w:rsidRPr="00C258AD">
        <w:rPr>
          <w:u w:val="single"/>
        </w:rPr>
        <w:t>Budget final 2014</w:t>
      </w:r>
      <w:r w:rsidRPr="00C258AD">
        <w:rPr>
          <w:u w:val="single"/>
        </w:rPr>
        <w:noBreakHyphen/>
        <w:t>2015 après virements</w:t>
      </w:r>
    </w:p>
    <w:p w:rsidR="006E2BB1" w:rsidRPr="00C258AD" w:rsidRDefault="006E2BB1" w:rsidP="0066137C">
      <w:pPr>
        <w:rPr>
          <w:u w:val="single"/>
        </w:rPr>
      </w:pPr>
    </w:p>
    <w:p w:rsidR="006E2BB1" w:rsidRPr="00C258AD" w:rsidRDefault="003737EE" w:rsidP="00BB4DBC">
      <w:pPr>
        <w:pStyle w:val="ListParagraph"/>
        <w:numPr>
          <w:ilvl w:val="0"/>
          <w:numId w:val="22"/>
        </w:numPr>
        <w:tabs>
          <w:tab w:val="left" w:pos="709"/>
        </w:tabs>
        <w:ind w:left="0" w:firstLine="0"/>
        <w:jc w:val="both"/>
      </w:pPr>
      <w:r w:rsidRPr="00C258AD">
        <w:rPr>
          <w:rFonts w:cs="Arial"/>
        </w:rPr>
        <w:t>L’augmentation globale des dépenses de personnel dans le budget final 2014</w:t>
      </w:r>
      <w:r w:rsidRPr="00C258AD">
        <w:rPr>
          <w:rFonts w:cs="Arial"/>
        </w:rPr>
        <w:noBreakHyphen/>
        <w:t xml:space="preserve">2015 après virements est </w:t>
      </w:r>
      <w:r w:rsidRPr="00C258AD">
        <w:t xml:space="preserve">le résultat net de la régularisation des fonctions permanentes et du redéploiement d’un poste temporaire vers le programme </w:t>
      </w:r>
      <w:r w:rsidRPr="00C258AD">
        <w:rPr>
          <w:rFonts w:cs="Arial"/>
        </w:rPr>
        <w:t>(fonction “gestion des actifs”).</w:t>
      </w:r>
    </w:p>
    <w:p w:rsidR="006E2BB1" w:rsidRPr="00C258AD" w:rsidRDefault="006E2BB1" w:rsidP="0066137C">
      <w:pPr>
        <w:jc w:val="both"/>
      </w:pPr>
    </w:p>
    <w:p w:rsidR="006E2BB1" w:rsidRPr="00C258AD" w:rsidRDefault="003737EE" w:rsidP="00BB4DBC">
      <w:pPr>
        <w:pStyle w:val="ListParagraph"/>
        <w:numPr>
          <w:ilvl w:val="0"/>
          <w:numId w:val="22"/>
        </w:numPr>
        <w:tabs>
          <w:tab w:val="left" w:pos="709"/>
        </w:tabs>
        <w:ind w:left="0" w:firstLine="0"/>
        <w:jc w:val="both"/>
      </w:pPr>
      <w:r w:rsidRPr="00C258AD">
        <w:rPr>
          <w:rFonts w:cs="Arial"/>
        </w:rPr>
        <w:t>Le</w:t>
      </w:r>
      <w:r w:rsidRPr="00C258AD">
        <w:t xml:space="preserve"> transfert de ressources entre résultats escomptés est principalement lié au fait que les ressources allouées à l’intégration des nouveaux modules et fonctionnalités du système ERP étaient liées au résultat escompté IX.2 (Secrétariat réactif et fonctionnant harmonieusement) dans le budget approuvé pour 2014</w:t>
      </w:r>
      <w:r w:rsidRPr="00C258AD">
        <w:noBreakHyphen/>
        <w:t xml:space="preserve">2015.  Ces activités étaient essentiellement apparentées à des services, cependant elles ont été plus judicieusement rattachées au résultat escompté IX.1 (Services </w:t>
      </w:r>
      <w:r w:rsidRPr="00C258AD">
        <w:rPr>
          <w:rFonts w:cs="Arial"/>
        </w:rPr>
        <w:t>d’appui</w:t>
      </w:r>
      <w:r w:rsidRPr="00C258AD">
        <w:t xml:space="preserve"> efficaces, efficients, de qualité et tournés vers la clientèle) dans le budget final 2014</w:t>
      </w:r>
      <w:r w:rsidRPr="00C258AD">
        <w:noBreakHyphen/>
        <w:t>2015 après virements.  L’augmentation des ressources allouées au résultat escompté IX.8 (Renforcement de l’obligation redditionnelle, du contrôle interne et de la gestion institutionnelle) découle principalement de l’appui accru fourni par le programme aux vérificateurs externes des comptes.</w:t>
      </w:r>
    </w:p>
    <w:p w:rsidR="006E2BB1" w:rsidRPr="00C258AD" w:rsidRDefault="006E2BB1" w:rsidP="0066137C">
      <w:pPr>
        <w:autoSpaceDE w:val="0"/>
        <w:autoSpaceDN w:val="0"/>
        <w:jc w:val="both"/>
        <w:rPr>
          <w:lang w:eastAsia="ko-KR"/>
        </w:rPr>
      </w:pPr>
    </w:p>
    <w:p w:rsidR="006E2BB1" w:rsidRPr="00C258AD" w:rsidRDefault="006E2BB1" w:rsidP="0066137C">
      <w:pPr>
        <w:autoSpaceDE w:val="0"/>
        <w:autoSpaceDN w:val="0"/>
        <w:jc w:val="both"/>
        <w:rPr>
          <w:lang w:eastAsia="ko-KR"/>
        </w:rPr>
      </w:pPr>
    </w:p>
    <w:p w:rsidR="006E2BB1" w:rsidRPr="00C258AD" w:rsidRDefault="003737EE" w:rsidP="0066137C">
      <w:pPr>
        <w:keepNext/>
        <w:jc w:val="both"/>
        <w:rPr>
          <w:u w:val="single"/>
          <w:lang w:eastAsia="ko-KR"/>
        </w:rPr>
      </w:pPr>
      <w:r w:rsidRPr="00C258AD">
        <w:rPr>
          <w:lang w:eastAsia="ko-KR"/>
        </w:rPr>
        <w:t>B.</w:t>
      </w:r>
      <w:r w:rsidRPr="00C258AD">
        <w:rPr>
          <w:lang w:eastAsia="ko-KR"/>
        </w:rPr>
        <w:tab/>
      </w:r>
      <w:r w:rsidRPr="00C258AD">
        <w:rPr>
          <w:u w:val="single"/>
          <w:lang w:eastAsia="ko-KR"/>
        </w:rPr>
        <w:t>Utilisation du budget en 2014</w:t>
      </w:r>
      <w:r w:rsidRPr="00C258AD">
        <w:rPr>
          <w:u w:val="single"/>
          <w:lang w:eastAsia="ko-KR"/>
        </w:rPr>
        <w:noBreakHyphen/>
        <w:t>2015</w:t>
      </w:r>
    </w:p>
    <w:p w:rsidR="006E2BB1" w:rsidRPr="00C258AD" w:rsidRDefault="006E2BB1" w:rsidP="0066137C">
      <w:pPr>
        <w:keepNext/>
        <w:tabs>
          <w:tab w:val="left" w:pos="709"/>
        </w:tabs>
        <w:jc w:val="both"/>
        <w:rPr>
          <w:u w:val="single"/>
          <w:lang w:eastAsia="ko-KR"/>
        </w:rPr>
      </w:pPr>
    </w:p>
    <w:p w:rsidR="006E2BB1" w:rsidRPr="00C258AD" w:rsidRDefault="003737EE" w:rsidP="00BB4DBC">
      <w:pPr>
        <w:pStyle w:val="ListParagraph"/>
        <w:numPr>
          <w:ilvl w:val="0"/>
          <w:numId w:val="22"/>
        </w:numPr>
        <w:tabs>
          <w:tab w:val="left" w:pos="709"/>
        </w:tabs>
        <w:spacing w:after="200" w:line="276" w:lineRule="auto"/>
        <w:ind w:left="0" w:firstLine="0"/>
        <w:jc w:val="both"/>
        <w:rPr>
          <w:lang w:eastAsia="ko-KR"/>
        </w:rPr>
      </w:pPr>
      <w:r w:rsidRPr="00C258AD">
        <w:rPr>
          <w:lang w:eastAsia="ko-KR"/>
        </w:rPr>
        <w:t>L’utilisation du budget se situe dans la fourchette prévue pour l’exercice biennal.</w:t>
      </w:r>
      <w:r w:rsidRPr="00C258AD">
        <w:rPr>
          <w:lang w:eastAsia="ko-KR"/>
        </w:rPr>
        <w:br w:type="page"/>
      </w:r>
    </w:p>
    <w:p w:rsidR="006E2BB1" w:rsidRPr="00C258AD" w:rsidRDefault="009D057D" w:rsidP="005709DD">
      <w:pPr>
        <w:pStyle w:val="Heading3"/>
      </w:pPr>
      <w:bookmarkStart w:id="156" w:name="_Toc422404249"/>
      <w:bookmarkStart w:id="157" w:name="_Toc423352897"/>
      <w:bookmarkStart w:id="158" w:name="_Toc455394210"/>
      <w:r w:rsidRPr="00C258AD">
        <w:lastRenderedPageBreak/>
        <w:t xml:space="preserve">Programme 23 </w:t>
      </w:r>
      <w:r w:rsidRPr="00C258AD">
        <w:tab/>
        <w:t>Gestion et mise en valeur des ressources humaines</w:t>
      </w:r>
      <w:bookmarkEnd w:id="156"/>
      <w:bookmarkEnd w:id="157"/>
      <w:bookmarkEnd w:id="158"/>
    </w:p>
    <w:p w:rsidR="006E2BB1" w:rsidRPr="00C258AD" w:rsidRDefault="006E2BB1" w:rsidP="001A4D6C"/>
    <w:p w:rsidR="006E2BB1" w:rsidRPr="00C258AD" w:rsidRDefault="009D057D" w:rsidP="001A4D6C">
      <w:pPr>
        <w:rPr>
          <w:b/>
        </w:rPr>
      </w:pPr>
      <w:r w:rsidRPr="00C258AD">
        <w:rPr>
          <w:b/>
        </w:rPr>
        <w:t>Chef de programme</w:t>
      </w:r>
      <w:r w:rsidRPr="00C258AD">
        <w:rPr>
          <w:b/>
        </w:rPr>
        <w:tab/>
        <w:t>Le Directeur général</w:t>
      </w:r>
    </w:p>
    <w:p w:rsidR="006E2BB1" w:rsidRPr="00C258AD" w:rsidRDefault="006E2BB1" w:rsidP="001A4D6C"/>
    <w:p w:rsidR="006E2BB1" w:rsidRPr="00C258AD" w:rsidRDefault="006E2BB1" w:rsidP="001A4D6C"/>
    <w:p w:rsidR="006E2BB1" w:rsidRPr="00C258AD" w:rsidRDefault="009D057D" w:rsidP="00305CE5">
      <w:pPr>
        <w:keepNext/>
        <w:rPr>
          <w:rFonts w:cs="Arial"/>
          <w:caps/>
          <w:sz w:val="22"/>
          <w:szCs w:val="22"/>
        </w:rPr>
      </w:pPr>
      <w:r w:rsidRPr="00C258AD">
        <w:rPr>
          <w:rFonts w:cs="Arial"/>
          <w:caps/>
          <w:sz w:val="22"/>
          <w:szCs w:val="22"/>
        </w:rPr>
        <w:t>Réalisations au cours de l’exercice biennal 2014</w:t>
      </w:r>
      <w:r w:rsidRPr="00C258AD">
        <w:rPr>
          <w:rFonts w:cs="Arial"/>
          <w:caps/>
          <w:sz w:val="22"/>
          <w:szCs w:val="22"/>
        </w:rPr>
        <w:noBreakHyphen/>
        <w:t>2015</w:t>
      </w:r>
    </w:p>
    <w:p w:rsidR="006E2BB1" w:rsidRPr="00C258AD" w:rsidRDefault="006E2BB1" w:rsidP="001A4D6C">
      <w:pPr>
        <w:jc w:val="both"/>
      </w:pPr>
    </w:p>
    <w:p w:rsidR="006E2BB1" w:rsidRPr="00C258AD" w:rsidRDefault="009D057D" w:rsidP="003A56B4">
      <w:pPr>
        <w:pStyle w:val="ListParagraph"/>
        <w:numPr>
          <w:ilvl w:val="0"/>
          <w:numId w:val="52"/>
        </w:numPr>
        <w:tabs>
          <w:tab w:val="left" w:pos="709"/>
        </w:tabs>
        <w:jc w:val="both"/>
      </w:pPr>
      <w:r w:rsidRPr="00C258AD">
        <w:rPr>
          <w:rFonts w:cs="Arial"/>
        </w:rPr>
        <w:t>L’exercice biennal 2014</w:t>
      </w:r>
      <w:r w:rsidRPr="00C258AD">
        <w:rPr>
          <w:rFonts w:cs="Arial"/>
        </w:rPr>
        <w:noBreakHyphen/>
        <w:t>2015 a été le premier exercice biennal de mise en œuvre de la stratégie en matière de ressources humaines approuvée par les États membres en 2013.  Bien que les travaux entrepris au titre du programme aient été dans une large mesure d’ordre opérationnel, les fonctionnaires et la direction ont continué de déployer des efforts</w:t>
      </w:r>
      <w:r w:rsidRPr="00C258AD">
        <w:t xml:space="preserve"> pour assurer l’obtention effective des résultats visés dans le cadre du programme</w:t>
      </w:r>
      <w:r w:rsidRPr="00C258AD">
        <w:rPr>
          <w:rFonts w:cs="Arial"/>
        </w:rPr>
        <w:t>.</w:t>
      </w:r>
    </w:p>
    <w:p w:rsidR="006E2BB1" w:rsidRPr="00C258AD" w:rsidRDefault="006E2BB1" w:rsidP="001A4D6C">
      <w:pPr>
        <w:tabs>
          <w:tab w:val="left" w:pos="709"/>
        </w:tabs>
        <w:jc w:val="both"/>
      </w:pPr>
    </w:p>
    <w:p w:rsidR="006E2BB1" w:rsidRPr="00C258AD" w:rsidRDefault="009D057D" w:rsidP="003A56B4">
      <w:pPr>
        <w:pStyle w:val="ListParagraph"/>
        <w:numPr>
          <w:ilvl w:val="0"/>
          <w:numId w:val="52"/>
        </w:numPr>
        <w:tabs>
          <w:tab w:val="left" w:pos="709"/>
        </w:tabs>
        <w:jc w:val="both"/>
      </w:pPr>
      <w:r w:rsidRPr="00C258AD">
        <w:t>Les efforts déployés pour améliorer la diversité géographique et l’égalité des sexes au sein du personnel de l’OMPI ont été intensifiés en 2014</w:t>
      </w:r>
      <w:r w:rsidRPr="00C258AD">
        <w:noBreakHyphen/>
        <w:t>2015.  Au regard des modifications apportées au Statut et Règlement du personnel à compter du 1</w:t>
      </w:r>
      <w:r w:rsidRPr="00C258AD">
        <w:rPr>
          <w:vertAlign w:val="superscript"/>
        </w:rPr>
        <w:t>er</w:t>
      </w:r>
      <w:r w:rsidRPr="00C258AD">
        <w:t> novembre 2014, les membres des comités des nominations sont tenus d’établir une liste des candidats recommandés plutôt que de sélectionner des noms par ordre de préférence, afin que le Directeur général puisse, selon sa propre appréciation, pourvoir les postes de manière à remédier aux déséquilibres en matière d’égalité des sexes et de représentation géographique.  Il a été demandé aux États membres de promouvoir ces principes et les bureaux extérieurs de l’OMPI ont été encouragés à faire connaître l’OMPI comme un “employeur de premier ordre”.  À cette fin, un stand d’information a été prévu et une session a été organisée en marge des assemblées en 2014.  Un fichier de candidats tenant compte des critères de diversité géographique a été établi, contenant les noms de candidats qualifiés et présélectionnés, issus d’États membres non représentés, pour des engagements temporaires et à durée déterminée.  Par ailleurs, l’OMPI a poursuivi ses activités de sensibilisation à travers des campagnes et au moyen des médias sociaux (par exemple LinkedIn).  Les autres initiatives comprennent : i) la création d’un site Web sur les carrières à l’OMPI</w:t>
      </w:r>
      <w:r w:rsidRPr="00C258AD">
        <w:rPr>
          <w:rStyle w:val="FootnoteReference"/>
          <w:rFonts w:eastAsia="SimSun"/>
        </w:rPr>
        <w:footnoteReference w:id="129"/>
      </w:r>
      <w:r w:rsidRPr="00C258AD">
        <w:t>;  ii) la mise en place d’un outil de recrutement plus convivial;  iii) la désignation de coordonnateurs au sein des offices nationaux de propriété intellectuelle et des plateformes stratégiques nationales pour la publication ciblée des postes à pourvoir à l’OMPI;  et iv) la création de fichiers d’adresses de candidats potentiels issus d’États membres non représentés ou insuffisamment représentés.  Grâce aux efforts déployés, à la fin de 2015, le pourcentage de personnel originaire d’États d’Europe de l’Ouest de la catégorie des administrateurs et des fonctionnaires de rang supérieur a été réduit de plus de la moitié, tandis que la proportion de ressortissant d’autres régions, notamment des régions Asie et Pacifique, Europe centrale et orientale et Asie centrale, et Amérique du Nord, a augmenté.</w:t>
      </w:r>
    </w:p>
    <w:p w:rsidR="006E2BB1" w:rsidRPr="00C258AD" w:rsidRDefault="006E2BB1" w:rsidP="001A4D6C">
      <w:pPr>
        <w:pStyle w:val="Default"/>
        <w:tabs>
          <w:tab w:val="left" w:pos="709"/>
        </w:tabs>
        <w:jc w:val="both"/>
        <w:rPr>
          <w:color w:val="auto"/>
          <w:sz w:val="20"/>
          <w:szCs w:val="20"/>
        </w:rPr>
      </w:pPr>
    </w:p>
    <w:p w:rsidR="006E2BB1" w:rsidRPr="00C258AD" w:rsidRDefault="009D057D" w:rsidP="001A4D6C">
      <w:pPr>
        <w:pStyle w:val="Caption"/>
        <w:keepNext/>
        <w:jc w:val="center"/>
        <w:rPr>
          <w:b w:val="0"/>
          <w:i/>
          <w:szCs w:val="18"/>
        </w:rPr>
      </w:pPr>
      <w:r w:rsidRPr="00C258AD">
        <w:rPr>
          <w:b w:val="0"/>
          <w:i/>
          <w:szCs w:val="18"/>
        </w:rPr>
        <w:t xml:space="preserve">Pourcentage de personnel de la catégorie des administrateurs et des fonctionnaires de rang supérieur par région </w:t>
      </w:r>
      <w:r w:rsidRPr="00C258AD">
        <w:rPr>
          <w:b w:val="0"/>
          <w:i/>
          <w:szCs w:val="18"/>
        </w:rPr>
        <w:br/>
        <w:t>au cours de la période 2012</w:t>
      </w:r>
      <w:r w:rsidRPr="00C258AD">
        <w:rPr>
          <w:b w:val="0"/>
          <w:i/>
          <w:szCs w:val="18"/>
        </w:rPr>
        <w:noBreakHyphen/>
        <w:t>2015</w:t>
      </w:r>
    </w:p>
    <w:p w:rsidR="006E2BB1" w:rsidRPr="00C258AD" w:rsidRDefault="006E2BB1" w:rsidP="001A4D6C"/>
    <w:p w:rsidR="006E2BB1" w:rsidRPr="00C258AD" w:rsidRDefault="009D057D" w:rsidP="001A4D6C">
      <w:pPr>
        <w:pStyle w:val="Default"/>
        <w:tabs>
          <w:tab w:val="left" w:pos="709"/>
        </w:tabs>
        <w:jc w:val="center"/>
        <w:rPr>
          <w:color w:val="auto"/>
          <w:sz w:val="20"/>
          <w:szCs w:val="20"/>
        </w:rPr>
      </w:pPr>
      <w:r w:rsidRPr="00C258AD">
        <w:rPr>
          <w:noProof/>
          <w:lang w:val="en-US"/>
        </w:rPr>
        <w:drawing>
          <wp:inline distT="0" distB="0" distL="0" distR="0" wp14:anchorId="5EE834D2" wp14:editId="0D3F4A83">
            <wp:extent cx="4680000" cy="2211268"/>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4680000" cy="2211268"/>
                    </a:xfrm>
                    <a:prstGeom prst="rect">
                      <a:avLst/>
                    </a:prstGeom>
                    <a:noFill/>
                    <a:ln>
                      <a:noFill/>
                    </a:ln>
                  </pic:spPr>
                </pic:pic>
              </a:graphicData>
            </a:graphic>
          </wp:inline>
        </w:drawing>
      </w:r>
    </w:p>
    <w:p w:rsidR="006E2BB1" w:rsidRPr="00C258AD" w:rsidRDefault="006E2BB1" w:rsidP="001A4D6C">
      <w:pPr>
        <w:pStyle w:val="Default"/>
        <w:tabs>
          <w:tab w:val="left" w:pos="709"/>
        </w:tabs>
        <w:jc w:val="center"/>
        <w:rPr>
          <w:color w:val="auto"/>
          <w:sz w:val="20"/>
          <w:szCs w:val="20"/>
        </w:rPr>
      </w:pPr>
    </w:p>
    <w:p w:rsidR="006E2BB1" w:rsidRPr="00C258AD" w:rsidRDefault="009D057D" w:rsidP="003A56B4">
      <w:pPr>
        <w:pStyle w:val="ListParagraph"/>
        <w:numPr>
          <w:ilvl w:val="0"/>
          <w:numId w:val="52"/>
        </w:numPr>
        <w:tabs>
          <w:tab w:val="left" w:pos="709"/>
        </w:tabs>
        <w:jc w:val="both"/>
      </w:pPr>
      <w:r w:rsidRPr="00C258AD">
        <w:t xml:space="preserve">En 2014, l’OMPI a établi sa première Politique en matière d’égalité, qui visait un double objectif, à savoir l’intégration d’une démarche soucieuse de l’égalité des sexes dans les activités de l’OMPI et le respect d’un calendrier précis pour parvenir à une représentation équilibrée des hommes et des femmes à tous les niveaux du personnel.  En conséquence, un réseau de coordonnateurs pour les questions </w:t>
      </w:r>
      <w:r w:rsidRPr="00C258AD">
        <w:lastRenderedPageBreak/>
        <w:t>relatives à l’égalité des sexes a été créé, couvrant tous les programmes de l’OMPI, et l’Organisation a rejoint le réseau des défenseurs de l’égalité des genres dans le cadre de la Genève internationale grâce à son engagement collectif en faveur de la promotion de la femme dans le milieu du travail.  Au niveau interne, en ce qui concerne le recrutement, des efforts supplémentaires ont été consentis pour réduire les disparités entre les sexes.  Des initiatives, telles qu’un déjeuner</w:t>
      </w:r>
      <w:r w:rsidRPr="00C258AD">
        <w:noBreakHyphen/>
        <w:t>débat sur la parité hommes</w:t>
      </w:r>
      <w:r w:rsidRPr="00C258AD">
        <w:noBreakHyphen/>
        <w:t>femmes au travail ou encore un programme pilote sur l’évolution de carrière des femmes à des postes de direction, ont été lancées pour promouvoir l’égalité des sexes sur le lieu de travail.  Quatre femmes fonctionnaires de grade P4, ayant toutes des responsabilités de supervision et ayant obtenu des résultats jugés exceptionnels, ont participé à ce projet pilote.  Les premiers résultats de ce projet pilote sont très encourageants et une évaluation sera réalisée par la Division de la supervision interne et un rapport présenté en 2016.  Tandis que le pourcentage de femmes au grade P4 (46,1%) était de 2,7 points supérieurs au niveau de référence de 2013, signifiant que l’objectif a été pleinement atteint, l’objectif a été plus difficile à atteindre en ce qui concerne les niveaux hiérarchiques supérieurs.  Le recrutement de femmes aux grades P5 et D1 a permis d’éviter d’accentuer l’écart entre les sexes consécutif au départ de plusieurs femmes à ces niveaux, mais le pourcentage de femmes au grade D2 a diminué de 11,1% par rapport à 2013.</w:t>
      </w:r>
    </w:p>
    <w:p w:rsidR="006E2BB1" w:rsidRPr="00C258AD" w:rsidRDefault="006E2BB1" w:rsidP="001A4D6C">
      <w:pPr>
        <w:jc w:val="both"/>
        <w:rPr>
          <w:szCs w:val="20"/>
        </w:rPr>
      </w:pPr>
    </w:p>
    <w:p w:rsidR="006E2BB1" w:rsidRPr="00C258AD" w:rsidRDefault="009D057D" w:rsidP="001A4D6C">
      <w:pPr>
        <w:pStyle w:val="Caption"/>
        <w:keepNext/>
        <w:jc w:val="center"/>
        <w:rPr>
          <w:b w:val="0"/>
          <w:i/>
          <w:sz w:val="20"/>
          <w:szCs w:val="20"/>
        </w:rPr>
      </w:pPr>
      <w:r w:rsidRPr="00C258AD">
        <w:rPr>
          <w:b w:val="0"/>
          <w:i/>
          <w:sz w:val="20"/>
          <w:szCs w:val="20"/>
        </w:rPr>
        <w:t xml:space="preserve">Pourcentage </w:t>
      </w:r>
      <w:r w:rsidRPr="00C258AD">
        <w:rPr>
          <w:b w:val="0"/>
          <w:i/>
          <w:sz w:val="20"/>
          <w:szCs w:val="16"/>
        </w:rPr>
        <w:t>de personnel de la catégorie des administrateurs et des fonctionnaires de rang supérieur par sexe au cours de la période 2012</w:t>
      </w:r>
      <w:r w:rsidRPr="00C258AD">
        <w:rPr>
          <w:b w:val="0"/>
          <w:i/>
          <w:sz w:val="20"/>
          <w:szCs w:val="16"/>
        </w:rPr>
        <w:noBreakHyphen/>
        <w:t>2015</w:t>
      </w:r>
    </w:p>
    <w:p w:rsidR="006E2BB1" w:rsidRPr="00C258AD" w:rsidRDefault="006E2BB1" w:rsidP="001A4D6C"/>
    <w:p w:rsidR="006E2BB1" w:rsidRPr="00C258AD" w:rsidRDefault="009D057D" w:rsidP="001A4D6C">
      <w:pPr>
        <w:jc w:val="center"/>
        <w:rPr>
          <w:szCs w:val="20"/>
        </w:rPr>
      </w:pPr>
      <w:r w:rsidRPr="00C258AD">
        <w:rPr>
          <w:noProof/>
          <w:lang w:val="en-US"/>
        </w:rPr>
        <w:drawing>
          <wp:inline distT="0" distB="0" distL="0" distR="0" wp14:anchorId="501A3E7C" wp14:editId="19DBEC0C">
            <wp:extent cx="4500000" cy="250017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4500000" cy="2500177"/>
                    </a:xfrm>
                    <a:prstGeom prst="rect">
                      <a:avLst/>
                    </a:prstGeom>
                    <a:noFill/>
                    <a:ln>
                      <a:noFill/>
                    </a:ln>
                  </pic:spPr>
                </pic:pic>
              </a:graphicData>
            </a:graphic>
          </wp:inline>
        </w:drawing>
      </w:r>
    </w:p>
    <w:p w:rsidR="006E2BB1" w:rsidRPr="00C258AD" w:rsidRDefault="006E2BB1" w:rsidP="001A4D6C">
      <w:pPr>
        <w:rPr>
          <w:szCs w:val="20"/>
        </w:rPr>
      </w:pPr>
    </w:p>
    <w:p w:rsidR="006E2BB1" w:rsidRPr="00C258AD" w:rsidRDefault="009D057D" w:rsidP="003A56B4">
      <w:pPr>
        <w:pStyle w:val="ListParagraph"/>
        <w:numPr>
          <w:ilvl w:val="0"/>
          <w:numId w:val="52"/>
        </w:numPr>
        <w:tabs>
          <w:tab w:val="left" w:pos="709"/>
        </w:tabs>
        <w:jc w:val="both"/>
      </w:pPr>
      <w:r w:rsidRPr="00C258AD">
        <w:t>Des progrès ont également continué d’être faits quant à la prise en considération de la structure de l’Organisation et de la planification des effectifs en tant qu’activités opérationnelles essentielles et pleinement intégrées.  L’exercice biennal a notamment été marqué par les réalisations suivantes : i) participation accrue des chefs de programme dans la planification des ressources humaines par l’organisation d’ateliers d’introduction et la mise au point de principes directeurs connexes;  ii) élaboration de plans d’action concernant les effectifs pour l’exercice 2014</w:t>
      </w:r>
      <w:r w:rsidRPr="00C258AD">
        <w:noBreakHyphen/>
        <w:t>2015, afin que chaque unité administrative puisse enregistrer les principales mesures relatives aux ressources humaines pour répondre aux besoins opérationnels;  iii) la mise à jour des descriptions de poste à l’échelle de l’Organisation compte tenu des priorités opérationnelles;  et iv) meilleure adéquation, plus systématique, entre les descriptions de poste et les programmes de travail annuels.  De nouvelles directives concernant la gestion des postes ont également été publiées afin que l’Organisation puisse réexaminer systématiquement les hypothèses établies pour la planification et tenir compte des nouvelles priorités à l’échelle de l’Organisation avant de pourvoir des postes vacants.  Dans le cadre de la planification des effectifs, les responsables ont été invités à étudier la composition optimale des ressources afin de répondre efficacement à leurs besoins opérationnels.</w:t>
      </w:r>
    </w:p>
    <w:p w:rsidR="006E2BB1" w:rsidRPr="00C258AD" w:rsidRDefault="006E2BB1" w:rsidP="001A4D6C">
      <w:pPr>
        <w:pStyle w:val="Default"/>
        <w:tabs>
          <w:tab w:val="left" w:pos="709"/>
        </w:tabs>
        <w:jc w:val="both"/>
        <w:rPr>
          <w:color w:val="auto"/>
          <w:sz w:val="20"/>
          <w:szCs w:val="20"/>
        </w:rPr>
      </w:pPr>
    </w:p>
    <w:p w:rsidR="006E2BB1" w:rsidRPr="00C258AD" w:rsidRDefault="009D057D" w:rsidP="003A56B4">
      <w:pPr>
        <w:pStyle w:val="ListParagraph"/>
        <w:numPr>
          <w:ilvl w:val="0"/>
          <w:numId w:val="52"/>
        </w:numPr>
        <w:tabs>
          <w:tab w:val="left" w:pos="709"/>
        </w:tabs>
        <w:jc w:val="both"/>
      </w:pPr>
      <w:r w:rsidRPr="00C258AD">
        <w:t>Le processus de régularisation des agents temporaires de longue durée a été achevé en 2014 et 31 de ces agents ont été régularisés en 2014 à la suite d’une mise au concours.  En outre, 40 postes de durée déterminée ont été mis au concours pour la régularisation des fonctions continues durant l’exercice biennal (17 en 2014 et 23 en 2015), parmi lesquels 30 ont été pourvus à la fin de 2015.</w:t>
      </w:r>
    </w:p>
    <w:p w:rsidR="006E2BB1" w:rsidRPr="00C258AD" w:rsidRDefault="006E2BB1" w:rsidP="001A4D6C"/>
    <w:p w:rsidR="006E2BB1" w:rsidRPr="00C258AD" w:rsidRDefault="009D057D" w:rsidP="003A56B4">
      <w:pPr>
        <w:pStyle w:val="ListParagraph"/>
        <w:numPr>
          <w:ilvl w:val="0"/>
          <w:numId w:val="52"/>
        </w:numPr>
        <w:tabs>
          <w:tab w:val="left" w:pos="709"/>
        </w:tabs>
        <w:jc w:val="both"/>
      </w:pPr>
      <w:r w:rsidRPr="00C258AD">
        <w:t>L’activité de recrutement est restée forte au cours de l’exercice biennal, ce qui s’est traduit par un délai moyen de recrutement plus long, 19,77 semaines, par rapport aux 16,03 semaines de l’exercice biennal 2012</w:t>
      </w:r>
      <w:r w:rsidRPr="00C258AD">
        <w:noBreakHyphen/>
        <w:t xml:space="preserve">2013.  Au cours de l’exercice biennal, il y a eu au total 255 mises au concours (183 pour </w:t>
      </w:r>
      <w:r w:rsidRPr="00C258AD">
        <w:lastRenderedPageBreak/>
        <w:t>des postes de durée déterminée, soit une augmentation de 29% par rapport à l’exercice biennal 2012</w:t>
      </w:r>
      <w:r w:rsidRPr="00C258AD">
        <w:noBreakHyphen/>
        <w:t>2013, et 72 pour de postes temporaires).  Au total, 30 320 candidatures ont été reçues.</w:t>
      </w:r>
    </w:p>
    <w:p w:rsidR="006E2BB1" w:rsidRPr="00C258AD" w:rsidRDefault="006E2BB1" w:rsidP="001A4D6C">
      <w:pPr>
        <w:rPr>
          <w:rFonts w:cs="Arial"/>
        </w:rPr>
      </w:pPr>
    </w:p>
    <w:p w:rsidR="006E2BB1" w:rsidRPr="00C258AD" w:rsidRDefault="009D057D" w:rsidP="003A56B4">
      <w:pPr>
        <w:pStyle w:val="ListParagraph"/>
        <w:numPr>
          <w:ilvl w:val="0"/>
          <w:numId w:val="52"/>
        </w:numPr>
        <w:tabs>
          <w:tab w:val="left" w:pos="709"/>
        </w:tabs>
        <w:jc w:val="both"/>
      </w:pPr>
      <w:r w:rsidRPr="00C258AD">
        <w:t xml:space="preserve">La modernisation des systèmes et des processus au sein du DGRH s’est poursuivie au cours de l’exercice biennal.  Le développement d’une nouvelle plateforme intégrée de recrutement (au moyen de </w:t>
      </w:r>
      <w:proofErr w:type="spellStart"/>
      <w:r w:rsidRPr="00C258AD">
        <w:t>Taleo</w:t>
      </w:r>
      <w:proofErr w:type="spellEnd"/>
      <w:r w:rsidRPr="00C258AD">
        <w:t>) a été lancé en 2015 et devrait permettre des gains d’efficacité supplémentaires dans le domaine du recrutement.  Au début de 2014, la première phase du projet ERP, visant à renforcer l’intégration des données et des processus au sein du DGRH et d’autres fonctions d’administration et de gestion de l’OMPI, a été achevée.  L’exercice biennal a également été marqué par d’autres réalisations, telles que l’élaboration et la mise en place du tableau de bord en matière de gestion des ressources humaines et de fonctionnalités disponibles en libre</w:t>
      </w:r>
      <w:r w:rsidRPr="00C258AD">
        <w:noBreakHyphen/>
        <w:t>service, notamment pour mettre à jour en ligne les données personnelles ou pour présenter des demandes d’indemnités pour frais d’études, qui ont permis de responsabiliser davantage les fonctionnaires tout en réduisant au maximum les tâches à forte intensité de main d’œuvre relatives aux ressources humaines.</w:t>
      </w:r>
    </w:p>
    <w:p w:rsidR="006E2BB1" w:rsidRPr="00C258AD" w:rsidRDefault="006E2BB1" w:rsidP="001A4D6C"/>
    <w:p w:rsidR="006E2BB1" w:rsidRPr="00C258AD" w:rsidRDefault="009D057D" w:rsidP="003A56B4">
      <w:pPr>
        <w:pStyle w:val="ListParagraph"/>
        <w:numPr>
          <w:ilvl w:val="0"/>
          <w:numId w:val="52"/>
        </w:numPr>
        <w:tabs>
          <w:tab w:val="left" w:pos="709"/>
        </w:tabs>
        <w:jc w:val="both"/>
      </w:pPr>
      <w:r w:rsidRPr="00C258AD">
        <w:t>Un appel d’offres lancé pour l’assurance maladie, accidents et perte de gains des fonctionnaires a abouti à un nouveau contrat avec des primes moins élevées.  En 2015, le contrat d’assurance</w:t>
      </w:r>
      <w:r w:rsidRPr="00C258AD">
        <w:noBreakHyphen/>
        <w:t>vie a été renégocié avec une prime moins élevée pour 2016.  Des services dans le domaine de la santé et de la sécurité au travail ont également été fournis par le Service d’assistance médico</w:t>
      </w:r>
      <w:r w:rsidRPr="00C258AD">
        <w:noBreakHyphen/>
        <w:t>sociale de l’OMPI ou en concertation avec la Section des services médicaux de l’ONUG.</w:t>
      </w:r>
    </w:p>
    <w:p w:rsidR="006E2BB1" w:rsidRPr="00C258AD" w:rsidRDefault="006E2BB1" w:rsidP="001A4D6C"/>
    <w:p w:rsidR="006E2BB1" w:rsidRPr="00C258AD" w:rsidRDefault="009D057D" w:rsidP="003A56B4">
      <w:pPr>
        <w:pStyle w:val="ListParagraph"/>
        <w:numPr>
          <w:ilvl w:val="0"/>
          <w:numId w:val="52"/>
        </w:numPr>
        <w:tabs>
          <w:tab w:val="left" w:pos="709"/>
        </w:tabs>
        <w:jc w:val="both"/>
      </w:pPr>
      <w:r w:rsidRPr="00C258AD">
        <w:rPr>
          <w:rFonts w:cs="Arial"/>
        </w:rPr>
        <w:t xml:space="preserve">L’évolution des procédures de gestion des performances de l’OMPI s’est traduite par des améliorations supplémentaires en ce qui concerne le </w:t>
      </w:r>
      <w:r w:rsidRPr="00C258AD">
        <w:t>système de gestion des performances et de perfectionnement du personnel (PMSDS).  Les directives PMSDS existantes ont été remplacées par un nouvel ordre de service et des manuels d’utilisation du PMSDS afin de distinguer les dispositions réglementaires des orientations.  Par ailleurs, des modifications ont été apportées afin de mettre le PMSDS en adéquation avec les dispositions du Statut et Règlement du personnel et avec les ordres de service connexes et afin d’apporter des précisions sur les questions relatives au PMSDS en fonction de l’expérience tirée de l’application du système.  Le taux de conformité avec le système est resté très élevé, avec 93,1% des membres du personnel en </w:t>
      </w:r>
      <w:r w:rsidRPr="00C258AD">
        <w:rPr>
          <w:rFonts w:cs="Arial"/>
        </w:rPr>
        <w:t xml:space="preserve">2014 et 92,8% des membres du personnel en 2015 </w:t>
      </w:r>
      <w:r w:rsidRPr="00C258AD">
        <w:t>couverts au titre du PMSDS évalués au regard d’objectifs et de compétences individuels.</w:t>
      </w:r>
    </w:p>
    <w:p w:rsidR="006E2BB1" w:rsidRPr="00C258AD" w:rsidRDefault="006E2BB1" w:rsidP="001A4D6C"/>
    <w:p w:rsidR="006E2BB1" w:rsidRPr="00C258AD" w:rsidRDefault="009D057D" w:rsidP="003A56B4">
      <w:pPr>
        <w:pStyle w:val="ListParagraph"/>
        <w:numPr>
          <w:ilvl w:val="0"/>
          <w:numId w:val="52"/>
        </w:numPr>
        <w:tabs>
          <w:tab w:val="left" w:pos="709"/>
        </w:tabs>
        <w:jc w:val="both"/>
      </w:pPr>
      <w:r w:rsidRPr="00C258AD">
        <w:rPr>
          <w:rFonts w:cs="Arial"/>
        </w:rPr>
        <w:t>Le programme de récompenses et de reconnaissance de l’OMPI s’est poursuivi avec un second programme pilote lancé en 2014, évalué par la suite par la Division de la supervision interne.  Deux tiers des fonctionnaires interrogés ont considéré que le programme de récompenses et de reconnaissance permettait de reconnaître de manière adéquate les résultats satisfaisants.  À la suite des recommandations formulées par la Division de la supervision interne en ce qui concerne la transparence et la participation du personnel, un nouveau manuel intitulé “Témoigner sa reconnaissance” a été publié et une page Intranet créée.  Une nouvelle catégorie de récompense a été créée, avec la participation directe du personnel dans la désignation des candidats et la sélection des lauréats.  Après la mise en œuvre de deux programmes pilotes, une politique officielle relative au programme de récompenses et de reconnaissance a été publiée en 2015.</w:t>
      </w:r>
    </w:p>
    <w:p w:rsidR="006E2BB1" w:rsidRPr="00C258AD" w:rsidRDefault="006E2BB1" w:rsidP="001A4D6C">
      <w:pPr>
        <w:tabs>
          <w:tab w:val="left" w:pos="709"/>
        </w:tabs>
        <w:jc w:val="both"/>
      </w:pPr>
    </w:p>
    <w:p w:rsidR="006E2BB1" w:rsidRPr="00C258AD" w:rsidRDefault="009D057D" w:rsidP="003A56B4">
      <w:pPr>
        <w:pStyle w:val="ListParagraph"/>
        <w:numPr>
          <w:ilvl w:val="0"/>
          <w:numId w:val="52"/>
        </w:numPr>
        <w:tabs>
          <w:tab w:val="left" w:pos="709"/>
        </w:tabs>
        <w:jc w:val="both"/>
      </w:pPr>
      <w:r w:rsidRPr="00C258AD">
        <w:t xml:space="preserve">En 2014, la nouvelle politique de formation et de perfectionnement a été mise en œuvre afin de faciliter le perfectionnement du personnel et de réduire les déficits de compétences.  En plus des activités de formation ordinaires, de nouvelles initiatives sur le règlement des litiges, la gestion du stress, la gestion de la qualité, la gestion de projets et la reconnaissance des acquis préalables ont été lancées afin de renforcer les capacités de gestion.  Un programme sur la gestion des différends à l’échelle de l’Organisation a également été intégré dans le processus d’orientation pour les nouveaux fonctionnaires.  </w:t>
      </w:r>
      <w:r w:rsidRPr="00C258AD">
        <w:rPr>
          <w:rFonts w:cs="Arial"/>
        </w:rPr>
        <w:t>Pour la première fois en 2015, le nombre moyen de jours de formation par fonctionnaire</w:t>
      </w:r>
      <w:r w:rsidRPr="00C258AD">
        <w:rPr>
          <w:rStyle w:val="FootnoteReference"/>
          <w:rFonts w:eastAsia="SimSun"/>
        </w:rPr>
        <w:footnoteReference w:id="130"/>
      </w:r>
      <w:r w:rsidRPr="00C258AD">
        <w:rPr>
          <w:rFonts w:cs="Arial"/>
        </w:rPr>
        <w:t xml:space="preserve"> est passé à six, contre cinq en 2014 (soit un jour de plus par rapport aux cinq jours habituels des Nations Unies).  Cette augmentation était due en partie au lancement de la formation sur la gestion des différends en 2015, qui avait été suivie par environ deux tiers des fonctionnaires de l’OMPI à la fin de l’année.</w:t>
      </w:r>
    </w:p>
    <w:p w:rsidR="006E2BB1" w:rsidRPr="00C258AD" w:rsidRDefault="006E2BB1" w:rsidP="001A4D6C">
      <w:pPr>
        <w:tabs>
          <w:tab w:val="left" w:pos="709"/>
        </w:tabs>
        <w:autoSpaceDE w:val="0"/>
        <w:autoSpaceDN w:val="0"/>
        <w:adjustRightInd w:val="0"/>
        <w:jc w:val="both"/>
      </w:pPr>
    </w:p>
    <w:p w:rsidR="006E2BB1" w:rsidRPr="00C258AD" w:rsidRDefault="009D057D" w:rsidP="003A56B4">
      <w:pPr>
        <w:pStyle w:val="ListParagraph"/>
        <w:numPr>
          <w:ilvl w:val="0"/>
          <w:numId w:val="52"/>
        </w:numPr>
        <w:tabs>
          <w:tab w:val="left" w:pos="709"/>
        </w:tabs>
        <w:jc w:val="both"/>
      </w:pPr>
      <w:r w:rsidRPr="00C258AD">
        <w:rPr>
          <w:rFonts w:cs="Arial"/>
        </w:rPr>
        <w:t xml:space="preserve">Dans le cadre de l’évolution de la politique en matière de gestion des ressources humaines et à la suite de la première refonte majeure du Statut et Règlement du personnel depuis plus de 40 ans ayant eu lieu en 2012, le Statut et Règlement du personnel a fait l’objet d’un nouvel examen et de nouvelles modifications en 2014 et 2015, aboutissant à l’établissement du cadre de politique générale pour la </w:t>
      </w:r>
      <w:r w:rsidRPr="00C258AD">
        <w:rPr>
          <w:rFonts w:cs="Arial"/>
        </w:rPr>
        <w:lastRenderedPageBreak/>
        <w:t>gestion des ressources humaines correspondant.  Les modifications apportées au cours de l’exercice biennal ont permis à l’OMPI de maintenir un cadre réglementaire fiable, aligné sur les meilleures pratiques en vigueur dans les organisations appliquant le régime commun des Nations Unies et totalement adapté à l’évolution des besoins et des priorités de l’Organisation.  En 2014, la catégorie des administrateurs recrutés sur le plan national a été intégrée dans le Statut et Règlement du personnel afin de répondre aux besoins des bureaux extérieurs de l’OMPI.  En 2015, le premier administrateur recruté sur le plan national a été nommé pour un engagement temporaire au Bureau de l’OMPI au Brésil.</w:t>
      </w:r>
    </w:p>
    <w:p w:rsidR="006E2BB1" w:rsidRPr="00C258AD" w:rsidRDefault="006E2BB1" w:rsidP="001A4D6C"/>
    <w:p w:rsidR="006E2BB1" w:rsidRPr="00C258AD" w:rsidRDefault="009D057D" w:rsidP="003A56B4">
      <w:pPr>
        <w:pStyle w:val="ListParagraph"/>
        <w:numPr>
          <w:ilvl w:val="0"/>
          <w:numId w:val="52"/>
        </w:numPr>
        <w:tabs>
          <w:tab w:val="left" w:pos="709"/>
        </w:tabs>
        <w:jc w:val="both"/>
      </w:pPr>
      <w:r w:rsidRPr="00C258AD">
        <w:t>Le nouveau Groupe consultatif mixte, dont le DGRH assure le secrétariat, a été créé en juin 2014 pour conseiller le Directeur général sur les questions de personnel ou administratives.  Le personnel peut directement déposer une demande auprès du Groupe consultatif mixte, lequel fournit un canal de communication supplémentaire entre le personnel et la direction.</w:t>
      </w:r>
    </w:p>
    <w:p w:rsidR="006E2BB1" w:rsidRPr="00C258AD" w:rsidRDefault="006E2BB1" w:rsidP="001A4D6C"/>
    <w:p w:rsidR="006E2BB1" w:rsidRPr="00C258AD" w:rsidRDefault="006E2BB1" w:rsidP="001A4D6C"/>
    <w:p w:rsidR="006E2BB1" w:rsidRPr="00C258AD" w:rsidRDefault="009D057D" w:rsidP="00305CE5">
      <w:pPr>
        <w:keepNext/>
        <w:rPr>
          <w:rFonts w:cs="Arial"/>
          <w:caps/>
          <w:sz w:val="22"/>
          <w:szCs w:val="22"/>
        </w:rPr>
      </w:pPr>
      <w:r w:rsidRPr="00C258AD">
        <w:rPr>
          <w:rFonts w:cs="Arial"/>
          <w:caps/>
          <w:sz w:val="22"/>
          <w:szCs w:val="22"/>
        </w:rPr>
        <w:t>Données relatives à l’exécution</w:t>
      </w:r>
    </w:p>
    <w:p w:rsidR="009D057D" w:rsidRPr="00C258AD" w:rsidRDefault="009D057D" w:rsidP="001A4D6C">
      <w:pPr>
        <w:keepNext/>
        <w:jc w:val="both"/>
        <w:rPr>
          <w:szCs w:val="22"/>
        </w:rPr>
      </w:pPr>
    </w:p>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027"/>
        <w:gridCol w:w="2519"/>
        <w:gridCol w:w="1610"/>
        <w:gridCol w:w="2203"/>
        <w:gridCol w:w="1132"/>
      </w:tblGrid>
      <w:tr w:rsidR="009D057D" w:rsidRPr="00C258AD" w:rsidTr="001A4D6C">
        <w:trPr>
          <w:cantSplit/>
        </w:trPr>
        <w:tc>
          <w:tcPr>
            <w:tcW w:w="5000" w:type="pct"/>
            <w:gridSpan w:val="5"/>
            <w:tcBorders>
              <w:top w:val="single" w:sz="4" w:space="0" w:color="auto"/>
              <w:bottom w:val="single" w:sz="4" w:space="0" w:color="auto"/>
            </w:tcBorders>
            <w:shd w:val="clear" w:color="auto" w:fill="C5D9F1"/>
            <w:tcMar>
              <w:top w:w="113" w:type="dxa"/>
              <w:bottom w:w="113" w:type="dxa"/>
            </w:tcMar>
            <w:vAlign w:val="center"/>
          </w:tcPr>
          <w:p w:rsidR="009D057D" w:rsidRPr="00C258AD" w:rsidRDefault="009D057D" w:rsidP="001A4D6C">
            <w:pPr>
              <w:keepNext/>
              <w:tabs>
                <w:tab w:val="left" w:pos="1452"/>
              </w:tabs>
              <w:jc w:val="both"/>
              <w:rPr>
                <w:bCs/>
                <w:sz w:val="16"/>
                <w:szCs w:val="16"/>
              </w:rPr>
            </w:pPr>
            <w:r w:rsidRPr="00C258AD">
              <w:rPr>
                <w:b/>
                <w:bCs/>
                <w:sz w:val="16"/>
                <w:szCs w:val="16"/>
              </w:rPr>
              <w:t>Résultat escompté :</w:t>
            </w:r>
            <w:r w:rsidRPr="00C258AD">
              <w:rPr>
                <w:bCs/>
                <w:i/>
                <w:sz w:val="16"/>
                <w:szCs w:val="16"/>
              </w:rPr>
              <w:t xml:space="preserve"> </w:t>
            </w:r>
            <w:r w:rsidRPr="00C258AD">
              <w:rPr>
                <w:bCs/>
                <w:sz w:val="16"/>
                <w:szCs w:val="16"/>
              </w:rPr>
              <w:t>IX.1 Services d’appui efficaces, efficients, de qualité et tournés vers la clientèle, à l’intention à la fois des clients internes et des parties prenantes externes</w:t>
            </w:r>
          </w:p>
        </w:tc>
      </w:tr>
      <w:tr w:rsidR="009D057D" w:rsidRPr="00C258AD" w:rsidTr="001A4D6C">
        <w:trPr>
          <w:cantSplit/>
        </w:trPr>
        <w:tc>
          <w:tcPr>
            <w:tcW w:w="1085" w:type="pct"/>
            <w:tcBorders>
              <w:top w:val="single" w:sz="4" w:space="0" w:color="auto"/>
            </w:tcBorders>
            <w:shd w:val="clear" w:color="auto" w:fill="auto"/>
            <w:tcMar>
              <w:top w:w="113" w:type="dxa"/>
              <w:bottom w:w="113" w:type="dxa"/>
            </w:tcMar>
            <w:vAlign w:val="center"/>
          </w:tcPr>
          <w:p w:rsidR="009D057D" w:rsidRPr="00C258AD" w:rsidRDefault="009D057D" w:rsidP="001A4D6C">
            <w:pPr>
              <w:keepNext/>
              <w:jc w:val="center"/>
              <w:rPr>
                <w:sz w:val="16"/>
                <w:szCs w:val="16"/>
              </w:rPr>
            </w:pPr>
            <w:r w:rsidRPr="00C258AD">
              <w:rPr>
                <w:b/>
                <w:sz w:val="16"/>
                <w:szCs w:val="16"/>
              </w:rPr>
              <w:t>Indicateurs</w:t>
            </w:r>
            <w:r w:rsidRPr="00C258AD">
              <w:rPr>
                <w:sz w:val="16"/>
                <w:szCs w:val="16"/>
              </w:rPr>
              <w:t xml:space="preserve"> </w:t>
            </w:r>
            <w:r w:rsidRPr="00C258AD">
              <w:rPr>
                <w:b/>
                <w:sz w:val="16"/>
                <w:szCs w:val="16"/>
              </w:rPr>
              <w:t>d’exécution</w:t>
            </w:r>
          </w:p>
        </w:tc>
        <w:tc>
          <w:tcPr>
            <w:tcW w:w="1327" w:type="pct"/>
            <w:tcBorders>
              <w:top w:val="single" w:sz="4" w:space="0" w:color="auto"/>
            </w:tcBorders>
            <w:shd w:val="clear" w:color="auto" w:fill="auto"/>
            <w:tcMar>
              <w:top w:w="113" w:type="dxa"/>
              <w:bottom w:w="113" w:type="dxa"/>
            </w:tcMar>
            <w:vAlign w:val="center"/>
          </w:tcPr>
          <w:p w:rsidR="009D057D" w:rsidRPr="00C258AD" w:rsidRDefault="009D057D" w:rsidP="001A4D6C">
            <w:pPr>
              <w:keepNext/>
              <w:jc w:val="center"/>
              <w:rPr>
                <w:b/>
                <w:bCs/>
                <w:sz w:val="16"/>
                <w:szCs w:val="16"/>
              </w:rPr>
            </w:pPr>
            <w:r w:rsidRPr="00C258AD">
              <w:rPr>
                <w:b/>
                <w:bCs/>
                <w:sz w:val="16"/>
                <w:szCs w:val="16"/>
              </w:rPr>
              <w:t>Niveaux de référence</w:t>
            </w:r>
          </w:p>
        </w:tc>
        <w:tc>
          <w:tcPr>
            <w:tcW w:w="865" w:type="pct"/>
            <w:tcBorders>
              <w:top w:val="single" w:sz="4" w:space="0" w:color="auto"/>
            </w:tcBorders>
            <w:shd w:val="clear" w:color="auto" w:fill="auto"/>
            <w:tcMar>
              <w:top w:w="113" w:type="dxa"/>
              <w:bottom w:w="113" w:type="dxa"/>
            </w:tcMar>
            <w:vAlign w:val="center"/>
          </w:tcPr>
          <w:p w:rsidR="009D057D" w:rsidRPr="00C258AD" w:rsidRDefault="009D057D" w:rsidP="001A4D6C">
            <w:pPr>
              <w:keepNext/>
              <w:jc w:val="center"/>
              <w:rPr>
                <w:b/>
                <w:sz w:val="16"/>
                <w:szCs w:val="16"/>
              </w:rPr>
            </w:pPr>
            <w:r w:rsidRPr="00C258AD">
              <w:rPr>
                <w:b/>
                <w:sz w:val="16"/>
                <w:szCs w:val="16"/>
              </w:rPr>
              <w:t>Objectifs visés</w:t>
            </w:r>
          </w:p>
        </w:tc>
        <w:tc>
          <w:tcPr>
            <w:tcW w:w="1157" w:type="pct"/>
            <w:tcBorders>
              <w:top w:val="single" w:sz="4" w:space="0" w:color="auto"/>
            </w:tcBorders>
            <w:shd w:val="clear" w:color="auto" w:fill="FFFFFF"/>
            <w:tcMar>
              <w:top w:w="113" w:type="dxa"/>
              <w:bottom w:w="113" w:type="dxa"/>
            </w:tcMar>
            <w:vAlign w:val="center"/>
          </w:tcPr>
          <w:p w:rsidR="009D057D" w:rsidRPr="00C258AD" w:rsidRDefault="009D057D" w:rsidP="001A4D6C">
            <w:pPr>
              <w:keepNext/>
              <w:jc w:val="center"/>
              <w:rPr>
                <w:sz w:val="16"/>
                <w:szCs w:val="16"/>
              </w:rPr>
            </w:pPr>
            <w:r w:rsidRPr="00C258AD">
              <w:rPr>
                <w:b/>
                <w:sz w:val="16"/>
                <w:szCs w:val="16"/>
              </w:rPr>
              <w:t>Données relatives à l’exécution</w:t>
            </w:r>
          </w:p>
        </w:tc>
        <w:tc>
          <w:tcPr>
            <w:tcW w:w="566" w:type="pct"/>
            <w:tcBorders>
              <w:top w:val="single" w:sz="4" w:space="0" w:color="auto"/>
            </w:tcBorders>
            <w:shd w:val="clear" w:color="auto" w:fill="auto"/>
            <w:tcMar>
              <w:top w:w="113" w:type="dxa"/>
              <w:bottom w:w="113" w:type="dxa"/>
            </w:tcMar>
            <w:vAlign w:val="center"/>
          </w:tcPr>
          <w:p w:rsidR="009D057D" w:rsidRPr="00C258AD" w:rsidRDefault="009D057D" w:rsidP="001A4D6C">
            <w:pPr>
              <w:keepNext/>
              <w:keepLines/>
              <w:jc w:val="center"/>
              <w:rPr>
                <w:b/>
                <w:bCs/>
                <w:sz w:val="16"/>
                <w:szCs w:val="16"/>
              </w:rPr>
            </w:pPr>
            <w:r w:rsidRPr="00C258AD">
              <w:rPr>
                <w:b/>
                <w:bCs/>
                <w:sz w:val="16"/>
                <w:szCs w:val="16"/>
              </w:rPr>
              <w:t>Code de couleurs</w:t>
            </w:r>
          </w:p>
        </w:tc>
      </w:tr>
      <w:tr w:rsidR="009D057D" w:rsidRPr="00C258AD" w:rsidTr="001A4D6C">
        <w:trPr>
          <w:cantSplit/>
        </w:trPr>
        <w:tc>
          <w:tcPr>
            <w:tcW w:w="1085" w:type="pct"/>
            <w:shd w:val="clear" w:color="auto" w:fill="auto"/>
            <w:tcMar>
              <w:top w:w="113" w:type="dxa"/>
              <w:bottom w:w="113" w:type="dxa"/>
            </w:tcMar>
          </w:tcPr>
          <w:p w:rsidR="009D057D" w:rsidRPr="00C258AD" w:rsidRDefault="009D057D" w:rsidP="001A4D6C">
            <w:pPr>
              <w:pStyle w:val="Default"/>
              <w:rPr>
                <w:sz w:val="16"/>
                <w:szCs w:val="16"/>
              </w:rPr>
            </w:pPr>
            <w:r w:rsidRPr="00C258AD">
              <w:rPr>
                <w:color w:val="auto"/>
                <w:sz w:val="16"/>
                <w:szCs w:val="16"/>
              </w:rPr>
              <w:t>Pourcentage du personnel satisfait des services des ressources humaines</w:t>
            </w:r>
          </w:p>
        </w:tc>
        <w:tc>
          <w:tcPr>
            <w:tcW w:w="1327" w:type="pct"/>
            <w:shd w:val="clear" w:color="auto" w:fill="auto"/>
            <w:tcMar>
              <w:top w:w="113" w:type="dxa"/>
              <w:bottom w:w="113" w:type="dxa"/>
            </w:tcMar>
          </w:tcPr>
          <w:p w:rsidR="006E2BB1" w:rsidRPr="00C258AD" w:rsidRDefault="009D057D" w:rsidP="001A4D6C">
            <w:pPr>
              <w:rPr>
                <w:color w:val="002060"/>
                <w:sz w:val="16"/>
                <w:szCs w:val="16"/>
                <w:lang w:bidi="th-TH"/>
              </w:rPr>
            </w:pPr>
            <w:r w:rsidRPr="00C258AD">
              <w:rPr>
                <w:i/>
                <w:color w:val="002060"/>
                <w:sz w:val="16"/>
                <w:szCs w:val="16"/>
                <w:lang w:bidi="th-TH"/>
              </w:rPr>
              <w:t>Niveau de référence actualisé à fin 2013 :</w:t>
            </w:r>
          </w:p>
          <w:p w:rsidR="006E2BB1" w:rsidRPr="00C258AD" w:rsidRDefault="009D057D" w:rsidP="001A4D6C">
            <w:pPr>
              <w:rPr>
                <w:color w:val="002060"/>
                <w:sz w:val="16"/>
                <w:szCs w:val="16"/>
                <w:lang w:bidi="th-TH"/>
              </w:rPr>
            </w:pPr>
            <w:r w:rsidRPr="00C258AD">
              <w:rPr>
                <w:color w:val="002060"/>
                <w:sz w:val="16"/>
                <w:szCs w:val="16"/>
                <w:lang w:bidi="th-TH"/>
              </w:rPr>
              <w:t>Très satisfaits : 31,2%;  Satisfaits : 46,2%;</w:t>
            </w:r>
          </w:p>
          <w:p w:rsidR="006E2BB1" w:rsidRPr="00C258AD" w:rsidRDefault="009D057D" w:rsidP="001A4D6C">
            <w:pPr>
              <w:rPr>
                <w:color w:val="002060"/>
                <w:sz w:val="16"/>
                <w:szCs w:val="16"/>
                <w:lang w:bidi="th-TH"/>
              </w:rPr>
            </w:pPr>
            <w:r w:rsidRPr="00C258AD">
              <w:rPr>
                <w:color w:val="002060"/>
                <w:sz w:val="16"/>
                <w:szCs w:val="16"/>
              </w:rPr>
              <w:t>Mécontents </w:t>
            </w:r>
            <w:r w:rsidRPr="00C258AD">
              <w:rPr>
                <w:color w:val="002060"/>
                <w:sz w:val="16"/>
                <w:szCs w:val="16"/>
                <w:lang w:bidi="th-TH"/>
              </w:rPr>
              <w:t>: 18,9%;</w:t>
            </w:r>
          </w:p>
          <w:p w:rsidR="006E2BB1" w:rsidRPr="00C258AD" w:rsidRDefault="009D057D" w:rsidP="001A4D6C">
            <w:pPr>
              <w:rPr>
                <w:color w:val="002060"/>
                <w:sz w:val="16"/>
                <w:szCs w:val="16"/>
              </w:rPr>
            </w:pPr>
            <w:r w:rsidRPr="00C258AD">
              <w:rPr>
                <w:color w:val="002060"/>
                <w:sz w:val="16"/>
                <w:szCs w:val="16"/>
              </w:rPr>
              <w:t>Très mécontents : 3,7%</w:t>
            </w:r>
          </w:p>
          <w:p w:rsidR="006E2BB1" w:rsidRPr="00C258AD" w:rsidRDefault="006E2BB1" w:rsidP="001A4D6C">
            <w:pPr>
              <w:rPr>
                <w:i/>
                <w:sz w:val="16"/>
                <w:szCs w:val="16"/>
              </w:rPr>
            </w:pPr>
          </w:p>
          <w:p w:rsidR="006E2BB1" w:rsidRPr="00C258AD" w:rsidRDefault="009D057D" w:rsidP="001A4D6C">
            <w:pPr>
              <w:rPr>
                <w:sz w:val="16"/>
                <w:szCs w:val="16"/>
              </w:rPr>
            </w:pPr>
            <w:r w:rsidRPr="00C258AD">
              <w:rPr>
                <w:i/>
                <w:sz w:val="16"/>
                <w:szCs w:val="16"/>
              </w:rPr>
              <w:t>Niveau de référence initial dans le programme et budget 2014</w:t>
            </w:r>
            <w:r w:rsidRPr="00C258AD">
              <w:rPr>
                <w:i/>
                <w:sz w:val="16"/>
                <w:szCs w:val="16"/>
              </w:rPr>
              <w:noBreakHyphen/>
              <w:t>2015 :</w:t>
            </w:r>
          </w:p>
          <w:p w:rsidR="006E2BB1" w:rsidRPr="00C258AD" w:rsidRDefault="009D057D" w:rsidP="001A4D6C">
            <w:pPr>
              <w:rPr>
                <w:sz w:val="16"/>
                <w:szCs w:val="16"/>
              </w:rPr>
            </w:pPr>
            <w:r w:rsidRPr="00C258AD">
              <w:rPr>
                <w:sz w:val="16"/>
                <w:szCs w:val="16"/>
              </w:rPr>
              <w:t>Très satisfaits : 31,2%</w:t>
            </w:r>
          </w:p>
          <w:p w:rsidR="006E2BB1" w:rsidRPr="00C258AD" w:rsidRDefault="009D057D" w:rsidP="001A4D6C">
            <w:pPr>
              <w:rPr>
                <w:sz w:val="16"/>
                <w:szCs w:val="16"/>
              </w:rPr>
            </w:pPr>
            <w:r w:rsidRPr="00C258AD">
              <w:rPr>
                <w:sz w:val="16"/>
                <w:szCs w:val="16"/>
                <w:lang w:bidi="th-TH"/>
              </w:rPr>
              <w:t>Satisfaits </w:t>
            </w:r>
            <w:r w:rsidRPr="00C258AD">
              <w:rPr>
                <w:sz w:val="16"/>
                <w:szCs w:val="16"/>
              </w:rPr>
              <w:t>: 48,8%</w:t>
            </w:r>
          </w:p>
          <w:p w:rsidR="006E2BB1" w:rsidRPr="00C258AD" w:rsidRDefault="009D057D" w:rsidP="001A4D6C">
            <w:pPr>
              <w:rPr>
                <w:sz w:val="16"/>
                <w:szCs w:val="16"/>
              </w:rPr>
            </w:pPr>
            <w:r w:rsidRPr="00C258AD">
              <w:rPr>
                <w:sz w:val="16"/>
                <w:szCs w:val="16"/>
              </w:rPr>
              <w:t>Mécontents : 17,1%</w:t>
            </w:r>
          </w:p>
          <w:p w:rsidR="009D057D" w:rsidRPr="00C258AD" w:rsidRDefault="009D057D" w:rsidP="001A4D6C">
            <w:pPr>
              <w:rPr>
                <w:sz w:val="16"/>
                <w:szCs w:val="16"/>
              </w:rPr>
            </w:pPr>
            <w:r w:rsidRPr="00C258AD">
              <w:rPr>
                <w:sz w:val="16"/>
                <w:szCs w:val="16"/>
              </w:rPr>
              <w:t>Très mécontents : 2,9%</w:t>
            </w:r>
          </w:p>
        </w:tc>
        <w:tc>
          <w:tcPr>
            <w:tcW w:w="865" w:type="pct"/>
            <w:shd w:val="clear" w:color="auto" w:fill="auto"/>
            <w:tcMar>
              <w:top w:w="113" w:type="dxa"/>
              <w:bottom w:w="113" w:type="dxa"/>
            </w:tcMar>
          </w:tcPr>
          <w:p w:rsidR="009D057D" w:rsidRPr="00C258AD" w:rsidRDefault="009D057D" w:rsidP="001A4D6C">
            <w:pPr>
              <w:rPr>
                <w:sz w:val="16"/>
                <w:szCs w:val="16"/>
                <w:lang w:bidi="th-TH"/>
              </w:rPr>
            </w:pPr>
            <w:r w:rsidRPr="00C258AD">
              <w:rPr>
                <w:sz w:val="16"/>
                <w:szCs w:val="16"/>
              </w:rPr>
              <w:t xml:space="preserve">85% </w:t>
            </w:r>
            <w:r w:rsidRPr="00C258AD">
              <w:rPr>
                <w:sz w:val="16"/>
                <w:szCs w:val="16"/>
                <w:lang w:bidi="th-TH"/>
              </w:rPr>
              <w:t>très satisfaits</w:t>
            </w:r>
            <w:r w:rsidRPr="00C258AD">
              <w:rPr>
                <w:sz w:val="16"/>
                <w:szCs w:val="16"/>
              </w:rPr>
              <w:t xml:space="preserve"> ou </w:t>
            </w:r>
            <w:r w:rsidRPr="00C258AD">
              <w:rPr>
                <w:sz w:val="16"/>
                <w:szCs w:val="16"/>
                <w:lang w:bidi="th-TH"/>
              </w:rPr>
              <w:t>satisfaits </w:t>
            </w:r>
          </w:p>
        </w:tc>
        <w:tc>
          <w:tcPr>
            <w:tcW w:w="1157" w:type="pct"/>
            <w:shd w:val="clear" w:color="auto" w:fill="FFFFFF"/>
            <w:tcMar>
              <w:top w:w="113" w:type="dxa"/>
              <w:bottom w:w="113" w:type="dxa"/>
            </w:tcMar>
          </w:tcPr>
          <w:p w:rsidR="009D057D" w:rsidRPr="00C258AD" w:rsidRDefault="009D057D" w:rsidP="001A4D6C">
            <w:pPr>
              <w:rPr>
                <w:sz w:val="16"/>
                <w:szCs w:val="16"/>
              </w:rPr>
            </w:pPr>
            <w:r w:rsidRPr="00C258AD">
              <w:rPr>
                <w:rFonts w:cs="Arial"/>
                <w:sz w:val="16"/>
                <w:szCs w:val="16"/>
              </w:rPr>
              <w:t>Pas d’enquête réalisée en 2014</w:t>
            </w:r>
            <w:r w:rsidRPr="00C258AD">
              <w:rPr>
                <w:rFonts w:cs="Arial"/>
                <w:sz w:val="16"/>
                <w:szCs w:val="16"/>
              </w:rPr>
              <w:noBreakHyphen/>
              <w:t>2015</w:t>
            </w:r>
          </w:p>
        </w:tc>
        <w:tc>
          <w:tcPr>
            <w:tcW w:w="566" w:type="pct"/>
            <w:shd w:val="clear" w:color="auto" w:fill="auto"/>
            <w:tcMar>
              <w:top w:w="113" w:type="dxa"/>
              <w:bottom w:w="113" w:type="dxa"/>
            </w:tcMar>
          </w:tcPr>
          <w:p w:rsidR="009D057D" w:rsidRPr="00C258AD" w:rsidRDefault="009D057D" w:rsidP="001A4D6C">
            <w:pPr>
              <w:keepNext/>
              <w:keepLines/>
              <w:jc w:val="center"/>
              <w:rPr>
                <w:bCs/>
                <w:color w:val="00B050"/>
                <w:sz w:val="16"/>
                <w:szCs w:val="16"/>
              </w:rPr>
            </w:pPr>
            <w:r w:rsidRPr="00C258AD">
              <w:rPr>
                <w:b/>
                <w:bCs/>
                <w:color w:val="808080"/>
                <w:sz w:val="16"/>
                <w:szCs w:val="16"/>
              </w:rPr>
              <w:t>Non évaluable</w:t>
            </w:r>
          </w:p>
        </w:tc>
      </w:tr>
      <w:tr w:rsidR="009D057D" w:rsidRPr="00C258AD" w:rsidTr="001A4D6C">
        <w:trPr>
          <w:cantSplit/>
        </w:trPr>
        <w:tc>
          <w:tcPr>
            <w:tcW w:w="1085" w:type="pct"/>
            <w:shd w:val="clear" w:color="auto" w:fill="auto"/>
            <w:tcMar>
              <w:top w:w="113" w:type="dxa"/>
              <w:bottom w:w="113" w:type="dxa"/>
            </w:tcMar>
          </w:tcPr>
          <w:p w:rsidR="009D057D" w:rsidRPr="00C258AD" w:rsidRDefault="009D057D" w:rsidP="001A4D6C">
            <w:pPr>
              <w:rPr>
                <w:sz w:val="16"/>
                <w:szCs w:val="16"/>
              </w:rPr>
            </w:pPr>
            <w:r w:rsidRPr="00C258AD">
              <w:rPr>
                <w:sz w:val="16"/>
                <w:szCs w:val="16"/>
              </w:rPr>
              <w:t>Services des ressources humaines répondant dans les délais, de manière précise et efficace</w:t>
            </w:r>
          </w:p>
        </w:tc>
        <w:tc>
          <w:tcPr>
            <w:tcW w:w="1327" w:type="pct"/>
            <w:shd w:val="clear" w:color="auto" w:fill="auto"/>
            <w:tcMar>
              <w:top w:w="113" w:type="dxa"/>
              <w:bottom w:w="113" w:type="dxa"/>
            </w:tcMar>
          </w:tcPr>
          <w:p w:rsidR="009D057D" w:rsidRPr="00C258AD" w:rsidRDefault="009D057D" w:rsidP="001A4D6C">
            <w:pPr>
              <w:rPr>
                <w:sz w:val="16"/>
                <w:szCs w:val="16"/>
              </w:rPr>
            </w:pPr>
            <w:r w:rsidRPr="00C258AD">
              <w:rPr>
                <w:sz w:val="16"/>
                <w:szCs w:val="16"/>
              </w:rPr>
              <w:t>Sept jours ouvrables</w:t>
            </w:r>
          </w:p>
        </w:tc>
        <w:tc>
          <w:tcPr>
            <w:tcW w:w="865" w:type="pct"/>
            <w:shd w:val="clear" w:color="auto" w:fill="auto"/>
            <w:tcMar>
              <w:top w:w="113" w:type="dxa"/>
              <w:bottom w:w="113" w:type="dxa"/>
            </w:tcMar>
          </w:tcPr>
          <w:p w:rsidR="009D057D" w:rsidRPr="00C258AD" w:rsidRDefault="009D057D" w:rsidP="001A4D6C">
            <w:pPr>
              <w:rPr>
                <w:sz w:val="16"/>
                <w:szCs w:val="16"/>
              </w:rPr>
            </w:pPr>
            <w:r w:rsidRPr="00C258AD">
              <w:rPr>
                <w:sz w:val="16"/>
                <w:szCs w:val="16"/>
              </w:rPr>
              <w:t>Cinq jours ouvrables</w:t>
            </w:r>
          </w:p>
        </w:tc>
        <w:tc>
          <w:tcPr>
            <w:tcW w:w="1157" w:type="pct"/>
            <w:shd w:val="clear" w:color="auto" w:fill="FFFFFF"/>
            <w:tcMar>
              <w:top w:w="113" w:type="dxa"/>
              <w:bottom w:w="113" w:type="dxa"/>
            </w:tcMar>
          </w:tcPr>
          <w:p w:rsidR="009D057D" w:rsidRPr="00C258AD" w:rsidRDefault="009D057D" w:rsidP="001A4D6C">
            <w:pPr>
              <w:rPr>
                <w:sz w:val="16"/>
                <w:szCs w:val="16"/>
              </w:rPr>
            </w:pPr>
            <w:r w:rsidRPr="00C258AD">
              <w:rPr>
                <w:rFonts w:cs="Arial"/>
                <w:sz w:val="16"/>
                <w:szCs w:val="16"/>
              </w:rPr>
              <w:t>100% des demandes enregistrées dans le système de tickets WINS ont reçu une réponse dans un délai de cinq jours ouvrables</w:t>
            </w:r>
          </w:p>
        </w:tc>
        <w:tc>
          <w:tcPr>
            <w:tcW w:w="566" w:type="pct"/>
            <w:shd w:val="clear" w:color="auto" w:fill="auto"/>
            <w:tcMar>
              <w:top w:w="113" w:type="dxa"/>
              <w:bottom w:w="113" w:type="dxa"/>
            </w:tcMar>
          </w:tcPr>
          <w:p w:rsidR="009D057D" w:rsidRPr="00C258AD" w:rsidRDefault="009D057D" w:rsidP="001A4D6C">
            <w:pPr>
              <w:keepNext/>
              <w:keepLines/>
              <w:jc w:val="center"/>
              <w:rPr>
                <w:bCs/>
                <w:color w:val="00B050"/>
                <w:sz w:val="16"/>
                <w:szCs w:val="16"/>
              </w:rPr>
            </w:pPr>
            <w:r w:rsidRPr="00C258AD">
              <w:rPr>
                <w:rFonts w:cs="Arial"/>
                <w:b/>
                <w:bCs/>
                <w:color w:val="00B050"/>
                <w:sz w:val="16"/>
                <w:szCs w:val="16"/>
              </w:rPr>
              <w:t>Objectif pleinement atteint</w:t>
            </w:r>
          </w:p>
        </w:tc>
      </w:tr>
      <w:tr w:rsidR="009D057D" w:rsidRPr="00C258AD" w:rsidTr="001A4D6C">
        <w:trPr>
          <w:cantSplit/>
        </w:trPr>
        <w:tc>
          <w:tcPr>
            <w:tcW w:w="5000" w:type="pct"/>
            <w:gridSpan w:val="5"/>
            <w:tcBorders>
              <w:top w:val="single" w:sz="4" w:space="0" w:color="auto"/>
              <w:bottom w:val="single" w:sz="4" w:space="0" w:color="auto"/>
            </w:tcBorders>
            <w:shd w:val="clear" w:color="auto" w:fill="C5D9F1"/>
            <w:tcMar>
              <w:top w:w="113" w:type="dxa"/>
              <w:bottom w:w="113" w:type="dxa"/>
            </w:tcMar>
            <w:vAlign w:val="center"/>
          </w:tcPr>
          <w:p w:rsidR="009D057D" w:rsidRPr="00C258AD" w:rsidRDefault="009D057D" w:rsidP="001A4D6C">
            <w:pPr>
              <w:tabs>
                <w:tab w:val="left" w:pos="1452"/>
              </w:tabs>
              <w:rPr>
                <w:bCs/>
                <w:sz w:val="16"/>
                <w:szCs w:val="16"/>
              </w:rPr>
            </w:pPr>
            <w:r w:rsidRPr="00C258AD">
              <w:rPr>
                <w:b/>
                <w:bCs/>
                <w:sz w:val="16"/>
                <w:szCs w:val="16"/>
              </w:rPr>
              <w:t>Résultat escompté :</w:t>
            </w:r>
            <w:r w:rsidRPr="00C258AD">
              <w:rPr>
                <w:bCs/>
                <w:i/>
                <w:sz w:val="16"/>
                <w:szCs w:val="16"/>
              </w:rPr>
              <w:t xml:space="preserve"> </w:t>
            </w:r>
            <w:r w:rsidRPr="00C258AD">
              <w:rPr>
                <w:bCs/>
                <w:sz w:val="16"/>
                <w:szCs w:val="16"/>
              </w:rPr>
              <w:t>IX.2 Un Secrétariat réactif, fonctionnant harmonieusement et doté de ressources humaines bien gérées et compétentes, à même d’obtenir des résultats concrets</w:t>
            </w:r>
          </w:p>
        </w:tc>
      </w:tr>
      <w:tr w:rsidR="009D057D" w:rsidRPr="00C258AD" w:rsidTr="001A4D6C">
        <w:trPr>
          <w:cantSplit/>
        </w:trPr>
        <w:tc>
          <w:tcPr>
            <w:tcW w:w="1085" w:type="pct"/>
            <w:tcBorders>
              <w:top w:val="single" w:sz="4" w:space="0" w:color="auto"/>
            </w:tcBorders>
            <w:shd w:val="clear" w:color="auto" w:fill="auto"/>
            <w:tcMar>
              <w:top w:w="113" w:type="dxa"/>
              <w:bottom w:w="113" w:type="dxa"/>
            </w:tcMar>
            <w:vAlign w:val="center"/>
          </w:tcPr>
          <w:p w:rsidR="009D057D" w:rsidRPr="00C258AD" w:rsidRDefault="009D057D" w:rsidP="001A4D6C">
            <w:pPr>
              <w:jc w:val="center"/>
              <w:rPr>
                <w:sz w:val="16"/>
                <w:szCs w:val="16"/>
              </w:rPr>
            </w:pPr>
            <w:r w:rsidRPr="00C258AD">
              <w:rPr>
                <w:b/>
                <w:sz w:val="16"/>
                <w:szCs w:val="16"/>
              </w:rPr>
              <w:t>Indicateurs</w:t>
            </w:r>
            <w:r w:rsidRPr="00C258AD">
              <w:rPr>
                <w:sz w:val="16"/>
                <w:szCs w:val="16"/>
              </w:rPr>
              <w:t xml:space="preserve"> </w:t>
            </w:r>
            <w:r w:rsidRPr="00C258AD">
              <w:rPr>
                <w:b/>
                <w:sz w:val="16"/>
                <w:szCs w:val="16"/>
              </w:rPr>
              <w:t>d’exécution</w:t>
            </w:r>
          </w:p>
        </w:tc>
        <w:tc>
          <w:tcPr>
            <w:tcW w:w="1327" w:type="pct"/>
            <w:tcBorders>
              <w:top w:val="single" w:sz="4" w:space="0" w:color="auto"/>
            </w:tcBorders>
            <w:shd w:val="clear" w:color="auto" w:fill="auto"/>
            <w:tcMar>
              <w:top w:w="113" w:type="dxa"/>
              <w:bottom w:w="113" w:type="dxa"/>
            </w:tcMar>
            <w:vAlign w:val="center"/>
          </w:tcPr>
          <w:p w:rsidR="009D057D" w:rsidRPr="00C258AD" w:rsidRDefault="009D057D" w:rsidP="001A4D6C">
            <w:pPr>
              <w:jc w:val="center"/>
              <w:rPr>
                <w:b/>
                <w:bCs/>
                <w:sz w:val="16"/>
                <w:szCs w:val="16"/>
              </w:rPr>
            </w:pPr>
            <w:r w:rsidRPr="00C258AD">
              <w:rPr>
                <w:b/>
                <w:bCs/>
                <w:sz w:val="16"/>
                <w:szCs w:val="16"/>
              </w:rPr>
              <w:t>Niveaux de référence</w:t>
            </w:r>
          </w:p>
        </w:tc>
        <w:tc>
          <w:tcPr>
            <w:tcW w:w="865" w:type="pct"/>
            <w:tcBorders>
              <w:top w:val="single" w:sz="4" w:space="0" w:color="auto"/>
            </w:tcBorders>
            <w:shd w:val="clear" w:color="auto" w:fill="auto"/>
            <w:tcMar>
              <w:top w:w="113" w:type="dxa"/>
              <w:bottom w:w="113" w:type="dxa"/>
            </w:tcMar>
            <w:vAlign w:val="center"/>
          </w:tcPr>
          <w:p w:rsidR="009D057D" w:rsidRPr="00C258AD" w:rsidRDefault="009D057D" w:rsidP="001A4D6C">
            <w:pPr>
              <w:jc w:val="center"/>
              <w:rPr>
                <w:b/>
                <w:sz w:val="16"/>
                <w:szCs w:val="16"/>
              </w:rPr>
            </w:pPr>
            <w:r w:rsidRPr="00C258AD">
              <w:rPr>
                <w:b/>
                <w:sz w:val="16"/>
                <w:szCs w:val="16"/>
              </w:rPr>
              <w:t>Objectifs visés</w:t>
            </w:r>
          </w:p>
        </w:tc>
        <w:tc>
          <w:tcPr>
            <w:tcW w:w="1157" w:type="pct"/>
            <w:tcBorders>
              <w:top w:val="single" w:sz="4" w:space="0" w:color="auto"/>
            </w:tcBorders>
            <w:shd w:val="clear" w:color="auto" w:fill="FFFFFF"/>
            <w:tcMar>
              <w:top w:w="113" w:type="dxa"/>
              <w:bottom w:w="113" w:type="dxa"/>
            </w:tcMar>
            <w:vAlign w:val="center"/>
          </w:tcPr>
          <w:p w:rsidR="009D057D" w:rsidRPr="00C258AD" w:rsidRDefault="009D057D" w:rsidP="001A4D6C">
            <w:pPr>
              <w:jc w:val="center"/>
              <w:rPr>
                <w:sz w:val="16"/>
                <w:szCs w:val="16"/>
              </w:rPr>
            </w:pPr>
            <w:r w:rsidRPr="00C258AD">
              <w:rPr>
                <w:b/>
                <w:sz w:val="16"/>
                <w:szCs w:val="16"/>
              </w:rPr>
              <w:t>Données relatives à l’exécution</w:t>
            </w:r>
          </w:p>
        </w:tc>
        <w:tc>
          <w:tcPr>
            <w:tcW w:w="566" w:type="pct"/>
            <w:tcBorders>
              <w:top w:val="single" w:sz="4" w:space="0" w:color="auto"/>
            </w:tcBorders>
            <w:shd w:val="clear" w:color="auto" w:fill="auto"/>
            <w:tcMar>
              <w:top w:w="113" w:type="dxa"/>
              <w:bottom w:w="113" w:type="dxa"/>
            </w:tcMar>
            <w:vAlign w:val="center"/>
          </w:tcPr>
          <w:p w:rsidR="009D057D" w:rsidRPr="00C258AD" w:rsidRDefault="009D057D" w:rsidP="001A4D6C">
            <w:pPr>
              <w:keepNext/>
              <w:keepLines/>
              <w:jc w:val="center"/>
              <w:rPr>
                <w:b/>
                <w:bCs/>
                <w:sz w:val="16"/>
                <w:szCs w:val="16"/>
              </w:rPr>
            </w:pPr>
            <w:r w:rsidRPr="00C258AD">
              <w:rPr>
                <w:b/>
                <w:bCs/>
                <w:sz w:val="16"/>
                <w:szCs w:val="16"/>
              </w:rPr>
              <w:t>Code de couleurs</w:t>
            </w:r>
          </w:p>
        </w:tc>
      </w:tr>
      <w:tr w:rsidR="009D057D" w:rsidRPr="00C258AD" w:rsidTr="001A4D6C">
        <w:trPr>
          <w:cantSplit/>
        </w:trPr>
        <w:tc>
          <w:tcPr>
            <w:tcW w:w="1085" w:type="pct"/>
            <w:shd w:val="clear" w:color="auto" w:fill="auto"/>
            <w:tcMar>
              <w:top w:w="113" w:type="dxa"/>
              <w:bottom w:w="113" w:type="dxa"/>
            </w:tcMar>
          </w:tcPr>
          <w:p w:rsidR="009D057D" w:rsidRPr="00C258AD" w:rsidRDefault="009D057D" w:rsidP="001A4D6C">
            <w:pPr>
              <w:rPr>
                <w:sz w:val="16"/>
                <w:szCs w:val="16"/>
              </w:rPr>
            </w:pPr>
            <w:r w:rsidRPr="00C258AD">
              <w:rPr>
                <w:sz w:val="16"/>
                <w:szCs w:val="16"/>
              </w:rPr>
              <w:t>Délais de recrutement</w:t>
            </w:r>
          </w:p>
        </w:tc>
        <w:tc>
          <w:tcPr>
            <w:tcW w:w="1327" w:type="pct"/>
            <w:shd w:val="clear" w:color="auto" w:fill="auto"/>
            <w:tcMar>
              <w:top w:w="113" w:type="dxa"/>
              <w:bottom w:w="113" w:type="dxa"/>
            </w:tcMar>
          </w:tcPr>
          <w:p w:rsidR="006E2BB1" w:rsidRPr="00C258AD" w:rsidRDefault="009D057D" w:rsidP="001A4D6C">
            <w:pPr>
              <w:rPr>
                <w:color w:val="002060"/>
                <w:sz w:val="16"/>
                <w:szCs w:val="16"/>
              </w:rPr>
            </w:pPr>
            <w:r w:rsidRPr="00C258AD">
              <w:rPr>
                <w:i/>
                <w:color w:val="002060"/>
                <w:sz w:val="16"/>
                <w:szCs w:val="16"/>
              </w:rPr>
              <w:t xml:space="preserve">Niveau de référence actualisé à fin 2013 : </w:t>
            </w:r>
            <w:r w:rsidRPr="00C258AD">
              <w:rPr>
                <w:color w:val="002060"/>
                <w:sz w:val="16"/>
                <w:szCs w:val="16"/>
              </w:rPr>
              <w:t>moyenne de l’exercice biennal : 16,03 semaines (au 19 mars 2014)</w:t>
            </w:r>
          </w:p>
          <w:p w:rsidR="006E2BB1" w:rsidRPr="00C258AD" w:rsidRDefault="009D057D" w:rsidP="001A4D6C">
            <w:pPr>
              <w:pStyle w:val="ListParagraph"/>
              <w:ind w:left="0"/>
              <w:rPr>
                <w:color w:val="002060"/>
                <w:sz w:val="16"/>
                <w:szCs w:val="16"/>
              </w:rPr>
            </w:pPr>
            <w:r w:rsidRPr="00C258AD">
              <w:rPr>
                <w:color w:val="002060"/>
                <w:sz w:val="16"/>
                <w:szCs w:val="16"/>
              </w:rPr>
              <w:t>2012 : 16,5 semaines</w:t>
            </w:r>
          </w:p>
          <w:p w:rsidR="006E2BB1" w:rsidRPr="00C258AD" w:rsidRDefault="009D057D" w:rsidP="001A4D6C">
            <w:pPr>
              <w:pStyle w:val="ListParagraph"/>
              <w:ind w:left="0"/>
              <w:rPr>
                <w:color w:val="002060"/>
                <w:sz w:val="16"/>
                <w:szCs w:val="16"/>
              </w:rPr>
            </w:pPr>
            <w:r w:rsidRPr="00C258AD">
              <w:rPr>
                <w:color w:val="002060"/>
                <w:sz w:val="16"/>
                <w:szCs w:val="16"/>
              </w:rPr>
              <w:t>2013 : 15,56 semaines</w:t>
            </w:r>
          </w:p>
          <w:p w:rsidR="006E2BB1" w:rsidRPr="00C258AD" w:rsidRDefault="006E2BB1" w:rsidP="001A4D6C">
            <w:pPr>
              <w:rPr>
                <w:i/>
                <w:sz w:val="16"/>
                <w:szCs w:val="16"/>
              </w:rPr>
            </w:pPr>
          </w:p>
          <w:p w:rsidR="009D057D" w:rsidRPr="00C258AD" w:rsidRDefault="009D057D" w:rsidP="001A4D6C">
            <w:pPr>
              <w:rPr>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21 semaines</w:t>
            </w:r>
          </w:p>
        </w:tc>
        <w:tc>
          <w:tcPr>
            <w:tcW w:w="865" w:type="pct"/>
            <w:shd w:val="clear" w:color="auto" w:fill="auto"/>
            <w:tcMar>
              <w:top w:w="113" w:type="dxa"/>
              <w:bottom w:w="113" w:type="dxa"/>
            </w:tcMar>
          </w:tcPr>
          <w:p w:rsidR="009D057D" w:rsidRPr="00C258AD" w:rsidRDefault="009D057D" w:rsidP="001A4D6C">
            <w:pPr>
              <w:rPr>
                <w:sz w:val="16"/>
                <w:szCs w:val="16"/>
              </w:rPr>
            </w:pPr>
            <w:r w:rsidRPr="00C258AD">
              <w:rPr>
                <w:sz w:val="16"/>
                <w:szCs w:val="16"/>
              </w:rPr>
              <w:t>19 semaines</w:t>
            </w:r>
          </w:p>
        </w:tc>
        <w:tc>
          <w:tcPr>
            <w:tcW w:w="1157" w:type="pct"/>
            <w:shd w:val="clear" w:color="auto" w:fill="FFFFFF"/>
            <w:tcMar>
              <w:top w:w="113" w:type="dxa"/>
              <w:bottom w:w="113" w:type="dxa"/>
            </w:tcMar>
          </w:tcPr>
          <w:p w:rsidR="006E2BB1" w:rsidRPr="00C258AD" w:rsidRDefault="009D057D" w:rsidP="001A4D6C">
            <w:pPr>
              <w:rPr>
                <w:sz w:val="16"/>
              </w:rPr>
            </w:pPr>
            <w:r w:rsidRPr="00C258AD">
              <w:rPr>
                <w:sz w:val="16"/>
              </w:rPr>
              <w:t>Moyenne de l’exercice biennal : 19,77</w:t>
            </w:r>
          </w:p>
          <w:p w:rsidR="006E2BB1" w:rsidRPr="00C258AD" w:rsidRDefault="009D057D" w:rsidP="001A4D6C">
            <w:pPr>
              <w:rPr>
                <w:sz w:val="16"/>
              </w:rPr>
            </w:pPr>
            <w:r w:rsidRPr="00C258AD">
              <w:rPr>
                <w:sz w:val="16"/>
              </w:rPr>
              <w:t>2014 : 17,28 semaines</w:t>
            </w:r>
            <w:r w:rsidRPr="00C258AD">
              <w:rPr>
                <w:rStyle w:val="FootnoteReference"/>
                <w:rFonts w:eastAsia="SimSun"/>
                <w:sz w:val="12"/>
                <w:szCs w:val="16"/>
              </w:rPr>
              <w:footnoteReference w:id="131"/>
            </w:r>
            <w:r w:rsidRPr="00C258AD">
              <w:rPr>
                <w:sz w:val="16"/>
              </w:rPr>
              <w:t xml:space="preserve"> (dont 29 agents temporaires de longue durée)</w:t>
            </w:r>
          </w:p>
          <w:p w:rsidR="006E2BB1" w:rsidRPr="00C258AD" w:rsidRDefault="009D057D" w:rsidP="001A4D6C">
            <w:pPr>
              <w:rPr>
                <w:sz w:val="16"/>
              </w:rPr>
            </w:pPr>
            <w:r w:rsidRPr="00C258AD">
              <w:rPr>
                <w:sz w:val="16"/>
              </w:rPr>
              <w:t>2015 : 22,29 semaines</w:t>
            </w:r>
            <w:r w:rsidRPr="00C258AD">
              <w:rPr>
                <w:rStyle w:val="FootnoteReference"/>
                <w:rFonts w:eastAsia="SimSun"/>
                <w:sz w:val="12"/>
                <w:szCs w:val="16"/>
              </w:rPr>
              <w:footnoteReference w:id="132"/>
            </w:r>
          </w:p>
          <w:p w:rsidR="009D057D" w:rsidRPr="00C258AD" w:rsidRDefault="009D057D" w:rsidP="001A4D6C">
            <w:r w:rsidRPr="00C258AD">
              <w:rPr>
                <w:sz w:val="16"/>
              </w:rPr>
              <w:t>(pas d’agents temporaires de longue durée en 2015)</w:t>
            </w:r>
          </w:p>
        </w:tc>
        <w:tc>
          <w:tcPr>
            <w:tcW w:w="566" w:type="pct"/>
            <w:shd w:val="clear" w:color="auto" w:fill="auto"/>
            <w:tcMar>
              <w:top w:w="113" w:type="dxa"/>
              <w:bottom w:w="113" w:type="dxa"/>
            </w:tcMar>
          </w:tcPr>
          <w:p w:rsidR="009D057D" w:rsidRPr="00C258AD" w:rsidRDefault="009D057D" w:rsidP="001A4D6C">
            <w:pPr>
              <w:keepNext/>
              <w:keepLines/>
              <w:jc w:val="center"/>
              <w:rPr>
                <w:bCs/>
                <w:color w:val="00B050"/>
                <w:sz w:val="16"/>
                <w:szCs w:val="16"/>
              </w:rPr>
            </w:pPr>
            <w:r w:rsidRPr="00C258AD">
              <w:rPr>
                <w:rFonts w:cs="Arial"/>
                <w:b/>
                <w:bCs/>
                <w:color w:val="00B050"/>
                <w:sz w:val="16"/>
                <w:szCs w:val="16"/>
              </w:rPr>
              <w:t>Objectif pleinement atteint</w:t>
            </w:r>
          </w:p>
        </w:tc>
      </w:tr>
      <w:tr w:rsidR="009D057D" w:rsidRPr="00C258AD" w:rsidTr="001A4D6C">
        <w:trPr>
          <w:cantSplit/>
        </w:trPr>
        <w:tc>
          <w:tcPr>
            <w:tcW w:w="1085" w:type="pct"/>
            <w:shd w:val="clear" w:color="auto" w:fill="auto"/>
            <w:tcMar>
              <w:top w:w="113" w:type="dxa"/>
              <w:bottom w:w="113" w:type="dxa"/>
            </w:tcMar>
          </w:tcPr>
          <w:p w:rsidR="009D057D" w:rsidRPr="00C258AD" w:rsidRDefault="009D057D" w:rsidP="001A4D6C">
            <w:pPr>
              <w:rPr>
                <w:sz w:val="16"/>
                <w:szCs w:val="16"/>
              </w:rPr>
            </w:pPr>
            <w:r w:rsidRPr="00C258AD">
              <w:rPr>
                <w:sz w:val="16"/>
                <w:szCs w:val="16"/>
              </w:rPr>
              <w:lastRenderedPageBreak/>
              <w:t>Pourcentage de pôles de l’Organisation dont les plans d’effectifs existants sont liés aux plans de travail annuels</w:t>
            </w:r>
          </w:p>
        </w:tc>
        <w:tc>
          <w:tcPr>
            <w:tcW w:w="1327" w:type="pct"/>
            <w:shd w:val="clear" w:color="auto" w:fill="auto"/>
            <w:tcMar>
              <w:top w:w="113" w:type="dxa"/>
              <w:bottom w:w="113" w:type="dxa"/>
            </w:tcMar>
          </w:tcPr>
          <w:p w:rsidR="006E2BB1" w:rsidRPr="00C258AD" w:rsidRDefault="009D057D" w:rsidP="001A4D6C">
            <w:pPr>
              <w:rPr>
                <w:color w:val="002060"/>
                <w:sz w:val="16"/>
                <w:szCs w:val="16"/>
                <w:lang w:bidi="th-TH"/>
              </w:rPr>
            </w:pPr>
            <w:r w:rsidRPr="00C258AD">
              <w:rPr>
                <w:i/>
                <w:color w:val="002060"/>
                <w:sz w:val="16"/>
                <w:szCs w:val="16"/>
                <w:lang w:bidi="th-TH"/>
              </w:rPr>
              <w:t>Niveau de référence actualisé fin 2013</w:t>
            </w:r>
            <w:r w:rsidRPr="00C258AD">
              <w:rPr>
                <w:color w:val="002060"/>
                <w:sz w:val="16"/>
                <w:szCs w:val="16"/>
                <w:lang w:bidi="th-TH"/>
              </w:rPr>
              <w:t> </w:t>
            </w:r>
            <w:r w:rsidRPr="00C258AD">
              <w:rPr>
                <w:color w:val="002060"/>
                <w:sz w:val="16"/>
                <w:szCs w:val="16"/>
              </w:rPr>
              <w:t>:</w:t>
            </w:r>
            <w:r w:rsidRPr="00C258AD">
              <w:rPr>
                <w:i/>
                <w:color w:val="002060"/>
                <w:sz w:val="16"/>
                <w:szCs w:val="16"/>
                <w:lang w:bidi="th-TH"/>
              </w:rPr>
              <w:t xml:space="preserve"> </w:t>
            </w:r>
            <w:r w:rsidRPr="00C258AD">
              <w:rPr>
                <w:color w:val="002060"/>
                <w:sz w:val="16"/>
                <w:szCs w:val="16"/>
                <w:lang w:bidi="th-TH"/>
              </w:rPr>
              <w:t>0</w:t>
            </w:r>
          </w:p>
          <w:p w:rsidR="006E2BB1" w:rsidRPr="00C258AD" w:rsidRDefault="006E2BB1" w:rsidP="001A4D6C">
            <w:pPr>
              <w:rPr>
                <w:i/>
                <w:sz w:val="16"/>
                <w:szCs w:val="16"/>
              </w:rPr>
            </w:pPr>
          </w:p>
          <w:p w:rsidR="009D057D" w:rsidRPr="00C258AD" w:rsidRDefault="009D057D" w:rsidP="001A4D6C">
            <w:pPr>
              <w:rPr>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à déterminer</w:t>
            </w:r>
          </w:p>
        </w:tc>
        <w:tc>
          <w:tcPr>
            <w:tcW w:w="865" w:type="pct"/>
            <w:shd w:val="clear" w:color="auto" w:fill="auto"/>
            <w:tcMar>
              <w:top w:w="113" w:type="dxa"/>
              <w:bottom w:w="113" w:type="dxa"/>
            </w:tcMar>
          </w:tcPr>
          <w:p w:rsidR="009D057D" w:rsidRPr="00C258AD" w:rsidRDefault="009D057D" w:rsidP="001A4D6C">
            <w:pPr>
              <w:autoSpaceDE w:val="0"/>
              <w:autoSpaceDN w:val="0"/>
              <w:adjustRightInd w:val="0"/>
              <w:rPr>
                <w:sz w:val="16"/>
                <w:szCs w:val="16"/>
              </w:rPr>
            </w:pPr>
            <w:r w:rsidRPr="00C258AD">
              <w:rPr>
                <w:sz w:val="16"/>
                <w:szCs w:val="16"/>
              </w:rPr>
              <w:t>70%</w:t>
            </w:r>
          </w:p>
        </w:tc>
        <w:tc>
          <w:tcPr>
            <w:tcW w:w="1157" w:type="pct"/>
            <w:shd w:val="clear" w:color="auto" w:fill="FFFFFF"/>
            <w:tcMar>
              <w:top w:w="113" w:type="dxa"/>
              <w:bottom w:w="113" w:type="dxa"/>
            </w:tcMar>
          </w:tcPr>
          <w:p w:rsidR="009D057D" w:rsidRPr="00C258AD" w:rsidRDefault="009D057D" w:rsidP="001A4D6C">
            <w:pPr>
              <w:rPr>
                <w:sz w:val="16"/>
                <w:szCs w:val="16"/>
              </w:rPr>
            </w:pPr>
            <w:r w:rsidRPr="00C258AD">
              <w:rPr>
                <w:sz w:val="16"/>
                <w:szCs w:val="16"/>
              </w:rPr>
              <w:t>90%</w:t>
            </w:r>
          </w:p>
        </w:tc>
        <w:tc>
          <w:tcPr>
            <w:tcW w:w="566" w:type="pct"/>
            <w:shd w:val="clear" w:color="auto" w:fill="auto"/>
            <w:tcMar>
              <w:top w:w="113" w:type="dxa"/>
              <w:bottom w:w="113" w:type="dxa"/>
            </w:tcMar>
          </w:tcPr>
          <w:p w:rsidR="009D057D" w:rsidRPr="00C258AD" w:rsidRDefault="009D057D" w:rsidP="001A4D6C">
            <w:pPr>
              <w:keepNext/>
              <w:keepLines/>
              <w:jc w:val="center"/>
              <w:rPr>
                <w:bCs/>
                <w:color w:val="00B050"/>
                <w:sz w:val="16"/>
                <w:szCs w:val="16"/>
              </w:rPr>
            </w:pPr>
            <w:r w:rsidRPr="00C258AD">
              <w:rPr>
                <w:rFonts w:cs="Arial"/>
                <w:b/>
                <w:bCs/>
                <w:color w:val="00B050"/>
                <w:sz w:val="16"/>
                <w:szCs w:val="16"/>
              </w:rPr>
              <w:t>Objectif pleinement atteint</w:t>
            </w:r>
          </w:p>
        </w:tc>
      </w:tr>
      <w:tr w:rsidR="009D057D" w:rsidRPr="00C258AD" w:rsidTr="001A4D6C">
        <w:trPr>
          <w:cantSplit/>
        </w:trPr>
        <w:tc>
          <w:tcPr>
            <w:tcW w:w="1085" w:type="pct"/>
            <w:shd w:val="clear" w:color="auto" w:fill="auto"/>
            <w:tcMar>
              <w:top w:w="113" w:type="dxa"/>
              <w:bottom w:w="113" w:type="dxa"/>
            </w:tcMar>
          </w:tcPr>
          <w:p w:rsidR="009D057D" w:rsidRPr="00C258AD" w:rsidRDefault="009D057D" w:rsidP="001A4D6C">
            <w:pPr>
              <w:rPr>
                <w:sz w:val="16"/>
                <w:szCs w:val="16"/>
              </w:rPr>
            </w:pPr>
            <w:r w:rsidRPr="00C258AD">
              <w:rPr>
                <w:sz w:val="16"/>
                <w:szCs w:val="16"/>
              </w:rPr>
              <w:t>Pourcentage de nouveaux embauchés qui répondent aux besoins de l’Organisation</w:t>
            </w:r>
          </w:p>
        </w:tc>
        <w:tc>
          <w:tcPr>
            <w:tcW w:w="1327" w:type="pct"/>
            <w:shd w:val="clear" w:color="auto" w:fill="auto"/>
            <w:tcMar>
              <w:top w:w="113" w:type="dxa"/>
              <w:bottom w:w="113" w:type="dxa"/>
            </w:tcMar>
          </w:tcPr>
          <w:p w:rsidR="009D057D" w:rsidRPr="00C258AD" w:rsidRDefault="009D057D" w:rsidP="001A4D6C">
            <w:pPr>
              <w:rPr>
                <w:i/>
                <w:sz w:val="16"/>
                <w:szCs w:val="16"/>
              </w:rPr>
            </w:pPr>
            <w:r w:rsidRPr="00C258AD">
              <w:rPr>
                <w:sz w:val="16"/>
                <w:szCs w:val="16"/>
              </w:rPr>
              <w:t>À déterminer</w:t>
            </w:r>
          </w:p>
        </w:tc>
        <w:tc>
          <w:tcPr>
            <w:tcW w:w="865" w:type="pct"/>
            <w:shd w:val="clear" w:color="auto" w:fill="auto"/>
            <w:tcMar>
              <w:top w:w="113" w:type="dxa"/>
              <w:bottom w:w="113" w:type="dxa"/>
            </w:tcMar>
          </w:tcPr>
          <w:p w:rsidR="009D057D" w:rsidRPr="00C258AD" w:rsidRDefault="009D057D" w:rsidP="001A4D6C">
            <w:pPr>
              <w:rPr>
                <w:sz w:val="16"/>
                <w:szCs w:val="16"/>
              </w:rPr>
            </w:pPr>
            <w:r w:rsidRPr="00C258AD">
              <w:rPr>
                <w:sz w:val="16"/>
                <w:szCs w:val="16"/>
              </w:rPr>
              <w:t>80% des performances satisfaisantes à l’issue de la période d’essai</w:t>
            </w:r>
          </w:p>
        </w:tc>
        <w:tc>
          <w:tcPr>
            <w:tcW w:w="1157" w:type="pct"/>
            <w:shd w:val="clear" w:color="auto" w:fill="FFFFFF"/>
            <w:tcMar>
              <w:top w:w="113" w:type="dxa"/>
              <w:bottom w:w="113" w:type="dxa"/>
            </w:tcMar>
          </w:tcPr>
          <w:p w:rsidR="009D057D" w:rsidRPr="00C258AD" w:rsidRDefault="009D057D" w:rsidP="001A4D6C">
            <w:pPr>
              <w:rPr>
                <w:sz w:val="16"/>
                <w:szCs w:val="16"/>
              </w:rPr>
            </w:pPr>
            <w:r w:rsidRPr="00C258AD">
              <w:rPr>
                <w:rFonts w:cs="Arial"/>
                <w:sz w:val="16"/>
                <w:szCs w:val="16"/>
              </w:rPr>
              <w:t>94,4% des fonctionnaires qui ont été embauchés en 2013 et 2014 ont fait un travail jugé satisfaisant dans le cadre du PMSDS</w:t>
            </w:r>
          </w:p>
        </w:tc>
        <w:tc>
          <w:tcPr>
            <w:tcW w:w="566" w:type="pct"/>
            <w:shd w:val="clear" w:color="auto" w:fill="auto"/>
            <w:tcMar>
              <w:top w:w="113" w:type="dxa"/>
              <w:bottom w:w="113" w:type="dxa"/>
            </w:tcMar>
          </w:tcPr>
          <w:p w:rsidR="009D057D" w:rsidRPr="00C258AD" w:rsidRDefault="009D057D" w:rsidP="001A4D6C">
            <w:pPr>
              <w:keepNext/>
              <w:keepLines/>
              <w:jc w:val="center"/>
              <w:rPr>
                <w:bCs/>
                <w:color w:val="00B050"/>
                <w:sz w:val="16"/>
                <w:szCs w:val="16"/>
              </w:rPr>
            </w:pPr>
            <w:r w:rsidRPr="00C258AD">
              <w:rPr>
                <w:rFonts w:cs="Arial"/>
                <w:b/>
                <w:bCs/>
                <w:color w:val="00B050"/>
                <w:sz w:val="16"/>
                <w:szCs w:val="16"/>
              </w:rPr>
              <w:t>Objectif pleinement atteint</w:t>
            </w:r>
          </w:p>
        </w:tc>
      </w:tr>
      <w:tr w:rsidR="009D057D" w:rsidRPr="00C258AD" w:rsidTr="001A4D6C">
        <w:trPr>
          <w:cantSplit/>
        </w:trPr>
        <w:tc>
          <w:tcPr>
            <w:tcW w:w="1085" w:type="pct"/>
            <w:shd w:val="clear" w:color="auto" w:fill="auto"/>
            <w:tcMar>
              <w:top w:w="113" w:type="dxa"/>
              <w:bottom w:w="113" w:type="dxa"/>
            </w:tcMar>
          </w:tcPr>
          <w:p w:rsidR="009D057D" w:rsidRPr="00C258AD" w:rsidRDefault="009D057D" w:rsidP="001A4D6C">
            <w:pPr>
              <w:rPr>
                <w:sz w:val="16"/>
                <w:szCs w:val="16"/>
              </w:rPr>
            </w:pPr>
            <w:r w:rsidRPr="00C258AD">
              <w:rPr>
                <w:sz w:val="16"/>
                <w:szCs w:val="16"/>
              </w:rPr>
              <w:t>Pourcentage du personnel dont le travail est évalué en fonction de leurs objectifs et de leurs compétences individuels</w:t>
            </w:r>
          </w:p>
        </w:tc>
        <w:tc>
          <w:tcPr>
            <w:tcW w:w="1327" w:type="pct"/>
            <w:shd w:val="clear" w:color="auto" w:fill="auto"/>
            <w:tcMar>
              <w:top w:w="113" w:type="dxa"/>
              <w:bottom w:w="113" w:type="dxa"/>
            </w:tcMar>
          </w:tcPr>
          <w:p w:rsidR="006E2BB1" w:rsidRPr="00C258AD" w:rsidRDefault="009D057D" w:rsidP="001A4D6C">
            <w:pPr>
              <w:rPr>
                <w:color w:val="002060"/>
                <w:sz w:val="16"/>
                <w:szCs w:val="16"/>
              </w:rPr>
            </w:pPr>
            <w:r w:rsidRPr="00C258AD">
              <w:rPr>
                <w:i/>
                <w:color w:val="002060"/>
                <w:sz w:val="16"/>
                <w:szCs w:val="16"/>
              </w:rPr>
              <w:t>Niveau de référence actualisé à fin 2013 :</w:t>
            </w:r>
            <w:r w:rsidRPr="00C258AD">
              <w:rPr>
                <w:color w:val="002060"/>
                <w:sz w:val="16"/>
                <w:szCs w:val="16"/>
              </w:rPr>
              <w:t xml:space="preserve"> exercice biennal : 90,75% des membres du personnel couverts au titre du PMSDS ont été évalués au regard d’objectifs et de compétences individuels</w:t>
            </w:r>
          </w:p>
          <w:p w:rsidR="006E2BB1" w:rsidRPr="00C258AD" w:rsidRDefault="006E2BB1" w:rsidP="001A4D6C">
            <w:pPr>
              <w:rPr>
                <w:color w:val="002060"/>
                <w:sz w:val="16"/>
                <w:szCs w:val="16"/>
              </w:rPr>
            </w:pPr>
          </w:p>
          <w:p w:rsidR="006E2BB1" w:rsidRPr="00C258AD" w:rsidRDefault="009D057D" w:rsidP="001A4D6C">
            <w:pPr>
              <w:rPr>
                <w:color w:val="002060"/>
                <w:sz w:val="16"/>
                <w:szCs w:val="16"/>
              </w:rPr>
            </w:pPr>
            <w:r w:rsidRPr="00C258AD">
              <w:rPr>
                <w:color w:val="002060"/>
                <w:sz w:val="16"/>
                <w:szCs w:val="16"/>
              </w:rPr>
              <w:t>2012 : 91% des membres du personnel couverts au titre du PMSDS ont été évalués au regard d’objectifs et de compétences individuels (à fin avril 2012)</w:t>
            </w:r>
          </w:p>
          <w:p w:rsidR="006E2BB1" w:rsidRPr="00C258AD" w:rsidRDefault="006E2BB1" w:rsidP="001A4D6C">
            <w:pPr>
              <w:rPr>
                <w:color w:val="002060"/>
                <w:sz w:val="16"/>
                <w:szCs w:val="16"/>
              </w:rPr>
            </w:pPr>
          </w:p>
          <w:p w:rsidR="006E2BB1" w:rsidRPr="00C258AD" w:rsidRDefault="009D057D" w:rsidP="001A4D6C">
            <w:pPr>
              <w:rPr>
                <w:color w:val="002060"/>
                <w:sz w:val="16"/>
                <w:szCs w:val="16"/>
                <w:lang w:bidi="th-TH"/>
              </w:rPr>
            </w:pPr>
            <w:r w:rsidRPr="00C258AD">
              <w:rPr>
                <w:color w:val="002060"/>
                <w:sz w:val="16"/>
                <w:szCs w:val="16"/>
                <w:lang w:bidi="th-TH"/>
              </w:rPr>
              <w:t>2013 : 90.5% des membres du personnel couverts au titre du PMSDS ont été évalués au regard d’objectifs et de compétences individuels (à fin avril 2013)</w:t>
            </w:r>
          </w:p>
          <w:p w:rsidR="006E2BB1" w:rsidRPr="00C258AD" w:rsidRDefault="006E2BB1" w:rsidP="001A4D6C">
            <w:pPr>
              <w:rPr>
                <w:i/>
                <w:sz w:val="16"/>
                <w:szCs w:val="16"/>
              </w:rPr>
            </w:pPr>
          </w:p>
          <w:p w:rsidR="009D057D" w:rsidRPr="00C258AD" w:rsidRDefault="009D057D" w:rsidP="001A4D6C">
            <w:pPr>
              <w:rPr>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81% (2012)</w:t>
            </w:r>
          </w:p>
        </w:tc>
        <w:tc>
          <w:tcPr>
            <w:tcW w:w="865" w:type="pct"/>
            <w:shd w:val="clear" w:color="auto" w:fill="auto"/>
            <w:tcMar>
              <w:top w:w="113" w:type="dxa"/>
              <w:bottom w:w="113" w:type="dxa"/>
            </w:tcMar>
          </w:tcPr>
          <w:p w:rsidR="009D057D" w:rsidRPr="00C258AD" w:rsidRDefault="009D057D" w:rsidP="001A4D6C">
            <w:pPr>
              <w:rPr>
                <w:sz w:val="16"/>
                <w:szCs w:val="16"/>
              </w:rPr>
            </w:pPr>
            <w:r w:rsidRPr="00C258AD">
              <w:rPr>
                <w:sz w:val="16"/>
                <w:szCs w:val="16"/>
              </w:rPr>
              <w:t>90%</w:t>
            </w:r>
          </w:p>
        </w:tc>
        <w:tc>
          <w:tcPr>
            <w:tcW w:w="1157" w:type="pct"/>
            <w:shd w:val="clear" w:color="auto" w:fill="FFFFFF"/>
            <w:tcMar>
              <w:top w:w="113" w:type="dxa"/>
              <w:bottom w:w="113" w:type="dxa"/>
            </w:tcMar>
          </w:tcPr>
          <w:p w:rsidR="006E2BB1" w:rsidRPr="00C258AD" w:rsidRDefault="009D057D" w:rsidP="001A4D6C">
            <w:pPr>
              <w:rPr>
                <w:sz w:val="16"/>
                <w:szCs w:val="16"/>
              </w:rPr>
            </w:pPr>
            <w:r w:rsidRPr="00C258AD">
              <w:rPr>
                <w:sz w:val="16"/>
                <w:szCs w:val="16"/>
              </w:rPr>
              <w:t>2014 : 93,1%</w:t>
            </w:r>
          </w:p>
          <w:p w:rsidR="009D057D" w:rsidRPr="00C258AD" w:rsidRDefault="009D057D" w:rsidP="001A4D6C">
            <w:pPr>
              <w:rPr>
                <w:sz w:val="16"/>
                <w:szCs w:val="16"/>
              </w:rPr>
            </w:pPr>
            <w:r w:rsidRPr="00C258AD">
              <w:rPr>
                <w:sz w:val="16"/>
                <w:szCs w:val="16"/>
              </w:rPr>
              <w:t>2015 : 92,8%</w:t>
            </w:r>
          </w:p>
        </w:tc>
        <w:tc>
          <w:tcPr>
            <w:tcW w:w="566" w:type="pct"/>
            <w:shd w:val="clear" w:color="auto" w:fill="auto"/>
            <w:tcMar>
              <w:top w:w="113" w:type="dxa"/>
              <w:bottom w:w="113" w:type="dxa"/>
            </w:tcMar>
          </w:tcPr>
          <w:p w:rsidR="009D057D" w:rsidRPr="00C258AD" w:rsidRDefault="009D057D" w:rsidP="001A4D6C">
            <w:pPr>
              <w:jc w:val="center"/>
              <w:rPr>
                <w:bCs/>
                <w:sz w:val="16"/>
                <w:szCs w:val="16"/>
              </w:rPr>
            </w:pPr>
            <w:r w:rsidRPr="00C258AD">
              <w:rPr>
                <w:rFonts w:cs="Arial"/>
                <w:b/>
                <w:bCs/>
                <w:color w:val="00B050"/>
                <w:sz w:val="16"/>
                <w:szCs w:val="16"/>
              </w:rPr>
              <w:t>Objectif pleinement atteint</w:t>
            </w:r>
          </w:p>
        </w:tc>
      </w:tr>
      <w:tr w:rsidR="009D057D" w:rsidRPr="00C258AD" w:rsidTr="001A4D6C">
        <w:trPr>
          <w:cantSplit/>
        </w:trPr>
        <w:tc>
          <w:tcPr>
            <w:tcW w:w="1085" w:type="pct"/>
            <w:shd w:val="clear" w:color="auto" w:fill="auto"/>
            <w:tcMar>
              <w:top w:w="113" w:type="dxa"/>
              <w:bottom w:w="113" w:type="dxa"/>
            </w:tcMar>
          </w:tcPr>
          <w:p w:rsidR="009D057D" w:rsidRPr="00C258AD" w:rsidRDefault="009D057D" w:rsidP="001A4D6C">
            <w:pPr>
              <w:rPr>
                <w:sz w:val="16"/>
                <w:szCs w:val="16"/>
              </w:rPr>
            </w:pPr>
            <w:r w:rsidRPr="00C258AD">
              <w:rPr>
                <w:sz w:val="16"/>
                <w:szCs w:val="16"/>
              </w:rPr>
              <w:t xml:space="preserve">Pourcentage de besoins essentiels de formation individuelle et collective qui </w:t>
            </w:r>
            <w:proofErr w:type="gramStart"/>
            <w:r w:rsidRPr="00C258AD">
              <w:rPr>
                <w:sz w:val="16"/>
                <w:szCs w:val="16"/>
              </w:rPr>
              <w:t>ont</w:t>
            </w:r>
            <w:proofErr w:type="gramEnd"/>
            <w:r w:rsidRPr="00C258AD">
              <w:rPr>
                <w:sz w:val="16"/>
                <w:szCs w:val="16"/>
              </w:rPr>
              <w:t xml:space="preserve"> été satisfaits</w:t>
            </w:r>
          </w:p>
        </w:tc>
        <w:tc>
          <w:tcPr>
            <w:tcW w:w="1327" w:type="pct"/>
            <w:shd w:val="clear" w:color="auto" w:fill="auto"/>
            <w:tcMar>
              <w:top w:w="113" w:type="dxa"/>
              <w:bottom w:w="113" w:type="dxa"/>
            </w:tcMar>
          </w:tcPr>
          <w:p w:rsidR="006E2BB1" w:rsidRPr="00C258AD" w:rsidRDefault="009D057D" w:rsidP="001A4D6C">
            <w:pPr>
              <w:rPr>
                <w:color w:val="002060"/>
                <w:sz w:val="16"/>
                <w:szCs w:val="16"/>
                <w:lang w:bidi="th-TH"/>
              </w:rPr>
            </w:pPr>
            <w:r w:rsidRPr="00C258AD">
              <w:rPr>
                <w:i/>
                <w:color w:val="002060"/>
                <w:sz w:val="16"/>
                <w:szCs w:val="16"/>
                <w:lang w:bidi="th-TH"/>
              </w:rPr>
              <w:t>Niveau de référence actualisé à fin 2013</w:t>
            </w:r>
            <w:r w:rsidRPr="00C258AD">
              <w:rPr>
                <w:color w:val="002060"/>
                <w:sz w:val="16"/>
                <w:szCs w:val="16"/>
                <w:lang w:bidi="th-TH"/>
              </w:rPr>
              <w:t> : aucune évaluation disponible</w:t>
            </w:r>
          </w:p>
          <w:p w:rsidR="006E2BB1" w:rsidRPr="00C258AD" w:rsidRDefault="006E2BB1" w:rsidP="001A4D6C">
            <w:pPr>
              <w:rPr>
                <w:i/>
                <w:sz w:val="16"/>
                <w:szCs w:val="16"/>
              </w:rPr>
            </w:pPr>
          </w:p>
          <w:p w:rsidR="009D057D" w:rsidRPr="00C258AD" w:rsidRDefault="009D057D" w:rsidP="001A4D6C">
            <w:pPr>
              <w:rPr>
                <w:i/>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aucune évaluation disponible (sera disponible fin 2013)</w:t>
            </w:r>
          </w:p>
        </w:tc>
        <w:tc>
          <w:tcPr>
            <w:tcW w:w="865" w:type="pct"/>
            <w:shd w:val="clear" w:color="auto" w:fill="auto"/>
            <w:tcMar>
              <w:top w:w="113" w:type="dxa"/>
              <w:bottom w:w="113" w:type="dxa"/>
            </w:tcMar>
          </w:tcPr>
          <w:p w:rsidR="006E2BB1" w:rsidRPr="00C258AD" w:rsidRDefault="009D057D" w:rsidP="001A4D6C">
            <w:pPr>
              <w:rPr>
                <w:sz w:val="16"/>
                <w:szCs w:val="16"/>
              </w:rPr>
            </w:pPr>
            <w:r w:rsidRPr="00C258AD">
              <w:rPr>
                <w:sz w:val="16"/>
                <w:szCs w:val="16"/>
              </w:rPr>
              <w:t>Besoins essentiels de formation individuelle satisfaits : 80%</w:t>
            </w:r>
          </w:p>
          <w:p w:rsidR="006E2BB1" w:rsidRPr="00C258AD" w:rsidRDefault="006E2BB1" w:rsidP="001A4D6C">
            <w:pPr>
              <w:rPr>
                <w:sz w:val="16"/>
                <w:szCs w:val="16"/>
              </w:rPr>
            </w:pPr>
          </w:p>
          <w:p w:rsidR="009D057D" w:rsidRPr="00C258AD" w:rsidRDefault="009D057D" w:rsidP="001A4D6C">
            <w:pPr>
              <w:rPr>
                <w:sz w:val="16"/>
                <w:szCs w:val="16"/>
              </w:rPr>
            </w:pPr>
            <w:r w:rsidRPr="00C258AD">
              <w:rPr>
                <w:sz w:val="16"/>
                <w:szCs w:val="16"/>
              </w:rPr>
              <w:t>Besoins essentiels de formation collective satisfaits : 80% grâce à un programme de formation</w:t>
            </w:r>
          </w:p>
        </w:tc>
        <w:tc>
          <w:tcPr>
            <w:tcW w:w="1157" w:type="pct"/>
            <w:shd w:val="clear" w:color="auto" w:fill="FFFFFF"/>
            <w:tcMar>
              <w:top w:w="113" w:type="dxa"/>
              <w:bottom w:w="113" w:type="dxa"/>
            </w:tcMar>
          </w:tcPr>
          <w:p w:rsidR="006E2BB1" w:rsidRPr="00C258AD" w:rsidRDefault="009D057D" w:rsidP="001A4D6C">
            <w:pPr>
              <w:rPr>
                <w:rFonts w:cs="Arial"/>
                <w:sz w:val="16"/>
                <w:szCs w:val="16"/>
              </w:rPr>
            </w:pPr>
            <w:r w:rsidRPr="00C258AD">
              <w:rPr>
                <w:rFonts w:cs="Arial"/>
                <w:sz w:val="16"/>
                <w:szCs w:val="16"/>
              </w:rPr>
              <w:t>60,94%</w:t>
            </w:r>
          </w:p>
          <w:p w:rsidR="006E2BB1" w:rsidRPr="00C258AD" w:rsidRDefault="006E2BB1" w:rsidP="001A4D6C">
            <w:pPr>
              <w:rPr>
                <w:rFonts w:cs="Arial"/>
                <w:sz w:val="16"/>
                <w:szCs w:val="16"/>
              </w:rPr>
            </w:pPr>
          </w:p>
          <w:p w:rsidR="006E2BB1" w:rsidRPr="00C258AD" w:rsidRDefault="006E2BB1" w:rsidP="001A4D6C">
            <w:pPr>
              <w:rPr>
                <w:rFonts w:cs="Arial"/>
                <w:sz w:val="16"/>
                <w:szCs w:val="16"/>
              </w:rPr>
            </w:pPr>
          </w:p>
          <w:p w:rsidR="006E2BB1" w:rsidRPr="00C258AD" w:rsidRDefault="006E2BB1" w:rsidP="001A4D6C">
            <w:pPr>
              <w:rPr>
                <w:rFonts w:cs="Arial"/>
                <w:sz w:val="16"/>
                <w:szCs w:val="16"/>
              </w:rPr>
            </w:pPr>
          </w:p>
          <w:p w:rsidR="006E2BB1" w:rsidRPr="00C258AD" w:rsidRDefault="006E2BB1" w:rsidP="001A4D6C">
            <w:pPr>
              <w:rPr>
                <w:rFonts w:cs="Arial"/>
                <w:sz w:val="16"/>
                <w:szCs w:val="16"/>
              </w:rPr>
            </w:pPr>
          </w:p>
          <w:p w:rsidR="009D057D" w:rsidRPr="00C258AD" w:rsidRDefault="009D057D" w:rsidP="001A4D6C">
            <w:pPr>
              <w:rPr>
                <w:sz w:val="16"/>
                <w:szCs w:val="16"/>
              </w:rPr>
            </w:pPr>
            <w:r w:rsidRPr="00C258AD">
              <w:rPr>
                <w:rFonts w:cs="Arial"/>
                <w:sz w:val="16"/>
                <w:szCs w:val="16"/>
              </w:rPr>
              <w:t>81,04%</w:t>
            </w:r>
          </w:p>
        </w:tc>
        <w:tc>
          <w:tcPr>
            <w:tcW w:w="566" w:type="pct"/>
            <w:shd w:val="clear" w:color="auto" w:fill="auto"/>
            <w:tcMar>
              <w:top w:w="113" w:type="dxa"/>
              <w:bottom w:w="113" w:type="dxa"/>
            </w:tcMar>
          </w:tcPr>
          <w:p w:rsidR="006E2BB1" w:rsidRPr="00C258AD" w:rsidRDefault="009D057D" w:rsidP="001A4D6C">
            <w:pPr>
              <w:jc w:val="center"/>
              <w:rPr>
                <w:b/>
                <w:bCs/>
                <w:color w:val="00B050"/>
                <w:sz w:val="16"/>
                <w:szCs w:val="16"/>
              </w:rPr>
            </w:pPr>
            <w:r w:rsidRPr="00C258AD">
              <w:rPr>
                <w:b/>
                <w:bCs/>
                <w:color w:val="E26B0A"/>
                <w:sz w:val="16"/>
                <w:szCs w:val="16"/>
              </w:rPr>
              <w:t>Objectif partiellement atteint</w:t>
            </w:r>
          </w:p>
          <w:p w:rsidR="006E2BB1" w:rsidRPr="00C258AD" w:rsidRDefault="006E2BB1" w:rsidP="001A4D6C">
            <w:pPr>
              <w:jc w:val="center"/>
              <w:rPr>
                <w:b/>
                <w:bCs/>
                <w:color w:val="00B050"/>
                <w:sz w:val="16"/>
                <w:szCs w:val="16"/>
              </w:rPr>
            </w:pPr>
          </w:p>
          <w:p w:rsidR="006E2BB1" w:rsidRPr="00C258AD" w:rsidRDefault="006E2BB1" w:rsidP="001A4D6C">
            <w:pPr>
              <w:jc w:val="center"/>
              <w:rPr>
                <w:b/>
                <w:bCs/>
                <w:color w:val="00B050"/>
                <w:sz w:val="16"/>
                <w:szCs w:val="16"/>
              </w:rPr>
            </w:pPr>
          </w:p>
          <w:p w:rsidR="009D057D" w:rsidRPr="00C258AD" w:rsidDel="00AF185F" w:rsidRDefault="009D057D" w:rsidP="001A4D6C">
            <w:pPr>
              <w:jc w:val="center"/>
              <w:rPr>
                <w:b/>
                <w:bCs/>
                <w:sz w:val="16"/>
                <w:szCs w:val="16"/>
              </w:rPr>
            </w:pPr>
            <w:r w:rsidRPr="00C258AD">
              <w:rPr>
                <w:rFonts w:cs="Arial"/>
                <w:b/>
                <w:bCs/>
                <w:color w:val="00B050"/>
                <w:sz w:val="16"/>
                <w:szCs w:val="16"/>
              </w:rPr>
              <w:t>Objectif pleinement atteint</w:t>
            </w:r>
          </w:p>
        </w:tc>
      </w:tr>
      <w:tr w:rsidR="009D057D" w:rsidRPr="00C258AD" w:rsidTr="001A4D6C">
        <w:trPr>
          <w:cantSplit/>
        </w:trPr>
        <w:tc>
          <w:tcPr>
            <w:tcW w:w="1085" w:type="pct"/>
            <w:shd w:val="clear" w:color="auto" w:fill="auto"/>
            <w:tcMar>
              <w:top w:w="113" w:type="dxa"/>
              <w:bottom w:w="113" w:type="dxa"/>
            </w:tcMar>
          </w:tcPr>
          <w:p w:rsidR="009D057D" w:rsidRPr="00C258AD" w:rsidRDefault="009D057D" w:rsidP="001A4D6C">
            <w:pPr>
              <w:rPr>
                <w:sz w:val="16"/>
                <w:szCs w:val="16"/>
              </w:rPr>
            </w:pPr>
            <w:r w:rsidRPr="00C258AD">
              <w:rPr>
                <w:sz w:val="16"/>
                <w:szCs w:val="16"/>
              </w:rPr>
              <w:t>Nombre moyen de jours de congé maladie par fonctionnaire (absentéisme)</w:t>
            </w:r>
          </w:p>
        </w:tc>
        <w:tc>
          <w:tcPr>
            <w:tcW w:w="1327" w:type="pct"/>
            <w:shd w:val="clear" w:color="auto" w:fill="auto"/>
            <w:tcMar>
              <w:top w:w="113" w:type="dxa"/>
              <w:bottom w:w="113" w:type="dxa"/>
            </w:tcMar>
          </w:tcPr>
          <w:p w:rsidR="006E2BB1" w:rsidRPr="00C258AD" w:rsidRDefault="009D057D" w:rsidP="001A4D6C">
            <w:pPr>
              <w:rPr>
                <w:color w:val="002060"/>
                <w:sz w:val="16"/>
                <w:szCs w:val="16"/>
                <w:lang w:bidi="th-TH"/>
              </w:rPr>
            </w:pPr>
            <w:r w:rsidRPr="00C258AD">
              <w:rPr>
                <w:i/>
                <w:color w:val="002060"/>
                <w:sz w:val="16"/>
                <w:szCs w:val="16"/>
                <w:lang w:bidi="th-TH"/>
              </w:rPr>
              <w:t>Niveau de référence actualisé à fin 2013 :</w:t>
            </w:r>
            <w:r w:rsidRPr="00C258AD">
              <w:rPr>
                <w:color w:val="002060"/>
                <w:sz w:val="16"/>
                <w:szCs w:val="16"/>
                <w:lang w:bidi="th-TH"/>
              </w:rPr>
              <w:t xml:space="preserve"> Exercice biennal : 10,34</w:t>
            </w:r>
          </w:p>
          <w:p w:rsidR="006E2BB1" w:rsidRPr="00C258AD" w:rsidRDefault="009D057D" w:rsidP="001A4D6C">
            <w:pPr>
              <w:tabs>
                <w:tab w:val="left" w:pos="331"/>
              </w:tabs>
              <w:rPr>
                <w:color w:val="002060"/>
                <w:sz w:val="16"/>
                <w:szCs w:val="16"/>
                <w:lang w:bidi="th-TH"/>
              </w:rPr>
            </w:pPr>
            <w:r w:rsidRPr="00C258AD">
              <w:rPr>
                <w:color w:val="002060"/>
                <w:sz w:val="16"/>
                <w:szCs w:val="16"/>
                <w:lang w:bidi="th-TH"/>
              </w:rPr>
              <w:t>-</w:t>
            </w:r>
            <w:r w:rsidRPr="00C258AD">
              <w:rPr>
                <w:color w:val="002060"/>
                <w:sz w:val="16"/>
                <w:szCs w:val="16"/>
                <w:lang w:bidi="th-TH"/>
              </w:rPr>
              <w:tab/>
              <w:t>2012 : 9,07</w:t>
            </w:r>
          </w:p>
          <w:p w:rsidR="006E2BB1" w:rsidRPr="00C258AD" w:rsidRDefault="009D057D" w:rsidP="001A4D6C">
            <w:pPr>
              <w:pStyle w:val="ListParagraph"/>
              <w:numPr>
                <w:ilvl w:val="0"/>
                <w:numId w:val="0"/>
              </w:numPr>
              <w:tabs>
                <w:tab w:val="left" w:pos="331"/>
              </w:tabs>
              <w:rPr>
                <w:color w:val="002060"/>
                <w:sz w:val="16"/>
                <w:szCs w:val="16"/>
                <w:lang w:bidi="th-TH"/>
              </w:rPr>
            </w:pPr>
            <w:r w:rsidRPr="00C258AD">
              <w:rPr>
                <w:color w:val="002060"/>
                <w:sz w:val="16"/>
                <w:szCs w:val="16"/>
                <w:lang w:bidi="th-TH"/>
              </w:rPr>
              <w:t>-</w:t>
            </w:r>
            <w:r w:rsidRPr="00C258AD">
              <w:rPr>
                <w:color w:val="002060"/>
                <w:sz w:val="16"/>
                <w:szCs w:val="16"/>
                <w:lang w:bidi="th-TH"/>
              </w:rPr>
              <w:tab/>
              <w:t>2013 : 11,6</w:t>
            </w:r>
          </w:p>
          <w:p w:rsidR="006E2BB1" w:rsidRPr="00C258AD" w:rsidRDefault="006E2BB1" w:rsidP="001A4D6C">
            <w:pPr>
              <w:rPr>
                <w:i/>
                <w:sz w:val="16"/>
                <w:szCs w:val="16"/>
              </w:rPr>
            </w:pPr>
          </w:p>
          <w:p w:rsidR="009D057D" w:rsidRPr="00C258AD" w:rsidRDefault="009D057D" w:rsidP="001A4D6C">
            <w:pPr>
              <w:rPr>
                <w:i/>
                <w:sz w:val="16"/>
                <w:szCs w:val="16"/>
              </w:rPr>
            </w:pPr>
            <w:r w:rsidRPr="00C258AD">
              <w:rPr>
                <w:i/>
                <w:sz w:val="16"/>
                <w:szCs w:val="16"/>
              </w:rPr>
              <w:t>Niveau de référence initial dans le programme et budget 2014</w:t>
            </w:r>
            <w:r w:rsidRPr="00C258AD">
              <w:rPr>
                <w:i/>
                <w:sz w:val="16"/>
                <w:szCs w:val="16"/>
              </w:rPr>
              <w:noBreakHyphen/>
              <w:t xml:space="preserve">2015 : </w:t>
            </w:r>
            <w:r w:rsidRPr="00C258AD">
              <w:rPr>
                <w:sz w:val="16"/>
                <w:szCs w:val="16"/>
              </w:rPr>
              <w:t>9,07 (décembre 2012)</w:t>
            </w:r>
          </w:p>
        </w:tc>
        <w:tc>
          <w:tcPr>
            <w:tcW w:w="865" w:type="pct"/>
            <w:shd w:val="clear" w:color="auto" w:fill="auto"/>
            <w:tcMar>
              <w:top w:w="113" w:type="dxa"/>
              <w:bottom w:w="113" w:type="dxa"/>
            </w:tcMar>
          </w:tcPr>
          <w:p w:rsidR="009D057D" w:rsidRPr="00C258AD" w:rsidRDefault="009D057D" w:rsidP="001A4D6C">
            <w:pPr>
              <w:rPr>
                <w:sz w:val="16"/>
                <w:szCs w:val="16"/>
              </w:rPr>
            </w:pPr>
            <w:r w:rsidRPr="00C258AD">
              <w:rPr>
                <w:sz w:val="16"/>
                <w:szCs w:val="16"/>
              </w:rPr>
              <w:t>9</w:t>
            </w:r>
          </w:p>
        </w:tc>
        <w:tc>
          <w:tcPr>
            <w:tcW w:w="1157" w:type="pct"/>
            <w:shd w:val="clear" w:color="auto" w:fill="FFFFFF"/>
            <w:tcMar>
              <w:top w:w="113" w:type="dxa"/>
              <w:bottom w:w="113" w:type="dxa"/>
            </w:tcMar>
          </w:tcPr>
          <w:p w:rsidR="006E2BB1" w:rsidRPr="00C258AD" w:rsidRDefault="009D057D" w:rsidP="001A4D6C">
            <w:pPr>
              <w:rPr>
                <w:rFonts w:cs="Arial"/>
                <w:sz w:val="16"/>
                <w:szCs w:val="16"/>
              </w:rPr>
            </w:pPr>
            <w:r w:rsidRPr="00C258AD">
              <w:rPr>
                <w:rFonts w:cs="Arial"/>
                <w:sz w:val="16"/>
                <w:szCs w:val="16"/>
              </w:rPr>
              <w:t>2014 : 11,2</w:t>
            </w:r>
            <w:r w:rsidRPr="00C258AD">
              <w:rPr>
                <w:rStyle w:val="FootnoteReference"/>
                <w:rFonts w:eastAsia="SimSun"/>
                <w:sz w:val="16"/>
                <w:szCs w:val="16"/>
              </w:rPr>
              <w:footnoteReference w:id="133"/>
            </w:r>
          </w:p>
          <w:p w:rsidR="009D057D" w:rsidRPr="00C258AD" w:rsidRDefault="009D057D" w:rsidP="001A4D6C">
            <w:pPr>
              <w:rPr>
                <w:sz w:val="16"/>
                <w:szCs w:val="16"/>
              </w:rPr>
            </w:pPr>
            <w:r w:rsidRPr="00C258AD">
              <w:rPr>
                <w:rFonts w:cs="Arial"/>
                <w:sz w:val="16"/>
                <w:szCs w:val="16"/>
              </w:rPr>
              <w:t>2015 : 10,5</w:t>
            </w:r>
          </w:p>
        </w:tc>
        <w:tc>
          <w:tcPr>
            <w:tcW w:w="566" w:type="pct"/>
            <w:shd w:val="clear" w:color="auto" w:fill="auto"/>
            <w:tcMar>
              <w:top w:w="113" w:type="dxa"/>
              <w:bottom w:w="113" w:type="dxa"/>
            </w:tcMar>
          </w:tcPr>
          <w:p w:rsidR="009D057D" w:rsidRPr="00C258AD" w:rsidRDefault="009D057D" w:rsidP="001A4D6C">
            <w:pPr>
              <w:jc w:val="center"/>
              <w:rPr>
                <w:bCs/>
                <w:sz w:val="16"/>
                <w:szCs w:val="16"/>
              </w:rPr>
            </w:pPr>
            <w:r w:rsidRPr="00C258AD">
              <w:rPr>
                <w:b/>
                <w:bCs/>
                <w:color w:val="E26B0A"/>
                <w:sz w:val="16"/>
                <w:szCs w:val="16"/>
              </w:rPr>
              <w:t>Objectif partiellement atteint</w:t>
            </w:r>
          </w:p>
        </w:tc>
      </w:tr>
      <w:tr w:rsidR="009D057D" w:rsidRPr="00C258AD" w:rsidTr="001A4D6C">
        <w:trPr>
          <w:cantSplit/>
        </w:trPr>
        <w:tc>
          <w:tcPr>
            <w:tcW w:w="1085" w:type="pct"/>
            <w:shd w:val="clear" w:color="auto" w:fill="auto"/>
            <w:tcMar>
              <w:top w:w="113" w:type="dxa"/>
              <w:bottom w:w="113" w:type="dxa"/>
            </w:tcMar>
          </w:tcPr>
          <w:p w:rsidR="009D057D" w:rsidRPr="00C258AD" w:rsidRDefault="009D057D" w:rsidP="001A4D6C">
            <w:pPr>
              <w:rPr>
                <w:sz w:val="16"/>
                <w:szCs w:val="16"/>
              </w:rPr>
            </w:pPr>
            <w:r w:rsidRPr="00C258AD">
              <w:rPr>
                <w:sz w:val="16"/>
                <w:szCs w:val="16"/>
              </w:rPr>
              <w:lastRenderedPageBreak/>
              <w:t>Pourcentage de femmes dans des postes d’administrateur et les catégories supérieures</w:t>
            </w:r>
          </w:p>
        </w:tc>
        <w:tc>
          <w:tcPr>
            <w:tcW w:w="1327" w:type="pct"/>
            <w:shd w:val="clear" w:color="auto" w:fill="auto"/>
            <w:tcMar>
              <w:top w:w="113" w:type="dxa"/>
              <w:bottom w:w="113" w:type="dxa"/>
            </w:tcMar>
          </w:tcPr>
          <w:p w:rsidR="009D057D" w:rsidRPr="00C258AD" w:rsidDel="00A15D98" w:rsidRDefault="009D057D" w:rsidP="001A4D6C">
            <w:pPr>
              <w:rPr>
                <w:color w:val="002060"/>
                <w:sz w:val="16"/>
                <w:szCs w:val="16"/>
              </w:rPr>
            </w:pPr>
            <w:r w:rsidRPr="00C258AD">
              <w:rPr>
                <w:i/>
                <w:color w:val="002060"/>
                <w:sz w:val="16"/>
                <w:szCs w:val="16"/>
              </w:rPr>
              <w:t>Niveau de référence actualisé à fin 2013</w:t>
            </w:r>
            <w:r w:rsidRPr="00C258AD">
              <w:rPr>
                <w:color w:val="002060"/>
                <w:sz w:val="16"/>
                <w:szCs w:val="16"/>
              </w:rPr>
              <w:t> :</w:t>
            </w:r>
            <w:r w:rsidRPr="00C258AD">
              <w:rPr>
                <w:i/>
                <w:color w:val="002060"/>
                <w:sz w:val="16"/>
                <w:szCs w:val="16"/>
              </w:rPr>
              <w:t xml:space="preserve"> </w:t>
            </w:r>
          </w:p>
          <w:tbl>
            <w:tblPr>
              <w:tblW w:w="2383" w:type="dxa"/>
              <w:tblLook w:val="04A0" w:firstRow="1" w:lastRow="0" w:firstColumn="1" w:lastColumn="0" w:noHBand="0" w:noVBand="1"/>
            </w:tblPr>
            <w:tblGrid>
              <w:gridCol w:w="580"/>
              <w:gridCol w:w="670"/>
              <w:gridCol w:w="1133"/>
            </w:tblGrid>
            <w:tr w:rsidR="009D057D" w:rsidRPr="00C258AD" w:rsidTr="001A4D6C">
              <w:trPr>
                <w:trHeight w:val="255"/>
              </w:trPr>
              <w:tc>
                <w:tcPr>
                  <w:tcW w:w="580" w:type="dxa"/>
                  <w:tcBorders>
                    <w:top w:val="nil"/>
                    <w:left w:val="nil"/>
                    <w:bottom w:val="nil"/>
                    <w:right w:val="nil"/>
                  </w:tcBorders>
                  <w:shd w:val="clear" w:color="auto" w:fill="auto"/>
                  <w:noWrap/>
                  <w:vAlign w:val="bottom"/>
                  <w:hideMark/>
                </w:tcPr>
                <w:p w:rsidR="009D057D" w:rsidRPr="00C258AD" w:rsidRDefault="009D057D" w:rsidP="001A4D6C">
                  <w:pPr>
                    <w:rPr>
                      <w:color w:val="002060"/>
                      <w:sz w:val="16"/>
                      <w:szCs w:val="16"/>
                    </w:rPr>
                  </w:pPr>
                </w:p>
              </w:tc>
              <w:tc>
                <w:tcPr>
                  <w:tcW w:w="670" w:type="dxa"/>
                  <w:tcBorders>
                    <w:top w:val="nil"/>
                    <w:left w:val="nil"/>
                    <w:bottom w:val="nil"/>
                    <w:right w:val="nil"/>
                  </w:tcBorders>
                  <w:shd w:val="clear" w:color="auto" w:fill="auto"/>
                  <w:noWrap/>
                  <w:vAlign w:val="bottom"/>
                  <w:hideMark/>
                </w:tcPr>
                <w:p w:rsidR="009D057D" w:rsidRPr="00C258AD" w:rsidRDefault="009D057D" w:rsidP="001A4D6C">
                  <w:pPr>
                    <w:rPr>
                      <w:color w:val="002060"/>
                      <w:sz w:val="16"/>
                      <w:szCs w:val="16"/>
                    </w:rPr>
                  </w:pPr>
                  <w:r w:rsidRPr="00C258AD">
                    <w:rPr>
                      <w:color w:val="002060"/>
                      <w:sz w:val="16"/>
                      <w:szCs w:val="16"/>
                    </w:rPr>
                    <w:t>2012 :</w:t>
                  </w:r>
                </w:p>
              </w:tc>
              <w:tc>
                <w:tcPr>
                  <w:tcW w:w="1133" w:type="dxa"/>
                  <w:tcBorders>
                    <w:top w:val="nil"/>
                    <w:left w:val="nil"/>
                    <w:bottom w:val="nil"/>
                    <w:right w:val="nil"/>
                  </w:tcBorders>
                  <w:shd w:val="clear" w:color="auto" w:fill="auto"/>
                  <w:noWrap/>
                  <w:vAlign w:val="bottom"/>
                  <w:hideMark/>
                </w:tcPr>
                <w:p w:rsidR="009D057D" w:rsidRPr="00C258AD" w:rsidRDefault="009D057D" w:rsidP="001A4D6C">
                  <w:pPr>
                    <w:rPr>
                      <w:color w:val="002060"/>
                      <w:sz w:val="16"/>
                      <w:szCs w:val="16"/>
                    </w:rPr>
                  </w:pPr>
                  <w:r w:rsidRPr="00C258AD">
                    <w:rPr>
                      <w:color w:val="002060"/>
                      <w:sz w:val="16"/>
                      <w:szCs w:val="16"/>
                    </w:rPr>
                    <w:t>2013 :</w:t>
                  </w:r>
                </w:p>
              </w:tc>
            </w:tr>
            <w:tr w:rsidR="009D057D" w:rsidRPr="00C258AD" w:rsidTr="001A4D6C">
              <w:trPr>
                <w:trHeight w:val="255"/>
              </w:trPr>
              <w:tc>
                <w:tcPr>
                  <w:tcW w:w="580" w:type="dxa"/>
                  <w:tcBorders>
                    <w:top w:val="nil"/>
                    <w:left w:val="nil"/>
                    <w:bottom w:val="nil"/>
                    <w:right w:val="nil"/>
                  </w:tcBorders>
                  <w:shd w:val="clear" w:color="auto" w:fill="auto"/>
                  <w:noWrap/>
                  <w:vAlign w:val="bottom"/>
                  <w:hideMark/>
                </w:tcPr>
                <w:p w:rsidR="006E2BB1" w:rsidRPr="00C258AD" w:rsidRDefault="006E2BB1" w:rsidP="001A4D6C">
                  <w:pPr>
                    <w:rPr>
                      <w:color w:val="002060"/>
                      <w:sz w:val="16"/>
                      <w:szCs w:val="16"/>
                    </w:rPr>
                  </w:pPr>
                </w:p>
                <w:p w:rsidR="009D057D" w:rsidRPr="00C258AD" w:rsidRDefault="009D057D" w:rsidP="001A4D6C">
                  <w:pPr>
                    <w:rPr>
                      <w:color w:val="002060"/>
                      <w:sz w:val="16"/>
                      <w:szCs w:val="16"/>
                    </w:rPr>
                  </w:pPr>
                  <w:r w:rsidRPr="00C258AD">
                    <w:rPr>
                      <w:color w:val="002060"/>
                      <w:sz w:val="16"/>
                      <w:szCs w:val="16"/>
                    </w:rPr>
                    <w:t>P</w:t>
                  </w:r>
                  <w:r w:rsidRPr="00C258AD">
                    <w:rPr>
                      <w:color w:val="002060"/>
                      <w:sz w:val="16"/>
                      <w:szCs w:val="16"/>
                    </w:rPr>
                    <w:noBreakHyphen/>
                    <w:t>4</w:t>
                  </w:r>
                </w:p>
              </w:tc>
              <w:tc>
                <w:tcPr>
                  <w:tcW w:w="670" w:type="dxa"/>
                  <w:tcBorders>
                    <w:top w:val="nil"/>
                    <w:left w:val="nil"/>
                    <w:bottom w:val="nil"/>
                    <w:right w:val="nil"/>
                  </w:tcBorders>
                  <w:shd w:val="clear" w:color="auto" w:fill="auto"/>
                  <w:noWrap/>
                  <w:vAlign w:val="bottom"/>
                  <w:hideMark/>
                </w:tcPr>
                <w:p w:rsidR="009D057D" w:rsidRPr="00C258AD" w:rsidRDefault="009D057D" w:rsidP="001A4D6C">
                  <w:pPr>
                    <w:rPr>
                      <w:color w:val="002060"/>
                      <w:sz w:val="16"/>
                      <w:szCs w:val="16"/>
                    </w:rPr>
                  </w:pPr>
                  <w:r w:rsidRPr="00C258AD">
                    <w:rPr>
                      <w:color w:val="002060"/>
                      <w:sz w:val="16"/>
                      <w:szCs w:val="16"/>
                    </w:rPr>
                    <w:t>44,4%</w:t>
                  </w:r>
                </w:p>
              </w:tc>
              <w:tc>
                <w:tcPr>
                  <w:tcW w:w="1133" w:type="dxa"/>
                  <w:tcBorders>
                    <w:top w:val="nil"/>
                    <w:left w:val="nil"/>
                    <w:bottom w:val="nil"/>
                    <w:right w:val="nil"/>
                  </w:tcBorders>
                  <w:shd w:val="clear" w:color="auto" w:fill="auto"/>
                  <w:noWrap/>
                  <w:vAlign w:val="bottom"/>
                  <w:hideMark/>
                </w:tcPr>
                <w:p w:rsidR="009D057D" w:rsidRPr="00C258AD" w:rsidRDefault="009D057D" w:rsidP="001A4D6C">
                  <w:pPr>
                    <w:rPr>
                      <w:color w:val="002060"/>
                      <w:sz w:val="16"/>
                      <w:szCs w:val="16"/>
                    </w:rPr>
                  </w:pPr>
                  <w:r w:rsidRPr="00C258AD">
                    <w:rPr>
                      <w:color w:val="002060"/>
                      <w:sz w:val="16"/>
                      <w:szCs w:val="16"/>
                    </w:rPr>
                    <w:t>43,4%</w:t>
                  </w:r>
                </w:p>
              </w:tc>
            </w:tr>
            <w:tr w:rsidR="009D057D" w:rsidRPr="00C258AD" w:rsidTr="001A4D6C">
              <w:trPr>
                <w:trHeight w:val="255"/>
              </w:trPr>
              <w:tc>
                <w:tcPr>
                  <w:tcW w:w="580" w:type="dxa"/>
                  <w:tcBorders>
                    <w:top w:val="nil"/>
                    <w:left w:val="nil"/>
                    <w:bottom w:val="nil"/>
                    <w:right w:val="nil"/>
                  </w:tcBorders>
                  <w:shd w:val="clear" w:color="auto" w:fill="auto"/>
                  <w:noWrap/>
                  <w:vAlign w:val="bottom"/>
                  <w:hideMark/>
                </w:tcPr>
                <w:p w:rsidR="006E2BB1" w:rsidRPr="00C258AD" w:rsidRDefault="006E2BB1" w:rsidP="001A4D6C">
                  <w:pPr>
                    <w:rPr>
                      <w:color w:val="002060"/>
                      <w:sz w:val="16"/>
                      <w:szCs w:val="16"/>
                    </w:rPr>
                  </w:pPr>
                </w:p>
                <w:p w:rsidR="009D057D" w:rsidRPr="00C258AD" w:rsidRDefault="009D057D" w:rsidP="001A4D6C">
                  <w:pPr>
                    <w:rPr>
                      <w:color w:val="002060"/>
                      <w:sz w:val="16"/>
                      <w:szCs w:val="16"/>
                    </w:rPr>
                  </w:pPr>
                  <w:r w:rsidRPr="00C258AD">
                    <w:rPr>
                      <w:color w:val="002060"/>
                      <w:sz w:val="16"/>
                      <w:szCs w:val="16"/>
                    </w:rPr>
                    <w:t>P</w:t>
                  </w:r>
                  <w:r w:rsidRPr="00C258AD">
                    <w:rPr>
                      <w:color w:val="002060"/>
                      <w:sz w:val="16"/>
                      <w:szCs w:val="16"/>
                    </w:rPr>
                    <w:noBreakHyphen/>
                    <w:t>5</w:t>
                  </w:r>
                </w:p>
              </w:tc>
              <w:tc>
                <w:tcPr>
                  <w:tcW w:w="670" w:type="dxa"/>
                  <w:tcBorders>
                    <w:top w:val="nil"/>
                    <w:left w:val="nil"/>
                    <w:bottom w:val="nil"/>
                    <w:right w:val="nil"/>
                  </w:tcBorders>
                  <w:shd w:val="clear" w:color="auto" w:fill="auto"/>
                  <w:noWrap/>
                  <w:vAlign w:val="bottom"/>
                  <w:hideMark/>
                </w:tcPr>
                <w:p w:rsidR="009D057D" w:rsidRPr="00C258AD" w:rsidRDefault="009D057D" w:rsidP="001A4D6C">
                  <w:pPr>
                    <w:rPr>
                      <w:color w:val="002060"/>
                      <w:sz w:val="16"/>
                      <w:szCs w:val="16"/>
                    </w:rPr>
                  </w:pPr>
                  <w:r w:rsidRPr="00C258AD">
                    <w:rPr>
                      <w:color w:val="002060"/>
                      <w:sz w:val="16"/>
                      <w:szCs w:val="16"/>
                    </w:rPr>
                    <w:t>30,3%</w:t>
                  </w:r>
                </w:p>
              </w:tc>
              <w:tc>
                <w:tcPr>
                  <w:tcW w:w="1133" w:type="dxa"/>
                  <w:tcBorders>
                    <w:top w:val="nil"/>
                    <w:left w:val="nil"/>
                    <w:bottom w:val="nil"/>
                    <w:right w:val="nil"/>
                  </w:tcBorders>
                  <w:shd w:val="clear" w:color="auto" w:fill="auto"/>
                  <w:noWrap/>
                  <w:vAlign w:val="bottom"/>
                  <w:hideMark/>
                </w:tcPr>
                <w:p w:rsidR="009D057D" w:rsidRPr="00C258AD" w:rsidRDefault="009D057D" w:rsidP="001A4D6C">
                  <w:pPr>
                    <w:rPr>
                      <w:color w:val="002060"/>
                      <w:sz w:val="16"/>
                      <w:szCs w:val="16"/>
                    </w:rPr>
                  </w:pPr>
                  <w:r w:rsidRPr="00C258AD">
                    <w:rPr>
                      <w:color w:val="002060"/>
                      <w:sz w:val="16"/>
                      <w:szCs w:val="16"/>
                    </w:rPr>
                    <w:t>34,3%</w:t>
                  </w:r>
                </w:p>
              </w:tc>
            </w:tr>
            <w:tr w:rsidR="009D057D" w:rsidRPr="00C258AD" w:rsidTr="001A4D6C">
              <w:trPr>
                <w:trHeight w:val="255"/>
              </w:trPr>
              <w:tc>
                <w:tcPr>
                  <w:tcW w:w="580" w:type="dxa"/>
                  <w:tcBorders>
                    <w:top w:val="nil"/>
                    <w:left w:val="nil"/>
                    <w:bottom w:val="nil"/>
                    <w:right w:val="nil"/>
                  </w:tcBorders>
                  <w:shd w:val="clear" w:color="auto" w:fill="auto"/>
                  <w:noWrap/>
                  <w:vAlign w:val="bottom"/>
                  <w:hideMark/>
                </w:tcPr>
                <w:p w:rsidR="006E2BB1" w:rsidRPr="00C258AD" w:rsidRDefault="006E2BB1" w:rsidP="001A4D6C">
                  <w:pPr>
                    <w:rPr>
                      <w:color w:val="002060"/>
                      <w:sz w:val="16"/>
                      <w:szCs w:val="16"/>
                    </w:rPr>
                  </w:pPr>
                </w:p>
                <w:p w:rsidR="009D057D" w:rsidRPr="00C258AD" w:rsidRDefault="009D057D" w:rsidP="001A4D6C">
                  <w:pPr>
                    <w:rPr>
                      <w:color w:val="002060"/>
                      <w:sz w:val="16"/>
                      <w:szCs w:val="16"/>
                    </w:rPr>
                  </w:pPr>
                  <w:r w:rsidRPr="00C258AD">
                    <w:rPr>
                      <w:color w:val="002060"/>
                      <w:sz w:val="16"/>
                      <w:szCs w:val="16"/>
                    </w:rPr>
                    <w:t>D</w:t>
                  </w:r>
                  <w:r w:rsidRPr="00C258AD">
                    <w:rPr>
                      <w:color w:val="002060"/>
                      <w:sz w:val="16"/>
                      <w:szCs w:val="16"/>
                    </w:rPr>
                    <w:noBreakHyphen/>
                    <w:t>1</w:t>
                  </w:r>
                </w:p>
              </w:tc>
              <w:tc>
                <w:tcPr>
                  <w:tcW w:w="670" w:type="dxa"/>
                  <w:tcBorders>
                    <w:top w:val="nil"/>
                    <w:left w:val="nil"/>
                    <w:bottom w:val="nil"/>
                    <w:right w:val="nil"/>
                  </w:tcBorders>
                  <w:shd w:val="clear" w:color="auto" w:fill="auto"/>
                  <w:noWrap/>
                  <w:vAlign w:val="bottom"/>
                  <w:hideMark/>
                </w:tcPr>
                <w:p w:rsidR="009D057D" w:rsidRPr="00C258AD" w:rsidRDefault="009D057D" w:rsidP="001A4D6C">
                  <w:pPr>
                    <w:rPr>
                      <w:color w:val="002060"/>
                      <w:sz w:val="16"/>
                      <w:szCs w:val="16"/>
                    </w:rPr>
                  </w:pPr>
                  <w:r w:rsidRPr="00C258AD">
                    <w:rPr>
                      <w:color w:val="002060"/>
                      <w:sz w:val="16"/>
                      <w:szCs w:val="16"/>
                    </w:rPr>
                    <w:t>24,4%</w:t>
                  </w:r>
                </w:p>
              </w:tc>
              <w:tc>
                <w:tcPr>
                  <w:tcW w:w="1133" w:type="dxa"/>
                  <w:tcBorders>
                    <w:top w:val="nil"/>
                    <w:left w:val="nil"/>
                    <w:bottom w:val="nil"/>
                    <w:right w:val="nil"/>
                  </w:tcBorders>
                  <w:shd w:val="clear" w:color="auto" w:fill="auto"/>
                  <w:noWrap/>
                  <w:vAlign w:val="bottom"/>
                  <w:hideMark/>
                </w:tcPr>
                <w:p w:rsidR="009D057D" w:rsidRPr="00C258AD" w:rsidRDefault="009D057D" w:rsidP="001A4D6C">
                  <w:pPr>
                    <w:rPr>
                      <w:color w:val="002060"/>
                      <w:sz w:val="16"/>
                      <w:szCs w:val="16"/>
                    </w:rPr>
                  </w:pPr>
                  <w:r w:rsidRPr="00C258AD">
                    <w:rPr>
                      <w:color w:val="002060"/>
                      <w:sz w:val="16"/>
                      <w:szCs w:val="16"/>
                    </w:rPr>
                    <w:t>26,8%</w:t>
                  </w:r>
                </w:p>
              </w:tc>
            </w:tr>
            <w:tr w:rsidR="009D057D" w:rsidRPr="00C258AD" w:rsidTr="001A4D6C">
              <w:trPr>
                <w:trHeight w:val="255"/>
              </w:trPr>
              <w:tc>
                <w:tcPr>
                  <w:tcW w:w="580" w:type="dxa"/>
                  <w:tcBorders>
                    <w:top w:val="nil"/>
                    <w:left w:val="nil"/>
                    <w:bottom w:val="nil"/>
                    <w:right w:val="nil"/>
                  </w:tcBorders>
                  <w:shd w:val="clear" w:color="auto" w:fill="auto"/>
                  <w:noWrap/>
                  <w:vAlign w:val="bottom"/>
                  <w:hideMark/>
                </w:tcPr>
                <w:p w:rsidR="006E2BB1" w:rsidRPr="00C258AD" w:rsidRDefault="006E2BB1" w:rsidP="001A4D6C">
                  <w:pPr>
                    <w:rPr>
                      <w:color w:val="002060"/>
                      <w:sz w:val="16"/>
                      <w:szCs w:val="16"/>
                    </w:rPr>
                  </w:pPr>
                </w:p>
                <w:p w:rsidR="009D057D" w:rsidRPr="00C258AD" w:rsidRDefault="009D057D" w:rsidP="001A4D6C">
                  <w:pPr>
                    <w:rPr>
                      <w:color w:val="002060"/>
                      <w:sz w:val="16"/>
                      <w:szCs w:val="16"/>
                    </w:rPr>
                  </w:pPr>
                  <w:r w:rsidRPr="00C258AD">
                    <w:rPr>
                      <w:color w:val="002060"/>
                      <w:sz w:val="16"/>
                      <w:szCs w:val="16"/>
                    </w:rPr>
                    <w:t>D</w:t>
                  </w:r>
                  <w:r w:rsidRPr="00C258AD">
                    <w:rPr>
                      <w:color w:val="002060"/>
                      <w:sz w:val="16"/>
                      <w:szCs w:val="16"/>
                    </w:rPr>
                    <w:noBreakHyphen/>
                    <w:t>2</w:t>
                  </w:r>
                </w:p>
              </w:tc>
              <w:tc>
                <w:tcPr>
                  <w:tcW w:w="670" w:type="dxa"/>
                  <w:tcBorders>
                    <w:top w:val="nil"/>
                    <w:left w:val="nil"/>
                    <w:bottom w:val="nil"/>
                    <w:right w:val="nil"/>
                  </w:tcBorders>
                  <w:shd w:val="clear" w:color="auto" w:fill="auto"/>
                  <w:noWrap/>
                  <w:vAlign w:val="bottom"/>
                  <w:hideMark/>
                </w:tcPr>
                <w:p w:rsidR="009D057D" w:rsidRPr="00C258AD" w:rsidRDefault="009D057D" w:rsidP="001A4D6C">
                  <w:pPr>
                    <w:rPr>
                      <w:color w:val="002060"/>
                      <w:sz w:val="16"/>
                      <w:szCs w:val="16"/>
                    </w:rPr>
                  </w:pPr>
                  <w:r w:rsidRPr="00C258AD">
                    <w:rPr>
                      <w:color w:val="002060"/>
                      <w:sz w:val="16"/>
                      <w:szCs w:val="16"/>
                    </w:rPr>
                    <w:t>23,1%</w:t>
                  </w:r>
                </w:p>
              </w:tc>
              <w:tc>
                <w:tcPr>
                  <w:tcW w:w="1133" w:type="dxa"/>
                  <w:tcBorders>
                    <w:top w:val="nil"/>
                    <w:left w:val="nil"/>
                    <w:bottom w:val="nil"/>
                    <w:right w:val="nil"/>
                  </w:tcBorders>
                  <w:shd w:val="clear" w:color="auto" w:fill="auto"/>
                  <w:noWrap/>
                  <w:vAlign w:val="bottom"/>
                  <w:hideMark/>
                </w:tcPr>
                <w:p w:rsidR="009D057D" w:rsidRPr="00C258AD" w:rsidRDefault="009D057D" w:rsidP="001A4D6C">
                  <w:pPr>
                    <w:rPr>
                      <w:color w:val="002060"/>
                      <w:sz w:val="16"/>
                      <w:szCs w:val="16"/>
                    </w:rPr>
                  </w:pPr>
                  <w:r w:rsidRPr="00C258AD">
                    <w:rPr>
                      <w:color w:val="002060"/>
                      <w:sz w:val="16"/>
                      <w:szCs w:val="16"/>
                    </w:rPr>
                    <w:t>33,3%</w:t>
                  </w:r>
                </w:p>
              </w:tc>
            </w:tr>
          </w:tbl>
          <w:p w:rsidR="006E2BB1" w:rsidRPr="00C258AD" w:rsidRDefault="006E2BB1" w:rsidP="001A4D6C">
            <w:pPr>
              <w:rPr>
                <w:sz w:val="16"/>
                <w:szCs w:val="16"/>
                <w:lang w:bidi="th-TH"/>
              </w:rPr>
            </w:pPr>
          </w:p>
          <w:p w:rsidR="006E2BB1" w:rsidRPr="00C258AD" w:rsidRDefault="006E2BB1" w:rsidP="001A4D6C">
            <w:pPr>
              <w:rPr>
                <w:i/>
                <w:sz w:val="16"/>
                <w:szCs w:val="16"/>
              </w:rPr>
            </w:pPr>
          </w:p>
          <w:p w:rsidR="006E2BB1" w:rsidRPr="00C258AD" w:rsidRDefault="009D057D" w:rsidP="001A4D6C">
            <w:pPr>
              <w:rPr>
                <w:sz w:val="16"/>
                <w:szCs w:val="16"/>
              </w:rPr>
            </w:pPr>
            <w:r w:rsidRPr="00C258AD">
              <w:rPr>
                <w:i/>
                <w:sz w:val="16"/>
                <w:szCs w:val="16"/>
              </w:rPr>
              <w:t>Niveau de référence initial dans le programme et budget 2014</w:t>
            </w:r>
            <w:r w:rsidRPr="00C258AD">
              <w:rPr>
                <w:i/>
                <w:sz w:val="16"/>
                <w:szCs w:val="16"/>
              </w:rPr>
              <w:noBreakHyphen/>
              <w:t>2015 :</w:t>
            </w:r>
          </w:p>
          <w:p w:rsidR="006E2BB1" w:rsidRPr="00C258AD" w:rsidRDefault="009D057D" w:rsidP="001A4D6C">
            <w:pPr>
              <w:rPr>
                <w:sz w:val="16"/>
                <w:szCs w:val="16"/>
              </w:rPr>
            </w:pPr>
            <w:r w:rsidRPr="00C258AD">
              <w:rPr>
                <w:sz w:val="16"/>
                <w:szCs w:val="16"/>
              </w:rPr>
              <w:t>P</w:t>
            </w:r>
            <w:r w:rsidRPr="00C258AD">
              <w:rPr>
                <w:sz w:val="16"/>
                <w:szCs w:val="16"/>
              </w:rPr>
              <w:noBreakHyphen/>
              <w:t>4 : 44,1%</w:t>
            </w:r>
          </w:p>
          <w:p w:rsidR="006E2BB1" w:rsidRPr="00C258AD" w:rsidRDefault="009D057D" w:rsidP="001A4D6C">
            <w:pPr>
              <w:rPr>
                <w:sz w:val="16"/>
                <w:szCs w:val="16"/>
              </w:rPr>
            </w:pPr>
            <w:r w:rsidRPr="00C258AD">
              <w:rPr>
                <w:sz w:val="16"/>
                <w:szCs w:val="16"/>
              </w:rPr>
              <w:t>P</w:t>
            </w:r>
            <w:r w:rsidRPr="00C258AD">
              <w:rPr>
                <w:sz w:val="16"/>
                <w:szCs w:val="16"/>
              </w:rPr>
              <w:noBreakHyphen/>
              <w:t>5 : 31,8%</w:t>
            </w:r>
          </w:p>
          <w:p w:rsidR="006E2BB1" w:rsidRPr="00C258AD" w:rsidRDefault="009D057D" w:rsidP="001A4D6C">
            <w:pPr>
              <w:rPr>
                <w:sz w:val="16"/>
                <w:szCs w:val="16"/>
              </w:rPr>
            </w:pPr>
            <w:r w:rsidRPr="00C258AD">
              <w:rPr>
                <w:sz w:val="16"/>
                <w:szCs w:val="16"/>
              </w:rPr>
              <w:t>D</w:t>
            </w:r>
            <w:r w:rsidRPr="00C258AD">
              <w:rPr>
                <w:sz w:val="16"/>
                <w:szCs w:val="16"/>
              </w:rPr>
              <w:noBreakHyphen/>
              <w:t>1 : 26,2%</w:t>
            </w:r>
          </w:p>
          <w:p w:rsidR="006E2BB1" w:rsidRPr="00C258AD" w:rsidRDefault="009D057D" w:rsidP="001A4D6C">
            <w:pPr>
              <w:rPr>
                <w:sz w:val="16"/>
                <w:szCs w:val="16"/>
              </w:rPr>
            </w:pPr>
            <w:r w:rsidRPr="00C258AD">
              <w:rPr>
                <w:sz w:val="16"/>
                <w:szCs w:val="16"/>
              </w:rPr>
              <w:t>D</w:t>
            </w:r>
            <w:r w:rsidRPr="00C258AD">
              <w:rPr>
                <w:sz w:val="16"/>
                <w:szCs w:val="16"/>
              </w:rPr>
              <w:noBreakHyphen/>
              <w:t>2 : 23,1%</w:t>
            </w:r>
          </w:p>
          <w:p w:rsidR="009D057D" w:rsidRPr="00C258AD" w:rsidRDefault="009D057D" w:rsidP="001A4D6C">
            <w:pPr>
              <w:rPr>
                <w:sz w:val="16"/>
                <w:szCs w:val="16"/>
              </w:rPr>
            </w:pPr>
            <w:r w:rsidRPr="00C258AD">
              <w:rPr>
                <w:sz w:val="16"/>
                <w:szCs w:val="16"/>
              </w:rPr>
              <w:t>(décembre 2012)</w:t>
            </w:r>
          </w:p>
        </w:tc>
        <w:tc>
          <w:tcPr>
            <w:tcW w:w="865" w:type="pct"/>
            <w:shd w:val="clear" w:color="auto" w:fill="auto"/>
            <w:tcMar>
              <w:top w:w="113" w:type="dxa"/>
              <w:bottom w:w="113" w:type="dxa"/>
            </w:tcMar>
          </w:tcPr>
          <w:p w:rsidR="006E2BB1" w:rsidRPr="00C258AD" w:rsidRDefault="006E2BB1" w:rsidP="001A4D6C">
            <w:pPr>
              <w:rPr>
                <w:sz w:val="16"/>
                <w:szCs w:val="16"/>
              </w:rPr>
            </w:pPr>
          </w:p>
          <w:p w:rsidR="006E2BB1" w:rsidRPr="00C258AD" w:rsidRDefault="006E2BB1" w:rsidP="001A4D6C">
            <w:pPr>
              <w:rPr>
                <w:sz w:val="16"/>
                <w:szCs w:val="16"/>
              </w:rPr>
            </w:pPr>
          </w:p>
          <w:p w:rsidR="006E2BB1" w:rsidRPr="00C258AD" w:rsidRDefault="006E2BB1" w:rsidP="001A4D6C">
            <w:pPr>
              <w:rPr>
                <w:sz w:val="16"/>
                <w:szCs w:val="16"/>
              </w:rPr>
            </w:pPr>
          </w:p>
          <w:p w:rsidR="006E2BB1" w:rsidRPr="00C258AD" w:rsidRDefault="009D057D" w:rsidP="001A4D6C">
            <w:pPr>
              <w:rPr>
                <w:sz w:val="16"/>
                <w:szCs w:val="16"/>
              </w:rPr>
            </w:pPr>
            <w:r w:rsidRPr="00C258AD">
              <w:rPr>
                <w:sz w:val="16"/>
                <w:szCs w:val="16"/>
              </w:rPr>
              <w:t>P</w:t>
            </w:r>
            <w:r w:rsidRPr="00C258AD">
              <w:rPr>
                <w:sz w:val="16"/>
                <w:szCs w:val="16"/>
              </w:rPr>
              <w:noBreakHyphen/>
              <w:t>4 : 46%</w:t>
            </w:r>
          </w:p>
          <w:p w:rsidR="006E2BB1" w:rsidRPr="00C258AD" w:rsidRDefault="006E2BB1" w:rsidP="001A4D6C">
            <w:pPr>
              <w:rPr>
                <w:sz w:val="16"/>
                <w:szCs w:val="16"/>
              </w:rPr>
            </w:pPr>
          </w:p>
          <w:p w:rsidR="006E2BB1" w:rsidRPr="00C258AD" w:rsidRDefault="006E2BB1" w:rsidP="001A4D6C">
            <w:pPr>
              <w:rPr>
                <w:sz w:val="16"/>
                <w:szCs w:val="16"/>
              </w:rPr>
            </w:pPr>
          </w:p>
          <w:p w:rsidR="006E2BB1" w:rsidRPr="00C258AD" w:rsidRDefault="009D057D" w:rsidP="001A4D6C">
            <w:pPr>
              <w:rPr>
                <w:sz w:val="16"/>
                <w:szCs w:val="16"/>
              </w:rPr>
            </w:pPr>
            <w:r w:rsidRPr="00C258AD">
              <w:rPr>
                <w:sz w:val="16"/>
                <w:szCs w:val="16"/>
              </w:rPr>
              <w:t>P</w:t>
            </w:r>
            <w:r w:rsidRPr="00C258AD">
              <w:rPr>
                <w:sz w:val="16"/>
                <w:szCs w:val="16"/>
              </w:rPr>
              <w:noBreakHyphen/>
              <w:t>5 : 35%</w:t>
            </w:r>
          </w:p>
          <w:p w:rsidR="006E2BB1" w:rsidRPr="00C258AD" w:rsidRDefault="006E2BB1" w:rsidP="001A4D6C">
            <w:pPr>
              <w:rPr>
                <w:sz w:val="16"/>
                <w:szCs w:val="16"/>
              </w:rPr>
            </w:pPr>
          </w:p>
          <w:p w:rsidR="006E2BB1" w:rsidRPr="00C258AD" w:rsidRDefault="006E2BB1" w:rsidP="001A4D6C">
            <w:pPr>
              <w:rPr>
                <w:sz w:val="16"/>
                <w:szCs w:val="16"/>
              </w:rPr>
            </w:pPr>
          </w:p>
          <w:p w:rsidR="006E2BB1" w:rsidRPr="00C258AD" w:rsidRDefault="009D057D" w:rsidP="001A4D6C">
            <w:pPr>
              <w:rPr>
                <w:sz w:val="16"/>
                <w:szCs w:val="16"/>
              </w:rPr>
            </w:pPr>
            <w:r w:rsidRPr="00C258AD">
              <w:rPr>
                <w:sz w:val="16"/>
                <w:szCs w:val="16"/>
              </w:rPr>
              <w:t>D</w:t>
            </w:r>
            <w:r w:rsidRPr="00C258AD">
              <w:rPr>
                <w:sz w:val="16"/>
                <w:szCs w:val="16"/>
              </w:rPr>
              <w:noBreakHyphen/>
              <w:t>1 : 30%</w:t>
            </w:r>
          </w:p>
          <w:p w:rsidR="006E2BB1" w:rsidRPr="00C258AD" w:rsidRDefault="006E2BB1" w:rsidP="001A4D6C">
            <w:pPr>
              <w:rPr>
                <w:sz w:val="16"/>
                <w:szCs w:val="16"/>
              </w:rPr>
            </w:pPr>
          </w:p>
          <w:p w:rsidR="006E2BB1" w:rsidRPr="00C258AD" w:rsidRDefault="006E2BB1" w:rsidP="001A4D6C">
            <w:pPr>
              <w:rPr>
                <w:sz w:val="16"/>
                <w:szCs w:val="16"/>
              </w:rPr>
            </w:pPr>
          </w:p>
          <w:p w:rsidR="009D057D" w:rsidRPr="00C258AD" w:rsidRDefault="009D057D" w:rsidP="001A4D6C">
            <w:pPr>
              <w:rPr>
                <w:sz w:val="16"/>
                <w:szCs w:val="16"/>
              </w:rPr>
            </w:pPr>
            <w:r w:rsidRPr="00C258AD">
              <w:rPr>
                <w:sz w:val="16"/>
                <w:szCs w:val="16"/>
              </w:rPr>
              <w:t>D</w:t>
            </w:r>
            <w:r w:rsidRPr="00C258AD">
              <w:rPr>
                <w:sz w:val="16"/>
                <w:szCs w:val="16"/>
              </w:rPr>
              <w:noBreakHyphen/>
              <w:t>2 : 30%</w:t>
            </w:r>
          </w:p>
        </w:tc>
        <w:tc>
          <w:tcPr>
            <w:tcW w:w="1157" w:type="pct"/>
            <w:shd w:val="clear" w:color="auto" w:fill="FFFFFF"/>
            <w:tcMar>
              <w:top w:w="113" w:type="dxa"/>
              <w:bottom w:w="113" w:type="dxa"/>
            </w:tcMar>
          </w:tcPr>
          <w:tbl>
            <w:tblPr>
              <w:tblW w:w="2067" w:type="dxa"/>
              <w:tblCellMar>
                <w:left w:w="14" w:type="dxa"/>
                <w:right w:w="14" w:type="dxa"/>
              </w:tblCellMar>
              <w:tblLook w:val="04A0" w:firstRow="1" w:lastRow="0" w:firstColumn="1" w:lastColumn="0" w:noHBand="0" w:noVBand="1"/>
            </w:tblPr>
            <w:tblGrid>
              <w:gridCol w:w="394"/>
              <w:gridCol w:w="836"/>
              <w:gridCol w:w="837"/>
            </w:tblGrid>
            <w:tr w:rsidR="009D057D" w:rsidRPr="00C258AD" w:rsidTr="001A4D6C">
              <w:tc>
                <w:tcPr>
                  <w:tcW w:w="394" w:type="dxa"/>
                  <w:tcBorders>
                    <w:top w:val="nil"/>
                    <w:left w:val="nil"/>
                    <w:bottom w:val="nil"/>
                    <w:right w:val="nil"/>
                  </w:tcBorders>
                  <w:shd w:val="clear" w:color="auto" w:fill="auto"/>
                  <w:noWrap/>
                  <w:vAlign w:val="bottom"/>
                  <w:hideMark/>
                </w:tcPr>
                <w:p w:rsidR="009D057D" w:rsidRPr="00C258AD" w:rsidRDefault="009D057D" w:rsidP="001A4D6C">
                  <w:pPr>
                    <w:rPr>
                      <w:rFonts w:cs="Arial"/>
                      <w:sz w:val="16"/>
                      <w:szCs w:val="16"/>
                    </w:rPr>
                  </w:pPr>
                </w:p>
              </w:tc>
              <w:tc>
                <w:tcPr>
                  <w:tcW w:w="836" w:type="dxa"/>
                  <w:tcBorders>
                    <w:top w:val="nil"/>
                    <w:left w:val="nil"/>
                    <w:bottom w:val="nil"/>
                    <w:right w:val="nil"/>
                  </w:tcBorders>
                  <w:shd w:val="clear" w:color="auto" w:fill="auto"/>
                  <w:noWrap/>
                  <w:vAlign w:val="center"/>
                  <w:hideMark/>
                </w:tcPr>
                <w:p w:rsidR="009D057D" w:rsidRPr="00C258AD" w:rsidRDefault="009D057D" w:rsidP="001A4D6C">
                  <w:pPr>
                    <w:jc w:val="center"/>
                    <w:rPr>
                      <w:rFonts w:cs="Arial"/>
                      <w:sz w:val="16"/>
                      <w:szCs w:val="16"/>
                    </w:rPr>
                  </w:pPr>
                  <w:r w:rsidRPr="00C258AD">
                    <w:rPr>
                      <w:rFonts w:cs="Arial"/>
                      <w:sz w:val="16"/>
                      <w:szCs w:val="16"/>
                    </w:rPr>
                    <w:t>2014 :</w:t>
                  </w:r>
                </w:p>
              </w:tc>
              <w:tc>
                <w:tcPr>
                  <w:tcW w:w="837" w:type="dxa"/>
                  <w:tcBorders>
                    <w:top w:val="nil"/>
                    <w:left w:val="nil"/>
                    <w:bottom w:val="nil"/>
                    <w:right w:val="nil"/>
                  </w:tcBorders>
                  <w:shd w:val="clear" w:color="auto" w:fill="auto"/>
                  <w:noWrap/>
                  <w:vAlign w:val="center"/>
                  <w:hideMark/>
                </w:tcPr>
                <w:p w:rsidR="009D057D" w:rsidRPr="00C258AD" w:rsidRDefault="009D057D" w:rsidP="001A4D6C">
                  <w:pPr>
                    <w:jc w:val="center"/>
                    <w:rPr>
                      <w:rFonts w:cs="Arial"/>
                      <w:sz w:val="16"/>
                      <w:szCs w:val="16"/>
                    </w:rPr>
                  </w:pPr>
                  <w:r w:rsidRPr="00C258AD">
                    <w:rPr>
                      <w:rFonts w:cs="Arial"/>
                      <w:sz w:val="16"/>
                      <w:szCs w:val="16"/>
                    </w:rPr>
                    <w:t>2015 :</w:t>
                  </w:r>
                </w:p>
              </w:tc>
            </w:tr>
            <w:tr w:rsidR="009D057D" w:rsidRPr="00C258AD" w:rsidTr="001A4D6C">
              <w:tc>
                <w:tcPr>
                  <w:tcW w:w="394" w:type="dxa"/>
                  <w:tcBorders>
                    <w:top w:val="nil"/>
                    <w:left w:val="nil"/>
                    <w:bottom w:val="nil"/>
                    <w:right w:val="nil"/>
                  </w:tcBorders>
                  <w:shd w:val="clear" w:color="auto" w:fill="auto"/>
                  <w:noWrap/>
                  <w:vAlign w:val="bottom"/>
                  <w:hideMark/>
                </w:tcPr>
                <w:p w:rsidR="006E2BB1" w:rsidRPr="00C258AD" w:rsidRDefault="006E2BB1" w:rsidP="001A4D6C">
                  <w:pPr>
                    <w:jc w:val="center"/>
                    <w:rPr>
                      <w:rFonts w:cs="Arial"/>
                      <w:sz w:val="16"/>
                      <w:szCs w:val="16"/>
                    </w:rPr>
                  </w:pPr>
                </w:p>
                <w:p w:rsidR="006E2BB1" w:rsidRPr="00C258AD" w:rsidRDefault="006E2BB1" w:rsidP="001A4D6C">
                  <w:pPr>
                    <w:jc w:val="center"/>
                    <w:rPr>
                      <w:rFonts w:cs="Arial"/>
                      <w:sz w:val="16"/>
                      <w:szCs w:val="16"/>
                    </w:rPr>
                  </w:pPr>
                </w:p>
                <w:p w:rsidR="009D057D" w:rsidRPr="00C258AD" w:rsidRDefault="009D057D" w:rsidP="001A4D6C">
                  <w:pPr>
                    <w:jc w:val="center"/>
                    <w:rPr>
                      <w:rFonts w:cs="Arial"/>
                      <w:sz w:val="16"/>
                      <w:szCs w:val="16"/>
                    </w:rPr>
                  </w:pPr>
                  <w:r w:rsidRPr="00C258AD">
                    <w:rPr>
                      <w:rFonts w:cs="Arial"/>
                      <w:sz w:val="16"/>
                      <w:szCs w:val="16"/>
                    </w:rPr>
                    <w:t>P</w:t>
                  </w:r>
                  <w:r w:rsidRPr="00C258AD">
                    <w:rPr>
                      <w:rFonts w:cs="Arial"/>
                      <w:sz w:val="16"/>
                      <w:szCs w:val="16"/>
                    </w:rPr>
                    <w:noBreakHyphen/>
                    <w:t>4 :</w:t>
                  </w:r>
                </w:p>
              </w:tc>
              <w:tc>
                <w:tcPr>
                  <w:tcW w:w="836" w:type="dxa"/>
                  <w:tcBorders>
                    <w:top w:val="nil"/>
                    <w:left w:val="nil"/>
                    <w:bottom w:val="nil"/>
                    <w:right w:val="nil"/>
                  </w:tcBorders>
                  <w:shd w:val="clear" w:color="auto" w:fill="auto"/>
                  <w:noWrap/>
                  <w:vAlign w:val="bottom"/>
                  <w:hideMark/>
                </w:tcPr>
                <w:p w:rsidR="009D057D" w:rsidRPr="00C258AD" w:rsidRDefault="009D057D" w:rsidP="001A4D6C">
                  <w:pPr>
                    <w:jc w:val="center"/>
                    <w:rPr>
                      <w:rFonts w:cs="Arial"/>
                      <w:sz w:val="16"/>
                      <w:szCs w:val="16"/>
                    </w:rPr>
                  </w:pPr>
                  <w:r w:rsidRPr="00C258AD">
                    <w:rPr>
                      <w:rFonts w:cs="Arial"/>
                      <w:sz w:val="16"/>
                      <w:szCs w:val="16"/>
                    </w:rPr>
                    <w:t>44,4%</w:t>
                  </w:r>
                </w:p>
              </w:tc>
              <w:tc>
                <w:tcPr>
                  <w:tcW w:w="837" w:type="dxa"/>
                  <w:tcBorders>
                    <w:top w:val="nil"/>
                    <w:left w:val="nil"/>
                    <w:bottom w:val="nil"/>
                    <w:right w:val="nil"/>
                  </w:tcBorders>
                  <w:shd w:val="clear" w:color="auto" w:fill="auto"/>
                  <w:noWrap/>
                  <w:vAlign w:val="bottom"/>
                  <w:hideMark/>
                </w:tcPr>
                <w:p w:rsidR="009D057D" w:rsidRPr="00C258AD" w:rsidRDefault="009D057D" w:rsidP="001A4D6C">
                  <w:pPr>
                    <w:jc w:val="center"/>
                    <w:rPr>
                      <w:rFonts w:cs="Arial"/>
                      <w:sz w:val="16"/>
                      <w:szCs w:val="16"/>
                    </w:rPr>
                  </w:pPr>
                  <w:r w:rsidRPr="00C258AD">
                    <w:rPr>
                      <w:rFonts w:cs="Arial"/>
                      <w:sz w:val="16"/>
                      <w:szCs w:val="16"/>
                    </w:rPr>
                    <w:t>46,1%</w:t>
                  </w:r>
                </w:p>
              </w:tc>
            </w:tr>
            <w:tr w:rsidR="009D057D" w:rsidRPr="00C258AD" w:rsidTr="001A4D6C">
              <w:tc>
                <w:tcPr>
                  <w:tcW w:w="394" w:type="dxa"/>
                  <w:tcBorders>
                    <w:top w:val="nil"/>
                    <w:left w:val="nil"/>
                    <w:bottom w:val="nil"/>
                    <w:right w:val="nil"/>
                  </w:tcBorders>
                  <w:shd w:val="clear" w:color="auto" w:fill="auto"/>
                  <w:noWrap/>
                  <w:vAlign w:val="bottom"/>
                  <w:hideMark/>
                </w:tcPr>
                <w:p w:rsidR="006E2BB1" w:rsidRPr="00C258AD" w:rsidRDefault="006E2BB1" w:rsidP="001A4D6C">
                  <w:pPr>
                    <w:jc w:val="center"/>
                    <w:rPr>
                      <w:rFonts w:cs="Arial"/>
                      <w:sz w:val="16"/>
                      <w:szCs w:val="16"/>
                    </w:rPr>
                  </w:pPr>
                </w:p>
                <w:p w:rsidR="006E2BB1" w:rsidRPr="00C258AD" w:rsidRDefault="006E2BB1" w:rsidP="001A4D6C">
                  <w:pPr>
                    <w:jc w:val="center"/>
                    <w:rPr>
                      <w:rFonts w:cs="Arial"/>
                      <w:sz w:val="16"/>
                      <w:szCs w:val="16"/>
                    </w:rPr>
                  </w:pPr>
                </w:p>
                <w:p w:rsidR="009D057D" w:rsidRPr="00C258AD" w:rsidRDefault="009D057D" w:rsidP="001A4D6C">
                  <w:pPr>
                    <w:jc w:val="center"/>
                    <w:rPr>
                      <w:rFonts w:cs="Arial"/>
                      <w:sz w:val="16"/>
                      <w:szCs w:val="16"/>
                    </w:rPr>
                  </w:pPr>
                  <w:r w:rsidRPr="00C258AD">
                    <w:rPr>
                      <w:rFonts w:cs="Arial"/>
                      <w:sz w:val="16"/>
                      <w:szCs w:val="16"/>
                    </w:rPr>
                    <w:t>P</w:t>
                  </w:r>
                  <w:r w:rsidRPr="00C258AD">
                    <w:rPr>
                      <w:rFonts w:cs="Arial"/>
                      <w:sz w:val="16"/>
                      <w:szCs w:val="16"/>
                    </w:rPr>
                    <w:noBreakHyphen/>
                    <w:t>5 :</w:t>
                  </w:r>
                </w:p>
              </w:tc>
              <w:tc>
                <w:tcPr>
                  <w:tcW w:w="836" w:type="dxa"/>
                  <w:tcBorders>
                    <w:top w:val="nil"/>
                    <w:left w:val="nil"/>
                    <w:bottom w:val="nil"/>
                    <w:right w:val="nil"/>
                  </w:tcBorders>
                  <w:shd w:val="clear" w:color="auto" w:fill="auto"/>
                  <w:noWrap/>
                  <w:vAlign w:val="bottom"/>
                  <w:hideMark/>
                </w:tcPr>
                <w:p w:rsidR="009D057D" w:rsidRPr="00C258AD" w:rsidRDefault="009D057D" w:rsidP="001A4D6C">
                  <w:pPr>
                    <w:jc w:val="center"/>
                    <w:rPr>
                      <w:rFonts w:cs="Arial"/>
                      <w:sz w:val="16"/>
                      <w:szCs w:val="16"/>
                    </w:rPr>
                  </w:pPr>
                  <w:r w:rsidRPr="00C258AD">
                    <w:rPr>
                      <w:rFonts w:cs="Arial"/>
                      <w:sz w:val="16"/>
                      <w:szCs w:val="16"/>
                    </w:rPr>
                    <w:t>34,4%</w:t>
                  </w:r>
                </w:p>
              </w:tc>
              <w:tc>
                <w:tcPr>
                  <w:tcW w:w="837" w:type="dxa"/>
                  <w:tcBorders>
                    <w:top w:val="nil"/>
                    <w:left w:val="nil"/>
                    <w:bottom w:val="nil"/>
                    <w:right w:val="nil"/>
                  </w:tcBorders>
                  <w:shd w:val="clear" w:color="auto" w:fill="auto"/>
                  <w:noWrap/>
                  <w:vAlign w:val="bottom"/>
                  <w:hideMark/>
                </w:tcPr>
                <w:p w:rsidR="009D057D" w:rsidRPr="00C258AD" w:rsidRDefault="009D057D" w:rsidP="001A4D6C">
                  <w:pPr>
                    <w:jc w:val="center"/>
                    <w:rPr>
                      <w:rFonts w:cs="Arial"/>
                      <w:sz w:val="16"/>
                      <w:szCs w:val="16"/>
                    </w:rPr>
                  </w:pPr>
                  <w:r w:rsidRPr="00C258AD">
                    <w:rPr>
                      <w:rFonts w:cs="Arial"/>
                      <w:sz w:val="16"/>
                      <w:szCs w:val="16"/>
                    </w:rPr>
                    <w:t>34,1%</w:t>
                  </w:r>
                </w:p>
              </w:tc>
            </w:tr>
            <w:tr w:rsidR="009D057D" w:rsidRPr="00C258AD" w:rsidTr="001A4D6C">
              <w:tc>
                <w:tcPr>
                  <w:tcW w:w="394" w:type="dxa"/>
                  <w:tcBorders>
                    <w:top w:val="nil"/>
                    <w:left w:val="nil"/>
                    <w:bottom w:val="nil"/>
                    <w:right w:val="nil"/>
                  </w:tcBorders>
                  <w:shd w:val="clear" w:color="auto" w:fill="auto"/>
                  <w:noWrap/>
                  <w:vAlign w:val="bottom"/>
                  <w:hideMark/>
                </w:tcPr>
                <w:p w:rsidR="006E2BB1" w:rsidRPr="00C258AD" w:rsidRDefault="006E2BB1" w:rsidP="001A4D6C">
                  <w:pPr>
                    <w:jc w:val="center"/>
                    <w:rPr>
                      <w:rFonts w:cs="Arial"/>
                      <w:sz w:val="16"/>
                      <w:szCs w:val="16"/>
                    </w:rPr>
                  </w:pPr>
                </w:p>
                <w:p w:rsidR="006E2BB1" w:rsidRPr="00C258AD" w:rsidRDefault="006E2BB1" w:rsidP="001A4D6C">
                  <w:pPr>
                    <w:jc w:val="center"/>
                    <w:rPr>
                      <w:rFonts w:cs="Arial"/>
                      <w:sz w:val="16"/>
                      <w:szCs w:val="16"/>
                    </w:rPr>
                  </w:pPr>
                </w:p>
                <w:p w:rsidR="009D057D" w:rsidRPr="00C258AD" w:rsidRDefault="009D057D" w:rsidP="001A4D6C">
                  <w:pPr>
                    <w:jc w:val="center"/>
                    <w:rPr>
                      <w:rFonts w:cs="Arial"/>
                      <w:sz w:val="16"/>
                      <w:szCs w:val="16"/>
                    </w:rPr>
                  </w:pPr>
                  <w:r w:rsidRPr="00C258AD">
                    <w:rPr>
                      <w:rFonts w:cs="Arial"/>
                      <w:sz w:val="16"/>
                      <w:szCs w:val="16"/>
                    </w:rPr>
                    <w:t>D</w:t>
                  </w:r>
                  <w:r w:rsidRPr="00C258AD">
                    <w:rPr>
                      <w:rFonts w:cs="Arial"/>
                      <w:sz w:val="16"/>
                      <w:szCs w:val="16"/>
                    </w:rPr>
                    <w:noBreakHyphen/>
                    <w:t>1 :</w:t>
                  </w:r>
                </w:p>
              </w:tc>
              <w:tc>
                <w:tcPr>
                  <w:tcW w:w="836" w:type="dxa"/>
                  <w:tcBorders>
                    <w:top w:val="nil"/>
                    <w:left w:val="nil"/>
                    <w:bottom w:val="nil"/>
                    <w:right w:val="nil"/>
                  </w:tcBorders>
                  <w:shd w:val="clear" w:color="auto" w:fill="auto"/>
                  <w:noWrap/>
                  <w:vAlign w:val="bottom"/>
                  <w:hideMark/>
                </w:tcPr>
                <w:p w:rsidR="009D057D" w:rsidRPr="00C258AD" w:rsidRDefault="009D057D" w:rsidP="001A4D6C">
                  <w:pPr>
                    <w:jc w:val="center"/>
                    <w:rPr>
                      <w:rFonts w:cs="Arial"/>
                      <w:sz w:val="16"/>
                      <w:szCs w:val="16"/>
                    </w:rPr>
                  </w:pPr>
                  <w:r w:rsidRPr="00C258AD">
                    <w:rPr>
                      <w:rFonts w:cs="Arial"/>
                      <w:sz w:val="16"/>
                      <w:szCs w:val="16"/>
                    </w:rPr>
                    <w:t>26,7%</w:t>
                  </w:r>
                </w:p>
              </w:tc>
              <w:tc>
                <w:tcPr>
                  <w:tcW w:w="837" w:type="dxa"/>
                  <w:tcBorders>
                    <w:top w:val="nil"/>
                    <w:left w:val="nil"/>
                    <w:bottom w:val="nil"/>
                    <w:right w:val="nil"/>
                  </w:tcBorders>
                  <w:shd w:val="clear" w:color="auto" w:fill="auto"/>
                  <w:noWrap/>
                  <w:vAlign w:val="bottom"/>
                  <w:hideMark/>
                </w:tcPr>
                <w:p w:rsidR="009D057D" w:rsidRPr="00C258AD" w:rsidRDefault="009D057D" w:rsidP="001A4D6C">
                  <w:pPr>
                    <w:jc w:val="center"/>
                    <w:rPr>
                      <w:rFonts w:cs="Arial"/>
                      <w:sz w:val="16"/>
                      <w:szCs w:val="16"/>
                    </w:rPr>
                  </w:pPr>
                  <w:r w:rsidRPr="00C258AD">
                    <w:rPr>
                      <w:rFonts w:cs="Arial"/>
                      <w:sz w:val="16"/>
                      <w:szCs w:val="16"/>
                    </w:rPr>
                    <w:t>26,5%</w:t>
                  </w:r>
                </w:p>
              </w:tc>
            </w:tr>
            <w:tr w:rsidR="009D057D" w:rsidRPr="00C258AD" w:rsidTr="001A4D6C">
              <w:tc>
                <w:tcPr>
                  <w:tcW w:w="394" w:type="dxa"/>
                  <w:tcBorders>
                    <w:top w:val="nil"/>
                    <w:left w:val="nil"/>
                    <w:bottom w:val="nil"/>
                    <w:right w:val="nil"/>
                  </w:tcBorders>
                  <w:shd w:val="clear" w:color="auto" w:fill="auto"/>
                  <w:noWrap/>
                  <w:vAlign w:val="bottom"/>
                  <w:hideMark/>
                </w:tcPr>
                <w:p w:rsidR="006E2BB1" w:rsidRPr="00C258AD" w:rsidRDefault="006E2BB1" w:rsidP="001A4D6C">
                  <w:pPr>
                    <w:jc w:val="center"/>
                    <w:rPr>
                      <w:rFonts w:cs="Arial"/>
                      <w:sz w:val="16"/>
                      <w:szCs w:val="16"/>
                    </w:rPr>
                  </w:pPr>
                </w:p>
                <w:p w:rsidR="006E2BB1" w:rsidRPr="00C258AD" w:rsidRDefault="006E2BB1" w:rsidP="001A4D6C">
                  <w:pPr>
                    <w:jc w:val="center"/>
                    <w:rPr>
                      <w:rFonts w:cs="Arial"/>
                      <w:sz w:val="16"/>
                      <w:szCs w:val="16"/>
                    </w:rPr>
                  </w:pPr>
                </w:p>
                <w:p w:rsidR="009D057D" w:rsidRPr="00C258AD" w:rsidRDefault="009D057D" w:rsidP="001A4D6C">
                  <w:pPr>
                    <w:jc w:val="center"/>
                    <w:rPr>
                      <w:rFonts w:cs="Arial"/>
                      <w:sz w:val="16"/>
                      <w:szCs w:val="16"/>
                    </w:rPr>
                  </w:pPr>
                  <w:r w:rsidRPr="00C258AD">
                    <w:rPr>
                      <w:rFonts w:cs="Arial"/>
                      <w:sz w:val="16"/>
                      <w:szCs w:val="16"/>
                    </w:rPr>
                    <w:t>D</w:t>
                  </w:r>
                  <w:r w:rsidRPr="00C258AD">
                    <w:rPr>
                      <w:rFonts w:cs="Arial"/>
                      <w:sz w:val="16"/>
                      <w:szCs w:val="16"/>
                    </w:rPr>
                    <w:noBreakHyphen/>
                    <w:t>2 :</w:t>
                  </w:r>
                </w:p>
              </w:tc>
              <w:tc>
                <w:tcPr>
                  <w:tcW w:w="836" w:type="dxa"/>
                  <w:tcBorders>
                    <w:top w:val="nil"/>
                    <w:left w:val="nil"/>
                    <w:bottom w:val="nil"/>
                    <w:right w:val="nil"/>
                  </w:tcBorders>
                  <w:shd w:val="clear" w:color="auto" w:fill="auto"/>
                  <w:noWrap/>
                  <w:vAlign w:val="bottom"/>
                  <w:hideMark/>
                </w:tcPr>
                <w:p w:rsidR="009D057D" w:rsidRPr="00C258AD" w:rsidRDefault="009D057D" w:rsidP="001A4D6C">
                  <w:pPr>
                    <w:jc w:val="center"/>
                    <w:rPr>
                      <w:rFonts w:cs="Arial"/>
                      <w:sz w:val="16"/>
                      <w:szCs w:val="16"/>
                    </w:rPr>
                  </w:pPr>
                  <w:r w:rsidRPr="00C258AD">
                    <w:rPr>
                      <w:rFonts w:cs="Arial"/>
                      <w:sz w:val="16"/>
                      <w:szCs w:val="16"/>
                    </w:rPr>
                    <w:t>22,2%</w:t>
                  </w:r>
                </w:p>
              </w:tc>
              <w:tc>
                <w:tcPr>
                  <w:tcW w:w="837" w:type="dxa"/>
                  <w:tcBorders>
                    <w:top w:val="nil"/>
                    <w:left w:val="nil"/>
                    <w:bottom w:val="nil"/>
                    <w:right w:val="nil"/>
                  </w:tcBorders>
                  <w:shd w:val="clear" w:color="auto" w:fill="auto"/>
                  <w:noWrap/>
                  <w:vAlign w:val="bottom"/>
                  <w:hideMark/>
                </w:tcPr>
                <w:p w:rsidR="009D057D" w:rsidRPr="00C258AD" w:rsidRDefault="009D057D" w:rsidP="001A4D6C">
                  <w:pPr>
                    <w:jc w:val="center"/>
                    <w:rPr>
                      <w:rFonts w:cs="Arial"/>
                      <w:sz w:val="16"/>
                      <w:szCs w:val="16"/>
                    </w:rPr>
                  </w:pPr>
                  <w:r w:rsidRPr="00C258AD">
                    <w:rPr>
                      <w:rFonts w:cs="Arial"/>
                      <w:sz w:val="16"/>
                      <w:szCs w:val="16"/>
                    </w:rPr>
                    <w:t>22,2%</w:t>
                  </w:r>
                </w:p>
              </w:tc>
            </w:tr>
          </w:tbl>
          <w:p w:rsidR="009D057D" w:rsidRPr="00C258AD" w:rsidRDefault="009D057D" w:rsidP="001A4D6C">
            <w:pPr>
              <w:pStyle w:val="PlainText"/>
              <w:rPr>
                <w:rFonts w:ascii="Arial" w:hAnsi="Arial" w:cs="Arial"/>
                <w:sz w:val="16"/>
                <w:szCs w:val="16"/>
              </w:rPr>
            </w:pPr>
          </w:p>
        </w:tc>
        <w:tc>
          <w:tcPr>
            <w:tcW w:w="566" w:type="pct"/>
            <w:shd w:val="clear" w:color="auto" w:fill="auto"/>
            <w:tcMar>
              <w:top w:w="113" w:type="dxa"/>
              <w:bottom w:w="113" w:type="dxa"/>
            </w:tcMar>
          </w:tcPr>
          <w:p w:rsidR="006E2BB1" w:rsidRPr="00C258AD" w:rsidRDefault="006E2BB1" w:rsidP="001A4D6C">
            <w:pPr>
              <w:jc w:val="center"/>
              <w:rPr>
                <w:rFonts w:cs="Arial"/>
                <w:b/>
                <w:bCs/>
                <w:color w:val="00B050"/>
                <w:sz w:val="16"/>
                <w:szCs w:val="16"/>
              </w:rPr>
            </w:pPr>
          </w:p>
          <w:p w:rsidR="006E2BB1" w:rsidRPr="00C258AD" w:rsidRDefault="009D057D" w:rsidP="001A4D6C">
            <w:pPr>
              <w:jc w:val="center"/>
              <w:rPr>
                <w:b/>
                <w:bCs/>
                <w:color w:val="FF0000"/>
                <w:sz w:val="16"/>
                <w:szCs w:val="16"/>
              </w:rPr>
            </w:pPr>
            <w:r w:rsidRPr="00C258AD">
              <w:rPr>
                <w:rFonts w:cs="Arial"/>
                <w:b/>
                <w:bCs/>
                <w:color w:val="00B050"/>
                <w:sz w:val="16"/>
                <w:szCs w:val="16"/>
              </w:rPr>
              <w:t>Objectif pleinement atteint</w:t>
            </w:r>
          </w:p>
          <w:p w:rsidR="006E2BB1" w:rsidRPr="00C258AD" w:rsidRDefault="006E2BB1" w:rsidP="001A4D6C">
            <w:pPr>
              <w:jc w:val="center"/>
              <w:rPr>
                <w:rFonts w:cs="Arial"/>
                <w:b/>
                <w:bCs/>
                <w:color w:val="FF0000"/>
                <w:sz w:val="16"/>
                <w:szCs w:val="16"/>
              </w:rPr>
            </w:pPr>
          </w:p>
          <w:p w:rsidR="006E2BB1" w:rsidRPr="00C258AD" w:rsidRDefault="009D057D" w:rsidP="001A4D6C">
            <w:pPr>
              <w:jc w:val="center"/>
              <w:rPr>
                <w:bCs/>
                <w:sz w:val="16"/>
                <w:szCs w:val="16"/>
              </w:rPr>
            </w:pPr>
            <w:r w:rsidRPr="00C258AD">
              <w:rPr>
                <w:rFonts w:cs="Arial"/>
                <w:b/>
                <w:bCs/>
                <w:color w:val="FF0000"/>
                <w:sz w:val="16"/>
                <w:szCs w:val="16"/>
              </w:rPr>
              <w:t>Objectif pas atteint</w:t>
            </w:r>
          </w:p>
          <w:p w:rsidR="006E2BB1" w:rsidRPr="00C258AD" w:rsidRDefault="006E2BB1" w:rsidP="001A4D6C">
            <w:pPr>
              <w:jc w:val="center"/>
              <w:rPr>
                <w:rFonts w:cs="Arial"/>
                <w:b/>
                <w:bCs/>
                <w:color w:val="FF0000"/>
                <w:sz w:val="16"/>
                <w:szCs w:val="16"/>
              </w:rPr>
            </w:pPr>
          </w:p>
          <w:p w:rsidR="006E2BB1" w:rsidRPr="00C258AD" w:rsidRDefault="009D057D" w:rsidP="001A4D6C">
            <w:pPr>
              <w:jc w:val="center"/>
              <w:rPr>
                <w:bCs/>
                <w:sz w:val="16"/>
                <w:szCs w:val="16"/>
              </w:rPr>
            </w:pPr>
            <w:r w:rsidRPr="00C258AD">
              <w:rPr>
                <w:rFonts w:cs="Arial"/>
                <w:b/>
                <w:bCs/>
                <w:color w:val="FF0000"/>
                <w:sz w:val="16"/>
                <w:szCs w:val="16"/>
              </w:rPr>
              <w:t>Objectif pas atteint</w:t>
            </w:r>
          </w:p>
          <w:p w:rsidR="006E2BB1" w:rsidRPr="00C258AD" w:rsidRDefault="006E2BB1" w:rsidP="001A4D6C">
            <w:pPr>
              <w:jc w:val="center"/>
              <w:rPr>
                <w:rFonts w:cs="Arial"/>
                <w:b/>
                <w:bCs/>
                <w:color w:val="FF0000"/>
                <w:sz w:val="16"/>
                <w:szCs w:val="16"/>
              </w:rPr>
            </w:pPr>
          </w:p>
          <w:p w:rsidR="006E2BB1" w:rsidRPr="00C258AD" w:rsidRDefault="009D057D" w:rsidP="001A4D6C">
            <w:pPr>
              <w:jc w:val="center"/>
              <w:rPr>
                <w:bCs/>
                <w:sz w:val="16"/>
                <w:szCs w:val="16"/>
              </w:rPr>
            </w:pPr>
            <w:r w:rsidRPr="00C258AD">
              <w:rPr>
                <w:rFonts w:cs="Arial"/>
                <w:b/>
                <w:bCs/>
                <w:color w:val="FF0000"/>
                <w:sz w:val="16"/>
                <w:szCs w:val="16"/>
              </w:rPr>
              <w:t>Objectif pas atteint</w:t>
            </w:r>
          </w:p>
          <w:p w:rsidR="009D057D" w:rsidRPr="00C258AD" w:rsidRDefault="009D057D" w:rsidP="001A4D6C">
            <w:pPr>
              <w:jc w:val="center"/>
              <w:rPr>
                <w:bCs/>
                <w:sz w:val="16"/>
                <w:szCs w:val="16"/>
              </w:rPr>
            </w:pPr>
          </w:p>
        </w:tc>
      </w:tr>
      <w:tr w:rsidR="009D057D" w:rsidRPr="00C258AD" w:rsidTr="001A4D6C">
        <w:trPr>
          <w:cantSplit/>
        </w:trPr>
        <w:tc>
          <w:tcPr>
            <w:tcW w:w="1085" w:type="pct"/>
            <w:shd w:val="clear" w:color="auto" w:fill="auto"/>
            <w:tcMar>
              <w:top w:w="113" w:type="dxa"/>
              <w:bottom w:w="113" w:type="dxa"/>
            </w:tcMar>
          </w:tcPr>
          <w:p w:rsidR="009D057D" w:rsidRPr="00C258AD" w:rsidRDefault="009D057D" w:rsidP="001A4D6C">
            <w:pPr>
              <w:keepNext/>
              <w:keepLines/>
              <w:rPr>
                <w:sz w:val="16"/>
                <w:szCs w:val="16"/>
              </w:rPr>
            </w:pPr>
            <w:r w:rsidRPr="00C258AD">
              <w:rPr>
                <w:sz w:val="16"/>
                <w:szCs w:val="16"/>
              </w:rPr>
              <w:t>Diversité géographique – Pourcentage d’États membres</w:t>
            </w:r>
            <w:r w:rsidRPr="00C258AD">
              <w:rPr>
                <w:rStyle w:val="FootnoteReference"/>
                <w:rFonts w:eastAsia="SimSun"/>
                <w:sz w:val="16"/>
                <w:szCs w:val="16"/>
              </w:rPr>
              <w:footnoteReference w:id="134"/>
            </w:r>
            <w:r w:rsidRPr="00C258AD">
              <w:rPr>
                <w:sz w:val="16"/>
                <w:szCs w:val="16"/>
              </w:rPr>
              <w:t xml:space="preserve"> représentés</w:t>
            </w:r>
          </w:p>
        </w:tc>
        <w:tc>
          <w:tcPr>
            <w:tcW w:w="1327" w:type="pct"/>
            <w:shd w:val="clear" w:color="auto" w:fill="auto"/>
            <w:tcMar>
              <w:top w:w="113" w:type="dxa"/>
              <w:bottom w:w="113" w:type="dxa"/>
            </w:tcMar>
          </w:tcPr>
          <w:p w:rsidR="006E2BB1" w:rsidRPr="00C258AD" w:rsidRDefault="009D057D" w:rsidP="001A4D6C">
            <w:pPr>
              <w:keepNext/>
              <w:keepLines/>
              <w:rPr>
                <w:color w:val="002060"/>
                <w:sz w:val="16"/>
                <w:szCs w:val="16"/>
              </w:rPr>
            </w:pPr>
            <w:r w:rsidRPr="00C258AD">
              <w:rPr>
                <w:i/>
                <w:color w:val="002060"/>
                <w:sz w:val="16"/>
                <w:szCs w:val="16"/>
              </w:rPr>
              <w:t>Niveau de référence actualisé à fin 2013</w:t>
            </w:r>
            <w:r w:rsidRPr="00C258AD">
              <w:rPr>
                <w:color w:val="002060"/>
                <w:sz w:val="16"/>
                <w:szCs w:val="16"/>
              </w:rPr>
              <w:t> : Afrique 11,4%</w:t>
            </w:r>
          </w:p>
          <w:p w:rsidR="006E2BB1" w:rsidRPr="00C258AD" w:rsidRDefault="009D057D" w:rsidP="001A4D6C">
            <w:pPr>
              <w:keepNext/>
              <w:keepLines/>
              <w:rPr>
                <w:color w:val="002060"/>
                <w:sz w:val="16"/>
                <w:szCs w:val="16"/>
              </w:rPr>
            </w:pPr>
            <w:r w:rsidRPr="00C258AD">
              <w:rPr>
                <w:color w:val="002060"/>
                <w:sz w:val="16"/>
                <w:szCs w:val="16"/>
              </w:rPr>
              <w:t>Asie et Pacifique 13,7%</w:t>
            </w:r>
          </w:p>
          <w:p w:rsidR="006E2BB1" w:rsidRPr="00C258AD" w:rsidRDefault="009D057D" w:rsidP="001A4D6C">
            <w:pPr>
              <w:keepNext/>
              <w:keepLines/>
              <w:rPr>
                <w:color w:val="002060"/>
                <w:sz w:val="16"/>
                <w:szCs w:val="16"/>
              </w:rPr>
            </w:pPr>
            <w:r w:rsidRPr="00C258AD">
              <w:rPr>
                <w:color w:val="002060"/>
                <w:sz w:val="16"/>
                <w:szCs w:val="16"/>
              </w:rPr>
              <w:t>Europe de l’Est, Europe centrale et Asie centrale 5,9%</w:t>
            </w:r>
          </w:p>
          <w:p w:rsidR="006E2BB1" w:rsidRPr="00C258AD" w:rsidRDefault="009D057D" w:rsidP="001A4D6C">
            <w:pPr>
              <w:keepNext/>
              <w:keepLines/>
              <w:rPr>
                <w:color w:val="002060"/>
                <w:sz w:val="16"/>
                <w:szCs w:val="16"/>
              </w:rPr>
            </w:pPr>
            <w:r w:rsidRPr="00C258AD">
              <w:rPr>
                <w:color w:val="002060"/>
                <w:sz w:val="16"/>
                <w:szCs w:val="16"/>
              </w:rPr>
              <w:t>Amérique latine et Caraïbes 8,6%</w:t>
            </w:r>
          </w:p>
          <w:p w:rsidR="006E2BB1" w:rsidRPr="00C258AD" w:rsidRDefault="009D057D" w:rsidP="001A4D6C">
            <w:pPr>
              <w:keepNext/>
              <w:keepLines/>
              <w:rPr>
                <w:color w:val="002060"/>
                <w:sz w:val="16"/>
                <w:szCs w:val="16"/>
              </w:rPr>
            </w:pPr>
            <w:r w:rsidRPr="00C258AD">
              <w:rPr>
                <w:color w:val="002060"/>
                <w:sz w:val="16"/>
                <w:szCs w:val="16"/>
              </w:rPr>
              <w:t>Moyen</w:t>
            </w:r>
            <w:r w:rsidRPr="00C258AD">
              <w:rPr>
                <w:color w:val="002060"/>
                <w:sz w:val="16"/>
                <w:szCs w:val="16"/>
              </w:rPr>
              <w:noBreakHyphen/>
              <w:t>Orient 1,2%</w:t>
            </w:r>
          </w:p>
          <w:p w:rsidR="006E2BB1" w:rsidRPr="00C258AD" w:rsidRDefault="009D057D" w:rsidP="001A4D6C">
            <w:pPr>
              <w:keepNext/>
              <w:keepLines/>
              <w:rPr>
                <w:color w:val="002060"/>
                <w:sz w:val="16"/>
                <w:szCs w:val="16"/>
                <w:lang w:bidi="th-TH"/>
              </w:rPr>
            </w:pPr>
            <w:r w:rsidRPr="00C258AD">
              <w:rPr>
                <w:color w:val="002060"/>
                <w:sz w:val="16"/>
                <w:szCs w:val="16"/>
                <w:lang w:bidi="th-TH"/>
              </w:rPr>
              <w:t>Amérique du Nord 8,2%</w:t>
            </w:r>
          </w:p>
          <w:p w:rsidR="006E2BB1" w:rsidRPr="00C258AD" w:rsidRDefault="009D057D" w:rsidP="001A4D6C">
            <w:pPr>
              <w:keepNext/>
              <w:keepLines/>
              <w:rPr>
                <w:color w:val="002060"/>
                <w:sz w:val="16"/>
                <w:szCs w:val="16"/>
                <w:lang w:bidi="th-TH"/>
              </w:rPr>
            </w:pPr>
            <w:r w:rsidRPr="00C258AD">
              <w:rPr>
                <w:color w:val="002060"/>
                <w:sz w:val="16"/>
                <w:szCs w:val="16"/>
                <w:lang w:bidi="th-TH"/>
              </w:rPr>
              <w:t>Europe de l’Ouest 51,0%</w:t>
            </w:r>
          </w:p>
          <w:p w:rsidR="006E2BB1" w:rsidRPr="00C258AD" w:rsidRDefault="006E2BB1" w:rsidP="001A4D6C">
            <w:pPr>
              <w:keepNext/>
              <w:keepLines/>
              <w:rPr>
                <w:i/>
                <w:sz w:val="16"/>
                <w:szCs w:val="16"/>
              </w:rPr>
            </w:pPr>
          </w:p>
          <w:p w:rsidR="006E2BB1" w:rsidRPr="00C258AD" w:rsidRDefault="009D057D" w:rsidP="001A4D6C">
            <w:pPr>
              <w:keepNext/>
              <w:keepLines/>
              <w:rPr>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t xml:space="preserve"> Afrique 11%</w:t>
            </w:r>
          </w:p>
          <w:p w:rsidR="006E2BB1" w:rsidRPr="00C258AD" w:rsidRDefault="009D057D" w:rsidP="001A4D6C">
            <w:pPr>
              <w:keepNext/>
              <w:keepLines/>
              <w:rPr>
                <w:sz w:val="16"/>
                <w:szCs w:val="16"/>
              </w:rPr>
            </w:pPr>
            <w:r w:rsidRPr="00C258AD">
              <w:rPr>
                <w:sz w:val="16"/>
                <w:szCs w:val="16"/>
              </w:rPr>
              <w:t>Asie et Pacifique 13,7%</w:t>
            </w:r>
          </w:p>
          <w:p w:rsidR="006E2BB1" w:rsidRPr="00C258AD" w:rsidRDefault="009D057D" w:rsidP="001A4D6C">
            <w:pPr>
              <w:keepNext/>
              <w:keepLines/>
              <w:rPr>
                <w:sz w:val="16"/>
                <w:szCs w:val="16"/>
              </w:rPr>
            </w:pPr>
            <w:r w:rsidRPr="00C258AD">
              <w:rPr>
                <w:sz w:val="16"/>
                <w:szCs w:val="16"/>
              </w:rPr>
              <w:t>Europe de l’Est, Europe centrale et Asie centrale 6,2%</w:t>
            </w:r>
          </w:p>
          <w:p w:rsidR="006E2BB1" w:rsidRPr="00C258AD" w:rsidRDefault="009D057D" w:rsidP="001A4D6C">
            <w:pPr>
              <w:keepNext/>
              <w:keepLines/>
              <w:rPr>
                <w:sz w:val="16"/>
                <w:szCs w:val="16"/>
              </w:rPr>
            </w:pPr>
            <w:r w:rsidRPr="00C258AD">
              <w:rPr>
                <w:sz w:val="16"/>
                <w:szCs w:val="16"/>
              </w:rPr>
              <w:t>Amérique latine et Caraïbes 8,6%</w:t>
            </w:r>
          </w:p>
          <w:p w:rsidR="006E2BB1" w:rsidRPr="00C258AD" w:rsidRDefault="009D057D" w:rsidP="001A4D6C">
            <w:pPr>
              <w:keepNext/>
              <w:keepLines/>
              <w:rPr>
                <w:sz w:val="16"/>
                <w:szCs w:val="16"/>
              </w:rPr>
            </w:pPr>
            <w:r w:rsidRPr="00C258AD">
              <w:rPr>
                <w:sz w:val="16"/>
                <w:szCs w:val="16"/>
              </w:rPr>
              <w:t>Moyen</w:t>
            </w:r>
            <w:r w:rsidRPr="00C258AD">
              <w:rPr>
                <w:sz w:val="16"/>
                <w:szCs w:val="16"/>
              </w:rPr>
              <w:noBreakHyphen/>
              <w:t>Orient 1,2%</w:t>
            </w:r>
          </w:p>
          <w:p w:rsidR="006E2BB1" w:rsidRPr="00C258AD" w:rsidRDefault="009D057D" w:rsidP="001A4D6C">
            <w:pPr>
              <w:keepNext/>
              <w:keepLines/>
              <w:rPr>
                <w:sz w:val="16"/>
                <w:szCs w:val="16"/>
              </w:rPr>
            </w:pPr>
            <w:r w:rsidRPr="00C258AD">
              <w:rPr>
                <w:sz w:val="16"/>
                <w:szCs w:val="16"/>
              </w:rPr>
              <w:t>Amérique du Nord 8%</w:t>
            </w:r>
          </w:p>
          <w:p w:rsidR="009D057D" w:rsidRPr="00C258AD" w:rsidRDefault="009D057D" w:rsidP="001A4D6C">
            <w:pPr>
              <w:keepNext/>
              <w:keepLines/>
              <w:rPr>
                <w:sz w:val="16"/>
                <w:szCs w:val="16"/>
              </w:rPr>
            </w:pPr>
            <w:r w:rsidRPr="00C258AD">
              <w:rPr>
                <w:sz w:val="16"/>
                <w:szCs w:val="16"/>
              </w:rPr>
              <w:t>Europe de l’Ouest 51,2%</w:t>
            </w:r>
          </w:p>
        </w:tc>
        <w:tc>
          <w:tcPr>
            <w:tcW w:w="865" w:type="pct"/>
            <w:shd w:val="clear" w:color="auto" w:fill="auto"/>
            <w:tcMar>
              <w:top w:w="113" w:type="dxa"/>
              <w:bottom w:w="113" w:type="dxa"/>
            </w:tcMar>
          </w:tcPr>
          <w:p w:rsidR="009D057D" w:rsidRPr="00C258AD" w:rsidRDefault="009D057D" w:rsidP="001A4D6C">
            <w:pPr>
              <w:keepNext/>
              <w:keepLines/>
              <w:rPr>
                <w:sz w:val="16"/>
                <w:szCs w:val="16"/>
              </w:rPr>
            </w:pPr>
            <w:r w:rsidRPr="00C258AD">
              <w:rPr>
                <w:sz w:val="16"/>
                <w:szCs w:val="16"/>
              </w:rPr>
              <w:t>À déterminer</w:t>
            </w:r>
            <w:r w:rsidRPr="00C258AD">
              <w:rPr>
                <w:rStyle w:val="FootnoteReference"/>
                <w:rFonts w:eastAsia="SimSun"/>
                <w:sz w:val="16"/>
                <w:szCs w:val="16"/>
              </w:rPr>
              <w:footnoteReference w:id="135"/>
            </w:r>
          </w:p>
        </w:tc>
        <w:tc>
          <w:tcPr>
            <w:tcW w:w="1157" w:type="pct"/>
            <w:shd w:val="clear" w:color="auto" w:fill="FFFFFF"/>
            <w:tcMar>
              <w:top w:w="113" w:type="dxa"/>
              <w:bottom w:w="113" w:type="dxa"/>
            </w:tcMar>
          </w:tcPr>
          <w:p w:rsidR="006E2BB1" w:rsidRPr="00C258AD" w:rsidRDefault="009D057D" w:rsidP="001A4D6C">
            <w:pPr>
              <w:keepNext/>
              <w:keepLines/>
              <w:rPr>
                <w:sz w:val="16"/>
                <w:szCs w:val="16"/>
              </w:rPr>
            </w:pPr>
            <w:r w:rsidRPr="00C258AD">
              <w:rPr>
                <w:sz w:val="16"/>
                <w:szCs w:val="16"/>
              </w:rPr>
              <w:t>Afrique : 10,7%</w:t>
            </w:r>
          </w:p>
          <w:p w:rsidR="006E2BB1" w:rsidRPr="00C258AD" w:rsidRDefault="009D057D" w:rsidP="001A4D6C">
            <w:pPr>
              <w:keepNext/>
              <w:keepLines/>
              <w:rPr>
                <w:sz w:val="16"/>
                <w:szCs w:val="16"/>
              </w:rPr>
            </w:pPr>
            <w:r w:rsidRPr="00C258AD">
              <w:rPr>
                <w:sz w:val="16"/>
                <w:szCs w:val="16"/>
              </w:rPr>
              <w:t>Asie et Pacifique : 14,3%</w:t>
            </w:r>
          </w:p>
          <w:p w:rsidR="006E2BB1" w:rsidRPr="00C258AD" w:rsidRDefault="009D057D" w:rsidP="001A4D6C">
            <w:pPr>
              <w:keepNext/>
              <w:keepLines/>
              <w:rPr>
                <w:sz w:val="16"/>
                <w:szCs w:val="16"/>
              </w:rPr>
            </w:pPr>
            <w:r w:rsidRPr="00C258AD">
              <w:rPr>
                <w:sz w:val="16"/>
                <w:szCs w:val="16"/>
              </w:rPr>
              <w:t>Europe de l’Est, Europe centrale et Asie centrale : 6,9%</w:t>
            </w:r>
          </w:p>
          <w:p w:rsidR="006E2BB1" w:rsidRPr="00C258AD" w:rsidRDefault="009D057D" w:rsidP="001A4D6C">
            <w:pPr>
              <w:keepNext/>
              <w:keepLines/>
              <w:rPr>
                <w:sz w:val="16"/>
                <w:szCs w:val="16"/>
              </w:rPr>
            </w:pPr>
            <w:r w:rsidRPr="00C258AD">
              <w:rPr>
                <w:sz w:val="16"/>
                <w:szCs w:val="16"/>
              </w:rPr>
              <w:t>Amérique latine et Caraïbes : 8,4%</w:t>
            </w:r>
          </w:p>
          <w:p w:rsidR="006E2BB1" w:rsidRPr="00C258AD" w:rsidRDefault="009D057D" w:rsidP="001A4D6C">
            <w:pPr>
              <w:keepNext/>
              <w:keepLines/>
              <w:rPr>
                <w:sz w:val="16"/>
                <w:szCs w:val="16"/>
              </w:rPr>
            </w:pPr>
            <w:r w:rsidRPr="00C258AD">
              <w:rPr>
                <w:sz w:val="16"/>
                <w:szCs w:val="16"/>
              </w:rPr>
              <w:t>Moyen</w:t>
            </w:r>
            <w:r w:rsidRPr="00C258AD">
              <w:rPr>
                <w:sz w:val="16"/>
                <w:szCs w:val="16"/>
              </w:rPr>
              <w:noBreakHyphen/>
              <w:t>Orient : 1,1%</w:t>
            </w:r>
          </w:p>
          <w:p w:rsidR="006E2BB1" w:rsidRPr="00C258AD" w:rsidRDefault="009D057D" w:rsidP="001A4D6C">
            <w:pPr>
              <w:keepNext/>
              <w:keepLines/>
              <w:rPr>
                <w:sz w:val="16"/>
                <w:szCs w:val="16"/>
              </w:rPr>
            </w:pPr>
            <w:r w:rsidRPr="00C258AD">
              <w:rPr>
                <w:sz w:val="16"/>
                <w:szCs w:val="16"/>
                <w:lang w:bidi="th-TH"/>
              </w:rPr>
              <w:t>Amérique du Nord </w:t>
            </w:r>
            <w:r w:rsidRPr="00C258AD">
              <w:rPr>
                <w:sz w:val="16"/>
                <w:szCs w:val="16"/>
              </w:rPr>
              <w:t>: 9,0%</w:t>
            </w:r>
          </w:p>
          <w:p w:rsidR="006E2BB1" w:rsidRPr="00C258AD" w:rsidRDefault="009D057D" w:rsidP="001A4D6C">
            <w:pPr>
              <w:keepNext/>
              <w:keepLines/>
              <w:rPr>
                <w:sz w:val="16"/>
                <w:szCs w:val="16"/>
              </w:rPr>
            </w:pPr>
            <w:r w:rsidRPr="00C258AD">
              <w:rPr>
                <w:sz w:val="16"/>
                <w:szCs w:val="16"/>
                <w:lang w:bidi="th-TH"/>
              </w:rPr>
              <w:t>Europe de l’Ouest </w:t>
            </w:r>
            <w:r w:rsidRPr="00C258AD">
              <w:rPr>
                <w:sz w:val="16"/>
                <w:szCs w:val="16"/>
              </w:rPr>
              <w:t>: 49,5%</w:t>
            </w:r>
          </w:p>
          <w:p w:rsidR="009D057D" w:rsidRPr="00C258AD" w:rsidRDefault="009D057D" w:rsidP="001A4D6C">
            <w:pPr>
              <w:keepNext/>
              <w:keepLines/>
              <w:rPr>
                <w:sz w:val="16"/>
                <w:szCs w:val="16"/>
              </w:rPr>
            </w:pPr>
            <w:r w:rsidRPr="00C258AD">
              <w:rPr>
                <w:sz w:val="16"/>
                <w:szCs w:val="16"/>
              </w:rPr>
              <w:t>(décembre 2015)</w:t>
            </w:r>
          </w:p>
        </w:tc>
        <w:tc>
          <w:tcPr>
            <w:tcW w:w="566" w:type="pct"/>
            <w:shd w:val="clear" w:color="auto" w:fill="auto"/>
            <w:tcMar>
              <w:top w:w="113" w:type="dxa"/>
              <w:bottom w:w="113" w:type="dxa"/>
            </w:tcMar>
          </w:tcPr>
          <w:p w:rsidR="009D057D" w:rsidRPr="00C258AD" w:rsidRDefault="009D057D" w:rsidP="001A4D6C">
            <w:pPr>
              <w:keepNext/>
              <w:keepLines/>
              <w:jc w:val="center"/>
              <w:rPr>
                <w:bCs/>
                <w:color w:val="969696"/>
                <w:sz w:val="16"/>
                <w:szCs w:val="16"/>
              </w:rPr>
            </w:pPr>
            <w:r w:rsidRPr="00C258AD">
              <w:rPr>
                <w:b/>
                <w:bCs/>
                <w:color w:val="808080"/>
                <w:sz w:val="16"/>
                <w:szCs w:val="16"/>
              </w:rPr>
              <w:t>Non évaluable</w:t>
            </w:r>
          </w:p>
        </w:tc>
      </w:tr>
    </w:tbl>
    <w:p w:rsidR="006E2BB1" w:rsidRPr="00C258AD" w:rsidRDefault="006E2BB1" w:rsidP="001A4D6C">
      <w:pPr>
        <w:rPr>
          <w:sz w:val="22"/>
          <w:szCs w:val="22"/>
        </w:rPr>
      </w:pPr>
    </w:p>
    <w:p w:rsidR="006E2BB1" w:rsidRPr="00C258AD" w:rsidRDefault="006E2BB1" w:rsidP="001A4D6C">
      <w:pPr>
        <w:rPr>
          <w:sz w:val="22"/>
          <w:szCs w:val="22"/>
        </w:rPr>
      </w:pPr>
    </w:p>
    <w:p w:rsidR="006E2BB1" w:rsidRPr="00C258AD" w:rsidRDefault="009D057D">
      <w:pPr>
        <w:rPr>
          <w:caps/>
          <w:sz w:val="22"/>
        </w:rPr>
      </w:pPr>
      <w:r w:rsidRPr="00C258AD">
        <w:br w:type="page"/>
      </w:r>
    </w:p>
    <w:p w:rsidR="006E2BB1" w:rsidRPr="00C258AD" w:rsidRDefault="009D057D" w:rsidP="00305CE5">
      <w:pPr>
        <w:keepNext/>
        <w:rPr>
          <w:rFonts w:cs="Arial"/>
          <w:caps/>
          <w:sz w:val="22"/>
          <w:szCs w:val="22"/>
        </w:rPr>
      </w:pPr>
      <w:r w:rsidRPr="00C258AD">
        <w:rPr>
          <w:rFonts w:cs="Arial"/>
          <w:caps/>
          <w:sz w:val="22"/>
          <w:szCs w:val="22"/>
        </w:rPr>
        <w:lastRenderedPageBreak/>
        <w:t>Rapport d’évaluation des risques pour l’exercice biennal</w:t>
      </w:r>
    </w:p>
    <w:p w:rsidR="009D057D" w:rsidRPr="00C258AD" w:rsidRDefault="009D057D" w:rsidP="001A4D6C">
      <w:pPr>
        <w:keepNext/>
        <w:keepLines/>
        <w:rPr>
          <w:rFonts w:cs="Arial"/>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9D057D" w:rsidRPr="00C258AD" w:rsidTr="001A4D6C">
        <w:trPr>
          <w:cantSplit/>
        </w:trPr>
        <w:tc>
          <w:tcPr>
            <w:tcW w:w="2372" w:type="dxa"/>
            <w:tcBorders>
              <w:top w:val="single" w:sz="4" w:space="0" w:color="auto"/>
              <w:left w:val="single" w:sz="4" w:space="0" w:color="auto"/>
              <w:bottom w:val="single" w:sz="4" w:space="0" w:color="auto"/>
            </w:tcBorders>
            <w:shd w:val="clear" w:color="auto" w:fill="C5D9F1"/>
            <w:vAlign w:val="center"/>
          </w:tcPr>
          <w:p w:rsidR="009D057D" w:rsidRPr="00C258AD" w:rsidRDefault="009D057D" w:rsidP="001A4D6C">
            <w:pPr>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9D057D" w:rsidRPr="00C258AD" w:rsidRDefault="009D057D" w:rsidP="001A4D6C">
            <w:pPr>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9D057D" w:rsidRPr="00C258AD" w:rsidRDefault="009D057D" w:rsidP="001A4D6C">
            <w:pPr>
              <w:autoSpaceDE w:val="0"/>
              <w:autoSpaceDN w:val="0"/>
              <w:adjustRightInd w:val="0"/>
              <w:ind w:right="-59"/>
              <w:jc w:val="center"/>
              <w:rPr>
                <w:b/>
                <w:bCs/>
                <w:iCs/>
                <w:sz w:val="16"/>
                <w:szCs w:val="16"/>
              </w:rPr>
            </w:pPr>
            <w:r w:rsidRPr="00C258AD">
              <w:rPr>
                <w:b/>
                <w:bCs/>
                <w:iCs/>
                <w:sz w:val="16"/>
                <w:szCs w:val="16"/>
              </w:rPr>
              <w:t>Évolution des risques et des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9D057D" w:rsidRPr="00C258AD" w:rsidRDefault="009D057D" w:rsidP="001A4D6C">
            <w:pPr>
              <w:autoSpaceDE w:val="0"/>
              <w:autoSpaceDN w:val="0"/>
              <w:adjustRightInd w:val="0"/>
              <w:jc w:val="center"/>
              <w:rPr>
                <w:b/>
                <w:bCs/>
                <w:iCs/>
                <w:sz w:val="16"/>
                <w:szCs w:val="16"/>
              </w:rPr>
            </w:pPr>
            <w:r w:rsidRPr="00C258AD">
              <w:rPr>
                <w:b/>
                <w:bCs/>
                <w:iCs/>
                <w:sz w:val="16"/>
                <w:szCs w:val="16"/>
              </w:rPr>
              <w:t>Incidence sur les résultats du programme</w:t>
            </w:r>
          </w:p>
        </w:tc>
      </w:tr>
      <w:tr w:rsidR="009D057D" w:rsidRPr="00C258AD" w:rsidTr="001A4D6C">
        <w:trPr>
          <w:cantSplit/>
        </w:trPr>
        <w:tc>
          <w:tcPr>
            <w:tcW w:w="2372" w:type="dxa"/>
            <w:tcBorders>
              <w:top w:val="single" w:sz="4" w:space="0" w:color="auto"/>
              <w:left w:val="single" w:sz="4" w:space="0" w:color="auto"/>
            </w:tcBorders>
            <w:shd w:val="clear" w:color="auto" w:fill="auto"/>
          </w:tcPr>
          <w:p w:rsidR="009D057D" w:rsidRPr="00C258AD" w:rsidRDefault="009D057D" w:rsidP="001A4D6C">
            <w:pPr>
              <w:rPr>
                <w:sz w:val="16"/>
              </w:rPr>
            </w:pPr>
            <w:r w:rsidRPr="00C258AD">
              <w:rPr>
                <w:sz w:val="16"/>
              </w:rPr>
              <w:t>L’évolution rapide des activités extérieures nécessitant de nouveaux processus, de nouvelles compétences et de nouvelles solutions informatiques peut entraîner une inadéquation de la main</w:t>
            </w:r>
            <w:r w:rsidRPr="00C258AD">
              <w:rPr>
                <w:sz w:val="16"/>
              </w:rPr>
              <w:noBreakHyphen/>
              <w:t>d’œuvre dans les secteurs clés de l’OMPI.  Cette situation pourrait engendrer des coûts élevés liés au recrutement à court terme de personnel supplémentaire, des processus inefficaces, des retards dans les secteurs vitaux et nuire à la réputation de l’OMPI.</w:t>
            </w:r>
          </w:p>
        </w:tc>
        <w:tc>
          <w:tcPr>
            <w:tcW w:w="2373" w:type="dxa"/>
            <w:tcBorders>
              <w:top w:val="single" w:sz="4" w:space="0" w:color="auto"/>
            </w:tcBorders>
            <w:shd w:val="clear" w:color="auto" w:fill="auto"/>
          </w:tcPr>
          <w:p w:rsidR="009D057D" w:rsidRPr="00C258AD" w:rsidRDefault="009D057D" w:rsidP="001A4D6C">
            <w:pPr>
              <w:rPr>
                <w:sz w:val="16"/>
              </w:rPr>
            </w:pPr>
            <w:r w:rsidRPr="00C258AD">
              <w:rPr>
                <w:sz w:val="16"/>
              </w:rPr>
              <w:t>Développement progressif d’une main</w:t>
            </w:r>
            <w:r w:rsidRPr="00C258AD">
              <w:rPr>
                <w:sz w:val="16"/>
              </w:rPr>
              <w:noBreakHyphen/>
              <w:t>d’œuvre plus réactive et plus adaptable, avec une structure qui soit à même de réagir en fonction des fluctuations de la demande;  Analyse détaillée et évaluation des besoins de compétences et d’effectifs, suivies par des plans d’exécution prévoyant la réaffectation de membres du personnel, la formation adéquate du personnel, le recrutement des compétences essentielles et l’externalisation.</w:t>
            </w:r>
          </w:p>
        </w:tc>
        <w:tc>
          <w:tcPr>
            <w:tcW w:w="2373" w:type="dxa"/>
            <w:tcBorders>
              <w:top w:val="single" w:sz="4" w:space="0" w:color="auto"/>
            </w:tcBorders>
            <w:shd w:val="clear" w:color="auto" w:fill="auto"/>
          </w:tcPr>
          <w:p w:rsidR="009D057D" w:rsidRPr="00C258AD" w:rsidRDefault="009D057D" w:rsidP="001A4D6C">
            <w:pPr>
              <w:rPr>
                <w:sz w:val="16"/>
              </w:rPr>
            </w:pPr>
            <w:r w:rsidRPr="00C258AD">
              <w:rPr>
                <w:sz w:val="16"/>
              </w:rPr>
              <w:t>L’institutionnalisation de la planification des effectifs associée aux nouvelles directives concernant la gestion des postes ont permis à l’Organisation de tenir compte de l’évolution des besoins en matière de ressources humaines et de procéder aux ajustements nécessaires en procédant à des réorientations, en proposant des formations et en ayant recours à l’externalisation selon que de besoin.</w:t>
            </w:r>
          </w:p>
        </w:tc>
        <w:tc>
          <w:tcPr>
            <w:tcW w:w="2373" w:type="dxa"/>
            <w:tcBorders>
              <w:top w:val="single" w:sz="4" w:space="0" w:color="auto"/>
              <w:right w:val="single" w:sz="4" w:space="0" w:color="auto"/>
            </w:tcBorders>
            <w:shd w:val="clear" w:color="auto" w:fill="auto"/>
          </w:tcPr>
          <w:p w:rsidR="009D057D" w:rsidRPr="00C258AD" w:rsidRDefault="009D057D" w:rsidP="001A4D6C">
            <w:pPr>
              <w:rPr>
                <w:sz w:val="16"/>
              </w:rPr>
            </w:pPr>
            <w:r w:rsidRPr="00C258AD">
              <w:rPr>
                <w:sz w:val="16"/>
              </w:rPr>
              <w:t>Les mesures d’atténuation mises en place ont contribué à la bonne exécution du programme au cours de l’exercice biennal et, ainsi, renforcé l’efficacité des stratégies de gestion des ressources humaines et de recherche de talents.</w:t>
            </w:r>
          </w:p>
        </w:tc>
      </w:tr>
      <w:tr w:rsidR="009D057D" w:rsidRPr="00C258AD" w:rsidTr="001A4D6C">
        <w:trPr>
          <w:cantSplit/>
        </w:trPr>
        <w:tc>
          <w:tcPr>
            <w:tcW w:w="2372" w:type="dxa"/>
            <w:tcBorders>
              <w:left w:val="single" w:sz="4" w:space="0" w:color="auto"/>
              <w:bottom w:val="single" w:sz="4" w:space="0" w:color="auto"/>
            </w:tcBorders>
            <w:shd w:val="clear" w:color="auto" w:fill="auto"/>
          </w:tcPr>
          <w:p w:rsidR="009D057D" w:rsidRPr="00C258AD" w:rsidRDefault="009D057D" w:rsidP="001A4D6C">
            <w:pPr>
              <w:autoSpaceDE w:val="0"/>
              <w:autoSpaceDN w:val="0"/>
              <w:adjustRightInd w:val="0"/>
              <w:ind w:right="-59"/>
              <w:rPr>
                <w:sz w:val="16"/>
                <w:szCs w:val="16"/>
              </w:rPr>
            </w:pPr>
            <w:r w:rsidRPr="00C258AD">
              <w:rPr>
                <w:sz w:val="16"/>
                <w:szCs w:val="16"/>
              </w:rPr>
              <w:t>Les nouvelles fonctionnalités issues de la mise en œuvre de l’ERP pourraient conduire à une perturbation des services à mesure que le personnel fait l’apprentissage de nouvelles procédures.  Il se pourrait que la mise en œuvre n’intègre pas suffisamment l’analyse et la restructuration des procédures de travail, et qu’il s’agisse surtout d’un projet de remplacement de l’application système.</w:t>
            </w:r>
          </w:p>
        </w:tc>
        <w:tc>
          <w:tcPr>
            <w:tcW w:w="2373" w:type="dxa"/>
            <w:tcBorders>
              <w:bottom w:val="single" w:sz="4" w:space="0" w:color="auto"/>
            </w:tcBorders>
            <w:shd w:val="clear" w:color="auto" w:fill="auto"/>
          </w:tcPr>
          <w:p w:rsidR="009D057D" w:rsidRPr="00C258AD" w:rsidRDefault="009D057D" w:rsidP="001A4D6C">
            <w:pPr>
              <w:autoSpaceDE w:val="0"/>
              <w:autoSpaceDN w:val="0"/>
              <w:adjustRightInd w:val="0"/>
              <w:ind w:right="-59"/>
              <w:rPr>
                <w:sz w:val="16"/>
                <w:szCs w:val="16"/>
              </w:rPr>
            </w:pPr>
            <w:r w:rsidRPr="00C258AD">
              <w:rPr>
                <w:sz w:val="16"/>
                <w:szCs w:val="16"/>
              </w:rPr>
              <w:t xml:space="preserve">Formation approfondie du personnel des ressources humaines et des utilisateurs finaux, plans de communication réguliers, surveillance étroite des progrès réalisés par l’équipe chargée du projet ERP, et alerte rapide sur les problèmes à gérer.  Amélioration continue des procédures de travail dans le cadre de la configuration et du développement de la solution technique.  </w:t>
            </w:r>
          </w:p>
        </w:tc>
        <w:tc>
          <w:tcPr>
            <w:tcW w:w="2373" w:type="dxa"/>
            <w:tcBorders>
              <w:bottom w:val="single" w:sz="4" w:space="0" w:color="auto"/>
            </w:tcBorders>
            <w:shd w:val="clear" w:color="auto" w:fill="auto"/>
          </w:tcPr>
          <w:p w:rsidR="009D057D" w:rsidRPr="00C258AD" w:rsidRDefault="009D057D" w:rsidP="001A4D6C">
            <w:pPr>
              <w:autoSpaceDE w:val="0"/>
              <w:autoSpaceDN w:val="0"/>
              <w:adjustRightInd w:val="0"/>
              <w:ind w:right="-59"/>
              <w:rPr>
                <w:sz w:val="16"/>
                <w:szCs w:val="16"/>
              </w:rPr>
            </w:pPr>
            <w:r w:rsidRPr="00C258AD">
              <w:rPr>
                <w:sz w:val="16"/>
                <w:szCs w:val="16"/>
              </w:rPr>
              <w:t xml:space="preserve">Le risque s’est concrétisé en raison de la nécessité de compenser en interne les contraintes liées à la mise en œuvre du projet.  Des mesures supplémentaires ont donc été prises, notamment en faisant appel à un analyste des opérations.  </w:t>
            </w:r>
          </w:p>
        </w:tc>
        <w:tc>
          <w:tcPr>
            <w:tcW w:w="2373" w:type="dxa"/>
            <w:tcBorders>
              <w:bottom w:val="single" w:sz="4" w:space="0" w:color="auto"/>
              <w:right w:val="single" w:sz="4" w:space="0" w:color="auto"/>
            </w:tcBorders>
            <w:shd w:val="clear" w:color="auto" w:fill="auto"/>
          </w:tcPr>
          <w:p w:rsidR="009D057D" w:rsidRPr="00C258AD" w:rsidRDefault="009D057D" w:rsidP="001A4D6C">
            <w:pPr>
              <w:autoSpaceDE w:val="0"/>
              <w:autoSpaceDN w:val="0"/>
              <w:adjustRightInd w:val="0"/>
              <w:ind w:right="-59"/>
              <w:rPr>
                <w:sz w:val="16"/>
                <w:szCs w:val="16"/>
              </w:rPr>
            </w:pPr>
            <w:r w:rsidRPr="00C258AD">
              <w:rPr>
                <w:sz w:val="16"/>
                <w:szCs w:val="16"/>
              </w:rPr>
              <w:t xml:space="preserve">Le risque, tel qu’il s’est concrétisé, a entraîné un certain nombre de retards dans le recrutement, mais les mesures d’atténuation des risques </w:t>
            </w:r>
            <w:proofErr w:type="gramStart"/>
            <w:r w:rsidRPr="00C258AD">
              <w:rPr>
                <w:sz w:val="16"/>
                <w:szCs w:val="16"/>
              </w:rPr>
              <w:t>mises en œuvres</w:t>
            </w:r>
            <w:proofErr w:type="gramEnd"/>
            <w:r w:rsidRPr="00C258AD">
              <w:rPr>
                <w:sz w:val="16"/>
                <w:szCs w:val="16"/>
              </w:rPr>
              <w:t xml:space="preserve"> ont réduit à un minimum l’incidence de ces retards.</w:t>
            </w:r>
          </w:p>
        </w:tc>
      </w:tr>
    </w:tbl>
    <w:p w:rsidR="006E2BB1" w:rsidRPr="00C258AD" w:rsidRDefault="006E2BB1" w:rsidP="001A4D6C">
      <w:pPr>
        <w:rPr>
          <w:sz w:val="22"/>
          <w:szCs w:val="22"/>
        </w:rPr>
      </w:pPr>
    </w:p>
    <w:p w:rsidR="006E2BB1" w:rsidRPr="00C258AD" w:rsidRDefault="006E2BB1" w:rsidP="001A4D6C">
      <w:pPr>
        <w:rPr>
          <w:sz w:val="22"/>
          <w:szCs w:val="22"/>
        </w:rPr>
      </w:pPr>
    </w:p>
    <w:p w:rsidR="006E2BB1" w:rsidRPr="00C258AD" w:rsidRDefault="009D057D" w:rsidP="00305CE5">
      <w:pPr>
        <w:keepNext/>
        <w:rPr>
          <w:rFonts w:cs="Arial"/>
          <w:caps/>
          <w:sz w:val="22"/>
          <w:szCs w:val="22"/>
        </w:rPr>
      </w:pPr>
      <w:r w:rsidRPr="00C258AD">
        <w:rPr>
          <w:rFonts w:cs="Arial"/>
          <w:caps/>
          <w:sz w:val="22"/>
          <w:szCs w:val="22"/>
        </w:rPr>
        <w:t>Utilisation des ressources</w:t>
      </w:r>
    </w:p>
    <w:p w:rsidR="006E2BB1" w:rsidRPr="00C258AD" w:rsidRDefault="006E2BB1" w:rsidP="001A4D6C">
      <w:pPr>
        <w:jc w:val="center"/>
      </w:pPr>
    </w:p>
    <w:p w:rsidR="006E2BB1" w:rsidRPr="00C258AD" w:rsidRDefault="009D057D" w:rsidP="001A4D6C">
      <w:pPr>
        <w:pStyle w:val="NormalWeb"/>
        <w:keepNext/>
        <w:spacing w:before="0" w:beforeAutospacing="0" w:after="0" w:afterAutospacing="0"/>
        <w:jc w:val="center"/>
        <w:rPr>
          <w:sz w:val="20"/>
          <w:szCs w:val="20"/>
        </w:rPr>
      </w:pPr>
      <w:r w:rsidRPr="00C258AD">
        <w:rPr>
          <w:sz w:val="20"/>
          <w:szCs w:val="20"/>
        </w:rPr>
        <w:t>Budget et dépenses effectives (par résultat)</w:t>
      </w:r>
    </w:p>
    <w:p w:rsidR="006E2BB1" w:rsidRPr="00C258AD" w:rsidRDefault="009D057D" w:rsidP="001A4D6C">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9D057D" w:rsidRPr="00C258AD" w:rsidRDefault="009D057D" w:rsidP="001A4D6C">
      <w:pPr>
        <w:keepNext/>
        <w:jc w:val="both"/>
      </w:pPr>
    </w:p>
    <w:tbl>
      <w:tblPr>
        <w:tblW w:w="5000" w:type="pct"/>
        <w:tblCellMar>
          <w:top w:w="113" w:type="dxa"/>
          <w:left w:w="70" w:type="dxa"/>
          <w:bottom w:w="113" w:type="dxa"/>
          <w:right w:w="70" w:type="dxa"/>
        </w:tblCellMar>
        <w:tblLook w:val="04A0" w:firstRow="1" w:lastRow="0" w:firstColumn="1" w:lastColumn="0" w:noHBand="0" w:noVBand="1"/>
      </w:tblPr>
      <w:tblGrid>
        <w:gridCol w:w="534"/>
        <w:gridCol w:w="4695"/>
        <w:gridCol w:w="1422"/>
        <w:gridCol w:w="1422"/>
        <w:gridCol w:w="1422"/>
      </w:tblGrid>
      <w:tr w:rsidR="009D057D" w:rsidRPr="00C258AD" w:rsidTr="001A4D6C">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9D057D" w:rsidRPr="00C258AD" w:rsidRDefault="009D057D" w:rsidP="001A4D6C">
            <w:pPr>
              <w:jc w:val="center"/>
              <w:rPr>
                <w:i/>
                <w:iCs/>
                <w:sz w:val="16"/>
                <w:szCs w:val="16"/>
                <w:lang w:eastAsia="fr-FR"/>
              </w:rPr>
            </w:pPr>
            <w:r w:rsidRPr="00C258AD">
              <w:rPr>
                <w:i/>
                <w:iCs/>
                <w:sz w:val="16"/>
                <w:szCs w:val="16"/>
                <w:lang w:eastAsia="fr-FR"/>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9D057D" w:rsidRPr="00C258AD" w:rsidRDefault="009D057D" w:rsidP="001A4D6C">
            <w:pPr>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Pr="00C258AD">
              <w:rPr>
                <w:i/>
                <w:iCs/>
                <w:sz w:val="16"/>
                <w:szCs w:val="16"/>
                <w:lang w:eastAsia="fr-FR"/>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9D057D" w:rsidRPr="00C258AD" w:rsidRDefault="009D057D" w:rsidP="001A4D6C">
            <w:pPr>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Pr="00C258AD">
              <w:rPr>
                <w:i/>
                <w:iCs/>
                <w:sz w:val="16"/>
                <w:szCs w:val="16"/>
                <w:lang w:eastAsia="fr-FR"/>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9D057D" w:rsidRPr="00C258AD" w:rsidRDefault="009D057D" w:rsidP="001A4D6C">
            <w:pPr>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Pr="00C258AD">
              <w:rPr>
                <w:i/>
                <w:iCs/>
                <w:sz w:val="16"/>
                <w:szCs w:val="16"/>
                <w:lang w:eastAsia="fr-FR"/>
              </w:rPr>
              <w:noBreakHyphen/>
              <w:t>2015</w:t>
            </w:r>
          </w:p>
        </w:tc>
      </w:tr>
      <w:tr w:rsidR="009D057D" w:rsidRPr="00C258AD" w:rsidTr="001A4D6C">
        <w:trPr>
          <w:cantSplit/>
        </w:trPr>
        <w:tc>
          <w:tcPr>
            <w:tcW w:w="510" w:type="dxa"/>
            <w:tcBorders>
              <w:top w:val="nil"/>
              <w:left w:val="single" w:sz="4" w:space="0" w:color="auto"/>
              <w:bottom w:val="nil"/>
              <w:right w:val="nil"/>
            </w:tcBorders>
            <w:shd w:val="clear" w:color="auto" w:fill="auto"/>
            <w:noWrap/>
            <w:vAlign w:val="center"/>
            <w:hideMark/>
          </w:tcPr>
          <w:p w:rsidR="009D057D" w:rsidRPr="00C258AD" w:rsidRDefault="009D057D" w:rsidP="001A4D6C">
            <w:pPr>
              <w:rPr>
                <w:sz w:val="16"/>
                <w:szCs w:val="16"/>
                <w:lang w:eastAsia="fr-FR"/>
              </w:rPr>
            </w:pPr>
            <w:r w:rsidRPr="00C258AD">
              <w:rPr>
                <w:sz w:val="16"/>
                <w:szCs w:val="16"/>
                <w:lang w:eastAsia="fr-FR"/>
              </w:rPr>
              <w:t>IX.1</w:t>
            </w:r>
          </w:p>
        </w:tc>
        <w:tc>
          <w:tcPr>
            <w:tcW w:w="4490" w:type="dxa"/>
            <w:tcBorders>
              <w:top w:val="nil"/>
              <w:left w:val="nil"/>
              <w:bottom w:val="nil"/>
              <w:right w:val="nil"/>
            </w:tcBorders>
            <w:shd w:val="clear" w:color="auto" w:fill="auto"/>
            <w:vAlign w:val="center"/>
            <w:hideMark/>
          </w:tcPr>
          <w:p w:rsidR="009D057D" w:rsidRPr="00C258AD" w:rsidRDefault="009D057D" w:rsidP="001A4D6C">
            <w:pPr>
              <w:rPr>
                <w:sz w:val="16"/>
                <w:szCs w:val="16"/>
                <w:lang w:eastAsia="fr-FR"/>
              </w:rPr>
            </w:pPr>
            <w:r w:rsidRPr="00C258AD">
              <w:rPr>
                <w:sz w:val="16"/>
                <w:szCs w:val="16"/>
                <w:lang w:eastAsia="fr-FR"/>
              </w:rPr>
              <w:t>Services d’appui efficaces, efficients, de qualité et tournés vers la clientèle, à l’intention à la fois des clients internes et des parties prenantes externes</w:t>
            </w:r>
          </w:p>
        </w:tc>
        <w:tc>
          <w:tcPr>
            <w:tcW w:w="1360" w:type="dxa"/>
            <w:tcBorders>
              <w:top w:val="nil"/>
              <w:left w:val="nil"/>
              <w:bottom w:val="nil"/>
              <w:right w:val="nil"/>
            </w:tcBorders>
            <w:shd w:val="clear" w:color="auto" w:fill="auto"/>
            <w:vAlign w:val="center"/>
            <w:hideMark/>
          </w:tcPr>
          <w:p w:rsidR="009D057D" w:rsidRPr="00C258AD" w:rsidRDefault="009D057D" w:rsidP="001A4D6C">
            <w:pPr>
              <w:jc w:val="right"/>
              <w:rPr>
                <w:sz w:val="16"/>
                <w:szCs w:val="16"/>
                <w:lang w:eastAsia="fr-FR"/>
              </w:rPr>
            </w:pPr>
            <w:r w:rsidRPr="00C258AD">
              <w:rPr>
                <w:sz w:val="16"/>
                <w:szCs w:val="16"/>
                <w:lang w:eastAsia="fr-FR"/>
              </w:rPr>
              <w:t>12 276</w:t>
            </w:r>
          </w:p>
        </w:tc>
        <w:tc>
          <w:tcPr>
            <w:tcW w:w="1360" w:type="dxa"/>
            <w:tcBorders>
              <w:top w:val="nil"/>
              <w:left w:val="nil"/>
              <w:bottom w:val="nil"/>
              <w:right w:val="nil"/>
            </w:tcBorders>
            <w:shd w:val="clear" w:color="auto" w:fill="auto"/>
            <w:vAlign w:val="center"/>
            <w:hideMark/>
          </w:tcPr>
          <w:p w:rsidR="009D057D" w:rsidRPr="00C258AD" w:rsidRDefault="009D057D" w:rsidP="001A4D6C">
            <w:pPr>
              <w:jc w:val="right"/>
              <w:rPr>
                <w:sz w:val="16"/>
                <w:szCs w:val="16"/>
                <w:lang w:eastAsia="fr-FR"/>
              </w:rPr>
            </w:pPr>
            <w:r w:rsidRPr="00C258AD">
              <w:rPr>
                <w:sz w:val="16"/>
                <w:szCs w:val="16"/>
                <w:lang w:eastAsia="fr-FR"/>
              </w:rPr>
              <w:t>12 415</w:t>
            </w:r>
          </w:p>
        </w:tc>
        <w:tc>
          <w:tcPr>
            <w:tcW w:w="1360" w:type="dxa"/>
            <w:tcBorders>
              <w:top w:val="nil"/>
              <w:left w:val="nil"/>
              <w:bottom w:val="nil"/>
              <w:right w:val="single" w:sz="4" w:space="0" w:color="auto"/>
            </w:tcBorders>
            <w:shd w:val="clear" w:color="auto" w:fill="auto"/>
            <w:vAlign w:val="center"/>
            <w:hideMark/>
          </w:tcPr>
          <w:p w:rsidR="009D057D" w:rsidRPr="00C258AD" w:rsidRDefault="009D057D" w:rsidP="001A4D6C">
            <w:pPr>
              <w:jc w:val="right"/>
              <w:rPr>
                <w:sz w:val="16"/>
                <w:szCs w:val="16"/>
                <w:lang w:eastAsia="fr-FR"/>
              </w:rPr>
            </w:pPr>
            <w:r w:rsidRPr="00C258AD">
              <w:rPr>
                <w:sz w:val="16"/>
                <w:szCs w:val="16"/>
                <w:lang w:eastAsia="fr-FR"/>
              </w:rPr>
              <w:t>12 069</w:t>
            </w:r>
          </w:p>
        </w:tc>
      </w:tr>
      <w:tr w:rsidR="009D057D" w:rsidRPr="00C258AD" w:rsidTr="001A4D6C">
        <w:trPr>
          <w:cantSplit/>
        </w:trPr>
        <w:tc>
          <w:tcPr>
            <w:tcW w:w="510" w:type="dxa"/>
            <w:tcBorders>
              <w:top w:val="nil"/>
              <w:left w:val="single" w:sz="4" w:space="0" w:color="auto"/>
              <w:bottom w:val="nil"/>
              <w:right w:val="nil"/>
            </w:tcBorders>
            <w:shd w:val="clear" w:color="auto" w:fill="auto"/>
            <w:noWrap/>
            <w:vAlign w:val="center"/>
            <w:hideMark/>
          </w:tcPr>
          <w:p w:rsidR="009D057D" w:rsidRPr="00C258AD" w:rsidRDefault="009D057D" w:rsidP="001A4D6C">
            <w:pPr>
              <w:rPr>
                <w:sz w:val="16"/>
                <w:szCs w:val="16"/>
                <w:lang w:eastAsia="fr-FR"/>
              </w:rPr>
            </w:pPr>
            <w:r w:rsidRPr="00C258AD">
              <w:rPr>
                <w:sz w:val="16"/>
                <w:szCs w:val="16"/>
                <w:lang w:eastAsia="fr-FR"/>
              </w:rPr>
              <w:t>IX.2</w:t>
            </w:r>
          </w:p>
        </w:tc>
        <w:tc>
          <w:tcPr>
            <w:tcW w:w="4490" w:type="dxa"/>
            <w:tcBorders>
              <w:top w:val="nil"/>
              <w:left w:val="nil"/>
              <w:bottom w:val="nil"/>
              <w:right w:val="nil"/>
            </w:tcBorders>
            <w:shd w:val="clear" w:color="auto" w:fill="auto"/>
            <w:vAlign w:val="center"/>
            <w:hideMark/>
          </w:tcPr>
          <w:p w:rsidR="009D057D" w:rsidRPr="00C258AD" w:rsidRDefault="009D057D" w:rsidP="001A4D6C">
            <w:pPr>
              <w:rPr>
                <w:sz w:val="16"/>
                <w:szCs w:val="16"/>
                <w:lang w:eastAsia="fr-FR"/>
              </w:rPr>
            </w:pPr>
            <w:r w:rsidRPr="00C258AD">
              <w:rPr>
                <w:sz w:val="16"/>
                <w:szCs w:val="16"/>
                <w:lang w:eastAsia="fr-FR"/>
              </w:rPr>
              <w:t>Un Secrétariat réactif, fonctionnant harmonieusement et doté de ressources humaines bien gérées et compétentes, à même d’obtenir des résultats concrets</w:t>
            </w:r>
          </w:p>
        </w:tc>
        <w:tc>
          <w:tcPr>
            <w:tcW w:w="1360" w:type="dxa"/>
            <w:tcBorders>
              <w:top w:val="nil"/>
              <w:left w:val="nil"/>
              <w:bottom w:val="nil"/>
              <w:right w:val="nil"/>
            </w:tcBorders>
            <w:shd w:val="clear" w:color="auto" w:fill="auto"/>
            <w:vAlign w:val="center"/>
            <w:hideMark/>
          </w:tcPr>
          <w:p w:rsidR="009D057D" w:rsidRPr="00C258AD" w:rsidRDefault="009D057D" w:rsidP="001A4D6C">
            <w:pPr>
              <w:jc w:val="right"/>
              <w:rPr>
                <w:sz w:val="16"/>
                <w:szCs w:val="16"/>
                <w:lang w:eastAsia="fr-FR"/>
              </w:rPr>
            </w:pPr>
            <w:r w:rsidRPr="00C258AD">
              <w:rPr>
                <w:sz w:val="16"/>
                <w:szCs w:val="16"/>
                <w:lang w:eastAsia="fr-FR"/>
              </w:rPr>
              <w:t>11 285</w:t>
            </w:r>
          </w:p>
        </w:tc>
        <w:tc>
          <w:tcPr>
            <w:tcW w:w="1360" w:type="dxa"/>
            <w:tcBorders>
              <w:top w:val="nil"/>
              <w:left w:val="nil"/>
              <w:bottom w:val="nil"/>
              <w:right w:val="nil"/>
            </w:tcBorders>
            <w:shd w:val="clear" w:color="auto" w:fill="auto"/>
            <w:vAlign w:val="center"/>
            <w:hideMark/>
          </w:tcPr>
          <w:p w:rsidR="009D057D" w:rsidRPr="00C258AD" w:rsidRDefault="009D057D" w:rsidP="001A4D6C">
            <w:pPr>
              <w:jc w:val="right"/>
              <w:rPr>
                <w:sz w:val="16"/>
                <w:szCs w:val="16"/>
                <w:lang w:eastAsia="fr-FR"/>
              </w:rPr>
            </w:pPr>
            <w:r w:rsidRPr="00C258AD">
              <w:rPr>
                <w:sz w:val="16"/>
                <w:szCs w:val="16"/>
                <w:lang w:eastAsia="fr-FR"/>
              </w:rPr>
              <w:t>12 774</w:t>
            </w:r>
          </w:p>
        </w:tc>
        <w:tc>
          <w:tcPr>
            <w:tcW w:w="1360" w:type="dxa"/>
            <w:tcBorders>
              <w:top w:val="nil"/>
              <w:left w:val="nil"/>
              <w:bottom w:val="nil"/>
              <w:right w:val="single" w:sz="4" w:space="0" w:color="auto"/>
            </w:tcBorders>
            <w:shd w:val="clear" w:color="auto" w:fill="auto"/>
            <w:vAlign w:val="center"/>
            <w:hideMark/>
          </w:tcPr>
          <w:p w:rsidR="009D057D" w:rsidRPr="00C258AD" w:rsidRDefault="009D057D" w:rsidP="001A4D6C">
            <w:pPr>
              <w:jc w:val="right"/>
              <w:rPr>
                <w:sz w:val="16"/>
                <w:szCs w:val="16"/>
                <w:lang w:eastAsia="fr-FR"/>
              </w:rPr>
            </w:pPr>
            <w:r w:rsidRPr="00C258AD">
              <w:rPr>
                <w:sz w:val="16"/>
                <w:szCs w:val="16"/>
                <w:lang w:eastAsia="fr-FR"/>
              </w:rPr>
              <w:t>12 631</w:t>
            </w:r>
          </w:p>
        </w:tc>
      </w:tr>
      <w:tr w:rsidR="009D057D" w:rsidRPr="00C258AD" w:rsidTr="001A4D6C">
        <w:trPr>
          <w:cantSplit/>
        </w:trPr>
        <w:tc>
          <w:tcPr>
            <w:tcW w:w="510" w:type="dxa"/>
            <w:tcBorders>
              <w:top w:val="single" w:sz="4" w:space="0" w:color="auto"/>
              <w:left w:val="single" w:sz="4" w:space="0" w:color="auto"/>
              <w:bottom w:val="single" w:sz="4" w:space="0" w:color="auto"/>
              <w:right w:val="nil"/>
            </w:tcBorders>
            <w:shd w:val="clear" w:color="auto" w:fill="C5D9F1"/>
            <w:noWrap/>
            <w:vAlign w:val="bottom"/>
            <w:hideMark/>
          </w:tcPr>
          <w:p w:rsidR="009D057D" w:rsidRPr="00C258AD" w:rsidRDefault="009D057D" w:rsidP="001A4D6C">
            <w:pPr>
              <w:rPr>
                <w:sz w:val="16"/>
                <w:szCs w:val="16"/>
                <w:lang w:eastAsia="fr-FR"/>
              </w:rPr>
            </w:pPr>
            <w:r w:rsidRPr="00C258AD">
              <w:rPr>
                <w:sz w:val="16"/>
                <w:szCs w:val="16"/>
                <w:lang w:eastAsia="fr-FR"/>
              </w:rPr>
              <w:t> </w:t>
            </w:r>
          </w:p>
        </w:tc>
        <w:tc>
          <w:tcPr>
            <w:tcW w:w="4490" w:type="dxa"/>
            <w:tcBorders>
              <w:top w:val="single" w:sz="4" w:space="0" w:color="auto"/>
              <w:left w:val="nil"/>
              <w:bottom w:val="single" w:sz="4" w:space="0" w:color="auto"/>
              <w:right w:val="single" w:sz="4" w:space="0" w:color="auto"/>
            </w:tcBorders>
            <w:shd w:val="clear" w:color="auto" w:fill="C5D9F1"/>
            <w:noWrap/>
            <w:vAlign w:val="bottom"/>
            <w:hideMark/>
          </w:tcPr>
          <w:p w:rsidR="009D057D" w:rsidRPr="00C258AD" w:rsidRDefault="009D057D" w:rsidP="001A4D6C">
            <w:pPr>
              <w:rPr>
                <w:b/>
                <w:bCs/>
                <w:sz w:val="16"/>
                <w:szCs w:val="16"/>
                <w:lang w:eastAsia="fr-FR"/>
              </w:rPr>
            </w:pPr>
            <w:r w:rsidRPr="00C258AD">
              <w:rPr>
                <w:b/>
                <w:bCs/>
                <w:sz w:val="16"/>
                <w:szCs w:val="16"/>
                <w:lang w:eastAsia="fr-FR"/>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9D057D" w:rsidRPr="00C258AD" w:rsidRDefault="009D057D" w:rsidP="001A4D6C">
            <w:pPr>
              <w:jc w:val="right"/>
              <w:rPr>
                <w:b/>
                <w:bCs/>
                <w:sz w:val="16"/>
                <w:szCs w:val="16"/>
                <w:lang w:eastAsia="fr-FR"/>
              </w:rPr>
            </w:pPr>
            <w:r w:rsidRPr="00C258AD">
              <w:rPr>
                <w:b/>
                <w:bCs/>
                <w:sz w:val="16"/>
                <w:szCs w:val="16"/>
                <w:lang w:eastAsia="fr-FR"/>
              </w:rPr>
              <w:t>23 561</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9D057D" w:rsidRPr="00C258AD" w:rsidRDefault="009D057D" w:rsidP="001A4D6C">
            <w:pPr>
              <w:jc w:val="right"/>
              <w:rPr>
                <w:b/>
                <w:bCs/>
                <w:sz w:val="16"/>
                <w:szCs w:val="16"/>
                <w:lang w:eastAsia="fr-FR"/>
              </w:rPr>
            </w:pPr>
            <w:r w:rsidRPr="00C258AD">
              <w:rPr>
                <w:b/>
                <w:bCs/>
                <w:sz w:val="16"/>
                <w:szCs w:val="16"/>
                <w:lang w:eastAsia="fr-FR"/>
              </w:rPr>
              <w:t>25 189</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9D057D" w:rsidRPr="00C258AD" w:rsidRDefault="009D057D" w:rsidP="001A4D6C">
            <w:pPr>
              <w:jc w:val="right"/>
              <w:rPr>
                <w:b/>
                <w:bCs/>
                <w:sz w:val="16"/>
                <w:szCs w:val="16"/>
                <w:lang w:eastAsia="fr-FR"/>
              </w:rPr>
            </w:pPr>
            <w:r w:rsidRPr="00C258AD">
              <w:rPr>
                <w:b/>
                <w:bCs/>
                <w:sz w:val="16"/>
                <w:szCs w:val="16"/>
                <w:lang w:eastAsia="fr-FR"/>
              </w:rPr>
              <w:t>24 699</w:t>
            </w:r>
          </w:p>
        </w:tc>
      </w:tr>
    </w:tbl>
    <w:p w:rsidR="006E2BB1" w:rsidRPr="00C258AD" w:rsidRDefault="006E2BB1" w:rsidP="001A4D6C"/>
    <w:p w:rsidR="006E2BB1" w:rsidRPr="00C258AD" w:rsidRDefault="006E2BB1" w:rsidP="001A4D6C"/>
    <w:p w:rsidR="006E2BB1" w:rsidRPr="00C258AD" w:rsidRDefault="009D057D">
      <w:pPr>
        <w:rPr>
          <w:rFonts w:cs="Arial"/>
          <w:szCs w:val="20"/>
        </w:rPr>
      </w:pPr>
      <w:r w:rsidRPr="00C258AD">
        <w:rPr>
          <w:szCs w:val="20"/>
        </w:rPr>
        <w:br w:type="page"/>
      </w:r>
    </w:p>
    <w:p w:rsidR="006E2BB1" w:rsidRPr="00C258AD" w:rsidRDefault="009D057D" w:rsidP="001A4D6C">
      <w:pPr>
        <w:pStyle w:val="NormalWeb"/>
        <w:keepNext/>
        <w:keepLines/>
        <w:spacing w:before="0" w:beforeAutospacing="0" w:after="0" w:afterAutospacing="0"/>
        <w:jc w:val="center"/>
        <w:rPr>
          <w:sz w:val="20"/>
          <w:szCs w:val="20"/>
        </w:rPr>
      </w:pPr>
      <w:r w:rsidRPr="00C258AD">
        <w:rPr>
          <w:sz w:val="20"/>
          <w:szCs w:val="20"/>
        </w:rPr>
        <w:lastRenderedPageBreak/>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9D057D" w:rsidP="001A4D6C">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9D057D" w:rsidRPr="00C258AD" w:rsidRDefault="009D057D" w:rsidP="001A4D6C">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9D057D" w:rsidRPr="00C258AD" w:rsidTr="001A4D6C">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9D057D" w:rsidRPr="00C258AD" w:rsidRDefault="009D057D" w:rsidP="001A4D6C">
            <w:pPr>
              <w:rPr>
                <w:color w:val="000000"/>
                <w:sz w:val="16"/>
                <w:szCs w:val="18"/>
                <w:lang w:eastAsia="fr-FR"/>
              </w:rPr>
            </w:pPr>
            <w:r w:rsidRPr="00C258AD">
              <w:rPr>
                <w:color w:val="000000"/>
                <w:sz w:val="16"/>
                <w:szCs w:val="18"/>
                <w:lang w:eastAsia="fr-FR"/>
              </w:rPr>
              <w:t> </w:t>
            </w:r>
          </w:p>
        </w:tc>
        <w:tc>
          <w:tcPr>
            <w:tcW w:w="1745" w:type="dxa"/>
            <w:tcBorders>
              <w:top w:val="single" w:sz="4" w:space="0" w:color="auto"/>
              <w:left w:val="nil"/>
              <w:bottom w:val="nil"/>
              <w:right w:val="single" w:sz="4" w:space="0" w:color="auto"/>
            </w:tcBorders>
            <w:shd w:val="clear" w:color="auto" w:fill="C5D9F1"/>
            <w:vAlign w:val="center"/>
            <w:hideMark/>
          </w:tcPr>
          <w:p w:rsidR="009D057D" w:rsidRPr="00C258AD" w:rsidRDefault="009D057D" w:rsidP="001A4D6C">
            <w:pPr>
              <w:jc w:val="center"/>
              <w:rPr>
                <w:b/>
                <w:bCs/>
                <w:color w:val="000000"/>
                <w:sz w:val="16"/>
                <w:szCs w:val="18"/>
                <w:lang w:eastAsia="fr-FR"/>
              </w:rPr>
            </w:pPr>
            <w:r w:rsidRPr="00C258AD">
              <w:rPr>
                <w:b/>
                <w:bCs/>
                <w:color w:val="000000"/>
                <w:sz w:val="16"/>
                <w:szCs w:val="18"/>
                <w:lang w:eastAsia="fr-FR"/>
              </w:rPr>
              <w:t>Budget 2014</w:t>
            </w:r>
            <w:r w:rsidRPr="00C258AD">
              <w:rPr>
                <w:b/>
                <w:bCs/>
                <w:color w:val="000000"/>
                <w:sz w:val="16"/>
                <w:szCs w:val="18"/>
                <w:lang w:eastAsia="fr-FR"/>
              </w:rPr>
              <w:noBreakHyphen/>
              <w:t>2015 approuvé</w:t>
            </w:r>
          </w:p>
        </w:tc>
        <w:tc>
          <w:tcPr>
            <w:tcW w:w="1746" w:type="dxa"/>
            <w:tcBorders>
              <w:top w:val="single" w:sz="4" w:space="0" w:color="auto"/>
              <w:left w:val="nil"/>
              <w:bottom w:val="nil"/>
              <w:right w:val="single" w:sz="4" w:space="0" w:color="auto"/>
            </w:tcBorders>
            <w:shd w:val="clear" w:color="auto" w:fill="C5D9F1"/>
            <w:vAlign w:val="center"/>
            <w:hideMark/>
          </w:tcPr>
          <w:p w:rsidR="009D057D" w:rsidRPr="00C258AD" w:rsidRDefault="009D057D" w:rsidP="001A4D6C">
            <w:pPr>
              <w:jc w:val="center"/>
              <w:rPr>
                <w:b/>
                <w:bCs/>
                <w:color w:val="000000"/>
                <w:sz w:val="16"/>
                <w:szCs w:val="18"/>
                <w:lang w:eastAsia="fr-FR"/>
              </w:rPr>
            </w:pPr>
            <w:r w:rsidRPr="00C258AD">
              <w:rPr>
                <w:b/>
                <w:bCs/>
                <w:color w:val="000000"/>
                <w:sz w:val="16"/>
                <w:szCs w:val="18"/>
                <w:lang w:eastAsia="fr-FR"/>
              </w:rPr>
              <w:t>Budget final 2014</w:t>
            </w:r>
            <w:r w:rsidRPr="00C258AD">
              <w:rPr>
                <w:b/>
                <w:bCs/>
                <w:color w:val="000000"/>
                <w:sz w:val="16"/>
                <w:szCs w:val="18"/>
                <w:lang w:eastAsia="fr-FR"/>
              </w:rPr>
              <w:noBreakHyphen/>
              <w:t>2015</w:t>
            </w:r>
            <w:r w:rsidRPr="00C258AD">
              <w:rPr>
                <w:b/>
                <w:bCs/>
                <w:color w:val="000000"/>
                <w:sz w:val="16"/>
                <w:szCs w:val="18"/>
                <w:lang w:eastAsia="fr-FR"/>
              </w:rPr>
              <w:br/>
              <w:t>après virements</w:t>
            </w:r>
          </w:p>
        </w:tc>
        <w:tc>
          <w:tcPr>
            <w:tcW w:w="1745" w:type="dxa"/>
            <w:tcBorders>
              <w:top w:val="single" w:sz="4" w:space="0" w:color="auto"/>
              <w:left w:val="nil"/>
              <w:bottom w:val="nil"/>
              <w:right w:val="single" w:sz="4" w:space="0" w:color="auto"/>
            </w:tcBorders>
            <w:shd w:val="clear" w:color="auto" w:fill="C5D9F1"/>
            <w:vAlign w:val="center"/>
            <w:hideMark/>
          </w:tcPr>
          <w:p w:rsidR="009D057D" w:rsidRPr="00C258AD" w:rsidRDefault="009D057D" w:rsidP="001A4D6C">
            <w:pPr>
              <w:jc w:val="center"/>
              <w:rPr>
                <w:b/>
                <w:bCs/>
                <w:color w:val="000000"/>
                <w:sz w:val="16"/>
                <w:szCs w:val="18"/>
                <w:lang w:eastAsia="fr-FR"/>
              </w:rPr>
            </w:pPr>
            <w:r w:rsidRPr="00C258AD">
              <w:rPr>
                <w:b/>
                <w:bCs/>
                <w:color w:val="000000"/>
                <w:sz w:val="16"/>
                <w:szCs w:val="18"/>
                <w:lang w:eastAsia="fr-FR"/>
              </w:rPr>
              <w:t xml:space="preserve">Dépenses </w:t>
            </w:r>
            <w:r w:rsidRPr="00C258AD">
              <w:rPr>
                <w:b/>
                <w:bCs/>
                <w:color w:val="000000"/>
                <w:sz w:val="16"/>
                <w:szCs w:val="18"/>
                <w:lang w:eastAsia="fr-FR"/>
              </w:rPr>
              <w:br/>
              <w:t>2014</w:t>
            </w:r>
            <w:r w:rsidRPr="00C258AD">
              <w:rPr>
                <w:b/>
                <w:bCs/>
                <w:color w:val="000000"/>
                <w:sz w:val="16"/>
                <w:szCs w:val="18"/>
                <w:lang w:eastAsia="fr-FR"/>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9D057D" w:rsidRPr="00C258AD" w:rsidRDefault="009D057D" w:rsidP="001A4D6C">
            <w:pPr>
              <w:jc w:val="center"/>
              <w:rPr>
                <w:b/>
                <w:bCs/>
                <w:color w:val="000000"/>
                <w:sz w:val="16"/>
                <w:szCs w:val="18"/>
                <w:lang w:eastAsia="fr-FR"/>
              </w:rPr>
            </w:pPr>
            <w:r w:rsidRPr="00C258AD">
              <w:rPr>
                <w:b/>
                <w:bCs/>
                <w:color w:val="000000"/>
                <w:sz w:val="16"/>
                <w:szCs w:val="18"/>
                <w:lang w:eastAsia="fr-FR"/>
              </w:rPr>
              <w:t>Taux d’utilisation (%)</w:t>
            </w:r>
          </w:p>
        </w:tc>
      </w:tr>
      <w:tr w:rsidR="009D057D"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9D057D" w:rsidRPr="00C258AD" w:rsidRDefault="009D057D" w:rsidP="001A4D6C">
            <w:pPr>
              <w:rPr>
                <w:color w:val="000000"/>
                <w:sz w:val="16"/>
                <w:szCs w:val="18"/>
                <w:lang w:eastAsia="fr-FR"/>
              </w:rPr>
            </w:pPr>
            <w:r w:rsidRPr="00C258AD">
              <w:rPr>
                <w:color w:val="000000"/>
                <w:sz w:val="16"/>
                <w:szCs w:val="18"/>
                <w:lang w:eastAsia="fr-FR"/>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color w:val="000000"/>
                <w:sz w:val="16"/>
                <w:szCs w:val="18"/>
                <w:lang w:eastAsia="fr-FR"/>
              </w:rPr>
            </w:pPr>
            <w:r w:rsidRPr="00C258AD">
              <w:rPr>
                <w:color w:val="000000"/>
                <w:sz w:val="16"/>
                <w:szCs w:val="18"/>
                <w:lang w:eastAsia="fr-FR"/>
              </w:rPr>
              <w:t>18 248</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color w:val="000000"/>
                <w:sz w:val="16"/>
                <w:szCs w:val="18"/>
                <w:lang w:eastAsia="fr-FR"/>
              </w:rPr>
            </w:pPr>
            <w:r w:rsidRPr="00C258AD">
              <w:rPr>
                <w:color w:val="000000"/>
                <w:sz w:val="16"/>
                <w:szCs w:val="18"/>
                <w:lang w:eastAsia="fr-FR"/>
              </w:rPr>
              <w:t>18 890</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color w:val="000000"/>
                <w:sz w:val="16"/>
                <w:szCs w:val="18"/>
                <w:lang w:eastAsia="fr-FR"/>
              </w:rPr>
            </w:pPr>
            <w:r w:rsidRPr="00C258AD">
              <w:rPr>
                <w:color w:val="000000"/>
                <w:sz w:val="16"/>
                <w:szCs w:val="18"/>
                <w:lang w:eastAsia="fr-FR"/>
              </w:rPr>
              <w:t>18 897</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color w:val="000000"/>
                <w:sz w:val="16"/>
                <w:szCs w:val="18"/>
                <w:lang w:eastAsia="fr-FR"/>
              </w:rPr>
            </w:pPr>
            <w:r w:rsidRPr="00C258AD">
              <w:rPr>
                <w:color w:val="000000"/>
                <w:sz w:val="16"/>
                <w:szCs w:val="18"/>
                <w:lang w:eastAsia="fr-FR"/>
              </w:rPr>
              <w:t>100%</w:t>
            </w:r>
          </w:p>
        </w:tc>
      </w:tr>
      <w:tr w:rsidR="009D057D"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9D057D" w:rsidRPr="00C258AD" w:rsidRDefault="009D057D" w:rsidP="001A4D6C">
            <w:pPr>
              <w:rPr>
                <w:color w:val="000000"/>
                <w:sz w:val="16"/>
                <w:szCs w:val="18"/>
                <w:lang w:eastAsia="fr-FR"/>
              </w:rPr>
            </w:pPr>
            <w:r w:rsidRPr="00C258AD">
              <w:rPr>
                <w:color w:val="000000"/>
                <w:sz w:val="16"/>
                <w:szCs w:val="18"/>
                <w:lang w:eastAsia="fr-FR"/>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color w:val="000000"/>
                <w:sz w:val="16"/>
                <w:szCs w:val="18"/>
                <w:lang w:eastAsia="fr-FR"/>
              </w:rPr>
            </w:pPr>
            <w:r w:rsidRPr="00C258AD">
              <w:rPr>
                <w:color w:val="000000"/>
                <w:sz w:val="16"/>
                <w:szCs w:val="18"/>
                <w:lang w:eastAsia="fr-FR"/>
              </w:rPr>
              <w:t>5 313</w:t>
            </w:r>
          </w:p>
        </w:tc>
        <w:tc>
          <w:tcPr>
            <w:tcW w:w="1746" w:type="dxa"/>
            <w:tcBorders>
              <w:top w:val="nil"/>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color w:val="000000"/>
                <w:sz w:val="16"/>
                <w:szCs w:val="18"/>
                <w:lang w:eastAsia="fr-FR"/>
              </w:rPr>
            </w:pPr>
            <w:r w:rsidRPr="00C258AD">
              <w:rPr>
                <w:color w:val="000000"/>
                <w:sz w:val="16"/>
                <w:szCs w:val="18"/>
                <w:lang w:eastAsia="fr-FR"/>
              </w:rPr>
              <w:t>6 298</w:t>
            </w:r>
          </w:p>
        </w:tc>
        <w:tc>
          <w:tcPr>
            <w:tcW w:w="1745" w:type="dxa"/>
            <w:tcBorders>
              <w:top w:val="nil"/>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color w:val="000000"/>
                <w:sz w:val="16"/>
                <w:szCs w:val="18"/>
                <w:lang w:eastAsia="fr-FR"/>
              </w:rPr>
            </w:pPr>
            <w:r w:rsidRPr="00C258AD">
              <w:rPr>
                <w:color w:val="000000"/>
                <w:sz w:val="16"/>
                <w:szCs w:val="18"/>
                <w:lang w:eastAsia="fr-FR"/>
              </w:rPr>
              <w:t>5 802</w:t>
            </w:r>
          </w:p>
        </w:tc>
        <w:tc>
          <w:tcPr>
            <w:tcW w:w="1746" w:type="dxa"/>
            <w:tcBorders>
              <w:top w:val="nil"/>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color w:val="000000"/>
                <w:sz w:val="16"/>
                <w:szCs w:val="18"/>
                <w:lang w:eastAsia="fr-FR"/>
              </w:rPr>
            </w:pPr>
            <w:r w:rsidRPr="00C258AD">
              <w:rPr>
                <w:color w:val="000000"/>
                <w:sz w:val="16"/>
                <w:szCs w:val="18"/>
                <w:lang w:eastAsia="fr-FR"/>
              </w:rPr>
              <w:t>92%</w:t>
            </w:r>
          </w:p>
        </w:tc>
      </w:tr>
      <w:tr w:rsidR="009D057D"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9D057D" w:rsidRPr="00C258AD" w:rsidRDefault="009D057D" w:rsidP="001A4D6C">
            <w:pPr>
              <w:jc w:val="right"/>
              <w:rPr>
                <w:b/>
                <w:bCs/>
                <w:color w:val="000000"/>
                <w:sz w:val="16"/>
                <w:szCs w:val="18"/>
                <w:lang w:eastAsia="fr-FR"/>
              </w:rPr>
            </w:pPr>
            <w:r w:rsidRPr="00C258AD">
              <w:rPr>
                <w:b/>
                <w:bCs/>
                <w:color w:val="000000"/>
                <w:sz w:val="16"/>
                <w:szCs w:val="18"/>
                <w:lang w:eastAsia="fr-FR"/>
              </w:rPr>
              <w:t>TOTAL</w:t>
            </w:r>
          </w:p>
        </w:tc>
        <w:tc>
          <w:tcPr>
            <w:tcW w:w="1745" w:type="dxa"/>
            <w:tcBorders>
              <w:top w:val="nil"/>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b/>
                <w:bCs/>
                <w:color w:val="000000"/>
                <w:sz w:val="16"/>
                <w:szCs w:val="18"/>
                <w:lang w:eastAsia="fr-FR"/>
              </w:rPr>
            </w:pPr>
            <w:r w:rsidRPr="00C258AD">
              <w:rPr>
                <w:b/>
                <w:bCs/>
                <w:color w:val="000000"/>
                <w:sz w:val="16"/>
                <w:szCs w:val="18"/>
                <w:lang w:eastAsia="fr-FR"/>
              </w:rPr>
              <w:t>23 561</w:t>
            </w:r>
          </w:p>
        </w:tc>
        <w:tc>
          <w:tcPr>
            <w:tcW w:w="1746" w:type="dxa"/>
            <w:tcBorders>
              <w:top w:val="nil"/>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b/>
                <w:bCs/>
                <w:color w:val="000000"/>
                <w:sz w:val="16"/>
                <w:szCs w:val="18"/>
                <w:lang w:eastAsia="fr-FR"/>
              </w:rPr>
            </w:pPr>
            <w:r w:rsidRPr="00C258AD">
              <w:rPr>
                <w:b/>
                <w:bCs/>
                <w:color w:val="000000"/>
                <w:sz w:val="16"/>
                <w:szCs w:val="18"/>
                <w:lang w:eastAsia="fr-FR"/>
              </w:rPr>
              <w:t>25 189</w:t>
            </w:r>
          </w:p>
        </w:tc>
        <w:tc>
          <w:tcPr>
            <w:tcW w:w="1745" w:type="dxa"/>
            <w:tcBorders>
              <w:top w:val="nil"/>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b/>
                <w:bCs/>
                <w:color w:val="000000"/>
                <w:sz w:val="16"/>
                <w:szCs w:val="18"/>
                <w:lang w:eastAsia="fr-FR"/>
              </w:rPr>
            </w:pPr>
            <w:r w:rsidRPr="00C258AD">
              <w:rPr>
                <w:b/>
                <w:bCs/>
                <w:color w:val="000000"/>
                <w:sz w:val="16"/>
                <w:szCs w:val="18"/>
                <w:lang w:eastAsia="fr-FR"/>
              </w:rPr>
              <w:t>24 699</w:t>
            </w:r>
          </w:p>
        </w:tc>
        <w:tc>
          <w:tcPr>
            <w:tcW w:w="1746" w:type="dxa"/>
            <w:tcBorders>
              <w:top w:val="nil"/>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b/>
                <w:bCs/>
                <w:color w:val="000000"/>
                <w:sz w:val="16"/>
                <w:szCs w:val="18"/>
                <w:lang w:eastAsia="fr-FR"/>
              </w:rPr>
            </w:pPr>
            <w:r w:rsidRPr="00C258AD">
              <w:rPr>
                <w:b/>
                <w:bCs/>
                <w:color w:val="000000"/>
                <w:sz w:val="16"/>
                <w:szCs w:val="18"/>
                <w:lang w:eastAsia="fr-FR"/>
              </w:rPr>
              <w:t>98%</w:t>
            </w:r>
          </w:p>
        </w:tc>
      </w:tr>
    </w:tbl>
    <w:p w:rsidR="006E2BB1" w:rsidRPr="00C258AD" w:rsidRDefault="006E2BB1" w:rsidP="001A4D6C">
      <w:pPr>
        <w:widowControl w:val="0"/>
        <w:autoSpaceDE w:val="0"/>
        <w:autoSpaceDN w:val="0"/>
        <w:adjustRightInd w:val="0"/>
        <w:jc w:val="both"/>
      </w:pPr>
    </w:p>
    <w:p w:rsidR="006E2BB1" w:rsidRPr="00C258AD" w:rsidRDefault="006E2BB1" w:rsidP="001A4D6C">
      <w:pPr>
        <w:widowControl w:val="0"/>
        <w:autoSpaceDE w:val="0"/>
        <w:autoSpaceDN w:val="0"/>
        <w:adjustRightInd w:val="0"/>
      </w:pPr>
    </w:p>
    <w:p w:rsidR="006E2BB1" w:rsidRPr="00C258AD" w:rsidRDefault="009D057D" w:rsidP="001A4D6C">
      <w:pPr>
        <w:keepNext/>
        <w:keepLines/>
        <w:rPr>
          <w:u w:val="single"/>
        </w:rPr>
      </w:pPr>
      <w:r w:rsidRPr="00C258AD">
        <w:t>A.</w:t>
      </w:r>
      <w:r w:rsidRPr="00C258AD">
        <w:tab/>
      </w:r>
      <w:r w:rsidRPr="00C258AD">
        <w:rPr>
          <w:u w:val="single"/>
        </w:rPr>
        <w:t>Budget final 2014</w:t>
      </w:r>
      <w:r w:rsidRPr="00C258AD">
        <w:rPr>
          <w:u w:val="single"/>
        </w:rPr>
        <w:noBreakHyphen/>
        <w:t>2015 après virements</w:t>
      </w:r>
    </w:p>
    <w:p w:rsidR="006E2BB1" w:rsidRPr="00C258AD" w:rsidRDefault="006E2BB1" w:rsidP="001A4D6C">
      <w:pPr>
        <w:keepNext/>
        <w:keepLines/>
        <w:rPr>
          <w:u w:val="single"/>
        </w:rPr>
      </w:pPr>
    </w:p>
    <w:p w:rsidR="006E2BB1" w:rsidRPr="00C258AD" w:rsidRDefault="009D057D" w:rsidP="003A56B4">
      <w:pPr>
        <w:pStyle w:val="ListParagraph"/>
        <w:numPr>
          <w:ilvl w:val="0"/>
          <w:numId w:val="52"/>
        </w:numPr>
        <w:tabs>
          <w:tab w:val="left" w:pos="709"/>
        </w:tabs>
        <w:jc w:val="both"/>
      </w:pPr>
      <w:r w:rsidRPr="00C258AD">
        <w:t>L’augmentation générale du budget final 2014</w:t>
      </w:r>
      <w:r w:rsidRPr="00C258AD">
        <w:noBreakHyphen/>
        <w:t>2015 après virements était principalement le résultat du financement : i) de solutions de dotation en ressources temporaires pour couvrir des absences de longue durée;  ii) de l’augmentation des coûts liés aux activités financées en commun avec le système des Nations Unies;  iii) de ressources supplémentaires au profit du Comité d’appel de l’OMPI;  iv) du lancement de nouvelles initiatives, notamment le programme de récompenses et de reconnaissance de l’OMPI;  v) de l’augmentation des frais d’assurance pour les délégués et les participants à des réunions organisées par l’OMPI;  et vi) de la réaffectation de ressources au profit de la formation spécialisée dans le domaine des TIC relevant auparavant du programme 25.</w:t>
      </w:r>
    </w:p>
    <w:p w:rsidR="006E2BB1" w:rsidRPr="00C258AD" w:rsidRDefault="006E2BB1" w:rsidP="001A4D6C">
      <w:pPr>
        <w:rPr>
          <w:u w:val="single"/>
        </w:rPr>
      </w:pPr>
    </w:p>
    <w:p w:rsidR="006E2BB1" w:rsidRPr="00C258AD" w:rsidRDefault="006E2BB1" w:rsidP="001A4D6C">
      <w:pPr>
        <w:rPr>
          <w:u w:val="single"/>
        </w:rPr>
      </w:pPr>
    </w:p>
    <w:p w:rsidR="006E2BB1" w:rsidRPr="00C258AD" w:rsidRDefault="009D057D" w:rsidP="001A4D6C">
      <w:pPr>
        <w:jc w:val="both"/>
        <w:rPr>
          <w:u w:val="single"/>
          <w:lang w:eastAsia="ko-KR"/>
        </w:rPr>
      </w:pPr>
      <w:r w:rsidRPr="00C258AD">
        <w:rPr>
          <w:lang w:eastAsia="ko-KR"/>
        </w:rPr>
        <w:t>B.</w:t>
      </w:r>
      <w:r w:rsidRPr="00C258AD">
        <w:rPr>
          <w:lang w:eastAsia="ko-KR"/>
        </w:rPr>
        <w:tab/>
      </w:r>
      <w:r w:rsidRPr="00C258AD">
        <w:rPr>
          <w:u w:val="single"/>
          <w:lang w:eastAsia="ko-KR"/>
        </w:rPr>
        <w:t>Utilisation du budget en 2014</w:t>
      </w:r>
      <w:r w:rsidRPr="00C258AD">
        <w:rPr>
          <w:u w:val="single"/>
          <w:lang w:eastAsia="ko-KR"/>
        </w:rPr>
        <w:noBreakHyphen/>
        <w:t>2015</w:t>
      </w:r>
    </w:p>
    <w:p w:rsidR="006E2BB1" w:rsidRPr="00C258AD" w:rsidRDefault="006E2BB1" w:rsidP="001A4D6C">
      <w:pPr>
        <w:tabs>
          <w:tab w:val="left" w:pos="709"/>
        </w:tabs>
        <w:jc w:val="both"/>
        <w:rPr>
          <w:u w:val="single"/>
          <w:lang w:eastAsia="ko-KR"/>
        </w:rPr>
      </w:pPr>
    </w:p>
    <w:p w:rsidR="006E2BB1" w:rsidRPr="00C258AD" w:rsidRDefault="009D057D" w:rsidP="003A56B4">
      <w:pPr>
        <w:pStyle w:val="ListParagraph"/>
        <w:numPr>
          <w:ilvl w:val="0"/>
          <w:numId w:val="52"/>
        </w:numPr>
        <w:tabs>
          <w:tab w:val="left" w:pos="709"/>
        </w:tabs>
        <w:jc w:val="both"/>
        <w:rPr>
          <w:lang w:eastAsia="ko-KR"/>
        </w:rPr>
      </w:pPr>
      <w:r w:rsidRPr="00C258AD">
        <w:t>Le taux d’utilisation du budget pour les dépenses autres que les dépenses de personnel s’élève à 91% et traduit des économies résultant principalement de la renégociation des contrats d’assurance et des dépenses inférieures à celles prévues en ce qui concerne :</w:t>
      </w:r>
      <w:r w:rsidRPr="00C258AD">
        <w:rPr>
          <w:rFonts w:cs="Arial"/>
        </w:rPr>
        <w:t xml:space="preserve"> i) la couverture maternité et maladie;  ii) le Tribunal administratif de l’OIT;  iii) les cours de langue;  ainsi que iv) les activités de classification.</w:t>
      </w:r>
    </w:p>
    <w:p w:rsidR="006E2BB1" w:rsidRPr="00C258AD" w:rsidRDefault="006E2BB1" w:rsidP="00305CE5">
      <w:pPr>
        <w:pStyle w:val="Heading3"/>
        <w:rPr>
          <w:lang w:eastAsia="ko-KR"/>
        </w:rPr>
      </w:pPr>
    </w:p>
    <w:p w:rsidR="006E2BB1" w:rsidRPr="00C258AD" w:rsidRDefault="003737EE">
      <w:pPr>
        <w:spacing w:after="200" w:line="276" w:lineRule="auto"/>
        <w:rPr>
          <w:rFonts w:cs="Arial"/>
          <w:b/>
          <w:bCs/>
          <w:iCs/>
          <w:caps/>
          <w:sz w:val="22"/>
          <w:szCs w:val="28"/>
          <w:lang w:eastAsia="ko-KR"/>
        </w:rPr>
      </w:pPr>
      <w:r w:rsidRPr="00C258AD">
        <w:rPr>
          <w:lang w:eastAsia="ko-KR"/>
        </w:rPr>
        <w:br w:type="page"/>
      </w:r>
    </w:p>
    <w:p w:rsidR="005709DD" w:rsidRPr="003463CF" w:rsidRDefault="005709DD" w:rsidP="005709DD">
      <w:pPr>
        <w:pStyle w:val="Heading3"/>
      </w:pPr>
      <w:bookmarkStart w:id="159" w:name="_Toc422404250"/>
      <w:bookmarkStart w:id="160" w:name="_Toc423352898"/>
      <w:bookmarkStart w:id="161" w:name="_Toc455394211"/>
      <w:r w:rsidRPr="003463CF">
        <w:lastRenderedPageBreak/>
        <w:t>Programme 24</w:t>
      </w:r>
      <w:r w:rsidRPr="003463CF">
        <w:tab/>
        <w:t>Services d’appui généraux</w:t>
      </w:r>
      <w:bookmarkEnd w:id="159"/>
      <w:bookmarkEnd w:id="160"/>
      <w:bookmarkEnd w:id="161"/>
    </w:p>
    <w:p w:rsidR="005709DD" w:rsidRPr="003463CF" w:rsidRDefault="005709DD" w:rsidP="00927E1F"/>
    <w:p w:rsidR="005709DD" w:rsidRPr="003463CF" w:rsidRDefault="005709DD" w:rsidP="00927E1F">
      <w:pPr>
        <w:rPr>
          <w:b/>
        </w:rPr>
      </w:pPr>
      <w:r w:rsidRPr="003463CF">
        <w:rPr>
          <w:b/>
        </w:rPr>
        <w:t>Chef de programme</w:t>
      </w:r>
      <w:r w:rsidRPr="003463CF">
        <w:rPr>
          <w:b/>
        </w:rPr>
        <w:tab/>
        <w:t>M. A. Sundaram</w:t>
      </w:r>
    </w:p>
    <w:p w:rsidR="005709DD" w:rsidRPr="003463CF" w:rsidRDefault="005709DD" w:rsidP="00927E1F"/>
    <w:p w:rsidR="005709DD" w:rsidRPr="003463CF" w:rsidRDefault="005709DD" w:rsidP="00927E1F"/>
    <w:p w:rsidR="005709DD" w:rsidRPr="005709DD" w:rsidRDefault="005709DD" w:rsidP="005709DD">
      <w:pPr>
        <w:rPr>
          <w:caps/>
        </w:rPr>
      </w:pPr>
      <w:r w:rsidRPr="005709DD">
        <w:rPr>
          <w:caps/>
        </w:rPr>
        <w:t>Réalisations au cours de l’exercice biennal 2014</w:t>
      </w:r>
      <w:r w:rsidRPr="005709DD">
        <w:rPr>
          <w:caps/>
        </w:rPr>
        <w:noBreakHyphen/>
        <w:t>2015</w:t>
      </w:r>
    </w:p>
    <w:p w:rsidR="005709DD" w:rsidRPr="003463CF" w:rsidRDefault="005709DD" w:rsidP="00927E1F"/>
    <w:p w:rsidR="005709DD" w:rsidRPr="003463CF" w:rsidRDefault="005709DD" w:rsidP="00DF2EEF">
      <w:pPr>
        <w:pStyle w:val="ListParagraph"/>
        <w:numPr>
          <w:ilvl w:val="0"/>
          <w:numId w:val="109"/>
        </w:numPr>
        <w:tabs>
          <w:tab w:val="left" w:pos="709"/>
        </w:tabs>
        <w:ind w:left="0" w:firstLine="0"/>
        <w:jc w:val="both"/>
        <w:rPr>
          <w:color w:val="000000"/>
        </w:rPr>
      </w:pPr>
      <w:r w:rsidRPr="003463CF">
        <w:rPr>
          <w:color w:val="000000"/>
        </w:rPr>
        <w:t xml:space="preserve">Outre une orientation </w:t>
      </w:r>
      <w:r w:rsidRPr="003463CF">
        <w:rPr>
          <w:bCs/>
          <w:color w:val="000000"/>
        </w:rPr>
        <w:t>stratégique</w:t>
      </w:r>
      <w:r w:rsidRPr="003463CF">
        <w:rPr>
          <w:color w:val="000000"/>
        </w:rPr>
        <w:t xml:space="preserve"> et un appui dans les domaines de l’administration et de la gestion de l’OMPI, le programme inclut les achats, les voyages et les services d’infrastructure des locaux.</w:t>
      </w:r>
    </w:p>
    <w:p w:rsidR="005709DD" w:rsidRPr="003463CF" w:rsidRDefault="005709DD" w:rsidP="00927E1F">
      <w:pPr>
        <w:tabs>
          <w:tab w:val="left" w:pos="709"/>
        </w:tabs>
        <w:jc w:val="both"/>
        <w:rPr>
          <w:bCs/>
          <w:color w:val="000000"/>
        </w:rPr>
      </w:pPr>
    </w:p>
    <w:p w:rsidR="005709DD" w:rsidRPr="003463CF" w:rsidRDefault="005709DD" w:rsidP="00DF2EEF">
      <w:pPr>
        <w:pStyle w:val="ListParagraph"/>
        <w:numPr>
          <w:ilvl w:val="0"/>
          <w:numId w:val="109"/>
        </w:numPr>
        <w:tabs>
          <w:tab w:val="left" w:pos="709"/>
        </w:tabs>
        <w:ind w:left="0" w:firstLine="0"/>
        <w:jc w:val="both"/>
        <w:rPr>
          <w:color w:val="000000"/>
        </w:rPr>
      </w:pPr>
      <w:r w:rsidRPr="003463CF">
        <w:rPr>
          <w:color w:val="000000"/>
        </w:rPr>
        <w:t>En 2014</w:t>
      </w:r>
      <w:r w:rsidRPr="003463CF">
        <w:rPr>
          <w:color w:val="000000"/>
        </w:rPr>
        <w:noBreakHyphen/>
        <w:t>2015, les achats et les voyages ont enregistré une belle progression dans la réalisation des objectifs grâce à une série de mesures destinées à optimiser le coût des biens et services achetés par l’OMPI et à rationaliser ses procédures.  Ces mesures concernaient notamment : i) la mise en œuvre d’une nouvelle politique en matière de services contractuels de personnes, ainsi que l’incorporation de la gestion des services contractuels de personnes dans la Division des achats et des voyages;  ii) un nouveau cadre juridique pour les achats et la publication en 2014 d’un nouvel ordre de service sur les principes généraux et règles fondamentales applicables aux achats et d’un Manuel des achats;  iii) la création d’une base de données des contrats des fournisseurs;</w:t>
      </w:r>
      <w:r w:rsidRPr="003463CF">
        <w:rPr>
          <w:rFonts w:eastAsia="MS Mincho"/>
          <w:color w:val="000000"/>
        </w:rPr>
        <w:t xml:space="preserve">  </w:t>
      </w:r>
      <w:r w:rsidRPr="003463CF">
        <w:rPr>
          <w:rFonts w:eastAsia="MS Mincho" w:cs="Arial"/>
          <w:lang w:eastAsia="ja-JP" w:bidi="th-TH"/>
        </w:rPr>
        <w:t>iv)</w:t>
      </w:r>
      <w:r w:rsidRPr="003463CF">
        <w:rPr>
          <w:color w:val="000000"/>
        </w:rPr>
        <w:t> </w:t>
      </w:r>
      <w:r w:rsidRPr="003463CF">
        <w:rPr>
          <w:rFonts w:eastAsia="MS Mincho" w:cs="Arial"/>
          <w:lang w:eastAsia="ja-JP" w:bidi="th-TH"/>
        </w:rPr>
        <w:t>la mise en œuvre des plans annuels en matière d’achats;  et v) </w:t>
      </w:r>
      <w:r w:rsidRPr="003463CF">
        <w:rPr>
          <w:rFonts w:eastAsia="MS Mincho"/>
        </w:rPr>
        <w:t>le lancement d’un outil de réservation en ligne pour les voyages destiné à réduire aussi bien le coût des transactions que le prix moyen du billet d’avion grâce à des tarifs plus restrictifs et un système de billetterie plus élaboré</w:t>
      </w:r>
      <w:r w:rsidRPr="003463CF">
        <w:rPr>
          <w:rFonts w:eastAsia="MS Mincho" w:cs="Arial"/>
          <w:lang w:eastAsia="ja-JP" w:bidi="th-TH"/>
        </w:rPr>
        <w:t>.</w:t>
      </w:r>
    </w:p>
    <w:p w:rsidR="005709DD" w:rsidRPr="003463CF" w:rsidRDefault="005709DD" w:rsidP="00927E1F">
      <w:pPr>
        <w:tabs>
          <w:tab w:val="left" w:pos="709"/>
        </w:tabs>
        <w:jc w:val="both"/>
        <w:rPr>
          <w:bCs/>
          <w:color w:val="000000"/>
        </w:rPr>
      </w:pPr>
    </w:p>
    <w:p w:rsidR="005709DD" w:rsidRPr="003463CF" w:rsidRDefault="005709DD" w:rsidP="00DF2EEF">
      <w:pPr>
        <w:pStyle w:val="ListParagraph"/>
        <w:numPr>
          <w:ilvl w:val="0"/>
          <w:numId w:val="109"/>
        </w:numPr>
        <w:tabs>
          <w:tab w:val="left" w:pos="709"/>
        </w:tabs>
        <w:ind w:left="0" w:firstLine="0"/>
        <w:jc w:val="both"/>
        <w:rPr>
          <w:color w:val="000000"/>
        </w:rPr>
      </w:pPr>
      <w:r w:rsidRPr="003463CF">
        <w:rPr>
          <w:rFonts w:eastAsia="MS Mincho" w:cs="Arial"/>
          <w:lang w:eastAsia="ja-JP" w:bidi="th-TH"/>
        </w:rPr>
        <w:t xml:space="preserve">Ces mesures ont permis de continuer à réaliser des économies sur les biens et services achetés grâce à des négociations plus strictes et directes des prix, qui ont abouti à des économies globales de 3,8 millions de francs suisses en 2015 et de </w:t>
      </w:r>
      <w:r w:rsidRPr="003463CF">
        <w:rPr>
          <w:rFonts w:eastAsia="MS Mincho"/>
        </w:rPr>
        <w:t>2,</w:t>
      </w:r>
      <w:r w:rsidRPr="003463CF">
        <w:rPr>
          <w:rFonts w:eastAsia="MS Mincho" w:cs="Arial"/>
          <w:lang w:eastAsia="ja-JP" w:bidi="th-TH"/>
        </w:rPr>
        <w:t>6 millions de f</w:t>
      </w:r>
      <w:r w:rsidRPr="003463CF">
        <w:rPr>
          <w:rFonts w:eastAsia="MS Mincho"/>
        </w:rPr>
        <w:t>rancs suisses en 2014.  Le pourcentage des achats collectifs effectués dans le cadre du Groupe des activités communes d’achat a également augmenté, 5,8% des biens ayant été achetés par ce biais.  En ce qui concerne les dépenses relatives aux voyages, le prix moyen du billet d’avion a été réduit de 14%</w:t>
      </w:r>
      <w:r w:rsidRPr="003463CF">
        <w:rPr>
          <w:rFonts w:eastAsia="MS Mincho" w:cs="Arial"/>
          <w:lang w:eastAsia="ja-JP" w:bidi="th-TH"/>
        </w:rPr>
        <w:t xml:space="preserve">, passant de 1728 francs suisses en 2013 à </w:t>
      </w:r>
      <w:r w:rsidRPr="003463CF">
        <w:rPr>
          <w:rFonts w:eastAsia="MS Mincho"/>
        </w:rPr>
        <w:t>1</w:t>
      </w:r>
      <w:r w:rsidRPr="003463CF">
        <w:rPr>
          <w:rFonts w:eastAsia="MS Mincho" w:cs="Arial"/>
          <w:lang w:eastAsia="ja-JP" w:bidi="th-TH"/>
        </w:rPr>
        <w:t>484 </w:t>
      </w:r>
      <w:r w:rsidRPr="003463CF">
        <w:rPr>
          <w:rFonts w:eastAsia="MS Mincho"/>
        </w:rPr>
        <w:t>francs suisses en </w:t>
      </w:r>
      <w:r w:rsidRPr="003463CF">
        <w:rPr>
          <w:rFonts w:eastAsia="MS Mincho" w:cs="Arial"/>
          <w:lang w:eastAsia="ja-JP" w:bidi="th-TH"/>
        </w:rPr>
        <w:t>2015, ce qui représente une économie significative au cours de l’exercice biennal.  Depuis le lancement du nouvel outil de réservation en ligne en décembre </w:t>
      </w:r>
      <w:r w:rsidRPr="003463CF">
        <w:rPr>
          <w:rFonts w:eastAsia="MS Mincho"/>
        </w:rPr>
        <w:t>2014, les frais de transaction moyens ont également baissé de 20%, malgré l’augmentation des frais d’</w:t>
      </w:r>
      <w:r w:rsidRPr="003463CF">
        <w:rPr>
          <w:rFonts w:eastAsia="MS Mincho" w:cs="Arial"/>
          <w:lang w:eastAsia="ja-JP" w:bidi="th-TH"/>
        </w:rPr>
        <w:t>agence découlant du changement de fournisseur.  Les tableaux ci</w:t>
      </w:r>
      <w:r w:rsidRPr="003463CF">
        <w:rPr>
          <w:rFonts w:eastAsia="MS Mincho" w:cs="Arial"/>
          <w:lang w:eastAsia="ja-JP" w:bidi="th-TH"/>
        </w:rPr>
        <w:noBreakHyphen/>
        <w:t>après illustrent les résultats obtenus au cours de l’exercice 2014</w:t>
      </w:r>
      <w:r w:rsidRPr="003463CF">
        <w:rPr>
          <w:rFonts w:eastAsia="MS Mincho" w:cs="Arial"/>
          <w:lang w:eastAsia="ja-JP" w:bidi="th-TH"/>
        </w:rPr>
        <w:noBreakHyphen/>
        <w:t>2015 dans le domaine des achats et des voyages.</w:t>
      </w:r>
    </w:p>
    <w:p w:rsidR="005709DD" w:rsidRPr="003463CF" w:rsidRDefault="005709DD" w:rsidP="00927E1F"/>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68" w:type="dxa"/>
          <w:bottom w:w="113" w:type="dxa"/>
          <w:right w:w="68" w:type="dxa"/>
        </w:tblCellMar>
        <w:tblLook w:val="04A0" w:firstRow="1" w:lastRow="0" w:firstColumn="1" w:lastColumn="0" w:noHBand="0" w:noVBand="1"/>
      </w:tblPr>
      <w:tblGrid>
        <w:gridCol w:w="4745"/>
        <w:gridCol w:w="4746"/>
      </w:tblGrid>
      <w:tr w:rsidR="005709DD" w:rsidRPr="003463CF" w:rsidTr="00927E1F">
        <w:trPr>
          <w:cantSplit/>
        </w:trPr>
        <w:tc>
          <w:tcPr>
            <w:tcW w:w="4745" w:type="dxa"/>
          </w:tcPr>
          <w:p w:rsidR="005709DD" w:rsidRPr="003463CF" w:rsidRDefault="005709DD" w:rsidP="00927E1F">
            <w:pPr>
              <w:jc w:val="center"/>
            </w:pPr>
            <w:r>
              <w:rPr>
                <w:noProof/>
                <w:lang w:val="en-US"/>
              </w:rPr>
              <w:drawing>
                <wp:inline distT="0" distB="0" distL="0" distR="0" wp14:anchorId="24FB4966" wp14:editId="573B9B01">
                  <wp:extent cx="2800350" cy="1987550"/>
                  <wp:effectExtent l="0" t="0" r="0" b="0"/>
                  <wp:docPr id="896" name="Picture 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799786" cy="1987150"/>
                          </a:xfrm>
                          <a:prstGeom prst="rect">
                            <a:avLst/>
                          </a:prstGeom>
                          <a:noFill/>
                          <a:ln>
                            <a:noFill/>
                          </a:ln>
                        </pic:spPr>
                      </pic:pic>
                    </a:graphicData>
                  </a:graphic>
                </wp:inline>
              </w:drawing>
            </w:r>
          </w:p>
        </w:tc>
        <w:tc>
          <w:tcPr>
            <w:tcW w:w="4746" w:type="dxa"/>
          </w:tcPr>
          <w:p w:rsidR="005709DD" w:rsidRPr="003463CF" w:rsidRDefault="005709DD" w:rsidP="00927E1F">
            <w:pPr>
              <w:jc w:val="center"/>
            </w:pPr>
            <w:r>
              <w:rPr>
                <w:noProof/>
                <w:lang w:val="en-US"/>
              </w:rPr>
              <w:drawing>
                <wp:inline distT="0" distB="0" distL="0" distR="0" wp14:anchorId="24B6641C" wp14:editId="042B4B7C">
                  <wp:extent cx="2749550" cy="1987550"/>
                  <wp:effectExtent l="0" t="0" r="0" b="0"/>
                  <wp:docPr id="897" name="Picture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756877" cy="1992846"/>
                          </a:xfrm>
                          <a:prstGeom prst="rect">
                            <a:avLst/>
                          </a:prstGeom>
                          <a:noFill/>
                          <a:ln>
                            <a:noFill/>
                          </a:ln>
                        </pic:spPr>
                      </pic:pic>
                    </a:graphicData>
                  </a:graphic>
                </wp:inline>
              </w:drawing>
            </w:r>
          </w:p>
        </w:tc>
      </w:tr>
    </w:tbl>
    <w:p w:rsidR="005709DD" w:rsidRPr="003463CF" w:rsidRDefault="005709DD" w:rsidP="00927E1F"/>
    <w:p w:rsidR="005709DD" w:rsidRPr="003463CF" w:rsidRDefault="005709DD" w:rsidP="00DF2EEF">
      <w:pPr>
        <w:pStyle w:val="ListParagraph"/>
        <w:numPr>
          <w:ilvl w:val="0"/>
          <w:numId w:val="109"/>
        </w:numPr>
        <w:tabs>
          <w:tab w:val="left" w:pos="709"/>
        </w:tabs>
        <w:ind w:left="0" w:firstLine="0"/>
        <w:jc w:val="both"/>
      </w:pPr>
      <w:r w:rsidRPr="003463CF">
        <w:rPr>
          <w:color w:val="000000"/>
        </w:rPr>
        <w:t xml:space="preserve">Un effort considérable a été fait au cours de l’exercice biennal afin de réduire les dépenses de voyage, menant à une baisse du nombre de billets délivrés ainsi que du nombre de demandes de voyage tardives.  Enfin, grâce à un suivi rigoureux des procédures </w:t>
      </w:r>
      <w:r w:rsidRPr="003463CF">
        <w:t>administratives relatives aux achats et aux voyages</w:t>
      </w:r>
      <w:r w:rsidRPr="003463CF">
        <w:rPr>
          <w:color w:val="000000"/>
        </w:rPr>
        <w:t xml:space="preserve">, le délai moyen de traitement des demandes d’achat a été réduit de moitié au cours des cinq dernières années, ce qui se traduit par une efficacité et une souplesse accrues dans l’achat de produits et de services.  </w:t>
      </w:r>
      <w:r w:rsidRPr="003463CF">
        <w:t>Il convient également de noter que le pourcentage de biens et services acquis au niveau local pour les activités de développement a augmenté, passant à 57% en 2015, soit une hausse de 9% par rapport à 2013 et de 12% par rapport à 2014.</w:t>
      </w:r>
    </w:p>
    <w:p w:rsidR="005709DD" w:rsidRPr="003463CF" w:rsidRDefault="005709DD" w:rsidP="00927E1F"/>
    <w:p w:rsidR="005709DD" w:rsidRPr="003463CF" w:rsidRDefault="005709DD" w:rsidP="00DF2EEF">
      <w:pPr>
        <w:pStyle w:val="ListParagraph"/>
        <w:numPr>
          <w:ilvl w:val="0"/>
          <w:numId w:val="109"/>
        </w:numPr>
        <w:tabs>
          <w:tab w:val="left" w:pos="709"/>
        </w:tabs>
        <w:ind w:left="0" w:firstLine="0"/>
        <w:jc w:val="both"/>
      </w:pPr>
      <w:r w:rsidRPr="003463CF">
        <w:t xml:space="preserve">S’agissant de la gestion des bureaux dans les bâtiments du siège, fin 2015, un équilibre adéquat entre les lieux de travail occupés (environ 85%) et non occupés (environ 15%) a été maintenu pour la troisième année consécutive, en dépit du fait que l’équilibre n’était pas uniformément réparti entre tous </w:t>
      </w:r>
      <w:r w:rsidRPr="003463CF">
        <w:lastRenderedPageBreak/>
        <w:t>les bâtiments, comme l’indiquaient les rapports précédents.  La mise en œuvre d’une utilisation plus efficace et plus rentable des zones de stockage et de stationnement sur et hors site a permis de résilier les baux de trois zones de stockage et espaces de stationnement hors site, ainsi que de réduire les quantités de fournitures de bureau, pour une économie totale d’environ 219 000 francs suisses en 2014</w:t>
      </w:r>
      <w:r w:rsidRPr="003463CF">
        <w:noBreakHyphen/>
        <w:t>2015.  Enfin, 390 000 francs suisses de recettes ont été générés au total au cours de l’exercice biennal sur la location de certains espaces à d’autres entités (le centre de données, l’espace sur les toits pour des antennes de téléphonie, le guichet bancaire automatique et un bureau pour l’Association coopérative financière des fonctionnaires internationaux</w:t>
      </w:r>
      <w:r w:rsidRPr="003463CF">
        <w:rPr>
          <w:i/>
        </w:rPr>
        <w:t xml:space="preserve"> </w:t>
      </w:r>
      <w:r w:rsidRPr="003463CF">
        <w:t>(AMFIE)).</w:t>
      </w:r>
    </w:p>
    <w:p w:rsidR="005709DD" w:rsidRPr="003463CF" w:rsidRDefault="005709DD" w:rsidP="00927E1F">
      <w:pPr>
        <w:tabs>
          <w:tab w:val="left" w:pos="709"/>
        </w:tabs>
        <w:jc w:val="both"/>
      </w:pPr>
    </w:p>
    <w:p w:rsidR="005709DD" w:rsidRPr="003463CF" w:rsidRDefault="005709DD" w:rsidP="00DF2EEF">
      <w:pPr>
        <w:pStyle w:val="ListParagraph"/>
        <w:numPr>
          <w:ilvl w:val="0"/>
          <w:numId w:val="109"/>
        </w:numPr>
        <w:tabs>
          <w:tab w:val="left" w:pos="709"/>
        </w:tabs>
        <w:ind w:left="0" w:firstLine="0"/>
        <w:jc w:val="both"/>
      </w:pPr>
      <w:r w:rsidRPr="003463CF">
        <w:t xml:space="preserve">Concernant les installations techniques, l’entretien ordinaire des installations techniques principales ou critiques a été réalisé tout au long de l’année conformément au calendrier établi.  La première liste détaillée de toutes les installations essentielles a été achevée en 2014, ce qui renforcera l’analyse future du programme d’entretien préventif élargi de l’infrastructure et des installations.  </w:t>
      </w:r>
      <w:r w:rsidRPr="003463CF">
        <w:rPr>
          <w:rFonts w:cs="Arial"/>
        </w:rPr>
        <w:t>Une mise à jour périodique de la liste a été effectuée pour la première fois en 2015, ce qui a permis de jeter les bases des futures mises à jour périodiques.</w:t>
      </w:r>
    </w:p>
    <w:p w:rsidR="005709DD" w:rsidRPr="003463CF" w:rsidRDefault="005709DD" w:rsidP="00927E1F">
      <w:pPr>
        <w:tabs>
          <w:tab w:val="left" w:pos="709"/>
        </w:tabs>
        <w:jc w:val="both"/>
      </w:pPr>
    </w:p>
    <w:p w:rsidR="005709DD" w:rsidRPr="003463CF" w:rsidRDefault="005709DD" w:rsidP="00DF2EEF">
      <w:pPr>
        <w:pStyle w:val="ListParagraph"/>
        <w:numPr>
          <w:ilvl w:val="0"/>
          <w:numId w:val="109"/>
        </w:numPr>
        <w:tabs>
          <w:tab w:val="left" w:pos="709"/>
        </w:tabs>
        <w:ind w:left="0" w:firstLine="0"/>
        <w:jc w:val="both"/>
      </w:pPr>
      <w:r w:rsidRPr="003463CF">
        <w:t>S’agissant de la mise à niveau des anciennes installations, d’importants progrès ont été accomplis non seulement par le biais des projets du plan</w:t>
      </w:r>
      <w:r w:rsidRPr="003463CF">
        <w:noBreakHyphen/>
        <w:t>cadre d’équipement financés par les réserves, mais également grâce à un certain nombre d’améliorations de moindre envergure mais plus techniques (les détails figurent dans le tableau d’exécution).</w:t>
      </w:r>
    </w:p>
    <w:p w:rsidR="005709DD" w:rsidRPr="003463CF" w:rsidRDefault="005709DD" w:rsidP="00927E1F">
      <w:pPr>
        <w:pStyle w:val="NoSpacing"/>
        <w:tabs>
          <w:tab w:val="left" w:pos="709"/>
        </w:tabs>
        <w:jc w:val="both"/>
        <w:rPr>
          <w:rFonts w:ascii="Arial" w:hAnsi="Arial" w:cs="Arial"/>
          <w:sz w:val="20"/>
          <w:szCs w:val="20"/>
        </w:rPr>
      </w:pPr>
    </w:p>
    <w:p w:rsidR="005709DD" w:rsidRPr="003463CF" w:rsidRDefault="005709DD" w:rsidP="00DF2EEF">
      <w:pPr>
        <w:pStyle w:val="ListParagraph"/>
        <w:numPr>
          <w:ilvl w:val="0"/>
          <w:numId w:val="109"/>
        </w:numPr>
        <w:tabs>
          <w:tab w:val="left" w:pos="709"/>
        </w:tabs>
        <w:ind w:left="0" w:firstLine="0"/>
        <w:jc w:val="both"/>
      </w:pPr>
      <w:r w:rsidRPr="003463CF">
        <w:t>La consommation énergétique (y compris l’électricité et l’eau) a baissé de 5% et 33% respectivement, par rapport à l’exercice biennal 2012</w:t>
      </w:r>
      <w:r w:rsidRPr="003463CF">
        <w:noBreakHyphen/>
        <w:t>2013, malgré la consommation supplémentaire due à la nouvelle salle de conférence de l’OMPI depuis septembre 2014.  La dernière phase de la transition majeure vers une technologie de refroidissement produite localement et plus écologique, au moyen des eaux profondes du lac Léman, a été achevée sur le site de l’OMPI au cours de l’exercice biennal, les installations ayant été connectées ou améliorées.  Si la consommation d’énergie et les frais connexes découlant de l’utilisation de cette technique de refroidissement dans l’ensemble des bâtiments de l’OMPI ont augmenté de 35 et 34%, respectivement, par rapport à l’exercice biennal précédent, le volume couvert a presque doublé au cours de la même période.  En outre, l’augmentation des coûts a été largement compensée par la réduction de la consommation des autres sources d’énergie (électricité et eau) et la stabilisation de la consommation de gaz naturel pour le chauffage, ce qui a abouti à une économie globale d’environ 479 000 francs suisses par rapport à l’exercice biennal précédent.  Enfin, le fournisseur d’électricité qui était sous contrat avec l’OMPI jusqu’à la fin de 2014 a remboursé un pourcentage donné sur l’électricité inutilisée au cours de l’année de référence (2014) se montant à 24 300 francs suisses.</w:t>
      </w:r>
    </w:p>
    <w:p w:rsidR="005709DD" w:rsidRPr="003463CF" w:rsidRDefault="005709DD" w:rsidP="00927E1F">
      <w:pPr>
        <w:tabs>
          <w:tab w:val="left" w:pos="709"/>
          <w:tab w:val="left" w:pos="1440"/>
        </w:tabs>
        <w:jc w:val="both"/>
      </w:pPr>
    </w:p>
    <w:p w:rsidR="005709DD" w:rsidRPr="003463CF" w:rsidRDefault="005709DD" w:rsidP="00DF2EEF">
      <w:pPr>
        <w:pStyle w:val="ListParagraph"/>
        <w:numPr>
          <w:ilvl w:val="0"/>
          <w:numId w:val="109"/>
        </w:numPr>
        <w:tabs>
          <w:tab w:val="left" w:pos="709"/>
        </w:tabs>
        <w:ind w:left="0" w:firstLine="0"/>
        <w:jc w:val="both"/>
      </w:pPr>
      <w:r w:rsidRPr="003463CF">
        <w:t>S’agissant de la gestion des biens, l’exercice biennal a vu la première mise en œuvre de la nouvelle procédure de réalisation d’un inventaire externalisé des biens.  En 2014, les biens concernés étaient les biens d’une valeur supérieure à 1000 francs suisses, ainsi que les œuvres d’art et les articles attrayants, indépendamment de leur valeur.  En 2015, les biens concernés étaient ceux d’une valeur supérieure à 5000 francs suisses.  Cette approche en deux phases appliquée au cadre de l’exercice biennal visait à structurer la gestion des biens pour l’enregistrement physique, ainsi que pour l’établissement des rapports et des rapports financiers.  À la fin de l’exercice biennal, une nouvelle politique relative à la gestion des actifs a été établie en vue de jeter les bases de la mise en place d’un système plus solide dans le cadre du Règlement financier et de son règlement d’exécution.</w:t>
      </w:r>
    </w:p>
    <w:p w:rsidR="005709DD" w:rsidRPr="003463CF" w:rsidRDefault="005709DD" w:rsidP="00927E1F">
      <w:pPr>
        <w:pStyle w:val="ListParagraph"/>
        <w:numPr>
          <w:ilvl w:val="0"/>
          <w:numId w:val="0"/>
        </w:numPr>
        <w:tabs>
          <w:tab w:val="left" w:pos="709"/>
        </w:tabs>
        <w:jc w:val="both"/>
      </w:pPr>
    </w:p>
    <w:p w:rsidR="005709DD" w:rsidRPr="003463CF" w:rsidRDefault="005709DD" w:rsidP="00DF2EEF">
      <w:pPr>
        <w:pStyle w:val="ListParagraph"/>
        <w:numPr>
          <w:ilvl w:val="0"/>
          <w:numId w:val="109"/>
        </w:numPr>
        <w:tabs>
          <w:tab w:val="left" w:pos="709"/>
        </w:tabs>
        <w:ind w:left="0" w:firstLine="0"/>
        <w:jc w:val="both"/>
        <w:rPr>
          <w:rFonts w:cs="Arial"/>
        </w:rPr>
      </w:pPr>
      <w:r w:rsidRPr="003463CF">
        <w:rPr>
          <w:rFonts w:cs="Arial"/>
        </w:rPr>
        <w:t>L’année 2</w:t>
      </w:r>
      <w:r w:rsidRPr="003463CF">
        <w:rPr>
          <w:rFonts w:cs="Arial"/>
          <w:bCs/>
        </w:rPr>
        <w:t>015</w:t>
      </w:r>
      <w:r w:rsidRPr="003463CF">
        <w:rPr>
          <w:rFonts w:cs="Arial"/>
        </w:rPr>
        <w:t xml:space="preserve"> est la première année au cours de laquelle une augmentation significative du nombre et de la complexité des événements culturels et autres a été enregistrée (y compris les événements culturels simultanés).  En 2015, six États membres de l’OMPI ont célébré leur fête nationale dans les locaux de l’OMPI.  par ailleurs, à diverses reprises, différents espaces (y compris la nouvelle salle de conférence) ont été loués à des entités externes, dans certains cas en échange du paiement de frais de location ou du remboursement des dépenses engagées pour l’organisation de ces événements</w:t>
      </w:r>
      <w:r w:rsidRPr="003463CF">
        <w:rPr>
          <w:rStyle w:val="FootnoteReference"/>
          <w:rFonts w:eastAsia="SimSun"/>
        </w:rPr>
        <w:footnoteReference w:id="136"/>
      </w:r>
    </w:p>
    <w:p w:rsidR="005709DD" w:rsidRPr="003463CF" w:rsidRDefault="005709DD" w:rsidP="00927E1F">
      <w:pPr>
        <w:tabs>
          <w:tab w:val="left" w:pos="709"/>
        </w:tabs>
        <w:jc w:val="both"/>
      </w:pPr>
    </w:p>
    <w:p w:rsidR="005709DD" w:rsidRPr="003463CF" w:rsidRDefault="005709DD" w:rsidP="00DF2EEF">
      <w:pPr>
        <w:pStyle w:val="NoSpacing"/>
        <w:numPr>
          <w:ilvl w:val="0"/>
          <w:numId w:val="109"/>
        </w:numPr>
        <w:tabs>
          <w:tab w:val="left" w:pos="709"/>
        </w:tabs>
        <w:ind w:left="0" w:firstLine="0"/>
        <w:jc w:val="both"/>
        <w:rPr>
          <w:rFonts w:ascii="Arial" w:hAnsi="Arial" w:cs="Arial"/>
          <w:sz w:val="20"/>
          <w:szCs w:val="20"/>
        </w:rPr>
      </w:pPr>
      <w:r w:rsidRPr="003463CF">
        <w:rPr>
          <w:rFonts w:ascii="Arial" w:hAnsi="Arial" w:cs="Arial"/>
          <w:sz w:val="20"/>
          <w:szCs w:val="20"/>
        </w:rPr>
        <w:t xml:space="preserve">En vertu du projet d’accessibilité de l’OMPI et sur la base des recommandations découlant des audits réalisés en 2012 et 2013, un certain nombre de mesures d’amélioration ont été mises en œuvre dans plusieurs bâtiments au cours de l’exercice biennal.  En outre, plusieurs caractéristiques, qui avaient été incluses dans le projet de nouvelle salle de conférence et la rénovation de plusieurs niveaux du bâtiment AB, ont aussi été mises en œuvre au cours de l’année 2014 lors des phases de construction ou </w:t>
      </w:r>
      <w:r w:rsidRPr="003463CF">
        <w:rPr>
          <w:rFonts w:ascii="Arial" w:hAnsi="Arial" w:cs="Arial"/>
          <w:sz w:val="20"/>
          <w:szCs w:val="20"/>
        </w:rPr>
        <w:lastRenderedPageBreak/>
        <w:t>de rénovation.  Améliorations incluses : i) rampes supplémentaires pour l’accès aux fauteuils roulants (accès aux cabines d’interprétation dans une nouvelle salle de réunion du nouveau bâtiment, accès au podium de la nouvelle salle de conférence de l’OMPI, accès aux cabines d’interprétation dans deux nouvelles salles de réunion à l’étage rénové du bâtiment AB);  et ii) l’abaissement des lecteurs de badge à une hauteur adaptée aux personnes en fauteuil roulant dans les bâtiments AB, PCT, le nouveau bâtiment et la nouvelle salle de conférence de l’OMPI.  Certaines ont même été installées sans coût majeur ou, le cas échéant, intégrées dans d’autres améliorations de l’infrastructure ou des installations pour un coût supplémentaire réduit.  En outre, en 2015, une présentation a été organisée à l’intention des fonctionnaires et des représentants des autres institutions du système des Nations Unies ayant leur siège à Genève en vue d’exposer les améliorations apportées aux différents bâtiments et partager des données d’expérience sur les méthodes utilisées en vue de sélectionner et de mettre en œuvre les mesures appliquées.</w:t>
      </w:r>
    </w:p>
    <w:p w:rsidR="005709DD" w:rsidRPr="003463CF" w:rsidRDefault="005709DD" w:rsidP="00927E1F">
      <w:pPr>
        <w:tabs>
          <w:tab w:val="left" w:pos="709"/>
        </w:tabs>
        <w:jc w:val="both"/>
      </w:pPr>
    </w:p>
    <w:p w:rsidR="005709DD" w:rsidRPr="003463CF" w:rsidRDefault="005709DD" w:rsidP="00DF2EEF">
      <w:pPr>
        <w:pStyle w:val="NoSpacing"/>
        <w:numPr>
          <w:ilvl w:val="0"/>
          <w:numId w:val="109"/>
        </w:numPr>
        <w:tabs>
          <w:tab w:val="left" w:pos="0"/>
        </w:tabs>
        <w:ind w:left="0" w:firstLine="0"/>
        <w:jc w:val="both"/>
        <w:rPr>
          <w:rFonts w:ascii="Arial" w:hAnsi="Arial" w:cs="Arial"/>
          <w:sz w:val="20"/>
          <w:szCs w:val="20"/>
        </w:rPr>
      </w:pPr>
      <w:r w:rsidRPr="003463CF">
        <w:rPr>
          <w:rFonts w:ascii="Arial" w:hAnsi="Arial" w:cs="Arial"/>
          <w:sz w:val="20"/>
          <w:szCs w:val="20"/>
        </w:rPr>
        <w:t xml:space="preserve">Dans le cadre de l’initiative relative à la responsabilité sur le plan environnemental de l’OMPI, un certain nombre d’activités ont été entreprises en 2014 en vue de mieux sensibiliser le personnel aux questions d’environnement ou de prendre des mesures concrètes et pratiques.  Ces mesures sont liées à des questions relatives aux locaux et au recours à d’autres modes de transport pour les trajets entre le domicile et le lieu de travail.  Les questions relatives aux locaux ont notamment concerné : i) le remplacement des installations techniques par des solutions plus écologiques;  ii) la mise à niveau des installations électriques, la réduction de la consommation d’électricité dans le cadre d’un accord avec le fournisseur local d’électricité jusqu’en 2014;  iii) le renouvellement du tarif d’électricité pour le nouveau bâtiment avec le pourcentage maximum de contribution à la production d’électricité renouvelable dans le canton de Genève en 2014;  iv) l’adoption d’un nouveau système respectueux de l’environnement avec un nouveau fournisseur d’électricité depuis janvier 2015.  Les mesures liées au recours à d’autres modes de transport pour les trajets entre le domicile et le lieu de travail ont concerné : i) des journées ou mois de mobilité dans les transports publics;  ii) la location gratuite de bicyclettes électriques;  et iii) des réparations des bicyclettes.  En outre, l’OMPI a pris part à un certain nombre d’initiatives dans le contexte </w:t>
      </w:r>
      <w:proofErr w:type="spellStart"/>
      <w:r w:rsidRPr="003463CF">
        <w:rPr>
          <w:rFonts w:ascii="Arial" w:hAnsi="Arial" w:cs="Arial"/>
          <w:sz w:val="20"/>
          <w:szCs w:val="20"/>
        </w:rPr>
        <w:t>interinstitutions</w:t>
      </w:r>
      <w:proofErr w:type="spellEnd"/>
      <w:r w:rsidRPr="003463CF">
        <w:rPr>
          <w:rFonts w:ascii="Arial" w:hAnsi="Arial" w:cs="Arial"/>
          <w:sz w:val="20"/>
          <w:szCs w:val="20"/>
        </w:rPr>
        <w:t xml:space="preserve"> de l’ONU (principalement par le biais du PNUE et de </w:t>
      </w:r>
      <w:r w:rsidRPr="003463CF">
        <w:rPr>
          <w:rFonts w:ascii="Arial" w:hAnsi="Arial" w:cs="Arial"/>
          <w:sz w:val="20"/>
          <w:szCs w:val="20"/>
          <w:cs/>
        </w:rPr>
        <w:t>“</w:t>
      </w:r>
      <w:proofErr w:type="spellStart"/>
      <w:r w:rsidRPr="003463CF">
        <w:rPr>
          <w:rFonts w:ascii="Arial" w:hAnsi="Arial" w:cs="Arial"/>
          <w:sz w:val="20"/>
          <w:szCs w:val="20"/>
        </w:rPr>
        <w:t>Sustainable</w:t>
      </w:r>
      <w:proofErr w:type="spellEnd"/>
      <w:r w:rsidRPr="003463CF">
        <w:rPr>
          <w:rFonts w:ascii="Arial" w:hAnsi="Arial" w:cs="Arial"/>
          <w:sz w:val="20"/>
          <w:szCs w:val="20"/>
        </w:rPr>
        <w:t xml:space="preserve"> UN</w:t>
      </w:r>
      <w:r w:rsidRPr="003463CF">
        <w:rPr>
          <w:rFonts w:ascii="Arial" w:hAnsi="Arial" w:cs="Arial"/>
          <w:sz w:val="20"/>
          <w:szCs w:val="20"/>
          <w:cs/>
        </w:rPr>
        <w:t xml:space="preserve">” </w:t>
      </w:r>
      <w:r w:rsidRPr="003463CF">
        <w:rPr>
          <w:rFonts w:ascii="Arial" w:hAnsi="Arial" w:cs="Arial"/>
          <w:sz w:val="20"/>
          <w:szCs w:val="20"/>
        </w:rPr>
        <w:t>(SUN)), telles que la participation à la collecte annuelle de données pour le calculateur des émissions de gaz à effet de serre, ainsi que la participation à différents forums et réunions.  Comme suite à l’engagement pris par l’OMPI de réduire ses émissions de carbone, la Réunion annuelle internationale concernant les services linguistiques, la documentation et les publications (IAMLADP), tenue en juin 2015 sur le site de l’OMPI, a été déclarée “réunion écologique” par le PNUE conformément aux critères de l’OMPI.  En outre, au regard de l’objectif de l’ONU d’atteindre la neutralité carbone d’ici à 2020, auquel l’OMPI a souscrit en septembre 2014, l’Organisation a acheté des certificats de compensation par l’intermédiaire de la Convention</w:t>
      </w:r>
      <w:r w:rsidRPr="003463CF">
        <w:rPr>
          <w:rFonts w:ascii="Arial" w:hAnsi="Arial" w:cs="Arial"/>
          <w:sz w:val="20"/>
          <w:szCs w:val="20"/>
        </w:rPr>
        <w:noBreakHyphen/>
        <w:t>cadre des Nations Unies sur les changements climatiques (CCNUCC) valables de 2014 à 2020.  Ces certificats ont été calculés sur la base des données utilisées pour le calculateur des émissions de gaz à effet de serre établi par le PNUE dans le cadre de la contribution de l’ONU à la COP21 en novembre 2015.  Dès lors, l’OMPI a été en mesure de déclarer qu’elle a compensé ses émissions de carbone jusqu’en 2020.  L’exercice 2014</w:t>
      </w:r>
      <w:r w:rsidRPr="003463CF">
        <w:rPr>
          <w:rFonts w:ascii="Arial" w:hAnsi="Arial" w:cs="Arial"/>
          <w:sz w:val="20"/>
          <w:szCs w:val="20"/>
        </w:rPr>
        <w:noBreakHyphen/>
        <w:t>2015 a donc constitué le premier exercice biennal au cours duquel ce type de résultat a été obtenu par l’OMPI dans le cadre de l’objectif pour 2020 à l’échelle du système des Nations Unies.</w:t>
      </w:r>
    </w:p>
    <w:p w:rsidR="005709DD" w:rsidRPr="003463CF" w:rsidRDefault="005709DD" w:rsidP="00927E1F">
      <w:pPr>
        <w:rPr>
          <w:bCs/>
        </w:rPr>
      </w:pPr>
    </w:p>
    <w:p w:rsidR="005709DD" w:rsidRPr="003463CF" w:rsidRDefault="005709DD" w:rsidP="00927E1F">
      <w:pPr>
        <w:rPr>
          <w:rFonts w:eastAsia="MS Mincho"/>
          <w:lang w:bidi="th-TH"/>
        </w:rPr>
      </w:pPr>
    </w:p>
    <w:p w:rsidR="005709DD" w:rsidRDefault="005709DD">
      <w:pPr>
        <w:rPr>
          <w:caps/>
          <w:sz w:val="22"/>
        </w:rPr>
      </w:pPr>
      <w:r>
        <w:br w:type="page"/>
      </w:r>
    </w:p>
    <w:p w:rsidR="005709DD" w:rsidRPr="005709DD" w:rsidRDefault="005709DD" w:rsidP="005709DD">
      <w:pPr>
        <w:rPr>
          <w:caps/>
        </w:rPr>
      </w:pPr>
      <w:r w:rsidRPr="005709DD">
        <w:rPr>
          <w:caps/>
        </w:rPr>
        <w:lastRenderedPageBreak/>
        <w:t>Données relatives à l’exécution</w:t>
      </w:r>
    </w:p>
    <w:p w:rsidR="005709DD" w:rsidRPr="003463CF" w:rsidRDefault="005709DD" w:rsidP="00927E1F">
      <w:pPr>
        <w:rPr>
          <w:b/>
          <w:sz w:val="16"/>
          <w:szCs w:val="16"/>
        </w:rPr>
      </w:pPr>
    </w:p>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523"/>
        <w:gridCol w:w="2173"/>
        <w:gridCol w:w="2113"/>
        <w:gridCol w:w="1678"/>
        <w:gridCol w:w="1004"/>
      </w:tblGrid>
      <w:tr w:rsidR="005709DD" w:rsidRPr="003463CF" w:rsidTr="005709DD">
        <w:trPr>
          <w:cantSplit/>
        </w:trPr>
        <w:tc>
          <w:tcPr>
            <w:tcW w:w="5000" w:type="pct"/>
            <w:gridSpan w:val="5"/>
            <w:tcBorders>
              <w:top w:val="single" w:sz="4" w:space="0" w:color="auto"/>
              <w:bottom w:val="single" w:sz="4" w:space="0" w:color="auto"/>
            </w:tcBorders>
            <w:shd w:val="clear" w:color="auto" w:fill="C5D9F1"/>
            <w:vAlign w:val="center"/>
          </w:tcPr>
          <w:p w:rsidR="005709DD" w:rsidRPr="003463CF" w:rsidRDefault="005709DD" w:rsidP="00927E1F">
            <w:pPr>
              <w:rPr>
                <w:b/>
                <w:bCs/>
                <w:sz w:val="16"/>
                <w:szCs w:val="16"/>
              </w:rPr>
            </w:pPr>
            <w:r w:rsidRPr="003463CF">
              <w:rPr>
                <w:b/>
                <w:sz w:val="16"/>
                <w:szCs w:val="16"/>
              </w:rPr>
              <w:t xml:space="preserve">Résultat escompté : </w:t>
            </w:r>
            <w:r w:rsidRPr="003463CF">
              <w:rPr>
                <w:sz w:val="16"/>
                <w:szCs w:val="16"/>
              </w:rPr>
              <w:t>VIII.5 L’OMPI collabore efficacement avec d’autres processus et instances de négociation de l’ONU et d’autres organisations intergouvernementales</w:t>
            </w:r>
          </w:p>
        </w:tc>
      </w:tr>
      <w:tr w:rsidR="005709DD" w:rsidRPr="003463CF" w:rsidTr="005709DD">
        <w:trPr>
          <w:cantSplit/>
        </w:trPr>
        <w:tc>
          <w:tcPr>
            <w:tcW w:w="1329" w:type="pct"/>
            <w:tcBorders>
              <w:top w:val="single" w:sz="4" w:space="0" w:color="auto"/>
            </w:tcBorders>
            <w:shd w:val="clear" w:color="auto" w:fill="auto"/>
            <w:vAlign w:val="center"/>
          </w:tcPr>
          <w:p w:rsidR="005709DD" w:rsidRPr="003463CF" w:rsidRDefault="005709DD" w:rsidP="00927E1F">
            <w:pPr>
              <w:jc w:val="center"/>
              <w:rPr>
                <w:sz w:val="16"/>
                <w:szCs w:val="16"/>
              </w:rPr>
            </w:pPr>
            <w:r w:rsidRPr="003463CF">
              <w:rPr>
                <w:b/>
                <w:sz w:val="16"/>
                <w:szCs w:val="16"/>
              </w:rPr>
              <w:t>Indicateurs d’exécution</w:t>
            </w:r>
          </w:p>
        </w:tc>
        <w:tc>
          <w:tcPr>
            <w:tcW w:w="1145" w:type="pct"/>
            <w:tcBorders>
              <w:top w:val="single" w:sz="4" w:space="0" w:color="auto"/>
            </w:tcBorders>
            <w:shd w:val="clear" w:color="auto" w:fill="auto"/>
            <w:vAlign w:val="center"/>
          </w:tcPr>
          <w:p w:rsidR="005709DD" w:rsidRPr="003463CF" w:rsidRDefault="005709DD" w:rsidP="00927E1F">
            <w:pPr>
              <w:jc w:val="center"/>
              <w:rPr>
                <w:b/>
                <w:bCs/>
                <w:sz w:val="16"/>
                <w:szCs w:val="16"/>
              </w:rPr>
            </w:pPr>
            <w:r w:rsidRPr="003463CF">
              <w:rPr>
                <w:b/>
                <w:sz w:val="16"/>
                <w:szCs w:val="16"/>
              </w:rPr>
              <w:t>Niveaux de référence</w:t>
            </w:r>
          </w:p>
        </w:tc>
        <w:tc>
          <w:tcPr>
            <w:tcW w:w="1113" w:type="pct"/>
            <w:tcBorders>
              <w:top w:val="single" w:sz="4" w:space="0" w:color="auto"/>
            </w:tcBorders>
            <w:shd w:val="clear" w:color="auto" w:fill="auto"/>
            <w:tcMar>
              <w:top w:w="110" w:type="dxa"/>
            </w:tcMar>
            <w:vAlign w:val="center"/>
          </w:tcPr>
          <w:p w:rsidR="005709DD" w:rsidRPr="003463CF" w:rsidRDefault="005709DD" w:rsidP="00927E1F">
            <w:pPr>
              <w:jc w:val="center"/>
              <w:rPr>
                <w:b/>
                <w:sz w:val="16"/>
                <w:szCs w:val="16"/>
              </w:rPr>
            </w:pPr>
            <w:r w:rsidRPr="003463CF">
              <w:rPr>
                <w:b/>
                <w:sz w:val="16"/>
                <w:szCs w:val="16"/>
              </w:rPr>
              <w:t>Objectifs visés</w:t>
            </w:r>
          </w:p>
        </w:tc>
        <w:tc>
          <w:tcPr>
            <w:tcW w:w="884" w:type="pct"/>
            <w:tcBorders>
              <w:top w:val="single" w:sz="4" w:space="0" w:color="auto"/>
            </w:tcBorders>
            <w:shd w:val="clear" w:color="auto" w:fill="FFFFFF"/>
            <w:tcMar>
              <w:top w:w="110" w:type="dxa"/>
            </w:tcMar>
            <w:vAlign w:val="center"/>
          </w:tcPr>
          <w:p w:rsidR="005709DD" w:rsidRPr="003463CF" w:rsidRDefault="005709DD" w:rsidP="00927E1F">
            <w:pPr>
              <w:jc w:val="center"/>
              <w:rPr>
                <w:sz w:val="16"/>
                <w:szCs w:val="16"/>
              </w:rPr>
            </w:pPr>
            <w:r w:rsidRPr="003463CF">
              <w:rPr>
                <w:b/>
                <w:sz w:val="16"/>
                <w:szCs w:val="16"/>
              </w:rPr>
              <w:t>Données relatives à l’exécution</w:t>
            </w:r>
          </w:p>
        </w:tc>
        <w:tc>
          <w:tcPr>
            <w:tcW w:w="529" w:type="pct"/>
            <w:tcBorders>
              <w:top w:val="single" w:sz="4" w:space="0" w:color="auto"/>
            </w:tcBorders>
            <w:shd w:val="clear" w:color="auto" w:fill="auto"/>
            <w:tcMar>
              <w:top w:w="110" w:type="dxa"/>
            </w:tcMar>
            <w:vAlign w:val="center"/>
          </w:tcPr>
          <w:p w:rsidR="005709DD" w:rsidRPr="003463CF" w:rsidRDefault="005709DD" w:rsidP="00927E1F">
            <w:pPr>
              <w:keepNext/>
              <w:keepLines/>
              <w:jc w:val="center"/>
              <w:rPr>
                <w:b/>
                <w:bCs/>
                <w:sz w:val="16"/>
                <w:szCs w:val="16"/>
              </w:rPr>
            </w:pPr>
            <w:r w:rsidRPr="003463CF">
              <w:rPr>
                <w:b/>
                <w:sz w:val="16"/>
                <w:szCs w:val="16"/>
              </w:rPr>
              <w:t>Code de couleurs</w:t>
            </w:r>
          </w:p>
        </w:tc>
      </w:tr>
      <w:tr w:rsidR="005709DD" w:rsidRPr="003463CF" w:rsidTr="005709DD">
        <w:trPr>
          <w:cantSplit/>
        </w:trPr>
        <w:tc>
          <w:tcPr>
            <w:tcW w:w="1329" w:type="pct"/>
            <w:shd w:val="clear" w:color="auto" w:fill="auto"/>
          </w:tcPr>
          <w:p w:rsidR="005709DD" w:rsidRPr="003463CF" w:rsidRDefault="005709DD" w:rsidP="00927E1F">
            <w:pPr>
              <w:rPr>
                <w:sz w:val="16"/>
                <w:szCs w:val="16"/>
              </w:rPr>
            </w:pPr>
            <w:r w:rsidRPr="003463CF">
              <w:rPr>
                <w:sz w:val="16"/>
                <w:szCs w:val="16"/>
              </w:rPr>
              <w:t>Recommandations du Comité de haut niveau sur la gestion et des réseaux subsidiaires</w:t>
            </w:r>
          </w:p>
        </w:tc>
        <w:tc>
          <w:tcPr>
            <w:tcW w:w="1145" w:type="pct"/>
            <w:shd w:val="clear" w:color="auto" w:fill="auto"/>
          </w:tcPr>
          <w:p w:rsidR="005709DD" w:rsidRPr="003463CF" w:rsidRDefault="005709DD" w:rsidP="00927E1F">
            <w:pPr>
              <w:rPr>
                <w:color w:val="002060"/>
                <w:sz w:val="16"/>
                <w:szCs w:val="16"/>
              </w:rPr>
            </w:pPr>
            <w:r w:rsidRPr="003463CF">
              <w:rPr>
                <w:i/>
                <w:color w:val="002060"/>
                <w:sz w:val="16"/>
                <w:szCs w:val="16"/>
              </w:rPr>
              <w:t>Niveau de référence actualisé à fin 2013 :</w:t>
            </w:r>
            <w:r w:rsidRPr="003463CF">
              <w:rPr>
                <w:color w:val="002060"/>
                <w:sz w:val="16"/>
                <w:szCs w:val="16"/>
              </w:rPr>
              <w:t xml:space="preserve"> 13 des 36 recommandations en suspens du Corps commun d’inspection (CCI)/ des instances délibérantes ont été clôturées en 2013 (36%)</w:t>
            </w:r>
          </w:p>
          <w:p w:rsidR="005709DD" w:rsidRPr="003463CF" w:rsidRDefault="005709DD" w:rsidP="00927E1F">
            <w:pPr>
              <w:rPr>
                <w:i/>
                <w:sz w:val="16"/>
                <w:szCs w:val="16"/>
              </w:rPr>
            </w:pPr>
          </w:p>
          <w:p w:rsidR="005709DD" w:rsidRPr="003463CF" w:rsidRDefault="005709DD" w:rsidP="00927E1F">
            <w:pPr>
              <w:rPr>
                <w:sz w:val="16"/>
                <w:szCs w:val="16"/>
              </w:rPr>
            </w:pPr>
            <w:r w:rsidRPr="003463CF">
              <w:rPr>
                <w:i/>
                <w:sz w:val="16"/>
                <w:szCs w:val="16"/>
              </w:rPr>
              <w:t>Niveau de référence initial dans le programme et budget 2014</w:t>
            </w:r>
            <w:r w:rsidRPr="003463CF">
              <w:rPr>
                <w:i/>
                <w:sz w:val="16"/>
                <w:szCs w:val="16"/>
              </w:rPr>
              <w:noBreakHyphen/>
              <w:t xml:space="preserve">2015 : </w:t>
            </w:r>
            <w:r w:rsidRPr="003463CF">
              <w:rPr>
                <w:sz w:val="16"/>
                <w:szCs w:val="16"/>
              </w:rPr>
              <w:t>Pourcentage de recommandations clôturées au 1</w:t>
            </w:r>
            <w:r w:rsidRPr="003463CF">
              <w:rPr>
                <w:sz w:val="16"/>
                <w:szCs w:val="16"/>
                <w:vertAlign w:val="superscript"/>
              </w:rPr>
              <w:t>er</w:t>
            </w:r>
            <w:r w:rsidRPr="003463CF">
              <w:rPr>
                <w:sz w:val="16"/>
                <w:szCs w:val="16"/>
              </w:rPr>
              <w:t> janvier 2013</w:t>
            </w:r>
          </w:p>
        </w:tc>
        <w:tc>
          <w:tcPr>
            <w:tcW w:w="1113" w:type="pct"/>
            <w:shd w:val="clear" w:color="auto" w:fill="auto"/>
            <w:tcMar>
              <w:top w:w="110" w:type="dxa"/>
            </w:tcMar>
          </w:tcPr>
          <w:p w:rsidR="005709DD" w:rsidRPr="003463CF" w:rsidRDefault="005709DD" w:rsidP="00927E1F">
            <w:pPr>
              <w:rPr>
                <w:sz w:val="16"/>
                <w:szCs w:val="16"/>
                <w:lang w:bidi="th-TH"/>
              </w:rPr>
            </w:pPr>
            <w:r w:rsidRPr="003463CF">
              <w:rPr>
                <w:sz w:val="16"/>
                <w:szCs w:val="16"/>
              </w:rPr>
              <w:t>Pourcentage de recommandations clôturées au 31 décembre 2013</w:t>
            </w:r>
            <w:r w:rsidRPr="003463CF">
              <w:rPr>
                <w:rStyle w:val="FootnoteReference"/>
                <w:rFonts w:eastAsia="SimSun"/>
                <w:sz w:val="16"/>
                <w:szCs w:val="16"/>
              </w:rPr>
              <w:footnoteReference w:id="137"/>
            </w:r>
          </w:p>
        </w:tc>
        <w:tc>
          <w:tcPr>
            <w:tcW w:w="884" w:type="pct"/>
            <w:shd w:val="clear" w:color="auto" w:fill="FFFFFF"/>
            <w:tcMar>
              <w:top w:w="110" w:type="dxa"/>
            </w:tcMar>
          </w:tcPr>
          <w:p w:rsidR="005709DD" w:rsidRPr="003463CF" w:rsidRDefault="005709DD" w:rsidP="00927E1F">
            <w:pPr>
              <w:rPr>
                <w:sz w:val="16"/>
                <w:szCs w:val="16"/>
                <w:lang w:bidi="th-TH"/>
              </w:rPr>
            </w:pPr>
            <w:r w:rsidRPr="003463CF">
              <w:rPr>
                <w:sz w:val="16"/>
                <w:szCs w:val="16"/>
              </w:rPr>
              <w:t>En 2014</w:t>
            </w:r>
            <w:r w:rsidRPr="003463CF">
              <w:rPr>
                <w:sz w:val="16"/>
                <w:szCs w:val="16"/>
              </w:rPr>
              <w:noBreakHyphen/>
              <w:t>2015, 64% (23 sur 36) des recommandations en suspens du Corps commun d’inspection (CCI) adressées aux instances délibérantes de l’OMPI ont été clôturés</w:t>
            </w:r>
          </w:p>
        </w:tc>
        <w:tc>
          <w:tcPr>
            <w:tcW w:w="529" w:type="pct"/>
            <w:shd w:val="clear" w:color="auto" w:fill="auto"/>
            <w:tcMar>
              <w:top w:w="110" w:type="dxa"/>
            </w:tcMar>
          </w:tcPr>
          <w:p w:rsidR="005709DD" w:rsidRPr="003463CF" w:rsidRDefault="005709DD" w:rsidP="00927E1F">
            <w:pPr>
              <w:keepNext/>
              <w:keepLines/>
              <w:jc w:val="center"/>
              <w:rPr>
                <w:b/>
                <w:bCs/>
                <w:color w:val="808080"/>
                <w:sz w:val="16"/>
                <w:szCs w:val="16"/>
              </w:rPr>
            </w:pPr>
            <w:r w:rsidRPr="003463CF">
              <w:rPr>
                <w:b/>
                <w:bCs/>
                <w:color w:val="808080"/>
                <w:sz w:val="16"/>
                <w:szCs w:val="16"/>
              </w:rPr>
              <w:t>Non évaluable</w:t>
            </w:r>
          </w:p>
        </w:tc>
      </w:tr>
      <w:tr w:rsidR="005709DD" w:rsidRPr="003463CF" w:rsidTr="005709DD">
        <w:trPr>
          <w:cantSplit/>
        </w:trPr>
        <w:tc>
          <w:tcPr>
            <w:tcW w:w="1329" w:type="pct"/>
            <w:shd w:val="clear" w:color="auto" w:fill="auto"/>
          </w:tcPr>
          <w:p w:rsidR="005709DD" w:rsidRPr="003463CF" w:rsidRDefault="005709DD" w:rsidP="00927E1F">
            <w:pPr>
              <w:rPr>
                <w:sz w:val="16"/>
                <w:szCs w:val="16"/>
              </w:rPr>
            </w:pPr>
            <w:r w:rsidRPr="003463CF">
              <w:rPr>
                <w:sz w:val="16"/>
                <w:szCs w:val="16"/>
              </w:rPr>
              <w:t>Pourcentage de biens et services provenant de sources locales par rapport au montant total acquis aux fins d’activités de développement</w:t>
            </w:r>
          </w:p>
        </w:tc>
        <w:tc>
          <w:tcPr>
            <w:tcW w:w="1145" w:type="pct"/>
            <w:shd w:val="clear" w:color="auto" w:fill="auto"/>
          </w:tcPr>
          <w:p w:rsidR="005709DD" w:rsidRPr="003463CF" w:rsidRDefault="005709DD" w:rsidP="00927E1F">
            <w:pPr>
              <w:rPr>
                <w:color w:val="002060"/>
                <w:sz w:val="16"/>
                <w:szCs w:val="16"/>
              </w:rPr>
            </w:pPr>
            <w:r w:rsidRPr="003463CF">
              <w:rPr>
                <w:i/>
                <w:color w:val="002060"/>
                <w:sz w:val="16"/>
                <w:szCs w:val="16"/>
              </w:rPr>
              <w:t xml:space="preserve">Niveau de référence actualisé à fin 2013 : </w:t>
            </w:r>
            <w:r w:rsidRPr="003463CF">
              <w:rPr>
                <w:color w:val="002060"/>
                <w:sz w:val="16"/>
                <w:szCs w:val="16"/>
              </w:rPr>
              <w:t>48%</w:t>
            </w:r>
          </w:p>
          <w:p w:rsidR="005709DD" w:rsidRPr="003463CF" w:rsidRDefault="005709DD" w:rsidP="00927E1F">
            <w:pPr>
              <w:rPr>
                <w:color w:val="002060"/>
                <w:sz w:val="16"/>
                <w:szCs w:val="16"/>
              </w:rPr>
            </w:pPr>
          </w:p>
          <w:p w:rsidR="005709DD" w:rsidRPr="003463CF" w:rsidRDefault="005709DD" w:rsidP="00927E1F">
            <w:pPr>
              <w:rPr>
                <w:sz w:val="16"/>
                <w:szCs w:val="16"/>
              </w:rPr>
            </w:pPr>
            <w:r w:rsidRPr="003463CF">
              <w:rPr>
                <w:i/>
                <w:sz w:val="16"/>
                <w:szCs w:val="16"/>
              </w:rPr>
              <w:t>Niveau de référence initial dans le programme et budget 2014</w:t>
            </w:r>
            <w:r w:rsidRPr="003463CF">
              <w:rPr>
                <w:i/>
                <w:sz w:val="16"/>
                <w:szCs w:val="16"/>
              </w:rPr>
              <w:noBreakHyphen/>
              <w:t xml:space="preserve">2015 : </w:t>
            </w:r>
            <w:r w:rsidRPr="003463CF">
              <w:rPr>
                <w:sz w:val="16"/>
                <w:szCs w:val="16"/>
              </w:rPr>
              <w:t>Résultats 2013</w:t>
            </w:r>
          </w:p>
        </w:tc>
        <w:tc>
          <w:tcPr>
            <w:tcW w:w="1113" w:type="pct"/>
            <w:shd w:val="clear" w:color="auto" w:fill="auto"/>
            <w:tcMar>
              <w:top w:w="110" w:type="dxa"/>
            </w:tcMar>
          </w:tcPr>
          <w:p w:rsidR="005709DD" w:rsidRPr="003463CF" w:rsidRDefault="005709DD" w:rsidP="00927E1F">
            <w:pPr>
              <w:rPr>
                <w:sz w:val="16"/>
                <w:szCs w:val="16"/>
              </w:rPr>
            </w:pPr>
            <w:r w:rsidRPr="003463CF">
              <w:rPr>
                <w:sz w:val="16"/>
                <w:szCs w:val="16"/>
              </w:rPr>
              <w:t>2013 + 5%</w:t>
            </w:r>
          </w:p>
        </w:tc>
        <w:tc>
          <w:tcPr>
            <w:tcW w:w="884" w:type="pct"/>
            <w:shd w:val="clear" w:color="auto" w:fill="FFFFFF"/>
            <w:tcMar>
              <w:top w:w="110" w:type="dxa"/>
            </w:tcMar>
          </w:tcPr>
          <w:p w:rsidR="005709DD" w:rsidRPr="003463CF" w:rsidRDefault="005709DD" w:rsidP="00927E1F">
            <w:pPr>
              <w:rPr>
                <w:sz w:val="16"/>
                <w:szCs w:val="16"/>
              </w:rPr>
            </w:pPr>
            <w:r w:rsidRPr="003463CF">
              <w:rPr>
                <w:sz w:val="16"/>
                <w:szCs w:val="16"/>
              </w:rPr>
              <w:t>2014 : 45%</w:t>
            </w:r>
          </w:p>
          <w:p w:rsidR="005709DD" w:rsidRPr="003463CF" w:rsidRDefault="005709DD" w:rsidP="00927E1F">
            <w:pPr>
              <w:rPr>
                <w:sz w:val="16"/>
                <w:szCs w:val="16"/>
              </w:rPr>
            </w:pPr>
          </w:p>
          <w:p w:rsidR="005709DD" w:rsidRPr="003463CF" w:rsidRDefault="005709DD" w:rsidP="00927E1F">
            <w:pPr>
              <w:rPr>
                <w:sz w:val="16"/>
                <w:szCs w:val="16"/>
              </w:rPr>
            </w:pPr>
          </w:p>
          <w:p w:rsidR="005709DD" w:rsidRPr="003463CF" w:rsidRDefault="005709DD" w:rsidP="00927E1F">
            <w:pPr>
              <w:rPr>
                <w:sz w:val="16"/>
                <w:szCs w:val="16"/>
                <w:lang w:bidi="th-TH"/>
              </w:rPr>
            </w:pPr>
            <w:r w:rsidRPr="003463CF">
              <w:rPr>
                <w:sz w:val="16"/>
                <w:szCs w:val="16"/>
              </w:rPr>
              <w:t>2015 : 57%</w:t>
            </w:r>
          </w:p>
        </w:tc>
        <w:tc>
          <w:tcPr>
            <w:tcW w:w="529" w:type="pct"/>
            <w:shd w:val="clear" w:color="auto" w:fill="auto"/>
            <w:tcMar>
              <w:top w:w="110" w:type="dxa"/>
            </w:tcMar>
          </w:tcPr>
          <w:p w:rsidR="005709DD" w:rsidRPr="003463CF" w:rsidRDefault="005709DD" w:rsidP="00927E1F">
            <w:pPr>
              <w:keepNext/>
              <w:keepLines/>
              <w:jc w:val="center"/>
              <w:rPr>
                <w:b/>
                <w:color w:val="FF0000"/>
                <w:sz w:val="16"/>
                <w:szCs w:val="16"/>
              </w:rPr>
            </w:pPr>
            <w:r w:rsidRPr="003463CF">
              <w:rPr>
                <w:rFonts w:cs="Arial"/>
                <w:b/>
                <w:color w:val="FF0000"/>
                <w:sz w:val="16"/>
                <w:szCs w:val="16"/>
              </w:rPr>
              <w:t>Objectif pas atteint</w:t>
            </w:r>
          </w:p>
          <w:p w:rsidR="005709DD" w:rsidRPr="003463CF" w:rsidRDefault="005709DD" w:rsidP="00927E1F">
            <w:pPr>
              <w:keepNext/>
              <w:keepLines/>
              <w:jc w:val="center"/>
              <w:rPr>
                <w:b/>
                <w:color w:val="FF0000"/>
                <w:sz w:val="16"/>
                <w:szCs w:val="16"/>
              </w:rPr>
            </w:pPr>
          </w:p>
          <w:p w:rsidR="005709DD" w:rsidRPr="003463CF" w:rsidRDefault="005709DD" w:rsidP="00927E1F">
            <w:pPr>
              <w:keepNext/>
              <w:keepLines/>
              <w:jc w:val="center"/>
              <w:rPr>
                <w:b/>
                <w:bCs/>
                <w:color w:val="FF0000"/>
                <w:sz w:val="16"/>
                <w:szCs w:val="16"/>
              </w:rPr>
            </w:pPr>
            <w:r w:rsidRPr="003463CF">
              <w:rPr>
                <w:rFonts w:cs="Arial"/>
                <w:b/>
                <w:bCs/>
                <w:color w:val="00B050"/>
                <w:sz w:val="16"/>
                <w:szCs w:val="16"/>
              </w:rPr>
              <w:t>Objectif pleinement atteint</w:t>
            </w:r>
          </w:p>
        </w:tc>
      </w:tr>
      <w:tr w:rsidR="005709DD" w:rsidRPr="003463CF" w:rsidTr="005709DD">
        <w:trPr>
          <w:cantSplit/>
        </w:trPr>
        <w:tc>
          <w:tcPr>
            <w:tcW w:w="1329" w:type="pct"/>
            <w:shd w:val="clear" w:color="auto" w:fill="auto"/>
          </w:tcPr>
          <w:p w:rsidR="005709DD" w:rsidRPr="003463CF" w:rsidRDefault="005709DD" w:rsidP="00927E1F">
            <w:pPr>
              <w:rPr>
                <w:sz w:val="16"/>
                <w:szCs w:val="16"/>
              </w:rPr>
            </w:pPr>
            <w:r w:rsidRPr="003463CF">
              <w:rPr>
                <w:sz w:val="16"/>
                <w:szCs w:val="16"/>
              </w:rPr>
              <w:t>Pourcentage de dépenses soumises à effet de levier de l’ONU (appels d’offres communs ou portage)</w:t>
            </w:r>
          </w:p>
        </w:tc>
        <w:tc>
          <w:tcPr>
            <w:tcW w:w="1145" w:type="pct"/>
            <w:shd w:val="clear" w:color="auto" w:fill="auto"/>
          </w:tcPr>
          <w:p w:rsidR="005709DD" w:rsidRPr="003463CF" w:rsidRDefault="005709DD" w:rsidP="00927E1F">
            <w:pPr>
              <w:rPr>
                <w:color w:val="002060"/>
                <w:sz w:val="16"/>
                <w:szCs w:val="16"/>
              </w:rPr>
            </w:pPr>
            <w:r w:rsidRPr="003463CF">
              <w:rPr>
                <w:i/>
                <w:color w:val="002060"/>
                <w:sz w:val="16"/>
                <w:szCs w:val="16"/>
              </w:rPr>
              <w:t xml:space="preserve">Niveau de référence actualisé à fin 2013 : </w:t>
            </w:r>
            <w:r w:rsidRPr="003463CF">
              <w:rPr>
                <w:color w:val="002060"/>
                <w:sz w:val="16"/>
                <w:szCs w:val="16"/>
              </w:rPr>
              <w:t>4%</w:t>
            </w:r>
          </w:p>
          <w:p w:rsidR="005709DD" w:rsidRPr="003463CF" w:rsidRDefault="005709DD" w:rsidP="00927E1F">
            <w:pPr>
              <w:rPr>
                <w:i/>
                <w:sz w:val="16"/>
                <w:szCs w:val="16"/>
              </w:rPr>
            </w:pPr>
          </w:p>
          <w:p w:rsidR="005709DD" w:rsidRPr="003463CF" w:rsidRDefault="005709DD" w:rsidP="00927E1F">
            <w:pPr>
              <w:rPr>
                <w:sz w:val="16"/>
                <w:szCs w:val="16"/>
              </w:rPr>
            </w:pPr>
            <w:r w:rsidRPr="003463CF">
              <w:rPr>
                <w:i/>
                <w:sz w:val="16"/>
                <w:szCs w:val="16"/>
              </w:rPr>
              <w:t>Niveau de référence initial dans le programme et budget 2014</w:t>
            </w:r>
            <w:r w:rsidRPr="003463CF">
              <w:rPr>
                <w:i/>
                <w:sz w:val="16"/>
                <w:szCs w:val="16"/>
              </w:rPr>
              <w:noBreakHyphen/>
              <w:t xml:space="preserve">2015 : </w:t>
            </w:r>
            <w:r w:rsidRPr="003463CF">
              <w:rPr>
                <w:sz w:val="16"/>
                <w:szCs w:val="16"/>
              </w:rPr>
              <w:t>Résultats 2013</w:t>
            </w:r>
          </w:p>
        </w:tc>
        <w:tc>
          <w:tcPr>
            <w:tcW w:w="1113" w:type="pct"/>
            <w:shd w:val="clear" w:color="auto" w:fill="auto"/>
            <w:tcMar>
              <w:top w:w="110" w:type="dxa"/>
            </w:tcMar>
          </w:tcPr>
          <w:p w:rsidR="005709DD" w:rsidRPr="003463CF" w:rsidRDefault="005709DD" w:rsidP="00927E1F">
            <w:pPr>
              <w:rPr>
                <w:color w:val="002060"/>
                <w:sz w:val="16"/>
                <w:szCs w:val="16"/>
              </w:rPr>
            </w:pPr>
            <w:r w:rsidRPr="003463CF">
              <w:rPr>
                <w:color w:val="002060"/>
                <w:sz w:val="16"/>
                <w:szCs w:val="16"/>
              </w:rPr>
              <w:t>Objectif défini : 4%</w:t>
            </w:r>
          </w:p>
          <w:p w:rsidR="005709DD" w:rsidRPr="003463CF" w:rsidRDefault="005709DD" w:rsidP="00927E1F">
            <w:pPr>
              <w:rPr>
                <w:sz w:val="16"/>
                <w:szCs w:val="16"/>
              </w:rPr>
            </w:pPr>
          </w:p>
          <w:p w:rsidR="005709DD" w:rsidRPr="003463CF" w:rsidRDefault="005709DD" w:rsidP="00927E1F">
            <w:pPr>
              <w:rPr>
                <w:sz w:val="16"/>
                <w:szCs w:val="16"/>
              </w:rPr>
            </w:pPr>
            <w:r>
              <w:rPr>
                <w:sz w:val="16"/>
                <w:szCs w:val="16"/>
              </w:rPr>
              <w:t>Niveau de référence initial p</w:t>
            </w:r>
            <w:r w:rsidRPr="003463CF">
              <w:rPr>
                <w:sz w:val="16"/>
                <w:szCs w:val="16"/>
              </w:rPr>
              <w:t>rogramme et budget 2014</w:t>
            </w:r>
            <w:r w:rsidRPr="003463CF">
              <w:rPr>
                <w:sz w:val="16"/>
                <w:szCs w:val="16"/>
              </w:rPr>
              <w:noBreakHyphen/>
              <w:t>2015 : à déterminer</w:t>
            </w:r>
          </w:p>
        </w:tc>
        <w:tc>
          <w:tcPr>
            <w:tcW w:w="884" w:type="pct"/>
            <w:shd w:val="clear" w:color="auto" w:fill="FFFFFF"/>
            <w:tcMar>
              <w:top w:w="110" w:type="dxa"/>
            </w:tcMar>
          </w:tcPr>
          <w:p w:rsidR="005709DD" w:rsidRPr="003463CF" w:rsidRDefault="005709DD" w:rsidP="00927E1F">
            <w:pPr>
              <w:rPr>
                <w:sz w:val="16"/>
                <w:szCs w:val="16"/>
              </w:rPr>
            </w:pPr>
            <w:r w:rsidRPr="003463CF">
              <w:rPr>
                <w:sz w:val="16"/>
                <w:szCs w:val="16"/>
              </w:rPr>
              <w:t>2014 : 4,15%</w:t>
            </w:r>
          </w:p>
          <w:p w:rsidR="005709DD" w:rsidRPr="003463CF" w:rsidRDefault="005709DD" w:rsidP="00927E1F">
            <w:pPr>
              <w:rPr>
                <w:sz w:val="16"/>
                <w:szCs w:val="16"/>
              </w:rPr>
            </w:pPr>
          </w:p>
          <w:p w:rsidR="005709DD" w:rsidRPr="003463CF" w:rsidRDefault="005709DD" w:rsidP="00927E1F">
            <w:pPr>
              <w:rPr>
                <w:sz w:val="16"/>
                <w:szCs w:val="16"/>
                <w:lang w:bidi="th-TH"/>
              </w:rPr>
            </w:pPr>
            <w:r w:rsidRPr="003463CF">
              <w:rPr>
                <w:sz w:val="16"/>
                <w:szCs w:val="16"/>
              </w:rPr>
              <w:t>2015 : 5,8%</w:t>
            </w:r>
          </w:p>
        </w:tc>
        <w:tc>
          <w:tcPr>
            <w:tcW w:w="529" w:type="pct"/>
            <w:shd w:val="clear" w:color="auto" w:fill="auto"/>
          </w:tcPr>
          <w:p w:rsidR="005709DD" w:rsidRPr="003463CF" w:rsidRDefault="005709DD" w:rsidP="00927E1F">
            <w:pPr>
              <w:keepNext/>
              <w:keepLines/>
              <w:jc w:val="center"/>
              <w:rPr>
                <w:b/>
                <w:bCs/>
                <w:color w:val="22DE4F"/>
                <w:sz w:val="16"/>
                <w:szCs w:val="16"/>
              </w:rPr>
            </w:pPr>
            <w:r w:rsidRPr="003463CF">
              <w:rPr>
                <w:rFonts w:cs="Arial"/>
                <w:b/>
                <w:bCs/>
                <w:color w:val="00B050"/>
                <w:sz w:val="16"/>
                <w:szCs w:val="16"/>
              </w:rPr>
              <w:t>Objectif pleinement atteint</w:t>
            </w:r>
          </w:p>
        </w:tc>
      </w:tr>
      <w:tr w:rsidR="005709DD" w:rsidRPr="003463CF" w:rsidTr="005709DD">
        <w:trPr>
          <w:cantSplit/>
        </w:trPr>
        <w:tc>
          <w:tcPr>
            <w:tcW w:w="5000" w:type="pct"/>
            <w:gridSpan w:val="5"/>
            <w:tcBorders>
              <w:top w:val="single" w:sz="4" w:space="0" w:color="auto"/>
              <w:bottom w:val="single" w:sz="4" w:space="0" w:color="auto"/>
            </w:tcBorders>
            <w:shd w:val="clear" w:color="auto" w:fill="C5D9F1"/>
            <w:vAlign w:val="center"/>
          </w:tcPr>
          <w:p w:rsidR="005709DD" w:rsidRPr="003463CF" w:rsidRDefault="005709DD" w:rsidP="00927E1F">
            <w:pPr>
              <w:keepNext/>
              <w:rPr>
                <w:b/>
                <w:bCs/>
                <w:sz w:val="16"/>
                <w:szCs w:val="16"/>
              </w:rPr>
            </w:pPr>
            <w:r w:rsidRPr="003463CF">
              <w:rPr>
                <w:b/>
                <w:sz w:val="16"/>
                <w:szCs w:val="16"/>
              </w:rPr>
              <w:t xml:space="preserve">Résultat escompté : </w:t>
            </w:r>
            <w:r w:rsidRPr="003463CF">
              <w:rPr>
                <w:sz w:val="16"/>
                <w:szCs w:val="16"/>
              </w:rPr>
              <w:t>IX.1 Services d’appui efficaces, efficients, de qualité et tournés vers la clientèle, à l’intention à la fois des clients internes et des parties prenantes externes</w:t>
            </w:r>
          </w:p>
        </w:tc>
      </w:tr>
      <w:tr w:rsidR="005709DD" w:rsidRPr="003463CF" w:rsidTr="005709DD">
        <w:trPr>
          <w:cantSplit/>
        </w:trPr>
        <w:tc>
          <w:tcPr>
            <w:tcW w:w="1329" w:type="pct"/>
            <w:tcBorders>
              <w:top w:val="single" w:sz="4" w:space="0" w:color="auto"/>
            </w:tcBorders>
            <w:shd w:val="clear" w:color="auto" w:fill="auto"/>
            <w:vAlign w:val="center"/>
          </w:tcPr>
          <w:p w:rsidR="005709DD" w:rsidRPr="003463CF" w:rsidRDefault="005709DD" w:rsidP="00927E1F">
            <w:pPr>
              <w:keepNext/>
              <w:jc w:val="center"/>
              <w:rPr>
                <w:sz w:val="16"/>
                <w:szCs w:val="16"/>
              </w:rPr>
            </w:pPr>
            <w:r w:rsidRPr="003463CF">
              <w:rPr>
                <w:b/>
                <w:sz w:val="16"/>
                <w:szCs w:val="16"/>
              </w:rPr>
              <w:t>Indicateurs d’exécution</w:t>
            </w:r>
          </w:p>
        </w:tc>
        <w:tc>
          <w:tcPr>
            <w:tcW w:w="1145" w:type="pct"/>
            <w:tcBorders>
              <w:top w:val="single" w:sz="4" w:space="0" w:color="auto"/>
            </w:tcBorders>
            <w:shd w:val="clear" w:color="auto" w:fill="auto"/>
            <w:vAlign w:val="center"/>
          </w:tcPr>
          <w:p w:rsidR="005709DD" w:rsidRPr="003463CF" w:rsidRDefault="005709DD" w:rsidP="00927E1F">
            <w:pPr>
              <w:keepNext/>
              <w:keepLines/>
              <w:jc w:val="center"/>
              <w:rPr>
                <w:b/>
                <w:bCs/>
                <w:sz w:val="16"/>
                <w:szCs w:val="16"/>
              </w:rPr>
            </w:pPr>
            <w:r w:rsidRPr="003463CF">
              <w:rPr>
                <w:b/>
                <w:sz w:val="16"/>
                <w:szCs w:val="16"/>
              </w:rPr>
              <w:t>Niveaux de référence</w:t>
            </w:r>
          </w:p>
        </w:tc>
        <w:tc>
          <w:tcPr>
            <w:tcW w:w="1113" w:type="pct"/>
            <w:tcBorders>
              <w:top w:val="single" w:sz="4" w:space="0" w:color="auto"/>
            </w:tcBorders>
            <w:shd w:val="clear" w:color="auto" w:fill="auto"/>
            <w:tcMar>
              <w:top w:w="110" w:type="dxa"/>
            </w:tcMar>
            <w:vAlign w:val="center"/>
          </w:tcPr>
          <w:p w:rsidR="005709DD" w:rsidRPr="003463CF" w:rsidRDefault="005709DD" w:rsidP="00927E1F">
            <w:pPr>
              <w:keepNext/>
              <w:keepLines/>
              <w:jc w:val="center"/>
              <w:rPr>
                <w:b/>
                <w:sz w:val="16"/>
                <w:szCs w:val="16"/>
              </w:rPr>
            </w:pPr>
            <w:r w:rsidRPr="003463CF">
              <w:rPr>
                <w:b/>
                <w:sz w:val="16"/>
                <w:szCs w:val="16"/>
              </w:rPr>
              <w:t>Objectifs visés</w:t>
            </w:r>
          </w:p>
        </w:tc>
        <w:tc>
          <w:tcPr>
            <w:tcW w:w="884" w:type="pct"/>
            <w:tcBorders>
              <w:top w:val="single" w:sz="4" w:space="0" w:color="auto"/>
            </w:tcBorders>
            <w:shd w:val="clear" w:color="auto" w:fill="FFFFFF"/>
            <w:tcMar>
              <w:top w:w="110" w:type="dxa"/>
            </w:tcMar>
            <w:vAlign w:val="center"/>
          </w:tcPr>
          <w:p w:rsidR="005709DD" w:rsidRPr="003463CF" w:rsidRDefault="005709DD" w:rsidP="00927E1F">
            <w:pPr>
              <w:keepNext/>
              <w:keepLines/>
              <w:jc w:val="center"/>
              <w:rPr>
                <w:sz w:val="16"/>
                <w:szCs w:val="16"/>
              </w:rPr>
            </w:pPr>
            <w:r w:rsidRPr="003463CF">
              <w:rPr>
                <w:b/>
                <w:sz w:val="16"/>
                <w:szCs w:val="16"/>
              </w:rPr>
              <w:t>Données relatives à l’exécution</w:t>
            </w:r>
          </w:p>
        </w:tc>
        <w:tc>
          <w:tcPr>
            <w:tcW w:w="529" w:type="pct"/>
            <w:tcBorders>
              <w:top w:val="single" w:sz="4" w:space="0" w:color="auto"/>
            </w:tcBorders>
            <w:shd w:val="clear" w:color="auto" w:fill="auto"/>
            <w:tcMar>
              <w:top w:w="110" w:type="dxa"/>
            </w:tcMar>
            <w:vAlign w:val="center"/>
          </w:tcPr>
          <w:p w:rsidR="005709DD" w:rsidRPr="003463CF" w:rsidRDefault="005709DD" w:rsidP="00927E1F">
            <w:pPr>
              <w:keepNext/>
              <w:keepLines/>
              <w:jc w:val="center"/>
              <w:rPr>
                <w:b/>
                <w:bCs/>
                <w:sz w:val="16"/>
                <w:szCs w:val="16"/>
              </w:rPr>
            </w:pPr>
            <w:r w:rsidRPr="003463CF">
              <w:rPr>
                <w:b/>
                <w:sz w:val="16"/>
                <w:szCs w:val="16"/>
              </w:rPr>
              <w:t>Code de couleurs</w:t>
            </w:r>
          </w:p>
        </w:tc>
      </w:tr>
      <w:tr w:rsidR="005709DD" w:rsidRPr="003463CF" w:rsidTr="005709DD">
        <w:trPr>
          <w:cantSplit/>
        </w:trPr>
        <w:tc>
          <w:tcPr>
            <w:tcW w:w="1329" w:type="pct"/>
            <w:shd w:val="clear" w:color="auto" w:fill="auto"/>
          </w:tcPr>
          <w:p w:rsidR="005709DD" w:rsidRPr="003463CF" w:rsidRDefault="005709DD" w:rsidP="00927E1F">
            <w:pPr>
              <w:keepNext/>
              <w:keepLines/>
              <w:rPr>
                <w:sz w:val="16"/>
                <w:szCs w:val="16"/>
              </w:rPr>
            </w:pPr>
            <w:r w:rsidRPr="003463CF">
              <w:rPr>
                <w:sz w:val="16"/>
                <w:szCs w:val="16"/>
              </w:rPr>
              <w:t>Économies sur les achats de biens et de services effectués par l’OMPI (par suite d’invitations à soumissionner ou de négociations directes)</w:t>
            </w:r>
          </w:p>
        </w:tc>
        <w:tc>
          <w:tcPr>
            <w:tcW w:w="1145" w:type="pct"/>
            <w:shd w:val="clear" w:color="auto" w:fill="auto"/>
          </w:tcPr>
          <w:p w:rsidR="005709DD" w:rsidRPr="003463CF" w:rsidRDefault="005709DD" w:rsidP="00927E1F">
            <w:pPr>
              <w:keepNext/>
              <w:keepLines/>
              <w:rPr>
                <w:color w:val="002060"/>
                <w:sz w:val="16"/>
                <w:szCs w:val="16"/>
              </w:rPr>
            </w:pPr>
            <w:r w:rsidRPr="003463CF">
              <w:rPr>
                <w:i/>
                <w:color w:val="002060"/>
                <w:sz w:val="16"/>
                <w:szCs w:val="16"/>
              </w:rPr>
              <w:t>Niveau de référence actualisé fin 2013 :</w:t>
            </w:r>
            <w:r w:rsidRPr="003463CF">
              <w:rPr>
                <w:sz w:val="16"/>
                <w:szCs w:val="16"/>
              </w:rPr>
              <w:t xml:space="preserve"> </w:t>
            </w:r>
            <w:r w:rsidRPr="003463CF">
              <w:rPr>
                <w:color w:val="002060"/>
                <w:sz w:val="16"/>
                <w:szCs w:val="16"/>
              </w:rPr>
              <w:t>531 000 francs suisses</w:t>
            </w:r>
          </w:p>
          <w:p w:rsidR="005709DD" w:rsidRPr="003463CF" w:rsidRDefault="005709DD" w:rsidP="00927E1F">
            <w:pPr>
              <w:keepNext/>
              <w:keepLines/>
              <w:rPr>
                <w:color w:val="002060"/>
                <w:sz w:val="16"/>
                <w:szCs w:val="16"/>
              </w:rPr>
            </w:pPr>
          </w:p>
          <w:p w:rsidR="005709DD" w:rsidRPr="003463CF" w:rsidRDefault="005709DD" w:rsidP="00927E1F">
            <w:pPr>
              <w:keepNext/>
              <w:keepLines/>
              <w:rPr>
                <w:sz w:val="16"/>
                <w:szCs w:val="16"/>
              </w:rPr>
            </w:pPr>
            <w:r>
              <w:rPr>
                <w:i/>
                <w:sz w:val="16"/>
                <w:szCs w:val="16"/>
              </w:rPr>
              <w:t>Niveau de référence initial dans le p</w:t>
            </w:r>
            <w:r w:rsidRPr="003463CF">
              <w:rPr>
                <w:i/>
                <w:sz w:val="16"/>
                <w:szCs w:val="16"/>
              </w:rPr>
              <w:t>rogramme et budget 2014</w:t>
            </w:r>
            <w:r w:rsidRPr="003463CF">
              <w:rPr>
                <w:i/>
                <w:sz w:val="16"/>
                <w:szCs w:val="16"/>
              </w:rPr>
              <w:noBreakHyphen/>
              <w:t>2015 :</w:t>
            </w:r>
            <w:r>
              <w:rPr>
                <w:sz w:val="16"/>
                <w:szCs w:val="16"/>
              </w:rPr>
              <w:t xml:space="preserve"> r</w:t>
            </w:r>
            <w:r w:rsidRPr="003463CF">
              <w:rPr>
                <w:sz w:val="16"/>
                <w:szCs w:val="16"/>
              </w:rPr>
              <w:t>ésultats 2013</w:t>
            </w:r>
          </w:p>
        </w:tc>
        <w:tc>
          <w:tcPr>
            <w:tcW w:w="1113" w:type="pct"/>
            <w:shd w:val="clear" w:color="auto" w:fill="auto"/>
            <w:tcMar>
              <w:top w:w="110" w:type="dxa"/>
            </w:tcMar>
          </w:tcPr>
          <w:p w:rsidR="005709DD" w:rsidRPr="003463CF" w:rsidRDefault="005709DD" w:rsidP="00927E1F">
            <w:pPr>
              <w:keepNext/>
              <w:keepLines/>
              <w:rPr>
                <w:sz w:val="16"/>
                <w:szCs w:val="16"/>
              </w:rPr>
            </w:pPr>
            <w:r w:rsidRPr="003463CF">
              <w:rPr>
                <w:sz w:val="16"/>
                <w:szCs w:val="16"/>
              </w:rPr>
              <w:t>2013 + 5%</w:t>
            </w:r>
          </w:p>
        </w:tc>
        <w:tc>
          <w:tcPr>
            <w:tcW w:w="884" w:type="pct"/>
            <w:shd w:val="clear" w:color="auto" w:fill="FFFFFF"/>
            <w:tcMar>
              <w:top w:w="110" w:type="dxa"/>
            </w:tcMar>
          </w:tcPr>
          <w:p w:rsidR="005709DD" w:rsidRPr="003463CF" w:rsidRDefault="005709DD" w:rsidP="00927E1F">
            <w:pPr>
              <w:keepNext/>
              <w:keepLines/>
              <w:rPr>
                <w:sz w:val="16"/>
                <w:szCs w:val="16"/>
              </w:rPr>
            </w:pPr>
            <w:r w:rsidRPr="003463CF">
              <w:rPr>
                <w:sz w:val="16"/>
                <w:szCs w:val="16"/>
              </w:rPr>
              <w:t>2 663 000 francs suisses (2014)</w:t>
            </w:r>
          </w:p>
          <w:p w:rsidR="005709DD" w:rsidRPr="003463CF" w:rsidRDefault="005709DD" w:rsidP="00927E1F">
            <w:pPr>
              <w:keepNext/>
              <w:keepLines/>
              <w:rPr>
                <w:sz w:val="16"/>
                <w:szCs w:val="16"/>
              </w:rPr>
            </w:pPr>
          </w:p>
          <w:p w:rsidR="005709DD" w:rsidRPr="003463CF" w:rsidRDefault="005709DD" w:rsidP="00927E1F">
            <w:pPr>
              <w:keepNext/>
              <w:keepLines/>
              <w:rPr>
                <w:sz w:val="16"/>
                <w:szCs w:val="16"/>
                <w:lang w:bidi="th-TH"/>
              </w:rPr>
            </w:pPr>
            <w:r w:rsidRPr="003463CF">
              <w:rPr>
                <w:sz w:val="16"/>
                <w:szCs w:val="16"/>
              </w:rPr>
              <w:t>3 826 361 francs suisses (2015)</w:t>
            </w:r>
          </w:p>
        </w:tc>
        <w:tc>
          <w:tcPr>
            <w:tcW w:w="529" w:type="pct"/>
            <w:shd w:val="clear" w:color="auto" w:fill="auto"/>
            <w:tcMar>
              <w:top w:w="110" w:type="dxa"/>
            </w:tcMar>
          </w:tcPr>
          <w:p w:rsidR="005709DD" w:rsidRPr="003463CF" w:rsidRDefault="005709DD" w:rsidP="00927E1F">
            <w:pPr>
              <w:keepNext/>
              <w:keepLines/>
              <w:jc w:val="center"/>
              <w:rPr>
                <w:bCs/>
                <w:color w:val="808080"/>
                <w:sz w:val="16"/>
                <w:szCs w:val="16"/>
              </w:rPr>
            </w:pPr>
            <w:r w:rsidRPr="003463CF">
              <w:rPr>
                <w:rFonts w:cs="Arial"/>
                <w:b/>
                <w:bCs/>
                <w:color w:val="00B050"/>
                <w:sz w:val="16"/>
                <w:szCs w:val="16"/>
              </w:rPr>
              <w:t>Objectif pleinement atteint</w:t>
            </w:r>
          </w:p>
        </w:tc>
      </w:tr>
      <w:tr w:rsidR="005709DD" w:rsidRPr="003463CF" w:rsidTr="005709DD">
        <w:trPr>
          <w:cantSplit/>
        </w:trPr>
        <w:tc>
          <w:tcPr>
            <w:tcW w:w="1329" w:type="pct"/>
            <w:shd w:val="clear" w:color="auto" w:fill="auto"/>
          </w:tcPr>
          <w:p w:rsidR="005709DD" w:rsidRPr="003463CF" w:rsidRDefault="005709DD" w:rsidP="00927E1F">
            <w:pPr>
              <w:rPr>
                <w:sz w:val="16"/>
                <w:szCs w:val="16"/>
              </w:rPr>
            </w:pPr>
            <w:r w:rsidRPr="003463CF">
              <w:rPr>
                <w:sz w:val="16"/>
                <w:szCs w:val="16"/>
              </w:rPr>
              <w:t>Pourcentage de clients internes satisfaits des services d’achat</w:t>
            </w:r>
          </w:p>
        </w:tc>
        <w:tc>
          <w:tcPr>
            <w:tcW w:w="1145" w:type="pct"/>
            <w:shd w:val="clear" w:color="auto" w:fill="auto"/>
          </w:tcPr>
          <w:p w:rsidR="005709DD" w:rsidRPr="003463CF" w:rsidRDefault="005709DD" w:rsidP="00927E1F">
            <w:pPr>
              <w:rPr>
                <w:color w:val="002060"/>
                <w:sz w:val="16"/>
                <w:szCs w:val="16"/>
              </w:rPr>
            </w:pPr>
            <w:r w:rsidRPr="003463CF">
              <w:rPr>
                <w:i/>
                <w:color w:val="002060"/>
                <w:sz w:val="16"/>
                <w:szCs w:val="16"/>
              </w:rPr>
              <w:t xml:space="preserve">Niveau de référence actualisé fin 2013 : </w:t>
            </w:r>
            <w:r w:rsidRPr="003463CF">
              <w:rPr>
                <w:color w:val="002060"/>
                <w:sz w:val="16"/>
                <w:szCs w:val="16"/>
              </w:rPr>
              <w:t>73%</w:t>
            </w:r>
          </w:p>
          <w:p w:rsidR="005709DD" w:rsidRPr="003463CF" w:rsidRDefault="005709DD" w:rsidP="00927E1F">
            <w:pPr>
              <w:rPr>
                <w:color w:val="002060"/>
                <w:sz w:val="16"/>
                <w:szCs w:val="16"/>
              </w:rPr>
            </w:pPr>
          </w:p>
          <w:p w:rsidR="005709DD" w:rsidRPr="003463CF" w:rsidRDefault="005709DD" w:rsidP="00927E1F">
            <w:pPr>
              <w:rPr>
                <w:sz w:val="16"/>
                <w:szCs w:val="16"/>
              </w:rPr>
            </w:pPr>
            <w:r>
              <w:rPr>
                <w:i/>
                <w:sz w:val="16"/>
                <w:szCs w:val="16"/>
              </w:rPr>
              <w:t>Niveau de référence initial dans le p</w:t>
            </w:r>
            <w:r w:rsidRPr="003463CF">
              <w:rPr>
                <w:i/>
                <w:sz w:val="16"/>
                <w:szCs w:val="16"/>
              </w:rPr>
              <w:t>rogramme et budget 2014</w:t>
            </w:r>
            <w:r w:rsidRPr="003463CF">
              <w:rPr>
                <w:i/>
                <w:sz w:val="16"/>
                <w:szCs w:val="16"/>
              </w:rPr>
              <w:noBreakHyphen/>
              <w:t xml:space="preserve">2015 : </w:t>
            </w:r>
            <w:r>
              <w:rPr>
                <w:sz w:val="16"/>
                <w:szCs w:val="16"/>
              </w:rPr>
              <w:t>r</w:t>
            </w:r>
            <w:r w:rsidRPr="003463CF">
              <w:rPr>
                <w:sz w:val="16"/>
                <w:szCs w:val="16"/>
              </w:rPr>
              <w:t>ésultats 2012</w:t>
            </w:r>
          </w:p>
        </w:tc>
        <w:tc>
          <w:tcPr>
            <w:tcW w:w="1113" w:type="pct"/>
            <w:shd w:val="clear" w:color="auto" w:fill="auto"/>
            <w:tcMar>
              <w:top w:w="110" w:type="dxa"/>
            </w:tcMar>
          </w:tcPr>
          <w:p w:rsidR="005709DD" w:rsidRPr="003463CF" w:rsidRDefault="005709DD" w:rsidP="00927E1F">
            <w:pPr>
              <w:rPr>
                <w:sz w:val="16"/>
                <w:szCs w:val="16"/>
              </w:rPr>
            </w:pPr>
            <w:r w:rsidRPr="003463CF">
              <w:rPr>
                <w:sz w:val="16"/>
                <w:szCs w:val="16"/>
              </w:rPr>
              <w:t>2012 + 5%</w:t>
            </w:r>
          </w:p>
        </w:tc>
        <w:tc>
          <w:tcPr>
            <w:tcW w:w="884" w:type="pct"/>
            <w:shd w:val="clear" w:color="auto" w:fill="FFFFFF"/>
            <w:tcMar>
              <w:top w:w="110" w:type="dxa"/>
            </w:tcMar>
          </w:tcPr>
          <w:p w:rsidR="005709DD" w:rsidRPr="003463CF" w:rsidRDefault="005709DD" w:rsidP="00927E1F">
            <w:pPr>
              <w:rPr>
                <w:sz w:val="16"/>
                <w:szCs w:val="16"/>
                <w:lang w:bidi="th-TH"/>
              </w:rPr>
            </w:pPr>
            <w:r w:rsidRPr="003463CF">
              <w:rPr>
                <w:sz w:val="16"/>
                <w:szCs w:val="16"/>
              </w:rPr>
              <w:t>89%</w:t>
            </w:r>
          </w:p>
        </w:tc>
        <w:tc>
          <w:tcPr>
            <w:tcW w:w="529" w:type="pct"/>
            <w:shd w:val="clear" w:color="auto" w:fill="auto"/>
            <w:tcMar>
              <w:top w:w="110" w:type="dxa"/>
            </w:tcMar>
          </w:tcPr>
          <w:p w:rsidR="005709DD" w:rsidRPr="003463CF" w:rsidRDefault="005709DD" w:rsidP="00927E1F">
            <w:pPr>
              <w:keepNext/>
              <w:keepLines/>
              <w:jc w:val="center"/>
              <w:rPr>
                <w:bCs/>
                <w:color w:val="FF0000"/>
                <w:sz w:val="16"/>
                <w:szCs w:val="16"/>
              </w:rPr>
            </w:pPr>
            <w:r w:rsidRPr="003463CF">
              <w:rPr>
                <w:rFonts w:cs="Arial"/>
                <w:b/>
                <w:bCs/>
                <w:color w:val="00B050"/>
                <w:sz w:val="16"/>
                <w:szCs w:val="16"/>
              </w:rPr>
              <w:t>Objectif pleinement atteint</w:t>
            </w:r>
          </w:p>
        </w:tc>
      </w:tr>
      <w:tr w:rsidR="005709DD" w:rsidRPr="003463CF" w:rsidTr="005709DD">
        <w:trPr>
          <w:cantSplit/>
        </w:trPr>
        <w:tc>
          <w:tcPr>
            <w:tcW w:w="1329" w:type="pct"/>
            <w:shd w:val="clear" w:color="auto" w:fill="auto"/>
          </w:tcPr>
          <w:p w:rsidR="005709DD" w:rsidRPr="003463CF" w:rsidRDefault="005709DD" w:rsidP="005709DD">
            <w:pPr>
              <w:rPr>
                <w:sz w:val="16"/>
                <w:szCs w:val="16"/>
              </w:rPr>
            </w:pPr>
            <w:r w:rsidRPr="003463CF">
              <w:rPr>
                <w:sz w:val="16"/>
                <w:szCs w:val="16"/>
              </w:rPr>
              <w:lastRenderedPageBreak/>
              <w:t>Temps de traitement des autorisations de voyage électroniques, des demandes électroniques de manifestation et des visas</w:t>
            </w:r>
          </w:p>
        </w:tc>
        <w:tc>
          <w:tcPr>
            <w:tcW w:w="1145" w:type="pct"/>
            <w:shd w:val="clear" w:color="auto" w:fill="auto"/>
          </w:tcPr>
          <w:p w:rsidR="005709DD" w:rsidRPr="003463CF" w:rsidRDefault="005709DD" w:rsidP="005709DD">
            <w:pPr>
              <w:rPr>
                <w:sz w:val="16"/>
                <w:szCs w:val="16"/>
              </w:rPr>
            </w:pPr>
            <w:r w:rsidRPr="003463CF">
              <w:rPr>
                <w:sz w:val="16"/>
                <w:szCs w:val="16"/>
              </w:rPr>
              <w:t>Temps de traitement des demandes de voyage :</w:t>
            </w:r>
          </w:p>
          <w:p w:rsidR="005709DD" w:rsidRPr="003463CF" w:rsidRDefault="005709DD" w:rsidP="005709DD">
            <w:pPr>
              <w:rPr>
                <w:sz w:val="16"/>
                <w:szCs w:val="16"/>
              </w:rPr>
            </w:pPr>
            <w:r w:rsidRPr="003463CF">
              <w:rPr>
                <w:sz w:val="16"/>
                <w:szCs w:val="16"/>
              </w:rPr>
              <w:t>Autorisations de voyage électroniques = 1 jour</w:t>
            </w:r>
          </w:p>
          <w:p w:rsidR="005709DD" w:rsidRPr="003463CF" w:rsidRDefault="005709DD" w:rsidP="005709DD">
            <w:pPr>
              <w:rPr>
                <w:sz w:val="16"/>
                <w:szCs w:val="16"/>
              </w:rPr>
            </w:pPr>
            <w:r w:rsidRPr="003463CF">
              <w:rPr>
                <w:sz w:val="16"/>
                <w:szCs w:val="16"/>
              </w:rPr>
              <w:t>Demandes électroniques de manifestation = 2 heures</w:t>
            </w:r>
          </w:p>
          <w:p w:rsidR="005709DD" w:rsidRPr="003463CF" w:rsidRDefault="005709DD" w:rsidP="005709DD">
            <w:pPr>
              <w:rPr>
                <w:i/>
                <w:sz w:val="16"/>
                <w:szCs w:val="16"/>
              </w:rPr>
            </w:pPr>
            <w:r w:rsidRPr="003463CF">
              <w:rPr>
                <w:sz w:val="16"/>
                <w:szCs w:val="16"/>
              </w:rPr>
              <w:t>Visas de tiers = 2 jours (niveau de référence en 2013)</w:t>
            </w:r>
          </w:p>
        </w:tc>
        <w:tc>
          <w:tcPr>
            <w:tcW w:w="1113" w:type="pct"/>
            <w:shd w:val="clear" w:color="auto" w:fill="auto"/>
            <w:tcMar>
              <w:top w:w="110" w:type="dxa"/>
            </w:tcMar>
          </w:tcPr>
          <w:p w:rsidR="005709DD" w:rsidRPr="003463CF" w:rsidRDefault="005709DD" w:rsidP="005709DD">
            <w:pPr>
              <w:rPr>
                <w:sz w:val="16"/>
                <w:szCs w:val="16"/>
              </w:rPr>
            </w:pPr>
            <w:r w:rsidRPr="003463CF">
              <w:rPr>
                <w:sz w:val="16"/>
                <w:szCs w:val="16"/>
              </w:rPr>
              <w:t>Autorisations de voyage électroniques = ½ journée</w:t>
            </w:r>
          </w:p>
          <w:p w:rsidR="005709DD" w:rsidRPr="003463CF" w:rsidRDefault="005709DD" w:rsidP="005709DD">
            <w:pPr>
              <w:rPr>
                <w:sz w:val="16"/>
                <w:szCs w:val="16"/>
              </w:rPr>
            </w:pPr>
            <w:r w:rsidRPr="003463CF">
              <w:rPr>
                <w:sz w:val="16"/>
                <w:szCs w:val="16"/>
              </w:rPr>
              <w:t>Demandes électroniques de manifestation = 1 heure</w:t>
            </w:r>
          </w:p>
          <w:p w:rsidR="005709DD" w:rsidRPr="003463CF" w:rsidRDefault="005709DD" w:rsidP="005709DD">
            <w:pPr>
              <w:rPr>
                <w:sz w:val="16"/>
                <w:szCs w:val="16"/>
              </w:rPr>
            </w:pPr>
            <w:r w:rsidRPr="003463CF">
              <w:rPr>
                <w:sz w:val="16"/>
                <w:szCs w:val="16"/>
              </w:rPr>
              <w:t>Visas = 2 jours</w:t>
            </w:r>
          </w:p>
        </w:tc>
        <w:tc>
          <w:tcPr>
            <w:tcW w:w="884" w:type="pct"/>
            <w:shd w:val="clear" w:color="auto" w:fill="FFFFFF"/>
            <w:tcMar>
              <w:top w:w="110" w:type="dxa"/>
            </w:tcMar>
          </w:tcPr>
          <w:p w:rsidR="005709DD" w:rsidRPr="003463CF" w:rsidRDefault="005709DD" w:rsidP="005709DD">
            <w:pPr>
              <w:rPr>
                <w:sz w:val="16"/>
                <w:szCs w:val="16"/>
                <w:lang w:bidi="th-TH"/>
              </w:rPr>
            </w:pPr>
            <w:r w:rsidRPr="003463CF">
              <w:rPr>
                <w:sz w:val="16"/>
                <w:szCs w:val="16"/>
              </w:rPr>
              <w:t>Autorisations de voyage électroniques = ½ journée</w:t>
            </w:r>
          </w:p>
          <w:p w:rsidR="005709DD" w:rsidRPr="003463CF" w:rsidRDefault="005709DD" w:rsidP="005709DD">
            <w:pPr>
              <w:rPr>
                <w:sz w:val="16"/>
                <w:szCs w:val="16"/>
                <w:lang w:bidi="th-TH"/>
              </w:rPr>
            </w:pPr>
            <w:r w:rsidRPr="003463CF">
              <w:rPr>
                <w:sz w:val="16"/>
                <w:szCs w:val="16"/>
              </w:rPr>
              <w:t>Demandes électroniques de manifestation = &lt; 1 heure</w:t>
            </w:r>
          </w:p>
          <w:p w:rsidR="005709DD" w:rsidRPr="003463CF" w:rsidRDefault="005709DD" w:rsidP="005709DD">
            <w:pPr>
              <w:rPr>
                <w:sz w:val="16"/>
                <w:szCs w:val="16"/>
                <w:lang w:bidi="th-TH"/>
              </w:rPr>
            </w:pPr>
            <w:r w:rsidRPr="003463CF">
              <w:rPr>
                <w:sz w:val="16"/>
                <w:szCs w:val="16"/>
              </w:rPr>
              <w:t>Visa= &lt;1 jour</w:t>
            </w:r>
          </w:p>
        </w:tc>
        <w:tc>
          <w:tcPr>
            <w:tcW w:w="529" w:type="pct"/>
            <w:shd w:val="clear" w:color="auto" w:fill="auto"/>
            <w:tcMar>
              <w:top w:w="110" w:type="dxa"/>
            </w:tcMar>
          </w:tcPr>
          <w:p w:rsidR="005709DD" w:rsidRPr="003463CF" w:rsidRDefault="005709DD" w:rsidP="005709DD">
            <w:pPr>
              <w:jc w:val="center"/>
              <w:rPr>
                <w:bCs/>
                <w:color w:val="FF0000"/>
                <w:sz w:val="16"/>
                <w:szCs w:val="16"/>
              </w:rPr>
            </w:pPr>
            <w:r w:rsidRPr="003463CF">
              <w:rPr>
                <w:rFonts w:cs="Arial"/>
                <w:b/>
                <w:bCs/>
                <w:color w:val="00B050"/>
                <w:sz w:val="16"/>
                <w:szCs w:val="16"/>
              </w:rPr>
              <w:t>Objectif pleinement atteint</w:t>
            </w:r>
          </w:p>
        </w:tc>
      </w:tr>
      <w:tr w:rsidR="005709DD" w:rsidRPr="003463CF" w:rsidTr="005709DD">
        <w:trPr>
          <w:cantSplit/>
        </w:trPr>
        <w:tc>
          <w:tcPr>
            <w:tcW w:w="1329" w:type="pct"/>
            <w:shd w:val="clear" w:color="auto" w:fill="auto"/>
          </w:tcPr>
          <w:p w:rsidR="005709DD" w:rsidRPr="003463CF" w:rsidRDefault="005709DD" w:rsidP="00927E1F">
            <w:pPr>
              <w:rPr>
                <w:sz w:val="16"/>
                <w:szCs w:val="16"/>
              </w:rPr>
            </w:pPr>
            <w:r w:rsidRPr="003463CF">
              <w:rPr>
                <w:sz w:val="16"/>
                <w:szCs w:val="16"/>
              </w:rPr>
              <w:t>Coût moyen du billet (billets TMC et PNUD)</w:t>
            </w:r>
          </w:p>
        </w:tc>
        <w:tc>
          <w:tcPr>
            <w:tcW w:w="1145" w:type="pct"/>
            <w:shd w:val="clear" w:color="auto" w:fill="auto"/>
          </w:tcPr>
          <w:p w:rsidR="005709DD" w:rsidRPr="003463CF" w:rsidRDefault="005709DD" w:rsidP="00927E1F">
            <w:pPr>
              <w:rPr>
                <w:color w:val="002060"/>
                <w:sz w:val="16"/>
                <w:szCs w:val="16"/>
              </w:rPr>
            </w:pPr>
            <w:r w:rsidRPr="003463CF">
              <w:rPr>
                <w:i/>
                <w:color w:val="002060"/>
                <w:sz w:val="16"/>
                <w:szCs w:val="16"/>
              </w:rPr>
              <w:t xml:space="preserve">Niveau de référence actualisé à fin 2013 : </w:t>
            </w:r>
            <w:r w:rsidRPr="003463CF">
              <w:rPr>
                <w:i/>
                <w:color w:val="002060"/>
                <w:sz w:val="16"/>
                <w:szCs w:val="16"/>
              </w:rPr>
              <w:br/>
            </w:r>
            <w:r w:rsidRPr="003463CF">
              <w:rPr>
                <w:color w:val="002060"/>
                <w:sz w:val="16"/>
                <w:szCs w:val="16"/>
              </w:rPr>
              <w:t>2013 = 1728 francs suisses</w:t>
            </w:r>
          </w:p>
          <w:p w:rsidR="005709DD" w:rsidRPr="003463CF" w:rsidRDefault="005709DD" w:rsidP="00927E1F">
            <w:pPr>
              <w:rPr>
                <w:color w:val="002060"/>
                <w:sz w:val="16"/>
                <w:szCs w:val="16"/>
              </w:rPr>
            </w:pPr>
          </w:p>
          <w:p w:rsidR="005709DD" w:rsidRPr="003463CF" w:rsidRDefault="005709DD" w:rsidP="00927E1F">
            <w:pPr>
              <w:rPr>
                <w:sz w:val="16"/>
                <w:szCs w:val="16"/>
              </w:rPr>
            </w:pPr>
            <w:r w:rsidRPr="003463CF">
              <w:rPr>
                <w:i/>
                <w:sz w:val="16"/>
                <w:szCs w:val="16"/>
              </w:rPr>
              <w:t>Niveau de référence initial pour le programme et budget 2014</w:t>
            </w:r>
            <w:r w:rsidRPr="003463CF">
              <w:rPr>
                <w:i/>
                <w:sz w:val="16"/>
                <w:szCs w:val="16"/>
              </w:rPr>
              <w:noBreakHyphen/>
              <w:t>2015 :</w:t>
            </w:r>
            <w:r w:rsidRPr="003463CF">
              <w:rPr>
                <w:sz w:val="16"/>
                <w:szCs w:val="16"/>
              </w:rPr>
              <w:t xml:space="preserve"> coût (année de référence : 2013)</w:t>
            </w:r>
          </w:p>
        </w:tc>
        <w:tc>
          <w:tcPr>
            <w:tcW w:w="1113" w:type="pct"/>
            <w:shd w:val="clear" w:color="auto" w:fill="auto"/>
            <w:tcMar>
              <w:top w:w="110" w:type="dxa"/>
            </w:tcMar>
          </w:tcPr>
          <w:p w:rsidR="005709DD" w:rsidRPr="003463CF" w:rsidRDefault="005709DD" w:rsidP="00927E1F">
            <w:pPr>
              <w:rPr>
                <w:sz w:val="16"/>
                <w:szCs w:val="16"/>
              </w:rPr>
            </w:pPr>
            <w:r w:rsidRPr="003463CF">
              <w:rPr>
                <w:sz w:val="16"/>
                <w:szCs w:val="16"/>
              </w:rPr>
              <w:t>Réduction du coût moyen du billet</w:t>
            </w:r>
          </w:p>
        </w:tc>
        <w:tc>
          <w:tcPr>
            <w:tcW w:w="884" w:type="pct"/>
            <w:shd w:val="clear" w:color="auto" w:fill="FFFFFF"/>
            <w:tcMar>
              <w:top w:w="110" w:type="dxa"/>
            </w:tcMar>
          </w:tcPr>
          <w:p w:rsidR="005709DD" w:rsidRPr="003463CF" w:rsidRDefault="005709DD" w:rsidP="00927E1F">
            <w:pPr>
              <w:rPr>
                <w:sz w:val="16"/>
                <w:szCs w:val="16"/>
              </w:rPr>
            </w:pPr>
            <w:r w:rsidRPr="003463CF">
              <w:rPr>
                <w:sz w:val="16"/>
                <w:szCs w:val="16"/>
              </w:rPr>
              <w:t>1598 francs suisses (2014)</w:t>
            </w:r>
          </w:p>
          <w:p w:rsidR="005709DD" w:rsidRPr="003463CF" w:rsidRDefault="005709DD" w:rsidP="00927E1F">
            <w:pPr>
              <w:rPr>
                <w:sz w:val="16"/>
                <w:szCs w:val="16"/>
                <w:lang w:bidi="th-TH"/>
              </w:rPr>
            </w:pPr>
            <w:r w:rsidRPr="003463CF">
              <w:rPr>
                <w:sz w:val="16"/>
                <w:szCs w:val="16"/>
              </w:rPr>
              <w:t>1481 francs suisses (2015)</w:t>
            </w:r>
          </w:p>
        </w:tc>
        <w:tc>
          <w:tcPr>
            <w:tcW w:w="529" w:type="pct"/>
            <w:shd w:val="clear" w:color="auto" w:fill="auto"/>
            <w:tcMar>
              <w:top w:w="110" w:type="dxa"/>
            </w:tcMar>
          </w:tcPr>
          <w:p w:rsidR="005709DD" w:rsidRPr="003463CF" w:rsidRDefault="005709DD" w:rsidP="00927E1F">
            <w:pPr>
              <w:keepNext/>
              <w:keepLines/>
              <w:jc w:val="center"/>
              <w:rPr>
                <w:bCs/>
                <w:color w:val="FF0000"/>
                <w:sz w:val="16"/>
                <w:szCs w:val="16"/>
              </w:rPr>
            </w:pPr>
            <w:r w:rsidRPr="003463CF">
              <w:rPr>
                <w:rFonts w:cs="Arial"/>
                <w:b/>
                <w:bCs/>
                <w:color w:val="00B050"/>
                <w:sz w:val="16"/>
                <w:szCs w:val="16"/>
              </w:rPr>
              <w:t>Objectif pleinement atteint</w:t>
            </w:r>
          </w:p>
        </w:tc>
      </w:tr>
      <w:tr w:rsidR="005709DD" w:rsidRPr="003463CF" w:rsidTr="005709DD">
        <w:trPr>
          <w:cantSplit/>
        </w:trPr>
        <w:tc>
          <w:tcPr>
            <w:tcW w:w="1329" w:type="pct"/>
            <w:shd w:val="clear" w:color="auto" w:fill="auto"/>
          </w:tcPr>
          <w:p w:rsidR="005709DD" w:rsidRPr="003463CF" w:rsidRDefault="005709DD" w:rsidP="00927E1F">
            <w:pPr>
              <w:rPr>
                <w:sz w:val="16"/>
                <w:szCs w:val="16"/>
              </w:rPr>
            </w:pPr>
            <w:r w:rsidRPr="003463CF">
              <w:rPr>
                <w:sz w:val="16"/>
                <w:szCs w:val="16"/>
              </w:rPr>
              <w:t>Tous les types d’espaces sur le campus de l’OMPI (lieux de travail, de stockage et d’archivage) sont gérés efficacement</w:t>
            </w:r>
          </w:p>
        </w:tc>
        <w:tc>
          <w:tcPr>
            <w:tcW w:w="1145" w:type="pct"/>
            <w:shd w:val="clear" w:color="auto" w:fill="auto"/>
          </w:tcPr>
          <w:p w:rsidR="005709DD" w:rsidRPr="003463CF" w:rsidRDefault="005709DD" w:rsidP="00927E1F">
            <w:pPr>
              <w:rPr>
                <w:i/>
                <w:color w:val="002060"/>
                <w:sz w:val="16"/>
                <w:szCs w:val="16"/>
              </w:rPr>
            </w:pPr>
            <w:r w:rsidRPr="003463CF">
              <w:rPr>
                <w:i/>
                <w:color w:val="002060"/>
                <w:sz w:val="16"/>
                <w:szCs w:val="16"/>
              </w:rPr>
              <w:t xml:space="preserve">Niveau de référence actualisé à fin 2013 : </w:t>
            </w:r>
            <w:r w:rsidRPr="003463CF">
              <w:rPr>
                <w:color w:val="002060"/>
                <w:sz w:val="16"/>
                <w:szCs w:val="16"/>
              </w:rPr>
              <w:t>80 espaces de travail (aucune location supplémentaire d’espaces de bureaux n’a été nécessaire pendant l’exercice biennal).</w:t>
            </w:r>
          </w:p>
          <w:p w:rsidR="005709DD" w:rsidRPr="003463CF" w:rsidRDefault="005709DD" w:rsidP="00927E1F">
            <w:pPr>
              <w:rPr>
                <w:color w:val="002060"/>
                <w:sz w:val="16"/>
                <w:szCs w:val="16"/>
              </w:rPr>
            </w:pPr>
          </w:p>
          <w:p w:rsidR="005709DD" w:rsidRPr="003463CF" w:rsidRDefault="005709DD" w:rsidP="00927E1F">
            <w:pPr>
              <w:rPr>
                <w:sz w:val="16"/>
                <w:szCs w:val="16"/>
              </w:rPr>
            </w:pPr>
            <w:r w:rsidRPr="003463CF">
              <w:rPr>
                <w:i/>
                <w:sz w:val="16"/>
                <w:szCs w:val="16"/>
              </w:rPr>
              <w:t>Niveau de référence initial pour le programme et budget 2014</w:t>
            </w:r>
            <w:r w:rsidRPr="003463CF">
              <w:rPr>
                <w:i/>
                <w:sz w:val="16"/>
                <w:szCs w:val="16"/>
              </w:rPr>
              <w:noBreakHyphen/>
              <w:t>2015 :</w:t>
            </w:r>
            <w:r w:rsidRPr="003463CF">
              <w:rPr>
                <w:sz w:val="16"/>
                <w:szCs w:val="16"/>
              </w:rPr>
              <w:t xml:space="preserve"> maintenir le nombre d’espaces de travail à l’intérieur des bâtiments afin de permettre l’expansion des services et les changements en ce qui concerne les activités de l’OMPI (nombre de salariés fin 2013);  maximum de 80 espaces de travail loués (fin 2013);  six zones de stockage/d’archivage hors site (fin 2013)</w:t>
            </w:r>
          </w:p>
        </w:tc>
        <w:tc>
          <w:tcPr>
            <w:tcW w:w="1113" w:type="pct"/>
            <w:shd w:val="clear" w:color="auto" w:fill="auto"/>
            <w:tcMar>
              <w:top w:w="110" w:type="dxa"/>
            </w:tcMar>
          </w:tcPr>
          <w:p w:rsidR="005709DD" w:rsidRPr="003463CF" w:rsidRDefault="005709DD" w:rsidP="00927E1F">
            <w:pPr>
              <w:rPr>
                <w:sz w:val="16"/>
                <w:szCs w:val="16"/>
              </w:rPr>
            </w:pPr>
            <w:r w:rsidRPr="003463CF">
              <w:rPr>
                <w:sz w:val="16"/>
                <w:szCs w:val="16"/>
              </w:rPr>
              <w:t>Maximum de 80 espaces de travail loués (sur un total de 1582 espaces de travail);  six zones de stockage/d’archivage</w:t>
            </w:r>
          </w:p>
        </w:tc>
        <w:tc>
          <w:tcPr>
            <w:tcW w:w="884" w:type="pct"/>
            <w:shd w:val="clear" w:color="auto" w:fill="FFFFFF"/>
            <w:tcMar>
              <w:top w:w="110" w:type="dxa"/>
            </w:tcMar>
          </w:tcPr>
          <w:p w:rsidR="005709DD" w:rsidRPr="003463CF" w:rsidRDefault="005709DD" w:rsidP="00927E1F">
            <w:pPr>
              <w:rPr>
                <w:sz w:val="16"/>
                <w:szCs w:val="16"/>
                <w:lang w:bidi="th-TH"/>
              </w:rPr>
            </w:pPr>
            <w:r w:rsidRPr="003463CF">
              <w:rPr>
                <w:sz w:val="16"/>
                <w:szCs w:val="16"/>
              </w:rPr>
              <w:t>80 espaces de travail loués (sur un total de 1645 espaces de travail);  4 zones de stockage/d’archivage suite à la résiliation du bail de deux zones de stockage hors site.  En outre, la résiliation du bail pour un espace autonome dans un stockage en entrepôt et la résiliation de la location de 57 espaces de stationnement hors site.</w:t>
            </w:r>
          </w:p>
        </w:tc>
        <w:tc>
          <w:tcPr>
            <w:tcW w:w="529" w:type="pct"/>
            <w:shd w:val="clear" w:color="auto" w:fill="auto"/>
            <w:tcMar>
              <w:top w:w="110" w:type="dxa"/>
            </w:tcMar>
          </w:tcPr>
          <w:p w:rsidR="005709DD" w:rsidRPr="003463CF" w:rsidRDefault="005709DD" w:rsidP="00927E1F">
            <w:pPr>
              <w:keepNext/>
              <w:keepLines/>
              <w:jc w:val="center"/>
              <w:rPr>
                <w:bCs/>
                <w:color w:val="FF0000"/>
                <w:sz w:val="16"/>
                <w:szCs w:val="16"/>
              </w:rPr>
            </w:pPr>
            <w:r w:rsidRPr="003463CF">
              <w:rPr>
                <w:b/>
                <w:color w:val="00B050"/>
                <w:sz w:val="16"/>
                <w:szCs w:val="16"/>
              </w:rPr>
              <w:t>En bonne voie</w:t>
            </w:r>
          </w:p>
        </w:tc>
      </w:tr>
      <w:tr w:rsidR="005709DD" w:rsidRPr="003463CF" w:rsidTr="005709DD">
        <w:tc>
          <w:tcPr>
            <w:tcW w:w="1329" w:type="pct"/>
            <w:shd w:val="clear" w:color="auto" w:fill="auto"/>
          </w:tcPr>
          <w:p w:rsidR="005709DD" w:rsidRPr="003463CF" w:rsidRDefault="005709DD" w:rsidP="00927E1F">
            <w:pPr>
              <w:rPr>
                <w:sz w:val="16"/>
                <w:szCs w:val="16"/>
              </w:rPr>
            </w:pPr>
            <w:r w:rsidRPr="003463CF">
              <w:rPr>
                <w:sz w:val="16"/>
                <w:szCs w:val="16"/>
              </w:rPr>
              <w:t>Les bâtiments situés sur le campus de l’OMPI ont été rénovés/modernisés/transformés pour rester adaptés à l’usage prévu</w:t>
            </w:r>
          </w:p>
        </w:tc>
        <w:tc>
          <w:tcPr>
            <w:tcW w:w="1145" w:type="pct"/>
            <w:shd w:val="clear" w:color="auto" w:fill="auto"/>
          </w:tcPr>
          <w:p w:rsidR="005709DD" w:rsidRPr="003463CF" w:rsidRDefault="005709DD" w:rsidP="00927E1F">
            <w:pPr>
              <w:rPr>
                <w:color w:val="002060"/>
                <w:sz w:val="16"/>
                <w:szCs w:val="16"/>
              </w:rPr>
            </w:pPr>
            <w:r w:rsidRPr="003463CF">
              <w:rPr>
                <w:i/>
                <w:color w:val="002060"/>
                <w:sz w:val="16"/>
                <w:szCs w:val="16"/>
              </w:rPr>
              <w:t>Niveau de référence actualisé à fin 2013 :</w:t>
            </w:r>
            <w:r w:rsidRPr="003463CF">
              <w:rPr>
                <w:sz w:val="16"/>
                <w:szCs w:val="16"/>
              </w:rPr>
              <w:t xml:space="preserve"> </w:t>
            </w:r>
            <w:r w:rsidRPr="003463CF">
              <w:rPr>
                <w:color w:val="002060"/>
                <w:sz w:val="16"/>
                <w:szCs w:val="16"/>
              </w:rPr>
              <w:t>les installations de refroidissement dans les bâtiments GBI et GBII au moyen du système des eaux profondes du lac Léman ont été mises à niveau et achevées respectivement en 2012 et en juin 2013.</w:t>
            </w:r>
          </w:p>
          <w:p w:rsidR="005709DD" w:rsidRPr="003463CF" w:rsidRDefault="005709DD" w:rsidP="00927E1F">
            <w:pPr>
              <w:rPr>
                <w:color w:val="002060"/>
                <w:sz w:val="16"/>
                <w:szCs w:val="16"/>
              </w:rPr>
            </w:pPr>
          </w:p>
          <w:p w:rsidR="005709DD" w:rsidRPr="003463CF" w:rsidRDefault="005709DD" w:rsidP="00927E1F">
            <w:pPr>
              <w:rPr>
                <w:color w:val="002060"/>
                <w:sz w:val="16"/>
                <w:szCs w:val="16"/>
              </w:rPr>
            </w:pPr>
            <w:r w:rsidRPr="003463CF">
              <w:rPr>
                <w:color w:val="002060"/>
                <w:sz w:val="16"/>
                <w:szCs w:val="16"/>
              </w:rPr>
              <w:t>La mise à niveau des installations électriques dans le bâtiment le plus ancien (GBI) a débuté en 2012 en vue de se conformer à la législation locale adoptée récemment, tout en présentant l’avantage d’établir un cadre technique afin de réduire la consommation d’électricité.  Elle s’est achevée en 2013.</w:t>
            </w:r>
          </w:p>
          <w:p w:rsidR="005709DD" w:rsidRPr="003463CF" w:rsidRDefault="005709DD" w:rsidP="00927E1F">
            <w:pPr>
              <w:rPr>
                <w:color w:val="002060"/>
                <w:sz w:val="16"/>
                <w:szCs w:val="16"/>
              </w:rPr>
            </w:pPr>
          </w:p>
          <w:p w:rsidR="005709DD" w:rsidRPr="003463CF" w:rsidRDefault="005709DD" w:rsidP="00927E1F">
            <w:pPr>
              <w:rPr>
                <w:sz w:val="16"/>
                <w:szCs w:val="16"/>
              </w:rPr>
            </w:pPr>
            <w:r w:rsidRPr="003463CF">
              <w:rPr>
                <w:i/>
                <w:sz w:val="16"/>
                <w:szCs w:val="16"/>
              </w:rPr>
              <w:t>Niveau de référence initial pour le programme et budget 2014</w:t>
            </w:r>
            <w:r w:rsidRPr="003463CF">
              <w:rPr>
                <w:i/>
                <w:sz w:val="16"/>
                <w:szCs w:val="16"/>
              </w:rPr>
              <w:noBreakHyphen/>
              <w:t xml:space="preserve">2015 : </w:t>
            </w:r>
            <w:r w:rsidRPr="003463CF">
              <w:rPr>
                <w:sz w:val="16"/>
                <w:szCs w:val="16"/>
              </w:rPr>
              <w:t xml:space="preserve">plan sur </w:t>
            </w:r>
            <w:r w:rsidRPr="003463CF">
              <w:rPr>
                <w:sz w:val="16"/>
                <w:szCs w:val="16"/>
              </w:rPr>
              <w:lastRenderedPageBreak/>
              <w:t>six ans pour la première phase de mise en œuvre des importants projets de rénovation, de transformation ou de modernisation des locaux situés sur le campus de l’OMPI</w:t>
            </w:r>
          </w:p>
        </w:tc>
        <w:tc>
          <w:tcPr>
            <w:tcW w:w="1113" w:type="pct"/>
            <w:shd w:val="clear" w:color="auto" w:fill="auto"/>
            <w:tcMar>
              <w:top w:w="110" w:type="dxa"/>
            </w:tcMar>
          </w:tcPr>
          <w:p w:rsidR="005709DD" w:rsidRPr="003463CF" w:rsidRDefault="005709DD" w:rsidP="00927E1F">
            <w:pPr>
              <w:rPr>
                <w:sz w:val="16"/>
                <w:szCs w:val="16"/>
              </w:rPr>
            </w:pPr>
            <w:r w:rsidRPr="003463CF">
              <w:rPr>
                <w:sz w:val="16"/>
                <w:szCs w:val="16"/>
              </w:rPr>
              <w:lastRenderedPageBreak/>
              <w:t>Mise en œuvre des importants projets de rénovation, de transformation ou de modernisation conformément au plan sur six ans</w:t>
            </w:r>
          </w:p>
        </w:tc>
        <w:tc>
          <w:tcPr>
            <w:tcW w:w="884" w:type="pct"/>
            <w:shd w:val="clear" w:color="auto" w:fill="FFFFFF"/>
            <w:tcMar>
              <w:top w:w="110" w:type="dxa"/>
            </w:tcMar>
          </w:tcPr>
          <w:p w:rsidR="005709DD" w:rsidRPr="003463CF" w:rsidRDefault="005709DD" w:rsidP="00927E1F">
            <w:pPr>
              <w:rPr>
                <w:sz w:val="16"/>
                <w:szCs w:val="16"/>
              </w:rPr>
            </w:pPr>
            <w:r w:rsidRPr="003463CF">
              <w:rPr>
                <w:sz w:val="16"/>
                <w:szCs w:val="16"/>
              </w:rPr>
              <w:t>Voir l’annexe III : Rapport sur l’état d’avancement du Plan</w:t>
            </w:r>
            <w:r w:rsidRPr="003463CF">
              <w:rPr>
                <w:sz w:val="16"/>
                <w:szCs w:val="16"/>
              </w:rPr>
              <w:noBreakHyphen/>
              <w:t>cadre d’équipement en 2014</w:t>
            </w:r>
            <w:r w:rsidRPr="003463CF">
              <w:rPr>
                <w:rStyle w:val="FootnoteReference"/>
                <w:rFonts w:eastAsia="SimSun"/>
                <w:sz w:val="16"/>
                <w:szCs w:val="16"/>
              </w:rPr>
              <w:footnoteReference w:id="138"/>
            </w:r>
            <w:r w:rsidRPr="003463CF">
              <w:rPr>
                <w:sz w:val="16"/>
                <w:szCs w:val="16"/>
              </w:rPr>
              <w:t xml:space="preserve"> et 2015.</w:t>
            </w:r>
          </w:p>
          <w:p w:rsidR="005709DD" w:rsidRPr="003463CF" w:rsidRDefault="005709DD" w:rsidP="00927E1F">
            <w:pPr>
              <w:rPr>
                <w:sz w:val="16"/>
                <w:szCs w:val="16"/>
              </w:rPr>
            </w:pPr>
          </w:p>
          <w:p w:rsidR="005709DD" w:rsidRPr="003463CF" w:rsidRDefault="005709DD" w:rsidP="00927E1F">
            <w:pPr>
              <w:rPr>
                <w:sz w:val="16"/>
                <w:szCs w:val="16"/>
              </w:rPr>
            </w:pPr>
            <w:r w:rsidRPr="003463CF">
              <w:rPr>
                <w:sz w:val="16"/>
                <w:szCs w:val="16"/>
              </w:rPr>
              <w:t>Outre le Plan</w:t>
            </w:r>
            <w:r w:rsidRPr="003463CF">
              <w:rPr>
                <w:sz w:val="16"/>
                <w:szCs w:val="16"/>
              </w:rPr>
              <w:noBreakHyphen/>
              <w:t xml:space="preserve">cadre d’équipement, les projets de modernisation et de transformation suivants ont été mis en œuvre en 2014 : i) les principaux travaux structurels du studio multimédia;  ii) la mise à niveau des installations techniques et des systèmes de gestion technique (électrique;  système de distribution d’eau;  augmentation de la puissance et de la capacité de </w:t>
            </w:r>
            <w:r w:rsidRPr="003463CF">
              <w:rPr>
                <w:sz w:val="16"/>
                <w:szCs w:val="16"/>
              </w:rPr>
              <w:lastRenderedPageBreak/>
              <w:t>refroidissement du centre de données du nouveau bâtiment;  remplacement de la tour de refroidissement pour le refroidissement redondant;  remplacement des paratonnerres des bâtiments PCT et GBII);  iii) la mise à niveau du système de ventilation pour le bâtiment AB (onzième et treizième étages);  et iv) la mise à niveau des alarmes techniques du nouveau bâtiment.</w:t>
            </w:r>
          </w:p>
          <w:p w:rsidR="005709DD" w:rsidRPr="003463CF" w:rsidRDefault="005709DD" w:rsidP="00927E1F">
            <w:pPr>
              <w:rPr>
                <w:sz w:val="16"/>
                <w:szCs w:val="16"/>
              </w:rPr>
            </w:pPr>
          </w:p>
          <w:p w:rsidR="005709DD" w:rsidRPr="003463CF" w:rsidRDefault="005709DD" w:rsidP="00927E1F">
            <w:pPr>
              <w:pStyle w:val="Default"/>
              <w:rPr>
                <w:sz w:val="16"/>
                <w:szCs w:val="16"/>
              </w:rPr>
            </w:pPr>
            <w:r w:rsidRPr="003463CF">
              <w:rPr>
                <w:sz w:val="16"/>
                <w:szCs w:val="16"/>
              </w:rPr>
              <w:t>Les projets de modernisation et de transformation ci</w:t>
            </w:r>
            <w:r w:rsidRPr="003463CF">
              <w:rPr>
                <w:sz w:val="16"/>
                <w:szCs w:val="16"/>
              </w:rPr>
              <w:noBreakHyphen/>
              <w:t>après ont été mis en œuvre en 2015 :</w:t>
            </w:r>
          </w:p>
          <w:p w:rsidR="005709DD" w:rsidRPr="003463CF" w:rsidRDefault="005709DD" w:rsidP="00927E1F">
            <w:pPr>
              <w:pStyle w:val="Default"/>
              <w:rPr>
                <w:sz w:val="16"/>
                <w:szCs w:val="16"/>
                <w:lang w:bidi="th-TH"/>
              </w:rPr>
            </w:pPr>
            <w:r w:rsidRPr="003463CF">
              <w:rPr>
                <w:sz w:val="16"/>
                <w:szCs w:val="16"/>
              </w:rPr>
              <w:t>i) mise à niveau des installations électriques et remplacement des appareils d’éclairage à différents étages et niveaux du sous</w:t>
            </w:r>
            <w:r w:rsidRPr="003463CF">
              <w:rPr>
                <w:sz w:val="16"/>
                <w:szCs w:val="16"/>
              </w:rPr>
              <w:noBreakHyphen/>
              <w:t>sol du bâtiment AB;  ii) création de nouvelles portes de service afin de faciliter l’accès des véhicules au rez</w:t>
            </w:r>
            <w:r w:rsidRPr="003463CF">
              <w:rPr>
                <w:sz w:val="16"/>
                <w:szCs w:val="16"/>
              </w:rPr>
              <w:noBreakHyphen/>
              <w:t>de</w:t>
            </w:r>
            <w:r w:rsidRPr="003463CF">
              <w:rPr>
                <w:sz w:val="16"/>
                <w:szCs w:val="16"/>
              </w:rPr>
              <w:noBreakHyphen/>
              <w:t>chaussée du bâtiment NB;  iii) mise à niveau des installations de ventilation et de climatisation dans les bâtiments AB et PCT;  iv) rénovation d’une série de conduites d’eaux usées dans le bâtiment AB;  v) remplacement d’un lave</w:t>
            </w:r>
            <w:r w:rsidRPr="003463CF">
              <w:rPr>
                <w:sz w:val="16"/>
                <w:szCs w:val="16"/>
              </w:rPr>
              <w:noBreakHyphen/>
              <w:t>vaisselle industriel dans la cafétéria du bâtiment PCT.</w:t>
            </w:r>
          </w:p>
        </w:tc>
        <w:tc>
          <w:tcPr>
            <w:tcW w:w="529" w:type="pct"/>
            <w:shd w:val="clear" w:color="auto" w:fill="auto"/>
            <w:tcMar>
              <w:top w:w="110" w:type="dxa"/>
            </w:tcMar>
          </w:tcPr>
          <w:p w:rsidR="005709DD" w:rsidRPr="003463CF" w:rsidRDefault="005709DD" w:rsidP="00927E1F">
            <w:pPr>
              <w:keepNext/>
              <w:keepLines/>
              <w:jc w:val="center"/>
              <w:rPr>
                <w:bCs/>
                <w:color w:val="FF0000"/>
                <w:sz w:val="16"/>
                <w:szCs w:val="16"/>
              </w:rPr>
            </w:pPr>
            <w:r w:rsidRPr="003463CF">
              <w:rPr>
                <w:rFonts w:cs="Arial"/>
                <w:b/>
                <w:bCs/>
                <w:color w:val="00B050"/>
                <w:sz w:val="16"/>
                <w:szCs w:val="16"/>
              </w:rPr>
              <w:lastRenderedPageBreak/>
              <w:t>Objectif pleinement atteint</w:t>
            </w:r>
          </w:p>
        </w:tc>
      </w:tr>
      <w:tr w:rsidR="005709DD" w:rsidRPr="003463CF" w:rsidTr="005709DD">
        <w:trPr>
          <w:cantSplit/>
        </w:trPr>
        <w:tc>
          <w:tcPr>
            <w:tcW w:w="1329" w:type="pct"/>
            <w:tcBorders>
              <w:bottom w:val="single" w:sz="4" w:space="0" w:color="auto"/>
            </w:tcBorders>
            <w:shd w:val="clear" w:color="auto" w:fill="auto"/>
          </w:tcPr>
          <w:p w:rsidR="005709DD" w:rsidRPr="003463CF" w:rsidRDefault="005709DD" w:rsidP="00927E1F">
            <w:pPr>
              <w:rPr>
                <w:sz w:val="16"/>
                <w:szCs w:val="16"/>
              </w:rPr>
            </w:pPr>
            <w:r w:rsidRPr="003463CF">
              <w:rPr>
                <w:sz w:val="16"/>
                <w:szCs w:val="16"/>
              </w:rPr>
              <w:lastRenderedPageBreak/>
              <w:t>Toutes les installations techniques critiques sont conformes aux normes techniques en vigueur</w:t>
            </w:r>
          </w:p>
        </w:tc>
        <w:tc>
          <w:tcPr>
            <w:tcW w:w="1145" w:type="pct"/>
            <w:tcBorders>
              <w:bottom w:val="single" w:sz="4" w:space="0" w:color="auto"/>
            </w:tcBorders>
            <w:shd w:val="clear" w:color="auto" w:fill="auto"/>
          </w:tcPr>
          <w:p w:rsidR="005709DD" w:rsidRPr="003463CF" w:rsidRDefault="005709DD" w:rsidP="00927E1F">
            <w:pPr>
              <w:rPr>
                <w:sz w:val="16"/>
                <w:szCs w:val="16"/>
              </w:rPr>
            </w:pPr>
            <w:r w:rsidRPr="003463CF">
              <w:rPr>
                <w:sz w:val="16"/>
                <w:szCs w:val="16"/>
              </w:rPr>
              <w:t>Conformité des installations techniques aux normes en vigueur et à la définition des installations critiques</w:t>
            </w:r>
          </w:p>
          <w:p w:rsidR="005709DD" w:rsidRPr="003463CF" w:rsidRDefault="005709DD" w:rsidP="00927E1F">
            <w:pPr>
              <w:rPr>
                <w:sz w:val="16"/>
                <w:szCs w:val="16"/>
              </w:rPr>
            </w:pPr>
          </w:p>
        </w:tc>
        <w:tc>
          <w:tcPr>
            <w:tcW w:w="1113" w:type="pct"/>
            <w:tcBorders>
              <w:bottom w:val="single" w:sz="4" w:space="0" w:color="auto"/>
            </w:tcBorders>
            <w:shd w:val="clear" w:color="auto" w:fill="auto"/>
            <w:tcMar>
              <w:top w:w="110" w:type="dxa"/>
            </w:tcMar>
          </w:tcPr>
          <w:p w:rsidR="005709DD" w:rsidRPr="003463CF" w:rsidRDefault="005709DD" w:rsidP="00927E1F">
            <w:pPr>
              <w:rPr>
                <w:sz w:val="16"/>
                <w:szCs w:val="16"/>
              </w:rPr>
            </w:pPr>
            <w:r w:rsidRPr="003463CF">
              <w:rPr>
                <w:sz w:val="16"/>
                <w:szCs w:val="16"/>
              </w:rPr>
              <w:t>Vérification ou amélioration/remplacement (si nécessaire) des installations techniques critiques si nécessaire</w:t>
            </w:r>
          </w:p>
        </w:tc>
        <w:tc>
          <w:tcPr>
            <w:tcW w:w="884" w:type="pct"/>
            <w:tcBorders>
              <w:bottom w:val="single" w:sz="4" w:space="0" w:color="auto"/>
            </w:tcBorders>
            <w:shd w:val="clear" w:color="auto" w:fill="FFFFFF"/>
            <w:tcMar>
              <w:top w:w="110" w:type="dxa"/>
            </w:tcMar>
          </w:tcPr>
          <w:p w:rsidR="005709DD" w:rsidRPr="003463CF" w:rsidRDefault="005709DD" w:rsidP="00927E1F">
            <w:pPr>
              <w:rPr>
                <w:sz w:val="16"/>
                <w:szCs w:val="16"/>
              </w:rPr>
            </w:pPr>
            <w:r w:rsidRPr="003463CF">
              <w:rPr>
                <w:sz w:val="16"/>
                <w:szCs w:val="16"/>
              </w:rPr>
              <w:t>Installations critiques vérifiées régulièrement.  Réalisation du premier inventaire détaillé de toutes les installations critiques en 2014.  L’inventaire est régulièrement mis à jour selon les besoins depuis 2015.</w:t>
            </w:r>
          </w:p>
        </w:tc>
        <w:tc>
          <w:tcPr>
            <w:tcW w:w="529" w:type="pct"/>
            <w:tcBorders>
              <w:bottom w:val="single" w:sz="4" w:space="0" w:color="auto"/>
            </w:tcBorders>
            <w:shd w:val="clear" w:color="auto" w:fill="auto"/>
            <w:tcMar>
              <w:top w:w="110" w:type="dxa"/>
            </w:tcMar>
          </w:tcPr>
          <w:p w:rsidR="005709DD" w:rsidRPr="003463CF" w:rsidRDefault="005709DD" w:rsidP="00927E1F">
            <w:pPr>
              <w:keepNext/>
              <w:keepLines/>
              <w:jc w:val="center"/>
              <w:rPr>
                <w:bCs/>
                <w:color w:val="808080"/>
                <w:sz w:val="16"/>
                <w:szCs w:val="16"/>
              </w:rPr>
            </w:pPr>
            <w:r w:rsidRPr="003463CF">
              <w:rPr>
                <w:rFonts w:cs="Arial"/>
                <w:b/>
                <w:bCs/>
                <w:color w:val="00B050"/>
                <w:sz w:val="16"/>
                <w:szCs w:val="16"/>
              </w:rPr>
              <w:t>Objectif pleinement atteint</w:t>
            </w:r>
          </w:p>
        </w:tc>
      </w:tr>
      <w:tr w:rsidR="005709DD" w:rsidRPr="003463CF" w:rsidTr="005709DD">
        <w:trPr>
          <w:cantSplit/>
        </w:trPr>
        <w:tc>
          <w:tcPr>
            <w:tcW w:w="5000" w:type="pct"/>
            <w:gridSpan w:val="5"/>
            <w:tcBorders>
              <w:top w:val="single" w:sz="4" w:space="0" w:color="auto"/>
              <w:bottom w:val="single" w:sz="4" w:space="0" w:color="auto"/>
            </w:tcBorders>
            <w:shd w:val="clear" w:color="auto" w:fill="C5D9F1"/>
            <w:vAlign w:val="center"/>
          </w:tcPr>
          <w:p w:rsidR="005709DD" w:rsidRPr="003463CF" w:rsidRDefault="005709DD" w:rsidP="00927E1F">
            <w:pPr>
              <w:keepNext/>
              <w:rPr>
                <w:b/>
                <w:bCs/>
                <w:sz w:val="16"/>
                <w:szCs w:val="16"/>
              </w:rPr>
            </w:pPr>
            <w:r w:rsidRPr="003463CF">
              <w:rPr>
                <w:b/>
                <w:sz w:val="16"/>
                <w:szCs w:val="16"/>
              </w:rPr>
              <w:lastRenderedPageBreak/>
              <w:t xml:space="preserve">Résultat escompté : </w:t>
            </w:r>
            <w:r w:rsidRPr="003463CF">
              <w:rPr>
                <w:sz w:val="16"/>
                <w:szCs w:val="16"/>
              </w:rPr>
              <w:t>IX.4 Une Organisation écologiquement et socialement responsable assurant la sûreté et la sécurité du personnel, des délégués, des visiteurs, de l’information et des biens</w:t>
            </w:r>
          </w:p>
        </w:tc>
      </w:tr>
      <w:tr w:rsidR="005709DD" w:rsidRPr="003463CF" w:rsidTr="005709DD">
        <w:trPr>
          <w:cantSplit/>
        </w:trPr>
        <w:tc>
          <w:tcPr>
            <w:tcW w:w="1329" w:type="pct"/>
            <w:tcBorders>
              <w:top w:val="single" w:sz="4" w:space="0" w:color="auto"/>
            </w:tcBorders>
            <w:shd w:val="clear" w:color="auto" w:fill="auto"/>
            <w:vAlign w:val="center"/>
          </w:tcPr>
          <w:p w:rsidR="005709DD" w:rsidRPr="003463CF" w:rsidRDefault="005709DD" w:rsidP="00927E1F">
            <w:pPr>
              <w:keepNext/>
              <w:keepLines/>
              <w:jc w:val="center"/>
              <w:rPr>
                <w:sz w:val="16"/>
                <w:szCs w:val="16"/>
              </w:rPr>
            </w:pPr>
            <w:r w:rsidRPr="003463CF">
              <w:rPr>
                <w:b/>
                <w:sz w:val="16"/>
                <w:szCs w:val="16"/>
              </w:rPr>
              <w:t>Indicateurs d’exécution</w:t>
            </w:r>
          </w:p>
        </w:tc>
        <w:tc>
          <w:tcPr>
            <w:tcW w:w="1145" w:type="pct"/>
            <w:tcBorders>
              <w:top w:val="single" w:sz="4" w:space="0" w:color="auto"/>
            </w:tcBorders>
            <w:shd w:val="clear" w:color="auto" w:fill="auto"/>
            <w:vAlign w:val="center"/>
          </w:tcPr>
          <w:p w:rsidR="005709DD" w:rsidRPr="003463CF" w:rsidRDefault="005709DD" w:rsidP="00927E1F">
            <w:pPr>
              <w:keepNext/>
              <w:keepLines/>
              <w:jc w:val="center"/>
              <w:rPr>
                <w:b/>
                <w:bCs/>
                <w:sz w:val="16"/>
                <w:szCs w:val="16"/>
              </w:rPr>
            </w:pPr>
            <w:r w:rsidRPr="003463CF">
              <w:rPr>
                <w:b/>
                <w:sz w:val="16"/>
                <w:szCs w:val="16"/>
              </w:rPr>
              <w:t>Niveaux de référence</w:t>
            </w:r>
          </w:p>
        </w:tc>
        <w:tc>
          <w:tcPr>
            <w:tcW w:w="1113" w:type="pct"/>
            <w:tcBorders>
              <w:top w:val="single" w:sz="4" w:space="0" w:color="auto"/>
            </w:tcBorders>
            <w:shd w:val="clear" w:color="auto" w:fill="auto"/>
            <w:tcMar>
              <w:top w:w="110" w:type="dxa"/>
            </w:tcMar>
            <w:vAlign w:val="center"/>
          </w:tcPr>
          <w:p w:rsidR="005709DD" w:rsidRPr="003463CF" w:rsidRDefault="005709DD" w:rsidP="00927E1F">
            <w:pPr>
              <w:keepNext/>
              <w:keepLines/>
              <w:jc w:val="center"/>
              <w:rPr>
                <w:b/>
                <w:sz w:val="16"/>
                <w:szCs w:val="16"/>
              </w:rPr>
            </w:pPr>
            <w:r w:rsidRPr="003463CF">
              <w:rPr>
                <w:b/>
                <w:sz w:val="16"/>
                <w:szCs w:val="16"/>
              </w:rPr>
              <w:t>Objectifs visés</w:t>
            </w:r>
          </w:p>
        </w:tc>
        <w:tc>
          <w:tcPr>
            <w:tcW w:w="878" w:type="pct"/>
            <w:tcBorders>
              <w:top w:val="single" w:sz="4" w:space="0" w:color="auto"/>
            </w:tcBorders>
            <w:shd w:val="clear" w:color="auto" w:fill="FFFFFF"/>
            <w:tcMar>
              <w:top w:w="110" w:type="dxa"/>
            </w:tcMar>
            <w:vAlign w:val="center"/>
          </w:tcPr>
          <w:p w:rsidR="005709DD" w:rsidRPr="003463CF" w:rsidRDefault="005709DD" w:rsidP="00927E1F">
            <w:pPr>
              <w:keepNext/>
              <w:keepLines/>
              <w:jc w:val="center"/>
              <w:rPr>
                <w:sz w:val="16"/>
                <w:szCs w:val="16"/>
              </w:rPr>
            </w:pPr>
            <w:r w:rsidRPr="003463CF">
              <w:rPr>
                <w:b/>
                <w:sz w:val="16"/>
                <w:szCs w:val="16"/>
              </w:rPr>
              <w:t>Données relatives à l’exécution</w:t>
            </w:r>
          </w:p>
        </w:tc>
        <w:tc>
          <w:tcPr>
            <w:tcW w:w="535" w:type="pct"/>
            <w:tcBorders>
              <w:top w:val="single" w:sz="4" w:space="0" w:color="auto"/>
            </w:tcBorders>
            <w:shd w:val="clear" w:color="auto" w:fill="auto"/>
            <w:tcMar>
              <w:top w:w="110" w:type="dxa"/>
            </w:tcMar>
            <w:vAlign w:val="center"/>
          </w:tcPr>
          <w:p w:rsidR="005709DD" w:rsidRPr="003463CF" w:rsidRDefault="005709DD" w:rsidP="00927E1F">
            <w:pPr>
              <w:keepNext/>
              <w:keepLines/>
              <w:jc w:val="center"/>
              <w:rPr>
                <w:b/>
                <w:bCs/>
                <w:sz w:val="16"/>
                <w:szCs w:val="16"/>
              </w:rPr>
            </w:pPr>
            <w:r w:rsidRPr="003463CF">
              <w:rPr>
                <w:b/>
                <w:sz w:val="16"/>
                <w:szCs w:val="16"/>
              </w:rPr>
              <w:t>Code de couleurs</w:t>
            </w:r>
          </w:p>
        </w:tc>
      </w:tr>
      <w:tr w:rsidR="005709DD" w:rsidRPr="003463CF" w:rsidTr="005709DD">
        <w:trPr>
          <w:cantSplit/>
        </w:trPr>
        <w:tc>
          <w:tcPr>
            <w:tcW w:w="1329" w:type="pct"/>
            <w:shd w:val="clear" w:color="auto" w:fill="auto"/>
          </w:tcPr>
          <w:p w:rsidR="005709DD" w:rsidRPr="003463CF" w:rsidRDefault="005709DD" w:rsidP="00927E1F">
            <w:pPr>
              <w:rPr>
                <w:sz w:val="16"/>
                <w:szCs w:val="16"/>
              </w:rPr>
            </w:pPr>
            <w:r w:rsidRPr="003463CF">
              <w:rPr>
                <w:sz w:val="16"/>
                <w:szCs w:val="16"/>
              </w:rPr>
              <w:t>Amélioration de l’accès physique au campus de l’OMPI</w:t>
            </w:r>
          </w:p>
        </w:tc>
        <w:tc>
          <w:tcPr>
            <w:tcW w:w="1145" w:type="pct"/>
            <w:shd w:val="clear" w:color="auto" w:fill="auto"/>
          </w:tcPr>
          <w:p w:rsidR="005709DD" w:rsidRPr="003463CF" w:rsidRDefault="005709DD" w:rsidP="00927E1F">
            <w:pPr>
              <w:rPr>
                <w:color w:val="002060"/>
                <w:sz w:val="16"/>
                <w:szCs w:val="16"/>
              </w:rPr>
            </w:pPr>
            <w:r w:rsidRPr="003463CF">
              <w:rPr>
                <w:i/>
                <w:color w:val="002060"/>
                <w:sz w:val="16"/>
                <w:szCs w:val="16"/>
              </w:rPr>
              <w:t>Niveau de référence actualisé à fin 2013 :</w:t>
            </w:r>
            <w:r w:rsidRPr="003463CF">
              <w:rPr>
                <w:sz w:val="16"/>
                <w:szCs w:val="16"/>
              </w:rPr>
              <w:t xml:space="preserve"> </w:t>
            </w:r>
            <w:r w:rsidRPr="003463CF">
              <w:rPr>
                <w:color w:val="002060"/>
                <w:sz w:val="16"/>
                <w:szCs w:val="16"/>
              </w:rPr>
              <w:t>le plan quinquennal n’a pas été établi fin 2013.</w:t>
            </w:r>
          </w:p>
          <w:p w:rsidR="005709DD" w:rsidRPr="003463CF" w:rsidRDefault="005709DD" w:rsidP="00927E1F">
            <w:pPr>
              <w:rPr>
                <w:i/>
                <w:sz w:val="16"/>
                <w:szCs w:val="16"/>
              </w:rPr>
            </w:pPr>
          </w:p>
          <w:p w:rsidR="005709DD" w:rsidRPr="003463CF" w:rsidRDefault="005709DD" w:rsidP="00927E1F">
            <w:pPr>
              <w:rPr>
                <w:sz w:val="16"/>
                <w:szCs w:val="16"/>
              </w:rPr>
            </w:pPr>
            <w:r w:rsidRPr="003463CF">
              <w:rPr>
                <w:i/>
                <w:sz w:val="16"/>
                <w:szCs w:val="16"/>
              </w:rPr>
              <w:t>Niveau de référence initial dans le programme et budget 2014</w:t>
            </w:r>
            <w:r w:rsidRPr="003463CF">
              <w:rPr>
                <w:i/>
                <w:sz w:val="16"/>
                <w:szCs w:val="16"/>
              </w:rPr>
              <w:noBreakHyphen/>
              <w:t>2015 </w:t>
            </w:r>
            <w:proofErr w:type="gramStart"/>
            <w:r w:rsidRPr="003463CF">
              <w:rPr>
                <w:i/>
                <w:sz w:val="16"/>
                <w:szCs w:val="16"/>
              </w:rPr>
              <w:t>:</w:t>
            </w:r>
            <w:proofErr w:type="gramEnd"/>
            <w:r w:rsidRPr="003463CF">
              <w:rPr>
                <w:sz w:val="16"/>
                <w:szCs w:val="16"/>
              </w:rPr>
              <w:br/>
              <w:t>plan quinquennal de mise en œuvre des recommandations de l’audit de 2012 sur l’accessibilité physique (plan établi fin 2013)</w:t>
            </w:r>
          </w:p>
        </w:tc>
        <w:tc>
          <w:tcPr>
            <w:tcW w:w="1113" w:type="pct"/>
            <w:shd w:val="clear" w:color="auto" w:fill="auto"/>
            <w:tcMar>
              <w:top w:w="110" w:type="dxa"/>
            </w:tcMar>
          </w:tcPr>
          <w:p w:rsidR="005709DD" w:rsidRPr="003463CF" w:rsidRDefault="005709DD" w:rsidP="00927E1F">
            <w:pPr>
              <w:rPr>
                <w:sz w:val="16"/>
                <w:szCs w:val="16"/>
              </w:rPr>
            </w:pPr>
            <w:r w:rsidRPr="003463CF">
              <w:rPr>
                <w:sz w:val="16"/>
                <w:szCs w:val="16"/>
              </w:rPr>
              <w:t>Mise en œuvre des recommandations de l’audit selon le plan quinquennal</w:t>
            </w:r>
          </w:p>
        </w:tc>
        <w:tc>
          <w:tcPr>
            <w:tcW w:w="878" w:type="pct"/>
            <w:shd w:val="clear" w:color="auto" w:fill="FFFFFF"/>
            <w:tcMar>
              <w:top w:w="110" w:type="dxa"/>
            </w:tcMar>
          </w:tcPr>
          <w:p w:rsidR="005709DD" w:rsidRPr="003463CF" w:rsidRDefault="005709DD" w:rsidP="00927E1F">
            <w:pPr>
              <w:rPr>
                <w:sz w:val="16"/>
                <w:szCs w:val="16"/>
              </w:rPr>
            </w:pPr>
            <w:r w:rsidRPr="003463CF">
              <w:rPr>
                <w:sz w:val="16"/>
                <w:szCs w:val="16"/>
              </w:rPr>
              <w:t>Le plan quinquennal n’a pas été établi fin 2015 en raison du manque de ressources disponibles et des travaux de la nouvelle salle de conférence de l’OMPI.</w:t>
            </w:r>
          </w:p>
          <w:p w:rsidR="005709DD" w:rsidRPr="003463CF" w:rsidRDefault="005709DD" w:rsidP="00927E1F">
            <w:pPr>
              <w:rPr>
                <w:sz w:val="16"/>
                <w:szCs w:val="16"/>
              </w:rPr>
            </w:pPr>
          </w:p>
          <w:p w:rsidR="005709DD" w:rsidRPr="003463CF" w:rsidRDefault="005709DD" w:rsidP="00927E1F">
            <w:pPr>
              <w:rPr>
                <w:sz w:val="16"/>
                <w:szCs w:val="16"/>
              </w:rPr>
            </w:pPr>
            <w:r w:rsidRPr="003463CF">
              <w:rPr>
                <w:sz w:val="16"/>
                <w:szCs w:val="16"/>
              </w:rPr>
              <w:t xml:space="preserve">Améliorations incluses : i) rampes supplémentaires pour l’accès aux fauteuils roulants (accès aux cabines d’interprétation dans une nouvelle salle de réunion du nouveau bâtiment;  et ii) l’abaissement des lecteurs de badge à une hauteur adaptée aux personnes en fauteuil roulant dans les bâtiments AB, PCT et le nouveau bâtiment.  Certaines ont même été installées sans coût majeur ou, le cas échéant, intégrées dans d’autres améliorations de l’infrastructure ou des installations pour un coût supplémentaire réduit.  </w:t>
            </w:r>
          </w:p>
        </w:tc>
        <w:tc>
          <w:tcPr>
            <w:tcW w:w="535" w:type="pct"/>
            <w:shd w:val="clear" w:color="auto" w:fill="auto"/>
            <w:tcMar>
              <w:top w:w="110" w:type="dxa"/>
            </w:tcMar>
          </w:tcPr>
          <w:p w:rsidR="005709DD" w:rsidRPr="003463CF" w:rsidRDefault="005709DD" w:rsidP="00927E1F">
            <w:pPr>
              <w:keepNext/>
              <w:keepLines/>
              <w:jc w:val="center"/>
              <w:rPr>
                <w:b/>
                <w:color w:val="FF0000"/>
                <w:sz w:val="16"/>
                <w:szCs w:val="16"/>
              </w:rPr>
            </w:pPr>
            <w:r w:rsidRPr="003463CF">
              <w:rPr>
                <w:rFonts w:cs="Arial"/>
                <w:b/>
                <w:color w:val="FF0000"/>
                <w:sz w:val="16"/>
                <w:szCs w:val="16"/>
              </w:rPr>
              <w:t>Objectif pas atteint</w:t>
            </w:r>
          </w:p>
        </w:tc>
      </w:tr>
      <w:tr w:rsidR="005709DD" w:rsidRPr="003463CF" w:rsidTr="005709DD">
        <w:tc>
          <w:tcPr>
            <w:tcW w:w="1329" w:type="pct"/>
            <w:shd w:val="clear" w:color="auto" w:fill="auto"/>
          </w:tcPr>
          <w:p w:rsidR="005709DD" w:rsidRPr="003463CF" w:rsidRDefault="005709DD" w:rsidP="00927E1F">
            <w:pPr>
              <w:rPr>
                <w:sz w:val="16"/>
                <w:szCs w:val="16"/>
              </w:rPr>
            </w:pPr>
            <w:r w:rsidRPr="003463CF">
              <w:rPr>
                <w:sz w:val="16"/>
                <w:szCs w:val="16"/>
              </w:rPr>
              <w:t>Réduction de l’impact environnemental des bâtiments de l’OMPI</w:t>
            </w:r>
          </w:p>
        </w:tc>
        <w:tc>
          <w:tcPr>
            <w:tcW w:w="1145" w:type="pct"/>
            <w:shd w:val="clear" w:color="auto" w:fill="auto"/>
          </w:tcPr>
          <w:p w:rsidR="005709DD" w:rsidRPr="003463CF" w:rsidRDefault="005709DD" w:rsidP="00927E1F">
            <w:pPr>
              <w:rPr>
                <w:sz w:val="16"/>
                <w:szCs w:val="16"/>
                <w:lang w:bidi="th-TH"/>
              </w:rPr>
            </w:pPr>
            <w:r w:rsidRPr="003463CF">
              <w:rPr>
                <w:i/>
                <w:color w:val="002060"/>
                <w:sz w:val="16"/>
                <w:szCs w:val="16"/>
              </w:rPr>
              <w:t>Niveau de référence actualisé à fin 2013 :</w:t>
            </w:r>
            <w:r w:rsidRPr="003463CF">
              <w:rPr>
                <w:color w:val="002060"/>
                <w:sz w:val="16"/>
                <w:szCs w:val="16"/>
              </w:rPr>
              <w:t xml:space="preserve"> 2% de réduction de la consommation d’électricité suite à la mise en œuvre de diverses mesures visant à moderniser les installations;  7% de réduction de la consommation d’eau suite à la modernisation de l’installation de refroidissement dans l’un des centres de données</w:t>
            </w:r>
          </w:p>
          <w:p w:rsidR="005709DD" w:rsidRPr="003463CF" w:rsidRDefault="005709DD" w:rsidP="00927E1F">
            <w:pPr>
              <w:rPr>
                <w:color w:val="002060"/>
                <w:sz w:val="16"/>
                <w:szCs w:val="16"/>
              </w:rPr>
            </w:pPr>
          </w:p>
          <w:p w:rsidR="005709DD" w:rsidRPr="003463CF" w:rsidRDefault="005709DD" w:rsidP="00927E1F">
            <w:pPr>
              <w:rPr>
                <w:color w:val="002060"/>
                <w:sz w:val="16"/>
                <w:szCs w:val="16"/>
              </w:rPr>
            </w:pPr>
          </w:p>
          <w:p w:rsidR="005709DD" w:rsidRPr="003463CF" w:rsidRDefault="005709DD" w:rsidP="00927E1F">
            <w:pPr>
              <w:rPr>
                <w:sz w:val="16"/>
                <w:szCs w:val="16"/>
              </w:rPr>
            </w:pPr>
            <w:r w:rsidRPr="003463CF">
              <w:rPr>
                <w:i/>
                <w:sz w:val="16"/>
                <w:szCs w:val="16"/>
              </w:rPr>
              <w:t>Niveau de référence initial pour le programme et budget 2014</w:t>
            </w:r>
            <w:r w:rsidRPr="003463CF">
              <w:rPr>
                <w:i/>
                <w:sz w:val="16"/>
                <w:szCs w:val="16"/>
              </w:rPr>
              <w:noBreakHyphen/>
              <w:t>2015 :</w:t>
            </w:r>
            <w:r w:rsidRPr="003463CF">
              <w:rPr>
                <w:sz w:val="16"/>
                <w:szCs w:val="16"/>
              </w:rPr>
              <w:t xml:space="preserve"> consommation annuelle d’électricité et d’eau (fin 2013)</w:t>
            </w:r>
          </w:p>
        </w:tc>
        <w:tc>
          <w:tcPr>
            <w:tcW w:w="1113" w:type="pct"/>
            <w:shd w:val="clear" w:color="auto" w:fill="auto"/>
            <w:tcMar>
              <w:top w:w="110" w:type="dxa"/>
            </w:tcMar>
          </w:tcPr>
          <w:p w:rsidR="005709DD" w:rsidRPr="003463CF" w:rsidRDefault="005709DD" w:rsidP="00927E1F">
            <w:pPr>
              <w:rPr>
                <w:sz w:val="16"/>
                <w:szCs w:val="16"/>
              </w:rPr>
            </w:pPr>
            <w:r w:rsidRPr="003463CF">
              <w:rPr>
                <w:sz w:val="16"/>
                <w:szCs w:val="16"/>
              </w:rPr>
              <w:t>Réduction de 4% de la consommation d’électricité et réduction de 10% de la consommation d’eau d’ici à fin 2015</w:t>
            </w:r>
          </w:p>
        </w:tc>
        <w:tc>
          <w:tcPr>
            <w:tcW w:w="878" w:type="pct"/>
            <w:shd w:val="clear" w:color="auto" w:fill="FFFFFF"/>
            <w:tcMar>
              <w:top w:w="110" w:type="dxa"/>
            </w:tcMar>
          </w:tcPr>
          <w:p w:rsidR="005709DD" w:rsidRPr="003463CF" w:rsidRDefault="005709DD" w:rsidP="00927E1F">
            <w:pPr>
              <w:pStyle w:val="Default"/>
              <w:rPr>
                <w:sz w:val="16"/>
                <w:szCs w:val="16"/>
              </w:rPr>
            </w:pPr>
            <w:r w:rsidRPr="003463CF">
              <w:rPr>
                <w:sz w:val="16"/>
                <w:szCs w:val="16"/>
              </w:rPr>
              <w:t>Réduction de 5% de la consommation d’électricité et réduction de 33% de la consommation d’eau en 2014</w:t>
            </w:r>
            <w:r w:rsidRPr="003463CF">
              <w:rPr>
                <w:sz w:val="16"/>
                <w:szCs w:val="16"/>
              </w:rPr>
              <w:noBreakHyphen/>
              <w:t>2015 par rapport à 2012</w:t>
            </w:r>
            <w:r w:rsidRPr="003463CF">
              <w:rPr>
                <w:sz w:val="16"/>
                <w:szCs w:val="16"/>
              </w:rPr>
              <w:noBreakHyphen/>
              <w:t>2013, malgré la consommation supplémentaire due à la nouvelle salle de conférence de l’OMPI depuis septembre 2014.</w:t>
            </w:r>
          </w:p>
          <w:p w:rsidR="005709DD" w:rsidRPr="003463CF" w:rsidRDefault="005709DD" w:rsidP="00927E1F">
            <w:pPr>
              <w:rPr>
                <w:rFonts w:cs="Arial"/>
                <w:sz w:val="16"/>
                <w:szCs w:val="16"/>
              </w:rPr>
            </w:pPr>
          </w:p>
          <w:p w:rsidR="005709DD" w:rsidRPr="003463CF" w:rsidRDefault="005709DD" w:rsidP="00927E1F">
            <w:pPr>
              <w:rPr>
                <w:sz w:val="16"/>
                <w:szCs w:val="16"/>
              </w:rPr>
            </w:pPr>
            <w:r w:rsidRPr="003463CF">
              <w:rPr>
                <w:rFonts w:cs="Arial"/>
                <w:sz w:val="16"/>
                <w:szCs w:val="16"/>
              </w:rPr>
              <w:t>Le système de refroidissement au moyen des eaux profondes du lac Léman mis en œuvre dans les bâtiments AB et PCT (dans le cadre du plan</w:t>
            </w:r>
            <w:r w:rsidRPr="003463CF">
              <w:rPr>
                <w:rFonts w:cs="Arial"/>
                <w:sz w:val="16"/>
                <w:szCs w:val="16"/>
              </w:rPr>
              <w:noBreakHyphen/>
              <w:t>cadre d’équipement, voir les appendices)</w:t>
            </w:r>
            <w:r w:rsidRPr="003463CF">
              <w:rPr>
                <w:sz w:val="16"/>
                <w:szCs w:val="16"/>
              </w:rPr>
              <w:t xml:space="preserve"> a été livré en 2014 et 2015, respectivement, et a été pleinement intégré dans le </w:t>
            </w:r>
            <w:r w:rsidRPr="003463CF">
              <w:rPr>
                <w:sz w:val="16"/>
                <w:szCs w:val="16"/>
              </w:rPr>
              <w:lastRenderedPageBreak/>
              <w:t>dispositif d’entretien des bâtiments.</w:t>
            </w:r>
          </w:p>
          <w:p w:rsidR="005709DD" w:rsidRPr="003463CF" w:rsidRDefault="005709DD" w:rsidP="00927E1F">
            <w:pPr>
              <w:rPr>
                <w:sz w:val="16"/>
                <w:szCs w:val="16"/>
              </w:rPr>
            </w:pPr>
          </w:p>
          <w:p w:rsidR="005709DD" w:rsidRPr="003463CF" w:rsidRDefault="005709DD" w:rsidP="00927E1F">
            <w:pPr>
              <w:rPr>
                <w:sz w:val="16"/>
                <w:szCs w:val="16"/>
              </w:rPr>
            </w:pPr>
            <w:r w:rsidRPr="003463CF">
              <w:rPr>
                <w:sz w:val="16"/>
                <w:szCs w:val="16"/>
              </w:rPr>
              <w:t>Une mise à niveau du système de refroidissement à l’aide des eaux profondes du lac Léman a été mise en œuvre dans le nouveau bâtiment en 2014.</w:t>
            </w:r>
          </w:p>
          <w:p w:rsidR="005709DD" w:rsidRPr="003463CF" w:rsidRDefault="005709DD" w:rsidP="00927E1F">
            <w:pPr>
              <w:rPr>
                <w:sz w:val="16"/>
                <w:szCs w:val="16"/>
              </w:rPr>
            </w:pPr>
          </w:p>
          <w:p w:rsidR="005709DD" w:rsidRPr="003463CF" w:rsidRDefault="005709DD" w:rsidP="00927E1F">
            <w:pPr>
              <w:rPr>
                <w:sz w:val="16"/>
                <w:szCs w:val="16"/>
              </w:rPr>
            </w:pPr>
            <w:r w:rsidRPr="003463CF">
              <w:rPr>
                <w:sz w:val="16"/>
                <w:szCs w:val="16"/>
              </w:rPr>
              <w:t>Les mesures écologiquement saines supplémentaires ont inclus les principales mesures suivantes : i) réduction de la consommation de lumière artificielle par le remplacement des luminaires traditionnels par de nouveaux luminaires utilisant la technologie LED, ii) éclairage activé par des capteurs de présence en dehors des heures de bureau dans les étages de différentes zones de plusieurs anciens bâtiments</w:t>
            </w:r>
          </w:p>
        </w:tc>
        <w:tc>
          <w:tcPr>
            <w:tcW w:w="535" w:type="pct"/>
            <w:shd w:val="clear" w:color="auto" w:fill="auto"/>
            <w:tcMar>
              <w:top w:w="110" w:type="dxa"/>
            </w:tcMar>
          </w:tcPr>
          <w:p w:rsidR="005709DD" w:rsidRPr="003463CF" w:rsidRDefault="005709DD" w:rsidP="00927E1F">
            <w:pPr>
              <w:keepNext/>
              <w:keepLines/>
              <w:jc w:val="center"/>
              <w:rPr>
                <w:sz w:val="16"/>
                <w:szCs w:val="16"/>
              </w:rPr>
            </w:pPr>
            <w:r w:rsidRPr="003463CF">
              <w:rPr>
                <w:rFonts w:cs="Arial"/>
                <w:b/>
                <w:bCs/>
                <w:color w:val="00B050"/>
                <w:sz w:val="16"/>
                <w:szCs w:val="16"/>
              </w:rPr>
              <w:lastRenderedPageBreak/>
              <w:t>Objectif pleinement atteint</w:t>
            </w:r>
          </w:p>
        </w:tc>
      </w:tr>
      <w:tr w:rsidR="005709DD" w:rsidRPr="003463CF" w:rsidTr="005709DD">
        <w:trPr>
          <w:cantSplit/>
        </w:trPr>
        <w:tc>
          <w:tcPr>
            <w:tcW w:w="1329" w:type="pct"/>
            <w:tcBorders>
              <w:bottom w:val="single" w:sz="4" w:space="0" w:color="auto"/>
            </w:tcBorders>
            <w:shd w:val="clear" w:color="auto" w:fill="auto"/>
          </w:tcPr>
          <w:p w:rsidR="005709DD" w:rsidRPr="003463CF" w:rsidRDefault="005709DD" w:rsidP="00927E1F">
            <w:pPr>
              <w:rPr>
                <w:sz w:val="16"/>
                <w:szCs w:val="16"/>
              </w:rPr>
            </w:pPr>
            <w:r w:rsidRPr="003463CF">
              <w:rPr>
                <w:sz w:val="16"/>
                <w:szCs w:val="16"/>
              </w:rPr>
              <w:lastRenderedPageBreak/>
              <w:t>Les locaux de l’OMPI sont conformes aux recommandations de l’audit de 2009 effectué par l’Institut de sûreté et de sécurité (Neuchâtel) et aux normes minimales de sécurité opérationnelle recommandées par le siège des Nations Unies.</w:t>
            </w:r>
          </w:p>
        </w:tc>
        <w:tc>
          <w:tcPr>
            <w:tcW w:w="1145" w:type="pct"/>
            <w:tcBorders>
              <w:bottom w:val="single" w:sz="4" w:space="0" w:color="auto"/>
            </w:tcBorders>
            <w:shd w:val="clear" w:color="auto" w:fill="auto"/>
          </w:tcPr>
          <w:p w:rsidR="005709DD" w:rsidRPr="003463CF" w:rsidRDefault="005709DD" w:rsidP="003B3CFF">
            <w:pPr>
              <w:rPr>
                <w:sz w:val="16"/>
                <w:szCs w:val="16"/>
              </w:rPr>
            </w:pPr>
            <w:r w:rsidRPr="003463CF">
              <w:rPr>
                <w:sz w:val="16"/>
                <w:szCs w:val="16"/>
              </w:rPr>
              <w:t>Plan sur six ans pour la mise en œuvre des recommandations de l’audit effectué en 2009 par l’Institut de sûreté et de sécurité (Neuchâtel)</w:t>
            </w:r>
          </w:p>
        </w:tc>
        <w:tc>
          <w:tcPr>
            <w:tcW w:w="1113" w:type="pct"/>
            <w:tcBorders>
              <w:bottom w:val="single" w:sz="4" w:space="0" w:color="auto"/>
            </w:tcBorders>
            <w:shd w:val="clear" w:color="auto" w:fill="auto"/>
            <w:tcMar>
              <w:top w:w="110" w:type="dxa"/>
            </w:tcMar>
          </w:tcPr>
          <w:p w:rsidR="005709DD" w:rsidRPr="003463CF" w:rsidRDefault="005709DD" w:rsidP="00927E1F">
            <w:pPr>
              <w:rPr>
                <w:sz w:val="16"/>
                <w:szCs w:val="16"/>
              </w:rPr>
            </w:pPr>
            <w:r w:rsidRPr="003463CF">
              <w:rPr>
                <w:sz w:val="16"/>
                <w:szCs w:val="16"/>
              </w:rPr>
              <w:t>Mise en œuvre des recommandations de l’audit conformément au plan sur six ans et aux normes minimales de sécurité opérationnelle d’ici à fin 2015</w:t>
            </w:r>
          </w:p>
        </w:tc>
        <w:tc>
          <w:tcPr>
            <w:tcW w:w="878" w:type="pct"/>
            <w:tcBorders>
              <w:bottom w:val="single" w:sz="4" w:space="0" w:color="auto"/>
            </w:tcBorders>
            <w:shd w:val="clear" w:color="auto" w:fill="FFFFFF"/>
            <w:tcMar>
              <w:top w:w="110" w:type="dxa"/>
            </w:tcMar>
          </w:tcPr>
          <w:p w:rsidR="005709DD" w:rsidRPr="003463CF" w:rsidRDefault="005709DD" w:rsidP="00927E1F">
            <w:pPr>
              <w:rPr>
                <w:sz w:val="16"/>
                <w:szCs w:val="16"/>
              </w:rPr>
            </w:pPr>
            <w:r w:rsidRPr="003463CF">
              <w:rPr>
                <w:sz w:val="16"/>
                <w:szCs w:val="16"/>
              </w:rPr>
              <w:t>Voir l’annexe III : Rapport sur l’état d’avancement du Plan</w:t>
            </w:r>
            <w:r w:rsidRPr="003463CF">
              <w:rPr>
                <w:sz w:val="16"/>
                <w:szCs w:val="16"/>
              </w:rPr>
              <w:noBreakHyphen/>
              <w:t>cadre d’équipement en 2014 et 2015.</w:t>
            </w:r>
          </w:p>
          <w:p w:rsidR="005709DD" w:rsidRPr="003463CF" w:rsidRDefault="005709DD" w:rsidP="00927E1F">
            <w:pPr>
              <w:rPr>
                <w:sz w:val="16"/>
                <w:szCs w:val="16"/>
              </w:rPr>
            </w:pPr>
          </w:p>
          <w:p w:rsidR="005709DD" w:rsidRPr="003463CF" w:rsidRDefault="005709DD" w:rsidP="00927E1F">
            <w:pPr>
              <w:rPr>
                <w:sz w:val="16"/>
                <w:szCs w:val="16"/>
              </w:rPr>
            </w:pPr>
            <w:r w:rsidRPr="003463CF">
              <w:rPr>
                <w:sz w:val="16"/>
                <w:szCs w:val="16"/>
              </w:rPr>
              <w:t>Outre la mise en œuvre de la recommandation couverte par le plan</w:t>
            </w:r>
            <w:r w:rsidRPr="003463CF">
              <w:rPr>
                <w:sz w:val="16"/>
                <w:szCs w:val="16"/>
              </w:rPr>
              <w:noBreakHyphen/>
              <w:t>cadre d’équipement, les recommandations suivantes ont été mises en œuvre :</w:t>
            </w:r>
          </w:p>
          <w:p w:rsidR="005709DD" w:rsidRPr="003463CF" w:rsidRDefault="005709DD" w:rsidP="00927E1F">
            <w:pPr>
              <w:pStyle w:val="ListParagraph"/>
              <w:numPr>
                <w:ilvl w:val="0"/>
                <w:numId w:val="0"/>
              </w:numPr>
              <w:rPr>
                <w:sz w:val="16"/>
                <w:szCs w:val="16"/>
              </w:rPr>
            </w:pPr>
            <w:r w:rsidRPr="003463CF">
              <w:rPr>
                <w:sz w:val="16"/>
                <w:szCs w:val="16"/>
              </w:rPr>
              <w:t>i) modernisation du système de détection incendie (détecteurs de dernière génération) dans les quatre niveaux du parking du bâtiment AB;  ii) mise à niveau du système d’éclairage de secours à certains étages du bâtiment GBI.</w:t>
            </w:r>
          </w:p>
        </w:tc>
        <w:tc>
          <w:tcPr>
            <w:tcW w:w="535" w:type="pct"/>
            <w:tcBorders>
              <w:bottom w:val="single" w:sz="4" w:space="0" w:color="auto"/>
            </w:tcBorders>
            <w:shd w:val="clear" w:color="auto" w:fill="auto"/>
            <w:tcMar>
              <w:top w:w="110" w:type="dxa"/>
            </w:tcMar>
          </w:tcPr>
          <w:p w:rsidR="005709DD" w:rsidRPr="003463CF" w:rsidRDefault="005709DD" w:rsidP="00927E1F">
            <w:pPr>
              <w:keepNext/>
              <w:keepLines/>
              <w:jc w:val="center"/>
              <w:rPr>
                <w:sz w:val="16"/>
                <w:szCs w:val="16"/>
              </w:rPr>
            </w:pPr>
            <w:r w:rsidRPr="003463CF">
              <w:rPr>
                <w:rFonts w:cs="Arial"/>
                <w:b/>
                <w:bCs/>
                <w:color w:val="00B050"/>
                <w:sz w:val="16"/>
                <w:szCs w:val="16"/>
              </w:rPr>
              <w:t>Objectif pleinement atteint</w:t>
            </w:r>
          </w:p>
        </w:tc>
      </w:tr>
    </w:tbl>
    <w:p w:rsidR="005709DD" w:rsidRPr="003463CF" w:rsidRDefault="005709DD" w:rsidP="00927E1F">
      <w:pPr>
        <w:rPr>
          <w:color w:val="000000"/>
          <w:szCs w:val="22"/>
        </w:rPr>
      </w:pPr>
    </w:p>
    <w:p w:rsidR="005709DD" w:rsidRPr="003463CF" w:rsidRDefault="005709DD" w:rsidP="00927E1F">
      <w:pPr>
        <w:rPr>
          <w:color w:val="000000"/>
          <w:szCs w:val="22"/>
        </w:rPr>
      </w:pPr>
    </w:p>
    <w:p w:rsidR="005709DD" w:rsidRDefault="005709DD">
      <w:pPr>
        <w:rPr>
          <w:caps/>
          <w:sz w:val="22"/>
        </w:rPr>
      </w:pPr>
      <w:r>
        <w:br w:type="page"/>
      </w:r>
    </w:p>
    <w:p w:rsidR="005709DD" w:rsidRPr="005709DD" w:rsidRDefault="005709DD" w:rsidP="005709DD">
      <w:pPr>
        <w:rPr>
          <w:caps/>
          <w:sz w:val="22"/>
        </w:rPr>
      </w:pPr>
      <w:r w:rsidRPr="005709DD">
        <w:rPr>
          <w:caps/>
          <w:sz w:val="22"/>
        </w:rPr>
        <w:lastRenderedPageBreak/>
        <w:t>Rapport d’évaluation des risques pour l’exercice biennal</w:t>
      </w:r>
    </w:p>
    <w:p w:rsidR="005709DD" w:rsidRPr="003463CF" w:rsidRDefault="005709DD" w:rsidP="00927E1F">
      <w:pPr>
        <w:keepNext/>
        <w:keepLines/>
        <w:rPr>
          <w:rFonts w:cs="Arial"/>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5709DD" w:rsidRPr="003463CF" w:rsidTr="00927E1F">
        <w:trPr>
          <w:cantSplit/>
        </w:trPr>
        <w:tc>
          <w:tcPr>
            <w:tcW w:w="2372" w:type="dxa"/>
            <w:tcBorders>
              <w:top w:val="single" w:sz="4" w:space="0" w:color="auto"/>
              <w:left w:val="single" w:sz="4" w:space="0" w:color="auto"/>
              <w:bottom w:val="single" w:sz="4" w:space="0" w:color="auto"/>
            </w:tcBorders>
            <w:shd w:val="clear" w:color="auto" w:fill="C5D9F1"/>
            <w:vAlign w:val="center"/>
          </w:tcPr>
          <w:p w:rsidR="005709DD" w:rsidRPr="003463CF" w:rsidRDefault="005709DD" w:rsidP="00927E1F">
            <w:pPr>
              <w:autoSpaceDE w:val="0"/>
              <w:autoSpaceDN w:val="0"/>
              <w:adjustRightInd w:val="0"/>
              <w:ind w:right="-59"/>
              <w:jc w:val="center"/>
              <w:rPr>
                <w:b/>
                <w:bCs/>
                <w:iCs/>
                <w:sz w:val="16"/>
                <w:szCs w:val="16"/>
              </w:rPr>
            </w:pPr>
            <w:r w:rsidRPr="003463CF">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5709DD" w:rsidRPr="003463CF" w:rsidRDefault="005709DD" w:rsidP="00927E1F">
            <w:pPr>
              <w:autoSpaceDE w:val="0"/>
              <w:autoSpaceDN w:val="0"/>
              <w:adjustRightInd w:val="0"/>
              <w:ind w:right="-59"/>
              <w:jc w:val="center"/>
              <w:rPr>
                <w:b/>
                <w:bCs/>
                <w:iCs/>
                <w:sz w:val="16"/>
                <w:szCs w:val="16"/>
              </w:rPr>
            </w:pPr>
            <w:r w:rsidRPr="003463CF">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5709DD" w:rsidRPr="003463CF" w:rsidRDefault="005709DD" w:rsidP="00927E1F">
            <w:pPr>
              <w:autoSpaceDE w:val="0"/>
              <w:autoSpaceDN w:val="0"/>
              <w:adjustRightInd w:val="0"/>
              <w:ind w:right="-59"/>
              <w:jc w:val="center"/>
              <w:rPr>
                <w:b/>
                <w:bCs/>
                <w:iCs/>
                <w:sz w:val="16"/>
                <w:szCs w:val="16"/>
              </w:rPr>
            </w:pPr>
            <w:r w:rsidRPr="003463CF">
              <w:rPr>
                <w:b/>
                <w:bCs/>
                <w:iCs/>
                <w:sz w:val="16"/>
                <w:szCs w:val="16"/>
              </w:rPr>
              <w:t>Évolution des risques et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5709DD" w:rsidRPr="003463CF" w:rsidRDefault="005709DD" w:rsidP="00927E1F">
            <w:pPr>
              <w:autoSpaceDE w:val="0"/>
              <w:autoSpaceDN w:val="0"/>
              <w:adjustRightInd w:val="0"/>
              <w:jc w:val="center"/>
              <w:rPr>
                <w:b/>
                <w:bCs/>
                <w:iCs/>
                <w:sz w:val="16"/>
                <w:szCs w:val="16"/>
              </w:rPr>
            </w:pPr>
            <w:r w:rsidRPr="003463CF">
              <w:rPr>
                <w:b/>
                <w:bCs/>
                <w:iCs/>
                <w:sz w:val="16"/>
                <w:szCs w:val="16"/>
              </w:rPr>
              <w:t>Incidence sur les résultats du programme</w:t>
            </w:r>
          </w:p>
        </w:tc>
      </w:tr>
      <w:tr w:rsidR="005709DD" w:rsidRPr="003463CF" w:rsidTr="00927E1F">
        <w:tblPrEx>
          <w:jc w:val="center"/>
          <w:tblBorders>
            <w:top w:val="single" w:sz="4" w:space="0" w:color="auto"/>
            <w:left w:val="single" w:sz="4" w:space="0" w:color="auto"/>
            <w:bottom w:val="single" w:sz="4" w:space="0" w:color="auto"/>
            <w:right w:val="single" w:sz="4" w:space="0" w:color="auto"/>
          </w:tblBorders>
        </w:tblPrEx>
        <w:trPr>
          <w:cantSplit/>
          <w:jc w:val="center"/>
        </w:trPr>
        <w:tc>
          <w:tcPr>
            <w:tcW w:w="2372" w:type="dxa"/>
            <w:tcBorders>
              <w:top w:val="single" w:sz="4" w:space="0" w:color="auto"/>
            </w:tcBorders>
            <w:shd w:val="clear" w:color="auto" w:fill="auto"/>
            <w:tcMar>
              <w:top w:w="113" w:type="dxa"/>
              <w:bottom w:w="85" w:type="dxa"/>
            </w:tcMar>
          </w:tcPr>
          <w:p w:rsidR="005709DD" w:rsidRPr="003463CF" w:rsidRDefault="005709DD" w:rsidP="00927E1F">
            <w:pPr>
              <w:keepNext/>
              <w:keepLines/>
              <w:rPr>
                <w:sz w:val="16"/>
                <w:szCs w:val="16"/>
              </w:rPr>
            </w:pPr>
            <w:r w:rsidRPr="003463CF">
              <w:rPr>
                <w:sz w:val="16"/>
                <w:szCs w:val="16"/>
              </w:rPr>
              <w:t>La défaillance de certains fournisseurs essentiels perturbe la prestation de services en direction de nos clients externes.</w:t>
            </w:r>
          </w:p>
        </w:tc>
        <w:tc>
          <w:tcPr>
            <w:tcW w:w="2373" w:type="dxa"/>
            <w:tcBorders>
              <w:top w:val="single" w:sz="4" w:space="0" w:color="auto"/>
            </w:tcBorders>
            <w:shd w:val="clear" w:color="auto" w:fill="auto"/>
            <w:tcMar>
              <w:top w:w="113" w:type="dxa"/>
              <w:bottom w:w="85" w:type="dxa"/>
            </w:tcMar>
          </w:tcPr>
          <w:p w:rsidR="005709DD" w:rsidRPr="003463CF" w:rsidRDefault="005709DD" w:rsidP="00927E1F">
            <w:pPr>
              <w:keepNext/>
              <w:keepLines/>
              <w:autoSpaceDE w:val="0"/>
              <w:autoSpaceDN w:val="0"/>
              <w:adjustRightInd w:val="0"/>
              <w:ind w:right="-59"/>
              <w:rPr>
                <w:sz w:val="16"/>
                <w:szCs w:val="16"/>
              </w:rPr>
            </w:pPr>
            <w:r w:rsidRPr="003463CF">
              <w:rPr>
                <w:sz w:val="16"/>
                <w:szCs w:val="16"/>
              </w:rPr>
              <w:t>Les programmes du PTD et de l’OMPI devraient permettre de concevoir un plan d’urgence garantissant un fonctionnement continu pour les contrats considérés comme à haut risque et vitaux.</w:t>
            </w:r>
          </w:p>
        </w:tc>
        <w:tc>
          <w:tcPr>
            <w:tcW w:w="2373" w:type="dxa"/>
            <w:tcBorders>
              <w:top w:val="single" w:sz="4" w:space="0" w:color="auto"/>
            </w:tcBorders>
          </w:tcPr>
          <w:p w:rsidR="005709DD" w:rsidRPr="003463CF" w:rsidRDefault="005709DD" w:rsidP="00927E1F">
            <w:pPr>
              <w:keepNext/>
              <w:keepLines/>
              <w:autoSpaceDE w:val="0"/>
              <w:autoSpaceDN w:val="0"/>
              <w:adjustRightInd w:val="0"/>
              <w:ind w:right="-59"/>
              <w:rPr>
                <w:sz w:val="16"/>
                <w:szCs w:val="16"/>
              </w:rPr>
            </w:pPr>
            <w:r w:rsidRPr="003463CF">
              <w:rPr>
                <w:sz w:val="16"/>
                <w:szCs w:val="16"/>
              </w:rPr>
              <w:t>Ce risque, qui a un caractère permanent pour l’Organisation, a été mieux cerné grâce à l’établissement d’une liste des fournisseurs “essentiels” dans les plans d’achat des différents programmes en concertation avec la Division des achats et des voyages.  Il est dûment tenu compte au cours de l’examen des plans d’achat des mesures permettant de faire face aux interruptions de service, qui sont également prises en considération dans les conditions contractuelles le cas échéant.  Des plans d’urgence officiels continueront d’être mis au point en concertation avec les programmes, avec la participation de la Division des achats et des voyages.</w:t>
            </w:r>
          </w:p>
        </w:tc>
        <w:tc>
          <w:tcPr>
            <w:tcW w:w="2373" w:type="dxa"/>
            <w:tcBorders>
              <w:top w:val="single" w:sz="4" w:space="0" w:color="auto"/>
            </w:tcBorders>
          </w:tcPr>
          <w:p w:rsidR="005709DD" w:rsidRPr="003463CF" w:rsidRDefault="005709DD" w:rsidP="00927E1F">
            <w:pPr>
              <w:keepNext/>
              <w:keepLines/>
              <w:autoSpaceDE w:val="0"/>
              <w:autoSpaceDN w:val="0"/>
              <w:adjustRightInd w:val="0"/>
              <w:ind w:right="-59"/>
              <w:rPr>
                <w:sz w:val="16"/>
                <w:szCs w:val="16"/>
              </w:rPr>
            </w:pPr>
            <w:r w:rsidRPr="003463CF">
              <w:rPr>
                <w:sz w:val="16"/>
                <w:szCs w:val="16"/>
              </w:rPr>
              <w:t>Ce risque et son évolution n’ont eu aucune incidence concrète sur les résultats du programme en 2014</w:t>
            </w:r>
            <w:r w:rsidRPr="003463CF">
              <w:rPr>
                <w:sz w:val="16"/>
                <w:szCs w:val="16"/>
              </w:rPr>
              <w:noBreakHyphen/>
              <w:t xml:space="preserve">2015.  </w:t>
            </w:r>
          </w:p>
        </w:tc>
      </w:tr>
      <w:tr w:rsidR="005709DD" w:rsidRPr="003463CF" w:rsidTr="00927E1F">
        <w:tblPrEx>
          <w:jc w:val="center"/>
          <w:tblBorders>
            <w:top w:val="single" w:sz="4" w:space="0" w:color="auto"/>
            <w:left w:val="single" w:sz="4" w:space="0" w:color="auto"/>
            <w:bottom w:val="single" w:sz="4" w:space="0" w:color="auto"/>
            <w:right w:val="single" w:sz="4" w:space="0" w:color="auto"/>
          </w:tblBorders>
        </w:tblPrEx>
        <w:trPr>
          <w:cantSplit/>
          <w:jc w:val="center"/>
        </w:trPr>
        <w:tc>
          <w:tcPr>
            <w:tcW w:w="2372" w:type="dxa"/>
            <w:shd w:val="clear" w:color="auto" w:fill="auto"/>
            <w:tcMar>
              <w:top w:w="113" w:type="dxa"/>
              <w:bottom w:w="85" w:type="dxa"/>
            </w:tcMar>
          </w:tcPr>
          <w:p w:rsidR="005709DD" w:rsidRPr="003463CF" w:rsidRDefault="005709DD" w:rsidP="00927E1F">
            <w:pPr>
              <w:rPr>
                <w:sz w:val="16"/>
              </w:rPr>
            </w:pPr>
            <w:r w:rsidRPr="003463CF">
              <w:rPr>
                <w:sz w:val="16"/>
              </w:rPr>
              <w:t>Une manifestation ou un incident extérieurs empêchent un ou plusieurs bâtiment(s) d’être occupé(s) sur une durée prolongée, ce qui peut perturber les services externes et entraîner un gaspillage des ressources et donc avoir des conséquences négatives sur les résultats du programme.</w:t>
            </w:r>
          </w:p>
        </w:tc>
        <w:tc>
          <w:tcPr>
            <w:tcW w:w="2373" w:type="dxa"/>
            <w:shd w:val="clear" w:color="auto" w:fill="auto"/>
            <w:tcMar>
              <w:top w:w="113" w:type="dxa"/>
              <w:bottom w:w="85" w:type="dxa"/>
            </w:tcMar>
          </w:tcPr>
          <w:p w:rsidR="005709DD" w:rsidRPr="003463CF" w:rsidRDefault="005709DD" w:rsidP="00927E1F">
            <w:pPr>
              <w:autoSpaceDE w:val="0"/>
              <w:autoSpaceDN w:val="0"/>
              <w:adjustRightInd w:val="0"/>
              <w:ind w:right="-59"/>
              <w:rPr>
                <w:sz w:val="16"/>
              </w:rPr>
            </w:pPr>
            <w:r w:rsidRPr="003463CF">
              <w:rPr>
                <w:sz w:val="16"/>
              </w:rPr>
              <w:t>Développer un plan de rénovation et d’entretien majeur de tous les locaux et continuer de procéder à l’entretien régulier – voire renforcer l’entretien régulier – de toutes les installations techniques essentielles.  Examiner et actualiser régulièrement le plan de continuité des opérations et le déclencher si nécessaire.  Identifier les options en matière de bureaux de soutien.</w:t>
            </w:r>
          </w:p>
        </w:tc>
        <w:tc>
          <w:tcPr>
            <w:tcW w:w="2373" w:type="dxa"/>
          </w:tcPr>
          <w:p w:rsidR="005709DD" w:rsidRPr="003463CF" w:rsidRDefault="005709DD" w:rsidP="00927E1F">
            <w:pPr>
              <w:autoSpaceDE w:val="0"/>
              <w:autoSpaceDN w:val="0"/>
              <w:adjustRightInd w:val="0"/>
              <w:ind w:right="-59"/>
              <w:rPr>
                <w:sz w:val="16"/>
                <w:szCs w:val="16"/>
              </w:rPr>
            </w:pPr>
            <w:r w:rsidRPr="003463CF">
              <w:rPr>
                <w:sz w:val="16"/>
                <w:szCs w:val="16"/>
              </w:rPr>
              <w:t>Il s’agit d’un risque permanent pour l’Organisation, des stratégies appropriées ayant été mises en place pour l’atténuer.  Cette question a également été prise en considération dans le cadre du plan de continuité des opérations de l’OMPI et de la préparation aux situations de crise et d’urgence.</w:t>
            </w:r>
          </w:p>
          <w:p w:rsidR="005709DD" w:rsidRPr="003463CF" w:rsidRDefault="005709DD" w:rsidP="00927E1F">
            <w:pPr>
              <w:autoSpaceDE w:val="0"/>
              <w:autoSpaceDN w:val="0"/>
              <w:adjustRightInd w:val="0"/>
              <w:ind w:right="-59"/>
              <w:rPr>
                <w:sz w:val="16"/>
                <w:szCs w:val="16"/>
              </w:rPr>
            </w:pPr>
          </w:p>
          <w:p w:rsidR="005709DD" w:rsidRPr="003463CF" w:rsidRDefault="005709DD" w:rsidP="00927E1F">
            <w:pPr>
              <w:autoSpaceDE w:val="0"/>
              <w:autoSpaceDN w:val="0"/>
              <w:adjustRightInd w:val="0"/>
              <w:ind w:right="-59"/>
              <w:rPr>
                <w:sz w:val="16"/>
                <w:szCs w:val="16"/>
              </w:rPr>
            </w:pPr>
            <w:r w:rsidRPr="003463CF">
              <w:rPr>
                <w:sz w:val="16"/>
                <w:szCs w:val="16"/>
              </w:rPr>
              <w:t>Établissement de la première phase du plan de rénovation et d’entretien majeur.</w:t>
            </w:r>
          </w:p>
          <w:p w:rsidR="005709DD" w:rsidRPr="003463CF" w:rsidRDefault="005709DD" w:rsidP="00927E1F">
            <w:pPr>
              <w:autoSpaceDE w:val="0"/>
              <w:autoSpaceDN w:val="0"/>
              <w:adjustRightInd w:val="0"/>
              <w:ind w:right="-59"/>
              <w:rPr>
                <w:sz w:val="16"/>
                <w:szCs w:val="16"/>
              </w:rPr>
            </w:pPr>
          </w:p>
          <w:p w:rsidR="005709DD" w:rsidRPr="003463CF" w:rsidRDefault="005709DD" w:rsidP="00927E1F">
            <w:pPr>
              <w:autoSpaceDE w:val="0"/>
              <w:autoSpaceDN w:val="0"/>
              <w:adjustRightInd w:val="0"/>
              <w:ind w:right="-59"/>
              <w:rPr>
                <w:sz w:val="16"/>
                <w:szCs w:val="16"/>
              </w:rPr>
            </w:pPr>
            <w:r w:rsidRPr="003463CF">
              <w:rPr>
                <w:sz w:val="16"/>
                <w:szCs w:val="16"/>
              </w:rPr>
              <w:t xml:space="preserve">Les options en matière de bureaux de soutien concernent en premier lieu les locaux actuellement loués à l’extérieur;  d’autres locaux plus éloignés doivent encore être recensés.  </w:t>
            </w:r>
          </w:p>
        </w:tc>
        <w:tc>
          <w:tcPr>
            <w:tcW w:w="2373" w:type="dxa"/>
          </w:tcPr>
          <w:p w:rsidR="005709DD" w:rsidRPr="003463CF" w:rsidRDefault="005709DD" w:rsidP="00927E1F">
            <w:pPr>
              <w:autoSpaceDE w:val="0"/>
              <w:autoSpaceDN w:val="0"/>
              <w:adjustRightInd w:val="0"/>
              <w:ind w:right="-59"/>
              <w:rPr>
                <w:sz w:val="16"/>
              </w:rPr>
            </w:pPr>
            <w:r w:rsidRPr="003463CF">
              <w:rPr>
                <w:sz w:val="16"/>
                <w:szCs w:val="16"/>
              </w:rPr>
              <w:t>Ce risque et son évolution n’ont eu aucune incidence concrète sur les résultats du programme en 2014</w:t>
            </w:r>
            <w:r w:rsidRPr="003463CF">
              <w:rPr>
                <w:sz w:val="16"/>
                <w:szCs w:val="16"/>
              </w:rPr>
              <w:noBreakHyphen/>
              <w:t xml:space="preserve">2015.  </w:t>
            </w:r>
          </w:p>
        </w:tc>
      </w:tr>
    </w:tbl>
    <w:p w:rsidR="005709DD" w:rsidRPr="003463CF" w:rsidRDefault="005709DD" w:rsidP="00927E1F">
      <w:pPr>
        <w:rPr>
          <w:color w:val="000000"/>
          <w:szCs w:val="22"/>
        </w:rPr>
      </w:pPr>
    </w:p>
    <w:p w:rsidR="005709DD" w:rsidRPr="003463CF" w:rsidRDefault="005709DD" w:rsidP="00927E1F">
      <w:pPr>
        <w:rPr>
          <w:color w:val="000000"/>
          <w:szCs w:val="22"/>
        </w:rPr>
      </w:pPr>
    </w:p>
    <w:p w:rsidR="005709DD" w:rsidRPr="003463CF" w:rsidRDefault="005709DD">
      <w:pPr>
        <w:rPr>
          <w:caps/>
          <w:sz w:val="22"/>
        </w:rPr>
      </w:pPr>
      <w:r w:rsidRPr="003463CF">
        <w:br w:type="page"/>
      </w:r>
    </w:p>
    <w:p w:rsidR="005709DD" w:rsidRPr="005709DD" w:rsidRDefault="005709DD" w:rsidP="005709DD">
      <w:pPr>
        <w:rPr>
          <w:sz w:val="22"/>
        </w:rPr>
      </w:pPr>
      <w:r w:rsidRPr="005709DD">
        <w:rPr>
          <w:sz w:val="22"/>
        </w:rPr>
        <w:lastRenderedPageBreak/>
        <w:t>UTILISATION DES RESSOURCES</w:t>
      </w:r>
    </w:p>
    <w:p w:rsidR="005709DD" w:rsidRPr="003463CF" w:rsidRDefault="005709DD" w:rsidP="00927E1F">
      <w:pPr>
        <w:jc w:val="center"/>
      </w:pPr>
    </w:p>
    <w:p w:rsidR="005709DD" w:rsidRPr="003463CF" w:rsidRDefault="005709DD" w:rsidP="00927E1F">
      <w:pPr>
        <w:pStyle w:val="NormalWeb"/>
        <w:keepNext/>
        <w:spacing w:before="0" w:beforeAutospacing="0" w:after="0" w:afterAutospacing="0"/>
        <w:jc w:val="center"/>
        <w:rPr>
          <w:sz w:val="20"/>
          <w:szCs w:val="20"/>
        </w:rPr>
      </w:pPr>
      <w:r w:rsidRPr="003463CF">
        <w:rPr>
          <w:sz w:val="20"/>
          <w:szCs w:val="20"/>
        </w:rPr>
        <w:t>Budget et dépenses effectives (par résultat)</w:t>
      </w:r>
    </w:p>
    <w:p w:rsidR="005709DD" w:rsidRPr="003463CF" w:rsidRDefault="005709DD" w:rsidP="00927E1F">
      <w:pPr>
        <w:pStyle w:val="NormalWeb"/>
        <w:keepNext/>
        <w:spacing w:before="0" w:beforeAutospacing="0" w:after="0" w:afterAutospacing="0"/>
        <w:jc w:val="center"/>
        <w:rPr>
          <w:i/>
          <w:iCs/>
          <w:sz w:val="20"/>
          <w:szCs w:val="20"/>
        </w:rPr>
      </w:pPr>
      <w:r w:rsidRPr="003463CF">
        <w:rPr>
          <w:i/>
          <w:iCs/>
          <w:sz w:val="20"/>
          <w:szCs w:val="20"/>
        </w:rPr>
        <w:t>(</w:t>
      </w:r>
      <w:proofErr w:type="gramStart"/>
      <w:r w:rsidRPr="003463CF">
        <w:rPr>
          <w:i/>
          <w:iCs/>
          <w:sz w:val="20"/>
          <w:szCs w:val="20"/>
        </w:rPr>
        <w:t>en</w:t>
      </w:r>
      <w:proofErr w:type="gramEnd"/>
      <w:r w:rsidRPr="003463CF">
        <w:rPr>
          <w:i/>
          <w:iCs/>
          <w:sz w:val="20"/>
          <w:szCs w:val="20"/>
        </w:rPr>
        <w:t xml:space="preserve"> milliers de francs suisses)</w:t>
      </w:r>
    </w:p>
    <w:p w:rsidR="005709DD" w:rsidRPr="003463CF" w:rsidRDefault="005709DD" w:rsidP="00927E1F">
      <w:pPr>
        <w:keepNext/>
        <w:jc w:val="both"/>
      </w:pPr>
    </w:p>
    <w:tbl>
      <w:tblPr>
        <w:tblW w:w="5000" w:type="pct"/>
        <w:tblCellMar>
          <w:top w:w="113" w:type="dxa"/>
          <w:left w:w="70" w:type="dxa"/>
          <w:bottom w:w="113" w:type="dxa"/>
          <w:right w:w="70" w:type="dxa"/>
        </w:tblCellMar>
        <w:tblLook w:val="04A0" w:firstRow="1" w:lastRow="0" w:firstColumn="1" w:lastColumn="0" w:noHBand="0" w:noVBand="1"/>
      </w:tblPr>
      <w:tblGrid>
        <w:gridCol w:w="630"/>
        <w:gridCol w:w="4599"/>
        <w:gridCol w:w="1422"/>
        <w:gridCol w:w="1422"/>
        <w:gridCol w:w="1422"/>
      </w:tblGrid>
      <w:tr w:rsidR="005709DD" w:rsidRPr="003463CF" w:rsidTr="00927E1F">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5709DD" w:rsidRPr="003463CF" w:rsidRDefault="005709DD" w:rsidP="00927E1F">
            <w:pPr>
              <w:jc w:val="center"/>
              <w:rPr>
                <w:i/>
                <w:iCs/>
                <w:sz w:val="16"/>
                <w:szCs w:val="16"/>
              </w:rPr>
            </w:pPr>
            <w:r w:rsidRPr="003463CF">
              <w:rPr>
                <w:i/>
                <w:iCs/>
                <w:sz w:val="16"/>
                <w:szCs w:val="16"/>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5709DD" w:rsidRPr="003463CF" w:rsidRDefault="005709DD" w:rsidP="00927E1F">
            <w:pPr>
              <w:jc w:val="center"/>
              <w:rPr>
                <w:i/>
                <w:iCs/>
                <w:sz w:val="16"/>
                <w:szCs w:val="16"/>
              </w:rPr>
            </w:pPr>
            <w:r w:rsidRPr="003463CF">
              <w:rPr>
                <w:i/>
                <w:iCs/>
                <w:sz w:val="16"/>
                <w:szCs w:val="16"/>
              </w:rPr>
              <w:t>Budget</w:t>
            </w:r>
            <w:r w:rsidRPr="003463CF">
              <w:rPr>
                <w:i/>
                <w:iCs/>
                <w:sz w:val="16"/>
                <w:szCs w:val="16"/>
              </w:rPr>
              <w:br/>
              <w:t>2014</w:t>
            </w:r>
            <w:r w:rsidRPr="003463CF">
              <w:rPr>
                <w:i/>
                <w:iCs/>
                <w:sz w:val="16"/>
                <w:szCs w:val="16"/>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5709DD" w:rsidRPr="003463CF" w:rsidRDefault="005709DD" w:rsidP="00927E1F">
            <w:pPr>
              <w:jc w:val="center"/>
              <w:rPr>
                <w:i/>
                <w:iCs/>
                <w:sz w:val="16"/>
                <w:szCs w:val="16"/>
              </w:rPr>
            </w:pPr>
            <w:r w:rsidRPr="003463CF">
              <w:rPr>
                <w:i/>
                <w:iCs/>
                <w:sz w:val="16"/>
                <w:szCs w:val="16"/>
              </w:rPr>
              <w:t>Budget final</w:t>
            </w:r>
            <w:r w:rsidRPr="003463CF">
              <w:rPr>
                <w:i/>
                <w:iCs/>
                <w:sz w:val="16"/>
                <w:szCs w:val="16"/>
              </w:rPr>
              <w:br/>
              <w:t>2014</w:t>
            </w:r>
            <w:r w:rsidRPr="003463CF">
              <w:rPr>
                <w:i/>
                <w:iCs/>
                <w:sz w:val="16"/>
                <w:szCs w:val="16"/>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5709DD" w:rsidRPr="003463CF" w:rsidRDefault="005709DD" w:rsidP="00927E1F">
            <w:pPr>
              <w:jc w:val="center"/>
              <w:rPr>
                <w:i/>
                <w:iCs/>
                <w:sz w:val="16"/>
                <w:szCs w:val="16"/>
              </w:rPr>
            </w:pPr>
            <w:r w:rsidRPr="003463CF">
              <w:rPr>
                <w:i/>
                <w:iCs/>
                <w:sz w:val="16"/>
                <w:szCs w:val="16"/>
              </w:rPr>
              <w:t>Dépenses</w:t>
            </w:r>
            <w:r w:rsidRPr="003463CF">
              <w:rPr>
                <w:i/>
                <w:iCs/>
                <w:sz w:val="16"/>
                <w:szCs w:val="16"/>
              </w:rPr>
              <w:br/>
              <w:t>2014</w:t>
            </w:r>
            <w:r w:rsidRPr="003463CF">
              <w:rPr>
                <w:i/>
                <w:iCs/>
                <w:sz w:val="16"/>
                <w:szCs w:val="16"/>
              </w:rPr>
              <w:noBreakHyphen/>
              <w:t>2015</w:t>
            </w:r>
          </w:p>
        </w:tc>
      </w:tr>
      <w:tr w:rsidR="005709DD" w:rsidRPr="003463CF" w:rsidTr="00927E1F">
        <w:trPr>
          <w:cantSplit/>
        </w:trPr>
        <w:tc>
          <w:tcPr>
            <w:tcW w:w="602" w:type="dxa"/>
            <w:tcBorders>
              <w:top w:val="nil"/>
              <w:left w:val="single" w:sz="4" w:space="0" w:color="auto"/>
              <w:bottom w:val="nil"/>
              <w:right w:val="nil"/>
            </w:tcBorders>
            <w:shd w:val="clear" w:color="auto" w:fill="auto"/>
            <w:noWrap/>
            <w:vAlign w:val="center"/>
            <w:hideMark/>
          </w:tcPr>
          <w:p w:rsidR="005709DD" w:rsidRPr="003463CF" w:rsidRDefault="005709DD" w:rsidP="00927E1F">
            <w:pPr>
              <w:rPr>
                <w:sz w:val="16"/>
                <w:szCs w:val="16"/>
              </w:rPr>
            </w:pPr>
            <w:r w:rsidRPr="003463CF">
              <w:rPr>
                <w:sz w:val="16"/>
                <w:szCs w:val="16"/>
              </w:rPr>
              <w:t>VIII.5</w:t>
            </w:r>
          </w:p>
        </w:tc>
        <w:tc>
          <w:tcPr>
            <w:tcW w:w="4398" w:type="dxa"/>
            <w:tcBorders>
              <w:top w:val="nil"/>
              <w:left w:val="nil"/>
              <w:bottom w:val="nil"/>
              <w:right w:val="nil"/>
            </w:tcBorders>
            <w:shd w:val="clear" w:color="auto" w:fill="auto"/>
            <w:vAlign w:val="center"/>
            <w:hideMark/>
          </w:tcPr>
          <w:p w:rsidR="005709DD" w:rsidRPr="003463CF" w:rsidRDefault="005709DD" w:rsidP="00927E1F">
            <w:pPr>
              <w:rPr>
                <w:sz w:val="16"/>
                <w:szCs w:val="16"/>
              </w:rPr>
            </w:pPr>
            <w:r w:rsidRPr="003463CF">
              <w:rPr>
                <w:sz w:val="16"/>
                <w:szCs w:val="16"/>
              </w:rPr>
              <w:t>L’OMPI collabore efficacement avec d’autres processus et instances de négociation de l’ONU et d’autres organisations intergouvernementales</w:t>
            </w:r>
          </w:p>
        </w:tc>
        <w:tc>
          <w:tcPr>
            <w:tcW w:w="1360" w:type="dxa"/>
            <w:tcBorders>
              <w:top w:val="nil"/>
              <w:left w:val="nil"/>
              <w:bottom w:val="nil"/>
              <w:right w:val="nil"/>
            </w:tcBorders>
            <w:shd w:val="clear" w:color="auto" w:fill="auto"/>
            <w:vAlign w:val="center"/>
            <w:hideMark/>
          </w:tcPr>
          <w:p w:rsidR="005709DD" w:rsidRPr="003463CF" w:rsidRDefault="005709DD" w:rsidP="00927E1F">
            <w:pPr>
              <w:jc w:val="right"/>
              <w:rPr>
                <w:sz w:val="16"/>
                <w:szCs w:val="16"/>
              </w:rPr>
            </w:pPr>
            <w:r>
              <w:rPr>
                <w:sz w:val="16"/>
                <w:szCs w:val="16"/>
              </w:rPr>
              <w:t>1 </w:t>
            </w:r>
            <w:r w:rsidRPr="003463CF">
              <w:rPr>
                <w:sz w:val="16"/>
                <w:szCs w:val="16"/>
              </w:rPr>
              <w:t>105</w:t>
            </w:r>
          </w:p>
        </w:tc>
        <w:tc>
          <w:tcPr>
            <w:tcW w:w="1360" w:type="dxa"/>
            <w:tcBorders>
              <w:top w:val="nil"/>
              <w:left w:val="nil"/>
              <w:bottom w:val="nil"/>
              <w:right w:val="nil"/>
            </w:tcBorders>
            <w:shd w:val="clear" w:color="auto" w:fill="auto"/>
            <w:vAlign w:val="center"/>
            <w:hideMark/>
          </w:tcPr>
          <w:p w:rsidR="005709DD" w:rsidRPr="003463CF" w:rsidRDefault="005709DD" w:rsidP="00927E1F">
            <w:pPr>
              <w:jc w:val="right"/>
              <w:rPr>
                <w:sz w:val="16"/>
                <w:szCs w:val="16"/>
              </w:rPr>
            </w:pPr>
            <w:r>
              <w:rPr>
                <w:sz w:val="16"/>
                <w:szCs w:val="16"/>
              </w:rPr>
              <w:t>2 </w:t>
            </w:r>
            <w:r w:rsidRPr="003463CF">
              <w:rPr>
                <w:sz w:val="16"/>
                <w:szCs w:val="16"/>
              </w:rPr>
              <w:t>929</w:t>
            </w:r>
          </w:p>
        </w:tc>
        <w:tc>
          <w:tcPr>
            <w:tcW w:w="1360" w:type="dxa"/>
            <w:tcBorders>
              <w:top w:val="nil"/>
              <w:left w:val="nil"/>
              <w:bottom w:val="nil"/>
              <w:right w:val="single" w:sz="4" w:space="0" w:color="auto"/>
            </w:tcBorders>
            <w:shd w:val="clear" w:color="auto" w:fill="auto"/>
            <w:vAlign w:val="center"/>
            <w:hideMark/>
          </w:tcPr>
          <w:p w:rsidR="005709DD" w:rsidRPr="003463CF" w:rsidRDefault="005709DD" w:rsidP="00927E1F">
            <w:pPr>
              <w:jc w:val="right"/>
              <w:rPr>
                <w:sz w:val="16"/>
                <w:szCs w:val="16"/>
              </w:rPr>
            </w:pPr>
            <w:r>
              <w:rPr>
                <w:sz w:val="16"/>
                <w:szCs w:val="16"/>
              </w:rPr>
              <w:t>2 </w:t>
            </w:r>
            <w:r w:rsidRPr="003463CF">
              <w:rPr>
                <w:sz w:val="16"/>
                <w:szCs w:val="16"/>
              </w:rPr>
              <w:t>663</w:t>
            </w:r>
          </w:p>
        </w:tc>
      </w:tr>
      <w:tr w:rsidR="005709DD" w:rsidRPr="003463CF" w:rsidTr="00927E1F">
        <w:trPr>
          <w:cantSplit/>
        </w:trPr>
        <w:tc>
          <w:tcPr>
            <w:tcW w:w="602" w:type="dxa"/>
            <w:tcBorders>
              <w:top w:val="nil"/>
              <w:left w:val="single" w:sz="4" w:space="0" w:color="auto"/>
              <w:bottom w:val="nil"/>
              <w:right w:val="nil"/>
            </w:tcBorders>
            <w:shd w:val="clear" w:color="auto" w:fill="auto"/>
            <w:noWrap/>
            <w:vAlign w:val="center"/>
            <w:hideMark/>
          </w:tcPr>
          <w:p w:rsidR="005709DD" w:rsidRPr="003463CF" w:rsidRDefault="005709DD" w:rsidP="00927E1F">
            <w:pPr>
              <w:rPr>
                <w:sz w:val="16"/>
                <w:szCs w:val="16"/>
              </w:rPr>
            </w:pPr>
            <w:r w:rsidRPr="003463CF">
              <w:rPr>
                <w:sz w:val="16"/>
                <w:szCs w:val="16"/>
              </w:rPr>
              <w:t>IX.1</w:t>
            </w:r>
          </w:p>
        </w:tc>
        <w:tc>
          <w:tcPr>
            <w:tcW w:w="4398" w:type="dxa"/>
            <w:tcBorders>
              <w:top w:val="nil"/>
              <w:left w:val="nil"/>
              <w:bottom w:val="nil"/>
              <w:right w:val="nil"/>
            </w:tcBorders>
            <w:shd w:val="clear" w:color="auto" w:fill="auto"/>
            <w:vAlign w:val="center"/>
            <w:hideMark/>
          </w:tcPr>
          <w:p w:rsidR="005709DD" w:rsidRPr="003463CF" w:rsidRDefault="005709DD" w:rsidP="00927E1F">
            <w:pPr>
              <w:rPr>
                <w:sz w:val="16"/>
                <w:szCs w:val="16"/>
              </w:rPr>
            </w:pPr>
            <w:r w:rsidRPr="003463CF">
              <w:rPr>
                <w:sz w:val="16"/>
                <w:szCs w:val="16"/>
              </w:rPr>
              <w:t>Services d’appui efficaces, efficients, de qualité et tournés vers la clientèle, à l’intention à la fois des clients internes et des parties prenantes externes</w:t>
            </w:r>
          </w:p>
        </w:tc>
        <w:tc>
          <w:tcPr>
            <w:tcW w:w="1360" w:type="dxa"/>
            <w:tcBorders>
              <w:top w:val="nil"/>
              <w:left w:val="nil"/>
              <w:bottom w:val="nil"/>
              <w:right w:val="nil"/>
            </w:tcBorders>
            <w:shd w:val="clear" w:color="auto" w:fill="auto"/>
            <w:vAlign w:val="center"/>
            <w:hideMark/>
          </w:tcPr>
          <w:p w:rsidR="005709DD" w:rsidRPr="003463CF" w:rsidRDefault="005709DD" w:rsidP="00927E1F">
            <w:pPr>
              <w:jc w:val="right"/>
              <w:rPr>
                <w:sz w:val="16"/>
                <w:szCs w:val="16"/>
              </w:rPr>
            </w:pPr>
            <w:r w:rsidRPr="003463CF">
              <w:rPr>
                <w:sz w:val="16"/>
                <w:szCs w:val="16"/>
              </w:rPr>
              <w:t>44 878</w:t>
            </w:r>
          </w:p>
        </w:tc>
        <w:tc>
          <w:tcPr>
            <w:tcW w:w="1360" w:type="dxa"/>
            <w:tcBorders>
              <w:top w:val="nil"/>
              <w:left w:val="nil"/>
              <w:bottom w:val="nil"/>
              <w:right w:val="nil"/>
            </w:tcBorders>
            <w:shd w:val="clear" w:color="auto" w:fill="auto"/>
            <w:vAlign w:val="center"/>
            <w:hideMark/>
          </w:tcPr>
          <w:p w:rsidR="005709DD" w:rsidRPr="003463CF" w:rsidRDefault="005709DD" w:rsidP="00927E1F">
            <w:pPr>
              <w:jc w:val="right"/>
              <w:rPr>
                <w:sz w:val="16"/>
                <w:szCs w:val="16"/>
              </w:rPr>
            </w:pPr>
            <w:r w:rsidRPr="003463CF">
              <w:rPr>
                <w:sz w:val="16"/>
                <w:szCs w:val="16"/>
              </w:rPr>
              <w:t>42 027</w:t>
            </w:r>
          </w:p>
        </w:tc>
        <w:tc>
          <w:tcPr>
            <w:tcW w:w="1360" w:type="dxa"/>
            <w:tcBorders>
              <w:top w:val="nil"/>
              <w:left w:val="nil"/>
              <w:bottom w:val="nil"/>
              <w:right w:val="single" w:sz="4" w:space="0" w:color="auto"/>
            </w:tcBorders>
            <w:shd w:val="clear" w:color="auto" w:fill="auto"/>
            <w:vAlign w:val="center"/>
            <w:hideMark/>
          </w:tcPr>
          <w:p w:rsidR="005709DD" w:rsidRPr="003463CF" w:rsidRDefault="005709DD" w:rsidP="00927E1F">
            <w:pPr>
              <w:jc w:val="right"/>
              <w:rPr>
                <w:sz w:val="16"/>
                <w:szCs w:val="16"/>
              </w:rPr>
            </w:pPr>
            <w:r w:rsidRPr="003463CF">
              <w:rPr>
                <w:sz w:val="16"/>
                <w:szCs w:val="16"/>
              </w:rPr>
              <w:t>41 098</w:t>
            </w:r>
          </w:p>
        </w:tc>
      </w:tr>
      <w:tr w:rsidR="005709DD" w:rsidRPr="003463CF" w:rsidTr="00927E1F">
        <w:trPr>
          <w:cantSplit/>
        </w:trPr>
        <w:tc>
          <w:tcPr>
            <w:tcW w:w="602" w:type="dxa"/>
            <w:tcBorders>
              <w:top w:val="nil"/>
              <w:left w:val="single" w:sz="4" w:space="0" w:color="auto"/>
              <w:bottom w:val="nil"/>
              <w:right w:val="nil"/>
            </w:tcBorders>
            <w:shd w:val="clear" w:color="auto" w:fill="auto"/>
            <w:noWrap/>
            <w:vAlign w:val="center"/>
            <w:hideMark/>
          </w:tcPr>
          <w:p w:rsidR="005709DD" w:rsidRPr="003463CF" w:rsidRDefault="005709DD" w:rsidP="00927E1F">
            <w:pPr>
              <w:rPr>
                <w:sz w:val="16"/>
                <w:szCs w:val="16"/>
              </w:rPr>
            </w:pPr>
            <w:r w:rsidRPr="003463CF">
              <w:rPr>
                <w:sz w:val="16"/>
                <w:szCs w:val="16"/>
              </w:rPr>
              <w:t>IX.4</w:t>
            </w:r>
          </w:p>
        </w:tc>
        <w:tc>
          <w:tcPr>
            <w:tcW w:w="4398" w:type="dxa"/>
            <w:tcBorders>
              <w:top w:val="nil"/>
              <w:left w:val="nil"/>
              <w:bottom w:val="nil"/>
              <w:right w:val="nil"/>
            </w:tcBorders>
            <w:shd w:val="clear" w:color="auto" w:fill="auto"/>
            <w:vAlign w:val="center"/>
            <w:hideMark/>
          </w:tcPr>
          <w:p w:rsidR="005709DD" w:rsidRPr="003463CF" w:rsidRDefault="005709DD" w:rsidP="00927E1F">
            <w:pPr>
              <w:rPr>
                <w:sz w:val="16"/>
                <w:szCs w:val="16"/>
              </w:rPr>
            </w:pPr>
            <w:r w:rsidRPr="003463CF">
              <w:rPr>
                <w:sz w:val="16"/>
                <w:szCs w:val="16"/>
              </w:rPr>
              <w:t>Une Organisation écologiquement et socialement responsable assurant la sûreté et la sécurité du personnel, des délégués, des visiteurs, de l’information et des biens</w:t>
            </w:r>
          </w:p>
        </w:tc>
        <w:tc>
          <w:tcPr>
            <w:tcW w:w="1360" w:type="dxa"/>
            <w:tcBorders>
              <w:top w:val="nil"/>
              <w:left w:val="nil"/>
              <w:bottom w:val="nil"/>
              <w:right w:val="nil"/>
            </w:tcBorders>
            <w:shd w:val="clear" w:color="auto" w:fill="auto"/>
            <w:vAlign w:val="center"/>
            <w:hideMark/>
          </w:tcPr>
          <w:p w:rsidR="005709DD" w:rsidRPr="003463CF" w:rsidRDefault="005709DD" w:rsidP="00927E1F">
            <w:pPr>
              <w:jc w:val="right"/>
              <w:rPr>
                <w:sz w:val="16"/>
                <w:szCs w:val="16"/>
              </w:rPr>
            </w:pPr>
            <w:r>
              <w:rPr>
                <w:sz w:val="16"/>
                <w:szCs w:val="16"/>
              </w:rPr>
              <w:t>1 </w:t>
            </w:r>
            <w:r w:rsidRPr="003463CF">
              <w:rPr>
                <w:sz w:val="16"/>
                <w:szCs w:val="16"/>
              </w:rPr>
              <w:t>417</w:t>
            </w:r>
          </w:p>
        </w:tc>
        <w:tc>
          <w:tcPr>
            <w:tcW w:w="1360" w:type="dxa"/>
            <w:tcBorders>
              <w:top w:val="nil"/>
              <w:left w:val="nil"/>
              <w:bottom w:val="nil"/>
              <w:right w:val="nil"/>
            </w:tcBorders>
            <w:shd w:val="clear" w:color="auto" w:fill="auto"/>
            <w:vAlign w:val="center"/>
            <w:hideMark/>
          </w:tcPr>
          <w:p w:rsidR="005709DD" w:rsidRPr="003463CF" w:rsidRDefault="005709DD" w:rsidP="00927E1F">
            <w:pPr>
              <w:jc w:val="right"/>
              <w:rPr>
                <w:sz w:val="16"/>
                <w:szCs w:val="16"/>
              </w:rPr>
            </w:pPr>
            <w:r>
              <w:rPr>
                <w:sz w:val="16"/>
                <w:szCs w:val="16"/>
              </w:rPr>
              <w:t>2 </w:t>
            </w:r>
            <w:r w:rsidRPr="003463CF">
              <w:rPr>
                <w:sz w:val="16"/>
                <w:szCs w:val="16"/>
              </w:rPr>
              <w:t>926</w:t>
            </w:r>
          </w:p>
        </w:tc>
        <w:tc>
          <w:tcPr>
            <w:tcW w:w="1360" w:type="dxa"/>
            <w:tcBorders>
              <w:top w:val="nil"/>
              <w:left w:val="nil"/>
              <w:bottom w:val="nil"/>
              <w:right w:val="single" w:sz="4" w:space="0" w:color="auto"/>
            </w:tcBorders>
            <w:shd w:val="clear" w:color="auto" w:fill="auto"/>
            <w:vAlign w:val="center"/>
            <w:hideMark/>
          </w:tcPr>
          <w:p w:rsidR="005709DD" w:rsidRPr="003463CF" w:rsidRDefault="005709DD" w:rsidP="00927E1F">
            <w:pPr>
              <w:jc w:val="right"/>
              <w:rPr>
                <w:sz w:val="16"/>
                <w:szCs w:val="16"/>
              </w:rPr>
            </w:pPr>
            <w:r>
              <w:rPr>
                <w:sz w:val="16"/>
                <w:szCs w:val="16"/>
              </w:rPr>
              <w:t>2 </w:t>
            </w:r>
            <w:r w:rsidRPr="003463CF">
              <w:rPr>
                <w:sz w:val="16"/>
                <w:szCs w:val="16"/>
              </w:rPr>
              <w:t>764</w:t>
            </w:r>
          </w:p>
        </w:tc>
      </w:tr>
      <w:tr w:rsidR="005709DD" w:rsidRPr="003463CF" w:rsidTr="00927E1F">
        <w:trPr>
          <w:cantSplit/>
        </w:trPr>
        <w:tc>
          <w:tcPr>
            <w:tcW w:w="602" w:type="dxa"/>
            <w:tcBorders>
              <w:top w:val="single" w:sz="4" w:space="0" w:color="auto"/>
              <w:left w:val="single" w:sz="4" w:space="0" w:color="auto"/>
              <w:bottom w:val="single" w:sz="4" w:space="0" w:color="auto"/>
              <w:right w:val="nil"/>
            </w:tcBorders>
            <w:shd w:val="clear" w:color="auto" w:fill="C5D9F1"/>
            <w:noWrap/>
            <w:vAlign w:val="bottom"/>
            <w:hideMark/>
          </w:tcPr>
          <w:p w:rsidR="005709DD" w:rsidRPr="003463CF" w:rsidRDefault="005709DD" w:rsidP="00927E1F">
            <w:pPr>
              <w:rPr>
                <w:sz w:val="16"/>
                <w:szCs w:val="16"/>
              </w:rPr>
            </w:pPr>
            <w:r w:rsidRPr="003463CF">
              <w:rPr>
                <w:sz w:val="16"/>
                <w:szCs w:val="16"/>
              </w:rPr>
              <w:t> </w:t>
            </w:r>
          </w:p>
        </w:tc>
        <w:tc>
          <w:tcPr>
            <w:tcW w:w="4398" w:type="dxa"/>
            <w:tcBorders>
              <w:top w:val="single" w:sz="4" w:space="0" w:color="auto"/>
              <w:left w:val="nil"/>
              <w:bottom w:val="single" w:sz="4" w:space="0" w:color="auto"/>
              <w:right w:val="single" w:sz="4" w:space="0" w:color="auto"/>
            </w:tcBorders>
            <w:shd w:val="clear" w:color="auto" w:fill="C5D9F1"/>
            <w:noWrap/>
            <w:vAlign w:val="bottom"/>
            <w:hideMark/>
          </w:tcPr>
          <w:p w:rsidR="005709DD" w:rsidRPr="003463CF" w:rsidRDefault="005709DD" w:rsidP="00927E1F">
            <w:pPr>
              <w:rPr>
                <w:b/>
                <w:bCs/>
                <w:sz w:val="16"/>
                <w:szCs w:val="16"/>
              </w:rPr>
            </w:pPr>
            <w:r w:rsidRPr="003463CF">
              <w:rPr>
                <w:b/>
                <w:bCs/>
                <w:sz w:val="16"/>
                <w:szCs w:val="16"/>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5709DD" w:rsidRPr="003463CF" w:rsidRDefault="005709DD" w:rsidP="00927E1F">
            <w:pPr>
              <w:jc w:val="right"/>
              <w:rPr>
                <w:b/>
                <w:bCs/>
                <w:sz w:val="16"/>
                <w:szCs w:val="16"/>
              </w:rPr>
            </w:pPr>
            <w:r w:rsidRPr="003463CF">
              <w:rPr>
                <w:b/>
                <w:bCs/>
                <w:sz w:val="16"/>
                <w:szCs w:val="16"/>
              </w:rPr>
              <w:t>47 400</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5709DD" w:rsidRPr="003463CF" w:rsidRDefault="005709DD" w:rsidP="00927E1F">
            <w:pPr>
              <w:jc w:val="right"/>
              <w:rPr>
                <w:b/>
                <w:bCs/>
                <w:sz w:val="16"/>
                <w:szCs w:val="16"/>
              </w:rPr>
            </w:pPr>
            <w:r w:rsidRPr="003463CF">
              <w:rPr>
                <w:b/>
                <w:bCs/>
                <w:sz w:val="16"/>
                <w:szCs w:val="16"/>
              </w:rPr>
              <w:t>47 883</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5709DD" w:rsidRPr="003463CF" w:rsidRDefault="005709DD" w:rsidP="00927E1F">
            <w:pPr>
              <w:jc w:val="right"/>
              <w:rPr>
                <w:b/>
                <w:bCs/>
                <w:sz w:val="16"/>
                <w:szCs w:val="16"/>
              </w:rPr>
            </w:pPr>
            <w:r w:rsidRPr="003463CF">
              <w:rPr>
                <w:b/>
                <w:bCs/>
                <w:sz w:val="16"/>
                <w:szCs w:val="16"/>
              </w:rPr>
              <w:t>46 526</w:t>
            </w:r>
          </w:p>
        </w:tc>
      </w:tr>
    </w:tbl>
    <w:p w:rsidR="005709DD" w:rsidRPr="003463CF" w:rsidRDefault="005709DD" w:rsidP="00927E1F"/>
    <w:p w:rsidR="005709DD" w:rsidRPr="003463CF" w:rsidRDefault="005709DD" w:rsidP="00927E1F"/>
    <w:p w:rsidR="005709DD" w:rsidRPr="003463CF" w:rsidRDefault="005709DD" w:rsidP="00927E1F">
      <w:pPr>
        <w:pStyle w:val="NormalWeb"/>
        <w:keepNext/>
        <w:keepLines/>
        <w:spacing w:before="0" w:beforeAutospacing="0" w:after="0" w:afterAutospacing="0"/>
        <w:jc w:val="center"/>
        <w:rPr>
          <w:sz w:val="20"/>
          <w:szCs w:val="20"/>
        </w:rPr>
      </w:pPr>
      <w:r w:rsidRPr="003463CF">
        <w:rPr>
          <w:sz w:val="20"/>
          <w:szCs w:val="20"/>
        </w:rPr>
        <w:t xml:space="preserve">Budget et dépenses effectives (dépenses de </w:t>
      </w:r>
      <w:proofErr w:type="gramStart"/>
      <w:r w:rsidRPr="003463CF">
        <w:rPr>
          <w:sz w:val="20"/>
          <w:szCs w:val="20"/>
        </w:rPr>
        <w:t>personnel et autres dépenses</w:t>
      </w:r>
      <w:proofErr w:type="gramEnd"/>
      <w:r w:rsidRPr="003463CF">
        <w:rPr>
          <w:sz w:val="20"/>
          <w:szCs w:val="20"/>
        </w:rPr>
        <w:t>)</w:t>
      </w:r>
    </w:p>
    <w:p w:rsidR="005709DD" w:rsidRPr="003463CF" w:rsidRDefault="005709DD" w:rsidP="00927E1F">
      <w:pPr>
        <w:pStyle w:val="NormalWeb"/>
        <w:keepNext/>
        <w:keepLines/>
        <w:spacing w:before="0" w:beforeAutospacing="0" w:after="0" w:afterAutospacing="0"/>
        <w:jc w:val="center"/>
        <w:rPr>
          <w:i/>
          <w:iCs/>
          <w:sz w:val="20"/>
          <w:szCs w:val="20"/>
        </w:rPr>
      </w:pPr>
      <w:r w:rsidRPr="003463CF">
        <w:rPr>
          <w:i/>
          <w:iCs/>
          <w:sz w:val="20"/>
          <w:szCs w:val="20"/>
        </w:rPr>
        <w:t>(</w:t>
      </w:r>
      <w:proofErr w:type="gramStart"/>
      <w:r w:rsidRPr="003463CF">
        <w:rPr>
          <w:i/>
          <w:iCs/>
          <w:sz w:val="20"/>
          <w:szCs w:val="20"/>
        </w:rPr>
        <w:t>en</w:t>
      </w:r>
      <w:proofErr w:type="gramEnd"/>
      <w:r w:rsidRPr="003463CF">
        <w:rPr>
          <w:i/>
          <w:iCs/>
          <w:sz w:val="20"/>
          <w:szCs w:val="20"/>
        </w:rPr>
        <w:t xml:space="preserve"> milliers de francs suisses)</w:t>
      </w:r>
    </w:p>
    <w:p w:rsidR="005709DD" w:rsidRPr="003463CF" w:rsidRDefault="005709DD" w:rsidP="00927E1F">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5709DD" w:rsidRPr="003463CF" w:rsidTr="00927E1F">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5709DD" w:rsidRPr="003463CF" w:rsidRDefault="005709DD" w:rsidP="00927E1F">
            <w:pPr>
              <w:rPr>
                <w:color w:val="000000"/>
                <w:sz w:val="16"/>
                <w:szCs w:val="18"/>
              </w:rPr>
            </w:pPr>
            <w:r w:rsidRPr="003463CF">
              <w:rPr>
                <w:color w:val="000000"/>
                <w:sz w:val="16"/>
                <w:szCs w:val="18"/>
              </w:rPr>
              <w:t> </w:t>
            </w:r>
          </w:p>
        </w:tc>
        <w:tc>
          <w:tcPr>
            <w:tcW w:w="1745" w:type="dxa"/>
            <w:tcBorders>
              <w:top w:val="single" w:sz="4" w:space="0" w:color="auto"/>
              <w:left w:val="nil"/>
              <w:bottom w:val="nil"/>
              <w:right w:val="single" w:sz="4" w:space="0" w:color="auto"/>
            </w:tcBorders>
            <w:shd w:val="clear" w:color="auto" w:fill="C5D9F1"/>
            <w:vAlign w:val="center"/>
            <w:hideMark/>
          </w:tcPr>
          <w:p w:rsidR="005709DD" w:rsidRPr="003463CF" w:rsidRDefault="005709DD" w:rsidP="00927E1F">
            <w:pPr>
              <w:jc w:val="center"/>
              <w:rPr>
                <w:b/>
                <w:bCs/>
                <w:color w:val="000000"/>
                <w:sz w:val="16"/>
                <w:szCs w:val="18"/>
              </w:rPr>
            </w:pPr>
            <w:r w:rsidRPr="003463CF">
              <w:rPr>
                <w:b/>
                <w:bCs/>
                <w:color w:val="000000"/>
                <w:sz w:val="16"/>
                <w:szCs w:val="18"/>
              </w:rPr>
              <w:t>Budget 2014</w:t>
            </w:r>
            <w:r w:rsidRPr="003463CF">
              <w:rPr>
                <w:b/>
                <w:bCs/>
                <w:color w:val="000000"/>
                <w:sz w:val="16"/>
                <w:szCs w:val="18"/>
              </w:rPr>
              <w:noBreakHyphen/>
              <w:t>2015 approuvé</w:t>
            </w:r>
          </w:p>
        </w:tc>
        <w:tc>
          <w:tcPr>
            <w:tcW w:w="1746" w:type="dxa"/>
            <w:tcBorders>
              <w:top w:val="single" w:sz="4" w:space="0" w:color="auto"/>
              <w:left w:val="nil"/>
              <w:bottom w:val="nil"/>
              <w:right w:val="single" w:sz="4" w:space="0" w:color="auto"/>
            </w:tcBorders>
            <w:shd w:val="clear" w:color="auto" w:fill="C5D9F1"/>
            <w:vAlign w:val="center"/>
            <w:hideMark/>
          </w:tcPr>
          <w:p w:rsidR="005709DD" w:rsidRPr="003463CF" w:rsidRDefault="005709DD" w:rsidP="00927E1F">
            <w:pPr>
              <w:jc w:val="center"/>
              <w:rPr>
                <w:b/>
                <w:bCs/>
                <w:color w:val="000000"/>
                <w:sz w:val="16"/>
                <w:szCs w:val="18"/>
              </w:rPr>
            </w:pPr>
            <w:r w:rsidRPr="003463CF">
              <w:rPr>
                <w:b/>
                <w:bCs/>
                <w:color w:val="000000"/>
                <w:sz w:val="16"/>
                <w:szCs w:val="18"/>
              </w:rPr>
              <w:t>Budget final 2014</w:t>
            </w:r>
            <w:r w:rsidRPr="003463CF">
              <w:rPr>
                <w:b/>
                <w:bCs/>
                <w:color w:val="000000"/>
                <w:sz w:val="16"/>
                <w:szCs w:val="18"/>
              </w:rPr>
              <w:noBreakHyphen/>
              <w:t>2015</w:t>
            </w:r>
            <w:r w:rsidRPr="003463CF">
              <w:rPr>
                <w:b/>
                <w:bCs/>
                <w:color w:val="000000"/>
                <w:sz w:val="16"/>
                <w:szCs w:val="18"/>
              </w:rPr>
              <w:br/>
              <w:t>après virements</w:t>
            </w:r>
          </w:p>
        </w:tc>
        <w:tc>
          <w:tcPr>
            <w:tcW w:w="1745" w:type="dxa"/>
            <w:tcBorders>
              <w:top w:val="single" w:sz="4" w:space="0" w:color="auto"/>
              <w:left w:val="nil"/>
              <w:bottom w:val="nil"/>
              <w:right w:val="single" w:sz="4" w:space="0" w:color="auto"/>
            </w:tcBorders>
            <w:shd w:val="clear" w:color="auto" w:fill="C5D9F1"/>
            <w:vAlign w:val="center"/>
            <w:hideMark/>
          </w:tcPr>
          <w:p w:rsidR="005709DD" w:rsidRPr="003463CF" w:rsidRDefault="005709DD" w:rsidP="00927E1F">
            <w:pPr>
              <w:jc w:val="center"/>
              <w:rPr>
                <w:b/>
                <w:bCs/>
                <w:color w:val="000000"/>
                <w:sz w:val="16"/>
                <w:szCs w:val="18"/>
              </w:rPr>
            </w:pPr>
            <w:r w:rsidRPr="003463CF">
              <w:rPr>
                <w:b/>
                <w:bCs/>
                <w:color w:val="000000"/>
                <w:sz w:val="16"/>
                <w:szCs w:val="18"/>
              </w:rPr>
              <w:t xml:space="preserve">Dépenses </w:t>
            </w:r>
            <w:r w:rsidRPr="003463CF">
              <w:rPr>
                <w:b/>
                <w:bCs/>
                <w:color w:val="000000"/>
                <w:sz w:val="16"/>
                <w:szCs w:val="18"/>
              </w:rPr>
              <w:br/>
              <w:t>2014</w:t>
            </w:r>
            <w:r w:rsidRPr="003463CF">
              <w:rPr>
                <w:b/>
                <w:bCs/>
                <w:color w:val="000000"/>
                <w:sz w:val="16"/>
                <w:szCs w:val="18"/>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5709DD" w:rsidRPr="003463CF" w:rsidRDefault="005709DD" w:rsidP="00927E1F">
            <w:pPr>
              <w:jc w:val="center"/>
              <w:rPr>
                <w:b/>
                <w:bCs/>
                <w:color w:val="000000"/>
                <w:sz w:val="16"/>
                <w:szCs w:val="18"/>
              </w:rPr>
            </w:pPr>
            <w:r w:rsidRPr="003463CF">
              <w:rPr>
                <w:b/>
                <w:bCs/>
                <w:color w:val="000000"/>
                <w:sz w:val="16"/>
                <w:szCs w:val="18"/>
              </w:rPr>
              <w:t>Taux d’utilisation (%)</w:t>
            </w:r>
          </w:p>
        </w:tc>
      </w:tr>
      <w:tr w:rsidR="005709DD" w:rsidRPr="003463CF" w:rsidTr="00927E1F">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5709DD" w:rsidRPr="003463CF" w:rsidRDefault="005709DD" w:rsidP="00927E1F">
            <w:pPr>
              <w:rPr>
                <w:color w:val="000000"/>
                <w:sz w:val="16"/>
                <w:szCs w:val="18"/>
              </w:rPr>
            </w:pPr>
            <w:r w:rsidRPr="003463CF">
              <w:rPr>
                <w:color w:val="000000"/>
                <w:sz w:val="16"/>
                <w:szCs w:val="18"/>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5709DD" w:rsidRPr="003463CF" w:rsidRDefault="005709DD" w:rsidP="00927E1F">
            <w:pPr>
              <w:jc w:val="center"/>
              <w:rPr>
                <w:color w:val="000000"/>
                <w:sz w:val="16"/>
                <w:szCs w:val="18"/>
              </w:rPr>
            </w:pPr>
            <w:r w:rsidRPr="003463CF">
              <w:rPr>
                <w:color w:val="000000"/>
                <w:sz w:val="16"/>
                <w:szCs w:val="18"/>
              </w:rPr>
              <w:t>19 429</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5709DD" w:rsidRPr="003463CF" w:rsidRDefault="005709DD" w:rsidP="00927E1F">
            <w:pPr>
              <w:jc w:val="center"/>
              <w:rPr>
                <w:color w:val="000000"/>
                <w:sz w:val="16"/>
                <w:szCs w:val="18"/>
              </w:rPr>
            </w:pPr>
            <w:r w:rsidRPr="003463CF">
              <w:rPr>
                <w:color w:val="000000"/>
                <w:sz w:val="16"/>
                <w:szCs w:val="18"/>
              </w:rPr>
              <w:t>19 525</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5709DD" w:rsidRPr="003463CF" w:rsidRDefault="005709DD" w:rsidP="00927E1F">
            <w:pPr>
              <w:jc w:val="center"/>
              <w:rPr>
                <w:color w:val="000000"/>
                <w:sz w:val="16"/>
                <w:szCs w:val="18"/>
              </w:rPr>
            </w:pPr>
            <w:r w:rsidRPr="003463CF">
              <w:rPr>
                <w:color w:val="000000"/>
                <w:sz w:val="16"/>
                <w:szCs w:val="18"/>
              </w:rPr>
              <w:t>18 984</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5709DD" w:rsidRPr="003463CF" w:rsidRDefault="005709DD" w:rsidP="00927E1F">
            <w:pPr>
              <w:jc w:val="center"/>
              <w:rPr>
                <w:color w:val="000000"/>
                <w:sz w:val="16"/>
                <w:szCs w:val="18"/>
              </w:rPr>
            </w:pPr>
            <w:r w:rsidRPr="003463CF">
              <w:rPr>
                <w:color w:val="000000"/>
                <w:sz w:val="16"/>
                <w:szCs w:val="18"/>
              </w:rPr>
              <w:t>97%</w:t>
            </w:r>
          </w:p>
        </w:tc>
      </w:tr>
      <w:tr w:rsidR="005709DD" w:rsidRPr="003463CF" w:rsidTr="00927E1F">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5709DD" w:rsidRPr="003463CF" w:rsidRDefault="005709DD" w:rsidP="00927E1F">
            <w:pPr>
              <w:rPr>
                <w:color w:val="000000"/>
                <w:sz w:val="16"/>
                <w:szCs w:val="18"/>
              </w:rPr>
            </w:pPr>
            <w:r w:rsidRPr="003463CF">
              <w:rPr>
                <w:color w:val="000000"/>
                <w:sz w:val="16"/>
                <w:szCs w:val="18"/>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5709DD" w:rsidRPr="003463CF" w:rsidRDefault="005709DD" w:rsidP="00927E1F">
            <w:pPr>
              <w:jc w:val="center"/>
              <w:rPr>
                <w:color w:val="000000"/>
                <w:sz w:val="16"/>
                <w:szCs w:val="18"/>
              </w:rPr>
            </w:pPr>
            <w:r w:rsidRPr="003463CF">
              <w:rPr>
                <w:color w:val="000000"/>
                <w:sz w:val="16"/>
                <w:szCs w:val="18"/>
              </w:rPr>
              <w:t>27 970</w:t>
            </w:r>
          </w:p>
        </w:tc>
        <w:tc>
          <w:tcPr>
            <w:tcW w:w="1746" w:type="dxa"/>
            <w:tcBorders>
              <w:top w:val="nil"/>
              <w:left w:val="nil"/>
              <w:bottom w:val="single" w:sz="4" w:space="0" w:color="auto"/>
              <w:right w:val="single" w:sz="4" w:space="0" w:color="auto"/>
            </w:tcBorders>
            <w:shd w:val="clear" w:color="auto" w:fill="auto"/>
            <w:vAlign w:val="center"/>
            <w:hideMark/>
          </w:tcPr>
          <w:p w:rsidR="005709DD" w:rsidRPr="003463CF" w:rsidRDefault="005709DD" w:rsidP="00927E1F">
            <w:pPr>
              <w:jc w:val="center"/>
              <w:rPr>
                <w:color w:val="000000"/>
                <w:sz w:val="16"/>
                <w:szCs w:val="18"/>
              </w:rPr>
            </w:pPr>
            <w:r w:rsidRPr="003463CF">
              <w:rPr>
                <w:color w:val="000000"/>
                <w:sz w:val="16"/>
                <w:szCs w:val="18"/>
              </w:rPr>
              <w:t>28 359</w:t>
            </w:r>
          </w:p>
        </w:tc>
        <w:tc>
          <w:tcPr>
            <w:tcW w:w="1745" w:type="dxa"/>
            <w:tcBorders>
              <w:top w:val="nil"/>
              <w:left w:val="nil"/>
              <w:bottom w:val="single" w:sz="4" w:space="0" w:color="auto"/>
              <w:right w:val="single" w:sz="4" w:space="0" w:color="auto"/>
            </w:tcBorders>
            <w:shd w:val="clear" w:color="auto" w:fill="auto"/>
            <w:vAlign w:val="center"/>
            <w:hideMark/>
          </w:tcPr>
          <w:p w:rsidR="005709DD" w:rsidRPr="003463CF" w:rsidRDefault="005709DD" w:rsidP="00927E1F">
            <w:pPr>
              <w:jc w:val="center"/>
              <w:rPr>
                <w:color w:val="000000"/>
                <w:sz w:val="16"/>
                <w:szCs w:val="18"/>
              </w:rPr>
            </w:pPr>
            <w:r w:rsidRPr="003463CF">
              <w:rPr>
                <w:color w:val="000000"/>
                <w:sz w:val="16"/>
                <w:szCs w:val="18"/>
              </w:rPr>
              <w:t>27 542</w:t>
            </w:r>
          </w:p>
        </w:tc>
        <w:tc>
          <w:tcPr>
            <w:tcW w:w="1746" w:type="dxa"/>
            <w:tcBorders>
              <w:top w:val="nil"/>
              <w:left w:val="nil"/>
              <w:bottom w:val="single" w:sz="4" w:space="0" w:color="auto"/>
              <w:right w:val="single" w:sz="4" w:space="0" w:color="auto"/>
            </w:tcBorders>
            <w:shd w:val="clear" w:color="auto" w:fill="auto"/>
            <w:vAlign w:val="center"/>
            <w:hideMark/>
          </w:tcPr>
          <w:p w:rsidR="005709DD" w:rsidRPr="003463CF" w:rsidRDefault="005709DD" w:rsidP="00927E1F">
            <w:pPr>
              <w:jc w:val="center"/>
              <w:rPr>
                <w:color w:val="000000"/>
                <w:sz w:val="16"/>
                <w:szCs w:val="18"/>
              </w:rPr>
            </w:pPr>
            <w:r w:rsidRPr="003463CF">
              <w:rPr>
                <w:color w:val="000000"/>
                <w:sz w:val="16"/>
                <w:szCs w:val="18"/>
              </w:rPr>
              <w:t>97%</w:t>
            </w:r>
          </w:p>
        </w:tc>
      </w:tr>
      <w:tr w:rsidR="005709DD" w:rsidRPr="003463CF" w:rsidTr="00927E1F">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5709DD" w:rsidRPr="003463CF" w:rsidRDefault="005709DD" w:rsidP="00927E1F">
            <w:pPr>
              <w:jc w:val="right"/>
              <w:rPr>
                <w:b/>
                <w:bCs/>
                <w:color w:val="000000"/>
                <w:sz w:val="16"/>
                <w:szCs w:val="18"/>
              </w:rPr>
            </w:pPr>
            <w:r w:rsidRPr="003463CF">
              <w:rPr>
                <w:b/>
                <w:bCs/>
                <w:color w:val="000000"/>
                <w:sz w:val="16"/>
                <w:szCs w:val="18"/>
              </w:rPr>
              <w:t>TOTAL</w:t>
            </w:r>
          </w:p>
        </w:tc>
        <w:tc>
          <w:tcPr>
            <w:tcW w:w="1745" w:type="dxa"/>
            <w:tcBorders>
              <w:top w:val="nil"/>
              <w:left w:val="nil"/>
              <w:bottom w:val="single" w:sz="4" w:space="0" w:color="auto"/>
              <w:right w:val="single" w:sz="4" w:space="0" w:color="auto"/>
            </w:tcBorders>
            <w:shd w:val="clear" w:color="auto" w:fill="auto"/>
            <w:vAlign w:val="center"/>
            <w:hideMark/>
          </w:tcPr>
          <w:p w:rsidR="005709DD" w:rsidRPr="003463CF" w:rsidRDefault="005709DD" w:rsidP="00927E1F">
            <w:pPr>
              <w:jc w:val="center"/>
              <w:rPr>
                <w:b/>
                <w:bCs/>
                <w:color w:val="000000"/>
                <w:sz w:val="16"/>
                <w:szCs w:val="18"/>
              </w:rPr>
            </w:pPr>
            <w:r w:rsidRPr="003463CF">
              <w:rPr>
                <w:b/>
                <w:bCs/>
                <w:color w:val="000000"/>
                <w:sz w:val="16"/>
                <w:szCs w:val="18"/>
              </w:rPr>
              <w:t>47 400</w:t>
            </w:r>
          </w:p>
        </w:tc>
        <w:tc>
          <w:tcPr>
            <w:tcW w:w="1746" w:type="dxa"/>
            <w:tcBorders>
              <w:top w:val="nil"/>
              <w:left w:val="nil"/>
              <w:bottom w:val="single" w:sz="4" w:space="0" w:color="auto"/>
              <w:right w:val="single" w:sz="4" w:space="0" w:color="auto"/>
            </w:tcBorders>
            <w:shd w:val="clear" w:color="auto" w:fill="auto"/>
            <w:vAlign w:val="center"/>
            <w:hideMark/>
          </w:tcPr>
          <w:p w:rsidR="005709DD" w:rsidRPr="003463CF" w:rsidRDefault="005709DD" w:rsidP="00927E1F">
            <w:pPr>
              <w:jc w:val="center"/>
              <w:rPr>
                <w:b/>
                <w:bCs/>
                <w:color w:val="000000"/>
                <w:sz w:val="16"/>
                <w:szCs w:val="18"/>
              </w:rPr>
            </w:pPr>
            <w:r w:rsidRPr="003463CF">
              <w:rPr>
                <w:b/>
                <w:bCs/>
                <w:color w:val="000000"/>
                <w:sz w:val="16"/>
                <w:szCs w:val="18"/>
              </w:rPr>
              <w:t>47 883</w:t>
            </w:r>
          </w:p>
        </w:tc>
        <w:tc>
          <w:tcPr>
            <w:tcW w:w="1745" w:type="dxa"/>
            <w:tcBorders>
              <w:top w:val="nil"/>
              <w:left w:val="nil"/>
              <w:bottom w:val="single" w:sz="4" w:space="0" w:color="auto"/>
              <w:right w:val="single" w:sz="4" w:space="0" w:color="auto"/>
            </w:tcBorders>
            <w:shd w:val="clear" w:color="auto" w:fill="auto"/>
            <w:vAlign w:val="center"/>
            <w:hideMark/>
          </w:tcPr>
          <w:p w:rsidR="005709DD" w:rsidRPr="003463CF" w:rsidRDefault="005709DD" w:rsidP="00927E1F">
            <w:pPr>
              <w:jc w:val="center"/>
              <w:rPr>
                <w:b/>
                <w:bCs/>
                <w:color w:val="000000"/>
                <w:sz w:val="16"/>
                <w:szCs w:val="18"/>
              </w:rPr>
            </w:pPr>
            <w:r w:rsidRPr="003463CF">
              <w:rPr>
                <w:b/>
                <w:bCs/>
                <w:color w:val="000000"/>
                <w:sz w:val="16"/>
                <w:szCs w:val="18"/>
              </w:rPr>
              <w:t>46 526</w:t>
            </w:r>
          </w:p>
        </w:tc>
        <w:tc>
          <w:tcPr>
            <w:tcW w:w="1746" w:type="dxa"/>
            <w:tcBorders>
              <w:top w:val="nil"/>
              <w:left w:val="nil"/>
              <w:bottom w:val="single" w:sz="4" w:space="0" w:color="auto"/>
              <w:right w:val="single" w:sz="4" w:space="0" w:color="auto"/>
            </w:tcBorders>
            <w:shd w:val="clear" w:color="auto" w:fill="auto"/>
            <w:vAlign w:val="center"/>
            <w:hideMark/>
          </w:tcPr>
          <w:p w:rsidR="005709DD" w:rsidRPr="003463CF" w:rsidRDefault="005709DD" w:rsidP="00927E1F">
            <w:pPr>
              <w:jc w:val="center"/>
              <w:rPr>
                <w:b/>
                <w:bCs/>
                <w:color w:val="000000"/>
                <w:sz w:val="16"/>
                <w:szCs w:val="18"/>
              </w:rPr>
            </w:pPr>
            <w:r w:rsidRPr="003463CF">
              <w:rPr>
                <w:b/>
                <w:bCs/>
                <w:color w:val="000000"/>
                <w:sz w:val="16"/>
                <w:szCs w:val="18"/>
              </w:rPr>
              <w:t>97%</w:t>
            </w:r>
          </w:p>
        </w:tc>
      </w:tr>
    </w:tbl>
    <w:p w:rsidR="005709DD" w:rsidRPr="003463CF" w:rsidRDefault="005709DD" w:rsidP="00927E1F">
      <w:pPr>
        <w:widowControl w:val="0"/>
        <w:autoSpaceDE w:val="0"/>
        <w:autoSpaceDN w:val="0"/>
        <w:adjustRightInd w:val="0"/>
        <w:jc w:val="both"/>
      </w:pPr>
    </w:p>
    <w:p w:rsidR="005709DD" w:rsidRPr="003463CF" w:rsidRDefault="005709DD" w:rsidP="00927E1F">
      <w:pPr>
        <w:widowControl w:val="0"/>
        <w:autoSpaceDE w:val="0"/>
        <w:autoSpaceDN w:val="0"/>
        <w:adjustRightInd w:val="0"/>
        <w:jc w:val="both"/>
      </w:pPr>
    </w:p>
    <w:p w:rsidR="005709DD" w:rsidRPr="003463CF" w:rsidRDefault="005709DD" w:rsidP="00927E1F">
      <w:pPr>
        <w:rPr>
          <w:u w:val="single"/>
        </w:rPr>
      </w:pPr>
      <w:r w:rsidRPr="003463CF">
        <w:t>A.</w:t>
      </w:r>
      <w:r w:rsidRPr="003463CF">
        <w:tab/>
      </w:r>
      <w:r w:rsidRPr="003463CF">
        <w:rPr>
          <w:u w:val="single"/>
        </w:rPr>
        <w:t>Budget final 2014</w:t>
      </w:r>
      <w:r w:rsidRPr="003463CF">
        <w:rPr>
          <w:u w:val="single"/>
        </w:rPr>
        <w:noBreakHyphen/>
        <w:t>2015 après virements</w:t>
      </w:r>
    </w:p>
    <w:p w:rsidR="005709DD" w:rsidRPr="003463CF" w:rsidRDefault="005709DD" w:rsidP="00927E1F">
      <w:pPr>
        <w:rPr>
          <w:u w:val="single"/>
        </w:rPr>
      </w:pPr>
    </w:p>
    <w:p w:rsidR="005709DD" w:rsidRPr="003463CF" w:rsidRDefault="005709DD" w:rsidP="00DF2EEF">
      <w:pPr>
        <w:pStyle w:val="ListParagraph"/>
        <w:numPr>
          <w:ilvl w:val="0"/>
          <w:numId w:val="109"/>
        </w:numPr>
        <w:tabs>
          <w:tab w:val="left" w:pos="709"/>
        </w:tabs>
        <w:ind w:left="0" w:firstLine="0"/>
        <w:jc w:val="both"/>
      </w:pPr>
      <w:r w:rsidRPr="003463CF">
        <w:rPr>
          <w:rFonts w:cs="Arial"/>
          <w:color w:val="000000"/>
        </w:rPr>
        <w:t>L’augmentation du budget final 2014</w:t>
      </w:r>
      <w:r w:rsidRPr="003463CF">
        <w:rPr>
          <w:rFonts w:cs="Arial"/>
          <w:color w:val="000000"/>
        </w:rPr>
        <w:noBreakHyphen/>
        <w:t>2015 après virements (dépenses autres que les dépenses de personnel) correspond à l’affectation de ressources supplémentaires au programme pour : i) l’ameublement du bâtiment AM;  et ii) la reconstitution de divers éléments et stocks tels que des panneaux d’exposition mobiles, du matériel électrique, des cloisons modulaires pour les bureaux et des tapis.  Cette augmentation a été compensée par la mise en œuvre de mesures de maîtrise des coûts et le transfert de ressources au programme 28 pour l’installation de la barrière anti</w:t>
      </w:r>
      <w:r w:rsidRPr="003463CF">
        <w:rPr>
          <w:rFonts w:cs="Arial"/>
          <w:color w:val="000000"/>
        </w:rPr>
        <w:noBreakHyphen/>
        <w:t>intrusion sur mesure sous la nouvelle salle de conférence de l’OMPI.</w:t>
      </w:r>
    </w:p>
    <w:p w:rsidR="005709DD" w:rsidRPr="003463CF" w:rsidRDefault="005709DD" w:rsidP="00927E1F">
      <w:pPr>
        <w:jc w:val="both"/>
      </w:pPr>
    </w:p>
    <w:p w:rsidR="005709DD" w:rsidRPr="003463CF" w:rsidRDefault="005709DD" w:rsidP="00DF2EEF">
      <w:pPr>
        <w:pStyle w:val="ListParagraph"/>
        <w:numPr>
          <w:ilvl w:val="0"/>
          <w:numId w:val="109"/>
        </w:numPr>
        <w:tabs>
          <w:tab w:val="left" w:pos="709"/>
        </w:tabs>
        <w:ind w:left="0" w:firstLine="0"/>
        <w:jc w:val="both"/>
      </w:pPr>
      <w:r w:rsidRPr="003463CF">
        <w:rPr>
          <w:color w:val="000000"/>
        </w:rPr>
        <w:t>La légère augmentation du budget final 2014</w:t>
      </w:r>
      <w:r w:rsidRPr="003463CF">
        <w:rPr>
          <w:color w:val="000000"/>
        </w:rPr>
        <w:noBreakHyphen/>
        <w:t>2015 après virements (dépenses de personnel)</w:t>
      </w:r>
      <w:r w:rsidRPr="003463CF">
        <w:rPr>
          <w:rFonts w:cs="Arial"/>
          <w:color w:val="000000"/>
        </w:rPr>
        <w:t xml:space="preserve"> correspond d’une part, à la réaffectation de ressources supplémentaires au programme en vue : i) </w:t>
      </w:r>
      <w:r w:rsidRPr="003463CF">
        <w:rPr>
          <w:color w:val="000000"/>
        </w:rPr>
        <w:t>d’appuyer le Comité d’appel de l’OMPI</w:t>
      </w:r>
      <w:r w:rsidRPr="003463CF">
        <w:rPr>
          <w:rFonts w:cs="Arial"/>
          <w:color w:val="000000"/>
        </w:rPr>
        <w:t>;  ii) de créer un poste d’agent de certification des contrats de vacataire à la Division des achats;  et iii) de renforcer l’appui administratif aux projets de rénovation.  D’autre part, cette augmentation a été en partie compensée par la réaffectation de ressources du programme en vue de répondre aux besoins opérationnels dans les programmes 16, 22 et 28</w:t>
      </w:r>
      <w:r w:rsidRPr="003463CF">
        <w:rPr>
          <w:color w:val="000000"/>
        </w:rPr>
        <w:t>.</w:t>
      </w:r>
    </w:p>
    <w:p w:rsidR="005709DD" w:rsidRPr="003463CF" w:rsidRDefault="005709DD" w:rsidP="00927E1F">
      <w:pPr>
        <w:jc w:val="both"/>
      </w:pPr>
    </w:p>
    <w:p w:rsidR="005709DD" w:rsidRPr="003463CF" w:rsidRDefault="005709DD" w:rsidP="00DF2EEF">
      <w:pPr>
        <w:pStyle w:val="ListParagraph"/>
        <w:numPr>
          <w:ilvl w:val="0"/>
          <w:numId w:val="109"/>
        </w:numPr>
        <w:tabs>
          <w:tab w:val="left" w:pos="0"/>
        </w:tabs>
        <w:ind w:left="0" w:firstLine="0"/>
        <w:jc w:val="both"/>
      </w:pPr>
      <w:r w:rsidRPr="003463CF">
        <w:rPr>
          <w:rFonts w:cs="Arial"/>
          <w:bCs/>
        </w:rPr>
        <w:t>Le transfert de ressources entre résultats escomptés est essentiellement dû à la réaffectation des ressources en personnel du résultat escompté IX.I (Services d’appui efficaces, efficients, de qualité et tournés vers la clientèle, à l’intention à la fois des clients internes et des parties prenantes externes</w:t>
      </w:r>
      <w:r w:rsidRPr="003463CF">
        <w:rPr>
          <w:rFonts w:cs="Arial"/>
          <w:color w:val="000000"/>
        </w:rPr>
        <w:t>) au résultat escompté IX.4 (Une Organisation écologiquement et socialement responsable assurant la sûreté et la sécurité du personnel, des délégués, des visiteurs, de l’information et des biens) en vue de mettre en œuvre des activités relatives à l’</w:t>
      </w:r>
      <w:r w:rsidRPr="003463CF">
        <w:rPr>
          <w:color w:val="000000"/>
        </w:rPr>
        <w:t>environnement et d’accroître la sécurité du personnel, des visiteurs et des biens</w:t>
      </w:r>
      <w:r w:rsidRPr="003463CF">
        <w:rPr>
          <w:rFonts w:cs="Arial"/>
          <w:color w:val="000000"/>
        </w:rPr>
        <w:t xml:space="preserve">, et au résultat escompté VIII.5 (L’OMPI collabore efficacement avec d’autres processus et instances de négociation de l’ONU et d’autres organisations intergouvernementales) afin de renforcer la </w:t>
      </w:r>
      <w:r w:rsidRPr="003463CF">
        <w:rPr>
          <w:rFonts w:cs="Arial"/>
          <w:color w:val="000000"/>
        </w:rPr>
        <w:lastRenderedPageBreak/>
        <w:t xml:space="preserve">coopération avec d’autres institutions du système des Nations Unies en ce qui concerne </w:t>
      </w:r>
      <w:r w:rsidRPr="003463CF">
        <w:rPr>
          <w:color w:val="000000"/>
        </w:rPr>
        <w:t>i) les achats;</w:t>
      </w:r>
      <w:r w:rsidRPr="003463CF">
        <w:rPr>
          <w:rFonts w:cs="Arial"/>
          <w:color w:val="000000"/>
        </w:rPr>
        <w:t xml:space="preserve"> </w:t>
      </w:r>
      <w:r w:rsidRPr="003463CF">
        <w:rPr>
          <w:color w:val="000000"/>
        </w:rPr>
        <w:t xml:space="preserve"> et ii) </w:t>
      </w:r>
      <w:r w:rsidRPr="003463CF">
        <w:rPr>
          <w:rFonts w:cs="Arial"/>
          <w:color w:val="000000"/>
        </w:rPr>
        <w:t>l’entretien et la rénovation des locaux</w:t>
      </w:r>
      <w:r w:rsidRPr="003463CF">
        <w:rPr>
          <w:color w:val="000000"/>
        </w:rPr>
        <w:t>.</w:t>
      </w:r>
    </w:p>
    <w:p w:rsidR="005709DD" w:rsidRPr="003463CF" w:rsidRDefault="005709DD" w:rsidP="00927E1F">
      <w:pPr>
        <w:autoSpaceDE w:val="0"/>
        <w:autoSpaceDN w:val="0"/>
        <w:jc w:val="both"/>
      </w:pPr>
    </w:p>
    <w:p w:rsidR="005709DD" w:rsidRPr="003463CF" w:rsidRDefault="005709DD" w:rsidP="00927E1F">
      <w:pPr>
        <w:autoSpaceDE w:val="0"/>
        <w:autoSpaceDN w:val="0"/>
        <w:jc w:val="both"/>
      </w:pPr>
    </w:p>
    <w:p w:rsidR="005709DD" w:rsidRPr="003463CF" w:rsidRDefault="005709DD" w:rsidP="00927E1F">
      <w:pPr>
        <w:keepNext/>
        <w:jc w:val="both"/>
        <w:rPr>
          <w:u w:val="single"/>
        </w:rPr>
      </w:pPr>
      <w:r w:rsidRPr="003463CF">
        <w:t>B.</w:t>
      </w:r>
      <w:r w:rsidRPr="003463CF">
        <w:tab/>
      </w:r>
      <w:r w:rsidRPr="003463CF">
        <w:rPr>
          <w:u w:val="single"/>
        </w:rPr>
        <w:t>Utilisation du budget en 2014</w:t>
      </w:r>
      <w:r w:rsidRPr="003463CF">
        <w:rPr>
          <w:u w:val="single"/>
        </w:rPr>
        <w:noBreakHyphen/>
        <w:t>2015</w:t>
      </w:r>
    </w:p>
    <w:p w:rsidR="005709DD" w:rsidRPr="003463CF" w:rsidRDefault="005709DD" w:rsidP="00927E1F">
      <w:pPr>
        <w:keepNext/>
        <w:tabs>
          <w:tab w:val="left" w:pos="709"/>
        </w:tabs>
        <w:jc w:val="both"/>
        <w:rPr>
          <w:u w:val="single"/>
        </w:rPr>
      </w:pPr>
    </w:p>
    <w:p w:rsidR="005709DD" w:rsidRPr="003463CF" w:rsidRDefault="005709DD" w:rsidP="00DF2EEF">
      <w:pPr>
        <w:pStyle w:val="ListParagraph"/>
        <w:numPr>
          <w:ilvl w:val="0"/>
          <w:numId w:val="109"/>
        </w:numPr>
        <w:tabs>
          <w:tab w:val="left" w:pos="709"/>
        </w:tabs>
        <w:ind w:left="0" w:firstLine="0"/>
        <w:jc w:val="both"/>
      </w:pPr>
      <w:r w:rsidRPr="003463CF">
        <w:t>L’utilisation du budget se situe dans la fourchette prévue pour l’exercice biennal.</w:t>
      </w:r>
    </w:p>
    <w:p w:rsidR="006E2BB1" w:rsidRPr="00C258AD" w:rsidRDefault="006E2BB1" w:rsidP="00305CE5">
      <w:pPr>
        <w:pStyle w:val="Heading3"/>
        <w:rPr>
          <w:lang w:eastAsia="ko-KR"/>
        </w:rPr>
      </w:pPr>
    </w:p>
    <w:p w:rsidR="006E2BB1" w:rsidRPr="00C258AD" w:rsidRDefault="003737EE">
      <w:pPr>
        <w:spacing w:after="200" w:line="276" w:lineRule="auto"/>
        <w:rPr>
          <w:lang w:eastAsia="ko-KR"/>
        </w:rPr>
      </w:pPr>
      <w:r w:rsidRPr="00C258AD">
        <w:rPr>
          <w:lang w:eastAsia="ko-KR"/>
        </w:rPr>
        <w:br w:type="page"/>
      </w:r>
    </w:p>
    <w:p w:rsidR="006E2BB1" w:rsidRPr="00C258AD" w:rsidRDefault="003737EE" w:rsidP="00305CE5">
      <w:pPr>
        <w:pStyle w:val="Heading3"/>
      </w:pPr>
      <w:bookmarkStart w:id="162" w:name="_Toc422404251"/>
      <w:bookmarkStart w:id="163" w:name="_Toc423352899"/>
      <w:bookmarkStart w:id="164" w:name="_Toc455394212"/>
      <w:r w:rsidRPr="00C258AD">
        <w:lastRenderedPageBreak/>
        <w:t>Programme 25 ‏</w:t>
      </w:r>
      <w:r w:rsidRPr="00C258AD">
        <w:tab/>
        <w:t>Technologies de l’‎information et de la communication</w:t>
      </w:r>
      <w:bookmarkEnd w:id="162"/>
      <w:bookmarkEnd w:id="163"/>
      <w:bookmarkEnd w:id="164"/>
    </w:p>
    <w:p w:rsidR="006E2BB1" w:rsidRPr="00C258AD" w:rsidRDefault="006E2BB1" w:rsidP="0066137C"/>
    <w:p w:rsidR="006E2BB1" w:rsidRPr="00C258AD" w:rsidRDefault="003737EE" w:rsidP="0066137C">
      <w:pPr>
        <w:rPr>
          <w:b/>
        </w:rPr>
      </w:pPr>
      <w:r w:rsidRPr="00C258AD">
        <w:rPr>
          <w:b/>
        </w:rPr>
        <w:t>Chef de programme</w:t>
      </w:r>
      <w:r w:rsidRPr="00C258AD">
        <w:rPr>
          <w:b/>
        </w:rPr>
        <w:tab/>
        <w:t>M. A. Sundaram</w:t>
      </w:r>
    </w:p>
    <w:p w:rsidR="006E2BB1" w:rsidRPr="00C258AD" w:rsidRDefault="006E2BB1" w:rsidP="0066137C"/>
    <w:p w:rsidR="006E2BB1" w:rsidRPr="00C258AD" w:rsidRDefault="006E2BB1" w:rsidP="0066137C"/>
    <w:p w:rsidR="006E2BB1" w:rsidRPr="00C258AD" w:rsidRDefault="003737EE" w:rsidP="00305CE5">
      <w:pPr>
        <w:keepNext/>
        <w:rPr>
          <w:rFonts w:cs="Arial"/>
          <w:caps/>
          <w:sz w:val="22"/>
          <w:szCs w:val="22"/>
        </w:rPr>
      </w:pPr>
      <w:r w:rsidRPr="00C258AD">
        <w:rPr>
          <w:rFonts w:cs="Arial"/>
          <w:caps/>
          <w:sz w:val="22"/>
          <w:szCs w:val="22"/>
        </w:rPr>
        <w:t>Réalisations au cours de l’exercice biennal 2014-2015</w:t>
      </w:r>
    </w:p>
    <w:p w:rsidR="006E2BB1" w:rsidRPr="00C258AD" w:rsidRDefault="006E2BB1" w:rsidP="0066137C"/>
    <w:p w:rsidR="006E2BB1" w:rsidRPr="00C258AD" w:rsidRDefault="003737EE" w:rsidP="00BB4DBC">
      <w:pPr>
        <w:pStyle w:val="ONUME"/>
        <w:numPr>
          <w:ilvl w:val="0"/>
          <w:numId w:val="24"/>
        </w:numPr>
        <w:tabs>
          <w:tab w:val="left" w:pos="709"/>
        </w:tabs>
        <w:spacing w:after="0"/>
        <w:ind w:left="0" w:firstLine="0"/>
        <w:jc w:val="both"/>
      </w:pPr>
      <w:r w:rsidRPr="00C258AD">
        <w:t>Les technologies de l’information et de la communication (TIC) ont continué de jouer deux rôles essentiels au cours de l’exercice biennal.  À l’extérieur, elles offrent des plateformes réactives, fiables et sécurisées pour la fourniture de services de propriété intellectuelle au niveau mondial, ainsi que des installations techniques tant pour la nouvelle salle de conférence que pour les autres salles de conférence de l’OMPI.  En interne, elles proposent des solutions efficaces et économiques pour soutenir les tâches quotidiennes de l’OMPI, que ce soit au siège de l’Organisation ou dans les bureaux extérieurs.</w:t>
      </w:r>
    </w:p>
    <w:p w:rsidR="006E2BB1" w:rsidRPr="00C258AD" w:rsidRDefault="006E2BB1" w:rsidP="00FE18E6">
      <w:pPr>
        <w:pStyle w:val="ONUME"/>
        <w:numPr>
          <w:ilvl w:val="0"/>
          <w:numId w:val="0"/>
        </w:numPr>
        <w:tabs>
          <w:tab w:val="left" w:pos="709"/>
        </w:tabs>
        <w:spacing w:after="0"/>
        <w:jc w:val="both"/>
      </w:pPr>
    </w:p>
    <w:p w:rsidR="006E2BB1" w:rsidRPr="00C258AD" w:rsidRDefault="003737EE" w:rsidP="00BB4DBC">
      <w:pPr>
        <w:pStyle w:val="ONUME"/>
        <w:numPr>
          <w:ilvl w:val="0"/>
          <w:numId w:val="24"/>
        </w:numPr>
        <w:tabs>
          <w:tab w:val="left" w:pos="709"/>
        </w:tabs>
        <w:spacing w:after="0"/>
        <w:ind w:left="0" w:firstLine="0"/>
      </w:pPr>
      <w:r w:rsidRPr="00C258AD">
        <w:t>S’appuyant sur les progrès effectués au cours du précédent exercice biennal, les réalisations ci</w:t>
      </w:r>
      <w:r w:rsidRPr="00C258AD">
        <w:noBreakHyphen/>
        <w:t>après mettent en évidence les avancées obtenues dans le domaine des services d’infrastructure et des services opérationnels (y compris les services Internet) en 2014</w:t>
      </w:r>
      <w:r w:rsidRPr="00C258AD">
        <w:noBreakHyphen/>
        <w:t>2015 :</w:t>
      </w:r>
    </w:p>
    <w:p w:rsidR="006E2BB1" w:rsidRPr="00C258AD" w:rsidRDefault="006E2BB1" w:rsidP="00FE18E6">
      <w:pPr>
        <w:pStyle w:val="ONUME"/>
        <w:numPr>
          <w:ilvl w:val="0"/>
          <w:numId w:val="0"/>
        </w:numPr>
        <w:tabs>
          <w:tab w:val="left" w:pos="709"/>
        </w:tabs>
        <w:spacing w:after="0"/>
      </w:pPr>
    </w:p>
    <w:p w:rsidR="006E2BB1" w:rsidRPr="00C258AD" w:rsidRDefault="003737EE" w:rsidP="00BB4DBC">
      <w:pPr>
        <w:pStyle w:val="ListParagraph"/>
        <w:numPr>
          <w:ilvl w:val="0"/>
          <w:numId w:val="25"/>
        </w:numPr>
      </w:pPr>
      <w:r w:rsidRPr="00C258AD">
        <w:rPr>
          <w:rFonts w:eastAsiaTheme="minorEastAsia"/>
          <w:lang w:eastAsia="ja-JP"/>
        </w:rPr>
        <w:t>La résilience de l’infrastructure des TIC et la continuité de services ont continué d’être améliorées</w:t>
      </w:r>
      <w:r w:rsidRPr="00C258AD">
        <w:t>, et notamment la capacité de reprise des opérations après un sinistre de TIC de haut niveau, qui a été testée avec succès en ce qui concerne l’appui au système du PCT et grâce à laquelle les systèmes et procédures du PCT ne devraient pas avoir à subir les conséquences d’un éventuel dysfonctionnement du centre de données de l’OMPI.  À l’avenir, des capacités similaires s’appliqueront à d’autres opérations décisives.</w:t>
      </w:r>
    </w:p>
    <w:p w:rsidR="006E2BB1" w:rsidRPr="00C258AD" w:rsidRDefault="006E2BB1" w:rsidP="00FE18E6">
      <w:pPr>
        <w:pStyle w:val="ListParagraph"/>
        <w:numPr>
          <w:ilvl w:val="0"/>
          <w:numId w:val="0"/>
        </w:numPr>
        <w:ind w:left="567"/>
      </w:pPr>
    </w:p>
    <w:p w:rsidR="006E2BB1" w:rsidRPr="00C258AD" w:rsidRDefault="003737EE" w:rsidP="00BB4DBC">
      <w:pPr>
        <w:pStyle w:val="ListParagraph"/>
        <w:numPr>
          <w:ilvl w:val="0"/>
          <w:numId w:val="25"/>
        </w:numPr>
      </w:pPr>
      <w:r w:rsidRPr="00C258AD">
        <w:t>Une nouvelle solution intitulée “</w:t>
      </w:r>
      <w:r w:rsidRPr="00C258AD">
        <w:rPr>
          <w:i/>
        </w:rPr>
        <w:t>Global Office Architecture</w:t>
      </w:r>
      <w:r w:rsidRPr="00C258AD">
        <w:t xml:space="preserve"> (GOA)” a été mise au point pour permettre aux bureaux extérieurs se connecter en toute sécurité à l’ensemble des systèmes informatiques administratifs de l’OMPI hébergés au siège et pour leur fournir des services informatiques centralisés et harmonisés.  À la fin 2015, le projet GOA était en place dans trois bureaux extérieurs (Bureau de l’OMPI au Japon, Bureau de l’OMPI à Singapour et Bureau de l’OMPI en Russie).</w:t>
      </w:r>
    </w:p>
    <w:p w:rsidR="006E2BB1" w:rsidRPr="00C258AD" w:rsidRDefault="006E2BB1" w:rsidP="00FE18E6">
      <w:pPr>
        <w:pStyle w:val="ListParagraph"/>
        <w:numPr>
          <w:ilvl w:val="0"/>
          <w:numId w:val="0"/>
        </w:numPr>
        <w:ind w:left="567"/>
      </w:pPr>
    </w:p>
    <w:p w:rsidR="006E2BB1" w:rsidRPr="00C258AD" w:rsidRDefault="003737EE" w:rsidP="00BB4DBC">
      <w:pPr>
        <w:pStyle w:val="ListParagraph"/>
        <w:numPr>
          <w:ilvl w:val="0"/>
          <w:numId w:val="25"/>
        </w:numPr>
      </w:pPr>
      <w:r w:rsidRPr="00C258AD">
        <w:t>L’infrastructure des TIC pour la nouvelle salle de conférence de l’OMPI a été livrée à temps pour la vingt</w:t>
      </w:r>
      <w:r w:rsidRPr="00C258AD">
        <w:noBreakHyphen/>
        <w:t>deuxième session du PBC et de la quarante</w:t>
      </w:r>
      <w:r w:rsidRPr="00C258AD">
        <w:noBreakHyphen/>
        <w:t>quatrième série de réunions des assemblées de l’OMPI en 2014.</w:t>
      </w:r>
    </w:p>
    <w:p w:rsidR="006E2BB1" w:rsidRPr="00C258AD" w:rsidRDefault="006E2BB1" w:rsidP="00FE18E6"/>
    <w:p w:rsidR="006E2BB1" w:rsidRPr="00C258AD" w:rsidRDefault="003737EE" w:rsidP="00BB4DBC">
      <w:pPr>
        <w:pStyle w:val="ListParagraph"/>
        <w:numPr>
          <w:ilvl w:val="0"/>
          <w:numId w:val="25"/>
        </w:numPr>
      </w:pPr>
      <w:r w:rsidRPr="00C258AD">
        <w:t>La sous</w:t>
      </w:r>
      <w:r w:rsidRPr="00C258AD">
        <w:noBreakHyphen/>
        <w:t>traitance de la gestion de l’infrastructure de réseau et de serveurs a été confiée au Centre international de calcul des Nations Unies pour garantir une couverture adéquate 24 heures sur 24 et 7 jours sur 7, ainsi que des mises à jour en temps utile.</w:t>
      </w:r>
    </w:p>
    <w:p w:rsidR="006E2BB1" w:rsidRPr="00C258AD" w:rsidRDefault="006E2BB1" w:rsidP="00FE18E6"/>
    <w:p w:rsidR="006E2BB1" w:rsidRPr="00C258AD" w:rsidRDefault="003737EE" w:rsidP="00BB4DBC">
      <w:pPr>
        <w:pStyle w:val="ListParagraph"/>
        <w:numPr>
          <w:ilvl w:val="0"/>
          <w:numId w:val="25"/>
        </w:numPr>
        <w:rPr>
          <w:rFonts w:eastAsiaTheme="minorEastAsia"/>
          <w:lang w:eastAsia="ja-JP"/>
        </w:rPr>
      </w:pPr>
      <w:r w:rsidRPr="00C258AD">
        <w:rPr>
          <w:rFonts w:eastAsiaTheme="minorEastAsia"/>
          <w:lang w:eastAsia="ja-JP"/>
        </w:rPr>
        <w:t>Grâce à une étroite collaboration avec les principaux partenaires opérationnels de l’OMPI, des accords spécifiques de prestation de services ont été établis en 2014 pour rendre expressément compte des besoins des différents secteurs en matière de TIC et pour permettre un suivi et une surveillance plus systématiques.</w:t>
      </w:r>
    </w:p>
    <w:p w:rsidR="006E2BB1" w:rsidRPr="00C258AD" w:rsidRDefault="006E2BB1" w:rsidP="00FE18E6">
      <w:pPr>
        <w:rPr>
          <w:rFonts w:eastAsiaTheme="minorEastAsia"/>
          <w:lang w:eastAsia="ja-JP"/>
        </w:rPr>
      </w:pPr>
    </w:p>
    <w:p w:rsidR="006E2BB1" w:rsidRPr="00C258AD" w:rsidRDefault="003737EE" w:rsidP="00BB4DBC">
      <w:pPr>
        <w:pStyle w:val="ListParagraph"/>
        <w:numPr>
          <w:ilvl w:val="0"/>
          <w:numId w:val="25"/>
        </w:numPr>
      </w:pPr>
      <w:r w:rsidRPr="00C258AD">
        <w:t>Un système de télécopie perfectionné, qui s’intègre pleinement avec les systèmes informatiques du Service d’enregistrement de Madrid et les systèmes administratifs internes, a abouti à de meilleurs résultats et permis de réduire sensiblement le taux d’erreur de transmission par télécopie qui, auparavant, faisait perdre beaucoup de temps en tentative de renvoi des télécopies.</w:t>
      </w:r>
    </w:p>
    <w:p w:rsidR="006E2BB1" w:rsidRPr="00C258AD" w:rsidRDefault="006E2BB1" w:rsidP="00FE18E6">
      <w:pPr>
        <w:pStyle w:val="ListParagraph"/>
        <w:numPr>
          <w:ilvl w:val="0"/>
          <w:numId w:val="0"/>
        </w:numPr>
        <w:ind w:left="720"/>
      </w:pPr>
    </w:p>
    <w:p w:rsidR="006E2BB1" w:rsidRPr="00C258AD" w:rsidRDefault="003737EE" w:rsidP="00BB4DBC">
      <w:pPr>
        <w:pStyle w:val="ListParagraph"/>
        <w:numPr>
          <w:ilvl w:val="0"/>
          <w:numId w:val="25"/>
        </w:numPr>
      </w:pPr>
      <w:r w:rsidRPr="00C258AD">
        <w:t>En réponse aux recommandations issues de l’examen de la gestion et de l’administration de l’Organisation Mondiale de la Propriété Intellectuelle réalisé en 2014 par le Corps commun d’inspection et suite aux évaluations internes menées en 2015, une Stratégie de gestion des connaissances</w:t>
      </w:r>
      <w:r w:rsidRPr="00C258AD">
        <w:rPr>
          <w:rStyle w:val="FootnoteReference"/>
          <w:rFonts w:eastAsia="SimSun"/>
        </w:rPr>
        <w:footnoteReference w:id="139"/>
      </w:r>
      <w:r w:rsidRPr="00C258AD">
        <w:t xml:space="preserve"> a été élaborée en vue : i) de créer une culture de la gestion des connaissances au sein de l’OMPI;  ii) de mettre en œuvre un ensemble de processus et d’outils de gestion des connaissances à l’échelle de l’Organisation;  iii) d’identifier et de publier une “source unique fiable” pour les actifs fondés sur les connaissances et les informations;  et iv) d’harmoniser et d’intégrer la gestion des connaissances avec la stratégie de l’organisation en matière de résilience.</w:t>
      </w:r>
    </w:p>
    <w:p w:rsidR="006E2BB1" w:rsidRPr="00C258AD" w:rsidRDefault="006E2BB1" w:rsidP="00FE18E6"/>
    <w:p w:rsidR="006E2BB1" w:rsidRPr="00C258AD" w:rsidRDefault="003737EE" w:rsidP="00BB4DBC">
      <w:pPr>
        <w:pStyle w:val="ListParagraph"/>
        <w:numPr>
          <w:ilvl w:val="0"/>
          <w:numId w:val="25"/>
        </w:numPr>
      </w:pPr>
      <w:r w:rsidRPr="00C258AD">
        <w:t>Des processus de mise en œuvre et d’intégration pour la transition des projets relatifs aux TIC ont été formellement définis afin de garantir une transition plus systématique et plus fluide.</w:t>
      </w:r>
    </w:p>
    <w:p w:rsidR="006E2BB1" w:rsidRPr="00C258AD" w:rsidRDefault="006E2BB1" w:rsidP="00FE18E6"/>
    <w:p w:rsidR="006E2BB1" w:rsidRPr="00C258AD" w:rsidRDefault="003737EE" w:rsidP="00BB4DBC">
      <w:pPr>
        <w:pStyle w:val="ListParagraph"/>
        <w:numPr>
          <w:ilvl w:val="0"/>
          <w:numId w:val="25"/>
        </w:numPr>
      </w:pPr>
      <w:r w:rsidRPr="00C258AD">
        <w:t>Des contrats de service et des processus opérationnels ont été examinés, et des mesures prises pour veiller à ce que les opérations soient plus rentables, ce qui a abouti à des économies d’environ 460 000 francs suisses par rapport à 2013.</w:t>
      </w:r>
    </w:p>
    <w:p w:rsidR="006E2BB1" w:rsidRPr="00C258AD" w:rsidRDefault="006E2BB1" w:rsidP="00FE18E6"/>
    <w:p w:rsidR="006E2BB1" w:rsidRPr="00C258AD" w:rsidRDefault="003737EE" w:rsidP="00BB4DBC">
      <w:pPr>
        <w:pStyle w:val="ONUME"/>
        <w:numPr>
          <w:ilvl w:val="0"/>
          <w:numId w:val="24"/>
        </w:numPr>
        <w:spacing w:after="0"/>
        <w:ind w:left="0" w:firstLine="0"/>
      </w:pPr>
      <w:r w:rsidRPr="00C258AD">
        <w:t>En ce qui concerne la sécurité des informations, l’exercice biennal 2014</w:t>
      </w:r>
      <w:r w:rsidRPr="00C258AD">
        <w:noBreakHyphen/>
        <w:t>2015 a vu une restructuration stratégique de l’Organisation, avec l’intégration de la Section de la sécurité informatique dans la toute nouvelle Division de la sécurité et de l’assurance informatique, qui permet de mieux coordonner sécurité physique et sécurité informatique.</w:t>
      </w:r>
    </w:p>
    <w:p w:rsidR="006E2BB1" w:rsidRPr="00C258AD" w:rsidRDefault="006E2BB1" w:rsidP="00FE18E6">
      <w:pPr>
        <w:rPr>
          <w:rFonts w:eastAsiaTheme="minorEastAsia"/>
          <w:lang w:eastAsia="ja-JP"/>
        </w:rPr>
      </w:pPr>
    </w:p>
    <w:p w:rsidR="006E2BB1" w:rsidRPr="00C258AD" w:rsidRDefault="003737EE" w:rsidP="00BB4DBC">
      <w:pPr>
        <w:pStyle w:val="ONUME"/>
        <w:numPr>
          <w:ilvl w:val="0"/>
          <w:numId w:val="24"/>
        </w:numPr>
        <w:tabs>
          <w:tab w:val="left" w:pos="709"/>
        </w:tabs>
        <w:spacing w:after="0"/>
        <w:ind w:left="0" w:firstLine="0"/>
        <w:jc w:val="both"/>
      </w:pPr>
      <w:r w:rsidRPr="00C258AD">
        <w:t>Si les travaux relatifs à la sécurité de l’information ont, en grande partie, continué d’être opérationnels, l’exercice biennal 2014</w:t>
      </w:r>
      <w:r w:rsidRPr="00C258AD">
        <w:noBreakHyphen/>
        <w:t>2015 a vu plusieurs réalisations majeures, qui ont nettement contribué à renforcer la protection et la sécurité des systèmes d’information de l’OMPI.</w:t>
      </w:r>
    </w:p>
    <w:p w:rsidR="006E2BB1" w:rsidRPr="00C258AD" w:rsidRDefault="006E2BB1" w:rsidP="00FE18E6">
      <w:pPr>
        <w:pStyle w:val="ONUME"/>
        <w:numPr>
          <w:ilvl w:val="0"/>
          <w:numId w:val="0"/>
        </w:numPr>
        <w:tabs>
          <w:tab w:val="left" w:pos="709"/>
        </w:tabs>
        <w:spacing w:after="0"/>
        <w:jc w:val="both"/>
      </w:pPr>
    </w:p>
    <w:p w:rsidR="006E2BB1" w:rsidRPr="00C258AD" w:rsidRDefault="003737EE" w:rsidP="00BB4DBC">
      <w:pPr>
        <w:pStyle w:val="ONUME"/>
        <w:numPr>
          <w:ilvl w:val="0"/>
          <w:numId w:val="24"/>
        </w:numPr>
        <w:tabs>
          <w:tab w:val="left" w:pos="709"/>
        </w:tabs>
        <w:spacing w:after="0"/>
        <w:ind w:left="0" w:firstLine="0"/>
        <w:jc w:val="both"/>
      </w:pPr>
      <w:r w:rsidRPr="00C258AD">
        <w:t>Dans le cadre du processus d’amélioration continue voulu par la norme ISO 27001, le PCT a connu en octobre 2014 la seconde série d’audits externes pour la certification ISO 27001 et, dans le même temps, a effectué une nouvelle certification pour remplacer la version 2005 de la norme par la dernière version (ISO 27001:2013).  En octobre 2015, la certification s’est élargie pour inclure, outre le PCT, les activités des systèmes de Madrid et de La Haye.  Aucun défaut de conformité majeur ou mineur n’a été relevé.</w:t>
      </w:r>
    </w:p>
    <w:p w:rsidR="006E2BB1" w:rsidRPr="00C258AD" w:rsidRDefault="006E2BB1" w:rsidP="00FE18E6"/>
    <w:p w:rsidR="006E2BB1" w:rsidRPr="00C258AD" w:rsidRDefault="003737EE" w:rsidP="00BB4DBC">
      <w:pPr>
        <w:pStyle w:val="ONUME"/>
        <w:numPr>
          <w:ilvl w:val="0"/>
          <w:numId w:val="24"/>
        </w:numPr>
        <w:tabs>
          <w:tab w:val="left" w:pos="709"/>
        </w:tabs>
        <w:spacing w:after="0"/>
        <w:ind w:left="0" w:firstLine="0"/>
        <w:jc w:val="both"/>
      </w:pPr>
      <w:r w:rsidRPr="00C258AD">
        <w:t>Suite à la restructuration de l’Organisation, l’année 2015 a vu l’élaboration et l’approbation d’une stratégie de garantie en matière d’information, qui vise à garantir la fourniture à ses États membres et à ses clients de solutions de propriété intellectuelle de qualité, fiables et sécurisées.</w:t>
      </w:r>
    </w:p>
    <w:p w:rsidR="006E2BB1" w:rsidRPr="00C258AD" w:rsidRDefault="006E2BB1" w:rsidP="00FE18E6">
      <w:pPr>
        <w:pStyle w:val="ONUME"/>
        <w:numPr>
          <w:ilvl w:val="0"/>
          <w:numId w:val="0"/>
        </w:numPr>
        <w:tabs>
          <w:tab w:val="left" w:pos="709"/>
        </w:tabs>
        <w:spacing w:after="0"/>
        <w:jc w:val="both"/>
      </w:pPr>
    </w:p>
    <w:p w:rsidR="006E2BB1" w:rsidRPr="00C258AD" w:rsidRDefault="003737EE" w:rsidP="00BB4DBC">
      <w:pPr>
        <w:pStyle w:val="ONUME"/>
        <w:numPr>
          <w:ilvl w:val="0"/>
          <w:numId w:val="24"/>
        </w:numPr>
        <w:tabs>
          <w:tab w:val="left" w:pos="709"/>
        </w:tabs>
        <w:spacing w:after="0"/>
        <w:ind w:left="0" w:firstLine="0"/>
        <w:jc w:val="both"/>
      </w:pPr>
      <w:r w:rsidRPr="00C258AD">
        <w:t xml:space="preserve">En outre, des mesures importantes ont été prises pour améliorer les capacités techniques en matière de sécurité dans les domaines de la gestion des comptes privilégiés, de la gestion des événements liés à la sécurité et de l’information connexe, de la surveillance et de l’alerte pour les indicateurs de compromission, et de la gestion et des réactions face aux incidents.  En 2014, un projet de déploiement complet du système </w:t>
      </w:r>
      <w:proofErr w:type="spellStart"/>
      <w:r w:rsidRPr="00C258AD">
        <w:t>ArcSight</w:t>
      </w:r>
      <w:proofErr w:type="spellEnd"/>
      <w:r w:rsidRPr="00C258AD">
        <w:t xml:space="preserve"> de gestion des événements liés à la sécurité et de l’information connexe (SEIM) a été achevé, qui offre une meilleure visibilité des risques potentiels sur le réseau informatique de l’OMPI et favorise des réactions plus efficaces et rationnelles.  Le déploiement et l’intégration de telles solutions techniques a considérablement réduit le temps nécessaire pour détecter d’éventuelles cyberattaques ou des risques de violation des données, et pour y faire face.  En conséquence, le nombre d’incidents graves a été minime, et on n’a déploré qu’un incident majeur par an au cours de l’exercice biennal, dont aucun n’a donné lieu à une perte ou à une violation de données.</w:t>
      </w:r>
    </w:p>
    <w:p w:rsidR="006E2BB1" w:rsidRPr="00C258AD" w:rsidRDefault="006E2BB1" w:rsidP="00FE18E6">
      <w:pPr>
        <w:pStyle w:val="ONUME"/>
        <w:numPr>
          <w:ilvl w:val="0"/>
          <w:numId w:val="0"/>
        </w:numPr>
        <w:tabs>
          <w:tab w:val="left" w:pos="709"/>
        </w:tabs>
        <w:spacing w:after="0"/>
        <w:jc w:val="both"/>
      </w:pPr>
    </w:p>
    <w:p w:rsidR="006E2BB1" w:rsidRPr="00C258AD" w:rsidRDefault="003737EE" w:rsidP="00BB4DBC">
      <w:pPr>
        <w:pStyle w:val="ONUME"/>
        <w:numPr>
          <w:ilvl w:val="0"/>
          <w:numId w:val="24"/>
        </w:numPr>
        <w:tabs>
          <w:tab w:val="left" w:pos="709"/>
        </w:tabs>
        <w:spacing w:after="0"/>
        <w:ind w:left="0" w:firstLine="0"/>
        <w:jc w:val="both"/>
      </w:pPr>
      <w:r w:rsidRPr="00C258AD">
        <w:t>La Section de la sécurité informatique a contribué en 2014 à la sélection et à la mise en œuvre d’une solution de gestion globale des risques (</w:t>
      </w:r>
      <w:proofErr w:type="spellStart"/>
      <w:r w:rsidRPr="00C258AD">
        <w:t>Acuity</w:t>
      </w:r>
      <w:proofErr w:type="spellEnd"/>
      <w:r w:rsidRPr="00C258AD">
        <w:t xml:space="preserve"> Stream), en vue de renforcer les capacités en la matière au sein de l’OMPI et de permettre l’intégration complète des processus de gestion des risques fondés sur les normes ISO dans le cadre des stratégies de gestion des risques à l’échelle de l’Organisation.  En 2015, le recours à la solution ERM</w:t>
      </w:r>
      <w:r w:rsidRPr="00C258AD">
        <w:noBreakHyphen/>
      </w:r>
      <w:proofErr w:type="spellStart"/>
      <w:r w:rsidRPr="00C258AD">
        <w:t>Acuity</w:t>
      </w:r>
      <w:proofErr w:type="spellEnd"/>
      <w:r w:rsidRPr="00C258AD">
        <w:t xml:space="preserve"> Stream s’est étendu à la gestion des risques en matière d’information en relation avec l’ISO dans le cadre de l’extension du champ d’application de la certification ISO 27001.</w:t>
      </w:r>
    </w:p>
    <w:p w:rsidR="006E2BB1" w:rsidRPr="00C258AD" w:rsidRDefault="006E2BB1" w:rsidP="00FE18E6">
      <w:pPr>
        <w:pStyle w:val="ONUME"/>
        <w:numPr>
          <w:ilvl w:val="0"/>
          <w:numId w:val="0"/>
        </w:numPr>
        <w:tabs>
          <w:tab w:val="left" w:pos="709"/>
        </w:tabs>
        <w:spacing w:after="0"/>
        <w:jc w:val="both"/>
      </w:pPr>
    </w:p>
    <w:p w:rsidR="006E2BB1" w:rsidRPr="00C258AD" w:rsidRDefault="003737EE" w:rsidP="00BB4DBC">
      <w:pPr>
        <w:pStyle w:val="ONUME"/>
        <w:numPr>
          <w:ilvl w:val="0"/>
          <w:numId w:val="24"/>
        </w:numPr>
        <w:tabs>
          <w:tab w:val="left" w:pos="709"/>
        </w:tabs>
        <w:spacing w:after="0"/>
        <w:ind w:left="0" w:firstLine="0"/>
        <w:jc w:val="both"/>
      </w:pPr>
      <w:r w:rsidRPr="00C258AD">
        <w:t>Des simulations de campagnes d’hameçonnage, dont la première a été lancée en 2014, ont continué de sensibiliser les utilisateurs aux menaces informatiques, comme le montrent la forte augmentation du nombre de tentatives d’hameçonnage rapportées par la communauté des utilisateurs (de 1% en 2014 à 59% en 2015), ainsi que la baisse de 10% du nombre d’utilisateurs qui se sont fait piéger par des campagnes d’hameçonnage (de 17% en moyenne en 2014 à 7% en moyenne en 2015).</w:t>
      </w:r>
    </w:p>
    <w:p w:rsidR="006E2BB1" w:rsidRPr="00C258AD" w:rsidRDefault="006E2BB1" w:rsidP="00FE18E6">
      <w:pPr>
        <w:pStyle w:val="ONUME"/>
        <w:numPr>
          <w:ilvl w:val="0"/>
          <w:numId w:val="0"/>
        </w:numPr>
        <w:tabs>
          <w:tab w:val="left" w:pos="709"/>
        </w:tabs>
        <w:spacing w:after="0"/>
        <w:jc w:val="both"/>
      </w:pPr>
    </w:p>
    <w:p w:rsidR="006E2BB1" w:rsidRPr="00C258AD" w:rsidRDefault="003737EE" w:rsidP="00BB4DBC">
      <w:pPr>
        <w:pStyle w:val="ONUME"/>
        <w:numPr>
          <w:ilvl w:val="0"/>
          <w:numId w:val="24"/>
        </w:numPr>
        <w:tabs>
          <w:tab w:val="left" w:pos="709"/>
        </w:tabs>
        <w:spacing w:after="200"/>
        <w:ind w:left="0" w:firstLine="0"/>
        <w:jc w:val="both"/>
        <w:rPr>
          <w:caps/>
          <w:sz w:val="22"/>
        </w:rPr>
      </w:pPr>
      <w:r w:rsidRPr="00C258AD">
        <w:t xml:space="preserve">Grâce à ses évaluations de qualité en matière de risques et à l’aide qu’elle fournit pour faire face aux risques, la Section de la sécurité informatique a aussi soutenu plusieurs initiatives commerciales – notamment le projet GOA, qui regroupe tous les systèmes informatiques de l’OMPI, et </w:t>
      </w:r>
      <w:proofErr w:type="spellStart"/>
      <w:r w:rsidRPr="00C258AD">
        <w:t>Taleo</w:t>
      </w:r>
      <w:proofErr w:type="spellEnd"/>
      <w:r w:rsidRPr="00C258AD">
        <w:t>, la solution de recrutement en nuage –, et collaboré étroitement avec les équipes de développement du PCT pour élaborer et mettre en œuvre une approche sécurisée fondée sur le cycle de vie des applications, de façon que les exigences et contrôles en matière de sécurité informatique soient pris en considération dès le début d’un projet de développement, ce qui réduit massivement le travail en aval nécessaire pour que les applications puissent passer les tests de sécurité.</w:t>
      </w:r>
      <w:r w:rsidR="00FE18E6" w:rsidRPr="00C258AD">
        <w:br w:type="page"/>
      </w:r>
    </w:p>
    <w:p w:rsidR="006E2BB1" w:rsidRPr="00C258AD" w:rsidRDefault="003737EE" w:rsidP="00305CE5">
      <w:pPr>
        <w:keepNext/>
        <w:rPr>
          <w:rFonts w:cs="Arial"/>
          <w:caps/>
          <w:sz w:val="22"/>
          <w:szCs w:val="22"/>
        </w:rPr>
      </w:pPr>
      <w:r w:rsidRPr="00C258AD">
        <w:rPr>
          <w:rFonts w:cs="Arial"/>
          <w:caps/>
          <w:sz w:val="22"/>
          <w:szCs w:val="22"/>
        </w:rPr>
        <w:lastRenderedPageBreak/>
        <w:t>Données relatives à l’exécution</w:t>
      </w:r>
    </w:p>
    <w:p w:rsidR="003737EE" w:rsidRPr="00C258AD" w:rsidRDefault="003737EE" w:rsidP="00FE18E6">
      <w:pPr>
        <w:keepNext/>
        <w:rPr>
          <w:sz w:val="22"/>
          <w:szCs w:val="22"/>
        </w:rPr>
      </w:pPr>
    </w:p>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127"/>
        <w:gridCol w:w="1843"/>
        <w:gridCol w:w="1558"/>
        <w:gridCol w:w="2974"/>
        <w:gridCol w:w="989"/>
      </w:tblGrid>
      <w:tr w:rsidR="003737EE" w:rsidRPr="00C258AD" w:rsidTr="0066137C">
        <w:trPr>
          <w:cantSplit/>
        </w:trPr>
        <w:tc>
          <w:tcPr>
            <w:tcW w:w="5000" w:type="pct"/>
            <w:gridSpan w:val="5"/>
            <w:tcBorders>
              <w:top w:val="single" w:sz="4" w:space="0" w:color="auto"/>
              <w:bottom w:val="single" w:sz="4" w:space="0" w:color="auto"/>
            </w:tcBorders>
            <w:shd w:val="clear" w:color="auto" w:fill="C5D9F1"/>
            <w:tcMar>
              <w:top w:w="113" w:type="dxa"/>
              <w:bottom w:w="113" w:type="dxa"/>
            </w:tcMar>
            <w:vAlign w:val="center"/>
          </w:tcPr>
          <w:p w:rsidR="003737EE" w:rsidRPr="00C258AD" w:rsidRDefault="003737EE" w:rsidP="0066137C">
            <w:pPr>
              <w:keepNext/>
              <w:keepLines/>
              <w:rPr>
                <w:bCs/>
                <w:sz w:val="16"/>
                <w:szCs w:val="16"/>
              </w:rPr>
            </w:pPr>
            <w:r w:rsidRPr="00C258AD">
              <w:rPr>
                <w:b/>
                <w:bCs/>
                <w:sz w:val="16"/>
                <w:szCs w:val="16"/>
              </w:rPr>
              <w:t>Résultat escompté :</w:t>
            </w:r>
            <w:r w:rsidRPr="00C258AD">
              <w:rPr>
                <w:bCs/>
                <w:sz w:val="16"/>
                <w:szCs w:val="16"/>
              </w:rPr>
              <w:t xml:space="preserve"> IX.1 Services d’appui efficaces, efficients, de qualité et tournés vers la clientèle, à l’intention à la fois des clients internes et des parties prenantes externes</w:t>
            </w:r>
          </w:p>
        </w:tc>
      </w:tr>
      <w:tr w:rsidR="003737EE" w:rsidRPr="00C258AD" w:rsidTr="0066137C">
        <w:trPr>
          <w:cantSplit/>
        </w:trPr>
        <w:tc>
          <w:tcPr>
            <w:tcW w:w="1120" w:type="pct"/>
            <w:tcBorders>
              <w:top w:val="single" w:sz="4" w:space="0" w:color="auto"/>
            </w:tcBorders>
            <w:shd w:val="clear" w:color="auto" w:fill="auto"/>
            <w:tcMar>
              <w:top w:w="113" w:type="dxa"/>
              <w:bottom w:w="113" w:type="dxa"/>
            </w:tcMar>
            <w:vAlign w:val="center"/>
          </w:tcPr>
          <w:p w:rsidR="003737EE" w:rsidRPr="00C258AD" w:rsidRDefault="003737EE" w:rsidP="0066137C">
            <w:pPr>
              <w:keepNext/>
              <w:jc w:val="center"/>
              <w:rPr>
                <w:sz w:val="16"/>
                <w:szCs w:val="16"/>
              </w:rPr>
            </w:pPr>
            <w:r w:rsidRPr="00C258AD">
              <w:rPr>
                <w:b/>
                <w:sz w:val="16"/>
                <w:szCs w:val="16"/>
              </w:rPr>
              <w:t>Indicateurs d’exécution</w:t>
            </w:r>
          </w:p>
        </w:tc>
        <w:tc>
          <w:tcPr>
            <w:tcW w:w="971" w:type="pct"/>
            <w:tcBorders>
              <w:top w:val="single" w:sz="4" w:space="0" w:color="auto"/>
            </w:tcBorders>
            <w:shd w:val="clear" w:color="auto" w:fill="auto"/>
            <w:tcMar>
              <w:top w:w="113" w:type="dxa"/>
              <w:bottom w:w="113" w:type="dxa"/>
            </w:tcMar>
            <w:vAlign w:val="center"/>
          </w:tcPr>
          <w:p w:rsidR="003737EE" w:rsidRPr="00C258AD" w:rsidRDefault="003737EE" w:rsidP="0066137C">
            <w:pPr>
              <w:keepNext/>
              <w:jc w:val="center"/>
              <w:rPr>
                <w:b/>
                <w:bCs/>
                <w:sz w:val="16"/>
                <w:szCs w:val="16"/>
              </w:rPr>
            </w:pPr>
            <w:r w:rsidRPr="00C258AD">
              <w:rPr>
                <w:b/>
                <w:bCs/>
                <w:sz w:val="16"/>
                <w:szCs w:val="16"/>
              </w:rPr>
              <w:t>Niveaux de référence</w:t>
            </w:r>
          </w:p>
        </w:tc>
        <w:tc>
          <w:tcPr>
            <w:tcW w:w="821" w:type="pct"/>
            <w:tcBorders>
              <w:top w:val="single" w:sz="4" w:space="0" w:color="auto"/>
            </w:tcBorders>
            <w:shd w:val="clear" w:color="auto" w:fill="auto"/>
            <w:tcMar>
              <w:top w:w="113" w:type="dxa"/>
              <w:bottom w:w="113" w:type="dxa"/>
            </w:tcMar>
            <w:vAlign w:val="center"/>
          </w:tcPr>
          <w:p w:rsidR="003737EE" w:rsidRPr="00C258AD" w:rsidRDefault="003737EE" w:rsidP="0066137C">
            <w:pPr>
              <w:keepNext/>
              <w:jc w:val="center"/>
              <w:rPr>
                <w:b/>
                <w:sz w:val="16"/>
                <w:szCs w:val="16"/>
              </w:rPr>
            </w:pPr>
            <w:r w:rsidRPr="00C258AD">
              <w:rPr>
                <w:b/>
                <w:sz w:val="16"/>
                <w:szCs w:val="16"/>
              </w:rPr>
              <w:t>Objectifs visés</w:t>
            </w:r>
          </w:p>
        </w:tc>
        <w:tc>
          <w:tcPr>
            <w:tcW w:w="1567" w:type="pct"/>
            <w:tcBorders>
              <w:top w:val="single" w:sz="4" w:space="0" w:color="auto"/>
            </w:tcBorders>
            <w:shd w:val="clear" w:color="auto" w:fill="FFFFFF"/>
            <w:tcMar>
              <w:top w:w="113" w:type="dxa"/>
              <w:bottom w:w="113" w:type="dxa"/>
            </w:tcMar>
            <w:vAlign w:val="center"/>
          </w:tcPr>
          <w:p w:rsidR="003737EE" w:rsidRPr="00C258AD" w:rsidRDefault="003737EE" w:rsidP="0066137C">
            <w:pPr>
              <w:keepNext/>
              <w:jc w:val="center"/>
              <w:rPr>
                <w:sz w:val="16"/>
                <w:szCs w:val="16"/>
              </w:rPr>
            </w:pPr>
            <w:r w:rsidRPr="00C258AD">
              <w:rPr>
                <w:b/>
                <w:sz w:val="16"/>
                <w:szCs w:val="16"/>
              </w:rPr>
              <w:t>Données relatives à l’exécution</w:t>
            </w:r>
          </w:p>
        </w:tc>
        <w:tc>
          <w:tcPr>
            <w:tcW w:w="521" w:type="pct"/>
            <w:tcBorders>
              <w:top w:val="single" w:sz="4" w:space="0" w:color="auto"/>
            </w:tcBorders>
            <w:shd w:val="clear" w:color="auto" w:fill="auto"/>
            <w:tcMar>
              <w:top w:w="113" w:type="dxa"/>
              <w:bottom w:w="113" w:type="dxa"/>
            </w:tcMar>
            <w:vAlign w:val="center"/>
          </w:tcPr>
          <w:p w:rsidR="003737EE" w:rsidRPr="00C258AD" w:rsidRDefault="003737EE" w:rsidP="0066137C">
            <w:pPr>
              <w:keepNext/>
              <w:keepLines/>
              <w:jc w:val="center"/>
              <w:rPr>
                <w:b/>
                <w:bCs/>
                <w:sz w:val="16"/>
                <w:szCs w:val="16"/>
              </w:rPr>
            </w:pPr>
            <w:r w:rsidRPr="00C258AD">
              <w:rPr>
                <w:b/>
                <w:bCs/>
                <w:sz w:val="16"/>
                <w:szCs w:val="16"/>
              </w:rPr>
              <w:t>Code de couleurs</w:t>
            </w:r>
          </w:p>
        </w:tc>
      </w:tr>
      <w:tr w:rsidR="003737EE" w:rsidRPr="00C258AD" w:rsidTr="0066137C">
        <w:trPr>
          <w:cantSplit/>
        </w:trPr>
        <w:tc>
          <w:tcPr>
            <w:tcW w:w="1120" w:type="pct"/>
            <w:shd w:val="clear" w:color="auto" w:fill="auto"/>
            <w:tcMar>
              <w:top w:w="113" w:type="dxa"/>
              <w:bottom w:w="113" w:type="dxa"/>
            </w:tcMar>
          </w:tcPr>
          <w:p w:rsidR="003737EE" w:rsidRPr="00C258AD" w:rsidRDefault="003737EE" w:rsidP="0066137C">
            <w:pPr>
              <w:rPr>
                <w:sz w:val="16"/>
                <w:szCs w:val="16"/>
              </w:rPr>
            </w:pPr>
            <w:r w:rsidRPr="00C258AD">
              <w:rPr>
                <w:sz w:val="16"/>
                <w:szCs w:val="16"/>
              </w:rPr>
              <w:t xml:space="preserve">Les TIC sont </w:t>
            </w:r>
            <w:proofErr w:type="gramStart"/>
            <w:r w:rsidRPr="00C258AD">
              <w:rPr>
                <w:sz w:val="16"/>
                <w:szCs w:val="16"/>
              </w:rPr>
              <w:t>hébergées</w:t>
            </w:r>
            <w:proofErr w:type="gramEnd"/>
            <w:r w:rsidRPr="00C258AD">
              <w:rPr>
                <w:sz w:val="16"/>
                <w:szCs w:val="16"/>
              </w:rPr>
              <w:t xml:space="preserve"> et gérées de manière rentable, conformément aux demandes liées à l’activité.</w:t>
            </w:r>
          </w:p>
        </w:tc>
        <w:tc>
          <w:tcPr>
            <w:tcW w:w="971" w:type="pct"/>
            <w:shd w:val="clear" w:color="auto" w:fill="auto"/>
            <w:tcMar>
              <w:top w:w="113" w:type="dxa"/>
              <w:bottom w:w="113" w:type="dxa"/>
            </w:tcMar>
          </w:tcPr>
          <w:p w:rsidR="006E2BB1" w:rsidRPr="00C258AD" w:rsidRDefault="003737EE" w:rsidP="0066137C">
            <w:pPr>
              <w:rPr>
                <w:color w:val="002060"/>
                <w:sz w:val="16"/>
                <w:szCs w:val="16"/>
              </w:rPr>
            </w:pPr>
            <w:r w:rsidRPr="00C258AD">
              <w:rPr>
                <w:i/>
                <w:color w:val="002060"/>
                <w:sz w:val="16"/>
                <w:szCs w:val="16"/>
              </w:rPr>
              <w:t>Niveau de référence actualisé à fin 2013</w:t>
            </w:r>
            <w:r w:rsidRPr="00C258AD">
              <w:rPr>
                <w:color w:val="002060"/>
                <w:sz w:val="16"/>
                <w:szCs w:val="16"/>
              </w:rPr>
              <w:t> :</w:t>
            </w:r>
          </w:p>
          <w:p w:rsidR="006E2BB1" w:rsidRPr="00C258AD" w:rsidRDefault="006E2BB1" w:rsidP="0066137C">
            <w:pPr>
              <w:rPr>
                <w:color w:val="002060"/>
                <w:sz w:val="16"/>
                <w:szCs w:val="16"/>
              </w:rPr>
            </w:pPr>
          </w:p>
          <w:p w:rsidR="006E2BB1" w:rsidRPr="00C258AD" w:rsidRDefault="003737EE" w:rsidP="0066137C">
            <w:pPr>
              <w:rPr>
                <w:color w:val="002060"/>
                <w:sz w:val="16"/>
                <w:szCs w:val="16"/>
              </w:rPr>
            </w:pPr>
            <w:r w:rsidRPr="00C258AD">
              <w:rPr>
                <w:color w:val="002060"/>
                <w:sz w:val="16"/>
                <w:szCs w:val="16"/>
              </w:rPr>
              <w:t>Coût mensuel de l’appui au serveur de l’Organisation : 280 dollars;  coût mensuel du serveur virtuel : 229 dollars (2 cœurs et 8 Go);  coût mensuel moyen du stockage haute performance : 420 dollars/To;  Coût mensuel moyen de sauvegarde : 53,90 dollars</w:t>
            </w:r>
          </w:p>
          <w:p w:rsidR="006E2BB1" w:rsidRPr="00C258AD" w:rsidRDefault="006E2BB1" w:rsidP="0066137C">
            <w:pPr>
              <w:rPr>
                <w:color w:val="002060"/>
                <w:sz w:val="16"/>
                <w:szCs w:val="16"/>
              </w:rPr>
            </w:pPr>
          </w:p>
          <w:p w:rsidR="003737EE" w:rsidRPr="00C258AD" w:rsidRDefault="003737EE" w:rsidP="0066137C">
            <w:pPr>
              <w:rPr>
                <w:sz w:val="16"/>
                <w:szCs w:val="16"/>
              </w:rPr>
            </w:pPr>
            <w:r w:rsidRPr="00C258AD">
              <w:rPr>
                <w:sz w:val="16"/>
                <w:szCs w:val="16"/>
              </w:rPr>
              <w:t>Niveau de référence initial dans le programme et budget 2014</w:t>
            </w:r>
            <w:r w:rsidRPr="00C258AD">
              <w:rPr>
                <w:sz w:val="16"/>
                <w:szCs w:val="16"/>
              </w:rPr>
              <w:noBreakHyphen/>
              <w:t>2015 </w:t>
            </w:r>
            <w:proofErr w:type="gramStart"/>
            <w:r w:rsidRPr="00C258AD">
              <w:rPr>
                <w:sz w:val="16"/>
                <w:szCs w:val="16"/>
              </w:rPr>
              <w:t>:</w:t>
            </w:r>
            <w:proofErr w:type="gramEnd"/>
            <w:r w:rsidRPr="00C258AD">
              <w:rPr>
                <w:sz w:val="16"/>
                <w:szCs w:val="16"/>
              </w:rPr>
              <w:br/>
              <w:t>Coûts unitaires des serveurs physiques et virtuels dédiés au stockage et à la sauvegarde</w:t>
            </w:r>
          </w:p>
        </w:tc>
        <w:tc>
          <w:tcPr>
            <w:tcW w:w="821" w:type="pct"/>
            <w:shd w:val="clear" w:color="auto" w:fill="auto"/>
            <w:tcMar>
              <w:top w:w="113" w:type="dxa"/>
              <w:bottom w:w="113" w:type="dxa"/>
            </w:tcMar>
          </w:tcPr>
          <w:p w:rsidR="003737EE" w:rsidRPr="00C258AD" w:rsidRDefault="003737EE" w:rsidP="0066137C">
            <w:pPr>
              <w:rPr>
                <w:sz w:val="16"/>
                <w:szCs w:val="16"/>
              </w:rPr>
            </w:pPr>
            <w:r w:rsidRPr="00C258AD">
              <w:rPr>
                <w:sz w:val="16"/>
                <w:szCs w:val="16"/>
              </w:rPr>
              <w:t>Les coûts unitaires d’hébergement des infrastructures sont inférieurs ou égaux au niveau de référence.</w:t>
            </w:r>
          </w:p>
        </w:tc>
        <w:tc>
          <w:tcPr>
            <w:tcW w:w="1567" w:type="pct"/>
            <w:shd w:val="clear" w:color="auto" w:fill="FFFFFF"/>
            <w:tcMar>
              <w:top w:w="113" w:type="dxa"/>
              <w:bottom w:w="113" w:type="dxa"/>
            </w:tcMar>
          </w:tcPr>
          <w:p w:rsidR="006E2BB1" w:rsidRPr="00C258AD" w:rsidRDefault="003737EE" w:rsidP="0066137C">
            <w:pPr>
              <w:rPr>
                <w:sz w:val="16"/>
                <w:szCs w:val="16"/>
              </w:rPr>
            </w:pPr>
            <w:r w:rsidRPr="00C258AD">
              <w:rPr>
                <w:sz w:val="16"/>
                <w:szCs w:val="16"/>
              </w:rPr>
              <w:t>2014 : taux inchangés par rapport aux niveaux de référence.</w:t>
            </w:r>
            <w:r w:rsidR="00E82DE1">
              <w:rPr>
                <w:sz w:val="16"/>
                <w:szCs w:val="16"/>
              </w:rPr>
              <w:t xml:space="preserve">  </w:t>
            </w:r>
            <w:r w:rsidRPr="00C258AD">
              <w:rPr>
                <w:sz w:val="16"/>
                <w:szCs w:val="16"/>
              </w:rPr>
              <w:t>Nouveaux tarifs négociés</w:t>
            </w:r>
          </w:p>
          <w:p w:rsidR="006E2BB1" w:rsidRPr="00C258AD" w:rsidRDefault="006E2BB1" w:rsidP="0066137C">
            <w:pPr>
              <w:rPr>
                <w:sz w:val="16"/>
                <w:szCs w:val="16"/>
              </w:rPr>
            </w:pPr>
          </w:p>
          <w:p w:rsidR="006E2BB1" w:rsidRPr="00C258AD" w:rsidRDefault="003737EE" w:rsidP="0066137C">
            <w:pPr>
              <w:rPr>
                <w:sz w:val="16"/>
                <w:szCs w:val="16"/>
              </w:rPr>
            </w:pPr>
            <w:r w:rsidRPr="00C258AD">
              <w:rPr>
                <w:sz w:val="16"/>
                <w:szCs w:val="16"/>
              </w:rPr>
              <w:t>2015 : coût mensuel de l’appui au serveur de l’Organisation : 250 francs suisses</w:t>
            </w:r>
          </w:p>
          <w:p w:rsidR="006E2BB1" w:rsidRPr="00C258AD" w:rsidRDefault="006E2BB1" w:rsidP="0066137C">
            <w:pPr>
              <w:rPr>
                <w:sz w:val="16"/>
                <w:szCs w:val="16"/>
              </w:rPr>
            </w:pPr>
          </w:p>
          <w:p w:rsidR="006E2BB1" w:rsidRPr="00C258AD" w:rsidRDefault="003737EE" w:rsidP="0066137C">
            <w:pPr>
              <w:rPr>
                <w:sz w:val="16"/>
                <w:szCs w:val="16"/>
              </w:rPr>
            </w:pPr>
            <w:r w:rsidRPr="00C258AD">
              <w:rPr>
                <w:sz w:val="16"/>
                <w:szCs w:val="16"/>
              </w:rPr>
              <w:t>Coût mensuel du serveur virtuel : 189 francs suisses</w:t>
            </w:r>
          </w:p>
          <w:p w:rsidR="006E2BB1" w:rsidRPr="00C258AD" w:rsidRDefault="006E2BB1" w:rsidP="0066137C">
            <w:pPr>
              <w:rPr>
                <w:sz w:val="16"/>
                <w:szCs w:val="16"/>
              </w:rPr>
            </w:pPr>
          </w:p>
          <w:p w:rsidR="006E2BB1" w:rsidRPr="00C258AD" w:rsidRDefault="006E2BB1" w:rsidP="0066137C">
            <w:pPr>
              <w:rPr>
                <w:sz w:val="16"/>
                <w:szCs w:val="16"/>
              </w:rPr>
            </w:pPr>
          </w:p>
          <w:p w:rsidR="006E2BB1" w:rsidRPr="00C258AD" w:rsidRDefault="003737EE" w:rsidP="0066137C">
            <w:pPr>
              <w:rPr>
                <w:sz w:val="16"/>
                <w:szCs w:val="16"/>
              </w:rPr>
            </w:pPr>
            <w:r w:rsidRPr="00C258AD">
              <w:rPr>
                <w:sz w:val="16"/>
                <w:szCs w:val="16"/>
              </w:rPr>
              <w:t xml:space="preserve">Coût mensuel moyen du stockage </w:t>
            </w:r>
            <w:proofErr w:type="gramStart"/>
            <w:r w:rsidRPr="00C258AD">
              <w:rPr>
                <w:sz w:val="16"/>
                <w:szCs w:val="16"/>
              </w:rPr>
              <w:t>haute</w:t>
            </w:r>
            <w:proofErr w:type="gramEnd"/>
            <w:r w:rsidRPr="00C258AD">
              <w:rPr>
                <w:sz w:val="16"/>
                <w:szCs w:val="16"/>
              </w:rPr>
              <w:t xml:space="preserve"> performance : 240 francs suisses/To</w:t>
            </w:r>
          </w:p>
          <w:p w:rsidR="006E2BB1" w:rsidRPr="00C258AD" w:rsidRDefault="006E2BB1" w:rsidP="0066137C">
            <w:pPr>
              <w:rPr>
                <w:sz w:val="16"/>
                <w:szCs w:val="16"/>
              </w:rPr>
            </w:pPr>
          </w:p>
          <w:p w:rsidR="006E2BB1" w:rsidRPr="00C258AD" w:rsidRDefault="003737EE" w:rsidP="0066137C">
            <w:pPr>
              <w:rPr>
                <w:sz w:val="16"/>
                <w:szCs w:val="16"/>
              </w:rPr>
            </w:pPr>
            <w:r w:rsidRPr="00C258AD">
              <w:rPr>
                <w:sz w:val="16"/>
                <w:szCs w:val="16"/>
              </w:rPr>
              <w:t>Coût mensuel moyen de sauvegarde : 41,10 francs suisses</w:t>
            </w:r>
          </w:p>
          <w:p w:rsidR="006E2BB1" w:rsidRPr="00C258AD" w:rsidRDefault="006E2BB1" w:rsidP="0066137C">
            <w:pPr>
              <w:rPr>
                <w:sz w:val="16"/>
                <w:szCs w:val="16"/>
              </w:rPr>
            </w:pPr>
          </w:p>
          <w:p w:rsidR="003737EE" w:rsidRPr="00C258AD" w:rsidRDefault="003737EE" w:rsidP="0066137C">
            <w:pPr>
              <w:pStyle w:val="ListParagraph"/>
              <w:numPr>
                <w:ilvl w:val="0"/>
                <w:numId w:val="0"/>
              </w:numPr>
              <w:tabs>
                <w:tab w:val="left" w:pos="405"/>
              </w:tabs>
              <w:rPr>
                <w:sz w:val="16"/>
                <w:szCs w:val="16"/>
              </w:rPr>
            </w:pPr>
            <w:r w:rsidRPr="00C258AD">
              <w:rPr>
                <w:sz w:val="16"/>
                <w:szCs w:val="16"/>
              </w:rPr>
              <w:t>Nombre d’incidents de service à impact moyen ou fort : 1,75 par mois</w:t>
            </w:r>
          </w:p>
        </w:tc>
        <w:tc>
          <w:tcPr>
            <w:tcW w:w="521" w:type="pct"/>
            <w:shd w:val="clear" w:color="auto" w:fill="auto"/>
            <w:tcMar>
              <w:top w:w="113" w:type="dxa"/>
              <w:bottom w:w="113" w:type="dxa"/>
            </w:tcMar>
          </w:tcPr>
          <w:p w:rsidR="006E2BB1" w:rsidRPr="00C258AD" w:rsidRDefault="006E2BB1" w:rsidP="0066137C">
            <w:pPr>
              <w:keepNext/>
              <w:keepLines/>
              <w:jc w:val="center"/>
              <w:rPr>
                <w:b/>
                <w:bCs/>
                <w:color w:val="00B050"/>
                <w:sz w:val="16"/>
                <w:szCs w:val="16"/>
              </w:rPr>
            </w:pPr>
          </w:p>
          <w:p w:rsidR="006E2BB1" w:rsidRDefault="006E2BB1" w:rsidP="0066137C">
            <w:pPr>
              <w:keepNext/>
              <w:keepLines/>
              <w:jc w:val="center"/>
              <w:rPr>
                <w:b/>
                <w:bCs/>
                <w:color w:val="00B050"/>
                <w:sz w:val="16"/>
                <w:szCs w:val="16"/>
              </w:rPr>
            </w:pPr>
          </w:p>
          <w:p w:rsidR="00E82DE1" w:rsidRDefault="00E82DE1" w:rsidP="0066137C">
            <w:pPr>
              <w:keepNext/>
              <w:keepLines/>
              <w:jc w:val="center"/>
              <w:rPr>
                <w:b/>
                <w:bCs/>
                <w:color w:val="00B050"/>
                <w:sz w:val="16"/>
                <w:szCs w:val="16"/>
              </w:rPr>
            </w:pPr>
          </w:p>
          <w:p w:rsidR="00E82DE1" w:rsidRPr="00C258AD" w:rsidRDefault="00E82DE1" w:rsidP="0066137C">
            <w:pPr>
              <w:keepNext/>
              <w:keepLines/>
              <w:jc w:val="center"/>
              <w:rPr>
                <w:b/>
                <w:bCs/>
                <w:color w:val="00B050"/>
                <w:sz w:val="16"/>
                <w:szCs w:val="16"/>
              </w:rPr>
            </w:pPr>
          </w:p>
          <w:p w:rsidR="006E2BB1" w:rsidRPr="00C258AD" w:rsidRDefault="003737EE" w:rsidP="0066137C">
            <w:pPr>
              <w:keepNext/>
              <w:keepLines/>
              <w:jc w:val="center"/>
              <w:rPr>
                <w:b/>
                <w:bCs/>
                <w:color w:val="00B050"/>
                <w:sz w:val="16"/>
                <w:szCs w:val="16"/>
              </w:rPr>
            </w:pPr>
            <w:r w:rsidRPr="00C258AD">
              <w:rPr>
                <w:rFonts w:cs="Arial"/>
                <w:b/>
                <w:bCs/>
                <w:color w:val="00B050"/>
                <w:sz w:val="16"/>
                <w:szCs w:val="16"/>
              </w:rPr>
              <w:t>Objectif pleinement atteint</w:t>
            </w:r>
          </w:p>
          <w:p w:rsidR="006E2BB1" w:rsidRPr="00C258AD" w:rsidRDefault="006E2BB1" w:rsidP="0066137C">
            <w:pPr>
              <w:keepNext/>
              <w:keepLines/>
              <w:jc w:val="center"/>
              <w:rPr>
                <w:b/>
                <w:bCs/>
                <w:color w:val="00B050"/>
                <w:sz w:val="16"/>
                <w:szCs w:val="16"/>
              </w:rPr>
            </w:pPr>
          </w:p>
          <w:p w:rsidR="006E2BB1" w:rsidRPr="00C258AD" w:rsidRDefault="003737EE" w:rsidP="0066137C">
            <w:pPr>
              <w:keepNext/>
              <w:keepLines/>
              <w:jc w:val="center"/>
              <w:rPr>
                <w:b/>
                <w:bCs/>
                <w:color w:val="00B050"/>
                <w:sz w:val="16"/>
                <w:szCs w:val="16"/>
              </w:rPr>
            </w:pPr>
            <w:r w:rsidRPr="00C258AD">
              <w:rPr>
                <w:rFonts w:cs="Arial"/>
                <w:b/>
                <w:bCs/>
                <w:color w:val="00B050"/>
                <w:sz w:val="16"/>
                <w:szCs w:val="16"/>
              </w:rPr>
              <w:t>Objectif pleinement atteint</w:t>
            </w:r>
          </w:p>
          <w:p w:rsidR="006E2BB1" w:rsidRPr="00C258AD" w:rsidRDefault="006E2BB1" w:rsidP="0066137C">
            <w:pPr>
              <w:keepNext/>
              <w:keepLines/>
              <w:jc w:val="center"/>
              <w:rPr>
                <w:rFonts w:cs="Arial"/>
                <w:b/>
                <w:bCs/>
                <w:color w:val="00B050"/>
                <w:sz w:val="16"/>
                <w:szCs w:val="16"/>
              </w:rPr>
            </w:pPr>
          </w:p>
          <w:p w:rsidR="006E2BB1" w:rsidRPr="00C258AD" w:rsidRDefault="003737EE" w:rsidP="0066137C">
            <w:pPr>
              <w:keepNext/>
              <w:keepLines/>
              <w:jc w:val="center"/>
              <w:rPr>
                <w:b/>
                <w:bCs/>
                <w:color w:val="00B050"/>
                <w:sz w:val="16"/>
                <w:szCs w:val="16"/>
              </w:rPr>
            </w:pPr>
            <w:r w:rsidRPr="00C258AD">
              <w:rPr>
                <w:rFonts w:cs="Arial"/>
                <w:b/>
                <w:bCs/>
                <w:color w:val="00B050"/>
                <w:sz w:val="16"/>
                <w:szCs w:val="16"/>
              </w:rPr>
              <w:t>Objectif pleinement atteint</w:t>
            </w:r>
          </w:p>
          <w:p w:rsidR="006E2BB1" w:rsidRPr="00C258AD" w:rsidRDefault="006E2BB1" w:rsidP="0066137C">
            <w:pPr>
              <w:keepNext/>
              <w:keepLines/>
              <w:jc w:val="center"/>
              <w:rPr>
                <w:b/>
                <w:bCs/>
                <w:color w:val="00B050"/>
                <w:sz w:val="16"/>
                <w:szCs w:val="16"/>
              </w:rPr>
            </w:pPr>
          </w:p>
          <w:p w:rsidR="003737EE" w:rsidRPr="00C258AD" w:rsidRDefault="003737EE" w:rsidP="00E82DE1">
            <w:pPr>
              <w:keepNext/>
              <w:keepLines/>
              <w:jc w:val="center"/>
              <w:rPr>
                <w:b/>
                <w:bCs/>
                <w:color w:val="00B050"/>
                <w:sz w:val="16"/>
                <w:szCs w:val="16"/>
              </w:rPr>
            </w:pPr>
            <w:r w:rsidRPr="00C258AD">
              <w:rPr>
                <w:rFonts w:cs="Arial"/>
                <w:b/>
                <w:bCs/>
                <w:color w:val="00B050"/>
                <w:sz w:val="16"/>
                <w:szCs w:val="16"/>
              </w:rPr>
              <w:t>Objectif pleinement atteint</w:t>
            </w:r>
          </w:p>
        </w:tc>
      </w:tr>
      <w:tr w:rsidR="003737EE" w:rsidRPr="00C258AD" w:rsidTr="0066137C">
        <w:trPr>
          <w:cantSplit/>
        </w:trPr>
        <w:tc>
          <w:tcPr>
            <w:tcW w:w="1120" w:type="pct"/>
            <w:shd w:val="clear" w:color="auto" w:fill="auto"/>
            <w:tcMar>
              <w:top w:w="113" w:type="dxa"/>
              <w:bottom w:w="113" w:type="dxa"/>
            </w:tcMar>
          </w:tcPr>
          <w:p w:rsidR="003737EE" w:rsidRPr="00C258AD" w:rsidRDefault="003737EE" w:rsidP="0066137C">
            <w:pPr>
              <w:rPr>
                <w:sz w:val="16"/>
                <w:szCs w:val="16"/>
              </w:rPr>
            </w:pPr>
            <w:r w:rsidRPr="00C258AD">
              <w:rPr>
                <w:sz w:val="16"/>
                <w:szCs w:val="16"/>
              </w:rPr>
              <w:t>Nombre d’accords de niveau de service pour les systèmes et services hébergés qui sont conformes au cadre défini pour les TIC</w:t>
            </w:r>
          </w:p>
        </w:tc>
        <w:tc>
          <w:tcPr>
            <w:tcW w:w="971" w:type="pct"/>
            <w:shd w:val="clear" w:color="auto" w:fill="auto"/>
            <w:tcMar>
              <w:top w:w="113" w:type="dxa"/>
              <w:bottom w:w="113" w:type="dxa"/>
            </w:tcMar>
          </w:tcPr>
          <w:p w:rsidR="003737EE" w:rsidRPr="00C258AD" w:rsidRDefault="003737EE" w:rsidP="0066137C">
            <w:pPr>
              <w:rPr>
                <w:i/>
                <w:sz w:val="16"/>
                <w:szCs w:val="16"/>
              </w:rPr>
            </w:pPr>
            <w:r w:rsidRPr="00C258AD">
              <w:rPr>
                <w:sz w:val="16"/>
                <w:szCs w:val="16"/>
              </w:rPr>
              <w:t>Cadre relatif aux accords sur le niveau de services en place pour les TIC</w:t>
            </w:r>
          </w:p>
        </w:tc>
        <w:tc>
          <w:tcPr>
            <w:tcW w:w="821" w:type="pct"/>
            <w:shd w:val="clear" w:color="auto" w:fill="auto"/>
            <w:tcMar>
              <w:top w:w="113" w:type="dxa"/>
              <w:bottom w:w="113" w:type="dxa"/>
            </w:tcMar>
          </w:tcPr>
          <w:p w:rsidR="003737EE" w:rsidRPr="00C258AD" w:rsidRDefault="003737EE" w:rsidP="0066137C">
            <w:pPr>
              <w:rPr>
                <w:sz w:val="16"/>
                <w:szCs w:val="16"/>
              </w:rPr>
            </w:pPr>
            <w:r w:rsidRPr="00C258AD">
              <w:rPr>
                <w:sz w:val="16"/>
                <w:szCs w:val="16"/>
              </w:rPr>
              <w:t>Pourcentage d’accords sur le niveau de service qui sont conformes au cadre défini pour les TIC</w:t>
            </w:r>
          </w:p>
        </w:tc>
        <w:tc>
          <w:tcPr>
            <w:tcW w:w="1567" w:type="pct"/>
            <w:shd w:val="clear" w:color="auto" w:fill="FFFFFF"/>
            <w:tcMar>
              <w:top w:w="113" w:type="dxa"/>
              <w:bottom w:w="113" w:type="dxa"/>
            </w:tcMar>
          </w:tcPr>
          <w:p w:rsidR="003737EE" w:rsidRPr="00C258AD" w:rsidRDefault="003737EE" w:rsidP="0066137C">
            <w:pPr>
              <w:rPr>
                <w:sz w:val="16"/>
                <w:szCs w:val="16"/>
              </w:rPr>
            </w:pPr>
            <w:r w:rsidRPr="00C258AD">
              <w:rPr>
                <w:sz w:val="16"/>
                <w:szCs w:val="16"/>
              </w:rPr>
              <w:t>En 2014</w:t>
            </w:r>
            <w:r w:rsidRPr="00C258AD">
              <w:rPr>
                <w:sz w:val="16"/>
                <w:szCs w:val="16"/>
              </w:rPr>
              <w:noBreakHyphen/>
              <w:t xml:space="preserve">2015, 11 nouveaux accords signés (Enterprise Communication System, IRIS, IRPI, PCT, PEARL, SIGAGIP, PATENTSCOPE, CASE, DAS, </w:t>
            </w:r>
            <w:proofErr w:type="spellStart"/>
            <w:r w:rsidRPr="00C258AD">
              <w:rPr>
                <w:sz w:val="16"/>
                <w:szCs w:val="16"/>
              </w:rPr>
              <w:t>External</w:t>
            </w:r>
            <w:proofErr w:type="spellEnd"/>
            <w:r w:rsidRPr="00C258AD">
              <w:rPr>
                <w:sz w:val="16"/>
                <w:szCs w:val="16"/>
              </w:rPr>
              <w:t xml:space="preserve"> Collaboration Platform, GOA) conformément au cadre défini pour les TIC (100%)</w:t>
            </w:r>
          </w:p>
        </w:tc>
        <w:tc>
          <w:tcPr>
            <w:tcW w:w="521" w:type="pct"/>
            <w:shd w:val="clear" w:color="auto" w:fill="auto"/>
            <w:tcMar>
              <w:top w:w="113" w:type="dxa"/>
              <w:bottom w:w="113" w:type="dxa"/>
            </w:tcMar>
          </w:tcPr>
          <w:p w:rsidR="003737EE" w:rsidRPr="00C258AD" w:rsidRDefault="003737EE" w:rsidP="0066137C">
            <w:pPr>
              <w:keepNext/>
              <w:keepLines/>
              <w:jc w:val="center"/>
              <w:rPr>
                <w:b/>
                <w:bCs/>
                <w:color w:val="00B050"/>
                <w:sz w:val="16"/>
                <w:szCs w:val="16"/>
              </w:rPr>
            </w:pPr>
            <w:r w:rsidRPr="00C258AD">
              <w:rPr>
                <w:rFonts w:cs="Arial"/>
                <w:b/>
                <w:bCs/>
                <w:color w:val="00B050"/>
                <w:sz w:val="16"/>
                <w:szCs w:val="16"/>
              </w:rPr>
              <w:t>Objectif pleinement atteint</w:t>
            </w:r>
          </w:p>
        </w:tc>
      </w:tr>
      <w:tr w:rsidR="003737EE" w:rsidRPr="00C258AD" w:rsidTr="0066137C">
        <w:trPr>
          <w:cantSplit/>
        </w:trPr>
        <w:tc>
          <w:tcPr>
            <w:tcW w:w="1120" w:type="pct"/>
            <w:shd w:val="clear" w:color="auto" w:fill="auto"/>
            <w:tcMar>
              <w:top w:w="113" w:type="dxa"/>
              <w:bottom w:w="113" w:type="dxa"/>
            </w:tcMar>
          </w:tcPr>
          <w:p w:rsidR="003737EE" w:rsidRPr="00C258AD" w:rsidRDefault="003737EE" w:rsidP="0066137C">
            <w:pPr>
              <w:rPr>
                <w:sz w:val="16"/>
                <w:szCs w:val="16"/>
              </w:rPr>
            </w:pPr>
            <w:r w:rsidRPr="00C258AD">
              <w:rPr>
                <w:sz w:val="16"/>
                <w:szCs w:val="16"/>
              </w:rPr>
              <w:t>Continuité de service des systèmes TIC critiques</w:t>
            </w:r>
          </w:p>
        </w:tc>
        <w:tc>
          <w:tcPr>
            <w:tcW w:w="971" w:type="pct"/>
            <w:shd w:val="clear" w:color="auto" w:fill="auto"/>
            <w:tcMar>
              <w:top w:w="113" w:type="dxa"/>
              <w:bottom w:w="113" w:type="dxa"/>
            </w:tcMar>
          </w:tcPr>
          <w:p w:rsidR="006E2BB1" w:rsidRPr="00C258AD" w:rsidRDefault="003737EE" w:rsidP="0066137C">
            <w:pPr>
              <w:rPr>
                <w:color w:val="002060"/>
                <w:sz w:val="16"/>
                <w:szCs w:val="16"/>
              </w:rPr>
            </w:pPr>
            <w:r w:rsidRPr="00C258AD">
              <w:rPr>
                <w:i/>
                <w:color w:val="002060"/>
                <w:sz w:val="16"/>
                <w:szCs w:val="16"/>
              </w:rPr>
              <w:t>Niveau de référence actualisé à fin 2013</w:t>
            </w:r>
            <w:r w:rsidRPr="00C258AD">
              <w:rPr>
                <w:color w:val="002060"/>
                <w:sz w:val="16"/>
                <w:szCs w:val="16"/>
              </w:rPr>
              <w:t> : 2 centres de données étroitement liés établis;</w:t>
            </w:r>
            <w:r w:rsidRPr="00C258AD">
              <w:rPr>
                <w:color w:val="002060"/>
                <w:sz w:val="16"/>
                <w:szCs w:val="16"/>
              </w:rPr>
              <w:br/>
              <w:t>infrastructure de serveur et de réseau partiellement mise au point pour appuyer ces 2 centres;</w:t>
            </w:r>
            <w:r w:rsidRPr="00C258AD">
              <w:rPr>
                <w:color w:val="002060"/>
                <w:sz w:val="16"/>
                <w:szCs w:val="16"/>
              </w:rPr>
              <w:br/>
              <w:t>38 services essentiels ont été évalués et des mesures adaptées ont été mises en œuvre pour limiter les risques et garantir une amélioration de leur disponibilité.</w:t>
            </w:r>
          </w:p>
          <w:p w:rsidR="006E2BB1" w:rsidRPr="00C258AD" w:rsidRDefault="006E2BB1" w:rsidP="0066137C">
            <w:pPr>
              <w:rPr>
                <w:sz w:val="16"/>
                <w:szCs w:val="16"/>
              </w:rPr>
            </w:pPr>
          </w:p>
          <w:p w:rsidR="006E2BB1" w:rsidRPr="00C258AD" w:rsidRDefault="003737EE" w:rsidP="0066137C">
            <w:pPr>
              <w:rPr>
                <w:i/>
                <w:sz w:val="16"/>
                <w:szCs w:val="16"/>
              </w:rPr>
            </w:pPr>
            <w:r w:rsidRPr="00C258AD">
              <w:rPr>
                <w:i/>
                <w:sz w:val="16"/>
                <w:szCs w:val="16"/>
              </w:rPr>
              <w:t>Niveau de référence initial dans le programme et budget 2014</w:t>
            </w:r>
            <w:r w:rsidRPr="00C258AD">
              <w:rPr>
                <w:i/>
                <w:sz w:val="16"/>
                <w:szCs w:val="16"/>
              </w:rPr>
              <w:noBreakHyphen/>
              <w:t>2015 :</w:t>
            </w:r>
          </w:p>
          <w:p w:rsidR="003737EE" w:rsidRPr="00C258AD" w:rsidRDefault="003737EE" w:rsidP="0066137C">
            <w:pPr>
              <w:rPr>
                <w:sz w:val="16"/>
                <w:szCs w:val="16"/>
              </w:rPr>
            </w:pPr>
            <w:r w:rsidRPr="00C258AD">
              <w:rPr>
                <w:sz w:val="16"/>
                <w:szCs w:val="16"/>
              </w:rPr>
              <w:t>Les données sont sauvegardées hors ligne, la restauration des données peut prendre plusieurs jours.</w:t>
            </w:r>
          </w:p>
        </w:tc>
        <w:tc>
          <w:tcPr>
            <w:tcW w:w="821" w:type="pct"/>
            <w:shd w:val="clear" w:color="auto" w:fill="auto"/>
            <w:tcMar>
              <w:top w:w="113" w:type="dxa"/>
              <w:bottom w:w="113" w:type="dxa"/>
            </w:tcMar>
          </w:tcPr>
          <w:p w:rsidR="003737EE" w:rsidRPr="00C258AD" w:rsidRDefault="003737EE" w:rsidP="0066137C">
            <w:pPr>
              <w:rPr>
                <w:sz w:val="16"/>
                <w:szCs w:val="16"/>
              </w:rPr>
            </w:pPr>
            <w:r w:rsidRPr="00C258AD">
              <w:rPr>
                <w:sz w:val="16"/>
                <w:szCs w:val="16"/>
              </w:rPr>
              <w:t>Les systèmes critiques peuvent être restaurés rapidement et sans perte de données en cas de graves perturbations localisées.</w:t>
            </w:r>
          </w:p>
        </w:tc>
        <w:tc>
          <w:tcPr>
            <w:tcW w:w="1567" w:type="pct"/>
            <w:shd w:val="clear" w:color="auto" w:fill="FFFFFF"/>
            <w:tcMar>
              <w:top w:w="113" w:type="dxa"/>
              <w:bottom w:w="113" w:type="dxa"/>
            </w:tcMar>
          </w:tcPr>
          <w:p w:rsidR="006E2BB1" w:rsidRPr="00C258AD" w:rsidRDefault="003737EE" w:rsidP="0066137C">
            <w:pPr>
              <w:rPr>
                <w:rFonts w:cs="Arial"/>
                <w:color w:val="000000" w:themeColor="text1"/>
                <w:sz w:val="16"/>
                <w:szCs w:val="16"/>
              </w:rPr>
            </w:pPr>
            <w:r w:rsidRPr="00C258AD">
              <w:rPr>
                <w:rFonts w:cs="Arial"/>
                <w:color w:val="000000" w:themeColor="text1"/>
                <w:sz w:val="16"/>
                <w:szCs w:val="16"/>
              </w:rPr>
              <w:t>Serveur, stockage, sauvegarde et infrastructure de réseau étendus aux services essentiels de TIC.  En 2014</w:t>
            </w:r>
            <w:r w:rsidRPr="00C258AD">
              <w:rPr>
                <w:rFonts w:cs="Arial"/>
                <w:color w:val="000000" w:themeColor="text1"/>
                <w:sz w:val="16"/>
                <w:szCs w:val="16"/>
              </w:rPr>
              <w:noBreakHyphen/>
              <w:t>2015, 12 services critiques de TIC supplémentaires ont été évalués, et des mesures adaptées ont été mises en œuvre pour assurer la continuité de service.</w:t>
            </w:r>
          </w:p>
          <w:p w:rsidR="006E2BB1" w:rsidRPr="00C258AD" w:rsidRDefault="006E2BB1" w:rsidP="0066137C">
            <w:pPr>
              <w:rPr>
                <w:rFonts w:cs="Arial"/>
                <w:color w:val="000000" w:themeColor="text1"/>
                <w:sz w:val="16"/>
                <w:szCs w:val="16"/>
              </w:rPr>
            </w:pPr>
          </w:p>
          <w:p w:rsidR="003737EE" w:rsidRPr="00C258AD" w:rsidRDefault="003737EE" w:rsidP="0066137C">
            <w:pPr>
              <w:rPr>
                <w:rFonts w:cs="Arial"/>
                <w:color w:val="000000" w:themeColor="text1"/>
                <w:sz w:val="16"/>
                <w:szCs w:val="16"/>
              </w:rPr>
            </w:pPr>
            <w:r w:rsidRPr="00C258AD">
              <w:rPr>
                <w:rFonts w:cs="Arial"/>
                <w:color w:val="000000" w:themeColor="text1"/>
                <w:sz w:val="16"/>
                <w:szCs w:val="16"/>
              </w:rPr>
              <w:t>La capacité de continuité de service des TIC a été validée en 2015 grâce à un test d’une journée réussi en matière de reprise des opérations après un sinistre;  un exercice de reprise sur défaillance PCT a été réalisé en 30 minutes.</w:t>
            </w:r>
          </w:p>
        </w:tc>
        <w:tc>
          <w:tcPr>
            <w:tcW w:w="521" w:type="pct"/>
            <w:shd w:val="clear" w:color="auto" w:fill="auto"/>
            <w:tcMar>
              <w:top w:w="113" w:type="dxa"/>
              <w:bottom w:w="113" w:type="dxa"/>
            </w:tcMar>
          </w:tcPr>
          <w:p w:rsidR="003737EE" w:rsidRPr="00C258AD" w:rsidRDefault="003737EE" w:rsidP="0066137C">
            <w:pPr>
              <w:keepNext/>
              <w:keepLines/>
              <w:jc w:val="center"/>
              <w:rPr>
                <w:b/>
                <w:bCs/>
                <w:color w:val="00B050"/>
                <w:sz w:val="16"/>
                <w:szCs w:val="16"/>
              </w:rPr>
            </w:pPr>
            <w:r w:rsidRPr="00C258AD">
              <w:rPr>
                <w:rFonts w:cs="Arial"/>
                <w:b/>
                <w:bCs/>
                <w:color w:val="00B050"/>
                <w:sz w:val="16"/>
                <w:szCs w:val="16"/>
              </w:rPr>
              <w:t>Objectif pleinement atteint</w:t>
            </w:r>
          </w:p>
        </w:tc>
      </w:tr>
      <w:tr w:rsidR="003737EE" w:rsidRPr="00C258AD" w:rsidTr="0066137C">
        <w:trPr>
          <w:cantSplit/>
        </w:trPr>
        <w:tc>
          <w:tcPr>
            <w:tcW w:w="1120" w:type="pct"/>
            <w:shd w:val="clear" w:color="auto" w:fill="auto"/>
            <w:tcMar>
              <w:top w:w="113" w:type="dxa"/>
              <w:bottom w:w="113" w:type="dxa"/>
            </w:tcMar>
          </w:tcPr>
          <w:p w:rsidR="003737EE" w:rsidRPr="00C258AD" w:rsidRDefault="003737EE" w:rsidP="0066137C">
            <w:pPr>
              <w:rPr>
                <w:sz w:val="16"/>
                <w:szCs w:val="16"/>
              </w:rPr>
            </w:pPr>
            <w:r w:rsidRPr="00C258AD">
              <w:rPr>
                <w:sz w:val="16"/>
                <w:szCs w:val="16"/>
              </w:rPr>
              <w:lastRenderedPageBreak/>
              <w:t>Pourcentage d’utilisateurs et de secteurs d’activité qui sont satisfaits des services dans le domaine des TIC.</w:t>
            </w:r>
          </w:p>
        </w:tc>
        <w:tc>
          <w:tcPr>
            <w:tcW w:w="971" w:type="pct"/>
            <w:shd w:val="clear" w:color="auto" w:fill="auto"/>
            <w:tcMar>
              <w:top w:w="113" w:type="dxa"/>
              <w:bottom w:w="113" w:type="dxa"/>
            </w:tcMar>
          </w:tcPr>
          <w:p w:rsidR="006E2BB1" w:rsidRPr="00C258AD" w:rsidRDefault="003737EE" w:rsidP="0066137C">
            <w:pPr>
              <w:rPr>
                <w:color w:val="002060"/>
                <w:sz w:val="16"/>
                <w:szCs w:val="16"/>
              </w:rPr>
            </w:pPr>
            <w:r w:rsidRPr="00C258AD">
              <w:rPr>
                <w:i/>
                <w:color w:val="002060"/>
                <w:sz w:val="16"/>
                <w:szCs w:val="16"/>
              </w:rPr>
              <w:t>Niveau de référence actualisé à fin 2013 :</w:t>
            </w:r>
          </w:p>
          <w:p w:rsidR="006E2BB1" w:rsidRPr="00C258AD" w:rsidRDefault="003737EE" w:rsidP="0066137C">
            <w:pPr>
              <w:rPr>
                <w:color w:val="002060"/>
                <w:sz w:val="16"/>
                <w:szCs w:val="16"/>
              </w:rPr>
            </w:pPr>
            <w:r w:rsidRPr="00C258AD">
              <w:rPr>
                <w:color w:val="002060"/>
                <w:sz w:val="16"/>
                <w:szCs w:val="16"/>
              </w:rPr>
              <w:t>Enquête 2013 sur le service d’assistance : Note “Très satisfait” octroyée par 64% des participants</w:t>
            </w:r>
          </w:p>
          <w:p w:rsidR="006E2BB1" w:rsidRPr="00C258AD" w:rsidRDefault="006E2BB1" w:rsidP="0066137C">
            <w:pPr>
              <w:rPr>
                <w:sz w:val="16"/>
                <w:szCs w:val="16"/>
              </w:rPr>
            </w:pPr>
          </w:p>
          <w:p w:rsidR="006E2BB1" w:rsidRPr="00C258AD" w:rsidRDefault="003737EE" w:rsidP="0066137C">
            <w:pPr>
              <w:rPr>
                <w:i/>
                <w:sz w:val="16"/>
                <w:szCs w:val="16"/>
              </w:rPr>
            </w:pPr>
            <w:r w:rsidRPr="00C258AD">
              <w:rPr>
                <w:i/>
                <w:sz w:val="16"/>
                <w:szCs w:val="16"/>
              </w:rPr>
              <w:t>Niveau de référence initial dans le programme et budget 2014</w:t>
            </w:r>
            <w:r w:rsidRPr="00C258AD">
              <w:rPr>
                <w:i/>
                <w:sz w:val="16"/>
                <w:szCs w:val="16"/>
              </w:rPr>
              <w:noBreakHyphen/>
              <w:t>2015 :</w:t>
            </w:r>
          </w:p>
          <w:p w:rsidR="003737EE" w:rsidRPr="00C258AD" w:rsidRDefault="003737EE" w:rsidP="0066137C">
            <w:pPr>
              <w:rPr>
                <w:sz w:val="16"/>
                <w:szCs w:val="16"/>
              </w:rPr>
            </w:pPr>
            <w:r w:rsidRPr="00C258AD">
              <w:rPr>
                <w:sz w:val="16"/>
                <w:szCs w:val="16"/>
              </w:rPr>
              <w:t>Satisfaction du personnel d’encadrement au début de l’exercice biennal</w:t>
            </w:r>
          </w:p>
        </w:tc>
        <w:tc>
          <w:tcPr>
            <w:tcW w:w="821" w:type="pct"/>
            <w:shd w:val="clear" w:color="auto" w:fill="auto"/>
            <w:tcMar>
              <w:top w:w="113" w:type="dxa"/>
              <w:bottom w:w="113" w:type="dxa"/>
            </w:tcMar>
          </w:tcPr>
          <w:p w:rsidR="003737EE" w:rsidRPr="00C258AD" w:rsidRDefault="003737EE" w:rsidP="0066137C">
            <w:pPr>
              <w:rPr>
                <w:sz w:val="16"/>
                <w:szCs w:val="16"/>
              </w:rPr>
            </w:pPr>
            <w:r w:rsidRPr="00C258AD">
              <w:rPr>
                <w:sz w:val="16"/>
                <w:szCs w:val="16"/>
              </w:rPr>
              <w:t>Maintien ou amélioration par rapport au niveau de référence</w:t>
            </w:r>
          </w:p>
        </w:tc>
        <w:tc>
          <w:tcPr>
            <w:tcW w:w="1567" w:type="pct"/>
            <w:shd w:val="clear" w:color="auto" w:fill="FFFFFF"/>
            <w:tcMar>
              <w:top w:w="113" w:type="dxa"/>
              <w:bottom w:w="113" w:type="dxa"/>
            </w:tcMar>
          </w:tcPr>
          <w:p w:rsidR="006E2BB1" w:rsidRPr="00C258AD" w:rsidRDefault="003737EE" w:rsidP="0066137C">
            <w:pPr>
              <w:rPr>
                <w:sz w:val="16"/>
                <w:szCs w:val="16"/>
              </w:rPr>
            </w:pPr>
            <w:r w:rsidRPr="00C258AD">
              <w:rPr>
                <w:sz w:val="16"/>
                <w:szCs w:val="16"/>
              </w:rPr>
              <w:t>Enquête 2014 sur le service d’assistance : 67% “Très satisfait”</w:t>
            </w:r>
          </w:p>
          <w:p w:rsidR="006E2BB1" w:rsidRPr="00C258AD" w:rsidRDefault="006E2BB1" w:rsidP="0066137C">
            <w:pPr>
              <w:rPr>
                <w:sz w:val="16"/>
                <w:szCs w:val="16"/>
              </w:rPr>
            </w:pPr>
          </w:p>
          <w:p w:rsidR="003737EE" w:rsidRPr="00C258AD" w:rsidRDefault="003737EE" w:rsidP="0066137C">
            <w:pPr>
              <w:rPr>
                <w:sz w:val="16"/>
                <w:szCs w:val="16"/>
              </w:rPr>
            </w:pPr>
            <w:r w:rsidRPr="00C258AD">
              <w:rPr>
                <w:sz w:val="16"/>
                <w:szCs w:val="16"/>
              </w:rPr>
              <w:t>Enquête 2015 sur le service d’assistance : 97% “Satisfait” ou “Pleinement satisfait”, dont 70,5% “Pleinement satisfait”</w:t>
            </w:r>
            <w:r w:rsidR="00E82DE1">
              <w:rPr>
                <w:rStyle w:val="FootnoteReference"/>
                <w:sz w:val="16"/>
                <w:szCs w:val="16"/>
              </w:rPr>
              <w:footnoteReference w:id="140"/>
            </w:r>
          </w:p>
        </w:tc>
        <w:tc>
          <w:tcPr>
            <w:tcW w:w="521" w:type="pct"/>
            <w:shd w:val="clear" w:color="auto" w:fill="auto"/>
            <w:tcMar>
              <w:top w:w="113" w:type="dxa"/>
              <w:bottom w:w="113" w:type="dxa"/>
            </w:tcMar>
          </w:tcPr>
          <w:p w:rsidR="003737EE" w:rsidRPr="00C258AD" w:rsidRDefault="003737EE" w:rsidP="0066137C">
            <w:pPr>
              <w:keepNext/>
              <w:keepLines/>
              <w:jc w:val="center"/>
              <w:rPr>
                <w:b/>
                <w:bCs/>
                <w:color w:val="00B050"/>
                <w:sz w:val="16"/>
                <w:szCs w:val="16"/>
              </w:rPr>
            </w:pPr>
            <w:r w:rsidRPr="00C258AD">
              <w:rPr>
                <w:rFonts w:cs="Arial"/>
                <w:b/>
                <w:bCs/>
                <w:color w:val="00B050"/>
                <w:sz w:val="16"/>
                <w:szCs w:val="16"/>
              </w:rPr>
              <w:t>Objectif pleinement atteint</w:t>
            </w:r>
          </w:p>
        </w:tc>
      </w:tr>
      <w:tr w:rsidR="003737EE" w:rsidRPr="00C258AD" w:rsidTr="0066137C">
        <w:trPr>
          <w:cantSplit/>
        </w:trPr>
        <w:tc>
          <w:tcPr>
            <w:tcW w:w="1120" w:type="pct"/>
            <w:tcBorders>
              <w:bottom w:val="single" w:sz="4" w:space="0" w:color="auto"/>
            </w:tcBorders>
            <w:shd w:val="clear" w:color="auto" w:fill="auto"/>
            <w:tcMar>
              <w:top w:w="113" w:type="dxa"/>
              <w:bottom w:w="113" w:type="dxa"/>
            </w:tcMar>
          </w:tcPr>
          <w:p w:rsidR="003737EE" w:rsidRPr="00C258AD" w:rsidRDefault="003737EE" w:rsidP="0066137C">
            <w:pPr>
              <w:rPr>
                <w:sz w:val="16"/>
                <w:szCs w:val="16"/>
              </w:rPr>
            </w:pPr>
            <w:r w:rsidRPr="00C258AD">
              <w:rPr>
                <w:sz w:val="16"/>
                <w:szCs w:val="16"/>
              </w:rPr>
              <w:t>Technologies de la communication globales et intégrées facilement accessibles aux membres du personnel.</w:t>
            </w:r>
          </w:p>
        </w:tc>
        <w:tc>
          <w:tcPr>
            <w:tcW w:w="971" w:type="pct"/>
            <w:tcBorders>
              <w:bottom w:val="single" w:sz="4" w:space="0" w:color="auto"/>
            </w:tcBorders>
            <w:shd w:val="clear" w:color="auto" w:fill="auto"/>
            <w:tcMar>
              <w:top w:w="113" w:type="dxa"/>
              <w:bottom w:w="113" w:type="dxa"/>
            </w:tcMar>
          </w:tcPr>
          <w:p w:rsidR="003737EE" w:rsidRPr="00C258AD" w:rsidRDefault="003737EE" w:rsidP="0066137C">
            <w:pPr>
              <w:rPr>
                <w:i/>
                <w:sz w:val="16"/>
                <w:szCs w:val="16"/>
              </w:rPr>
            </w:pPr>
            <w:r w:rsidRPr="00C258AD">
              <w:rPr>
                <w:sz w:val="16"/>
                <w:szCs w:val="16"/>
              </w:rPr>
              <w:t>Disponible sur les ordinateurs de bureau (et les ordinateurs portables)</w:t>
            </w:r>
          </w:p>
        </w:tc>
        <w:tc>
          <w:tcPr>
            <w:tcW w:w="821" w:type="pct"/>
            <w:tcBorders>
              <w:bottom w:val="single" w:sz="4" w:space="0" w:color="auto"/>
            </w:tcBorders>
            <w:shd w:val="clear" w:color="auto" w:fill="auto"/>
            <w:tcMar>
              <w:top w:w="113" w:type="dxa"/>
              <w:bottom w:w="113" w:type="dxa"/>
            </w:tcMar>
          </w:tcPr>
          <w:p w:rsidR="003737EE" w:rsidRPr="00C258AD" w:rsidRDefault="003737EE" w:rsidP="0066137C">
            <w:pPr>
              <w:rPr>
                <w:sz w:val="16"/>
                <w:szCs w:val="16"/>
              </w:rPr>
            </w:pPr>
            <w:r w:rsidRPr="00C258AD">
              <w:rPr>
                <w:sz w:val="16"/>
                <w:szCs w:val="16"/>
              </w:rPr>
              <w:t>Disponible sur d’autres appareils mobiles</w:t>
            </w:r>
          </w:p>
        </w:tc>
        <w:tc>
          <w:tcPr>
            <w:tcW w:w="1567" w:type="pct"/>
            <w:tcBorders>
              <w:bottom w:val="single" w:sz="4" w:space="0" w:color="auto"/>
            </w:tcBorders>
            <w:shd w:val="clear" w:color="auto" w:fill="FFFFFF"/>
            <w:tcMar>
              <w:top w:w="113" w:type="dxa"/>
              <w:bottom w:w="113" w:type="dxa"/>
            </w:tcMar>
          </w:tcPr>
          <w:p w:rsidR="003737EE" w:rsidRPr="00C258AD" w:rsidRDefault="003737EE" w:rsidP="0066137C">
            <w:pPr>
              <w:rPr>
                <w:sz w:val="18"/>
                <w:szCs w:val="18"/>
              </w:rPr>
            </w:pPr>
            <w:r w:rsidRPr="00C258AD">
              <w:rPr>
                <w:sz w:val="16"/>
                <w:szCs w:val="18"/>
              </w:rPr>
              <w:t>Accès à l’Intranet et à la messagerie vocale de l’Organisation au moyen des téléphones portables de l’OMPI;  communications directes en phonie et en vidéo entre les bureaux extérieurs et le siège de l’OMPI;  numérotation depuis un poste fixe;  capacité d’envoyer et de recevoir des télécopies au moyen d’une boîte de courrier électronique.</w:t>
            </w:r>
          </w:p>
        </w:tc>
        <w:tc>
          <w:tcPr>
            <w:tcW w:w="521" w:type="pct"/>
            <w:tcBorders>
              <w:bottom w:val="single" w:sz="4" w:space="0" w:color="auto"/>
            </w:tcBorders>
            <w:shd w:val="clear" w:color="auto" w:fill="auto"/>
            <w:tcMar>
              <w:top w:w="113" w:type="dxa"/>
              <w:bottom w:w="113" w:type="dxa"/>
            </w:tcMar>
          </w:tcPr>
          <w:p w:rsidR="003737EE" w:rsidRPr="00C258AD" w:rsidRDefault="003737EE" w:rsidP="0066137C">
            <w:pPr>
              <w:keepNext/>
              <w:keepLines/>
              <w:jc w:val="center"/>
              <w:rPr>
                <w:b/>
                <w:bCs/>
                <w:color w:val="00B050"/>
                <w:sz w:val="16"/>
                <w:szCs w:val="16"/>
              </w:rPr>
            </w:pPr>
            <w:r w:rsidRPr="00C258AD">
              <w:rPr>
                <w:rFonts w:cs="Arial"/>
                <w:b/>
                <w:bCs/>
                <w:color w:val="00B050"/>
                <w:sz w:val="16"/>
                <w:szCs w:val="16"/>
              </w:rPr>
              <w:t>Objectif pleinement atteint</w:t>
            </w:r>
          </w:p>
        </w:tc>
      </w:tr>
      <w:tr w:rsidR="003737EE" w:rsidRPr="00C258AD" w:rsidTr="0066137C">
        <w:trPr>
          <w:cantSplit/>
        </w:trPr>
        <w:tc>
          <w:tcPr>
            <w:tcW w:w="5000" w:type="pct"/>
            <w:gridSpan w:val="5"/>
            <w:tcBorders>
              <w:top w:val="single" w:sz="4" w:space="0" w:color="auto"/>
              <w:bottom w:val="single" w:sz="4" w:space="0" w:color="auto"/>
            </w:tcBorders>
            <w:shd w:val="clear" w:color="auto" w:fill="C5D9F1"/>
            <w:tcMar>
              <w:top w:w="113" w:type="dxa"/>
              <w:bottom w:w="113" w:type="dxa"/>
            </w:tcMar>
            <w:vAlign w:val="center"/>
          </w:tcPr>
          <w:p w:rsidR="003737EE" w:rsidRPr="00C258AD" w:rsidRDefault="003737EE" w:rsidP="0066137C">
            <w:pPr>
              <w:keepNext/>
              <w:keepLines/>
              <w:tabs>
                <w:tab w:val="left" w:pos="1452"/>
              </w:tabs>
              <w:rPr>
                <w:b/>
                <w:bCs/>
                <w:sz w:val="16"/>
                <w:szCs w:val="16"/>
              </w:rPr>
            </w:pPr>
            <w:r w:rsidRPr="00C258AD">
              <w:rPr>
                <w:b/>
                <w:bCs/>
                <w:sz w:val="16"/>
                <w:szCs w:val="16"/>
              </w:rPr>
              <w:t>Résultat escompté :</w:t>
            </w:r>
            <w:r w:rsidRPr="00C258AD">
              <w:rPr>
                <w:bCs/>
                <w:sz w:val="16"/>
                <w:szCs w:val="16"/>
              </w:rPr>
              <w:t xml:space="preserve"> IX.4 Une Organisation écologiquement et socialement responsable assurant la sûreté et la sécurité du personnel, des délégués, des visiteurs, de l’information et des biens</w:t>
            </w:r>
          </w:p>
        </w:tc>
      </w:tr>
      <w:tr w:rsidR="003737EE" w:rsidRPr="00C258AD" w:rsidTr="0066137C">
        <w:trPr>
          <w:cantSplit/>
        </w:trPr>
        <w:tc>
          <w:tcPr>
            <w:tcW w:w="1120" w:type="pct"/>
            <w:tcBorders>
              <w:top w:val="single" w:sz="4" w:space="0" w:color="auto"/>
            </w:tcBorders>
            <w:shd w:val="clear" w:color="auto" w:fill="auto"/>
            <w:tcMar>
              <w:top w:w="113" w:type="dxa"/>
              <w:bottom w:w="113" w:type="dxa"/>
            </w:tcMar>
            <w:vAlign w:val="center"/>
          </w:tcPr>
          <w:p w:rsidR="003737EE" w:rsidRPr="00C258AD" w:rsidRDefault="003737EE" w:rsidP="0066137C">
            <w:pPr>
              <w:jc w:val="center"/>
              <w:rPr>
                <w:sz w:val="16"/>
                <w:szCs w:val="16"/>
              </w:rPr>
            </w:pPr>
            <w:r w:rsidRPr="00C258AD">
              <w:rPr>
                <w:b/>
                <w:sz w:val="16"/>
                <w:szCs w:val="16"/>
              </w:rPr>
              <w:t>Indicateurs d’exécution</w:t>
            </w:r>
          </w:p>
        </w:tc>
        <w:tc>
          <w:tcPr>
            <w:tcW w:w="971" w:type="pct"/>
            <w:tcBorders>
              <w:top w:val="single" w:sz="4" w:space="0" w:color="auto"/>
            </w:tcBorders>
            <w:shd w:val="clear" w:color="auto" w:fill="auto"/>
            <w:tcMar>
              <w:top w:w="113" w:type="dxa"/>
              <w:bottom w:w="113" w:type="dxa"/>
            </w:tcMar>
            <w:vAlign w:val="center"/>
          </w:tcPr>
          <w:p w:rsidR="003737EE" w:rsidRPr="00C258AD" w:rsidRDefault="003737EE" w:rsidP="0066137C">
            <w:pPr>
              <w:jc w:val="center"/>
              <w:rPr>
                <w:b/>
                <w:bCs/>
                <w:sz w:val="16"/>
                <w:szCs w:val="16"/>
              </w:rPr>
            </w:pPr>
            <w:r w:rsidRPr="00C258AD">
              <w:rPr>
                <w:b/>
                <w:bCs/>
                <w:sz w:val="16"/>
                <w:szCs w:val="16"/>
              </w:rPr>
              <w:t>Niveaux de référence</w:t>
            </w:r>
          </w:p>
        </w:tc>
        <w:tc>
          <w:tcPr>
            <w:tcW w:w="821" w:type="pct"/>
            <w:tcBorders>
              <w:top w:val="single" w:sz="4" w:space="0" w:color="auto"/>
            </w:tcBorders>
            <w:shd w:val="clear" w:color="auto" w:fill="auto"/>
            <w:tcMar>
              <w:top w:w="113" w:type="dxa"/>
              <w:bottom w:w="113" w:type="dxa"/>
            </w:tcMar>
            <w:vAlign w:val="center"/>
          </w:tcPr>
          <w:p w:rsidR="003737EE" w:rsidRPr="00C258AD" w:rsidRDefault="003737EE" w:rsidP="0066137C">
            <w:pPr>
              <w:jc w:val="center"/>
              <w:rPr>
                <w:b/>
                <w:sz w:val="16"/>
                <w:szCs w:val="16"/>
              </w:rPr>
            </w:pPr>
            <w:r w:rsidRPr="00C258AD">
              <w:rPr>
                <w:b/>
                <w:sz w:val="16"/>
                <w:szCs w:val="16"/>
              </w:rPr>
              <w:t>Objectifs visés</w:t>
            </w:r>
          </w:p>
        </w:tc>
        <w:tc>
          <w:tcPr>
            <w:tcW w:w="1567" w:type="pct"/>
            <w:tcBorders>
              <w:top w:val="single" w:sz="4" w:space="0" w:color="auto"/>
            </w:tcBorders>
            <w:shd w:val="clear" w:color="auto" w:fill="FFFFFF"/>
            <w:tcMar>
              <w:top w:w="113" w:type="dxa"/>
              <w:bottom w:w="113" w:type="dxa"/>
            </w:tcMar>
            <w:vAlign w:val="center"/>
          </w:tcPr>
          <w:p w:rsidR="003737EE" w:rsidRPr="00C258AD" w:rsidRDefault="003737EE" w:rsidP="0066137C">
            <w:pPr>
              <w:jc w:val="center"/>
              <w:rPr>
                <w:sz w:val="16"/>
                <w:szCs w:val="16"/>
              </w:rPr>
            </w:pPr>
            <w:r w:rsidRPr="00C258AD">
              <w:rPr>
                <w:b/>
                <w:sz w:val="16"/>
                <w:szCs w:val="16"/>
              </w:rPr>
              <w:t>Données relatives à l’exécution</w:t>
            </w:r>
          </w:p>
        </w:tc>
        <w:tc>
          <w:tcPr>
            <w:tcW w:w="521" w:type="pct"/>
            <w:tcBorders>
              <w:top w:val="single" w:sz="4" w:space="0" w:color="auto"/>
            </w:tcBorders>
            <w:shd w:val="clear" w:color="auto" w:fill="auto"/>
            <w:tcMar>
              <w:top w:w="113" w:type="dxa"/>
              <w:bottom w:w="113" w:type="dxa"/>
            </w:tcMar>
            <w:vAlign w:val="center"/>
          </w:tcPr>
          <w:p w:rsidR="003737EE" w:rsidRPr="00C258AD" w:rsidRDefault="003737EE" w:rsidP="0066137C">
            <w:pPr>
              <w:keepNext/>
              <w:keepLines/>
              <w:jc w:val="center"/>
              <w:rPr>
                <w:b/>
                <w:bCs/>
                <w:sz w:val="16"/>
                <w:szCs w:val="16"/>
              </w:rPr>
            </w:pPr>
            <w:r w:rsidRPr="00C258AD">
              <w:rPr>
                <w:b/>
                <w:bCs/>
                <w:sz w:val="16"/>
                <w:szCs w:val="16"/>
              </w:rPr>
              <w:t>Code de couleurs</w:t>
            </w:r>
          </w:p>
        </w:tc>
      </w:tr>
      <w:tr w:rsidR="003737EE" w:rsidRPr="00C258AD" w:rsidTr="0066137C">
        <w:trPr>
          <w:cantSplit/>
        </w:trPr>
        <w:tc>
          <w:tcPr>
            <w:tcW w:w="1120" w:type="pct"/>
            <w:shd w:val="clear" w:color="auto" w:fill="auto"/>
            <w:tcMar>
              <w:top w:w="113" w:type="dxa"/>
              <w:bottom w:w="113" w:type="dxa"/>
            </w:tcMar>
          </w:tcPr>
          <w:p w:rsidR="003737EE" w:rsidRPr="00C258AD" w:rsidRDefault="003737EE" w:rsidP="0066137C">
            <w:pPr>
              <w:rPr>
                <w:sz w:val="16"/>
                <w:szCs w:val="16"/>
              </w:rPr>
            </w:pPr>
            <w:r w:rsidRPr="00C258AD">
              <w:rPr>
                <w:sz w:val="16"/>
                <w:szCs w:val="16"/>
              </w:rPr>
              <w:t>Renforcement de la sécurité de l’information aux fins de protection contre le nombre croissant de cyberattaques</w:t>
            </w:r>
          </w:p>
        </w:tc>
        <w:tc>
          <w:tcPr>
            <w:tcW w:w="971" w:type="pct"/>
            <w:shd w:val="clear" w:color="auto" w:fill="auto"/>
            <w:tcMar>
              <w:top w:w="113" w:type="dxa"/>
              <w:bottom w:w="113" w:type="dxa"/>
            </w:tcMar>
          </w:tcPr>
          <w:p w:rsidR="003737EE" w:rsidRPr="00C258AD" w:rsidRDefault="003737EE" w:rsidP="0066137C">
            <w:pPr>
              <w:rPr>
                <w:sz w:val="16"/>
                <w:szCs w:val="16"/>
              </w:rPr>
            </w:pPr>
            <w:r w:rsidRPr="00C258AD">
              <w:rPr>
                <w:sz w:val="16"/>
                <w:szCs w:val="16"/>
              </w:rPr>
              <w:t>Absence de faille critique dans les systèmes d’information de l’OMPI</w:t>
            </w:r>
          </w:p>
        </w:tc>
        <w:tc>
          <w:tcPr>
            <w:tcW w:w="821" w:type="pct"/>
            <w:shd w:val="clear" w:color="auto" w:fill="auto"/>
            <w:tcMar>
              <w:top w:w="113" w:type="dxa"/>
              <w:bottom w:w="113" w:type="dxa"/>
            </w:tcMar>
          </w:tcPr>
          <w:p w:rsidR="003737EE" w:rsidRPr="00C258AD" w:rsidRDefault="003737EE" w:rsidP="0066137C">
            <w:pPr>
              <w:rPr>
                <w:sz w:val="16"/>
                <w:szCs w:val="16"/>
              </w:rPr>
            </w:pPr>
            <w:r w:rsidRPr="00C258AD">
              <w:rPr>
                <w:sz w:val="16"/>
                <w:szCs w:val="16"/>
              </w:rPr>
              <w:t>Absence de faille critique dans les systèmes d’information de l’OMPI</w:t>
            </w:r>
          </w:p>
        </w:tc>
        <w:tc>
          <w:tcPr>
            <w:tcW w:w="1567" w:type="pct"/>
            <w:shd w:val="clear" w:color="auto" w:fill="FFFFFF"/>
            <w:tcMar>
              <w:top w:w="113" w:type="dxa"/>
              <w:bottom w:w="113" w:type="dxa"/>
            </w:tcMar>
          </w:tcPr>
          <w:p w:rsidR="003737EE" w:rsidRPr="00C258AD" w:rsidRDefault="003737EE" w:rsidP="0066137C">
            <w:pPr>
              <w:rPr>
                <w:sz w:val="16"/>
                <w:szCs w:val="16"/>
              </w:rPr>
            </w:pPr>
            <w:r w:rsidRPr="00C258AD">
              <w:rPr>
                <w:sz w:val="16"/>
                <w:szCs w:val="16"/>
              </w:rPr>
              <w:t>Absence de faille critique dans les systèmes d’information de l’OMPI au cours de l’exercice biennal 2014</w:t>
            </w:r>
            <w:r w:rsidRPr="00C258AD">
              <w:rPr>
                <w:sz w:val="16"/>
                <w:szCs w:val="16"/>
              </w:rPr>
              <w:noBreakHyphen/>
              <w:t>2015</w:t>
            </w:r>
          </w:p>
        </w:tc>
        <w:tc>
          <w:tcPr>
            <w:tcW w:w="521" w:type="pct"/>
            <w:shd w:val="clear" w:color="auto" w:fill="auto"/>
            <w:tcMar>
              <w:top w:w="113" w:type="dxa"/>
              <w:bottom w:w="113" w:type="dxa"/>
            </w:tcMar>
          </w:tcPr>
          <w:p w:rsidR="003737EE" w:rsidRPr="00C258AD" w:rsidRDefault="003737EE" w:rsidP="0066137C">
            <w:pPr>
              <w:keepNext/>
              <w:keepLines/>
              <w:jc w:val="center"/>
              <w:rPr>
                <w:b/>
                <w:bCs/>
                <w:color w:val="00B050"/>
                <w:sz w:val="16"/>
                <w:szCs w:val="16"/>
              </w:rPr>
            </w:pPr>
            <w:r w:rsidRPr="00C258AD">
              <w:rPr>
                <w:rFonts w:cs="Arial"/>
                <w:b/>
                <w:bCs/>
                <w:color w:val="00B050"/>
                <w:sz w:val="16"/>
                <w:szCs w:val="16"/>
              </w:rPr>
              <w:t>Objectif pleinement atteint</w:t>
            </w:r>
          </w:p>
        </w:tc>
      </w:tr>
      <w:tr w:rsidR="003737EE" w:rsidRPr="00C258AD" w:rsidTr="0066137C">
        <w:trPr>
          <w:cantSplit/>
        </w:trPr>
        <w:tc>
          <w:tcPr>
            <w:tcW w:w="1120" w:type="pct"/>
            <w:shd w:val="clear" w:color="auto" w:fill="auto"/>
            <w:tcMar>
              <w:top w:w="113" w:type="dxa"/>
              <w:bottom w:w="113" w:type="dxa"/>
            </w:tcMar>
          </w:tcPr>
          <w:p w:rsidR="003737EE" w:rsidRPr="00C258AD" w:rsidRDefault="003737EE" w:rsidP="0066137C">
            <w:pPr>
              <w:rPr>
                <w:sz w:val="16"/>
                <w:szCs w:val="16"/>
              </w:rPr>
            </w:pPr>
            <w:r w:rsidRPr="00C258AD">
              <w:rPr>
                <w:sz w:val="16"/>
                <w:szCs w:val="16"/>
              </w:rPr>
              <w:lastRenderedPageBreak/>
              <w:t>État d’avancement des processus de certification ISO 27001 sur la gestion de la sécurité des systèmes d’information</w:t>
            </w:r>
          </w:p>
        </w:tc>
        <w:tc>
          <w:tcPr>
            <w:tcW w:w="971" w:type="pct"/>
            <w:shd w:val="clear" w:color="auto" w:fill="auto"/>
            <w:tcMar>
              <w:top w:w="113" w:type="dxa"/>
              <w:bottom w:w="113" w:type="dxa"/>
            </w:tcMar>
          </w:tcPr>
          <w:p w:rsidR="006E2BB1" w:rsidRPr="00C258AD" w:rsidRDefault="003737EE" w:rsidP="0066137C">
            <w:pPr>
              <w:rPr>
                <w:color w:val="002060"/>
                <w:sz w:val="16"/>
                <w:szCs w:val="16"/>
              </w:rPr>
            </w:pPr>
            <w:r w:rsidRPr="00C258AD">
              <w:rPr>
                <w:i/>
                <w:color w:val="002060"/>
                <w:sz w:val="16"/>
                <w:szCs w:val="16"/>
              </w:rPr>
              <w:t>Niveau de référence actualisé à fin 2013 :</w:t>
            </w:r>
          </w:p>
          <w:p w:rsidR="006E2BB1" w:rsidRPr="00C258AD" w:rsidRDefault="003737EE" w:rsidP="0066137C">
            <w:pPr>
              <w:rPr>
                <w:color w:val="002060"/>
                <w:sz w:val="16"/>
                <w:szCs w:val="16"/>
              </w:rPr>
            </w:pPr>
            <w:r w:rsidRPr="00C258AD">
              <w:rPr>
                <w:color w:val="002060"/>
                <w:sz w:val="16"/>
                <w:szCs w:val="16"/>
              </w:rPr>
              <w:t>156 d’activités de prévention des risques</w:t>
            </w:r>
          </w:p>
          <w:p w:rsidR="006E2BB1" w:rsidRPr="00C258AD" w:rsidRDefault="006E2BB1" w:rsidP="0066137C">
            <w:pPr>
              <w:rPr>
                <w:color w:val="002060"/>
                <w:sz w:val="16"/>
                <w:szCs w:val="16"/>
              </w:rPr>
            </w:pPr>
          </w:p>
          <w:p w:rsidR="006E2BB1" w:rsidRPr="00C258AD" w:rsidRDefault="003737EE" w:rsidP="0066137C">
            <w:pPr>
              <w:rPr>
                <w:color w:val="002060"/>
                <w:sz w:val="16"/>
                <w:szCs w:val="16"/>
              </w:rPr>
            </w:pPr>
            <w:r w:rsidRPr="00C258AD">
              <w:rPr>
                <w:color w:val="002060"/>
                <w:sz w:val="16"/>
                <w:szCs w:val="16"/>
              </w:rPr>
              <w:t>Le registre des risques en matière de sécurité de l’information a été mis à jour deux fois par an et a été examiné en détail dans le cadre de la certification ISO 27001 des opérations du PCT.</w:t>
            </w:r>
          </w:p>
          <w:p w:rsidR="006E2BB1" w:rsidRPr="00C258AD" w:rsidRDefault="006E2BB1" w:rsidP="0066137C">
            <w:pPr>
              <w:rPr>
                <w:sz w:val="16"/>
                <w:szCs w:val="16"/>
              </w:rPr>
            </w:pPr>
          </w:p>
          <w:p w:rsidR="006E2BB1" w:rsidRPr="00C258AD" w:rsidRDefault="003737EE" w:rsidP="0066137C">
            <w:pPr>
              <w:rPr>
                <w:color w:val="002060"/>
                <w:sz w:val="16"/>
                <w:szCs w:val="16"/>
              </w:rPr>
            </w:pPr>
            <w:r w:rsidRPr="00C258AD">
              <w:rPr>
                <w:color w:val="002060"/>
                <w:sz w:val="16"/>
                <w:szCs w:val="16"/>
              </w:rPr>
              <w:t>PCT certifié ISO 27001:2005 (octobre 2013);</w:t>
            </w:r>
          </w:p>
          <w:p w:rsidR="006E2BB1" w:rsidRPr="00C258AD" w:rsidRDefault="006E2BB1" w:rsidP="0066137C">
            <w:pPr>
              <w:rPr>
                <w:color w:val="002060"/>
                <w:sz w:val="16"/>
                <w:szCs w:val="16"/>
              </w:rPr>
            </w:pPr>
          </w:p>
          <w:p w:rsidR="006E2BB1" w:rsidRPr="00C258AD" w:rsidRDefault="003737EE" w:rsidP="0066137C">
            <w:pPr>
              <w:rPr>
                <w:i/>
                <w:sz w:val="16"/>
                <w:szCs w:val="16"/>
              </w:rPr>
            </w:pPr>
            <w:r w:rsidRPr="00C258AD">
              <w:rPr>
                <w:i/>
                <w:sz w:val="16"/>
                <w:szCs w:val="16"/>
              </w:rPr>
              <w:t>Niveau de référence initial dans le programme et budget 2014</w:t>
            </w:r>
            <w:r w:rsidRPr="00C258AD">
              <w:rPr>
                <w:i/>
                <w:sz w:val="16"/>
                <w:szCs w:val="16"/>
              </w:rPr>
              <w:noBreakHyphen/>
              <w:t>2015 :</w:t>
            </w:r>
          </w:p>
          <w:p w:rsidR="003737EE" w:rsidRPr="00C258AD" w:rsidRDefault="003737EE" w:rsidP="0066137C">
            <w:pPr>
              <w:rPr>
                <w:sz w:val="16"/>
                <w:szCs w:val="16"/>
              </w:rPr>
            </w:pPr>
            <w:r w:rsidRPr="00C258AD">
              <w:rPr>
                <w:sz w:val="16"/>
                <w:szCs w:val="16"/>
              </w:rPr>
              <w:t>Nombre d’activités de prévention des risques en cours au début de l’exercice biennal;  section PCT certifiée ISO 27001</w:t>
            </w:r>
          </w:p>
        </w:tc>
        <w:tc>
          <w:tcPr>
            <w:tcW w:w="821" w:type="pct"/>
            <w:shd w:val="clear" w:color="auto" w:fill="auto"/>
            <w:tcMar>
              <w:top w:w="113" w:type="dxa"/>
              <w:bottom w:w="113" w:type="dxa"/>
            </w:tcMar>
          </w:tcPr>
          <w:p w:rsidR="006E2BB1" w:rsidRPr="00C258AD" w:rsidRDefault="003737EE" w:rsidP="0066137C">
            <w:pPr>
              <w:rPr>
                <w:sz w:val="16"/>
                <w:szCs w:val="16"/>
              </w:rPr>
            </w:pPr>
            <w:r w:rsidRPr="00C258AD">
              <w:rPr>
                <w:sz w:val="16"/>
                <w:szCs w:val="16"/>
              </w:rPr>
              <w:t>Niveau de référence résolu à 90% au cours de l’exercice biennal;</w:t>
            </w:r>
          </w:p>
          <w:p w:rsidR="006E2BB1" w:rsidRPr="00C258AD" w:rsidRDefault="006E2BB1" w:rsidP="0066137C">
            <w:pPr>
              <w:rPr>
                <w:sz w:val="16"/>
                <w:szCs w:val="16"/>
              </w:rPr>
            </w:pPr>
          </w:p>
          <w:p w:rsidR="006E2BB1" w:rsidRPr="00C258AD" w:rsidRDefault="006E2BB1" w:rsidP="0066137C">
            <w:pPr>
              <w:rPr>
                <w:sz w:val="16"/>
                <w:szCs w:val="16"/>
              </w:rPr>
            </w:pPr>
          </w:p>
          <w:p w:rsidR="006E2BB1" w:rsidRPr="00C258AD" w:rsidRDefault="006E2BB1" w:rsidP="0066137C">
            <w:pPr>
              <w:rPr>
                <w:sz w:val="16"/>
                <w:szCs w:val="16"/>
              </w:rPr>
            </w:pPr>
          </w:p>
          <w:p w:rsidR="006E2BB1" w:rsidRPr="00C258AD" w:rsidRDefault="006E2BB1" w:rsidP="0066137C">
            <w:pPr>
              <w:rPr>
                <w:sz w:val="16"/>
                <w:szCs w:val="16"/>
              </w:rPr>
            </w:pPr>
          </w:p>
          <w:p w:rsidR="006E2BB1" w:rsidRPr="00C258AD" w:rsidRDefault="006E2BB1" w:rsidP="0066137C">
            <w:pPr>
              <w:rPr>
                <w:sz w:val="16"/>
                <w:szCs w:val="16"/>
              </w:rPr>
            </w:pPr>
          </w:p>
          <w:p w:rsidR="006E2BB1" w:rsidRPr="00C258AD" w:rsidRDefault="006E2BB1" w:rsidP="0066137C">
            <w:pPr>
              <w:rPr>
                <w:sz w:val="16"/>
                <w:szCs w:val="16"/>
              </w:rPr>
            </w:pPr>
          </w:p>
          <w:p w:rsidR="006E2BB1" w:rsidRPr="00C258AD" w:rsidRDefault="003737EE" w:rsidP="0066137C">
            <w:pPr>
              <w:rPr>
                <w:sz w:val="16"/>
                <w:szCs w:val="16"/>
              </w:rPr>
            </w:pPr>
            <w:r w:rsidRPr="00C258AD">
              <w:rPr>
                <w:sz w:val="16"/>
                <w:szCs w:val="16"/>
              </w:rPr>
              <w:t>60% des nouveaux risques atténués dans les trois mois qui suivent leur identification;  services de l’Organisation certifiés selon les besoins;</w:t>
            </w:r>
          </w:p>
          <w:p w:rsidR="006E2BB1" w:rsidRPr="00C258AD" w:rsidRDefault="006E2BB1" w:rsidP="0066137C">
            <w:pPr>
              <w:rPr>
                <w:sz w:val="16"/>
                <w:szCs w:val="16"/>
              </w:rPr>
            </w:pPr>
          </w:p>
          <w:p w:rsidR="006E2BB1" w:rsidRPr="00C258AD" w:rsidRDefault="006E2BB1" w:rsidP="0066137C">
            <w:pPr>
              <w:rPr>
                <w:sz w:val="16"/>
                <w:szCs w:val="16"/>
              </w:rPr>
            </w:pPr>
          </w:p>
          <w:p w:rsidR="006E2BB1" w:rsidRPr="00C258AD" w:rsidRDefault="006E2BB1" w:rsidP="0066137C">
            <w:pPr>
              <w:rPr>
                <w:sz w:val="16"/>
                <w:szCs w:val="16"/>
              </w:rPr>
            </w:pPr>
          </w:p>
          <w:p w:rsidR="006E2BB1" w:rsidRPr="00C258AD" w:rsidRDefault="006E2BB1" w:rsidP="0066137C">
            <w:pPr>
              <w:rPr>
                <w:sz w:val="16"/>
                <w:szCs w:val="16"/>
              </w:rPr>
            </w:pPr>
          </w:p>
          <w:p w:rsidR="006E2BB1" w:rsidRPr="00C258AD" w:rsidRDefault="006E2BB1" w:rsidP="0066137C">
            <w:pPr>
              <w:rPr>
                <w:sz w:val="16"/>
                <w:szCs w:val="16"/>
              </w:rPr>
            </w:pPr>
          </w:p>
          <w:p w:rsidR="006E2BB1" w:rsidRPr="00C258AD" w:rsidRDefault="006E2BB1" w:rsidP="0066137C">
            <w:pPr>
              <w:rPr>
                <w:sz w:val="16"/>
                <w:szCs w:val="16"/>
              </w:rPr>
            </w:pPr>
          </w:p>
          <w:p w:rsidR="003737EE" w:rsidRPr="00C258AD" w:rsidRDefault="003737EE" w:rsidP="0066137C">
            <w:pPr>
              <w:rPr>
                <w:sz w:val="16"/>
                <w:szCs w:val="16"/>
              </w:rPr>
            </w:pPr>
            <w:r w:rsidRPr="00C258AD">
              <w:rPr>
                <w:sz w:val="16"/>
                <w:szCs w:val="16"/>
              </w:rPr>
              <w:t>certification PCT maintenue</w:t>
            </w:r>
          </w:p>
        </w:tc>
        <w:tc>
          <w:tcPr>
            <w:tcW w:w="1567" w:type="pct"/>
            <w:shd w:val="clear" w:color="auto" w:fill="FFFFFF"/>
            <w:tcMar>
              <w:top w:w="113" w:type="dxa"/>
              <w:bottom w:w="113" w:type="dxa"/>
            </w:tcMar>
          </w:tcPr>
          <w:p w:rsidR="006E2BB1" w:rsidRPr="00C258AD" w:rsidRDefault="003737EE" w:rsidP="0066137C">
            <w:pPr>
              <w:rPr>
                <w:rFonts w:cs="Arial"/>
                <w:color w:val="000000" w:themeColor="text1"/>
                <w:sz w:val="16"/>
                <w:szCs w:val="16"/>
              </w:rPr>
            </w:pPr>
            <w:r w:rsidRPr="00C258AD">
              <w:rPr>
                <w:rFonts w:cs="Arial"/>
                <w:color w:val="000000" w:themeColor="text1"/>
                <w:sz w:val="16"/>
                <w:szCs w:val="16"/>
              </w:rPr>
              <w:t>À la fin de l’exercice biennal,</w:t>
            </w:r>
            <w:r w:rsidRPr="00C258AD">
              <w:rPr>
                <w:sz w:val="16"/>
                <w:szCs w:val="16"/>
              </w:rPr>
              <w:t xml:space="preserve"> 100</w:t>
            </w:r>
            <w:r w:rsidRPr="00C258AD">
              <w:rPr>
                <w:rFonts w:cs="Arial"/>
                <w:color w:val="000000" w:themeColor="text1"/>
                <w:sz w:val="16"/>
                <w:szCs w:val="16"/>
              </w:rPr>
              <w:t>% des risques visés dans les niveaux de référence ont été limités :</w:t>
            </w:r>
          </w:p>
          <w:p w:rsidR="006E2BB1" w:rsidRPr="00C258AD" w:rsidRDefault="003737EE" w:rsidP="00BB4DBC">
            <w:pPr>
              <w:pStyle w:val="ListParagraph"/>
              <w:numPr>
                <w:ilvl w:val="0"/>
                <w:numId w:val="26"/>
              </w:numPr>
              <w:ind w:left="-22"/>
              <w:rPr>
                <w:rFonts w:cs="Arial"/>
                <w:color w:val="000000" w:themeColor="text1"/>
                <w:sz w:val="16"/>
                <w:szCs w:val="16"/>
              </w:rPr>
            </w:pPr>
            <w:r w:rsidRPr="00C258AD">
              <w:rPr>
                <w:rFonts w:cs="Arial"/>
                <w:color w:val="000000" w:themeColor="text1"/>
                <w:sz w:val="16"/>
                <w:szCs w:val="16"/>
              </w:rPr>
              <w:t>2014 : 89% des 156 risques visés dans les niveaux de référence ont été limités;  17 restants</w:t>
            </w:r>
          </w:p>
          <w:p w:rsidR="006E2BB1" w:rsidRPr="00C258AD" w:rsidRDefault="006E2BB1" w:rsidP="00BB4DBC">
            <w:pPr>
              <w:pStyle w:val="ListParagraph"/>
              <w:numPr>
                <w:ilvl w:val="0"/>
                <w:numId w:val="26"/>
              </w:numPr>
              <w:ind w:left="-22"/>
              <w:rPr>
                <w:rFonts w:cs="Arial"/>
                <w:color w:val="000000" w:themeColor="text1"/>
                <w:sz w:val="16"/>
                <w:szCs w:val="16"/>
              </w:rPr>
            </w:pPr>
          </w:p>
          <w:p w:rsidR="006E2BB1" w:rsidRPr="00C258AD" w:rsidRDefault="003737EE" w:rsidP="00BB4DBC">
            <w:pPr>
              <w:pStyle w:val="ListParagraph"/>
              <w:numPr>
                <w:ilvl w:val="0"/>
                <w:numId w:val="26"/>
              </w:numPr>
              <w:rPr>
                <w:rFonts w:cs="Arial"/>
                <w:color w:val="000000" w:themeColor="text1"/>
                <w:sz w:val="16"/>
                <w:szCs w:val="16"/>
              </w:rPr>
            </w:pPr>
            <w:r w:rsidRPr="00C258AD">
              <w:rPr>
                <w:rFonts w:cs="Arial"/>
                <w:color w:val="000000" w:themeColor="text1"/>
                <w:sz w:val="16"/>
                <w:szCs w:val="16"/>
              </w:rPr>
              <w:t>2015 : 100% des 23 risques (y compris 17 risques visés dans les niveaux de référence restants) ont été limités</w:t>
            </w:r>
          </w:p>
          <w:p w:rsidR="006E2BB1" w:rsidRPr="00C258AD" w:rsidRDefault="006E2BB1" w:rsidP="0066137C">
            <w:pPr>
              <w:rPr>
                <w:rFonts w:cs="Arial"/>
                <w:color w:val="000000" w:themeColor="text1"/>
                <w:sz w:val="16"/>
                <w:szCs w:val="16"/>
              </w:rPr>
            </w:pPr>
          </w:p>
          <w:p w:rsidR="006E2BB1" w:rsidRPr="00C258AD" w:rsidRDefault="003737EE" w:rsidP="0066137C">
            <w:pPr>
              <w:rPr>
                <w:sz w:val="16"/>
              </w:rPr>
            </w:pPr>
            <w:r w:rsidRPr="00C258AD">
              <w:rPr>
                <w:rFonts w:cs="Arial"/>
                <w:color w:val="000000" w:themeColor="text1"/>
                <w:sz w:val="16"/>
                <w:szCs w:val="16"/>
              </w:rPr>
              <w:t>En 2014</w:t>
            </w:r>
            <w:r w:rsidRPr="00C258AD">
              <w:rPr>
                <w:rFonts w:cs="Arial"/>
                <w:color w:val="000000" w:themeColor="text1"/>
                <w:sz w:val="16"/>
                <w:szCs w:val="16"/>
              </w:rPr>
              <w:noBreakHyphen/>
              <w:t xml:space="preserve">2015, </w:t>
            </w:r>
            <w:r w:rsidRPr="00C258AD">
              <w:rPr>
                <w:rFonts w:cs="Arial"/>
                <w:sz w:val="16"/>
                <w:szCs w:val="16"/>
              </w:rPr>
              <w:t>37 </w:t>
            </w:r>
            <w:r w:rsidRPr="00C258AD">
              <w:rPr>
                <w:sz w:val="16"/>
              </w:rPr>
              <w:t xml:space="preserve">nouveaux risques </w:t>
            </w:r>
            <w:r w:rsidRPr="00C258AD">
              <w:rPr>
                <w:rFonts w:cs="Arial"/>
                <w:sz w:val="16"/>
                <w:szCs w:val="16"/>
              </w:rPr>
              <w:t>ISO 27001 ont été détectés</w:t>
            </w:r>
            <w:r w:rsidRPr="00C258AD">
              <w:rPr>
                <w:sz w:val="16"/>
              </w:rPr>
              <w:t xml:space="preserve">, parmi lesquels </w:t>
            </w:r>
            <w:r w:rsidRPr="00C258AD">
              <w:rPr>
                <w:rFonts w:cs="Arial"/>
                <w:sz w:val="16"/>
                <w:szCs w:val="16"/>
              </w:rPr>
              <w:t>25 (67%)</w:t>
            </w:r>
            <w:r w:rsidRPr="00C258AD">
              <w:rPr>
                <w:sz w:val="16"/>
              </w:rPr>
              <w:t xml:space="preserve"> ont été écartés dans les 3 mois qui suivent leur identification</w:t>
            </w:r>
          </w:p>
          <w:p w:rsidR="006E2BB1" w:rsidRPr="00C258AD" w:rsidRDefault="006E2BB1" w:rsidP="0066137C">
            <w:pPr>
              <w:rPr>
                <w:rFonts w:cs="Arial"/>
                <w:sz w:val="16"/>
                <w:szCs w:val="16"/>
              </w:rPr>
            </w:pPr>
          </w:p>
          <w:p w:rsidR="006E2BB1" w:rsidRPr="00C258AD" w:rsidRDefault="003737EE" w:rsidP="00BB4DBC">
            <w:pPr>
              <w:pStyle w:val="ListParagraph"/>
              <w:numPr>
                <w:ilvl w:val="0"/>
                <w:numId w:val="26"/>
              </w:numPr>
              <w:rPr>
                <w:sz w:val="16"/>
              </w:rPr>
            </w:pPr>
            <w:r w:rsidRPr="00C258AD">
              <w:rPr>
                <w:rFonts w:cs="Arial"/>
                <w:sz w:val="16"/>
                <w:szCs w:val="16"/>
              </w:rPr>
              <w:t>8 sur 12</w:t>
            </w:r>
            <w:r w:rsidRPr="00C258AD">
              <w:rPr>
                <w:sz w:val="16"/>
              </w:rPr>
              <w:t xml:space="preserve"> (66</w:t>
            </w:r>
            <w:r w:rsidRPr="00C258AD">
              <w:rPr>
                <w:rFonts w:cs="Arial"/>
                <w:sz w:val="16"/>
                <w:szCs w:val="16"/>
              </w:rPr>
              <w:t>%) en 2014</w:t>
            </w:r>
          </w:p>
          <w:p w:rsidR="006E2BB1" w:rsidRPr="00C258AD" w:rsidRDefault="003737EE" w:rsidP="00BB4DBC">
            <w:pPr>
              <w:pStyle w:val="ListParagraph"/>
              <w:numPr>
                <w:ilvl w:val="0"/>
                <w:numId w:val="26"/>
              </w:numPr>
              <w:rPr>
                <w:rFonts w:cs="Arial"/>
                <w:sz w:val="16"/>
                <w:szCs w:val="16"/>
              </w:rPr>
            </w:pPr>
            <w:r w:rsidRPr="00C258AD">
              <w:rPr>
                <w:rFonts w:cs="Arial"/>
                <w:sz w:val="16"/>
                <w:szCs w:val="16"/>
              </w:rPr>
              <w:t>17 sur 25 (68%) en 2015</w:t>
            </w:r>
          </w:p>
          <w:p w:rsidR="006E2BB1" w:rsidRPr="00C258AD" w:rsidRDefault="006E2BB1" w:rsidP="0066137C">
            <w:pPr>
              <w:ind w:left="173"/>
              <w:rPr>
                <w:rFonts w:cs="Arial"/>
                <w:color w:val="000000" w:themeColor="text1"/>
                <w:sz w:val="16"/>
                <w:szCs w:val="16"/>
              </w:rPr>
            </w:pPr>
          </w:p>
          <w:p w:rsidR="006E2BB1" w:rsidRPr="00C258AD" w:rsidRDefault="003737EE" w:rsidP="0066137C">
            <w:pPr>
              <w:rPr>
                <w:rFonts w:cs="Arial"/>
                <w:color w:val="000000" w:themeColor="text1"/>
                <w:sz w:val="16"/>
                <w:szCs w:val="16"/>
              </w:rPr>
            </w:pPr>
            <w:r w:rsidRPr="00C258AD">
              <w:rPr>
                <w:rFonts w:cs="Arial"/>
                <w:color w:val="000000" w:themeColor="text1"/>
                <w:sz w:val="16"/>
                <w:szCs w:val="16"/>
              </w:rPr>
              <w:t>Le Registre des risques en matière de sécurité de l’information a été mis à jour deux fois par an et élargi pour inclure les risques en matière de sécurité de l’information liés aux systèmes de Madrid et de La Haye, dans le cadre du processus de certification;</w:t>
            </w:r>
          </w:p>
          <w:p w:rsidR="006E2BB1" w:rsidRPr="00C258AD" w:rsidRDefault="006E2BB1" w:rsidP="0066137C">
            <w:pPr>
              <w:rPr>
                <w:rFonts w:cs="Arial"/>
                <w:color w:val="000000" w:themeColor="text1"/>
                <w:sz w:val="16"/>
                <w:szCs w:val="16"/>
              </w:rPr>
            </w:pPr>
          </w:p>
          <w:p w:rsidR="003737EE" w:rsidRPr="00C258AD" w:rsidRDefault="003737EE" w:rsidP="0066137C">
            <w:pPr>
              <w:rPr>
                <w:sz w:val="16"/>
                <w:szCs w:val="16"/>
              </w:rPr>
            </w:pPr>
            <w:r w:rsidRPr="00C258AD">
              <w:rPr>
                <w:sz w:val="16"/>
                <w:szCs w:val="16"/>
                <w:lang w:bidi="th-TH"/>
              </w:rPr>
              <w:t>Transition réussie de la certification PCT de la norme ISO 27001:2005 à la norme 27001:2013.  Certification renouvelée en octobre 2015, et portée élargie pour inclure les systèmes de Madrid et de La Haye octobre 2015.</w:t>
            </w:r>
          </w:p>
        </w:tc>
        <w:tc>
          <w:tcPr>
            <w:tcW w:w="521" w:type="pct"/>
            <w:shd w:val="clear" w:color="auto" w:fill="auto"/>
            <w:tcMar>
              <w:top w:w="113" w:type="dxa"/>
              <w:bottom w:w="113" w:type="dxa"/>
            </w:tcMar>
          </w:tcPr>
          <w:p w:rsidR="006E2BB1" w:rsidRPr="00C258AD" w:rsidRDefault="003737EE" w:rsidP="0066137C">
            <w:pPr>
              <w:keepNext/>
              <w:keepLines/>
              <w:jc w:val="center"/>
              <w:rPr>
                <w:rFonts w:cs="Arial"/>
                <w:b/>
                <w:bCs/>
                <w:color w:val="00B050"/>
                <w:sz w:val="16"/>
                <w:szCs w:val="16"/>
              </w:rPr>
            </w:pPr>
            <w:r w:rsidRPr="00C258AD">
              <w:rPr>
                <w:rFonts w:cs="Arial"/>
                <w:b/>
                <w:bCs/>
                <w:color w:val="00B050"/>
                <w:sz w:val="16"/>
                <w:szCs w:val="16"/>
              </w:rPr>
              <w:t>Objectif pleinement atteint</w:t>
            </w: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3737EE" w:rsidP="0066137C">
            <w:pPr>
              <w:keepNext/>
              <w:keepLines/>
              <w:jc w:val="center"/>
              <w:rPr>
                <w:rFonts w:cs="Arial"/>
                <w:b/>
                <w:bCs/>
                <w:color w:val="00B050"/>
                <w:sz w:val="16"/>
                <w:szCs w:val="16"/>
              </w:rPr>
            </w:pPr>
            <w:r w:rsidRPr="00C258AD">
              <w:rPr>
                <w:rFonts w:cs="Arial"/>
                <w:b/>
                <w:bCs/>
                <w:color w:val="00B050"/>
                <w:sz w:val="16"/>
                <w:szCs w:val="16"/>
              </w:rPr>
              <w:t>Objectif pleinement atteint</w:t>
            </w: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6E2BB1" w:rsidRPr="00C258AD" w:rsidRDefault="006E2BB1" w:rsidP="0066137C">
            <w:pPr>
              <w:keepNext/>
              <w:keepLines/>
              <w:jc w:val="center"/>
              <w:rPr>
                <w:rFonts w:cs="Arial"/>
                <w:b/>
                <w:bCs/>
                <w:color w:val="00B050"/>
                <w:sz w:val="16"/>
                <w:szCs w:val="16"/>
              </w:rPr>
            </w:pPr>
          </w:p>
          <w:p w:rsidR="003737EE" w:rsidRPr="00C258AD" w:rsidRDefault="003737EE" w:rsidP="0066137C">
            <w:pPr>
              <w:keepNext/>
              <w:keepLines/>
              <w:jc w:val="center"/>
              <w:rPr>
                <w:b/>
                <w:bCs/>
                <w:color w:val="00B050"/>
                <w:sz w:val="16"/>
                <w:szCs w:val="16"/>
              </w:rPr>
            </w:pPr>
            <w:r w:rsidRPr="00C258AD">
              <w:rPr>
                <w:rFonts w:cs="Arial"/>
                <w:b/>
                <w:bCs/>
                <w:color w:val="00B050"/>
                <w:sz w:val="16"/>
                <w:szCs w:val="16"/>
              </w:rPr>
              <w:t>Objectif pleinement atteint</w:t>
            </w:r>
          </w:p>
        </w:tc>
      </w:tr>
      <w:tr w:rsidR="003737EE" w:rsidRPr="00C258AD" w:rsidTr="0066137C">
        <w:trPr>
          <w:cantSplit/>
        </w:trPr>
        <w:tc>
          <w:tcPr>
            <w:tcW w:w="1120" w:type="pct"/>
            <w:shd w:val="clear" w:color="auto" w:fill="auto"/>
            <w:tcMar>
              <w:top w:w="113" w:type="dxa"/>
              <w:bottom w:w="113" w:type="dxa"/>
            </w:tcMar>
          </w:tcPr>
          <w:p w:rsidR="003737EE" w:rsidRPr="00C258AD" w:rsidRDefault="003737EE" w:rsidP="0066137C">
            <w:pPr>
              <w:rPr>
                <w:sz w:val="16"/>
                <w:szCs w:val="16"/>
              </w:rPr>
            </w:pPr>
            <w:r w:rsidRPr="00C258AD">
              <w:rPr>
                <w:sz w:val="16"/>
                <w:szCs w:val="16"/>
              </w:rPr>
              <w:t xml:space="preserve">Efficacité des contrôles de sécurité de l’information (audits internes et externes) </w:t>
            </w:r>
          </w:p>
        </w:tc>
        <w:tc>
          <w:tcPr>
            <w:tcW w:w="971" w:type="pct"/>
            <w:shd w:val="clear" w:color="auto" w:fill="auto"/>
            <w:tcMar>
              <w:top w:w="113" w:type="dxa"/>
              <w:bottom w:w="113" w:type="dxa"/>
            </w:tcMar>
          </w:tcPr>
          <w:p w:rsidR="003737EE" w:rsidRPr="00C258AD" w:rsidRDefault="003737EE" w:rsidP="0066137C">
            <w:pPr>
              <w:rPr>
                <w:sz w:val="16"/>
                <w:szCs w:val="16"/>
              </w:rPr>
            </w:pPr>
            <w:r w:rsidRPr="00C258AD">
              <w:rPr>
                <w:sz w:val="16"/>
                <w:szCs w:val="16"/>
              </w:rPr>
              <w:t>5 incidents maximum par an</w:t>
            </w:r>
          </w:p>
        </w:tc>
        <w:tc>
          <w:tcPr>
            <w:tcW w:w="821" w:type="pct"/>
            <w:shd w:val="clear" w:color="auto" w:fill="auto"/>
            <w:tcMar>
              <w:top w:w="113" w:type="dxa"/>
              <w:bottom w:w="113" w:type="dxa"/>
            </w:tcMar>
          </w:tcPr>
          <w:p w:rsidR="003737EE" w:rsidRPr="00C258AD" w:rsidRDefault="003737EE" w:rsidP="0066137C">
            <w:pPr>
              <w:rPr>
                <w:sz w:val="16"/>
                <w:szCs w:val="16"/>
              </w:rPr>
            </w:pPr>
            <w:r w:rsidRPr="00C258AD">
              <w:rPr>
                <w:sz w:val="16"/>
                <w:szCs w:val="16"/>
              </w:rPr>
              <w:t xml:space="preserve">2 incidents maximum par an </w:t>
            </w:r>
          </w:p>
        </w:tc>
        <w:tc>
          <w:tcPr>
            <w:tcW w:w="1567" w:type="pct"/>
            <w:shd w:val="clear" w:color="auto" w:fill="FFFFFF"/>
            <w:tcMar>
              <w:top w:w="113" w:type="dxa"/>
              <w:bottom w:w="113" w:type="dxa"/>
            </w:tcMar>
          </w:tcPr>
          <w:p w:rsidR="006E2BB1" w:rsidRPr="00C258AD" w:rsidRDefault="003737EE" w:rsidP="0066137C">
            <w:pPr>
              <w:rPr>
                <w:rFonts w:cs="Arial"/>
                <w:color w:val="000000" w:themeColor="text1"/>
                <w:sz w:val="16"/>
                <w:szCs w:val="16"/>
              </w:rPr>
            </w:pPr>
            <w:r w:rsidRPr="00C258AD">
              <w:rPr>
                <w:sz w:val="16"/>
                <w:szCs w:val="16"/>
              </w:rPr>
              <w:t>1 incident majeur enregistré sur l’année</w:t>
            </w:r>
            <w:r w:rsidRPr="00C258AD">
              <w:rPr>
                <w:rFonts w:cs="Arial"/>
                <w:color w:val="000000" w:themeColor="text1"/>
                <w:sz w:val="16"/>
                <w:szCs w:val="16"/>
              </w:rPr>
              <w:t xml:space="preserve"> au cours de l’exercice biennal</w:t>
            </w:r>
          </w:p>
          <w:p w:rsidR="006E2BB1" w:rsidRPr="00C258AD" w:rsidRDefault="006E2BB1" w:rsidP="0066137C">
            <w:pPr>
              <w:rPr>
                <w:rFonts w:cs="Arial"/>
                <w:color w:val="000000" w:themeColor="text1"/>
                <w:sz w:val="16"/>
                <w:szCs w:val="16"/>
              </w:rPr>
            </w:pPr>
          </w:p>
          <w:p w:rsidR="003737EE" w:rsidRPr="00C258AD" w:rsidRDefault="003737EE" w:rsidP="0066137C">
            <w:pPr>
              <w:rPr>
                <w:sz w:val="16"/>
                <w:szCs w:val="16"/>
              </w:rPr>
            </w:pPr>
            <w:r w:rsidRPr="00C258AD">
              <w:rPr>
                <w:rFonts w:cs="Arial"/>
                <w:color w:val="000000" w:themeColor="text1"/>
                <w:sz w:val="16"/>
                <w:szCs w:val="16"/>
              </w:rPr>
              <w:t>Les incidents ont été gérés et réglés dans des délais acceptables, conformément à la Politique concernant la gestion des incidents en matière de sécurité informatique.</w:t>
            </w:r>
          </w:p>
        </w:tc>
        <w:tc>
          <w:tcPr>
            <w:tcW w:w="521" w:type="pct"/>
            <w:shd w:val="clear" w:color="auto" w:fill="auto"/>
            <w:tcMar>
              <w:top w:w="113" w:type="dxa"/>
              <w:bottom w:w="113" w:type="dxa"/>
            </w:tcMar>
          </w:tcPr>
          <w:p w:rsidR="003737EE" w:rsidRPr="00C258AD" w:rsidRDefault="003737EE" w:rsidP="0066137C">
            <w:pPr>
              <w:keepNext/>
              <w:keepLines/>
              <w:jc w:val="center"/>
              <w:rPr>
                <w:b/>
                <w:bCs/>
                <w:color w:val="00B050"/>
                <w:sz w:val="16"/>
                <w:szCs w:val="16"/>
              </w:rPr>
            </w:pPr>
            <w:r w:rsidRPr="00C258AD">
              <w:rPr>
                <w:rFonts w:cs="Arial"/>
                <w:b/>
                <w:bCs/>
                <w:color w:val="00B050"/>
                <w:sz w:val="16"/>
                <w:szCs w:val="16"/>
              </w:rPr>
              <w:t>Objectif pleinement atteint</w:t>
            </w:r>
          </w:p>
        </w:tc>
      </w:tr>
    </w:tbl>
    <w:p w:rsidR="006E2BB1" w:rsidRPr="00C258AD" w:rsidRDefault="006E2BB1" w:rsidP="0066137C"/>
    <w:p w:rsidR="006E2BB1" w:rsidRPr="00C258AD" w:rsidRDefault="006E2BB1" w:rsidP="0066137C"/>
    <w:p w:rsidR="006E2BB1" w:rsidRPr="00C258AD" w:rsidRDefault="003737EE" w:rsidP="00305CE5">
      <w:pPr>
        <w:keepNext/>
        <w:rPr>
          <w:rFonts w:cs="Arial"/>
          <w:caps/>
          <w:sz w:val="22"/>
          <w:szCs w:val="22"/>
        </w:rPr>
      </w:pPr>
      <w:r w:rsidRPr="00C258AD">
        <w:rPr>
          <w:rFonts w:cs="Arial"/>
          <w:caps/>
          <w:sz w:val="22"/>
          <w:szCs w:val="22"/>
        </w:rPr>
        <w:t>Rapport d’évaluation des risques pour l’exercice biennal</w:t>
      </w:r>
    </w:p>
    <w:p w:rsidR="003737EE" w:rsidRPr="00C258AD" w:rsidRDefault="003737EE" w:rsidP="0066137C">
      <w:pPr>
        <w:keepNext/>
        <w:keepLines/>
        <w:rPr>
          <w:rFonts w:cs="Arial"/>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3737EE" w:rsidRPr="00C258AD" w:rsidTr="0066137C">
        <w:trPr>
          <w:cantSplit/>
        </w:trPr>
        <w:tc>
          <w:tcPr>
            <w:tcW w:w="2372" w:type="dxa"/>
            <w:tcBorders>
              <w:top w:val="single" w:sz="4" w:space="0" w:color="auto"/>
              <w:left w:val="single" w:sz="4" w:space="0" w:color="auto"/>
              <w:bottom w:val="single" w:sz="4" w:space="0" w:color="auto"/>
            </w:tcBorders>
            <w:shd w:val="clear" w:color="auto" w:fill="C5D9F1"/>
            <w:vAlign w:val="center"/>
          </w:tcPr>
          <w:p w:rsidR="003737EE" w:rsidRPr="00C258AD" w:rsidRDefault="003737EE" w:rsidP="0066137C">
            <w:pPr>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3737EE" w:rsidRPr="00C258AD" w:rsidRDefault="003737EE" w:rsidP="0066137C">
            <w:pPr>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3737EE" w:rsidRPr="00C258AD" w:rsidRDefault="003737EE" w:rsidP="0066137C">
            <w:pPr>
              <w:autoSpaceDE w:val="0"/>
              <w:autoSpaceDN w:val="0"/>
              <w:adjustRightInd w:val="0"/>
              <w:ind w:right="-59"/>
              <w:jc w:val="center"/>
              <w:rPr>
                <w:b/>
                <w:bCs/>
                <w:iCs/>
                <w:sz w:val="16"/>
                <w:szCs w:val="16"/>
              </w:rPr>
            </w:pPr>
            <w:r w:rsidRPr="00C258AD">
              <w:rPr>
                <w:b/>
                <w:bCs/>
                <w:iCs/>
                <w:sz w:val="16"/>
                <w:szCs w:val="16"/>
              </w:rPr>
              <w:t>Évolution des risques et des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3737EE" w:rsidRPr="00C258AD" w:rsidRDefault="003737EE" w:rsidP="0066137C">
            <w:pPr>
              <w:autoSpaceDE w:val="0"/>
              <w:autoSpaceDN w:val="0"/>
              <w:adjustRightInd w:val="0"/>
              <w:jc w:val="center"/>
              <w:rPr>
                <w:b/>
                <w:bCs/>
                <w:iCs/>
                <w:sz w:val="16"/>
                <w:szCs w:val="16"/>
              </w:rPr>
            </w:pPr>
            <w:r w:rsidRPr="00C258AD">
              <w:rPr>
                <w:b/>
                <w:bCs/>
                <w:iCs/>
                <w:sz w:val="16"/>
                <w:szCs w:val="16"/>
              </w:rPr>
              <w:t>Incidence sur les résultats du programme</w:t>
            </w:r>
          </w:p>
        </w:tc>
      </w:tr>
      <w:tr w:rsidR="003737EE" w:rsidRPr="00C258AD" w:rsidTr="0066137C">
        <w:tblPrEx>
          <w:tblBorders>
            <w:top w:val="single" w:sz="4" w:space="0" w:color="auto"/>
            <w:left w:val="single" w:sz="4" w:space="0" w:color="auto"/>
            <w:bottom w:val="single" w:sz="4" w:space="0" w:color="auto"/>
            <w:right w:val="single" w:sz="4" w:space="0" w:color="auto"/>
          </w:tblBorders>
        </w:tblPrEx>
        <w:trPr>
          <w:cantSplit/>
        </w:trPr>
        <w:tc>
          <w:tcPr>
            <w:tcW w:w="2372" w:type="dxa"/>
            <w:tcBorders>
              <w:top w:val="single" w:sz="4" w:space="0" w:color="auto"/>
              <w:bottom w:val="single" w:sz="4" w:space="0" w:color="auto"/>
            </w:tcBorders>
            <w:shd w:val="clear" w:color="auto" w:fill="auto"/>
            <w:tcMar>
              <w:top w:w="113" w:type="dxa"/>
              <w:bottom w:w="85" w:type="dxa"/>
            </w:tcMar>
          </w:tcPr>
          <w:p w:rsidR="003737EE" w:rsidRPr="00C258AD" w:rsidRDefault="003737EE" w:rsidP="0066137C">
            <w:pPr>
              <w:autoSpaceDE w:val="0"/>
              <w:autoSpaceDN w:val="0"/>
              <w:adjustRightInd w:val="0"/>
              <w:ind w:right="-59"/>
              <w:rPr>
                <w:sz w:val="16"/>
                <w:szCs w:val="16"/>
                <w:lang w:eastAsia="zh-CN"/>
              </w:rPr>
            </w:pPr>
            <w:r w:rsidRPr="00C258AD">
              <w:rPr>
                <w:sz w:val="16"/>
                <w:szCs w:val="16"/>
                <w:lang w:eastAsia="zh-CN"/>
              </w:rPr>
              <w:t>Le PCT et les systèmes d’information s’y rapportant atteignent un niveau inacceptable d’interruptions, ce qui rend impossible l’acceptation des demandes PCT et a des répercussions sur le traitement et la publication de ces demandes.  Cela pourrait nuire à la réputation de l’OMPI.</w:t>
            </w:r>
          </w:p>
        </w:tc>
        <w:tc>
          <w:tcPr>
            <w:tcW w:w="2373" w:type="dxa"/>
            <w:tcBorders>
              <w:top w:val="single" w:sz="4" w:space="0" w:color="auto"/>
              <w:bottom w:val="single" w:sz="4" w:space="0" w:color="auto"/>
            </w:tcBorders>
            <w:shd w:val="clear" w:color="auto" w:fill="auto"/>
            <w:tcMar>
              <w:top w:w="113" w:type="dxa"/>
              <w:bottom w:w="85" w:type="dxa"/>
            </w:tcMar>
          </w:tcPr>
          <w:p w:rsidR="003737EE" w:rsidRPr="00C258AD" w:rsidRDefault="003737EE" w:rsidP="0066137C">
            <w:pPr>
              <w:autoSpaceDE w:val="0"/>
              <w:autoSpaceDN w:val="0"/>
              <w:adjustRightInd w:val="0"/>
              <w:ind w:right="-59"/>
              <w:rPr>
                <w:sz w:val="16"/>
                <w:szCs w:val="16"/>
                <w:lang w:eastAsia="zh-CN"/>
              </w:rPr>
            </w:pPr>
            <w:r w:rsidRPr="00C258AD">
              <w:rPr>
                <w:sz w:val="16"/>
                <w:szCs w:val="16"/>
                <w:lang w:eastAsia="zh-CN"/>
              </w:rPr>
              <w:t>Mettre en place des infrastructures redondantes à des endroits différents, et poursuivre le développement et le perfectionnement du plan de continuité des opérations</w:t>
            </w:r>
          </w:p>
        </w:tc>
        <w:tc>
          <w:tcPr>
            <w:tcW w:w="2373" w:type="dxa"/>
            <w:tcBorders>
              <w:top w:val="single" w:sz="4" w:space="0" w:color="auto"/>
            </w:tcBorders>
          </w:tcPr>
          <w:p w:rsidR="003737EE" w:rsidRPr="00C258AD" w:rsidRDefault="003737EE" w:rsidP="0066137C">
            <w:pPr>
              <w:autoSpaceDE w:val="0"/>
              <w:autoSpaceDN w:val="0"/>
              <w:adjustRightInd w:val="0"/>
              <w:ind w:right="-59"/>
              <w:rPr>
                <w:sz w:val="16"/>
                <w:szCs w:val="16"/>
              </w:rPr>
            </w:pPr>
            <w:r w:rsidRPr="00C258AD">
              <w:rPr>
                <w:sz w:val="16"/>
                <w:szCs w:val="16"/>
                <w:lang w:eastAsia="zh-CN"/>
              </w:rPr>
              <w:t>Des infrastructures TIC redondantes ont été mises en place à deux endroits, permettant au PCT de poursuivre ses opérations même si cela peut avoir des conséquences néfastes sur les bâtiments de l’OMPI et son centre de données.</w:t>
            </w:r>
          </w:p>
        </w:tc>
        <w:tc>
          <w:tcPr>
            <w:tcW w:w="2373" w:type="dxa"/>
            <w:tcBorders>
              <w:top w:val="single" w:sz="4" w:space="0" w:color="auto"/>
            </w:tcBorders>
          </w:tcPr>
          <w:p w:rsidR="003737EE" w:rsidRPr="00C258AD" w:rsidRDefault="003737EE" w:rsidP="0066137C">
            <w:pPr>
              <w:autoSpaceDE w:val="0"/>
              <w:autoSpaceDN w:val="0"/>
              <w:adjustRightInd w:val="0"/>
              <w:ind w:right="-59"/>
              <w:rPr>
                <w:sz w:val="16"/>
                <w:szCs w:val="16"/>
              </w:rPr>
            </w:pPr>
            <w:r w:rsidRPr="00C258AD">
              <w:rPr>
                <w:sz w:val="16"/>
                <w:szCs w:val="16"/>
                <w:lang w:eastAsia="zh-CN"/>
              </w:rPr>
              <w:t>Ce risque et son évolution n’ont pas eu d’incidence concrète sur l’exécution du programme en 2014</w:t>
            </w:r>
            <w:r w:rsidRPr="00C258AD">
              <w:rPr>
                <w:sz w:val="16"/>
                <w:szCs w:val="16"/>
                <w:lang w:eastAsia="zh-CN"/>
              </w:rPr>
              <w:noBreakHyphen/>
              <w:t>2015.</w:t>
            </w:r>
          </w:p>
        </w:tc>
      </w:tr>
      <w:tr w:rsidR="003737EE" w:rsidRPr="00C258AD" w:rsidTr="0066137C">
        <w:tblPrEx>
          <w:tblBorders>
            <w:top w:val="single" w:sz="4" w:space="0" w:color="auto"/>
            <w:left w:val="single" w:sz="4" w:space="0" w:color="auto"/>
            <w:bottom w:val="single" w:sz="4" w:space="0" w:color="auto"/>
            <w:right w:val="single" w:sz="4" w:space="0" w:color="auto"/>
          </w:tblBorders>
        </w:tblPrEx>
        <w:trPr>
          <w:cantSplit/>
        </w:trPr>
        <w:tc>
          <w:tcPr>
            <w:tcW w:w="2372" w:type="dxa"/>
            <w:tcBorders>
              <w:top w:val="single" w:sz="4" w:space="0" w:color="auto"/>
              <w:bottom w:val="single" w:sz="4" w:space="0" w:color="auto"/>
            </w:tcBorders>
            <w:shd w:val="clear" w:color="auto" w:fill="auto"/>
            <w:tcMar>
              <w:top w:w="113" w:type="dxa"/>
              <w:bottom w:w="85" w:type="dxa"/>
            </w:tcMar>
          </w:tcPr>
          <w:p w:rsidR="003737EE" w:rsidRPr="00C258AD" w:rsidRDefault="003737EE" w:rsidP="0066137C">
            <w:pPr>
              <w:autoSpaceDE w:val="0"/>
              <w:autoSpaceDN w:val="0"/>
              <w:adjustRightInd w:val="0"/>
              <w:ind w:right="-59"/>
              <w:rPr>
                <w:sz w:val="16"/>
                <w:szCs w:val="16"/>
                <w:lang w:eastAsia="zh-CN"/>
              </w:rPr>
            </w:pPr>
            <w:r w:rsidRPr="00C258AD">
              <w:rPr>
                <w:sz w:val="16"/>
                <w:szCs w:val="16"/>
                <w:lang w:eastAsia="zh-CN"/>
              </w:rPr>
              <w:lastRenderedPageBreak/>
              <w:t>Les cyberattaques qui visent les systèmes d’information de l’OMPI compromettent la sécurité des systèmes d’information et induisent le risque de divulgation intentionnelle ou accidentelle d’informations confidentielles.  Cela pourrait nuire gravement à la réputation et aux opérations de l’OMPI.</w:t>
            </w:r>
          </w:p>
        </w:tc>
        <w:tc>
          <w:tcPr>
            <w:tcW w:w="2373" w:type="dxa"/>
            <w:tcBorders>
              <w:top w:val="single" w:sz="4" w:space="0" w:color="auto"/>
              <w:bottom w:val="single" w:sz="4" w:space="0" w:color="auto"/>
              <w:right w:val="single" w:sz="4" w:space="0" w:color="auto"/>
            </w:tcBorders>
            <w:shd w:val="clear" w:color="auto" w:fill="auto"/>
            <w:tcMar>
              <w:top w:w="113" w:type="dxa"/>
              <w:bottom w:w="85" w:type="dxa"/>
            </w:tcMar>
          </w:tcPr>
          <w:p w:rsidR="003737EE" w:rsidRPr="00C258AD" w:rsidRDefault="003737EE" w:rsidP="0066137C">
            <w:pPr>
              <w:autoSpaceDE w:val="0"/>
              <w:autoSpaceDN w:val="0"/>
              <w:adjustRightInd w:val="0"/>
              <w:ind w:right="-59"/>
              <w:rPr>
                <w:sz w:val="16"/>
                <w:szCs w:val="16"/>
                <w:lang w:eastAsia="zh-CN"/>
              </w:rPr>
            </w:pPr>
            <w:r w:rsidRPr="00C258AD">
              <w:rPr>
                <w:sz w:val="16"/>
                <w:szCs w:val="16"/>
                <w:lang w:eastAsia="zh-CN"/>
              </w:rPr>
              <w:t>Séparation des applications et des contenus Web de l’OMPI en fonction des exigences en matière de confidentialité et des usages prévus, qui sont différents;  mettre en place une infrastructure informatique et des mesures de sécurité informatique séparées en conséquence.  Haut niveau d’activité de la sécurité informatique</w:t>
            </w:r>
          </w:p>
        </w:tc>
        <w:tc>
          <w:tcPr>
            <w:tcW w:w="2373" w:type="dxa"/>
            <w:tcBorders>
              <w:left w:val="single" w:sz="4" w:space="0" w:color="auto"/>
            </w:tcBorders>
          </w:tcPr>
          <w:p w:rsidR="006E2BB1" w:rsidRPr="00C258AD" w:rsidRDefault="003737EE" w:rsidP="0066137C">
            <w:pPr>
              <w:autoSpaceDE w:val="0"/>
              <w:autoSpaceDN w:val="0"/>
              <w:adjustRightInd w:val="0"/>
              <w:ind w:right="-59"/>
              <w:rPr>
                <w:sz w:val="16"/>
                <w:szCs w:val="16"/>
              </w:rPr>
            </w:pPr>
            <w:r w:rsidRPr="00C258AD">
              <w:rPr>
                <w:sz w:val="16"/>
                <w:szCs w:val="16"/>
              </w:rPr>
              <w:t>L’OMPI a continué de subir des cyberattaques opportunistes ou ciblées de la part d’auteurs de menaces déterminés à porter atteinte aux informations de l’OMPI ou à les dérober.</w:t>
            </w:r>
          </w:p>
          <w:p w:rsidR="006E2BB1" w:rsidRPr="00C258AD" w:rsidRDefault="003737EE" w:rsidP="0066137C">
            <w:pPr>
              <w:autoSpaceDE w:val="0"/>
              <w:autoSpaceDN w:val="0"/>
              <w:adjustRightInd w:val="0"/>
              <w:ind w:right="-59"/>
              <w:rPr>
                <w:sz w:val="16"/>
                <w:szCs w:val="16"/>
              </w:rPr>
            </w:pPr>
            <w:r w:rsidRPr="00C258AD">
              <w:rPr>
                <w:sz w:val="16"/>
                <w:szCs w:val="16"/>
              </w:rPr>
              <w:t>Plusieurs contrôles d’ordre procédural et technique ont été mis en place en 2014</w:t>
            </w:r>
            <w:r w:rsidRPr="00C258AD">
              <w:rPr>
                <w:sz w:val="16"/>
                <w:szCs w:val="16"/>
              </w:rPr>
              <w:noBreakHyphen/>
              <w:t>2015 pour garantir la résilience des systèmes d’information de l’OMPI face aux cyberattaques.</w:t>
            </w:r>
          </w:p>
          <w:p w:rsidR="006E2BB1" w:rsidRPr="00C258AD" w:rsidRDefault="006E2BB1" w:rsidP="0066137C">
            <w:pPr>
              <w:autoSpaceDE w:val="0"/>
              <w:autoSpaceDN w:val="0"/>
              <w:adjustRightInd w:val="0"/>
              <w:ind w:right="-59"/>
              <w:rPr>
                <w:sz w:val="16"/>
                <w:szCs w:val="16"/>
              </w:rPr>
            </w:pPr>
          </w:p>
          <w:p w:rsidR="003737EE" w:rsidRPr="00C258AD" w:rsidRDefault="003737EE" w:rsidP="0066137C">
            <w:pPr>
              <w:autoSpaceDE w:val="0"/>
              <w:autoSpaceDN w:val="0"/>
              <w:adjustRightInd w:val="0"/>
              <w:ind w:right="-59"/>
              <w:rPr>
                <w:sz w:val="16"/>
                <w:szCs w:val="16"/>
              </w:rPr>
            </w:pPr>
            <w:r w:rsidRPr="00C258AD">
              <w:rPr>
                <w:sz w:val="16"/>
                <w:szCs w:val="16"/>
              </w:rPr>
              <w:t>La mise en œuvre progressive de la stratégie adaptée en matière de sécurité de l’information permettra à l’OMPI de renforcer sans cesse sa position et sa résilience dans les domaines de la gouvernance, des ressources humaines, des processus et des technologies pour la sécurité de l’information.</w:t>
            </w:r>
          </w:p>
        </w:tc>
        <w:tc>
          <w:tcPr>
            <w:tcW w:w="2373" w:type="dxa"/>
          </w:tcPr>
          <w:p w:rsidR="003737EE" w:rsidRPr="00C258AD" w:rsidRDefault="003737EE" w:rsidP="0066137C">
            <w:pPr>
              <w:autoSpaceDE w:val="0"/>
              <w:autoSpaceDN w:val="0"/>
              <w:adjustRightInd w:val="0"/>
              <w:ind w:right="-59"/>
              <w:rPr>
                <w:color w:val="000000" w:themeColor="text1"/>
                <w:sz w:val="16"/>
                <w:szCs w:val="16"/>
              </w:rPr>
            </w:pPr>
            <w:r w:rsidRPr="00C258AD">
              <w:rPr>
                <w:color w:val="000000" w:themeColor="text1"/>
                <w:sz w:val="16"/>
                <w:szCs w:val="16"/>
              </w:rPr>
              <w:t>Les programmes de travail de 2014 et 2015 et le registre des risques ont tenu suffisamment compte des conséquences des risques durant la période considérée;  il n’a pas eu d’incidence concrète sur l’exécution du p</w:t>
            </w:r>
            <w:r w:rsidRPr="00C258AD">
              <w:rPr>
                <w:sz w:val="16"/>
                <w:szCs w:val="16"/>
                <w:lang w:eastAsia="zh-CN"/>
              </w:rPr>
              <w:t>rogramme en 2014</w:t>
            </w:r>
            <w:r w:rsidRPr="00C258AD">
              <w:rPr>
                <w:sz w:val="16"/>
                <w:szCs w:val="16"/>
                <w:lang w:eastAsia="zh-CN"/>
              </w:rPr>
              <w:noBreakHyphen/>
              <w:t>2015.</w:t>
            </w:r>
          </w:p>
        </w:tc>
      </w:tr>
    </w:tbl>
    <w:p w:rsidR="006E2BB1" w:rsidRPr="00C258AD" w:rsidRDefault="006E2BB1" w:rsidP="0066137C"/>
    <w:p w:rsidR="006E2BB1" w:rsidRPr="00C258AD" w:rsidRDefault="006E2BB1" w:rsidP="0066137C"/>
    <w:p w:rsidR="006E2BB1" w:rsidRPr="00C258AD" w:rsidRDefault="00FE18E6">
      <w:pPr>
        <w:spacing w:after="200" w:line="276" w:lineRule="auto"/>
        <w:rPr>
          <w:caps/>
          <w:sz w:val="22"/>
        </w:rPr>
      </w:pPr>
      <w:r w:rsidRPr="00C258AD">
        <w:br w:type="page"/>
      </w:r>
    </w:p>
    <w:p w:rsidR="006E2BB1" w:rsidRPr="00C258AD" w:rsidRDefault="003737EE" w:rsidP="00305CE5">
      <w:pPr>
        <w:keepNext/>
        <w:rPr>
          <w:rFonts w:cs="Arial"/>
          <w:caps/>
          <w:sz w:val="22"/>
          <w:szCs w:val="22"/>
        </w:rPr>
      </w:pPr>
      <w:r w:rsidRPr="00C258AD">
        <w:rPr>
          <w:rFonts w:cs="Arial"/>
          <w:caps/>
          <w:sz w:val="22"/>
          <w:szCs w:val="22"/>
        </w:rPr>
        <w:lastRenderedPageBreak/>
        <w:t>Utilisation des ressources</w:t>
      </w:r>
    </w:p>
    <w:p w:rsidR="006E2BB1" w:rsidRPr="00C258AD" w:rsidRDefault="006E2BB1" w:rsidP="0066137C">
      <w:pPr>
        <w:jc w:val="center"/>
      </w:pPr>
    </w:p>
    <w:p w:rsidR="006E2BB1" w:rsidRPr="00C258AD" w:rsidRDefault="003737EE" w:rsidP="0066137C">
      <w:pPr>
        <w:pStyle w:val="NormalWeb"/>
        <w:keepNext/>
        <w:spacing w:before="0" w:beforeAutospacing="0" w:after="0" w:afterAutospacing="0"/>
        <w:jc w:val="center"/>
        <w:rPr>
          <w:sz w:val="20"/>
          <w:szCs w:val="20"/>
        </w:rPr>
      </w:pPr>
      <w:r w:rsidRPr="00C258AD">
        <w:rPr>
          <w:sz w:val="20"/>
          <w:szCs w:val="20"/>
        </w:rPr>
        <w:t>Budget et dépenses effectives (par résultat)</w:t>
      </w:r>
    </w:p>
    <w:p w:rsidR="006E2BB1" w:rsidRPr="00C258AD" w:rsidRDefault="003737EE" w:rsidP="0066137C">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3737EE" w:rsidRPr="00C258AD" w:rsidRDefault="003737EE" w:rsidP="0066137C">
      <w:pPr>
        <w:keepNext/>
        <w:jc w:val="both"/>
      </w:pPr>
    </w:p>
    <w:tbl>
      <w:tblPr>
        <w:tblW w:w="5000" w:type="pct"/>
        <w:tblCellMar>
          <w:top w:w="113" w:type="dxa"/>
          <w:left w:w="70" w:type="dxa"/>
          <w:bottom w:w="113" w:type="dxa"/>
          <w:right w:w="70" w:type="dxa"/>
        </w:tblCellMar>
        <w:tblLook w:val="04A0" w:firstRow="1" w:lastRow="0" w:firstColumn="1" w:lastColumn="0" w:noHBand="0" w:noVBand="1"/>
      </w:tblPr>
      <w:tblGrid>
        <w:gridCol w:w="546"/>
        <w:gridCol w:w="4683"/>
        <w:gridCol w:w="1422"/>
        <w:gridCol w:w="1422"/>
        <w:gridCol w:w="1422"/>
      </w:tblGrid>
      <w:tr w:rsidR="003737EE" w:rsidRPr="00C258AD" w:rsidTr="0066137C">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3737EE" w:rsidRPr="00C258AD" w:rsidRDefault="003737EE" w:rsidP="0066137C">
            <w:pPr>
              <w:jc w:val="center"/>
              <w:rPr>
                <w:i/>
                <w:iCs/>
                <w:sz w:val="16"/>
                <w:szCs w:val="16"/>
                <w:lang w:eastAsia="fr-FR"/>
              </w:rPr>
            </w:pPr>
            <w:r w:rsidRPr="00C258AD">
              <w:rPr>
                <w:i/>
                <w:iCs/>
                <w:sz w:val="16"/>
                <w:szCs w:val="16"/>
                <w:lang w:eastAsia="fr-FR"/>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3737EE" w:rsidRPr="00C258AD" w:rsidRDefault="003737EE" w:rsidP="0066137C">
            <w:pPr>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Pr="00C258AD">
              <w:rPr>
                <w:i/>
                <w:iCs/>
                <w:sz w:val="16"/>
                <w:szCs w:val="16"/>
                <w:lang w:eastAsia="fr-FR"/>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3737EE" w:rsidRPr="00C258AD" w:rsidRDefault="003737EE" w:rsidP="0066137C">
            <w:pPr>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Pr="00C258AD">
              <w:rPr>
                <w:i/>
                <w:iCs/>
                <w:sz w:val="16"/>
                <w:szCs w:val="16"/>
                <w:lang w:eastAsia="fr-FR"/>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3737EE" w:rsidRPr="00C258AD" w:rsidRDefault="003737EE" w:rsidP="0066137C">
            <w:pPr>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Pr="00C258AD">
              <w:rPr>
                <w:i/>
                <w:iCs/>
                <w:sz w:val="16"/>
                <w:szCs w:val="16"/>
                <w:lang w:eastAsia="fr-FR"/>
              </w:rPr>
              <w:noBreakHyphen/>
              <w:t>2015</w:t>
            </w:r>
          </w:p>
        </w:tc>
      </w:tr>
      <w:tr w:rsidR="003737EE" w:rsidRPr="00C258AD" w:rsidTr="0066137C">
        <w:trPr>
          <w:cantSplit/>
        </w:trPr>
        <w:tc>
          <w:tcPr>
            <w:tcW w:w="522" w:type="dxa"/>
            <w:tcBorders>
              <w:top w:val="nil"/>
              <w:left w:val="single" w:sz="4" w:space="0" w:color="auto"/>
              <w:bottom w:val="nil"/>
              <w:right w:val="nil"/>
            </w:tcBorders>
            <w:shd w:val="clear" w:color="auto" w:fill="auto"/>
            <w:noWrap/>
            <w:vAlign w:val="center"/>
            <w:hideMark/>
          </w:tcPr>
          <w:p w:rsidR="003737EE" w:rsidRPr="00C258AD" w:rsidRDefault="003737EE" w:rsidP="0066137C">
            <w:pPr>
              <w:rPr>
                <w:sz w:val="16"/>
                <w:szCs w:val="16"/>
                <w:lang w:eastAsia="fr-FR"/>
              </w:rPr>
            </w:pPr>
            <w:r w:rsidRPr="00C258AD">
              <w:rPr>
                <w:sz w:val="16"/>
                <w:szCs w:val="16"/>
                <w:lang w:eastAsia="fr-FR"/>
              </w:rPr>
              <w:t>IX.1</w:t>
            </w:r>
          </w:p>
        </w:tc>
        <w:tc>
          <w:tcPr>
            <w:tcW w:w="4478" w:type="dxa"/>
            <w:tcBorders>
              <w:top w:val="nil"/>
              <w:left w:val="nil"/>
              <w:bottom w:val="nil"/>
              <w:right w:val="nil"/>
            </w:tcBorders>
            <w:shd w:val="clear" w:color="auto" w:fill="auto"/>
            <w:vAlign w:val="center"/>
            <w:hideMark/>
          </w:tcPr>
          <w:p w:rsidR="003737EE" w:rsidRPr="00C258AD" w:rsidRDefault="003737EE" w:rsidP="0066137C">
            <w:pPr>
              <w:rPr>
                <w:sz w:val="16"/>
                <w:szCs w:val="16"/>
                <w:lang w:eastAsia="fr-FR"/>
              </w:rPr>
            </w:pPr>
            <w:r w:rsidRPr="00C258AD">
              <w:rPr>
                <w:sz w:val="16"/>
                <w:szCs w:val="16"/>
                <w:lang w:eastAsia="fr-FR"/>
              </w:rPr>
              <w:t>Services d’appui efficaces, efficients, de qualité et tournés vers la clientèle, à l’intention à la fois des clients internes et des parties prenantes externes</w:t>
            </w:r>
          </w:p>
        </w:tc>
        <w:tc>
          <w:tcPr>
            <w:tcW w:w="1360" w:type="dxa"/>
            <w:tcBorders>
              <w:top w:val="nil"/>
              <w:left w:val="nil"/>
              <w:bottom w:val="nil"/>
              <w:right w:val="nil"/>
            </w:tcBorders>
            <w:shd w:val="clear" w:color="auto" w:fill="auto"/>
            <w:vAlign w:val="center"/>
            <w:hideMark/>
          </w:tcPr>
          <w:p w:rsidR="003737EE" w:rsidRPr="00C258AD" w:rsidRDefault="003737EE" w:rsidP="0066137C">
            <w:pPr>
              <w:jc w:val="right"/>
              <w:rPr>
                <w:sz w:val="16"/>
                <w:szCs w:val="16"/>
                <w:lang w:eastAsia="fr-FR"/>
              </w:rPr>
            </w:pPr>
            <w:r w:rsidRPr="00C258AD">
              <w:rPr>
                <w:sz w:val="16"/>
                <w:szCs w:val="16"/>
                <w:lang w:eastAsia="fr-FR"/>
              </w:rPr>
              <w:t>43 549</w:t>
            </w:r>
          </w:p>
        </w:tc>
        <w:tc>
          <w:tcPr>
            <w:tcW w:w="1360" w:type="dxa"/>
            <w:tcBorders>
              <w:top w:val="nil"/>
              <w:left w:val="nil"/>
              <w:bottom w:val="nil"/>
              <w:right w:val="nil"/>
            </w:tcBorders>
            <w:shd w:val="clear" w:color="auto" w:fill="auto"/>
            <w:vAlign w:val="center"/>
            <w:hideMark/>
          </w:tcPr>
          <w:p w:rsidR="003737EE" w:rsidRPr="00C258AD" w:rsidRDefault="003737EE" w:rsidP="0066137C">
            <w:pPr>
              <w:jc w:val="right"/>
              <w:rPr>
                <w:sz w:val="16"/>
                <w:szCs w:val="16"/>
                <w:lang w:eastAsia="fr-FR"/>
              </w:rPr>
            </w:pPr>
            <w:r w:rsidRPr="00C258AD">
              <w:rPr>
                <w:sz w:val="16"/>
                <w:szCs w:val="16"/>
                <w:lang w:eastAsia="fr-FR"/>
              </w:rPr>
              <w:t>46 789</w:t>
            </w:r>
          </w:p>
        </w:tc>
        <w:tc>
          <w:tcPr>
            <w:tcW w:w="1360" w:type="dxa"/>
            <w:tcBorders>
              <w:top w:val="nil"/>
              <w:left w:val="nil"/>
              <w:bottom w:val="nil"/>
              <w:right w:val="single" w:sz="4" w:space="0" w:color="auto"/>
            </w:tcBorders>
            <w:shd w:val="clear" w:color="auto" w:fill="auto"/>
            <w:vAlign w:val="center"/>
            <w:hideMark/>
          </w:tcPr>
          <w:p w:rsidR="003737EE" w:rsidRPr="00C258AD" w:rsidRDefault="003737EE" w:rsidP="0066137C">
            <w:pPr>
              <w:jc w:val="right"/>
              <w:rPr>
                <w:sz w:val="16"/>
                <w:szCs w:val="16"/>
                <w:lang w:eastAsia="fr-FR"/>
              </w:rPr>
            </w:pPr>
            <w:r w:rsidRPr="00C258AD">
              <w:rPr>
                <w:sz w:val="16"/>
                <w:szCs w:val="16"/>
                <w:lang w:eastAsia="fr-FR"/>
              </w:rPr>
              <w:t>46 305</w:t>
            </w:r>
          </w:p>
        </w:tc>
      </w:tr>
      <w:tr w:rsidR="003737EE" w:rsidRPr="00C258AD" w:rsidTr="0066137C">
        <w:trPr>
          <w:cantSplit/>
        </w:trPr>
        <w:tc>
          <w:tcPr>
            <w:tcW w:w="522" w:type="dxa"/>
            <w:tcBorders>
              <w:top w:val="nil"/>
              <w:left w:val="single" w:sz="4" w:space="0" w:color="auto"/>
              <w:bottom w:val="nil"/>
              <w:right w:val="nil"/>
            </w:tcBorders>
            <w:shd w:val="clear" w:color="auto" w:fill="auto"/>
            <w:noWrap/>
            <w:vAlign w:val="center"/>
            <w:hideMark/>
          </w:tcPr>
          <w:p w:rsidR="003737EE" w:rsidRPr="00C258AD" w:rsidRDefault="003737EE" w:rsidP="0066137C">
            <w:pPr>
              <w:rPr>
                <w:sz w:val="16"/>
                <w:szCs w:val="16"/>
                <w:lang w:eastAsia="fr-FR"/>
              </w:rPr>
            </w:pPr>
            <w:r w:rsidRPr="00C258AD">
              <w:rPr>
                <w:sz w:val="16"/>
                <w:szCs w:val="16"/>
                <w:lang w:eastAsia="fr-FR"/>
              </w:rPr>
              <w:t>IX.4</w:t>
            </w:r>
          </w:p>
        </w:tc>
        <w:tc>
          <w:tcPr>
            <w:tcW w:w="4478" w:type="dxa"/>
            <w:tcBorders>
              <w:top w:val="nil"/>
              <w:left w:val="nil"/>
              <w:bottom w:val="nil"/>
              <w:right w:val="nil"/>
            </w:tcBorders>
            <w:shd w:val="clear" w:color="auto" w:fill="auto"/>
            <w:vAlign w:val="center"/>
            <w:hideMark/>
          </w:tcPr>
          <w:p w:rsidR="003737EE" w:rsidRPr="00C258AD" w:rsidRDefault="003737EE" w:rsidP="0066137C">
            <w:pPr>
              <w:rPr>
                <w:sz w:val="16"/>
                <w:szCs w:val="16"/>
                <w:lang w:eastAsia="fr-FR"/>
              </w:rPr>
            </w:pPr>
            <w:r w:rsidRPr="00C258AD">
              <w:rPr>
                <w:sz w:val="16"/>
                <w:szCs w:val="16"/>
                <w:lang w:eastAsia="fr-FR"/>
              </w:rPr>
              <w:t>Une Organisation écologiquement et socialement responsable assurant la sûreté et la sécurité du personnel, des délégués, des visiteurs, de l’information et des biens</w:t>
            </w:r>
          </w:p>
        </w:tc>
        <w:tc>
          <w:tcPr>
            <w:tcW w:w="1360" w:type="dxa"/>
            <w:tcBorders>
              <w:top w:val="nil"/>
              <w:left w:val="nil"/>
              <w:bottom w:val="nil"/>
              <w:right w:val="nil"/>
            </w:tcBorders>
            <w:shd w:val="clear" w:color="auto" w:fill="auto"/>
            <w:vAlign w:val="center"/>
            <w:hideMark/>
          </w:tcPr>
          <w:p w:rsidR="003737EE" w:rsidRPr="00C258AD" w:rsidRDefault="003737EE" w:rsidP="0066137C">
            <w:pPr>
              <w:jc w:val="right"/>
              <w:rPr>
                <w:sz w:val="16"/>
                <w:szCs w:val="16"/>
                <w:lang w:eastAsia="fr-FR"/>
              </w:rPr>
            </w:pPr>
            <w:r w:rsidRPr="00C258AD">
              <w:rPr>
                <w:sz w:val="16"/>
                <w:szCs w:val="16"/>
                <w:lang w:eastAsia="fr-FR"/>
              </w:rPr>
              <w:t>1 720</w:t>
            </w:r>
          </w:p>
        </w:tc>
        <w:tc>
          <w:tcPr>
            <w:tcW w:w="1360" w:type="dxa"/>
            <w:tcBorders>
              <w:top w:val="nil"/>
              <w:left w:val="nil"/>
              <w:bottom w:val="nil"/>
              <w:right w:val="nil"/>
            </w:tcBorders>
            <w:shd w:val="clear" w:color="auto" w:fill="auto"/>
            <w:vAlign w:val="center"/>
            <w:hideMark/>
          </w:tcPr>
          <w:p w:rsidR="003737EE" w:rsidRPr="00C258AD" w:rsidRDefault="003737EE" w:rsidP="0066137C">
            <w:pPr>
              <w:jc w:val="right"/>
              <w:rPr>
                <w:sz w:val="16"/>
                <w:szCs w:val="16"/>
                <w:lang w:eastAsia="fr-FR"/>
              </w:rPr>
            </w:pPr>
            <w:r w:rsidRPr="00C258AD">
              <w:rPr>
                <w:sz w:val="16"/>
                <w:szCs w:val="16"/>
                <w:lang w:eastAsia="fr-FR"/>
              </w:rPr>
              <w:t>1 887</w:t>
            </w:r>
          </w:p>
        </w:tc>
        <w:tc>
          <w:tcPr>
            <w:tcW w:w="1360" w:type="dxa"/>
            <w:tcBorders>
              <w:top w:val="nil"/>
              <w:left w:val="nil"/>
              <w:bottom w:val="nil"/>
              <w:right w:val="single" w:sz="4" w:space="0" w:color="auto"/>
            </w:tcBorders>
            <w:shd w:val="clear" w:color="auto" w:fill="auto"/>
            <w:vAlign w:val="center"/>
            <w:hideMark/>
          </w:tcPr>
          <w:p w:rsidR="003737EE" w:rsidRPr="00C258AD" w:rsidRDefault="003737EE" w:rsidP="0066137C">
            <w:pPr>
              <w:jc w:val="right"/>
              <w:rPr>
                <w:sz w:val="16"/>
                <w:szCs w:val="16"/>
                <w:lang w:eastAsia="fr-FR"/>
              </w:rPr>
            </w:pPr>
            <w:r w:rsidRPr="00C258AD">
              <w:rPr>
                <w:sz w:val="16"/>
                <w:szCs w:val="16"/>
                <w:lang w:eastAsia="fr-FR"/>
              </w:rPr>
              <w:t>1 663</w:t>
            </w:r>
          </w:p>
        </w:tc>
      </w:tr>
      <w:tr w:rsidR="003737EE" w:rsidRPr="00C258AD" w:rsidTr="0066137C">
        <w:trPr>
          <w:cantSplit/>
        </w:trPr>
        <w:tc>
          <w:tcPr>
            <w:tcW w:w="522" w:type="dxa"/>
            <w:tcBorders>
              <w:top w:val="single" w:sz="4" w:space="0" w:color="auto"/>
              <w:left w:val="single" w:sz="4" w:space="0" w:color="auto"/>
              <w:bottom w:val="single" w:sz="4" w:space="0" w:color="auto"/>
              <w:right w:val="nil"/>
            </w:tcBorders>
            <w:shd w:val="clear" w:color="auto" w:fill="C5D9F1"/>
            <w:noWrap/>
            <w:vAlign w:val="bottom"/>
            <w:hideMark/>
          </w:tcPr>
          <w:p w:rsidR="003737EE" w:rsidRPr="00C258AD" w:rsidRDefault="003737EE" w:rsidP="0066137C">
            <w:pPr>
              <w:rPr>
                <w:sz w:val="16"/>
                <w:szCs w:val="16"/>
                <w:lang w:eastAsia="fr-FR"/>
              </w:rPr>
            </w:pPr>
            <w:r w:rsidRPr="00C258AD">
              <w:rPr>
                <w:sz w:val="16"/>
                <w:szCs w:val="16"/>
                <w:lang w:eastAsia="fr-FR"/>
              </w:rPr>
              <w:t> </w:t>
            </w:r>
          </w:p>
        </w:tc>
        <w:tc>
          <w:tcPr>
            <w:tcW w:w="4478" w:type="dxa"/>
            <w:tcBorders>
              <w:top w:val="single" w:sz="4" w:space="0" w:color="auto"/>
              <w:left w:val="nil"/>
              <w:bottom w:val="single" w:sz="4" w:space="0" w:color="auto"/>
              <w:right w:val="single" w:sz="4" w:space="0" w:color="auto"/>
            </w:tcBorders>
            <w:shd w:val="clear" w:color="auto" w:fill="C5D9F1"/>
            <w:noWrap/>
            <w:vAlign w:val="bottom"/>
            <w:hideMark/>
          </w:tcPr>
          <w:p w:rsidR="003737EE" w:rsidRPr="00C258AD" w:rsidRDefault="003737EE" w:rsidP="0066137C">
            <w:pPr>
              <w:rPr>
                <w:b/>
                <w:bCs/>
                <w:sz w:val="16"/>
                <w:szCs w:val="16"/>
                <w:lang w:eastAsia="fr-FR"/>
              </w:rPr>
            </w:pPr>
            <w:r w:rsidRPr="00C258AD">
              <w:rPr>
                <w:b/>
                <w:bCs/>
                <w:sz w:val="16"/>
                <w:szCs w:val="16"/>
                <w:lang w:eastAsia="fr-FR"/>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3737EE" w:rsidRPr="00C258AD" w:rsidRDefault="003737EE" w:rsidP="0066137C">
            <w:pPr>
              <w:jc w:val="right"/>
              <w:rPr>
                <w:b/>
                <w:bCs/>
                <w:sz w:val="16"/>
                <w:szCs w:val="16"/>
                <w:lang w:eastAsia="fr-FR"/>
              </w:rPr>
            </w:pPr>
            <w:r w:rsidRPr="00C258AD">
              <w:rPr>
                <w:b/>
                <w:bCs/>
                <w:sz w:val="16"/>
                <w:szCs w:val="16"/>
                <w:lang w:eastAsia="fr-FR"/>
              </w:rPr>
              <w:t>45 269</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3737EE" w:rsidRPr="00C258AD" w:rsidRDefault="003737EE" w:rsidP="0066137C">
            <w:pPr>
              <w:jc w:val="right"/>
              <w:rPr>
                <w:b/>
                <w:bCs/>
                <w:sz w:val="16"/>
                <w:szCs w:val="16"/>
                <w:lang w:eastAsia="fr-FR"/>
              </w:rPr>
            </w:pPr>
            <w:r w:rsidRPr="00C258AD">
              <w:rPr>
                <w:b/>
                <w:bCs/>
                <w:sz w:val="16"/>
                <w:szCs w:val="16"/>
                <w:lang w:eastAsia="fr-FR"/>
              </w:rPr>
              <w:t>48 676</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3737EE" w:rsidRPr="00C258AD" w:rsidRDefault="003737EE" w:rsidP="0066137C">
            <w:pPr>
              <w:jc w:val="right"/>
              <w:rPr>
                <w:b/>
                <w:bCs/>
                <w:sz w:val="16"/>
                <w:szCs w:val="16"/>
                <w:lang w:eastAsia="fr-FR"/>
              </w:rPr>
            </w:pPr>
            <w:r w:rsidRPr="00C258AD">
              <w:rPr>
                <w:b/>
                <w:bCs/>
                <w:sz w:val="16"/>
                <w:szCs w:val="16"/>
                <w:lang w:eastAsia="fr-FR"/>
              </w:rPr>
              <w:t>47 968</w:t>
            </w:r>
          </w:p>
        </w:tc>
      </w:tr>
    </w:tbl>
    <w:p w:rsidR="006E2BB1" w:rsidRPr="00C258AD" w:rsidRDefault="006E2BB1" w:rsidP="0066137C"/>
    <w:p w:rsidR="006E2BB1" w:rsidRPr="00C258AD" w:rsidRDefault="006E2BB1" w:rsidP="0066137C"/>
    <w:p w:rsidR="006E2BB1" w:rsidRPr="00C258AD" w:rsidRDefault="003737EE" w:rsidP="0066137C">
      <w:pPr>
        <w:pStyle w:val="NormalWeb"/>
        <w:keepNext/>
        <w:keepLines/>
        <w:spacing w:before="0" w:beforeAutospacing="0" w:after="0" w:afterAutospacing="0"/>
        <w:jc w:val="center"/>
        <w:rPr>
          <w:sz w:val="20"/>
          <w:szCs w:val="20"/>
        </w:rPr>
      </w:pPr>
      <w:r w:rsidRPr="00C258AD">
        <w:rPr>
          <w:sz w:val="20"/>
          <w:szCs w:val="20"/>
        </w:rPr>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3737EE" w:rsidP="0066137C">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3737EE" w:rsidRPr="00C258AD" w:rsidRDefault="003737EE" w:rsidP="0066137C">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3737EE" w:rsidRPr="00C258AD" w:rsidTr="0066137C">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3737EE" w:rsidRPr="00C258AD" w:rsidRDefault="003737EE" w:rsidP="0066137C">
            <w:pPr>
              <w:keepNext/>
              <w:rPr>
                <w:color w:val="000000"/>
                <w:sz w:val="16"/>
                <w:szCs w:val="18"/>
                <w:lang w:eastAsia="fr-FR"/>
              </w:rPr>
            </w:pPr>
            <w:r w:rsidRPr="00C258AD">
              <w:rPr>
                <w:color w:val="000000"/>
                <w:sz w:val="16"/>
                <w:szCs w:val="18"/>
                <w:lang w:eastAsia="fr-FR"/>
              </w:rPr>
              <w:t> </w:t>
            </w:r>
          </w:p>
        </w:tc>
        <w:tc>
          <w:tcPr>
            <w:tcW w:w="1745" w:type="dxa"/>
            <w:tcBorders>
              <w:top w:val="single" w:sz="4" w:space="0" w:color="auto"/>
              <w:left w:val="nil"/>
              <w:bottom w:val="nil"/>
              <w:right w:val="single" w:sz="4" w:space="0" w:color="auto"/>
            </w:tcBorders>
            <w:shd w:val="clear" w:color="auto" w:fill="C5D9F1"/>
            <w:vAlign w:val="center"/>
            <w:hideMark/>
          </w:tcPr>
          <w:p w:rsidR="003737EE" w:rsidRPr="00C258AD" w:rsidRDefault="003737EE" w:rsidP="0066137C">
            <w:pPr>
              <w:keepNext/>
              <w:jc w:val="center"/>
              <w:rPr>
                <w:b/>
                <w:bCs/>
                <w:color w:val="000000"/>
                <w:sz w:val="16"/>
                <w:szCs w:val="18"/>
                <w:lang w:eastAsia="fr-FR"/>
              </w:rPr>
            </w:pPr>
            <w:r w:rsidRPr="00C258AD">
              <w:rPr>
                <w:b/>
                <w:bCs/>
                <w:color w:val="000000"/>
                <w:sz w:val="16"/>
                <w:szCs w:val="18"/>
                <w:lang w:eastAsia="fr-FR"/>
              </w:rPr>
              <w:t>Budget 2014</w:t>
            </w:r>
            <w:r w:rsidRPr="00C258AD">
              <w:rPr>
                <w:b/>
                <w:bCs/>
                <w:color w:val="000000"/>
                <w:sz w:val="16"/>
                <w:szCs w:val="18"/>
                <w:lang w:eastAsia="fr-FR"/>
              </w:rPr>
              <w:noBreakHyphen/>
              <w:t>2015 approuvé</w:t>
            </w:r>
          </w:p>
        </w:tc>
        <w:tc>
          <w:tcPr>
            <w:tcW w:w="1746" w:type="dxa"/>
            <w:tcBorders>
              <w:top w:val="single" w:sz="4" w:space="0" w:color="auto"/>
              <w:left w:val="nil"/>
              <w:bottom w:val="nil"/>
              <w:right w:val="single" w:sz="4" w:space="0" w:color="auto"/>
            </w:tcBorders>
            <w:shd w:val="clear" w:color="auto" w:fill="C5D9F1"/>
            <w:vAlign w:val="center"/>
            <w:hideMark/>
          </w:tcPr>
          <w:p w:rsidR="003737EE" w:rsidRPr="00C258AD" w:rsidRDefault="003737EE" w:rsidP="0066137C">
            <w:pPr>
              <w:keepNext/>
              <w:jc w:val="center"/>
              <w:rPr>
                <w:b/>
                <w:bCs/>
                <w:color w:val="000000"/>
                <w:sz w:val="16"/>
                <w:szCs w:val="18"/>
                <w:lang w:eastAsia="fr-FR"/>
              </w:rPr>
            </w:pPr>
            <w:r w:rsidRPr="00C258AD">
              <w:rPr>
                <w:b/>
                <w:bCs/>
                <w:color w:val="000000"/>
                <w:sz w:val="16"/>
                <w:szCs w:val="18"/>
                <w:lang w:eastAsia="fr-FR"/>
              </w:rPr>
              <w:t>Budget final 2014</w:t>
            </w:r>
            <w:r w:rsidRPr="00C258AD">
              <w:rPr>
                <w:b/>
                <w:bCs/>
                <w:color w:val="000000"/>
                <w:sz w:val="16"/>
                <w:szCs w:val="18"/>
                <w:lang w:eastAsia="fr-FR"/>
              </w:rPr>
              <w:noBreakHyphen/>
              <w:t>2015</w:t>
            </w:r>
            <w:r w:rsidRPr="00C258AD">
              <w:rPr>
                <w:b/>
                <w:bCs/>
                <w:color w:val="000000"/>
                <w:sz w:val="16"/>
                <w:szCs w:val="18"/>
                <w:lang w:eastAsia="fr-FR"/>
              </w:rPr>
              <w:br/>
              <w:t>après virements</w:t>
            </w:r>
          </w:p>
        </w:tc>
        <w:tc>
          <w:tcPr>
            <w:tcW w:w="1745" w:type="dxa"/>
            <w:tcBorders>
              <w:top w:val="single" w:sz="4" w:space="0" w:color="auto"/>
              <w:left w:val="nil"/>
              <w:bottom w:val="nil"/>
              <w:right w:val="single" w:sz="4" w:space="0" w:color="auto"/>
            </w:tcBorders>
            <w:shd w:val="clear" w:color="auto" w:fill="C5D9F1"/>
            <w:vAlign w:val="center"/>
            <w:hideMark/>
          </w:tcPr>
          <w:p w:rsidR="003737EE" w:rsidRPr="00C258AD" w:rsidRDefault="003737EE" w:rsidP="0066137C">
            <w:pPr>
              <w:keepNext/>
              <w:jc w:val="center"/>
              <w:rPr>
                <w:b/>
                <w:bCs/>
                <w:color w:val="000000"/>
                <w:sz w:val="16"/>
                <w:szCs w:val="18"/>
                <w:lang w:eastAsia="fr-FR"/>
              </w:rPr>
            </w:pPr>
            <w:r w:rsidRPr="00C258AD">
              <w:rPr>
                <w:b/>
                <w:bCs/>
                <w:color w:val="000000"/>
                <w:sz w:val="16"/>
                <w:szCs w:val="18"/>
                <w:lang w:eastAsia="fr-FR"/>
              </w:rPr>
              <w:t xml:space="preserve">Dépenses </w:t>
            </w:r>
            <w:r w:rsidRPr="00C258AD">
              <w:rPr>
                <w:b/>
                <w:bCs/>
                <w:color w:val="000000"/>
                <w:sz w:val="16"/>
                <w:szCs w:val="18"/>
                <w:lang w:eastAsia="fr-FR"/>
              </w:rPr>
              <w:br/>
              <w:t>2014</w:t>
            </w:r>
            <w:r w:rsidRPr="00C258AD">
              <w:rPr>
                <w:b/>
                <w:bCs/>
                <w:color w:val="000000"/>
                <w:sz w:val="16"/>
                <w:szCs w:val="18"/>
                <w:lang w:eastAsia="fr-FR"/>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3737EE" w:rsidRPr="00C258AD" w:rsidRDefault="003737EE" w:rsidP="0066137C">
            <w:pPr>
              <w:keepNext/>
              <w:jc w:val="center"/>
              <w:rPr>
                <w:b/>
                <w:bCs/>
                <w:color w:val="000000"/>
                <w:sz w:val="16"/>
                <w:szCs w:val="18"/>
                <w:lang w:eastAsia="fr-FR"/>
              </w:rPr>
            </w:pPr>
            <w:r w:rsidRPr="00C258AD">
              <w:rPr>
                <w:b/>
                <w:bCs/>
                <w:color w:val="000000"/>
                <w:sz w:val="16"/>
                <w:szCs w:val="18"/>
                <w:lang w:eastAsia="fr-FR"/>
              </w:rPr>
              <w:t>Taux d’utilisation (%)</w:t>
            </w:r>
          </w:p>
        </w:tc>
      </w:tr>
      <w:tr w:rsidR="003737EE" w:rsidRPr="00C258AD" w:rsidTr="0066137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3737EE" w:rsidRPr="00C258AD" w:rsidRDefault="003737EE" w:rsidP="0066137C">
            <w:pPr>
              <w:keepNext/>
              <w:rPr>
                <w:color w:val="000000"/>
                <w:sz w:val="16"/>
                <w:szCs w:val="18"/>
                <w:lang w:eastAsia="fr-FR"/>
              </w:rPr>
            </w:pPr>
            <w:r w:rsidRPr="00C258AD">
              <w:rPr>
                <w:color w:val="000000"/>
                <w:sz w:val="16"/>
                <w:szCs w:val="18"/>
                <w:lang w:eastAsia="fr-FR"/>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3737EE" w:rsidRPr="00C258AD" w:rsidRDefault="003737EE" w:rsidP="0066137C">
            <w:pPr>
              <w:keepNext/>
              <w:jc w:val="center"/>
              <w:rPr>
                <w:color w:val="000000"/>
                <w:sz w:val="16"/>
                <w:szCs w:val="18"/>
                <w:lang w:eastAsia="fr-FR"/>
              </w:rPr>
            </w:pPr>
            <w:r w:rsidRPr="00C258AD">
              <w:rPr>
                <w:color w:val="000000"/>
                <w:sz w:val="16"/>
                <w:szCs w:val="18"/>
                <w:lang w:eastAsia="fr-FR"/>
              </w:rPr>
              <w:t>14 944</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3737EE" w:rsidRPr="00C258AD" w:rsidRDefault="003737EE" w:rsidP="0066137C">
            <w:pPr>
              <w:keepNext/>
              <w:jc w:val="center"/>
              <w:rPr>
                <w:color w:val="000000"/>
                <w:sz w:val="16"/>
                <w:szCs w:val="18"/>
                <w:lang w:eastAsia="fr-FR"/>
              </w:rPr>
            </w:pPr>
            <w:r w:rsidRPr="00C258AD">
              <w:rPr>
                <w:color w:val="000000"/>
                <w:sz w:val="16"/>
                <w:szCs w:val="18"/>
                <w:lang w:eastAsia="fr-FR"/>
              </w:rPr>
              <w:t>15 389</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3737EE" w:rsidRPr="00C258AD" w:rsidRDefault="003737EE" w:rsidP="0066137C">
            <w:pPr>
              <w:keepNext/>
              <w:jc w:val="center"/>
              <w:rPr>
                <w:color w:val="000000"/>
                <w:sz w:val="16"/>
                <w:szCs w:val="18"/>
                <w:lang w:eastAsia="fr-FR"/>
              </w:rPr>
            </w:pPr>
            <w:r w:rsidRPr="00C258AD">
              <w:rPr>
                <w:color w:val="000000"/>
                <w:sz w:val="16"/>
                <w:szCs w:val="18"/>
                <w:lang w:eastAsia="fr-FR"/>
              </w:rPr>
              <w:t>15 034</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3737EE" w:rsidRPr="00C258AD" w:rsidRDefault="003737EE" w:rsidP="0066137C">
            <w:pPr>
              <w:keepNext/>
              <w:jc w:val="center"/>
              <w:rPr>
                <w:color w:val="000000"/>
                <w:sz w:val="16"/>
                <w:szCs w:val="18"/>
                <w:lang w:eastAsia="fr-FR"/>
              </w:rPr>
            </w:pPr>
            <w:r w:rsidRPr="00C258AD">
              <w:rPr>
                <w:color w:val="000000"/>
                <w:sz w:val="16"/>
                <w:szCs w:val="18"/>
                <w:lang w:eastAsia="fr-FR"/>
              </w:rPr>
              <w:t>98%</w:t>
            </w:r>
          </w:p>
        </w:tc>
      </w:tr>
      <w:tr w:rsidR="003737EE" w:rsidRPr="00C258AD" w:rsidTr="0066137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3737EE" w:rsidRPr="00C258AD" w:rsidRDefault="003737EE" w:rsidP="0066137C">
            <w:pPr>
              <w:keepNext/>
              <w:rPr>
                <w:color w:val="000000"/>
                <w:sz w:val="16"/>
                <w:szCs w:val="18"/>
                <w:lang w:eastAsia="fr-FR"/>
              </w:rPr>
            </w:pPr>
            <w:r w:rsidRPr="00C258AD">
              <w:rPr>
                <w:color w:val="000000"/>
                <w:sz w:val="16"/>
                <w:szCs w:val="18"/>
                <w:lang w:eastAsia="fr-FR"/>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3737EE" w:rsidRPr="00C258AD" w:rsidRDefault="003737EE" w:rsidP="0066137C">
            <w:pPr>
              <w:keepNext/>
              <w:jc w:val="center"/>
              <w:rPr>
                <w:color w:val="000000"/>
                <w:sz w:val="16"/>
                <w:szCs w:val="18"/>
                <w:lang w:eastAsia="fr-FR"/>
              </w:rPr>
            </w:pPr>
            <w:r w:rsidRPr="00C258AD">
              <w:rPr>
                <w:color w:val="000000"/>
                <w:sz w:val="16"/>
                <w:szCs w:val="18"/>
                <w:lang w:eastAsia="fr-FR"/>
              </w:rPr>
              <w:t>30 325</w:t>
            </w:r>
          </w:p>
        </w:tc>
        <w:tc>
          <w:tcPr>
            <w:tcW w:w="1746" w:type="dxa"/>
            <w:tcBorders>
              <w:top w:val="nil"/>
              <w:left w:val="nil"/>
              <w:bottom w:val="single" w:sz="4" w:space="0" w:color="auto"/>
              <w:right w:val="single" w:sz="4" w:space="0" w:color="auto"/>
            </w:tcBorders>
            <w:shd w:val="clear" w:color="auto" w:fill="auto"/>
            <w:vAlign w:val="center"/>
            <w:hideMark/>
          </w:tcPr>
          <w:p w:rsidR="003737EE" w:rsidRPr="00C258AD" w:rsidRDefault="003737EE" w:rsidP="0066137C">
            <w:pPr>
              <w:keepNext/>
              <w:jc w:val="center"/>
              <w:rPr>
                <w:color w:val="000000"/>
                <w:sz w:val="16"/>
                <w:szCs w:val="18"/>
                <w:lang w:eastAsia="fr-FR"/>
              </w:rPr>
            </w:pPr>
            <w:r w:rsidRPr="00C258AD">
              <w:rPr>
                <w:color w:val="000000"/>
                <w:sz w:val="16"/>
                <w:szCs w:val="18"/>
                <w:lang w:eastAsia="fr-FR"/>
              </w:rPr>
              <w:t>33 287</w:t>
            </w:r>
          </w:p>
        </w:tc>
        <w:tc>
          <w:tcPr>
            <w:tcW w:w="1745" w:type="dxa"/>
            <w:tcBorders>
              <w:top w:val="nil"/>
              <w:left w:val="nil"/>
              <w:bottom w:val="single" w:sz="4" w:space="0" w:color="auto"/>
              <w:right w:val="single" w:sz="4" w:space="0" w:color="auto"/>
            </w:tcBorders>
            <w:shd w:val="clear" w:color="auto" w:fill="auto"/>
            <w:vAlign w:val="center"/>
            <w:hideMark/>
          </w:tcPr>
          <w:p w:rsidR="003737EE" w:rsidRPr="00C258AD" w:rsidRDefault="003737EE" w:rsidP="0066137C">
            <w:pPr>
              <w:keepNext/>
              <w:jc w:val="center"/>
              <w:rPr>
                <w:color w:val="000000"/>
                <w:sz w:val="16"/>
                <w:szCs w:val="18"/>
                <w:lang w:eastAsia="fr-FR"/>
              </w:rPr>
            </w:pPr>
            <w:r w:rsidRPr="00C258AD">
              <w:rPr>
                <w:color w:val="000000"/>
                <w:sz w:val="16"/>
                <w:szCs w:val="18"/>
                <w:lang w:eastAsia="fr-FR"/>
              </w:rPr>
              <w:t>32 934</w:t>
            </w:r>
          </w:p>
        </w:tc>
        <w:tc>
          <w:tcPr>
            <w:tcW w:w="1746" w:type="dxa"/>
            <w:tcBorders>
              <w:top w:val="nil"/>
              <w:left w:val="nil"/>
              <w:bottom w:val="single" w:sz="4" w:space="0" w:color="auto"/>
              <w:right w:val="single" w:sz="4" w:space="0" w:color="auto"/>
            </w:tcBorders>
            <w:shd w:val="clear" w:color="auto" w:fill="auto"/>
            <w:vAlign w:val="center"/>
            <w:hideMark/>
          </w:tcPr>
          <w:p w:rsidR="003737EE" w:rsidRPr="00C258AD" w:rsidRDefault="003737EE" w:rsidP="0066137C">
            <w:pPr>
              <w:keepNext/>
              <w:jc w:val="center"/>
              <w:rPr>
                <w:color w:val="000000"/>
                <w:sz w:val="16"/>
                <w:szCs w:val="18"/>
                <w:lang w:eastAsia="fr-FR"/>
              </w:rPr>
            </w:pPr>
            <w:r w:rsidRPr="00C258AD">
              <w:rPr>
                <w:color w:val="000000"/>
                <w:sz w:val="16"/>
                <w:szCs w:val="18"/>
                <w:lang w:eastAsia="fr-FR"/>
              </w:rPr>
              <w:t>99%</w:t>
            </w:r>
          </w:p>
        </w:tc>
      </w:tr>
      <w:tr w:rsidR="003737EE" w:rsidRPr="00C258AD" w:rsidTr="0066137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3737EE" w:rsidRPr="00C258AD" w:rsidRDefault="003737EE" w:rsidP="0066137C">
            <w:pPr>
              <w:keepNext/>
              <w:jc w:val="right"/>
              <w:rPr>
                <w:b/>
                <w:bCs/>
                <w:color w:val="000000"/>
                <w:sz w:val="16"/>
                <w:szCs w:val="18"/>
                <w:lang w:eastAsia="fr-FR"/>
              </w:rPr>
            </w:pPr>
            <w:r w:rsidRPr="00C258AD">
              <w:rPr>
                <w:b/>
                <w:bCs/>
                <w:color w:val="000000"/>
                <w:sz w:val="16"/>
                <w:szCs w:val="18"/>
                <w:lang w:eastAsia="fr-FR"/>
              </w:rPr>
              <w:t xml:space="preserve"> TOTAL </w:t>
            </w:r>
          </w:p>
        </w:tc>
        <w:tc>
          <w:tcPr>
            <w:tcW w:w="1745" w:type="dxa"/>
            <w:tcBorders>
              <w:top w:val="nil"/>
              <w:left w:val="nil"/>
              <w:bottom w:val="single" w:sz="4" w:space="0" w:color="auto"/>
              <w:right w:val="single" w:sz="4" w:space="0" w:color="auto"/>
            </w:tcBorders>
            <w:shd w:val="clear" w:color="auto" w:fill="auto"/>
            <w:vAlign w:val="center"/>
            <w:hideMark/>
          </w:tcPr>
          <w:p w:rsidR="003737EE" w:rsidRPr="00C258AD" w:rsidRDefault="003737EE" w:rsidP="0066137C">
            <w:pPr>
              <w:keepNext/>
              <w:jc w:val="center"/>
              <w:rPr>
                <w:b/>
                <w:bCs/>
                <w:color w:val="000000"/>
                <w:sz w:val="16"/>
                <w:szCs w:val="18"/>
                <w:lang w:eastAsia="fr-FR"/>
              </w:rPr>
            </w:pPr>
            <w:r w:rsidRPr="00C258AD">
              <w:rPr>
                <w:b/>
                <w:bCs/>
                <w:color w:val="000000"/>
                <w:sz w:val="16"/>
                <w:szCs w:val="18"/>
                <w:lang w:eastAsia="fr-FR"/>
              </w:rPr>
              <w:t>45 269</w:t>
            </w:r>
          </w:p>
        </w:tc>
        <w:tc>
          <w:tcPr>
            <w:tcW w:w="1746" w:type="dxa"/>
            <w:tcBorders>
              <w:top w:val="nil"/>
              <w:left w:val="nil"/>
              <w:bottom w:val="single" w:sz="4" w:space="0" w:color="auto"/>
              <w:right w:val="single" w:sz="4" w:space="0" w:color="auto"/>
            </w:tcBorders>
            <w:shd w:val="clear" w:color="auto" w:fill="auto"/>
            <w:vAlign w:val="center"/>
            <w:hideMark/>
          </w:tcPr>
          <w:p w:rsidR="003737EE" w:rsidRPr="00C258AD" w:rsidRDefault="003737EE" w:rsidP="0066137C">
            <w:pPr>
              <w:keepNext/>
              <w:jc w:val="center"/>
              <w:rPr>
                <w:b/>
                <w:bCs/>
                <w:color w:val="000000"/>
                <w:sz w:val="16"/>
                <w:szCs w:val="18"/>
                <w:lang w:eastAsia="fr-FR"/>
              </w:rPr>
            </w:pPr>
            <w:r w:rsidRPr="00C258AD">
              <w:rPr>
                <w:b/>
                <w:bCs/>
                <w:color w:val="000000"/>
                <w:sz w:val="16"/>
                <w:szCs w:val="18"/>
                <w:lang w:eastAsia="fr-FR"/>
              </w:rPr>
              <w:t>48 676</w:t>
            </w:r>
          </w:p>
        </w:tc>
        <w:tc>
          <w:tcPr>
            <w:tcW w:w="1745" w:type="dxa"/>
            <w:tcBorders>
              <w:top w:val="nil"/>
              <w:left w:val="nil"/>
              <w:bottom w:val="single" w:sz="4" w:space="0" w:color="auto"/>
              <w:right w:val="single" w:sz="4" w:space="0" w:color="auto"/>
            </w:tcBorders>
            <w:shd w:val="clear" w:color="auto" w:fill="auto"/>
            <w:vAlign w:val="center"/>
            <w:hideMark/>
          </w:tcPr>
          <w:p w:rsidR="003737EE" w:rsidRPr="00C258AD" w:rsidRDefault="003737EE" w:rsidP="0066137C">
            <w:pPr>
              <w:keepNext/>
              <w:jc w:val="center"/>
              <w:rPr>
                <w:b/>
                <w:bCs/>
                <w:color w:val="000000"/>
                <w:sz w:val="16"/>
                <w:szCs w:val="18"/>
                <w:lang w:eastAsia="fr-FR"/>
              </w:rPr>
            </w:pPr>
            <w:r w:rsidRPr="00C258AD">
              <w:rPr>
                <w:b/>
                <w:bCs/>
                <w:color w:val="000000"/>
                <w:sz w:val="16"/>
                <w:szCs w:val="18"/>
                <w:lang w:eastAsia="fr-FR"/>
              </w:rPr>
              <w:t>47 968</w:t>
            </w:r>
          </w:p>
        </w:tc>
        <w:tc>
          <w:tcPr>
            <w:tcW w:w="1746" w:type="dxa"/>
            <w:tcBorders>
              <w:top w:val="nil"/>
              <w:left w:val="nil"/>
              <w:bottom w:val="single" w:sz="4" w:space="0" w:color="auto"/>
              <w:right w:val="single" w:sz="4" w:space="0" w:color="auto"/>
            </w:tcBorders>
            <w:shd w:val="clear" w:color="auto" w:fill="auto"/>
            <w:vAlign w:val="center"/>
            <w:hideMark/>
          </w:tcPr>
          <w:p w:rsidR="003737EE" w:rsidRPr="00C258AD" w:rsidRDefault="003737EE" w:rsidP="0066137C">
            <w:pPr>
              <w:keepNext/>
              <w:jc w:val="center"/>
              <w:rPr>
                <w:b/>
                <w:bCs/>
                <w:color w:val="000000"/>
                <w:sz w:val="16"/>
                <w:szCs w:val="18"/>
                <w:lang w:eastAsia="fr-FR"/>
              </w:rPr>
            </w:pPr>
            <w:r w:rsidRPr="00C258AD">
              <w:rPr>
                <w:b/>
                <w:bCs/>
                <w:color w:val="000000"/>
                <w:sz w:val="16"/>
                <w:szCs w:val="18"/>
                <w:lang w:eastAsia="fr-FR"/>
              </w:rPr>
              <w:t>99%</w:t>
            </w:r>
          </w:p>
        </w:tc>
      </w:tr>
    </w:tbl>
    <w:p w:rsidR="006E2BB1" w:rsidRPr="00C258AD" w:rsidRDefault="006E2BB1" w:rsidP="0066137C">
      <w:pPr>
        <w:widowControl w:val="0"/>
        <w:autoSpaceDE w:val="0"/>
        <w:autoSpaceDN w:val="0"/>
        <w:adjustRightInd w:val="0"/>
        <w:jc w:val="both"/>
      </w:pPr>
    </w:p>
    <w:p w:rsidR="006E2BB1" w:rsidRPr="00C258AD" w:rsidRDefault="006E2BB1" w:rsidP="0066137C">
      <w:pPr>
        <w:widowControl w:val="0"/>
        <w:autoSpaceDE w:val="0"/>
        <w:autoSpaceDN w:val="0"/>
        <w:adjustRightInd w:val="0"/>
        <w:jc w:val="both"/>
      </w:pPr>
    </w:p>
    <w:p w:rsidR="006E2BB1" w:rsidRPr="00C258AD" w:rsidRDefault="003737EE" w:rsidP="0066137C">
      <w:pPr>
        <w:rPr>
          <w:u w:val="single"/>
        </w:rPr>
      </w:pPr>
      <w:r w:rsidRPr="00C258AD">
        <w:t>A.</w:t>
      </w:r>
      <w:r w:rsidRPr="00C258AD">
        <w:tab/>
      </w:r>
      <w:r w:rsidRPr="00C258AD">
        <w:rPr>
          <w:u w:val="single"/>
        </w:rPr>
        <w:t>Budget final 2014</w:t>
      </w:r>
      <w:r w:rsidRPr="00C258AD">
        <w:rPr>
          <w:u w:val="single"/>
        </w:rPr>
        <w:noBreakHyphen/>
        <w:t>2015 après virements</w:t>
      </w:r>
    </w:p>
    <w:p w:rsidR="006E2BB1" w:rsidRPr="00C258AD" w:rsidRDefault="006E2BB1" w:rsidP="0066137C">
      <w:pPr>
        <w:rPr>
          <w:u w:val="single"/>
        </w:rPr>
      </w:pPr>
    </w:p>
    <w:p w:rsidR="006E2BB1" w:rsidRPr="00C258AD" w:rsidRDefault="003737EE" w:rsidP="00BB4DBC">
      <w:pPr>
        <w:pStyle w:val="ONUME"/>
        <w:numPr>
          <w:ilvl w:val="0"/>
          <w:numId w:val="24"/>
        </w:numPr>
        <w:tabs>
          <w:tab w:val="left" w:pos="709"/>
        </w:tabs>
        <w:spacing w:after="0"/>
        <w:ind w:left="0" w:firstLine="0"/>
        <w:jc w:val="both"/>
      </w:pPr>
      <w:r w:rsidRPr="00C258AD">
        <w:t>L</w:t>
      </w:r>
      <w:r w:rsidR="001E0665" w:rsidRPr="00C258AD">
        <w:t>’augmentation générale du</w:t>
      </w:r>
      <w:r w:rsidRPr="00C258AD">
        <w:t xml:space="preserve"> budget final </w:t>
      </w:r>
      <w:r w:rsidR="00E82DE1">
        <w:t>2014</w:t>
      </w:r>
      <w:r w:rsidR="00E82DE1">
        <w:noBreakHyphen/>
      </w:r>
      <w:r w:rsidR="001E0665" w:rsidRPr="00C258AD">
        <w:t xml:space="preserve">2015 </w:t>
      </w:r>
      <w:r w:rsidRPr="00C258AD">
        <w:t>après virements tient essentiellement à l’accroissement des ressources autres que les ressources en personnel allouées au résultat escompté</w:t>
      </w:r>
      <w:r w:rsidR="001E0665" w:rsidRPr="00C258AD">
        <w:t> </w:t>
      </w:r>
      <w:r w:rsidRPr="00C258AD">
        <w:t>IX.1 (Services d’appui efficaces, efficients, de qualité et tournés vers la clientèle) en vue de couvrir les aspects suivants : i) mise en œuvre d’une infrastructure résiliente pour les bureaux extérieurs de l’OMPI;  ii) achat de licences pour la gestion des contenus de l’Organisation (ECM) et base de données de gestion de la configuration;  iii) achat d’ordinateurs portables pour équiper le bâtiment CAM en tant que “site branché” en cas de situation d’urgence au plan local;  iv) coûts liés à l’étude d’un système d’identification et de gestion des accès;  v) achat de solutions en matière de sécurité de l’information pour renforcer les capacités de protection et de réaction en cas d’incident;  et vi) remplacement de divers équipements de TI (téléphones portables, ordinateurs portables et écrans).</w:t>
      </w:r>
    </w:p>
    <w:p w:rsidR="006E2BB1" w:rsidRPr="00C258AD" w:rsidRDefault="006E2BB1" w:rsidP="0066137C"/>
    <w:p w:rsidR="006E2BB1" w:rsidRPr="00C258AD" w:rsidRDefault="003737EE" w:rsidP="00BB4DBC">
      <w:pPr>
        <w:pStyle w:val="ONUME"/>
        <w:numPr>
          <w:ilvl w:val="0"/>
          <w:numId w:val="24"/>
        </w:numPr>
        <w:tabs>
          <w:tab w:val="left" w:pos="709"/>
        </w:tabs>
        <w:spacing w:after="0"/>
        <w:ind w:left="0" w:firstLine="0"/>
      </w:pPr>
      <w:r w:rsidRPr="00C258AD">
        <w:t>La nette augmentation des dépenses de personnel découle essentiellement, d’une part, des reclassements et des régularisations d’agents exerçant des fonctions continues et, d’autre part, du redéploiement d’un poste temporaire à la Division des achats et des voyages au titre du programme 24 pour la création d’un poste de certificateur des vacataires.</w:t>
      </w:r>
    </w:p>
    <w:p w:rsidR="006E2BB1" w:rsidRPr="00C258AD" w:rsidRDefault="006E2BB1" w:rsidP="00FE18E6"/>
    <w:p w:rsidR="006E2BB1" w:rsidRPr="00C258AD" w:rsidRDefault="006E2BB1" w:rsidP="00FE18E6"/>
    <w:p w:rsidR="006E2BB1" w:rsidRPr="00C258AD" w:rsidRDefault="003737EE" w:rsidP="0066137C">
      <w:pPr>
        <w:jc w:val="both"/>
        <w:rPr>
          <w:u w:val="single"/>
          <w:lang w:eastAsia="ko-KR"/>
        </w:rPr>
      </w:pPr>
      <w:r w:rsidRPr="00C258AD">
        <w:rPr>
          <w:lang w:eastAsia="ko-KR"/>
        </w:rPr>
        <w:t>B.</w:t>
      </w:r>
      <w:r w:rsidRPr="00C258AD">
        <w:rPr>
          <w:lang w:eastAsia="ko-KR"/>
        </w:rPr>
        <w:tab/>
      </w:r>
      <w:r w:rsidRPr="00C258AD">
        <w:rPr>
          <w:u w:val="single"/>
          <w:lang w:eastAsia="ko-KR"/>
        </w:rPr>
        <w:t>Utilisation du budget en 2014</w:t>
      </w:r>
      <w:r w:rsidR="00E82DE1">
        <w:rPr>
          <w:u w:val="single"/>
          <w:lang w:eastAsia="ko-KR"/>
        </w:rPr>
        <w:noBreakHyphen/>
        <w:t>2015</w:t>
      </w:r>
    </w:p>
    <w:p w:rsidR="006E2BB1" w:rsidRPr="00C258AD" w:rsidRDefault="006E2BB1" w:rsidP="0066137C">
      <w:pPr>
        <w:tabs>
          <w:tab w:val="left" w:pos="709"/>
        </w:tabs>
        <w:jc w:val="both"/>
        <w:rPr>
          <w:u w:val="single"/>
          <w:lang w:eastAsia="ko-KR"/>
        </w:rPr>
      </w:pPr>
    </w:p>
    <w:p w:rsidR="006E2BB1" w:rsidRPr="00C258AD" w:rsidRDefault="003737EE" w:rsidP="00BB4DBC">
      <w:pPr>
        <w:pStyle w:val="ONUME"/>
        <w:numPr>
          <w:ilvl w:val="0"/>
          <w:numId w:val="24"/>
        </w:numPr>
        <w:tabs>
          <w:tab w:val="left" w:pos="709"/>
        </w:tabs>
        <w:spacing w:after="0"/>
        <w:ind w:left="0" w:firstLine="0"/>
        <w:rPr>
          <w:lang w:eastAsia="ko-KR"/>
        </w:rPr>
      </w:pPr>
      <w:r w:rsidRPr="00C258AD">
        <w:rPr>
          <w:lang w:eastAsia="ko-KR"/>
        </w:rPr>
        <w:t>L’utilisation du budget se situe dans la fourchette prévue pour l’exercice biennal.</w:t>
      </w:r>
    </w:p>
    <w:p w:rsidR="006E2BB1" w:rsidRPr="00C258AD" w:rsidRDefault="006E2BB1" w:rsidP="0066137C">
      <w:pPr>
        <w:rPr>
          <w:lang w:eastAsia="ko-KR"/>
        </w:rPr>
      </w:pPr>
    </w:p>
    <w:p w:rsidR="006E2BB1" w:rsidRPr="00C258AD" w:rsidRDefault="009D057D">
      <w:pPr>
        <w:spacing w:after="200" w:line="276" w:lineRule="auto"/>
        <w:rPr>
          <w:lang w:eastAsia="ko-KR"/>
        </w:rPr>
      </w:pPr>
      <w:r w:rsidRPr="00C258AD">
        <w:rPr>
          <w:lang w:eastAsia="ko-KR"/>
        </w:rPr>
        <w:br w:type="page"/>
      </w:r>
    </w:p>
    <w:p w:rsidR="006E2BB1" w:rsidRPr="00C258AD" w:rsidRDefault="00AD1FA5" w:rsidP="00305CE5">
      <w:pPr>
        <w:pStyle w:val="Heading3"/>
      </w:pPr>
      <w:bookmarkStart w:id="165" w:name="_Toc422404252"/>
      <w:bookmarkStart w:id="166" w:name="_Toc423352900"/>
      <w:bookmarkStart w:id="167" w:name="_Toc455394213"/>
      <w:r w:rsidRPr="00C258AD">
        <w:lastRenderedPageBreak/>
        <w:t>Programme 26</w:t>
      </w:r>
      <w:r w:rsidRPr="00C258AD">
        <w:tab/>
        <w:t>Supervision interne</w:t>
      </w:r>
      <w:bookmarkEnd w:id="165"/>
      <w:bookmarkEnd w:id="166"/>
      <w:bookmarkEnd w:id="167"/>
    </w:p>
    <w:p w:rsidR="006E2BB1" w:rsidRPr="00C258AD" w:rsidRDefault="006E2BB1" w:rsidP="00A43BDE"/>
    <w:p w:rsidR="006E2BB1" w:rsidRPr="00C258AD" w:rsidRDefault="00AD1FA5" w:rsidP="00A43BDE">
      <w:pPr>
        <w:ind w:left="2268" w:hanging="2268"/>
        <w:rPr>
          <w:b/>
        </w:rPr>
      </w:pPr>
      <w:r w:rsidRPr="00C258AD">
        <w:rPr>
          <w:b/>
        </w:rPr>
        <w:t>Chef de programme</w:t>
      </w:r>
      <w:r w:rsidRPr="00C258AD">
        <w:rPr>
          <w:b/>
        </w:rPr>
        <w:tab/>
        <w:t>M. T. </w:t>
      </w:r>
      <w:proofErr w:type="gramStart"/>
      <w:r w:rsidRPr="00C258AD">
        <w:rPr>
          <w:b/>
        </w:rPr>
        <w:t>Efendioglu</w:t>
      </w:r>
      <w:proofErr w:type="gramEnd"/>
      <w:r w:rsidRPr="00C258AD">
        <w:rPr>
          <w:b/>
        </w:rPr>
        <w:br/>
        <w:t>(directeur par intérim de la Division de la supervision interne)</w:t>
      </w:r>
    </w:p>
    <w:p w:rsidR="006E2BB1" w:rsidRPr="00C258AD" w:rsidRDefault="006E2BB1" w:rsidP="00A43BDE"/>
    <w:p w:rsidR="006E2BB1" w:rsidRPr="00C258AD" w:rsidRDefault="006E2BB1" w:rsidP="00A43BDE"/>
    <w:p w:rsidR="006E2BB1" w:rsidRPr="00C258AD" w:rsidRDefault="00AD1FA5" w:rsidP="00305CE5">
      <w:pPr>
        <w:keepNext/>
        <w:rPr>
          <w:rFonts w:cs="Arial"/>
          <w:caps/>
          <w:sz w:val="22"/>
          <w:szCs w:val="22"/>
        </w:rPr>
      </w:pPr>
      <w:r w:rsidRPr="00C258AD">
        <w:rPr>
          <w:rFonts w:cs="Arial"/>
          <w:caps/>
          <w:sz w:val="22"/>
          <w:szCs w:val="22"/>
        </w:rPr>
        <w:t>Réalisations au cours de l’exercice biennal 2014</w:t>
      </w:r>
      <w:r w:rsidRPr="00C258AD">
        <w:rPr>
          <w:rFonts w:cs="Arial"/>
          <w:caps/>
          <w:sz w:val="22"/>
          <w:szCs w:val="22"/>
        </w:rPr>
        <w:noBreakHyphen/>
        <w:t>2015</w:t>
      </w:r>
    </w:p>
    <w:p w:rsidR="006E2BB1" w:rsidRPr="00C258AD" w:rsidRDefault="006E2BB1" w:rsidP="00A43BDE"/>
    <w:p w:rsidR="006E2BB1" w:rsidRPr="00C258AD" w:rsidRDefault="00AD1FA5" w:rsidP="00DF2EEF">
      <w:pPr>
        <w:pStyle w:val="ListParagraph"/>
        <w:numPr>
          <w:ilvl w:val="0"/>
          <w:numId w:val="93"/>
        </w:numPr>
        <w:ind w:left="0" w:firstLine="0"/>
        <w:jc w:val="both"/>
      </w:pPr>
      <w:r w:rsidRPr="00C258AD">
        <w:t>La Division de la supervision interne (DSI) a passé avec succès trois évaluations externes de la qualité concernant respectivement ses fonctions d’audit</w:t>
      </w:r>
      <w:r w:rsidRPr="00C258AD">
        <w:rPr>
          <w:rStyle w:val="FootnoteReference"/>
          <w:rFonts w:eastAsia="SimSun"/>
        </w:rPr>
        <w:footnoteReference w:id="141"/>
      </w:r>
      <w:r w:rsidRPr="00C258AD">
        <w:t>, d’évaluation</w:t>
      </w:r>
      <w:r w:rsidRPr="00C258AD">
        <w:rPr>
          <w:rStyle w:val="FootnoteReference"/>
          <w:rFonts w:eastAsia="SimSun"/>
        </w:rPr>
        <w:footnoteReference w:id="142"/>
      </w:r>
      <w:r w:rsidRPr="00C258AD">
        <w:t xml:space="preserve"> et d’investigation</w:t>
      </w:r>
      <w:r w:rsidRPr="00C258AD">
        <w:rPr>
          <w:rStyle w:val="FootnoteReference"/>
          <w:rFonts w:eastAsia="SimSun"/>
        </w:rPr>
        <w:footnoteReference w:id="143"/>
      </w:r>
      <w:r w:rsidRPr="00C258AD">
        <w:t xml:space="preserve"> en 2014</w:t>
      </w:r>
      <w:r w:rsidRPr="00C258AD">
        <w:noBreakHyphen/>
        <w:t>2015.  Les vérificateurs externes indépendants ont estimé que les trois domaines d’activité étaient généralement conformes aux normes de chacune des professions</w:t>
      </w:r>
      <w:r w:rsidRPr="00C258AD">
        <w:rPr>
          <w:rStyle w:val="FootnoteReference"/>
          <w:rFonts w:eastAsia="SimSun"/>
        </w:rPr>
        <w:footnoteReference w:id="144"/>
      </w:r>
      <w:r w:rsidRPr="00C258AD">
        <w:t>.</w:t>
      </w:r>
    </w:p>
    <w:p w:rsidR="006E2BB1" w:rsidRPr="00C258AD" w:rsidRDefault="006E2BB1" w:rsidP="00A43BDE">
      <w:pPr>
        <w:tabs>
          <w:tab w:val="left" w:pos="709"/>
        </w:tabs>
        <w:jc w:val="both"/>
      </w:pPr>
    </w:p>
    <w:p w:rsidR="006E2BB1" w:rsidRPr="00C258AD" w:rsidRDefault="00AD1FA5" w:rsidP="00DF2EEF">
      <w:pPr>
        <w:pStyle w:val="ListParagraph"/>
        <w:numPr>
          <w:ilvl w:val="0"/>
          <w:numId w:val="93"/>
        </w:numPr>
        <w:tabs>
          <w:tab w:val="left" w:pos="709"/>
        </w:tabs>
        <w:ind w:left="0" w:firstLine="0"/>
        <w:jc w:val="both"/>
        <w:rPr>
          <w:spacing w:val="-2"/>
        </w:rPr>
      </w:pPr>
      <w:r w:rsidRPr="00C258AD">
        <w:rPr>
          <w:spacing w:val="-2"/>
        </w:rPr>
        <w:t>La Division de la supervision interne a également contribué à la révision de la Charte de la supervision interne de l’OMPI, qui a été approuvée par l’Assemblée générale de l’OMPI le 30 septembre 2014.  Les modifications suivantes ont été adoptées à cette occasion : i) changement du nom en “Division de la supervision interne”;  ii) application obligatoire des normes internationales et des lignes directrices et normes de l’ONU pour les fonctions d’audit interne, d’évaluation et d’investigation;  iii) participation accrue de l’Organe consultatif indépendant de surveillance (OCIS) à l’élaboration du programme de travail de la DSI;  iv) diffusion publique des rapports internes d’audit et d’évaluation et des rapports de gestion.  L’OMPI était la première institution spécialisée des Nations Unies à adopter ces pratiques, qui sont désormais répandues au sein du Secrétariat et des fonds et programmes de l’ONU.</w:t>
      </w:r>
    </w:p>
    <w:p w:rsidR="006E2BB1" w:rsidRPr="00C258AD" w:rsidRDefault="006E2BB1" w:rsidP="00A43BDE">
      <w:pPr>
        <w:tabs>
          <w:tab w:val="left" w:pos="709"/>
        </w:tabs>
        <w:jc w:val="both"/>
      </w:pPr>
    </w:p>
    <w:p w:rsidR="006E2BB1" w:rsidRPr="00C258AD" w:rsidRDefault="00AD1FA5" w:rsidP="00DF2EEF">
      <w:pPr>
        <w:pStyle w:val="ListParagraph"/>
        <w:numPr>
          <w:ilvl w:val="0"/>
          <w:numId w:val="93"/>
        </w:numPr>
        <w:tabs>
          <w:tab w:val="left" w:pos="709"/>
        </w:tabs>
        <w:ind w:left="0" w:firstLine="0"/>
        <w:jc w:val="both"/>
      </w:pPr>
      <w:r w:rsidRPr="00C258AD">
        <w:t>La Division de la supervision interne a publié 13 rapports d’audit, sept rapports d’évaluation et la validation du rapport final sur l’exécution du programme en 2012</w:t>
      </w:r>
      <w:r w:rsidRPr="00C258AD">
        <w:noBreakHyphen/>
        <w:t>2013 (WO/PBC/22/9), comprenant au total 161 recommandations d’améliorations (74 en 2014 et 87 en 2015).  Le plan de supervision de la DSI a été élaboré en appliquant la méthode d’évaluation des risques mise au point par la DSI et en utilisant les registres des risques au niveau de l’Organisation, compte tenu des entités et processus opérationnels pertinents de l’OMPI et des contributions reçues des États membres, de l’OCIS, de la haute direction et du vérificateur externe des comptes.  Les activités d’audit et d’évaluation ont porté sur divers aspects de l’exécution des programmes et des projets, notamment la gestion axée sur les résultats, la gestion des données, la sûreté et la sécurité, les récompenses et la reconnaissance et la gestion des connaissances, des événements et des actifs au sein de l’Organisation.</w:t>
      </w:r>
    </w:p>
    <w:p w:rsidR="006E2BB1" w:rsidRPr="00C258AD" w:rsidRDefault="006E2BB1" w:rsidP="00A43BDE">
      <w:pPr>
        <w:tabs>
          <w:tab w:val="left" w:pos="709"/>
        </w:tabs>
        <w:jc w:val="both"/>
      </w:pPr>
    </w:p>
    <w:p w:rsidR="006E2BB1" w:rsidRPr="00C258AD" w:rsidRDefault="00AD1FA5" w:rsidP="00DF2EEF">
      <w:pPr>
        <w:pStyle w:val="ListParagraph"/>
        <w:numPr>
          <w:ilvl w:val="0"/>
          <w:numId w:val="93"/>
        </w:numPr>
        <w:tabs>
          <w:tab w:val="left" w:pos="709"/>
        </w:tabs>
        <w:ind w:left="0" w:firstLine="0"/>
        <w:jc w:val="both"/>
      </w:pPr>
      <w:r w:rsidRPr="00C258AD">
        <w:t>La Division de la supervision interne a ouvert 53 dossiers d’enquête et en a clôturé 43 au cours de l’exercice biennal 2014</w:t>
      </w:r>
      <w:r w:rsidRPr="00C258AD">
        <w:noBreakHyphen/>
        <w:t>2015.  En moyenne, toutes les procédures ont été menées à bien dans les délais fixés par la Politique de l’OMPI en matière d’enquêtes.  Plus de 50% de ces dossiers se rapportaient à des cas de harcèlement, de déclarations ou d’activités incompatibles avec les obligations incombant aux fonctionnaires internationaux ou de fraude aux prestations et avantages.</w:t>
      </w:r>
    </w:p>
    <w:p w:rsidR="006E2BB1" w:rsidRPr="00C258AD" w:rsidRDefault="006E2BB1" w:rsidP="00A43BDE"/>
    <w:p w:rsidR="006E2BB1" w:rsidRPr="00C258AD" w:rsidRDefault="00AD1FA5" w:rsidP="00DF2EEF">
      <w:pPr>
        <w:pStyle w:val="ListParagraph"/>
        <w:numPr>
          <w:ilvl w:val="0"/>
          <w:numId w:val="93"/>
        </w:numPr>
        <w:tabs>
          <w:tab w:val="left" w:pos="709"/>
        </w:tabs>
        <w:ind w:left="0" w:firstLine="0"/>
        <w:jc w:val="both"/>
      </w:pPr>
      <w:r w:rsidRPr="00C258AD">
        <w:t>Un séminaire de l’OMPI sur l’évaluation a été organisé en 2015 en vue de bâtir et de consolider une culture d’apprentissage et un fort engagement à l’égard de la responsabilisation tout en contribuant à l’amélioration des méthodes et activités organisationnelles.  D’une manière générale, il a été bien accueilli par les participants.</w:t>
      </w:r>
    </w:p>
    <w:p w:rsidR="006E2BB1" w:rsidRPr="00C258AD" w:rsidRDefault="006E2BB1" w:rsidP="00A43BDE">
      <w:pPr>
        <w:tabs>
          <w:tab w:val="left" w:pos="709"/>
        </w:tabs>
        <w:jc w:val="both"/>
      </w:pPr>
    </w:p>
    <w:p w:rsidR="006E2BB1" w:rsidRPr="00C258AD" w:rsidRDefault="00AD1FA5" w:rsidP="00DF2EEF">
      <w:pPr>
        <w:pStyle w:val="ListParagraph"/>
        <w:numPr>
          <w:ilvl w:val="0"/>
          <w:numId w:val="93"/>
        </w:numPr>
        <w:tabs>
          <w:tab w:val="left" w:pos="709"/>
        </w:tabs>
        <w:ind w:left="0" w:firstLine="0"/>
        <w:jc w:val="both"/>
      </w:pPr>
      <w:r w:rsidRPr="00C258AD">
        <w:t>Afin de mieux saisir les attentes des collègues et de recueillir leur avis sur les activités de supervision, la DSI a continué d’utiliser les enquêtes de satisfaction lancées initialement en 2013.  Ces enquêtes, qui font apparaître un taux de satisfaction moyen de 84%, lui ont permis de mieux cerner les attentes des parties prenantes et les domaines à améliorer pour accroître la qualité de ses travaux.</w:t>
      </w:r>
    </w:p>
    <w:p w:rsidR="006E2BB1" w:rsidRPr="00C258AD" w:rsidRDefault="006E2BB1" w:rsidP="00A43BDE">
      <w:pPr>
        <w:tabs>
          <w:tab w:val="left" w:pos="709"/>
        </w:tabs>
        <w:jc w:val="both"/>
      </w:pPr>
    </w:p>
    <w:p w:rsidR="006E2BB1" w:rsidRPr="00C258AD" w:rsidRDefault="00AD1FA5" w:rsidP="00DF2EEF">
      <w:pPr>
        <w:pStyle w:val="ListParagraph"/>
        <w:numPr>
          <w:ilvl w:val="0"/>
          <w:numId w:val="93"/>
        </w:numPr>
        <w:tabs>
          <w:tab w:val="left" w:pos="709"/>
        </w:tabs>
        <w:ind w:left="0" w:firstLine="0"/>
        <w:jc w:val="both"/>
      </w:pPr>
      <w:r w:rsidRPr="00C258AD">
        <w:t>Au cours de l’exercice biennal, la Division de la supervision interne a poursuivi ses activités de communication à l’intention du personnel, de la direction et des États membres au moyen de plusieurs exposés et de quatre bulletins d’information.  Elle a également organisé la réunion annuelle des chefs des services d’audit interne des organisations internationales ayant leur siège en Europe.</w:t>
      </w:r>
    </w:p>
    <w:p w:rsidR="006E2BB1" w:rsidRPr="00C258AD" w:rsidRDefault="006E2BB1" w:rsidP="00A43BDE">
      <w:pPr>
        <w:tabs>
          <w:tab w:val="left" w:pos="709"/>
        </w:tabs>
        <w:jc w:val="both"/>
      </w:pPr>
    </w:p>
    <w:p w:rsidR="006E2BB1" w:rsidRPr="00C258AD" w:rsidRDefault="00AD1FA5" w:rsidP="00DF2EEF">
      <w:pPr>
        <w:pStyle w:val="ListParagraph"/>
        <w:numPr>
          <w:ilvl w:val="0"/>
          <w:numId w:val="93"/>
        </w:numPr>
        <w:tabs>
          <w:tab w:val="left" w:pos="709"/>
        </w:tabs>
        <w:ind w:left="0" w:firstLine="0"/>
        <w:jc w:val="both"/>
      </w:pPr>
      <w:r w:rsidRPr="00C258AD">
        <w:lastRenderedPageBreak/>
        <w:t>La DSI a assuré le suivi des recommandations en matière de supervision des années précédentes afin de veiller à leur application effective par la direction, confirmant que 186 recommandations de supervision au total avaient été clôturées (94 en 2014 et 92 en 2015)</w:t>
      </w:r>
      <w:r w:rsidRPr="00C258AD">
        <w:rPr>
          <w:rStyle w:val="FootnoteReference"/>
          <w:rFonts w:eastAsia="SimSun"/>
        </w:rPr>
        <w:footnoteReference w:id="145"/>
      </w:r>
      <w:r w:rsidRPr="00C258AD">
        <w:t>.  Elle a continué de fournir à la direction de l’OMPI des avis spécialisés et des retours d’information sur les questions de gouvernance, de gestion des risques et de contrôle interne, ainsi que sur d’autres questions comme la rédaction ou la révision des politiques, des ordres de service ou des lignes directrices et la préparation des vérifications externes.</w:t>
      </w:r>
    </w:p>
    <w:p w:rsidR="006E2BB1" w:rsidRPr="00C258AD" w:rsidRDefault="006E2BB1" w:rsidP="00A43BDE">
      <w:pPr>
        <w:tabs>
          <w:tab w:val="left" w:pos="709"/>
        </w:tabs>
        <w:jc w:val="both"/>
      </w:pPr>
    </w:p>
    <w:p w:rsidR="006E2BB1" w:rsidRPr="00C258AD" w:rsidRDefault="00AD1FA5" w:rsidP="00DF2EEF">
      <w:pPr>
        <w:pStyle w:val="ListParagraph"/>
        <w:numPr>
          <w:ilvl w:val="0"/>
          <w:numId w:val="93"/>
        </w:numPr>
        <w:tabs>
          <w:tab w:val="left" w:pos="709"/>
        </w:tabs>
        <w:ind w:left="0" w:firstLine="0"/>
        <w:jc w:val="both"/>
        <w:rPr>
          <w:sz w:val="22"/>
        </w:rPr>
      </w:pPr>
      <w:r w:rsidRPr="00C258AD">
        <w:t>L’activité de la Division de la supervision interne a continué d’être étroitement supervisée par l’OCIS.  La DSI a ainsi pu bénéficier des conseils de l’OCIS pour la mise en œuvre de son plan de supervision.</w:t>
      </w:r>
    </w:p>
    <w:p w:rsidR="006E2BB1" w:rsidRPr="00C258AD" w:rsidRDefault="006E2BB1" w:rsidP="00A43BDE"/>
    <w:p w:rsidR="006E2BB1" w:rsidRPr="00C258AD" w:rsidRDefault="006E2BB1" w:rsidP="00A43BDE"/>
    <w:p w:rsidR="006E2BB1" w:rsidRPr="00C258AD" w:rsidRDefault="00AD1FA5" w:rsidP="00305CE5">
      <w:pPr>
        <w:keepNext/>
        <w:rPr>
          <w:rFonts w:cs="Arial"/>
          <w:caps/>
          <w:sz w:val="22"/>
          <w:szCs w:val="22"/>
        </w:rPr>
      </w:pPr>
      <w:r w:rsidRPr="00C258AD">
        <w:rPr>
          <w:rFonts w:cs="Arial"/>
          <w:caps/>
          <w:sz w:val="22"/>
          <w:szCs w:val="22"/>
        </w:rPr>
        <w:t>Données relatives à l’exécution</w:t>
      </w:r>
    </w:p>
    <w:p w:rsidR="00AD1FA5" w:rsidRPr="00C258AD" w:rsidRDefault="00AD1FA5" w:rsidP="00A43BDE">
      <w:pPr>
        <w:keepNext/>
        <w:keepLines/>
        <w:jc w:val="both"/>
      </w:pPr>
    </w:p>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088"/>
        <w:gridCol w:w="2086"/>
        <w:gridCol w:w="1946"/>
        <w:gridCol w:w="2230"/>
        <w:gridCol w:w="1141"/>
      </w:tblGrid>
      <w:tr w:rsidR="00AD1FA5" w:rsidRPr="00C258AD" w:rsidTr="00A43BDE">
        <w:trPr>
          <w:cantSplit/>
        </w:trPr>
        <w:tc>
          <w:tcPr>
            <w:tcW w:w="5000" w:type="pct"/>
            <w:gridSpan w:val="5"/>
            <w:tcBorders>
              <w:top w:val="single" w:sz="4" w:space="0" w:color="auto"/>
              <w:bottom w:val="single" w:sz="4" w:space="0" w:color="auto"/>
            </w:tcBorders>
            <w:shd w:val="clear" w:color="auto" w:fill="C5D9F1"/>
            <w:vAlign w:val="center"/>
          </w:tcPr>
          <w:p w:rsidR="00AD1FA5" w:rsidRPr="00C258AD" w:rsidRDefault="00AD1FA5" w:rsidP="00A43BDE">
            <w:pPr>
              <w:widowControl w:val="0"/>
              <w:rPr>
                <w:bCs/>
                <w:sz w:val="16"/>
                <w:szCs w:val="16"/>
              </w:rPr>
            </w:pPr>
            <w:r w:rsidRPr="00C258AD">
              <w:rPr>
                <w:b/>
                <w:bCs/>
                <w:sz w:val="16"/>
                <w:szCs w:val="16"/>
              </w:rPr>
              <w:t xml:space="preserve">Résultat escompté : </w:t>
            </w:r>
            <w:r w:rsidRPr="00C258AD">
              <w:rPr>
                <w:bCs/>
                <w:sz w:val="16"/>
                <w:szCs w:val="16"/>
              </w:rPr>
              <w:t>IX.8 Renforcement de l’obligation redditionnelle, de l’apprentissage institutionnel, de l’optimisation des ressources financières, de l’administration, du contrôle interne et de la gestion institutionnelle avec le concours d’une supervision indépendante efficace</w:t>
            </w:r>
          </w:p>
        </w:tc>
      </w:tr>
      <w:tr w:rsidR="00AD1FA5" w:rsidRPr="00C258AD" w:rsidTr="00A43BDE">
        <w:trPr>
          <w:cantSplit/>
        </w:trPr>
        <w:tc>
          <w:tcPr>
            <w:tcW w:w="1100" w:type="pct"/>
            <w:tcBorders>
              <w:top w:val="single" w:sz="4" w:space="0" w:color="auto"/>
            </w:tcBorders>
            <w:shd w:val="clear" w:color="auto" w:fill="auto"/>
            <w:vAlign w:val="center"/>
          </w:tcPr>
          <w:p w:rsidR="00AD1FA5" w:rsidRPr="00C258AD" w:rsidRDefault="00AD1FA5" w:rsidP="00A43BDE">
            <w:pPr>
              <w:widowControl w:val="0"/>
              <w:jc w:val="center"/>
              <w:rPr>
                <w:sz w:val="16"/>
                <w:szCs w:val="16"/>
              </w:rPr>
            </w:pPr>
            <w:r w:rsidRPr="00C258AD">
              <w:rPr>
                <w:b/>
                <w:sz w:val="16"/>
                <w:szCs w:val="16"/>
              </w:rPr>
              <w:t>Indicateurs d’exécution</w:t>
            </w:r>
          </w:p>
        </w:tc>
        <w:tc>
          <w:tcPr>
            <w:tcW w:w="1099" w:type="pct"/>
            <w:tcBorders>
              <w:top w:val="single" w:sz="4" w:space="0" w:color="auto"/>
            </w:tcBorders>
            <w:shd w:val="clear" w:color="auto" w:fill="auto"/>
            <w:vAlign w:val="center"/>
          </w:tcPr>
          <w:p w:rsidR="00AD1FA5" w:rsidRPr="00C258AD" w:rsidRDefault="00AD1FA5" w:rsidP="00A43BDE">
            <w:pPr>
              <w:widowControl w:val="0"/>
              <w:jc w:val="center"/>
              <w:rPr>
                <w:b/>
                <w:bCs/>
                <w:sz w:val="16"/>
                <w:szCs w:val="16"/>
              </w:rPr>
            </w:pPr>
            <w:r w:rsidRPr="00C258AD">
              <w:rPr>
                <w:b/>
                <w:bCs/>
                <w:sz w:val="16"/>
                <w:szCs w:val="16"/>
              </w:rPr>
              <w:t>Niveaux de référence</w:t>
            </w:r>
          </w:p>
        </w:tc>
        <w:tc>
          <w:tcPr>
            <w:tcW w:w="1025" w:type="pct"/>
            <w:tcBorders>
              <w:top w:val="single" w:sz="4" w:space="0" w:color="auto"/>
            </w:tcBorders>
            <w:shd w:val="clear" w:color="auto" w:fill="auto"/>
            <w:tcMar>
              <w:top w:w="110" w:type="dxa"/>
            </w:tcMar>
            <w:vAlign w:val="center"/>
          </w:tcPr>
          <w:p w:rsidR="00AD1FA5" w:rsidRPr="00C258AD" w:rsidRDefault="00AD1FA5" w:rsidP="00A43BDE">
            <w:pPr>
              <w:widowControl w:val="0"/>
              <w:jc w:val="center"/>
              <w:rPr>
                <w:b/>
                <w:sz w:val="16"/>
                <w:szCs w:val="16"/>
              </w:rPr>
            </w:pPr>
            <w:r w:rsidRPr="00C258AD">
              <w:rPr>
                <w:b/>
                <w:sz w:val="16"/>
                <w:szCs w:val="16"/>
              </w:rPr>
              <w:t>Objectifs visés</w:t>
            </w:r>
          </w:p>
        </w:tc>
        <w:tc>
          <w:tcPr>
            <w:tcW w:w="1175" w:type="pct"/>
            <w:tcBorders>
              <w:top w:val="single" w:sz="4" w:space="0" w:color="auto"/>
            </w:tcBorders>
            <w:shd w:val="clear" w:color="auto" w:fill="FFFFFF"/>
            <w:tcMar>
              <w:top w:w="110" w:type="dxa"/>
            </w:tcMar>
            <w:vAlign w:val="center"/>
          </w:tcPr>
          <w:p w:rsidR="00AD1FA5" w:rsidRPr="00C258AD" w:rsidRDefault="00AD1FA5" w:rsidP="00A43BDE">
            <w:pPr>
              <w:widowControl w:val="0"/>
              <w:jc w:val="center"/>
              <w:rPr>
                <w:sz w:val="16"/>
                <w:szCs w:val="16"/>
              </w:rPr>
            </w:pPr>
            <w:r w:rsidRPr="00C258AD">
              <w:rPr>
                <w:b/>
                <w:sz w:val="16"/>
                <w:szCs w:val="16"/>
              </w:rPr>
              <w:t>Données relatives à l’exécution</w:t>
            </w:r>
          </w:p>
        </w:tc>
        <w:tc>
          <w:tcPr>
            <w:tcW w:w="601" w:type="pct"/>
            <w:tcBorders>
              <w:top w:val="single" w:sz="4" w:space="0" w:color="auto"/>
            </w:tcBorders>
            <w:shd w:val="clear" w:color="auto" w:fill="auto"/>
            <w:tcMar>
              <w:top w:w="110" w:type="dxa"/>
            </w:tcMar>
            <w:vAlign w:val="center"/>
          </w:tcPr>
          <w:p w:rsidR="00AD1FA5" w:rsidRPr="00C258AD" w:rsidRDefault="00AD1FA5" w:rsidP="00A43BDE">
            <w:pPr>
              <w:widowControl w:val="0"/>
              <w:jc w:val="center"/>
              <w:rPr>
                <w:b/>
                <w:bCs/>
                <w:sz w:val="16"/>
                <w:szCs w:val="16"/>
              </w:rPr>
            </w:pPr>
            <w:r w:rsidRPr="00C258AD">
              <w:rPr>
                <w:b/>
                <w:bCs/>
                <w:sz w:val="16"/>
                <w:szCs w:val="16"/>
              </w:rPr>
              <w:t>Code de couleurs</w:t>
            </w:r>
          </w:p>
        </w:tc>
      </w:tr>
      <w:tr w:rsidR="00AD1FA5" w:rsidRPr="00C258AD" w:rsidTr="00A43BDE">
        <w:trPr>
          <w:cantSplit/>
        </w:trPr>
        <w:tc>
          <w:tcPr>
            <w:tcW w:w="1100" w:type="pct"/>
            <w:shd w:val="clear" w:color="auto" w:fill="auto"/>
          </w:tcPr>
          <w:p w:rsidR="00AD1FA5" w:rsidRPr="00C258AD" w:rsidRDefault="00AD1FA5" w:rsidP="00A43BDE">
            <w:pPr>
              <w:widowControl w:val="0"/>
              <w:rPr>
                <w:sz w:val="16"/>
                <w:szCs w:val="16"/>
                <w:lang w:bidi="th-TH"/>
              </w:rPr>
            </w:pPr>
            <w:r w:rsidRPr="00C258AD">
              <w:rPr>
                <w:sz w:val="16"/>
                <w:szCs w:val="16"/>
                <w:lang w:bidi="th-TH"/>
              </w:rPr>
              <w:t>Non</w:t>
            </w:r>
            <w:r w:rsidRPr="00C258AD">
              <w:rPr>
                <w:sz w:val="16"/>
                <w:szCs w:val="16"/>
                <w:lang w:bidi="th-TH"/>
              </w:rPr>
              <w:noBreakHyphen/>
              <w:t>ingérence et indépendance perçue par les principales parties prenantes</w:t>
            </w:r>
          </w:p>
        </w:tc>
        <w:tc>
          <w:tcPr>
            <w:tcW w:w="1099" w:type="pct"/>
            <w:shd w:val="clear" w:color="auto" w:fill="auto"/>
          </w:tcPr>
          <w:p w:rsidR="006E2BB1" w:rsidRPr="00C258AD" w:rsidRDefault="00AD1FA5" w:rsidP="00A43BDE">
            <w:pPr>
              <w:widowControl w:val="0"/>
              <w:rPr>
                <w:i/>
                <w:sz w:val="16"/>
                <w:szCs w:val="16"/>
              </w:rPr>
            </w:pPr>
            <w:r w:rsidRPr="00C258AD">
              <w:rPr>
                <w:i/>
                <w:color w:val="002060"/>
                <w:sz w:val="16"/>
                <w:szCs w:val="16"/>
              </w:rPr>
              <w:t>Niveau de référence actualisé à fin 2013</w:t>
            </w:r>
            <w:r w:rsidRPr="00C258AD">
              <w:rPr>
                <w:color w:val="002060"/>
                <w:sz w:val="16"/>
                <w:szCs w:val="16"/>
              </w:rPr>
              <w:t> </w:t>
            </w:r>
            <w:r w:rsidRPr="00C258AD">
              <w:rPr>
                <w:i/>
                <w:color w:val="002060"/>
                <w:sz w:val="16"/>
              </w:rPr>
              <w:t>:</w:t>
            </w:r>
            <w:r w:rsidRPr="00C258AD">
              <w:rPr>
                <w:color w:val="002060"/>
                <w:sz w:val="16"/>
                <w:szCs w:val="16"/>
              </w:rPr>
              <w:t xml:space="preserve"> aucune ingérence dans les travaux de la DSI</w:t>
            </w:r>
          </w:p>
          <w:p w:rsidR="006E2BB1" w:rsidRPr="00C258AD" w:rsidRDefault="006E2BB1" w:rsidP="00A43BDE">
            <w:pPr>
              <w:widowControl w:val="0"/>
              <w:rPr>
                <w:i/>
                <w:sz w:val="16"/>
                <w:szCs w:val="16"/>
              </w:rPr>
            </w:pPr>
          </w:p>
          <w:p w:rsidR="00AD1FA5" w:rsidRPr="00C258AD" w:rsidRDefault="00AD1FA5" w:rsidP="00A43BDE">
            <w:pPr>
              <w:widowControl w:val="0"/>
              <w:rPr>
                <w:sz w:val="16"/>
                <w:szCs w:val="16"/>
                <w:lang w:bidi="th-TH"/>
              </w:rPr>
            </w:pPr>
            <w:r w:rsidRPr="00C258AD">
              <w:rPr>
                <w:i/>
                <w:sz w:val="16"/>
                <w:szCs w:val="16"/>
                <w:lang w:bidi="th-TH"/>
              </w:rPr>
              <w:t>Niveau de référence initial dans le programme et budget 2014</w:t>
            </w:r>
            <w:r w:rsidRPr="00C258AD">
              <w:rPr>
                <w:i/>
                <w:sz w:val="16"/>
                <w:szCs w:val="16"/>
                <w:lang w:bidi="th-TH"/>
              </w:rPr>
              <w:noBreakHyphen/>
              <w:t>2015</w:t>
            </w:r>
            <w:r w:rsidRPr="00C258AD">
              <w:rPr>
                <w:sz w:val="16"/>
                <w:szCs w:val="16"/>
                <w:lang w:bidi="th-TH"/>
              </w:rPr>
              <w:t> </w:t>
            </w:r>
            <w:proofErr w:type="gramStart"/>
            <w:r w:rsidRPr="00C258AD">
              <w:rPr>
                <w:i/>
                <w:sz w:val="16"/>
              </w:rPr>
              <w:t>:</w:t>
            </w:r>
            <w:proofErr w:type="gramEnd"/>
            <w:r w:rsidRPr="00C258AD">
              <w:rPr>
                <w:sz w:val="16"/>
                <w:szCs w:val="16"/>
                <w:lang w:bidi="th-TH"/>
              </w:rPr>
              <w:br/>
              <w:t>aucune ingérence dans les travaux de la DSI</w:t>
            </w:r>
          </w:p>
        </w:tc>
        <w:tc>
          <w:tcPr>
            <w:tcW w:w="1025" w:type="pct"/>
            <w:shd w:val="clear" w:color="auto" w:fill="auto"/>
            <w:tcMar>
              <w:top w:w="110" w:type="dxa"/>
            </w:tcMar>
          </w:tcPr>
          <w:p w:rsidR="00AD1FA5" w:rsidRPr="00C258AD" w:rsidRDefault="00AD1FA5" w:rsidP="00A43BDE">
            <w:pPr>
              <w:widowControl w:val="0"/>
              <w:rPr>
                <w:sz w:val="16"/>
                <w:szCs w:val="16"/>
                <w:lang w:bidi="th-TH"/>
              </w:rPr>
            </w:pPr>
            <w:r w:rsidRPr="00C258AD">
              <w:rPr>
                <w:sz w:val="16"/>
                <w:szCs w:val="16"/>
                <w:lang w:bidi="th-TH"/>
              </w:rPr>
              <w:t>Indépendance totale et indépendance perçue par les principales parties prenantes (clients/OCIS/États membres)</w:t>
            </w:r>
          </w:p>
        </w:tc>
        <w:tc>
          <w:tcPr>
            <w:tcW w:w="1175" w:type="pct"/>
            <w:shd w:val="clear" w:color="auto" w:fill="FFFFFF"/>
            <w:tcMar>
              <w:top w:w="110" w:type="dxa"/>
            </w:tcMar>
          </w:tcPr>
          <w:p w:rsidR="006E2BB1" w:rsidRPr="00C258AD" w:rsidRDefault="00AD1FA5" w:rsidP="00A43BDE">
            <w:pPr>
              <w:widowControl w:val="0"/>
              <w:rPr>
                <w:sz w:val="16"/>
                <w:szCs w:val="16"/>
                <w:lang w:bidi="th-TH"/>
              </w:rPr>
            </w:pPr>
            <w:r w:rsidRPr="00C258AD">
              <w:rPr>
                <w:sz w:val="16"/>
                <w:szCs w:val="16"/>
                <w:lang w:bidi="th-TH"/>
              </w:rPr>
              <w:t>Aucune ingérence dans les travaux de la DSI, ainsi qu’il ressort des rapports annuels publiés sous les cotes WO/PBC/22/4 et WO/PBC/24/6.</w:t>
            </w:r>
          </w:p>
          <w:p w:rsidR="006E2BB1" w:rsidRPr="00C258AD" w:rsidRDefault="006E2BB1" w:rsidP="00A43BDE">
            <w:pPr>
              <w:widowControl w:val="0"/>
              <w:rPr>
                <w:sz w:val="16"/>
                <w:szCs w:val="16"/>
                <w:lang w:bidi="th-TH"/>
              </w:rPr>
            </w:pPr>
          </w:p>
          <w:p w:rsidR="006E2BB1" w:rsidRPr="00C258AD" w:rsidRDefault="00AD1FA5" w:rsidP="00A43BDE">
            <w:pPr>
              <w:rPr>
                <w:sz w:val="16"/>
                <w:szCs w:val="16"/>
                <w:lang w:bidi="th-TH"/>
              </w:rPr>
            </w:pPr>
            <w:r w:rsidRPr="00C258AD">
              <w:rPr>
                <w:sz w:val="16"/>
                <w:szCs w:val="16"/>
                <w:lang w:bidi="th-TH"/>
              </w:rPr>
              <w:t>Le directeur de la DSI s’est entretenu régulièrement avec le Directeur général, l’OCIS et, le cas échéant, les représentants des États membres.</w:t>
            </w:r>
          </w:p>
          <w:p w:rsidR="006E2BB1" w:rsidRPr="00C258AD" w:rsidRDefault="006E2BB1" w:rsidP="00A43BDE">
            <w:pPr>
              <w:widowControl w:val="0"/>
              <w:rPr>
                <w:sz w:val="16"/>
                <w:szCs w:val="16"/>
                <w:lang w:bidi="th-TH"/>
              </w:rPr>
            </w:pPr>
          </w:p>
          <w:p w:rsidR="00AD1FA5" w:rsidRPr="00C258AD" w:rsidRDefault="00AD1FA5" w:rsidP="00A43BDE">
            <w:pPr>
              <w:widowControl w:val="0"/>
              <w:rPr>
                <w:sz w:val="16"/>
                <w:szCs w:val="16"/>
                <w:lang w:bidi="th-TH"/>
              </w:rPr>
            </w:pPr>
            <w:r w:rsidRPr="00C258AD">
              <w:rPr>
                <w:sz w:val="16"/>
                <w:szCs w:val="16"/>
                <w:lang w:bidi="th-TH"/>
              </w:rPr>
              <w:t>Les cas d’atteintes perçues à l’indépendance ont été transmis à l’OCIS, conformément au paragraphe 18 de la charte.</w:t>
            </w:r>
          </w:p>
        </w:tc>
        <w:tc>
          <w:tcPr>
            <w:tcW w:w="601" w:type="pct"/>
            <w:shd w:val="clear" w:color="auto" w:fill="auto"/>
            <w:tcMar>
              <w:top w:w="110" w:type="dxa"/>
            </w:tcMar>
          </w:tcPr>
          <w:p w:rsidR="00AD1FA5" w:rsidRPr="00C258AD" w:rsidRDefault="00AD1FA5" w:rsidP="00A43BDE">
            <w:pPr>
              <w:keepNext/>
              <w:keepLines/>
              <w:jc w:val="center"/>
              <w:rPr>
                <w:b/>
                <w:bCs/>
                <w:sz w:val="16"/>
                <w:szCs w:val="16"/>
              </w:rPr>
            </w:pPr>
            <w:r w:rsidRPr="00C258AD">
              <w:rPr>
                <w:b/>
                <w:bCs/>
                <w:color w:val="00B050"/>
                <w:sz w:val="16"/>
                <w:szCs w:val="16"/>
              </w:rPr>
              <w:t>Objectif pleinement atteint</w:t>
            </w:r>
          </w:p>
        </w:tc>
      </w:tr>
      <w:tr w:rsidR="00AD1FA5" w:rsidRPr="00C258AD" w:rsidTr="00A43BDE">
        <w:trPr>
          <w:cantSplit/>
        </w:trPr>
        <w:tc>
          <w:tcPr>
            <w:tcW w:w="1100" w:type="pct"/>
            <w:shd w:val="clear" w:color="auto" w:fill="auto"/>
          </w:tcPr>
          <w:p w:rsidR="00AD1FA5" w:rsidRPr="00C258AD" w:rsidRDefault="00AD1FA5" w:rsidP="00A43BDE">
            <w:pPr>
              <w:widowControl w:val="0"/>
              <w:rPr>
                <w:sz w:val="16"/>
                <w:szCs w:val="16"/>
                <w:lang w:bidi="th-TH"/>
              </w:rPr>
            </w:pPr>
            <w:r w:rsidRPr="00C258AD">
              <w:rPr>
                <w:sz w:val="16"/>
                <w:szCs w:val="16"/>
                <w:lang w:bidi="th-TH"/>
              </w:rPr>
              <w:t>EFFICACITÉ – Pourcentage des travaux de la DSI qui couvrent des domaines à haut risque ou de la plus haute importance</w:t>
            </w:r>
          </w:p>
        </w:tc>
        <w:tc>
          <w:tcPr>
            <w:tcW w:w="1099" w:type="pct"/>
            <w:shd w:val="clear" w:color="auto" w:fill="auto"/>
          </w:tcPr>
          <w:p w:rsidR="006E2BB1" w:rsidRPr="00C258AD" w:rsidRDefault="00AD1FA5" w:rsidP="00A43BDE">
            <w:pPr>
              <w:widowControl w:val="0"/>
              <w:rPr>
                <w:i/>
                <w:sz w:val="16"/>
                <w:szCs w:val="16"/>
              </w:rPr>
            </w:pPr>
            <w:r w:rsidRPr="00C258AD">
              <w:rPr>
                <w:i/>
                <w:color w:val="002060"/>
                <w:sz w:val="16"/>
                <w:szCs w:val="16"/>
              </w:rPr>
              <w:t>Niveau de référence actualisé à fin 2013</w:t>
            </w:r>
            <w:r w:rsidRPr="00C258AD">
              <w:rPr>
                <w:color w:val="002060"/>
                <w:sz w:val="16"/>
                <w:szCs w:val="16"/>
              </w:rPr>
              <w:t> </w:t>
            </w:r>
            <w:r w:rsidRPr="00C258AD">
              <w:rPr>
                <w:i/>
                <w:color w:val="002060"/>
                <w:sz w:val="16"/>
              </w:rPr>
              <w:t>:</w:t>
            </w:r>
            <w:r w:rsidRPr="00C258AD">
              <w:rPr>
                <w:color w:val="002060"/>
                <w:sz w:val="16"/>
                <w:szCs w:val="16"/>
              </w:rPr>
              <w:t xml:space="preserve"> </w:t>
            </w:r>
            <w:r w:rsidRPr="00C258AD">
              <w:rPr>
                <w:color w:val="002060"/>
                <w:sz w:val="16"/>
                <w:szCs w:val="16"/>
              </w:rPr>
              <w:br/>
            </w:r>
            <w:r w:rsidRPr="00C258AD">
              <w:rPr>
                <w:sz w:val="16"/>
                <w:szCs w:val="16"/>
              </w:rPr>
              <w:t>tous les travaux (100%) couvrent des secteurs à haut risque ou de la plus haute importance</w:t>
            </w:r>
          </w:p>
          <w:p w:rsidR="006E2BB1" w:rsidRPr="00C258AD" w:rsidRDefault="006E2BB1" w:rsidP="00A43BDE">
            <w:pPr>
              <w:widowControl w:val="0"/>
              <w:rPr>
                <w:i/>
                <w:sz w:val="16"/>
                <w:szCs w:val="16"/>
              </w:rPr>
            </w:pPr>
          </w:p>
          <w:p w:rsidR="00AD1FA5" w:rsidRPr="00C258AD" w:rsidRDefault="00AD1FA5" w:rsidP="00A43BDE">
            <w:pPr>
              <w:widowControl w:val="0"/>
              <w:rPr>
                <w:sz w:val="16"/>
                <w:szCs w:val="16"/>
                <w:lang w:bidi="th-TH"/>
              </w:rPr>
            </w:pPr>
            <w:r w:rsidRPr="00C258AD">
              <w:rPr>
                <w:i/>
                <w:sz w:val="16"/>
                <w:szCs w:val="16"/>
                <w:lang w:bidi="th-TH"/>
              </w:rPr>
              <w:t>Niveau de référence initial dans le programme et budget 2014</w:t>
            </w:r>
            <w:r w:rsidRPr="00C258AD">
              <w:rPr>
                <w:i/>
                <w:sz w:val="16"/>
                <w:szCs w:val="16"/>
                <w:lang w:bidi="th-TH"/>
              </w:rPr>
              <w:noBreakHyphen/>
              <w:t>2015</w:t>
            </w:r>
            <w:r w:rsidRPr="00C258AD">
              <w:rPr>
                <w:sz w:val="16"/>
                <w:szCs w:val="16"/>
                <w:lang w:bidi="th-TH"/>
              </w:rPr>
              <w:t> </w:t>
            </w:r>
            <w:proofErr w:type="gramStart"/>
            <w:r w:rsidRPr="00C258AD">
              <w:rPr>
                <w:i/>
                <w:sz w:val="16"/>
              </w:rPr>
              <w:t>:</w:t>
            </w:r>
            <w:proofErr w:type="gramEnd"/>
            <w:r w:rsidRPr="00C258AD">
              <w:rPr>
                <w:sz w:val="16"/>
                <w:szCs w:val="16"/>
                <w:lang w:bidi="th-TH"/>
              </w:rPr>
              <w:br/>
              <w:t>tous les travaux (100%) couvrent des secteurs à haut risque ou de la plus haute importance</w:t>
            </w:r>
          </w:p>
        </w:tc>
        <w:tc>
          <w:tcPr>
            <w:tcW w:w="1025" w:type="pct"/>
            <w:shd w:val="clear" w:color="auto" w:fill="auto"/>
            <w:tcMar>
              <w:top w:w="110" w:type="dxa"/>
            </w:tcMar>
          </w:tcPr>
          <w:p w:rsidR="00AD1FA5" w:rsidRPr="00C258AD" w:rsidRDefault="00AD1FA5" w:rsidP="00A43BDE">
            <w:pPr>
              <w:widowControl w:val="0"/>
              <w:rPr>
                <w:sz w:val="16"/>
                <w:szCs w:val="16"/>
                <w:lang w:bidi="th-TH"/>
              </w:rPr>
            </w:pPr>
            <w:r w:rsidRPr="00C258AD">
              <w:rPr>
                <w:sz w:val="16"/>
                <w:szCs w:val="16"/>
                <w:lang w:bidi="th-TH"/>
              </w:rPr>
              <w:t>Tous les travaux (100%) couvrent des secteurs à haut risque ou de la plus haute importance</w:t>
            </w:r>
          </w:p>
        </w:tc>
        <w:tc>
          <w:tcPr>
            <w:tcW w:w="1175" w:type="pct"/>
            <w:shd w:val="clear" w:color="auto" w:fill="FFFFFF"/>
            <w:tcMar>
              <w:top w:w="110" w:type="dxa"/>
            </w:tcMar>
          </w:tcPr>
          <w:p w:rsidR="00AD1FA5" w:rsidRPr="00C258AD" w:rsidRDefault="00AD1FA5" w:rsidP="00A43BDE">
            <w:pPr>
              <w:widowControl w:val="0"/>
              <w:rPr>
                <w:sz w:val="16"/>
                <w:szCs w:val="16"/>
              </w:rPr>
            </w:pPr>
            <w:r w:rsidRPr="00C258AD">
              <w:rPr>
                <w:sz w:val="16"/>
                <w:szCs w:val="16"/>
              </w:rPr>
              <w:t>Tous les travaux (100%) couvrent des secteurs à haut risque ou de la plus haute importance</w:t>
            </w:r>
          </w:p>
        </w:tc>
        <w:tc>
          <w:tcPr>
            <w:tcW w:w="601" w:type="pct"/>
            <w:shd w:val="clear" w:color="auto" w:fill="auto"/>
            <w:tcMar>
              <w:top w:w="110" w:type="dxa"/>
            </w:tcMar>
          </w:tcPr>
          <w:p w:rsidR="00AD1FA5" w:rsidRPr="00C258AD" w:rsidRDefault="00AD1FA5" w:rsidP="00A43BDE">
            <w:pPr>
              <w:keepNext/>
              <w:keepLines/>
              <w:jc w:val="center"/>
              <w:rPr>
                <w:b/>
                <w:bCs/>
                <w:color w:val="00B050"/>
                <w:sz w:val="16"/>
                <w:szCs w:val="16"/>
              </w:rPr>
            </w:pPr>
            <w:r w:rsidRPr="00C258AD">
              <w:rPr>
                <w:b/>
                <w:bCs/>
                <w:color w:val="00B050"/>
                <w:sz w:val="16"/>
                <w:szCs w:val="16"/>
              </w:rPr>
              <w:t>Objectif pleinement atteint</w:t>
            </w:r>
          </w:p>
        </w:tc>
      </w:tr>
      <w:tr w:rsidR="00AD1FA5" w:rsidRPr="00C258AD" w:rsidTr="00A43BDE">
        <w:trPr>
          <w:cantSplit/>
        </w:trPr>
        <w:tc>
          <w:tcPr>
            <w:tcW w:w="1100" w:type="pct"/>
            <w:shd w:val="clear" w:color="auto" w:fill="auto"/>
          </w:tcPr>
          <w:p w:rsidR="006E2BB1" w:rsidRPr="00C258AD" w:rsidRDefault="00AD1FA5" w:rsidP="00A43BDE">
            <w:pPr>
              <w:widowControl w:val="0"/>
              <w:rPr>
                <w:sz w:val="16"/>
                <w:szCs w:val="16"/>
                <w:lang w:bidi="th-TH"/>
              </w:rPr>
            </w:pPr>
            <w:r w:rsidRPr="00C258AD">
              <w:rPr>
                <w:sz w:val="16"/>
                <w:szCs w:val="16"/>
                <w:lang w:bidi="th-TH"/>
              </w:rPr>
              <w:lastRenderedPageBreak/>
              <w:t>EFFICIENCE :</w:t>
            </w:r>
          </w:p>
          <w:p w:rsidR="006E2BB1" w:rsidRPr="00C258AD" w:rsidRDefault="00AD1FA5" w:rsidP="00A43BDE">
            <w:pPr>
              <w:widowControl w:val="0"/>
              <w:tabs>
                <w:tab w:val="left" w:pos="318"/>
              </w:tabs>
              <w:rPr>
                <w:sz w:val="16"/>
                <w:szCs w:val="16"/>
                <w:lang w:bidi="th-TH"/>
              </w:rPr>
            </w:pPr>
            <w:r w:rsidRPr="00C258AD">
              <w:rPr>
                <w:sz w:val="16"/>
                <w:szCs w:val="16"/>
                <w:lang w:bidi="th-TH"/>
              </w:rPr>
              <w:t>a)</w:t>
            </w:r>
            <w:r w:rsidRPr="00C258AD">
              <w:rPr>
                <w:sz w:val="16"/>
                <w:szCs w:val="16"/>
                <w:lang w:bidi="th-TH"/>
              </w:rPr>
              <w:tab/>
              <w:t>achèvement des rapports de supervision dans les délais impartis et conformément aux normes de qualité;</w:t>
            </w:r>
          </w:p>
          <w:p w:rsidR="006E2BB1" w:rsidRPr="00C258AD" w:rsidRDefault="00AD1FA5" w:rsidP="00A43BDE">
            <w:pPr>
              <w:widowControl w:val="0"/>
              <w:tabs>
                <w:tab w:val="left" w:pos="318"/>
              </w:tabs>
              <w:rPr>
                <w:sz w:val="16"/>
                <w:szCs w:val="16"/>
                <w:lang w:bidi="th-TH"/>
              </w:rPr>
            </w:pPr>
            <w:r w:rsidRPr="00C258AD">
              <w:rPr>
                <w:sz w:val="16"/>
                <w:szCs w:val="16"/>
                <w:lang w:bidi="th-TH"/>
              </w:rPr>
              <w:t>b)</w:t>
            </w:r>
            <w:r w:rsidRPr="00C258AD">
              <w:rPr>
                <w:sz w:val="16"/>
                <w:szCs w:val="16"/>
                <w:lang w:bidi="th-TH"/>
              </w:rPr>
              <w:tab/>
              <w:t>nombre d’audits et d’évaluations terminés conformément au plan de supervision;</w:t>
            </w:r>
          </w:p>
          <w:p w:rsidR="00AD1FA5" w:rsidRPr="00C258AD" w:rsidRDefault="00AD1FA5" w:rsidP="00A43BDE">
            <w:pPr>
              <w:widowControl w:val="0"/>
              <w:tabs>
                <w:tab w:val="left" w:pos="318"/>
              </w:tabs>
              <w:rPr>
                <w:sz w:val="16"/>
                <w:szCs w:val="16"/>
                <w:lang w:bidi="th-TH"/>
              </w:rPr>
            </w:pPr>
            <w:r w:rsidRPr="00C258AD">
              <w:rPr>
                <w:sz w:val="16"/>
                <w:szCs w:val="16"/>
                <w:lang w:bidi="th-TH"/>
              </w:rPr>
              <w:t>c)</w:t>
            </w:r>
            <w:r w:rsidRPr="00C258AD">
              <w:rPr>
                <w:sz w:val="16"/>
                <w:szCs w:val="16"/>
                <w:lang w:bidi="th-TH"/>
              </w:rPr>
              <w:tab/>
              <w:t>nombre de plaintes ou rapports pour faute professionnelle possible traités</w:t>
            </w:r>
          </w:p>
        </w:tc>
        <w:tc>
          <w:tcPr>
            <w:tcW w:w="1099" w:type="pct"/>
            <w:shd w:val="clear" w:color="auto" w:fill="auto"/>
          </w:tcPr>
          <w:p w:rsidR="006E2BB1" w:rsidRPr="00C258AD" w:rsidRDefault="00AD1FA5" w:rsidP="00A43BDE">
            <w:pPr>
              <w:widowControl w:val="0"/>
              <w:tabs>
                <w:tab w:val="left" w:pos="279"/>
              </w:tabs>
              <w:rPr>
                <w:color w:val="002060"/>
                <w:sz w:val="16"/>
                <w:szCs w:val="16"/>
              </w:rPr>
            </w:pPr>
            <w:r w:rsidRPr="00C258AD">
              <w:rPr>
                <w:i/>
                <w:color w:val="002060"/>
                <w:sz w:val="16"/>
                <w:szCs w:val="16"/>
              </w:rPr>
              <w:t>Niveau de référence actualisé à fin 2013 </w:t>
            </w:r>
            <w:r w:rsidRPr="00C258AD">
              <w:rPr>
                <w:i/>
                <w:color w:val="002060"/>
                <w:sz w:val="16"/>
              </w:rPr>
              <w:t>:</w:t>
            </w:r>
            <w:r w:rsidRPr="00C258AD">
              <w:rPr>
                <w:color w:val="002060"/>
                <w:sz w:val="16"/>
                <w:szCs w:val="16"/>
              </w:rPr>
              <w:t xml:space="preserve"> </w:t>
            </w:r>
            <w:r w:rsidRPr="00C258AD">
              <w:rPr>
                <w:color w:val="002060"/>
                <w:sz w:val="16"/>
                <w:szCs w:val="16"/>
              </w:rPr>
              <w:br/>
              <w:t>a)</w:t>
            </w:r>
            <w:r w:rsidRPr="00C258AD">
              <w:rPr>
                <w:color w:val="002060"/>
                <w:sz w:val="16"/>
                <w:szCs w:val="16"/>
              </w:rPr>
              <w:tab/>
              <w:t>délai moyen de 3 mois pour la clôture des enquêtes;</w:t>
            </w:r>
          </w:p>
          <w:p w:rsidR="006E2BB1" w:rsidRPr="00C258AD" w:rsidRDefault="006E2BB1" w:rsidP="00A43BDE">
            <w:pPr>
              <w:widowControl w:val="0"/>
              <w:tabs>
                <w:tab w:val="left" w:pos="279"/>
              </w:tabs>
              <w:rPr>
                <w:color w:val="002060"/>
                <w:sz w:val="16"/>
                <w:szCs w:val="16"/>
              </w:rPr>
            </w:pPr>
          </w:p>
          <w:p w:rsidR="006E2BB1" w:rsidRPr="00C258AD" w:rsidRDefault="00AD1FA5" w:rsidP="00A43BDE">
            <w:pPr>
              <w:widowControl w:val="0"/>
              <w:tabs>
                <w:tab w:val="left" w:pos="279"/>
              </w:tabs>
              <w:rPr>
                <w:color w:val="002060"/>
                <w:sz w:val="16"/>
                <w:szCs w:val="16"/>
              </w:rPr>
            </w:pPr>
            <w:r w:rsidRPr="00C258AD">
              <w:rPr>
                <w:color w:val="002060"/>
                <w:sz w:val="16"/>
                <w:szCs w:val="16"/>
              </w:rPr>
              <w:t>b)</w:t>
            </w:r>
            <w:r w:rsidRPr="00C258AD">
              <w:rPr>
                <w:color w:val="002060"/>
                <w:sz w:val="16"/>
                <w:szCs w:val="16"/>
              </w:rPr>
              <w:tab/>
              <w:t>7 audits et 2 évaluations;</w:t>
            </w:r>
          </w:p>
          <w:p w:rsidR="006E2BB1" w:rsidRPr="00C258AD" w:rsidRDefault="006E2BB1" w:rsidP="00A43BDE">
            <w:pPr>
              <w:widowControl w:val="0"/>
              <w:tabs>
                <w:tab w:val="left" w:pos="279"/>
              </w:tabs>
              <w:rPr>
                <w:color w:val="002060"/>
                <w:sz w:val="16"/>
                <w:szCs w:val="16"/>
              </w:rPr>
            </w:pPr>
          </w:p>
          <w:p w:rsidR="006E2BB1" w:rsidRPr="00C258AD" w:rsidRDefault="00AD1FA5" w:rsidP="00A43BDE">
            <w:pPr>
              <w:widowControl w:val="0"/>
              <w:tabs>
                <w:tab w:val="left" w:pos="279"/>
              </w:tabs>
              <w:rPr>
                <w:color w:val="002060"/>
                <w:sz w:val="16"/>
                <w:szCs w:val="16"/>
              </w:rPr>
            </w:pPr>
            <w:r w:rsidRPr="00C258AD">
              <w:rPr>
                <w:color w:val="002060"/>
                <w:sz w:val="16"/>
                <w:szCs w:val="16"/>
              </w:rPr>
              <w:t>c)</w:t>
            </w:r>
            <w:r w:rsidRPr="00C258AD">
              <w:rPr>
                <w:color w:val="002060"/>
                <w:sz w:val="16"/>
                <w:szCs w:val="16"/>
              </w:rPr>
              <w:tab/>
              <w:t>19 enquêtes;</w:t>
            </w:r>
          </w:p>
          <w:p w:rsidR="006E2BB1" w:rsidRPr="00C258AD" w:rsidRDefault="006E2BB1" w:rsidP="00A43BDE">
            <w:pPr>
              <w:widowControl w:val="0"/>
              <w:tabs>
                <w:tab w:val="left" w:pos="279"/>
              </w:tabs>
              <w:rPr>
                <w:color w:val="002060"/>
                <w:sz w:val="16"/>
                <w:szCs w:val="16"/>
              </w:rPr>
            </w:pPr>
          </w:p>
          <w:p w:rsidR="006E2BB1" w:rsidRPr="00C258AD" w:rsidRDefault="00AD1FA5" w:rsidP="00A43BDE">
            <w:pPr>
              <w:widowControl w:val="0"/>
              <w:tabs>
                <w:tab w:val="left" w:pos="279"/>
              </w:tabs>
              <w:rPr>
                <w:color w:val="002060"/>
                <w:sz w:val="16"/>
                <w:szCs w:val="16"/>
              </w:rPr>
            </w:pPr>
            <w:r w:rsidRPr="00C258AD">
              <w:rPr>
                <w:color w:val="002060"/>
                <w:sz w:val="16"/>
                <w:szCs w:val="16"/>
              </w:rPr>
              <w:t>d)</w:t>
            </w:r>
            <w:r w:rsidRPr="00C258AD">
              <w:rPr>
                <w:color w:val="002060"/>
                <w:sz w:val="16"/>
                <w:szCs w:val="16"/>
              </w:rPr>
              <w:tab/>
              <w:t>tous les travaux ont été menés conformément aux normes.</w:t>
            </w:r>
          </w:p>
          <w:p w:rsidR="006E2BB1" w:rsidRPr="00C258AD" w:rsidRDefault="006E2BB1" w:rsidP="00A43BDE">
            <w:pPr>
              <w:widowControl w:val="0"/>
              <w:rPr>
                <w:i/>
                <w:color w:val="002060"/>
                <w:sz w:val="16"/>
                <w:szCs w:val="16"/>
              </w:rPr>
            </w:pPr>
          </w:p>
          <w:p w:rsidR="006E2BB1" w:rsidRPr="00C258AD" w:rsidRDefault="00AD1FA5" w:rsidP="00A43BDE">
            <w:pPr>
              <w:widowControl w:val="0"/>
              <w:tabs>
                <w:tab w:val="left" w:pos="289"/>
              </w:tabs>
              <w:rPr>
                <w:sz w:val="16"/>
                <w:szCs w:val="16"/>
                <w:lang w:bidi="th-TH"/>
              </w:rPr>
            </w:pPr>
            <w:r w:rsidRPr="00C258AD">
              <w:rPr>
                <w:i/>
                <w:sz w:val="16"/>
                <w:szCs w:val="16"/>
                <w:lang w:bidi="th-TH"/>
              </w:rPr>
              <w:t>Niveau de référence initial dans le programme et budget 2014</w:t>
            </w:r>
            <w:r w:rsidRPr="00C258AD">
              <w:rPr>
                <w:i/>
                <w:sz w:val="16"/>
                <w:szCs w:val="16"/>
                <w:lang w:bidi="th-TH"/>
              </w:rPr>
              <w:noBreakHyphen/>
              <w:t>2015 </w:t>
            </w:r>
            <w:r w:rsidRPr="00C258AD">
              <w:rPr>
                <w:i/>
                <w:sz w:val="16"/>
              </w:rPr>
              <w:t>:</w:t>
            </w:r>
            <w:r w:rsidRPr="00C258AD">
              <w:rPr>
                <w:sz w:val="16"/>
                <w:szCs w:val="16"/>
                <w:lang w:bidi="th-TH"/>
              </w:rPr>
              <w:br/>
              <w:t>a)</w:t>
            </w:r>
            <w:r w:rsidRPr="00C258AD">
              <w:rPr>
                <w:sz w:val="16"/>
                <w:szCs w:val="16"/>
                <w:lang w:bidi="th-TH"/>
              </w:rPr>
              <w:tab/>
              <w:t>enquêtes, audits ou évaluations réalisés en moyenne en 10 mois et en 5 mois en 2012;</w:t>
            </w:r>
          </w:p>
          <w:p w:rsidR="006E2BB1" w:rsidRPr="00C258AD" w:rsidRDefault="00AD1FA5" w:rsidP="00A43BDE">
            <w:pPr>
              <w:widowControl w:val="0"/>
              <w:tabs>
                <w:tab w:val="left" w:pos="289"/>
              </w:tabs>
              <w:rPr>
                <w:sz w:val="16"/>
                <w:szCs w:val="16"/>
                <w:lang w:bidi="th-TH"/>
              </w:rPr>
            </w:pPr>
            <w:r w:rsidRPr="00C258AD">
              <w:rPr>
                <w:sz w:val="16"/>
                <w:szCs w:val="16"/>
                <w:lang w:bidi="th-TH"/>
              </w:rPr>
              <w:t>b)</w:t>
            </w:r>
            <w:r w:rsidRPr="00C258AD">
              <w:rPr>
                <w:sz w:val="16"/>
                <w:szCs w:val="16"/>
                <w:lang w:bidi="th-TH"/>
              </w:rPr>
              <w:tab/>
              <w:t>3 audits et 5 évaluations menés à bien en 2012;</w:t>
            </w:r>
          </w:p>
          <w:p w:rsidR="006E2BB1" w:rsidRPr="00C258AD" w:rsidRDefault="00AD1FA5" w:rsidP="00A43BDE">
            <w:pPr>
              <w:widowControl w:val="0"/>
              <w:tabs>
                <w:tab w:val="left" w:pos="289"/>
              </w:tabs>
              <w:rPr>
                <w:sz w:val="16"/>
                <w:szCs w:val="16"/>
                <w:lang w:bidi="th-TH"/>
              </w:rPr>
            </w:pPr>
            <w:r w:rsidRPr="00C258AD">
              <w:rPr>
                <w:sz w:val="16"/>
                <w:szCs w:val="16"/>
                <w:lang w:bidi="th-TH"/>
              </w:rPr>
              <w:t>c)</w:t>
            </w:r>
            <w:r w:rsidRPr="00C258AD">
              <w:rPr>
                <w:sz w:val="16"/>
                <w:szCs w:val="16"/>
                <w:lang w:bidi="th-TH"/>
              </w:rPr>
              <w:tab/>
              <w:t>15 enquêtes clôturées en 2011 et 23 en 2012;</w:t>
            </w:r>
          </w:p>
          <w:p w:rsidR="00AD1FA5" w:rsidRPr="00C258AD" w:rsidRDefault="00AD1FA5" w:rsidP="00A43BDE">
            <w:pPr>
              <w:widowControl w:val="0"/>
              <w:tabs>
                <w:tab w:val="left" w:pos="289"/>
              </w:tabs>
              <w:rPr>
                <w:sz w:val="16"/>
                <w:szCs w:val="16"/>
                <w:lang w:bidi="th-TH"/>
              </w:rPr>
            </w:pPr>
            <w:r w:rsidRPr="00C258AD">
              <w:rPr>
                <w:sz w:val="16"/>
                <w:szCs w:val="16"/>
                <w:lang w:bidi="th-TH"/>
              </w:rPr>
              <w:t>d)</w:t>
            </w:r>
            <w:r w:rsidRPr="00C258AD">
              <w:rPr>
                <w:sz w:val="16"/>
                <w:szCs w:val="16"/>
                <w:lang w:bidi="th-TH"/>
              </w:rPr>
              <w:tab/>
              <w:t>tous les travaux de supervision ont été menés conformément aux normes.</w:t>
            </w:r>
          </w:p>
        </w:tc>
        <w:tc>
          <w:tcPr>
            <w:tcW w:w="1025" w:type="pct"/>
            <w:shd w:val="clear" w:color="auto" w:fill="auto"/>
            <w:tcMar>
              <w:top w:w="110" w:type="dxa"/>
            </w:tcMar>
          </w:tcPr>
          <w:p w:rsidR="006E2BB1" w:rsidRPr="00C258AD" w:rsidRDefault="00AD1FA5" w:rsidP="00A43BDE">
            <w:pPr>
              <w:widowControl w:val="0"/>
              <w:tabs>
                <w:tab w:val="left" w:pos="313"/>
              </w:tabs>
              <w:autoSpaceDE w:val="0"/>
              <w:autoSpaceDN w:val="0"/>
              <w:adjustRightInd w:val="0"/>
              <w:rPr>
                <w:sz w:val="16"/>
                <w:szCs w:val="16"/>
              </w:rPr>
            </w:pPr>
            <w:r w:rsidRPr="00C258AD">
              <w:rPr>
                <w:sz w:val="16"/>
                <w:szCs w:val="16"/>
              </w:rPr>
              <w:t>a)</w:t>
            </w:r>
            <w:r w:rsidRPr="00C258AD">
              <w:rPr>
                <w:sz w:val="16"/>
                <w:szCs w:val="16"/>
              </w:rPr>
              <w:tab/>
              <w:t>enquêtes réalisées en 6 mois en moyenne, audits et évaluations en 5 mois;</w:t>
            </w:r>
          </w:p>
          <w:p w:rsidR="006E2BB1" w:rsidRPr="00C258AD" w:rsidRDefault="006E2BB1" w:rsidP="00A43BDE">
            <w:pPr>
              <w:widowControl w:val="0"/>
              <w:tabs>
                <w:tab w:val="left" w:pos="313"/>
              </w:tabs>
              <w:autoSpaceDE w:val="0"/>
              <w:autoSpaceDN w:val="0"/>
              <w:adjustRightInd w:val="0"/>
              <w:rPr>
                <w:sz w:val="16"/>
                <w:szCs w:val="16"/>
              </w:rPr>
            </w:pPr>
          </w:p>
          <w:p w:rsidR="006E2BB1" w:rsidRPr="00C258AD" w:rsidRDefault="00AD1FA5" w:rsidP="00A43BDE">
            <w:pPr>
              <w:widowControl w:val="0"/>
              <w:tabs>
                <w:tab w:val="left" w:pos="313"/>
              </w:tabs>
              <w:autoSpaceDE w:val="0"/>
              <w:autoSpaceDN w:val="0"/>
              <w:adjustRightInd w:val="0"/>
              <w:rPr>
                <w:sz w:val="16"/>
                <w:szCs w:val="16"/>
              </w:rPr>
            </w:pPr>
            <w:r w:rsidRPr="00C258AD">
              <w:rPr>
                <w:sz w:val="16"/>
                <w:szCs w:val="16"/>
              </w:rPr>
              <w:t>b)</w:t>
            </w:r>
            <w:r w:rsidRPr="00C258AD">
              <w:rPr>
                <w:sz w:val="16"/>
                <w:szCs w:val="16"/>
              </w:rPr>
              <w:tab/>
              <w:t>12 audits et 6 évaluations menés à bien;</w:t>
            </w:r>
          </w:p>
          <w:p w:rsidR="006E2BB1" w:rsidRPr="00C258AD" w:rsidRDefault="006E2BB1" w:rsidP="00A43BDE">
            <w:pPr>
              <w:widowControl w:val="0"/>
              <w:tabs>
                <w:tab w:val="left" w:pos="313"/>
              </w:tabs>
              <w:autoSpaceDE w:val="0"/>
              <w:autoSpaceDN w:val="0"/>
              <w:adjustRightInd w:val="0"/>
              <w:rPr>
                <w:sz w:val="16"/>
                <w:szCs w:val="16"/>
              </w:rPr>
            </w:pPr>
          </w:p>
          <w:p w:rsidR="006E2BB1" w:rsidRPr="00C258AD" w:rsidRDefault="00AD1FA5" w:rsidP="00A43BDE">
            <w:pPr>
              <w:widowControl w:val="0"/>
              <w:tabs>
                <w:tab w:val="left" w:pos="313"/>
              </w:tabs>
              <w:autoSpaceDE w:val="0"/>
              <w:autoSpaceDN w:val="0"/>
              <w:adjustRightInd w:val="0"/>
              <w:rPr>
                <w:sz w:val="16"/>
                <w:szCs w:val="16"/>
              </w:rPr>
            </w:pPr>
            <w:r w:rsidRPr="00C258AD">
              <w:rPr>
                <w:sz w:val="16"/>
                <w:szCs w:val="16"/>
              </w:rPr>
              <w:t>c)</w:t>
            </w:r>
            <w:r w:rsidRPr="00C258AD">
              <w:rPr>
                <w:sz w:val="16"/>
                <w:szCs w:val="16"/>
              </w:rPr>
              <w:tab/>
              <w:t>au moins 15 enquêtes clôturées;</w:t>
            </w:r>
          </w:p>
          <w:p w:rsidR="006E2BB1" w:rsidRPr="00C258AD" w:rsidRDefault="006E2BB1" w:rsidP="00A43BDE">
            <w:pPr>
              <w:widowControl w:val="0"/>
              <w:tabs>
                <w:tab w:val="left" w:pos="313"/>
              </w:tabs>
              <w:autoSpaceDE w:val="0"/>
              <w:autoSpaceDN w:val="0"/>
              <w:adjustRightInd w:val="0"/>
              <w:rPr>
                <w:sz w:val="16"/>
                <w:szCs w:val="16"/>
              </w:rPr>
            </w:pPr>
          </w:p>
          <w:p w:rsidR="00AD1FA5" w:rsidRPr="00C258AD" w:rsidRDefault="00AD1FA5" w:rsidP="00A43BDE">
            <w:pPr>
              <w:widowControl w:val="0"/>
              <w:tabs>
                <w:tab w:val="left" w:pos="313"/>
              </w:tabs>
              <w:autoSpaceDE w:val="0"/>
              <w:autoSpaceDN w:val="0"/>
              <w:adjustRightInd w:val="0"/>
              <w:rPr>
                <w:sz w:val="16"/>
                <w:szCs w:val="16"/>
              </w:rPr>
            </w:pPr>
            <w:r w:rsidRPr="00C258AD">
              <w:rPr>
                <w:sz w:val="16"/>
                <w:szCs w:val="16"/>
              </w:rPr>
              <w:t>d)</w:t>
            </w:r>
            <w:r w:rsidRPr="00C258AD">
              <w:rPr>
                <w:sz w:val="16"/>
                <w:szCs w:val="16"/>
              </w:rPr>
              <w:tab/>
              <w:t>respect des normes.</w:t>
            </w:r>
          </w:p>
        </w:tc>
        <w:tc>
          <w:tcPr>
            <w:tcW w:w="1175" w:type="pct"/>
            <w:shd w:val="clear" w:color="auto" w:fill="FFFFFF"/>
            <w:tcMar>
              <w:top w:w="110" w:type="dxa"/>
            </w:tcMar>
          </w:tcPr>
          <w:p w:rsidR="006E2BB1" w:rsidRPr="00C258AD" w:rsidRDefault="00AD1FA5" w:rsidP="00A43BDE">
            <w:pPr>
              <w:widowControl w:val="0"/>
              <w:tabs>
                <w:tab w:val="left" w:pos="277"/>
              </w:tabs>
              <w:rPr>
                <w:sz w:val="16"/>
                <w:szCs w:val="16"/>
                <w:lang w:bidi="th-TH"/>
              </w:rPr>
            </w:pPr>
            <w:r w:rsidRPr="00C258AD">
              <w:rPr>
                <w:sz w:val="16"/>
                <w:szCs w:val="16"/>
                <w:lang w:bidi="th-TH"/>
              </w:rPr>
              <w:t>En 2014</w:t>
            </w:r>
            <w:r w:rsidRPr="00C258AD">
              <w:rPr>
                <w:sz w:val="16"/>
                <w:szCs w:val="16"/>
                <w:lang w:bidi="th-TH"/>
              </w:rPr>
              <w:noBreakHyphen/>
              <w:t>2015 :</w:t>
            </w:r>
          </w:p>
          <w:p w:rsidR="006E2BB1" w:rsidRPr="00C258AD" w:rsidRDefault="006E2BB1" w:rsidP="00A43BDE">
            <w:pPr>
              <w:widowControl w:val="0"/>
              <w:tabs>
                <w:tab w:val="left" w:pos="277"/>
              </w:tabs>
              <w:rPr>
                <w:sz w:val="16"/>
                <w:szCs w:val="16"/>
                <w:lang w:bidi="th-TH"/>
              </w:rPr>
            </w:pPr>
          </w:p>
          <w:p w:rsidR="006E2BB1" w:rsidRPr="00C258AD" w:rsidRDefault="00AD1FA5" w:rsidP="00A43BDE">
            <w:pPr>
              <w:widowControl w:val="0"/>
              <w:tabs>
                <w:tab w:val="left" w:pos="277"/>
              </w:tabs>
              <w:rPr>
                <w:sz w:val="16"/>
                <w:szCs w:val="16"/>
                <w:lang w:bidi="th-TH"/>
              </w:rPr>
            </w:pPr>
            <w:r w:rsidRPr="00C258AD">
              <w:rPr>
                <w:sz w:val="16"/>
                <w:szCs w:val="16"/>
                <w:lang w:bidi="th-TH"/>
              </w:rPr>
              <w:t>a)</w:t>
            </w:r>
            <w:r w:rsidRPr="00C258AD">
              <w:rPr>
                <w:sz w:val="16"/>
                <w:szCs w:val="16"/>
                <w:lang w:bidi="th-TH"/>
              </w:rPr>
              <w:tab/>
              <w:t>les enquêtes ouvertes et clôturées durant la période ont généralement été achevées en moins de 5 mois</w:t>
            </w:r>
          </w:p>
          <w:p w:rsidR="006E2BB1" w:rsidRPr="00C258AD" w:rsidRDefault="006E2BB1" w:rsidP="00A43BDE">
            <w:pPr>
              <w:widowControl w:val="0"/>
              <w:tabs>
                <w:tab w:val="left" w:pos="277"/>
              </w:tabs>
              <w:rPr>
                <w:sz w:val="16"/>
                <w:szCs w:val="16"/>
                <w:lang w:bidi="th-TH"/>
              </w:rPr>
            </w:pPr>
          </w:p>
          <w:p w:rsidR="006E2BB1" w:rsidRPr="00C258AD" w:rsidRDefault="00AD1FA5" w:rsidP="00A43BDE">
            <w:pPr>
              <w:widowControl w:val="0"/>
              <w:tabs>
                <w:tab w:val="left" w:pos="277"/>
              </w:tabs>
              <w:rPr>
                <w:sz w:val="16"/>
                <w:szCs w:val="16"/>
                <w:lang w:bidi="th-TH"/>
              </w:rPr>
            </w:pPr>
            <w:r w:rsidRPr="00C258AD">
              <w:rPr>
                <w:sz w:val="16"/>
                <w:szCs w:val="16"/>
                <w:lang w:bidi="th-TH"/>
              </w:rPr>
              <w:t>b)</w:t>
            </w:r>
            <w:r w:rsidRPr="00C258AD">
              <w:rPr>
                <w:sz w:val="16"/>
                <w:szCs w:val="16"/>
                <w:lang w:bidi="th-TH"/>
              </w:rPr>
              <w:tab/>
              <w:t>13 rapports d’audit, 7 rapports d’évaluation et validation du rapport sur l’exécution du programme en 2012</w:t>
            </w:r>
            <w:r w:rsidRPr="00C258AD">
              <w:rPr>
                <w:sz w:val="16"/>
                <w:szCs w:val="16"/>
                <w:lang w:bidi="th-TH"/>
              </w:rPr>
              <w:noBreakHyphen/>
              <w:t>2013 achevée</w:t>
            </w:r>
          </w:p>
          <w:p w:rsidR="006E2BB1" w:rsidRPr="00C258AD" w:rsidRDefault="006E2BB1" w:rsidP="00A43BDE">
            <w:pPr>
              <w:widowControl w:val="0"/>
              <w:tabs>
                <w:tab w:val="left" w:pos="277"/>
              </w:tabs>
              <w:rPr>
                <w:sz w:val="16"/>
                <w:szCs w:val="16"/>
                <w:lang w:bidi="th-TH"/>
              </w:rPr>
            </w:pPr>
          </w:p>
          <w:p w:rsidR="006E2BB1" w:rsidRPr="00C258AD" w:rsidRDefault="00AD1FA5" w:rsidP="00A43BDE">
            <w:pPr>
              <w:widowControl w:val="0"/>
              <w:tabs>
                <w:tab w:val="left" w:pos="277"/>
              </w:tabs>
              <w:rPr>
                <w:sz w:val="16"/>
                <w:szCs w:val="16"/>
                <w:lang w:bidi="th-TH"/>
              </w:rPr>
            </w:pPr>
            <w:r w:rsidRPr="00C258AD">
              <w:rPr>
                <w:sz w:val="16"/>
                <w:szCs w:val="16"/>
                <w:lang w:bidi="th-TH"/>
              </w:rPr>
              <w:t>c)</w:t>
            </w:r>
            <w:r w:rsidRPr="00C258AD">
              <w:rPr>
                <w:sz w:val="16"/>
                <w:szCs w:val="16"/>
                <w:lang w:bidi="th-TH"/>
              </w:rPr>
              <w:tab/>
              <w:t>43 enquêtes clôturées sur la période</w:t>
            </w:r>
          </w:p>
          <w:p w:rsidR="006E2BB1" w:rsidRPr="00C258AD" w:rsidRDefault="006E2BB1" w:rsidP="00A43BDE">
            <w:pPr>
              <w:widowControl w:val="0"/>
              <w:tabs>
                <w:tab w:val="left" w:pos="277"/>
              </w:tabs>
              <w:rPr>
                <w:sz w:val="16"/>
                <w:szCs w:val="16"/>
                <w:lang w:bidi="th-TH"/>
              </w:rPr>
            </w:pPr>
          </w:p>
          <w:p w:rsidR="006E2BB1" w:rsidRPr="00C258AD" w:rsidRDefault="006E2BB1" w:rsidP="00A43BDE">
            <w:pPr>
              <w:widowControl w:val="0"/>
              <w:tabs>
                <w:tab w:val="left" w:pos="277"/>
              </w:tabs>
              <w:rPr>
                <w:sz w:val="16"/>
                <w:szCs w:val="16"/>
                <w:lang w:bidi="th-TH"/>
              </w:rPr>
            </w:pPr>
          </w:p>
          <w:p w:rsidR="00AD1FA5" w:rsidRPr="00C258AD" w:rsidRDefault="00AD1FA5" w:rsidP="00A43BDE">
            <w:pPr>
              <w:widowControl w:val="0"/>
              <w:tabs>
                <w:tab w:val="left" w:pos="277"/>
              </w:tabs>
              <w:rPr>
                <w:sz w:val="16"/>
                <w:szCs w:val="16"/>
                <w:lang w:bidi="th-TH"/>
              </w:rPr>
            </w:pPr>
            <w:r w:rsidRPr="00C258AD">
              <w:rPr>
                <w:sz w:val="16"/>
                <w:szCs w:val="16"/>
                <w:lang w:bidi="th-TH"/>
              </w:rPr>
              <w:t>d)</w:t>
            </w:r>
            <w:r w:rsidRPr="00C258AD">
              <w:rPr>
                <w:sz w:val="16"/>
                <w:szCs w:val="16"/>
                <w:lang w:bidi="th-TH"/>
              </w:rPr>
              <w:tab/>
              <w:t>conformité générale aux normes confirmée par les rapports d’évaluation externe des trois fonctions</w:t>
            </w:r>
          </w:p>
        </w:tc>
        <w:tc>
          <w:tcPr>
            <w:tcW w:w="601" w:type="pct"/>
            <w:shd w:val="clear" w:color="auto" w:fill="auto"/>
            <w:tcMar>
              <w:top w:w="110" w:type="dxa"/>
            </w:tcMar>
          </w:tcPr>
          <w:p w:rsidR="006E2BB1" w:rsidRPr="00C258AD" w:rsidRDefault="006E2BB1" w:rsidP="00A43BDE">
            <w:pPr>
              <w:widowControl w:val="0"/>
              <w:jc w:val="center"/>
              <w:rPr>
                <w:b/>
                <w:bCs/>
                <w:color w:val="00B050"/>
                <w:sz w:val="16"/>
                <w:szCs w:val="16"/>
              </w:rPr>
            </w:pPr>
          </w:p>
          <w:p w:rsidR="006E2BB1" w:rsidRPr="00C258AD" w:rsidRDefault="006E2BB1" w:rsidP="00A43BDE">
            <w:pPr>
              <w:widowControl w:val="0"/>
              <w:jc w:val="center"/>
              <w:rPr>
                <w:b/>
                <w:bCs/>
                <w:color w:val="00B050"/>
                <w:sz w:val="16"/>
                <w:szCs w:val="16"/>
              </w:rPr>
            </w:pPr>
          </w:p>
          <w:p w:rsidR="006E2BB1" w:rsidRPr="00C258AD" w:rsidRDefault="00AD1FA5" w:rsidP="00A43BDE">
            <w:pPr>
              <w:widowControl w:val="0"/>
              <w:jc w:val="center"/>
              <w:rPr>
                <w:b/>
                <w:bCs/>
                <w:color w:val="00B050"/>
                <w:sz w:val="16"/>
                <w:szCs w:val="16"/>
              </w:rPr>
            </w:pPr>
            <w:r w:rsidRPr="00C258AD">
              <w:rPr>
                <w:b/>
                <w:bCs/>
                <w:color w:val="00B050"/>
                <w:sz w:val="16"/>
                <w:szCs w:val="16"/>
              </w:rPr>
              <w:t>Objectif pleinement atteint</w:t>
            </w:r>
          </w:p>
          <w:p w:rsidR="006E2BB1" w:rsidRPr="00C258AD" w:rsidRDefault="006E2BB1" w:rsidP="00A43BDE">
            <w:pPr>
              <w:widowControl w:val="0"/>
              <w:jc w:val="center"/>
              <w:rPr>
                <w:b/>
                <w:bCs/>
                <w:color w:val="00B050"/>
                <w:sz w:val="16"/>
                <w:szCs w:val="16"/>
              </w:rPr>
            </w:pPr>
          </w:p>
          <w:p w:rsidR="006E2BB1" w:rsidRPr="00C258AD" w:rsidRDefault="006E2BB1" w:rsidP="00A43BDE">
            <w:pPr>
              <w:widowControl w:val="0"/>
              <w:jc w:val="center"/>
              <w:rPr>
                <w:b/>
                <w:bCs/>
                <w:color w:val="00B050"/>
                <w:sz w:val="16"/>
                <w:szCs w:val="16"/>
              </w:rPr>
            </w:pPr>
          </w:p>
          <w:p w:rsidR="006E2BB1" w:rsidRPr="00C258AD" w:rsidRDefault="006E2BB1" w:rsidP="00A43BDE">
            <w:pPr>
              <w:widowControl w:val="0"/>
              <w:jc w:val="center"/>
              <w:rPr>
                <w:b/>
                <w:bCs/>
                <w:color w:val="00B050"/>
                <w:sz w:val="16"/>
                <w:szCs w:val="16"/>
              </w:rPr>
            </w:pPr>
          </w:p>
          <w:p w:rsidR="006E2BB1" w:rsidRPr="00C258AD" w:rsidRDefault="00AD1FA5" w:rsidP="00A43BDE">
            <w:pPr>
              <w:widowControl w:val="0"/>
              <w:jc w:val="center"/>
              <w:rPr>
                <w:b/>
                <w:bCs/>
                <w:color w:val="00B050"/>
                <w:sz w:val="16"/>
                <w:szCs w:val="16"/>
              </w:rPr>
            </w:pPr>
            <w:r w:rsidRPr="00C258AD">
              <w:rPr>
                <w:b/>
                <w:bCs/>
                <w:color w:val="00B050"/>
                <w:sz w:val="16"/>
                <w:szCs w:val="16"/>
              </w:rPr>
              <w:t>Objectif pleinement atteint</w:t>
            </w:r>
          </w:p>
          <w:p w:rsidR="006E2BB1" w:rsidRPr="00C258AD" w:rsidRDefault="006E2BB1" w:rsidP="00A43BDE">
            <w:pPr>
              <w:widowControl w:val="0"/>
              <w:jc w:val="center"/>
              <w:rPr>
                <w:b/>
                <w:bCs/>
                <w:color w:val="00B050"/>
                <w:sz w:val="16"/>
                <w:szCs w:val="16"/>
              </w:rPr>
            </w:pPr>
          </w:p>
          <w:p w:rsidR="006E2BB1" w:rsidRPr="00C258AD" w:rsidRDefault="006E2BB1" w:rsidP="00A43BDE">
            <w:pPr>
              <w:widowControl w:val="0"/>
              <w:jc w:val="center"/>
              <w:rPr>
                <w:b/>
                <w:bCs/>
                <w:color w:val="00B050"/>
                <w:sz w:val="16"/>
                <w:szCs w:val="16"/>
              </w:rPr>
            </w:pPr>
          </w:p>
          <w:p w:rsidR="006E2BB1" w:rsidRPr="00C258AD" w:rsidRDefault="006E2BB1" w:rsidP="00A43BDE">
            <w:pPr>
              <w:widowControl w:val="0"/>
              <w:jc w:val="center"/>
              <w:rPr>
                <w:b/>
                <w:bCs/>
                <w:color w:val="00B050"/>
                <w:sz w:val="16"/>
                <w:szCs w:val="16"/>
              </w:rPr>
            </w:pPr>
          </w:p>
          <w:p w:rsidR="006E2BB1" w:rsidRPr="00C258AD" w:rsidRDefault="00AD1FA5" w:rsidP="00A43BDE">
            <w:pPr>
              <w:widowControl w:val="0"/>
              <w:jc w:val="center"/>
              <w:rPr>
                <w:b/>
                <w:bCs/>
                <w:color w:val="00B050"/>
                <w:sz w:val="16"/>
                <w:szCs w:val="16"/>
              </w:rPr>
            </w:pPr>
            <w:r w:rsidRPr="00C258AD">
              <w:rPr>
                <w:b/>
                <w:bCs/>
                <w:color w:val="00B050"/>
                <w:sz w:val="16"/>
                <w:szCs w:val="16"/>
              </w:rPr>
              <w:t>Objectif pleinement atteint</w:t>
            </w:r>
          </w:p>
          <w:p w:rsidR="006E2BB1" w:rsidRPr="00C258AD" w:rsidRDefault="006E2BB1" w:rsidP="00A43BDE">
            <w:pPr>
              <w:widowControl w:val="0"/>
              <w:jc w:val="center"/>
              <w:rPr>
                <w:b/>
                <w:bCs/>
                <w:color w:val="00B050"/>
                <w:sz w:val="16"/>
                <w:szCs w:val="16"/>
              </w:rPr>
            </w:pPr>
          </w:p>
          <w:p w:rsidR="00AD1FA5" w:rsidRPr="00C258AD" w:rsidRDefault="00AD1FA5" w:rsidP="00A43BDE">
            <w:pPr>
              <w:widowControl w:val="0"/>
              <w:jc w:val="center"/>
              <w:rPr>
                <w:b/>
                <w:bCs/>
                <w:sz w:val="16"/>
                <w:szCs w:val="16"/>
              </w:rPr>
            </w:pPr>
            <w:r w:rsidRPr="00C258AD">
              <w:rPr>
                <w:b/>
                <w:bCs/>
                <w:color w:val="00B050"/>
                <w:sz w:val="16"/>
                <w:szCs w:val="16"/>
              </w:rPr>
              <w:t>Objectif pleinement atteint</w:t>
            </w:r>
          </w:p>
        </w:tc>
      </w:tr>
      <w:tr w:rsidR="00AD1FA5" w:rsidRPr="00C258AD" w:rsidTr="00A43BDE">
        <w:trPr>
          <w:cantSplit/>
        </w:trPr>
        <w:tc>
          <w:tcPr>
            <w:tcW w:w="1100" w:type="pct"/>
            <w:shd w:val="clear" w:color="auto" w:fill="auto"/>
          </w:tcPr>
          <w:p w:rsidR="00AD1FA5" w:rsidRPr="00C258AD" w:rsidRDefault="00AD1FA5" w:rsidP="00A43BDE">
            <w:pPr>
              <w:widowControl w:val="0"/>
              <w:rPr>
                <w:sz w:val="16"/>
                <w:szCs w:val="16"/>
                <w:lang w:bidi="th-TH"/>
              </w:rPr>
            </w:pPr>
            <w:r w:rsidRPr="00C258AD">
              <w:rPr>
                <w:sz w:val="16"/>
                <w:szCs w:val="16"/>
                <w:lang w:bidi="th-TH"/>
              </w:rPr>
              <w:t>PERTINENCE, VALEUR AJOUTÉE ET ADMINISTRATION – Économies ou améliorations tangibles en ce qui concerne les processus et systèmes opérationnels</w:t>
            </w:r>
          </w:p>
        </w:tc>
        <w:tc>
          <w:tcPr>
            <w:tcW w:w="1099" w:type="pct"/>
            <w:shd w:val="clear" w:color="auto" w:fill="auto"/>
          </w:tcPr>
          <w:p w:rsidR="00AD1FA5" w:rsidRPr="00C258AD" w:rsidRDefault="00AD1FA5" w:rsidP="00A43BDE">
            <w:pPr>
              <w:widowControl w:val="0"/>
              <w:rPr>
                <w:sz w:val="16"/>
                <w:szCs w:val="16"/>
              </w:rPr>
            </w:pPr>
            <w:r w:rsidRPr="00C258AD">
              <w:rPr>
                <w:sz w:val="16"/>
                <w:szCs w:val="16"/>
              </w:rPr>
              <w:t>Les recommandations de la DSI ont conduit à la publication d’une dizaine d’ordres de services ou d’avis au personnel concernant des améliorations apportées aux contrôles internes, aux modalités de fonctionnement et aux opérations.</w:t>
            </w:r>
          </w:p>
        </w:tc>
        <w:tc>
          <w:tcPr>
            <w:tcW w:w="1025" w:type="pct"/>
            <w:shd w:val="clear" w:color="auto" w:fill="auto"/>
            <w:tcMar>
              <w:top w:w="110" w:type="dxa"/>
            </w:tcMar>
          </w:tcPr>
          <w:p w:rsidR="00AD1FA5" w:rsidRPr="00C258AD" w:rsidRDefault="00AD1FA5" w:rsidP="00A43BDE">
            <w:pPr>
              <w:widowControl w:val="0"/>
              <w:autoSpaceDE w:val="0"/>
              <w:autoSpaceDN w:val="0"/>
              <w:adjustRightInd w:val="0"/>
              <w:rPr>
                <w:sz w:val="16"/>
                <w:szCs w:val="16"/>
              </w:rPr>
            </w:pPr>
            <w:r w:rsidRPr="00C258AD">
              <w:rPr>
                <w:sz w:val="16"/>
                <w:szCs w:val="16"/>
              </w:rPr>
              <w:t>À déterminer</w:t>
            </w:r>
          </w:p>
        </w:tc>
        <w:tc>
          <w:tcPr>
            <w:tcW w:w="1175" w:type="pct"/>
            <w:shd w:val="clear" w:color="auto" w:fill="FFFFFF"/>
            <w:tcMar>
              <w:top w:w="110" w:type="dxa"/>
            </w:tcMar>
          </w:tcPr>
          <w:p w:rsidR="00AD1FA5" w:rsidRPr="00C258AD" w:rsidRDefault="00AD1FA5" w:rsidP="00A43BDE">
            <w:pPr>
              <w:widowControl w:val="0"/>
              <w:rPr>
                <w:sz w:val="16"/>
                <w:szCs w:val="16"/>
                <w:lang w:bidi="th-TH"/>
              </w:rPr>
            </w:pPr>
            <w:r w:rsidRPr="00C258AD">
              <w:rPr>
                <w:sz w:val="16"/>
                <w:szCs w:val="16"/>
              </w:rPr>
              <w:t>Les recommandations de la DSI ont conduit à la publication d’une dizaine d’ordres de services ou d’avis au personnel concernant des améliorations apportées aux contrôles internes, aux modalités de fonctionnement et aux opérations</w:t>
            </w:r>
          </w:p>
        </w:tc>
        <w:tc>
          <w:tcPr>
            <w:tcW w:w="601" w:type="pct"/>
            <w:shd w:val="clear" w:color="auto" w:fill="auto"/>
            <w:tcMar>
              <w:top w:w="110" w:type="dxa"/>
            </w:tcMar>
          </w:tcPr>
          <w:p w:rsidR="00AD1FA5" w:rsidRPr="00C258AD" w:rsidRDefault="00AD1FA5" w:rsidP="00A43BDE">
            <w:pPr>
              <w:widowControl w:val="0"/>
              <w:jc w:val="center"/>
              <w:rPr>
                <w:b/>
                <w:bCs/>
                <w:sz w:val="16"/>
                <w:szCs w:val="16"/>
              </w:rPr>
            </w:pPr>
            <w:r w:rsidRPr="00C258AD">
              <w:rPr>
                <w:b/>
                <w:bCs/>
                <w:color w:val="808080"/>
                <w:sz w:val="16"/>
                <w:szCs w:val="16"/>
              </w:rPr>
              <w:t>Non évaluable</w:t>
            </w:r>
          </w:p>
        </w:tc>
      </w:tr>
      <w:tr w:rsidR="00AD1FA5" w:rsidRPr="00C258AD" w:rsidTr="00A43BDE">
        <w:trPr>
          <w:cantSplit/>
        </w:trPr>
        <w:tc>
          <w:tcPr>
            <w:tcW w:w="1100" w:type="pct"/>
            <w:shd w:val="clear" w:color="auto" w:fill="auto"/>
          </w:tcPr>
          <w:p w:rsidR="00AD1FA5" w:rsidRPr="00C258AD" w:rsidRDefault="00AD1FA5" w:rsidP="00A43BDE">
            <w:pPr>
              <w:widowControl w:val="0"/>
              <w:rPr>
                <w:sz w:val="16"/>
                <w:szCs w:val="16"/>
                <w:lang w:bidi="th-TH"/>
              </w:rPr>
            </w:pPr>
            <w:r w:rsidRPr="00C258AD">
              <w:rPr>
                <w:sz w:val="16"/>
                <w:szCs w:val="16"/>
                <w:lang w:bidi="th-TH"/>
              </w:rPr>
              <w:t>APPRENTISSAGE INSTITUTIONNEL – Assimilation des enseignements et des recommandations tirés des processus de supervision.</w:t>
            </w:r>
          </w:p>
        </w:tc>
        <w:tc>
          <w:tcPr>
            <w:tcW w:w="1099" w:type="pct"/>
            <w:shd w:val="clear" w:color="auto" w:fill="auto"/>
          </w:tcPr>
          <w:p w:rsidR="006E2BB1" w:rsidRPr="00C258AD" w:rsidRDefault="00AD1FA5" w:rsidP="00A43BDE">
            <w:pPr>
              <w:widowControl w:val="0"/>
              <w:rPr>
                <w:sz w:val="16"/>
                <w:szCs w:val="16"/>
                <w:lang w:bidi="th-TH"/>
              </w:rPr>
            </w:pPr>
            <w:r w:rsidRPr="00C258AD">
              <w:rPr>
                <w:sz w:val="16"/>
                <w:szCs w:val="16"/>
                <w:lang w:bidi="th-TH"/>
              </w:rPr>
              <w:t>90% des recommandations acceptées</w:t>
            </w:r>
          </w:p>
          <w:p w:rsidR="006E2BB1" w:rsidRPr="00C258AD" w:rsidRDefault="006E2BB1" w:rsidP="00A43BDE">
            <w:pPr>
              <w:widowControl w:val="0"/>
              <w:rPr>
                <w:sz w:val="16"/>
                <w:szCs w:val="16"/>
                <w:lang w:bidi="th-TH"/>
              </w:rPr>
            </w:pPr>
          </w:p>
          <w:p w:rsidR="00AD1FA5" w:rsidRPr="00C258AD" w:rsidRDefault="00AD1FA5" w:rsidP="00A43BDE">
            <w:pPr>
              <w:widowControl w:val="0"/>
              <w:rPr>
                <w:i/>
                <w:sz w:val="16"/>
                <w:szCs w:val="16"/>
              </w:rPr>
            </w:pPr>
            <w:r w:rsidRPr="00C258AD">
              <w:rPr>
                <w:sz w:val="16"/>
                <w:szCs w:val="16"/>
                <w:lang w:bidi="th-TH"/>
              </w:rPr>
              <w:t>90% des recommandations mises en œuvre dans les 2 ans</w:t>
            </w:r>
          </w:p>
        </w:tc>
        <w:tc>
          <w:tcPr>
            <w:tcW w:w="1025" w:type="pct"/>
            <w:shd w:val="clear" w:color="auto" w:fill="auto"/>
            <w:tcMar>
              <w:top w:w="110" w:type="dxa"/>
            </w:tcMar>
          </w:tcPr>
          <w:p w:rsidR="006E2BB1" w:rsidRPr="00C258AD" w:rsidRDefault="00AD1FA5" w:rsidP="00A43BDE">
            <w:pPr>
              <w:widowControl w:val="0"/>
              <w:autoSpaceDE w:val="0"/>
              <w:autoSpaceDN w:val="0"/>
              <w:adjustRightInd w:val="0"/>
              <w:rPr>
                <w:sz w:val="16"/>
                <w:szCs w:val="16"/>
              </w:rPr>
            </w:pPr>
            <w:r w:rsidRPr="00C258AD">
              <w:rPr>
                <w:sz w:val="16"/>
                <w:szCs w:val="16"/>
              </w:rPr>
              <w:t>90% des recommandations acceptées</w:t>
            </w:r>
          </w:p>
          <w:p w:rsidR="006E2BB1" w:rsidRPr="00C258AD" w:rsidRDefault="006E2BB1" w:rsidP="00A43BDE">
            <w:pPr>
              <w:widowControl w:val="0"/>
              <w:autoSpaceDE w:val="0"/>
              <w:autoSpaceDN w:val="0"/>
              <w:adjustRightInd w:val="0"/>
              <w:rPr>
                <w:sz w:val="16"/>
                <w:szCs w:val="16"/>
              </w:rPr>
            </w:pPr>
          </w:p>
          <w:p w:rsidR="00AD1FA5" w:rsidRPr="00C258AD" w:rsidRDefault="00AD1FA5" w:rsidP="00A43BDE">
            <w:pPr>
              <w:widowControl w:val="0"/>
              <w:autoSpaceDE w:val="0"/>
              <w:autoSpaceDN w:val="0"/>
              <w:adjustRightInd w:val="0"/>
              <w:rPr>
                <w:sz w:val="16"/>
                <w:szCs w:val="16"/>
              </w:rPr>
            </w:pPr>
            <w:r w:rsidRPr="00C258AD">
              <w:rPr>
                <w:sz w:val="16"/>
                <w:szCs w:val="16"/>
              </w:rPr>
              <w:t>90% des recommandations mises en œuvre dans les 2 ans</w:t>
            </w:r>
          </w:p>
        </w:tc>
        <w:tc>
          <w:tcPr>
            <w:tcW w:w="1175" w:type="pct"/>
            <w:shd w:val="clear" w:color="auto" w:fill="FFFFFF"/>
            <w:tcMar>
              <w:top w:w="110" w:type="dxa"/>
            </w:tcMar>
          </w:tcPr>
          <w:p w:rsidR="006E2BB1" w:rsidRPr="00C258AD" w:rsidRDefault="00AD1FA5" w:rsidP="00A43BDE">
            <w:pPr>
              <w:widowControl w:val="0"/>
              <w:rPr>
                <w:sz w:val="16"/>
                <w:szCs w:val="16"/>
                <w:lang w:bidi="th-TH"/>
              </w:rPr>
            </w:pPr>
            <w:r w:rsidRPr="00C258AD">
              <w:rPr>
                <w:sz w:val="16"/>
                <w:szCs w:val="16"/>
                <w:lang w:bidi="th-TH"/>
              </w:rPr>
              <w:t>Plus de 95% des recommandations ont été acceptées</w:t>
            </w:r>
          </w:p>
          <w:p w:rsidR="006E2BB1" w:rsidRPr="00C258AD" w:rsidRDefault="006E2BB1" w:rsidP="00A43BDE">
            <w:pPr>
              <w:widowControl w:val="0"/>
              <w:rPr>
                <w:sz w:val="16"/>
                <w:szCs w:val="16"/>
                <w:lang w:bidi="th-TH"/>
              </w:rPr>
            </w:pPr>
          </w:p>
          <w:p w:rsidR="00AD1FA5" w:rsidRPr="00C258AD" w:rsidRDefault="00AD1FA5" w:rsidP="00A43BDE">
            <w:pPr>
              <w:widowControl w:val="0"/>
              <w:rPr>
                <w:sz w:val="16"/>
                <w:szCs w:val="16"/>
                <w:lang w:bidi="th-TH"/>
              </w:rPr>
            </w:pPr>
            <w:r w:rsidRPr="00C258AD">
              <w:rPr>
                <w:sz w:val="16"/>
                <w:szCs w:val="16"/>
                <w:lang w:bidi="th-TH"/>
              </w:rPr>
              <w:t>40% des recommandations mises en œuvre dans les 2 ans</w:t>
            </w:r>
          </w:p>
        </w:tc>
        <w:tc>
          <w:tcPr>
            <w:tcW w:w="601" w:type="pct"/>
            <w:shd w:val="clear" w:color="auto" w:fill="auto"/>
            <w:tcMar>
              <w:top w:w="110" w:type="dxa"/>
            </w:tcMar>
          </w:tcPr>
          <w:p w:rsidR="006E2BB1" w:rsidRPr="00C258AD" w:rsidRDefault="00AD1FA5" w:rsidP="00A43BDE">
            <w:pPr>
              <w:widowControl w:val="0"/>
              <w:jc w:val="center"/>
              <w:rPr>
                <w:b/>
                <w:bCs/>
                <w:color w:val="00B050"/>
                <w:sz w:val="16"/>
                <w:szCs w:val="16"/>
              </w:rPr>
            </w:pPr>
            <w:r w:rsidRPr="00C258AD">
              <w:rPr>
                <w:b/>
                <w:bCs/>
                <w:color w:val="00B050"/>
                <w:sz w:val="16"/>
                <w:szCs w:val="16"/>
              </w:rPr>
              <w:t>Objectif pleinement atteint</w:t>
            </w:r>
          </w:p>
          <w:p w:rsidR="006E2BB1" w:rsidRPr="00C258AD" w:rsidRDefault="006E2BB1" w:rsidP="00A43BDE">
            <w:pPr>
              <w:widowControl w:val="0"/>
              <w:jc w:val="center"/>
              <w:rPr>
                <w:b/>
                <w:bCs/>
                <w:color w:val="00B050"/>
                <w:sz w:val="16"/>
                <w:szCs w:val="16"/>
              </w:rPr>
            </w:pPr>
          </w:p>
          <w:p w:rsidR="00AD1FA5" w:rsidRPr="00C258AD" w:rsidRDefault="00AD1FA5" w:rsidP="00A43BDE">
            <w:pPr>
              <w:widowControl w:val="0"/>
              <w:jc w:val="center"/>
              <w:rPr>
                <w:b/>
                <w:bCs/>
                <w:color w:val="00B050"/>
                <w:sz w:val="16"/>
                <w:szCs w:val="16"/>
              </w:rPr>
            </w:pPr>
            <w:r w:rsidRPr="00C258AD">
              <w:rPr>
                <w:b/>
                <w:bCs/>
                <w:color w:val="E26B0A"/>
                <w:sz w:val="16"/>
                <w:szCs w:val="16"/>
              </w:rPr>
              <w:t>Objectif partiellement atteint</w:t>
            </w:r>
          </w:p>
        </w:tc>
      </w:tr>
    </w:tbl>
    <w:p w:rsidR="006E2BB1" w:rsidRPr="00C258AD" w:rsidRDefault="006E2BB1" w:rsidP="00A43BDE">
      <w:pPr>
        <w:rPr>
          <w:sz w:val="22"/>
          <w:szCs w:val="22"/>
        </w:rPr>
      </w:pPr>
    </w:p>
    <w:p w:rsidR="006E2BB1" w:rsidRPr="00C258AD" w:rsidRDefault="006E2BB1" w:rsidP="00A43BDE">
      <w:pPr>
        <w:rPr>
          <w:sz w:val="22"/>
          <w:szCs w:val="22"/>
        </w:rPr>
      </w:pPr>
    </w:p>
    <w:p w:rsidR="006E2BB1" w:rsidRPr="00C258AD" w:rsidRDefault="00AD1FA5" w:rsidP="00A43BDE">
      <w:pPr>
        <w:rPr>
          <w:caps/>
          <w:sz w:val="22"/>
        </w:rPr>
      </w:pPr>
      <w:r w:rsidRPr="00C258AD">
        <w:br w:type="page"/>
      </w:r>
    </w:p>
    <w:p w:rsidR="006E2BB1" w:rsidRPr="00C258AD" w:rsidRDefault="00AD1FA5" w:rsidP="00305CE5">
      <w:pPr>
        <w:keepNext/>
        <w:rPr>
          <w:rFonts w:cs="Arial"/>
          <w:caps/>
          <w:sz w:val="22"/>
          <w:szCs w:val="22"/>
        </w:rPr>
      </w:pPr>
      <w:r w:rsidRPr="00C258AD">
        <w:rPr>
          <w:rFonts w:cs="Arial"/>
          <w:caps/>
          <w:sz w:val="22"/>
          <w:szCs w:val="22"/>
        </w:rPr>
        <w:lastRenderedPageBreak/>
        <w:t>Rapport d’évaluation des risques pour l’exercice biennal</w:t>
      </w:r>
    </w:p>
    <w:p w:rsidR="00AD1FA5" w:rsidRPr="00C258AD" w:rsidRDefault="00AD1FA5" w:rsidP="00A43BDE">
      <w:pPr>
        <w:keepNext/>
        <w:keepLines/>
        <w:rPr>
          <w:rFonts w:cs="Arial"/>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AD1FA5" w:rsidRPr="00C258AD" w:rsidTr="00A43BDE">
        <w:trPr>
          <w:cantSplit/>
        </w:trPr>
        <w:tc>
          <w:tcPr>
            <w:tcW w:w="2372" w:type="dxa"/>
            <w:tcBorders>
              <w:top w:val="single" w:sz="4" w:space="0" w:color="auto"/>
              <w:left w:val="single" w:sz="4" w:space="0" w:color="auto"/>
              <w:bottom w:val="single" w:sz="4" w:space="0" w:color="auto"/>
            </w:tcBorders>
            <w:shd w:val="clear" w:color="auto" w:fill="C5D9F1"/>
            <w:vAlign w:val="center"/>
          </w:tcPr>
          <w:p w:rsidR="00AD1FA5" w:rsidRPr="00C258AD" w:rsidRDefault="00AD1FA5" w:rsidP="00A43BDE">
            <w:pPr>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AD1FA5" w:rsidRPr="00C258AD" w:rsidRDefault="00AD1FA5" w:rsidP="00A43BDE">
            <w:pPr>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AD1FA5" w:rsidRPr="00C258AD" w:rsidRDefault="00AD1FA5" w:rsidP="00A43BDE">
            <w:pPr>
              <w:autoSpaceDE w:val="0"/>
              <w:autoSpaceDN w:val="0"/>
              <w:adjustRightInd w:val="0"/>
              <w:ind w:right="-59"/>
              <w:jc w:val="center"/>
              <w:rPr>
                <w:b/>
                <w:bCs/>
                <w:iCs/>
                <w:sz w:val="16"/>
                <w:szCs w:val="16"/>
              </w:rPr>
            </w:pPr>
            <w:r w:rsidRPr="00C258AD">
              <w:rPr>
                <w:b/>
                <w:bCs/>
                <w:iCs/>
                <w:sz w:val="16"/>
                <w:szCs w:val="16"/>
              </w:rPr>
              <w:t>Évolution des risques et des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AD1FA5" w:rsidRPr="00C258AD" w:rsidRDefault="00AD1FA5" w:rsidP="00A43BDE">
            <w:pPr>
              <w:autoSpaceDE w:val="0"/>
              <w:autoSpaceDN w:val="0"/>
              <w:adjustRightInd w:val="0"/>
              <w:jc w:val="center"/>
              <w:rPr>
                <w:b/>
                <w:bCs/>
                <w:iCs/>
                <w:sz w:val="16"/>
                <w:szCs w:val="16"/>
              </w:rPr>
            </w:pPr>
            <w:r w:rsidRPr="00C258AD">
              <w:rPr>
                <w:b/>
                <w:bCs/>
                <w:iCs/>
                <w:sz w:val="16"/>
                <w:szCs w:val="16"/>
              </w:rPr>
              <w:t>Incidence sur les résultats du programme</w:t>
            </w:r>
          </w:p>
        </w:tc>
      </w:tr>
      <w:tr w:rsidR="00AD1FA5" w:rsidRPr="00C258AD" w:rsidTr="00A43BDE">
        <w:tblPrEx>
          <w:tblBorders>
            <w:top w:val="single" w:sz="4" w:space="0" w:color="auto"/>
            <w:left w:val="single" w:sz="4" w:space="0" w:color="auto"/>
            <w:bottom w:val="single" w:sz="4" w:space="0" w:color="auto"/>
            <w:right w:val="single" w:sz="4" w:space="0" w:color="auto"/>
          </w:tblBorders>
        </w:tblPrEx>
        <w:trPr>
          <w:cantSplit/>
        </w:trPr>
        <w:tc>
          <w:tcPr>
            <w:tcW w:w="2372" w:type="dxa"/>
            <w:tcBorders>
              <w:top w:val="single" w:sz="4" w:space="0" w:color="auto"/>
            </w:tcBorders>
            <w:shd w:val="clear" w:color="auto" w:fill="auto"/>
            <w:tcMar>
              <w:top w:w="113" w:type="dxa"/>
              <w:bottom w:w="85" w:type="dxa"/>
            </w:tcMar>
          </w:tcPr>
          <w:p w:rsidR="00AD1FA5" w:rsidRPr="00C258AD" w:rsidRDefault="00AD1FA5" w:rsidP="00A43BDE">
            <w:pPr>
              <w:rPr>
                <w:bCs/>
                <w:iCs/>
                <w:sz w:val="16"/>
                <w:szCs w:val="16"/>
              </w:rPr>
            </w:pPr>
            <w:r w:rsidRPr="00C258AD">
              <w:rPr>
                <w:bCs/>
                <w:iCs/>
                <w:sz w:val="16"/>
                <w:szCs w:val="16"/>
              </w:rPr>
              <w:t>L’activité de supervision interne n’est pas indépendante et les membres de la DSI n’effectuent pas les tâches qui leur incombent en toute objectivité.  L’impartialité et la crédibilité des travaux entrepris seraient en jeu.  La confiance dans la fonction de supervision diminuerait.</w:t>
            </w:r>
          </w:p>
        </w:tc>
        <w:tc>
          <w:tcPr>
            <w:tcW w:w="2373" w:type="dxa"/>
            <w:tcBorders>
              <w:top w:val="single" w:sz="4" w:space="0" w:color="auto"/>
            </w:tcBorders>
            <w:shd w:val="clear" w:color="auto" w:fill="auto"/>
            <w:tcMar>
              <w:top w:w="113" w:type="dxa"/>
              <w:bottom w:w="85" w:type="dxa"/>
            </w:tcMar>
          </w:tcPr>
          <w:p w:rsidR="00AD1FA5" w:rsidRPr="00C258AD" w:rsidRDefault="00AD1FA5" w:rsidP="00A43BDE">
            <w:pPr>
              <w:rPr>
                <w:bCs/>
                <w:iCs/>
                <w:sz w:val="16"/>
                <w:szCs w:val="16"/>
              </w:rPr>
            </w:pPr>
            <w:r w:rsidRPr="00C258AD">
              <w:rPr>
                <w:bCs/>
                <w:iCs/>
                <w:sz w:val="16"/>
                <w:szCs w:val="16"/>
              </w:rPr>
              <w:t>La DSI et ses membres s’engageront à respecter la Charte de la supervision interne, à faire rapport régulièrement à l’OCIS et à fournir des rapports annuels à l’Assemblée générale de l’OMPI sur l’indépendance de la DSI.</w:t>
            </w:r>
          </w:p>
        </w:tc>
        <w:tc>
          <w:tcPr>
            <w:tcW w:w="2373" w:type="dxa"/>
            <w:tcBorders>
              <w:top w:val="single" w:sz="4" w:space="0" w:color="auto"/>
            </w:tcBorders>
          </w:tcPr>
          <w:p w:rsidR="006E2BB1" w:rsidRPr="00C258AD" w:rsidRDefault="00AD1FA5" w:rsidP="00A43BDE">
            <w:pPr>
              <w:rPr>
                <w:sz w:val="16"/>
                <w:szCs w:val="16"/>
              </w:rPr>
            </w:pPr>
            <w:r w:rsidRPr="00C258AD">
              <w:rPr>
                <w:bCs/>
                <w:iCs/>
                <w:sz w:val="16"/>
                <w:szCs w:val="16"/>
              </w:rPr>
              <w:t xml:space="preserve">La DSI et ses membres respectent la Charte de la supervision interne et les codes de déontologie, le cas échéant.  </w:t>
            </w:r>
            <w:r w:rsidRPr="00C258AD">
              <w:rPr>
                <w:sz w:val="16"/>
                <w:szCs w:val="16"/>
              </w:rPr>
              <w:t>Durant l’exercice biennal, des cas dans lesquels le directeur de la DSI ou des fonctionnaires avaient le sentiment qu’il pouvait y avoir un conflit d’intérêts ont été transmis à l’OCIS, conformément au paragraphe 18 de la Charte, pour des conseils sur la manière de procéder.</w:t>
            </w:r>
          </w:p>
          <w:p w:rsidR="00AD1FA5" w:rsidRPr="00C258AD" w:rsidRDefault="00AD1FA5" w:rsidP="00A43BDE">
            <w:pPr>
              <w:rPr>
                <w:sz w:val="16"/>
                <w:szCs w:val="16"/>
              </w:rPr>
            </w:pPr>
          </w:p>
        </w:tc>
        <w:tc>
          <w:tcPr>
            <w:tcW w:w="2373" w:type="dxa"/>
            <w:tcBorders>
              <w:top w:val="single" w:sz="4" w:space="0" w:color="auto"/>
            </w:tcBorders>
          </w:tcPr>
          <w:p w:rsidR="006E2BB1" w:rsidRPr="00C258AD" w:rsidRDefault="00AD1FA5" w:rsidP="00A43BDE">
            <w:pPr>
              <w:rPr>
                <w:sz w:val="16"/>
                <w:szCs w:val="16"/>
              </w:rPr>
            </w:pPr>
            <w:r w:rsidRPr="00C258AD">
              <w:rPr>
                <w:sz w:val="16"/>
                <w:szCs w:val="16"/>
              </w:rPr>
              <w:t>Les plans d’atténuation en place ont permis la réduction de l’incidence sur la réalisation des résultats escomptés et des objectifs du programme</w:t>
            </w:r>
          </w:p>
          <w:p w:rsidR="00AD1FA5" w:rsidRPr="00C258AD" w:rsidRDefault="00AD1FA5" w:rsidP="00A43BDE">
            <w:pPr>
              <w:rPr>
                <w:sz w:val="16"/>
                <w:szCs w:val="16"/>
              </w:rPr>
            </w:pPr>
          </w:p>
        </w:tc>
      </w:tr>
      <w:tr w:rsidR="00AD1FA5" w:rsidRPr="00C258AD" w:rsidTr="00A43BDE">
        <w:tblPrEx>
          <w:tblBorders>
            <w:top w:val="single" w:sz="4" w:space="0" w:color="auto"/>
            <w:left w:val="single" w:sz="4" w:space="0" w:color="auto"/>
            <w:bottom w:val="single" w:sz="4" w:space="0" w:color="auto"/>
            <w:right w:val="single" w:sz="4" w:space="0" w:color="auto"/>
          </w:tblBorders>
        </w:tblPrEx>
        <w:trPr>
          <w:cantSplit/>
        </w:trPr>
        <w:tc>
          <w:tcPr>
            <w:tcW w:w="2372" w:type="dxa"/>
            <w:shd w:val="clear" w:color="auto" w:fill="auto"/>
            <w:tcMar>
              <w:top w:w="113" w:type="dxa"/>
              <w:bottom w:w="85" w:type="dxa"/>
            </w:tcMar>
          </w:tcPr>
          <w:p w:rsidR="00AD1FA5" w:rsidRPr="00C258AD" w:rsidRDefault="00AD1FA5" w:rsidP="00A43BDE">
            <w:pPr>
              <w:rPr>
                <w:sz w:val="16"/>
                <w:szCs w:val="16"/>
              </w:rPr>
            </w:pPr>
            <w:r w:rsidRPr="00C258AD">
              <w:rPr>
                <w:sz w:val="16"/>
                <w:szCs w:val="16"/>
              </w:rPr>
              <w:t>Les travaux de la DSI ne sont pas pertinents et n’aident pas l’Organisation à atteindre ses objectifs.  Le plan de supervision ne vise pas les domaines présentant un intérêt pour l’Organisation aux fins de la réalisation de ses objectifs.  Les enquêtes n’aboutissent pas à temps.</w:t>
            </w:r>
          </w:p>
        </w:tc>
        <w:tc>
          <w:tcPr>
            <w:tcW w:w="2373" w:type="dxa"/>
            <w:shd w:val="clear" w:color="auto" w:fill="auto"/>
            <w:tcMar>
              <w:top w:w="113" w:type="dxa"/>
              <w:bottom w:w="85" w:type="dxa"/>
            </w:tcMar>
          </w:tcPr>
          <w:p w:rsidR="00AD1FA5" w:rsidRPr="00C258AD" w:rsidRDefault="00AD1FA5" w:rsidP="00A43BDE">
            <w:pPr>
              <w:rPr>
                <w:sz w:val="16"/>
                <w:szCs w:val="16"/>
              </w:rPr>
            </w:pPr>
            <w:r w:rsidRPr="00C258AD">
              <w:rPr>
                <w:sz w:val="16"/>
                <w:szCs w:val="16"/>
              </w:rPr>
              <w:t xml:space="preserve">Planification professionnelle de l’audit, de l’évaluation et des enquêtes;  contribution au plan de supervision du Directeur général, de la haute direction et des États membres;  et coordination avec les autres secteurs.  </w:t>
            </w:r>
          </w:p>
        </w:tc>
        <w:tc>
          <w:tcPr>
            <w:tcW w:w="2373" w:type="dxa"/>
          </w:tcPr>
          <w:p w:rsidR="006E2BB1" w:rsidRPr="00C258AD" w:rsidRDefault="00AD1FA5" w:rsidP="00A43BDE">
            <w:pPr>
              <w:rPr>
                <w:sz w:val="16"/>
                <w:szCs w:val="16"/>
              </w:rPr>
            </w:pPr>
            <w:r w:rsidRPr="00C258AD">
              <w:rPr>
                <w:sz w:val="16"/>
                <w:szCs w:val="16"/>
              </w:rPr>
              <w:t>Le plan de supervision a été élaboré en appliquant la méthode d’évaluation des risques mise au point par la DSI et en utilisant les registres des risques au niveau de l’Organisation, compte tenu des entités et processus opérationnels pertinents de l’OMPI et des contributions reçues des États membres, de l’OCIS, de la haute direction et du vérificateur externe des comptes.</w:t>
            </w:r>
          </w:p>
          <w:p w:rsidR="006E2BB1" w:rsidRPr="00C258AD" w:rsidRDefault="006E2BB1" w:rsidP="00A43BDE">
            <w:pPr>
              <w:rPr>
                <w:sz w:val="16"/>
                <w:szCs w:val="16"/>
              </w:rPr>
            </w:pPr>
          </w:p>
          <w:p w:rsidR="00AD1FA5" w:rsidRPr="00C258AD" w:rsidRDefault="00AD1FA5" w:rsidP="00A43BDE">
            <w:pPr>
              <w:rPr>
                <w:sz w:val="16"/>
                <w:szCs w:val="16"/>
              </w:rPr>
            </w:pPr>
            <w:r w:rsidRPr="00C258AD">
              <w:rPr>
                <w:sz w:val="16"/>
                <w:szCs w:val="16"/>
              </w:rPr>
              <w:t>Durant l’exercice biennal 2014</w:t>
            </w:r>
            <w:r w:rsidRPr="00C258AD">
              <w:rPr>
                <w:color w:val="000000"/>
                <w:sz w:val="16"/>
                <w:szCs w:val="22"/>
              </w:rPr>
              <w:noBreakHyphen/>
              <w:t>2015, la DSI a rencontré des difficultés pour achever ses enquêtes en temps voulu en raison</w:t>
            </w:r>
            <w:r w:rsidRPr="00C258AD">
              <w:rPr>
                <w:sz w:val="16"/>
                <w:szCs w:val="16"/>
              </w:rPr>
              <w:t xml:space="preserve"> i) de la hausse du nombre d’enquêtes, ii) du manque de coopération des fonctionnaires, et iii) des ressources en personnel insuffisantes pour faire face à la charge de travail croissante.  Pour atténuer ce risque, il a été décidé d’adopter un schéma plus souple en matière d’affectation des ressources humaines pour permettre la gestion de la charge de travail croissante en matière d’enquêtes.  </w:t>
            </w:r>
          </w:p>
        </w:tc>
        <w:tc>
          <w:tcPr>
            <w:tcW w:w="2373" w:type="dxa"/>
          </w:tcPr>
          <w:p w:rsidR="00AD1FA5" w:rsidRPr="00C258AD" w:rsidRDefault="00AD1FA5" w:rsidP="00A43BDE">
            <w:pPr>
              <w:rPr>
                <w:sz w:val="16"/>
                <w:szCs w:val="16"/>
              </w:rPr>
            </w:pPr>
            <w:r w:rsidRPr="00C258AD">
              <w:rPr>
                <w:sz w:val="16"/>
                <w:szCs w:val="16"/>
              </w:rPr>
              <w:t xml:space="preserve">Bien que la durée moyenne de réalisation des enquêtes se </w:t>
            </w:r>
            <w:proofErr w:type="gramStart"/>
            <w:r w:rsidRPr="00C258AD">
              <w:rPr>
                <w:sz w:val="16"/>
                <w:szCs w:val="16"/>
              </w:rPr>
              <w:t>soit</w:t>
            </w:r>
            <w:proofErr w:type="gramEnd"/>
            <w:r w:rsidRPr="00C258AD">
              <w:rPr>
                <w:sz w:val="16"/>
                <w:szCs w:val="16"/>
              </w:rPr>
              <w:t xml:space="preserve"> allongée par rapport à 2013, toutes les enquêtes ont été clôturées dans le délai défini par la Politique de l’OMPI en matière d’enquêtes et l’objectif fixé pour l’exercice biennal a été pleinement atteint.</w:t>
            </w:r>
          </w:p>
        </w:tc>
      </w:tr>
    </w:tbl>
    <w:p w:rsidR="006E2BB1" w:rsidRPr="00C258AD" w:rsidRDefault="006E2BB1" w:rsidP="00A43BDE">
      <w:pPr>
        <w:rPr>
          <w:sz w:val="22"/>
          <w:szCs w:val="22"/>
        </w:rPr>
      </w:pPr>
    </w:p>
    <w:p w:rsidR="006E2BB1" w:rsidRPr="00C258AD" w:rsidRDefault="006E2BB1" w:rsidP="00A43BDE">
      <w:pPr>
        <w:rPr>
          <w:sz w:val="22"/>
          <w:szCs w:val="22"/>
        </w:rPr>
      </w:pPr>
    </w:p>
    <w:p w:rsidR="006E2BB1" w:rsidRPr="00C258AD" w:rsidRDefault="00AD1FA5" w:rsidP="00A43BDE">
      <w:pPr>
        <w:rPr>
          <w:sz w:val="22"/>
        </w:rPr>
      </w:pPr>
      <w:r w:rsidRPr="00C258AD">
        <w:rPr>
          <w:sz w:val="22"/>
        </w:rPr>
        <w:br w:type="page"/>
      </w:r>
    </w:p>
    <w:p w:rsidR="006E2BB1" w:rsidRPr="00C258AD" w:rsidRDefault="00AD1FA5" w:rsidP="00305CE5">
      <w:pPr>
        <w:keepNext/>
        <w:rPr>
          <w:rFonts w:cs="Arial"/>
          <w:caps/>
          <w:sz w:val="22"/>
          <w:szCs w:val="22"/>
        </w:rPr>
      </w:pPr>
      <w:r w:rsidRPr="00C258AD">
        <w:rPr>
          <w:rFonts w:cs="Arial"/>
          <w:caps/>
          <w:sz w:val="22"/>
          <w:szCs w:val="22"/>
        </w:rPr>
        <w:lastRenderedPageBreak/>
        <w:t>Utilisation des ressources</w:t>
      </w:r>
    </w:p>
    <w:p w:rsidR="006E2BB1" w:rsidRPr="00C258AD" w:rsidRDefault="006E2BB1" w:rsidP="00A43BDE">
      <w:pPr>
        <w:jc w:val="center"/>
      </w:pPr>
    </w:p>
    <w:p w:rsidR="006E2BB1" w:rsidRPr="00C258AD" w:rsidRDefault="00AD1FA5" w:rsidP="00A43BDE">
      <w:pPr>
        <w:pStyle w:val="NormalWeb"/>
        <w:keepNext/>
        <w:spacing w:before="0" w:beforeAutospacing="0" w:after="0" w:afterAutospacing="0"/>
        <w:jc w:val="center"/>
        <w:rPr>
          <w:sz w:val="20"/>
          <w:szCs w:val="20"/>
        </w:rPr>
      </w:pPr>
      <w:r w:rsidRPr="00C258AD">
        <w:rPr>
          <w:sz w:val="20"/>
          <w:szCs w:val="20"/>
        </w:rPr>
        <w:t>Budget et dépenses effectives (par résultat)</w:t>
      </w:r>
    </w:p>
    <w:p w:rsidR="006E2BB1" w:rsidRPr="00C258AD" w:rsidRDefault="00AD1FA5" w:rsidP="00A43BDE">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AD1FA5" w:rsidRPr="00C258AD" w:rsidRDefault="00AD1FA5" w:rsidP="00A43BDE">
      <w:pPr>
        <w:keepNext/>
        <w:jc w:val="both"/>
      </w:pPr>
    </w:p>
    <w:tbl>
      <w:tblPr>
        <w:tblW w:w="5000" w:type="pct"/>
        <w:tblCellMar>
          <w:top w:w="113" w:type="dxa"/>
          <w:left w:w="70" w:type="dxa"/>
          <w:bottom w:w="113" w:type="dxa"/>
          <w:right w:w="70" w:type="dxa"/>
        </w:tblCellMar>
        <w:tblLook w:val="04A0" w:firstRow="1" w:lastRow="0" w:firstColumn="1" w:lastColumn="0" w:noHBand="0" w:noVBand="1"/>
      </w:tblPr>
      <w:tblGrid>
        <w:gridCol w:w="548"/>
        <w:gridCol w:w="4681"/>
        <w:gridCol w:w="1422"/>
        <w:gridCol w:w="1422"/>
        <w:gridCol w:w="1422"/>
      </w:tblGrid>
      <w:tr w:rsidR="00AD1FA5" w:rsidRPr="00C258AD" w:rsidTr="00A43BDE">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AD1FA5" w:rsidRPr="00C258AD" w:rsidRDefault="00AD1FA5" w:rsidP="00A43BDE">
            <w:pPr>
              <w:jc w:val="center"/>
              <w:rPr>
                <w:i/>
                <w:iCs/>
                <w:sz w:val="16"/>
                <w:szCs w:val="16"/>
                <w:lang w:eastAsia="fr-FR"/>
              </w:rPr>
            </w:pPr>
            <w:r w:rsidRPr="00C258AD">
              <w:rPr>
                <w:i/>
                <w:iCs/>
                <w:sz w:val="16"/>
                <w:szCs w:val="16"/>
                <w:lang w:eastAsia="fr-FR"/>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AD1FA5" w:rsidRPr="00C258AD" w:rsidRDefault="00AD1FA5" w:rsidP="00A43BDE">
            <w:pPr>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Pr="00C258AD">
              <w:rPr>
                <w:i/>
                <w:iCs/>
                <w:sz w:val="16"/>
                <w:szCs w:val="16"/>
                <w:lang w:eastAsia="fr-FR"/>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AD1FA5" w:rsidRPr="00C258AD" w:rsidRDefault="00AD1FA5" w:rsidP="00A43BDE">
            <w:pPr>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Pr="00C258AD">
              <w:rPr>
                <w:i/>
                <w:iCs/>
                <w:sz w:val="16"/>
                <w:szCs w:val="16"/>
                <w:lang w:eastAsia="fr-FR"/>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AD1FA5" w:rsidRPr="00C258AD" w:rsidRDefault="00AD1FA5" w:rsidP="00A43BDE">
            <w:pPr>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Pr="00C258AD">
              <w:rPr>
                <w:i/>
                <w:iCs/>
                <w:sz w:val="16"/>
                <w:szCs w:val="16"/>
                <w:lang w:eastAsia="fr-FR"/>
              </w:rPr>
              <w:noBreakHyphen/>
              <w:t>2015</w:t>
            </w:r>
          </w:p>
        </w:tc>
      </w:tr>
      <w:tr w:rsidR="00AD1FA5" w:rsidRPr="00C258AD" w:rsidTr="00A43BDE">
        <w:trPr>
          <w:cantSplit/>
        </w:trPr>
        <w:tc>
          <w:tcPr>
            <w:tcW w:w="524" w:type="dxa"/>
            <w:tcBorders>
              <w:top w:val="nil"/>
              <w:left w:val="single" w:sz="4" w:space="0" w:color="auto"/>
              <w:bottom w:val="nil"/>
              <w:right w:val="nil"/>
            </w:tcBorders>
            <w:shd w:val="clear" w:color="auto" w:fill="auto"/>
            <w:noWrap/>
            <w:vAlign w:val="center"/>
            <w:hideMark/>
          </w:tcPr>
          <w:p w:rsidR="00AD1FA5" w:rsidRPr="00C258AD" w:rsidRDefault="00AD1FA5" w:rsidP="00A43BDE">
            <w:pPr>
              <w:rPr>
                <w:sz w:val="16"/>
                <w:szCs w:val="16"/>
                <w:lang w:eastAsia="fr-FR"/>
              </w:rPr>
            </w:pPr>
            <w:r w:rsidRPr="00C258AD">
              <w:rPr>
                <w:sz w:val="16"/>
                <w:szCs w:val="16"/>
                <w:lang w:eastAsia="fr-FR"/>
              </w:rPr>
              <w:t>IX.8</w:t>
            </w:r>
          </w:p>
        </w:tc>
        <w:tc>
          <w:tcPr>
            <w:tcW w:w="4476" w:type="dxa"/>
            <w:tcBorders>
              <w:top w:val="nil"/>
              <w:left w:val="nil"/>
              <w:bottom w:val="nil"/>
              <w:right w:val="nil"/>
            </w:tcBorders>
            <w:shd w:val="clear" w:color="auto" w:fill="auto"/>
            <w:vAlign w:val="center"/>
            <w:hideMark/>
          </w:tcPr>
          <w:p w:rsidR="00AD1FA5" w:rsidRPr="00C258AD" w:rsidRDefault="00AD1FA5" w:rsidP="00A43BDE">
            <w:pPr>
              <w:rPr>
                <w:sz w:val="16"/>
                <w:szCs w:val="16"/>
                <w:lang w:eastAsia="fr-FR"/>
              </w:rPr>
            </w:pPr>
            <w:r w:rsidRPr="00C258AD">
              <w:rPr>
                <w:sz w:val="16"/>
                <w:szCs w:val="16"/>
                <w:lang w:eastAsia="fr-FR"/>
              </w:rPr>
              <w:t>Renforcement de l’obligation redditionnelle, de l’apprentissage institutionnel, de l’optimisation des ressources financières, de l’administration, du contrôle interne et de la gestion institutionnelle avec le concours d’une supervision indépendante efficace</w:t>
            </w:r>
          </w:p>
        </w:tc>
        <w:tc>
          <w:tcPr>
            <w:tcW w:w="1360" w:type="dxa"/>
            <w:tcBorders>
              <w:top w:val="nil"/>
              <w:left w:val="nil"/>
              <w:bottom w:val="nil"/>
              <w:right w:val="nil"/>
            </w:tcBorders>
            <w:shd w:val="clear" w:color="auto" w:fill="auto"/>
            <w:vAlign w:val="center"/>
            <w:hideMark/>
          </w:tcPr>
          <w:p w:rsidR="00AD1FA5" w:rsidRPr="00C258AD" w:rsidRDefault="00AD1FA5" w:rsidP="00A43BDE">
            <w:pPr>
              <w:jc w:val="right"/>
              <w:rPr>
                <w:sz w:val="16"/>
                <w:szCs w:val="16"/>
                <w:lang w:eastAsia="fr-FR"/>
              </w:rPr>
            </w:pPr>
            <w:r w:rsidRPr="00C258AD">
              <w:rPr>
                <w:sz w:val="16"/>
                <w:szCs w:val="16"/>
                <w:lang w:eastAsia="fr-FR"/>
              </w:rPr>
              <w:t>5 116</w:t>
            </w:r>
          </w:p>
        </w:tc>
        <w:tc>
          <w:tcPr>
            <w:tcW w:w="1360" w:type="dxa"/>
            <w:tcBorders>
              <w:top w:val="nil"/>
              <w:left w:val="nil"/>
              <w:bottom w:val="nil"/>
              <w:right w:val="nil"/>
            </w:tcBorders>
            <w:shd w:val="clear" w:color="auto" w:fill="auto"/>
            <w:vAlign w:val="center"/>
            <w:hideMark/>
          </w:tcPr>
          <w:p w:rsidR="00AD1FA5" w:rsidRPr="00C258AD" w:rsidRDefault="00AD1FA5" w:rsidP="00A43BDE">
            <w:pPr>
              <w:jc w:val="right"/>
              <w:rPr>
                <w:sz w:val="16"/>
                <w:szCs w:val="16"/>
                <w:lang w:eastAsia="fr-FR"/>
              </w:rPr>
            </w:pPr>
            <w:r w:rsidRPr="00C258AD">
              <w:rPr>
                <w:sz w:val="16"/>
                <w:szCs w:val="16"/>
                <w:lang w:eastAsia="fr-FR"/>
              </w:rPr>
              <w:t>4 972</w:t>
            </w:r>
          </w:p>
        </w:tc>
        <w:tc>
          <w:tcPr>
            <w:tcW w:w="1360" w:type="dxa"/>
            <w:tcBorders>
              <w:top w:val="nil"/>
              <w:left w:val="nil"/>
              <w:bottom w:val="nil"/>
              <w:right w:val="single" w:sz="4" w:space="0" w:color="auto"/>
            </w:tcBorders>
            <w:shd w:val="clear" w:color="auto" w:fill="auto"/>
            <w:noWrap/>
            <w:vAlign w:val="center"/>
            <w:hideMark/>
          </w:tcPr>
          <w:p w:rsidR="00AD1FA5" w:rsidRPr="00C258AD" w:rsidRDefault="00AD1FA5" w:rsidP="00A43BDE">
            <w:pPr>
              <w:jc w:val="right"/>
              <w:rPr>
                <w:sz w:val="16"/>
                <w:szCs w:val="16"/>
                <w:lang w:eastAsia="fr-FR"/>
              </w:rPr>
            </w:pPr>
            <w:r w:rsidRPr="00C258AD">
              <w:rPr>
                <w:sz w:val="16"/>
                <w:szCs w:val="16"/>
                <w:lang w:eastAsia="fr-FR"/>
              </w:rPr>
              <w:t>4 550</w:t>
            </w:r>
          </w:p>
        </w:tc>
      </w:tr>
      <w:tr w:rsidR="00AD1FA5" w:rsidRPr="00C258AD" w:rsidTr="00A43BDE">
        <w:trPr>
          <w:cantSplit/>
        </w:trPr>
        <w:tc>
          <w:tcPr>
            <w:tcW w:w="524" w:type="dxa"/>
            <w:tcBorders>
              <w:top w:val="single" w:sz="4" w:space="0" w:color="auto"/>
              <w:left w:val="single" w:sz="4" w:space="0" w:color="auto"/>
              <w:bottom w:val="single" w:sz="4" w:space="0" w:color="auto"/>
              <w:right w:val="nil"/>
            </w:tcBorders>
            <w:shd w:val="clear" w:color="auto" w:fill="C5D9F1"/>
            <w:noWrap/>
            <w:vAlign w:val="bottom"/>
            <w:hideMark/>
          </w:tcPr>
          <w:p w:rsidR="00AD1FA5" w:rsidRPr="00C258AD" w:rsidRDefault="00AD1FA5" w:rsidP="00A43BDE">
            <w:pPr>
              <w:rPr>
                <w:sz w:val="16"/>
                <w:szCs w:val="16"/>
                <w:lang w:eastAsia="fr-FR"/>
              </w:rPr>
            </w:pPr>
            <w:r w:rsidRPr="00C258AD">
              <w:rPr>
                <w:sz w:val="16"/>
                <w:szCs w:val="16"/>
                <w:lang w:eastAsia="fr-FR"/>
              </w:rPr>
              <w:t> </w:t>
            </w:r>
          </w:p>
        </w:tc>
        <w:tc>
          <w:tcPr>
            <w:tcW w:w="4476" w:type="dxa"/>
            <w:tcBorders>
              <w:top w:val="single" w:sz="4" w:space="0" w:color="auto"/>
              <w:left w:val="nil"/>
              <w:bottom w:val="single" w:sz="4" w:space="0" w:color="auto"/>
              <w:right w:val="single" w:sz="4" w:space="0" w:color="auto"/>
            </w:tcBorders>
            <w:shd w:val="clear" w:color="auto" w:fill="C5D9F1"/>
            <w:noWrap/>
            <w:vAlign w:val="bottom"/>
            <w:hideMark/>
          </w:tcPr>
          <w:p w:rsidR="00AD1FA5" w:rsidRPr="00C258AD" w:rsidRDefault="00AD1FA5" w:rsidP="00A43BDE">
            <w:pPr>
              <w:rPr>
                <w:b/>
                <w:bCs/>
                <w:sz w:val="16"/>
                <w:szCs w:val="16"/>
                <w:lang w:eastAsia="fr-FR"/>
              </w:rPr>
            </w:pPr>
            <w:r w:rsidRPr="00C258AD">
              <w:rPr>
                <w:b/>
                <w:bCs/>
                <w:sz w:val="16"/>
                <w:szCs w:val="16"/>
                <w:lang w:eastAsia="fr-FR"/>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AD1FA5" w:rsidRPr="00C258AD" w:rsidRDefault="00AD1FA5" w:rsidP="00A43BDE">
            <w:pPr>
              <w:jc w:val="right"/>
              <w:rPr>
                <w:b/>
                <w:bCs/>
                <w:sz w:val="16"/>
                <w:szCs w:val="16"/>
                <w:lang w:eastAsia="fr-FR"/>
              </w:rPr>
            </w:pPr>
            <w:r w:rsidRPr="00C258AD">
              <w:rPr>
                <w:b/>
                <w:bCs/>
                <w:sz w:val="16"/>
                <w:szCs w:val="16"/>
                <w:lang w:eastAsia="fr-FR"/>
              </w:rPr>
              <w:t>5 116</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AD1FA5" w:rsidRPr="00C258AD" w:rsidRDefault="00AD1FA5" w:rsidP="00A43BDE">
            <w:pPr>
              <w:jc w:val="right"/>
              <w:rPr>
                <w:b/>
                <w:bCs/>
                <w:sz w:val="16"/>
                <w:szCs w:val="16"/>
                <w:lang w:eastAsia="fr-FR"/>
              </w:rPr>
            </w:pPr>
            <w:r w:rsidRPr="00C258AD">
              <w:rPr>
                <w:b/>
                <w:bCs/>
                <w:sz w:val="16"/>
                <w:szCs w:val="16"/>
                <w:lang w:eastAsia="fr-FR"/>
              </w:rPr>
              <w:t>4 972</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AD1FA5" w:rsidRPr="00C258AD" w:rsidRDefault="00AD1FA5" w:rsidP="00A43BDE">
            <w:pPr>
              <w:jc w:val="right"/>
              <w:rPr>
                <w:b/>
                <w:bCs/>
                <w:sz w:val="16"/>
                <w:szCs w:val="16"/>
                <w:lang w:eastAsia="fr-FR"/>
              </w:rPr>
            </w:pPr>
            <w:r w:rsidRPr="00C258AD">
              <w:rPr>
                <w:b/>
                <w:bCs/>
                <w:sz w:val="16"/>
                <w:szCs w:val="16"/>
                <w:lang w:eastAsia="fr-FR"/>
              </w:rPr>
              <w:t>4 550</w:t>
            </w:r>
          </w:p>
        </w:tc>
      </w:tr>
    </w:tbl>
    <w:p w:rsidR="006E2BB1" w:rsidRPr="00C258AD" w:rsidRDefault="006E2BB1" w:rsidP="00A43BDE">
      <w:pPr>
        <w:pStyle w:val="NormalWeb"/>
        <w:keepNext/>
        <w:keepLines/>
        <w:spacing w:before="0" w:beforeAutospacing="0" w:after="0" w:afterAutospacing="0"/>
        <w:jc w:val="center"/>
        <w:rPr>
          <w:sz w:val="20"/>
          <w:szCs w:val="20"/>
        </w:rPr>
      </w:pPr>
    </w:p>
    <w:p w:rsidR="006E2BB1" w:rsidRPr="00C258AD" w:rsidRDefault="006E2BB1" w:rsidP="00A43BDE">
      <w:pPr>
        <w:pStyle w:val="NormalWeb"/>
        <w:keepNext/>
        <w:keepLines/>
        <w:spacing w:before="0" w:beforeAutospacing="0" w:after="0" w:afterAutospacing="0"/>
        <w:jc w:val="center"/>
        <w:rPr>
          <w:sz w:val="20"/>
          <w:szCs w:val="20"/>
        </w:rPr>
      </w:pPr>
    </w:p>
    <w:p w:rsidR="006E2BB1" w:rsidRPr="00C258AD" w:rsidRDefault="00AD1FA5" w:rsidP="00A43BDE">
      <w:pPr>
        <w:pStyle w:val="NormalWeb"/>
        <w:keepNext/>
        <w:keepLines/>
        <w:spacing w:before="0" w:beforeAutospacing="0" w:after="0" w:afterAutospacing="0"/>
        <w:jc w:val="center"/>
        <w:rPr>
          <w:sz w:val="20"/>
          <w:szCs w:val="20"/>
        </w:rPr>
      </w:pPr>
      <w:r w:rsidRPr="00C258AD">
        <w:rPr>
          <w:sz w:val="20"/>
          <w:szCs w:val="20"/>
        </w:rPr>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AD1FA5" w:rsidP="00A43BDE">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AD1FA5" w:rsidRPr="00C258AD" w:rsidRDefault="00AD1FA5" w:rsidP="00A43BDE">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AD1FA5" w:rsidRPr="00C258AD" w:rsidTr="00A43BDE">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AD1FA5" w:rsidRPr="00C258AD" w:rsidRDefault="00AD1FA5" w:rsidP="00A43BDE">
            <w:pPr>
              <w:rPr>
                <w:color w:val="000000"/>
                <w:sz w:val="16"/>
                <w:szCs w:val="18"/>
                <w:lang w:eastAsia="fr-FR"/>
              </w:rPr>
            </w:pPr>
            <w:r w:rsidRPr="00C258AD">
              <w:rPr>
                <w:color w:val="000000"/>
                <w:sz w:val="16"/>
                <w:szCs w:val="18"/>
                <w:lang w:eastAsia="fr-FR"/>
              </w:rPr>
              <w:t> </w:t>
            </w:r>
          </w:p>
        </w:tc>
        <w:tc>
          <w:tcPr>
            <w:tcW w:w="1745" w:type="dxa"/>
            <w:tcBorders>
              <w:top w:val="single" w:sz="4" w:space="0" w:color="auto"/>
              <w:left w:val="nil"/>
              <w:bottom w:val="nil"/>
              <w:right w:val="single" w:sz="4" w:space="0" w:color="auto"/>
            </w:tcBorders>
            <w:shd w:val="clear" w:color="auto" w:fill="C5D9F1"/>
            <w:vAlign w:val="center"/>
            <w:hideMark/>
          </w:tcPr>
          <w:p w:rsidR="00AD1FA5" w:rsidRPr="00C258AD" w:rsidRDefault="00AD1FA5" w:rsidP="00A43BDE">
            <w:pPr>
              <w:jc w:val="center"/>
              <w:rPr>
                <w:b/>
                <w:bCs/>
                <w:color w:val="000000"/>
                <w:sz w:val="16"/>
                <w:szCs w:val="18"/>
                <w:lang w:eastAsia="fr-FR"/>
              </w:rPr>
            </w:pPr>
            <w:r w:rsidRPr="00C258AD">
              <w:rPr>
                <w:b/>
                <w:bCs/>
                <w:color w:val="000000"/>
                <w:sz w:val="16"/>
                <w:szCs w:val="18"/>
                <w:lang w:eastAsia="fr-FR"/>
              </w:rPr>
              <w:t>Budget 2014</w:t>
            </w:r>
            <w:r w:rsidRPr="00C258AD">
              <w:rPr>
                <w:b/>
                <w:bCs/>
                <w:color w:val="000000"/>
                <w:sz w:val="16"/>
                <w:szCs w:val="18"/>
                <w:lang w:eastAsia="fr-FR"/>
              </w:rPr>
              <w:noBreakHyphen/>
              <w:t>2015 approuvé</w:t>
            </w:r>
          </w:p>
        </w:tc>
        <w:tc>
          <w:tcPr>
            <w:tcW w:w="1746" w:type="dxa"/>
            <w:tcBorders>
              <w:top w:val="single" w:sz="4" w:space="0" w:color="auto"/>
              <w:left w:val="nil"/>
              <w:bottom w:val="nil"/>
              <w:right w:val="single" w:sz="4" w:space="0" w:color="auto"/>
            </w:tcBorders>
            <w:shd w:val="clear" w:color="auto" w:fill="C5D9F1"/>
            <w:vAlign w:val="center"/>
            <w:hideMark/>
          </w:tcPr>
          <w:p w:rsidR="00AD1FA5" w:rsidRPr="00C258AD" w:rsidRDefault="00AD1FA5" w:rsidP="00A43BDE">
            <w:pPr>
              <w:jc w:val="center"/>
              <w:rPr>
                <w:b/>
                <w:bCs/>
                <w:color w:val="000000"/>
                <w:sz w:val="16"/>
                <w:szCs w:val="18"/>
                <w:lang w:eastAsia="fr-FR"/>
              </w:rPr>
            </w:pPr>
            <w:r w:rsidRPr="00C258AD">
              <w:rPr>
                <w:b/>
                <w:bCs/>
                <w:color w:val="000000"/>
                <w:sz w:val="16"/>
                <w:szCs w:val="18"/>
                <w:lang w:eastAsia="fr-FR"/>
              </w:rPr>
              <w:t>Budget final 2014</w:t>
            </w:r>
            <w:r w:rsidRPr="00C258AD">
              <w:rPr>
                <w:b/>
                <w:bCs/>
                <w:color w:val="000000"/>
                <w:sz w:val="16"/>
                <w:szCs w:val="18"/>
                <w:lang w:eastAsia="fr-FR"/>
              </w:rPr>
              <w:noBreakHyphen/>
              <w:t>2015</w:t>
            </w:r>
            <w:r w:rsidRPr="00C258AD">
              <w:rPr>
                <w:b/>
                <w:bCs/>
                <w:color w:val="000000"/>
                <w:sz w:val="16"/>
                <w:szCs w:val="18"/>
                <w:lang w:eastAsia="fr-FR"/>
              </w:rPr>
              <w:br/>
              <w:t>après virements</w:t>
            </w:r>
          </w:p>
        </w:tc>
        <w:tc>
          <w:tcPr>
            <w:tcW w:w="1745" w:type="dxa"/>
            <w:tcBorders>
              <w:top w:val="single" w:sz="4" w:space="0" w:color="auto"/>
              <w:left w:val="nil"/>
              <w:bottom w:val="nil"/>
              <w:right w:val="single" w:sz="4" w:space="0" w:color="auto"/>
            </w:tcBorders>
            <w:shd w:val="clear" w:color="auto" w:fill="C5D9F1"/>
            <w:vAlign w:val="center"/>
            <w:hideMark/>
          </w:tcPr>
          <w:p w:rsidR="00AD1FA5" w:rsidRPr="00C258AD" w:rsidRDefault="00AD1FA5" w:rsidP="00A43BDE">
            <w:pPr>
              <w:jc w:val="center"/>
              <w:rPr>
                <w:b/>
                <w:bCs/>
                <w:color w:val="000000"/>
                <w:sz w:val="16"/>
                <w:szCs w:val="18"/>
                <w:lang w:eastAsia="fr-FR"/>
              </w:rPr>
            </w:pPr>
            <w:r w:rsidRPr="00C258AD">
              <w:rPr>
                <w:b/>
                <w:bCs/>
                <w:color w:val="000000"/>
                <w:sz w:val="16"/>
                <w:szCs w:val="18"/>
                <w:lang w:eastAsia="fr-FR"/>
              </w:rPr>
              <w:t xml:space="preserve">Dépenses </w:t>
            </w:r>
            <w:r w:rsidRPr="00C258AD">
              <w:rPr>
                <w:b/>
                <w:bCs/>
                <w:color w:val="000000"/>
                <w:sz w:val="16"/>
                <w:szCs w:val="18"/>
                <w:lang w:eastAsia="fr-FR"/>
              </w:rPr>
              <w:br/>
              <w:t>2014</w:t>
            </w:r>
            <w:r w:rsidRPr="00C258AD">
              <w:rPr>
                <w:b/>
                <w:bCs/>
                <w:color w:val="000000"/>
                <w:sz w:val="16"/>
                <w:szCs w:val="18"/>
                <w:lang w:eastAsia="fr-FR"/>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AD1FA5" w:rsidRPr="00C258AD" w:rsidRDefault="00AD1FA5" w:rsidP="00A43BDE">
            <w:pPr>
              <w:jc w:val="center"/>
              <w:rPr>
                <w:b/>
                <w:bCs/>
                <w:color w:val="000000"/>
                <w:sz w:val="16"/>
                <w:szCs w:val="18"/>
                <w:lang w:eastAsia="fr-FR"/>
              </w:rPr>
            </w:pPr>
            <w:r w:rsidRPr="00C258AD">
              <w:rPr>
                <w:b/>
                <w:bCs/>
                <w:color w:val="000000"/>
                <w:sz w:val="16"/>
                <w:szCs w:val="18"/>
                <w:lang w:eastAsia="fr-FR"/>
              </w:rPr>
              <w:t>Taux d’utilisation (%)</w:t>
            </w:r>
          </w:p>
        </w:tc>
      </w:tr>
      <w:tr w:rsidR="00AD1FA5" w:rsidRPr="00C258AD" w:rsidTr="00A43BDE">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AD1FA5" w:rsidRPr="00C258AD" w:rsidRDefault="00AD1FA5" w:rsidP="00A43BDE">
            <w:pPr>
              <w:rPr>
                <w:color w:val="000000"/>
                <w:sz w:val="16"/>
                <w:szCs w:val="18"/>
                <w:lang w:eastAsia="fr-FR"/>
              </w:rPr>
            </w:pPr>
            <w:r w:rsidRPr="00C258AD">
              <w:rPr>
                <w:color w:val="000000"/>
                <w:sz w:val="16"/>
                <w:szCs w:val="18"/>
                <w:lang w:eastAsia="fr-FR"/>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color w:val="000000"/>
                <w:sz w:val="16"/>
                <w:szCs w:val="18"/>
                <w:lang w:eastAsia="fr-FR"/>
              </w:rPr>
            </w:pPr>
            <w:r w:rsidRPr="00C258AD">
              <w:rPr>
                <w:color w:val="000000"/>
                <w:sz w:val="16"/>
                <w:szCs w:val="18"/>
                <w:lang w:eastAsia="fr-FR"/>
              </w:rPr>
              <w:t>4 396</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color w:val="000000"/>
                <w:sz w:val="16"/>
                <w:szCs w:val="18"/>
                <w:lang w:eastAsia="fr-FR"/>
              </w:rPr>
            </w:pPr>
            <w:r w:rsidRPr="00C258AD">
              <w:rPr>
                <w:color w:val="000000"/>
                <w:sz w:val="16"/>
                <w:szCs w:val="18"/>
                <w:lang w:eastAsia="fr-FR"/>
              </w:rPr>
              <w:t>4 276</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color w:val="000000"/>
                <w:sz w:val="16"/>
                <w:szCs w:val="18"/>
                <w:lang w:eastAsia="fr-FR"/>
              </w:rPr>
            </w:pPr>
            <w:r w:rsidRPr="00C258AD">
              <w:rPr>
                <w:color w:val="000000"/>
                <w:sz w:val="16"/>
                <w:szCs w:val="18"/>
                <w:lang w:eastAsia="fr-FR"/>
              </w:rPr>
              <w:t>3 938</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color w:val="000000"/>
                <w:sz w:val="16"/>
                <w:szCs w:val="18"/>
                <w:lang w:eastAsia="fr-FR"/>
              </w:rPr>
            </w:pPr>
            <w:r w:rsidRPr="00C258AD">
              <w:rPr>
                <w:color w:val="000000"/>
                <w:sz w:val="16"/>
                <w:szCs w:val="18"/>
                <w:lang w:eastAsia="fr-FR"/>
              </w:rPr>
              <w:t>92%</w:t>
            </w:r>
          </w:p>
        </w:tc>
      </w:tr>
      <w:tr w:rsidR="00AD1FA5" w:rsidRPr="00C258AD" w:rsidTr="00A43BDE">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AD1FA5" w:rsidRPr="00C258AD" w:rsidRDefault="00AD1FA5" w:rsidP="00A43BDE">
            <w:pPr>
              <w:rPr>
                <w:color w:val="000000"/>
                <w:sz w:val="16"/>
                <w:szCs w:val="18"/>
                <w:lang w:eastAsia="fr-FR"/>
              </w:rPr>
            </w:pPr>
            <w:r w:rsidRPr="00C258AD">
              <w:rPr>
                <w:color w:val="000000"/>
                <w:sz w:val="16"/>
                <w:szCs w:val="18"/>
                <w:lang w:eastAsia="fr-FR"/>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color w:val="000000"/>
                <w:sz w:val="16"/>
                <w:szCs w:val="18"/>
                <w:lang w:eastAsia="fr-FR"/>
              </w:rPr>
            </w:pPr>
            <w:r w:rsidRPr="00C258AD">
              <w:rPr>
                <w:color w:val="000000"/>
                <w:sz w:val="16"/>
                <w:szCs w:val="18"/>
                <w:lang w:eastAsia="fr-FR"/>
              </w:rPr>
              <w:t>720</w:t>
            </w:r>
          </w:p>
        </w:tc>
        <w:tc>
          <w:tcPr>
            <w:tcW w:w="1746"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color w:val="000000"/>
                <w:sz w:val="16"/>
                <w:szCs w:val="18"/>
                <w:lang w:eastAsia="fr-FR"/>
              </w:rPr>
            </w:pPr>
            <w:r w:rsidRPr="00C258AD">
              <w:rPr>
                <w:color w:val="000000"/>
                <w:sz w:val="16"/>
                <w:szCs w:val="18"/>
                <w:lang w:eastAsia="fr-FR"/>
              </w:rPr>
              <w:t>696</w:t>
            </w:r>
          </w:p>
        </w:tc>
        <w:tc>
          <w:tcPr>
            <w:tcW w:w="1745"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color w:val="000000"/>
                <w:sz w:val="16"/>
                <w:szCs w:val="18"/>
                <w:lang w:eastAsia="fr-FR"/>
              </w:rPr>
            </w:pPr>
            <w:r w:rsidRPr="00C258AD">
              <w:rPr>
                <w:color w:val="000000"/>
                <w:sz w:val="16"/>
                <w:szCs w:val="18"/>
                <w:lang w:eastAsia="fr-FR"/>
              </w:rPr>
              <w:t>611</w:t>
            </w:r>
          </w:p>
        </w:tc>
        <w:tc>
          <w:tcPr>
            <w:tcW w:w="1746"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color w:val="000000"/>
                <w:sz w:val="16"/>
                <w:szCs w:val="18"/>
                <w:lang w:eastAsia="fr-FR"/>
              </w:rPr>
            </w:pPr>
            <w:r w:rsidRPr="00C258AD">
              <w:rPr>
                <w:color w:val="000000"/>
                <w:sz w:val="16"/>
                <w:szCs w:val="18"/>
                <w:lang w:eastAsia="fr-FR"/>
              </w:rPr>
              <w:t>88%</w:t>
            </w:r>
          </w:p>
        </w:tc>
      </w:tr>
      <w:tr w:rsidR="00AD1FA5" w:rsidRPr="00C258AD" w:rsidTr="00A43BDE">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AD1FA5" w:rsidRPr="00C258AD" w:rsidRDefault="00AD1FA5" w:rsidP="00A43BDE">
            <w:pPr>
              <w:jc w:val="right"/>
              <w:rPr>
                <w:b/>
                <w:bCs/>
                <w:color w:val="000000"/>
                <w:sz w:val="16"/>
                <w:szCs w:val="18"/>
                <w:lang w:eastAsia="fr-FR"/>
              </w:rPr>
            </w:pPr>
            <w:r w:rsidRPr="00C258AD">
              <w:rPr>
                <w:b/>
                <w:bCs/>
                <w:color w:val="000000"/>
                <w:sz w:val="16"/>
                <w:szCs w:val="18"/>
                <w:lang w:eastAsia="fr-FR"/>
              </w:rPr>
              <w:t xml:space="preserve">TOTAL </w:t>
            </w:r>
          </w:p>
        </w:tc>
        <w:tc>
          <w:tcPr>
            <w:tcW w:w="1745"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b/>
                <w:bCs/>
                <w:color w:val="000000"/>
                <w:sz w:val="16"/>
                <w:szCs w:val="18"/>
                <w:lang w:eastAsia="fr-FR"/>
              </w:rPr>
            </w:pPr>
            <w:r w:rsidRPr="00C258AD">
              <w:rPr>
                <w:b/>
                <w:bCs/>
                <w:color w:val="000000"/>
                <w:sz w:val="16"/>
                <w:szCs w:val="18"/>
                <w:lang w:eastAsia="fr-FR"/>
              </w:rPr>
              <w:t>5 116</w:t>
            </w:r>
          </w:p>
        </w:tc>
        <w:tc>
          <w:tcPr>
            <w:tcW w:w="1746"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b/>
                <w:bCs/>
                <w:color w:val="000000"/>
                <w:sz w:val="16"/>
                <w:szCs w:val="18"/>
                <w:lang w:eastAsia="fr-FR"/>
              </w:rPr>
            </w:pPr>
            <w:r w:rsidRPr="00C258AD">
              <w:rPr>
                <w:b/>
                <w:bCs/>
                <w:color w:val="000000"/>
                <w:sz w:val="16"/>
                <w:szCs w:val="18"/>
                <w:lang w:eastAsia="fr-FR"/>
              </w:rPr>
              <w:t>4 972</w:t>
            </w:r>
          </w:p>
        </w:tc>
        <w:tc>
          <w:tcPr>
            <w:tcW w:w="1745"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b/>
                <w:bCs/>
                <w:color w:val="000000"/>
                <w:sz w:val="16"/>
                <w:szCs w:val="18"/>
                <w:lang w:eastAsia="fr-FR"/>
              </w:rPr>
            </w:pPr>
            <w:r w:rsidRPr="00C258AD">
              <w:rPr>
                <w:b/>
                <w:bCs/>
                <w:color w:val="000000"/>
                <w:sz w:val="16"/>
                <w:szCs w:val="18"/>
                <w:lang w:eastAsia="fr-FR"/>
              </w:rPr>
              <w:t>4 550</w:t>
            </w:r>
          </w:p>
        </w:tc>
        <w:tc>
          <w:tcPr>
            <w:tcW w:w="1746"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b/>
                <w:bCs/>
                <w:color w:val="000000"/>
                <w:sz w:val="16"/>
                <w:szCs w:val="18"/>
                <w:lang w:eastAsia="fr-FR"/>
              </w:rPr>
            </w:pPr>
            <w:r w:rsidRPr="00C258AD">
              <w:rPr>
                <w:b/>
                <w:bCs/>
                <w:color w:val="000000"/>
                <w:sz w:val="16"/>
                <w:szCs w:val="18"/>
                <w:lang w:eastAsia="fr-FR"/>
              </w:rPr>
              <w:t>92%</w:t>
            </w:r>
          </w:p>
        </w:tc>
      </w:tr>
    </w:tbl>
    <w:p w:rsidR="006E2BB1" w:rsidRPr="00C258AD" w:rsidRDefault="006E2BB1" w:rsidP="00A43BDE">
      <w:pPr>
        <w:widowControl w:val="0"/>
        <w:autoSpaceDE w:val="0"/>
        <w:autoSpaceDN w:val="0"/>
        <w:adjustRightInd w:val="0"/>
        <w:jc w:val="both"/>
      </w:pPr>
    </w:p>
    <w:p w:rsidR="006E2BB1" w:rsidRPr="00C258AD" w:rsidRDefault="006E2BB1" w:rsidP="00A43BDE">
      <w:pPr>
        <w:widowControl w:val="0"/>
        <w:autoSpaceDE w:val="0"/>
        <w:autoSpaceDN w:val="0"/>
        <w:adjustRightInd w:val="0"/>
        <w:jc w:val="both"/>
      </w:pPr>
    </w:p>
    <w:p w:rsidR="006E2BB1" w:rsidRPr="00C258AD" w:rsidRDefault="00AD1FA5" w:rsidP="00A43BDE">
      <w:pPr>
        <w:keepNext/>
        <w:rPr>
          <w:u w:val="single"/>
        </w:rPr>
      </w:pPr>
      <w:r w:rsidRPr="00C258AD">
        <w:t>A.</w:t>
      </w:r>
      <w:r w:rsidRPr="00C258AD">
        <w:tab/>
      </w:r>
      <w:r w:rsidRPr="00C258AD">
        <w:rPr>
          <w:u w:val="single"/>
        </w:rPr>
        <w:t>Budget final 2014</w:t>
      </w:r>
      <w:r w:rsidRPr="00C258AD">
        <w:rPr>
          <w:u w:val="single"/>
        </w:rPr>
        <w:noBreakHyphen/>
        <w:t>2015 après virements</w:t>
      </w:r>
    </w:p>
    <w:p w:rsidR="006E2BB1" w:rsidRPr="00C258AD" w:rsidRDefault="006E2BB1" w:rsidP="00A43BDE">
      <w:pPr>
        <w:keepNext/>
        <w:rPr>
          <w:u w:val="single"/>
        </w:rPr>
      </w:pPr>
    </w:p>
    <w:p w:rsidR="006E2BB1" w:rsidRPr="00C258AD" w:rsidRDefault="00AD1FA5" w:rsidP="00DF2EEF">
      <w:pPr>
        <w:pStyle w:val="ListParagraph"/>
        <w:numPr>
          <w:ilvl w:val="0"/>
          <w:numId w:val="93"/>
        </w:numPr>
        <w:tabs>
          <w:tab w:val="left" w:pos="709"/>
        </w:tabs>
        <w:ind w:left="0" w:firstLine="0"/>
        <w:jc w:val="both"/>
      </w:pPr>
      <w:r w:rsidRPr="00C258AD">
        <w:t>Le budget final 2014</w:t>
      </w:r>
      <w:r w:rsidRPr="00C258AD">
        <w:noBreakHyphen/>
        <w:t>2015 après virements fait apparaître un léger ajustement à la baisse pour des gains d’efficacité.</w:t>
      </w:r>
    </w:p>
    <w:p w:rsidR="006E2BB1" w:rsidRPr="00C258AD" w:rsidRDefault="006E2BB1" w:rsidP="00A43BDE">
      <w:pPr>
        <w:autoSpaceDE w:val="0"/>
        <w:autoSpaceDN w:val="0"/>
        <w:jc w:val="both"/>
        <w:rPr>
          <w:lang w:eastAsia="ko-KR"/>
        </w:rPr>
      </w:pPr>
    </w:p>
    <w:p w:rsidR="006E2BB1" w:rsidRPr="00C258AD" w:rsidRDefault="006E2BB1" w:rsidP="00A43BDE">
      <w:pPr>
        <w:autoSpaceDE w:val="0"/>
        <w:autoSpaceDN w:val="0"/>
        <w:jc w:val="both"/>
        <w:rPr>
          <w:lang w:eastAsia="ko-KR"/>
        </w:rPr>
      </w:pPr>
    </w:p>
    <w:p w:rsidR="006E2BB1" w:rsidRPr="00C258AD" w:rsidRDefault="00AD1FA5" w:rsidP="00A43BDE">
      <w:pPr>
        <w:keepNext/>
        <w:jc w:val="both"/>
        <w:rPr>
          <w:u w:val="single"/>
          <w:lang w:eastAsia="ko-KR"/>
        </w:rPr>
      </w:pPr>
      <w:r w:rsidRPr="00C258AD">
        <w:rPr>
          <w:lang w:eastAsia="ko-KR"/>
        </w:rPr>
        <w:t>B.</w:t>
      </w:r>
      <w:r w:rsidRPr="00C258AD">
        <w:rPr>
          <w:lang w:eastAsia="ko-KR"/>
        </w:rPr>
        <w:tab/>
      </w:r>
      <w:r w:rsidRPr="00C258AD">
        <w:rPr>
          <w:u w:val="single"/>
          <w:lang w:eastAsia="ko-KR"/>
        </w:rPr>
        <w:t>Utilisation du budget en 2014</w:t>
      </w:r>
      <w:r w:rsidRPr="00C258AD">
        <w:rPr>
          <w:u w:val="single"/>
          <w:lang w:eastAsia="ko-KR"/>
        </w:rPr>
        <w:noBreakHyphen/>
        <w:t>2015</w:t>
      </w:r>
    </w:p>
    <w:p w:rsidR="006E2BB1" w:rsidRPr="00C258AD" w:rsidRDefault="006E2BB1" w:rsidP="00A43BDE">
      <w:pPr>
        <w:keepNext/>
        <w:jc w:val="both"/>
        <w:rPr>
          <w:u w:val="single"/>
          <w:lang w:eastAsia="ko-KR"/>
        </w:rPr>
      </w:pPr>
    </w:p>
    <w:p w:rsidR="006E2BB1" w:rsidRPr="00C258AD" w:rsidRDefault="00AD1FA5" w:rsidP="00DF2EEF">
      <w:pPr>
        <w:pStyle w:val="ListParagraph"/>
        <w:numPr>
          <w:ilvl w:val="0"/>
          <w:numId w:val="93"/>
        </w:numPr>
        <w:tabs>
          <w:tab w:val="left" w:pos="709"/>
        </w:tabs>
        <w:ind w:left="0" w:firstLine="0"/>
        <w:jc w:val="both"/>
        <w:rPr>
          <w:lang w:eastAsia="ko-KR"/>
        </w:rPr>
      </w:pPr>
      <w:r w:rsidRPr="00C258AD">
        <w:rPr>
          <w:color w:val="000000"/>
        </w:rPr>
        <w:t xml:space="preserve">L’utilisation du budget pour les dépenses autres que les dépenses de personnel a été un peu </w:t>
      </w:r>
      <w:r w:rsidRPr="00C258AD">
        <w:t>plus faible que prévu, principalement en raison du départ du directeur de la Division de la supervision interne à la fin du mois d’avril 2015.  L’utilisation des ressources hors personnel reflète le report à 2016 du paiement d’une grande enquête sous</w:t>
      </w:r>
      <w:r w:rsidRPr="00C258AD">
        <w:noBreakHyphen/>
        <w:t>traitée à un tiers qui devait initialement être effectué en 2015.</w:t>
      </w:r>
    </w:p>
    <w:p w:rsidR="006E2BB1" w:rsidRPr="00C258AD" w:rsidRDefault="006E2BB1" w:rsidP="00305CE5">
      <w:pPr>
        <w:pStyle w:val="Heading3"/>
        <w:rPr>
          <w:lang w:eastAsia="ko-KR"/>
        </w:rPr>
      </w:pPr>
    </w:p>
    <w:p w:rsidR="006E2BB1" w:rsidRPr="00C258AD" w:rsidRDefault="009D057D">
      <w:pPr>
        <w:spacing w:after="200" w:line="276" w:lineRule="auto"/>
        <w:rPr>
          <w:lang w:eastAsia="ko-KR"/>
        </w:rPr>
      </w:pPr>
      <w:r w:rsidRPr="00C258AD">
        <w:rPr>
          <w:lang w:eastAsia="ko-KR"/>
        </w:rPr>
        <w:br w:type="page"/>
      </w:r>
    </w:p>
    <w:p w:rsidR="006E2BB1" w:rsidRPr="00C258AD" w:rsidRDefault="009D057D" w:rsidP="00305CE5">
      <w:pPr>
        <w:pStyle w:val="Heading3"/>
      </w:pPr>
      <w:bookmarkStart w:id="168" w:name="_Toc422404253"/>
      <w:bookmarkStart w:id="169" w:name="_Toc423352901"/>
      <w:bookmarkStart w:id="170" w:name="_Toc455394214"/>
      <w:r w:rsidRPr="00C258AD">
        <w:lastRenderedPageBreak/>
        <w:t>Programme 27</w:t>
      </w:r>
      <w:r w:rsidRPr="00C258AD">
        <w:tab/>
        <w:t>Services de conférences et services linguistiques</w:t>
      </w:r>
      <w:bookmarkEnd w:id="168"/>
      <w:bookmarkEnd w:id="169"/>
      <w:bookmarkEnd w:id="170"/>
    </w:p>
    <w:p w:rsidR="006E2BB1" w:rsidRPr="00C258AD" w:rsidRDefault="006E2BB1" w:rsidP="001A4D6C"/>
    <w:p w:rsidR="006E2BB1" w:rsidRPr="00C258AD" w:rsidRDefault="009D057D" w:rsidP="001A4D6C">
      <w:pPr>
        <w:rPr>
          <w:b/>
        </w:rPr>
      </w:pPr>
      <w:r w:rsidRPr="00C258AD">
        <w:rPr>
          <w:b/>
        </w:rPr>
        <w:t>Chef de programme</w:t>
      </w:r>
      <w:r w:rsidRPr="00C258AD">
        <w:rPr>
          <w:b/>
        </w:rPr>
        <w:tab/>
        <w:t>M. A. Sundaram</w:t>
      </w:r>
    </w:p>
    <w:p w:rsidR="006E2BB1" w:rsidRPr="00C258AD" w:rsidRDefault="006E2BB1" w:rsidP="001A4D6C"/>
    <w:p w:rsidR="006E2BB1" w:rsidRPr="00C258AD" w:rsidRDefault="006E2BB1" w:rsidP="001A4D6C"/>
    <w:p w:rsidR="006E2BB1" w:rsidRPr="00C258AD" w:rsidRDefault="009D057D" w:rsidP="00305CE5">
      <w:pPr>
        <w:keepNext/>
        <w:rPr>
          <w:rFonts w:cs="Arial"/>
          <w:caps/>
          <w:sz w:val="22"/>
          <w:szCs w:val="22"/>
        </w:rPr>
      </w:pPr>
      <w:r w:rsidRPr="00C258AD">
        <w:rPr>
          <w:rFonts w:cs="Arial"/>
          <w:caps/>
          <w:sz w:val="22"/>
          <w:szCs w:val="22"/>
        </w:rPr>
        <w:t>Réalisations au cours de l’exercice biennal 2014</w:t>
      </w:r>
      <w:r w:rsidRPr="00C258AD">
        <w:rPr>
          <w:rFonts w:cs="Arial"/>
          <w:caps/>
          <w:sz w:val="22"/>
          <w:szCs w:val="22"/>
        </w:rPr>
        <w:noBreakHyphen/>
        <w:t>2015</w:t>
      </w:r>
    </w:p>
    <w:p w:rsidR="006E2BB1" w:rsidRPr="00C258AD" w:rsidRDefault="006E2BB1" w:rsidP="001A4D6C">
      <w:pPr>
        <w:jc w:val="both"/>
      </w:pPr>
    </w:p>
    <w:p w:rsidR="006E2BB1" w:rsidRPr="00C258AD" w:rsidRDefault="009D057D" w:rsidP="009D057D">
      <w:pPr>
        <w:pStyle w:val="ListParagraph"/>
        <w:numPr>
          <w:ilvl w:val="0"/>
          <w:numId w:val="51"/>
        </w:numPr>
        <w:ind w:left="0" w:firstLine="0"/>
        <w:jc w:val="both"/>
        <w:rPr>
          <w:bCs/>
          <w:lang w:eastAsia="zh-CN"/>
        </w:rPr>
      </w:pPr>
      <w:r w:rsidRPr="00C258AD">
        <w:rPr>
          <w:bCs/>
          <w:lang w:eastAsia="zh-CN"/>
        </w:rPr>
        <w:t xml:space="preserve">Au cours de l’exercice biennal, le Secrétariat a continué de mettre en œuvre efficacement la politique linguistique de l’OMPI en élargissant la couverture en six langues aux </w:t>
      </w:r>
      <w:r w:rsidRPr="00C258AD">
        <w:rPr>
          <w:bCs/>
          <w:color w:val="000000"/>
        </w:rPr>
        <w:t>groupes de travail</w:t>
      </w:r>
      <w:r w:rsidRPr="00C258AD">
        <w:rPr>
          <w:rFonts w:cs="Arial"/>
          <w:bCs/>
          <w:lang w:eastAsia="zh-CN"/>
        </w:rPr>
        <w:t xml:space="preserve"> de manière progressive et rentable.  </w:t>
      </w:r>
      <w:r w:rsidRPr="00C258AD">
        <w:rPr>
          <w:bCs/>
          <w:lang w:eastAsia="zh-CN"/>
        </w:rPr>
        <w:t>Conformément au calendrier établi par les États membres, la couverture a été élargie en 2014</w:t>
      </w:r>
      <w:r w:rsidRPr="00C258AD">
        <w:rPr>
          <w:bCs/>
          <w:lang w:eastAsia="zh-CN"/>
        </w:rPr>
        <w:noBreakHyphen/>
        <w:t>2015 : i) au Groupe de travail du PCT;  ii) au Groupe de travail sur le développement juridique du système de La Haye concernant l’enregistrement international des dessins et modèles industriels;  iii) au Groupe de travail sur le développement juridique du système de Madrid concernant l’enregistrement international des marques;  et iv) au Groupe de travail sur la révision de la CIB.</w:t>
      </w:r>
    </w:p>
    <w:p w:rsidR="006E2BB1" w:rsidRPr="00C258AD" w:rsidRDefault="006E2BB1" w:rsidP="001A4D6C">
      <w:pPr>
        <w:tabs>
          <w:tab w:val="left" w:pos="709"/>
        </w:tabs>
        <w:jc w:val="both"/>
        <w:rPr>
          <w:bCs/>
        </w:rPr>
      </w:pPr>
    </w:p>
    <w:p w:rsidR="006E2BB1" w:rsidRPr="00C258AD" w:rsidRDefault="009D057D" w:rsidP="009D057D">
      <w:pPr>
        <w:pStyle w:val="ListParagraph"/>
        <w:numPr>
          <w:ilvl w:val="0"/>
          <w:numId w:val="51"/>
        </w:numPr>
        <w:tabs>
          <w:tab w:val="left" w:pos="709"/>
        </w:tabs>
        <w:ind w:left="0" w:firstLine="0"/>
        <w:jc w:val="both"/>
        <w:rPr>
          <w:bCs/>
          <w:lang w:eastAsia="zh-CN"/>
        </w:rPr>
      </w:pPr>
      <w:r w:rsidRPr="00C258AD">
        <w:rPr>
          <w:bCs/>
          <w:lang w:eastAsia="zh-CN"/>
        </w:rPr>
        <w:t>Au cours de l’exercice biennal, les services linguistiques ont continué d’avoir largement recours à la sous</w:t>
      </w:r>
      <w:r w:rsidRPr="00C258AD">
        <w:rPr>
          <w:bCs/>
          <w:lang w:eastAsia="zh-CN"/>
        </w:rPr>
        <w:noBreakHyphen/>
        <w:t>traitance de services de traduction, 59% et 54% du volume de travail étant sous</w:t>
      </w:r>
      <w:r w:rsidRPr="00C258AD">
        <w:rPr>
          <w:bCs/>
          <w:lang w:eastAsia="zh-CN"/>
        </w:rPr>
        <w:noBreakHyphen/>
        <w:t xml:space="preserve">traité à des </w:t>
      </w:r>
      <w:r w:rsidRPr="00C258AD">
        <w:t>traducteurs indépendants ou à des agences de traduction en 2014 et en 2015 respectivement</w:t>
      </w:r>
      <w:r w:rsidRPr="00C258AD">
        <w:rPr>
          <w:bCs/>
          <w:lang w:eastAsia="zh-CN"/>
        </w:rPr>
        <w:t>, contre 56% en 2013.  Afin de veiller à la qualité des traductions, les mesures de contrôle de la qualité ont été encore améliorées avec l’aide de l’</w:t>
      </w:r>
      <w:r w:rsidRPr="00C258AD">
        <w:t xml:space="preserve">équipe d’experts traducteurs et réviseurs </w:t>
      </w:r>
      <w:r w:rsidRPr="00C258AD">
        <w:rPr>
          <w:bCs/>
          <w:lang w:eastAsia="zh-CN"/>
        </w:rPr>
        <w:t xml:space="preserve">en interne.  De nouvelles mesures et procédures de travail ont été élaborées et </w:t>
      </w:r>
      <w:r w:rsidRPr="00C258AD">
        <w:t xml:space="preserve">rationalisées pour toutes les </w:t>
      </w:r>
      <w:r w:rsidRPr="00C258AD">
        <w:rPr>
          <w:bCs/>
          <w:lang w:eastAsia="zh-CN"/>
        </w:rPr>
        <w:t>sections linguistiques en 2014</w:t>
      </w:r>
      <w:r w:rsidRPr="00C258AD">
        <w:rPr>
          <w:bCs/>
          <w:lang w:eastAsia="zh-CN"/>
        </w:rPr>
        <w:noBreakHyphen/>
        <w:t>2015.</w:t>
      </w:r>
    </w:p>
    <w:p w:rsidR="006E2BB1" w:rsidRPr="00C258AD" w:rsidRDefault="006E2BB1" w:rsidP="001A4D6C">
      <w:pPr>
        <w:tabs>
          <w:tab w:val="left" w:pos="709"/>
        </w:tabs>
        <w:jc w:val="both"/>
        <w:rPr>
          <w:bCs/>
        </w:rPr>
      </w:pPr>
    </w:p>
    <w:p w:rsidR="006E2BB1" w:rsidRPr="00C258AD" w:rsidRDefault="009D057D" w:rsidP="009D057D">
      <w:pPr>
        <w:pStyle w:val="ListParagraph"/>
        <w:numPr>
          <w:ilvl w:val="0"/>
          <w:numId w:val="51"/>
        </w:numPr>
        <w:tabs>
          <w:tab w:val="left" w:pos="709"/>
        </w:tabs>
        <w:ind w:left="0" w:firstLine="0"/>
        <w:jc w:val="both"/>
        <w:rPr>
          <w:bCs/>
          <w:lang w:eastAsia="zh-CN"/>
        </w:rPr>
      </w:pPr>
      <w:r w:rsidRPr="00C258AD">
        <w:rPr>
          <w:bCs/>
          <w:lang w:eastAsia="zh-CN"/>
        </w:rPr>
        <w:t xml:space="preserve">En outre, </w:t>
      </w:r>
      <w:r w:rsidRPr="00C258AD">
        <w:rPr>
          <w:rFonts w:cs="Arial"/>
          <w:bCs/>
          <w:lang w:eastAsia="zh-CN"/>
        </w:rPr>
        <w:t xml:space="preserve">les procédures de contrôle de la qualité applicables à la traduction, notamment </w:t>
      </w:r>
      <w:r w:rsidRPr="00C258AD">
        <w:rPr>
          <w:bCs/>
          <w:lang w:eastAsia="zh-CN"/>
        </w:rPr>
        <w:t>la notion de “qualité à la source”, ont été renforcées en 2014</w:t>
      </w:r>
      <w:r w:rsidRPr="00C258AD">
        <w:rPr>
          <w:bCs/>
          <w:lang w:eastAsia="zh-CN"/>
        </w:rPr>
        <w:noBreakHyphen/>
        <w:t>2015 à l’issue d’une révision globale de la relation contractuelle de l’Organisation avec les traducteurs externes.  Seuls les traducteurs remplissant les critères établis ont été retenus, et les nouveaux traducteurs indépendants engagés ont dû se soumettre à une procédure d’examen rigoureuse.  Par ailleurs, un système de paiement en lien avec la qualité des traductions sous</w:t>
      </w:r>
      <w:r w:rsidRPr="00C258AD">
        <w:rPr>
          <w:bCs/>
          <w:lang w:eastAsia="zh-CN"/>
        </w:rPr>
        <w:noBreakHyphen/>
        <w:t xml:space="preserve">traitées et le respect des délais a été introduit.  </w:t>
      </w:r>
      <w:r w:rsidRPr="00C258AD">
        <w:rPr>
          <w:rFonts w:cs="Arial"/>
          <w:bCs/>
          <w:lang w:eastAsia="zh-CN"/>
        </w:rPr>
        <w:t>Ainsi, le taux global de traductions soumises à un contrôle de qualité est passé de moins de 10% avant la mise en œuvre de la politique linguistique (fin 2011) à 39% en 2014 et à 60% à la fin de l’exercice biennal.</w:t>
      </w:r>
    </w:p>
    <w:p w:rsidR="006E2BB1" w:rsidRPr="00C258AD" w:rsidRDefault="006E2BB1" w:rsidP="001A4D6C">
      <w:pPr>
        <w:tabs>
          <w:tab w:val="left" w:pos="709"/>
        </w:tabs>
        <w:jc w:val="both"/>
        <w:rPr>
          <w:bCs/>
        </w:rPr>
      </w:pPr>
    </w:p>
    <w:p w:rsidR="006E2BB1" w:rsidRPr="00C258AD" w:rsidRDefault="009D057D" w:rsidP="009D057D">
      <w:pPr>
        <w:pStyle w:val="ListParagraph"/>
        <w:numPr>
          <w:ilvl w:val="0"/>
          <w:numId w:val="51"/>
        </w:numPr>
        <w:tabs>
          <w:tab w:val="left" w:pos="709"/>
        </w:tabs>
        <w:ind w:left="0" w:firstLine="0"/>
        <w:jc w:val="both"/>
        <w:rPr>
          <w:bCs/>
          <w:lang w:eastAsia="zh-CN"/>
        </w:rPr>
      </w:pPr>
      <w:r w:rsidRPr="00C258AD">
        <w:rPr>
          <w:bCs/>
          <w:lang w:eastAsia="zh-CN"/>
        </w:rPr>
        <w:t>Des agences de traduction supplémentaires ont également été sélectionnées à l’issue d’appels d’offres internationaux afin de répondre aux besoins de traduction en arabe, en chinois et en russe, compte tenu des enseignements tirés en matière de sous</w:t>
      </w:r>
      <w:r w:rsidRPr="00C258AD">
        <w:rPr>
          <w:bCs/>
          <w:lang w:eastAsia="zh-CN"/>
        </w:rPr>
        <w:noBreakHyphen/>
        <w:t>traitance de traductions vers le français et l’espagnol.</w:t>
      </w:r>
    </w:p>
    <w:p w:rsidR="006E2BB1" w:rsidRPr="00C258AD" w:rsidRDefault="006E2BB1" w:rsidP="001A4D6C">
      <w:pPr>
        <w:pStyle w:val="ListParagraph"/>
        <w:numPr>
          <w:ilvl w:val="0"/>
          <w:numId w:val="0"/>
        </w:numPr>
        <w:tabs>
          <w:tab w:val="left" w:pos="709"/>
        </w:tabs>
        <w:jc w:val="both"/>
        <w:rPr>
          <w:bCs/>
          <w:lang w:eastAsia="zh-CN"/>
        </w:rPr>
      </w:pPr>
    </w:p>
    <w:p w:rsidR="006E2BB1" w:rsidRPr="00C258AD" w:rsidRDefault="009D057D" w:rsidP="009D057D">
      <w:pPr>
        <w:pStyle w:val="ListParagraph"/>
        <w:numPr>
          <w:ilvl w:val="0"/>
          <w:numId w:val="51"/>
        </w:numPr>
        <w:tabs>
          <w:tab w:val="left" w:pos="709"/>
        </w:tabs>
        <w:ind w:left="0" w:firstLine="0"/>
        <w:jc w:val="both"/>
        <w:rPr>
          <w:bCs/>
          <w:lang w:eastAsia="zh-CN"/>
        </w:rPr>
      </w:pPr>
      <w:r w:rsidRPr="00C258AD">
        <w:rPr>
          <w:rFonts w:cs="Arial"/>
          <w:bCs/>
          <w:lang w:eastAsia="zh-CN"/>
        </w:rPr>
        <w:t xml:space="preserve">En s’appuyant sur les nouveaux outils de traduction et de terminologie assistées par ordinateur, qui ont été introduits en 2014, le programme a mis en route un projet de terminologie innovant dont l’objet est la publication de données terminologiques dans les six langues de l’ONU, au moyen de la plateforme terminologique WIPO Pearl qui a été lancée récemment et qui, pour l’heure, continent uniquement des entrées liées au PCT.  En 2015, d’importants travaux ont été entrepris afin de créer, de valider et d’élargir sa base terminologique.  À la fin de l’exercice biennal, quelque 12 704 termes dans les six langues officielles de l’ONU avaient été </w:t>
      </w:r>
      <w:proofErr w:type="spellStart"/>
      <w:r w:rsidRPr="00C258AD">
        <w:rPr>
          <w:rFonts w:cs="Arial"/>
          <w:bCs/>
          <w:lang w:eastAsia="zh-CN"/>
        </w:rPr>
        <w:t>prévalidés</w:t>
      </w:r>
      <w:proofErr w:type="spellEnd"/>
      <w:r w:rsidRPr="00C258AD">
        <w:rPr>
          <w:rFonts w:cs="Arial"/>
          <w:bCs/>
          <w:lang w:eastAsia="zh-CN"/>
        </w:rPr>
        <w:t xml:space="preserve"> pour être publiés sur la plateforme terminologique commune, sous réserve de l’achèvement des travaux d’essai et de conception technique.</w:t>
      </w:r>
    </w:p>
    <w:p w:rsidR="006E2BB1" w:rsidRPr="00C258AD" w:rsidRDefault="006E2BB1" w:rsidP="001A4D6C">
      <w:pPr>
        <w:rPr>
          <w:lang w:eastAsia="zh-CN"/>
        </w:rPr>
      </w:pPr>
    </w:p>
    <w:p w:rsidR="006E2BB1" w:rsidRPr="00C258AD" w:rsidRDefault="009D057D" w:rsidP="009D057D">
      <w:pPr>
        <w:pStyle w:val="ListParagraph"/>
        <w:numPr>
          <w:ilvl w:val="0"/>
          <w:numId w:val="51"/>
        </w:numPr>
        <w:tabs>
          <w:tab w:val="left" w:pos="709"/>
        </w:tabs>
        <w:ind w:left="0" w:firstLine="0"/>
        <w:jc w:val="both"/>
        <w:rPr>
          <w:bCs/>
          <w:lang w:eastAsia="zh-CN"/>
        </w:rPr>
      </w:pPr>
      <w:r w:rsidRPr="00C258AD">
        <w:rPr>
          <w:rFonts w:cs="Arial"/>
          <w:bCs/>
          <w:lang w:eastAsia="zh-CN"/>
        </w:rPr>
        <w:t>Enfin, en raison de l’application continue et rigoureuse des mesures de rationalisation et de contrôle relatives au nombre et à la taille des documents pour toutes les réunions en 2014</w:t>
      </w:r>
      <w:r w:rsidRPr="00C258AD">
        <w:rPr>
          <w:rFonts w:cs="Arial"/>
          <w:bCs/>
          <w:lang w:eastAsia="zh-CN"/>
        </w:rPr>
        <w:noBreakHyphen/>
        <w:t>2015, le volume de traduction a connu une baisse de 8,5% (30,35 millions de mots en 2014</w:t>
      </w:r>
      <w:r w:rsidRPr="00C258AD">
        <w:rPr>
          <w:rFonts w:cs="Arial"/>
          <w:bCs/>
          <w:lang w:eastAsia="zh-CN"/>
        </w:rPr>
        <w:noBreakHyphen/>
        <w:t>2015 contre 33,17 millions en 2012</w:t>
      </w:r>
      <w:r w:rsidRPr="00C258AD">
        <w:rPr>
          <w:rFonts w:cs="Arial"/>
          <w:bCs/>
          <w:lang w:eastAsia="zh-CN"/>
        </w:rPr>
        <w:noBreakHyphen/>
        <w:t xml:space="preserve">2013), malgré l’élargissement de l’offre linguistique pour quatre des principaux groupes de travail pendant l’exercice biennal.  </w:t>
      </w:r>
      <w:r w:rsidRPr="00C258AD">
        <w:rPr>
          <w:bCs/>
          <w:lang w:eastAsia="zh-CN"/>
        </w:rPr>
        <w:t>Ces différentes mesures ont permis de réaliser des économies en 2014</w:t>
      </w:r>
      <w:r w:rsidRPr="00C258AD">
        <w:rPr>
          <w:bCs/>
          <w:lang w:eastAsia="zh-CN"/>
        </w:rPr>
        <w:noBreakHyphen/>
        <w:t>2015, et le coût de la traduction a été ramené de 0,63 franc suisse par mot en 2013 à 0,59 franc suisse en 2014, puis à 0,57 franc suisse en 2015.</w:t>
      </w:r>
    </w:p>
    <w:p w:rsidR="009D057D" w:rsidRPr="00C258AD" w:rsidRDefault="009D057D" w:rsidP="001A4D6C">
      <w:pPr>
        <w:tabs>
          <w:tab w:val="left" w:pos="709"/>
        </w:tabs>
        <w:jc w:val="both"/>
        <w:rPr>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left w:w="68" w:type="dxa"/>
          <w:bottom w:w="113" w:type="dxa"/>
          <w:right w:w="68" w:type="dxa"/>
        </w:tblCellMar>
        <w:tblLook w:val="04A0" w:firstRow="1" w:lastRow="0" w:firstColumn="1" w:lastColumn="0" w:noHBand="0" w:noVBand="1"/>
      </w:tblPr>
      <w:tblGrid>
        <w:gridCol w:w="4745"/>
        <w:gridCol w:w="4746"/>
      </w:tblGrid>
      <w:tr w:rsidR="009D057D" w:rsidRPr="00C258AD" w:rsidTr="001A4D6C">
        <w:trPr>
          <w:cantSplit/>
        </w:trPr>
        <w:tc>
          <w:tcPr>
            <w:tcW w:w="4745" w:type="dxa"/>
          </w:tcPr>
          <w:p w:rsidR="009D057D" w:rsidRPr="00C258AD" w:rsidRDefault="009D057D" w:rsidP="001A4D6C">
            <w:pPr>
              <w:keepNext/>
              <w:tabs>
                <w:tab w:val="left" w:pos="709"/>
              </w:tabs>
              <w:jc w:val="center"/>
              <w:rPr>
                <w:bCs/>
              </w:rPr>
            </w:pPr>
            <w:r w:rsidRPr="00C258AD">
              <w:rPr>
                <w:i/>
                <w:szCs w:val="16"/>
              </w:rPr>
              <w:lastRenderedPageBreak/>
              <w:t>Volume de traduction, 2012</w:t>
            </w:r>
            <w:r w:rsidRPr="00C258AD">
              <w:rPr>
                <w:i/>
                <w:szCs w:val="16"/>
              </w:rPr>
              <w:noBreakHyphen/>
              <w:t>2015</w:t>
            </w:r>
          </w:p>
        </w:tc>
        <w:tc>
          <w:tcPr>
            <w:tcW w:w="4746" w:type="dxa"/>
          </w:tcPr>
          <w:p w:rsidR="009D057D" w:rsidRPr="00C258AD" w:rsidRDefault="009D057D" w:rsidP="001A4D6C">
            <w:pPr>
              <w:keepNext/>
              <w:tabs>
                <w:tab w:val="left" w:pos="709"/>
              </w:tabs>
              <w:jc w:val="center"/>
              <w:rPr>
                <w:bCs/>
              </w:rPr>
            </w:pPr>
            <w:r w:rsidRPr="00C258AD">
              <w:rPr>
                <w:i/>
                <w:szCs w:val="16"/>
              </w:rPr>
              <w:t>Coût par mot traduit, 2013</w:t>
            </w:r>
            <w:r w:rsidRPr="00C258AD">
              <w:rPr>
                <w:i/>
                <w:szCs w:val="16"/>
              </w:rPr>
              <w:noBreakHyphen/>
              <w:t>2015</w:t>
            </w:r>
          </w:p>
        </w:tc>
      </w:tr>
      <w:tr w:rsidR="009D057D" w:rsidRPr="00C258AD" w:rsidTr="001A4D6C">
        <w:trPr>
          <w:cantSplit/>
        </w:trPr>
        <w:tc>
          <w:tcPr>
            <w:tcW w:w="4745" w:type="dxa"/>
          </w:tcPr>
          <w:p w:rsidR="009D057D" w:rsidRPr="00C258AD" w:rsidRDefault="009D057D" w:rsidP="001A4D6C">
            <w:pPr>
              <w:tabs>
                <w:tab w:val="left" w:pos="709"/>
              </w:tabs>
              <w:jc w:val="both"/>
              <w:rPr>
                <w:bCs/>
              </w:rPr>
            </w:pPr>
            <w:r w:rsidRPr="00C258AD">
              <w:rPr>
                <w:bCs/>
                <w:noProof/>
                <w:lang w:val="en-US"/>
              </w:rPr>
              <w:drawing>
                <wp:inline distT="0" distB="0" distL="0" distR="0" wp14:anchorId="0BFB8833" wp14:editId="4BA4D030">
                  <wp:extent cx="2922905" cy="19583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922905" cy="1958340"/>
                          </a:xfrm>
                          <a:prstGeom prst="rect">
                            <a:avLst/>
                          </a:prstGeom>
                          <a:noFill/>
                          <a:ln>
                            <a:noFill/>
                          </a:ln>
                        </pic:spPr>
                      </pic:pic>
                    </a:graphicData>
                  </a:graphic>
                </wp:inline>
              </w:drawing>
            </w:r>
          </w:p>
        </w:tc>
        <w:tc>
          <w:tcPr>
            <w:tcW w:w="4746" w:type="dxa"/>
          </w:tcPr>
          <w:p w:rsidR="009D057D" w:rsidRPr="00C258AD" w:rsidRDefault="009D057D" w:rsidP="001A4D6C">
            <w:pPr>
              <w:tabs>
                <w:tab w:val="left" w:pos="709"/>
              </w:tabs>
              <w:jc w:val="both"/>
              <w:rPr>
                <w:bCs/>
              </w:rPr>
            </w:pPr>
            <w:r w:rsidRPr="00C258AD">
              <w:rPr>
                <w:bCs/>
                <w:noProof/>
                <w:lang w:val="en-US"/>
              </w:rPr>
              <w:drawing>
                <wp:inline distT="0" distB="0" distL="0" distR="0" wp14:anchorId="0CD39C1B" wp14:editId="2D18630B">
                  <wp:extent cx="2922905" cy="195834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922905" cy="1958340"/>
                          </a:xfrm>
                          <a:prstGeom prst="rect">
                            <a:avLst/>
                          </a:prstGeom>
                          <a:noFill/>
                          <a:ln>
                            <a:noFill/>
                          </a:ln>
                        </pic:spPr>
                      </pic:pic>
                    </a:graphicData>
                  </a:graphic>
                </wp:inline>
              </w:drawing>
            </w:r>
          </w:p>
        </w:tc>
      </w:tr>
    </w:tbl>
    <w:p w:rsidR="006E2BB1" w:rsidRPr="00C258AD" w:rsidRDefault="006E2BB1" w:rsidP="001A4D6C">
      <w:pPr>
        <w:tabs>
          <w:tab w:val="left" w:pos="709"/>
        </w:tabs>
        <w:jc w:val="both"/>
        <w:rPr>
          <w:bCs/>
        </w:rPr>
      </w:pPr>
    </w:p>
    <w:p w:rsidR="006E2BB1" w:rsidRPr="00C258AD" w:rsidRDefault="009D057D" w:rsidP="009D057D">
      <w:pPr>
        <w:pStyle w:val="ListParagraph"/>
        <w:numPr>
          <w:ilvl w:val="0"/>
          <w:numId w:val="51"/>
        </w:numPr>
        <w:tabs>
          <w:tab w:val="left" w:pos="709"/>
        </w:tabs>
        <w:ind w:left="0" w:firstLine="0"/>
        <w:jc w:val="both"/>
        <w:rPr>
          <w:bCs/>
        </w:rPr>
      </w:pPr>
      <w:r w:rsidRPr="00C258AD">
        <w:rPr>
          <w:bCs/>
        </w:rPr>
        <w:t>Des services d’interprétation efficaces et de qualité ont continué d’être fournis lors de toutes les réunions de l’OMPI et d’autres manifestations, au siège et ailleurs, selon les besoins.</w:t>
      </w:r>
    </w:p>
    <w:p w:rsidR="006E2BB1" w:rsidRPr="00C258AD" w:rsidRDefault="006E2BB1" w:rsidP="001A4D6C">
      <w:pPr>
        <w:tabs>
          <w:tab w:val="left" w:pos="709"/>
        </w:tabs>
        <w:jc w:val="both"/>
        <w:rPr>
          <w:bCs/>
        </w:rPr>
      </w:pPr>
    </w:p>
    <w:p w:rsidR="006E2BB1" w:rsidRPr="00C258AD" w:rsidRDefault="009D057D" w:rsidP="009D057D">
      <w:pPr>
        <w:pStyle w:val="ListParagraph"/>
        <w:numPr>
          <w:ilvl w:val="0"/>
          <w:numId w:val="51"/>
        </w:numPr>
        <w:tabs>
          <w:tab w:val="left" w:pos="709"/>
        </w:tabs>
        <w:ind w:left="0" w:firstLine="0"/>
        <w:jc w:val="both"/>
      </w:pPr>
      <w:r w:rsidRPr="00C258AD">
        <w:rPr>
          <w:color w:val="000000"/>
          <w:lang w:eastAsia="zh-CN"/>
        </w:rPr>
        <w:t>Après plusieurs années de forte augmentation, le nombre de réunions organisées à Genève s’est stabilisé sur la période 2014</w:t>
      </w:r>
      <w:r w:rsidRPr="00C258AD">
        <w:rPr>
          <w:color w:val="000000"/>
          <w:lang w:eastAsia="zh-CN"/>
        </w:rPr>
        <w:noBreakHyphen/>
        <w:t xml:space="preserve">2015, avec 209 réunions principales, dont la </w:t>
      </w:r>
      <w:r w:rsidRPr="00C258AD">
        <w:rPr>
          <w:lang w:eastAsia="zh-CN"/>
        </w:rPr>
        <w:t>Conférence diplomatique pour l’adoption d’un nouvel Acte de l’Arrangement de Lisbonne concernant la protection des appellations d’origine et leur enregistrement international</w:t>
      </w:r>
      <w:r w:rsidRPr="00C258AD">
        <w:rPr>
          <w:color w:val="000000"/>
          <w:lang w:eastAsia="zh-CN"/>
        </w:rPr>
        <w:t>, contre 260 en 2012</w:t>
      </w:r>
      <w:r w:rsidRPr="00C258AD">
        <w:rPr>
          <w:color w:val="000000"/>
          <w:lang w:eastAsia="zh-CN"/>
        </w:rPr>
        <w:noBreakHyphen/>
        <w:t>2013.  Des services d’appui aux conférences ont aussi été fournis à une moyenne annuelle de 5600 (environ 5400 en 2014 et 5800 en 2015) réunions ad hoc (consultations informelles, réunions bilatérales, exposés, événements parallèles, visites officielles et réunions internes) dans les locaux de l’OMPI à Genève;  un chiffre stable comparé aux 11 200 réunions de l’exercice biennal 2012</w:t>
      </w:r>
      <w:r w:rsidRPr="00C258AD">
        <w:rPr>
          <w:color w:val="000000"/>
          <w:lang w:eastAsia="zh-CN"/>
        </w:rPr>
        <w:noBreakHyphen/>
        <w:t>2013.</w:t>
      </w:r>
      <w:r w:rsidRPr="00C258AD">
        <w:rPr>
          <w:color w:val="000000"/>
        </w:rPr>
        <w:t xml:space="preserve">  </w:t>
      </w:r>
      <w:r w:rsidRPr="00C258AD">
        <w:rPr>
          <w:lang w:eastAsia="zh-CN"/>
        </w:rPr>
        <w:t xml:space="preserve">Environ 140 de ces réunions ont eu lieu en dehors </w:t>
      </w:r>
      <w:r w:rsidRPr="00C258AD">
        <w:t>des heures de réunion habituelles, c’est</w:t>
      </w:r>
      <w:r w:rsidRPr="00C258AD">
        <w:noBreakHyphen/>
        <w:t>à</w:t>
      </w:r>
      <w:r w:rsidRPr="00C258AD">
        <w:noBreakHyphen/>
        <w:t>dire après 18 h 30 ou pendant le week</w:t>
      </w:r>
      <w:r w:rsidRPr="00C258AD">
        <w:noBreakHyphen/>
        <w:t>end</w:t>
      </w:r>
      <w:r w:rsidRPr="00C258AD">
        <w:rPr>
          <w:lang w:eastAsia="zh-CN"/>
        </w:rPr>
        <w:t>, contre 167 en 2012</w:t>
      </w:r>
      <w:r w:rsidRPr="00C258AD">
        <w:rPr>
          <w:lang w:eastAsia="zh-CN"/>
        </w:rPr>
        <w:noBreakHyphen/>
        <w:t>2013.</w:t>
      </w:r>
    </w:p>
    <w:p w:rsidR="006E2BB1" w:rsidRPr="00C258AD" w:rsidRDefault="006E2BB1" w:rsidP="001A4D6C"/>
    <w:p w:rsidR="006E2BB1" w:rsidRPr="00C258AD" w:rsidRDefault="009D057D" w:rsidP="009D057D">
      <w:pPr>
        <w:pStyle w:val="Default"/>
        <w:numPr>
          <w:ilvl w:val="0"/>
          <w:numId w:val="51"/>
        </w:numPr>
        <w:tabs>
          <w:tab w:val="left" w:pos="709"/>
        </w:tabs>
        <w:ind w:left="0" w:firstLine="0"/>
        <w:jc w:val="both"/>
        <w:rPr>
          <w:sz w:val="20"/>
          <w:szCs w:val="20"/>
        </w:rPr>
      </w:pPr>
      <w:r w:rsidRPr="00C258AD">
        <w:rPr>
          <w:sz w:val="20"/>
          <w:szCs w:val="20"/>
        </w:rPr>
        <w:t xml:space="preserve">Il est particulièrement intéressant de noter qu’au cours de l’exercice biennal, la transition vers les nouvelles installations de conférence et le passage au nouveau système d’enregistrement, inaugurés au cours du dernier trimestre de 2014, se sont déroulés sans accroc.  </w:t>
      </w:r>
      <w:r w:rsidRPr="00C258AD">
        <w:rPr>
          <w:sz w:val="20"/>
        </w:rPr>
        <w:t>En 2015, à la suite d’une série de consultations avec les parties prenantes internes pertinentes,</w:t>
      </w:r>
      <w:r w:rsidRPr="00C258AD">
        <w:t xml:space="preserve"> </w:t>
      </w:r>
      <w:r w:rsidRPr="00C258AD">
        <w:rPr>
          <w:sz w:val="20"/>
        </w:rPr>
        <w:t>les conditions et modalités d’utilisation relatives à la location de la nouvelle salle de conférence de l’OMPI et des installations adjacentes aux États membres ou à des entités extérieures pour des activités autres que les réunions de l’OMPI ont été établies et cinq manifestations de ce type ont été accueillies</w:t>
      </w:r>
      <w:r w:rsidRPr="00C258AD">
        <w:rPr>
          <w:rStyle w:val="FootnoteReference"/>
          <w:sz w:val="20"/>
        </w:rPr>
        <w:footnoteReference w:id="146"/>
      </w:r>
      <w:r w:rsidRPr="00C258AD">
        <w:rPr>
          <w:sz w:val="20"/>
          <w:szCs w:val="20"/>
        </w:rPr>
        <w:t>.</w:t>
      </w:r>
    </w:p>
    <w:p w:rsidR="006E2BB1" w:rsidRPr="00C258AD" w:rsidRDefault="006E2BB1" w:rsidP="001A4D6C">
      <w:pPr>
        <w:tabs>
          <w:tab w:val="left" w:pos="709"/>
        </w:tabs>
        <w:jc w:val="both"/>
      </w:pPr>
    </w:p>
    <w:p w:rsidR="006E2BB1" w:rsidRPr="00C258AD" w:rsidRDefault="009D057D" w:rsidP="009D057D">
      <w:pPr>
        <w:pStyle w:val="Default"/>
        <w:numPr>
          <w:ilvl w:val="0"/>
          <w:numId w:val="51"/>
        </w:numPr>
        <w:tabs>
          <w:tab w:val="left" w:pos="709"/>
        </w:tabs>
        <w:ind w:left="0" w:firstLine="0"/>
        <w:jc w:val="both"/>
        <w:rPr>
          <w:sz w:val="20"/>
          <w:szCs w:val="20"/>
        </w:rPr>
      </w:pPr>
      <w:r w:rsidRPr="00C258AD">
        <w:rPr>
          <w:sz w:val="20"/>
        </w:rPr>
        <w:t>S’agissant de la publication des documents de réunion en temps opportun, le système de surveillance des dates de publication mis en place en 2014 et les mécanismes de suivi déployés avec les secrétariats des réunions avaient permis d’améliorer la ponctualité au cours de l’exercice biennal, à hauteur de 28 points de pourcentage en 2015 (69% des documents publiés deux mois avant la réunion concernée, contre 41% en 2014).</w:t>
      </w:r>
    </w:p>
    <w:p w:rsidR="006E2BB1" w:rsidRPr="00C258AD" w:rsidRDefault="006E2BB1" w:rsidP="001A4D6C">
      <w:pPr>
        <w:tabs>
          <w:tab w:val="left" w:pos="709"/>
        </w:tabs>
        <w:jc w:val="both"/>
        <w:rPr>
          <w:bCs/>
        </w:rPr>
      </w:pPr>
    </w:p>
    <w:p w:rsidR="006E2BB1" w:rsidRPr="00C258AD" w:rsidRDefault="009D057D" w:rsidP="009D057D">
      <w:pPr>
        <w:pStyle w:val="ListParagraph"/>
        <w:numPr>
          <w:ilvl w:val="0"/>
          <w:numId w:val="51"/>
        </w:numPr>
        <w:tabs>
          <w:tab w:val="left" w:pos="851"/>
        </w:tabs>
        <w:ind w:left="0" w:firstLine="0"/>
        <w:jc w:val="both"/>
      </w:pPr>
      <w:r w:rsidRPr="00C258AD">
        <w:t>Suite à l’adoption de la politique de gestion des documents et d’archivage en 2012</w:t>
      </w:r>
      <w:r w:rsidRPr="00C258AD">
        <w:noBreakHyphen/>
        <w:t>2013, de grands progrès ont été accomplis en 2014</w:t>
      </w:r>
      <w:r w:rsidRPr="00C258AD">
        <w:noBreakHyphen/>
        <w:t xml:space="preserve">2015 en matière d’établissement de plans d’archivage et d’amélioration de la gestion des documents et de l’archivage.  Dans ce contexte, </w:t>
      </w:r>
      <w:proofErr w:type="spellStart"/>
      <w:r w:rsidRPr="00C258AD">
        <w:t>Livelink</w:t>
      </w:r>
      <w:proofErr w:type="spellEnd"/>
      <w:r w:rsidRPr="00C258AD">
        <w:t>, le logiciel utilisé pour la gestion des documents et l’archivage, a été mis à niveau en 2015, afin de garantir : i) sa compatibilité avec Windows 7 et Windows Server 2012;  ii) la continuité des opérations d’enregistrement et de stockage des documents et archives de l’OMPI;  et iii) une meilleure solution d’archivage des documents de divers secteurs.</w:t>
      </w:r>
    </w:p>
    <w:p w:rsidR="006E2BB1" w:rsidRPr="00C258AD" w:rsidRDefault="006E2BB1" w:rsidP="001A4D6C">
      <w:pPr>
        <w:tabs>
          <w:tab w:val="left" w:pos="709"/>
        </w:tabs>
        <w:jc w:val="both"/>
      </w:pPr>
    </w:p>
    <w:p w:rsidR="006E2BB1" w:rsidRPr="00C258AD" w:rsidRDefault="009D057D" w:rsidP="009D057D">
      <w:pPr>
        <w:pStyle w:val="ListParagraph"/>
        <w:numPr>
          <w:ilvl w:val="0"/>
          <w:numId w:val="51"/>
        </w:numPr>
        <w:tabs>
          <w:tab w:val="left" w:pos="709"/>
        </w:tabs>
        <w:ind w:left="0" w:firstLine="0"/>
        <w:jc w:val="both"/>
      </w:pPr>
      <w:r w:rsidRPr="00C258AD">
        <w:t xml:space="preserve">Le programme a poursuivi ses efforts visant à réduire les frais d’envoi en négociant les tarifs avec des prestataires extérieurs, en développant l’utilisation d’options d’envoi plus économiques (par exemple lettres recommandées au lieu de courrier express), et en introduisant un système de groupement </w:t>
      </w:r>
      <w:r w:rsidRPr="00C258AD">
        <w:lastRenderedPageBreak/>
        <w:t>d’adresses, ce qui a permis une baisse de 4% du nombre d’envois en 2015 par rapport à 2014.  Dans l’ensemble, ces efforts concertés ont donné lieu à une diminution globale des coûts d’envoi de 7,2% en 2015 par rapport à 2014 et de 11% par rapport à 2013.</w:t>
      </w:r>
    </w:p>
    <w:p w:rsidR="006E2BB1" w:rsidRPr="00C258AD" w:rsidRDefault="006E2BB1" w:rsidP="001A4D6C">
      <w:pPr>
        <w:pStyle w:val="ListParagraph"/>
        <w:numPr>
          <w:ilvl w:val="0"/>
          <w:numId w:val="0"/>
        </w:numPr>
        <w:tabs>
          <w:tab w:val="left" w:pos="709"/>
        </w:tabs>
        <w:jc w:val="both"/>
      </w:pPr>
    </w:p>
    <w:p w:rsidR="006E2BB1" w:rsidRPr="00C258AD" w:rsidRDefault="009D057D" w:rsidP="009D057D">
      <w:pPr>
        <w:pStyle w:val="ListParagraph"/>
        <w:numPr>
          <w:ilvl w:val="0"/>
          <w:numId w:val="51"/>
        </w:numPr>
        <w:tabs>
          <w:tab w:val="left" w:pos="709"/>
        </w:tabs>
        <w:ind w:left="0" w:firstLine="0"/>
        <w:jc w:val="both"/>
      </w:pPr>
      <w:r w:rsidRPr="00C258AD">
        <w:t>En 2014</w:t>
      </w:r>
      <w:r w:rsidRPr="00C258AD">
        <w:noBreakHyphen/>
        <w:t>2015, l’OMPI a continué de fournir des services d’impression de manière efficace et dans les meilleurs délais.  Le volume d’impression est resté à des niveaux similaires durant les deux années de l’exercice.  Par ailleurs, la baisse de 25% du coût d’impression par page observée en 2014 suite à la renégociation des services</w:t>
      </w:r>
      <w:r w:rsidRPr="00C258AD">
        <w:rPr>
          <w:rFonts w:cs="Arial"/>
          <w:bCs/>
          <w:lang w:eastAsia="zh-CN"/>
        </w:rPr>
        <w:t xml:space="preserve"> de location a été maintenue, avec un coût de 0,15 franc suisse en 2015, contre 0,20</w:t>
      </w:r>
      <w:r w:rsidRPr="00C258AD">
        <w:rPr>
          <w:rStyle w:val="FootnoteReference"/>
          <w:rFonts w:eastAsia="SimSun"/>
          <w:bCs/>
        </w:rPr>
        <w:footnoteReference w:id="147"/>
      </w:r>
      <w:r w:rsidRPr="00C258AD">
        <w:rPr>
          <w:rFonts w:cs="Arial"/>
          <w:bCs/>
          <w:lang w:eastAsia="zh-CN"/>
        </w:rPr>
        <w:t xml:space="preserve"> franc suisse à la fin de 2013.</w:t>
      </w:r>
    </w:p>
    <w:p w:rsidR="006E2BB1" w:rsidRPr="00C258AD" w:rsidRDefault="006E2BB1" w:rsidP="001A4D6C">
      <w:pPr>
        <w:keepNext/>
        <w:jc w:val="both"/>
      </w:pPr>
    </w:p>
    <w:p w:rsidR="006E2BB1" w:rsidRPr="00C258AD" w:rsidRDefault="006E2BB1" w:rsidP="001A4D6C">
      <w:pPr>
        <w:jc w:val="both"/>
      </w:pPr>
    </w:p>
    <w:p w:rsidR="006E2BB1" w:rsidRPr="00C258AD" w:rsidRDefault="009D057D" w:rsidP="00305CE5">
      <w:pPr>
        <w:keepNext/>
        <w:rPr>
          <w:rFonts w:cs="Arial"/>
          <w:caps/>
          <w:sz w:val="22"/>
          <w:szCs w:val="22"/>
        </w:rPr>
      </w:pPr>
      <w:r w:rsidRPr="00C258AD">
        <w:rPr>
          <w:rFonts w:cs="Arial"/>
          <w:caps/>
          <w:sz w:val="22"/>
          <w:szCs w:val="22"/>
        </w:rPr>
        <w:t>Données relatives à l’exécution</w:t>
      </w:r>
    </w:p>
    <w:p w:rsidR="009D057D" w:rsidRPr="00C258AD" w:rsidRDefault="009D057D" w:rsidP="001A4D6C"/>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159"/>
        <w:gridCol w:w="2156"/>
        <w:gridCol w:w="1581"/>
        <w:gridCol w:w="2445"/>
        <w:gridCol w:w="1150"/>
      </w:tblGrid>
      <w:tr w:rsidR="009D057D" w:rsidRPr="00C258AD" w:rsidTr="001A4D6C">
        <w:trPr>
          <w:cantSplit/>
        </w:trPr>
        <w:tc>
          <w:tcPr>
            <w:tcW w:w="5000" w:type="pct"/>
            <w:gridSpan w:val="5"/>
            <w:tcBorders>
              <w:top w:val="single" w:sz="4" w:space="0" w:color="auto"/>
              <w:bottom w:val="single" w:sz="4" w:space="0" w:color="auto"/>
            </w:tcBorders>
            <w:shd w:val="clear" w:color="auto" w:fill="C5D9F1"/>
            <w:vAlign w:val="center"/>
          </w:tcPr>
          <w:p w:rsidR="009D057D" w:rsidRPr="00C258AD" w:rsidRDefault="009D057D" w:rsidP="001A4D6C">
            <w:pPr>
              <w:rPr>
                <w:b/>
                <w:bCs/>
                <w:sz w:val="16"/>
                <w:szCs w:val="16"/>
              </w:rPr>
            </w:pPr>
            <w:r w:rsidRPr="00C258AD">
              <w:rPr>
                <w:b/>
                <w:bCs/>
                <w:sz w:val="16"/>
                <w:szCs w:val="16"/>
              </w:rPr>
              <w:t xml:space="preserve">Résultat escompté : </w:t>
            </w:r>
            <w:r w:rsidRPr="00C258AD">
              <w:rPr>
                <w:sz w:val="16"/>
                <w:szCs w:val="16"/>
              </w:rPr>
              <w:t xml:space="preserve">IX.1 </w:t>
            </w:r>
            <w:r w:rsidRPr="00C258AD">
              <w:rPr>
                <w:sz w:val="16"/>
                <w:szCs w:val="16"/>
                <w:lang w:eastAsia="fr-FR"/>
              </w:rPr>
              <w:t>Services d’appui efficaces, efficients, de qualité et tournés vers la clientèle, à l’intention à la fois des clients internes et des parties prenantes externes</w:t>
            </w:r>
          </w:p>
        </w:tc>
      </w:tr>
      <w:tr w:rsidR="009D057D" w:rsidRPr="00C258AD" w:rsidTr="001A4D6C">
        <w:trPr>
          <w:cantSplit/>
        </w:trPr>
        <w:tc>
          <w:tcPr>
            <w:tcW w:w="1137" w:type="pct"/>
            <w:tcBorders>
              <w:top w:val="single" w:sz="4" w:space="0" w:color="auto"/>
              <w:bottom w:val="nil"/>
              <w:right w:val="nil"/>
            </w:tcBorders>
            <w:shd w:val="clear" w:color="auto" w:fill="auto"/>
            <w:vAlign w:val="center"/>
          </w:tcPr>
          <w:p w:rsidR="009D057D" w:rsidRPr="00C258AD" w:rsidRDefault="009D057D" w:rsidP="001A4D6C">
            <w:pPr>
              <w:jc w:val="center"/>
              <w:rPr>
                <w:sz w:val="16"/>
                <w:szCs w:val="16"/>
              </w:rPr>
            </w:pPr>
            <w:r w:rsidRPr="00C258AD">
              <w:rPr>
                <w:b/>
                <w:bCs/>
                <w:sz w:val="16"/>
                <w:szCs w:val="16"/>
              </w:rPr>
              <w:t>Indicateurs d’exécution</w:t>
            </w:r>
          </w:p>
        </w:tc>
        <w:tc>
          <w:tcPr>
            <w:tcW w:w="1136" w:type="pct"/>
            <w:tcBorders>
              <w:top w:val="single" w:sz="4" w:space="0" w:color="auto"/>
              <w:left w:val="nil"/>
              <w:bottom w:val="nil"/>
              <w:right w:val="nil"/>
            </w:tcBorders>
            <w:shd w:val="clear" w:color="auto" w:fill="auto"/>
            <w:vAlign w:val="center"/>
          </w:tcPr>
          <w:p w:rsidR="009D057D" w:rsidRPr="00C258AD" w:rsidRDefault="009D057D" w:rsidP="001A4D6C">
            <w:pPr>
              <w:jc w:val="center"/>
              <w:rPr>
                <w:b/>
                <w:bCs/>
                <w:sz w:val="16"/>
                <w:szCs w:val="16"/>
              </w:rPr>
            </w:pPr>
            <w:r w:rsidRPr="00C258AD">
              <w:rPr>
                <w:b/>
                <w:bCs/>
                <w:sz w:val="16"/>
                <w:szCs w:val="16"/>
              </w:rPr>
              <w:t>Niveaux de référence</w:t>
            </w:r>
          </w:p>
        </w:tc>
        <w:tc>
          <w:tcPr>
            <w:tcW w:w="833" w:type="pct"/>
            <w:tcBorders>
              <w:top w:val="single" w:sz="4" w:space="0" w:color="auto"/>
              <w:left w:val="nil"/>
              <w:bottom w:val="nil"/>
              <w:right w:val="nil"/>
            </w:tcBorders>
            <w:shd w:val="clear" w:color="auto" w:fill="auto"/>
            <w:tcMar>
              <w:top w:w="110" w:type="dxa"/>
            </w:tcMar>
            <w:vAlign w:val="center"/>
          </w:tcPr>
          <w:p w:rsidR="009D057D" w:rsidRPr="00C258AD" w:rsidRDefault="009D057D" w:rsidP="001A4D6C">
            <w:pPr>
              <w:jc w:val="center"/>
              <w:rPr>
                <w:b/>
                <w:sz w:val="16"/>
                <w:szCs w:val="16"/>
              </w:rPr>
            </w:pPr>
            <w:r w:rsidRPr="00C258AD">
              <w:rPr>
                <w:b/>
                <w:sz w:val="16"/>
                <w:szCs w:val="16"/>
              </w:rPr>
              <w:t>Objectifs visés</w:t>
            </w:r>
          </w:p>
        </w:tc>
        <w:tc>
          <w:tcPr>
            <w:tcW w:w="1288" w:type="pct"/>
            <w:tcBorders>
              <w:top w:val="single" w:sz="4" w:space="0" w:color="auto"/>
              <w:left w:val="nil"/>
              <w:bottom w:val="nil"/>
              <w:right w:val="nil"/>
            </w:tcBorders>
            <w:shd w:val="clear" w:color="auto" w:fill="FFFFFF"/>
            <w:tcMar>
              <w:top w:w="110" w:type="dxa"/>
            </w:tcMar>
            <w:vAlign w:val="center"/>
          </w:tcPr>
          <w:p w:rsidR="009D057D" w:rsidRPr="00C258AD" w:rsidRDefault="009D057D" w:rsidP="001A4D6C">
            <w:pPr>
              <w:jc w:val="center"/>
              <w:rPr>
                <w:sz w:val="16"/>
                <w:szCs w:val="16"/>
              </w:rPr>
            </w:pPr>
            <w:r w:rsidRPr="00C258AD">
              <w:rPr>
                <w:b/>
                <w:bCs/>
                <w:sz w:val="16"/>
                <w:szCs w:val="16"/>
              </w:rPr>
              <w:t>Données relatives à l’exécution</w:t>
            </w:r>
          </w:p>
        </w:tc>
        <w:tc>
          <w:tcPr>
            <w:tcW w:w="606" w:type="pct"/>
            <w:tcBorders>
              <w:top w:val="single" w:sz="4" w:space="0" w:color="auto"/>
              <w:left w:val="nil"/>
              <w:bottom w:val="nil"/>
            </w:tcBorders>
            <w:shd w:val="clear" w:color="auto" w:fill="auto"/>
            <w:tcMar>
              <w:top w:w="110" w:type="dxa"/>
            </w:tcMar>
            <w:vAlign w:val="center"/>
          </w:tcPr>
          <w:p w:rsidR="009D057D" w:rsidRPr="00C258AD" w:rsidRDefault="009D057D" w:rsidP="001A4D6C">
            <w:pPr>
              <w:jc w:val="center"/>
              <w:rPr>
                <w:b/>
                <w:bCs/>
                <w:sz w:val="16"/>
                <w:szCs w:val="16"/>
              </w:rPr>
            </w:pPr>
            <w:r w:rsidRPr="00C258AD">
              <w:rPr>
                <w:b/>
                <w:bCs/>
                <w:sz w:val="16"/>
                <w:szCs w:val="16"/>
              </w:rPr>
              <w:t>Code de couleurs</w:t>
            </w:r>
          </w:p>
        </w:tc>
      </w:tr>
      <w:tr w:rsidR="009D057D" w:rsidRPr="00C258AD" w:rsidTr="001A4D6C">
        <w:trPr>
          <w:cantSplit/>
        </w:trPr>
        <w:tc>
          <w:tcPr>
            <w:tcW w:w="1137" w:type="pct"/>
            <w:tcBorders>
              <w:top w:val="nil"/>
            </w:tcBorders>
            <w:shd w:val="clear" w:color="auto" w:fill="auto"/>
          </w:tcPr>
          <w:p w:rsidR="009D057D" w:rsidRPr="00C258AD" w:rsidRDefault="009D057D" w:rsidP="001A4D6C">
            <w:pPr>
              <w:ind w:leftChars="-1" w:left="1" w:hangingChars="2" w:hanging="3"/>
              <w:rPr>
                <w:sz w:val="16"/>
                <w:szCs w:val="16"/>
              </w:rPr>
            </w:pPr>
            <w:r w:rsidRPr="00C258AD">
              <w:rPr>
                <w:sz w:val="16"/>
                <w:szCs w:val="16"/>
              </w:rPr>
              <w:t>Pourcentage de participants internes et externes satisfaits des services de conférence de l’OMPI</w:t>
            </w:r>
          </w:p>
        </w:tc>
        <w:tc>
          <w:tcPr>
            <w:tcW w:w="1136" w:type="pct"/>
            <w:tcBorders>
              <w:top w:val="nil"/>
            </w:tcBorders>
            <w:shd w:val="clear" w:color="auto" w:fill="auto"/>
          </w:tcPr>
          <w:p w:rsidR="006E2BB1" w:rsidRPr="00C258AD" w:rsidRDefault="009D057D" w:rsidP="001A4D6C">
            <w:pPr>
              <w:autoSpaceDE w:val="0"/>
              <w:autoSpaceDN w:val="0"/>
              <w:adjustRightInd w:val="0"/>
              <w:rPr>
                <w:rFonts w:eastAsia="Batang"/>
                <w:color w:val="002060"/>
                <w:sz w:val="16"/>
                <w:szCs w:val="16"/>
                <w:lang w:eastAsia="ja-JP"/>
              </w:rPr>
            </w:pPr>
            <w:r w:rsidRPr="00C258AD">
              <w:rPr>
                <w:rFonts w:eastAsia="Batang"/>
                <w:i/>
                <w:color w:val="002060"/>
                <w:sz w:val="16"/>
                <w:szCs w:val="16"/>
                <w:lang w:eastAsia="ja-JP"/>
              </w:rPr>
              <w:t xml:space="preserve">Niveau de référence actualisé à fin 2013 : </w:t>
            </w:r>
            <w:r w:rsidRPr="00C258AD">
              <w:rPr>
                <w:rFonts w:eastAsia="Batang"/>
                <w:sz w:val="16"/>
                <w:szCs w:val="16"/>
                <w:lang w:eastAsia="ja-JP"/>
              </w:rPr>
              <w:t>les résultats d’une enquête de satisfaction menée en 2013 ont indiqué que 98% des utilisateurs jugeaient la qualité globale des services de conférence de l’OMPI excellente (64%) ou bonne (34%).</w:t>
            </w:r>
          </w:p>
          <w:p w:rsidR="006E2BB1" w:rsidRPr="00C258AD" w:rsidRDefault="006E2BB1" w:rsidP="001A4D6C">
            <w:pPr>
              <w:rPr>
                <w:i/>
                <w:sz w:val="16"/>
                <w:szCs w:val="16"/>
              </w:rPr>
            </w:pPr>
          </w:p>
          <w:p w:rsidR="009D057D" w:rsidRPr="00C258AD" w:rsidRDefault="009D057D" w:rsidP="001A4D6C">
            <w:pPr>
              <w:rPr>
                <w:sz w:val="16"/>
                <w:szCs w:val="16"/>
              </w:rPr>
            </w:pPr>
            <w:r w:rsidRPr="00C258AD">
              <w:rPr>
                <w:i/>
                <w:sz w:val="16"/>
                <w:szCs w:val="16"/>
              </w:rPr>
              <w:t>Niveau de référence initial dans le programme et budget 2014</w:t>
            </w:r>
            <w:r w:rsidRPr="00C258AD">
              <w:rPr>
                <w:i/>
                <w:sz w:val="16"/>
                <w:szCs w:val="16"/>
              </w:rPr>
              <w:noBreakHyphen/>
              <w:t xml:space="preserve">2015 : </w:t>
            </w:r>
            <w:r w:rsidRPr="00C258AD">
              <w:rPr>
                <w:color w:val="000000"/>
                <w:sz w:val="16"/>
                <w:szCs w:val="16"/>
              </w:rPr>
              <w:t>taux à la fin de 2013</w:t>
            </w:r>
          </w:p>
        </w:tc>
        <w:tc>
          <w:tcPr>
            <w:tcW w:w="833" w:type="pct"/>
            <w:tcBorders>
              <w:top w:val="nil"/>
            </w:tcBorders>
            <w:shd w:val="clear" w:color="auto" w:fill="auto"/>
            <w:tcMar>
              <w:top w:w="110" w:type="dxa"/>
            </w:tcMar>
          </w:tcPr>
          <w:p w:rsidR="009D057D" w:rsidRPr="00C258AD" w:rsidRDefault="009D057D" w:rsidP="001A4D6C">
            <w:pPr>
              <w:rPr>
                <w:sz w:val="16"/>
                <w:szCs w:val="16"/>
              </w:rPr>
            </w:pPr>
            <w:r w:rsidRPr="00C258AD">
              <w:rPr>
                <w:sz w:val="16"/>
                <w:szCs w:val="16"/>
              </w:rPr>
              <w:t>Augmentation de 10% en 2015</w:t>
            </w:r>
          </w:p>
        </w:tc>
        <w:tc>
          <w:tcPr>
            <w:tcW w:w="1288" w:type="pct"/>
            <w:tcBorders>
              <w:top w:val="nil"/>
            </w:tcBorders>
            <w:shd w:val="clear" w:color="auto" w:fill="FFFFFF"/>
            <w:tcMar>
              <w:top w:w="110" w:type="dxa"/>
            </w:tcMar>
          </w:tcPr>
          <w:p w:rsidR="006E2BB1" w:rsidRPr="00C258AD" w:rsidRDefault="009D057D" w:rsidP="001A4D6C">
            <w:pPr>
              <w:rPr>
                <w:sz w:val="16"/>
                <w:szCs w:val="16"/>
              </w:rPr>
            </w:pPr>
            <w:r w:rsidRPr="00C258AD">
              <w:rPr>
                <w:sz w:val="16"/>
                <w:szCs w:val="16"/>
              </w:rPr>
              <w:t>Les résultats d’une enquête de satisfaction menée en 2014 et en 2015 ont indiqué que 97% des utilisateurs jugeaient la qualité globale des services de conférence de l’OMPI excellente ou bonne pour ces deux années :</w:t>
            </w:r>
          </w:p>
          <w:p w:rsidR="006E2BB1" w:rsidRPr="00C258AD" w:rsidRDefault="009D057D" w:rsidP="003A56B4">
            <w:pPr>
              <w:pStyle w:val="ListParagraph"/>
              <w:numPr>
                <w:ilvl w:val="0"/>
                <w:numId w:val="53"/>
              </w:numPr>
              <w:rPr>
                <w:sz w:val="16"/>
                <w:szCs w:val="16"/>
              </w:rPr>
            </w:pPr>
            <w:r w:rsidRPr="00C258AD">
              <w:rPr>
                <w:sz w:val="16"/>
                <w:szCs w:val="16"/>
              </w:rPr>
              <w:t>2014 : excellente (48%) ou bonne (49%);</w:t>
            </w:r>
          </w:p>
          <w:p w:rsidR="009D057D" w:rsidRPr="00C258AD" w:rsidRDefault="009D057D" w:rsidP="003A56B4">
            <w:pPr>
              <w:pStyle w:val="ListParagraph"/>
              <w:numPr>
                <w:ilvl w:val="0"/>
                <w:numId w:val="53"/>
              </w:numPr>
              <w:rPr>
                <w:sz w:val="16"/>
                <w:szCs w:val="16"/>
              </w:rPr>
            </w:pPr>
            <w:r w:rsidRPr="00C258AD">
              <w:rPr>
                <w:sz w:val="16"/>
                <w:szCs w:val="16"/>
              </w:rPr>
              <w:t>2015 : excellente (60%) ou bonne (37%)</w:t>
            </w:r>
          </w:p>
        </w:tc>
        <w:tc>
          <w:tcPr>
            <w:tcW w:w="606" w:type="pct"/>
            <w:tcBorders>
              <w:top w:val="nil"/>
            </w:tcBorders>
            <w:shd w:val="clear" w:color="auto" w:fill="auto"/>
            <w:tcMar>
              <w:top w:w="110" w:type="dxa"/>
            </w:tcMar>
          </w:tcPr>
          <w:p w:rsidR="009D057D" w:rsidRPr="00C258AD" w:rsidRDefault="009D057D" w:rsidP="001A4D6C">
            <w:pPr>
              <w:jc w:val="center"/>
              <w:rPr>
                <w:b/>
                <w:bCs/>
                <w:sz w:val="16"/>
                <w:szCs w:val="16"/>
              </w:rPr>
            </w:pPr>
            <w:r w:rsidRPr="00C258AD">
              <w:rPr>
                <w:rFonts w:cs="Arial"/>
                <w:b/>
                <w:bCs/>
                <w:color w:val="00B050"/>
                <w:sz w:val="16"/>
                <w:szCs w:val="16"/>
              </w:rPr>
              <w:t>Objectif pleinement atteint</w:t>
            </w:r>
          </w:p>
        </w:tc>
      </w:tr>
      <w:tr w:rsidR="009D057D" w:rsidRPr="00C258AD" w:rsidTr="001A4D6C">
        <w:trPr>
          <w:cantSplit/>
        </w:trPr>
        <w:tc>
          <w:tcPr>
            <w:tcW w:w="1137" w:type="pct"/>
            <w:shd w:val="clear" w:color="auto" w:fill="auto"/>
          </w:tcPr>
          <w:p w:rsidR="009D057D" w:rsidRPr="00C258AD" w:rsidRDefault="009D057D" w:rsidP="001A4D6C">
            <w:pPr>
              <w:rPr>
                <w:sz w:val="16"/>
                <w:szCs w:val="16"/>
              </w:rPr>
            </w:pPr>
            <w:r w:rsidRPr="00C258AD">
              <w:rPr>
                <w:sz w:val="16"/>
                <w:szCs w:val="16"/>
              </w:rPr>
              <w:lastRenderedPageBreak/>
              <w:t>Mise en œuvre efficace de la politique linguistique de l’OMPI</w:t>
            </w:r>
          </w:p>
        </w:tc>
        <w:tc>
          <w:tcPr>
            <w:tcW w:w="1136" w:type="pct"/>
            <w:shd w:val="clear" w:color="auto" w:fill="auto"/>
          </w:tcPr>
          <w:p w:rsidR="006E2BB1" w:rsidRPr="00C258AD" w:rsidRDefault="009D057D" w:rsidP="001A4D6C">
            <w:pPr>
              <w:rPr>
                <w:i/>
                <w:color w:val="002060"/>
                <w:sz w:val="16"/>
                <w:szCs w:val="16"/>
              </w:rPr>
            </w:pPr>
            <w:r w:rsidRPr="00C258AD">
              <w:rPr>
                <w:i/>
                <w:color w:val="002060"/>
                <w:sz w:val="16"/>
                <w:szCs w:val="16"/>
              </w:rPr>
              <w:t>Niveau de référence actualisé à fin 2013</w:t>
            </w:r>
            <w:r w:rsidRPr="00C258AD">
              <w:rPr>
                <w:color w:val="002060"/>
                <w:sz w:val="16"/>
                <w:szCs w:val="16"/>
              </w:rPr>
              <w:t> : la politique linguistique a été élargie à tous les comités permanents et des organes principaux de l’OMPI.</w:t>
            </w:r>
          </w:p>
          <w:p w:rsidR="006E2BB1" w:rsidRPr="00C258AD" w:rsidRDefault="006E2BB1" w:rsidP="001A4D6C">
            <w:pPr>
              <w:rPr>
                <w:i/>
                <w:sz w:val="16"/>
                <w:szCs w:val="16"/>
              </w:rPr>
            </w:pPr>
          </w:p>
          <w:p w:rsidR="006E2BB1" w:rsidRPr="00C258AD" w:rsidRDefault="009D057D" w:rsidP="001A4D6C">
            <w:pPr>
              <w:rPr>
                <w:sz w:val="16"/>
                <w:szCs w:val="16"/>
              </w:rPr>
            </w:pPr>
            <w:r w:rsidRPr="00C258AD">
              <w:rPr>
                <w:i/>
                <w:color w:val="000000"/>
                <w:sz w:val="16"/>
                <w:szCs w:val="16"/>
              </w:rPr>
              <w:t>Niveau de référence initial dans le programme et budget 2014</w:t>
            </w:r>
            <w:r w:rsidRPr="00C258AD">
              <w:rPr>
                <w:i/>
                <w:color w:val="000000"/>
                <w:sz w:val="16"/>
                <w:szCs w:val="16"/>
              </w:rPr>
              <w:noBreakHyphen/>
              <w:t xml:space="preserve">2015 : </w:t>
            </w:r>
            <w:r w:rsidRPr="00C258AD">
              <w:rPr>
                <w:color w:val="000000"/>
                <w:sz w:val="16"/>
                <w:szCs w:val="16"/>
              </w:rPr>
              <w:t>offre linguistique limitée à certains comités/organes principaux;</w:t>
            </w:r>
          </w:p>
          <w:p w:rsidR="009D057D" w:rsidRPr="00C258AD" w:rsidRDefault="009D057D" w:rsidP="001A4D6C">
            <w:pPr>
              <w:rPr>
                <w:sz w:val="16"/>
                <w:szCs w:val="16"/>
              </w:rPr>
            </w:pPr>
            <w:r w:rsidRPr="00C258AD">
              <w:rPr>
                <w:color w:val="000000"/>
                <w:sz w:val="16"/>
                <w:szCs w:val="16"/>
              </w:rPr>
              <w:t>documents de longueur variables</w:t>
            </w:r>
          </w:p>
        </w:tc>
        <w:tc>
          <w:tcPr>
            <w:tcW w:w="833" w:type="pct"/>
            <w:shd w:val="clear" w:color="auto" w:fill="auto"/>
            <w:tcMar>
              <w:top w:w="110" w:type="dxa"/>
            </w:tcMar>
          </w:tcPr>
          <w:p w:rsidR="006E2BB1" w:rsidRPr="00C258AD" w:rsidRDefault="009D057D" w:rsidP="001A4D6C">
            <w:pPr>
              <w:autoSpaceDE w:val="0"/>
              <w:autoSpaceDN w:val="0"/>
              <w:adjustRightInd w:val="0"/>
              <w:rPr>
                <w:sz w:val="16"/>
                <w:szCs w:val="16"/>
              </w:rPr>
            </w:pPr>
            <w:r w:rsidRPr="00C258AD">
              <w:rPr>
                <w:sz w:val="16"/>
                <w:szCs w:val="16"/>
              </w:rPr>
              <w:t>Traductions de qualité à mettre à la disposition de tous les comités/organes principaux</w:t>
            </w:r>
          </w:p>
          <w:p w:rsidR="006E2BB1" w:rsidRPr="00C258AD" w:rsidRDefault="006E2BB1" w:rsidP="001A4D6C">
            <w:pPr>
              <w:autoSpaceDE w:val="0"/>
              <w:autoSpaceDN w:val="0"/>
              <w:adjustRightInd w:val="0"/>
              <w:rPr>
                <w:sz w:val="16"/>
                <w:szCs w:val="16"/>
              </w:rPr>
            </w:pPr>
          </w:p>
          <w:p w:rsidR="006E2BB1" w:rsidRPr="00C258AD" w:rsidRDefault="006E2BB1" w:rsidP="001A4D6C">
            <w:pPr>
              <w:autoSpaceDE w:val="0"/>
              <w:autoSpaceDN w:val="0"/>
              <w:adjustRightInd w:val="0"/>
              <w:rPr>
                <w:sz w:val="16"/>
                <w:szCs w:val="16"/>
              </w:rPr>
            </w:pPr>
          </w:p>
          <w:p w:rsidR="006E2BB1" w:rsidRPr="00C258AD" w:rsidRDefault="006E2BB1" w:rsidP="001A4D6C">
            <w:pPr>
              <w:autoSpaceDE w:val="0"/>
              <w:autoSpaceDN w:val="0"/>
              <w:adjustRightInd w:val="0"/>
              <w:rPr>
                <w:sz w:val="16"/>
                <w:szCs w:val="16"/>
              </w:rPr>
            </w:pPr>
          </w:p>
          <w:p w:rsidR="006E2BB1" w:rsidRPr="00C258AD" w:rsidRDefault="006E2BB1" w:rsidP="001A4D6C">
            <w:pPr>
              <w:autoSpaceDE w:val="0"/>
              <w:autoSpaceDN w:val="0"/>
              <w:adjustRightInd w:val="0"/>
              <w:rPr>
                <w:sz w:val="16"/>
                <w:szCs w:val="16"/>
              </w:rPr>
            </w:pPr>
          </w:p>
          <w:p w:rsidR="006E2BB1" w:rsidRPr="00C258AD" w:rsidRDefault="006E2BB1" w:rsidP="001A4D6C">
            <w:pPr>
              <w:autoSpaceDE w:val="0"/>
              <w:autoSpaceDN w:val="0"/>
              <w:adjustRightInd w:val="0"/>
              <w:rPr>
                <w:sz w:val="16"/>
                <w:szCs w:val="16"/>
              </w:rPr>
            </w:pPr>
          </w:p>
          <w:p w:rsidR="006E2BB1" w:rsidRPr="00C258AD" w:rsidRDefault="006E2BB1" w:rsidP="001A4D6C">
            <w:pPr>
              <w:autoSpaceDE w:val="0"/>
              <w:autoSpaceDN w:val="0"/>
              <w:adjustRightInd w:val="0"/>
              <w:rPr>
                <w:sz w:val="16"/>
                <w:szCs w:val="16"/>
              </w:rPr>
            </w:pPr>
          </w:p>
          <w:p w:rsidR="006E2BB1" w:rsidRPr="00C258AD" w:rsidRDefault="006E2BB1" w:rsidP="001A4D6C">
            <w:pPr>
              <w:autoSpaceDE w:val="0"/>
              <w:autoSpaceDN w:val="0"/>
              <w:adjustRightInd w:val="0"/>
              <w:rPr>
                <w:sz w:val="16"/>
                <w:szCs w:val="16"/>
              </w:rPr>
            </w:pPr>
          </w:p>
          <w:p w:rsidR="006E2BB1" w:rsidRPr="00C258AD" w:rsidRDefault="006E2BB1" w:rsidP="001A4D6C">
            <w:pPr>
              <w:autoSpaceDE w:val="0"/>
              <w:autoSpaceDN w:val="0"/>
              <w:adjustRightInd w:val="0"/>
              <w:rPr>
                <w:sz w:val="16"/>
                <w:szCs w:val="16"/>
              </w:rPr>
            </w:pPr>
          </w:p>
          <w:p w:rsidR="006E2BB1" w:rsidRPr="00C258AD" w:rsidRDefault="006E2BB1" w:rsidP="001A4D6C">
            <w:pPr>
              <w:autoSpaceDE w:val="0"/>
              <w:autoSpaceDN w:val="0"/>
              <w:adjustRightInd w:val="0"/>
              <w:rPr>
                <w:sz w:val="16"/>
                <w:szCs w:val="16"/>
              </w:rPr>
            </w:pPr>
          </w:p>
          <w:p w:rsidR="006E2BB1" w:rsidRPr="00C258AD" w:rsidRDefault="006E2BB1" w:rsidP="001A4D6C">
            <w:pPr>
              <w:autoSpaceDE w:val="0"/>
              <w:autoSpaceDN w:val="0"/>
              <w:adjustRightInd w:val="0"/>
              <w:rPr>
                <w:sz w:val="16"/>
                <w:szCs w:val="16"/>
              </w:rPr>
            </w:pPr>
          </w:p>
          <w:p w:rsidR="006E2BB1" w:rsidRPr="00C258AD" w:rsidRDefault="006E2BB1" w:rsidP="001A4D6C">
            <w:pPr>
              <w:autoSpaceDE w:val="0"/>
              <w:autoSpaceDN w:val="0"/>
              <w:adjustRightInd w:val="0"/>
              <w:rPr>
                <w:sz w:val="16"/>
                <w:szCs w:val="16"/>
              </w:rPr>
            </w:pPr>
          </w:p>
          <w:p w:rsidR="006E2BB1" w:rsidRPr="00C258AD" w:rsidRDefault="006E2BB1" w:rsidP="001A4D6C">
            <w:pPr>
              <w:autoSpaceDE w:val="0"/>
              <w:autoSpaceDN w:val="0"/>
              <w:adjustRightInd w:val="0"/>
              <w:rPr>
                <w:sz w:val="16"/>
                <w:szCs w:val="16"/>
              </w:rPr>
            </w:pPr>
          </w:p>
          <w:p w:rsidR="006E2BB1" w:rsidRPr="00C258AD" w:rsidRDefault="006E2BB1" w:rsidP="001A4D6C">
            <w:pPr>
              <w:autoSpaceDE w:val="0"/>
              <w:autoSpaceDN w:val="0"/>
              <w:adjustRightInd w:val="0"/>
              <w:rPr>
                <w:sz w:val="16"/>
                <w:szCs w:val="16"/>
              </w:rPr>
            </w:pPr>
          </w:p>
          <w:p w:rsidR="009D057D" w:rsidRPr="00C258AD" w:rsidRDefault="009D057D" w:rsidP="001A4D6C">
            <w:pPr>
              <w:rPr>
                <w:sz w:val="16"/>
                <w:szCs w:val="16"/>
              </w:rPr>
            </w:pPr>
            <w:r w:rsidRPr="00C258AD">
              <w:rPr>
                <w:sz w:val="16"/>
                <w:szCs w:val="16"/>
              </w:rPr>
              <w:t>Longueur des documents destinés aux comités/organes principaux ramenée à 3300 mots</w:t>
            </w:r>
          </w:p>
        </w:tc>
        <w:tc>
          <w:tcPr>
            <w:tcW w:w="1288" w:type="pct"/>
            <w:shd w:val="clear" w:color="auto" w:fill="FFFFFF"/>
            <w:tcMar>
              <w:top w:w="110" w:type="dxa"/>
            </w:tcMar>
          </w:tcPr>
          <w:p w:rsidR="006E2BB1" w:rsidRPr="00C258AD" w:rsidRDefault="009D057D" w:rsidP="001A4D6C">
            <w:pPr>
              <w:rPr>
                <w:sz w:val="16"/>
                <w:szCs w:val="16"/>
                <w:lang w:bidi="th-TH"/>
              </w:rPr>
            </w:pPr>
            <w:r w:rsidRPr="00C258AD">
              <w:rPr>
                <w:rFonts w:cs="Arial"/>
                <w:sz w:val="16"/>
                <w:szCs w:val="16"/>
              </w:rPr>
              <w:t>Outre tous les comités/organes principaux, l</w:t>
            </w:r>
            <w:r w:rsidRPr="00C258AD">
              <w:rPr>
                <w:sz w:val="16"/>
                <w:szCs w:val="16"/>
                <w:lang w:bidi="th-TH"/>
              </w:rPr>
              <w:t>a couverture en six langues a été étendue en 2014</w:t>
            </w:r>
            <w:r w:rsidRPr="00C258AD">
              <w:rPr>
                <w:sz w:val="16"/>
                <w:szCs w:val="16"/>
                <w:lang w:bidi="th-TH"/>
              </w:rPr>
              <w:noBreakHyphen/>
              <w:t>2015 à 4 groupes de travail : i) </w:t>
            </w:r>
            <w:r w:rsidRPr="00C258AD">
              <w:rPr>
                <w:bCs/>
                <w:sz w:val="16"/>
                <w:szCs w:val="16"/>
                <w:lang w:bidi="th-TH"/>
              </w:rPr>
              <w:t>Groupe de travail du PCT;  ii) Groupe de travail sur le développement juridique du système de La Haye concernant l’enregistrement international des dessins et modèles industriels</w:t>
            </w:r>
            <w:r w:rsidRPr="00C258AD">
              <w:rPr>
                <w:sz w:val="16"/>
                <w:szCs w:val="16"/>
                <w:lang w:bidi="th-TH"/>
              </w:rPr>
              <w:t>;  iii) Groupe de travail sur le développement juridique du système de Madrid concernant l’enregistrement international des marques;  et iv) Groupe de travail sur la révision de la CIB.</w:t>
            </w:r>
          </w:p>
          <w:p w:rsidR="006E2BB1" w:rsidRPr="00C258AD" w:rsidRDefault="006E2BB1" w:rsidP="001A4D6C">
            <w:pPr>
              <w:rPr>
                <w:sz w:val="16"/>
                <w:szCs w:val="16"/>
              </w:rPr>
            </w:pPr>
          </w:p>
          <w:p w:rsidR="009D057D" w:rsidRPr="00C258AD" w:rsidRDefault="009D057D" w:rsidP="001A4D6C">
            <w:pPr>
              <w:rPr>
                <w:sz w:val="16"/>
                <w:szCs w:val="16"/>
              </w:rPr>
            </w:pPr>
            <w:r w:rsidRPr="00C258AD">
              <w:rPr>
                <w:rFonts w:cs="Arial"/>
                <w:sz w:val="16"/>
                <w:szCs w:val="16"/>
              </w:rPr>
              <w:t>Environ 87% des documents reçus pour traduction (3489 sur un total de 4030 documents) faisaient moins de 3300 mots.  Les documents dépassant cette limite étaient principalement des publications, des rapports in extenso et d’autres rapports annuels, des documents contenant des données relatives aux pratiques des États membres, et ceux qui étaient établis sur demande spécifique des États membres, lesquels n’étaient pas soumis à cette limitation de mots.</w:t>
            </w:r>
          </w:p>
        </w:tc>
        <w:tc>
          <w:tcPr>
            <w:tcW w:w="606" w:type="pct"/>
            <w:shd w:val="clear" w:color="auto" w:fill="auto"/>
            <w:tcMar>
              <w:top w:w="110" w:type="dxa"/>
            </w:tcMar>
          </w:tcPr>
          <w:p w:rsidR="006E2BB1" w:rsidRPr="00C258AD" w:rsidRDefault="009D057D" w:rsidP="001A4D6C">
            <w:pPr>
              <w:jc w:val="center"/>
              <w:rPr>
                <w:b/>
                <w:bCs/>
                <w:color w:val="00B050"/>
                <w:sz w:val="16"/>
                <w:szCs w:val="16"/>
              </w:rPr>
            </w:pPr>
            <w:r w:rsidRPr="00C258AD">
              <w:rPr>
                <w:rFonts w:cs="Arial"/>
                <w:b/>
                <w:bCs/>
                <w:color w:val="00B050"/>
                <w:sz w:val="16"/>
                <w:szCs w:val="16"/>
              </w:rPr>
              <w:t>Objectif pleinement atteint</w:t>
            </w:r>
          </w:p>
          <w:p w:rsidR="006E2BB1" w:rsidRPr="00C258AD" w:rsidRDefault="006E2BB1" w:rsidP="001A4D6C">
            <w:pPr>
              <w:jc w:val="center"/>
              <w:rPr>
                <w:b/>
                <w:bCs/>
                <w:color w:val="00B050"/>
                <w:sz w:val="16"/>
                <w:szCs w:val="16"/>
              </w:rPr>
            </w:pPr>
          </w:p>
          <w:p w:rsidR="006E2BB1" w:rsidRPr="00C258AD" w:rsidRDefault="006E2BB1" w:rsidP="001A4D6C">
            <w:pPr>
              <w:jc w:val="center"/>
              <w:rPr>
                <w:b/>
                <w:bCs/>
                <w:color w:val="00B050"/>
                <w:sz w:val="16"/>
                <w:szCs w:val="16"/>
              </w:rPr>
            </w:pPr>
          </w:p>
          <w:p w:rsidR="006E2BB1" w:rsidRPr="00C258AD" w:rsidRDefault="006E2BB1" w:rsidP="001A4D6C">
            <w:pPr>
              <w:jc w:val="center"/>
              <w:rPr>
                <w:b/>
                <w:bCs/>
                <w:color w:val="00B050"/>
                <w:sz w:val="16"/>
                <w:szCs w:val="16"/>
              </w:rPr>
            </w:pPr>
          </w:p>
          <w:p w:rsidR="006E2BB1" w:rsidRPr="00C258AD" w:rsidRDefault="006E2BB1" w:rsidP="001A4D6C">
            <w:pPr>
              <w:jc w:val="center"/>
              <w:rPr>
                <w:b/>
                <w:bCs/>
                <w:color w:val="00B050"/>
                <w:sz w:val="16"/>
                <w:szCs w:val="16"/>
              </w:rPr>
            </w:pPr>
          </w:p>
          <w:p w:rsidR="006E2BB1" w:rsidRPr="00C258AD" w:rsidRDefault="006E2BB1" w:rsidP="001A4D6C">
            <w:pPr>
              <w:jc w:val="center"/>
              <w:rPr>
                <w:b/>
                <w:bCs/>
                <w:color w:val="00B050"/>
                <w:sz w:val="16"/>
                <w:szCs w:val="16"/>
              </w:rPr>
            </w:pPr>
          </w:p>
          <w:p w:rsidR="006E2BB1" w:rsidRPr="00C258AD" w:rsidRDefault="006E2BB1" w:rsidP="001A4D6C">
            <w:pPr>
              <w:jc w:val="center"/>
              <w:rPr>
                <w:b/>
                <w:bCs/>
                <w:color w:val="00B050"/>
                <w:sz w:val="16"/>
                <w:szCs w:val="16"/>
              </w:rPr>
            </w:pPr>
          </w:p>
          <w:p w:rsidR="006E2BB1" w:rsidRPr="00C258AD" w:rsidRDefault="006E2BB1" w:rsidP="001A4D6C">
            <w:pPr>
              <w:jc w:val="center"/>
              <w:rPr>
                <w:b/>
                <w:bCs/>
                <w:color w:val="00B050"/>
                <w:sz w:val="16"/>
                <w:szCs w:val="16"/>
              </w:rPr>
            </w:pPr>
          </w:p>
          <w:p w:rsidR="006E2BB1" w:rsidRPr="00C258AD" w:rsidRDefault="006E2BB1" w:rsidP="001A4D6C">
            <w:pPr>
              <w:jc w:val="center"/>
              <w:rPr>
                <w:b/>
                <w:bCs/>
                <w:color w:val="00B050"/>
                <w:sz w:val="16"/>
                <w:szCs w:val="16"/>
              </w:rPr>
            </w:pPr>
          </w:p>
          <w:p w:rsidR="006E2BB1" w:rsidRPr="00C258AD" w:rsidRDefault="006E2BB1" w:rsidP="001A4D6C">
            <w:pPr>
              <w:jc w:val="center"/>
              <w:rPr>
                <w:b/>
                <w:bCs/>
                <w:color w:val="00B050"/>
                <w:sz w:val="16"/>
                <w:szCs w:val="16"/>
              </w:rPr>
            </w:pPr>
          </w:p>
          <w:p w:rsidR="006E2BB1" w:rsidRPr="00C258AD" w:rsidRDefault="006E2BB1" w:rsidP="001A4D6C">
            <w:pPr>
              <w:jc w:val="center"/>
              <w:rPr>
                <w:b/>
                <w:bCs/>
                <w:color w:val="00B050"/>
                <w:sz w:val="16"/>
                <w:szCs w:val="16"/>
              </w:rPr>
            </w:pPr>
          </w:p>
          <w:p w:rsidR="006E2BB1" w:rsidRPr="00C258AD" w:rsidRDefault="006E2BB1" w:rsidP="001A4D6C">
            <w:pPr>
              <w:jc w:val="center"/>
              <w:rPr>
                <w:b/>
                <w:bCs/>
                <w:color w:val="00B050"/>
                <w:sz w:val="16"/>
                <w:szCs w:val="16"/>
              </w:rPr>
            </w:pPr>
          </w:p>
          <w:p w:rsidR="006E2BB1" w:rsidRPr="00C258AD" w:rsidRDefault="006E2BB1" w:rsidP="001A4D6C">
            <w:pPr>
              <w:jc w:val="center"/>
              <w:rPr>
                <w:b/>
                <w:bCs/>
                <w:color w:val="00B050"/>
                <w:sz w:val="16"/>
                <w:szCs w:val="16"/>
              </w:rPr>
            </w:pPr>
          </w:p>
          <w:p w:rsidR="006E2BB1" w:rsidRPr="00C258AD" w:rsidRDefault="006E2BB1" w:rsidP="001A4D6C">
            <w:pPr>
              <w:jc w:val="center"/>
              <w:rPr>
                <w:b/>
                <w:bCs/>
                <w:color w:val="00B050"/>
                <w:sz w:val="16"/>
                <w:szCs w:val="16"/>
              </w:rPr>
            </w:pPr>
          </w:p>
          <w:p w:rsidR="006E2BB1" w:rsidRPr="00C258AD" w:rsidRDefault="006E2BB1" w:rsidP="001A4D6C">
            <w:pPr>
              <w:jc w:val="center"/>
              <w:rPr>
                <w:b/>
                <w:bCs/>
                <w:color w:val="00B050"/>
                <w:sz w:val="16"/>
                <w:szCs w:val="16"/>
              </w:rPr>
            </w:pPr>
          </w:p>
          <w:p w:rsidR="006E2BB1" w:rsidRPr="00C258AD" w:rsidRDefault="006E2BB1" w:rsidP="001A4D6C">
            <w:pPr>
              <w:jc w:val="center"/>
              <w:rPr>
                <w:b/>
                <w:bCs/>
                <w:color w:val="00B050"/>
                <w:sz w:val="16"/>
                <w:szCs w:val="16"/>
              </w:rPr>
            </w:pPr>
          </w:p>
          <w:p w:rsidR="009D057D" w:rsidRPr="00C258AD" w:rsidRDefault="009D057D" w:rsidP="001A4D6C">
            <w:pPr>
              <w:jc w:val="center"/>
              <w:rPr>
                <w:bCs/>
                <w:color w:val="808080"/>
                <w:sz w:val="16"/>
                <w:szCs w:val="16"/>
              </w:rPr>
            </w:pPr>
            <w:r w:rsidRPr="00C258AD">
              <w:rPr>
                <w:rFonts w:cs="Arial"/>
                <w:b/>
                <w:bCs/>
                <w:color w:val="00B050"/>
                <w:sz w:val="16"/>
                <w:szCs w:val="16"/>
              </w:rPr>
              <w:t>Objectif pleinement atteint</w:t>
            </w:r>
          </w:p>
        </w:tc>
      </w:tr>
      <w:tr w:rsidR="009D057D" w:rsidRPr="00C258AD" w:rsidTr="001A4D6C">
        <w:trPr>
          <w:cantSplit/>
        </w:trPr>
        <w:tc>
          <w:tcPr>
            <w:tcW w:w="1137" w:type="pct"/>
            <w:shd w:val="clear" w:color="auto" w:fill="auto"/>
          </w:tcPr>
          <w:p w:rsidR="009D057D" w:rsidRPr="00C258AD" w:rsidRDefault="009D057D" w:rsidP="001A4D6C">
            <w:pPr>
              <w:rPr>
                <w:sz w:val="16"/>
                <w:szCs w:val="16"/>
              </w:rPr>
            </w:pPr>
            <w:r w:rsidRPr="00C258AD">
              <w:rPr>
                <w:sz w:val="16"/>
                <w:szCs w:val="16"/>
              </w:rPr>
              <w:t>Coût par mot traduit</w:t>
            </w:r>
          </w:p>
        </w:tc>
        <w:tc>
          <w:tcPr>
            <w:tcW w:w="1136" w:type="pct"/>
            <w:shd w:val="clear" w:color="auto" w:fill="auto"/>
          </w:tcPr>
          <w:p w:rsidR="006E2BB1" w:rsidRPr="00C258AD" w:rsidRDefault="009D057D" w:rsidP="001A4D6C">
            <w:pPr>
              <w:autoSpaceDE w:val="0"/>
              <w:autoSpaceDN w:val="0"/>
              <w:adjustRightInd w:val="0"/>
              <w:rPr>
                <w:rFonts w:eastAsia="Batang"/>
                <w:color w:val="002060"/>
                <w:sz w:val="16"/>
                <w:szCs w:val="16"/>
                <w:lang w:eastAsia="ja-JP"/>
              </w:rPr>
            </w:pPr>
            <w:r w:rsidRPr="00C258AD">
              <w:rPr>
                <w:rFonts w:eastAsia="Batang"/>
                <w:i/>
                <w:color w:val="002060"/>
                <w:sz w:val="16"/>
                <w:szCs w:val="16"/>
                <w:lang w:eastAsia="ja-JP"/>
              </w:rPr>
              <w:t xml:space="preserve">Niveau de référence actualisé à fin 2013 : </w:t>
            </w:r>
            <w:r w:rsidRPr="00C258AD">
              <w:rPr>
                <w:rFonts w:eastAsia="Batang"/>
                <w:color w:val="002060"/>
                <w:sz w:val="16"/>
                <w:szCs w:val="16"/>
                <w:lang w:eastAsia="ja-JP"/>
              </w:rPr>
              <w:t>0,63 franc suisse par mot en moyenne</w:t>
            </w:r>
          </w:p>
          <w:p w:rsidR="006E2BB1" w:rsidRPr="00C258AD" w:rsidRDefault="006E2BB1" w:rsidP="001A4D6C">
            <w:pPr>
              <w:keepNext/>
              <w:rPr>
                <w:i/>
                <w:sz w:val="16"/>
                <w:szCs w:val="16"/>
              </w:rPr>
            </w:pPr>
          </w:p>
          <w:p w:rsidR="009D057D" w:rsidRPr="00C258AD" w:rsidRDefault="009D057D" w:rsidP="001A4D6C">
            <w:pPr>
              <w:rPr>
                <w:sz w:val="16"/>
                <w:szCs w:val="16"/>
              </w:rPr>
            </w:pPr>
            <w:r w:rsidRPr="00C258AD">
              <w:rPr>
                <w:i/>
                <w:sz w:val="16"/>
                <w:szCs w:val="16"/>
              </w:rPr>
              <w:t>Niveau de référence initial dans le programme et budget 2014</w:t>
            </w:r>
            <w:r w:rsidRPr="00C258AD">
              <w:rPr>
                <w:i/>
                <w:sz w:val="16"/>
                <w:szCs w:val="16"/>
              </w:rPr>
              <w:noBreakHyphen/>
              <w:t>2015 </w:t>
            </w:r>
            <w:proofErr w:type="gramStart"/>
            <w:r w:rsidRPr="00C258AD">
              <w:rPr>
                <w:i/>
                <w:sz w:val="16"/>
                <w:szCs w:val="16"/>
              </w:rPr>
              <w:t>:</w:t>
            </w:r>
            <w:proofErr w:type="gramEnd"/>
            <w:r w:rsidRPr="00C258AD">
              <w:rPr>
                <w:sz w:val="16"/>
                <w:szCs w:val="16"/>
              </w:rPr>
              <w:br/>
              <w:t>à déterminer</w:t>
            </w:r>
          </w:p>
        </w:tc>
        <w:tc>
          <w:tcPr>
            <w:tcW w:w="833" w:type="pct"/>
            <w:shd w:val="clear" w:color="auto" w:fill="auto"/>
            <w:tcMar>
              <w:top w:w="110" w:type="dxa"/>
            </w:tcMar>
          </w:tcPr>
          <w:p w:rsidR="006E2BB1" w:rsidRPr="00C258AD" w:rsidRDefault="009D057D" w:rsidP="001A4D6C">
            <w:pPr>
              <w:rPr>
                <w:rFonts w:eastAsia="Batang"/>
                <w:i/>
                <w:color w:val="002060"/>
                <w:sz w:val="16"/>
                <w:szCs w:val="16"/>
                <w:lang w:eastAsia="ja-JP"/>
              </w:rPr>
            </w:pPr>
            <w:r w:rsidRPr="00C258AD">
              <w:rPr>
                <w:rFonts w:eastAsia="Batang"/>
                <w:i/>
                <w:color w:val="002060"/>
                <w:sz w:val="16"/>
                <w:szCs w:val="16"/>
                <w:lang w:eastAsia="ja-JP"/>
              </w:rPr>
              <w:t>Objectif fixé :</w:t>
            </w:r>
          </w:p>
          <w:p w:rsidR="006E2BB1" w:rsidRPr="00C258AD" w:rsidRDefault="009D057D" w:rsidP="001A4D6C">
            <w:pPr>
              <w:rPr>
                <w:rFonts w:eastAsia="Batang"/>
                <w:color w:val="002060"/>
                <w:sz w:val="16"/>
                <w:szCs w:val="16"/>
                <w:lang w:eastAsia="ja-JP"/>
              </w:rPr>
            </w:pPr>
            <w:r w:rsidRPr="00C258AD">
              <w:rPr>
                <w:rFonts w:eastAsia="Batang"/>
                <w:color w:val="002060"/>
                <w:sz w:val="16"/>
                <w:szCs w:val="16"/>
                <w:lang w:eastAsia="ja-JP"/>
              </w:rPr>
              <w:t>maintien de ce coût moyen</w:t>
            </w:r>
          </w:p>
          <w:p w:rsidR="006E2BB1" w:rsidRPr="00C258AD" w:rsidRDefault="006E2BB1" w:rsidP="001A4D6C">
            <w:pPr>
              <w:rPr>
                <w:rFonts w:eastAsia="Batang"/>
                <w:color w:val="002060"/>
                <w:sz w:val="16"/>
                <w:szCs w:val="16"/>
                <w:lang w:eastAsia="ja-JP"/>
              </w:rPr>
            </w:pPr>
          </w:p>
          <w:p w:rsidR="009D057D" w:rsidRPr="00C258AD" w:rsidRDefault="009D057D" w:rsidP="001A4D6C">
            <w:pPr>
              <w:rPr>
                <w:sz w:val="16"/>
                <w:szCs w:val="16"/>
              </w:rPr>
            </w:pPr>
            <w:r w:rsidRPr="00C258AD">
              <w:rPr>
                <w:rFonts w:eastAsia="Batang"/>
                <w:i/>
                <w:sz w:val="16"/>
                <w:szCs w:val="16"/>
                <w:lang w:eastAsia="ja-JP"/>
              </w:rPr>
              <w:t>Objectif initial dans le programme et budget 2014</w:t>
            </w:r>
            <w:r w:rsidRPr="00C258AD">
              <w:rPr>
                <w:rFonts w:eastAsia="Batang"/>
                <w:i/>
                <w:sz w:val="16"/>
                <w:szCs w:val="16"/>
                <w:lang w:eastAsia="ja-JP"/>
              </w:rPr>
              <w:noBreakHyphen/>
              <w:t>2015 :</w:t>
            </w:r>
            <w:r w:rsidRPr="00C258AD">
              <w:rPr>
                <w:rFonts w:eastAsia="Batang"/>
                <w:sz w:val="16"/>
                <w:szCs w:val="16"/>
                <w:lang w:eastAsia="ja-JP"/>
              </w:rPr>
              <w:t xml:space="preserve"> à déterminer</w:t>
            </w:r>
          </w:p>
        </w:tc>
        <w:tc>
          <w:tcPr>
            <w:tcW w:w="1288" w:type="pct"/>
            <w:shd w:val="clear" w:color="auto" w:fill="FFFFFF"/>
            <w:tcMar>
              <w:top w:w="110" w:type="dxa"/>
            </w:tcMar>
          </w:tcPr>
          <w:p w:rsidR="006E2BB1" w:rsidRPr="00C258AD" w:rsidRDefault="009D057D" w:rsidP="001A4D6C">
            <w:pPr>
              <w:rPr>
                <w:rFonts w:cs="Arial"/>
                <w:sz w:val="16"/>
                <w:szCs w:val="16"/>
              </w:rPr>
            </w:pPr>
            <w:r w:rsidRPr="00C258AD">
              <w:rPr>
                <w:rFonts w:cs="Arial"/>
                <w:sz w:val="16"/>
                <w:szCs w:val="16"/>
              </w:rPr>
              <w:t>Le coût par mot traduit était de :</w:t>
            </w:r>
          </w:p>
          <w:p w:rsidR="006E2BB1" w:rsidRPr="00C258AD" w:rsidRDefault="009D057D" w:rsidP="001A4D6C">
            <w:pPr>
              <w:rPr>
                <w:rFonts w:cs="Arial"/>
                <w:sz w:val="16"/>
                <w:szCs w:val="16"/>
              </w:rPr>
            </w:pPr>
            <w:r w:rsidRPr="00C258AD">
              <w:rPr>
                <w:rFonts w:cs="Arial"/>
                <w:sz w:val="16"/>
                <w:szCs w:val="16"/>
              </w:rPr>
              <w:noBreakHyphen/>
              <w:t xml:space="preserve"> 0,59 franc suisse en 2014 (baisse de 6,3% par rapport à 2013)</w:t>
            </w:r>
          </w:p>
          <w:p w:rsidR="006E2BB1" w:rsidRPr="00C258AD" w:rsidRDefault="009D057D" w:rsidP="001A4D6C">
            <w:pPr>
              <w:rPr>
                <w:rFonts w:cs="Arial"/>
                <w:sz w:val="16"/>
                <w:szCs w:val="16"/>
              </w:rPr>
            </w:pPr>
            <w:r w:rsidRPr="00C258AD">
              <w:rPr>
                <w:rFonts w:cs="Arial"/>
                <w:sz w:val="16"/>
                <w:szCs w:val="16"/>
              </w:rPr>
              <w:noBreakHyphen/>
              <w:t xml:space="preserve"> 0,57 franc suisse en 2015 (baisse de 3,4% par rapport à 2014)</w:t>
            </w:r>
          </w:p>
          <w:p w:rsidR="006E2BB1" w:rsidRPr="00C258AD" w:rsidRDefault="006E2BB1" w:rsidP="001A4D6C">
            <w:pPr>
              <w:rPr>
                <w:rFonts w:cs="Arial"/>
                <w:sz w:val="16"/>
                <w:szCs w:val="16"/>
              </w:rPr>
            </w:pPr>
          </w:p>
          <w:p w:rsidR="009D057D" w:rsidRPr="00C258AD" w:rsidRDefault="009D057D" w:rsidP="001A4D6C">
            <w:pPr>
              <w:rPr>
                <w:rFonts w:cs="Arial"/>
                <w:sz w:val="16"/>
                <w:szCs w:val="16"/>
              </w:rPr>
            </w:pPr>
            <w:r w:rsidRPr="00C258AD">
              <w:rPr>
                <w:rFonts w:cs="Arial"/>
                <w:sz w:val="16"/>
                <w:szCs w:val="16"/>
              </w:rPr>
              <w:t xml:space="preserve">Un total de 15,03 millions de mots (45 537 pages types de l’ONU) </w:t>
            </w:r>
            <w:proofErr w:type="gramStart"/>
            <w:r w:rsidRPr="00C258AD">
              <w:rPr>
                <w:rFonts w:cs="Arial"/>
                <w:sz w:val="16"/>
                <w:szCs w:val="16"/>
              </w:rPr>
              <w:t>ont</w:t>
            </w:r>
            <w:proofErr w:type="gramEnd"/>
            <w:r w:rsidRPr="00C258AD">
              <w:rPr>
                <w:rFonts w:cs="Arial"/>
                <w:sz w:val="16"/>
                <w:szCs w:val="16"/>
              </w:rPr>
              <w:t xml:space="preserve"> été traduits en 2014, et 15,32 millions de mots (46 420 pages types de l’ONU) en 2015.</w:t>
            </w:r>
          </w:p>
        </w:tc>
        <w:tc>
          <w:tcPr>
            <w:tcW w:w="606" w:type="pct"/>
            <w:shd w:val="clear" w:color="auto" w:fill="auto"/>
            <w:tcMar>
              <w:top w:w="110" w:type="dxa"/>
            </w:tcMar>
          </w:tcPr>
          <w:p w:rsidR="009D057D" w:rsidRPr="00C258AD" w:rsidRDefault="009D057D" w:rsidP="001A4D6C">
            <w:pPr>
              <w:keepNext/>
              <w:keepLines/>
              <w:jc w:val="center"/>
              <w:rPr>
                <w:bCs/>
                <w:color w:val="808080"/>
                <w:sz w:val="16"/>
                <w:szCs w:val="16"/>
              </w:rPr>
            </w:pPr>
            <w:r w:rsidRPr="00C258AD">
              <w:rPr>
                <w:rFonts w:cs="Arial"/>
                <w:b/>
                <w:bCs/>
                <w:color w:val="00B050"/>
                <w:sz w:val="16"/>
                <w:szCs w:val="16"/>
              </w:rPr>
              <w:t>Objectif pleinement atteint</w:t>
            </w:r>
          </w:p>
        </w:tc>
      </w:tr>
      <w:tr w:rsidR="009D057D" w:rsidRPr="00C258AD" w:rsidTr="001A4D6C">
        <w:trPr>
          <w:cantSplit/>
        </w:trPr>
        <w:tc>
          <w:tcPr>
            <w:tcW w:w="1137" w:type="pct"/>
            <w:shd w:val="clear" w:color="auto" w:fill="auto"/>
          </w:tcPr>
          <w:p w:rsidR="009D057D" w:rsidRPr="00C258AD" w:rsidRDefault="009D057D" w:rsidP="001A4D6C">
            <w:pPr>
              <w:rPr>
                <w:sz w:val="16"/>
                <w:szCs w:val="16"/>
              </w:rPr>
            </w:pPr>
            <w:r w:rsidRPr="00C258AD">
              <w:rPr>
                <w:sz w:val="16"/>
                <w:szCs w:val="16"/>
              </w:rPr>
              <w:t>Qualité de la traduction</w:t>
            </w:r>
          </w:p>
        </w:tc>
        <w:tc>
          <w:tcPr>
            <w:tcW w:w="1136" w:type="pct"/>
            <w:shd w:val="clear" w:color="auto" w:fill="auto"/>
          </w:tcPr>
          <w:p w:rsidR="006E2BB1" w:rsidRPr="00C258AD" w:rsidRDefault="009D057D" w:rsidP="001A4D6C">
            <w:pPr>
              <w:autoSpaceDE w:val="0"/>
              <w:autoSpaceDN w:val="0"/>
              <w:adjustRightInd w:val="0"/>
              <w:rPr>
                <w:rFonts w:eastAsia="Batang"/>
                <w:color w:val="002060"/>
                <w:sz w:val="16"/>
                <w:szCs w:val="16"/>
                <w:lang w:eastAsia="ja-JP"/>
              </w:rPr>
            </w:pPr>
            <w:r w:rsidRPr="00C258AD">
              <w:rPr>
                <w:rFonts w:eastAsia="Batang"/>
                <w:i/>
                <w:color w:val="002060"/>
                <w:sz w:val="16"/>
                <w:szCs w:val="16"/>
                <w:lang w:eastAsia="ja-JP"/>
              </w:rPr>
              <w:t xml:space="preserve">Niveau de référence actualisé à fin 2013 : </w:t>
            </w:r>
            <w:r w:rsidRPr="00C258AD">
              <w:rPr>
                <w:rFonts w:eastAsia="Batang"/>
                <w:color w:val="002060"/>
                <w:sz w:val="16"/>
                <w:szCs w:val="16"/>
                <w:lang w:eastAsia="ja-JP"/>
              </w:rPr>
              <w:t>96% de documents qui respectent les critères de qualité</w:t>
            </w:r>
          </w:p>
          <w:p w:rsidR="006E2BB1" w:rsidRPr="00C258AD" w:rsidRDefault="006E2BB1" w:rsidP="001A4D6C">
            <w:pPr>
              <w:keepNext/>
              <w:rPr>
                <w:i/>
                <w:sz w:val="16"/>
                <w:szCs w:val="16"/>
              </w:rPr>
            </w:pPr>
          </w:p>
          <w:p w:rsidR="009D057D" w:rsidRPr="00C258AD" w:rsidRDefault="009D057D" w:rsidP="001A4D6C">
            <w:pPr>
              <w:rPr>
                <w:sz w:val="16"/>
                <w:szCs w:val="16"/>
              </w:rPr>
            </w:pPr>
            <w:r w:rsidRPr="00C258AD">
              <w:rPr>
                <w:i/>
                <w:color w:val="000000"/>
                <w:sz w:val="16"/>
                <w:szCs w:val="16"/>
              </w:rPr>
              <w:t>Niveau de référence initial dans le programme et budget 2014</w:t>
            </w:r>
            <w:r w:rsidRPr="00C258AD">
              <w:rPr>
                <w:i/>
                <w:color w:val="000000"/>
                <w:sz w:val="16"/>
                <w:szCs w:val="16"/>
              </w:rPr>
              <w:noBreakHyphen/>
              <w:t>2015 :</w:t>
            </w:r>
            <w:r w:rsidRPr="00C258AD">
              <w:rPr>
                <w:color w:val="000000"/>
                <w:sz w:val="16"/>
                <w:szCs w:val="16"/>
              </w:rPr>
              <w:t xml:space="preserve"> pourcentage de documents qui respectent les critères de qualité</w:t>
            </w:r>
          </w:p>
        </w:tc>
        <w:tc>
          <w:tcPr>
            <w:tcW w:w="833" w:type="pct"/>
            <w:shd w:val="clear" w:color="auto" w:fill="auto"/>
            <w:tcMar>
              <w:top w:w="110" w:type="dxa"/>
            </w:tcMar>
          </w:tcPr>
          <w:p w:rsidR="009D057D" w:rsidRPr="00C258AD" w:rsidRDefault="009D057D" w:rsidP="001A4D6C">
            <w:pPr>
              <w:autoSpaceDE w:val="0"/>
              <w:autoSpaceDN w:val="0"/>
              <w:adjustRightInd w:val="0"/>
              <w:rPr>
                <w:rFonts w:eastAsia="Batang"/>
                <w:sz w:val="16"/>
                <w:szCs w:val="16"/>
                <w:lang w:eastAsia="ja-JP"/>
              </w:rPr>
            </w:pPr>
            <w:r w:rsidRPr="00C258AD">
              <w:rPr>
                <w:rFonts w:eastAsia="Batang"/>
                <w:sz w:val="16"/>
                <w:szCs w:val="16"/>
                <w:lang w:eastAsia="ja-JP"/>
              </w:rPr>
              <w:t>Pourcentage de documents qui respectent les critères de qualité</w:t>
            </w:r>
          </w:p>
        </w:tc>
        <w:tc>
          <w:tcPr>
            <w:tcW w:w="1288" w:type="pct"/>
            <w:shd w:val="clear" w:color="auto" w:fill="FFFFFF"/>
            <w:tcMar>
              <w:top w:w="110" w:type="dxa"/>
            </w:tcMar>
          </w:tcPr>
          <w:p w:rsidR="009D057D" w:rsidRPr="00C258AD" w:rsidRDefault="009D057D" w:rsidP="001A4D6C">
            <w:pPr>
              <w:rPr>
                <w:sz w:val="16"/>
                <w:szCs w:val="16"/>
              </w:rPr>
            </w:pPr>
            <w:r w:rsidRPr="00C258AD">
              <w:rPr>
                <w:rFonts w:cs="Arial"/>
                <w:sz w:val="16"/>
                <w:szCs w:val="16"/>
              </w:rPr>
              <w:t>En 2014</w:t>
            </w:r>
            <w:r w:rsidRPr="00C258AD">
              <w:rPr>
                <w:rFonts w:cs="Arial"/>
                <w:sz w:val="16"/>
                <w:szCs w:val="16"/>
              </w:rPr>
              <w:noBreakHyphen/>
              <w:t>2015, le taux de satisfaction des utilisateurs à l’égard de la qualité des traductions était de 96%.</w:t>
            </w:r>
          </w:p>
        </w:tc>
        <w:tc>
          <w:tcPr>
            <w:tcW w:w="606" w:type="pct"/>
            <w:shd w:val="clear" w:color="auto" w:fill="auto"/>
            <w:tcMar>
              <w:top w:w="110" w:type="dxa"/>
            </w:tcMar>
          </w:tcPr>
          <w:p w:rsidR="009D057D" w:rsidRPr="00C258AD" w:rsidRDefault="009D057D" w:rsidP="001A4D6C">
            <w:pPr>
              <w:keepNext/>
              <w:keepLines/>
              <w:jc w:val="center"/>
              <w:rPr>
                <w:b/>
                <w:bCs/>
                <w:color w:val="808080"/>
                <w:sz w:val="16"/>
                <w:szCs w:val="16"/>
              </w:rPr>
            </w:pPr>
            <w:r w:rsidRPr="00C258AD">
              <w:rPr>
                <w:b/>
                <w:bCs/>
                <w:color w:val="808080"/>
                <w:sz w:val="16"/>
                <w:szCs w:val="16"/>
              </w:rPr>
              <w:t>Non évaluable</w:t>
            </w:r>
          </w:p>
        </w:tc>
      </w:tr>
      <w:tr w:rsidR="009D057D" w:rsidRPr="00C258AD" w:rsidTr="001A4D6C">
        <w:trPr>
          <w:cantSplit/>
        </w:trPr>
        <w:tc>
          <w:tcPr>
            <w:tcW w:w="1137" w:type="pct"/>
            <w:shd w:val="clear" w:color="auto" w:fill="auto"/>
          </w:tcPr>
          <w:p w:rsidR="009D057D" w:rsidRPr="00C258AD" w:rsidRDefault="009D057D" w:rsidP="001A4D6C">
            <w:pPr>
              <w:rPr>
                <w:sz w:val="16"/>
                <w:szCs w:val="16"/>
              </w:rPr>
            </w:pPr>
            <w:r w:rsidRPr="00C258AD">
              <w:rPr>
                <w:sz w:val="16"/>
                <w:szCs w:val="16"/>
              </w:rPr>
              <w:t>Réduction des coûts d’impression (par page)</w:t>
            </w:r>
          </w:p>
        </w:tc>
        <w:tc>
          <w:tcPr>
            <w:tcW w:w="1136" w:type="pct"/>
            <w:shd w:val="clear" w:color="auto" w:fill="auto"/>
          </w:tcPr>
          <w:p w:rsidR="006E2BB1" w:rsidRPr="00C258AD" w:rsidRDefault="009D057D" w:rsidP="001A4D6C">
            <w:pPr>
              <w:autoSpaceDE w:val="0"/>
              <w:autoSpaceDN w:val="0"/>
              <w:adjustRightInd w:val="0"/>
              <w:rPr>
                <w:rFonts w:eastAsia="Batang"/>
                <w:color w:val="002060"/>
                <w:sz w:val="16"/>
                <w:szCs w:val="16"/>
                <w:lang w:eastAsia="ja-JP"/>
              </w:rPr>
            </w:pPr>
            <w:r w:rsidRPr="00C258AD">
              <w:rPr>
                <w:rFonts w:eastAsia="Batang"/>
                <w:i/>
                <w:color w:val="002060"/>
                <w:sz w:val="16"/>
                <w:szCs w:val="16"/>
                <w:lang w:eastAsia="ja-JP"/>
              </w:rPr>
              <w:t>Niveau de référence actualisé à fin 2013 :</w:t>
            </w:r>
            <w:r w:rsidRPr="00C258AD">
              <w:rPr>
                <w:rFonts w:eastAsia="Batang"/>
                <w:color w:val="002060"/>
                <w:sz w:val="16"/>
                <w:szCs w:val="16"/>
                <w:lang w:eastAsia="ja-JP"/>
              </w:rPr>
              <w:t xml:space="preserve"> 0,20 franc suisse par page en moyenne en 2013</w:t>
            </w:r>
            <w:r w:rsidRPr="00C258AD">
              <w:rPr>
                <w:rStyle w:val="FootnoteReference"/>
                <w:rFonts w:eastAsia="Batang"/>
                <w:color w:val="002060"/>
                <w:sz w:val="16"/>
                <w:szCs w:val="16"/>
                <w:lang w:eastAsia="ja-JP"/>
              </w:rPr>
              <w:footnoteReference w:id="148"/>
            </w:r>
          </w:p>
          <w:p w:rsidR="006E2BB1" w:rsidRPr="00C258AD" w:rsidRDefault="006E2BB1" w:rsidP="001A4D6C">
            <w:pPr>
              <w:keepNext/>
              <w:rPr>
                <w:i/>
                <w:sz w:val="16"/>
                <w:szCs w:val="16"/>
              </w:rPr>
            </w:pPr>
          </w:p>
          <w:p w:rsidR="009D057D" w:rsidRPr="00C258AD" w:rsidRDefault="009D057D" w:rsidP="001A4D6C">
            <w:pPr>
              <w:rPr>
                <w:sz w:val="16"/>
                <w:szCs w:val="16"/>
              </w:rPr>
            </w:pPr>
            <w:r w:rsidRPr="00C258AD">
              <w:rPr>
                <w:i/>
                <w:sz w:val="16"/>
                <w:szCs w:val="16"/>
              </w:rPr>
              <w:t>Niveau de référence initial dans le programme et budget 2014</w:t>
            </w:r>
            <w:r w:rsidRPr="00C258AD">
              <w:rPr>
                <w:i/>
                <w:sz w:val="16"/>
                <w:szCs w:val="16"/>
              </w:rPr>
              <w:noBreakHyphen/>
              <w:t xml:space="preserve">2015 : </w:t>
            </w:r>
            <w:r w:rsidRPr="00C258AD">
              <w:rPr>
                <w:sz w:val="16"/>
                <w:szCs w:val="16"/>
              </w:rPr>
              <w:t>à déterminer</w:t>
            </w:r>
          </w:p>
        </w:tc>
        <w:tc>
          <w:tcPr>
            <w:tcW w:w="833" w:type="pct"/>
            <w:shd w:val="clear" w:color="auto" w:fill="auto"/>
            <w:tcMar>
              <w:top w:w="110" w:type="dxa"/>
            </w:tcMar>
          </w:tcPr>
          <w:p w:rsidR="006E2BB1" w:rsidRPr="00C258AD" w:rsidRDefault="009D057D" w:rsidP="001A4D6C">
            <w:pPr>
              <w:rPr>
                <w:rFonts w:eastAsia="Batang"/>
                <w:i/>
                <w:color w:val="002060"/>
                <w:sz w:val="16"/>
                <w:szCs w:val="16"/>
                <w:lang w:eastAsia="ja-JP"/>
              </w:rPr>
            </w:pPr>
            <w:r w:rsidRPr="00C258AD">
              <w:rPr>
                <w:rFonts w:eastAsia="Batang"/>
                <w:i/>
                <w:color w:val="002060"/>
                <w:sz w:val="16"/>
                <w:szCs w:val="16"/>
                <w:lang w:eastAsia="ja-JP"/>
              </w:rPr>
              <w:t>Objectif fixé :</w:t>
            </w:r>
          </w:p>
          <w:p w:rsidR="006E2BB1" w:rsidRPr="00C258AD" w:rsidRDefault="009D057D" w:rsidP="001A4D6C">
            <w:pPr>
              <w:rPr>
                <w:rFonts w:eastAsia="Batang"/>
                <w:color w:val="002060"/>
                <w:sz w:val="16"/>
                <w:szCs w:val="16"/>
                <w:lang w:eastAsia="ja-JP"/>
              </w:rPr>
            </w:pPr>
            <w:r w:rsidRPr="00C258AD">
              <w:rPr>
                <w:rFonts w:eastAsia="Batang"/>
                <w:color w:val="002060"/>
                <w:sz w:val="16"/>
                <w:szCs w:val="16"/>
                <w:lang w:eastAsia="ja-JP"/>
              </w:rPr>
              <w:t>diminution de 5% du coût moyen par page</w:t>
            </w:r>
          </w:p>
          <w:p w:rsidR="006E2BB1" w:rsidRPr="00C258AD" w:rsidRDefault="006E2BB1" w:rsidP="001A4D6C">
            <w:pPr>
              <w:rPr>
                <w:color w:val="002060"/>
                <w:sz w:val="16"/>
                <w:szCs w:val="16"/>
              </w:rPr>
            </w:pPr>
          </w:p>
          <w:p w:rsidR="009D057D" w:rsidRPr="00C258AD" w:rsidRDefault="009D057D" w:rsidP="001A4D6C">
            <w:pPr>
              <w:rPr>
                <w:sz w:val="16"/>
                <w:szCs w:val="16"/>
              </w:rPr>
            </w:pPr>
            <w:r w:rsidRPr="00C258AD">
              <w:rPr>
                <w:rFonts w:eastAsia="Batang"/>
                <w:i/>
                <w:sz w:val="16"/>
                <w:szCs w:val="16"/>
                <w:lang w:eastAsia="ja-JP"/>
              </w:rPr>
              <w:t>Objectif initial dans le programme et budget 2014</w:t>
            </w:r>
            <w:r w:rsidRPr="00C258AD">
              <w:rPr>
                <w:rFonts w:eastAsia="Batang"/>
                <w:i/>
                <w:sz w:val="16"/>
                <w:szCs w:val="16"/>
                <w:lang w:eastAsia="ja-JP"/>
              </w:rPr>
              <w:noBreakHyphen/>
              <w:t>2015 :</w:t>
            </w:r>
            <w:r w:rsidRPr="00C258AD">
              <w:rPr>
                <w:rFonts w:eastAsia="Batang"/>
                <w:sz w:val="16"/>
                <w:szCs w:val="16"/>
                <w:lang w:eastAsia="ja-JP"/>
              </w:rPr>
              <w:t xml:space="preserve"> à déterminer</w:t>
            </w:r>
          </w:p>
        </w:tc>
        <w:tc>
          <w:tcPr>
            <w:tcW w:w="1288" w:type="pct"/>
            <w:shd w:val="clear" w:color="auto" w:fill="FFFFFF"/>
            <w:tcMar>
              <w:top w:w="110" w:type="dxa"/>
            </w:tcMar>
          </w:tcPr>
          <w:p w:rsidR="009D057D" w:rsidRPr="00C258AD" w:rsidRDefault="009D057D" w:rsidP="001A4D6C">
            <w:pPr>
              <w:rPr>
                <w:sz w:val="16"/>
                <w:szCs w:val="16"/>
                <w:lang w:bidi="th-TH"/>
              </w:rPr>
            </w:pPr>
            <w:r w:rsidRPr="00C258AD">
              <w:rPr>
                <w:rFonts w:cs="Arial"/>
                <w:sz w:val="16"/>
                <w:szCs w:val="16"/>
              </w:rPr>
              <w:t>Coût moyen par page en 2014</w:t>
            </w:r>
            <w:r w:rsidRPr="00C258AD">
              <w:rPr>
                <w:rStyle w:val="FootnoteReference"/>
                <w:rFonts w:eastAsia="SimSun"/>
                <w:sz w:val="16"/>
                <w:szCs w:val="16"/>
              </w:rPr>
              <w:footnoteReference w:id="149"/>
            </w:r>
            <w:r w:rsidRPr="00C258AD">
              <w:rPr>
                <w:rFonts w:cs="Arial"/>
                <w:sz w:val="16"/>
                <w:szCs w:val="16"/>
              </w:rPr>
              <w:t xml:space="preserve"> et 2015 : 0,15 franc suisse (diminution de 25%).  </w:t>
            </w:r>
          </w:p>
        </w:tc>
        <w:tc>
          <w:tcPr>
            <w:tcW w:w="606" w:type="pct"/>
            <w:shd w:val="clear" w:color="auto" w:fill="auto"/>
            <w:tcMar>
              <w:top w:w="110" w:type="dxa"/>
            </w:tcMar>
          </w:tcPr>
          <w:p w:rsidR="009D057D" w:rsidRPr="00C258AD" w:rsidRDefault="009D057D" w:rsidP="001A4D6C">
            <w:pPr>
              <w:keepNext/>
              <w:keepLines/>
              <w:jc w:val="center"/>
              <w:rPr>
                <w:bCs/>
                <w:color w:val="808080"/>
                <w:sz w:val="16"/>
                <w:szCs w:val="16"/>
              </w:rPr>
            </w:pPr>
            <w:r w:rsidRPr="00C258AD">
              <w:rPr>
                <w:rFonts w:cs="Arial"/>
                <w:b/>
                <w:bCs/>
                <w:color w:val="00B050"/>
                <w:sz w:val="16"/>
                <w:szCs w:val="16"/>
              </w:rPr>
              <w:t>Objectif pleinement atteint</w:t>
            </w:r>
          </w:p>
        </w:tc>
      </w:tr>
      <w:tr w:rsidR="009D057D" w:rsidRPr="00C258AD" w:rsidTr="001A4D6C">
        <w:trPr>
          <w:cantSplit/>
        </w:trPr>
        <w:tc>
          <w:tcPr>
            <w:tcW w:w="1137" w:type="pct"/>
            <w:shd w:val="clear" w:color="auto" w:fill="auto"/>
          </w:tcPr>
          <w:p w:rsidR="009D057D" w:rsidRPr="00C258AD" w:rsidRDefault="009D057D" w:rsidP="001A4D6C">
            <w:pPr>
              <w:rPr>
                <w:sz w:val="16"/>
                <w:szCs w:val="16"/>
              </w:rPr>
            </w:pPr>
            <w:r w:rsidRPr="00C258AD">
              <w:rPr>
                <w:sz w:val="16"/>
                <w:szCs w:val="16"/>
              </w:rPr>
              <w:lastRenderedPageBreak/>
              <w:t>Publication en temps voulu des documents pour les comités et groupes de travail</w:t>
            </w:r>
          </w:p>
        </w:tc>
        <w:tc>
          <w:tcPr>
            <w:tcW w:w="1136" w:type="pct"/>
            <w:shd w:val="clear" w:color="auto" w:fill="auto"/>
          </w:tcPr>
          <w:p w:rsidR="006E2BB1" w:rsidRPr="00C258AD" w:rsidRDefault="009D057D" w:rsidP="001A4D6C">
            <w:pPr>
              <w:autoSpaceDE w:val="0"/>
              <w:autoSpaceDN w:val="0"/>
              <w:adjustRightInd w:val="0"/>
              <w:rPr>
                <w:rFonts w:eastAsia="Batang"/>
                <w:color w:val="002060"/>
                <w:sz w:val="16"/>
                <w:szCs w:val="16"/>
                <w:lang w:eastAsia="ja-JP"/>
              </w:rPr>
            </w:pPr>
            <w:r w:rsidRPr="00C258AD">
              <w:rPr>
                <w:rFonts w:eastAsia="Batang"/>
                <w:i/>
                <w:color w:val="002060"/>
                <w:sz w:val="16"/>
                <w:szCs w:val="16"/>
                <w:lang w:eastAsia="ja-JP"/>
              </w:rPr>
              <w:t xml:space="preserve">Niveau de référence actualisé à fin 2013 : </w:t>
            </w:r>
            <w:r w:rsidRPr="00C258AD">
              <w:rPr>
                <w:rFonts w:eastAsia="Batang"/>
                <w:color w:val="002060"/>
                <w:sz w:val="16"/>
                <w:szCs w:val="16"/>
                <w:lang w:eastAsia="ja-JP"/>
              </w:rPr>
              <w:t xml:space="preserve">26% </w:t>
            </w:r>
            <w:r w:rsidRPr="00C258AD">
              <w:rPr>
                <w:color w:val="002060"/>
                <w:sz w:val="16"/>
                <w:szCs w:val="16"/>
              </w:rPr>
              <w:t>des documents publiés dans toutes les langues deux mois avant les réunions concernées</w:t>
            </w:r>
          </w:p>
          <w:p w:rsidR="006E2BB1" w:rsidRPr="00C258AD" w:rsidRDefault="006E2BB1" w:rsidP="001A4D6C">
            <w:pPr>
              <w:keepNext/>
              <w:rPr>
                <w:i/>
                <w:sz w:val="16"/>
                <w:szCs w:val="16"/>
              </w:rPr>
            </w:pPr>
          </w:p>
          <w:p w:rsidR="009D057D" w:rsidRPr="00C258AD" w:rsidRDefault="009D057D" w:rsidP="001A4D6C">
            <w:pPr>
              <w:autoSpaceDE w:val="0"/>
              <w:autoSpaceDN w:val="0"/>
              <w:adjustRightInd w:val="0"/>
              <w:rPr>
                <w:rFonts w:eastAsia="Batang"/>
                <w:i/>
                <w:color w:val="002060"/>
                <w:sz w:val="16"/>
                <w:szCs w:val="16"/>
                <w:lang w:eastAsia="ja-JP"/>
              </w:rPr>
            </w:pPr>
            <w:r w:rsidRPr="00C258AD">
              <w:rPr>
                <w:i/>
                <w:sz w:val="16"/>
                <w:szCs w:val="16"/>
              </w:rPr>
              <w:t>Niveau de référence initial dans le programme et budget 2014</w:t>
            </w:r>
            <w:r w:rsidRPr="00C258AD">
              <w:rPr>
                <w:i/>
                <w:sz w:val="16"/>
                <w:szCs w:val="16"/>
              </w:rPr>
              <w:noBreakHyphen/>
              <w:t xml:space="preserve">2015 : </w:t>
            </w:r>
            <w:r w:rsidRPr="00C258AD">
              <w:rPr>
                <w:sz w:val="16"/>
                <w:szCs w:val="16"/>
              </w:rPr>
              <w:t>pourcentage de documents publiés deux mois avant les réunions concernées (à déterminer)</w:t>
            </w:r>
          </w:p>
        </w:tc>
        <w:tc>
          <w:tcPr>
            <w:tcW w:w="833" w:type="pct"/>
            <w:shd w:val="clear" w:color="auto" w:fill="auto"/>
            <w:tcMar>
              <w:top w:w="110" w:type="dxa"/>
            </w:tcMar>
          </w:tcPr>
          <w:p w:rsidR="009D057D" w:rsidRPr="00C258AD" w:rsidRDefault="009D057D" w:rsidP="001A4D6C">
            <w:pPr>
              <w:rPr>
                <w:sz w:val="16"/>
                <w:szCs w:val="16"/>
              </w:rPr>
            </w:pPr>
            <w:r w:rsidRPr="00C258AD">
              <w:rPr>
                <w:sz w:val="16"/>
                <w:szCs w:val="16"/>
              </w:rPr>
              <w:t>65% des documents publiés deux mois avant les réunions concernées</w:t>
            </w:r>
          </w:p>
        </w:tc>
        <w:tc>
          <w:tcPr>
            <w:tcW w:w="1288" w:type="pct"/>
            <w:shd w:val="clear" w:color="auto" w:fill="FFFFFF"/>
            <w:tcMar>
              <w:top w:w="110" w:type="dxa"/>
            </w:tcMar>
          </w:tcPr>
          <w:p w:rsidR="006E2BB1" w:rsidRPr="00C258AD" w:rsidRDefault="009D057D" w:rsidP="001A4D6C">
            <w:pPr>
              <w:rPr>
                <w:sz w:val="16"/>
                <w:szCs w:val="16"/>
              </w:rPr>
            </w:pPr>
            <w:r w:rsidRPr="00C258AD">
              <w:rPr>
                <w:sz w:val="16"/>
                <w:szCs w:val="16"/>
              </w:rPr>
              <w:t>En 2014</w:t>
            </w:r>
            <w:r w:rsidRPr="00C258AD">
              <w:rPr>
                <w:sz w:val="16"/>
                <w:szCs w:val="16"/>
              </w:rPr>
              <w:noBreakHyphen/>
              <w:t>2015, 52,6% de tous les documents des comités principaux ont été publiés dans toutes les langues deux mois avant les réunions concernées.</w:t>
            </w:r>
          </w:p>
          <w:p w:rsidR="006E2BB1" w:rsidRPr="00C258AD" w:rsidRDefault="009D057D" w:rsidP="003A56B4">
            <w:pPr>
              <w:pStyle w:val="ListParagraph"/>
              <w:numPr>
                <w:ilvl w:val="0"/>
                <w:numId w:val="54"/>
              </w:numPr>
              <w:rPr>
                <w:rFonts w:eastAsiaTheme="minorHAnsi"/>
                <w:sz w:val="16"/>
                <w:szCs w:val="16"/>
              </w:rPr>
            </w:pPr>
            <w:r w:rsidRPr="00C258AD">
              <w:rPr>
                <w:rFonts w:eastAsiaTheme="minorHAnsi"/>
                <w:sz w:val="16"/>
                <w:szCs w:val="16"/>
              </w:rPr>
              <w:t>2014 : 41%</w:t>
            </w:r>
          </w:p>
          <w:p w:rsidR="009D057D" w:rsidRPr="00C258AD" w:rsidRDefault="009D057D" w:rsidP="003A56B4">
            <w:pPr>
              <w:pStyle w:val="ListParagraph"/>
              <w:numPr>
                <w:ilvl w:val="0"/>
                <w:numId w:val="54"/>
              </w:numPr>
              <w:rPr>
                <w:rFonts w:eastAsiaTheme="minorHAnsi"/>
                <w:sz w:val="16"/>
                <w:szCs w:val="16"/>
              </w:rPr>
            </w:pPr>
            <w:r w:rsidRPr="00C258AD">
              <w:rPr>
                <w:rFonts w:eastAsiaTheme="minorHAnsi"/>
                <w:sz w:val="16"/>
                <w:szCs w:val="16"/>
              </w:rPr>
              <w:t>2015 : 69%</w:t>
            </w:r>
          </w:p>
        </w:tc>
        <w:tc>
          <w:tcPr>
            <w:tcW w:w="606" w:type="pct"/>
            <w:shd w:val="clear" w:color="auto" w:fill="auto"/>
            <w:tcMar>
              <w:top w:w="110" w:type="dxa"/>
            </w:tcMar>
          </w:tcPr>
          <w:p w:rsidR="009D057D" w:rsidRPr="00C258AD" w:rsidRDefault="009D057D" w:rsidP="001A4D6C">
            <w:pPr>
              <w:keepNext/>
              <w:keepLines/>
              <w:jc w:val="center"/>
              <w:rPr>
                <w:b/>
                <w:bCs/>
                <w:color w:val="00B050"/>
                <w:sz w:val="16"/>
                <w:szCs w:val="16"/>
              </w:rPr>
            </w:pPr>
            <w:r w:rsidRPr="00C258AD">
              <w:rPr>
                <w:rFonts w:cs="Arial"/>
                <w:b/>
                <w:bCs/>
                <w:color w:val="00B050"/>
                <w:sz w:val="16"/>
                <w:szCs w:val="16"/>
              </w:rPr>
              <w:t>Objectif pleinement atteint</w:t>
            </w:r>
          </w:p>
        </w:tc>
      </w:tr>
    </w:tbl>
    <w:p w:rsidR="006E2BB1" w:rsidRPr="00C258AD" w:rsidRDefault="006E2BB1" w:rsidP="001A4D6C">
      <w:pPr>
        <w:rPr>
          <w:color w:val="000000"/>
          <w:sz w:val="22"/>
          <w:szCs w:val="22"/>
        </w:rPr>
      </w:pPr>
    </w:p>
    <w:p w:rsidR="006E2BB1" w:rsidRPr="00C258AD" w:rsidRDefault="006E2BB1" w:rsidP="001A4D6C">
      <w:pPr>
        <w:rPr>
          <w:color w:val="000000"/>
          <w:sz w:val="22"/>
          <w:szCs w:val="22"/>
        </w:rPr>
      </w:pPr>
    </w:p>
    <w:p w:rsidR="006E2BB1" w:rsidRPr="00C258AD" w:rsidRDefault="009D057D" w:rsidP="00305CE5">
      <w:pPr>
        <w:keepNext/>
        <w:rPr>
          <w:rFonts w:cs="Arial"/>
          <w:caps/>
          <w:sz w:val="22"/>
          <w:szCs w:val="22"/>
        </w:rPr>
      </w:pPr>
      <w:r w:rsidRPr="00C258AD">
        <w:rPr>
          <w:rFonts w:cs="Arial"/>
          <w:caps/>
          <w:sz w:val="22"/>
          <w:szCs w:val="22"/>
        </w:rPr>
        <w:t>Rapport d’évaluation des risques pour l’exercice biennal</w:t>
      </w:r>
    </w:p>
    <w:p w:rsidR="009D057D" w:rsidRPr="00C258AD" w:rsidRDefault="009D057D" w:rsidP="001A4D6C">
      <w:pPr>
        <w:keepNext/>
        <w:keepLines/>
        <w:rPr>
          <w:rFonts w:cs="Arial"/>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9D057D" w:rsidRPr="00C258AD" w:rsidTr="001A4D6C">
        <w:trPr>
          <w:cantSplit/>
        </w:trPr>
        <w:tc>
          <w:tcPr>
            <w:tcW w:w="2372" w:type="dxa"/>
            <w:tcBorders>
              <w:top w:val="single" w:sz="4" w:space="0" w:color="auto"/>
              <w:left w:val="single" w:sz="4" w:space="0" w:color="auto"/>
              <w:bottom w:val="single" w:sz="4" w:space="0" w:color="auto"/>
            </w:tcBorders>
            <w:shd w:val="clear" w:color="auto" w:fill="C5D9F1"/>
            <w:vAlign w:val="center"/>
          </w:tcPr>
          <w:p w:rsidR="009D057D" w:rsidRPr="00C258AD" w:rsidRDefault="009D057D" w:rsidP="001A4D6C">
            <w:pPr>
              <w:keepNext/>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9D057D" w:rsidRPr="00C258AD" w:rsidRDefault="009D057D" w:rsidP="001A4D6C">
            <w:pPr>
              <w:keepNext/>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9D057D" w:rsidRPr="00C258AD" w:rsidRDefault="009D057D" w:rsidP="001A4D6C">
            <w:pPr>
              <w:keepNext/>
              <w:autoSpaceDE w:val="0"/>
              <w:autoSpaceDN w:val="0"/>
              <w:adjustRightInd w:val="0"/>
              <w:ind w:right="-59"/>
              <w:jc w:val="center"/>
              <w:rPr>
                <w:b/>
                <w:bCs/>
                <w:iCs/>
                <w:sz w:val="16"/>
                <w:szCs w:val="16"/>
              </w:rPr>
            </w:pPr>
            <w:r w:rsidRPr="00C258AD">
              <w:rPr>
                <w:b/>
                <w:bCs/>
                <w:iCs/>
                <w:sz w:val="16"/>
                <w:szCs w:val="16"/>
              </w:rPr>
              <w:t>Évolution des risques et des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9D057D" w:rsidRPr="00C258AD" w:rsidRDefault="009D057D" w:rsidP="001A4D6C">
            <w:pPr>
              <w:keepNext/>
              <w:autoSpaceDE w:val="0"/>
              <w:autoSpaceDN w:val="0"/>
              <w:adjustRightInd w:val="0"/>
              <w:jc w:val="center"/>
              <w:rPr>
                <w:b/>
                <w:bCs/>
                <w:iCs/>
                <w:sz w:val="16"/>
                <w:szCs w:val="16"/>
              </w:rPr>
            </w:pPr>
            <w:r w:rsidRPr="00C258AD">
              <w:rPr>
                <w:b/>
                <w:bCs/>
                <w:iCs/>
                <w:sz w:val="16"/>
                <w:szCs w:val="16"/>
              </w:rPr>
              <w:t>Incidence sur les résultats du programme</w:t>
            </w:r>
          </w:p>
        </w:tc>
      </w:tr>
      <w:tr w:rsidR="009D057D" w:rsidRPr="00C258AD" w:rsidTr="001A4D6C">
        <w:tblPrEx>
          <w:tblBorders>
            <w:top w:val="single" w:sz="4" w:space="0" w:color="auto"/>
            <w:left w:val="single" w:sz="4" w:space="0" w:color="auto"/>
            <w:bottom w:val="single" w:sz="4" w:space="0" w:color="auto"/>
            <w:right w:val="single" w:sz="4" w:space="0" w:color="auto"/>
          </w:tblBorders>
        </w:tblPrEx>
        <w:trPr>
          <w:cantSplit/>
        </w:trPr>
        <w:tc>
          <w:tcPr>
            <w:tcW w:w="2372" w:type="dxa"/>
            <w:tcBorders>
              <w:top w:val="single" w:sz="4" w:space="0" w:color="auto"/>
            </w:tcBorders>
            <w:shd w:val="clear" w:color="auto" w:fill="auto"/>
            <w:tcMar>
              <w:top w:w="113" w:type="dxa"/>
              <w:bottom w:w="85" w:type="dxa"/>
            </w:tcMar>
          </w:tcPr>
          <w:p w:rsidR="006E2BB1" w:rsidRPr="00C258AD" w:rsidRDefault="009D057D" w:rsidP="001A4D6C">
            <w:pPr>
              <w:keepNext/>
              <w:keepLines/>
              <w:rPr>
                <w:sz w:val="16"/>
                <w:szCs w:val="16"/>
              </w:rPr>
            </w:pPr>
            <w:r w:rsidRPr="00C258AD">
              <w:rPr>
                <w:sz w:val="16"/>
                <w:szCs w:val="16"/>
              </w:rPr>
              <w:t>Mise en œuvre insuffisante de la politique linguistique</w:t>
            </w:r>
          </w:p>
          <w:p w:rsidR="006E2BB1" w:rsidRPr="00C258AD" w:rsidRDefault="006E2BB1" w:rsidP="001A4D6C">
            <w:pPr>
              <w:keepNext/>
              <w:keepLines/>
              <w:rPr>
                <w:sz w:val="16"/>
                <w:szCs w:val="16"/>
              </w:rPr>
            </w:pPr>
          </w:p>
          <w:p w:rsidR="009D057D" w:rsidRPr="00C258AD" w:rsidRDefault="009D057D" w:rsidP="001A4D6C">
            <w:pPr>
              <w:keepNext/>
              <w:keepLines/>
              <w:rPr>
                <w:sz w:val="16"/>
                <w:szCs w:val="16"/>
              </w:rPr>
            </w:pPr>
            <w:r w:rsidRPr="00C258AD">
              <w:rPr>
                <w:sz w:val="16"/>
                <w:szCs w:val="16"/>
              </w:rPr>
              <w:t>En raison de l’augmentation des demandes de traduction et du non</w:t>
            </w:r>
            <w:r w:rsidRPr="00C258AD">
              <w:rPr>
                <w:sz w:val="16"/>
                <w:szCs w:val="16"/>
              </w:rPr>
              <w:noBreakHyphen/>
              <w:t>respect des limites prescrites, la charge de travail de traduction augmente considérablement, ce qui engendre des déséquilibres budgétaires.</w:t>
            </w:r>
          </w:p>
        </w:tc>
        <w:tc>
          <w:tcPr>
            <w:tcW w:w="2373" w:type="dxa"/>
            <w:tcBorders>
              <w:top w:val="single" w:sz="4" w:space="0" w:color="auto"/>
            </w:tcBorders>
            <w:shd w:val="clear" w:color="auto" w:fill="auto"/>
            <w:tcMar>
              <w:top w:w="113" w:type="dxa"/>
              <w:bottom w:w="85" w:type="dxa"/>
            </w:tcMar>
          </w:tcPr>
          <w:p w:rsidR="009D057D" w:rsidRPr="00C258AD" w:rsidRDefault="009D057D" w:rsidP="001A4D6C">
            <w:pPr>
              <w:keepNext/>
              <w:keepLines/>
              <w:rPr>
                <w:sz w:val="16"/>
                <w:szCs w:val="16"/>
              </w:rPr>
            </w:pPr>
            <w:r w:rsidRPr="00C258AD">
              <w:rPr>
                <w:sz w:val="16"/>
                <w:szCs w:val="16"/>
              </w:rPr>
              <w:t>Contrôle du nombre et du volume de documents;  application stricte des mesures de rationalisation et de contrôle;  encouragement des secteurs concernés à éviter les répétitions dans les documents</w:t>
            </w:r>
          </w:p>
        </w:tc>
        <w:tc>
          <w:tcPr>
            <w:tcW w:w="2373" w:type="dxa"/>
            <w:tcBorders>
              <w:top w:val="single" w:sz="4" w:space="0" w:color="auto"/>
            </w:tcBorders>
          </w:tcPr>
          <w:p w:rsidR="009D057D" w:rsidRPr="00C258AD" w:rsidRDefault="009D057D" w:rsidP="001A4D6C">
            <w:pPr>
              <w:keepNext/>
              <w:keepLines/>
              <w:rPr>
                <w:sz w:val="16"/>
                <w:szCs w:val="16"/>
              </w:rPr>
            </w:pPr>
            <w:r w:rsidRPr="00C258AD">
              <w:rPr>
                <w:sz w:val="16"/>
                <w:szCs w:val="16"/>
              </w:rPr>
              <w:t>Par le biais de contrôles plus ciblés et de mesures de rationalisation dynamiques, les secteurs d’activités ont été encouragés à prendre davantage conscience de l’importance de produire des documents courts, afin de mieux limiter le volume de traduction.  Pour ce qui était de la mise en œuvre effective de la politique linguistique, les mesures d’atténuation comprenaient une approche d’application progressive et un</w:t>
            </w:r>
            <w:r w:rsidRPr="00C258AD">
              <w:t xml:space="preserve"> </w:t>
            </w:r>
            <w:r w:rsidRPr="00C258AD">
              <w:rPr>
                <w:sz w:val="16"/>
                <w:szCs w:val="16"/>
              </w:rPr>
              <w:t>recours accru à la sous</w:t>
            </w:r>
            <w:r w:rsidRPr="00C258AD">
              <w:rPr>
                <w:sz w:val="16"/>
                <w:szCs w:val="16"/>
              </w:rPr>
              <w:noBreakHyphen/>
              <w:t>traitance et aux technologies de la traduction.</w:t>
            </w:r>
          </w:p>
        </w:tc>
        <w:tc>
          <w:tcPr>
            <w:tcW w:w="2373" w:type="dxa"/>
            <w:tcBorders>
              <w:top w:val="single" w:sz="4" w:space="0" w:color="auto"/>
            </w:tcBorders>
          </w:tcPr>
          <w:p w:rsidR="009D057D" w:rsidRPr="00C258AD" w:rsidRDefault="009D057D" w:rsidP="001A4D6C">
            <w:pPr>
              <w:keepNext/>
              <w:keepLines/>
              <w:rPr>
                <w:sz w:val="16"/>
                <w:szCs w:val="16"/>
              </w:rPr>
            </w:pPr>
            <w:r w:rsidRPr="00C258AD">
              <w:rPr>
                <w:sz w:val="16"/>
                <w:szCs w:val="16"/>
              </w:rPr>
              <w:t>Le risque ayant été atténué de manière effective, il n’y avait pas d’incidence sur les résultats du programme en 2014</w:t>
            </w:r>
            <w:r w:rsidRPr="00C258AD">
              <w:rPr>
                <w:sz w:val="16"/>
                <w:szCs w:val="16"/>
              </w:rPr>
              <w:noBreakHyphen/>
              <w:t xml:space="preserve">2015.  </w:t>
            </w:r>
          </w:p>
        </w:tc>
      </w:tr>
    </w:tbl>
    <w:p w:rsidR="006E2BB1" w:rsidRPr="00C258AD" w:rsidRDefault="006E2BB1" w:rsidP="001A4D6C">
      <w:pPr>
        <w:rPr>
          <w:color w:val="000000"/>
          <w:sz w:val="22"/>
          <w:szCs w:val="22"/>
        </w:rPr>
      </w:pPr>
    </w:p>
    <w:p w:rsidR="006E2BB1" w:rsidRPr="00C258AD" w:rsidRDefault="006E2BB1" w:rsidP="001A4D6C">
      <w:pPr>
        <w:rPr>
          <w:color w:val="000000"/>
          <w:sz w:val="22"/>
          <w:szCs w:val="22"/>
        </w:rPr>
      </w:pPr>
    </w:p>
    <w:p w:rsidR="006E2BB1" w:rsidRPr="00C258AD" w:rsidRDefault="009D057D" w:rsidP="00305CE5">
      <w:pPr>
        <w:keepNext/>
        <w:rPr>
          <w:rFonts w:cs="Arial"/>
          <w:caps/>
          <w:sz w:val="22"/>
          <w:szCs w:val="22"/>
        </w:rPr>
      </w:pPr>
      <w:r w:rsidRPr="00C258AD">
        <w:rPr>
          <w:rFonts w:cs="Arial"/>
          <w:caps/>
          <w:sz w:val="22"/>
          <w:szCs w:val="22"/>
        </w:rPr>
        <w:t>Utilisation des ressources</w:t>
      </w:r>
    </w:p>
    <w:p w:rsidR="006E2BB1" w:rsidRPr="00C258AD" w:rsidRDefault="006E2BB1" w:rsidP="001A4D6C">
      <w:pPr>
        <w:keepNext/>
        <w:jc w:val="center"/>
      </w:pPr>
    </w:p>
    <w:p w:rsidR="006E2BB1" w:rsidRPr="00C258AD" w:rsidRDefault="009D057D" w:rsidP="001A4D6C">
      <w:pPr>
        <w:pStyle w:val="NormalWeb"/>
        <w:keepNext/>
        <w:spacing w:before="0" w:beforeAutospacing="0" w:after="0" w:afterAutospacing="0"/>
        <w:jc w:val="center"/>
        <w:rPr>
          <w:sz w:val="20"/>
          <w:szCs w:val="20"/>
        </w:rPr>
      </w:pPr>
      <w:r w:rsidRPr="00C258AD">
        <w:rPr>
          <w:sz w:val="20"/>
          <w:szCs w:val="20"/>
        </w:rPr>
        <w:t>Budget et dépenses effectives (par résultat)</w:t>
      </w:r>
    </w:p>
    <w:p w:rsidR="006E2BB1" w:rsidRPr="00C258AD" w:rsidRDefault="009D057D" w:rsidP="001A4D6C">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9D057D" w:rsidRPr="00C258AD" w:rsidRDefault="009D057D" w:rsidP="001A4D6C">
      <w:pPr>
        <w:keepNext/>
        <w:jc w:val="both"/>
      </w:pPr>
    </w:p>
    <w:tbl>
      <w:tblPr>
        <w:tblW w:w="5000" w:type="pct"/>
        <w:tblCellMar>
          <w:top w:w="113" w:type="dxa"/>
          <w:left w:w="70" w:type="dxa"/>
          <w:bottom w:w="113" w:type="dxa"/>
          <w:right w:w="70" w:type="dxa"/>
        </w:tblCellMar>
        <w:tblLook w:val="04A0" w:firstRow="1" w:lastRow="0" w:firstColumn="1" w:lastColumn="0" w:noHBand="0" w:noVBand="1"/>
      </w:tblPr>
      <w:tblGrid>
        <w:gridCol w:w="580"/>
        <w:gridCol w:w="4703"/>
        <w:gridCol w:w="1404"/>
        <w:gridCol w:w="1404"/>
        <w:gridCol w:w="1404"/>
      </w:tblGrid>
      <w:tr w:rsidR="009D057D" w:rsidRPr="00C258AD" w:rsidTr="001A4D6C">
        <w:trPr>
          <w:cantSplit/>
        </w:trPr>
        <w:tc>
          <w:tcPr>
            <w:tcW w:w="512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9D057D" w:rsidRPr="00C258AD" w:rsidRDefault="009D057D" w:rsidP="001A4D6C">
            <w:pPr>
              <w:jc w:val="center"/>
              <w:rPr>
                <w:i/>
                <w:iCs/>
                <w:sz w:val="16"/>
                <w:szCs w:val="16"/>
                <w:lang w:eastAsia="fr-FR"/>
              </w:rPr>
            </w:pPr>
            <w:r w:rsidRPr="00C258AD">
              <w:rPr>
                <w:i/>
                <w:iCs/>
                <w:sz w:val="16"/>
                <w:szCs w:val="16"/>
                <w:lang w:eastAsia="fr-FR"/>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9D057D" w:rsidRPr="00C258AD" w:rsidRDefault="009D057D" w:rsidP="001A4D6C">
            <w:pPr>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Pr="00C258AD">
              <w:rPr>
                <w:i/>
                <w:iCs/>
                <w:sz w:val="16"/>
                <w:szCs w:val="16"/>
                <w:lang w:eastAsia="fr-FR"/>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9D057D" w:rsidRPr="00C258AD" w:rsidRDefault="009D057D" w:rsidP="001A4D6C">
            <w:pPr>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Pr="00C258AD">
              <w:rPr>
                <w:i/>
                <w:iCs/>
                <w:sz w:val="16"/>
                <w:szCs w:val="16"/>
                <w:lang w:eastAsia="fr-FR"/>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9D057D" w:rsidRPr="00C258AD" w:rsidRDefault="009D057D" w:rsidP="001A4D6C">
            <w:pPr>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Pr="00C258AD">
              <w:rPr>
                <w:i/>
                <w:iCs/>
                <w:sz w:val="16"/>
                <w:szCs w:val="16"/>
                <w:lang w:eastAsia="fr-FR"/>
              </w:rPr>
              <w:noBreakHyphen/>
              <w:t>2015</w:t>
            </w:r>
          </w:p>
        </w:tc>
      </w:tr>
      <w:tr w:rsidR="009D057D" w:rsidRPr="00C258AD" w:rsidTr="001A4D6C">
        <w:trPr>
          <w:cantSplit/>
        </w:trPr>
        <w:tc>
          <w:tcPr>
            <w:tcW w:w="563" w:type="dxa"/>
            <w:tcBorders>
              <w:top w:val="nil"/>
              <w:left w:val="single" w:sz="4" w:space="0" w:color="auto"/>
              <w:bottom w:val="nil"/>
              <w:right w:val="nil"/>
            </w:tcBorders>
            <w:shd w:val="clear" w:color="auto" w:fill="auto"/>
            <w:noWrap/>
            <w:vAlign w:val="center"/>
            <w:hideMark/>
          </w:tcPr>
          <w:p w:rsidR="009D057D" w:rsidRPr="00C258AD" w:rsidRDefault="009D057D" w:rsidP="001A4D6C">
            <w:pPr>
              <w:rPr>
                <w:sz w:val="16"/>
                <w:szCs w:val="16"/>
                <w:lang w:eastAsia="fr-FR"/>
              </w:rPr>
            </w:pPr>
            <w:r w:rsidRPr="00C258AD">
              <w:rPr>
                <w:sz w:val="16"/>
                <w:szCs w:val="16"/>
                <w:lang w:eastAsia="fr-FR"/>
              </w:rPr>
              <w:t>IX.1</w:t>
            </w:r>
          </w:p>
        </w:tc>
        <w:tc>
          <w:tcPr>
            <w:tcW w:w="4557" w:type="dxa"/>
            <w:tcBorders>
              <w:top w:val="nil"/>
              <w:left w:val="nil"/>
              <w:bottom w:val="nil"/>
              <w:right w:val="nil"/>
            </w:tcBorders>
            <w:shd w:val="clear" w:color="auto" w:fill="auto"/>
            <w:vAlign w:val="center"/>
            <w:hideMark/>
          </w:tcPr>
          <w:p w:rsidR="009D057D" w:rsidRPr="00C258AD" w:rsidRDefault="009D057D" w:rsidP="001A4D6C">
            <w:pPr>
              <w:rPr>
                <w:sz w:val="16"/>
                <w:szCs w:val="16"/>
                <w:lang w:eastAsia="fr-FR"/>
              </w:rPr>
            </w:pPr>
            <w:r w:rsidRPr="00C258AD">
              <w:rPr>
                <w:sz w:val="16"/>
                <w:szCs w:val="16"/>
                <w:lang w:eastAsia="fr-FR"/>
              </w:rPr>
              <w:t>Services d’appui efficaces, efficients, de qualité et tournés vers la clientèle, à l’intention à la fois des clients internes et des parties prenantes externes</w:t>
            </w:r>
          </w:p>
        </w:tc>
        <w:tc>
          <w:tcPr>
            <w:tcW w:w="1360" w:type="dxa"/>
            <w:tcBorders>
              <w:top w:val="nil"/>
              <w:left w:val="nil"/>
              <w:bottom w:val="nil"/>
              <w:right w:val="nil"/>
            </w:tcBorders>
            <w:shd w:val="clear" w:color="auto" w:fill="auto"/>
            <w:vAlign w:val="center"/>
            <w:hideMark/>
          </w:tcPr>
          <w:p w:rsidR="009D057D" w:rsidRPr="00C258AD" w:rsidRDefault="009D057D" w:rsidP="001A4D6C">
            <w:pPr>
              <w:jc w:val="right"/>
              <w:rPr>
                <w:sz w:val="16"/>
                <w:szCs w:val="16"/>
                <w:lang w:eastAsia="fr-FR"/>
              </w:rPr>
            </w:pPr>
            <w:r w:rsidRPr="00C258AD">
              <w:rPr>
                <w:sz w:val="16"/>
                <w:szCs w:val="16"/>
                <w:lang w:eastAsia="fr-FR"/>
              </w:rPr>
              <w:t>41 117</w:t>
            </w:r>
          </w:p>
        </w:tc>
        <w:tc>
          <w:tcPr>
            <w:tcW w:w="1360" w:type="dxa"/>
            <w:tcBorders>
              <w:top w:val="nil"/>
              <w:left w:val="nil"/>
              <w:bottom w:val="nil"/>
              <w:right w:val="nil"/>
            </w:tcBorders>
            <w:shd w:val="clear" w:color="auto" w:fill="auto"/>
            <w:vAlign w:val="center"/>
            <w:hideMark/>
          </w:tcPr>
          <w:p w:rsidR="009D057D" w:rsidRPr="00C258AD" w:rsidRDefault="009D057D" w:rsidP="001A4D6C">
            <w:pPr>
              <w:jc w:val="right"/>
              <w:rPr>
                <w:sz w:val="16"/>
                <w:szCs w:val="16"/>
                <w:lang w:eastAsia="fr-FR"/>
              </w:rPr>
            </w:pPr>
            <w:r w:rsidRPr="00C258AD">
              <w:rPr>
                <w:sz w:val="16"/>
                <w:szCs w:val="16"/>
                <w:lang w:eastAsia="fr-FR"/>
              </w:rPr>
              <w:t>39 383</w:t>
            </w:r>
          </w:p>
        </w:tc>
        <w:tc>
          <w:tcPr>
            <w:tcW w:w="1360" w:type="dxa"/>
            <w:tcBorders>
              <w:top w:val="nil"/>
              <w:left w:val="nil"/>
              <w:bottom w:val="nil"/>
              <w:right w:val="single" w:sz="4" w:space="0" w:color="auto"/>
            </w:tcBorders>
            <w:shd w:val="clear" w:color="auto" w:fill="auto"/>
            <w:vAlign w:val="center"/>
            <w:hideMark/>
          </w:tcPr>
          <w:p w:rsidR="009D057D" w:rsidRPr="00C258AD" w:rsidRDefault="009D057D" w:rsidP="001A4D6C">
            <w:pPr>
              <w:jc w:val="right"/>
              <w:rPr>
                <w:sz w:val="16"/>
                <w:szCs w:val="16"/>
                <w:lang w:eastAsia="fr-FR"/>
              </w:rPr>
            </w:pPr>
            <w:r w:rsidRPr="00C258AD">
              <w:rPr>
                <w:sz w:val="16"/>
                <w:szCs w:val="16"/>
                <w:lang w:eastAsia="fr-FR"/>
              </w:rPr>
              <w:t>35 782</w:t>
            </w:r>
          </w:p>
        </w:tc>
      </w:tr>
      <w:tr w:rsidR="009D057D" w:rsidRPr="00C258AD" w:rsidTr="001A4D6C">
        <w:trPr>
          <w:cantSplit/>
        </w:trPr>
        <w:tc>
          <w:tcPr>
            <w:tcW w:w="563" w:type="dxa"/>
            <w:tcBorders>
              <w:top w:val="single" w:sz="4" w:space="0" w:color="auto"/>
              <w:left w:val="single" w:sz="4" w:space="0" w:color="auto"/>
              <w:bottom w:val="single" w:sz="4" w:space="0" w:color="auto"/>
              <w:right w:val="nil"/>
            </w:tcBorders>
            <w:shd w:val="clear" w:color="auto" w:fill="C5D9F1"/>
            <w:noWrap/>
            <w:vAlign w:val="bottom"/>
            <w:hideMark/>
          </w:tcPr>
          <w:p w:rsidR="009D057D" w:rsidRPr="00C258AD" w:rsidRDefault="009D057D" w:rsidP="001A4D6C">
            <w:pPr>
              <w:rPr>
                <w:sz w:val="16"/>
                <w:szCs w:val="16"/>
                <w:lang w:eastAsia="fr-FR"/>
              </w:rPr>
            </w:pPr>
            <w:r w:rsidRPr="00C258AD">
              <w:rPr>
                <w:sz w:val="16"/>
                <w:szCs w:val="16"/>
                <w:lang w:eastAsia="fr-FR"/>
              </w:rPr>
              <w:t> </w:t>
            </w:r>
          </w:p>
        </w:tc>
        <w:tc>
          <w:tcPr>
            <w:tcW w:w="4557" w:type="dxa"/>
            <w:tcBorders>
              <w:top w:val="single" w:sz="4" w:space="0" w:color="auto"/>
              <w:left w:val="nil"/>
              <w:bottom w:val="single" w:sz="4" w:space="0" w:color="auto"/>
              <w:right w:val="single" w:sz="4" w:space="0" w:color="auto"/>
            </w:tcBorders>
            <w:shd w:val="clear" w:color="auto" w:fill="C5D9F1"/>
            <w:noWrap/>
            <w:vAlign w:val="bottom"/>
            <w:hideMark/>
          </w:tcPr>
          <w:p w:rsidR="009D057D" w:rsidRPr="00C258AD" w:rsidRDefault="009D057D" w:rsidP="001A4D6C">
            <w:pPr>
              <w:rPr>
                <w:b/>
                <w:bCs/>
                <w:sz w:val="16"/>
                <w:szCs w:val="16"/>
                <w:lang w:eastAsia="fr-FR"/>
              </w:rPr>
            </w:pPr>
            <w:r w:rsidRPr="00C258AD">
              <w:rPr>
                <w:b/>
                <w:bCs/>
                <w:sz w:val="16"/>
                <w:szCs w:val="16"/>
                <w:lang w:eastAsia="fr-FR"/>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9D057D" w:rsidRPr="00C258AD" w:rsidRDefault="009D057D" w:rsidP="001A4D6C">
            <w:pPr>
              <w:jc w:val="right"/>
              <w:rPr>
                <w:b/>
                <w:bCs/>
                <w:sz w:val="16"/>
                <w:szCs w:val="16"/>
                <w:lang w:eastAsia="fr-FR"/>
              </w:rPr>
            </w:pPr>
            <w:r w:rsidRPr="00C258AD">
              <w:rPr>
                <w:b/>
                <w:bCs/>
                <w:sz w:val="16"/>
                <w:szCs w:val="16"/>
                <w:lang w:eastAsia="fr-FR"/>
              </w:rPr>
              <w:t>41 117</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9D057D" w:rsidRPr="00C258AD" w:rsidRDefault="009D057D" w:rsidP="001A4D6C">
            <w:pPr>
              <w:jc w:val="right"/>
              <w:rPr>
                <w:b/>
                <w:bCs/>
                <w:sz w:val="16"/>
                <w:szCs w:val="16"/>
                <w:lang w:eastAsia="fr-FR"/>
              </w:rPr>
            </w:pPr>
            <w:r w:rsidRPr="00C258AD">
              <w:rPr>
                <w:b/>
                <w:bCs/>
                <w:sz w:val="16"/>
                <w:szCs w:val="16"/>
                <w:lang w:eastAsia="fr-FR"/>
              </w:rPr>
              <w:t>39 383</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9D057D" w:rsidRPr="00C258AD" w:rsidRDefault="009D057D" w:rsidP="001A4D6C">
            <w:pPr>
              <w:jc w:val="right"/>
              <w:rPr>
                <w:b/>
                <w:bCs/>
                <w:sz w:val="16"/>
                <w:szCs w:val="16"/>
                <w:lang w:eastAsia="fr-FR"/>
              </w:rPr>
            </w:pPr>
            <w:r w:rsidRPr="00C258AD">
              <w:rPr>
                <w:b/>
                <w:bCs/>
                <w:sz w:val="16"/>
                <w:szCs w:val="16"/>
                <w:lang w:eastAsia="fr-FR"/>
              </w:rPr>
              <w:t>35 782</w:t>
            </w:r>
          </w:p>
        </w:tc>
      </w:tr>
    </w:tbl>
    <w:p w:rsidR="006E2BB1" w:rsidRPr="00C258AD" w:rsidRDefault="006E2BB1" w:rsidP="001A4D6C"/>
    <w:p w:rsidR="006E2BB1" w:rsidRPr="00C258AD" w:rsidRDefault="006E2BB1" w:rsidP="001A4D6C"/>
    <w:p w:rsidR="006E2BB1" w:rsidRPr="00C258AD" w:rsidRDefault="009D057D" w:rsidP="001A4D6C">
      <w:pPr>
        <w:pStyle w:val="NormalWeb"/>
        <w:keepNext/>
        <w:keepLines/>
        <w:spacing w:before="0" w:beforeAutospacing="0" w:after="0" w:afterAutospacing="0"/>
        <w:jc w:val="center"/>
        <w:rPr>
          <w:sz w:val="20"/>
          <w:szCs w:val="20"/>
        </w:rPr>
      </w:pPr>
      <w:r w:rsidRPr="00C258AD">
        <w:rPr>
          <w:sz w:val="20"/>
          <w:szCs w:val="20"/>
        </w:rPr>
        <w:lastRenderedPageBreak/>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9D057D" w:rsidP="001A4D6C">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9D057D" w:rsidRPr="00C258AD" w:rsidRDefault="009D057D" w:rsidP="001A4D6C">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9D057D" w:rsidRPr="00C258AD" w:rsidTr="001A4D6C">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9D057D" w:rsidRPr="00C258AD" w:rsidRDefault="009D057D" w:rsidP="001A4D6C">
            <w:pPr>
              <w:rPr>
                <w:color w:val="000000"/>
                <w:sz w:val="16"/>
                <w:szCs w:val="18"/>
                <w:lang w:eastAsia="fr-FR"/>
              </w:rPr>
            </w:pPr>
            <w:r w:rsidRPr="00C258AD">
              <w:rPr>
                <w:color w:val="000000"/>
                <w:sz w:val="16"/>
                <w:szCs w:val="18"/>
                <w:lang w:eastAsia="fr-FR"/>
              </w:rPr>
              <w:t> </w:t>
            </w:r>
          </w:p>
        </w:tc>
        <w:tc>
          <w:tcPr>
            <w:tcW w:w="1745" w:type="dxa"/>
            <w:tcBorders>
              <w:top w:val="single" w:sz="4" w:space="0" w:color="auto"/>
              <w:left w:val="nil"/>
              <w:bottom w:val="nil"/>
              <w:right w:val="single" w:sz="4" w:space="0" w:color="auto"/>
            </w:tcBorders>
            <w:shd w:val="clear" w:color="auto" w:fill="C5D9F1"/>
            <w:vAlign w:val="center"/>
            <w:hideMark/>
          </w:tcPr>
          <w:p w:rsidR="009D057D" w:rsidRPr="00C258AD" w:rsidRDefault="009D057D" w:rsidP="001A4D6C">
            <w:pPr>
              <w:jc w:val="center"/>
              <w:rPr>
                <w:b/>
                <w:bCs/>
                <w:color w:val="000000"/>
                <w:sz w:val="16"/>
                <w:szCs w:val="18"/>
                <w:lang w:eastAsia="fr-FR"/>
              </w:rPr>
            </w:pPr>
            <w:r w:rsidRPr="00C258AD">
              <w:rPr>
                <w:b/>
                <w:bCs/>
                <w:color w:val="000000"/>
                <w:sz w:val="16"/>
                <w:szCs w:val="18"/>
                <w:lang w:eastAsia="fr-FR"/>
              </w:rPr>
              <w:t>Budget 2014</w:t>
            </w:r>
            <w:r w:rsidRPr="00C258AD">
              <w:rPr>
                <w:b/>
                <w:bCs/>
                <w:color w:val="000000"/>
                <w:sz w:val="16"/>
                <w:szCs w:val="18"/>
                <w:lang w:eastAsia="fr-FR"/>
              </w:rPr>
              <w:noBreakHyphen/>
              <w:t>2015 approuvé</w:t>
            </w:r>
          </w:p>
        </w:tc>
        <w:tc>
          <w:tcPr>
            <w:tcW w:w="1746" w:type="dxa"/>
            <w:tcBorders>
              <w:top w:val="single" w:sz="4" w:space="0" w:color="auto"/>
              <w:left w:val="nil"/>
              <w:bottom w:val="nil"/>
              <w:right w:val="single" w:sz="4" w:space="0" w:color="auto"/>
            </w:tcBorders>
            <w:shd w:val="clear" w:color="auto" w:fill="C5D9F1"/>
            <w:vAlign w:val="center"/>
            <w:hideMark/>
          </w:tcPr>
          <w:p w:rsidR="009D057D" w:rsidRPr="00C258AD" w:rsidRDefault="009D057D" w:rsidP="001A4D6C">
            <w:pPr>
              <w:jc w:val="center"/>
              <w:rPr>
                <w:b/>
                <w:bCs/>
                <w:color w:val="000000"/>
                <w:sz w:val="16"/>
                <w:szCs w:val="18"/>
                <w:lang w:eastAsia="fr-FR"/>
              </w:rPr>
            </w:pPr>
            <w:r w:rsidRPr="00C258AD">
              <w:rPr>
                <w:b/>
                <w:bCs/>
                <w:color w:val="000000"/>
                <w:sz w:val="16"/>
                <w:szCs w:val="18"/>
                <w:lang w:eastAsia="fr-FR"/>
              </w:rPr>
              <w:t>Budget final 2014</w:t>
            </w:r>
            <w:r w:rsidRPr="00C258AD">
              <w:rPr>
                <w:b/>
                <w:bCs/>
                <w:color w:val="000000"/>
                <w:sz w:val="16"/>
                <w:szCs w:val="18"/>
                <w:lang w:eastAsia="fr-FR"/>
              </w:rPr>
              <w:noBreakHyphen/>
              <w:t>2015</w:t>
            </w:r>
            <w:r w:rsidRPr="00C258AD">
              <w:rPr>
                <w:b/>
                <w:bCs/>
                <w:color w:val="000000"/>
                <w:sz w:val="16"/>
                <w:szCs w:val="18"/>
                <w:lang w:eastAsia="fr-FR"/>
              </w:rPr>
              <w:br/>
              <w:t>après virements</w:t>
            </w:r>
          </w:p>
        </w:tc>
        <w:tc>
          <w:tcPr>
            <w:tcW w:w="1745" w:type="dxa"/>
            <w:tcBorders>
              <w:top w:val="single" w:sz="4" w:space="0" w:color="auto"/>
              <w:left w:val="nil"/>
              <w:bottom w:val="nil"/>
              <w:right w:val="single" w:sz="4" w:space="0" w:color="auto"/>
            </w:tcBorders>
            <w:shd w:val="clear" w:color="auto" w:fill="C5D9F1"/>
            <w:vAlign w:val="center"/>
            <w:hideMark/>
          </w:tcPr>
          <w:p w:rsidR="009D057D" w:rsidRPr="00C258AD" w:rsidRDefault="009D057D" w:rsidP="001A4D6C">
            <w:pPr>
              <w:jc w:val="center"/>
              <w:rPr>
                <w:b/>
                <w:bCs/>
                <w:color w:val="000000"/>
                <w:sz w:val="16"/>
                <w:szCs w:val="18"/>
                <w:lang w:eastAsia="fr-FR"/>
              </w:rPr>
            </w:pPr>
            <w:r w:rsidRPr="00C258AD">
              <w:rPr>
                <w:b/>
                <w:bCs/>
                <w:color w:val="000000"/>
                <w:sz w:val="16"/>
                <w:szCs w:val="18"/>
                <w:lang w:eastAsia="fr-FR"/>
              </w:rPr>
              <w:t xml:space="preserve">Dépenses </w:t>
            </w:r>
            <w:r w:rsidRPr="00C258AD">
              <w:rPr>
                <w:b/>
                <w:bCs/>
                <w:color w:val="000000"/>
                <w:sz w:val="16"/>
                <w:szCs w:val="18"/>
                <w:lang w:eastAsia="fr-FR"/>
              </w:rPr>
              <w:br/>
              <w:t>2014</w:t>
            </w:r>
            <w:r w:rsidRPr="00C258AD">
              <w:rPr>
                <w:b/>
                <w:bCs/>
                <w:color w:val="000000"/>
                <w:sz w:val="16"/>
                <w:szCs w:val="18"/>
                <w:lang w:eastAsia="fr-FR"/>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9D057D" w:rsidRPr="00C258AD" w:rsidRDefault="009D057D" w:rsidP="001A4D6C">
            <w:pPr>
              <w:jc w:val="center"/>
              <w:rPr>
                <w:b/>
                <w:bCs/>
                <w:color w:val="000000"/>
                <w:sz w:val="16"/>
                <w:szCs w:val="18"/>
                <w:lang w:eastAsia="fr-FR"/>
              </w:rPr>
            </w:pPr>
            <w:r w:rsidRPr="00C258AD">
              <w:rPr>
                <w:b/>
                <w:bCs/>
                <w:color w:val="000000"/>
                <w:sz w:val="16"/>
                <w:szCs w:val="18"/>
                <w:lang w:eastAsia="fr-FR"/>
              </w:rPr>
              <w:t>Taux d’utilisation (%)</w:t>
            </w:r>
          </w:p>
        </w:tc>
      </w:tr>
      <w:tr w:rsidR="009D057D"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9D057D" w:rsidRPr="00C258AD" w:rsidRDefault="009D057D" w:rsidP="001A4D6C">
            <w:pPr>
              <w:rPr>
                <w:color w:val="000000"/>
                <w:sz w:val="16"/>
                <w:szCs w:val="18"/>
                <w:lang w:eastAsia="fr-FR"/>
              </w:rPr>
            </w:pPr>
            <w:r w:rsidRPr="00C258AD">
              <w:rPr>
                <w:color w:val="000000"/>
                <w:sz w:val="16"/>
                <w:szCs w:val="18"/>
                <w:lang w:eastAsia="fr-FR"/>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color w:val="000000"/>
                <w:sz w:val="16"/>
                <w:szCs w:val="18"/>
                <w:lang w:eastAsia="fr-FR"/>
              </w:rPr>
            </w:pPr>
            <w:r w:rsidRPr="00C258AD">
              <w:rPr>
                <w:color w:val="000000"/>
                <w:sz w:val="16"/>
                <w:szCs w:val="18"/>
                <w:lang w:eastAsia="fr-FR"/>
              </w:rPr>
              <w:t>30 238</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color w:val="000000"/>
                <w:sz w:val="16"/>
                <w:szCs w:val="18"/>
                <w:lang w:eastAsia="fr-FR"/>
              </w:rPr>
            </w:pPr>
            <w:r w:rsidRPr="00C258AD">
              <w:rPr>
                <w:color w:val="000000"/>
                <w:sz w:val="16"/>
                <w:szCs w:val="18"/>
                <w:lang w:eastAsia="fr-FR"/>
              </w:rPr>
              <w:t>28 896</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color w:val="000000"/>
                <w:sz w:val="16"/>
                <w:szCs w:val="18"/>
                <w:lang w:eastAsia="fr-FR"/>
              </w:rPr>
            </w:pPr>
            <w:r w:rsidRPr="00C258AD">
              <w:rPr>
                <w:color w:val="000000"/>
                <w:sz w:val="16"/>
                <w:szCs w:val="18"/>
                <w:lang w:eastAsia="fr-FR"/>
              </w:rPr>
              <w:t>26 871</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color w:val="000000"/>
                <w:sz w:val="16"/>
                <w:szCs w:val="18"/>
                <w:lang w:eastAsia="fr-FR"/>
              </w:rPr>
            </w:pPr>
            <w:r w:rsidRPr="00C258AD">
              <w:rPr>
                <w:color w:val="000000"/>
                <w:sz w:val="16"/>
                <w:szCs w:val="18"/>
                <w:lang w:eastAsia="fr-FR"/>
              </w:rPr>
              <w:t>93%</w:t>
            </w:r>
          </w:p>
        </w:tc>
      </w:tr>
      <w:tr w:rsidR="009D057D"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9D057D" w:rsidRPr="00C258AD" w:rsidRDefault="009D057D" w:rsidP="001A4D6C">
            <w:pPr>
              <w:rPr>
                <w:color w:val="000000"/>
                <w:sz w:val="16"/>
                <w:szCs w:val="18"/>
                <w:lang w:eastAsia="fr-FR"/>
              </w:rPr>
            </w:pPr>
            <w:r w:rsidRPr="00C258AD">
              <w:rPr>
                <w:color w:val="000000"/>
                <w:sz w:val="16"/>
                <w:szCs w:val="18"/>
                <w:lang w:eastAsia="fr-FR"/>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color w:val="000000"/>
                <w:sz w:val="16"/>
                <w:szCs w:val="18"/>
                <w:lang w:eastAsia="fr-FR"/>
              </w:rPr>
            </w:pPr>
            <w:r w:rsidRPr="00C258AD">
              <w:rPr>
                <w:color w:val="000000"/>
                <w:sz w:val="16"/>
                <w:szCs w:val="18"/>
                <w:lang w:eastAsia="fr-FR"/>
              </w:rPr>
              <w:t>10 879</w:t>
            </w:r>
          </w:p>
        </w:tc>
        <w:tc>
          <w:tcPr>
            <w:tcW w:w="1746" w:type="dxa"/>
            <w:tcBorders>
              <w:top w:val="nil"/>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color w:val="000000"/>
                <w:sz w:val="16"/>
                <w:szCs w:val="18"/>
                <w:lang w:eastAsia="fr-FR"/>
              </w:rPr>
            </w:pPr>
            <w:r w:rsidRPr="00C258AD">
              <w:rPr>
                <w:color w:val="000000"/>
                <w:sz w:val="16"/>
                <w:szCs w:val="18"/>
                <w:lang w:eastAsia="fr-FR"/>
              </w:rPr>
              <w:t>10 487</w:t>
            </w:r>
          </w:p>
        </w:tc>
        <w:tc>
          <w:tcPr>
            <w:tcW w:w="1745" w:type="dxa"/>
            <w:tcBorders>
              <w:top w:val="nil"/>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color w:val="000000"/>
                <w:sz w:val="16"/>
                <w:szCs w:val="18"/>
                <w:lang w:eastAsia="fr-FR"/>
              </w:rPr>
            </w:pPr>
            <w:r w:rsidRPr="00C258AD">
              <w:rPr>
                <w:color w:val="000000"/>
                <w:sz w:val="16"/>
                <w:szCs w:val="18"/>
                <w:lang w:eastAsia="fr-FR"/>
              </w:rPr>
              <w:t>8 911</w:t>
            </w:r>
          </w:p>
        </w:tc>
        <w:tc>
          <w:tcPr>
            <w:tcW w:w="1746" w:type="dxa"/>
            <w:tcBorders>
              <w:top w:val="nil"/>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color w:val="000000"/>
                <w:sz w:val="16"/>
                <w:szCs w:val="18"/>
                <w:lang w:eastAsia="fr-FR"/>
              </w:rPr>
            </w:pPr>
            <w:r w:rsidRPr="00C258AD">
              <w:rPr>
                <w:color w:val="000000"/>
                <w:sz w:val="16"/>
                <w:szCs w:val="18"/>
                <w:lang w:eastAsia="fr-FR"/>
              </w:rPr>
              <w:t>85%</w:t>
            </w:r>
          </w:p>
        </w:tc>
      </w:tr>
      <w:tr w:rsidR="009D057D" w:rsidRPr="00C258AD" w:rsidTr="001A4D6C">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9D057D" w:rsidRPr="00C258AD" w:rsidRDefault="009D057D" w:rsidP="001A4D6C">
            <w:pPr>
              <w:jc w:val="right"/>
              <w:rPr>
                <w:b/>
                <w:bCs/>
                <w:color w:val="000000"/>
                <w:sz w:val="16"/>
                <w:szCs w:val="18"/>
                <w:lang w:eastAsia="fr-FR"/>
              </w:rPr>
            </w:pPr>
            <w:r w:rsidRPr="00C258AD">
              <w:rPr>
                <w:b/>
                <w:bCs/>
                <w:color w:val="000000"/>
                <w:sz w:val="16"/>
                <w:szCs w:val="18"/>
                <w:lang w:eastAsia="fr-FR"/>
              </w:rPr>
              <w:t>TOTAL</w:t>
            </w:r>
          </w:p>
        </w:tc>
        <w:tc>
          <w:tcPr>
            <w:tcW w:w="1745" w:type="dxa"/>
            <w:tcBorders>
              <w:top w:val="nil"/>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b/>
                <w:bCs/>
                <w:color w:val="000000"/>
                <w:sz w:val="16"/>
                <w:szCs w:val="18"/>
                <w:lang w:eastAsia="fr-FR"/>
              </w:rPr>
            </w:pPr>
            <w:r w:rsidRPr="00C258AD">
              <w:rPr>
                <w:b/>
                <w:bCs/>
                <w:color w:val="000000"/>
                <w:sz w:val="16"/>
                <w:szCs w:val="18"/>
                <w:lang w:eastAsia="fr-FR"/>
              </w:rPr>
              <w:t>41 117</w:t>
            </w:r>
          </w:p>
        </w:tc>
        <w:tc>
          <w:tcPr>
            <w:tcW w:w="1746" w:type="dxa"/>
            <w:tcBorders>
              <w:top w:val="nil"/>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b/>
                <w:bCs/>
                <w:color w:val="000000"/>
                <w:sz w:val="16"/>
                <w:szCs w:val="18"/>
                <w:lang w:eastAsia="fr-FR"/>
              </w:rPr>
            </w:pPr>
            <w:r w:rsidRPr="00C258AD">
              <w:rPr>
                <w:b/>
                <w:bCs/>
                <w:color w:val="000000"/>
                <w:sz w:val="16"/>
                <w:szCs w:val="18"/>
                <w:lang w:eastAsia="fr-FR"/>
              </w:rPr>
              <w:t>39 383</w:t>
            </w:r>
          </w:p>
        </w:tc>
        <w:tc>
          <w:tcPr>
            <w:tcW w:w="1745" w:type="dxa"/>
            <w:tcBorders>
              <w:top w:val="nil"/>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b/>
                <w:bCs/>
                <w:color w:val="000000"/>
                <w:sz w:val="16"/>
                <w:szCs w:val="18"/>
                <w:lang w:eastAsia="fr-FR"/>
              </w:rPr>
            </w:pPr>
            <w:r w:rsidRPr="00C258AD">
              <w:rPr>
                <w:b/>
                <w:bCs/>
                <w:color w:val="000000"/>
                <w:sz w:val="16"/>
                <w:szCs w:val="18"/>
                <w:lang w:eastAsia="fr-FR"/>
              </w:rPr>
              <w:t>35 782</w:t>
            </w:r>
          </w:p>
        </w:tc>
        <w:tc>
          <w:tcPr>
            <w:tcW w:w="1746" w:type="dxa"/>
            <w:tcBorders>
              <w:top w:val="nil"/>
              <w:left w:val="nil"/>
              <w:bottom w:val="single" w:sz="4" w:space="0" w:color="auto"/>
              <w:right w:val="single" w:sz="4" w:space="0" w:color="auto"/>
            </w:tcBorders>
            <w:shd w:val="clear" w:color="auto" w:fill="auto"/>
            <w:vAlign w:val="center"/>
            <w:hideMark/>
          </w:tcPr>
          <w:p w:rsidR="009D057D" w:rsidRPr="00C258AD" w:rsidRDefault="009D057D" w:rsidP="001A4D6C">
            <w:pPr>
              <w:jc w:val="center"/>
              <w:rPr>
                <w:b/>
                <w:bCs/>
                <w:color w:val="000000"/>
                <w:sz w:val="16"/>
                <w:szCs w:val="18"/>
                <w:lang w:eastAsia="fr-FR"/>
              </w:rPr>
            </w:pPr>
            <w:r w:rsidRPr="00C258AD">
              <w:rPr>
                <w:b/>
                <w:bCs/>
                <w:color w:val="000000"/>
                <w:sz w:val="16"/>
                <w:szCs w:val="18"/>
                <w:lang w:eastAsia="fr-FR"/>
              </w:rPr>
              <w:t>91%</w:t>
            </w:r>
          </w:p>
        </w:tc>
      </w:tr>
    </w:tbl>
    <w:p w:rsidR="006E2BB1" w:rsidRPr="00C258AD" w:rsidRDefault="006E2BB1" w:rsidP="001A4D6C">
      <w:pPr>
        <w:widowControl w:val="0"/>
        <w:autoSpaceDE w:val="0"/>
        <w:autoSpaceDN w:val="0"/>
        <w:adjustRightInd w:val="0"/>
        <w:jc w:val="both"/>
      </w:pPr>
    </w:p>
    <w:p w:rsidR="006E2BB1" w:rsidRPr="00C258AD" w:rsidRDefault="006E2BB1" w:rsidP="001A4D6C">
      <w:pPr>
        <w:widowControl w:val="0"/>
        <w:autoSpaceDE w:val="0"/>
        <w:autoSpaceDN w:val="0"/>
        <w:adjustRightInd w:val="0"/>
        <w:jc w:val="both"/>
      </w:pPr>
    </w:p>
    <w:p w:rsidR="006E2BB1" w:rsidRPr="00C258AD" w:rsidRDefault="009D057D" w:rsidP="001A4D6C">
      <w:pPr>
        <w:jc w:val="both"/>
        <w:rPr>
          <w:u w:val="single"/>
        </w:rPr>
      </w:pPr>
      <w:r w:rsidRPr="00C258AD">
        <w:t>A.</w:t>
      </w:r>
      <w:r w:rsidRPr="00C258AD">
        <w:tab/>
      </w:r>
      <w:r w:rsidRPr="00C258AD">
        <w:rPr>
          <w:bCs/>
          <w:u w:val="single"/>
        </w:rPr>
        <w:t>Budget final 2014</w:t>
      </w:r>
      <w:r w:rsidRPr="00C258AD">
        <w:rPr>
          <w:bCs/>
          <w:u w:val="single"/>
        </w:rPr>
        <w:noBreakHyphen/>
        <w:t>2015 après virements</w:t>
      </w:r>
    </w:p>
    <w:p w:rsidR="006E2BB1" w:rsidRPr="00C258AD" w:rsidRDefault="006E2BB1" w:rsidP="001A4D6C">
      <w:pPr>
        <w:jc w:val="both"/>
        <w:rPr>
          <w:u w:val="single"/>
        </w:rPr>
      </w:pPr>
    </w:p>
    <w:p w:rsidR="006E2BB1" w:rsidRPr="00C258AD" w:rsidRDefault="009D057D" w:rsidP="009D057D">
      <w:pPr>
        <w:pStyle w:val="ListParagraph"/>
        <w:numPr>
          <w:ilvl w:val="0"/>
          <w:numId w:val="51"/>
        </w:numPr>
        <w:tabs>
          <w:tab w:val="left" w:pos="709"/>
        </w:tabs>
        <w:ind w:left="0" w:firstLine="0"/>
        <w:jc w:val="both"/>
        <w:rPr>
          <w:color w:val="000000"/>
        </w:rPr>
      </w:pPr>
      <w:r w:rsidRPr="00C258AD">
        <w:t>Le budget final après virements (hors dépenses de personnel) affiche un léger ajustement à la baisse opéré pour réaliser des gains d’efficacité et compensé par le transfert de ressources en personnel vers d’autres postes de dépense afin d’engager temporairement un secrétaire pour assister les services de conférence et d’impression.</w:t>
      </w:r>
    </w:p>
    <w:p w:rsidR="006E2BB1" w:rsidRPr="00C258AD" w:rsidRDefault="006E2BB1" w:rsidP="001A4D6C">
      <w:pPr>
        <w:pStyle w:val="ListParagraph"/>
        <w:numPr>
          <w:ilvl w:val="0"/>
          <w:numId w:val="0"/>
        </w:numPr>
        <w:tabs>
          <w:tab w:val="left" w:pos="709"/>
        </w:tabs>
        <w:jc w:val="both"/>
        <w:rPr>
          <w:color w:val="000000"/>
        </w:rPr>
      </w:pPr>
    </w:p>
    <w:p w:rsidR="006E2BB1" w:rsidRPr="00C258AD" w:rsidRDefault="009D057D" w:rsidP="009D057D">
      <w:pPr>
        <w:pStyle w:val="ListParagraph"/>
        <w:numPr>
          <w:ilvl w:val="0"/>
          <w:numId w:val="51"/>
        </w:numPr>
        <w:tabs>
          <w:tab w:val="left" w:pos="709"/>
        </w:tabs>
        <w:ind w:left="0" w:firstLine="0"/>
        <w:jc w:val="both"/>
        <w:rPr>
          <w:color w:val="000000"/>
        </w:rPr>
      </w:pPr>
      <w:r w:rsidRPr="00C258AD">
        <w:t>La diminution du budget final 2014</w:t>
      </w:r>
      <w:r w:rsidRPr="00C258AD">
        <w:noBreakHyphen/>
        <w:t>2015 après virements (dépenses de personnel) était principalement due au redéploiement des ressources en faveur : i) du renforcement des services administratifs de l’Académie de l’OMPI (programme 11);  ii) du renforcement des services d’infrastructure des locaux (programme 24);  et iii) aux transferts vers d’autres postes de dépense, comme cela est mentionné plus haut.</w:t>
      </w:r>
    </w:p>
    <w:p w:rsidR="006E2BB1" w:rsidRPr="00C258AD" w:rsidRDefault="006E2BB1" w:rsidP="001A4D6C">
      <w:pPr>
        <w:autoSpaceDE w:val="0"/>
        <w:autoSpaceDN w:val="0"/>
        <w:jc w:val="both"/>
        <w:rPr>
          <w:lang w:eastAsia="ko-KR"/>
        </w:rPr>
      </w:pPr>
    </w:p>
    <w:p w:rsidR="006E2BB1" w:rsidRPr="00C258AD" w:rsidRDefault="006E2BB1" w:rsidP="001A4D6C">
      <w:pPr>
        <w:autoSpaceDE w:val="0"/>
        <w:autoSpaceDN w:val="0"/>
        <w:jc w:val="both"/>
        <w:rPr>
          <w:lang w:eastAsia="ko-KR"/>
        </w:rPr>
      </w:pPr>
    </w:p>
    <w:p w:rsidR="006E2BB1" w:rsidRPr="00C258AD" w:rsidRDefault="009D057D" w:rsidP="001A4D6C">
      <w:pPr>
        <w:jc w:val="both"/>
        <w:rPr>
          <w:u w:val="single"/>
          <w:lang w:eastAsia="ko-KR"/>
        </w:rPr>
      </w:pPr>
      <w:r w:rsidRPr="00C258AD">
        <w:rPr>
          <w:lang w:eastAsia="ko-KR"/>
        </w:rPr>
        <w:t>B.</w:t>
      </w:r>
      <w:r w:rsidRPr="00C258AD">
        <w:rPr>
          <w:lang w:eastAsia="ko-KR"/>
        </w:rPr>
        <w:tab/>
      </w:r>
      <w:r w:rsidRPr="00C258AD">
        <w:rPr>
          <w:bCs/>
          <w:u w:val="single"/>
          <w:lang w:eastAsia="ko-KR"/>
        </w:rPr>
        <w:t>Utilisation du budget en 2014</w:t>
      </w:r>
      <w:r w:rsidR="00E82DE1">
        <w:rPr>
          <w:bCs/>
          <w:u w:val="single"/>
          <w:lang w:eastAsia="ko-KR"/>
        </w:rPr>
        <w:noBreakHyphen/>
        <w:t>2015</w:t>
      </w:r>
    </w:p>
    <w:p w:rsidR="006E2BB1" w:rsidRPr="00C258AD" w:rsidRDefault="006E2BB1" w:rsidP="001A4D6C">
      <w:pPr>
        <w:autoSpaceDE w:val="0"/>
        <w:autoSpaceDN w:val="0"/>
        <w:jc w:val="both"/>
      </w:pPr>
    </w:p>
    <w:p w:rsidR="006E2BB1" w:rsidRPr="00C258AD" w:rsidRDefault="009D057D" w:rsidP="009D057D">
      <w:pPr>
        <w:pStyle w:val="ListParagraph"/>
        <w:numPr>
          <w:ilvl w:val="0"/>
          <w:numId w:val="51"/>
        </w:numPr>
        <w:tabs>
          <w:tab w:val="left" w:pos="709"/>
        </w:tabs>
        <w:ind w:left="0" w:firstLine="0"/>
        <w:jc w:val="both"/>
        <w:rPr>
          <w:lang w:eastAsia="ko-KR"/>
        </w:rPr>
      </w:pPr>
      <w:r w:rsidRPr="00C258AD">
        <w:t>La sous</w:t>
      </w:r>
      <w:r w:rsidRPr="00C258AD">
        <w:noBreakHyphen/>
        <w:t>utilisation des ressources hors personnel était principalement due aux gains d’efficacité réalisés en réduisant : i) les coûts des traductions du fait de la renégociation des contrats avec les traducteurs externes;  ii) les coûts d’impression suite à la renégociation des contrats de location pour les imprimantes;  iii) les coûts d’envoi du fait de la négociation de tarifs plus bas avec les services d’expédition extérieurs;  et iv) en transférant des ressources pour un stagiaire (vers le programme 23 qui gère les stagiaires de manière centralisée).</w:t>
      </w:r>
    </w:p>
    <w:p w:rsidR="006E2BB1" w:rsidRPr="00C258AD" w:rsidRDefault="00292D3F" w:rsidP="00305CE5">
      <w:pPr>
        <w:pStyle w:val="Heading3"/>
      </w:pPr>
      <w:r w:rsidRPr="00C258AD">
        <w:rPr>
          <w:lang w:eastAsia="ko-KR"/>
        </w:rPr>
        <w:br w:type="page"/>
      </w:r>
      <w:bookmarkStart w:id="171" w:name="_Toc422404254"/>
      <w:bookmarkStart w:id="172" w:name="_Toc423352902"/>
      <w:bookmarkStart w:id="173" w:name="_Toc455394215"/>
      <w:r w:rsidR="00AD1FA5" w:rsidRPr="00C258AD">
        <w:lastRenderedPageBreak/>
        <w:t>Programme 28</w:t>
      </w:r>
      <w:r w:rsidR="00AD1FA5" w:rsidRPr="00C258AD">
        <w:tab/>
        <w:t>Sûreté et sécurité</w:t>
      </w:r>
      <w:bookmarkEnd w:id="171"/>
      <w:bookmarkEnd w:id="172"/>
      <w:bookmarkEnd w:id="173"/>
    </w:p>
    <w:p w:rsidR="006E2BB1" w:rsidRPr="00C258AD" w:rsidRDefault="006E2BB1" w:rsidP="00A43BDE"/>
    <w:p w:rsidR="006E2BB1" w:rsidRPr="00C258AD" w:rsidRDefault="00AD1FA5" w:rsidP="00A43BDE">
      <w:pPr>
        <w:rPr>
          <w:b/>
        </w:rPr>
      </w:pPr>
      <w:r w:rsidRPr="00C258AD">
        <w:rPr>
          <w:b/>
        </w:rPr>
        <w:t>Chef de programme</w:t>
      </w:r>
      <w:r w:rsidRPr="00C258AD">
        <w:rPr>
          <w:b/>
        </w:rPr>
        <w:tab/>
        <w:t>M. A. Sundaram</w:t>
      </w:r>
    </w:p>
    <w:p w:rsidR="006E2BB1" w:rsidRPr="00C258AD" w:rsidRDefault="006E2BB1" w:rsidP="00A43BDE"/>
    <w:p w:rsidR="006E2BB1" w:rsidRPr="00C258AD" w:rsidRDefault="006E2BB1" w:rsidP="00A43BDE"/>
    <w:p w:rsidR="006E2BB1" w:rsidRPr="00C258AD" w:rsidRDefault="00AD1FA5" w:rsidP="00305CE5">
      <w:pPr>
        <w:keepNext/>
        <w:rPr>
          <w:rFonts w:cs="Arial"/>
          <w:caps/>
          <w:sz w:val="22"/>
          <w:szCs w:val="22"/>
        </w:rPr>
      </w:pPr>
      <w:r w:rsidRPr="00C258AD">
        <w:rPr>
          <w:rFonts w:cs="Arial"/>
          <w:caps/>
          <w:sz w:val="22"/>
          <w:szCs w:val="22"/>
        </w:rPr>
        <w:t>Réalisations au cours de l’exercice biennal 2014</w:t>
      </w:r>
      <w:r w:rsidRPr="00C258AD">
        <w:rPr>
          <w:rFonts w:cs="Arial"/>
          <w:caps/>
          <w:sz w:val="22"/>
          <w:szCs w:val="22"/>
        </w:rPr>
        <w:noBreakHyphen/>
        <w:t>2015</w:t>
      </w:r>
    </w:p>
    <w:p w:rsidR="006E2BB1" w:rsidRPr="00C258AD" w:rsidRDefault="006E2BB1" w:rsidP="00A43BDE">
      <w:pPr>
        <w:rPr>
          <w:bCs/>
        </w:rPr>
      </w:pPr>
    </w:p>
    <w:p w:rsidR="006E2BB1" w:rsidRPr="00C258AD" w:rsidRDefault="00AD1FA5" w:rsidP="00E472AA">
      <w:pPr>
        <w:pStyle w:val="ListParagraph"/>
        <w:numPr>
          <w:ilvl w:val="0"/>
          <w:numId w:val="88"/>
        </w:numPr>
        <w:tabs>
          <w:tab w:val="left" w:pos="709"/>
        </w:tabs>
        <w:ind w:left="0" w:firstLine="0"/>
        <w:jc w:val="both"/>
        <w:rPr>
          <w:bCs/>
        </w:rPr>
      </w:pPr>
      <w:r w:rsidRPr="00C258AD">
        <w:t>Le contexte de sûreté et de sécurité de l’OMPI en 2014</w:t>
      </w:r>
      <w:r w:rsidRPr="00C258AD">
        <w:noBreakHyphen/>
        <w:t xml:space="preserve">2015 est resté globalement compliqué mais généralement stable dans les pays où l’Organisation est présente.  </w:t>
      </w:r>
      <w:r w:rsidRPr="00C258AD">
        <w:rPr>
          <w:bCs/>
        </w:rPr>
        <w:t>Le programme a continué d’assurer la gestion des systèmes de sécurité et de sûreté de l’ensemble de l’Organisation tout au long de l’exercice biennal, y compris en ce qui concerne les systèmes du nouveau Centre de conférence de l’OMPI, inauguré en septembre 2014.</w:t>
      </w:r>
    </w:p>
    <w:p w:rsidR="006E2BB1" w:rsidRPr="00C258AD" w:rsidRDefault="006E2BB1" w:rsidP="00A43BDE">
      <w:pPr>
        <w:pStyle w:val="ListParagraph"/>
        <w:numPr>
          <w:ilvl w:val="0"/>
          <w:numId w:val="0"/>
        </w:numPr>
        <w:tabs>
          <w:tab w:val="left" w:pos="709"/>
        </w:tabs>
        <w:jc w:val="both"/>
        <w:rPr>
          <w:bCs/>
        </w:rPr>
      </w:pPr>
    </w:p>
    <w:p w:rsidR="006E2BB1" w:rsidRPr="00C258AD" w:rsidRDefault="00AD1FA5" w:rsidP="00E472AA">
      <w:pPr>
        <w:pStyle w:val="ListParagraph"/>
        <w:numPr>
          <w:ilvl w:val="0"/>
          <w:numId w:val="88"/>
        </w:numPr>
        <w:tabs>
          <w:tab w:val="left" w:pos="709"/>
        </w:tabs>
        <w:ind w:left="0" w:firstLine="0"/>
        <w:jc w:val="both"/>
        <w:rPr>
          <w:bCs/>
        </w:rPr>
      </w:pPr>
      <w:r w:rsidRPr="00C258AD">
        <w:rPr>
          <w:bCs/>
        </w:rPr>
        <w:t>La sécurité des fonctionnaires de l’OMPI lors des voyages internationaux était encore un sujet essentiel de préoccupation en 2014</w:t>
      </w:r>
      <w:r w:rsidRPr="00C258AD">
        <w:rPr>
          <w:bCs/>
        </w:rPr>
        <w:noBreakHyphen/>
        <w:t>2015, car une certaine instabilité et des événements mettant en jeu la sécurité ont touché plusieurs régions dans lesquelles des fonctionnaires se sont rendus, en particulier vers la fin de 2015.  Les regrettables attentats terroristes perpétrés à Paris (France) en novembre 2015 ont eu des incidences sur les opérations de sûreté et de sécurité de l’OMPI avec la mise en œuvre de mesures supplémentaires de sécurité, notamment le renforcement de la collaboration de l’Organisation avec le gouvernement hôte.  Ces initiatives ont permis à l’OMPI de tenir ses engagements concernant sa participation à des événements et à des conférences, comme la vingt et unième session de la Conférence des Parties à la CCNUCC (COP 21), tenue à Paris les 7 et 8 décembre 2015.</w:t>
      </w:r>
    </w:p>
    <w:p w:rsidR="006E2BB1" w:rsidRPr="00C258AD" w:rsidRDefault="006E2BB1" w:rsidP="00A43BDE">
      <w:pPr>
        <w:tabs>
          <w:tab w:val="left" w:pos="709"/>
        </w:tabs>
        <w:jc w:val="both"/>
        <w:rPr>
          <w:bCs/>
        </w:rPr>
      </w:pPr>
    </w:p>
    <w:p w:rsidR="006E2BB1" w:rsidRPr="00C258AD" w:rsidRDefault="00AD1FA5" w:rsidP="00E472AA">
      <w:pPr>
        <w:pStyle w:val="ListParagraph"/>
        <w:numPr>
          <w:ilvl w:val="0"/>
          <w:numId w:val="88"/>
        </w:numPr>
        <w:tabs>
          <w:tab w:val="left" w:pos="709"/>
        </w:tabs>
        <w:ind w:left="0" w:firstLine="0"/>
        <w:jc w:val="both"/>
        <w:rPr>
          <w:bCs/>
        </w:rPr>
      </w:pPr>
      <w:r w:rsidRPr="00C258AD">
        <w:t>Durant l’exercice biennal 2104</w:t>
      </w:r>
      <w:r w:rsidRPr="00C258AD">
        <w:noBreakHyphen/>
        <w:t>2015, un certain nombre d’objectifs importants ont été atteints en matière de sûreté et de sécurité, notamment l’inauguration du nouveau Centre d’accès de l’OMPI (réception du bâtiment AB) et du Centre des opérations de coordination de sécurité, à temps pour que la vingt</w:t>
      </w:r>
      <w:r w:rsidRPr="00C258AD">
        <w:noBreakHyphen/>
        <w:t>deuxième session du Comité du programme et budget (PBC) et les assemblées de l’OMPI puissent s’y tenir en 2014, de même que plus de 200 conférences et événements en 2015 auxquels ont assisté des fonctionnaires, des délégués, des visiteurs et le public.  En outre, le projet de normes minimales de sécurité au siège des organisations du système des Nations Unies (H</w:t>
      </w:r>
      <w:r w:rsidRPr="00C258AD">
        <w:noBreakHyphen/>
        <w:t xml:space="preserve">MOSS) a été achevé en 2015, entraînant des améliorations qui ont sensiblement renforcé la gestion de la sûreté et de la sécurité sur l’ensemble du campus de l’OMPI, notamment : i) la mise en œuvre d’un nouveau système de contrôle de l’accès des véhicules et des piétons;  ii) des mesures hautement perfectionnées de détection des intrusions;  iii) un système de surveillance par caméras en circuit fermé;  iv) un réseau local (LAN) fiable;  v) un système de communication et d’intervention en cas d’urgence;  et vi) un système de détection des incendies et de gestion des risques.  En outre, à l’issue d’une mise au concours de grande ampleur, l’OMPI a sélectionné une nouvelle société de sécurité pour augmenter sa sûreté et </w:t>
      </w:r>
      <w:proofErr w:type="gramStart"/>
      <w:r w:rsidRPr="00C258AD">
        <w:t>sa sécurité internes</w:t>
      </w:r>
      <w:proofErr w:type="gramEnd"/>
      <w:r w:rsidRPr="00C258AD">
        <w:t>, la transition vers le nouveau service de sécurité étant prévue pour le début de 2016.</w:t>
      </w:r>
    </w:p>
    <w:p w:rsidR="006E2BB1" w:rsidRPr="00C258AD" w:rsidRDefault="006E2BB1" w:rsidP="00A43BDE">
      <w:pPr>
        <w:tabs>
          <w:tab w:val="left" w:pos="709"/>
        </w:tabs>
        <w:jc w:val="both"/>
        <w:rPr>
          <w:bCs/>
        </w:rPr>
      </w:pPr>
    </w:p>
    <w:p w:rsidR="006E2BB1" w:rsidRPr="00C258AD" w:rsidRDefault="00AD1FA5" w:rsidP="00E472AA">
      <w:pPr>
        <w:pStyle w:val="ListParagraph"/>
        <w:numPr>
          <w:ilvl w:val="0"/>
          <w:numId w:val="88"/>
        </w:numPr>
        <w:tabs>
          <w:tab w:val="left" w:pos="709"/>
        </w:tabs>
        <w:ind w:left="0" w:firstLine="0"/>
        <w:jc w:val="both"/>
        <w:rPr>
          <w:bCs/>
        </w:rPr>
      </w:pPr>
      <w:r w:rsidRPr="00C258AD">
        <w:t xml:space="preserve">Afin d’optimiser la capacité de fonctionnement du Centre des opérations de coordination de sécurité et des nouveaux systèmes, le personnel chargé de la sûreté et de la sécurité et les membres de l’équipe d’agents de sécurité sur place ont suivi des formations spécialisées en 2014 et en 2015.  Durant l’exercice biennal, de nouvelles procédures ont également été mises en œuvre en matière de gestion de la sûreté et les procédures opérationnelles normalisées et d’autres politiques applicables ont été actualisées.  </w:t>
      </w:r>
      <w:r w:rsidRPr="00C258AD">
        <w:rPr>
          <w:bCs/>
        </w:rPr>
        <w:t>Par ailleurs, un nouveau système d’évaluation des performances des agents de sécurité a été élaboré et intégré dans les procédures opérationnelles normalisées, en vue de renforcer l’efficacité et la capacité d’intervention en cas d’urgence.  Enfin, dans le cadre de la Stratégie de gestion pour la poursuite des opérations (BCMS) et du Plan de gestion des crises, plusieurs améliorations relatives à la sûreté et à la sécurité du bâtiment CAM de l’OMPI (contrôle d’accès, amélioration des portes coupe</w:t>
      </w:r>
      <w:r w:rsidRPr="00C258AD">
        <w:rPr>
          <w:bCs/>
        </w:rPr>
        <w:noBreakHyphen/>
        <w:t>feu et des détecteurs d’incendie et installation d’un système de caméras en circuit fermé) ont continué d’être mises en œuvre en 2015 dans le but de créer un centre de gestion des crises hors site.</w:t>
      </w:r>
    </w:p>
    <w:p w:rsidR="006E2BB1" w:rsidRPr="00C258AD" w:rsidRDefault="006E2BB1" w:rsidP="00A43BDE">
      <w:pPr>
        <w:rPr>
          <w:bCs/>
        </w:rPr>
      </w:pPr>
    </w:p>
    <w:p w:rsidR="006E2BB1" w:rsidRPr="00C258AD" w:rsidRDefault="00AD1FA5" w:rsidP="00E472AA">
      <w:pPr>
        <w:pStyle w:val="ListParagraph"/>
        <w:numPr>
          <w:ilvl w:val="0"/>
          <w:numId w:val="88"/>
        </w:numPr>
        <w:tabs>
          <w:tab w:val="left" w:pos="709"/>
        </w:tabs>
        <w:ind w:left="0" w:firstLine="0"/>
        <w:jc w:val="both"/>
        <w:rPr>
          <w:bCs/>
        </w:rPr>
      </w:pPr>
      <w:r w:rsidRPr="00C258AD">
        <w:t>En vue de renforcer la sûreté et la sécurité du personnel de l’OMPI, de mieux protéger les biens de l’Organisation et de veiller au respect des procédures établies par l’ONU dans ce domaine, des audits d’évaluation de la sûreté et de la sécurité ont été réalisés pour les cinq bureaux extérieurs en 2014</w:t>
      </w:r>
      <w:r w:rsidRPr="00C258AD">
        <w:noBreakHyphen/>
        <w:t xml:space="preserve">2015 et plus de 90% des recommandations d’audit ont été clôturées avant la fin de l’exercice biennal.  </w:t>
      </w:r>
      <w:r w:rsidRPr="00C258AD">
        <w:rPr>
          <w:bCs/>
        </w:rPr>
        <w:t>En outre, un programme de sensibilisation destiné aux bureaux extérieurs de l’OMPI a été élaboré sous l’égide du Centre des opérations de coordination de sécurité afin de mieux traiter les questions de gestion de la sûreté et de la sécurité en mettant à profit la coordination et le service d’appui en matière de sécurité, disponible 24 heures sur 24 et sept jours sur sept.</w:t>
      </w:r>
    </w:p>
    <w:p w:rsidR="006E2BB1" w:rsidRPr="00C258AD" w:rsidRDefault="006E2BB1" w:rsidP="00A43BDE">
      <w:pPr>
        <w:rPr>
          <w:bCs/>
        </w:rPr>
      </w:pPr>
    </w:p>
    <w:p w:rsidR="006E2BB1" w:rsidRPr="00927E1F" w:rsidRDefault="00AD1FA5" w:rsidP="00E472AA">
      <w:pPr>
        <w:pStyle w:val="ListParagraph"/>
        <w:numPr>
          <w:ilvl w:val="0"/>
          <w:numId w:val="88"/>
        </w:numPr>
        <w:tabs>
          <w:tab w:val="left" w:pos="709"/>
        </w:tabs>
        <w:ind w:left="0" w:firstLine="0"/>
        <w:jc w:val="both"/>
      </w:pPr>
      <w:r w:rsidRPr="00C258AD">
        <w:rPr>
          <w:bCs/>
        </w:rPr>
        <w:lastRenderedPageBreak/>
        <w:t>Le nombre total d’incidents en lien avec la sûreté et la sécurité signalés au cours de l’exercice biennal est resté faible.  Sept incidents liés à la sûreté sur 616 (soit 1,1%) ont entraîné des blessures, à savoir deux incidents sur 222 (soit 0,9%) en 2014 et cinq incidents sur 394 (soit 1,3%) en 2015.</w:t>
      </w:r>
    </w:p>
    <w:p w:rsidR="00927E1F" w:rsidRDefault="00927E1F" w:rsidP="00927E1F">
      <w:pPr>
        <w:pStyle w:val="ListParagraph"/>
        <w:numPr>
          <w:ilvl w:val="0"/>
          <w:numId w:val="0"/>
        </w:numPr>
        <w:tabs>
          <w:tab w:val="left" w:pos="709"/>
        </w:tabs>
        <w:jc w:val="both"/>
        <w:rPr>
          <w:bCs/>
        </w:rPr>
      </w:pPr>
    </w:p>
    <w:p w:rsidR="00927E1F" w:rsidRPr="00C258AD" w:rsidRDefault="00927E1F" w:rsidP="00927E1F">
      <w:pPr>
        <w:pStyle w:val="ListParagraph"/>
        <w:numPr>
          <w:ilvl w:val="0"/>
          <w:numId w:val="0"/>
        </w:numPr>
        <w:tabs>
          <w:tab w:val="left" w:pos="709"/>
        </w:tabs>
        <w:jc w:val="both"/>
      </w:pPr>
    </w:p>
    <w:p w:rsidR="006E2BB1" w:rsidRPr="00C258AD" w:rsidRDefault="00AD1FA5" w:rsidP="00305CE5">
      <w:pPr>
        <w:keepNext/>
        <w:rPr>
          <w:rFonts w:cs="Arial"/>
          <w:caps/>
          <w:sz w:val="22"/>
          <w:szCs w:val="22"/>
        </w:rPr>
      </w:pPr>
      <w:r w:rsidRPr="00C258AD">
        <w:rPr>
          <w:rFonts w:cs="Arial"/>
          <w:caps/>
          <w:sz w:val="22"/>
          <w:szCs w:val="22"/>
        </w:rPr>
        <w:t>Données relatives à l’exécution</w:t>
      </w:r>
    </w:p>
    <w:p w:rsidR="00AD1FA5" w:rsidRPr="00C258AD" w:rsidRDefault="00AD1FA5" w:rsidP="00A43BDE">
      <w:pPr>
        <w:keepNext/>
        <w:keepLines/>
        <w:rPr>
          <w:bCs/>
          <w:sz w:val="22"/>
          <w:szCs w:val="22"/>
        </w:rPr>
      </w:pPr>
    </w:p>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125"/>
        <w:gridCol w:w="2265"/>
        <w:gridCol w:w="1276"/>
        <w:gridCol w:w="2830"/>
        <w:gridCol w:w="995"/>
      </w:tblGrid>
      <w:tr w:rsidR="00AD1FA5" w:rsidRPr="00C258AD" w:rsidTr="00A43BDE">
        <w:trPr>
          <w:cantSplit/>
        </w:trPr>
        <w:tc>
          <w:tcPr>
            <w:tcW w:w="5000" w:type="pct"/>
            <w:gridSpan w:val="5"/>
            <w:tcBorders>
              <w:top w:val="single" w:sz="4" w:space="0" w:color="auto"/>
              <w:bottom w:val="single" w:sz="4" w:space="0" w:color="auto"/>
            </w:tcBorders>
            <w:shd w:val="clear" w:color="auto" w:fill="C5D9F1"/>
            <w:tcMar>
              <w:top w:w="113" w:type="dxa"/>
              <w:bottom w:w="113" w:type="dxa"/>
            </w:tcMar>
            <w:vAlign w:val="center"/>
          </w:tcPr>
          <w:p w:rsidR="00AD1FA5" w:rsidRPr="00C258AD" w:rsidRDefault="00AD1FA5" w:rsidP="00A43BDE">
            <w:pPr>
              <w:keepNext/>
              <w:keepLines/>
              <w:tabs>
                <w:tab w:val="left" w:pos="1452"/>
              </w:tabs>
              <w:rPr>
                <w:bCs/>
                <w:sz w:val="16"/>
                <w:szCs w:val="16"/>
              </w:rPr>
            </w:pPr>
            <w:r w:rsidRPr="00C258AD">
              <w:rPr>
                <w:b/>
                <w:bCs/>
                <w:sz w:val="16"/>
                <w:szCs w:val="16"/>
              </w:rPr>
              <w:t xml:space="preserve">Résultat escompté : </w:t>
            </w:r>
            <w:r w:rsidRPr="00C258AD">
              <w:rPr>
                <w:sz w:val="16"/>
                <w:szCs w:val="16"/>
              </w:rPr>
              <w:t>IX.4 Une Organisation écologiquement et socialement responsable assurant la sûreté et la sécurité du personnel, des délégués, des visiteurs, de l’information et des biens</w:t>
            </w:r>
          </w:p>
        </w:tc>
      </w:tr>
      <w:tr w:rsidR="00AD1FA5" w:rsidRPr="00C258AD" w:rsidTr="00A43BDE">
        <w:trPr>
          <w:cantSplit/>
        </w:trPr>
        <w:tc>
          <w:tcPr>
            <w:tcW w:w="1120" w:type="pct"/>
            <w:tcBorders>
              <w:top w:val="single" w:sz="4" w:space="0" w:color="auto"/>
            </w:tcBorders>
            <w:shd w:val="clear" w:color="auto" w:fill="auto"/>
            <w:tcMar>
              <w:top w:w="113" w:type="dxa"/>
              <w:bottom w:w="113" w:type="dxa"/>
            </w:tcMar>
            <w:vAlign w:val="center"/>
          </w:tcPr>
          <w:p w:rsidR="00AD1FA5" w:rsidRPr="00C258AD" w:rsidRDefault="00AD1FA5" w:rsidP="00A43BDE">
            <w:pPr>
              <w:keepNext/>
              <w:keepLines/>
              <w:jc w:val="center"/>
              <w:rPr>
                <w:sz w:val="16"/>
                <w:szCs w:val="16"/>
              </w:rPr>
            </w:pPr>
            <w:r w:rsidRPr="00C258AD">
              <w:rPr>
                <w:b/>
                <w:bCs/>
                <w:sz w:val="16"/>
                <w:szCs w:val="16"/>
              </w:rPr>
              <w:t>Indicateurs d’exécution</w:t>
            </w:r>
          </w:p>
        </w:tc>
        <w:tc>
          <w:tcPr>
            <w:tcW w:w="1193" w:type="pct"/>
            <w:tcBorders>
              <w:top w:val="single" w:sz="4" w:space="0" w:color="auto"/>
            </w:tcBorders>
            <w:shd w:val="clear" w:color="auto" w:fill="auto"/>
            <w:tcMar>
              <w:top w:w="113" w:type="dxa"/>
              <w:bottom w:w="113" w:type="dxa"/>
            </w:tcMar>
            <w:vAlign w:val="center"/>
          </w:tcPr>
          <w:p w:rsidR="00AD1FA5" w:rsidRPr="00C258AD" w:rsidRDefault="00AD1FA5" w:rsidP="00A43BDE">
            <w:pPr>
              <w:keepNext/>
              <w:keepLines/>
              <w:jc w:val="center"/>
              <w:rPr>
                <w:b/>
                <w:bCs/>
                <w:sz w:val="16"/>
                <w:szCs w:val="16"/>
              </w:rPr>
            </w:pPr>
            <w:r w:rsidRPr="00C258AD">
              <w:rPr>
                <w:b/>
                <w:bCs/>
                <w:sz w:val="16"/>
                <w:szCs w:val="16"/>
              </w:rPr>
              <w:t>Niveaux de référence</w:t>
            </w:r>
          </w:p>
        </w:tc>
        <w:tc>
          <w:tcPr>
            <w:tcW w:w="672" w:type="pct"/>
            <w:tcBorders>
              <w:top w:val="single" w:sz="4" w:space="0" w:color="auto"/>
            </w:tcBorders>
            <w:shd w:val="clear" w:color="auto" w:fill="auto"/>
            <w:tcMar>
              <w:top w:w="113" w:type="dxa"/>
              <w:bottom w:w="113" w:type="dxa"/>
            </w:tcMar>
            <w:vAlign w:val="center"/>
          </w:tcPr>
          <w:p w:rsidR="00AD1FA5" w:rsidRPr="00C258AD" w:rsidRDefault="00AD1FA5" w:rsidP="00A43BDE">
            <w:pPr>
              <w:keepNext/>
              <w:keepLines/>
              <w:jc w:val="center"/>
              <w:rPr>
                <w:b/>
                <w:sz w:val="16"/>
                <w:szCs w:val="16"/>
              </w:rPr>
            </w:pPr>
            <w:r w:rsidRPr="00C258AD">
              <w:rPr>
                <w:b/>
                <w:sz w:val="16"/>
                <w:szCs w:val="16"/>
              </w:rPr>
              <w:t>Objectifs visés</w:t>
            </w:r>
          </w:p>
        </w:tc>
        <w:tc>
          <w:tcPr>
            <w:tcW w:w="1491" w:type="pct"/>
            <w:tcBorders>
              <w:top w:val="single" w:sz="4" w:space="0" w:color="auto"/>
            </w:tcBorders>
            <w:shd w:val="clear" w:color="auto" w:fill="FFFFFF"/>
            <w:tcMar>
              <w:top w:w="113" w:type="dxa"/>
              <w:bottom w:w="113" w:type="dxa"/>
            </w:tcMar>
            <w:vAlign w:val="center"/>
          </w:tcPr>
          <w:p w:rsidR="00AD1FA5" w:rsidRPr="00C258AD" w:rsidRDefault="00AD1FA5" w:rsidP="00A43BDE">
            <w:pPr>
              <w:keepNext/>
              <w:keepLines/>
              <w:jc w:val="center"/>
              <w:rPr>
                <w:sz w:val="16"/>
                <w:szCs w:val="16"/>
              </w:rPr>
            </w:pPr>
            <w:r w:rsidRPr="00C258AD">
              <w:rPr>
                <w:b/>
                <w:bCs/>
                <w:sz w:val="16"/>
                <w:szCs w:val="16"/>
              </w:rPr>
              <w:t>Données relatives à l’exécution</w:t>
            </w:r>
          </w:p>
        </w:tc>
        <w:tc>
          <w:tcPr>
            <w:tcW w:w="524" w:type="pct"/>
            <w:tcBorders>
              <w:top w:val="single" w:sz="4" w:space="0" w:color="auto"/>
            </w:tcBorders>
            <w:shd w:val="clear" w:color="auto" w:fill="auto"/>
            <w:tcMar>
              <w:top w:w="113" w:type="dxa"/>
              <w:bottom w:w="113" w:type="dxa"/>
            </w:tcMar>
            <w:vAlign w:val="center"/>
          </w:tcPr>
          <w:p w:rsidR="00AD1FA5" w:rsidRPr="00C258AD" w:rsidRDefault="00AD1FA5" w:rsidP="00A43BDE">
            <w:pPr>
              <w:keepNext/>
              <w:keepLines/>
              <w:jc w:val="center"/>
              <w:rPr>
                <w:b/>
                <w:bCs/>
                <w:sz w:val="16"/>
                <w:szCs w:val="16"/>
              </w:rPr>
            </w:pPr>
            <w:r w:rsidRPr="00C258AD">
              <w:rPr>
                <w:b/>
                <w:bCs/>
                <w:sz w:val="16"/>
                <w:szCs w:val="16"/>
              </w:rPr>
              <w:t>Code de couleurs</w:t>
            </w:r>
          </w:p>
        </w:tc>
      </w:tr>
      <w:tr w:rsidR="00AD1FA5" w:rsidRPr="00C258AD" w:rsidTr="00A43BDE">
        <w:trPr>
          <w:cantSplit/>
        </w:trPr>
        <w:tc>
          <w:tcPr>
            <w:tcW w:w="1120" w:type="pct"/>
            <w:shd w:val="clear" w:color="auto" w:fill="auto"/>
            <w:tcMar>
              <w:top w:w="113" w:type="dxa"/>
              <w:bottom w:w="113" w:type="dxa"/>
            </w:tcMar>
          </w:tcPr>
          <w:p w:rsidR="00AD1FA5" w:rsidRPr="00C258AD" w:rsidRDefault="00AD1FA5" w:rsidP="00A43BDE">
            <w:pPr>
              <w:keepNext/>
              <w:keepLines/>
              <w:rPr>
                <w:sz w:val="16"/>
                <w:szCs w:val="16"/>
              </w:rPr>
            </w:pPr>
            <w:r w:rsidRPr="00C258AD">
              <w:rPr>
                <w:sz w:val="16"/>
                <w:szCs w:val="16"/>
              </w:rPr>
              <w:t xml:space="preserve">Pourcentage de fonctionnaires de l’OMPI, de délégués et de visiteurs signalant une blessure ou un incident lié au travail.  </w:t>
            </w:r>
          </w:p>
        </w:tc>
        <w:tc>
          <w:tcPr>
            <w:tcW w:w="1193" w:type="pct"/>
            <w:shd w:val="clear" w:color="auto" w:fill="auto"/>
            <w:tcMar>
              <w:top w:w="113" w:type="dxa"/>
              <w:bottom w:w="113" w:type="dxa"/>
            </w:tcMar>
          </w:tcPr>
          <w:p w:rsidR="006E2BB1" w:rsidRPr="00C258AD" w:rsidRDefault="00AD1FA5" w:rsidP="00A43BDE">
            <w:pPr>
              <w:keepNext/>
              <w:keepLines/>
              <w:rPr>
                <w:i/>
                <w:color w:val="002060"/>
                <w:sz w:val="16"/>
                <w:szCs w:val="16"/>
              </w:rPr>
            </w:pPr>
            <w:r w:rsidRPr="00C258AD">
              <w:rPr>
                <w:i/>
                <w:color w:val="002060"/>
                <w:sz w:val="16"/>
                <w:szCs w:val="16"/>
              </w:rPr>
              <w:t>Niveau de référence actualisé à fin 2013 :</w:t>
            </w:r>
          </w:p>
          <w:p w:rsidR="006E2BB1" w:rsidRPr="00C258AD" w:rsidRDefault="00AD1FA5" w:rsidP="00A43BDE">
            <w:pPr>
              <w:keepNext/>
              <w:keepLines/>
              <w:rPr>
                <w:color w:val="002060"/>
                <w:sz w:val="16"/>
                <w:szCs w:val="16"/>
              </w:rPr>
            </w:pPr>
            <w:r w:rsidRPr="00C258AD">
              <w:rPr>
                <w:color w:val="002060"/>
                <w:sz w:val="16"/>
                <w:szCs w:val="16"/>
              </w:rPr>
              <w:t>le pourcentage total d’incidents ayant causé des blessures à des fonctionnaires a été inférieur à 2% en 2012</w:t>
            </w:r>
            <w:r w:rsidRPr="00C258AD">
              <w:rPr>
                <w:color w:val="002060"/>
                <w:sz w:val="16"/>
                <w:szCs w:val="16"/>
              </w:rPr>
              <w:noBreakHyphen/>
              <w:t>2013 (6 en 2012;  4 en 2013).</w:t>
            </w:r>
          </w:p>
          <w:p w:rsidR="006E2BB1" w:rsidRPr="00C258AD" w:rsidRDefault="006E2BB1" w:rsidP="00A43BDE">
            <w:pPr>
              <w:keepNext/>
              <w:keepLines/>
              <w:rPr>
                <w:sz w:val="16"/>
                <w:szCs w:val="16"/>
              </w:rPr>
            </w:pPr>
          </w:p>
          <w:p w:rsidR="00AD1FA5" w:rsidRPr="00C258AD" w:rsidRDefault="00AD1FA5" w:rsidP="00A43BDE">
            <w:pPr>
              <w:keepNext/>
              <w:keepLines/>
              <w:rPr>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br/>
              <w:t>2% ou moins du nombre total de parties prenantes ou de clients signalant une blessure ou un incident lié au travail.</w:t>
            </w:r>
          </w:p>
        </w:tc>
        <w:tc>
          <w:tcPr>
            <w:tcW w:w="672" w:type="pct"/>
            <w:shd w:val="clear" w:color="auto" w:fill="auto"/>
            <w:tcMar>
              <w:top w:w="113" w:type="dxa"/>
              <w:bottom w:w="113" w:type="dxa"/>
            </w:tcMar>
          </w:tcPr>
          <w:p w:rsidR="00AD1FA5" w:rsidRPr="00C258AD" w:rsidRDefault="00AD1FA5" w:rsidP="00A43BDE">
            <w:pPr>
              <w:keepNext/>
              <w:keepLines/>
              <w:rPr>
                <w:sz w:val="16"/>
                <w:szCs w:val="16"/>
              </w:rPr>
            </w:pPr>
            <w:r w:rsidRPr="00C258AD">
              <w:rPr>
                <w:sz w:val="16"/>
                <w:szCs w:val="16"/>
              </w:rPr>
              <w:t>2% ou moins</w:t>
            </w:r>
          </w:p>
        </w:tc>
        <w:tc>
          <w:tcPr>
            <w:tcW w:w="1491" w:type="pct"/>
            <w:shd w:val="clear" w:color="auto" w:fill="FFFFFF"/>
            <w:tcMar>
              <w:top w:w="113" w:type="dxa"/>
              <w:bottom w:w="113" w:type="dxa"/>
            </w:tcMar>
          </w:tcPr>
          <w:p w:rsidR="006E2BB1" w:rsidRPr="00C258AD" w:rsidRDefault="00AD1FA5" w:rsidP="00A43BDE">
            <w:pPr>
              <w:keepNext/>
              <w:keepLines/>
              <w:rPr>
                <w:sz w:val="16"/>
                <w:szCs w:val="16"/>
              </w:rPr>
            </w:pPr>
            <w:r w:rsidRPr="00C258AD">
              <w:rPr>
                <w:sz w:val="16"/>
                <w:szCs w:val="16"/>
              </w:rPr>
              <w:t>Le pourcentage total d’incidents liés à la sûreté ayant entraîné des blessures en 2014</w:t>
            </w:r>
            <w:r w:rsidRPr="00C258AD">
              <w:rPr>
                <w:sz w:val="16"/>
                <w:szCs w:val="16"/>
              </w:rPr>
              <w:noBreakHyphen/>
              <w:t>2015 s’élevait à 1,1% :</w:t>
            </w:r>
          </w:p>
          <w:p w:rsidR="006E2BB1" w:rsidRPr="00C258AD" w:rsidRDefault="00AD1FA5" w:rsidP="00DF2EEF">
            <w:pPr>
              <w:pStyle w:val="ListParagraph"/>
              <w:keepNext/>
              <w:keepLines/>
              <w:numPr>
                <w:ilvl w:val="0"/>
                <w:numId w:val="94"/>
              </w:numPr>
              <w:rPr>
                <w:sz w:val="16"/>
                <w:szCs w:val="16"/>
              </w:rPr>
            </w:pPr>
            <w:r w:rsidRPr="00C258AD">
              <w:rPr>
                <w:sz w:val="16"/>
                <w:szCs w:val="16"/>
              </w:rPr>
              <w:t>2 incidents liés à la sûreté (2014)</w:t>
            </w:r>
          </w:p>
          <w:p w:rsidR="00AD1FA5" w:rsidRPr="00C258AD" w:rsidRDefault="00AD1FA5" w:rsidP="00DF2EEF">
            <w:pPr>
              <w:pStyle w:val="ListParagraph"/>
              <w:keepNext/>
              <w:keepLines/>
              <w:numPr>
                <w:ilvl w:val="0"/>
                <w:numId w:val="94"/>
              </w:numPr>
              <w:rPr>
                <w:sz w:val="16"/>
                <w:szCs w:val="16"/>
              </w:rPr>
            </w:pPr>
            <w:r w:rsidRPr="00C258AD">
              <w:rPr>
                <w:sz w:val="16"/>
                <w:szCs w:val="16"/>
              </w:rPr>
              <w:t>2 incidents liés à la sûreté (2015)</w:t>
            </w:r>
          </w:p>
        </w:tc>
        <w:tc>
          <w:tcPr>
            <w:tcW w:w="524" w:type="pct"/>
            <w:shd w:val="clear" w:color="auto" w:fill="auto"/>
            <w:tcMar>
              <w:top w:w="113" w:type="dxa"/>
              <w:bottom w:w="113" w:type="dxa"/>
            </w:tcMar>
          </w:tcPr>
          <w:p w:rsidR="00AD1FA5" w:rsidRPr="00C258AD" w:rsidRDefault="00AD1FA5" w:rsidP="00A43BDE">
            <w:pPr>
              <w:keepNext/>
              <w:keepLines/>
              <w:jc w:val="center"/>
              <w:rPr>
                <w:b/>
                <w:bCs/>
                <w:sz w:val="16"/>
                <w:szCs w:val="16"/>
              </w:rPr>
            </w:pPr>
            <w:r w:rsidRPr="00C258AD">
              <w:rPr>
                <w:rFonts w:cs="Arial"/>
                <w:b/>
                <w:bCs/>
                <w:color w:val="00B050"/>
                <w:sz w:val="16"/>
                <w:szCs w:val="16"/>
              </w:rPr>
              <w:t>Objectif pleinement atteint</w:t>
            </w:r>
          </w:p>
        </w:tc>
      </w:tr>
      <w:tr w:rsidR="00AD1FA5" w:rsidRPr="00C258AD" w:rsidTr="00A43BDE">
        <w:trPr>
          <w:cantSplit/>
        </w:trPr>
        <w:tc>
          <w:tcPr>
            <w:tcW w:w="1120" w:type="pct"/>
            <w:shd w:val="clear" w:color="auto" w:fill="auto"/>
            <w:tcMar>
              <w:top w:w="113" w:type="dxa"/>
              <w:bottom w:w="113" w:type="dxa"/>
            </w:tcMar>
          </w:tcPr>
          <w:p w:rsidR="00AD1FA5" w:rsidRPr="00C258AD" w:rsidRDefault="00AD1FA5" w:rsidP="00A43BDE">
            <w:pPr>
              <w:rPr>
                <w:sz w:val="16"/>
                <w:szCs w:val="16"/>
              </w:rPr>
            </w:pPr>
            <w:r w:rsidRPr="00C258AD">
              <w:rPr>
                <w:sz w:val="16"/>
                <w:szCs w:val="16"/>
              </w:rPr>
              <w:t xml:space="preserve">Pourcentage de demandes d’assistance en matière de sécurité reçues dans les délais pour des conférences ou des événements organisés à Genève ou ailleurs.  </w:t>
            </w:r>
          </w:p>
        </w:tc>
        <w:tc>
          <w:tcPr>
            <w:tcW w:w="1193" w:type="pct"/>
            <w:shd w:val="clear" w:color="auto" w:fill="auto"/>
            <w:tcMar>
              <w:top w:w="113" w:type="dxa"/>
              <w:bottom w:w="113" w:type="dxa"/>
            </w:tcMar>
          </w:tcPr>
          <w:p w:rsidR="006E2BB1" w:rsidRPr="00C258AD" w:rsidRDefault="00AD1FA5" w:rsidP="00A43BDE">
            <w:pPr>
              <w:rPr>
                <w:i/>
                <w:color w:val="002060"/>
                <w:sz w:val="16"/>
                <w:szCs w:val="16"/>
              </w:rPr>
            </w:pPr>
            <w:r w:rsidRPr="00C258AD">
              <w:rPr>
                <w:i/>
                <w:color w:val="002060"/>
                <w:sz w:val="16"/>
                <w:szCs w:val="16"/>
              </w:rPr>
              <w:t>Niveau de référence actualisé à fin 2013 :</w:t>
            </w:r>
          </w:p>
          <w:p w:rsidR="006E2BB1" w:rsidRPr="00C258AD" w:rsidRDefault="00AD1FA5" w:rsidP="00A43BDE">
            <w:pPr>
              <w:rPr>
                <w:color w:val="002060"/>
                <w:sz w:val="16"/>
                <w:szCs w:val="16"/>
              </w:rPr>
            </w:pPr>
            <w:r w:rsidRPr="00C258AD">
              <w:rPr>
                <w:color w:val="002060"/>
                <w:sz w:val="16"/>
                <w:szCs w:val="16"/>
              </w:rPr>
              <w:t>lors de l’‏exercice biennal, sept audits de conférences ou de réunions extérieures ont été réalisés avec le concours des offices nationaux respectifs du DSS de l’‎ONU et en conformité avec toutes les normes du Système de gestion de la sécurité de l’‏‎ONU :</w:t>
            </w:r>
          </w:p>
          <w:p w:rsidR="006E2BB1" w:rsidRPr="00C258AD" w:rsidRDefault="006E2BB1" w:rsidP="00A43BDE">
            <w:pPr>
              <w:rPr>
                <w:color w:val="002060"/>
                <w:sz w:val="16"/>
                <w:szCs w:val="16"/>
              </w:rPr>
            </w:pPr>
          </w:p>
          <w:p w:rsidR="006E2BB1" w:rsidRPr="00C258AD" w:rsidRDefault="00AD1FA5" w:rsidP="00E472AA">
            <w:pPr>
              <w:pStyle w:val="ListParagraph"/>
              <w:numPr>
                <w:ilvl w:val="0"/>
                <w:numId w:val="87"/>
              </w:numPr>
              <w:ind w:left="174" w:firstLine="0"/>
              <w:rPr>
                <w:color w:val="002060"/>
                <w:sz w:val="16"/>
                <w:szCs w:val="16"/>
              </w:rPr>
            </w:pPr>
            <w:r w:rsidRPr="00C258AD">
              <w:rPr>
                <w:color w:val="002060"/>
                <w:sz w:val="16"/>
                <w:szCs w:val="16"/>
              </w:rPr>
              <w:t>trois en 2012;</w:t>
            </w:r>
          </w:p>
          <w:p w:rsidR="006E2BB1" w:rsidRPr="00C258AD" w:rsidRDefault="00AD1FA5" w:rsidP="00E472AA">
            <w:pPr>
              <w:pStyle w:val="ListParagraph"/>
              <w:numPr>
                <w:ilvl w:val="0"/>
                <w:numId w:val="87"/>
              </w:numPr>
              <w:ind w:left="174" w:firstLine="0"/>
              <w:rPr>
                <w:color w:val="002060"/>
                <w:sz w:val="16"/>
                <w:szCs w:val="16"/>
              </w:rPr>
            </w:pPr>
            <w:r w:rsidRPr="00C258AD">
              <w:rPr>
                <w:color w:val="002060"/>
                <w:sz w:val="16"/>
                <w:szCs w:val="16"/>
              </w:rPr>
              <w:t>quatre en 2013.</w:t>
            </w:r>
          </w:p>
          <w:p w:rsidR="006E2BB1" w:rsidRPr="00C258AD" w:rsidRDefault="006E2BB1" w:rsidP="00A43BDE">
            <w:pPr>
              <w:rPr>
                <w:color w:val="002060"/>
                <w:sz w:val="16"/>
                <w:szCs w:val="16"/>
              </w:rPr>
            </w:pPr>
          </w:p>
          <w:p w:rsidR="006E2BB1" w:rsidRPr="00C258AD" w:rsidRDefault="00AD1FA5" w:rsidP="00A43BDE">
            <w:pPr>
              <w:rPr>
                <w:color w:val="002060"/>
                <w:sz w:val="16"/>
                <w:szCs w:val="16"/>
              </w:rPr>
            </w:pPr>
            <w:r w:rsidRPr="00C258AD">
              <w:rPr>
                <w:color w:val="002060"/>
                <w:sz w:val="16"/>
                <w:szCs w:val="16"/>
              </w:rPr>
              <w:t>En outre, des audits ont été réalisés pour deux événements extérieurs directement gérés par l’OMPI.  (100% de toutes les demandes ont reçu une réponse en temps opportun)</w:t>
            </w:r>
          </w:p>
          <w:p w:rsidR="006E2BB1" w:rsidRPr="00C258AD" w:rsidRDefault="006E2BB1" w:rsidP="00A43BDE">
            <w:pPr>
              <w:rPr>
                <w:color w:val="002060"/>
                <w:sz w:val="16"/>
                <w:szCs w:val="16"/>
              </w:rPr>
            </w:pPr>
          </w:p>
          <w:p w:rsidR="006E2BB1" w:rsidRPr="00C258AD" w:rsidRDefault="00AD1FA5" w:rsidP="00A43BDE">
            <w:pPr>
              <w:rPr>
                <w:color w:val="002060"/>
                <w:sz w:val="16"/>
                <w:szCs w:val="16"/>
              </w:rPr>
            </w:pPr>
            <w:r w:rsidRPr="00C258AD">
              <w:rPr>
                <w:color w:val="002060"/>
                <w:sz w:val="16"/>
                <w:szCs w:val="16"/>
              </w:rPr>
              <w:t>En 2012, deux audits ont été réalisés dans des bureaux extérieurs (Singapour et Tokyo).</w:t>
            </w:r>
          </w:p>
          <w:p w:rsidR="006E2BB1" w:rsidRPr="00C258AD" w:rsidRDefault="006E2BB1" w:rsidP="00A43BDE">
            <w:pPr>
              <w:rPr>
                <w:i/>
                <w:sz w:val="16"/>
                <w:szCs w:val="16"/>
              </w:rPr>
            </w:pPr>
          </w:p>
          <w:p w:rsidR="00AD1FA5" w:rsidRPr="00C258AD" w:rsidRDefault="00AD1FA5" w:rsidP="00A43BDE">
            <w:pPr>
              <w:rPr>
                <w:sz w:val="16"/>
                <w:szCs w:val="16"/>
              </w:rPr>
            </w:pPr>
            <w:r w:rsidRPr="00C258AD">
              <w:rPr>
                <w:i/>
                <w:sz w:val="16"/>
                <w:szCs w:val="16"/>
              </w:rPr>
              <w:t>Niveau de référence initial dans le programme et budget 2014</w:t>
            </w:r>
            <w:r w:rsidRPr="00C258AD">
              <w:rPr>
                <w:i/>
                <w:sz w:val="16"/>
                <w:szCs w:val="16"/>
              </w:rPr>
              <w:noBreakHyphen/>
              <w:t>2015 :</w:t>
            </w:r>
            <w:r w:rsidRPr="00C258AD">
              <w:rPr>
                <w:sz w:val="16"/>
                <w:szCs w:val="16"/>
              </w:rPr>
              <w:br/>
              <w:t>65% ou plus de demandes d’assistance en matière de sécurité émanant de parties prenantes ou de clients reçues dans les délais pour des conférences ou des manifestations organisées à Genève ou ailleurs.</w:t>
            </w:r>
          </w:p>
        </w:tc>
        <w:tc>
          <w:tcPr>
            <w:tcW w:w="672" w:type="pct"/>
            <w:shd w:val="clear" w:color="auto" w:fill="auto"/>
            <w:tcMar>
              <w:top w:w="113" w:type="dxa"/>
              <w:bottom w:w="113" w:type="dxa"/>
            </w:tcMar>
          </w:tcPr>
          <w:p w:rsidR="00AD1FA5" w:rsidRPr="00C258AD" w:rsidRDefault="00AD1FA5" w:rsidP="00A43BDE">
            <w:pPr>
              <w:rPr>
                <w:sz w:val="16"/>
                <w:szCs w:val="16"/>
              </w:rPr>
            </w:pPr>
            <w:r w:rsidRPr="00C258AD">
              <w:rPr>
                <w:sz w:val="16"/>
                <w:szCs w:val="16"/>
              </w:rPr>
              <w:t>80% ou plus</w:t>
            </w:r>
          </w:p>
        </w:tc>
        <w:tc>
          <w:tcPr>
            <w:tcW w:w="1491" w:type="pct"/>
            <w:shd w:val="clear" w:color="auto" w:fill="FFFFFF"/>
            <w:tcMar>
              <w:top w:w="113" w:type="dxa"/>
              <w:bottom w:w="113" w:type="dxa"/>
            </w:tcMar>
          </w:tcPr>
          <w:p w:rsidR="006E2BB1" w:rsidRPr="00C258AD" w:rsidRDefault="00AD1FA5" w:rsidP="00A43BDE">
            <w:pPr>
              <w:rPr>
                <w:sz w:val="16"/>
                <w:szCs w:val="16"/>
                <w:lang w:bidi="th-TH"/>
              </w:rPr>
            </w:pPr>
            <w:r w:rsidRPr="00C258AD">
              <w:rPr>
                <w:sz w:val="16"/>
                <w:szCs w:val="16"/>
                <w:lang w:bidi="th-TH"/>
              </w:rPr>
              <w:t>En 2014 et 2015, toutes les demandes (100%) d’assistance en matière de sûreté et de sécurité pour des conférences et des événements extérieurs ou organisés à Genève ont été satisfaites.</w:t>
            </w:r>
          </w:p>
          <w:p w:rsidR="006E2BB1" w:rsidRPr="00C258AD" w:rsidRDefault="006E2BB1" w:rsidP="00A43BDE">
            <w:pPr>
              <w:rPr>
                <w:sz w:val="16"/>
                <w:szCs w:val="16"/>
                <w:lang w:bidi="th-TH"/>
              </w:rPr>
            </w:pPr>
          </w:p>
          <w:p w:rsidR="00AD1FA5" w:rsidRPr="00C258AD" w:rsidRDefault="00AD1FA5" w:rsidP="00A43BDE">
            <w:pPr>
              <w:rPr>
                <w:sz w:val="16"/>
                <w:szCs w:val="16"/>
                <w:lang w:bidi="th-TH"/>
              </w:rPr>
            </w:pPr>
            <w:r w:rsidRPr="00C258AD">
              <w:rPr>
                <w:sz w:val="16"/>
                <w:szCs w:val="16"/>
                <w:lang w:bidi="th-TH"/>
              </w:rPr>
              <w:t>En 2014</w:t>
            </w:r>
            <w:r w:rsidRPr="00C258AD">
              <w:rPr>
                <w:sz w:val="16"/>
                <w:szCs w:val="22"/>
                <w:lang w:bidi="th-TH"/>
              </w:rPr>
              <w:noBreakHyphen/>
            </w:r>
            <w:r w:rsidRPr="00C258AD">
              <w:rPr>
                <w:sz w:val="16"/>
                <w:szCs w:val="16"/>
                <w:lang w:bidi="th-TH"/>
              </w:rPr>
              <w:t>2015</w:t>
            </w:r>
            <w:r w:rsidRPr="00C258AD">
              <w:rPr>
                <w:rFonts w:cs="Arial"/>
                <w:sz w:val="16"/>
                <w:szCs w:val="16"/>
                <w:lang w:bidi="th-TH"/>
              </w:rPr>
              <w:t>, des audits d’évaluation de la sûreté et de la sécurité ont été réalisés pour tous les bureaux extérieurs de l’OMPI et plus de 90% des recommandations d’audit ont été clôturées avant la fin de l’exercice biennal.</w:t>
            </w:r>
          </w:p>
        </w:tc>
        <w:tc>
          <w:tcPr>
            <w:tcW w:w="524" w:type="pct"/>
            <w:shd w:val="clear" w:color="auto" w:fill="auto"/>
            <w:tcMar>
              <w:top w:w="113" w:type="dxa"/>
              <w:bottom w:w="113" w:type="dxa"/>
            </w:tcMar>
          </w:tcPr>
          <w:p w:rsidR="00AD1FA5" w:rsidRPr="00C258AD" w:rsidRDefault="00AD1FA5" w:rsidP="00A43BDE">
            <w:pPr>
              <w:keepNext/>
              <w:keepLines/>
              <w:jc w:val="center"/>
              <w:rPr>
                <w:b/>
                <w:bCs/>
                <w:sz w:val="16"/>
                <w:szCs w:val="16"/>
              </w:rPr>
            </w:pPr>
            <w:r w:rsidRPr="00C258AD">
              <w:rPr>
                <w:rFonts w:cs="Arial"/>
                <w:b/>
                <w:bCs/>
                <w:color w:val="00B050"/>
                <w:sz w:val="16"/>
                <w:szCs w:val="16"/>
              </w:rPr>
              <w:t>Objectif pleinement atteint</w:t>
            </w:r>
          </w:p>
        </w:tc>
      </w:tr>
    </w:tbl>
    <w:p w:rsidR="006E2BB1" w:rsidRPr="00C258AD" w:rsidRDefault="006E2BB1" w:rsidP="00A43BDE"/>
    <w:p w:rsidR="006E2BB1" w:rsidRPr="00C258AD" w:rsidRDefault="006E2BB1" w:rsidP="00A43BDE"/>
    <w:p w:rsidR="006E2BB1" w:rsidRPr="00C258AD" w:rsidRDefault="00AD1FA5" w:rsidP="00305CE5">
      <w:pPr>
        <w:keepNext/>
        <w:rPr>
          <w:rFonts w:cs="Arial"/>
          <w:caps/>
          <w:sz w:val="22"/>
          <w:szCs w:val="22"/>
        </w:rPr>
      </w:pPr>
      <w:r w:rsidRPr="00C258AD">
        <w:rPr>
          <w:rFonts w:cs="Arial"/>
          <w:caps/>
          <w:sz w:val="22"/>
          <w:szCs w:val="22"/>
        </w:rPr>
        <w:lastRenderedPageBreak/>
        <w:t>Rapport d’évaluation des risques pour l’exercice biennal</w:t>
      </w:r>
    </w:p>
    <w:p w:rsidR="00AD1FA5" w:rsidRPr="00C258AD" w:rsidRDefault="00AD1FA5" w:rsidP="00A43BDE">
      <w:pPr>
        <w:keepNext/>
        <w:keepLines/>
        <w:rPr>
          <w:rFonts w:cs="Arial"/>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2"/>
        <w:gridCol w:w="2373"/>
        <w:gridCol w:w="2373"/>
        <w:gridCol w:w="2373"/>
      </w:tblGrid>
      <w:tr w:rsidR="00AD1FA5" w:rsidRPr="00C258AD" w:rsidTr="00A43BDE">
        <w:trPr>
          <w:cantSplit/>
        </w:trPr>
        <w:tc>
          <w:tcPr>
            <w:tcW w:w="2373" w:type="dxa"/>
            <w:tcBorders>
              <w:top w:val="single" w:sz="4" w:space="0" w:color="auto"/>
              <w:left w:val="single" w:sz="4" w:space="0" w:color="auto"/>
              <w:bottom w:val="single" w:sz="4" w:space="0" w:color="auto"/>
            </w:tcBorders>
            <w:shd w:val="clear" w:color="auto" w:fill="C5D9F1"/>
            <w:vAlign w:val="center"/>
          </w:tcPr>
          <w:p w:rsidR="00AD1FA5" w:rsidRPr="00C258AD" w:rsidRDefault="00AD1FA5" w:rsidP="00A43BDE">
            <w:pPr>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AD1FA5" w:rsidRPr="00C258AD" w:rsidRDefault="00AD1FA5" w:rsidP="00A43BDE">
            <w:pPr>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AD1FA5" w:rsidRPr="00C258AD" w:rsidRDefault="00AD1FA5" w:rsidP="00A43BDE">
            <w:pPr>
              <w:autoSpaceDE w:val="0"/>
              <w:autoSpaceDN w:val="0"/>
              <w:adjustRightInd w:val="0"/>
              <w:ind w:right="-59"/>
              <w:jc w:val="center"/>
              <w:rPr>
                <w:b/>
                <w:bCs/>
                <w:iCs/>
                <w:sz w:val="16"/>
                <w:szCs w:val="16"/>
              </w:rPr>
            </w:pPr>
            <w:r w:rsidRPr="00C258AD">
              <w:rPr>
                <w:b/>
                <w:bCs/>
                <w:iCs/>
                <w:sz w:val="16"/>
                <w:szCs w:val="16"/>
              </w:rPr>
              <w:t>Évolution des risques et des stratégies d’atténuation durant l’exercice biennal</w:t>
            </w:r>
          </w:p>
        </w:tc>
        <w:tc>
          <w:tcPr>
            <w:tcW w:w="2373" w:type="dxa"/>
            <w:tcBorders>
              <w:top w:val="single" w:sz="4" w:space="0" w:color="auto"/>
              <w:bottom w:val="single" w:sz="4" w:space="0" w:color="auto"/>
              <w:right w:val="single" w:sz="4" w:space="0" w:color="auto"/>
            </w:tcBorders>
            <w:shd w:val="clear" w:color="auto" w:fill="C5D9F1"/>
            <w:vAlign w:val="center"/>
          </w:tcPr>
          <w:p w:rsidR="00AD1FA5" w:rsidRPr="00C258AD" w:rsidRDefault="00AD1FA5" w:rsidP="00A43BDE">
            <w:pPr>
              <w:autoSpaceDE w:val="0"/>
              <w:autoSpaceDN w:val="0"/>
              <w:adjustRightInd w:val="0"/>
              <w:jc w:val="center"/>
              <w:rPr>
                <w:b/>
                <w:bCs/>
                <w:iCs/>
                <w:sz w:val="16"/>
                <w:szCs w:val="16"/>
              </w:rPr>
            </w:pPr>
            <w:r w:rsidRPr="00C258AD">
              <w:rPr>
                <w:b/>
                <w:bCs/>
                <w:iCs/>
                <w:sz w:val="16"/>
                <w:szCs w:val="16"/>
              </w:rPr>
              <w:t>Incidence sur les résultats du programme</w:t>
            </w:r>
          </w:p>
        </w:tc>
      </w:tr>
      <w:tr w:rsidR="00AD1FA5" w:rsidRPr="00C258AD" w:rsidTr="00A43BDE">
        <w:tblPrEx>
          <w:jc w:val="center"/>
          <w:tblBorders>
            <w:top w:val="single" w:sz="4" w:space="0" w:color="auto"/>
            <w:left w:val="single" w:sz="4" w:space="0" w:color="auto"/>
            <w:bottom w:val="single" w:sz="4" w:space="0" w:color="auto"/>
            <w:right w:val="single" w:sz="4" w:space="0" w:color="auto"/>
          </w:tblBorders>
        </w:tblPrEx>
        <w:trPr>
          <w:cantSplit/>
          <w:jc w:val="center"/>
        </w:trPr>
        <w:tc>
          <w:tcPr>
            <w:tcW w:w="2373" w:type="dxa"/>
            <w:tcBorders>
              <w:top w:val="single" w:sz="4" w:space="0" w:color="auto"/>
            </w:tcBorders>
            <w:shd w:val="clear" w:color="auto" w:fill="auto"/>
            <w:tcMar>
              <w:top w:w="113" w:type="dxa"/>
            </w:tcMar>
          </w:tcPr>
          <w:p w:rsidR="00AD1FA5" w:rsidRPr="00C258AD" w:rsidRDefault="00AD1FA5" w:rsidP="00A43BDE">
            <w:pPr>
              <w:rPr>
                <w:sz w:val="16"/>
              </w:rPr>
            </w:pPr>
            <w:r w:rsidRPr="00C258AD">
              <w:rPr>
                <w:sz w:val="16"/>
              </w:rPr>
              <w:t>La vétusté ou l’obsolescence des systèmes et équipements de sécurité physique en place dans les locaux existants pourraient provoquer des incidents mettant en jeu la sûreté et la sécurité en cas de non</w:t>
            </w:r>
            <w:r w:rsidRPr="00C258AD">
              <w:rPr>
                <w:sz w:val="16"/>
              </w:rPr>
              <w:noBreakHyphen/>
              <w:t>remplacement.</w:t>
            </w:r>
          </w:p>
        </w:tc>
        <w:tc>
          <w:tcPr>
            <w:tcW w:w="2373" w:type="dxa"/>
            <w:tcBorders>
              <w:top w:val="single" w:sz="4" w:space="0" w:color="auto"/>
            </w:tcBorders>
            <w:shd w:val="clear" w:color="auto" w:fill="auto"/>
            <w:tcMar>
              <w:top w:w="113" w:type="dxa"/>
            </w:tcMar>
          </w:tcPr>
          <w:p w:rsidR="00AD1FA5" w:rsidRPr="00C258AD" w:rsidRDefault="00AD1FA5" w:rsidP="00A43BDE">
            <w:pPr>
              <w:rPr>
                <w:sz w:val="16"/>
              </w:rPr>
            </w:pPr>
            <w:r w:rsidRPr="00C258AD">
              <w:rPr>
                <w:sz w:val="16"/>
              </w:rPr>
              <w:t>Le projet de mise à niveau des locaux existants (2012</w:t>
            </w:r>
            <w:r w:rsidRPr="00C258AD">
              <w:rPr>
                <w:sz w:val="16"/>
              </w:rPr>
              <w:noBreakHyphen/>
              <w:t>2013) permettra de supprimer progressivement les systèmes et équipements actuels.  Les mises à niveau devraient débuter en 2014</w:t>
            </w:r>
            <w:r w:rsidRPr="00C258AD">
              <w:rPr>
                <w:sz w:val="16"/>
              </w:rPr>
              <w:noBreakHyphen/>
              <w:t>2015.</w:t>
            </w:r>
          </w:p>
        </w:tc>
        <w:tc>
          <w:tcPr>
            <w:tcW w:w="2373" w:type="dxa"/>
            <w:tcBorders>
              <w:top w:val="single" w:sz="4" w:space="0" w:color="auto"/>
            </w:tcBorders>
          </w:tcPr>
          <w:p w:rsidR="00AD1FA5" w:rsidRPr="00C258AD" w:rsidRDefault="00AD1FA5" w:rsidP="00A43BDE">
            <w:pPr>
              <w:rPr>
                <w:sz w:val="16"/>
              </w:rPr>
            </w:pPr>
            <w:r w:rsidRPr="00C258AD">
              <w:rPr>
                <w:sz w:val="16"/>
              </w:rPr>
              <w:t>Vers la fin de 2015, le contexte mondial, régional et local en matière de menace et de risque a évolué.  Cependant, avec l’achèvement des mises à jour des normes minimales de sécurité au siège des organisations du système des Nations Unies et de la mise en œuvre de plusieurs systèmes de sûreté et de sécurité, les risques ont pu être gérés conformément aux niveaux de tolérance.</w:t>
            </w:r>
          </w:p>
        </w:tc>
        <w:tc>
          <w:tcPr>
            <w:tcW w:w="2373" w:type="dxa"/>
            <w:tcBorders>
              <w:top w:val="single" w:sz="4" w:space="0" w:color="auto"/>
            </w:tcBorders>
          </w:tcPr>
          <w:p w:rsidR="00AD1FA5" w:rsidRPr="00C258AD" w:rsidRDefault="00AD1FA5" w:rsidP="00A43BDE">
            <w:pPr>
              <w:rPr>
                <w:sz w:val="16"/>
              </w:rPr>
            </w:pPr>
            <w:r w:rsidRPr="00C258AD">
              <w:rPr>
                <w:sz w:val="16"/>
              </w:rPr>
              <w:t>Les plans de travail et les activités de consignation des risques du SCSS en 2014 et 2015 ont permis de traiter les incidences en matière de risques de manière suffisamment efficace durant la période considérée.  Il n’y a pas eu d’incidence concrète sur l’exécution du programme.</w:t>
            </w:r>
          </w:p>
        </w:tc>
      </w:tr>
    </w:tbl>
    <w:p w:rsidR="006E2BB1" w:rsidRPr="00C258AD" w:rsidRDefault="006E2BB1" w:rsidP="00A43BDE"/>
    <w:p w:rsidR="006E2BB1" w:rsidRPr="00C258AD" w:rsidRDefault="006E2BB1" w:rsidP="00A43BDE"/>
    <w:p w:rsidR="006E2BB1" w:rsidRPr="00C258AD" w:rsidRDefault="00AD1FA5" w:rsidP="00305CE5">
      <w:pPr>
        <w:keepNext/>
        <w:rPr>
          <w:rFonts w:cs="Arial"/>
          <w:caps/>
          <w:sz w:val="22"/>
          <w:szCs w:val="22"/>
        </w:rPr>
      </w:pPr>
      <w:r w:rsidRPr="00C258AD">
        <w:rPr>
          <w:rFonts w:cs="Arial"/>
          <w:caps/>
          <w:sz w:val="22"/>
          <w:szCs w:val="22"/>
        </w:rPr>
        <w:t>Utilisation des ressources</w:t>
      </w:r>
    </w:p>
    <w:p w:rsidR="006E2BB1" w:rsidRPr="00C258AD" w:rsidRDefault="006E2BB1" w:rsidP="00A43BDE">
      <w:pPr>
        <w:keepNext/>
        <w:jc w:val="center"/>
      </w:pPr>
    </w:p>
    <w:p w:rsidR="006E2BB1" w:rsidRPr="00C258AD" w:rsidRDefault="00AD1FA5" w:rsidP="00A43BDE">
      <w:pPr>
        <w:pStyle w:val="NormalWeb"/>
        <w:keepNext/>
        <w:spacing w:before="0" w:beforeAutospacing="0" w:after="0" w:afterAutospacing="0"/>
        <w:jc w:val="center"/>
        <w:rPr>
          <w:sz w:val="20"/>
          <w:szCs w:val="20"/>
        </w:rPr>
      </w:pPr>
      <w:r w:rsidRPr="00C258AD">
        <w:rPr>
          <w:sz w:val="20"/>
          <w:szCs w:val="20"/>
        </w:rPr>
        <w:t>Budget et dépenses effectives (par résultat)</w:t>
      </w:r>
    </w:p>
    <w:p w:rsidR="006E2BB1" w:rsidRPr="00C258AD" w:rsidRDefault="00AD1FA5" w:rsidP="00A43BDE">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AD1FA5" w:rsidRPr="00C258AD" w:rsidRDefault="00AD1FA5" w:rsidP="00A43BDE">
      <w:pPr>
        <w:keepNext/>
        <w:jc w:val="both"/>
      </w:pPr>
    </w:p>
    <w:tbl>
      <w:tblPr>
        <w:tblW w:w="5000" w:type="pct"/>
        <w:tblCellMar>
          <w:top w:w="113" w:type="dxa"/>
          <w:left w:w="70" w:type="dxa"/>
          <w:bottom w:w="113" w:type="dxa"/>
          <w:right w:w="70" w:type="dxa"/>
        </w:tblCellMar>
        <w:tblLook w:val="04A0" w:firstRow="1" w:lastRow="0" w:firstColumn="1" w:lastColumn="0" w:noHBand="0" w:noVBand="1"/>
      </w:tblPr>
      <w:tblGrid>
        <w:gridCol w:w="546"/>
        <w:gridCol w:w="4683"/>
        <w:gridCol w:w="1422"/>
        <w:gridCol w:w="1422"/>
        <w:gridCol w:w="1422"/>
      </w:tblGrid>
      <w:tr w:rsidR="00AD1FA5" w:rsidRPr="00C258AD" w:rsidTr="00A43BDE">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AD1FA5" w:rsidRPr="00C258AD" w:rsidRDefault="00AD1FA5" w:rsidP="00A43BDE">
            <w:pPr>
              <w:jc w:val="center"/>
              <w:rPr>
                <w:i/>
                <w:iCs/>
                <w:sz w:val="16"/>
                <w:szCs w:val="16"/>
                <w:lang w:eastAsia="fr-FR"/>
              </w:rPr>
            </w:pPr>
            <w:r w:rsidRPr="00C258AD">
              <w:rPr>
                <w:i/>
                <w:iCs/>
                <w:sz w:val="16"/>
                <w:szCs w:val="16"/>
                <w:lang w:eastAsia="fr-FR"/>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AD1FA5" w:rsidRPr="00C258AD" w:rsidRDefault="00AD1FA5" w:rsidP="00A43BDE">
            <w:pPr>
              <w:jc w:val="center"/>
              <w:rPr>
                <w:i/>
                <w:iCs/>
                <w:sz w:val="16"/>
                <w:szCs w:val="16"/>
                <w:lang w:eastAsia="fr-FR"/>
              </w:rPr>
            </w:pPr>
            <w:r w:rsidRPr="00C258AD">
              <w:rPr>
                <w:i/>
                <w:iCs/>
                <w:sz w:val="16"/>
                <w:szCs w:val="16"/>
                <w:lang w:eastAsia="fr-FR"/>
              </w:rPr>
              <w:t>Budget</w:t>
            </w:r>
            <w:r w:rsidRPr="00C258AD">
              <w:rPr>
                <w:i/>
                <w:iCs/>
                <w:sz w:val="16"/>
                <w:szCs w:val="16"/>
                <w:lang w:eastAsia="fr-FR"/>
              </w:rPr>
              <w:br/>
              <w:t>2014</w:t>
            </w:r>
            <w:r w:rsidRPr="00C258AD">
              <w:rPr>
                <w:i/>
                <w:iCs/>
                <w:sz w:val="16"/>
                <w:szCs w:val="16"/>
                <w:lang w:eastAsia="fr-FR"/>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AD1FA5" w:rsidRPr="00C258AD" w:rsidRDefault="00AD1FA5" w:rsidP="00A43BDE">
            <w:pPr>
              <w:jc w:val="center"/>
              <w:rPr>
                <w:i/>
                <w:iCs/>
                <w:sz w:val="16"/>
                <w:szCs w:val="16"/>
                <w:lang w:eastAsia="fr-FR"/>
              </w:rPr>
            </w:pPr>
            <w:r w:rsidRPr="00C258AD">
              <w:rPr>
                <w:i/>
                <w:iCs/>
                <w:sz w:val="16"/>
                <w:szCs w:val="16"/>
                <w:lang w:eastAsia="fr-FR"/>
              </w:rPr>
              <w:t>Budget final</w:t>
            </w:r>
            <w:r w:rsidRPr="00C258AD">
              <w:rPr>
                <w:i/>
                <w:iCs/>
                <w:sz w:val="16"/>
                <w:szCs w:val="16"/>
                <w:lang w:eastAsia="fr-FR"/>
              </w:rPr>
              <w:br/>
              <w:t>2014</w:t>
            </w:r>
            <w:r w:rsidRPr="00C258AD">
              <w:rPr>
                <w:i/>
                <w:iCs/>
                <w:sz w:val="16"/>
                <w:szCs w:val="16"/>
                <w:lang w:eastAsia="fr-FR"/>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AD1FA5" w:rsidRPr="00C258AD" w:rsidRDefault="00AD1FA5" w:rsidP="00A43BDE">
            <w:pPr>
              <w:jc w:val="center"/>
              <w:rPr>
                <w:i/>
                <w:iCs/>
                <w:sz w:val="16"/>
                <w:szCs w:val="16"/>
                <w:lang w:eastAsia="fr-FR"/>
              </w:rPr>
            </w:pPr>
            <w:r w:rsidRPr="00C258AD">
              <w:rPr>
                <w:i/>
                <w:iCs/>
                <w:sz w:val="16"/>
                <w:szCs w:val="16"/>
                <w:lang w:eastAsia="fr-FR"/>
              </w:rPr>
              <w:t>Dépenses</w:t>
            </w:r>
            <w:r w:rsidRPr="00C258AD">
              <w:rPr>
                <w:i/>
                <w:iCs/>
                <w:sz w:val="16"/>
                <w:szCs w:val="16"/>
                <w:lang w:eastAsia="fr-FR"/>
              </w:rPr>
              <w:br/>
              <w:t>2014</w:t>
            </w:r>
            <w:r w:rsidRPr="00C258AD">
              <w:rPr>
                <w:i/>
                <w:iCs/>
                <w:sz w:val="16"/>
                <w:szCs w:val="16"/>
                <w:lang w:eastAsia="fr-FR"/>
              </w:rPr>
              <w:noBreakHyphen/>
              <w:t>2015</w:t>
            </w:r>
          </w:p>
        </w:tc>
      </w:tr>
      <w:tr w:rsidR="00AD1FA5" w:rsidRPr="00C258AD" w:rsidTr="00A43BDE">
        <w:trPr>
          <w:cantSplit/>
        </w:trPr>
        <w:tc>
          <w:tcPr>
            <w:tcW w:w="522" w:type="dxa"/>
            <w:tcBorders>
              <w:top w:val="nil"/>
              <w:left w:val="single" w:sz="4" w:space="0" w:color="auto"/>
              <w:bottom w:val="nil"/>
              <w:right w:val="nil"/>
            </w:tcBorders>
            <w:shd w:val="clear" w:color="auto" w:fill="auto"/>
            <w:noWrap/>
            <w:vAlign w:val="center"/>
            <w:hideMark/>
          </w:tcPr>
          <w:p w:rsidR="00AD1FA5" w:rsidRPr="00C258AD" w:rsidRDefault="00AD1FA5" w:rsidP="00A43BDE">
            <w:pPr>
              <w:rPr>
                <w:sz w:val="16"/>
                <w:szCs w:val="16"/>
                <w:lang w:eastAsia="fr-FR"/>
              </w:rPr>
            </w:pPr>
            <w:r w:rsidRPr="00C258AD">
              <w:rPr>
                <w:sz w:val="16"/>
                <w:szCs w:val="16"/>
                <w:lang w:eastAsia="fr-FR"/>
              </w:rPr>
              <w:t>IX.4</w:t>
            </w:r>
          </w:p>
        </w:tc>
        <w:tc>
          <w:tcPr>
            <w:tcW w:w="4478" w:type="dxa"/>
            <w:tcBorders>
              <w:top w:val="nil"/>
              <w:left w:val="nil"/>
              <w:bottom w:val="nil"/>
              <w:right w:val="nil"/>
            </w:tcBorders>
            <w:shd w:val="clear" w:color="auto" w:fill="auto"/>
            <w:vAlign w:val="center"/>
            <w:hideMark/>
          </w:tcPr>
          <w:p w:rsidR="00AD1FA5" w:rsidRPr="00C258AD" w:rsidRDefault="00AD1FA5" w:rsidP="00A43BDE">
            <w:pPr>
              <w:rPr>
                <w:sz w:val="16"/>
                <w:szCs w:val="16"/>
                <w:lang w:eastAsia="fr-FR"/>
              </w:rPr>
            </w:pPr>
            <w:r w:rsidRPr="00C258AD">
              <w:rPr>
                <w:sz w:val="16"/>
                <w:szCs w:val="16"/>
                <w:lang w:eastAsia="fr-FR"/>
              </w:rPr>
              <w:t>Une Organisation écologiquement et socialement responsable assurant la sûreté et la sécurité du personnel, des délégués, des visiteurs, de l’information et des biens</w:t>
            </w:r>
          </w:p>
        </w:tc>
        <w:tc>
          <w:tcPr>
            <w:tcW w:w="1360" w:type="dxa"/>
            <w:tcBorders>
              <w:top w:val="nil"/>
              <w:left w:val="nil"/>
              <w:bottom w:val="nil"/>
              <w:right w:val="nil"/>
            </w:tcBorders>
            <w:shd w:val="clear" w:color="auto" w:fill="auto"/>
            <w:vAlign w:val="center"/>
            <w:hideMark/>
          </w:tcPr>
          <w:p w:rsidR="00AD1FA5" w:rsidRPr="00C258AD" w:rsidRDefault="00AD1FA5" w:rsidP="00A43BDE">
            <w:pPr>
              <w:jc w:val="right"/>
              <w:rPr>
                <w:sz w:val="16"/>
                <w:szCs w:val="16"/>
                <w:lang w:eastAsia="fr-FR"/>
              </w:rPr>
            </w:pPr>
            <w:r w:rsidRPr="00C258AD">
              <w:rPr>
                <w:sz w:val="16"/>
                <w:szCs w:val="16"/>
                <w:lang w:eastAsia="fr-FR"/>
              </w:rPr>
              <w:t>10 786</w:t>
            </w:r>
          </w:p>
        </w:tc>
        <w:tc>
          <w:tcPr>
            <w:tcW w:w="1360" w:type="dxa"/>
            <w:tcBorders>
              <w:top w:val="nil"/>
              <w:left w:val="nil"/>
              <w:bottom w:val="nil"/>
              <w:right w:val="nil"/>
            </w:tcBorders>
            <w:shd w:val="clear" w:color="auto" w:fill="auto"/>
            <w:vAlign w:val="center"/>
            <w:hideMark/>
          </w:tcPr>
          <w:p w:rsidR="00AD1FA5" w:rsidRPr="00C258AD" w:rsidRDefault="00AD1FA5" w:rsidP="00A43BDE">
            <w:pPr>
              <w:jc w:val="right"/>
              <w:rPr>
                <w:sz w:val="16"/>
                <w:szCs w:val="16"/>
                <w:lang w:eastAsia="fr-FR"/>
              </w:rPr>
            </w:pPr>
            <w:r w:rsidRPr="00C258AD">
              <w:rPr>
                <w:sz w:val="16"/>
                <w:szCs w:val="16"/>
                <w:lang w:eastAsia="fr-FR"/>
              </w:rPr>
              <w:t>11 604</w:t>
            </w:r>
          </w:p>
        </w:tc>
        <w:tc>
          <w:tcPr>
            <w:tcW w:w="1360" w:type="dxa"/>
            <w:tcBorders>
              <w:top w:val="nil"/>
              <w:left w:val="nil"/>
              <w:bottom w:val="nil"/>
              <w:right w:val="single" w:sz="4" w:space="0" w:color="auto"/>
            </w:tcBorders>
            <w:shd w:val="clear" w:color="auto" w:fill="auto"/>
            <w:vAlign w:val="center"/>
            <w:hideMark/>
          </w:tcPr>
          <w:p w:rsidR="00AD1FA5" w:rsidRPr="00C258AD" w:rsidRDefault="00AD1FA5" w:rsidP="00A43BDE">
            <w:pPr>
              <w:jc w:val="right"/>
              <w:rPr>
                <w:sz w:val="16"/>
                <w:szCs w:val="16"/>
                <w:lang w:eastAsia="fr-FR"/>
              </w:rPr>
            </w:pPr>
            <w:r w:rsidRPr="00C258AD">
              <w:rPr>
                <w:sz w:val="16"/>
                <w:szCs w:val="16"/>
                <w:lang w:eastAsia="fr-FR"/>
              </w:rPr>
              <w:t>11 272</w:t>
            </w:r>
          </w:p>
        </w:tc>
      </w:tr>
      <w:tr w:rsidR="00AD1FA5" w:rsidRPr="00C258AD" w:rsidTr="00A43BDE">
        <w:trPr>
          <w:cantSplit/>
        </w:trPr>
        <w:tc>
          <w:tcPr>
            <w:tcW w:w="522" w:type="dxa"/>
            <w:tcBorders>
              <w:top w:val="single" w:sz="4" w:space="0" w:color="auto"/>
              <w:left w:val="single" w:sz="4" w:space="0" w:color="auto"/>
              <w:bottom w:val="single" w:sz="4" w:space="0" w:color="auto"/>
              <w:right w:val="nil"/>
            </w:tcBorders>
            <w:shd w:val="clear" w:color="auto" w:fill="C5D9F1"/>
            <w:noWrap/>
            <w:vAlign w:val="bottom"/>
            <w:hideMark/>
          </w:tcPr>
          <w:p w:rsidR="00AD1FA5" w:rsidRPr="00C258AD" w:rsidRDefault="00AD1FA5" w:rsidP="00A43BDE">
            <w:pPr>
              <w:rPr>
                <w:sz w:val="16"/>
                <w:szCs w:val="16"/>
                <w:lang w:eastAsia="fr-FR"/>
              </w:rPr>
            </w:pPr>
            <w:r w:rsidRPr="00C258AD">
              <w:rPr>
                <w:sz w:val="16"/>
                <w:szCs w:val="16"/>
                <w:lang w:eastAsia="fr-FR"/>
              </w:rPr>
              <w:t> </w:t>
            </w:r>
          </w:p>
        </w:tc>
        <w:tc>
          <w:tcPr>
            <w:tcW w:w="4478" w:type="dxa"/>
            <w:tcBorders>
              <w:top w:val="single" w:sz="4" w:space="0" w:color="auto"/>
              <w:left w:val="nil"/>
              <w:bottom w:val="single" w:sz="4" w:space="0" w:color="auto"/>
              <w:right w:val="single" w:sz="4" w:space="0" w:color="auto"/>
            </w:tcBorders>
            <w:shd w:val="clear" w:color="auto" w:fill="C5D9F1"/>
            <w:noWrap/>
            <w:vAlign w:val="bottom"/>
            <w:hideMark/>
          </w:tcPr>
          <w:p w:rsidR="00AD1FA5" w:rsidRPr="00C258AD" w:rsidRDefault="00AD1FA5" w:rsidP="00A43BDE">
            <w:pPr>
              <w:rPr>
                <w:b/>
                <w:bCs/>
                <w:sz w:val="16"/>
                <w:szCs w:val="16"/>
                <w:lang w:eastAsia="fr-FR"/>
              </w:rPr>
            </w:pPr>
            <w:r w:rsidRPr="00C258AD">
              <w:rPr>
                <w:b/>
                <w:bCs/>
                <w:sz w:val="16"/>
                <w:szCs w:val="16"/>
                <w:lang w:eastAsia="fr-FR"/>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AD1FA5" w:rsidRPr="00C258AD" w:rsidRDefault="00AD1FA5" w:rsidP="00A43BDE">
            <w:pPr>
              <w:jc w:val="right"/>
              <w:rPr>
                <w:b/>
                <w:bCs/>
                <w:sz w:val="16"/>
                <w:szCs w:val="16"/>
                <w:lang w:eastAsia="fr-FR"/>
              </w:rPr>
            </w:pPr>
            <w:r w:rsidRPr="00C258AD">
              <w:rPr>
                <w:b/>
                <w:bCs/>
                <w:sz w:val="16"/>
                <w:szCs w:val="16"/>
                <w:lang w:eastAsia="fr-FR"/>
              </w:rPr>
              <w:t>10 786</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AD1FA5" w:rsidRPr="00C258AD" w:rsidRDefault="00AD1FA5" w:rsidP="00A43BDE">
            <w:pPr>
              <w:jc w:val="right"/>
              <w:rPr>
                <w:b/>
                <w:bCs/>
                <w:sz w:val="16"/>
                <w:szCs w:val="16"/>
                <w:lang w:eastAsia="fr-FR"/>
              </w:rPr>
            </w:pPr>
            <w:r w:rsidRPr="00C258AD">
              <w:rPr>
                <w:b/>
                <w:bCs/>
                <w:sz w:val="16"/>
                <w:szCs w:val="16"/>
                <w:lang w:eastAsia="fr-FR"/>
              </w:rPr>
              <w:t>11 604</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AD1FA5" w:rsidRPr="00C258AD" w:rsidRDefault="00AD1FA5" w:rsidP="00A43BDE">
            <w:pPr>
              <w:jc w:val="right"/>
              <w:rPr>
                <w:b/>
                <w:bCs/>
                <w:sz w:val="16"/>
                <w:szCs w:val="16"/>
                <w:lang w:eastAsia="fr-FR"/>
              </w:rPr>
            </w:pPr>
            <w:r w:rsidRPr="00C258AD">
              <w:rPr>
                <w:b/>
                <w:bCs/>
                <w:sz w:val="16"/>
                <w:szCs w:val="16"/>
                <w:lang w:eastAsia="fr-FR"/>
              </w:rPr>
              <w:t>11 272</w:t>
            </w:r>
          </w:p>
        </w:tc>
      </w:tr>
    </w:tbl>
    <w:p w:rsidR="006E2BB1" w:rsidRPr="00C258AD" w:rsidRDefault="006E2BB1" w:rsidP="00A43BDE"/>
    <w:p w:rsidR="006E2BB1" w:rsidRPr="00C258AD" w:rsidRDefault="006E2BB1" w:rsidP="00A43BDE"/>
    <w:p w:rsidR="006E2BB1" w:rsidRPr="00C258AD" w:rsidRDefault="00AD1FA5" w:rsidP="00A43BDE">
      <w:pPr>
        <w:pStyle w:val="NormalWeb"/>
        <w:keepNext/>
        <w:keepLines/>
        <w:spacing w:before="0" w:beforeAutospacing="0" w:after="0" w:afterAutospacing="0"/>
        <w:jc w:val="center"/>
        <w:rPr>
          <w:sz w:val="20"/>
          <w:szCs w:val="20"/>
        </w:rPr>
      </w:pPr>
      <w:r w:rsidRPr="00C258AD">
        <w:rPr>
          <w:sz w:val="20"/>
          <w:szCs w:val="20"/>
        </w:rPr>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AD1FA5" w:rsidP="00A43BDE">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AD1FA5" w:rsidRPr="00C258AD" w:rsidRDefault="00AD1FA5" w:rsidP="00A43BDE">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4"/>
        <w:gridCol w:w="1746"/>
        <w:gridCol w:w="1746"/>
        <w:gridCol w:w="1746"/>
      </w:tblGrid>
      <w:tr w:rsidR="00AD1FA5" w:rsidRPr="00C258AD" w:rsidTr="00A43BDE">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AD1FA5" w:rsidRPr="00C258AD" w:rsidRDefault="00AD1FA5" w:rsidP="00A43BDE">
            <w:pPr>
              <w:rPr>
                <w:sz w:val="16"/>
                <w:szCs w:val="18"/>
                <w:lang w:eastAsia="fr-FR"/>
              </w:rPr>
            </w:pPr>
            <w:r w:rsidRPr="00C258AD">
              <w:rPr>
                <w:sz w:val="16"/>
                <w:szCs w:val="18"/>
                <w:lang w:eastAsia="fr-FR"/>
              </w:rPr>
              <w:t> </w:t>
            </w:r>
          </w:p>
        </w:tc>
        <w:tc>
          <w:tcPr>
            <w:tcW w:w="1745" w:type="dxa"/>
            <w:tcBorders>
              <w:top w:val="single" w:sz="4" w:space="0" w:color="auto"/>
              <w:left w:val="nil"/>
              <w:bottom w:val="nil"/>
              <w:right w:val="single" w:sz="4" w:space="0" w:color="auto"/>
            </w:tcBorders>
            <w:shd w:val="clear" w:color="auto" w:fill="C5D9F1"/>
            <w:vAlign w:val="center"/>
            <w:hideMark/>
          </w:tcPr>
          <w:p w:rsidR="00AD1FA5" w:rsidRPr="00C258AD" w:rsidRDefault="00AD1FA5" w:rsidP="00A43BDE">
            <w:pPr>
              <w:jc w:val="center"/>
              <w:rPr>
                <w:b/>
                <w:bCs/>
                <w:sz w:val="16"/>
                <w:szCs w:val="18"/>
                <w:lang w:eastAsia="fr-FR"/>
              </w:rPr>
            </w:pPr>
            <w:r w:rsidRPr="00C258AD">
              <w:rPr>
                <w:b/>
                <w:bCs/>
                <w:sz w:val="16"/>
                <w:szCs w:val="18"/>
                <w:lang w:eastAsia="fr-FR"/>
              </w:rPr>
              <w:t>Budget 2014</w:t>
            </w:r>
            <w:r w:rsidRPr="00C258AD">
              <w:rPr>
                <w:b/>
                <w:bCs/>
                <w:sz w:val="16"/>
                <w:szCs w:val="18"/>
                <w:lang w:eastAsia="fr-FR"/>
              </w:rPr>
              <w:noBreakHyphen/>
              <w:t>2015 approuvé</w:t>
            </w:r>
          </w:p>
        </w:tc>
        <w:tc>
          <w:tcPr>
            <w:tcW w:w="1746" w:type="dxa"/>
            <w:tcBorders>
              <w:top w:val="single" w:sz="4" w:space="0" w:color="auto"/>
              <w:left w:val="nil"/>
              <w:bottom w:val="nil"/>
              <w:right w:val="single" w:sz="4" w:space="0" w:color="auto"/>
            </w:tcBorders>
            <w:shd w:val="clear" w:color="auto" w:fill="C5D9F1"/>
            <w:vAlign w:val="center"/>
            <w:hideMark/>
          </w:tcPr>
          <w:p w:rsidR="00AD1FA5" w:rsidRPr="00C258AD" w:rsidRDefault="00AD1FA5" w:rsidP="00A43BDE">
            <w:pPr>
              <w:jc w:val="center"/>
              <w:rPr>
                <w:b/>
                <w:bCs/>
                <w:sz w:val="16"/>
                <w:szCs w:val="18"/>
                <w:lang w:eastAsia="fr-FR"/>
              </w:rPr>
            </w:pPr>
            <w:r w:rsidRPr="00C258AD">
              <w:rPr>
                <w:b/>
                <w:bCs/>
                <w:sz w:val="16"/>
                <w:szCs w:val="18"/>
                <w:lang w:eastAsia="fr-FR"/>
              </w:rPr>
              <w:t>Budget final 2014</w:t>
            </w:r>
            <w:r w:rsidRPr="00C258AD">
              <w:rPr>
                <w:b/>
                <w:bCs/>
                <w:sz w:val="16"/>
                <w:szCs w:val="18"/>
                <w:lang w:eastAsia="fr-FR"/>
              </w:rPr>
              <w:noBreakHyphen/>
              <w:t>2015</w:t>
            </w:r>
            <w:r w:rsidRPr="00C258AD">
              <w:rPr>
                <w:b/>
                <w:bCs/>
                <w:sz w:val="16"/>
                <w:szCs w:val="18"/>
                <w:lang w:eastAsia="fr-FR"/>
              </w:rPr>
              <w:br/>
              <w:t>après virements</w:t>
            </w:r>
          </w:p>
        </w:tc>
        <w:tc>
          <w:tcPr>
            <w:tcW w:w="1746" w:type="dxa"/>
            <w:tcBorders>
              <w:top w:val="single" w:sz="4" w:space="0" w:color="auto"/>
              <w:left w:val="nil"/>
              <w:bottom w:val="nil"/>
              <w:right w:val="single" w:sz="4" w:space="0" w:color="auto"/>
            </w:tcBorders>
            <w:shd w:val="clear" w:color="auto" w:fill="C5D9F1"/>
            <w:vAlign w:val="center"/>
            <w:hideMark/>
          </w:tcPr>
          <w:p w:rsidR="00AD1FA5" w:rsidRPr="00C258AD" w:rsidRDefault="00AD1FA5" w:rsidP="00A43BDE">
            <w:pPr>
              <w:jc w:val="center"/>
              <w:rPr>
                <w:b/>
                <w:bCs/>
                <w:sz w:val="16"/>
                <w:szCs w:val="18"/>
                <w:lang w:eastAsia="fr-FR"/>
              </w:rPr>
            </w:pPr>
            <w:r w:rsidRPr="00C258AD">
              <w:rPr>
                <w:b/>
                <w:bCs/>
                <w:sz w:val="16"/>
                <w:szCs w:val="18"/>
                <w:lang w:eastAsia="fr-FR"/>
              </w:rPr>
              <w:t xml:space="preserve">Dépenses </w:t>
            </w:r>
            <w:r w:rsidRPr="00C258AD">
              <w:rPr>
                <w:b/>
                <w:bCs/>
                <w:sz w:val="16"/>
                <w:szCs w:val="18"/>
                <w:lang w:eastAsia="fr-FR"/>
              </w:rPr>
              <w:br/>
              <w:t>2014</w:t>
            </w:r>
            <w:r w:rsidRPr="00C258AD">
              <w:rPr>
                <w:b/>
                <w:bCs/>
                <w:sz w:val="16"/>
                <w:szCs w:val="18"/>
                <w:lang w:eastAsia="fr-FR"/>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AD1FA5" w:rsidRPr="00C258AD" w:rsidRDefault="00AD1FA5" w:rsidP="00A43BDE">
            <w:pPr>
              <w:jc w:val="center"/>
              <w:rPr>
                <w:b/>
                <w:bCs/>
                <w:sz w:val="16"/>
                <w:szCs w:val="18"/>
                <w:lang w:eastAsia="fr-FR"/>
              </w:rPr>
            </w:pPr>
            <w:r w:rsidRPr="00C258AD">
              <w:rPr>
                <w:b/>
                <w:bCs/>
                <w:sz w:val="16"/>
                <w:szCs w:val="18"/>
                <w:lang w:eastAsia="fr-FR"/>
              </w:rPr>
              <w:t>Taux d’utilisation (%)</w:t>
            </w:r>
          </w:p>
        </w:tc>
      </w:tr>
      <w:tr w:rsidR="00AD1FA5" w:rsidRPr="00C258AD" w:rsidTr="00A43BDE">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AD1FA5" w:rsidRPr="00C258AD" w:rsidRDefault="00AD1FA5" w:rsidP="00A43BDE">
            <w:pPr>
              <w:rPr>
                <w:sz w:val="16"/>
                <w:szCs w:val="18"/>
                <w:lang w:eastAsia="fr-FR"/>
              </w:rPr>
            </w:pPr>
            <w:r w:rsidRPr="00C258AD">
              <w:rPr>
                <w:sz w:val="16"/>
                <w:szCs w:val="18"/>
                <w:lang w:eastAsia="fr-FR"/>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sz w:val="16"/>
                <w:szCs w:val="18"/>
                <w:lang w:eastAsia="fr-FR"/>
              </w:rPr>
            </w:pPr>
            <w:r w:rsidRPr="00C258AD">
              <w:rPr>
                <w:sz w:val="16"/>
                <w:szCs w:val="18"/>
                <w:lang w:eastAsia="fr-FR"/>
              </w:rPr>
              <w:t>2 351</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sz w:val="16"/>
                <w:szCs w:val="18"/>
                <w:lang w:eastAsia="fr-FR"/>
              </w:rPr>
            </w:pPr>
            <w:r w:rsidRPr="00C258AD">
              <w:rPr>
                <w:sz w:val="16"/>
                <w:szCs w:val="18"/>
                <w:lang w:eastAsia="fr-FR"/>
              </w:rPr>
              <w:t>2 632</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sz w:val="16"/>
                <w:szCs w:val="18"/>
                <w:lang w:eastAsia="fr-FR"/>
              </w:rPr>
            </w:pPr>
            <w:r w:rsidRPr="00C258AD">
              <w:rPr>
                <w:sz w:val="16"/>
                <w:szCs w:val="18"/>
                <w:lang w:eastAsia="fr-FR"/>
              </w:rPr>
              <w:t>2 531</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sz w:val="16"/>
                <w:szCs w:val="18"/>
                <w:lang w:eastAsia="fr-FR"/>
              </w:rPr>
            </w:pPr>
            <w:r w:rsidRPr="00C258AD">
              <w:rPr>
                <w:sz w:val="16"/>
                <w:szCs w:val="18"/>
                <w:lang w:eastAsia="fr-FR"/>
              </w:rPr>
              <w:t>96%</w:t>
            </w:r>
          </w:p>
        </w:tc>
      </w:tr>
      <w:tr w:rsidR="00AD1FA5" w:rsidRPr="00C258AD" w:rsidTr="00A43BDE">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AD1FA5" w:rsidRPr="00C258AD" w:rsidRDefault="00AD1FA5" w:rsidP="00A43BDE">
            <w:pPr>
              <w:rPr>
                <w:sz w:val="16"/>
                <w:szCs w:val="18"/>
                <w:lang w:eastAsia="fr-FR"/>
              </w:rPr>
            </w:pPr>
            <w:r w:rsidRPr="00C258AD">
              <w:rPr>
                <w:sz w:val="16"/>
                <w:szCs w:val="18"/>
                <w:lang w:eastAsia="fr-FR"/>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sz w:val="16"/>
                <w:szCs w:val="18"/>
                <w:lang w:eastAsia="fr-FR"/>
              </w:rPr>
            </w:pPr>
            <w:r w:rsidRPr="00C258AD">
              <w:rPr>
                <w:sz w:val="16"/>
                <w:szCs w:val="18"/>
                <w:lang w:eastAsia="fr-FR"/>
              </w:rPr>
              <w:t>8 435</w:t>
            </w:r>
          </w:p>
        </w:tc>
        <w:tc>
          <w:tcPr>
            <w:tcW w:w="1746"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sz w:val="16"/>
                <w:szCs w:val="18"/>
                <w:lang w:eastAsia="fr-FR"/>
              </w:rPr>
            </w:pPr>
            <w:r w:rsidRPr="00C258AD">
              <w:rPr>
                <w:sz w:val="16"/>
                <w:szCs w:val="18"/>
                <w:lang w:eastAsia="fr-FR"/>
              </w:rPr>
              <w:t>8 973</w:t>
            </w:r>
          </w:p>
        </w:tc>
        <w:tc>
          <w:tcPr>
            <w:tcW w:w="1746"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sz w:val="16"/>
                <w:szCs w:val="18"/>
                <w:lang w:eastAsia="fr-FR"/>
              </w:rPr>
            </w:pPr>
            <w:r w:rsidRPr="00C258AD">
              <w:rPr>
                <w:sz w:val="16"/>
                <w:szCs w:val="18"/>
                <w:lang w:eastAsia="fr-FR"/>
              </w:rPr>
              <w:t>8 741</w:t>
            </w:r>
          </w:p>
        </w:tc>
        <w:tc>
          <w:tcPr>
            <w:tcW w:w="1746"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sz w:val="16"/>
                <w:szCs w:val="18"/>
                <w:lang w:eastAsia="fr-FR"/>
              </w:rPr>
            </w:pPr>
            <w:r w:rsidRPr="00C258AD">
              <w:rPr>
                <w:sz w:val="16"/>
                <w:szCs w:val="18"/>
                <w:lang w:eastAsia="fr-FR"/>
              </w:rPr>
              <w:t>97%</w:t>
            </w:r>
          </w:p>
        </w:tc>
      </w:tr>
      <w:tr w:rsidR="00AD1FA5" w:rsidRPr="00C258AD" w:rsidTr="00A43BDE">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AD1FA5" w:rsidRPr="00C258AD" w:rsidRDefault="00AD1FA5" w:rsidP="00A43BDE">
            <w:pPr>
              <w:jc w:val="right"/>
              <w:rPr>
                <w:b/>
                <w:bCs/>
                <w:sz w:val="16"/>
                <w:szCs w:val="18"/>
                <w:lang w:eastAsia="fr-FR"/>
              </w:rPr>
            </w:pPr>
            <w:r w:rsidRPr="00C258AD">
              <w:rPr>
                <w:b/>
                <w:bCs/>
                <w:sz w:val="16"/>
                <w:szCs w:val="18"/>
                <w:lang w:eastAsia="fr-FR"/>
              </w:rPr>
              <w:t>TOTAL</w:t>
            </w:r>
          </w:p>
        </w:tc>
        <w:tc>
          <w:tcPr>
            <w:tcW w:w="1745"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b/>
                <w:bCs/>
                <w:sz w:val="16"/>
                <w:szCs w:val="18"/>
                <w:lang w:eastAsia="fr-FR"/>
              </w:rPr>
            </w:pPr>
            <w:r w:rsidRPr="00C258AD">
              <w:rPr>
                <w:b/>
                <w:bCs/>
                <w:sz w:val="16"/>
                <w:szCs w:val="18"/>
                <w:lang w:eastAsia="fr-FR"/>
              </w:rPr>
              <w:t>10 786</w:t>
            </w:r>
          </w:p>
        </w:tc>
        <w:tc>
          <w:tcPr>
            <w:tcW w:w="1746"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b/>
                <w:bCs/>
                <w:sz w:val="16"/>
                <w:szCs w:val="18"/>
                <w:lang w:eastAsia="fr-FR"/>
              </w:rPr>
            </w:pPr>
            <w:r w:rsidRPr="00C258AD">
              <w:rPr>
                <w:b/>
                <w:bCs/>
                <w:sz w:val="16"/>
                <w:szCs w:val="18"/>
                <w:lang w:eastAsia="fr-FR"/>
              </w:rPr>
              <w:t>11 604</w:t>
            </w:r>
          </w:p>
        </w:tc>
        <w:tc>
          <w:tcPr>
            <w:tcW w:w="1746"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b/>
                <w:bCs/>
                <w:sz w:val="16"/>
                <w:szCs w:val="18"/>
                <w:lang w:eastAsia="fr-FR"/>
              </w:rPr>
            </w:pPr>
            <w:r w:rsidRPr="00C258AD">
              <w:rPr>
                <w:b/>
                <w:bCs/>
                <w:sz w:val="16"/>
                <w:szCs w:val="18"/>
                <w:lang w:eastAsia="fr-FR"/>
              </w:rPr>
              <w:t>11 272</w:t>
            </w:r>
          </w:p>
        </w:tc>
        <w:tc>
          <w:tcPr>
            <w:tcW w:w="1746"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b/>
                <w:bCs/>
                <w:sz w:val="16"/>
                <w:szCs w:val="18"/>
                <w:lang w:eastAsia="fr-FR"/>
              </w:rPr>
            </w:pPr>
            <w:r w:rsidRPr="00C258AD">
              <w:rPr>
                <w:b/>
                <w:bCs/>
                <w:sz w:val="16"/>
                <w:szCs w:val="18"/>
                <w:lang w:eastAsia="fr-FR"/>
              </w:rPr>
              <w:t>97%</w:t>
            </w:r>
          </w:p>
        </w:tc>
      </w:tr>
    </w:tbl>
    <w:p w:rsidR="006E2BB1" w:rsidRPr="00C258AD" w:rsidRDefault="006E2BB1" w:rsidP="00A43BDE">
      <w:pPr>
        <w:widowControl w:val="0"/>
        <w:autoSpaceDE w:val="0"/>
        <w:autoSpaceDN w:val="0"/>
        <w:adjustRightInd w:val="0"/>
        <w:jc w:val="both"/>
      </w:pPr>
    </w:p>
    <w:p w:rsidR="006E2BB1" w:rsidRPr="00C258AD" w:rsidRDefault="006E2BB1" w:rsidP="00A43BDE">
      <w:pPr>
        <w:widowControl w:val="0"/>
        <w:autoSpaceDE w:val="0"/>
        <w:autoSpaceDN w:val="0"/>
        <w:adjustRightInd w:val="0"/>
        <w:jc w:val="both"/>
      </w:pPr>
    </w:p>
    <w:p w:rsidR="006E2BB1" w:rsidRPr="00C258AD" w:rsidRDefault="00AD1FA5" w:rsidP="00A43BDE">
      <w:pPr>
        <w:rPr>
          <w:u w:val="single"/>
        </w:rPr>
      </w:pPr>
      <w:r w:rsidRPr="00C258AD">
        <w:t>A.</w:t>
      </w:r>
      <w:r w:rsidRPr="00C258AD">
        <w:tab/>
      </w:r>
      <w:r w:rsidRPr="00C258AD">
        <w:rPr>
          <w:bCs/>
          <w:u w:val="single"/>
        </w:rPr>
        <w:t>Budget final 2014</w:t>
      </w:r>
      <w:r w:rsidRPr="00C258AD">
        <w:rPr>
          <w:bCs/>
          <w:u w:val="single"/>
        </w:rPr>
        <w:noBreakHyphen/>
        <w:t>2015 après virements</w:t>
      </w:r>
    </w:p>
    <w:p w:rsidR="006E2BB1" w:rsidRPr="00C258AD" w:rsidRDefault="006E2BB1" w:rsidP="00A43BDE">
      <w:pPr>
        <w:rPr>
          <w:u w:val="single"/>
        </w:rPr>
      </w:pPr>
    </w:p>
    <w:p w:rsidR="006E2BB1" w:rsidRPr="00C258AD" w:rsidRDefault="00AD1FA5" w:rsidP="00E472AA">
      <w:pPr>
        <w:pStyle w:val="ListParagraph"/>
        <w:numPr>
          <w:ilvl w:val="0"/>
          <w:numId w:val="88"/>
        </w:numPr>
        <w:tabs>
          <w:tab w:val="left" w:pos="709"/>
        </w:tabs>
        <w:ind w:left="0" w:firstLine="0"/>
        <w:jc w:val="both"/>
        <w:rPr>
          <w:bCs/>
        </w:rPr>
      </w:pPr>
      <w:r w:rsidRPr="00C258AD">
        <w:rPr>
          <w:bCs/>
        </w:rPr>
        <w:t>L’augmentation nette des ressources autres que les ressources de personnel dans le budget final après virements pour 2014</w:t>
      </w:r>
      <w:r w:rsidRPr="00C258AD">
        <w:rPr>
          <w:bCs/>
        </w:rPr>
        <w:noBreakHyphen/>
        <w:t>2015 était principalement due à l’affectation de ressources supplémentaires pour couvrir les coûts liés aux éléments suivants : i) un module destiné aux supérieurs hiérarchiques et reliant les systèmes de sécurité électroniques;  ii) l’augmentation du contrôle et de la surveillance du bâtiment CAM de l’OMPI (contrôle d’accès, amélioration des portes coupe</w:t>
      </w:r>
      <w:r w:rsidRPr="00C258AD">
        <w:rPr>
          <w:bCs/>
        </w:rPr>
        <w:noBreakHyphen/>
        <w:t>feu et des détecteurs d’incendie et installation d’un système de caméras en circuit fermé);  iii) la présence accrue des gardes de sécurité en raison d’événements imprévus;  iv) le renforcement de la sûreté et de la sécurité dans les bureaux extérieurs de l’OMPI;  et v) l’installation d’une barrière anti</w:t>
      </w:r>
      <w:r w:rsidRPr="00C258AD">
        <w:rPr>
          <w:bCs/>
        </w:rPr>
        <w:noBreakHyphen/>
        <w:t>intrusion sur mesure en dessous de la nouvelle salle de conférence.</w:t>
      </w:r>
    </w:p>
    <w:p w:rsidR="006E2BB1" w:rsidRPr="00C258AD" w:rsidRDefault="006E2BB1" w:rsidP="00A43BDE"/>
    <w:p w:rsidR="006E2BB1" w:rsidRPr="00C258AD" w:rsidRDefault="00AD1FA5" w:rsidP="00E472AA">
      <w:pPr>
        <w:pStyle w:val="ListParagraph"/>
        <w:numPr>
          <w:ilvl w:val="0"/>
          <w:numId w:val="88"/>
        </w:numPr>
        <w:tabs>
          <w:tab w:val="left" w:pos="709"/>
        </w:tabs>
        <w:ind w:left="0" w:firstLine="0"/>
        <w:jc w:val="both"/>
        <w:rPr>
          <w:bCs/>
        </w:rPr>
      </w:pPr>
      <w:r w:rsidRPr="00C258AD">
        <w:rPr>
          <w:bCs/>
        </w:rPr>
        <w:lastRenderedPageBreak/>
        <w:t>L’augmentation globale des ressources en personnel dans le budget final après virements pour 2014</w:t>
      </w:r>
      <w:r w:rsidRPr="00C258AD">
        <w:rPr>
          <w:bCs/>
        </w:rPr>
        <w:noBreakHyphen/>
        <w:t>2015 est le résultat net, d’une part, de la création d’un poste d’administrateur aux opérations de sécurité et d’un poste temporaire pour l’aide à la maintenance des systèmes et équipements liés à la sûreté et des mesures destinées à assurer une plus grande conformité avec les normes minimales de sécurité au siège des organisations du système des Nations Unies (H</w:t>
      </w:r>
      <w:r w:rsidRPr="00C258AD">
        <w:rPr>
          <w:bCs/>
        </w:rPr>
        <w:noBreakHyphen/>
        <w:t>MOSS) et, d’autre part;  i) le reclassement à la baisse d’un poste;  et ii) le transfert de ressources aux ressources autres que personnel pour un service contractuel de personne afin de renforcer le Service de coordination de la sûreté et de la sécurité.</w:t>
      </w:r>
    </w:p>
    <w:p w:rsidR="006E2BB1" w:rsidRPr="00C258AD" w:rsidRDefault="006E2BB1" w:rsidP="00A43BDE">
      <w:pPr>
        <w:autoSpaceDE w:val="0"/>
        <w:autoSpaceDN w:val="0"/>
        <w:jc w:val="both"/>
        <w:rPr>
          <w:lang w:eastAsia="ko-KR"/>
        </w:rPr>
      </w:pPr>
    </w:p>
    <w:p w:rsidR="006E2BB1" w:rsidRPr="00C258AD" w:rsidRDefault="006E2BB1" w:rsidP="00A43BDE">
      <w:pPr>
        <w:autoSpaceDE w:val="0"/>
        <w:autoSpaceDN w:val="0"/>
        <w:jc w:val="both"/>
        <w:rPr>
          <w:lang w:eastAsia="ko-KR"/>
        </w:rPr>
      </w:pPr>
    </w:p>
    <w:p w:rsidR="006E2BB1" w:rsidRPr="00C258AD" w:rsidRDefault="00AD1FA5" w:rsidP="00A43BDE">
      <w:pPr>
        <w:jc w:val="both"/>
        <w:rPr>
          <w:u w:val="single"/>
          <w:lang w:eastAsia="ko-KR"/>
        </w:rPr>
      </w:pPr>
      <w:r w:rsidRPr="00C258AD">
        <w:rPr>
          <w:lang w:eastAsia="ko-KR"/>
        </w:rPr>
        <w:t>B.</w:t>
      </w:r>
      <w:r w:rsidRPr="00C258AD">
        <w:rPr>
          <w:lang w:eastAsia="ko-KR"/>
        </w:rPr>
        <w:tab/>
      </w:r>
      <w:r w:rsidRPr="00C258AD">
        <w:rPr>
          <w:bCs/>
          <w:u w:val="single"/>
          <w:lang w:eastAsia="ko-KR"/>
        </w:rPr>
        <w:t>Utilisation du budget en 2014</w:t>
      </w:r>
      <w:r w:rsidR="00E82DE1">
        <w:rPr>
          <w:bCs/>
          <w:u w:val="single"/>
          <w:lang w:eastAsia="ko-KR"/>
        </w:rPr>
        <w:noBreakHyphen/>
        <w:t>2015</w:t>
      </w:r>
    </w:p>
    <w:p w:rsidR="006E2BB1" w:rsidRPr="00C258AD" w:rsidRDefault="006E2BB1" w:rsidP="00A43BDE">
      <w:pPr>
        <w:tabs>
          <w:tab w:val="left" w:pos="3769"/>
        </w:tabs>
        <w:autoSpaceDE w:val="0"/>
        <w:autoSpaceDN w:val="0"/>
        <w:jc w:val="both"/>
      </w:pPr>
    </w:p>
    <w:p w:rsidR="006E2BB1" w:rsidRPr="00C258AD" w:rsidRDefault="00AD1FA5" w:rsidP="00E472AA">
      <w:pPr>
        <w:pStyle w:val="ListParagraph"/>
        <w:numPr>
          <w:ilvl w:val="0"/>
          <w:numId w:val="88"/>
        </w:numPr>
        <w:tabs>
          <w:tab w:val="left" w:pos="709"/>
        </w:tabs>
        <w:ind w:left="0" w:firstLine="0"/>
        <w:jc w:val="both"/>
      </w:pPr>
      <w:r w:rsidRPr="00C258AD">
        <w:t>L’utilisation du budget se situe dans la fourchette prévue pour l’exercice biennal.</w:t>
      </w:r>
    </w:p>
    <w:p w:rsidR="006E2BB1" w:rsidRPr="00C258AD" w:rsidRDefault="00AD1FA5">
      <w:pPr>
        <w:spacing w:after="200" w:line="276" w:lineRule="auto"/>
        <w:rPr>
          <w:lang w:eastAsia="ko-KR"/>
        </w:rPr>
      </w:pPr>
      <w:r w:rsidRPr="00C258AD">
        <w:rPr>
          <w:lang w:eastAsia="ko-KR"/>
        </w:rPr>
        <w:br w:type="page"/>
      </w:r>
    </w:p>
    <w:p w:rsidR="006E2BB1" w:rsidRPr="00C258AD" w:rsidRDefault="00AD1FA5" w:rsidP="00305CE5">
      <w:pPr>
        <w:pStyle w:val="Heading3"/>
      </w:pPr>
      <w:bookmarkStart w:id="174" w:name="_Toc422404255"/>
      <w:bookmarkStart w:id="175" w:name="_Toc423352903"/>
      <w:bookmarkStart w:id="176" w:name="_Toc455394216"/>
      <w:r w:rsidRPr="00C258AD">
        <w:lastRenderedPageBreak/>
        <w:t>Programme 29</w:t>
      </w:r>
      <w:r w:rsidRPr="00C258AD">
        <w:tab/>
        <w:t>Projets de construction</w:t>
      </w:r>
      <w:bookmarkEnd w:id="174"/>
      <w:bookmarkEnd w:id="175"/>
      <w:r w:rsidRPr="00C258AD">
        <w:t>s</w:t>
      </w:r>
      <w:bookmarkEnd w:id="176"/>
    </w:p>
    <w:p w:rsidR="006E2BB1" w:rsidRPr="00C258AD" w:rsidRDefault="006E2BB1" w:rsidP="00A43BDE"/>
    <w:p w:rsidR="006E2BB1" w:rsidRPr="00C258AD" w:rsidRDefault="00AD1FA5" w:rsidP="00A43BDE">
      <w:pPr>
        <w:rPr>
          <w:b/>
        </w:rPr>
      </w:pPr>
      <w:r w:rsidRPr="00C258AD">
        <w:rPr>
          <w:b/>
        </w:rPr>
        <w:t>Chef de programme</w:t>
      </w:r>
      <w:r w:rsidRPr="00C258AD">
        <w:rPr>
          <w:b/>
        </w:rPr>
        <w:tab/>
        <w:t>M. A. Sundaram</w:t>
      </w:r>
    </w:p>
    <w:p w:rsidR="006E2BB1" w:rsidRPr="00C258AD" w:rsidRDefault="006E2BB1" w:rsidP="00A43BDE"/>
    <w:p w:rsidR="006E2BB1" w:rsidRPr="00C258AD" w:rsidRDefault="006E2BB1" w:rsidP="00A43BDE"/>
    <w:p w:rsidR="006E2BB1" w:rsidRPr="00C258AD" w:rsidRDefault="00AD1FA5" w:rsidP="00305CE5">
      <w:pPr>
        <w:keepNext/>
        <w:rPr>
          <w:rFonts w:cs="Arial"/>
          <w:caps/>
          <w:sz w:val="22"/>
          <w:szCs w:val="22"/>
        </w:rPr>
      </w:pPr>
      <w:r w:rsidRPr="00C258AD">
        <w:rPr>
          <w:rFonts w:cs="Arial"/>
          <w:caps/>
          <w:sz w:val="22"/>
          <w:szCs w:val="22"/>
        </w:rPr>
        <w:t>Réalisations au cours de l’exercice biennal 2014</w:t>
      </w:r>
      <w:r w:rsidRPr="00C258AD">
        <w:rPr>
          <w:rFonts w:cs="Arial"/>
          <w:caps/>
          <w:sz w:val="22"/>
          <w:szCs w:val="22"/>
        </w:rPr>
        <w:noBreakHyphen/>
        <w:t>2015</w:t>
      </w:r>
    </w:p>
    <w:p w:rsidR="006E2BB1" w:rsidRPr="00C258AD" w:rsidRDefault="006E2BB1" w:rsidP="00A43BDE"/>
    <w:p w:rsidR="006E2BB1" w:rsidRPr="00C258AD" w:rsidRDefault="00AD1FA5" w:rsidP="00A43BDE">
      <w:pPr>
        <w:jc w:val="both"/>
      </w:pPr>
      <w:r w:rsidRPr="00C258AD">
        <w:t>NOUVEAU PROJET DE CONSTRUCTION</w:t>
      </w:r>
    </w:p>
    <w:p w:rsidR="006E2BB1" w:rsidRPr="00C258AD" w:rsidRDefault="006E2BB1" w:rsidP="00A43BDE">
      <w:pPr>
        <w:jc w:val="both"/>
      </w:pPr>
    </w:p>
    <w:p w:rsidR="006E2BB1" w:rsidRPr="00C258AD" w:rsidRDefault="00AD1FA5" w:rsidP="00DF2EEF">
      <w:pPr>
        <w:pStyle w:val="ListParagraph"/>
        <w:numPr>
          <w:ilvl w:val="0"/>
          <w:numId w:val="95"/>
        </w:numPr>
        <w:tabs>
          <w:tab w:val="left" w:pos="709"/>
        </w:tabs>
        <w:ind w:left="0" w:firstLine="0"/>
        <w:jc w:val="both"/>
      </w:pPr>
      <w:r w:rsidRPr="00C258AD">
        <w:t>Toutes les réparations et tous les travaux de remplacement et de finition en suspens, qui avaient démarré à la mi</w:t>
      </w:r>
      <w:r w:rsidRPr="00C258AD">
        <w:noBreakHyphen/>
        <w:t>2011 après la livraison du Nouveau Bâtiment par l’ancien entrepreneur général, étaient terminés à la fin de 2015.  Le remplacement des fenêtres du rez</w:t>
      </w:r>
      <w:r w:rsidRPr="00C258AD">
        <w:noBreakHyphen/>
        <w:t>de</w:t>
      </w:r>
      <w:r w:rsidRPr="00C258AD">
        <w:noBreakHyphen/>
        <w:t>chaussée planifié en 2014 a été mis en œuvre après la saison hivernale, c’est</w:t>
      </w:r>
      <w:r w:rsidRPr="00C258AD">
        <w:noBreakHyphen/>
        <w:t>à</w:t>
      </w:r>
      <w:r w:rsidRPr="00C258AD">
        <w:noBreakHyphen/>
        <w:t>dire à partir de juin 2015, immédiatement après la tenue de la conférence diplomatique, et a duré jusqu’à la fin de 2015.  Le processus de résiliation à l’amiable du contrat conclu avec l’ancien entrepreneur général débuté en juillet 2012 a été définitivement clos à la fin du mois d’août 2014, mettant un terme à toutes les questions restées en suspens au sujet des travaux de substitution relatifs au Nouveau Bâtiment.  Il convient de noter que l’OMPI disposait des fonds suffisants pour couvrir le coût de ces travaux et que le Secrétariat n’a pas eu besoin de recourir à une procédure juridique ou à un mécanisme de règlement des litiges qui aurait pu être long pour parvenir à ces résultats.</w:t>
      </w:r>
    </w:p>
    <w:p w:rsidR="006E2BB1" w:rsidRPr="00C258AD" w:rsidRDefault="006E2BB1" w:rsidP="00A43BDE">
      <w:pPr>
        <w:rPr>
          <w:bCs/>
          <w:szCs w:val="20"/>
        </w:rPr>
      </w:pPr>
    </w:p>
    <w:p w:rsidR="006E2BB1" w:rsidRPr="00C258AD" w:rsidRDefault="00AD1FA5" w:rsidP="00A43BDE">
      <w:pPr>
        <w:jc w:val="both"/>
      </w:pPr>
      <w:r w:rsidRPr="00C258AD">
        <w:t>PROJET DE LA NOUVELLE SALLE DE CONFÉRENCE</w:t>
      </w:r>
    </w:p>
    <w:p w:rsidR="006E2BB1" w:rsidRPr="00C258AD" w:rsidRDefault="006E2BB1" w:rsidP="00A43BDE">
      <w:pPr>
        <w:jc w:val="both"/>
      </w:pPr>
    </w:p>
    <w:p w:rsidR="006E2BB1" w:rsidRPr="00C258AD" w:rsidRDefault="00AD1FA5" w:rsidP="00DF2EEF">
      <w:pPr>
        <w:pStyle w:val="ListParagraph"/>
        <w:numPr>
          <w:ilvl w:val="0"/>
          <w:numId w:val="95"/>
        </w:numPr>
        <w:tabs>
          <w:tab w:val="left" w:pos="709"/>
        </w:tabs>
        <w:ind w:left="0" w:firstLine="0"/>
        <w:jc w:val="both"/>
      </w:pPr>
      <w:r w:rsidRPr="00C258AD">
        <w:t>Dans le cadre de la résiliation susmentionnée, l’ancien entrepreneur général a remboursé à l’OMPI le solde définitif qu’il devait au titre du projet.  Rappelons qu’en août 2012, le Secrétariat avait pris la responsabilité directe du projet avec des mandats renforcés pour les architectes, les ingénieurs et le pilote du projet et avait apporté des modifications dans la gouvernance interne et la structure de gestion du projet, afin de gagner en flexibilité et d’aborder de manière dynamique et opportune un certain nombre de modifications du projet et de questions imprévues identifiées lors de son exécution.  Le projet a été livré en plusieurs étapes, divers tests techniques et tests système ayant été réalisés en parallèle par secteur.  Le nouveau centre d’accès a été livré en juillet 2014;  l’aménagement extérieur entre le Nouveau Bâtiment, la nouvelle salle de conférence de l’OMPI et le bâtiment AB a été livré en août;  la nouvelle salle de conférence de l’OMPI à proprement parler a été livrée fin août et était disponible pour la session du PBC tenue du 1</w:t>
      </w:r>
      <w:r w:rsidRPr="00C258AD">
        <w:rPr>
          <w:vertAlign w:val="superscript"/>
        </w:rPr>
        <w:t>er</w:t>
      </w:r>
      <w:r w:rsidRPr="00C258AD">
        <w:t> au 5 septembre 2014;  la construction de la nouvelle salle de conférence et la rénovation de trois étages du bâtiment AB ont été intégralement achevées en septembre et le tout a été mis à disposition pour les assemblées des États membres de l’OMPI du 22 au 30 septembre 2014, ce qui incluait l’inauguration de la salle le jour de l’ouverture en présence de fonctionnaires du pays hôte (de niveau fédéral, cantonal et municipal), de représentants d’autres institutions des Nations Unies et des quelque 70 entreprises et sociétés ayant contribué à la construction et à l’achèvement du projet, ainsi que des États membres de l’OMPI et des observateurs.  Un certain nombre d’éléments de l’aménagement extérieur devaient être réalisés au cours de l’année 2015.  La nouvelle salle de conférence de l’OMPI et les installations adjacentes nouvelles ou rénovées ont été utilisées en plusieurs occasions depuis fin 2014 pour des réunions des États membres de l’OMPI et d’autres réunions, et ont été louées à des États membres ou à d’autres entités.  Le projet s’est achevé dans les délais pour les assemblées de l’OMPI, même s’il a été retardé d’avril à septembre 2014 en raison de la complexité du travail, notamment lors des derniers mois.  La validation des comptes de clôture s’est terminée fin 2014 pour certaines entreprises et sociétés et fin 2015 pour la majorité des comptes en suspens, un petit nombre de comptes seulement restant à clôturer au début de 2016.</w:t>
      </w:r>
    </w:p>
    <w:p w:rsidR="006E2BB1" w:rsidRPr="00C258AD" w:rsidRDefault="006E2BB1" w:rsidP="00A43BDE">
      <w:pPr>
        <w:rPr>
          <w:bCs/>
          <w:szCs w:val="20"/>
        </w:rPr>
      </w:pPr>
    </w:p>
    <w:p w:rsidR="006E2BB1" w:rsidRPr="00C258AD" w:rsidRDefault="006E2BB1" w:rsidP="00A43BDE">
      <w:pPr>
        <w:rPr>
          <w:bCs/>
          <w:szCs w:val="20"/>
        </w:rPr>
      </w:pPr>
    </w:p>
    <w:p w:rsidR="006E2BB1" w:rsidRPr="00C258AD" w:rsidRDefault="00AD1FA5" w:rsidP="00305CE5">
      <w:pPr>
        <w:keepNext/>
        <w:rPr>
          <w:rFonts w:cs="Arial"/>
          <w:caps/>
          <w:sz w:val="22"/>
          <w:szCs w:val="22"/>
        </w:rPr>
      </w:pPr>
      <w:r w:rsidRPr="00C258AD">
        <w:rPr>
          <w:rFonts w:cs="Arial"/>
          <w:caps/>
          <w:sz w:val="22"/>
          <w:szCs w:val="22"/>
        </w:rPr>
        <w:br w:type="page"/>
      </w:r>
      <w:r w:rsidRPr="00C258AD">
        <w:rPr>
          <w:rFonts w:cs="Arial"/>
          <w:caps/>
          <w:sz w:val="22"/>
          <w:szCs w:val="22"/>
        </w:rPr>
        <w:lastRenderedPageBreak/>
        <w:t>Données relatives à l’exécution</w:t>
      </w:r>
    </w:p>
    <w:p w:rsidR="00AD1FA5" w:rsidRPr="00C258AD" w:rsidRDefault="00AD1FA5" w:rsidP="00A43BDE"/>
    <w:tbl>
      <w:tblPr>
        <w:tblW w:w="5000" w:type="pct"/>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2099"/>
        <w:gridCol w:w="197"/>
        <w:gridCol w:w="1585"/>
        <w:gridCol w:w="1439"/>
        <w:gridCol w:w="57"/>
        <w:gridCol w:w="2673"/>
        <w:gridCol w:w="1441"/>
      </w:tblGrid>
      <w:tr w:rsidR="00AD1FA5" w:rsidRPr="00C258AD" w:rsidTr="00A43BDE">
        <w:trPr>
          <w:cantSplit/>
        </w:trPr>
        <w:tc>
          <w:tcPr>
            <w:tcW w:w="5000" w:type="pct"/>
            <w:gridSpan w:val="7"/>
            <w:tcBorders>
              <w:top w:val="single" w:sz="4" w:space="0" w:color="auto"/>
              <w:bottom w:val="single" w:sz="4" w:space="0" w:color="auto"/>
            </w:tcBorders>
            <w:shd w:val="clear" w:color="auto" w:fill="C5D9F1"/>
            <w:vAlign w:val="center"/>
          </w:tcPr>
          <w:p w:rsidR="00AD1FA5" w:rsidRPr="00C258AD" w:rsidRDefault="00AD1FA5" w:rsidP="00A43BDE">
            <w:pPr>
              <w:rPr>
                <w:bCs/>
                <w:szCs w:val="16"/>
              </w:rPr>
            </w:pPr>
            <w:r w:rsidRPr="00C258AD">
              <w:rPr>
                <w:b/>
                <w:sz w:val="16"/>
              </w:rPr>
              <w:t>Résultat escompté :</w:t>
            </w:r>
            <w:r w:rsidRPr="00C258AD">
              <w:rPr>
                <w:sz w:val="16"/>
              </w:rPr>
              <w:t xml:space="preserve"> IX.1 Services d’appui efficaces, efficients, de qualité et tournés vers la clientèle, à l’intention à la fois des clients internes et des parties prenantes externes</w:t>
            </w:r>
          </w:p>
        </w:tc>
      </w:tr>
      <w:tr w:rsidR="00AD1FA5" w:rsidRPr="00C258AD" w:rsidTr="00A43BDE">
        <w:trPr>
          <w:cantSplit/>
        </w:trPr>
        <w:tc>
          <w:tcPr>
            <w:tcW w:w="1210" w:type="pct"/>
            <w:gridSpan w:val="2"/>
            <w:tcBorders>
              <w:top w:val="single" w:sz="4" w:space="0" w:color="auto"/>
            </w:tcBorders>
            <w:shd w:val="clear" w:color="auto" w:fill="auto"/>
            <w:vAlign w:val="center"/>
          </w:tcPr>
          <w:p w:rsidR="00AD1FA5" w:rsidRPr="00C258AD" w:rsidRDefault="00AD1FA5" w:rsidP="00A43BDE">
            <w:pPr>
              <w:jc w:val="center"/>
              <w:rPr>
                <w:b/>
                <w:sz w:val="16"/>
                <w:szCs w:val="16"/>
              </w:rPr>
            </w:pPr>
            <w:r w:rsidRPr="00C258AD">
              <w:rPr>
                <w:b/>
                <w:sz w:val="16"/>
              </w:rPr>
              <w:t>Indicateurs d’exécution</w:t>
            </w:r>
          </w:p>
        </w:tc>
        <w:tc>
          <w:tcPr>
            <w:tcW w:w="835" w:type="pct"/>
            <w:tcBorders>
              <w:top w:val="single" w:sz="4" w:space="0" w:color="auto"/>
            </w:tcBorders>
            <w:shd w:val="clear" w:color="auto" w:fill="auto"/>
            <w:vAlign w:val="center"/>
          </w:tcPr>
          <w:p w:rsidR="00AD1FA5" w:rsidRPr="00C258AD" w:rsidRDefault="00AD1FA5" w:rsidP="00A43BDE">
            <w:pPr>
              <w:jc w:val="center"/>
              <w:rPr>
                <w:b/>
                <w:bCs/>
                <w:sz w:val="16"/>
                <w:szCs w:val="16"/>
              </w:rPr>
            </w:pPr>
            <w:r w:rsidRPr="00C258AD">
              <w:rPr>
                <w:b/>
                <w:sz w:val="16"/>
              </w:rPr>
              <w:t>Niveaux de référence</w:t>
            </w:r>
          </w:p>
        </w:tc>
        <w:tc>
          <w:tcPr>
            <w:tcW w:w="788" w:type="pct"/>
            <w:gridSpan w:val="2"/>
            <w:tcBorders>
              <w:top w:val="single" w:sz="4" w:space="0" w:color="auto"/>
            </w:tcBorders>
            <w:shd w:val="clear" w:color="auto" w:fill="auto"/>
            <w:tcMar>
              <w:top w:w="110" w:type="dxa"/>
            </w:tcMar>
            <w:vAlign w:val="center"/>
          </w:tcPr>
          <w:p w:rsidR="00AD1FA5" w:rsidRPr="00C258AD" w:rsidRDefault="00AD1FA5" w:rsidP="00A43BDE">
            <w:pPr>
              <w:jc w:val="center"/>
              <w:rPr>
                <w:b/>
                <w:sz w:val="16"/>
                <w:szCs w:val="16"/>
              </w:rPr>
            </w:pPr>
            <w:r w:rsidRPr="00C258AD">
              <w:rPr>
                <w:b/>
                <w:sz w:val="16"/>
              </w:rPr>
              <w:t>Objectifs visés</w:t>
            </w:r>
          </w:p>
        </w:tc>
        <w:tc>
          <w:tcPr>
            <w:tcW w:w="1408" w:type="pct"/>
            <w:tcBorders>
              <w:top w:val="single" w:sz="4" w:space="0" w:color="auto"/>
            </w:tcBorders>
            <w:shd w:val="clear" w:color="auto" w:fill="FFFFFF"/>
            <w:tcMar>
              <w:top w:w="110" w:type="dxa"/>
            </w:tcMar>
            <w:vAlign w:val="center"/>
          </w:tcPr>
          <w:p w:rsidR="00AD1FA5" w:rsidRPr="00C258AD" w:rsidRDefault="00AD1FA5" w:rsidP="00A43BDE">
            <w:pPr>
              <w:jc w:val="center"/>
              <w:rPr>
                <w:b/>
                <w:sz w:val="16"/>
                <w:szCs w:val="16"/>
              </w:rPr>
            </w:pPr>
            <w:r w:rsidRPr="00C258AD">
              <w:rPr>
                <w:b/>
                <w:sz w:val="16"/>
              </w:rPr>
              <w:t>Données relatives à l’exécution</w:t>
            </w:r>
          </w:p>
        </w:tc>
        <w:tc>
          <w:tcPr>
            <w:tcW w:w="759" w:type="pct"/>
            <w:tcBorders>
              <w:top w:val="single" w:sz="4" w:space="0" w:color="auto"/>
            </w:tcBorders>
            <w:shd w:val="clear" w:color="auto" w:fill="auto"/>
            <w:tcMar>
              <w:top w:w="110" w:type="dxa"/>
            </w:tcMar>
            <w:vAlign w:val="center"/>
          </w:tcPr>
          <w:p w:rsidR="00AD1FA5" w:rsidRPr="00C258AD" w:rsidRDefault="00AD1FA5" w:rsidP="00A43BDE">
            <w:pPr>
              <w:jc w:val="center"/>
              <w:rPr>
                <w:b/>
                <w:bCs/>
                <w:sz w:val="16"/>
                <w:szCs w:val="16"/>
              </w:rPr>
            </w:pPr>
            <w:r w:rsidRPr="00C258AD">
              <w:rPr>
                <w:b/>
                <w:sz w:val="16"/>
              </w:rPr>
              <w:t>Code de couleurs</w:t>
            </w:r>
          </w:p>
        </w:tc>
      </w:tr>
      <w:tr w:rsidR="00AD1FA5" w:rsidRPr="00C258AD" w:rsidTr="00A43BDE">
        <w:trPr>
          <w:cantSplit/>
        </w:trPr>
        <w:tc>
          <w:tcPr>
            <w:tcW w:w="1210" w:type="pct"/>
            <w:gridSpan w:val="2"/>
            <w:shd w:val="clear" w:color="auto" w:fill="auto"/>
          </w:tcPr>
          <w:p w:rsidR="00AD1FA5" w:rsidRPr="00C258AD" w:rsidRDefault="00AD1FA5" w:rsidP="00A43BDE">
            <w:pPr>
              <w:rPr>
                <w:sz w:val="16"/>
                <w:szCs w:val="16"/>
              </w:rPr>
            </w:pPr>
            <w:r w:rsidRPr="00C258AD">
              <w:rPr>
                <w:sz w:val="16"/>
              </w:rPr>
              <w:t>Achèvement de la construction de la nouvelle salle de conférence conformément aux critères de qualité, au budget et aux délais approuvés</w:t>
            </w:r>
          </w:p>
        </w:tc>
        <w:tc>
          <w:tcPr>
            <w:tcW w:w="835" w:type="pct"/>
            <w:shd w:val="clear" w:color="auto" w:fill="auto"/>
          </w:tcPr>
          <w:p w:rsidR="00AD1FA5" w:rsidRPr="00C258AD" w:rsidRDefault="00AD1FA5" w:rsidP="00A43BDE">
            <w:pPr>
              <w:rPr>
                <w:i/>
                <w:sz w:val="16"/>
                <w:szCs w:val="16"/>
              </w:rPr>
            </w:pPr>
            <w:r w:rsidRPr="00C258AD">
              <w:rPr>
                <w:sz w:val="16"/>
              </w:rPr>
              <w:t>Faire en sorte que la salle soit livrée dans la limite du budget alloué et avant la date révisée d’achèvement (révision due à la résiliation du contrat conclu avec l’entrepreneur général) pour les assemblées des États membres de 2014</w:t>
            </w:r>
          </w:p>
        </w:tc>
        <w:tc>
          <w:tcPr>
            <w:tcW w:w="788" w:type="pct"/>
            <w:gridSpan w:val="2"/>
            <w:shd w:val="clear" w:color="auto" w:fill="auto"/>
            <w:tcMar>
              <w:top w:w="110" w:type="dxa"/>
            </w:tcMar>
          </w:tcPr>
          <w:p w:rsidR="00AD1FA5" w:rsidRPr="00C258AD" w:rsidRDefault="00AD1FA5" w:rsidP="00A43BDE">
            <w:pPr>
              <w:rPr>
                <w:i/>
                <w:sz w:val="16"/>
                <w:szCs w:val="16"/>
              </w:rPr>
            </w:pPr>
            <w:r w:rsidRPr="00C258AD">
              <w:rPr>
                <w:sz w:val="16"/>
              </w:rPr>
              <w:t>Tenue des assemblées des États membres de 2014 dans la nouvelle salle de conférence</w:t>
            </w:r>
          </w:p>
        </w:tc>
        <w:tc>
          <w:tcPr>
            <w:tcW w:w="1408" w:type="pct"/>
            <w:shd w:val="clear" w:color="auto" w:fill="FFFFFF"/>
            <w:tcMar>
              <w:top w:w="110" w:type="dxa"/>
            </w:tcMar>
          </w:tcPr>
          <w:p w:rsidR="006E2BB1" w:rsidRPr="00C258AD" w:rsidRDefault="00AD1FA5" w:rsidP="00A43BDE">
            <w:pPr>
              <w:rPr>
                <w:sz w:val="16"/>
                <w:szCs w:val="16"/>
              </w:rPr>
            </w:pPr>
            <w:r w:rsidRPr="00C258AD">
              <w:rPr>
                <w:sz w:val="16"/>
              </w:rPr>
              <w:t>La nouvelle salle de conférence de l’OMPI a été achevée et livrée dans les délais conformément aux exigences de qualité.</w:t>
            </w:r>
          </w:p>
          <w:p w:rsidR="006E2BB1" w:rsidRPr="00C258AD" w:rsidRDefault="006E2BB1" w:rsidP="00A43BDE">
            <w:pPr>
              <w:rPr>
                <w:sz w:val="16"/>
                <w:szCs w:val="16"/>
              </w:rPr>
            </w:pPr>
          </w:p>
          <w:p w:rsidR="006E2BB1" w:rsidRPr="00C258AD" w:rsidRDefault="00AD1FA5" w:rsidP="00A43BDE">
            <w:pPr>
              <w:rPr>
                <w:sz w:val="16"/>
                <w:szCs w:val="16"/>
              </w:rPr>
            </w:pPr>
            <w:r w:rsidRPr="00C258AD">
              <w:rPr>
                <w:sz w:val="16"/>
              </w:rPr>
              <w:t>La première réunion officielle à avoir eu lieu dans la nouvelle salle de conférence de l’OMPI en 2014 a été la session du PBC tenue du 1</w:t>
            </w:r>
            <w:r w:rsidRPr="00C258AD">
              <w:rPr>
                <w:sz w:val="16"/>
                <w:vertAlign w:val="superscript"/>
              </w:rPr>
              <w:t>er</w:t>
            </w:r>
            <w:r w:rsidRPr="00C258AD">
              <w:rPr>
                <w:sz w:val="16"/>
              </w:rPr>
              <w:t> au 5 septembre 2014.  Les assemblées des États membres de l’OMPI de 2014 se sont déroulées du 22 au 30 septembre 2014, les cérémonies d’inauguration se tenant le premier jour.</w:t>
            </w:r>
          </w:p>
          <w:p w:rsidR="006E2BB1" w:rsidRPr="00C258AD" w:rsidRDefault="006E2BB1" w:rsidP="00A43BDE">
            <w:pPr>
              <w:rPr>
                <w:sz w:val="16"/>
                <w:szCs w:val="16"/>
              </w:rPr>
            </w:pPr>
          </w:p>
          <w:p w:rsidR="00AD1FA5" w:rsidRPr="00C258AD" w:rsidRDefault="00AD1FA5" w:rsidP="00A43BDE">
            <w:pPr>
              <w:rPr>
                <w:sz w:val="16"/>
                <w:szCs w:val="16"/>
              </w:rPr>
            </w:pPr>
            <w:r w:rsidRPr="00C258AD">
              <w:rPr>
                <w:sz w:val="16"/>
                <w:szCs w:val="16"/>
              </w:rPr>
              <w:t>À la fin de 2015, le solde dû estimé pour tous les comptes de clôture devait être totalement couvert par les crédits supplémentaires approuvés par les États membres en 2014 et en 2015, le coût final du projet devant être fixé en 2016, après paiement de toutes les sommes dues.</w:t>
            </w:r>
          </w:p>
        </w:tc>
        <w:tc>
          <w:tcPr>
            <w:tcW w:w="759" w:type="pct"/>
            <w:shd w:val="clear" w:color="auto" w:fill="auto"/>
            <w:tcMar>
              <w:top w:w="110" w:type="dxa"/>
            </w:tcMar>
          </w:tcPr>
          <w:p w:rsidR="00AD1FA5" w:rsidRPr="00C258AD" w:rsidRDefault="00AD1FA5" w:rsidP="00A43BDE">
            <w:pPr>
              <w:jc w:val="center"/>
              <w:rPr>
                <w:b/>
                <w:bCs/>
                <w:sz w:val="16"/>
                <w:szCs w:val="16"/>
              </w:rPr>
            </w:pPr>
            <w:r w:rsidRPr="00C258AD">
              <w:rPr>
                <w:b/>
                <w:bCs/>
                <w:color w:val="00B050"/>
                <w:sz w:val="16"/>
                <w:szCs w:val="16"/>
              </w:rPr>
              <w:t>Objectif pleinement atteint</w:t>
            </w:r>
          </w:p>
        </w:tc>
      </w:tr>
      <w:tr w:rsidR="00AD1FA5" w:rsidRPr="00C258AD" w:rsidTr="00A43BDE">
        <w:trPr>
          <w:cantSplit/>
        </w:trPr>
        <w:tc>
          <w:tcPr>
            <w:tcW w:w="1210" w:type="pct"/>
            <w:gridSpan w:val="2"/>
            <w:tcBorders>
              <w:bottom w:val="single" w:sz="4" w:space="0" w:color="auto"/>
            </w:tcBorders>
            <w:shd w:val="clear" w:color="auto" w:fill="auto"/>
          </w:tcPr>
          <w:p w:rsidR="00AD1FA5" w:rsidRPr="00C258AD" w:rsidRDefault="00AD1FA5" w:rsidP="00A43BDE">
            <w:pPr>
              <w:rPr>
                <w:sz w:val="16"/>
                <w:szCs w:val="16"/>
              </w:rPr>
            </w:pPr>
            <w:r w:rsidRPr="00C258AD">
              <w:rPr>
                <w:sz w:val="16"/>
              </w:rPr>
              <w:t>Utilisation de la salle de conférence comme lieu privilégié de réunions et d’événements organisés par les États membres</w:t>
            </w:r>
          </w:p>
        </w:tc>
        <w:tc>
          <w:tcPr>
            <w:tcW w:w="835" w:type="pct"/>
            <w:tcBorders>
              <w:bottom w:val="single" w:sz="4" w:space="0" w:color="auto"/>
            </w:tcBorders>
            <w:shd w:val="clear" w:color="auto" w:fill="auto"/>
          </w:tcPr>
          <w:p w:rsidR="00AD1FA5" w:rsidRPr="00C258AD" w:rsidRDefault="00AD1FA5" w:rsidP="00A43BDE">
            <w:pPr>
              <w:rPr>
                <w:sz w:val="16"/>
                <w:szCs w:val="16"/>
              </w:rPr>
            </w:pPr>
            <w:r w:rsidRPr="00C258AD">
              <w:rPr>
                <w:sz w:val="16"/>
              </w:rPr>
              <w:t>À partir de 2015, demandes d’utilisation des installations par les États membres (pour des réunions et des événements autres que ceux organisés par l’OMPI)</w:t>
            </w:r>
          </w:p>
        </w:tc>
        <w:tc>
          <w:tcPr>
            <w:tcW w:w="788" w:type="pct"/>
            <w:gridSpan w:val="2"/>
            <w:tcBorders>
              <w:bottom w:val="single" w:sz="4" w:space="0" w:color="auto"/>
            </w:tcBorders>
            <w:shd w:val="clear" w:color="auto" w:fill="auto"/>
            <w:tcMar>
              <w:top w:w="110" w:type="dxa"/>
            </w:tcMar>
          </w:tcPr>
          <w:p w:rsidR="00AD1FA5" w:rsidRPr="00C258AD" w:rsidRDefault="00AD1FA5" w:rsidP="00A43BDE">
            <w:pPr>
              <w:rPr>
                <w:sz w:val="16"/>
                <w:szCs w:val="16"/>
              </w:rPr>
            </w:pPr>
            <w:r w:rsidRPr="00C258AD">
              <w:rPr>
                <w:sz w:val="16"/>
              </w:rPr>
              <w:t>Au moins deux demandes par an émanant d’États membres ou d’autres organisations internationales ou entités en vue de l’organisation de réunions ou d’événements (autres que ceux organisés par l’OMPI)</w:t>
            </w:r>
          </w:p>
        </w:tc>
        <w:tc>
          <w:tcPr>
            <w:tcW w:w="1408" w:type="pct"/>
            <w:tcBorders>
              <w:bottom w:val="single" w:sz="4" w:space="0" w:color="auto"/>
            </w:tcBorders>
            <w:shd w:val="clear" w:color="auto" w:fill="FFFFFF"/>
            <w:tcMar>
              <w:top w:w="110" w:type="dxa"/>
            </w:tcMar>
          </w:tcPr>
          <w:p w:rsidR="00AD1FA5" w:rsidRPr="00C258AD" w:rsidRDefault="00AD1FA5" w:rsidP="00A43BDE">
            <w:pPr>
              <w:rPr>
                <w:sz w:val="16"/>
                <w:szCs w:val="16"/>
                <w:lang w:bidi="th-TH"/>
              </w:rPr>
            </w:pPr>
            <w:r w:rsidRPr="00C258AD">
              <w:rPr>
                <w:sz w:val="16"/>
                <w:szCs w:val="16"/>
                <w:lang w:bidi="th-TH"/>
              </w:rPr>
              <w:t>2015 est la première année où la nouvelle salle de conférence de l’OMPI et les installations adjacentes ont pu être louées à des États membres ou à des entités extérieures pour d’autres activités que des réunions de l’OMPI.  Cinq événements ont ainsi pu être organisés : i) Forum mondial de l’UIT en mai 2015;  ii) Centre international pour la sécurité dans le sport en septembre 2015;  iii) lancement du Pôle Eau de Genève par la Suisse en novembre 2015;  iv) cérémonie de remise des brevets fédéraux des sapeurs</w:t>
            </w:r>
            <w:r w:rsidRPr="00C258AD">
              <w:rPr>
                <w:sz w:val="16"/>
                <w:szCs w:val="16"/>
                <w:lang w:bidi="th-TH"/>
              </w:rPr>
              <w:noBreakHyphen/>
              <w:t>pompiers suisses (École latine) en novembre 2015;  v) réunion annuelle de l’Organisation internationale pour les migrations (OIM) en novembre 2015.</w:t>
            </w:r>
          </w:p>
        </w:tc>
        <w:tc>
          <w:tcPr>
            <w:tcW w:w="759" w:type="pct"/>
            <w:tcBorders>
              <w:bottom w:val="single" w:sz="4" w:space="0" w:color="auto"/>
            </w:tcBorders>
            <w:shd w:val="clear" w:color="auto" w:fill="auto"/>
            <w:tcMar>
              <w:top w:w="110" w:type="dxa"/>
            </w:tcMar>
          </w:tcPr>
          <w:p w:rsidR="00AD1FA5" w:rsidRPr="00C258AD" w:rsidRDefault="00AD1FA5" w:rsidP="00A43BDE">
            <w:pPr>
              <w:jc w:val="center"/>
              <w:rPr>
                <w:b/>
                <w:bCs/>
                <w:sz w:val="16"/>
                <w:szCs w:val="16"/>
              </w:rPr>
            </w:pPr>
            <w:r w:rsidRPr="00C258AD">
              <w:rPr>
                <w:b/>
                <w:bCs/>
                <w:color w:val="00B050"/>
                <w:sz w:val="16"/>
                <w:szCs w:val="16"/>
              </w:rPr>
              <w:t>Objectif pleinement atteint</w:t>
            </w:r>
          </w:p>
        </w:tc>
      </w:tr>
      <w:tr w:rsidR="00AD1FA5" w:rsidRPr="00C258AD" w:rsidTr="00A43BDE">
        <w:trPr>
          <w:cantSplit/>
        </w:trPr>
        <w:tc>
          <w:tcPr>
            <w:tcW w:w="5000" w:type="pct"/>
            <w:gridSpan w:val="7"/>
            <w:tcBorders>
              <w:top w:val="single" w:sz="4" w:space="0" w:color="auto"/>
              <w:bottom w:val="single" w:sz="4" w:space="0" w:color="auto"/>
            </w:tcBorders>
            <w:shd w:val="clear" w:color="auto" w:fill="C5D9F1"/>
            <w:vAlign w:val="center"/>
          </w:tcPr>
          <w:p w:rsidR="00AD1FA5" w:rsidRPr="00C258AD" w:rsidRDefault="00AD1FA5" w:rsidP="00A43BDE">
            <w:pPr>
              <w:keepNext/>
              <w:rPr>
                <w:bCs/>
                <w:szCs w:val="16"/>
              </w:rPr>
            </w:pPr>
            <w:r w:rsidRPr="00C258AD">
              <w:rPr>
                <w:b/>
                <w:sz w:val="16"/>
              </w:rPr>
              <w:lastRenderedPageBreak/>
              <w:t>Résultat escompté :</w:t>
            </w:r>
            <w:r w:rsidRPr="00C258AD">
              <w:rPr>
                <w:sz w:val="16"/>
              </w:rPr>
              <w:t xml:space="preserve"> IX.4 Une Organisation écologiquement et socialement responsable assurant la sûreté et la sécurité du personnel, des délégués, des visiteurs, de l’information et des biens</w:t>
            </w:r>
          </w:p>
        </w:tc>
      </w:tr>
      <w:tr w:rsidR="00AD1FA5" w:rsidRPr="00C258AD" w:rsidTr="00A43BDE">
        <w:trPr>
          <w:cantSplit/>
        </w:trPr>
        <w:tc>
          <w:tcPr>
            <w:tcW w:w="1106" w:type="pct"/>
            <w:tcBorders>
              <w:top w:val="single" w:sz="4" w:space="0" w:color="auto"/>
            </w:tcBorders>
            <w:shd w:val="clear" w:color="auto" w:fill="auto"/>
            <w:vAlign w:val="center"/>
          </w:tcPr>
          <w:p w:rsidR="00AD1FA5" w:rsidRPr="00C258AD" w:rsidRDefault="00AD1FA5" w:rsidP="00A43BDE">
            <w:pPr>
              <w:keepNext/>
              <w:jc w:val="center"/>
              <w:rPr>
                <w:b/>
                <w:sz w:val="16"/>
                <w:szCs w:val="16"/>
              </w:rPr>
            </w:pPr>
            <w:r w:rsidRPr="00C258AD">
              <w:rPr>
                <w:b/>
                <w:sz w:val="16"/>
              </w:rPr>
              <w:t>Indicateurs d’exécution</w:t>
            </w:r>
          </w:p>
        </w:tc>
        <w:tc>
          <w:tcPr>
            <w:tcW w:w="939" w:type="pct"/>
            <w:gridSpan w:val="2"/>
            <w:tcBorders>
              <w:top w:val="single" w:sz="4" w:space="0" w:color="auto"/>
            </w:tcBorders>
            <w:shd w:val="clear" w:color="auto" w:fill="auto"/>
            <w:vAlign w:val="center"/>
          </w:tcPr>
          <w:p w:rsidR="00AD1FA5" w:rsidRPr="00C258AD" w:rsidRDefault="00AD1FA5" w:rsidP="00A43BDE">
            <w:pPr>
              <w:jc w:val="center"/>
              <w:rPr>
                <w:b/>
                <w:bCs/>
                <w:sz w:val="16"/>
                <w:szCs w:val="16"/>
              </w:rPr>
            </w:pPr>
            <w:r w:rsidRPr="00C258AD">
              <w:rPr>
                <w:b/>
                <w:sz w:val="16"/>
              </w:rPr>
              <w:t>Niveaux de référence</w:t>
            </w:r>
          </w:p>
        </w:tc>
        <w:tc>
          <w:tcPr>
            <w:tcW w:w="758" w:type="pct"/>
            <w:tcBorders>
              <w:top w:val="single" w:sz="4" w:space="0" w:color="auto"/>
            </w:tcBorders>
            <w:shd w:val="clear" w:color="auto" w:fill="auto"/>
            <w:tcMar>
              <w:top w:w="110" w:type="dxa"/>
            </w:tcMar>
            <w:vAlign w:val="center"/>
          </w:tcPr>
          <w:p w:rsidR="00AD1FA5" w:rsidRPr="00C258AD" w:rsidRDefault="00AD1FA5" w:rsidP="00A43BDE">
            <w:pPr>
              <w:jc w:val="center"/>
              <w:rPr>
                <w:b/>
                <w:sz w:val="16"/>
                <w:szCs w:val="16"/>
              </w:rPr>
            </w:pPr>
            <w:r w:rsidRPr="00C258AD">
              <w:rPr>
                <w:b/>
                <w:sz w:val="16"/>
              </w:rPr>
              <w:t>Objectifs visés</w:t>
            </w:r>
          </w:p>
        </w:tc>
        <w:tc>
          <w:tcPr>
            <w:tcW w:w="1438" w:type="pct"/>
            <w:gridSpan w:val="2"/>
            <w:tcBorders>
              <w:top w:val="single" w:sz="4" w:space="0" w:color="auto"/>
            </w:tcBorders>
            <w:shd w:val="clear" w:color="auto" w:fill="FFFFFF"/>
            <w:tcMar>
              <w:top w:w="110" w:type="dxa"/>
            </w:tcMar>
            <w:vAlign w:val="center"/>
          </w:tcPr>
          <w:p w:rsidR="00AD1FA5" w:rsidRPr="00C258AD" w:rsidRDefault="00AD1FA5" w:rsidP="00A43BDE">
            <w:pPr>
              <w:jc w:val="center"/>
              <w:rPr>
                <w:b/>
                <w:sz w:val="16"/>
                <w:szCs w:val="16"/>
              </w:rPr>
            </w:pPr>
            <w:r w:rsidRPr="00C258AD">
              <w:rPr>
                <w:b/>
                <w:sz w:val="16"/>
              </w:rPr>
              <w:t>Données relatives à l’exécution</w:t>
            </w:r>
          </w:p>
        </w:tc>
        <w:tc>
          <w:tcPr>
            <w:tcW w:w="759" w:type="pct"/>
            <w:tcBorders>
              <w:top w:val="single" w:sz="4" w:space="0" w:color="auto"/>
            </w:tcBorders>
            <w:shd w:val="clear" w:color="auto" w:fill="auto"/>
            <w:tcMar>
              <w:top w:w="110" w:type="dxa"/>
            </w:tcMar>
            <w:vAlign w:val="center"/>
          </w:tcPr>
          <w:p w:rsidR="00AD1FA5" w:rsidRPr="00C258AD" w:rsidRDefault="00AD1FA5" w:rsidP="00A43BDE">
            <w:pPr>
              <w:jc w:val="center"/>
              <w:rPr>
                <w:b/>
                <w:bCs/>
                <w:sz w:val="16"/>
                <w:szCs w:val="16"/>
              </w:rPr>
            </w:pPr>
            <w:r w:rsidRPr="00C258AD">
              <w:rPr>
                <w:b/>
                <w:sz w:val="16"/>
              </w:rPr>
              <w:t>Code de couleurs</w:t>
            </w:r>
          </w:p>
        </w:tc>
      </w:tr>
      <w:tr w:rsidR="00AD1FA5" w:rsidRPr="00C258AD" w:rsidTr="00A43BDE">
        <w:trPr>
          <w:cantSplit/>
        </w:trPr>
        <w:tc>
          <w:tcPr>
            <w:tcW w:w="1106" w:type="pct"/>
            <w:shd w:val="clear" w:color="auto" w:fill="auto"/>
          </w:tcPr>
          <w:p w:rsidR="00AD1FA5" w:rsidRPr="00C258AD" w:rsidRDefault="00AD1FA5" w:rsidP="00A43BDE">
            <w:pPr>
              <w:rPr>
                <w:sz w:val="16"/>
                <w:szCs w:val="16"/>
              </w:rPr>
            </w:pPr>
            <w:r w:rsidRPr="00C258AD">
              <w:rPr>
                <w:sz w:val="16"/>
              </w:rPr>
              <w:t>Contrôle des mesures d’accessibilité physique garantissant que la nouvelle salle de conférence et les installations connexes sont conformes aux normes en vigueur lors de la construction</w:t>
            </w:r>
          </w:p>
        </w:tc>
        <w:tc>
          <w:tcPr>
            <w:tcW w:w="939" w:type="pct"/>
            <w:gridSpan w:val="2"/>
            <w:shd w:val="clear" w:color="auto" w:fill="auto"/>
          </w:tcPr>
          <w:p w:rsidR="006E2BB1" w:rsidRPr="00C258AD" w:rsidRDefault="00AD1FA5" w:rsidP="00A43BDE">
            <w:pPr>
              <w:rPr>
                <w:color w:val="002060"/>
                <w:sz w:val="16"/>
                <w:szCs w:val="16"/>
              </w:rPr>
            </w:pPr>
            <w:r w:rsidRPr="00C258AD">
              <w:rPr>
                <w:i/>
                <w:color w:val="002060"/>
                <w:sz w:val="16"/>
              </w:rPr>
              <w:t>Niveau de référence actualisé à fin 2013 :</w:t>
            </w:r>
            <w:r w:rsidRPr="00C258AD">
              <w:rPr>
                <w:color w:val="002060"/>
                <w:sz w:val="16"/>
              </w:rPr>
              <w:t xml:space="preserve"> données non disponibles</w:t>
            </w:r>
          </w:p>
          <w:p w:rsidR="006E2BB1" w:rsidRPr="00C258AD" w:rsidRDefault="006E2BB1" w:rsidP="00A43BDE">
            <w:pPr>
              <w:rPr>
                <w:sz w:val="16"/>
                <w:szCs w:val="16"/>
              </w:rPr>
            </w:pPr>
          </w:p>
          <w:p w:rsidR="006E2BB1" w:rsidRPr="00C258AD" w:rsidRDefault="00AD1FA5" w:rsidP="00A43BDE">
            <w:pPr>
              <w:rPr>
                <w:i/>
                <w:sz w:val="16"/>
              </w:rPr>
            </w:pPr>
            <w:r w:rsidRPr="00C258AD">
              <w:rPr>
                <w:i/>
                <w:sz w:val="16"/>
              </w:rPr>
              <w:t>Niveau de référence initial pour le programme et budget 2014</w:t>
            </w:r>
            <w:r w:rsidRPr="00C258AD">
              <w:rPr>
                <w:i/>
                <w:sz w:val="16"/>
              </w:rPr>
              <w:noBreakHyphen/>
              <w:t>2015 :</w:t>
            </w:r>
          </w:p>
          <w:p w:rsidR="00AD1FA5" w:rsidRPr="00C258AD" w:rsidRDefault="00AD1FA5" w:rsidP="00A43BDE">
            <w:pPr>
              <w:rPr>
                <w:sz w:val="16"/>
                <w:szCs w:val="16"/>
              </w:rPr>
            </w:pPr>
            <w:r w:rsidRPr="00C258AD">
              <w:rPr>
                <w:sz w:val="16"/>
              </w:rPr>
              <w:t>à déterminer au début de 2014, au moment de la livraison de la nouvelle salle de conférence et sur la base de l’évaluation technique et architecturale réalisée en 2013</w:t>
            </w:r>
          </w:p>
        </w:tc>
        <w:tc>
          <w:tcPr>
            <w:tcW w:w="758" w:type="pct"/>
            <w:shd w:val="clear" w:color="auto" w:fill="auto"/>
            <w:tcMar>
              <w:top w:w="110" w:type="dxa"/>
            </w:tcMar>
          </w:tcPr>
          <w:p w:rsidR="00AD1FA5" w:rsidRPr="00C258AD" w:rsidRDefault="00AD1FA5" w:rsidP="00A43BDE">
            <w:pPr>
              <w:rPr>
                <w:bCs/>
                <w:sz w:val="16"/>
                <w:szCs w:val="16"/>
              </w:rPr>
            </w:pPr>
            <w:r w:rsidRPr="00C258AD">
              <w:rPr>
                <w:sz w:val="16"/>
              </w:rPr>
              <w:t>À déterminer au début de 2014, au moment de la livraison de la nouvelle salle de conférence et sur la base de l’évaluation technique et architecturale réalisée en 2013</w:t>
            </w:r>
          </w:p>
        </w:tc>
        <w:tc>
          <w:tcPr>
            <w:tcW w:w="1438" w:type="pct"/>
            <w:gridSpan w:val="2"/>
            <w:shd w:val="clear" w:color="auto" w:fill="FFFFFF"/>
            <w:tcMar>
              <w:top w:w="110" w:type="dxa"/>
            </w:tcMar>
          </w:tcPr>
          <w:p w:rsidR="00AD1FA5" w:rsidRPr="00C258AD" w:rsidRDefault="00AD1FA5" w:rsidP="00A43BDE">
            <w:pPr>
              <w:rPr>
                <w:sz w:val="16"/>
                <w:szCs w:val="16"/>
              </w:rPr>
            </w:pPr>
            <w:r w:rsidRPr="00C258AD">
              <w:rPr>
                <w:sz w:val="16"/>
              </w:rPr>
              <w:t>Les mesures relatives à l’accessibilité physique mises en œuvre pendant la construction (jusqu’à la fin de la construction en août 2014, plutôt qu’au début de 2014) comprenaient les principales mesures suivantes : i) rampe pour l’accès des fauteuils roulants au podium dans la nouvelle salle de conférence de l’OMPI et tous les sièges (31 en configuration maximale) sur le podium accessibles aux fauteuils roulants;  ii) 26 sièges dans trois lieux différents dans les zones dédiées aux bureaux des délégations accessibles aux fauteuils roulants;  iii) la totalité des 850 et quelques fauteuils pour les bureaux des délégations amovibles et remplaçables sur demande par tout autre fauteuil pour personne à mobilité réduite;  iv) porte d’issue de secours supplémentaire dans la zone située au bas de la nouvelle salle de conférence de l’OMPI, pour un accès autonome des fauteuils roulants, directement sur une rampe extérieure menant à l’esplanade;  v) rampes pour l’accès des fauteuils roulants aux cabines d’interprétation dans deux nouvelles salles de réunion sur un étage rénové du bâtiment AB;  vi) toilettes adaptées à l’accès des fauteuils roulants;  vii) bandes antidérapantes sur les marches de tous les escaliers à l’intérieur et à l’extérieur de la nouvelle salle de conférence de l’OMPI;  viii) rampe pour l’accès des fauteuils roulants créée depuis les portes du foyer de la nouvelle salle de conférence de l’OMPI menant au point d’issue de secours dans le périmètre du campus de l’OMPI;  ix) accès de la rue à la nouvelle entrée principale de l’OMPI adaptée aux fauteuils roulants et des portiques intérieurs d’accès aux comptoirs de réception et d’enregistrement adaptés pour un accès autonome des fauteuils roulants;  et x) siège mobile dédié aux personnes à mobilité réduite, pouvant être utilisé sur demande en cas d’urgence à l’étage des cabines d’interprétation.</w:t>
            </w:r>
          </w:p>
        </w:tc>
        <w:tc>
          <w:tcPr>
            <w:tcW w:w="759" w:type="pct"/>
            <w:shd w:val="clear" w:color="auto" w:fill="auto"/>
            <w:tcMar>
              <w:top w:w="110" w:type="dxa"/>
            </w:tcMar>
          </w:tcPr>
          <w:p w:rsidR="00AD1FA5" w:rsidRPr="00C258AD" w:rsidRDefault="00AD1FA5" w:rsidP="00A43BDE">
            <w:pPr>
              <w:jc w:val="center"/>
              <w:rPr>
                <w:b/>
                <w:bCs/>
                <w:sz w:val="16"/>
                <w:szCs w:val="16"/>
              </w:rPr>
            </w:pPr>
            <w:r w:rsidRPr="00C258AD">
              <w:rPr>
                <w:b/>
                <w:color w:val="808080"/>
                <w:sz w:val="16"/>
              </w:rPr>
              <w:t xml:space="preserve">Non </w:t>
            </w:r>
            <w:r w:rsidRPr="00C258AD">
              <w:rPr>
                <w:b/>
                <w:color w:val="808080"/>
                <w:sz w:val="16"/>
              </w:rPr>
              <w:br/>
              <w:t>évaluable</w:t>
            </w:r>
          </w:p>
        </w:tc>
      </w:tr>
      <w:tr w:rsidR="00AD1FA5" w:rsidRPr="00C258AD" w:rsidTr="00A43BDE">
        <w:trPr>
          <w:cantSplit/>
        </w:trPr>
        <w:tc>
          <w:tcPr>
            <w:tcW w:w="1106" w:type="pct"/>
            <w:shd w:val="clear" w:color="auto" w:fill="auto"/>
          </w:tcPr>
          <w:p w:rsidR="00AD1FA5" w:rsidRPr="00C258AD" w:rsidRDefault="00AD1FA5" w:rsidP="00A43BDE">
            <w:pPr>
              <w:rPr>
                <w:sz w:val="16"/>
                <w:szCs w:val="16"/>
              </w:rPr>
            </w:pPr>
            <w:r w:rsidRPr="00C258AD">
              <w:rPr>
                <w:sz w:val="16"/>
              </w:rPr>
              <w:lastRenderedPageBreak/>
              <w:t>Contrôle des mesures respectueuses de l’environnement et des mesures de réduction de la consommation d’énergie mises en œuvre lors de la construction</w:t>
            </w:r>
          </w:p>
        </w:tc>
        <w:tc>
          <w:tcPr>
            <w:tcW w:w="939" w:type="pct"/>
            <w:gridSpan w:val="2"/>
            <w:shd w:val="clear" w:color="auto" w:fill="auto"/>
          </w:tcPr>
          <w:p w:rsidR="006E2BB1" w:rsidRPr="00C258AD" w:rsidRDefault="00AD1FA5" w:rsidP="00A43BDE">
            <w:pPr>
              <w:rPr>
                <w:color w:val="002060"/>
                <w:sz w:val="16"/>
                <w:szCs w:val="16"/>
              </w:rPr>
            </w:pPr>
            <w:r w:rsidRPr="00C258AD">
              <w:rPr>
                <w:i/>
                <w:color w:val="002060"/>
                <w:sz w:val="16"/>
              </w:rPr>
              <w:t>Niveau de référence actualisé à fin 2013 :</w:t>
            </w:r>
            <w:r w:rsidRPr="00C258AD">
              <w:rPr>
                <w:color w:val="002060"/>
                <w:sz w:val="16"/>
              </w:rPr>
              <w:t xml:space="preserve"> données non disponibles</w:t>
            </w:r>
          </w:p>
          <w:p w:rsidR="006E2BB1" w:rsidRPr="00C258AD" w:rsidRDefault="006E2BB1" w:rsidP="00A43BDE">
            <w:pPr>
              <w:rPr>
                <w:sz w:val="16"/>
                <w:szCs w:val="16"/>
              </w:rPr>
            </w:pPr>
          </w:p>
          <w:p w:rsidR="006E2BB1" w:rsidRPr="00C258AD" w:rsidRDefault="00AD1FA5" w:rsidP="00A43BDE">
            <w:pPr>
              <w:rPr>
                <w:i/>
                <w:sz w:val="16"/>
              </w:rPr>
            </w:pPr>
            <w:r w:rsidRPr="00C258AD">
              <w:rPr>
                <w:i/>
                <w:sz w:val="16"/>
              </w:rPr>
              <w:t>Niveau de référence initial pour le programme et budget 2014</w:t>
            </w:r>
            <w:r w:rsidRPr="00C258AD">
              <w:rPr>
                <w:i/>
                <w:sz w:val="16"/>
              </w:rPr>
              <w:noBreakHyphen/>
              <w:t>2015 :</w:t>
            </w:r>
          </w:p>
          <w:p w:rsidR="00AD1FA5" w:rsidRPr="00C258AD" w:rsidRDefault="00AD1FA5" w:rsidP="00A43BDE">
            <w:pPr>
              <w:rPr>
                <w:sz w:val="16"/>
                <w:szCs w:val="16"/>
              </w:rPr>
            </w:pPr>
            <w:r w:rsidRPr="00C258AD">
              <w:rPr>
                <w:sz w:val="16"/>
              </w:rPr>
              <w:t>à déterminer au début de 2014, au moment de la livraison de la nouvelle salle de conférence</w:t>
            </w:r>
          </w:p>
        </w:tc>
        <w:tc>
          <w:tcPr>
            <w:tcW w:w="758" w:type="pct"/>
            <w:shd w:val="clear" w:color="auto" w:fill="auto"/>
            <w:tcMar>
              <w:top w:w="110" w:type="dxa"/>
            </w:tcMar>
          </w:tcPr>
          <w:p w:rsidR="00AD1FA5" w:rsidRPr="00C258AD" w:rsidRDefault="00AD1FA5" w:rsidP="00A43BDE">
            <w:pPr>
              <w:rPr>
                <w:sz w:val="16"/>
                <w:szCs w:val="16"/>
              </w:rPr>
            </w:pPr>
            <w:r w:rsidRPr="00C258AD">
              <w:rPr>
                <w:sz w:val="16"/>
              </w:rPr>
              <w:t>À déterminer au début de 2014, au moment de la livraison de la nouvelle salle de conférence</w:t>
            </w:r>
          </w:p>
        </w:tc>
        <w:tc>
          <w:tcPr>
            <w:tcW w:w="1438" w:type="pct"/>
            <w:gridSpan w:val="2"/>
            <w:shd w:val="clear" w:color="auto" w:fill="FFFFFF"/>
            <w:tcMar>
              <w:top w:w="110" w:type="dxa"/>
            </w:tcMar>
          </w:tcPr>
          <w:p w:rsidR="00AD1FA5" w:rsidRPr="00C258AD" w:rsidRDefault="00AD1FA5" w:rsidP="00A43BDE">
            <w:pPr>
              <w:rPr>
                <w:sz w:val="16"/>
                <w:szCs w:val="16"/>
              </w:rPr>
            </w:pPr>
            <w:r w:rsidRPr="00C258AD">
              <w:rPr>
                <w:sz w:val="16"/>
              </w:rPr>
              <w:t>Les mesures respectueuses de l’environnement mises en œuvre pendant la construction (jusqu’à la fin de la construction en août 2014, plutôt qu’au début de 2014) comprenaient les principales mesures suivantes : i) bois local pour la structure principale et le revêtement intérieur (plafonds, murs et sols) de la nouvelle salle de conférence de l’OMPI;  ii) gaz naturel pour le chauffage;  iii) système de refroidissement utilisant les eaux profondes du lac Léman;  iv) réduction de la consommation d’éclairage artificiel par le recours à grande échelle à la technologie LED (dans toutes les zones couvertes par le projet) et à la lumière naturelle grâce à de larges baies vitrées et à plusieurs fenêtres de toit (dans la nouvelle salle de conférence de l’OMPI);  v) utilisation généralisée de l’air naturel par l’intermédiaire d’un système de ventilation mixte;  vi) toiture végétale pour le centre d’accès en vue d’améliorer la capacité de refroidissement et le drainage des eaux de pluie;  et vii) éclairage activé par des capteurs de présence en dehors des heures de bureau.</w:t>
            </w:r>
          </w:p>
        </w:tc>
        <w:tc>
          <w:tcPr>
            <w:tcW w:w="759" w:type="pct"/>
            <w:shd w:val="clear" w:color="auto" w:fill="auto"/>
            <w:tcMar>
              <w:top w:w="110" w:type="dxa"/>
            </w:tcMar>
          </w:tcPr>
          <w:p w:rsidR="00AD1FA5" w:rsidRPr="00C258AD" w:rsidRDefault="00AD1FA5" w:rsidP="00A43BDE">
            <w:pPr>
              <w:jc w:val="center"/>
              <w:rPr>
                <w:rStyle w:val="Style5"/>
                <w:sz w:val="16"/>
                <w:szCs w:val="16"/>
              </w:rPr>
            </w:pPr>
            <w:r w:rsidRPr="00C258AD">
              <w:rPr>
                <w:b/>
                <w:color w:val="808080"/>
                <w:sz w:val="16"/>
              </w:rPr>
              <w:t xml:space="preserve">Non </w:t>
            </w:r>
            <w:r w:rsidRPr="00C258AD">
              <w:rPr>
                <w:b/>
                <w:color w:val="808080"/>
                <w:sz w:val="16"/>
              </w:rPr>
              <w:br/>
              <w:t>évaluable</w:t>
            </w:r>
          </w:p>
        </w:tc>
      </w:tr>
      <w:tr w:rsidR="00AD1FA5" w:rsidRPr="00C258AD" w:rsidTr="00A43BDE">
        <w:trPr>
          <w:cantSplit/>
        </w:trPr>
        <w:tc>
          <w:tcPr>
            <w:tcW w:w="1106" w:type="pct"/>
            <w:shd w:val="clear" w:color="auto" w:fill="auto"/>
          </w:tcPr>
          <w:p w:rsidR="00AD1FA5" w:rsidRPr="00C258AD" w:rsidRDefault="00AD1FA5" w:rsidP="00A43BDE">
            <w:pPr>
              <w:rPr>
                <w:sz w:val="16"/>
              </w:rPr>
            </w:pPr>
            <w:r w:rsidRPr="00C258AD">
              <w:rPr>
                <w:sz w:val="16"/>
              </w:rPr>
              <w:t>Mise en œuvre de mesures de sécurité périphérique conformes aux normes minimales de sécurité au siège des organisations du système des Nations Unies pour la nouvelle salle de conférence</w:t>
            </w:r>
          </w:p>
        </w:tc>
        <w:tc>
          <w:tcPr>
            <w:tcW w:w="939" w:type="pct"/>
            <w:gridSpan w:val="2"/>
            <w:shd w:val="clear" w:color="auto" w:fill="auto"/>
          </w:tcPr>
          <w:p w:rsidR="00AD1FA5" w:rsidRPr="00C258AD" w:rsidRDefault="00AD1FA5" w:rsidP="00A43BDE">
            <w:pPr>
              <w:rPr>
                <w:sz w:val="16"/>
                <w:szCs w:val="16"/>
                <w:lang w:bidi="th-TH"/>
              </w:rPr>
            </w:pPr>
            <w:r w:rsidRPr="00C258AD">
              <w:rPr>
                <w:i/>
                <w:sz w:val="16"/>
              </w:rPr>
              <w:t>Données non disponibles</w:t>
            </w:r>
          </w:p>
        </w:tc>
        <w:tc>
          <w:tcPr>
            <w:tcW w:w="758" w:type="pct"/>
            <w:shd w:val="clear" w:color="auto" w:fill="auto"/>
            <w:tcMar>
              <w:top w:w="110" w:type="dxa"/>
            </w:tcMar>
          </w:tcPr>
          <w:p w:rsidR="00AD1FA5" w:rsidRPr="00C258AD" w:rsidRDefault="00AD1FA5" w:rsidP="00A43BDE">
            <w:pPr>
              <w:rPr>
                <w:sz w:val="16"/>
                <w:szCs w:val="16"/>
              </w:rPr>
            </w:pPr>
            <w:r w:rsidRPr="00C258AD">
              <w:rPr>
                <w:sz w:val="16"/>
              </w:rPr>
              <w:t>Mise en œuvre de mesures de sécurité périphérique conformes aux normes minimales de sécurité au siège des organisations du système des Nations Unies fin 2015</w:t>
            </w:r>
          </w:p>
        </w:tc>
        <w:tc>
          <w:tcPr>
            <w:tcW w:w="1438" w:type="pct"/>
            <w:gridSpan w:val="2"/>
            <w:shd w:val="clear" w:color="auto" w:fill="FFFFFF"/>
            <w:tcMar>
              <w:top w:w="110" w:type="dxa"/>
            </w:tcMar>
          </w:tcPr>
          <w:p w:rsidR="00AD1FA5" w:rsidRPr="00C258AD" w:rsidRDefault="00AD1FA5" w:rsidP="00A43BDE">
            <w:pPr>
              <w:rPr>
                <w:sz w:val="16"/>
                <w:szCs w:val="16"/>
              </w:rPr>
            </w:pPr>
            <w:r w:rsidRPr="00C258AD">
              <w:rPr>
                <w:sz w:val="16"/>
              </w:rPr>
              <w:t>Le périmètre de sécurité devant la nouvelle salle de conférence de l’OMPI du côté du bâtiment AB et le mur anti</w:t>
            </w:r>
            <w:r w:rsidRPr="00C258AD">
              <w:rPr>
                <w:sz w:val="16"/>
              </w:rPr>
              <w:noBreakHyphen/>
              <w:t xml:space="preserve">déflagration du côté de la route de </w:t>
            </w:r>
            <w:proofErr w:type="spellStart"/>
            <w:r w:rsidRPr="00C258AD">
              <w:rPr>
                <w:sz w:val="16"/>
              </w:rPr>
              <w:t>Ferney</w:t>
            </w:r>
            <w:proofErr w:type="spellEnd"/>
            <w:r w:rsidRPr="00C258AD">
              <w:rPr>
                <w:sz w:val="16"/>
              </w:rPr>
              <w:t xml:space="preserve"> ont été achevés en août 2014.  Toutes les autres mesures de sécurité requises pour l’achèvement du projet avaient été mises en œuvre fin </w:t>
            </w:r>
            <w:r w:rsidRPr="00C258AD">
              <w:rPr>
                <w:sz w:val="16"/>
                <w:szCs w:val="16"/>
              </w:rPr>
              <w:t>2015.</w:t>
            </w:r>
          </w:p>
        </w:tc>
        <w:tc>
          <w:tcPr>
            <w:tcW w:w="759" w:type="pct"/>
            <w:shd w:val="clear" w:color="auto" w:fill="auto"/>
            <w:tcMar>
              <w:top w:w="110" w:type="dxa"/>
            </w:tcMar>
          </w:tcPr>
          <w:p w:rsidR="00AD1FA5" w:rsidRPr="00C258AD" w:rsidRDefault="00AD1FA5" w:rsidP="00A43BDE">
            <w:pPr>
              <w:jc w:val="center"/>
              <w:rPr>
                <w:b/>
                <w:bCs/>
                <w:sz w:val="16"/>
                <w:szCs w:val="16"/>
              </w:rPr>
            </w:pPr>
            <w:r w:rsidRPr="00C258AD">
              <w:rPr>
                <w:b/>
                <w:bCs/>
                <w:color w:val="00B050"/>
                <w:sz w:val="16"/>
                <w:szCs w:val="16"/>
              </w:rPr>
              <w:t>Objectif pleinement atteint</w:t>
            </w:r>
          </w:p>
        </w:tc>
      </w:tr>
    </w:tbl>
    <w:p w:rsidR="006E2BB1" w:rsidRPr="00C258AD" w:rsidRDefault="006E2BB1" w:rsidP="00A43BDE">
      <w:pPr>
        <w:rPr>
          <w:sz w:val="22"/>
          <w:szCs w:val="22"/>
        </w:rPr>
      </w:pPr>
    </w:p>
    <w:p w:rsidR="006E2BB1" w:rsidRPr="00C258AD" w:rsidRDefault="006E2BB1" w:rsidP="00A43BDE">
      <w:pPr>
        <w:rPr>
          <w:sz w:val="22"/>
          <w:szCs w:val="22"/>
        </w:rPr>
      </w:pPr>
    </w:p>
    <w:p w:rsidR="006E2BB1" w:rsidRPr="00C258AD" w:rsidRDefault="00AD1FA5" w:rsidP="00305CE5">
      <w:pPr>
        <w:keepNext/>
        <w:rPr>
          <w:rFonts w:cs="Arial"/>
          <w:caps/>
          <w:sz w:val="22"/>
          <w:szCs w:val="22"/>
        </w:rPr>
      </w:pPr>
      <w:r w:rsidRPr="00C258AD">
        <w:rPr>
          <w:rFonts w:cs="Arial"/>
          <w:caps/>
          <w:sz w:val="22"/>
          <w:szCs w:val="22"/>
        </w:rPr>
        <w:t>Rapport d’évaluation des risques pour l’exercice biennal</w:t>
      </w:r>
    </w:p>
    <w:p w:rsidR="00AD1FA5" w:rsidRPr="00C258AD" w:rsidRDefault="00AD1FA5" w:rsidP="00A43BDE">
      <w:pPr>
        <w:keepNext/>
        <w:keepLines/>
        <w:rPr>
          <w:rFonts w:cs="Arial"/>
          <w:sz w:val="22"/>
          <w:szCs w:val="22"/>
        </w:rPr>
      </w:pPr>
    </w:p>
    <w:tbl>
      <w:tblPr>
        <w:tblW w:w="5000" w:type="pct"/>
        <w:tblCellMar>
          <w:top w:w="113" w:type="dxa"/>
          <w:left w:w="68" w:type="dxa"/>
          <w:bottom w:w="113" w:type="dxa"/>
          <w:right w:w="68" w:type="dxa"/>
        </w:tblCellMar>
        <w:tblLook w:val="01E0" w:firstRow="1" w:lastRow="1" w:firstColumn="1" w:lastColumn="1" w:noHBand="0" w:noVBand="0"/>
      </w:tblPr>
      <w:tblGrid>
        <w:gridCol w:w="2371"/>
        <w:gridCol w:w="2372"/>
        <w:gridCol w:w="2372"/>
        <w:gridCol w:w="2370"/>
        <w:gridCol w:w="6"/>
      </w:tblGrid>
      <w:tr w:rsidR="00AD1FA5" w:rsidRPr="00C258AD" w:rsidTr="00A43BDE">
        <w:trPr>
          <w:cantSplit/>
        </w:trPr>
        <w:tc>
          <w:tcPr>
            <w:tcW w:w="2372" w:type="dxa"/>
            <w:tcBorders>
              <w:top w:val="single" w:sz="4" w:space="0" w:color="auto"/>
              <w:left w:val="single" w:sz="4" w:space="0" w:color="auto"/>
              <w:bottom w:val="single" w:sz="4" w:space="0" w:color="auto"/>
            </w:tcBorders>
            <w:shd w:val="clear" w:color="auto" w:fill="C5D9F1"/>
            <w:vAlign w:val="center"/>
          </w:tcPr>
          <w:p w:rsidR="00AD1FA5" w:rsidRPr="00C258AD" w:rsidRDefault="00AD1FA5" w:rsidP="00A43BDE">
            <w:pPr>
              <w:autoSpaceDE w:val="0"/>
              <w:autoSpaceDN w:val="0"/>
              <w:adjustRightInd w:val="0"/>
              <w:ind w:right="-59"/>
              <w:jc w:val="center"/>
              <w:rPr>
                <w:b/>
                <w:bCs/>
                <w:iCs/>
                <w:sz w:val="16"/>
                <w:szCs w:val="16"/>
              </w:rPr>
            </w:pPr>
            <w:r w:rsidRPr="00C258AD">
              <w:rPr>
                <w:b/>
                <w:bCs/>
                <w:iCs/>
                <w:sz w:val="16"/>
                <w:szCs w:val="16"/>
              </w:rPr>
              <w:t>Risque(s) susceptible(s) d’empêcher le programme d’atteindre ses résultats</w:t>
            </w:r>
          </w:p>
        </w:tc>
        <w:tc>
          <w:tcPr>
            <w:tcW w:w="2373" w:type="dxa"/>
            <w:tcBorders>
              <w:top w:val="single" w:sz="4" w:space="0" w:color="auto"/>
              <w:bottom w:val="single" w:sz="4" w:space="0" w:color="auto"/>
            </w:tcBorders>
            <w:shd w:val="clear" w:color="auto" w:fill="C5D9F1"/>
            <w:vAlign w:val="center"/>
          </w:tcPr>
          <w:p w:rsidR="00AD1FA5" w:rsidRPr="00C258AD" w:rsidRDefault="00AD1FA5" w:rsidP="00A43BDE">
            <w:pPr>
              <w:autoSpaceDE w:val="0"/>
              <w:autoSpaceDN w:val="0"/>
              <w:adjustRightInd w:val="0"/>
              <w:ind w:right="-59"/>
              <w:jc w:val="center"/>
              <w:rPr>
                <w:b/>
                <w:bCs/>
                <w:iCs/>
                <w:sz w:val="16"/>
                <w:szCs w:val="16"/>
              </w:rPr>
            </w:pPr>
            <w:r w:rsidRPr="00C258AD">
              <w:rPr>
                <w:b/>
                <w:bCs/>
                <w:iCs/>
                <w:sz w:val="16"/>
                <w:szCs w:val="16"/>
              </w:rPr>
              <w:t>Plans d’atténuation en place ou en cours de mise en œuvre</w:t>
            </w:r>
          </w:p>
        </w:tc>
        <w:tc>
          <w:tcPr>
            <w:tcW w:w="2373" w:type="dxa"/>
            <w:tcBorders>
              <w:top w:val="single" w:sz="4" w:space="0" w:color="auto"/>
              <w:bottom w:val="single" w:sz="4" w:space="0" w:color="auto"/>
            </w:tcBorders>
            <w:shd w:val="clear" w:color="auto" w:fill="C5D9F1"/>
            <w:vAlign w:val="center"/>
          </w:tcPr>
          <w:p w:rsidR="00AD1FA5" w:rsidRPr="00C258AD" w:rsidRDefault="00AD1FA5" w:rsidP="00A43BDE">
            <w:pPr>
              <w:autoSpaceDE w:val="0"/>
              <w:autoSpaceDN w:val="0"/>
              <w:adjustRightInd w:val="0"/>
              <w:ind w:right="-59"/>
              <w:jc w:val="center"/>
              <w:rPr>
                <w:b/>
                <w:bCs/>
                <w:iCs/>
                <w:sz w:val="16"/>
                <w:szCs w:val="16"/>
              </w:rPr>
            </w:pPr>
            <w:r w:rsidRPr="00C258AD">
              <w:rPr>
                <w:b/>
                <w:bCs/>
                <w:iCs/>
                <w:sz w:val="16"/>
                <w:szCs w:val="16"/>
              </w:rPr>
              <w:t>Évolution des risques et des stratégies d’atténuation durant l’exercice biennal</w:t>
            </w:r>
          </w:p>
        </w:tc>
        <w:tc>
          <w:tcPr>
            <w:tcW w:w="2373" w:type="dxa"/>
            <w:gridSpan w:val="2"/>
            <w:tcBorders>
              <w:top w:val="single" w:sz="4" w:space="0" w:color="auto"/>
              <w:bottom w:val="single" w:sz="4" w:space="0" w:color="auto"/>
              <w:right w:val="single" w:sz="4" w:space="0" w:color="auto"/>
            </w:tcBorders>
            <w:shd w:val="clear" w:color="auto" w:fill="C5D9F1"/>
            <w:vAlign w:val="center"/>
          </w:tcPr>
          <w:p w:rsidR="00AD1FA5" w:rsidRPr="00C258AD" w:rsidRDefault="00AD1FA5" w:rsidP="00A43BDE">
            <w:pPr>
              <w:autoSpaceDE w:val="0"/>
              <w:autoSpaceDN w:val="0"/>
              <w:adjustRightInd w:val="0"/>
              <w:jc w:val="center"/>
              <w:rPr>
                <w:b/>
                <w:bCs/>
                <w:iCs/>
                <w:sz w:val="16"/>
                <w:szCs w:val="16"/>
              </w:rPr>
            </w:pPr>
            <w:r w:rsidRPr="00C258AD">
              <w:rPr>
                <w:b/>
                <w:bCs/>
                <w:iCs/>
                <w:sz w:val="16"/>
                <w:szCs w:val="16"/>
              </w:rPr>
              <w:t>Incidence sur les résultats du programme</w:t>
            </w:r>
          </w:p>
        </w:tc>
      </w:tr>
      <w:tr w:rsidR="00AD1FA5" w:rsidRPr="00C258AD" w:rsidTr="00A43BDE">
        <w:tblPrEx>
          <w:tblBorders>
            <w:top w:val="single" w:sz="4" w:space="0" w:color="auto"/>
            <w:left w:val="single" w:sz="4" w:space="0" w:color="auto"/>
            <w:bottom w:val="single" w:sz="4" w:space="0" w:color="auto"/>
            <w:right w:val="single" w:sz="4" w:space="0" w:color="auto"/>
          </w:tblBorders>
        </w:tblPrEx>
        <w:trPr>
          <w:gridAfter w:val="1"/>
          <w:wAfter w:w="6" w:type="dxa"/>
          <w:cantSplit/>
        </w:trPr>
        <w:tc>
          <w:tcPr>
            <w:tcW w:w="2370" w:type="dxa"/>
            <w:tcBorders>
              <w:top w:val="single" w:sz="4" w:space="0" w:color="auto"/>
            </w:tcBorders>
            <w:shd w:val="clear" w:color="auto" w:fill="auto"/>
            <w:tcMar>
              <w:top w:w="113" w:type="dxa"/>
              <w:bottom w:w="85" w:type="dxa"/>
            </w:tcMar>
          </w:tcPr>
          <w:p w:rsidR="00AD1FA5" w:rsidRPr="00C258AD" w:rsidRDefault="00AD1FA5" w:rsidP="00A43BDE">
            <w:pPr>
              <w:autoSpaceDE w:val="0"/>
              <w:autoSpaceDN w:val="0"/>
              <w:adjustRightInd w:val="0"/>
              <w:ind w:right="-59"/>
              <w:rPr>
                <w:sz w:val="16"/>
                <w:szCs w:val="16"/>
              </w:rPr>
            </w:pPr>
            <w:r w:rsidRPr="00C258AD">
              <w:rPr>
                <w:sz w:val="16"/>
                <w:szCs w:val="16"/>
              </w:rPr>
              <w:t>Défaut majeur d’architecture ou de construction découvert au cours de la période de construction restante ou après, entravant ou retardant l’utilisation de la nouvelle salle de conférence.</w:t>
            </w:r>
          </w:p>
        </w:tc>
        <w:tc>
          <w:tcPr>
            <w:tcW w:w="2372" w:type="dxa"/>
            <w:tcBorders>
              <w:top w:val="single" w:sz="4" w:space="0" w:color="auto"/>
            </w:tcBorders>
            <w:shd w:val="clear" w:color="auto" w:fill="auto"/>
            <w:tcMar>
              <w:top w:w="113" w:type="dxa"/>
              <w:bottom w:w="85" w:type="dxa"/>
            </w:tcMar>
          </w:tcPr>
          <w:p w:rsidR="00AD1FA5" w:rsidRPr="00C258AD" w:rsidRDefault="00AD1FA5" w:rsidP="00A43BDE">
            <w:pPr>
              <w:autoSpaceDE w:val="0"/>
              <w:autoSpaceDN w:val="0"/>
              <w:adjustRightInd w:val="0"/>
              <w:ind w:right="-59"/>
              <w:rPr>
                <w:sz w:val="16"/>
                <w:szCs w:val="16"/>
              </w:rPr>
            </w:pPr>
            <w:r w:rsidRPr="00C258AD">
              <w:rPr>
                <w:sz w:val="16"/>
                <w:szCs w:val="16"/>
              </w:rPr>
              <w:t>Sélection d’un architecte et d’entrepreneurs hautement qualifiés.  Le consortium du bois, avec ses propres ingénieurs du bois, est composé d’entreprises locales hautement qualifiées et expérimentées.  Le maître d’œuvre suit chaque étape de la réalisation du projet.</w:t>
            </w:r>
          </w:p>
        </w:tc>
        <w:tc>
          <w:tcPr>
            <w:tcW w:w="2372" w:type="dxa"/>
            <w:tcBorders>
              <w:top w:val="single" w:sz="4" w:space="0" w:color="auto"/>
            </w:tcBorders>
          </w:tcPr>
          <w:p w:rsidR="00AD1FA5" w:rsidRPr="00C258AD" w:rsidRDefault="00AD1FA5" w:rsidP="00A43BDE">
            <w:pPr>
              <w:autoSpaceDE w:val="0"/>
              <w:autoSpaceDN w:val="0"/>
              <w:adjustRightInd w:val="0"/>
              <w:ind w:right="-59"/>
              <w:rPr>
                <w:sz w:val="16"/>
                <w:szCs w:val="16"/>
              </w:rPr>
            </w:pPr>
            <w:r w:rsidRPr="00C258AD">
              <w:rPr>
                <w:sz w:val="16"/>
                <w:szCs w:val="16"/>
              </w:rPr>
              <w:t>Risque clôturé à la fin de l’exercice biennal car l’utilisation de la nouvelle salle de conférence de l’OMPI a été effective dès septembre 2014, pour les réunions de l’OMPI, ainsi que pour les assemblées des États membres de l’OMPI de 2014 et 2015 et un grand nombre d’autres réunions et événements tout au long du reste de l’exercice biennal.</w:t>
            </w:r>
          </w:p>
        </w:tc>
        <w:tc>
          <w:tcPr>
            <w:tcW w:w="2371" w:type="dxa"/>
            <w:tcBorders>
              <w:top w:val="single" w:sz="4" w:space="0" w:color="auto"/>
            </w:tcBorders>
          </w:tcPr>
          <w:p w:rsidR="00AD1FA5" w:rsidRPr="00C258AD" w:rsidRDefault="00AD1FA5" w:rsidP="00A43BDE">
            <w:pPr>
              <w:autoSpaceDE w:val="0"/>
              <w:autoSpaceDN w:val="0"/>
              <w:adjustRightInd w:val="0"/>
              <w:ind w:right="-59"/>
              <w:rPr>
                <w:sz w:val="16"/>
                <w:szCs w:val="16"/>
              </w:rPr>
            </w:pPr>
            <w:r w:rsidRPr="00C258AD">
              <w:rPr>
                <w:sz w:val="16"/>
                <w:szCs w:val="16"/>
              </w:rPr>
              <w:t>Ce risque et son évolution n’ont pas eu d’incidence concrète sur les résultats du programme en 2014</w:t>
            </w:r>
            <w:r w:rsidRPr="00C258AD">
              <w:rPr>
                <w:sz w:val="16"/>
                <w:szCs w:val="22"/>
              </w:rPr>
              <w:noBreakHyphen/>
              <w:t>2015.</w:t>
            </w:r>
          </w:p>
        </w:tc>
      </w:tr>
    </w:tbl>
    <w:p w:rsidR="006E2BB1" w:rsidRPr="00C258AD" w:rsidRDefault="006E2BB1" w:rsidP="00A43BDE">
      <w:pPr>
        <w:rPr>
          <w:sz w:val="22"/>
          <w:szCs w:val="22"/>
        </w:rPr>
      </w:pPr>
    </w:p>
    <w:p w:rsidR="006E2BB1" w:rsidRPr="00C258AD" w:rsidRDefault="006E2BB1" w:rsidP="00A43BDE">
      <w:pPr>
        <w:rPr>
          <w:sz w:val="22"/>
        </w:rPr>
      </w:pPr>
    </w:p>
    <w:p w:rsidR="006E2BB1" w:rsidRPr="00C258AD" w:rsidRDefault="00AD1FA5" w:rsidP="00A43BDE">
      <w:pPr>
        <w:rPr>
          <w:caps/>
          <w:sz w:val="22"/>
        </w:rPr>
      </w:pPr>
      <w:r w:rsidRPr="00C258AD">
        <w:br w:type="page"/>
      </w:r>
    </w:p>
    <w:p w:rsidR="006E2BB1" w:rsidRPr="00C258AD" w:rsidRDefault="00AD1FA5" w:rsidP="00305CE5">
      <w:pPr>
        <w:keepNext/>
        <w:rPr>
          <w:rFonts w:cs="Arial"/>
          <w:caps/>
          <w:sz w:val="22"/>
          <w:szCs w:val="22"/>
        </w:rPr>
      </w:pPr>
      <w:r w:rsidRPr="00C258AD">
        <w:rPr>
          <w:rFonts w:cs="Arial"/>
          <w:caps/>
          <w:sz w:val="22"/>
          <w:szCs w:val="22"/>
        </w:rPr>
        <w:lastRenderedPageBreak/>
        <w:t>Utilisation des ressources</w:t>
      </w:r>
    </w:p>
    <w:p w:rsidR="006E2BB1" w:rsidRPr="00C258AD" w:rsidRDefault="006E2BB1" w:rsidP="00A43BDE">
      <w:pPr>
        <w:jc w:val="center"/>
      </w:pPr>
    </w:p>
    <w:p w:rsidR="006E2BB1" w:rsidRPr="00C258AD" w:rsidRDefault="00AD1FA5" w:rsidP="00A43BDE">
      <w:pPr>
        <w:pStyle w:val="NormalWeb"/>
        <w:keepNext/>
        <w:spacing w:before="0" w:beforeAutospacing="0" w:after="0" w:afterAutospacing="0"/>
        <w:jc w:val="center"/>
        <w:rPr>
          <w:sz w:val="20"/>
          <w:szCs w:val="20"/>
        </w:rPr>
      </w:pPr>
      <w:r w:rsidRPr="00C258AD">
        <w:rPr>
          <w:sz w:val="20"/>
          <w:szCs w:val="20"/>
        </w:rPr>
        <w:t>Budget et dépenses effectives (par résultat)</w:t>
      </w:r>
    </w:p>
    <w:p w:rsidR="006E2BB1" w:rsidRPr="00C258AD" w:rsidRDefault="00AD1FA5" w:rsidP="00A43BDE">
      <w:pPr>
        <w:pStyle w:val="NormalWeb"/>
        <w:keepNext/>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AD1FA5" w:rsidRPr="00C258AD" w:rsidRDefault="00AD1FA5" w:rsidP="00A43BDE">
      <w:pPr>
        <w:keepNext/>
        <w:jc w:val="both"/>
      </w:pPr>
    </w:p>
    <w:tbl>
      <w:tblPr>
        <w:tblW w:w="5000" w:type="pct"/>
        <w:tblCellMar>
          <w:top w:w="113" w:type="dxa"/>
          <w:left w:w="70" w:type="dxa"/>
          <w:bottom w:w="113" w:type="dxa"/>
          <w:right w:w="70" w:type="dxa"/>
        </w:tblCellMar>
        <w:tblLook w:val="04A0" w:firstRow="1" w:lastRow="0" w:firstColumn="1" w:lastColumn="0" w:noHBand="0" w:noVBand="1"/>
      </w:tblPr>
      <w:tblGrid>
        <w:gridCol w:w="546"/>
        <w:gridCol w:w="4683"/>
        <w:gridCol w:w="1422"/>
        <w:gridCol w:w="1422"/>
        <w:gridCol w:w="1422"/>
      </w:tblGrid>
      <w:tr w:rsidR="00AD1FA5" w:rsidRPr="00C258AD" w:rsidTr="00A43BDE">
        <w:trPr>
          <w:cantSplit/>
        </w:trPr>
        <w:tc>
          <w:tcPr>
            <w:tcW w:w="5000" w:type="dxa"/>
            <w:gridSpan w:val="2"/>
            <w:tcBorders>
              <w:top w:val="single" w:sz="4" w:space="0" w:color="auto"/>
              <w:left w:val="single" w:sz="4" w:space="0" w:color="auto"/>
              <w:bottom w:val="single" w:sz="4" w:space="0" w:color="auto"/>
              <w:right w:val="single" w:sz="4" w:space="0" w:color="000000"/>
            </w:tcBorders>
            <w:shd w:val="clear" w:color="auto" w:fill="C5D9F1"/>
            <w:noWrap/>
            <w:vAlign w:val="center"/>
            <w:hideMark/>
          </w:tcPr>
          <w:p w:rsidR="00AD1FA5" w:rsidRPr="00C258AD" w:rsidRDefault="00AD1FA5" w:rsidP="00A43BDE">
            <w:pPr>
              <w:jc w:val="center"/>
              <w:rPr>
                <w:i/>
                <w:iCs/>
                <w:sz w:val="16"/>
                <w:szCs w:val="16"/>
              </w:rPr>
            </w:pPr>
            <w:r w:rsidRPr="00C258AD">
              <w:rPr>
                <w:i/>
                <w:iCs/>
                <w:sz w:val="16"/>
                <w:szCs w:val="16"/>
              </w:rPr>
              <w:t>Numéro et description du résultat escompté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AD1FA5" w:rsidRPr="00C258AD" w:rsidRDefault="00AD1FA5" w:rsidP="00A43BDE">
            <w:pPr>
              <w:jc w:val="center"/>
              <w:rPr>
                <w:i/>
                <w:iCs/>
                <w:sz w:val="16"/>
                <w:szCs w:val="16"/>
              </w:rPr>
            </w:pPr>
            <w:r w:rsidRPr="00C258AD">
              <w:rPr>
                <w:i/>
                <w:iCs/>
                <w:sz w:val="16"/>
                <w:szCs w:val="16"/>
              </w:rPr>
              <w:t>Budget</w:t>
            </w:r>
            <w:r w:rsidRPr="00C258AD">
              <w:rPr>
                <w:i/>
                <w:iCs/>
                <w:sz w:val="16"/>
                <w:szCs w:val="16"/>
              </w:rPr>
              <w:br/>
              <w:t>2014</w:t>
            </w:r>
            <w:r w:rsidRPr="00C258AD">
              <w:rPr>
                <w:i/>
                <w:iCs/>
                <w:sz w:val="16"/>
                <w:szCs w:val="16"/>
              </w:rPr>
              <w:noBreakHyphen/>
              <w:t>2015 approuvé</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AD1FA5" w:rsidRPr="00C258AD" w:rsidRDefault="00AD1FA5" w:rsidP="00A43BDE">
            <w:pPr>
              <w:jc w:val="center"/>
              <w:rPr>
                <w:i/>
                <w:iCs/>
                <w:sz w:val="16"/>
                <w:szCs w:val="16"/>
              </w:rPr>
            </w:pPr>
            <w:r w:rsidRPr="00C258AD">
              <w:rPr>
                <w:i/>
                <w:iCs/>
                <w:sz w:val="16"/>
                <w:szCs w:val="16"/>
              </w:rPr>
              <w:t>Budget final</w:t>
            </w:r>
            <w:r w:rsidRPr="00C258AD">
              <w:rPr>
                <w:i/>
                <w:iCs/>
                <w:sz w:val="16"/>
                <w:szCs w:val="16"/>
              </w:rPr>
              <w:br/>
              <w:t>2014</w:t>
            </w:r>
            <w:r w:rsidRPr="00C258AD">
              <w:rPr>
                <w:i/>
                <w:iCs/>
                <w:sz w:val="16"/>
                <w:szCs w:val="16"/>
              </w:rPr>
              <w:noBreakHyphen/>
              <w:t>2015 après virements</w:t>
            </w:r>
          </w:p>
        </w:tc>
        <w:tc>
          <w:tcPr>
            <w:tcW w:w="1360" w:type="dxa"/>
            <w:tcBorders>
              <w:top w:val="single" w:sz="4" w:space="0" w:color="auto"/>
              <w:left w:val="nil"/>
              <w:bottom w:val="single" w:sz="4" w:space="0" w:color="auto"/>
              <w:right w:val="single" w:sz="4" w:space="0" w:color="auto"/>
            </w:tcBorders>
            <w:shd w:val="clear" w:color="auto" w:fill="C5D9F1"/>
            <w:vAlign w:val="center"/>
            <w:hideMark/>
          </w:tcPr>
          <w:p w:rsidR="00AD1FA5" w:rsidRPr="00C258AD" w:rsidRDefault="00AD1FA5" w:rsidP="00A43BDE">
            <w:pPr>
              <w:jc w:val="center"/>
              <w:rPr>
                <w:i/>
                <w:iCs/>
                <w:sz w:val="16"/>
                <w:szCs w:val="16"/>
              </w:rPr>
            </w:pPr>
            <w:r w:rsidRPr="00C258AD">
              <w:rPr>
                <w:i/>
                <w:iCs/>
                <w:sz w:val="16"/>
                <w:szCs w:val="16"/>
              </w:rPr>
              <w:t>Dépenses</w:t>
            </w:r>
            <w:r w:rsidRPr="00C258AD">
              <w:rPr>
                <w:i/>
                <w:iCs/>
                <w:sz w:val="16"/>
                <w:szCs w:val="16"/>
              </w:rPr>
              <w:br/>
              <w:t>2014</w:t>
            </w:r>
            <w:r w:rsidRPr="00C258AD">
              <w:rPr>
                <w:i/>
                <w:iCs/>
                <w:sz w:val="16"/>
                <w:szCs w:val="16"/>
              </w:rPr>
              <w:noBreakHyphen/>
              <w:t>2015</w:t>
            </w:r>
          </w:p>
        </w:tc>
      </w:tr>
      <w:tr w:rsidR="00AD1FA5" w:rsidRPr="00C258AD" w:rsidTr="00A43BDE">
        <w:trPr>
          <w:cantSplit/>
        </w:trPr>
        <w:tc>
          <w:tcPr>
            <w:tcW w:w="522" w:type="dxa"/>
            <w:tcBorders>
              <w:top w:val="nil"/>
              <w:left w:val="single" w:sz="4" w:space="0" w:color="auto"/>
              <w:bottom w:val="nil"/>
              <w:right w:val="nil"/>
            </w:tcBorders>
            <w:shd w:val="clear" w:color="auto" w:fill="auto"/>
            <w:noWrap/>
            <w:vAlign w:val="center"/>
            <w:hideMark/>
          </w:tcPr>
          <w:p w:rsidR="00AD1FA5" w:rsidRPr="00C258AD" w:rsidRDefault="00AD1FA5" w:rsidP="00A43BDE">
            <w:pPr>
              <w:rPr>
                <w:sz w:val="16"/>
                <w:szCs w:val="16"/>
              </w:rPr>
            </w:pPr>
            <w:r w:rsidRPr="00C258AD">
              <w:rPr>
                <w:sz w:val="16"/>
                <w:szCs w:val="16"/>
              </w:rPr>
              <w:t>IX.1</w:t>
            </w:r>
          </w:p>
        </w:tc>
        <w:tc>
          <w:tcPr>
            <w:tcW w:w="4478" w:type="dxa"/>
            <w:tcBorders>
              <w:top w:val="nil"/>
              <w:left w:val="nil"/>
              <w:bottom w:val="nil"/>
              <w:right w:val="nil"/>
            </w:tcBorders>
            <w:shd w:val="clear" w:color="auto" w:fill="auto"/>
            <w:vAlign w:val="center"/>
            <w:hideMark/>
          </w:tcPr>
          <w:p w:rsidR="00AD1FA5" w:rsidRPr="00C258AD" w:rsidRDefault="00AD1FA5" w:rsidP="00A43BDE">
            <w:pPr>
              <w:rPr>
                <w:sz w:val="16"/>
                <w:szCs w:val="16"/>
              </w:rPr>
            </w:pPr>
            <w:r w:rsidRPr="00C258AD">
              <w:rPr>
                <w:sz w:val="16"/>
                <w:szCs w:val="16"/>
              </w:rPr>
              <w:t>Services d’appui efficaces, efficients, de qualité et tournés vers la clientèle, à l’intention à la fois des clients internes et des parties prenantes externes</w:t>
            </w:r>
          </w:p>
        </w:tc>
        <w:tc>
          <w:tcPr>
            <w:tcW w:w="1360" w:type="dxa"/>
            <w:tcBorders>
              <w:top w:val="nil"/>
              <w:left w:val="nil"/>
              <w:bottom w:val="nil"/>
              <w:right w:val="nil"/>
            </w:tcBorders>
            <w:shd w:val="clear" w:color="auto" w:fill="auto"/>
            <w:vAlign w:val="center"/>
            <w:hideMark/>
          </w:tcPr>
          <w:p w:rsidR="00AD1FA5" w:rsidRPr="00C258AD" w:rsidRDefault="00AD1FA5" w:rsidP="00A43BDE">
            <w:pPr>
              <w:jc w:val="right"/>
              <w:rPr>
                <w:sz w:val="16"/>
                <w:szCs w:val="16"/>
              </w:rPr>
            </w:pPr>
            <w:r w:rsidRPr="00C258AD">
              <w:rPr>
                <w:sz w:val="16"/>
                <w:szCs w:val="16"/>
              </w:rPr>
              <w:t>765</w:t>
            </w:r>
          </w:p>
        </w:tc>
        <w:tc>
          <w:tcPr>
            <w:tcW w:w="1360" w:type="dxa"/>
            <w:tcBorders>
              <w:top w:val="nil"/>
              <w:left w:val="nil"/>
              <w:bottom w:val="nil"/>
              <w:right w:val="nil"/>
            </w:tcBorders>
            <w:shd w:val="clear" w:color="auto" w:fill="auto"/>
            <w:vAlign w:val="center"/>
            <w:hideMark/>
          </w:tcPr>
          <w:p w:rsidR="00AD1FA5" w:rsidRPr="00C258AD" w:rsidRDefault="00AD1FA5" w:rsidP="00A43BDE">
            <w:pPr>
              <w:jc w:val="right"/>
              <w:rPr>
                <w:sz w:val="16"/>
                <w:szCs w:val="16"/>
              </w:rPr>
            </w:pPr>
            <w:r w:rsidRPr="00C258AD">
              <w:rPr>
                <w:sz w:val="16"/>
                <w:szCs w:val="16"/>
              </w:rPr>
              <w:t>4 114</w:t>
            </w:r>
          </w:p>
        </w:tc>
        <w:tc>
          <w:tcPr>
            <w:tcW w:w="1360" w:type="dxa"/>
            <w:tcBorders>
              <w:top w:val="nil"/>
              <w:left w:val="nil"/>
              <w:bottom w:val="nil"/>
              <w:right w:val="single" w:sz="4" w:space="0" w:color="auto"/>
            </w:tcBorders>
            <w:shd w:val="clear" w:color="auto" w:fill="auto"/>
            <w:vAlign w:val="center"/>
            <w:hideMark/>
          </w:tcPr>
          <w:p w:rsidR="00AD1FA5" w:rsidRPr="00C258AD" w:rsidRDefault="00AD1FA5" w:rsidP="00A43BDE">
            <w:pPr>
              <w:jc w:val="right"/>
              <w:rPr>
                <w:sz w:val="16"/>
                <w:szCs w:val="16"/>
              </w:rPr>
            </w:pPr>
            <w:r w:rsidRPr="00C258AD">
              <w:rPr>
                <w:sz w:val="16"/>
                <w:szCs w:val="16"/>
              </w:rPr>
              <w:t>3 942</w:t>
            </w:r>
          </w:p>
        </w:tc>
      </w:tr>
      <w:tr w:rsidR="00AD1FA5" w:rsidRPr="00C258AD" w:rsidTr="00A43BDE">
        <w:trPr>
          <w:cantSplit/>
        </w:trPr>
        <w:tc>
          <w:tcPr>
            <w:tcW w:w="522" w:type="dxa"/>
            <w:tcBorders>
              <w:top w:val="nil"/>
              <w:left w:val="single" w:sz="4" w:space="0" w:color="auto"/>
              <w:bottom w:val="nil"/>
              <w:right w:val="nil"/>
            </w:tcBorders>
            <w:shd w:val="clear" w:color="auto" w:fill="auto"/>
            <w:noWrap/>
            <w:vAlign w:val="center"/>
            <w:hideMark/>
          </w:tcPr>
          <w:p w:rsidR="00AD1FA5" w:rsidRPr="00C258AD" w:rsidRDefault="00AD1FA5" w:rsidP="00A43BDE">
            <w:pPr>
              <w:rPr>
                <w:sz w:val="16"/>
                <w:szCs w:val="16"/>
              </w:rPr>
            </w:pPr>
            <w:r w:rsidRPr="00C258AD">
              <w:rPr>
                <w:sz w:val="16"/>
                <w:szCs w:val="16"/>
              </w:rPr>
              <w:t>IX.4</w:t>
            </w:r>
          </w:p>
        </w:tc>
        <w:tc>
          <w:tcPr>
            <w:tcW w:w="4478" w:type="dxa"/>
            <w:tcBorders>
              <w:top w:val="nil"/>
              <w:left w:val="nil"/>
              <w:bottom w:val="nil"/>
              <w:right w:val="nil"/>
            </w:tcBorders>
            <w:shd w:val="clear" w:color="auto" w:fill="auto"/>
            <w:vAlign w:val="center"/>
            <w:hideMark/>
          </w:tcPr>
          <w:p w:rsidR="00AD1FA5" w:rsidRPr="00C258AD" w:rsidRDefault="00AD1FA5" w:rsidP="00A43BDE">
            <w:pPr>
              <w:rPr>
                <w:sz w:val="16"/>
                <w:szCs w:val="16"/>
              </w:rPr>
            </w:pPr>
            <w:r w:rsidRPr="00C258AD">
              <w:rPr>
                <w:sz w:val="16"/>
                <w:szCs w:val="16"/>
              </w:rPr>
              <w:t>Une Organisation écologiquement et socialement responsable assurant la sûreté et la sécurité du personnel, des délégués, des visiteurs, de l’information et des biens</w:t>
            </w:r>
          </w:p>
        </w:tc>
        <w:tc>
          <w:tcPr>
            <w:tcW w:w="1360" w:type="dxa"/>
            <w:tcBorders>
              <w:top w:val="nil"/>
              <w:left w:val="nil"/>
              <w:bottom w:val="nil"/>
              <w:right w:val="nil"/>
            </w:tcBorders>
            <w:shd w:val="clear" w:color="auto" w:fill="auto"/>
            <w:vAlign w:val="center"/>
            <w:hideMark/>
          </w:tcPr>
          <w:p w:rsidR="00AD1FA5" w:rsidRPr="00C258AD" w:rsidRDefault="00AD1FA5" w:rsidP="00A43BDE">
            <w:pPr>
              <w:jc w:val="right"/>
              <w:rPr>
                <w:sz w:val="16"/>
                <w:szCs w:val="16"/>
              </w:rPr>
            </w:pPr>
            <w:r w:rsidRPr="00C258AD">
              <w:rPr>
                <w:sz w:val="16"/>
                <w:szCs w:val="16"/>
              </w:rPr>
              <w:t>69</w:t>
            </w:r>
          </w:p>
        </w:tc>
        <w:tc>
          <w:tcPr>
            <w:tcW w:w="1360" w:type="dxa"/>
            <w:tcBorders>
              <w:top w:val="nil"/>
              <w:left w:val="nil"/>
              <w:bottom w:val="nil"/>
              <w:right w:val="nil"/>
            </w:tcBorders>
            <w:shd w:val="clear" w:color="auto" w:fill="auto"/>
            <w:vAlign w:val="center"/>
            <w:hideMark/>
          </w:tcPr>
          <w:p w:rsidR="00AD1FA5" w:rsidRPr="00C258AD" w:rsidRDefault="00AD1FA5" w:rsidP="00A43BDE">
            <w:pPr>
              <w:jc w:val="right"/>
              <w:rPr>
                <w:sz w:val="16"/>
                <w:szCs w:val="16"/>
              </w:rPr>
            </w:pPr>
            <w:r w:rsidRPr="00C258AD">
              <w:rPr>
                <w:sz w:val="16"/>
                <w:szCs w:val="16"/>
              </w:rPr>
              <w:t>190</w:t>
            </w:r>
          </w:p>
        </w:tc>
        <w:tc>
          <w:tcPr>
            <w:tcW w:w="1360" w:type="dxa"/>
            <w:tcBorders>
              <w:top w:val="nil"/>
              <w:left w:val="nil"/>
              <w:bottom w:val="nil"/>
              <w:right w:val="single" w:sz="4" w:space="0" w:color="auto"/>
            </w:tcBorders>
            <w:shd w:val="clear" w:color="auto" w:fill="auto"/>
            <w:vAlign w:val="center"/>
            <w:hideMark/>
          </w:tcPr>
          <w:p w:rsidR="00AD1FA5" w:rsidRPr="00C258AD" w:rsidRDefault="00AD1FA5" w:rsidP="00A43BDE">
            <w:pPr>
              <w:jc w:val="right"/>
              <w:rPr>
                <w:sz w:val="16"/>
                <w:szCs w:val="16"/>
              </w:rPr>
            </w:pPr>
            <w:r w:rsidRPr="00C258AD">
              <w:rPr>
                <w:sz w:val="16"/>
                <w:szCs w:val="16"/>
              </w:rPr>
              <w:t>166</w:t>
            </w:r>
          </w:p>
        </w:tc>
      </w:tr>
      <w:tr w:rsidR="00AD1FA5" w:rsidRPr="00C258AD" w:rsidTr="00A43BDE">
        <w:trPr>
          <w:cantSplit/>
        </w:trPr>
        <w:tc>
          <w:tcPr>
            <w:tcW w:w="522" w:type="dxa"/>
            <w:tcBorders>
              <w:top w:val="single" w:sz="4" w:space="0" w:color="auto"/>
              <w:left w:val="single" w:sz="4" w:space="0" w:color="auto"/>
              <w:bottom w:val="single" w:sz="4" w:space="0" w:color="auto"/>
              <w:right w:val="nil"/>
            </w:tcBorders>
            <w:shd w:val="clear" w:color="auto" w:fill="C5D9F1"/>
            <w:noWrap/>
            <w:vAlign w:val="bottom"/>
            <w:hideMark/>
          </w:tcPr>
          <w:p w:rsidR="00AD1FA5" w:rsidRPr="00C258AD" w:rsidRDefault="00AD1FA5" w:rsidP="00A43BDE">
            <w:pPr>
              <w:rPr>
                <w:sz w:val="16"/>
                <w:szCs w:val="16"/>
              </w:rPr>
            </w:pPr>
            <w:r w:rsidRPr="00C258AD">
              <w:rPr>
                <w:sz w:val="16"/>
                <w:szCs w:val="16"/>
              </w:rPr>
              <w:t> </w:t>
            </w:r>
          </w:p>
        </w:tc>
        <w:tc>
          <w:tcPr>
            <w:tcW w:w="4478" w:type="dxa"/>
            <w:tcBorders>
              <w:top w:val="single" w:sz="4" w:space="0" w:color="auto"/>
              <w:left w:val="nil"/>
              <w:bottom w:val="single" w:sz="4" w:space="0" w:color="auto"/>
              <w:right w:val="single" w:sz="4" w:space="0" w:color="auto"/>
            </w:tcBorders>
            <w:shd w:val="clear" w:color="auto" w:fill="C5D9F1"/>
            <w:noWrap/>
            <w:vAlign w:val="bottom"/>
            <w:hideMark/>
          </w:tcPr>
          <w:p w:rsidR="00AD1FA5" w:rsidRPr="00C258AD" w:rsidRDefault="00AD1FA5" w:rsidP="00A43BDE">
            <w:pPr>
              <w:rPr>
                <w:b/>
                <w:bCs/>
                <w:sz w:val="16"/>
                <w:szCs w:val="16"/>
              </w:rPr>
            </w:pPr>
            <w:r w:rsidRPr="00C258AD">
              <w:rPr>
                <w:b/>
                <w:bCs/>
                <w:sz w:val="16"/>
                <w:szCs w:val="16"/>
              </w:rPr>
              <w:t>Total</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AD1FA5" w:rsidRPr="00C258AD" w:rsidRDefault="00AD1FA5" w:rsidP="00A43BDE">
            <w:pPr>
              <w:jc w:val="right"/>
              <w:rPr>
                <w:b/>
                <w:bCs/>
                <w:sz w:val="16"/>
                <w:szCs w:val="16"/>
              </w:rPr>
            </w:pPr>
            <w:r w:rsidRPr="00C258AD">
              <w:rPr>
                <w:b/>
                <w:bCs/>
                <w:sz w:val="16"/>
                <w:szCs w:val="16"/>
              </w:rPr>
              <w:t>834</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AD1FA5" w:rsidRPr="00C258AD" w:rsidRDefault="00AD1FA5" w:rsidP="00A43BDE">
            <w:pPr>
              <w:jc w:val="right"/>
              <w:rPr>
                <w:b/>
                <w:bCs/>
                <w:sz w:val="16"/>
                <w:szCs w:val="16"/>
              </w:rPr>
            </w:pPr>
            <w:r w:rsidRPr="00C258AD">
              <w:rPr>
                <w:b/>
                <w:bCs/>
                <w:sz w:val="16"/>
                <w:szCs w:val="16"/>
              </w:rPr>
              <w:t>4 303</w:t>
            </w:r>
          </w:p>
        </w:tc>
        <w:tc>
          <w:tcPr>
            <w:tcW w:w="1360" w:type="dxa"/>
            <w:tcBorders>
              <w:top w:val="single" w:sz="4" w:space="0" w:color="auto"/>
              <w:left w:val="nil"/>
              <w:bottom w:val="single" w:sz="4" w:space="0" w:color="auto"/>
              <w:right w:val="single" w:sz="4" w:space="0" w:color="auto"/>
            </w:tcBorders>
            <w:shd w:val="clear" w:color="auto" w:fill="C5D9F1"/>
            <w:noWrap/>
            <w:vAlign w:val="bottom"/>
            <w:hideMark/>
          </w:tcPr>
          <w:p w:rsidR="00AD1FA5" w:rsidRPr="00C258AD" w:rsidRDefault="00AD1FA5" w:rsidP="00A43BDE">
            <w:pPr>
              <w:jc w:val="right"/>
              <w:rPr>
                <w:b/>
                <w:bCs/>
                <w:sz w:val="16"/>
                <w:szCs w:val="16"/>
              </w:rPr>
            </w:pPr>
            <w:r w:rsidRPr="00C258AD">
              <w:rPr>
                <w:b/>
                <w:bCs/>
                <w:sz w:val="16"/>
                <w:szCs w:val="16"/>
              </w:rPr>
              <w:t>4 108</w:t>
            </w:r>
          </w:p>
        </w:tc>
      </w:tr>
    </w:tbl>
    <w:p w:rsidR="006E2BB1" w:rsidRPr="00C258AD" w:rsidRDefault="006E2BB1" w:rsidP="00A43BDE"/>
    <w:p w:rsidR="006E2BB1" w:rsidRPr="00C258AD" w:rsidRDefault="006E2BB1" w:rsidP="00A43BDE"/>
    <w:p w:rsidR="006E2BB1" w:rsidRPr="00C258AD" w:rsidRDefault="00AD1FA5" w:rsidP="00A43BDE">
      <w:pPr>
        <w:pStyle w:val="NormalWeb"/>
        <w:keepNext/>
        <w:keepLines/>
        <w:spacing w:before="0" w:beforeAutospacing="0" w:after="0" w:afterAutospacing="0"/>
        <w:jc w:val="center"/>
        <w:rPr>
          <w:sz w:val="20"/>
          <w:szCs w:val="20"/>
        </w:rPr>
      </w:pPr>
      <w:r w:rsidRPr="00C258AD">
        <w:rPr>
          <w:sz w:val="20"/>
          <w:szCs w:val="20"/>
        </w:rPr>
        <w:t xml:space="preserve">Budget et dépenses effectives (dépenses de </w:t>
      </w:r>
      <w:proofErr w:type="gramStart"/>
      <w:r w:rsidRPr="00C258AD">
        <w:rPr>
          <w:sz w:val="20"/>
          <w:szCs w:val="20"/>
        </w:rPr>
        <w:t>personnel et autres dépenses</w:t>
      </w:r>
      <w:proofErr w:type="gramEnd"/>
      <w:r w:rsidRPr="00C258AD">
        <w:rPr>
          <w:sz w:val="20"/>
          <w:szCs w:val="20"/>
        </w:rPr>
        <w:t>)</w:t>
      </w:r>
    </w:p>
    <w:p w:rsidR="006E2BB1" w:rsidRPr="00C258AD" w:rsidRDefault="00AD1FA5" w:rsidP="00A43BDE">
      <w:pPr>
        <w:pStyle w:val="NormalWeb"/>
        <w:keepNext/>
        <w:keepLines/>
        <w:spacing w:before="0" w:beforeAutospacing="0" w:after="0" w:afterAutospacing="0"/>
        <w:jc w:val="center"/>
        <w:rPr>
          <w:i/>
          <w:iCs/>
          <w:sz w:val="20"/>
          <w:szCs w:val="20"/>
        </w:rPr>
      </w:pPr>
      <w:r w:rsidRPr="00C258AD">
        <w:rPr>
          <w:i/>
          <w:iCs/>
          <w:sz w:val="20"/>
          <w:szCs w:val="20"/>
        </w:rPr>
        <w:t>(</w:t>
      </w:r>
      <w:proofErr w:type="gramStart"/>
      <w:r w:rsidRPr="00C258AD">
        <w:rPr>
          <w:i/>
          <w:iCs/>
          <w:sz w:val="20"/>
          <w:szCs w:val="20"/>
        </w:rPr>
        <w:t>en</w:t>
      </w:r>
      <w:proofErr w:type="gramEnd"/>
      <w:r w:rsidRPr="00C258AD">
        <w:rPr>
          <w:i/>
          <w:iCs/>
          <w:sz w:val="20"/>
          <w:szCs w:val="20"/>
        </w:rPr>
        <w:t xml:space="preserve"> milliers de francs suisses)</w:t>
      </w:r>
    </w:p>
    <w:p w:rsidR="00AD1FA5" w:rsidRPr="00C258AD" w:rsidRDefault="00AD1FA5" w:rsidP="00A43BDE">
      <w:pPr>
        <w:keepNext/>
      </w:pPr>
    </w:p>
    <w:tbl>
      <w:tblPr>
        <w:tblW w:w="5000" w:type="pct"/>
        <w:tblCellMar>
          <w:top w:w="113" w:type="dxa"/>
          <w:left w:w="70" w:type="dxa"/>
          <w:bottom w:w="113" w:type="dxa"/>
          <w:right w:w="70" w:type="dxa"/>
        </w:tblCellMar>
        <w:tblLook w:val="04A0" w:firstRow="1" w:lastRow="0" w:firstColumn="1" w:lastColumn="0" w:noHBand="0" w:noVBand="1"/>
      </w:tblPr>
      <w:tblGrid>
        <w:gridCol w:w="2513"/>
        <w:gridCol w:w="1745"/>
        <w:gridCol w:w="1746"/>
        <w:gridCol w:w="1745"/>
        <w:gridCol w:w="1746"/>
      </w:tblGrid>
      <w:tr w:rsidR="00AD1FA5" w:rsidRPr="00C258AD" w:rsidTr="00A43BDE">
        <w:trPr>
          <w:cantSplit/>
        </w:trPr>
        <w:tc>
          <w:tcPr>
            <w:tcW w:w="2513" w:type="dxa"/>
            <w:tcBorders>
              <w:top w:val="single" w:sz="4" w:space="0" w:color="auto"/>
              <w:left w:val="single" w:sz="4" w:space="0" w:color="auto"/>
              <w:bottom w:val="single" w:sz="4" w:space="0" w:color="auto"/>
              <w:right w:val="single" w:sz="4" w:space="0" w:color="auto"/>
            </w:tcBorders>
            <w:shd w:val="clear" w:color="auto" w:fill="C5D9F1"/>
            <w:noWrap/>
            <w:vAlign w:val="center"/>
            <w:hideMark/>
          </w:tcPr>
          <w:p w:rsidR="00AD1FA5" w:rsidRPr="00C258AD" w:rsidRDefault="00AD1FA5" w:rsidP="00A43BDE">
            <w:pPr>
              <w:rPr>
                <w:sz w:val="16"/>
                <w:szCs w:val="18"/>
              </w:rPr>
            </w:pPr>
            <w:r w:rsidRPr="00C258AD">
              <w:rPr>
                <w:sz w:val="16"/>
                <w:szCs w:val="18"/>
              </w:rPr>
              <w:t> </w:t>
            </w:r>
          </w:p>
        </w:tc>
        <w:tc>
          <w:tcPr>
            <w:tcW w:w="1745" w:type="dxa"/>
            <w:tcBorders>
              <w:top w:val="single" w:sz="4" w:space="0" w:color="auto"/>
              <w:left w:val="nil"/>
              <w:bottom w:val="nil"/>
              <w:right w:val="single" w:sz="4" w:space="0" w:color="auto"/>
            </w:tcBorders>
            <w:shd w:val="clear" w:color="auto" w:fill="C5D9F1"/>
            <w:vAlign w:val="center"/>
            <w:hideMark/>
          </w:tcPr>
          <w:p w:rsidR="00AD1FA5" w:rsidRPr="00C258AD" w:rsidRDefault="00AD1FA5" w:rsidP="00A43BDE">
            <w:pPr>
              <w:jc w:val="center"/>
              <w:rPr>
                <w:b/>
                <w:bCs/>
                <w:sz w:val="16"/>
                <w:szCs w:val="18"/>
              </w:rPr>
            </w:pPr>
            <w:r w:rsidRPr="00C258AD">
              <w:rPr>
                <w:b/>
                <w:bCs/>
                <w:sz w:val="16"/>
                <w:szCs w:val="18"/>
              </w:rPr>
              <w:t>Budget 2014</w:t>
            </w:r>
            <w:r w:rsidRPr="00C258AD">
              <w:rPr>
                <w:b/>
                <w:bCs/>
                <w:sz w:val="16"/>
                <w:szCs w:val="18"/>
              </w:rPr>
              <w:noBreakHyphen/>
              <w:t>2015 approuvé</w:t>
            </w:r>
          </w:p>
        </w:tc>
        <w:tc>
          <w:tcPr>
            <w:tcW w:w="1746" w:type="dxa"/>
            <w:tcBorders>
              <w:top w:val="single" w:sz="4" w:space="0" w:color="auto"/>
              <w:left w:val="nil"/>
              <w:bottom w:val="nil"/>
              <w:right w:val="single" w:sz="4" w:space="0" w:color="auto"/>
            </w:tcBorders>
            <w:shd w:val="clear" w:color="auto" w:fill="C5D9F1"/>
            <w:vAlign w:val="center"/>
            <w:hideMark/>
          </w:tcPr>
          <w:p w:rsidR="00AD1FA5" w:rsidRPr="00C258AD" w:rsidRDefault="00AD1FA5" w:rsidP="00A43BDE">
            <w:pPr>
              <w:jc w:val="center"/>
              <w:rPr>
                <w:b/>
                <w:bCs/>
                <w:sz w:val="16"/>
                <w:szCs w:val="18"/>
              </w:rPr>
            </w:pPr>
            <w:r w:rsidRPr="00C258AD">
              <w:rPr>
                <w:b/>
                <w:bCs/>
                <w:sz w:val="16"/>
                <w:szCs w:val="18"/>
              </w:rPr>
              <w:t>Budget final 2014</w:t>
            </w:r>
            <w:r w:rsidRPr="00C258AD">
              <w:rPr>
                <w:b/>
                <w:bCs/>
                <w:sz w:val="16"/>
                <w:szCs w:val="18"/>
              </w:rPr>
              <w:noBreakHyphen/>
              <w:t>2015</w:t>
            </w:r>
            <w:r w:rsidRPr="00C258AD">
              <w:rPr>
                <w:b/>
                <w:bCs/>
                <w:sz w:val="16"/>
                <w:szCs w:val="18"/>
              </w:rPr>
              <w:br/>
              <w:t>après virements</w:t>
            </w:r>
          </w:p>
        </w:tc>
        <w:tc>
          <w:tcPr>
            <w:tcW w:w="1745" w:type="dxa"/>
            <w:tcBorders>
              <w:top w:val="single" w:sz="4" w:space="0" w:color="auto"/>
              <w:left w:val="nil"/>
              <w:bottom w:val="nil"/>
              <w:right w:val="single" w:sz="4" w:space="0" w:color="auto"/>
            </w:tcBorders>
            <w:shd w:val="clear" w:color="auto" w:fill="C5D9F1"/>
            <w:vAlign w:val="center"/>
            <w:hideMark/>
          </w:tcPr>
          <w:p w:rsidR="00AD1FA5" w:rsidRPr="00C258AD" w:rsidRDefault="00AD1FA5" w:rsidP="00A43BDE">
            <w:pPr>
              <w:jc w:val="center"/>
              <w:rPr>
                <w:b/>
                <w:bCs/>
                <w:sz w:val="16"/>
                <w:szCs w:val="18"/>
              </w:rPr>
            </w:pPr>
            <w:r w:rsidRPr="00C258AD">
              <w:rPr>
                <w:b/>
                <w:bCs/>
                <w:sz w:val="16"/>
                <w:szCs w:val="18"/>
              </w:rPr>
              <w:t xml:space="preserve">Dépenses </w:t>
            </w:r>
            <w:r w:rsidRPr="00C258AD">
              <w:rPr>
                <w:b/>
                <w:bCs/>
                <w:sz w:val="16"/>
                <w:szCs w:val="18"/>
              </w:rPr>
              <w:br/>
              <w:t>2014</w:t>
            </w:r>
            <w:r w:rsidRPr="00C258AD">
              <w:rPr>
                <w:b/>
                <w:bCs/>
                <w:sz w:val="16"/>
                <w:szCs w:val="18"/>
              </w:rPr>
              <w:noBreakHyphen/>
              <w:t>2015</w:t>
            </w:r>
          </w:p>
        </w:tc>
        <w:tc>
          <w:tcPr>
            <w:tcW w:w="1746" w:type="dxa"/>
            <w:tcBorders>
              <w:top w:val="single" w:sz="4" w:space="0" w:color="auto"/>
              <w:left w:val="nil"/>
              <w:bottom w:val="nil"/>
              <w:right w:val="single" w:sz="4" w:space="0" w:color="auto"/>
            </w:tcBorders>
            <w:shd w:val="clear" w:color="auto" w:fill="C5D9F1"/>
            <w:vAlign w:val="center"/>
            <w:hideMark/>
          </w:tcPr>
          <w:p w:rsidR="00AD1FA5" w:rsidRPr="00C258AD" w:rsidRDefault="00AD1FA5" w:rsidP="00A43BDE">
            <w:pPr>
              <w:jc w:val="center"/>
              <w:rPr>
                <w:b/>
                <w:bCs/>
                <w:sz w:val="16"/>
                <w:szCs w:val="18"/>
              </w:rPr>
            </w:pPr>
            <w:r w:rsidRPr="00C258AD">
              <w:rPr>
                <w:b/>
                <w:bCs/>
                <w:sz w:val="16"/>
                <w:szCs w:val="18"/>
              </w:rPr>
              <w:t>Taux d’utilisation (%)</w:t>
            </w:r>
          </w:p>
        </w:tc>
      </w:tr>
      <w:tr w:rsidR="00AD1FA5" w:rsidRPr="00C258AD" w:rsidTr="00A43BDE">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AD1FA5" w:rsidRPr="00C258AD" w:rsidRDefault="00AD1FA5" w:rsidP="00A43BDE">
            <w:pPr>
              <w:rPr>
                <w:sz w:val="16"/>
                <w:szCs w:val="18"/>
              </w:rPr>
            </w:pPr>
            <w:r w:rsidRPr="00C258AD">
              <w:rPr>
                <w:sz w:val="16"/>
                <w:szCs w:val="18"/>
              </w:rPr>
              <w:t xml:space="preserve">Dépenses de personnel </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sz w:val="16"/>
                <w:szCs w:val="18"/>
              </w:rPr>
            </w:pPr>
            <w:r w:rsidRPr="00C258AD">
              <w:rPr>
                <w:sz w:val="16"/>
                <w:szCs w:val="18"/>
              </w:rPr>
              <w:t>462</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sz w:val="16"/>
                <w:szCs w:val="18"/>
              </w:rPr>
            </w:pPr>
            <w:r w:rsidRPr="00C258AD">
              <w:rPr>
                <w:sz w:val="16"/>
                <w:szCs w:val="18"/>
              </w:rPr>
              <w:t>443</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sz w:val="16"/>
                <w:szCs w:val="18"/>
              </w:rPr>
            </w:pPr>
            <w:r w:rsidRPr="00C258AD">
              <w:rPr>
                <w:sz w:val="16"/>
                <w:szCs w:val="18"/>
              </w:rPr>
              <w:t>387</w:t>
            </w:r>
          </w:p>
        </w:tc>
        <w:tc>
          <w:tcPr>
            <w:tcW w:w="1746" w:type="dxa"/>
            <w:tcBorders>
              <w:top w:val="single" w:sz="4" w:space="0" w:color="auto"/>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sz w:val="16"/>
                <w:szCs w:val="18"/>
              </w:rPr>
            </w:pPr>
            <w:r w:rsidRPr="00C258AD">
              <w:rPr>
                <w:sz w:val="16"/>
                <w:szCs w:val="18"/>
              </w:rPr>
              <w:t>87%</w:t>
            </w:r>
          </w:p>
        </w:tc>
      </w:tr>
      <w:tr w:rsidR="00AD1FA5" w:rsidRPr="00C258AD" w:rsidTr="00A43BDE">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AD1FA5" w:rsidRPr="00C258AD" w:rsidRDefault="00AD1FA5" w:rsidP="00A43BDE">
            <w:pPr>
              <w:rPr>
                <w:sz w:val="16"/>
                <w:szCs w:val="18"/>
              </w:rPr>
            </w:pPr>
            <w:r w:rsidRPr="00C258AD">
              <w:rPr>
                <w:sz w:val="16"/>
                <w:szCs w:val="18"/>
              </w:rPr>
              <w:t xml:space="preserve">Autres dépenses </w:t>
            </w:r>
          </w:p>
        </w:tc>
        <w:tc>
          <w:tcPr>
            <w:tcW w:w="1745"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sz w:val="16"/>
                <w:szCs w:val="18"/>
              </w:rPr>
            </w:pPr>
            <w:r w:rsidRPr="00C258AD">
              <w:rPr>
                <w:sz w:val="16"/>
                <w:szCs w:val="18"/>
              </w:rPr>
              <w:t>372</w:t>
            </w:r>
          </w:p>
        </w:tc>
        <w:tc>
          <w:tcPr>
            <w:tcW w:w="1746"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sz w:val="16"/>
                <w:szCs w:val="18"/>
              </w:rPr>
            </w:pPr>
            <w:r w:rsidRPr="00C258AD">
              <w:rPr>
                <w:sz w:val="16"/>
                <w:szCs w:val="18"/>
              </w:rPr>
              <w:t>3 861</w:t>
            </w:r>
          </w:p>
        </w:tc>
        <w:tc>
          <w:tcPr>
            <w:tcW w:w="1745"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sz w:val="16"/>
                <w:szCs w:val="18"/>
              </w:rPr>
            </w:pPr>
            <w:r w:rsidRPr="00C258AD">
              <w:rPr>
                <w:sz w:val="16"/>
                <w:szCs w:val="18"/>
              </w:rPr>
              <w:t>3 721</w:t>
            </w:r>
          </w:p>
        </w:tc>
        <w:tc>
          <w:tcPr>
            <w:tcW w:w="1746"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sz w:val="16"/>
                <w:szCs w:val="18"/>
              </w:rPr>
            </w:pPr>
            <w:r w:rsidRPr="00C258AD">
              <w:rPr>
                <w:sz w:val="16"/>
                <w:szCs w:val="18"/>
              </w:rPr>
              <w:t>96%</w:t>
            </w:r>
          </w:p>
        </w:tc>
      </w:tr>
      <w:tr w:rsidR="00AD1FA5" w:rsidRPr="00C258AD" w:rsidTr="00A43BDE">
        <w:trPr>
          <w:cantSplit/>
        </w:trPr>
        <w:tc>
          <w:tcPr>
            <w:tcW w:w="2513" w:type="dxa"/>
            <w:tcBorders>
              <w:top w:val="nil"/>
              <w:left w:val="single" w:sz="4" w:space="0" w:color="auto"/>
              <w:bottom w:val="single" w:sz="4" w:space="0" w:color="auto"/>
              <w:right w:val="single" w:sz="4" w:space="0" w:color="auto"/>
            </w:tcBorders>
            <w:shd w:val="clear" w:color="auto" w:fill="auto"/>
            <w:noWrap/>
            <w:vAlign w:val="center"/>
            <w:hideMark/>
          </w:tcPr>
          <w:p w:rsidR="00AD1FA5" w:rsidRPr="00C258AD" w:rsidRDefault="00AD1FA5" w:rsidP="00A43BDE">
            <w:pPr>
              <w:jc w:val="right"/>
              <w:rPr>
                <w:b/>
                <w:bCs/>
                <w:sz w:val="16"/>
                <w:szCs w:val="18"/>
              </w:rPr>
            </w:pPr>
            <w:r w:rsidRPr="00C258AD">
              <w:rPr>
                <w:b/>
                <w:bCs/>
                <w:sz w:val="16"/>
                <w:szCs w:val="18"/>
              </w:rPr>
              <w:t xml:space="preserve">TOTAL </w:t>
            </w:r>
          </w:p>
        </w:tc>
        <w:tc>
          <w:tcPr>
            <w:tcW w:w="1745"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b/>
                <w:bCs/>
                <w:sz w:val="16"/>
                <w:szCs w:val="18"/>
              </w:rPr>
            </w:pPr>
            <w:r w:rsidRPr="00C258AD">
              <w:rPr>
                <w:b/>
                <w:bCs/>
                <w:sz w:val="16"/>
                <w:szCs w:val="18"/>
              </w:rPr>
              <w:t>834</w:t>
            </w:r>
          </w:p>
        </w:tc>
        <w:tc>
          <w:tcPr>
            <w:tcW w:w="1746"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b/>
                <w:bCs/>
                <w:sz w:val="16"/>
                <w:szCs w:val="18"/>
              </w:rPr>
            </w:pPr>
            <w:r w:rsidRPr="00C258AD">
              <w:rPr>
                <w:b/>
                <w:bCs/>
                <w:sz w:val="16"/>
                <w:szCs w:val="18"/>
              </w:rPr>
              <w:t>4 303</w:t>
            </w:r>
          </w:p>
        </w:tc>
        <w:tc>
          <w:tcPr>
            <w:tcW w:w="1745"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b/>
                <w:bCs/>
                <w:sz w:val="16"/>
                <w:szCs w:val="18"/>
              </w:rPr>
            </w:pPr>
            <w:r w:rsidRPr="00C258AD">
              <w:rPr>
                <w:b/>
                <w:bCs/>
                <w:sz w:val="16"/>
                <w:szCs w:val="18"/>
              </w:rPr>
              <w:t>4 108</w:t>
            </w:r>
          </w:p>
        </w:tc>
        <w:tc>
          <w:tcPr>
            <w:tcW w:w="1746" w:type="dxa"/>
            <w:tcBorders>
              <w:top w:val="nil"/>
              <w:left w:val="nil"/>
              <w:bottom w:val="single" w:sz="4" w:space="0" w:color="auto"/>
              <w:right w:val="single" w:sz="4" w:space="0" w:color="auto"/>
            </w:tcBorders>
            <w:shd w:val="clear" w:color="auto" w:fill="auto"/>
            <w:vAlign w:val="center"/>
            <w:hideMark/>
          </w:tcPr>
          <w:p w:rsidR="00AD1FA5" w:rsidRPr="00C258AD" w:rsidRDefault="00AD1FA5" w:rsidP="00A43BDE">
            <w:pPr>
              <w:jc w:val="center"/>
              <w:rPr>
                <w:b/>
                <w:bCs/>
                <w:sz w:val="16"/>
                <w:szCs w:val="18"/>
              </w:rPr>
            </w:pPr>
            <w:r w:rsidRPr="00C258AD">
              <w:rPr>
                <w:b/>
                <w:bCs/>
                <w:sz w:val="16"/>
                <w:szCs w:val="18"/>
              </w:rPr>
              <w:t>95%</w:t>
            </w:r>
          </w:p>
        </w:tc>
      </w:tr>
    </w:tbl>
    <w:p w:rsidR="006E2BB1" w:rsidRPr="00C258AD" w:rsidRDefault="006E2BB1" w:rsidP="00A43BDE">
      <w:pPr>
        <w:widowControl w:val="0"/>
        <w:autoSpaceDE w:val="0"/>
        <w:autoSpaceDN w:val="0"/>
        <w:adjustRightInd w:val="0"/>
        <w:jc w:val="both"/>
      </w:pPr>
    </w:p>
    <w:p w:rsidR="006E2BB1" w:rsidRPr="00C258AD" w:rsidRDefault="006E2BB1" w:rsidP="00A43BDE">
      <w:pPr>
        <w:widowControl w:val="0"/>
        <w:autoSpaceDE w:val="0"/>
        <w:autoSpaceDN w:val="0"/>
        <w:adjustRightInd w:val="0"/>
        <w:jc w:val="both"/>
      </w:pPr>
    </w:p>
    <w:p w:rsidR="006E2BB1" w:rsidRPr="00C258AD" w:rsidRDefault="00AD1FA5" w:rsidP="00A43BDE">
      <w:pPr>
        <w:rPr>
          <w:u w:val="single"/>
        </w:rPr>
      </w:pPr>
      <w:r w:rsidRPr="00C258AD">
        <w:t>A.</w:t>
      </w:r>
      <w:r w:rsidRPr="00C258AD">
        <w:tab/>
      </w:r>
      <w:r w:rsidRPr="00C258AD">
        <w:rPr>
          <w:u w:val="single"/>
        </w:rPr>
        <w:t>Budget final 2014</w:t>
      </w:r>
      <w:r w:rsidRPr="00C258AD">
        <w:rPr>
          <w:u w:val="single"/>
        </w:rPr>
        <w:noBreakHyphen/>
        <w:t>2015 après virements</w:t>
      </w:r>
    </w:p>
    <w:p w:rsidR="006E2BB1" w:rsidRPr="00C258AD" w:rsidRDefault="006E2BB1" w:rsidP="00A43BDE">
      <w:pPr>
        <w:rPr>
          <w:u w:val="single"/>
        </w:rPr>
      </w:pPr>
    </w:p>
    <w:p w:rsidR="006E2BB1" w:rsidRPr="00C258AD" w:rsidRDefault="00AD1FA5" w:rsidP="00DF2EEF">
      <w:pPr>
        <w:pStyle w:val="ListParagraph"/>
        <w:numPr>
          <w:ilvl w:val="0"/>
          <w:numId w:val="95"/>
        </w:numPr>
        <w:tabs>
          <w:tab w:val="left" w:pos="709"/>
        </w:tabs>
        <w:ind w:left="0" w:firstLine="0"/>
        <w:jc w:val="both"/>
      </w:pPr>
      <w:r w:rsidRPr="00C258AD">
        <w:t>L’augmentation globale du budget final après virements pour 2014</w:t>
      </w:r>
      <w:r w:rsidRPr="00C258AD">
        <w:noBreakHyphen/>
        <w:t>2015 était principalement due à l’affectation de ressources supplémentaires pour couvrir les dépenses liées à l’achèvement et à la clôture du projet de nouvelle salle de conférence, approuvées par les assemblées des États membres de l’OMPI en octobre 2015.  Cela apparaît sous le résultat escompté IX.1.</w:t>
      </w:r>
    </w:p>
    <w:p w:rsidR="006E2BB1" w:rsidRPr="00C258AD" w:rsidRDefault="006E2BB1" w:rsidP="00A43BDE">
      <w:pPr>
        <w:autoSpaceDE w:val="0"/>
        <w:autoSpaceDN w:val="0"/>
        <w:jc w:val="both"/>
      </w:pPr>
    </w:p>
    <w:p w:rsidR="006E2BB1" w:rsidRPr="00C258AD" w:rsidRDefault="006E2BB1" w:rsidP="00A43BDE">
      <w:pPr>
        <w:autoSpaceDE w:val="0"/>
        <w:autoSpaceDN w:val="0"/>
        <w:jc w:val="both"/>
      </w:pPr>
    </w:p>
    <w:p w:rsidR="006E2BB1" w:rsidRPr="00C258AD" w:rsidRDefault="00AD1FA5" w:rsidP="00A43BDE">
      <w:pPr>
        <w:jc w:val="both"/>
        <w:rPr>
          <w:u w:val="single"/>
        </w:rPr>
      </w:pPr>
      <w:r w:rsidRPr="00C258AD">
        <w:t>B.</w:t>
      </w:r>
      <w:r w:rsidRPr="00C258AD">
        <w:tab/>
      </w:r>
      <w:r w:rsidRPr="00C258AD">
        <w:rPr>
          <w:u w:val="single"/>
        </w:rPr>
        <w:t>Utilisation du budget en 2014</w:t>
      </w:r>
      <w:r w:rsidRPr="00C258AD">
        <w:rPr>
          <w:u w:val="single"/>
        </w:rPr>
        <w:noBreakHyphen/>
        <w:t>2015</w:t>
      </w:r>
    </w:p>
    <w:p w:rsidR="006E2BB1" w:rsidRPr="00C258AD" w:rsidRDefault="006E2BB1" w:rsidP="00A43BDE">
      <w:pPr>
        <w:tabs>
          <w:tab w:val="left" w:pos="709"/>
        </w:tabs>
        <w:jc w:val="both"/>
        <w:rPr>
          <w:u w:val="single"/>
        </w:rPr>
      </w:pPr>
    </w:p>
    <w:p w:rsidR="006E2BB1" w:rsidRPr="00C258AD" w:rsidRDefault="00AD1FA5" w:rsidP="00DF2EEF">
      <w:pPr>
        <w:pStyle w:val="ListParagraph"/>
        <w:numPr>
          <w:ilvl w:val="0"/>
          <w:numId w:val="95"/>
        </w:numPr>
        <w:tabs>
          <w:tab w:val="left" w:pos="709"/>
        </w:tabs>
        <w:ind w:left="0" w:firstLine="0"/>
        <w:jc w:val="both"/>
      </w:pPr>
      <w:r w:rsidRPr="00C258AD">
        <w:t>La légère sous</w:t>
      </w:r>
      <w:r w:rsidRPr="00C258AD">
        <w:noBreakHyphen/>
        <w:t>utilisation des ressources en personnel peut être attribuée à la différence entre la méthode classique de calcul des coûts appliquée pour l’exercice biennal 2014</w:t>
      </w:r>
      <w:r w:rsidRPr="00C258AD">
        <w:noBreakHyphen/>
        <w:t>2015 et les dépenses réelles de personnel.</w:t>
      </w:r>
    </w:p>
    <w:p w:rsidR="006E2BB1" w:rsidRPr="00C258AD" w:rsidRDefault="006E2BB1">
      <w:pPr>
        <w:spacing w:after="200" w:line="276" w:lineRule="auto"/>
        <w:rPr>
          <w:lang w:eastAsia="ko-KR"/>
        </w:rPr>
      </w:pPr>
    </w:p>
    <w:p w:rsidR="00E57647" w:rsidRPr="00C258AD" w:rsidRDefault="00E57647">
      <w:pPr>
        <w:spacing w:after="200" w:line="276" w:lineRule="auto"/>
        <w:rPr>
          <w:lang w:eastAsia="ko-KR"/>
        </w:rPr>
      </w:pPr>
      <w:r w:rsidRPr="00C258AD">
        <w:rPr>
          <w:lang w:eastAsia="ko-KR"/>
        </w:rPr>
        <w:br w:type="page"/>
      </w:r>
    </w:p>
    <w:p w:rsidR="00E57647" w:rsidRPr="00C258AD" w:rsidRDefault="00E57647" w:rsidP="00E82DE1">
      <w:pPr>
        <w:pStyle w:val="Heading1"/>
        <w:jc w:val="left"/>
        <w:rPr>
          <w:lang w:val="fr-FR"/>
        </w:rPr>
      </w:pPr>
      <w:bookmarkStart w:id="177" w:name="_Toc422404256"/>
      <w:bookmarkStart w:id="178" w:name="_Toc423352904"/>
      <w:bookmarkStart w:id="179" w:name="_Toc455394217"/>
      <w:r w:rsidRPr="00C258AD">
        <w:rPr>
          <w:lang w:val="fr-FR"/>
        </w:rPr>
        <w:lastRenderedPageBreak/>
        <w:t>Annexes</w:t>
      </w:r>
      <w:bookmarkEnd w:id="177"/>
      <w:bookmarkEnd w:id="178"/>
      <w:bookmarkEnd w:id="179"/>
    </w:p>
    <w:p w:rsidR="00E57647" w:rsidRPr="00C258AD" w:rsidRDefault="00E57647" w:rsidP="00E57647"/>
    <w:p w:rsidR="00E57647" w:rsidRPr="00C258AD" w:rsidRDefault="00E57647" w:rsidP="00E57647">
      <w:pPr>
        <w:pStyle w:val="Heading3"/>
        <w:tabs>
          <w:tab w:val="left" w:pos="6"/>
        </w:tabs>
        <w:ind w:left="0" w:firstLine="0"/>
      </w:pPr>
      <w:bookmarkStart w:id="180" w:name="_Toc422404257"/>
      <w:bookmarkStart w:id="181" w:name="_Toc423352905"/>
      <w:bookmarkStart w:id="182" w:name="_Toc455394218"/>
      <w:r w:rsidRPr="00C258AD">
        <w:t>ANNEXE I</w:t>
      </w:r>
      <w:r w:rsidRPr="00C258AD">
        <w:br/>
      </w:r>
      <w:r w:rsidRPr="00C258AD">
        <w:br/>
      </w:r>
      <w:r w:rsidRPr="00C258AD">
        <w:tab/>
        <w:t>RÉPARTITION DES ÉVALUATIONS DE L’EXÉCUTION PAR PROGRAMME</w:t>
      </w:r>
      <w:bookmarkEnd w:id="180"/>
      <w:bookmarkEnd w:id="181"/>
      <w:bookmarkEnd w:id="182"/>
    </w:p>
    <w:p w:rsidR="00E57647" w:rsidRPr="00C258AD" w:rsidRDefault="00E57647" w:rsidP="00E57647"/>
    <w:p w:rsidR="00E57647" w:rsidRPr="00C258AD" w:rsidRDefault="00E57647" w:rsidP="00E57647"/>
    <w:p w:rsidR="00E57647" w:rsidRPr="00C258AD" w:rsidRDefault="00E57647" w:rsidP="00E57647">
      <w:pPr>
        <w:jc w:val="both"/>
      </w:pPr>
      <w:r w:rsidRPr="00C258AD">
        <w:t>Les évaluations de l’exécution pour les programmes individuels du rapport sur l’exécution du programme en 2014</w:t>
      </w:r>
      <w:r w:rsidRPr="00C258AD">
        <w:noBreakHyphen/>
        <w:t>2015 comprennent :</w:t>
      </w:r>
    </w:p>
    <w:p w:rsidR="00E57647" w:rsidRPr="00C258AD" w:rsidRDefault="00E57647" w:rsidP="00E57647">
      <w:pPr>
        <w:jc w:val="both"/>
        <w:rPr>
          <w:i/>
          <w:iCs/>
        </w:rPr>
      </w:pPr>
    </w:p>
    <w:p w:rsidR="00E57647" w:rsidRPr="00C258AD" w:rsidRDefault="00E57647" w:rsidP="00E57647">
      <w:pPr>
        <w:jc w:val="both"/>
        <w:rPr>
          <w:bCs/>
          <w:i/>
          <w:iCs/>
          <w:szCs w:val="22"/>
        </w:rPr>
      </w:pPr>
      <w:r w:rsidRPr="00C258AD">
        <w:rPr>
          <w:i/>
        </w:rPr>
        <w:t>Section I : Réalisations au cours de l’exercice biennal 2014</w:t>
      </w:r>
      <w:r w:rsidRPr="00C258AD">
        <w:rPr>
          <w:i/>
        </w:rPr>
        <w:noBreakHyphen/>
        <w:t>2015</w:t>
      </w:r>
    </w:p>
    <w:p w:rsidR="00E57647" w:rsidRPr="00C258AD" w:rsidRDefault="00E57647" w:rsidP="00E57647">
      <w:pPr>
        <w:jc w:val="both"/>
      </w:pPr>
    </w:p>
    <w:p w:rsidR="00E57647" w:rsidRPr="00C258AD" w:rsidRDefault="00E57647" w:rsidP="00E57647">
      <w:pPr>
        <w:spacing w:after="120"/>
        <w:jc w:val="both"/>
      </w:pPr>
      <w:r w:rsidRPr="00C258AD">
        <w:t>Un résumé analytique qui présente les résultats obtenus en 2014</w:t>
      </w:r>
      <w:r w:rsidRPr="00C258AD">
        <w:noBreakHyphen/>
        <w:t xml:space="preserve">2015 par le programme concerné et les difficultés rencontrées durant la période examinée.  Comme en 2014, l’évaluation de la mise en œuvre du Plan d’action pour le développement a été rationalisée et donc intégrée dans ces </w:t>
      </w:r>
      <w:r w:rsidRPr="00C258AD">
        <w:rPr>
          <w:i/>
        </w:rPr>
        <w:t>Réalisations au cours de l’exercice biennal 2014</w:t>
      </w:r>
      <w:r w:rsidRPr="00C258AD">
        <w:rPr>
          <w:i/>
        </w:rPr>
        <w:noBreakHyphen/>
        <w:t>2015</w:t>
      </w:r>
      <w:r w:rsidRPr="00C258AD">
        <w:t>.  Conformément à la procédure budgétaire appliquée aux projets proposés par le Comité du développement et de la propriété intellectuelle (CDIP) pour la mise en œuvre des recommandations du Plan d’action pour le développement, approuvée par les assemblées des États membres de l’OMPI en 2010</w:t>
      </w:r>
      <w:r w:rsidRPr="00C258AD">
        <w:rPr>
          <w:rStyle w:val="FootnoteReference"/>
          <w:rFonts w:eastAsia="SimSun"/>
        </w:rPr>
        <w:footnoteReference w:id="150"/>
      </w:r>
      <w:r w:rsidRPr="00C258AD">
        <w:t>, le rapport concernant le Plan d’action pour le développement comprend toujours des informations détaillées sur la mise en œuvre des projets et des recommandations du Plan d’action pour le développement.</w:t>
      </w:r>
    </w:p>
    <w:p w:rsidR="00E57647" w:rsidRPr="00C258AD" w:rsidRDefault="00E57647" w:rsidP="00E57647">
      <w:pPr>
        <w:jc w:val="both"/>
      </w:pPr>
    </w:p>
    <w:p w:rsidR="00E57647" w:rsidRPr="00C258AD" w:rsidRDefault="00E57647" w:rsidP="00E57647">
      <w:pPr>
        <w:autoSpaceDE w:val="0"/>
        <w:autoSpaceDN w:val="0"/>
        <w:adjustRightInd w:val="0"/>
        <w:jc w:val="both"/>
        <w:rPr>
          <w:i/>
          <w:iCs/>
        </w:rPr>
      </w:pPr>
      <w:r w:rsidRPr="00C258AD">
        <w:rPr>
          <w:i/>
        </w:rPr>
        <w:t>Section II : Données relatives à l’exécution</w:t>
      </w:r>
    </w:p>
    <w:p w:rsidR="00E57647" w:rsidRPr="00C258AD" w:rsidRDefault="00E57647" w:rsidP="00E57647">
      <w:pPr>
        <w:jc w:val="both"/>
      </w:pPr>
    </w:p>
    <w:p w:rsidR="00E57647" w:rsidRPr="00C258AD" w:rsidRDefault="00E57647" w:rsidP="00E57647">
      <w:pPr>
        <w:spacing w:after="120"/>
        <w:jc w:val="both"/>
      </w:pPr>
      <w:r w:rsidRPr="00C258AD">
        <w:t>Le tableau qui figure dans cette section présente un récapitulatif des résultats escomptés par programme et les indicateurs d’exécution tels qu’ils ont été approuvés par les États membres dans le programme et budget pour 2014</w:t>
      </w:r>
      <w:r w:rsidRPr="00C258AD">
        <w:noBreakHyphen/>
        <w:t>2015.  Les niveaux de référence ont été mis à jour, selon les besoins, afin de rendre compte des niveaux réels à la fin de 2013.  Les tableaux des données d’exécution continuent de rendre compte non seulement des niveaux de référence initiaux (selon le programme et budget 2014</w:t>
      </w:r>
      <w:r w:rsidRPr="00C258AD">
        <w:noBreakHyphen/>
        <w:t>2015), mais également des niveaux de référence actualisés (selon les chiffres de fin 2013), et les objectifs (selon le programme et budget 2014</w:t>
      </w:r>
      <w:r w:rsidRPr="00C258AD">
        <w:noBreakHyphen/>
        <w:t>2015) à des fins de comparaison par rapport aux données d’exécution et aux évaluations.  Conformément aux demandes des États membres, les tableaux ont encore été améliorés en 2014</w:t>
      </w:r>
      <w:r w:rsidRPr="00C258AD">
        <w:noBreakHyphen/>
        <w:t>2015.  Les programmes ont reçu l’opportunité de définir des objectifs qui n’avaient pas été définis dans le programme et budget 2014</w:t>
      </w:r>
      <w:r w:rsidRPr="00C258AD">
        <w:noBreakHyphen/>
        <w:t xml:space="preserve">2015, à savoir des objectifs </w:t>
      </w:r>
      <w:r w:rsidRPr="00C258AD">
        <w:rPr>
          <w:cs/>
        </w:rPr>
        <w:t>“</w:t>
      </w:r>
      <w:r w:rsidRPr="00C258AD">
        <w:t>à déterminer</w:t>
      </w:r>
      <w:r w:rsidRPr="00C258AD">
        <w:rPr>
          <w:cs/>
        </w:rPr>
        <w:t>”</w:t>
      </w:r>
      <w:r w:rsidRPr="00C258AD">
        <w:t xml:space="preserve">, durant l’exercice de mise à jour des niveaux de référence (lancé en juillet 2014), en se basant sur les chiffres de fin 2013.  Les objectifs qui n’avaient pas été définis au cours de cette procédure restaient indéfinis et les données d’exécution étaient par conséquent notées comme </w:t>
      </w:r>
      <w:r w:rsidRPr="00C258AD">
        <w:rPr>
          <w:cs/>
        </w:rPr>
        <w:t>“</w:t>
      </w:r>
      <w:r w:rsidRPr="00C258AD">
        <w:t>non évaluables</w:t>
      </w:r>
      <w:r w:rsidRPr="00C258AD">
        <w:rPr>
          <w:cs/>
        </w:rPr>
        <w:t>”</w:t>
      </w:r>
      <w:r w:rsidRPr="00C258AD">
        <w:t>.  Les données relatives à l’exécution du programme pour 2014</w:t>
      </w:r>
      <w:r w:rsidRPr="00C258AD">
        <w:noBreakHyphen/>
        <w:t>2015 sont présentées en fonction de chaque indicateur, dans la quatrième colonne du tableau.  En règle générale, lorsque les données relatives à l’exécution sont mesurées sur la base du taux de variation (augmentation ou diminution), sauf indication contraire, ce taux est mesuré par rapport à l’année précédente, c’est</w:t>
      </w:r>
      <w:r w:rsidRPr="00C258AD">
        <w:noBreakHyphen/>
        <w:t>à</w:t>
      </w:r>
      <w:r w:rsidRPr="00C258AD">
        <w:noBreakHyphen/>
        <w:t xml:space="preserve">dire par rapport à 2013 pour l’année 2014 et par rapport à 2014 pour l’année 2015.  On trouvera dans la cinquième colonne une évaluation de l’exécution du programme au moyen du </w:t>
      </w:r>
      <w:r w:rsidRPr="00C258AD">
        <w:rPr>
          <w:cs/>
        </w:rPr>
        <w:t>“</w:t>
      </w:r>
      <w:r w:rsidRPr="00C258AD">
        <w:t>code de couleurs</w:t>
      </w:r>
      <w:r w:rsidRPr="00C258AD">
        <w:rPr>
          <w:cs/>
        </w:rPr>
        <w:t>”</w:t>
      </w:r>
      <w:r w:rsidRPr="00C258AD">
        <w:t>.</w:t>
      </w:r>
    </w:p>
    <w:p w:rsidR="00E57647" w:rsidRPr="00E82DE1" w:rsidRDefault="00E57647" w:rsidP="00E57647">
      <w:pPr>
        <w:jc w:val="both"/>
      </w:pPr>
    </w:p>
    <w:p w:rsidR="00E57647" w:rsidRPr="00C258AD" w:rsidRDefault="00E57647" w:rsidP="00E57647">
      <w:pPr>
        <w:jc w:val="both"/>
        <w:rPr>
          <w:i/>
          <w:iCs/>
        </w:rPr>
      </w:pPr>
      <w:r w:rsidRPr="00C258AD">
        <w:rPr>
          <w:i/>
        </w:rPr>
        <w:t>Section III : Rapport d’évaluation des risques pour l’exercice biennal</w:t>
      </w:r>
    </w:p>
    <w:p w:rsidR="00E57647" w:rsidRPr="00C258AD" w:rsidRDefault="00E57647" w:rsidP="00E57647">
      <w:pPr>
        <w:jc w:val="both"/>
      </w:pPr>
    </w:p>
    <w:p w:rsidR="00E57647" w:rsidRPr="00C258AD" w:rsidRDefault="00E57647" w:rsidP="00E57647">
      <w:pPr>
        <w:jc w:val="both"/>
      </w:pPr>
      <w:r w:rsidRPr="00C258AD">
        <w:t>Conformément à la volonté exprimée par l’OMPI de renforcer sa stratégie de gestion des risques, le rapport sur l’exécution du programme en 2014</w:t>
      </w:r>
      <w:r w:rsidRPr="00C258AD">
        <w:noBreakHyphen/>
        <w:t xml:space="preserve">2015 contient, pour la première fois, une section comprenant un </w:t>
      </w:r>
      <w:r w:rsidRPr="00C258AD">
        <w:rPr>
          <w:i/>
        </w:rPr>
        <w:t xml:space="preserve">Rapport d’évaluation des risques pour l’exercice biennal.  </w:t>
      </w:r>
      <w:r w:rsidRPr="00C258AD">
        <w:t xml:space="preserve">Le tableau comporte quatre colonnes.  Les deux premières, </w:t>
      </w:r>
      <w:r w:rsidRPr="00C258AD">
        <w:rPr>
          <w:i/>
        </w:rPr>
        <w:t xml:space="preserve">Risque(s) susceptible(s) d’empêcher le programme d’atteindre ses résultats </w:t>
      </w:r>
      <w:r w:rsidRPr="00C258AD">
        <w:t xml:space="preserve">et </w:t>
      </w:r>
      <w:r w:rsidRPr="00C258AD">
        <w:rPr>
          <w:i/>
        </w:rPr>
        <w:t>Plans d’atténuation en place ou en cours de mise en œuvre</w:t>
      </w:r>
      <w:r w:rsidRPr="00C258AD">
        <w:t>,</w:t>
      </w:r>
      <w:r w:rsidRPr="00C258AD">
        <w:rPr>
          <w:i/>
        </w:rPr>
        <w:t xml:space="preserve"> </w:t>
      </w:r>
      <w:r w:rsidRPr="00C258AD">
        <w:t>présentent les risques et les stratégies d’atténuation, respectivement, tels qu’approuvés dans le programme et budget pour 2014</w:t>
      </w:r>
      <w:r w:rsidRPr="00C258AD">
        <w:noBreakHyphen/>
        <w:t xml:space="preserve">2015.  La troisième colonne, </w:t>
      </w:r>
      <w:r w:rsidRPr="00C258AD">
        <w:rPr>
          <w:i/>
        </w:rPr>
        <w:t>Évolution des risques et des stratégies d’atténuation durant l’exercice biennal</w:t>
      </w:r>
      <w:r w:rsidRPr="00C258AD">
        <w:t xml:space="preserve">, présente l’évolution du risque au cours de l’exercice biennal, y compris dans le cas où le risque se matérialise, ainsi que les stratégies d’atténuation mises en œuvre ou envisagées pour gérer les risques.  La quatrième colonne, </w:t>
      </w:r>
      <w:r w:rsidRPr="00C258AD">
        <w:rPr>
          <w:i/>
        </w:rPr>
        <w:t>Incidence sur les résultats du programme</w:t>
      </w:r>
      <w:r w:rsidRPr="00C258AD">
        <w:t>,</w:t>
      </w:r>
      <w:r w:rsidRPr="00C258AD">
        <w:rPr>
          <w:i/>
        </w:rPr>
        <w:t xml:space="preserve"> </w:t>
      </w:r>
      <w:r w:rsidRPr="00C258AD">
        <w:t xml:space="preserve">décrit l’incidence de </w:t>
      </w:r>
      <w:r w:rsidRPr="00C258AD">
        <w:lastRenderedPageBreak/>
        <w:t>l’évolution du risque et de la stratégie d’atténuation sur l’exécution du programme au cours de l’exercice biennal.</w:t>
      </w:r>
    </w:p>
    <w:p w:rsidR="00E57647" w:rsidRPr="00C258AD" w:rsidRDefault="00E57647" w:rsidP="00E57647">
      <w:pPr>
        <w:jc w:val="both"/>
      </w:pPr>
    </w:p>
    <w:p w:rsidR="00E57647" w:rsidRPr="00C258AD" w:rsidRDefault="00E57647" w:rsidP="00E57647">
      <w:pPr>
        <w:jc w:val="both"/>
        <w:rPr>
          <w:i/>
          <w:iCs/>
        </w:rPr>
      </w:pPr>
      <w:r w:rsidRPr="00C258AD">
        <w:rPr>
          <w:i/>
          <w:iCs/>
        </w:rPr>
        <w:t>Section IV : Utilisation des ressources pour 2014</w:t>
      </w:r>
      <w:r w:rsidRPr="00C258AD">
        <w:rPr>
          <w:i/>
          <w:iCs/>
        </w:rPr>
        <w:noBreakHyphen/>
        <w:t>2015</w:t>
      </w:r>
    </w:p>
    <w:p w:rsidR="00E57647" w:rsidRPr="00C258AD" w:rsidRDefault="00E57647" w:rsidP="00E57647">
      <w:pPr>
        <w:jc w:val="both"/>
      </w:pPr>
    </w:p>
    <w:p w:rsidR="00E57647" w:rsidRPr="00C258AD" w:rsidRDefault="00E57647" w:rsidP="00E57647">
      <w:pPr>
        <w:tabs>
          <w:tab w:val="left" w:pos="851"/>
        </w:tabs>
        <w:jc w:val="both"/>
      </w:pPr>
      <w:r w:rsidRPr="00C258AD">
        <w:t>La dernière section fournit des informations sur le budget 2014</w:t>
      </w:r>
      <w:r w:rsidRPr="00C258AD">
        <w:noBreakHyphen/>
        <w:t>2015 approuvé, le budget final 2014</w:t>
      </w:r>
      <w:r w:rsidRPr="00C258AD">
        <w:noBreakHyphen/>
        <w:t>2015 après virements, les dépenses effectives et l’utilisation du budget en 2014</w:t>
      </w:r>
      <w:r w:rsidRPr="00C258AD">
        <w:noBreakHyphen/>
        <w:t>2015.  Les rapports concernant cette section comportent deux tableaux :</w:t>
      </w:r>
    </w:p>
    <w:p w:rsidR="00E57647" w:rsidRPr="00C258AD" w:rsidRDefault="00E57647" w:rsidP="00E57647">
      <w:pPr>
        <w:jc w:val="both"/>
      </w:pPr>
    </w:p>
    <w:p w:rsidR="00E57647" w:rsidRPr="00C258AD" w:rsidRDefault="00E57647" w:rsidP="00E57647">
      <w:pPr>
        <w:jc w:val="both"/>
      </w:pPr>
      <w:r w:rsidRPr="00C258AD">
        <w:rPr>
          <w:rFonts w:eastAsia="SimSun"/>
        </w:rPr>
        <w:t xml:space="preserve">La partie </w:t>
      </w:r>
      <w:r w:rsidRPr="00C258AD">
        <w:rPr>
          <w:rFonts w:eastAsia="SimSun"/>
          <w:i/>
        </w:rPr>
        <w:t>Budget et dépenses effectives (par résultat)</w:t>
      </w:r>
      <w:r w:rsidRPr="00C258AD">
        <w:rPr>
          <w:rFonts w:eastAsia="SimSun"/>
        </w:rPr>
        <w:t xml:space="preserve"> donne des informations sur le budget 2014</w:t>
      </w:r>
      <w:r w:rsidRPr="00C258AD">
        <w:rPr>
          <w:rFonts w:eastAsia="SimSun"/>
        </w:rPr>
        <w:noBreakHyphen/>
        <w:t>2015 approuvé, le budget final 2014</w:t>
      </w:r>
      <w:r w:rsidRPr="00C258AD">
        <w:rPr>
          <w:rFonts w:eastAsia="SimSun"/>
        </w:rPr>
        <w:noBreakHyphen/>
        <w:t>2015 après virements et les dépenses effectives par résultat pour 2014</w:t>
      </w:r>
      <w:r w:rsidRPr="00C258AD">
        <w:rPr>
          <w:rFonts w:eastAsia="SimSun"/>
        </w:rPr>
        <w:noBreakHyphen/>
        <w:t xml:space="preserve">2015.  En 2014, le système de planification de la gestion des performances (EPM) a été amélioré pour appuyer le </w:t>
      </w:r>
      <w:r w:rsidRPr="00C258AD">
        <w:t>mouvement</w:t>
      </w:r>
      <w:r w:rsidRPr="00C258AD">
        <w:rPr>
          <w:rFonts w:eastAsia="SimSun"/>
        </w:rPr>
        <w:t xml:space="preserve"> organisationnel de la planification du niveau des postes.  Les ajustements dans les résultats du budget après virements 2014</w:t>
      </w:r>
      <w:r w:rsidRPr="00C258AD">
        <w:rPr>
          <w:rFonts w:eastAsia="SimSun"/>
        </w:rPr>
        <w:noBreakHyphen/>
        <w:t xml:space="preserve">2015 des programmes rendent compte de cette nouvelle méthode d’affectation des ressources en personnel plus </w:t>
      </w:r>
      <w:r w:rsidRPr="00C258AD">
        <w:t>précise</w:t>
      </w:r>
      <w:r w:rsidRPr="00C258AD">
        <w:rPr>
          <w:rFonts w:eastAsia="SimSun"/>
        </w:rPr>
        <w:t>.</w:t>
      </w:r>
    </w:p>
    <w:p w:rsidR="00E57647" w:rsidRPr="00C258AD" w:rsidRDefault="00E57647" w:rsidP="00E57647">
      <w:pPr>
        <w:jc w:val="both"/>
      </w:pPr>
    </w:p>
    <w:p w:rsidR="00E57647" w:rsidRPr="00C258AD" w:rsidRDefault="00E57647" w:rsidP="00E57647">
      <w:pPr>
        <w:autoSpaceDE w:val="0"/>
        <w:autoSpaceDN w:val="0"/>
        <w:adjustRightInd w:val="0"/>
        <w:jc w:val="both"/>
      </w:pPr>
      <w:r w:rsidRPr="00C258AD">
        <w:t xml:space="preserve">La partie </w:t>
      </w:r>
      <w:r w:rsidRPr="00C258AD">
        <w:rPr>
          <w:i/>
        </w:rPr>
        <w:t xml:space="preserve">Budget et dépenses effectives (ressources de </w:t>
      </w:r>
      <w:proofErr w:type="gramStart"/>
      <w:r w:rsidRPr="00C258AD">
        <w:rPr>
          <w:i/>
        </w:rPr>
        <w:t>personnel et autres ressources</w:t>
      </w:r>
      <w:proofErr w:type="gramEnd"/>
      <w:r w:rsidRPr="00C258AD">
        <w:rPr>
          <w:i/>
        </w:rPr>
        <w:t>)</w:t>
      </w:r>
      <w:r w:rsidRPr="00C258AD">
        <w:t xml:space="preserve"> fournit des informations sur le budget 2014</w:t>
      </w:r>
      <w:r w:rsidRPr="00C258AD">
        <w:noBreakHyphen/>
        <w:t>2015 approuvé, le budget final 2014</w:t>
      </w:r>
      <w:r w:rsidRPr="00C258AD">
        <w:noBreakHyphen/>
        <w:t>2015 après virements et les dépenses effectives pour 2014</w:t>
      </w:r>
      <w:r w:rsidRPr="00C258AD">
        <w:noBreakHyphen/>
        <w:t>2015 (ressources de personnel et autres ressources).  Les différences entre le budget approuvé et le budget final après virements faisaient l’objet d’explications;  de même, l’utilisation du budget était expliquée en tenant compte d’une vue Résultats et d’une vue selon le type de dépenses (personnel et autres).</w:t>
      </w:r>
    </w:p>
    <w:p w:rsidR="00E57647" w:rsidRPr="00C258AD" w:rsidRDefault="00E57647" w:rsidP="00E57647">
      <w:pPr>
        <w:autoSpaceDE w:val="0"/>
        <w:autoSpaceDN w:val="0"/>
        <w:adjustRightInd w:val="0"/>
        <w:jc w:val="both"/>
      </w:pPr>
    </w:p>
    <w:p w:rsidR="00E57647" w:rsidRDefault="00E57647" w:rsidP="00E57647">
      <w:pPr>
        <w:autoSpaceDE w:val="0"/>
        <w:autoSpaceDN w:val="0"/>
        <w:adjustRightInd w:val="0"/>
        <w:jc w:val="both"/>
      </w:pPr>
    </w:p>
    <w:p w:rsidR="00E82DE1" w:rsidRPr="00C258AD" w:rsidRDefault="00E82DE1" w:rsidP="00E57647">
      <w:pPr>
        <w:autoSpaceDE w:val="0"/>
        <w:autoSpaceDN w:val="0"/>
        <w:adjustRightInd w:val="0"/>
        <w:jc w:val="both"/>
      </w:pPr>
    </w:p>
    <w:p w:rsidR="00E57647" w:rsidRPr="00C258AD" w:rsidRDefault="00E57647" w:rsidP="00E57647">
      <w:pPr>
        <w:pStyle w:val="Endofdocument-Annex"/>
        <w:rPr>
          <w:lang w:val="fr-FR"/>
        </w:rPr>
      </w:pPr>
      <w:r w:rsidRPr="00C258AD">
        <w:rPr>
          <w:lang w:val="fr-FR"/>
        </w:rPr>
        <w:t>[L’annexe II suit]</w:t>
      </w:r>
    </w:p>
    <w:p w:rsidR="00CB421E" w:rsidRPr="00C258AD" w:rsidRDefault="00CB421E">
      <w:pPr>
        <w:spacing w:after="200" w:line="276" w:lineRule="auto"/>
        <w:rPr>
          <w:lang w:eastAsia="ko-KR"/>
        </w:rPr>
      </w:pPr>
      <w:r w:rsidRPr="00C258AD">
        <w:rPr>
          <w:lang w:eastAsia="ko-KR"/>
        </w:rPr>
        <w:br w:type="page"/>
      </w:r>
    </w:p>
    <w:p w:rsidR="00CB421E" w:rsidRPr="00C258AD" w:rsidRDefault="00CB421E" w:rsidP="00CB421E">
      <w:pPr>
        <w:pStyle w:val="Heading3"/>
        <w:tabs>
          <w:tab w:val="left" w:pos="6"/>
        </w:tabs>
        <w:ind w:left="0" w:firstLine="0"/>
        <w:jc w:val="both"/>
      </w:pPr>
      <w:bookmarkStart w:id="183" w:name="_Toc422404258"/>
      <w:bookmarkStart w:id="184" w:name="_Toc423352906"/>
      <w:bookmarkStart w:id="185" w:name="_Toc455394219"/>
      <w:r w:rsidRPr="00C258AD">
        <w:lastRenderedPageBreak/>
        <w:t>Annexe II</w:t>
      </w:r>
      <w:r w:rsidRPr="00C258AD">
        <w:br/>
      </w:r>
      <w:r w:rsidRPr="00C258AD">
        <w:br/>
      </w:r>
      <w:r w:rsidRPr="00C258AD">
        <w:tab/>
        <w:t>MISE EN ŒUVRE DES FONDS FIDUCIAIRES 2014</w:t>
      </w:r>
      <w:bookmarkEnd w:id="183"/>
      <w:bookmarkEnd w:id="184"/>
      <w:r w:rsidRPr="00C258AD">
        <w:noBreakHyphen/>
        <w:t>2015</w:t>
      </w:r>
      <w:bookmarkEnd w:id="185"/>
    </w:p>
    <w:p w:rsidR="00CB421E" w:rsidRPr="00C258AD" w:rsidRDefault="00CB421E" w:rsidP="00CB421E"/>
    <w:p w:rsidR="00CB421E" w:rsidRPr="00C258AD" w:rsidRDefault="00CB421E" w:rsidP="00CB421E">
      <w:pPr>
        <w:jc w:val="both"/>
      </w:pPr>
      <w:r w:rsidRPr="00C258AD">
        <w:t>Dans le cadre des efforts déployés pour renforcer l’intégration de toutes les activités dans le cadre de gestion axée sur les résultats de l’Organisation, quelle que soit la source des fonds, la présente annexe donne une vue globale des activités mises en œuvre au titre des fonds fiduciaires de l’OMPI.  En même temps, ce rapport répond à une demande émise par les donateurs qui souhaitaient obtenir un rapport plus exhaustif sur tous les fonds fiduciaires avec des informations relatives aux finances et aux programmes.  Dans une volonté de regrouper tous les rapports, le rapport sur les fonds fiduciaires fait partie intégrante du rapport sur l’exécution du programme et couvre des activités mises en œuvre en 2015.  Le prochain rapport annuel sur les fonds fiduciaires sera inclus dans le rapport sur l’exécution du programme en 2016.  La présente annexe concerne les fonds fiduciaires précisés dans le tableau ci</w:t>
      </w:r>
      <w:r w:rsidRPr="00C258AD">
        <w:noBreakHyphen/>
        <w:t>dessous et exclut ceux des administrateurs auxiliaires.</w:t>
      </w:r>
    </w:p>
    <w:p w:rsidR="00CB421E" w:rsidRPr="00C258AD" w:rsidRDefault="00CB421E" w:rsidP="00CB421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68" w:type="dxa"/>
          <w:bottom w:w="113" w:type="dxa"/>
          <w:right w:w="68" w:type="dxa"/>
        </w:tblCellMar>
        <w:tblLook w:val="00A0" w:firstRow="1" w:lastRow="0" w:firstColumn="1" w:lastColumn="0" w:noHBand="0" w:noVBand="0"/>
      </w:tblPr>
      <w:tblGrid>
        <w:gridCol w:w="4147"/>
        <w:gridCol w:w="5322"/>
      </w:tblGrid>
      <w:tr w:rsidR="00CB421E" w:rsidRPr="00C258AD" w:rsidTr="00927E1F">
        <w:trPr>
          <w:cantSplit/>
        </w:trPr>
        <w:tc>
          <w:tcPr>
            <w:tcW w:w="4068" w:type="dxa"/>
            <w:shd w:val="clear" w:color="auto" w:fill="BFD9F1"/>
            <w:tcMar>
              <w:top w:w="57" w:type="dxa"/>
              <w:left w:w="57" w:type="dxa"/>
              <w:bottom w:w="57" w:type="dxa"/>
              <w:right w:w="57" w:type="dxa"/>
            </w:tcMar>
          </w:tcPr>
          <w:p w:rsidR="00CB421E" w:rsidRPr="00C258AD" w:rsidRDefault="00CB421E" w:rsidP="00927E1F">
            <w:pPr>
              <w:jc w:val="center"/>
              <w:rPr>
                <w:b/>
                <w:bCs/>
                <w:sz w:val="18"/>
                <w:szCs w:val="18"/>
              </w:rPr>
            </w:pPr>
            <w:r w:rsidRPr="00C258AD">
              <w:rPr>
                <w:b/>
                <w:sz w:val="18"/>
              </w:rPr>
              <w:t>FONDS FIDUCIAIRES</w:t>
            </w:r>
          </w:p>
        </w:tc>
        <w:tc>
          <w:tcPr>
            <w:tcW w:w="5220" w:type="dxa"/>
            <w:shd w:val="clear" w:color="auto" w:fill="BFD9F1"/>
            <w:tcMar>
              <w:top w:w="57" w:type="dxa"/>
              <w:left w:w="57" w:type="dxa"/>
              <w:bottom w:w="57" w:type="dxa"/>
              <w:right w:w="57" w:type="dxa"/>
            </w:tcMar>
          </w:tcPr>
          <w:p w:rsidR="00CB421E" w:rsidRPr="00C258AD" w:rsidRDefault="00CB421E" w:rsidP="00927E1F">
            <w:pPr>
              <w:jc w:val="center"/>
              <w:rPr>
                <w:b/>
                <w:bCs/>
                <w:sz w:val="18"/>
                <w:szCs w:val="18"/>
              </w:rPr>
            </w:pPr>
            <w:r w:rsidRPr="00C258AD">
              <w:rPr>
                <w:b/>
                <w:sz w:val="18"/>
              </w:rPr>
              <w:t>SECTEUR DE MISE EN ŒUVRE</w:t>
            </w:r>
          </w:p>
        </w:tc>
      </w:tr>
      <w:tr w:rsidR="00CB421E" w:rsidRPr="00C258AD" w:rsidTr="00927E1F">
        <w:trPr>
          <w:cantSplit/>
        </w:trPr>
        <w:tc>
          <w:tcPr>
            <w:tcW w:w="4068" w:type="dxa"/>
            <w:tcMar>
              <w:top w:w="57" w:type="dxa"/>
              <w:left w:w="57" w:type="dxa"/>
              <w:bottom w:w="57" w:type="dxa"/>
              <w:right w:w="57" w:type="dxa"/>
            </w:tcMar>
          </w:tcPr>
          <w:p w:rsidR="00CB421E" w:rsidRPr="00C258AD" w:rsidRDefault="00CB421E" w:rsidP="00927E1F">
            <w:pPr>
              <w:rPr>
                <w:sz w:val="18"/>
                <w:szCs w:val="18"/>
              </w:rPr>
            </w:pPr>
            <w:r w:rsidRPr="00C258AD">
              <w:rPr>
                <w:sz w:val="18"/>
              </w:rPr>
              <w:t>Australie</w:t>
            </w:r>
          </w:p>
        </w:tc>
        <w:tc>
          <w:tcPr>
            <w:tcW w:w="5220" w:type="dxa"/>
            <w:tcMar>
              <w:top w:w="57" w:type="dxa"/>
              <w:left w:w="57" w:type="dxa"/>
              <w:bottom w:w="57" w:type="dxa"/>
              <w:right w:w="57" w:type="dxa"/>
            </w:tcMar>
          </w:tcPr>
          <w:p w:rsidR="00CB421E" w:rsidRPr="00C258AD" w:rsidRDefault="00CB421E" w:rsidP="00927E1F">
            <w:pPr>
              <w:rPr>
                <w:sz w:val="18"/>
                <w:szCs w:val="18"/>
              </w:rPr>
            </w:pPr>
            <w:r w:rsidRPr="00C258AD">
              <w:rPr>
                <w:sz w:val="18"/>
              </w:rPr>
              <w:t>Cabinet du Directeur général</w:t>
            </w:r>
          </w:p>
        </w:tc>
      </w:tr>
      <w:tr w:rsidR="00CB421E" w:rsidRPr="00C258AD" w:rsidTr="00927E1F">
        <w:trPr>
          <w:cantSplit/>
        </w:trPr>
        <w:tc>
          <w:tcPr>
            <w:tcW w:w="4068" w:type="dxa"/>
            <w:tcMar>
              <w:top w:w="57" w:type="dxa"/>
              <w:left w:w="57" w:type="dxa"/>
              <w:bottom w:w="57" w:type="dxa"/>
              <w:right w:w="57" w:type="dxa"/>
            </w:tcMar>
          </w:tcPr>
          <w:p w:rsidR="00CB421E" w:rsidRPr="00C258AD" w:rsidRDefault="00CB421E" w:rsidP="00927E1F">
            <w:pPr>
              <w:rPr>
                <w:sz w:val="18"/>
                <w:szCs w:val="18"/>
              </w:rPr>
            </w:pPr>
            <w:r w:rsidRPr="00C258AD">
              <w:rPr>
                <w:sz w:val="18"/>
              </w:rPr>
              <w:t>Brésil</w:t>
            </w:r>
          </w:p>
        </w:tc>
        <w:tc>
          <w:tcPr>
            <w:tcW w:w="5220" w:type="dxa"/>
            <w:tcMar>
              <w:top w:w="57" w:type="dxa"/>
              <w:left w:w="57" w:type="dxa"/>
              <w:bottom w:w="57" w:type="dxa"/>
              <w:right w:w="57" w:type="dxa"/>
            </w:tcMar>
          </w:tcPr>
          <w:p w:rsidR="00CB421E" w:rsidRPr="00C258AD" w:rsidRDefault="00CB421E" w:rsidP="00927E1F">
            <w:pPr>
              <w:rPr>
                <w:sz w:val="18"/>
                <w:szCs w:val="18"/>
              </w:rPr>
            </w:pPr>
            <w:r w:rsidRPr="00C258AD">
              <w:rPr>
                <w:sz w:val="18"/>
              </w:rPr>
              <w:t>Cabinet du Directeur général</w:t>
            </w:r>
          </w:p>
        </w:tc>
      </w:tr>
      <w:tr w:rsidR="00CB421E" w:rsidRPr="00C258AD" w:rsidTr="00927E1F">
        <w:trPr>
          <w:cantSplit/>
        </w:trPr>
        <w:tc>
          <w:tcPr>
            <w:tcW w:w="4068" w:type="dxa"/>
            <w:tcMar>
              <w:top w:w="57" w:type="dxa"/>
              <w:left w:w="57" w:type="dxa"/>
              <w:bottom w:w="57" w:type="dxa"/>
              <w:right w:w="57" w:type="dxa"/>
            </w:tcMar>
            <w:vAlign w:val="center"/>
          </w:tcPr>
          <w:p w:rsidR="00CB421E" w:rsidRPr="00C258AD" w:rsidRDefault="00CB421E" w:rsidP="00927E1F">
            <w:pPr>
              <w:rPr>
                <w:sz w:val="18"/>
                <w:szCs w:val="18"/>
              </w:rPr>
            </w:pPr>
            <w:r w:rsidRPr="00C258AD">
              <w:rPr>
                <w:sz w:val="18"/>
              </w:rPr>
              <w:t>Brésil Sud</w:t>
            </w:r>
          </w:p>
        </w:tc>
        <w:tc>
          <w:tcPr>
            <w:tcW w:w="5220" w:type="dxa"/>
            <w:tcMar>
              <w:top w:w="57" w:type="dxa"/>
              <w:left w:w="57" w:type="dxa"/>
              <w:bottom w:w="57" w:type="dxa"/>
              <w:right w:w="57" w:type="dxa"/>
            </w:tcMar>
            <w:vAlign w:val="center"/>
          </w:tcPr>
          <w:p w:rsidR="00CB421E" w:rsidRPr="00C258AD" w:rsidRDefault="00CB421E" w:rsidP="00927E1F">
            <w:pPr>
              <w:rPr>
                <w:sz w:val="18"/>
                <w:szCs w:val="18"/>
              </w:rPr>
            </w:pPr>
            <w:r w:rsidRPr="00C258AD">
              <w:rPr>
                <w:sz w:val="18"/>
              </w:rPr>
              <w:t>Cabinet du Directeur général</w:t>
            </w:r>
          </w:p>
        </w:tc>
      </w:tr>
      <w:tr w:rsidR="00CB421E" w:rsidRPr="00C258AD" w:rsidTr="00927E1F">
        <w:trPr>
          <w:cantSplit/>
        </w:trPr>
        <w:tc>
          <w:tcPr>
            <w:tcW w:w="4068" w:type="dxa"/>
            <w:tcMar>
              <w:top w:w="57" w:type="dxa"/>
              <w:left w:w="57" w:type="dxa"/>
              <w:bottom w:w="57" w:type="dxa"/>
              <w:right w:w="57" w:type="dxa"/>
            </w:tcMar>
            <w:vAlign w:val="center"/>
          </w:tcPr>
          <w:p w:rsidR="00CB421E" w:rsidRPr="00C258AD" w:rsidRDefault="00CB421E" w:rsidP="00927E1F">
            <w:pPr>
              <w:rPr>
                <w:sz w:val="18"/>
              </w:rPr>
            </w:pPr>
            <w:r w:rsidRPr="00C258AD">
              <w:rPr>
                <w:sz w:val="18"/>
              </w:rPr>
              <w:t>Brésil PNUD</w:t>
            </w:r>
          </w:p>
        </w:tc>
        <w:tc>
          <w:tcPr>
            <w:tcW w:w="5220" w:type="dxa"/>
            <w:tcMar>
              <w:top w:w="57" w:type="dxa"/>
              <w:left w:w="57" w:type="dxa"/>
              <w:bottom w:w="57" w:type="dxa"/>
              <w:right w:w="57" w:type="dxa"/>
            </w:tcMar>
            <w:vAlign w:val="center"/>
          </w:tcPr>
          <w:p w:rsidR="00CB421E" w:rsidRPr="00C258AD" w:rsidRDefault="00CB421E" w:rsidP="00927E1F">
            <w:pPr>
              <w:rPr>
                <w:sz w:val="18"/>
                <w:szCs w:val="18"/>
              </w:rPr>
            </w:pPr>
            <w:r w:rsidRPr="00C258AD">
              <w:rPr>
                <w:sz w:val="18"/>
              </w:rPr>
              <w:t>Cabinet du Directeur général</w:t>
            </w:r>
          </w:p>
        </w:tc>
      </w:tr>
      <w:tr w:rsidR="00CB421E" w:rsidRPr="00C258AD" w:rsidTr="00927E1F">
        <w:trPr>
          <w:cantSplit/>
        </w:trPr>
        <w:tc>
          <w:tcPr>
            <w:tcW w:w="40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CB421E" w:rsidRPr="00C258AD" w:rsidRDefault="00CB421E" w:rsidP="00927E1F">
            <w:pPr>
              <w:rPr>
                <w:sz w:val="18"/>
              </w:rPr>
            </w:pPr>
            <w:r w:rsidRPr="00C258AD">
              <w:rPr>
                <w:sz w:val="18"/>
              </w:rPr>
              <w:t>Espagne</w:t>
            </w:r>
          </w:p>
        </w:tc>
        <w:tc>
          <w:tcPr>
            <w:tcW w:w="52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rsidR="00CB421E" w:rsidRPr="00C258AD" w:rsidRDefault="00CB421E" w:rsidP="00927E1F">
            <w:pPr>
              <w:rPr>
                <w:sz w:val="18"/>
              </w:rPr>
            </w:pPr>
            <w:r w:rsidRPr="00C258AD">
              <w:rPr>
                <w:sz w:val="18"/>
              </w:rPr>
              <w:t>Secteur du développement</w:t>
            </w:r>
          </w:p>
        </w:tc>
      </w:tr>
      <w:tr w:rsidR="00CB421E" w:rsidRPr="00C258AD" w:rsidTr="00927E1F">
        <w:trPr>
          <w:cantSplit/>
        </w:trPr>
        <w:tc>
          <w:tcPr>
            <w:tcW w:w="4068" w:type="dxa"/>
            <w:tcMar>
              <w:top w:w="57" w:type="dxa"/>
              <w:left w:w="57" w:type="dxa"/>
              <w:bottom w:w="57" w:type="dxa"/>
              <w:right w:w="57" w:type="dxa"/>
            </w:tcMar>
          </w:tcPr>
          <w:p w:rsidR="00CB421E" w:rsidRPr="00C258AD" w:rsidRDefault="00CB421E" w:rsidP="00927E1F">
            <w:pPr>
              <w:rPr>
                <w:sz w:val="18"/>
                <w:szCs w:val="18"/>
              </w:rPr>
            </w:pPr>
            <w:r w:rsidRPr="00C258AD">
              <w:rPr>
                <w:sz w:val="18"/>
              </w:rPr>
              <w:t xml:space="preserve">Finlande/droit d’auteur </w:t>
            </w:r>
          </w:p>
        </w:tc>
        <w:tc>
          <w:tcPr>
            <w:tcW w:w="5220" w:type="dxa"/>
            <w:tcMar>
              <w:top w:w="57" w:type="dxa"/>
              <w:left w:w="57" w:type="dxa"/>
              <w:bottom w:w="57" w:type="dxa"/>
              <w:right w:w="57" w:type="dxa"/>
            </w:tcMar>
          </w:tcPr>
          <w:p w:rsidR="00CB421E" w:rsidRPr="00C258AD" w:rsidRDefault="00CB421E" w:rsidP="00927E1F">
            <w:pPr>
              <w:rPr>
                <w:sz w:val="18"/>
                <w:szCs w:val="18"/>
              </w:rPr>
            </w:pPr>
            <w:r w:rsidRPr="00C258AD">
              <w:rPr>
                <w:sz w:val="18"/>
              </w:rPr>
              <w:t>Secteur de la culture et des industries de la création</w:t>
            </w:r>
          </w:p>
        </w:tc>
      </w:tr>
      <w:tr w:rsidR="00CB421E" w:rsidRPr="00C258AD" w:rsidTr="00927E1F">
        <w:trPr>
          <w:cantSplit/>
        </w:trPr>
        <w:tc>
          <w:tcPr>
            <w:tcW w:w="4068" w:type="dxa"/>
            <w:tcMar>
              <w:top w:w="57" w:type="dxa"/>
              <w:left w:w="57" w:type="dxa"/>
              <w:bottom w:w="57" w:type="dxa"/>
              <w:right w:w="57" w:type="dxa"/>
            </w:tcMar>
          </w:tcPr>
          <w:p w:rsidR="00CB421E" w:rsidRPr="00C258AD" w:rsidRDefault="00CB421E" w:rsidP="00927E1F">
            <w:pPr>
              <w:rPr>
                <w:sz w:val="18"/>
                <w:szCs w:val="18"/>
              </w:rPr>
            </w:pPr>
            <w:r w:rsidRPr="00C258AD">
              <w:rPr>
                <w:sz w:val="18"/>
              </w:rPr>
              <w:t>France/propriété intellectuelle</w:t>
            </w:r>
          </w:p>
        </w:tc>
        <w:tc>
          <w:tcPr>
            <w:tcW w:w="5220" w:type="dxa"/>
            <w:tcMar>
              <w:top w:w="57" w:type="dxa"/>
              <w:left w:w="57" w:type="dxa"/>
              <w:bottom w:w="57" w:type="dxa"/>
              <w:right w:w="57" w:type="dxa"/>
            </w:tcMar>
          </w:tcPr>
          <w:p w:rsidR="00CB421E" w:rsidRPr="00C258AD" w:rsidRDefault="00CB421E" w:rsidP="00927E1F">
            <w:pPr>
              <w:rPr>
                <w:sz w:val="18"/>
                <w:szCs w:val="18"/>
              </w:rPr>
            </w:pPr>
            <w:r w:rsidRPr="00C258AD">
              <w:rPr>
                <w:sz w:val="18"/>
              </w:rPr>
              <w:t xml:space="preserve">Secteur du développement </w:t>
            </w:r>
          </w:p>
        </w:tc>
      </w:tr>
      <w:tr w:rsidR="00CB421E" w:rsidRPr="00C258AD" w:rsidTr="00927E1F">
        <w:trPr>
          <w:cantSplit/>
        </w:trPr>
        <w:tc>
          <w:tcPr>
            <w:tcW w:w="4068" w:type="dxa"/>
            <w:tcMar>
              <w:top w:w="57" w:type="dxa"/>
              <w:left w:w="57" w:type="dxa"/>
              <w:bottom w:w="57" w:type="dxa"/>
              <w:right w:w="57" w:type="dxa"/>
            </w:tcMar>
          </w:tcPr>
          <w:p w:rsidR="00CB421E" w:rsidRPr="00C258AD" w:rsidRDefault="00CB421E" w:rsidP="00927E1F">
            <w:pPr>
              <w:rPr>
                <w:sz w:val="18"/>
                <w:szCs w:val="18"/>
              </w:rPr>
            </w:pPr>
            <w:r w:rsidRPr="00C258AD">
              <w:rPr>
                <w:sz w:val="18"/>
              </w:rPr>
              <w:t>Italie</w:t>
            </w:r>
          </w:p>
        </w:tc>
        <w:tc>
          <w:tcPr>
            <w:tcW w:w="5220" w:type="dxa"/>
            <w:tcMar>
              <w:top w:w="57" w:type="dxa"/>
              <w:left w:w="57" w:type="dxa"/>
              <w:bottom w:w="57" w:type="dxa"/>
              <w:right w:w="57" w:type="dxa"/>
            </w:tcMar>
          </w:tcPr>
          <w:p w:rsidR="00CB421E" w:rsidRPr="00C258AD" w:rsidRDefault="00CB421E" w:rsidP="00927E1F">
            <w:pPr>
              <w:rPr>
                <w:sz w:val="18"/>
                <w:szCs w:val="18"/>
              </w:rPr>
            </w:pPr>
            <w:r w:rsidRPr="00C258AD">
              <w:rPr>
                <w:sz w:val="18"/>
              </w:rPr>
              <w:t>Secteur du développement</w:t>
            </w:r>
          </w:p>
        </w:tc>
      </w:tr>
      <w:tr w:rsidR="00CB421E" w:rsidRPr="00C258AD" w:rsidTr="00927E1F">
        <w:trPr>
          <w:cantSplit/>
        </w:trPr>
        <w:tc>
          <w:tcPr>
            <w:tcW w:w="4068" w:type="dxa"/>
            <w:tcMar>
              <w:top w:w="57" w:type="dxa"/>
              <w:left w:w="57" w:type="dxa"/>
              <w:bottom w:w="57" w:type="dxa"/>
              <w:right w:w="57" w:type="dxa"/>
            </w:tcMar>
          </w:tcPr>
          <w:p w:rsidR="00CB421E" w:rsidRPr="00C258AD" w:rsidRDefault="00CB421E" w:rsidP="00927E1F">
            <w:pPr>
              <w:rPr>
                <w:sz w:val="18"/>
                <w:szCs w:val="18"/>
              </w:rPr>
            </w:pPr>
            <w:r w:rsidRPr="00C258AD">
              <w:rPr>
                <w:sz w:val="18"/>
              </w:rPr>
              <w:t>Japon/droit d’auteur</w:t>
            </w:r>
          </w:p>
        </w:tc>
        <w:tc>
          <w:tcPr>
            <w:tcW w:w="5220" w:type="dxa"/>
            <w:tcMar>
              <w:top w:w="57" w:type="dxa"/>
              <w:left w:w="57" w:type="dxa"/>
              <w:bottom w:w="57" w:type="dxa"/>
              <w:right w:w="57" w:type="dxa"/>
            </w:tcMar>
          </w:tcPr>
          <w:p w:rsidR="00CB421E" w:rsidRPr="00C258AD" w:rsidRDefault="00CB421E" w:rsidP="00927E1F">
            <w:pPr>
              <w:rPr>
                <w:sz w:val="18"/>
                <w:szCs w:val="18"/>
              </w:rPr>
            </w:pPr>
            <w:r w:rsidRPr="00C258AD">
              <w:rPr>
                <w:sz w:val="18"/>
              </w:rPr>
              <w:t>Secteur de la culture et des industries de la création</w:t>
            </w:r>
          </w:p>
        </w:tc>
      </w:tr>
      <w:tr w:rsidR="00CB421E" w:rsidRPr="00C258AD" w:rsidTr="00927E1F">
        <w:trPr>
          <w:cantSplit/>
        </w:trPr>
        <w:tc>
          <w:tcPr>
            <w:tcW w:w="4068" w:type="dxa"/>
            <w:tcMar>
              <w:top w:w="57" w:type="dxa"/>
              <w:left w:w="57" w:type="dxa"/>
              <w:bottom w:w="57" w:type="dxa"/>
              <w:right w:w="57" w:type="dxa"/>
            </w:tcMar>
          </w:tcPr>
          <w:p w:rsidR="00CB421E" w:rsidRPr="00C258AD" w:rsidRDefault="00CB421E" w:rsidP="00927E1F">
            <w:pPr>
              <w:rPr>
                <w:sz w:val="18"/>
                <w:szCs w:val="18"/>
              </w:rPr>
            </w:pPr>
            <w:r w:rsidRPr="00C258AD">
              <w:rPr>
                <w:sz w:val="18"/>
              </w:rPr>
              <w:t>Japon/propriété intellectuelle</w:t>
            </w:r>
          </w:p>
        </w:tc>
        <w:tc>
          <w:tcPr>
            <w:tcW w:w="5220" w:type="dxa"/>
            <w:tcMar>
              <w:top w:w="57" w:type="dxa"/>
              <w:left w:w="57" w:type="dxa"/>
              <w:bottom w:w="57" w:type="dxa"/>
              <w:right w:w="57" w:type="dxa"/>
            </w:tcMar>
          </w:tcPr>
          <w:p w:rsidR="00CB421E" w:rsidRPr="00C258AD" w:rsidRDefault="00CB421E" w:rsidP="00927E1F">
            <w:pPr>
              <w:rPr>
                <w:sz w:val="18"/>
                <w:szCs w:val="18"/>
              </w:rPr>
            </w:pPr>
            <w:r w:rsidRPr="00C258AD">
              <w:rPr>
                <w:sz w:val="18"/>
              </w:rPr>
              <w:t>Secteur du développement</w:t>
            </w:r>
          </w:p>
        </w:tc>
      </w:tr>
      <w:tr w:rsidR="00CB421E" w:rsidRPr="00C258AD" w:rsidTr="00927E1F">
        <w:trPr>
          <w:cantSplit/>
        </w:trPr>
        <w:tc>
          <w:tcPr>
            <w:tcW w:w="4068" w:type="dxa"/>
            <w:tcMar>
              <w:top w:w="57" w:type="dxa"/>
              <w:left w:w="57" w:type="dxa"/>
              <w:bottom w:w="57" w:type="dxa"/>
              <w:right w:w="57" w:type="dxa"/>
            </w:tcMar>
          </w:tcPr>
          <w:p w:rsidR="00CB421E" w:rsidRPr="00C258AD" w:rsidRDefault="00CB421E" w:rsidP="00927E1F">
            <w:pPr>
              <w:rPr>
                <w:sz w:val="18"/>
                <w:szCs w:val="18"/>
              </w:rPr>
            </w:pPr>
            <w:r w:rsidRPr="00C258AD">
              <w:rPr>
                <w:sz w:val="18"/>
              </w:rPr>
              <w:t>Japon/propriété intellectuelle/Afrique</w:t>
            </w:r>
          </w:p>
        </w:tc>
        <w:tc>
          <w:tcPr>
            <w:tcW w:w="5220" w:type="dxa"/>
            <w:tcMar>
              <w:top w:w="57" w:type="dxa"/>
              <w:left w:w="57" w:type="dxa"/>
              <w:bottom w:w="57" w:type="dxa"/>
              <w:right w:w="57" w:type="dxa"/>
            </w:tcMar>
          </w:tcPr>
          <w:p w:rsidR="00CB421E" w:rsidRPr="00C258AD" w:rsidRDefault="00CB421E" w:rsidP="00927E1F">
            <w:pPr>
              <w:rPr>
                <w:sz w:val="18"/>
                <w:szCs w:val="18"/>
              </w:rPr>
            </w:pPr>
            <w:r w:rsidRPr="00C258AD">
              <w:rPr>
                <w:sz w:val="18"/>
              </w:rPr>
              <w:t>Secteur du développement</w:t>
            </w:r>
          </w:p>
        </w:tc>
      </w:tr>
      <w:tr w:rsidR="00CB421E" w:rsidRPr="00C258AD" w:rsidTr="00927E1F">
        <w:trPr>
          <w:cantSplit/>
        </w:trPr>
        <w:tc>
          <w:tcPr>
            <w:tcW w:w="4068" w:type="dxa"/>
            <w:tcMar>
              <w:top w:w="57" w:type="dxa"/>
              <w:left w:w="57" w:type="dxa"/>
              <w:bottom w:w="57" w:type="dxa"/>
              <w:right w:w="57" w:type="dxa"/>
            </w:tcMar>
          </w:tcPr>
          <w:p w:rsidR="00CB421E" w:rsidRPr="00C258AD" w:rsidRDefault="00CB421E" w:rsidP="00927E1F">
            <w:pPr>
              <w:rPr>
                <w:sz w:val="18"/>
                <w:szCs w:val="18"/>
              </w:rPr>
            </w:pPr>
            <w:r w:rsidRPr="00C258AD">
              <w:rPr>
                <w:sz w:val="18"/>
              </w:rPr>
              <w:t>Mexique</w:t>
            </w:r>
          </w:p>
        </w:tc>
        <w:tc>
          <w:tcPr>
            <w:tcW w:w="5220" w:type="dxa"/>
            <w:tcMar>
              <w:top w:w="57" w:type="dxa"/>
              <w:left w:w="57" w:type="dxa"/>
              <w:bottom w:w="57" w:type="dxa"/>
              <w:right w:w="57" w:type="dxa"/>
            </w:tcMar>
          </w:tcPr>
          <w:p w:rsidR="00CB421E" w:rsidRPr="00C258AD" w:rsidRDefault="00CB421E" w:rsidP="00927E1F">
            <w:pPr>
              <w:rPr>
                <w:sz w:val="18"/>
                <w:szCs w:val="18"/>
              </w:rPr>
            </w:pPr>
            <w:r w:rsidRPr="00C258AD">
              <w:rPr>
                <w:sz w:val="18"/>
              </w:rPr>
              <w:t>Secteur du développement</w:t>
            </w:r>
          </w:p>
        </w:tc>
      </w:tr>
      <w:tr w:rsidR="00CB421E" w:rsidRPr="00C258AD" w:rsidTr="00927E1F">
        <w:trPr>
          <w:cantSplit/>
        </w:trPr>
        <w:tc>
          <w:tcPr>
            <w:tcW w:w="40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421E" w:rsidRPr="00C258AD" w:rsidRDefault="00CB421E" w:rsidP="00927E1F">
            <w:pPr>
              <w:rPr>
                <w:sz w:val="18"/>
              </w:rPr>
            </w:pPr>
            <w:r w:rsidRPr="00C258AD">
              <w:rPr>
                <w:sz w:val="18"/>
              </w:rPr>
              <w:t>Programme ibéro</w:t>
            </w:r>
            <w:r w:rsidRPr="00C258AD">
              <w:rPr>
                <w:sz w:val="18"/>
              </w:rPr>
              <w:noBreakHyphen/>
              <w:t>américain de la propriété industrielle</w:t>
            </w:r>
          </w:p>
        </w:tc>
        <w:tc>
          <w:tcPr>
            <w:tcW w:w="52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421E" w:rsidRPr="00C258AD" w:rsidRDefault="00CB421E" w:rsidP="00927E1F">
            <w:pPr>
              <w:rPr>
                <w:sz w:val="18"/>
              </w:rPr>
            </w:pPr>
            <w:r w:rsidRPr="00C258AD">
              <w:rPr>
                <w:sz w:val="18"/>
              </w:rPr>
              <w:t>Secteur du développement</w:t>
            </w:r>
          </w:p>
        </w:tc>
      </w:tr>
      <w:tr w:rsidR="00CB421E" w:rsidRPr="00C258AD" w:rsidTr="00927E1F">
        <w:trPr>
          <w:cantSplit/>
        </w:trPr>
        <w:tc>
          <w:tcPr>
            <w:tcW w:w="4068" w:type="dxa"/>
            <w:tcMar>
              <w:top w:w="57" w:type="dxa"/>
              <w:left w:w="57" w:type="dxa"/>
              <w:bottom w:w="57" w:type="dxa"/>
              <w:right w:w="57" w:type="dxa"/>
            </w:tcMar>
          </w:tcPr>
          <w:p w:rsidR="00CB421E" w:rsidRPr="00C258AD" w:rsidRDefault="00CB421E" w:rsidP="00927E1F">
            <w:pPr>
              <w:rPr>
                <w:sz w:val="18"/>
                <w:szCs w:val="18"/>
              </w:rPr>
            </w:pPr>
            <w:r w:rsidRPr="00C258AD">
              <w:rPr>
                <w:sz w:val="18"/>
              </w:rPr>
              <w:t>République de Corée/droit d’auteur</w:t>
            </w:r>
          </w:p>
        </w:tc>
        <w:tc>
          <w:tcPr>
            <w:tcW w:w="5220" w:type="dxa"/>
            <w:tcMar>
              <w:top w:w="57" w:type="dxa"/>
              <w:left w:w="57" w:type="dxa"/>
              <w:bottom w:w="57" w:type="dxa"/>
              <w:right w:w="57" w:type="dxa"/>
            </w:tcMar>
          </w:tcPr>
          <w:p w:rsidR="00CB421E" w:rsidRPr="00C258AD" w:rsidRDefault="00CB421E" w:rsidP="00927E1F">
            <w:pPr>
              <w:rPr>
                <w:sz w:val="18"/>
                <w:szCs w:val="18"/>
              </w:rPr>
            </w:pPr>
            <w:r w:rsidRPr="00C258AD">
              <w:rPr>
                <w:sz w:val="18"/>
              </w:rPr>
              <w:t>Secteur de la culture et des industries de la création</w:t>
            </w:r>
          </w:p>
        </w:tc>
      </w:tr>
      <w:tr w:rsidR="00CB421E" w:rsidRPr="00C258AD" w:rsidTr="00927E1F">
        <w:trPr>
          <w:cantSplit/>
        </w:trPr>
        <w:tc>
          <w:tcPr>
            <w:tcW w:w="4068" w:type="dxa"/>
            <w:tcMar>
              <w:top w:w="57" w:type="dxa"/>
              <w:left w:w="57" w:type="dxa"/>
              <w:bottom w:w="57" w:type="dxa"/>
              <w:right w:w="57" w:type="dxa"/>
            </w:tcMar>
          </w:tcPr>
          <w:p w:rsidR="00CB421E" w:rsidRPr="00C258AD" w:rsidRDefault="00CB421E" w:rsidP="00927E1F">
            <w:pPr>
              <w:rPr>
                <w:sz w:val="18"/>
                <w:szCs w:val="18"/>
              </w:rPr>
            </w:pPr>
            <w:r w:rsidRPr="00C258AD">
              <w:rPr>
                <w:sz w:val="18"/>
              </w:rPr>
              <w:t>République de Corée/formation</w:t>
            </w:r>
          </w:p>
        </w:tc>
        <w:tc>
          <w:tcPr>
            <w:tcW w:w="5220" w:type="dxa"/>
            <w:tcMar>
              <w:top w:w="57" w:type="dxa"/>
              <w:left w:w="57" w:type="dxa"/>
              <w:bottom w:w="57" w:type="dxa"/>
              <w:right w:w="57" w:type="dxa"/>
            </w:tcMar>
          </w:tcPr>
          <w:p w:rsidR="00CB421E" w:rsidRPr="00C258AD" w:rsidRDefault="00CB421E" w:rsidP="00927E1F">
            <w:pPr>
              <w:rPr>
                <w:sz w:val="18"/>
                <w:szCs w:val="18"/>
              </w:rPr>
            </w:pPr>
            <w:r w:rsidRPr="00C258AD">
              <w:rPr>
                <w:sz w:val="18"/>
              </w:rPr>
              <w:t>Secteur du développement</w:t>
            </w:r>
          </w:p>
        </w:tc>
      </w:tr>
      <w:tr w:rsidR="00CB421E" w:rsidRPr="00C258AD" w:rsidTr="00927E1F">
        <w:trPr>
          <w:cantSplit/>
        </w:trPr>
        <w:tc>
          <w:tcPr>
            <w:tcW w:w="40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421E" w:rsidRPr="00C258AD" w:rsidRDefault="00CB421E" w:rsidP="00927E1F">
            <w:pPr>
              <w:rPr>
                <w:sz w:val="18"/>
              </w:rPr>
            </w:pPr>
            <w:r w:rsidRPr="00C258AD">
              <w:rPr>
                <w:sz w:val="18"/>
              </w:rPr>
              <w:t>République de Corée/promotion du respect de la propriété intellectuelle</w:t>
            </w:r>
          </w:p>
        </w:tc>
        <w:tc>
          <w:tcPr>
            <w:tcW w:w="52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421E" w:rsidRPr="00C258AD" w:rsidRDefault="00CB421E" w:rsidP="00927E1F">
            <w:pPr>
              <w:rPr>
                <w:sz w:val="18"/>
              </w:rPr>
            </w:pPr>
            <w:r w:rsidRPr="00C258AD">
              <w:rPr>
                <w:sz w:val="18"/>
              </w:rPr>
              <w:t>Secteur des questions mondiales</w:t>
            </w:r>
          </w:p>
        </w:tc>
      </w:tr>
      <w:tr w:rsidR="00CB421E" w:rsidRPr="00C258AD" w:rsidTr="00927E1F">
        <w:trPr>
          <w:cantSplit/>
        </w:trPr>
        <w:tc>
          <w:tcPr>
            <w:tcW w:w="4068" w:type="dxa"/>
            <w:tcMar>
              <w:top w:w="57" w:type="dxa"/>
              <w:left w:w="57" w:type="dxa"/>
              <w:bottom w:w="57" w:type="dxa"/>
              <w:right w:w="57" w:type="dxa"/>
            </w:tcMar>
          </w:tcPr>
          <w:p w:rsidR="00CB421E" w:rsidRPr="00C258AD" w:rsidRDefault="00CB421E" w:rsidP="00927E1F">
            <w:pPr>
              <w:rPr>
                <w:sz w:val="18"/>
                <w:szCs w:val="18"/>
              </w:rPr>
            </w:pPr>
            <w:r w:rsidRPr="00C258AD">
              <w:rPr>
                <w:sz w:val="18"/>
              </w:rPr>
              <w:t>République de Corée/propriété intellectuelle</w:t>
            </w:r>
          </w:p>
        </w:tc>
        <w:tc>
          <w:tcPr>
            <w:tcW w:w="5220" w:type="dxa"/>
            <w:tcMar>
              <w:top w:w="57" w:type="dxa"/>
              <w:left w:w="57" w:type="dxa"/>
              <w:bottom w:w="57" w:type="dxa"/>
              <w:right w:w="57" w:type="dxa"/>
            </w:tcMar>
          </w:tcPr>
          <w:p w:rsidR="00CB421E" w:rsidRPr="00C258AD" w:rsidRDefault="00CB421E" w:rsidP="00927E1F">
            <w:pPr>
              <w:rPr>
                <w:sz w:val="18"/>
                <w:szCs w:val="18"/>
              </w:rPr>
            </w:pPr>
            <w:r w:rsidRPr="00C258AD">
              <w:rPr>
                <w:sz w:val="18"/>
              </w:rPr>
              <w:t>Secteur du développement</w:t>
            </w:r>
          </w:p>
        </w:tc>
      </w:tr>
      <w:tr w:rsidR="00CB421E" w:rsidRPr="00C258AD" w:rsidTr="00927E1F">
        <w:trPr>
          <w:cantSplit/>
        </w:trPr>
        <w:tc>
          <w:tcPr>
            <w:tcW w:w="4068"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421E" w:rsidRPr="00C258AD" w:rsidRDefault="00CB421E" w:rsidP="00927E1F">
            <w:pPr>
              <w:rPr>
                <w:sz w:val="18"/>
              </w:rPr>
            </w:pPr>
            <w:r w:rsidRPr="00C258AD">
              <w:rPr>
                <w:sz w:val="18"/>
              </w:rPr>
              <w:t>Union européenne/Pakistan</w:t>
            </w:r>
          </w:p>
        </w:tc>
        <w:tc>
          <w:tcPr>
            <w:tcW w:w="5220" w:type="dxa"/>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tcPr>
          <w:p w:rsidR="00CB421E" w:rsidRPr="00C258AD" w:rsidRDefault="00CB421E" w:rsidP="00927E1F">
            <w:pPr>
              <w:rPr>
                <w:sz w:val="18"/>
              </w:rPr>
            </w:pPr>
            <w:r w:rsidRPr="00C258AD">
              <w:rPr>
                <w:sz w:val="18"/>
              </w:rPr>
              <w:t>Secteur du développement</w:t>
            </w:r>
          </w:p>
        </w:tc>
      </w:tr>
      <w:tr w:rsidR="00CB421E" w:rsidRPr="00C258AD" w:rsidTr="00927E1F">
        <w:trPr>
          <w:cantSplit/>
        </w:trPr>
        <w:tc>
          <w:tcPr>
            <w:tcW w:w="4068" w:type="dxa"/>
            <w:tcMar>
              <w:top w:w="57" w:type="dxa"/>
              <w:left w:w="57" w:type="dxa"/>
              <w:bottom w:w="57" w:type="dxa"/>
              <w:right w:w="57" w:type="dxa"/>
            </w:tcMar>
          </w:tcPr>
          <w:p w:rsidR="00CB421E" w:rsidRPr="00C258AD" w:rsidRDefault="00CB421E" w:rsidP="00927E1F">
            <w:pPr>
              <w:rPr>
                <w:sz w:val="18"/>
                <w:szCs w:val="18"/>
              </w:rPr>
            </w:pPr>
            <w:r w:rsidRPr="00C258AD">
              <w:rPr>
                <w:sz w:val="18"/>
              </w:rPr>
              <w:t>Uruguay</w:t>
            </w:r>
          </w:p>
        </w:tc>
        <w:tc>
          <w:tcPr>
            <w:tcW w:w="5220" w:type="dxa"/>
            <w:tcMar>
              <w:top w:w="57" w:type="dxa"/>
              <w:left w:w="57" w:type="dxa"/>
              <w:bottom w:w="57" w:type="dxa"/>
              <w:right w:w="57" w:type="dxa"/>
            </w:tcMar>
          </w:tcPr>
          <w:p w:rsidR="00CB421E" w:rsidRPr="00C258AD" w:rsidRDefault="00CB421E" w:rsidP="00927E1F">
            <w:pPr>
              <w:rPr>
                <w:sz w:val="18"/>
                <w:szCs w:val="18"/>
              </w:rPr>
            </w:pPr>
            <w:r w:rsidRPr="00C258AD">
              <w:rPr>
                <w:sz w:val="18"/>
              </w:rPr>
              <w:t>Secteur du développement</w:t>
            </w:r>
          </w:p>
        </w:tc>
      </w:tr>
    </w:tbl>
    <w:p w:rsidR="00CB421E" w:rsidRPr="00C258AD" w:rsidRDefault="00CB421E" w:rsidP="00CB421E"/>
    <w:p w:rsidR="00CB421E" w:rsidRPr="00C258AD" w:rsidRDefault="00CB421E" w:rsidP="00CB421E">
      <w:pPr>
        <w:spacing w:after="200" w:line="276" w:lineRule="auto"/>
        <w:rPr>
          <w:rFonts w:cs="Arial"/>
          <w:b/>
          <w:szCs w:val="20"/>
        </w:rPr>
      </w:pPr>
      <w:r w:rsidRPr="00C258AD">
        <w:rPr>
          <w:rFonts w:cs="Arial"/>
          <w:b/>
          <w:szCs w:val="20"/>
        </w:rPr>
        <w:br w:type="page"/>
      </w:r>
    </w:p>
    <w:p w:rsidR="00CB421E" w:rsidRPr="00C258AD" w:rsidRDefault="00CB421E" w:rsidP="00CB421E">
      <w:pPr>
        <w:rPr>
          <w:rFonts w:cs="Arial"/>
          <w:b/>
          <w:szCs w:val="20"/>
        </w:rPr>
      </w:pPr>
      <w:r w:rsidRPr="00C258AD">
        <w:rPr>
          <w:rFonts w:cs="Arial"/>
          <w:b/>
          <w:szCs w:val="20"/>
        </w:rPr>
        <w:lastRenderedPageBreak/>
        <w:t>AUSTRALIE</w:t>
      </w:r>
    </w:p>
    <w:p w:rsidR="00CB421E" w:rsidRPr="00C258AD" w:rsidRDefault="00CB421E" w:rsidP="00CB421E">
      <w:pPr>
        <w:rPr>
          <w:rFonts w:cs="Arial"/>
          <w:b/>
          <w:szCs w:val="20"/>
        </w:rPr>
      </w:pPr>
    </w:p>
    <w:tbl>
      <w:tblPr>
        <w:tblW w:w="5000" w:type="pct"/>
        <w:tblInd w:w="108" w:type="dxa"/>
        <w:tblBorders>
          <w:top w:val="single" w:sz="4" w:space="0" w:color="000000"/>
          <w:left w:val="single" w:sz="4" w:space="0" w:color="000000"/>
          <w:bottom w:val="single" w:sz="4" w:space="0" w:color="000000"/>
          <w:right w:val="single" w:sz="4" w:space="0" w:color="000000"/>
        </w:tblBorders>
        <w:tblCellMar>
          <w:top w:w="113" w:type="dxa"/>
          <w:left w:w="68" w:type="dxa"/>
          <w:bottom w:w="113" w:type="dxa"/>
          <w:right w:w="68" w:type="dxa"/>
        </w:tblCellMar>
        <w:tblLook w:val="0000" w:firstRow="0" w:lastRow="0" w:firstColumn="0" w:lastColumn="0" w:noHBand="0" w:noVBand="0"/>
      </w:tblPr>
      <w:tblGrid>
        <w:gridCol w:w="1737"/>
        <w:gridCol w:w="1415"/>
        <w:gridCol w:w="141"/>
        <w:gridCol w:w="1862"/>
        <w:gridCol w:w="320"/>
        <w:gridCol w:w="4016"/>
      </w:tblGrid>
      <w:tr w:rsidR="00CB421E" w:rsidRPr="00C258AD" w:rsidTr="00927E1F">
        <w:trPr>
          <w:cantSplit/>
        </w:trPr>
        <w:tc>
          <w:tcPr>
            <w:tcW w:w="9498" w:type="dxa"/>
            <w:gridSpan w:val="6"/>
            <w:tcBorders>
              <w:top w:val="single" w:sz="4" w:space="0" w:color="000000"/>
              <w:bottom w:val="single" w:sz="4" w:space="0" w:color="000000"/>
            </w:tcBorders>
            <w:shd w:val="clear" w:color="auto" w:fill="C6D9F1" w:themeFill="text2" w:themeFillTint="33"/>
            <w:vAlign w:val="center"/>
          </w:tcPr>
          <w:p w:rsidR="00CB421E" w:rsidRPr="00C258AD" w:rsidRDefault="00CB421E" w:rsidP="00927E1F">
            <w:pPr>
              <w:keepNext/>
              <w:keepLines/>
              <w:tabs>
                <w:tab w:val="left" w:pos="1740"/>
              </w:tabs>
              <w:ind w:left="1740" w:hanging="1740"/>
              <w:rPr>
                <w:rFonts w:cs="Arial"/>
                <w:b/>
                <w:bCs/>
                <w:sz w:val="16"/>
                <w:szCs w:val="16"/>
              </w:rPr>
            </w:pPr>
            <w:r w:rsidRPr="00C258AD">
              <w:rPr>
                <w:rFonts w:cs="Arial"/>
                <w:b/>
                <w:bCs/>
                <w:sz w:val="16"/>
                <w:szCs w:val="16"/>
              </w:rPr>
              <w:t xml:space="preserve">RÉSULTAT : </w:t>
            </w:r>
            <w:r w:rsidRPr="00C258AD">
              <w:rPr>
                <w:rFonts w:cs="Arial"/>
                <w:b/>
                <w:bCs/>
                <w:sz w:val="16"/>
                <w:szCs w:val="16"/>
              </w:rPr>
              <w:tab/>
            </w:r>
            <w:r w:rsidRPr="00C258AD">
              <w:rPr>
                <w:rFonts w:eastAsia="MS Mincho" w:cs="Arial"/>
                <w:bCs/>
                <w:sz w:val="16"/>
                <w:szCs w:val="16"/>
                <w:lang w:eastAsia="ja-JP" w:bidi="th-TH"/>
              </w:rPr>
              <w:t xml:space="preserve">II.1 </w:t>
            </w:r>
            <w:r w:rsidRPr="00C258AD">
              <w:rPr>
                <w:sz w:val="16"/>
              </w:rPr>
              <w:t>Utilisation accrue de la voie PCT pour le dépôt des demandes internationales de brevet</w:t>
            </w:r>
          </w:p>
        </w:tc>
      </w:tr>
      <w:tr w:rsidR="00CB421E" w:rsidRPr="00C258AD" w:rsidTr="00927E1F">
        <w:trPr>
          <w:cantSplit/>
        </w:trPr>
        <w:tc>
          <w:tcPr>
            <w:tcW w:w="1843" w:type="dxa"/>
            <w:tcBorders>
              <w:top w:val="single" w:sz="4" w:space="0" w:color="000000"/>
            </w:tcBorders>
            <w:vAlign w:val="center"/>
          </w:tcPr>
          <w:p w:rsidR="00CB421E" w:rsidRPr="00C258AD" w:rsidRDefault="00CB421E" w:rsidP="00927E1F">
            <w:pPr>
              <w:keepNext/>
              <w:keepLines/>
              <w:rPr>
                <w:rFonts w:cs="Arial"/>
                <w:b/>
                <w:bCs/>
                <w:sz w:val="16"/>
                <w:szCs w:val="16"/>
              </w:rPr>
            </w:pPr>
            <w:r w:rsidRPr="00C258AD">
              <w:rPr>
                <w:b/>
                <w:sz w:val="16"/>
              </w:rPr>
              <w:t>Activité</w:t>
            </w:r>
          </w:p>
        </w:tc>
        <w:tc>
          <w:tcPr>
            <w:tcW w:w="1135" w:type="dxa"/>
            <w:tcBorders>
              <w:top w:val="single" w:sz="4" w:space="0" w:color="000000"/>
            </w:tcBorders>
            <w:shd w:val="clear" w:color="auto" w:fill="auto"/>
            <w:tcMar>
              <w:top w:w="110" w:type="dxa"/>
            </w:tcMar>
            <w:vAlign w:val="center"/>
          </w:tcPr>
          <w:p w:rsidR="00CB421E" w:rsidRPr="00C258AD" w:rsidRDefault="00CB421E" w:rsidP="00927E1F">
            <w:pPr>
              <w:keepNext/>
              <w:keepLines/>
              <w:rPr>
                <w:rFonts w:cs="Arial"/>
                <w:sz w:val="16"/>
                <w:szCs w:val="16"/>
              </w:rPr>
            </w:pPr>
            <w:r w:rsidRPr="00C258AD">
              <w:rPr>
                <w:b/>
                <w:sz w:val="16"/>
              </w:rPr>
              <w:t>Date</w:t>
            </w:r>
          </w:p>
        </w:tc>
        <w:tc>
          <w:tcPr>
            <w:tcW w:w="1842" w:type="dxa"/>
            <w:gridSpan w:val="3"/>
            <w:tcBorders>
              <w:top w:val="single" w:sz="4" w:space="0" w:color="000000"/>
            </w:tcBorders>
            <w:shd w:val="clear" w:color="auto" w:fill="auto"/>
            <w:tcMar>
              <w:top w:w="110" w:type="dxa"/>
            </w:tcMar>
            <w:vAlign w:val="center"/>
          </w:tcPr>
          <w:p w:rsidR="00CB421E" w:rsidRPr="00C258AD" w:rsidRDefault="00CB421E" w:rsidP="00927E1F">
            <w:pPr>
              <w:keepNext/>
              <w:keepLines/>
              <w:rPr>
                <w:rFonts w:cs="Arial"/>
                <w:sz w:val="16"/>
                <w:szCs w:val="16"/>
              </w:rPr>
            </w:pPr>
            <w:r w:rsidRPr="00C258AD">
              <w:rPr>
                <w:b/>
                <w:sz w:val="16"/>
              </w:rPr>
              <w:t>Pays hôte/</w:t>
            </w:r>
            <w:r w:rsidRPr="00C258AD">
              <w:br/>
            </w:r>
            <w:r w:rsidRPr="00C258AD">
              <w:rPr>
                <w:b/>
                <w:sz w:val="16"/>
              </w:rPr>
              <w:t>bénéficiaires</w:t>
            </w:r>
          </w:p>
        </w:tc>
        <w:tc>
          <w:tcPr>
            <w:tcW w:w="4678" w:type="dxa"/>
            <w:tcBorders>
              <w:top w:val="single" w:sz="4" w:space="0" w:color="000000"/>
            </w:tcBorders>
            <w:shd w:val="clear" w:color="auto" w:fill="FFFFFF"/>
            <w:tcMar>
              <w:top w:w="110" w:type="dxa"/>
            </w:tcMar>
            <w:vAlign w:val="center"/>
          </w:tcPr>
          <w:p w:rsidR="00CB421E" w:rsidRPr="00C258AD" w:rsidRDefault="00CB421E" w:rsidP="00927E1F">
            <w:pPr>
              <w:keepNext/>
              <w:keepLines/>
              <w:rPr>
                <w:rFonts w:cs="Arial"/>
                <w:sz w:val="16"/>
                <w:szCs w:val="16"/>
              </w:rPr>
            </w:pPr>
            <w:r w:rsidRPr="00C258AD">
              <w:rPr>
                <w:b/>
                <w:sz w:val="16"/>
              </w:rPr>
              <w:t>Objectif(s)/description(s)</w:t>
            </w:r>
          </w:p>
        </w:tc>
      </w:tr>
      <w:tr w:rsidR="00CB421E" w:rsidRPr="00C258AD" w:rsidTr="00927E1F">
        <w:trPr>
          <w:cantSplit/>
        </w:trPr>
        <w:tc>
          <w:tcPr>
            <w:tcW w:w="184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Séminaires itinérants sur le PCT à l’intention des universités</w:t>
            </w:r>
          </w:p>
        </w:tc>
        <w:tc>
          <w:tcPr>
            <w:tcW w:w="1135" w:type="dxa"/>
          </w:tcPr>
          <w:p w:rsidR="00CB421E" w:rsidRPr="00C258AD" w:rsidRDefault="00CB421E" w:rsidP="00927E1F">
            <w:pPr>
              <w:autoSpaceDE w:val="0"/>
              <w:autoSpaceDN w:val="0"/>
              <w:adjustRightInd w:val="0"/>
              <w:rPr>
                <w:sz w:val="16"/>
                <w:szCs w:val="16"/>
              </w:rPr>
            </w:pPr>
            <w:r w:rsidRPr="00C258AD">
              <w:rPr>
                <w:sz w:val="16"/>
                <w:szCs w:val="16"/>
              </w:rPr>
              <w:t>25 – 26 mars 2015</w:t>
            </w:r>
          </w:p>
        </w:tc>
        <w:tc>
          <w:tcPr>
            <w:tcW w:w="1842" w:type="dxa"/>
            <w:gridSpan w:val="3"/>
          </w:tcPr>
          <w:p w:rsidR="00CB421E" w:rsidRPr="00C258AD" w:rsidRDefault="00CB421E" w:rsidP="00927E1F">
            <w:pPr>
              <w:autoSpaceDE w:val="0"/>
              <w:autoSpaceDN w:val="0"/>
              <w:adjustRightInd w:val="0"/>
              <w:rPr>
                <w:rFonts w:cs="Arial"/>
                <w:sz w:val="16"/>
                <w:szCs w:val="16"/>
              </w:rPr>
            </w:pPr>
            <w:r w:rsidRPr="00C258AD">
              <w:rPr>
                <w:sz w:val="16"/>
                <w:szCs w:val="16"/>
              </w:rPr>
              <w:t>Afrique du Sud/ 52 participants</w:t>
            </w:r>
          </w:p>
        </w:tc>
        <w:tc>
          <w:tcPr>
            <w:tcW w:w="4678"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Les séminaires ont permis aux participants d’acquérir des connaissances sur la manière d’utiliser le PCT et le système international des brevets en général aux fins du transfert de connaissances, avec des exemples de situations réelles.  </w:t>
            </w:r>
          </w:p>
        </w:tc>
      </w:tr>
      <w:tr w:rsidR="00CB421E" w:rsidRPr="00C258AD" w:rsidTr="00927E1F">
        <w:trPr>
          <w:cantSplit/>
        </w:trPr>
        <w:tc>
          <w:tcPr>
            <w:tcW w:w="184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Formation sur le PCT et le système </w:t>
            </w:r>
            <w:proofErr w:type="spellStart"/>
            <w:r w:rsidRPr="00C258AD">
              <w:rPr>
                <w:rFonts w:cs="Arial"/>
                <w:sz w:val="16"/>
                <w:szCs w:val="16"/>
              </w:rPr>
              <w:t>ePCT</w:t>
            </w:r>
            <w:proofErr w:type="spellEnd"/>
            <w:r w:rsidRPr="00C258AD">
              <w:rPr>
                <w:rFonts w:cs="Arial"/>
                <w:sz w:val="16"/>
                <w:szCs w:val="16"/>
              </w:rPr>
              <w:t xml:space="preserve"> à l’intention des pays de l’ASEAN</w:t>
            </w:r>
          </w:p>
        </w:tc>
        <w:tc>
          <w:tcPr>
            <w:tcW w:w="1135"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24 – 25 mars 2015</w:t>
            </w:r>
          </w:p>
        </w:tc>
        <w:tc>
          <w:tcPr>
            <w:tcW w:w="1842" w:type="dxa"/>
            <w:gridSpan w:val="3"/>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Singapour/ 18 participants de </w:t>
            </w:r>
            <w:proofErr w:type="spellStart"/>
            <w:r w:rsidRPr="00C258AD">
              <w:rPr>
                <w:sz w:val="16"/>
                <w:szCs w:val="16"/>
              </w:rPr>
              <w:t>Brunéi</w:t>
            </w:r>
            <w:proofErr w:type="spellEnd"/>
            <w:r w:rsidRPr="00C258AD">
              <w:rPr>
                <w:sz w:val="16"/>
                <w:szCs w:val="16"/>
              </w:rPr>
              <w:t xml:space="preserve"> Darussalam, Cambodge, Indonésie, Malaisie, </w:t>
            </w:r>
            <w:r w:rsidRPr="00C258AD">
              <w:rPr>
                <w:rFonts w:cs="Arial"/>
                <w:sz w:val="16"/>
                <w:szCs w:val="16"/>
              </w:rPr>
              <w:t>Myanmar</w:t>
            </w:r>
            <w:r w:rsidRPr="00C258AD">
              <w:rPr>
                <w:sz w:val="16"/>
                <w:szCs w:val="16"/>
              </w:rPr>
              <w:t>, Philippines, République démocratique populaire lao, Thaïlande, Viet Nam</w:t>
            </w:r>
          </w:p>
        </w:tc>
        <w:tc>
          <w:tcPr>
            <w:tcW w:w="4678"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La formation a porté sur les principales fonctions et procédures du PCT et du système </w:t>
            </w:r>
            <w:proofErr w:type="spellStart"/>
            <w:r w:rsidRPr="00C258AD">
              <w:rPr>
                <w:rFonts w:cs="Arial"/>
                <w:sz w:val="16"/>
                <w:szCs w:val="16"/>
              </w:rPr>
              <w:t>ePCT</w:t>
            </w:r>
            <w:proofErr w:type="spellEnd"/>
            <w:r w:rsidRPr="00C258AD">
              <w:rPr>
                <w:rFonts w:cs="Arial"/>
                <w:sz w:val="16"/>
                <w:szCs w:val="16"/>
              </w:rPr>
              <w:t xml:space="preserve"> que ces offices doivent utiliser.  Elle a également offert aux participants une occasion précieuse d’échanger des données d’expérience.  Cet atelier </w:t>
            </w:r>
            <w:proofErr w:type="spellStart"/>
            <w:r w:rsidRPr="00C258AD">
              <w:rPr>
                <w:rFonts w:cs="Arial"/>
                <w:sz w:val="16"/>
                <w:szCs w:val="16"/>
              </w:rPr>
              <w:t>sous</w:t>
            </w:r>
            <w:r w:rsidRPr="00C258AD">
              <w:rPr>
                <w:rFonts w:cs="Arial"/>
                <w:sz w:val="16"/>
                <w:szCs w:val="16"/>
              </w:rPr>
              <w:noBreakHyphen/>
              <w:t>régional</w:t>
            </w:r>
            <w:proofErr w:type="spellEnd"/>
            <w:r w:rsidRPr="00C258AD">
              <w:rPr>
                <w:rFonts w:cs="Arial"/>
                <w:sz w:val="16"/>
                <w:szCs w:val="16"/>
              </w:rPr>
              <w:t xml:space="preserve"> a également été une excellente occasion de s’intéresser aux dernières nouveautés concernant le PCT et plus particulièrement le système </w:t>
            </w:r>
            <w:proofErr w:type="spellStart"/>
            <w:r w:rsidRPr="00C258AD">
              <w:rPr>
                <w:rFonts w:cs="Arial"/>
                <w:sz w:val="16"/>
                <w:szCs w:val="16"/>
              </w:rPr>
              <w:t>ePCT</w:t>
            </w:r>
            <w:proofErr w:type="spellEnd"/>
            <w:r w:rsidRPr="00C258AD">
              <w:rPr>
                <w:rFonts w:cs="Arial"/>
                <w:sz w:val="16"/>
                <w:szCs w:val="16"/>
              </w:rPr>
              <w:t>.</w:t>
            </w:r>
          </w:p>
        </w:tc>
      </w:tr>
      <w:tr w:rsidR="00CB421E" w:rsidRPr="00C258AD" w:rsidTr="00927E1F">
        <w:trPr>
          <w:cantSplit/>
        </w:trPr>
        <w:tc>
          <w:tcPr>
            <w:tcW w:w="9498" w:type="dxa"/>
            <w:gridSpan w:val="6"/>
            <w:tcBorders>
              <w:top w:val="single" w:sz="4" w:space="0" w:color="000000"/>
              <w:bottom w:val="single" w:sz="4" w:space="0" w:color="000000"/>
            </w:tcBorders>
            <w:shd w:val="clear" w:color="auto" w:fill="C6D9F1" w:themeFill="text2" w:themeFillTint="33"/>
            <w:vAlign w:val="center"/>
          </w:tcPr>
          <w:p w:rsidR="00CB421E" w:rsidRPr="00C258AD" w:rsidRDefault="00CB421E" w:rsidP="00927E1F">
            <w:pPr>
              <w:keepNext/>
              <w:keepLines/>
              <w:tabs>
                <w:tab w:val="left" w:pos="1740"/>
              </w:tabs>
              <w:ind w:left="1741" w:hanging="1741"/>
              <w:rPr>
                <w:rFonts w:cs="Arial"/>
                <w:b/>
                <w:bCs/>
                <w:sz w:val="16"/>
                <w:szCs w:val="16"/>
              </w:rPr>
            </w:pPr>
            <w:r w:rsidRPr="00C258AD">
              <w:rPr>
                <w:rFonts w:cs="Arial"/>
                <w:b/>
                <w:bCs/>
                <w:sz w:val="16"/>
                <w:szCs w:val="16"/>
              </w:rPr>
              <w:t>RÉSULTAT :</w:t>
            </w:r>
            <w:r w:rsidRPr="00C258AD">
              <w:rPr>
                <w:rFonts w:cs="Arial"/>
                <w:bCs/>
                <w:sz w:val="16"/>
                <w:szCs w:val="16"/>
              </w:rPr>
              <w:t xml:space="preserve"> </w:t>
            </w:r>
            <w:r w:rsidRPr="00C258AD">
              <w:rPr>
                <w:rFonts w:cs="Arial"/>
                <w:bCs/>
                <w:sz w:val="16"/>
                <w:szCs w:val="16"/>
              </w:rPr>
              <w:tab/>
              <w:t>III.1 Stratégies et plans nationaux en matière d’innovation et de propriété intellectuelle conformes aux objectifs de développement nationaux</w:t>
            </w:r>
          </w:p>
        </w:tc>
      </w:tr>
      <w:tr w:rsidR="00CB421E" w:rsidRPr="00C258AD" w:rsidTr="00927E1F">
        <w:trPr>
          <w:cantSplit/>
        </w:trPr>
        <w:tc>
          <w:tcPr>
            <w:tcW w:w="1843" w:type="dxa"/>
            <w:tcBorders>
              <w:top w:val="single" w:sz="4" w:space="0" w:color="000000"/>
            </w:tcBorders>
            <w:vAlign w:val="center"/>
          </w:tcPr>
          <w:p w:rsidR="00CB421E" w:rsidRPr="00C258AD" w:rsidRDefault="00CB421E" w:rsidP="00927E1F">
            <w:pPr>
              <w:keepNext/>
              <w:keepLines/>
              <w:rPr>
                <w:rFonts w:cs="Arial"/>
                <w:b/>
                <w:bCs/>
                <w:sz w:val="16"/>
                <w:szCs w:val="16"/>
              </w:rPr>
            </w:pPr>
            <w:r w:rsidRPr="00C258AD">
              <w:rPr>
                <w:b/>
                <w:sz w:val="16"/>
              </w:rPr>
              <w:t>Activité</w:t>
            </w:r>
          </w:p>
        </w:tc>
        <w:tc>
          <w:tcPr>
            <w:tcW w:w="1135" w:type="dxa"/>
            <w:tcBorders>
              <w:top w:val="single" w:sz="4" w:space="0" w:color="000000"/>
            </w:tcBorders>
            <w:shd w:val="clear" w:color="auto" w:fill="auto"/>
            <w:tcMar>
              <w:top w:w="110" w:type="dxa"/>
            </w:tcMar>
            <w:vAlign w:val="center"/>
          </w:tcPr>
          <w:p w:rsidR="00CB421E" w:rsidRPr="00C258AD" w:rsidRDefault="00CB421E" w:rsidP="00927E1F">
            <w:pPr>
              <w:keepNext/>
              <w:keepLines/>
              <w:rPr>
                <w:rFonts w:cs="Arial"/>
                <w:sz w:val="16"/>
                <w:szCs w:val="16"/>
              </w:rPr>
            </w:pPr>
            <w:r w:rsidRPr="00C258AD">
              <w:rPr>
                <w:b/>
                <w:sz w:val="16"/>
              </w:rPr>
              <w:t>Date</w:t>
            </w:r>
          </w:p>
        </w:tc>
        <w:tc>
          <w:tcPr>
            <w:tcW w:w="1842" w:type="dxa"/>
            <w:gridSpan w:val="3"/>
            <w:tcBorders>
              <w:top w:val="single" w:sz="4" w:space="0" w:color="000000"/>
            </w:tcBorders>
            <w:shd w:val="clear" w:color="auto" w:fill="auto"/>
            <w:tcMar>
              <w:top w:w="110" w:type="dxa"/>
            </w:tcMar>
            <w:vAlign w:val="center"/>
          </w:tcPr>
          <w:p w:rsidR="00CB421E" w:rsidRPr="00C258AD" w:rsidRDefault="00CB421E" w:rsidP="00927E1F">
            <w:pPr>
              <w:keepNext/>
              <w:keepLines/>
              <w:rPr>
                <w:rFonts w:cs="Arial"/>
                <w:sz w:val="16"/>
                <w:szCs w:val="16"/>
              </w:rPr>
            </w:pPr>
            <w:r w:rsidRPr="00C258AD">
              <w:rPr>
                <w:b/>
                <w:sz w:val="16"/>
              </w:rPr>
              <w:t>Pays hôte/</w:t>
            </w:r>
            <w:r w:rsidRPr="00C258AD">
              <w:br/>
            </w:r>
            <w:r w:rsidRPr="00C258AD">
              <w:rPr>
                <w:b/>
                <w:sz w:val="16"/>
              </w:rPr>
              <w:t>bénéficiaires</w:t>
            </w:r>
          </w:p>
        </w:tc>
        <w:tc>
          <w:tcPr>
            <w:tcW w:w="4678" w:type="dxa"/>
            <w:tcBorders>
              <w:top w:val="single" w:sz="4" w:space="0" w:color="000000"/>
            </w:tcBorders>
            <w:shd w:val="clear" w:color="auto" w:fill="FFFFFF"/>
            <w:tcMar>
              <w:top w:w="110" w:type="dxa"/>
            </w:tcMar>
            <w:vAlign w:val="center"/>
          </w:tcPr>
          <w:p w:rsidR="00CB421E" w:rsidRPr="00C258AD" w:rsidRDefault="00CB421E" w:rsidP="00927E1F">
            <w:pPr>
              <w:keepNext/>
              <w:keepLines/>
              <w:rPr>
                <w:rFonts w:cs="Arial"/>
                <w:sz w:val="16"/>
                <w:szCs w:val="16"/>
              </w:rPr>
            </w:pPr>
            <w:r w:rsidRPr="00C258AD">
              <w:rPr>
                <w:b/>
                <w:sz w:val="16"/>
              </w:rPr>
              <w:t>Objectif(s)/description(s)</w:t>
            </w:r>
          </w:p>
        </w:tc>
      </w:tr>
      <w:tr w:rsidR="00CB421E" w:rsidRPr="00C258AD" w:rsidTr="00927E1F">
        <w:trPr>
          <w:cantSplit/>
        </w:trPr>
        <w:tc>
          <w:tcPr>
            <w:tcW w:w="1843" w:type="dxa"/>
            <w:tcBorders>
              <w:bottom w:val="nil"/>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Consultation nationale sur le projet de stratégie nationale de propriété intellectuelle </w:t>
            </w:r>
          </w:p>
        </w:tc>
        <w:tc>
          <w:tcPr>
            <w:tcW w:w="1135" w:type="dxa"/>
            <w:tcBorders>
              <w:bottom w:val="nil"/>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9 et 10 avril 2015</w:t>
            </w:r>
          </w:p>
        </w:tc>
        <w:tc>
          <w:tcPr>
            <w:tcW w:w="1842" w:type="dxa"/>
            <w:gridSpan w:val="3"/>
            <w:tcBorders>
              <w:bottom w:val="nil"/>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Îles Cook</w:t>
            </w:r>
          </w:p>
        </w:tc>
        <w:tc>
          <w:tcPr>
            <w:tcW w:w="4678" w:type="dxa"/>
            <w:tcBorders>
              <w:bottom w:val="nil"/>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Rencontrer les principales parties prenantes pour présenter et examiner en détail le projet de stratégie nationale de propriété intellectuelle.  Sur la base des discussions qui ont eu lieu, une stratégie révisée de propriété intellectuelle a ensuite été soumise au gouvernement pour approbation.  </w:t>
            </w:r>
          </w:p>
        </w:tc>
      </w:tr>
      <w:tr w:rsidR="00CB421E" w:rsidRPr="00C258AD" w:rsidTr="00927E1F">
        <w:trPr>
          <w:cantSplit/>
        </w:trPr>
        <w:tc>
          <w:tcPr>
            <w:tcW w:w="1843" w:type="dxa"/>
            <w:tcBorders>
              <w:top w:val="nil"/>
              <w:bottom w:val="nil"/>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Consultation nationale sur le projet de stratégie nationale de propriété intellectuelle </w:t>
            </w:r>
          </w:p>
        </w:tc>
        <w:tc>
          <w:tcPr>
            <w:tcW w:w="1135" w:type="dxa"/>
            <w:tcBorders>
              <w:top w:val="nil"/>
              <w:bottom w:val="nil"/>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14 – 16 avril 2015</w:t>
            </w:r>
          </w:p>
        </w:tc>
        <w:tc>
          <w:tcPr>
            <w:tcW w:w="1842" w:type="dxa"/>
            <w:gridSpan w:val="3"/>
            <w:tcBorders>
              <w:top w:val="nil"/>
              <w:bottom w:val="nil"/>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Îles Salomon</w:t>
            </w:r>
          </w:p>
        </w:tc>
        <w:tc>
          <w:tcPr>
            <w:tcW w:w="4678" w:type="dxa"/>
            <w:tcBorders>
              <w:top w:val="nil"/>
              <w:bottom w:val="nil"/>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Procéder à des consultations en face</w:t>
            </w:r>
            <w:r w:rsidRPr="00C258AD">
              <w:rPr>
                <w:rFonts w:cs="Arial"/>
                <w:sz w:val="16"/>
                <w:szCs w:val="16"/>
              </w:rPr>
              <w:noBreakHyphen/>
              <w:t>à</w:t>
            </w:r>
            <w:r w:rsidRPr="00C258AD">
              <w:rPr>
                <w:rFonts w:cs="Arial"/>
                <w:sz w:val="16"/>
                <w:szCs w:val="16"/>
              </w:rPr>
              <w:noBreakHyphen/>
              <w:t xml:space="preserve">face avec les parties prenantes nationales sur le projet actuel de stratégie nationale de propriété intellectuelle et effectuer des révisions finales avant la présentation d’un projet révisé de stratégie nationale de propriété intellectuelle au gouvernement pour approbation.   </w:t>
            </w:r>
          </w:p>
        </w:tc>
      </w:tr>
      <w:tr w:rsidR="00CB421E" w:rsidRPr="00C258AD" w:rsidTr="00927E1F">
        <w:trPr>
          <w:cantSplit/>
        </w:trPr>
        <w:tc>
          <w:tcPr>
            <w:tcW w:w="1843" w:type="dxa"/>
            <w:tcBorders>
              <w:top w:val="nil"/>
              <w:bottom w:val="single" w:sz="4" w:space="0" w:color="auto"/>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Atelier de consultation nationale pour l’élaboration d’une stratégie nationale de propriété intellectuelle </w:t>
            </w:r>
          </w:p>
        </w:tc>
        <w:tc>
          <w:tcPr>
            <w:tcW w:w="1135" w:type="dxa"/>
            <w:tcBorders>
              <w:top w:val="nil"/>
              <w:bottom w:val="single" w:sz="4" w:space="0" w:color="auto"/>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13 février 2015</w:t>
            </w:r>
          </w:p>
        </w:tc>
        <w:tc>
          <w:tcPr>
            <w:tcW w:w="1842" w:type="dxa"/>
            <w:gridSpan w:val="3"/>
            <w:tcBorders>
              <w:top w:val="nil"/>
              <w:bottom w:val="single" w:sz="4" w:space="0" w:color="auto"/>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Myanmar</w:t>
            </w:r>
          </w:p>
        </w:tc>
        <w:tc>
          <w:tcPr>
            <w:tcW w:w="4678" w:type="dxa"/>
            <w:tcBorders>
              <w:top w:val="nil"/>
              <w:bottom w:val="single" w:sz="4" w:space="0" w:color="auto"/>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Accroître les connaissances sur la méthode et le processus d’élaboration et de mise en œuvre d’une stratégie nationale de propriété intellectuelle et débattre des questions de politique générale à traiter, ainsi que des éléments potentiels à incorporer dans une telle stratégie, compte tenu des objectifs nationaux actuels en matière de développement.  L’atelier de consultation nationale a ouvert la voie au processus de formulation et l’équipe chargée du projet, composée de deux consultants internationaux et d’un expert national, a entamé des recherches documentaires approfondies, conduit une enquête de base et produit un rapport contenant des conclusions préliminaires qui ont ensuite servi de base à d’autres réunions de consultation au niveau national.  </w:t>
            </w:r>
          </w:p>
        </w:tc>
      </w:tr>
      <w:tr w:rsidR="00CB421E" w:rsidRPr="00C258AD" w:rsidTr="00927E1F">
        <w:trPr>
          <w:cantSplit/>
        </w:trPr>
        <w:tc>
          <w:tcPr>
            <w:tcW w:w="9498" w:type="dxa"/>
            <w:gridSpan w:val="6"/>
            <w:tcBorders>
              <w:top w:val="single" w:sz="4" w:space="0" w:color="auto"/>
              <w:bottom w:val="single" w:sz="4" w:space="0" w:color="000000"/>
            </w:tcBorders>
            <w:shd w:val="clear" w:color="auto" w:fill="C6D9F1" w:themeFill="text2" w:themeFillTint="33"/>
          </w:tcPr>
          <w:p w:rsidR="00CB421E" w:rsidRPr="00C258AD" w:rsidRDefault="00CB421E" w:rsidP="00927E1F">
            <w:pPr>
              <w:keepNext/>
              <w:keepLines/>
              <w:tabs>
                <w:tab w:val="left" w:pos="1740"/>
              </w:tabs>
              <w:ind w:left="1740" w:hanging="1740"/>
              <w:rPr>
                <w:rFonts w:cs="Arial"/>
                <w:sz w:val="16"/>
                <w:szCs w:val="16"/>
              </w:rPr>
            </w:pPr>
            <w:r w:rsidRPr="00C258AD">
              <w:rPr>
                <w:rFonts w:cs="Arial"/>
                <w:b/>
                <w:sz w:val="16"/>
                <w:szCs w:val="16"/>
              </w:rPr>
              <w:lastRenderedPageBreak/>
              <w:t>RÉSULTAT</w:t>
            </w:r>
            <w:r w:rsidRPr="00C258AD">
              <w:rPr>
                <w:rFonts w:cs="Arial"/>
                <w:sz w:val="16"/>
                <w:szCs w:val="16"/>
              </w:rPr>
              <w:t xml:space="preserve"> : </w:t>
            </w:r>
            <w:r w:rsidRPr="00C258AD">
              <w:rPr>
                <w:rFonts w:cs="Arial"/>
                <w:sz w:val="16"/>
                <w:szCs w:val="16"/>
              </w:rPr>
              <w:tab/>
              <w:t>III.2 Mise en valeur des ressources humaines pour répondre aux diverses exigences en matière d’utilisation efficace de la propriété intellectuelle au service du développement dans les pays en développement, les PMA et les pays en transition</w:t>
            </w:r>
          </w:p>
        </w:tc>
      </w:tr>
      <w:tr w:rsidR="00CB421E" w:rsidRPr="00C258AD" w:rsidTr="00927E1F">
        <w:trPr>
          <w:cantSplit/>
        </w:trPr>
        <w:tc>
          <w:tcPr>
            <w:tcW w:w="1843" w:type="dxa"/>
            <w:tcBorders>
              <w:top w:val="single" w:sz="4" w:space="0" w:color="000000"/>
            </w:tcBorders>
            <w:vAlign w:val="center"/>
          </w:tcPr>
          <w:p w:rsidR="00CB421E" w:rsidRPr="00C258AD" w:rsidRDefault="00CB421E" w:rsidP="00927E1F">
            <w:pPr>
              <w:keepNext/>
              <w:keepLines/>
              <w:rPr>
                <w:rFonts w:cs="Arial"/>
                <w:b/>
                <w:bCs/>
                <w:sz w:val="16"/>
                <w:szCs w:val="16"/>
              </w:rPr>
            </w:pPr>
            <w:r w:rsidRPr="00C258AD">
              <w:rPr>
                <w:b/>
                <w:sz w:val="16"/>
              </w:rPr>
              <w:t>Activité</w:t>
            </w:r>
          </w:p>
        </w:tc>
        <w:tc>
          <w:tcPr>
            <w:tcW w:w="1276" w:type="dxa"/>
            <w:gridSpan w:val="2"/>
            <w:tcBorders>
              <w:top w:val="single" w:sz="4" w:space="0" w:color="000000"/>
            </w:tcBorders>
            <w:vAlign w:val="center"/>
          </w:tcPr>
          <w:p w:rsidR="00CB421E" w:rsidRPr="00C258AD" w:rsidRDefault="00CB421E" w:rsidP="00927E1F">
            <w:pPr>
              <w:rPr>
                <w:rFonts w:cs="Arial"/>
                <w:sz w:val="16"/>
                <w:szCs w:val="16"/>
              </w:rPr>
            </w:pPr>
            <w:r w:rsidRPr="00C258AD">
              <w:rPr>
                <w:b/>
                <w:sz w:val="16"/>
              </w:rPr>
              <w:t>Date</w:t>
            </w:r>
          </w:p>
        </w:tc>
        <w:tc>
          <w:tcPr>
            <w:tcW w:w="1701" w:type="dxa"/>
            <w:gridSpan w:val="2"/>
            <w:tcBorders>
              <w:top w:val="single" w:sz="4" w:space="0" w:color="000000"/>
            </w:tcBorders>
            <w:vAlign w:val="center"/>
          </w:tcPr>
          <w:p w:rsidR="00CB421E" w:rsidRPr="00C258AD" w:rsidRDefault="00CB421E" w:rsidP="00927E1F">
            <w:pPr>
              <w:rPr>
                <w:rFonts w:cs="Arial"/>
                <w:sz w:val="16"/>
                <w:szCs w:val="16"/>
              </w:rPr>
            </w:pPr>
            <w:r w:rsidRPr="00C258AD">
              <w:rPr>
                <w:b/>
                <w:sz w:val="16"/>
              </w:rPr>
              <w:t>Pays hôte/</w:t>
            </w:r>
            <w:r w:rsidRPr="00C258AD">
              <w:br/>
            </w:r>
            <w:r w:rsidRPr="00C258AD">
              <w:rPr>
                <w:b/>
                <w:sz w:val="16"/>
              </w:rPr>
              <w:t>bénéficiaires</w:t>
            </w:r>
          </w:p>
        </w:tc>
        <w:tc>
          <w:tcPr>
            <w:tcW w:w="4678" w:type="dxa"/>
            <w:tcBorders>
              <w:top w:val="single" w:sz="4" w:space="0" w:color="000000"/>
            </w:tcBorders>
            <w:vAlign w:val="center"/>
          </w:tcPr>
          <w:p w:rsidR="00CB421E" w:rsidRPr="00C258AD" w:rsidRDefault="00CB421E" w:rsidP="00927E1F">
            <w:pPr>
              <w:rPr>
                <w:rFonts w:cs="Arial"/>
                <w:sz w:val="16"/>
                <w:szCs w:val="16"/>
              </w:rPr>
            </w:pPr>
            <w:r w:rsidRPr="00C258AD">
              <w:rPr>
                <w:b/>
                <w:sz w:val="16"/>
              </w:rPr>
              <w:t>Objectif(s)/description(s)</w:t>
            </w:r>
          </w:p>
        </w:tc>
      </w:tr>
      <w:tr w:rsidR="00CB421E" w:rsidRPr="00C258AD" w:rsidTr="00927E1F">
        <w:trPr>
          <w:cantSplit/>
        </w:trPr>
        <w:tc>
          <w:tcPr>
            <w:tcW w:w="184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Atelier national de l’OMPI et du fonds fiduciaire de l’Australie sur la rédaction des demandes de brevet et l’utilisation du système des brevets</w:t>
            </w:r>
          </w:p>
        </w:tc>
        <w:tc>
          <w:tcPr>
            <w:tcW w:w="1276" w:type="dxa"/>
            <w:gridSpan w:val="2"/>
          </w:tcPr>
          <w:p w:rsidR="00CB421E" w:rsidRPr="00C258AD" w:rsidRDefault="00CB421E" w:rsidP="00927E1F">
            <w:pPr>
              <w:autoSpaceDE w:val="0"/>
              <w:autoSpaceDN w:val="0"/>
              <w:adjustRightInd w:val="0"/>
              <w:rPr>
                <w:rFonts w:cs="Arial"/>
                <w:sz w:val="16"/>
                <w:szCs w:val="16"/>
              </w:rPr>
            </w:pPr>
            <w:r w:rsidRPr="00C258AD">
              <w:rPr>
                <w:rFonts w:cs="Arial"/>
                <w:sz w:val="16"/>
                <w:szCs w:val="16"/>
              </w:rPr>
              <w:t>26 – 29 mai 2015</w:t>
            </w:r>
          </w:p>
        </w:tc>
        <w:tc>
          <w:tcPr>
            <w:tcW w:w="1701" w:type="dxa"/>
            <w:gridSpan w:val="2"/>
          </w:tcPr>
          <w:p w:rsidR="00CB421E" w:rsidRPr="00C258AD" w:rsidRDefault="00CB421E" w:rsidP="00927E1F">
            <w:pPr>
              <w:autoSpaceDE w:val="0"/>
              <w:autoSpaceDN w:val="0"/>
              <w:adjustRightInd w:val="0"/>
              <w:rPr>
                <w:rFonts w:cs="Arial"/>
                <w:sz w:val="16"/>
                <w:szCs w:val="16"/>
              </w:rPr>
            </w:pPr>
            <w:r w:rsidRPr="00C258AD">
              <w:rPr>
                <w:rFonts w:cs="Arial"/>
                <w:sz w:val="16"/>
                <w:szCs w:val="16"/>
              </w:rPr>
              <w:t>Indonésie</w:t>
            </w:r>
          </w:p>
        </w:tc>
        <w:tc>
          <w:tcPr>
            <w:tcW w:w="4678"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Une fois la formation achevée, les spécialistes comprenaient mieux comment utiliser le système des brevets dans le cadre de leur stratégie de commercialisation de la propriété intellectuelle;  ils avaient acquis des compétences leur permettant d’apporter un appui aux agents de brevets pour la rédaction de revendication de brevets concernant des technologies spécifiques;  et ils avaient une meilleure compréhension des avantages de la voie PCT.</w:t>
            </w:r>
          </w:p>
        </w:tc>
      </w:tr>
      <w:tr w:rsidR="00CB421E" w:rsidRPr="00C258AD" w:rsidTr="00927E1F">
        <w:trPr>
          <w:cantSplit/>
        </w:trPr>
        <w:tc>
          <w:tcPr>
            <w:tcW w:w="184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Programme de formation de l’OMPI et du fonds fiduciaire de l’Australie sur la concession réussie de licences de technologie </w:t>
            </w:r>
          </w:p>
        </w:tc>
        <w:tc>
          <w:tcPr>
            <w:tcW w:w="1276" w:type="dxa"/>
            <w:gridSpan w:val="2"/>
          </w:tcPr>
          <w:p w:rsidR="00CB421E" w:rsidRPr="00C258AD" w:rsidRDefault="00CB421E" w:rsidP="00927E1F">
            <w:pPr>
              <w:autoSpaceDE w:val="0"/>
              <w:autoSpaceDN w:val="0"/>
              <w:adjustRightInd w:val="0"/>
              <w:rPr>
                <w:rFonts w:cs="Arial"/>
                <w:sz w:val="16"/>
                <w:szCs w:val="16"/>
              </w:rPr>
            </w:pPr>
            <w:r w:rsidRPr="00C258AD">
              <w:rPr>
                <w:rFonts w:cs="Arial"/>
                <w:sz w:val="16"/>
                <w:szCs w:val="16"/>
              </w:rPr>
              <w:t>9</w:t>
            </w:r>
            <w:r w:rsidRPr="00C258AD">
              <w:rPr>
                <w:rFonts w:cs="Arial"/>
                <w:sz w:val="16"/>
                <w:szCs w:val="16"/>
              </w:rPr>
              <w:noBreakHyphen/>
              <w:t>12 juin 2015</w:t>
            </w:r>
          </w:p>
        </w:tc>
        <w:tc>
          <w:tcPr>
            <w:tcW w:w="1701" w:type="dxa"/>
            <w:gridSpan w:val="2"/>
          </w:tcPr>
          <w:p w:rsidR="00CB421E" w:rsidRPr="00C258AD" w:rsidRDefault="00CB421E" w:rsidP="00927E1F">
            <w:pPr>
              <w:autoSpaceDE w:val="0"/>
              <w:autoSpaceDN w:val="0"/>
              <w:adjustRightInd w:val="0"/>
              <w:rPr>
                <w:rFonts w:cs="Arial"/>
                <w:sz w:val="16"/>
                <w:szCs w:val="16"/>
              </w:rPr>
            </w:pPr>
            <w:r w:rsidRPr="00C258AD">
              <w:rPr>
                <w:rFonts w:cs="Arial"/>
                <w:sz w:val="16"/>
                <w:szCs w:val="16"/>
              </w:rPr>
              <w:t>Indonésie</w:t>
            </w:r>
          </w:p>
        </w:tc>
        <w:tc>
          <w:tcPr>
            <w:tcW w:w="4678"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Les participants ont amélioré leurs connaissances sur la concession de licences de propriété intellectuelle pour pouvoir contribuer de manière significative à des négociations sur la concession de licences et établir les premiers projets de contrats de licence.  </w:t>
            </w:r>
          </w:p>
        </w:tc>
      </w:tr>
      <w:tr w:rsidR="00CB421E" w:rsidRPr="00C258AD" w:rsidTr="00927E1F">
        <w:trPr>
          <w:cantSplit/>
        </w:trPr>
        <w:tc>
          <w:tcPr>
            <w:tcW w:w="184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Programme de formation avancé de l’OMPI et du fonds fiduciaire de l’Australie sur la commercialisation et l’évaluation de la propriété intellectuelle </w:t>
            </w:r>
          </w:p>
        </w:tc>
        <w:tc>
          <w:tcPr>
            <w:tcW w:w="1276" w:type="dxa"/>
            <w:gridSpan w:val="2"/>
          </w:tcPr>
          <w:p w:rsidR="00CB421E" w:rsidRPr="00C258AD" w:rsidRDefault="00CB421E" w:rsidP="00927E1F">
            <w:pPr>
              <w:autoSpaceDE w:val="0"/>
              <w:autoSpaceDN w:val="0"/>
              <w:adjustRightInd w:val="0"/>
              <w:rPr>
                <w:rFonts w:cs="Arial"/>
                <w:sz w:val="16"/>
                <w:szCs w:val="16"/>
              </w:rPr>
            </w:pPr>
            <w:r w:rsidRPr="00C258AD">
              <w:rPr>
                <w:rFonts w:cs="Arial"/>
                <w:sz w:val="16"/>
                <w:szCs w:val="16"/>
              </w:rPr>
              <w:t>15 – 18 juin 2015</w:t>
            </w:r>
          </w:p>
        </w:tc>
        <w:tc>
          <w:tcPr>
            <w:tcW w:w="1701" w:type="dxa"/>
            <w:gridSpan w:val="2"/>
          </w:tcPr>
          <w:p w:rsidR="00CB421E" w:rsidRPr="00C258AD" w:rsidRDefault="00CB421E" w:rsidP="00927E1F">
            <w:pPr>
              <w:autoSpaceDE w:val="0"/>
              <w:autoSpaceDN w:val="0"/>
              <w:adjustRightInd w:val="0"/>
              <w:rPr>
                <w:rFonts w:cs="Arial"/>
                <w:sz w:val="16"/>
                <w:szCs w:val="16"/>
              </w:rPr>
            </w:pPr>
            <w:r w:rsidRPr="00C258AD">
              <w:rPr>
                <w:rFonts w:cs="Arial"/>
                <w:sz w:val="16"/>
                <w:szCs w:val="16"/>
              </w:rPr>
              <w:t>Philippines</w:t>
            </w:r>
          </w:p>
        </w:tc>
        <w:tc>
          <w:tcPr>
            <w:tcW w:w="4678"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Les participants ont renforcé leur compréhension des liens entre la commercialisation et l’évaluation de la propriété intellectuelle et ils ont acquis des connaissances leur permettant d’identifier des marchés potentiels pour les connaissances et les technologies mises au point dans les instituts de recherche.  En général, ils ont acquis des compétences leur permettant de déterminer la valeur des actifs de propriété intellectuelle qui font l’objet de négociations de concession de licences.  </w:t>
            </w:r>
          </w:p>
        </w:tc>
      </w:tr>
      <w:tr w:rsidR="00CB421E" w:rsidRPr="00C258AD" w:rsidTr="00927E1F">
        <w:trPr>
          <w:cantSplit/>
        </w:trPr>
        <w:tc>
          <w:tcPr>
            <w:tcW w:w="1843" w:type="dxa"/>
            <w:tcBorders>
              <w:left w:val="single" w:sz="4" w:space="0" w:color="000000"/>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Atelier national sur le droit d’auteur et les droits connexes</w:t>
            </w:r>
          </w:p>
        </w:tc>
        <w:tc>
          <w:tcPr>
            <w:tcW w:w="1276" w:type="dxa"/>
            <w:gridSpan w:val="2"/>
          </w:tcPr>
          <w:p w:rsidR="00CB421E" w:rsidRPr="00C258AD" w:rsidRDefault="00CB421E" w:rsidP="00927E1F">
            <w:pPr>
              <w:autoSpaceDE w:val="0"/>
              <w:autoSpaceDN w:val="0"/>
              <w:adjustRightInd w:val="0"/>
              <w:rPr>
                <w:rFonts w:cs="Arial"/>
                <w:sz w:val="16"/>
                <w:szCs w:val="16"/>
              </w:rPr>
            </w:pPr>
            <w:r w:rsidRPr="00C258AD">
              <w:rPr>
                <w:rFonts w:cs="Arial"/>
                <w:sz w:val="16"/>
                <w:szCs w:val="16"/>
              </w:rPr>
              <w:t>22 – 24 avril 2015</w:t>
            </w:r>
          </w:p>
        </w:tc>
        <w:tc>
          <w:tcPr>
            <w:tcW w:w="1701" w:type="dxa"/>
            <w:gridSpan w:val="2"/>
          </w:tcPr>
          <w:p w:rsidR="00CB421E" w:rsidRPr="00C258AD" w:rsidRDefault="00CB421E" w:rsidP="00927E1F">
            <w:pPr>
              <w:autoSpaceDE w:val="0"/>
              <w:autoSpaceDN w:val="0"/>
              <w:adjustRightInd w:val="0"/>
              <w:rPr>
                <w:rFonts w:cs="Arial"/>
                <w:sz w:val="16"/>
                <w:szCs w:val="16"/>
              </w:rPr>
            </w:pPr>
            <w:r w:rsidRPr="00C258AD">
              <w:rPr>
                <w:rFonts w:cs="Arial"/>
                <w:sz w:val="16"/>
                <w:szCs w:val="16"/>
              </w:rPr>
              <w:t>Îles Cook</w:t>
            </w:r>
          </w:p>
        </w:tc>
        <w:tc>
          <w:tcPr>
            <w:tcW w:w="4678" w:type="dxa"/>
            <w:tcBorders>
              <w:right w:val="single" w:sz="4" w:space="0" w:color="000000"/>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Il s’agissait du premier atelier national organisé par l’OMPI sur le droit d’auteur dans les îles Cook.  Cet atelier, destiné aux fonctionnaires gouvernementaux et autres parties prenantes intéressées, a été l’occasion de donner des informations sur le droit d’auteur et les droits connexes, leur importance culturelle et économique et l’importance de la création d’un système national pour la protection et la gestion du droit d’auteur et des droits connexes.  </w:t>
            </w:r>
          </w:p>
        </w:tc>
      </w:tr>
      <w:tr w:rsidR="00CB421E" w:rsidRPr="00C258AD" w:rsidTr="00927E1F">
        <w:trPr>
          <w:cantSplit/>
        </w:trPr>
        <w:tc>
          <w:tcPr>
            <w:tcW w:w="1843" w:type="dxa"/>
            <w:tcBorders>
              <w:left w:val="single" w:sz="4" w:space="0" w:color="000000"/>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Atelier </w:t>
            </w:r>
            <w:proofErr w:type="spellStart"/>
            <w:r w:rsidRPr="00C258AD">
              <w:rPr>
                <w:rFonts w:cs="Arial"/>
                <w:sz w:val="16"/>
                <w:szCs w:val="16"/>
              </w:rPr>
              <w:t>sous</w:t>
            </w:r>
            <w:r w:rsidRPr="00C258AD">
              <w:rPr>
                <w:rFonts w:cs="Arial"/>
                <w:sz w:val="16"/>
                <w:szCs w:val="16"/>
              </w:rPr>
              <w:noBreakHyphen/>
              <w:t>régional</w:t>
            </w:r>
            <w:proofErr w:type="spellEnd"/>
            <w:r w:rsidRPr="00C258AD">
              <w:rPr>
                <w:rFonts w:cs="Arial"/>
                <w:sz w:val="16"/>
                <w:szCs w:val="16"/>
              </w:rPr>
              <w:t xml:space="preserve"> sur le droit d’auteur et le développement pour les décideurs</w:t>
            </w:r>
          </w:p>
        </w:tc>
        <w:tc>
          <w:tcPr>
            <w:tcW w:w="1276" w:type="dxa"/>
            <w:gridSpan w:val="2"/>
          </w:tcPr>
          <w:p w:rsidR="00CB421E" w:rsidRPr="00C258AD" w:rsidRDefault="00CB421E" w:rsidP="00927E1F">
            <w:pPr>
              <w:autoSpaceDE w:val="0"/>
              <w:autoSpaceDN w:val="0"/>
              <w:adjustRightInd w:val="0"/>
              <w:rPr>
                <w:rFonts w:cs="Arial"/>
                <w:sz w:val="16"/>
                <w:szCs w:val="16"/>
              </w:rPr>
            </w:pPr>
            <w:r w:rsidRPr="00C258AD">
              <w:rPr>
                <w:rFonts w:cs="Arial"/>
                <w:sz w:val="16"/>
                <w:szCs w:val="16"/>
              </w:rPr>
              <w:t>19 et 20 janvier 2015</w:t>
            </w:r>
          </w:p>
        </w:tc>
        <w:tc>
          <w:tcPr>
            <w:tcW w:w="1701" w:type="dxa"/>
            <w:gridSpan w:val="2"/>
          </w:tcPr>
          <w:p w:rsidR="00CB421E" w:rsidRPr="00C258AD" w:rsidRDefault="00CB421E" w:rsidP="00927E1F">
            <w:pPr>
              <w:autoSpaceDE w:val="0"/>
              <w:autoSpaceDN w:val="0"/>
              <w:adjustRightInd w:val="0"/>
              <w:rPr>
                <w:rFonts w:cs="Arial"/>
                <w:sz w:val="16"/>
                <w:szCs w:val="16"/>
              </w:rPr>
            </w:pPr>
            <w:r w:rsidRPr="00C258AD">
              <w:rPr>
                <w:sz w:val="16"/>
                <w:szCs w:val="16"/>
              </w:rPr>
              <w:t xml:space="preserve">Fidji, Îles Salomon, </w:t>
            </w:r>
            <w:proofErr w:type="spellStart"/>
            <w:r w:rsidRPr="00C258AD">
              <w:rPr>
                <w:sz w:val="16"/>
                <w:szCs w:val="16"/>
              </w:rPr>
              <w:t>Nioué</w:t>
            </w:r>
            <w:proofErr w:type="spellEnd"/>
            <w:r w:rsidRPr="00C258AD">
              <w:rPr>
                <w:sz w:val="16"/>
                <w:szCs w:val="16"/>
              </w:rPr>
              <w:t>, Papouasie</w:t>
            </w:r>
            <w:r w:rsidRPr="00C258AD">
              <w:rPr>
                <w:sz w:val="16"/>
                <w:szCs w:val="16"/>
              </w:rPr>
              <w:noBreakHyphen/>
              <w:t>Nouvelle</w:t>
            </w:r>
            <w:r w:rsidRPr="00C258AD">
              <w:rPr>
                <w:sz w:val="16"/>
                <w:szCs w:val="16"/>
              </w:rPr>
              <w:noBreakHyphen/>
              <w:t xml:space="preserve">Guinée, </w:t>
            </w:r>
            <w:r w:rsidRPr="00C258AD">
              <w:rPr>
                <w:rFonts w:cs="Arial"/>
                <w:sz w:val="16"/>
                <w:szCs w:val="16"/>
              </w:rPr>
              <w:t>Samoa</w:t>
            </w:r>
            <w:r w:rsidRPr="00C258AD">
              <w:rPr>
                <w:sz w:val="16"/>
                <w:szCs w:val="16"/>
              </w:rPr>
              <w:t xml:space="preserve">, </w:t>
            </w:r>
            <w:r w:rsidRPr="00C258AD">
              <w:rPr>
                <w:rFonts w:cs="Arial"/>
                <w:sz w:val="16"/>
                <w:szCs w:val="16"/>
              </w:rPr>
              <w:t>Tonga</w:t>
            </w:r>
            <w:r w:rsidRPr="00C258AD">
              <w:rPr>
                <w:sz w:val="16"/>
                <w:szCs w:val="16"/>
              </w:rPr>
              <w:t xml:space="preserve">, </w:t>
            </w:r>
            <w:r w:rsidRPr="00C258AD">
              <w:rPr>
                <w:rFonts w:cs="Arial"/>
                <w:sz w:val="16"/>
                <w:szCs w:val="16"/>
              </w:rPr>
              <w:t>Tuvalu</w:t>
            </w:r>
            <w:r w:rsidRPr="00C258AD">
              <w:rPr>
                <w:sz w:val="16"/>
                <w:szCs w:val="16"/>
              </w:rPr>
              <w:t xml:space="preserve">, </w:t>
            </w:r>
            <w:r w:rsidRPr="00C258AD">
              <w:rPr>
                <w:rFonts w:cs="Arial"/>
                <w:sz w:val="16"/>
                <w:szCs w:val="16"/>
              </w:rPr>
              <w:t>Vanuatu</w:t>
            </w:r>
          </w:p>
        </w:tc>
        <w:tc>
          <w:tcPr>
            <w:tcW w:w="4678" w:type="dxa"/>
            <w:tcBorders>
              <w:right w:val="single" w:sz="4" w:space="0" w:color="000000"/>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L’atelier visait principalement à faire mieux comprendre aux décideurs des pays participants et au Secrétariat du Forum des îles du Pacifique le rôle et la valeur du droit d’auteur dans le développement culturel et économique.</w:t>
            </w:r>
          </w:p>
        </w:tc>
      </w:tr>
      <w:tr w:rsidR="00CB421E" w:rsidRPr="00C258AD" w:rsidTr="00927E1F">
        <w:trPr>
          <w:cantSplit/>
        </w:trPr>
        <w:tc>
          <w:tcPr>
            <w:tcW w:w="184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Séminaire national sur le droit d’auteur et les droits connexes</w:t>
            </w:r>
          </w:p>
        </w:tc>
        <w:tc>
          <w:tcPr>
            <w:tcW w:w="1276" w:type="dxa"/>
            <w:gridSpan w:val="2"/>
          </w:tcPr>
          <w:p w:rsidR="00CB421E" w:rsidRPr="00C258AD" w:rsidRDefault="00CB421E" w:rsidP="00927E1F">
            <w:pPr>
              <w:autoSpaceDE w:val="0"/>
              <w:autoSpaceDN w:val="0"/>
              <w:adjustRightInd w:val="0"/>
              <w:rPr>
                <w:rFonts w:cs="Arial"/>
                <w:sz w:val="16"/>
                <w:szCs w:val="16"/>
              </w:rPr>
            </w:pPr>
            <w:r w:rsidRPr="00C258AD">
              <w:rPr>
                <w:rFonts w:cs="Arial"/>
                <w:sz w:val="16"/>
                <w:szCs w:val="16"/>
              </w:rPr>
              <w:t>21 et 22 janvier 2015</w:t>
            </w:r>
          </w:p>
        </w:tc>
        <w:tc>
          <w:tcPr>
            <w:tcW w:w="1701" w:type="dxa"/>
            <w:gridSpan w:val="2"/>
          </w:tcPr>
          <w:p w:rsidR="00CB421E" w:rsidRPr="00C258AD" w:rsidRDefault="00CB421E" w:rsidP="00927E1F">
            <w:pPr>
              <w:autoSpaceDE w:val="0"/>
              <w:autoSpaceDN w:val="0"/>
              <w:adjustRightInd w:val="0"/>
              <w:rPr>
                <w:rFonts w:cs="Arial"/>
                <w:sz w:val="16"/>
                <w:szCs w:val="16"/>
              </w:rPr>
            </w:pPr>
            <w:r w:rsidRPr="00C258AD">
              <w:rPr>
                <w:rFonts w:cs="Arial"/>
                <w:sz w:val="16"/>
                <w:szCs w:val="16"/>
              </w:rPr>
              <w:t>Vanuatu</w:t>
            </w:r>
          </w:p>
        </w:tc>
        <w:tc>
          <w:tcPr>
            <w:tcW w:w="4678"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Le séminaire, organisé en marge de l’activité susmentionnée, a permis de donner à un public composé de fonctionnaires gouvernementaux et d’autres parties prenantes nationales des informations sur le droit d’auteur les droits connexes, notamment sur le fonctionnement concret du système.  </w:t>
            </w:r>
          </w:p>
        </w:tc>
      </w:tr>
      <w:tr w:rsidR="00CB421E" w:rsidRPr="00C258AD" w:rsidTr="00927E1F">
        <w:trPr>
          <w:cantSplit/>
        </w:trPr>
        <w:tc>
          <w:tcPr>
            <w:tcW w:w="9498" w:type="dxa"/>
            <w:gridSpan w:val="6"/>
            <w:tcBorders>
              <w:top w:val="single" w:sz="4" w:space="0" w:color="000000"/>
              <w:bottom w:val="single" w:sz="4" w:space="0" w:color="000000"/>
            </w:tcBorders>
            <w:shd w:val="clear" w:color="auto" w:fill="C6D9F1" w:themeFill="text2" w:themeFillTint="33"/>
          </w:tcPr>
          <w:p w:rsidR="00CB421E" w:rsidRPr="00C258AD" w:rsidRDefault="00CB421E" w:rsidP="00927E1F">
            <w:pPr>
              <w:keepNext/>
              <w:keepLines/>
              <w:tabs>
                <w:tab w:val="left" w:pos="1740"/>
              </w:tabs>
              <w:ind w:left="1740" w:hanging="1740"/>
              <w:rPr>
                <w:rFonts w:cs="Arial"/>
                <w:sz w:val="16"/>
                <w:szCs w:val="16"/>
              </w:rPr>
            </w:pPr>
            <w:r w:rsidRPr="00C258AD">
              <w:rPr>
                <w:rFonts w:cs="Arial"/>
                <w:b/>
                <w:sz w:val="16"/>
                <w:szCs w:val="16"/>
              </w:rPr>
              <w:lastRenderedPageBreak/>
              <w:t>RÉSULTAT</w:t>
            </w:r>
            <w:r w:rsidRPr="00C258AD">
              <w:rPr>
                <w:rFonts w:cs="Arial"/>
                <w:sz w:val="16"/>
                <w:szCs w:val="16"/>
              </w:rPr>
              <w:t xml:space="preserve"> : </w:t>
            </w:r>
            <w:r w:rsidRPr="00C258AD">
              <w:rPr>
                <w:rFonts w:cs="Arial"/>
                <w:sz w:val="16"/>
                <w:szCs w:val="16"/>
              </w:rPr>
              <w:tab/>
              <w:t>IV.2 Amélioration de l’accessibilité et de l’utilisation de l’information en matière de propriété intellectuelle par les institutions compétentes et le public afin de promouvoir l’innovation et la créativité</w:t>
            </w:r>
          </w:p>
        </w:tc>
      </w:tr>
      <w:tr w:rsidR="00CB421E" w:rsidRPr="00C258AD" w:rsidTr="00927E1F">
        <w:trPr>
          <w:cantSplit/>
        </w:trPr>
        <w:tc>
          <w:tcPr>
            <w:tcW w:w="1843" w:type="dxa"/>
            <w:tcBorders>
              <w:top w:val="single" w:sz="4" w:space="0" w:color="000000"/>
            </w:tcBorders>
            <w:vAlign w:val="center"/>
          </w:tcPr>
          <w:p w:rsidR="00CB421E" w:rsidRPr="00C258AD" w:rsidRDefault="00CB421E" w:rsidP="00927E1F">
            <w:pPr>
              <w:keepNext/>
              <w:keepLines/>
              <w:rPr>
                <w:rFonts w:cs="Arial"/>
                <w:b/>
                <w:bCs/>
                <w:sz w:val="16"/>
                <w:szCs w:val="16"/>
              </w:rPr>
            </w:pPr>
            <w:r w:rsidRPr="00C258AD">
              <w:rPr>
                <w:b/>
                <w:sz w:val="16"/>
              </w:rPr>
              <w:t>Activité</w:t>
            </w:r>
          </w:p>
        </w:tc>
        <w:tc>
          <w:tcPr>
            <w:tcW w:w="1135" w:type="dxa"/>
            <w:tcBorders>
              <w:top w:val="single" w:sz="4" w:space="0" w:color="000000"/>
            </w:tcBorders>
            <w:vAlign w:val="center"/>
          </w:tcPr>
          <w:p w:rsidR="00CB421E" w:rsidRPr="00C258AD" w:rsidRDefault="00CB421E" w:rsidP="00927E1F">
            <w:pPr>
              <w:keepNext/>
              <w:keepLines/>
              <w:rPr>
                <w:rFonts w:cs="Arial"/>
                <w:sz w:val="16"/>
                <w:szCs w:val="16"/>
              </w:rPr>
            </w:pPr>
            <w:r w:rsidRPr="00C258AD">
              <w:rPr>
                <w:b/>
                <w:sz w:val="16"/>
              </w:rPr>
              <w:t>Date</w:t>
            </w:r>
          </w:p>
        </w:tc>
        <w:tc>
          <w:tcPr>
            <w:tcW w:w="1559" w:type="dxa"/>
            <w:gridSpan w:val="2"/>
            <w:tcBorders>
              <w:top w:val="single" w:sz="4" w:space="0" w:color="000000"/>
            </w:tcBorders>
            <w:vAlign w:val="center"/>
          </w:tcPr>
          <w:p w:rsidR="00CB421E" w:rsidRPr="00C258AD" w:rsidRDefault="00CB421E" w:rsidP="00927E1F">
            <w:pPr>
              <w:keepNext/>
              <w:keepLines/>
              <w:rPr>
                <w:rFonts w:cs="Arial"/>
                <w:sz w:val="16"/>
                <w:szCs w:val="16"/>
              </w:rPr>
            </w:pPr>
            <w:r w:rsidRPr="00C258AD">
              <w:rPr>
                <w:b/>
                <w:sz w:val="16"/>
              </w:rPr>
              <w:t>Pays hôte/</w:t>
            </w:r>
            <w:r w:rsidRPr="00C258AD">
              <w:br/>
            </w:r>
            <w:r w:rsidRPr="00C258AD">
              <w:rPr>
                <w:b/>
                <w:sz w:val="16"/>
              </w:rPr>
              <w:t>bénéficiaires</w:t>
            </w:r>
          </w:p>
        </w:tc>
        <w:tc>
          <w:tcPr>
            <w:tcW w:w="4961" w:type="dxa"/>
            <w:gridSpan w:val="2"/>
            <w:tcBorders>
              <w:top w:val="single" w:sz="4" w:space="0" w:color="000000"/>
            </w:tcBorders>
            <w:vAlign w:val="center"/>
          </w:tcPr>
          <w:p w:rsidR="00CB421E" w:rsidRPr="00C258AD" w:rsidRDefault="00CB421E" w:rsidP="00927E1F">
            <w:pPr>
              <w:keepNext/>
              <w:keepLines/>
              <w:rPr>
                <w:rFonts w:cs="Arial"/>
                <w:sz w:val="16"/>
                <w:szCs w:val="16"/>
              </w:rPr>
            </w:pPr>
            <w:r w:rsidRPr="00C258AD">
              <w:rPr>
                <w:b/>
                <w:sz w:val="16"/>
              </w:rPr>
              <w:t>Objectif(s)/description(s)</w:t>
            </w:r>
          </w:p>
        </w:tc>
      </w:tr>
      <w:tr w:rsidR="00CB421E" w:rsidRPr="00C258AD" w:rsidTr="00927E1F">
        <w:trPr>
          <w:cantSplit/>
        </w:trPr>
        <w:tc>
          <w:tcPr>
            <w:tcW w:w="1843" w:type="dxa"/>
          </w:tcPr>
          <w:p w:rsidR="00CB421E" w:rsidRPr="00C258AD" w:rsidRDefault="00CB421E" w:rsidP="00927E1F">
            <w:pPr>
              <w:autoSpaceDE w:val="0"/>
              <w:autoSpaceDN w:val="0"/>
              <w:rPr>
                <w:rFonts w:cs="Arial"/>
                <w:sz w:val="16"/>
                <w:szCs w:val="16"/>
              </w:rPr>
            </w:pPr>
            <w:r w:rsidRPr="00C258AD">
              <w:rPr>
                <w:rFonts w:cs="Arial"/>
                <w:sz w:val="16"/>
                <w:szCs w:val="16"/>
              </w:rPr>
              <w:t>Renforcement des capacités (par le biais d’un mémorandum d’accord)</w:t>
            </w:r>
          </w:p>
        </w:tc>
        <w:tc>
          <w:tcPr>
            <w:tcW w:w="1135" w:type="dxa"/>
          </w:tcPr>
          <w:p w:rsidR="00CB421E" w:rsidRPr="00C258AD" w:rsidRDefault="00CB421E" w:rsidP="00927E1F">
            <w:pPr>
              <w:autoSpaceDE w:val="0"/>
              <w:autoSpaceDN w:val="0"/>
              <w:rPr>
                <w:rFonts w:cs="Arial"/>
                <w:sz w:val="16"/>
                <w:szCs w:val="16"/>
              </w:rPr>
            </w:pPr>
            <w:r w:rsidRPr="00C258AD">
              <w:rPr>
                <w:sz w:val="16"/>
                <w:szCs w:val="16"/>
              </w:rPr>
              <w:t>En cours depuis 2014 et achevé en mai 2015</w:t>
            </w:r>
          </w:p>
        </w:tc>
        <w:tc>
          <w:tcPr>
            <w:tcW w:w="1559" w:type="dxa"/>
            <w:gridSpan w:val="2"/>
          </w:tcPr>
          <w:p w:rsidR="00CB421E" w:rsidRPr="00C258AD" w:rsidRDefault="00CB421E" w:rsidP="00927E1F">
            <w:pPr>
              <w:autoSpaceDE w:val="0"/>
              <w:autoSpaceDN w:val="0"/>
              <w:rPr>
                <w:rFonts w:cs="Arial"/>
                <w:sz w:val="16"/>
                <w:szCs w:val="16"/>
              </w:rPr>
            </w:pPr>
            <w:r w:rsidRPr="00C258AD">
              <w:rPr>
                <w:rFonts w:cs="Arial"/>
                <w:sz w:val="16"/>
                <w:szCs w:val="16"/>
              </w:rPr>
              <w:t xml:space="preserve">Bangladesh </w:t>
            </w:r>
          </w:p>
        </w:tc>
        <w:tc>
          <w:tcPr>
            <w:tcW w:w="4961" w:type="dxa"/>
            <w:gridSpan w:val="2"/>
          </w:tcPr>
          <w:p w:rsidR="00CB421E" w:rsidRPr="00C258AD" w:rsidRDefault="00CB421E" w:rsidP="00927E1F">
            <w:pPr>
              <w:autoSpaceDE w:val="0"/>
              <w:autoSpaceDN w:val="0"/>
              <w:rPr>
                <w:rFonts w:cs="Arial"/>
                <w:sz w:val="16"/>
                <w:szCs w:val="16"/>
              </w:rPr>
            </w:pPr>
            <w:r w:rsidRPr="00C258AD">
              <w:rPr>
                <w:rFonts w:cs="Arial"/>
                <w:sz w:val="16"/>
                <w:szCs w:val="16"/>
              </w:rPr>
              <w:t>Fournir à une organisation locale, Young Power in Social Action (YPSA), le savoir</w:t>
            </w:r>
            <w:r w:rsidRPr="00C258AD">
              <w:rPr>
                <w:rFonts w:cs="Arial"/>
                <w:color w:val="000000"/>
                <w:sz w:val="16"/>
                <w:szCs w:val="22"/>
              </w:rPr>
              <w:noBreakHyphen/>
              <w:t>faire</w:t>
            </w:r>
            <w:r w:rsidRPr="00C258AD">
              <w:rPr>
                <w:rFonts w:cs="Arial"/>
                <w:sz w:val="16"/>
                <w:szCs w:val="16"/>
              </w:rPr>
              <w:t xml:space="preserve"> et le financement nécessaires pour mener des activités de renforcement des capacités au Bangladesh.</w:t>
            </w:r>
          </w:p>
          <w:p w:rsidR="00CB421E" w:rsidRPr="00C258AD" w:rsidRDefault="00CB421E" w:rsidP="00927E1F">
            <w:pPr>
              <w:autoSpaceDE w:val="0"/>
              <w:autoSpaceDN w:val="0"/>
              <w:rPr>
                <w:rFonts w:cs="Arial"/>
                <w:sz w:val="16"/>
                <w:szCs w:val="16"/>
              </w:rPr>
            </w:pPr>
            <w:r w:rsidRPr="00C258AD">
              <w:rPr>
                <w:rFonts w:cs="Arial"/>
                <w:sz w:val="16"/>
                <w:szCs w:val="16"/>
              </w:rPr>
              <w:t>Activités visées : i) formation du gouvernement local et des éditeurs commerciaux, ainsi que des ONG locales, à la production d’ouvrages accessibles;  ii) production de 162 manuels éducatifs dans des formats accessibles en bengali;  et iii) achat de 35 dispositifs Android qui seront prêtés à des étudiants déficients visuels pour qu’ils puissent lire ces ouvrages.  D’après les prévisions, 10 000 étudiants déficients visuels devraient bénéficier des livres produits.</w:t>
            </w:r>
          </w:p>
        </w:tc>
      </w:tr>
      <w:tr w:rsidR="00CB421E" w:rsidRPr="00C258AD" w:rsidTr="00927E1F">
        <w:trPr>
          <w:cantSplit/>
        </w:trPr>
        <w:tc>
          <w:tcPr>
            <w:tcW w:w="1843" w:type="dxa"/>
          </w:tcPr>
          <w:p w:rsidR="00CB421E" w:rsidRPr="00C258AD" w:rsidRDefault="00CB421E" w:rsidP="00927E1F">
            <w:pPr>
              <w:autoSpaceDE w:val="0"/>
              <w:autoSpaceDN w:val="0"/>
              <w:rPr>
                <w:rFonts w:cs="Arial"/>
                <w:sz w:val="16"/>
                <w:szCs w:val="16"/>
              </w:rPr>
            </w:pPr>
            <w:r w:rsidRPr="00C258AD">
              <w:rPr>
                <w:rFonts w:cs="Arial"/>
                <w:sz w:val="16"/>
                <w:szCs w:val="16"/>
              </w:rPr>
              <w:t>Renforcement des capacités (par le biais d’un mémorandum d’accord)</w:t>
            </w:r>
          </w:p>
        </w:tc>
        <w:tc>
          <w:tcPr>
            <w:tcW w:w="1135" w:type="dxa"/>
          </w:tcPr>
          <w:p w:rsidR="00CB421E" w:rsidRPr="00C258AD" w:rsidRDefault="00CB421E" w:rsidP="00927E1F">
            <w:pPr>
              <w:autoSpaceDE w:val="0"/>
              <w:autoSpaceDN w:val="0"/>
              <w:rPr>
                <w:rFonts w:cs="Arial"/>
                <w:sz w:val="16"/>
                <w:szCs w:val="16"/>
              </w:rPr>
            </w:pPr>
            <w:r w:rsidRPr="00C258AD">
              <w:rPr>
                <w:sz w:val="16"/>
                <w:szCs w:val="16"/>
              </w:rPr>
              <w:t>En cours depuis 2014 et achevé en mai 2015</w:t>
            </w:r>
          </w:p>
        </w:tc>
        <w:tc>
          <w:tcPr>
            <w:tcW w:w="1559" w:type="dxa"/>
            <w:gridSpan w:val="2"/>
          </w:tcPr>
          <w:p w:rsidR="00CB421E" w:rsidRPr="00C258AD" w:rsidRDefault="00CB421E" w:rsidP="00927E1F">
            <w:pPr>
              <w:autoSpaceDE w:val="0"/>
              <w:autoSpaceDN w:val="0"/>
              <w:rPr>
                <w:rFonts w:cs="Arial"/>
                <w:sz w:val="16"/>
                <w:szCs w:val="16"/>
              </w:rPr>
            </w:pPr>
            <w:r w:rsidRPr="00C258AD">
              <w:rPr>
                <w:rFonts w:cs="Arial"/>
                <w:sz w:val="16"/>
                <w:szCs w:val="16"/>
              </w:rPr>
              <w:t>Sri Lanka</w:t>
            </w:r>
          </w:p>
        </w:tc>
        <w:tc>
          <w:tcPr>
            <w:tcW w:w="4961" w:type="dxa"/>
            <w:gridSpan w:val="2"/>
          </w:tcPr>
          <w:p w:rsidR="00CB421E" w:rsidRPr="00C258AD" w:rsidRDefault="00CB421E" w:rsidP="00927E1F">
            <w:pPr>
              <w:autoSpaceDE w:val="0"/>
              <w:autoSpaceDN w:val="0"/>
              <w:rPr>
                <w:sz w:val="16"/>
                <w:szCs w:val="16"/>
              </w:rPr>
            </w:pPr>
            <w:r w:rsidRPr="00C258AD">
              <w:rPr>
                <w:sz w:val="16"/>
                <w:szCs w:val="16"/>
              </w:rPr>
              <w:t xml:space="preserve">Fournir à une organisation locale, la DAISY Lanka </w:t>
            </w:r>
            <w:proofErr w:type="spellStart"/>
            <w:r w:rsidRPr="00C258AD">
              <w:rPr>
                <w:sz w:val="16"/>
                <w:szCs w:val="16"/>
              </w:rPr>
              <w:t>Foundation</w:t>
            </w:r>
            <w:proofErr w:type="spellEnd"/>
            <w:r w:rsidRPr="00C258AD">
              <w:rPr>
                <w:sz w:val="16"/>
                <w:szCs w:val="16"/>
              </w:rPr>
              <w:t xml:space="preserve"> (DLF), </w:t>
            </w:r>
            <w:r w:rsidRPr="00C258AD">
              <w:rPr>
                <w:rFonts w:cs="Arial"/>
                <w:sz w:val="16"/>
                <w:szCs w:val="16"/>
              </w:rPr>
              <w:t>le savoir</w:t>
            </w:r>
            <w:r w:rsidRPr="00C258AD">
              <w:rPr>
                <w:rFonts w:cs="Arial"/>
                <w:color w:val="000000"/>
                <w:sz w:val="16"/>
                <w:szCs w:val="22"/>
              </w:rPr>
              <w:noBreakHyphen/>
              <w:t>faire</w:t>
            </w:r>
            <w:r w:rsidRPr="00C258AD">
              <w:rPr>
                <w:rFonts w:cs="Arial"/>
                <w:sz w:val="16"/>
                <w:szCs w:val="16"/>
              </w:rPr>
              <w:t xml:space="preserve"> </w:t>
            </w:r>
            <w:r w:rsidRPr="00C258AD">
              <w:rPr>
                <w:sz w:val="16"/>
                <w:szCs w:val="16"/>
              </w:rPr>
              <w:t>et le financement nécessaires pour mener des activités de renforcement des capacités à Sri Lanka.</w:t>
            </w:r>
          </w:p>
          <w:p w:rsidR="00CB421E" w:rsidRPr="00C258AD" w:rsidRDefault="00CB421E" w:rsidP="00927E1F">
            <w:pPr>
              <w:autoSpaceDE w:val="0"/>
              <w:autoSpaceDN w:val="0"/>
              <w:rPr>
                <w:sz w:val="16"/>
                <w:szCs w:val="16"/>
              </w:rPr>
            </w:pPr>
            <w:r w:rsidRPr="00C258AD">
              <w:rPr>
                <w:sz w:val="16"/>
                <w:szCs w:val="16"/>
              </w:rPr>
              <w:t xml:space="preserve">Activités visées : i) formation du gouvernement local et des éditeurs commerciaux, ainsi que des ONG locales, à la production d’ouvrages accessibles;  ii) production de 1069 manuels éducatifs dans des formats accessibles en cingalais;  et iii) achat de 80 dispositifs de lecture DAISY qui seront prêtés à des étudiants déficients visuels pour qu’ils puissent lire ces ouvrages.  </w:t>
            </w:r>
            <w:r w:rsidRPr="00C258AD">
              <w:rPr>
                <w:rFonts w:cs="Arial"/>
                <w:sz w:val="16"/>
                <w:szCs w:val="16"/>
              </w:rPr>
              <w:t>D’après les prévisions, 10 000 étudiants déficients visuels devraient bénéficier des livres produits</w:t>
            </w:r>
            <w:r w:rsidRPr="00C258AD">
              <w:rPr>
                <w:sz w:val="16"/>
                <w:szCs w:val="16"/>
              </w:rPr>
              <w:t>.</w:t>
            </w:r>
          </w:p>
        </w:tc>
      </w:tr>
      <w:tr w:rsidR="00CB421E" w:rsidRPr="00C258AD" w:rsidTr="00927E1F">
        <w:trPr>
          <w:cantSplit/>
        </w:trPr>
        <w:tc>
          <w:tcPr>
            <w:tcW w:w="1843" w:type="dxa"/>
          </w:tcPr>
          <w:p w:rsidR="00CB421E" w:rsidRPr="00C258AD" w:rsidRDefault="00CB421E" w:rsidP="00927E1F">
            <w:pPr>
              <w:autoSpaceDE w:val="0"/>
              <w:autoSpaceDN w:val="0"/>
              <w:rPr>
                <w:rFonts w:cs="Arial"/>
                <w:sz w:val="16"/>
                <w:szCs w:val="16"/>
              </w:rPr>
            </w:pPr>
            <w:r w:rsidRPr="00C258AD">
              <w:rPr>
                <w:rFonts w:cs="Arial"/>
                <w:sz w:val="16"/>
                <w:szCs w:val="16"/>
              </w:rPr>
              <w:t>Renforcement des capacités (par le biais d’un mémorandum d’accord)</w:t>
            </w:r>
          </w:p>
        </w:tc>
        <w:tc>
          <w:tcPr>
            <w:tcW w:w="1135" w:type="dxa"/>
          </w:tcPr>
          <w:p w:rsidR="00CB421E" w:rsidRPr="00C258AD" w:rsidRDefault="00CB421E" w:rsidP="00927E1F">
            <w:pPr>
              <w:autoSpaceDE w:val="0"/>
              <w:autoSpaceDN w:val="0"/>
              <w:rPr>
                <w:rFonts w:cs="Arial"/>
                <w:sz w:val="16"/>
                <w:szCs w:val="16"/>
              </w:rPr>
            </w:pPr>
            <w:r w:rsidRPr="00C258AD">
              <w:rPr>
                <w:sz w:val="16"/>
                <w:szCs w:val="16"/>
              </w:rPr>
              <w:t>En cours depuis 2014 et achevé en septembre 2015</w:t>
            </w:r>
          </w:p>
        </w:tc>
        <w:tc>
          <w:tcPr>
            <w:tcW w:w="1559" w:type="dxa"/>
            <w:gridSpan w:val="2"/>
          </w:tcPr>
          <w:p w:rsidR="00CB421E" w:rsidRPr="00C258AD" w:rsidRDefault="00CB421E" w:rsidP="00927E1F">
            <w:pPr>
              <w:autoSpaceDE w:val="0"/>
              <w:autoSpaceDN w:val="0"/>
              <w:rPr>
                <w:rFonts w:cs="Arial"/>
                <w:sz w:val="16"/>
                <w:szCs w:val="16"/>
              </w:rPr>
            </w:pPr>
            <w:r w:rsidRPr="00C258AD">
              <w:rPr>
                <w:rFonts w:cs="Arial"/>
                <w:sz w:val="16"/>
                <w:szCs w:val="16"/>
              </w:rPr>
              <w:t>Sri Lanka</w:t>
            </w:r>
          </w:p>
        </w:tc>
        <w:tc>
          <w:tcPr>
            <w:tcW w:w="4961" w:type="dxa"/>
            <w:gridSpan w:val="2"/>
          </w:tcPr>
          <w:p w:rsidR="00CB421E" w:rsidRPr="00C258AD" w:rsidRDefault="00CB421E" w:rsidP="00927E1F">
            <w:pPr>
              <w:autoSpaceDE w:val="0"/>
              <w:autoSpaceDN w:val="0"/>
              <w:rPr>
                <w:sz w:val="16"/>
                <w:szCs w:val="16"/>
              </w:rPr>
            </w:pPr>
            <w:r w:rsidRPr="00C258AD">
              <w:rPr>
                <w:sz w:val="16"/>
                <w:szCs w:val="16"/>
              </w:rPr>
              <w:t>Développer une application de synthèse vocale de meilleure qualité en cingalais, destinée à être utilisée par les déficients visuels pour la lecture de livres dans des formats accessibles.  Précédemment, il existait uniquement une application de synthèse vocale de “résonance synthétique” en cingalais.  L’application a été mise au point par l’École d’informatique de l’Université de Colombo.</w:t>
            </w:r>
          </w:p>
        </w:tc>
      </w:tr>
      <w:tr w:rsidR="00CB421E" w:rsidRPr="00C258AD" w:rsidTr="00927E1F">
        <w:trPr>
          <w:cantSplit/>
        </w:trPr>
        <w:tc>
          <w:tcPr>
            <w:tcW w:w="1843" w:type="dxa"/>
          </w:tcPr>
          <w:p w:rsidR="00CB421E" w:rsidRPr="00C258AD" w:rsidRDefault="00CB421E" w:rsidP="00927E1F">
            <w:pPr>
              <w:autoSpaceDE w:val="0"/>
              <w:autoSpaceDN w:val="0"/>
              <w:rPr>
                <w:rFonts w:cs="Arial"/>
                <w:sz w:val="16"/>
                <w:szCs w:val="16"/>
              </w:rPr>
            </w:pPr>
            <w:r w:rsidRPr="00C258AD">
              <w:rPr>
                <w:rFonts w:cs="Arial"/>
                <w:sz w:val="16"/>
                <w:szCs w:val="16"/>
              </w:rPr>
              <w:t>Renforcement des capacités (par le biais d’un mémorandum d’accord)</w:t>
            </w:r>
          </w:p>
        </w:tc>
        <w:tc>
          <w:tcPr>
            <w:tcW w:w="1135" w:type="dxa"/>
          </w:tcPr>
          <w:p w:rsidR="00CB421E" w:rsidRPr="00C258AD" w:rsidRDefault="00CB421E" w:rsidP="00927E1F">
            <w:pPr>
              <w:autoSpaceDE w:val="0"/>
              <w:autoSpaceDN w:val="0"/>
              <w:rPr>
                <w:rFonts w:cs="Arial"/>
                <w:sz w:val="16"/>
                <w:szCs w:val="16"/>
              </w:rPr>
            </w:pPr>
            <w:r w:rsidRPr="00C258AD">
              <w:rPr>
                <w:sz w:val="16"/>
                <w:szCs w:val="16"/>
              </w:rPr>
              <w:t>En cours depuis 2014 et achevé en mai 2015</w:t>
            </w:r>
          </w:p>
        </w:tc>
        <w:tc>
          <w:tcPr>
            <w:tcW w:w="1559" w:type="dxa"/>
            <w:gridSpan w:val="2"/>
          </w:tcPr>
          <w:p w:rsidR="00CB421E" w:rsidRPr="00C258AD" w:rsidRDefault="00CB421E" w:rsidP="00927E1F">
            <w:pPr>
              <w:autoSpaceDE w:val="0"/>
              <w:autoSpaceDN w:val="0"/>
              <w:rPr>
                <w:rFonts w:cs="Arial"/>
                <w:sz w:val="16"/>
                <w:szCs w:val="16"/>
              </w:rPr>
            </w:pPr>
            <w:r w:rsidRPr="00C258AD">
              <w:rPr>
                <w:rFonts w:cs="Arial"/>
                <w:sz w:val="16"/>
                <w:szCs w:val="16"/>
              </w:rPr>
              <w:t>Népal</w:t>
            </w:r>
          </w:p>
        </w:tc>
        <w:tc>
          <w:tcPr>
            <w:tcW w:w="4961" w:type="dxa"/>
            <w:gridSpan w:val="2"/>
          </w:tcPr>
          <w:p w:rsidR="00CB421E" w:rsidRPr="00C258AD" w:rsidRDefault="00CB421E" w:rsidP="00927E1F">
            <w:pPr>
              <w:autoSpaceDE w:val="0"/>
              <w:autoSpaceDN w:val="0"/>
              <w:rPr>
                <w:sz w:val="16"/>
                <w:szCs w:val="16"/>
              </w:rPr>
            </w:pPr>
            <w:r w:rsidRPr="00C258AD">
              <w:rPr>
                <w:sz w:val="16"/>
                <w:szCs w:val="16"/>
              </w:rPr>
              <w:t xml:space="preserve">Fournir à une organisation locale, Action on </w:t>
            </w:r>
            <w:proofErr w:type="spellStart"/>
            <w:r w:rsidRPr="00C258AD">
              <w:rPr>
                <w:sz w:val="16"/>
                <w:szCs w:val="16"/>
              </w:rPr>
              <w:t>Disability</w:t>
            </w:r>
            <w:proofErr w:type="spellEnd"/>
            <w:r w:rsidRPr="00C258AD">
              <w:rPr>
                <w:sz w:val="16"/>
                <w:szCs w:val="16"/>
              </w:rPr>
              <w:t xml:space="preserve"> </w:t>
            </w:r>
            <w:proofErr w:type="spellStart"/>
            <w:r w:rsidRPr="00C258AD">
              <w:rPr>
                <w:sz w:val="16"/>
                <w:szCs w:val="16"/>
              </w:rPr>
              <w:t>Rights</w:t>
            </w:r>
            <w:proofErr w:type="spellEnd"/>
            <w:r w:rsidRPr="00C258AD">
              <w:rPr>
                <w:sz w:val="16"/>
                <w:szCs w:val="16"/>
              </w:rPr>
              <w:t xml:space="preserve"> and Development (ADRAD), </w:t>
            </w:r>
            <w:r w:rsidRPr="00C258AD">
              <w:rPr>
                <w:rFonts w:cs="Arial"/>
                <w:sz w:val="16"/>
                <w:szCs w:val="16"/>
              </w:rPr>
              <w:t>le savoir</w:t>
            </w:r>
            <w:r w:rsidRPr="00C258AD">
              <w:rPr>
                <w:rFonts w:cs="Arial"/>
                <w:color w:val="000000"/>
                <w:sz w:val="16"/>
                <w:szCs w:val="22"/>
              </w:rPr>
              <w:noBreakHyphen/>
              <w:t>faire</w:t>
            </w:r>
            <w:r w:rsidRPr="00C258AD">
              <w:rPr>
                <w:rFonts w:cs="Arial"/>
                <w:sz w:val="16"/>
                <w:szCs w:val="16"/>
              </w:rPr>
              <w:t xml:space="preserve"> </w:t>
            </w:r>
            <w:r w:rsidRPr="00C258AD">
              <w:rPr>
                <w:sz w:val="16"/>
                <w:szCs w:val="16"/>
              </w:rPr>
              <w:t>et le financement nécessaires pour mener des activités de renforcement des capacités au Népal.</w:t>
            </w:r>
          </w:p>
          <w:p w:rsidR="00CB421E" w:rsidRPr="00C258AD" w:rsidRDefault="00CB421E" w:rsidP="00927E1F">
            <w:pPr>
              <w:autoSpaceDE w:val="0"/>
              <w:autoSpaceDN w:val="0"/>
              <w:rPr>
                <w:sz w:val="16"/>
                <w:szCs w:val="16"/>
              </w:rPr>
            </w:pPr>
            <w:r w:rsidRPr="00C258AD">
              <w:rPr>
                <w:sz w:val="16"/>
                <w:szCs w:val="16"/>
              </w:rPr>
              <w:t xml:space="preserve">Activités visées : i) formation du gouvernement local et des éditeurs commerciaux, ainsi que des ONG locales, à la production d’ouvrages accessibles;  ii) production de 140 manuels éducatifs dans des formats accessibles en anglais et en népalais;  et iii) achat de 100 dispositifs Android qui seront prêtés à des étudiants déficients visuels pour qu’ils puissent lire ces ouvrages.  </w:t>
            </w:r>
            <w:r w:rsidRPr="00C258AD">
              <w:rPr>
                <w:rFonts w:cs="Arial"/>
                <w:sz w:val="16"/>
                <w:szCs w:val="16"/>
              </w:rPr>
              <w:t>D’après les prévisions, 1500 étudiants déficients visuels devraient bénéficier des livres produits.</w:t>
            </w:r>
          </w:p>
        </w:tc>
      </w:tr>
      <w:tr w:rsidR="00CB421E" w:rsidRPr="00C258AD" w:rsidTr="00927E1F">
        <w:trPr>
          <w:cantSplit/>
        </w:trPr>
        <w:tc>
          <w:tcPr>
            <w:tcW w:w="1843" w:type="dxa"/>
          </w:tcPr>
          <w:p w:rsidR="00CB421E" w:rsidRPr="00C258AD" w:rsidRDefault="00CB421E" w:rsidP="00927E1F">
            <w:pPr>
              <w:autoSpaceDE w:val="0"/>
              <w:autoSpaceDN w:val="0"/>
              <w:rPr>
                <w:rFonts w:cs="Arial"/>
                <w:sz w:val="16"/>
                <w:szCs w:val="16"/>
              </w:rPr>
            </w:pPr>
            <w:r w:rsidRPr="00C258AD">
              <w:rPr>
                <w:sz w:val="16"/>
                <w:szCs w:val="16"/>
              </w:rPr>
              <w:t xml:space="preserve">Renforcement des capacités – kit de démarrage DAISY </w:t>
            </w:r>
          </w:p>
        </w:tc>
        <w:tc>
          <w:tcPr>
            <w:tcW w:w="1135" w:type="dxa"/>
          </w:tcPr>
          <w:p w:rsidR="00CB421E" w:rsidRPr="00C258AD" w:rsidRDefault="00CB421E" w:rsidP="00927E1F">
            <w:pPr>
              <w:autoSpaceDE w:val="0"/>
              <w:autoSpaceDN w:val="0"/>
              <w:rPr>
                <w:rFonts w:cs="Arial"/>
                <w:sz w:val="16"/>
                <w:szCs w:val="16"/>
              </w:rPr>
            </w:pPr>
            <w:r w:rsidRPr="00C258AD">
              <w:rPr>
                <w:sz w:val="16"/>
                <w:szCs w:val="16"/>
              </w:rPr>
              <w:t>En cours depuis 2014 et achevé en mai 2015</w:t>
            </w:r>
          </w:p>
        </w:tc>
        <w:tc>
          <w:tcPr>
            <w:tcW w:w="1559" w:type="dxa"/>
            <w:gridSpan w:val="2"/>
          </w:tcPr>
          <w:p w:rsidR="00CB421E" w:rsidRPr="00C258AD" w:rsidRDefault="00CB421E" w:rsidP="00927E1F">
            <w:pPr>
              <w:autoSpaceDE w:val="0"/>
              <w:autoSpaceDN w:val="0"/>
              <w:rPr>
                <w:rFonts w:cs="Arial"/>
                <w:sz w:val="16"/>
                <w:szCs w:val="16"/>
              </w:rPr>
            </w:pPr>
            <w:r w:rsidRPr="00C258AD">
              <w:rPr>
                <w:rFonts w:cs="Arial"/>
                <w:sz w:val="16"/>
                <w:szCs w:val="16"/>
              </w:rPr>
              <w:t>Inde</w:t>
            </w:r>
          </w:p>
        </w:tc>
        <w:tc>
          <w:tcPr>
            <w:tcW w:w="4961" w:type="dxa"/>
            <w:gridSpan w:val="2"/>
          </w:tcPr>
          <w:p w:rsidR="00CB421E" w:rsidRPr="00C258AD" w:rsidRDefault="00CB421E" w:rsidP="00927E1F">
            <w:pPr>
              <w:autoSpaceDE w:val="0"/>
              <w:autoSpaceDN w:val="0"/>
              <w:rPr>
                <w:sz w:val="16"/>
                <w:szCs w:val="16"/>
              </w:rPr>
            </w:pPr>
            <w:r w:rsidRPr="00C258AD">
              <w:rPr>
                <w:sz w:val="16"/>
                <w:szCs w:val="16"/>
              </w:rPr>
              <w:t xml:space="preserve">Apporter un financement à une organisation partenaire, le consortium DAISY, qui produit un kit de démarrage comprenant des lignes directrices et des pratiques recommandées pour la production de livres dans des formats accessibles dans les pays en développement.  </w:t>
            </w:r>
          </w:p>
        </w:tc>
      </w:tr>
      <w:tr w:rsidR="00CB421E" w:rsidRPr="00C258AD" w:rsidTr="00927E1F">
        <w:trPr>
          <w:cantSplit/>
        </w:trPr>
        <w:tc>
          <w:tcPr>
            <w:tcW w:w="9498" w:type="dxa"/>
            <w:gridSpan w:val="6"/>
            <w:tcBorders>
              <w:top w:val="single" w:sz="4" w:space="0" w:color="000000"/>
              <w:bottom w:val="single" w:sz="4" w:space="0" w:color="000000"/>
            </w:tcBorders>
            <w:shd w:val="clear" w:color="auto" w:fill="C6D9F1" w:themeFill="text2" w:themeFillTint="33"/>
          </w:tcPr>
          <w:p w:rsidR="00CB421E" w:rsidRPr="00C258AD" w:rsidRDefault="00CB421E" w:rsidP="00927E1F">
            <w:pPr>
              <w:keepNext/>
              <w:keepLines/>
              <w:tabs>
                <w:tab w:val="left" w:pos="1740"/>
              </w:tabs>
              <w:ind w:left="1740" w:hanging="1740"/>
              <w:rPr>
                <w:sz w:val="18"/>
                <w:szCs w:val="18"/>
              </w:rPr>
            </w:pPr>
            <w:r w:rsidRPr="00C258AD">
              <w:rPr>
                <w:b/>
                <w:sz w:val="18"/>
                <w:szCs w:val="18"/>
              </w:rPr>
              <w:lastRenderedPageBreak/>
              <w:t>RÉSULTAT</w:t>
            </w:r>
            <w:r w:rsidRPr="00C258AD">
              <w:rPr>
                <w:sz w:val="18"/>
                <w:szCs w:val="18"/>
              </w:rPr>
              <w:t xml:space="preserve"> : </w:t>
            </w:r>
            <w:r w:rsidRPr="00C258AD">
              <w:rPr>
                <w:sz w:val="18"/>
                <w:szCs w:val="18"/>
              </w:rPr>
              <w:tab/>
              <w:t>VII.2 Des plateformes et instruments fondés sur la propriété intellectuelle sont utilisés pour le transfert de connaissances et l’adaptation et la diffusion de la technologie entre les pays développés et les pays en développement, notamment les PMA, pour relever des défis mondiaux</w:t>
            </w:r>
          </w:p>
        </w:tc>
      </w:tr>
      <w:tr w:rsidR="00CB421E" w:rsidRPr="00C258AD" w:rsidTr="00927E1F">
        <w:trPr>
          <w:cantSplit/>
        </w:trPr>
        <w:tc>
          <w:tcPr>
            <w:tcW w:w="1843" w:type="dxa"/>
            <w:tcBorders>
              <w:top w:val="single" w:sz="4" w:space="0" w:color="000000"/>
            </w:tcBorders>
            <w:vAlign w:val="center"/>
          </w:tcPr>
          <w:p w:rsidR="00CB421E" w:rsidRPr="00C258AD" w:rsidRDefault="00CB421E" w:rsidP="00927E1F">
            <w:pPr>
              <w:keepNext/>
              <w:keepLines/>
              <w:rPr>
                <w:rFonts w:cs="Arial"/>
                <w:b/>
                <w:bCs/>
                <w:sz w:val="16"/>
                <w:szCs w:val="16"/>
              </w:rPr>
            </w:pPr>
            <w:r w:rsidRPr="00C258AD">
              <w:rPr>
                <w:b/>
                <w:sz w:val="16"/>
              </w:rPr>
              <w:t>Activité</w:t>
            </w:r>
          </w:p>
        </w:tc>
        <w:tc>
          <w:tcPr>
            <w:tcW w:w="1135" w:type="dxa"/>
            <w:tcBorders>
              <w:top w:val="single" w:sz="4" w:space="0" w:color="000000"/>
            </w:tcBorders>
            <w:vAlign w:val="center"/>
          </w:tcPr>
          <w:p w:rsidR="00CB421E" w:rsidRPr="00C258AD" w:rsidRDefault="00CB421E" w:rsidP="00927E1F">
            <w:pPr>
              <w:keepNext/>
              <w:keepLines/>
              <w:rPr>
                <w:rFonts w:cs="Arial"/>
                <w:sz w:val="16"/>
                <w:szCs w:val="16"/>
              </w:rPr>
            </w:pPr>
            <w:r w:rsidRPr="00C258AD">
              <w:rPr>
                <w:b/>
                <w:sz w:val="16"/>
              </w:rPr>
              <w:t>Date</w:t>
            </w:r>
          </w:p>
        </w:tc>
        <w:tc>
          <w:tcPr>
            <w:tcW w:w="1559" w:type="dxa"/>
            <w:gridSpan w:val="2"/>
            <w:tcBorders>
              <w:top w:val="single" w:sz="4" w:space="0" w:color="000000"/>
            </w:tcBorders>
            <w:vAlign w:val="center"/>
          </w:tcPr>
          <w:p w:rsidR="00CB421E" w:rsidRPr="00C258AD" w:rsidRDefault="00CB421E" w:rsidP="00927E1F">
            <w:pPr>
              <w:keepNext/>
              <w:keepLines/>
              <w:rPr>
                <w:rFonts w:cs="Arial"/>
                <w:sz w:val="16"/>
                <w:szCs w:val="16"/>
              </w:rPr>
            </w:pPr>
            <w:r w:rsidRPr="00C258AD">
              <w:rPr>
                <w:b/>
                <w:sz w:val="16"/>
              </w:rPr>
              <w:t>Pays hôte/</w:t>
            </w:r>
            <w:r w:rsidRPr="00C258AD">
              <w:br/>
            </w:r>
            <w:r w:rsidRPr="00C258AD">
              <w:rPr>
                <w:b/>
                <w:sz w:val="16"/>
              </w:rPr>
              <w:t>bénéficiaires</w:t>
            </w:r>
          </w:p>
        </w:tc>
        <w:tc>
          <w:tcPr>
            <w:tcW w:w="4961" w:type="dxa"/>
            <w:gridSpan w:val="2"/>
            <w:tcBorders>
              <w:top w:val="single" w:sz="4" w:space="0" w:color="000000"/>
            </w:tcBorders>
            <w:vAlign w:val="center"/>
          </w:tcPr>
          <w:p w:rsidR="00CB421E" w:rsidRPr="00C258AD" w:rsidRDefault="00CB421E" w:rsidP="00927E1F">
            <w:pPr>
              <w:keepNext/>
              <w:keepLines/>
              <w:rPr>
                <w:rFonts w:cs="Arial"/>
                <w:sz w:val="16"/>
                <w:szCs w:val="16"/>
              </w:rPr>
            </w:pPr>
            <w:r w:rsidRPr="00C258AD">
              <w:rPr>
                <w:b/>
                <w:sz w:val="16"/>
              </w:rPr>
              <w:t>Objectif(s)/description(s)</w:t>
            </w:r>
          </w:p>
        </w:tc>
      </w:tr>
      <w:tr w:rsidR="00CB421E" w:rsidRPr="00C258AD" w:rsidTr="00927E1F">
        <w:trPr>
          <w:cantSplit/>
        </w:trPr>
        <w:tc>
          <w:tcPr>
            <w:tcW w:w="1843" w:type="dxa"/>
          </w:tcPr>
          <w:p w:rsidR="00CB421E" w:rsidRPr="00C258AD" w:rsidRDefault="00CB421E" w:rsidP="00927E1F">
            <w:pPr>
              <w:rPr>
                <w:rFonts w:cs="Arial"/>
                <w:sz w:val="16"/>
                <w:szCs w:val="16"/>
              </w:rPr>
            </w:pPr>
            <w:r w:rsidRPr="00C258AD">
              <w:rPr>
                <w:rFonts w:cs="Arial"/>
                <w:sz w:val="16"/>
                <w:szCs w:val="16"/>
              </w:rPr>
              <w:t>Poursuite des accords d’accueil pour des chercheurs africains en science biomédicale dans des organismes de recherche à l’étranger</w:t>
            </w:r>
          </w:p>
        </w:tc>
        <w:tc>
          <w:tcPr>
            <w:tcW w:w="1135" w:type="dxa"/>
          </w:tcPr>
          <w:p w:rsidR="00CB421E" w:rsidRPr="00C258AD" w:rsidRDefault="00CB421E" w:rsidP="00927E1F">
            <w:pPr>
              <w:rPr>
                <w:rFonts w:cs="Arial"/>
                <w:sz w:val="16"/>
                <w:szCs w:val="16"/>
              </w:rPr>
            </w:pPr>
            <w:r w:rsidRPr="00C258AD">
              <w:rPr>
                <w:rFonts w:cs="Arial"/>
                <w:sz w:val="16"/>
                <w:szCs w:val="16"/>
              </w:rPr>
              <w:t>octobre à décembre 2015</w:t>
            </w:r>
            <w:r w:rsidRPr="00C258AD">
              <w:rPr>
                <w:rStyle w:val="FootnoteReference"/>
                <w:rFonts w:cs="Arial"/>
                <w:sz w:val="16"/>
                <w:szCs w:val="16"/>
              </w:rPr>
              <w:footnoteReference w:id="151"/>
            </w:r>
          </w:p>
        </w:tc>
        <w:tc>
          <w:tcPr>
            <w:tcW w:w="1559" w:type="dxa"/>
            <w:gridSpan w:val="2"/>
          </w:tcPr>
          <w:p w:rsidR="00CB421E" w:rsidRPr="00C258AD" w:rsidRDefault="00CB421E" w:rsidP="00927E1F">
            <w:pPr>
              <w:rPr>
                <w:rFonts w:cs="Arial"/>
                <w:sz w:val="16"/>
                <w:szCs w:val="16"/>
              </w:rPr>
            </w:pPr>
            <w:r w:rsidRPr="00C258AD">
              <w:rPr>
                <w:sz w:val="16"/>
                <w:szCs w:val="16"/>
              </w:rPr>
              <w:t>Université de Californie, San Diego (</w:t>
            </w:r>
            <w:r w:rsidRPr="00C258AD">
              <w:rPr>
                <w:sz w:val="16"/>
                <w:szCs w:val="16"/>
                <w:lang w:eastAsia="fr-FR"/>
              </w:rPr>
              <w:t>États</w:t>
            </w:r>
            <w:r w:rsidRPr="00C258AD">
              <w:rPr>
                <w:sz w:val="16"/>
                <w:szCs w:val="22"/>
                <w:lang w:eastAsia="fr-FR"/>
              </w:rPr>
              <w:noBreakHyphen/>
            </w:r>
            <w:r w:rsidRPr="00C258AD">
              <w:rPr>
                <w:sz w:val="16"/>
                <w:szCs w:val="16"/>
                <w:lang w:eastAsia="fr-FR"/>
              </w:rPr>
              <w:t>Unis d’Amérique)</w:t>
            </w:r>
            <w:r w:rsidRPr="00C258AD">
              <w:rPr>
                <w:sz w:val="16"/>
                <w:szCs w:val="16"/>
              </w:rPr>
              <w:t>, M. Christian </w:t>
            </w:r>
            <w:proofErr w:type="spellStart"/>
            <w:r w:rsidRPr="00C258AD">
              <w:rPr>
                <w:sz w:val="16"/>
                <w:szCs w:val="16"/>
              </w:rPr>
              <w:t>Agyare</w:t>
            </w:r>
            <w:proofErr w:type="spellEnd"/>
            <w:r w:rsidRPr="00C258AD">
              <w:rPr>
                <w:sz w:val="16"/>
                <w:szCs w:val="16"/>
              </w:rPr>
              <w:t xml:space="preserve"> et Mme </w:t>
            </w:r>
            <w:proofErr w:type="spellStart"/>
            <w:r w:rsidRPr="00C258AD">
              <w:rPr>
                <w:sz w:val="16"/>
                <w:szCs w:val="16"/>
              </w:rPr>
              <w:t>Kyere</w:t>
            </w:r>
            <w:proofErr w:type="spellEnd"/>
            <w:r w:rsidRPr="00C258AD">
              <w:rPr>
                <w:sz w:val="16"/>
                <w:szCs w:val="16"/>
              </w:rPr>
              <w:noBreakHyphen/>
              <w:t>Davies.</w:t>
            </w:r>
          </w:p>
        </w:tc>
        <w:tc>
          <w:tcPr>
            <w:tcW w:w="4961" w:type="dxa"/>
            <w:gridSpan w:val="2"/>
          </w:tcPr>
          <w:p w:rsidR="00CB421E" w:rsidRPr="00C258AD" w:rsidRDefault="00CB421E" w:rsidP="00927E1F">
            <w:pPr>
              <w:rPr>
                <w:rFonts w:cs="Arial"/>
                <w:sz w:val="16"/>
                <w:szCs w:val="16"/>
              </w:rPr>
            </w:pPr>
            <w:r w:rsidRPr="00C258AD">
              <w:rPr>
                <w:sz w:val="16"/>
                <w:szCs w:val="16"/>
              </w:rPr>
              <w:t>Promouvoir : i) l’utilisation efficace du système de la propriété intellectuelle pour relever un défi dans le domaine de la santé mondiale (maladies tropicales négligées) qui touche de nombreux PMA;  et ii) le transfert des connaissances aux scientifiques, notamment dans les PMA.  Des programmes de recherche personnalisés ont été élaborés pour faire en sorte que les participants mettent à niveau leurs compétences en matière de recherche et soient en mesure d’apporter une contribution significative dans leur pays d’origine sur les maladies tropicales négligées.</w:t>
            </w:r>
          </w:p>
        </w:tc>
      </w:tr>
    </w:tbl>
    <w:p w:rsidR="00CB421E" w:rsidRPr="00C258AD" w:rsidRDefault="00CB421E" w:rsidP="00CB421E"/>
    <w:p w:rsidR="00CB421E" w:rsidRPr="00C258AD" w:rsidRDefault="00CB421E" w:rsidP="00CB421E">
      <w:pPr>
        <w:rPr>
          <w:rFonts w:cs="Arial"/>
          <w:b/>
          <w:szCs w:val="20"/>
        </w:rPr>
      </w:pPr>
    </w:p>
    <w:p w:rsidR="00CB421E" w:rsidRPr="00C258AD" w:rsidRDefault="00CB421E" w:rsidP="00CB421E">
      <w:pPr>
        <w:rPr>
          <w:rFonts w:cs="Arial"/>
          <w:b/>
          <w:bCs/>
          <w:szCs w:val="20"/>
        </w:rPr>
      </w:pPr>
      <w:r w:rsidRPr="00C258AD">
        <w:rPr>
          <w:rFonts w:cs="Arial"/>
          <w:b/>
          <w:bCs/>
          <w:szCs w:val="20"/>
        </w:rPr>
        <w:t>AUSTRALIE – Contributions des donateurs et dépenses en 2015</w:t>
      </w:r>
    </w:p>
    <w:p w:rsidR="00CB421E" w:rsidRPr="00C258AD" w:rsidRDefault="00CB421E" w:rsidP="00CB421E"/>
    <w:tbl>
      <w:tblPr>
        <w:tblW w:w="5000" w:type="pct"/>
        <w:tblInd w:w="98" w:type="dxa"/>
        <w:tblCellMar>
          <w:top w:w="113" w:type="dxa"/>
          <w:left w:w="68" w:type="dxa"/>
          <w:bottom w:w="113" w:type="dxa"/>
          <w:right w:w="68" w:type="dxa"/>
        </w:tblCellMar>
        <w:tblLook w:val="04A0" w:firstRow="1" w:lastRow="0" w:firstColumn="1" w:lastColumn="0" w:noHBand="0" w:noVBand="1"/>
      </w:tblPr>
      <w:tblGrid>
        <w:gridCol w:w="2014"/>
        <w:gridCol w:w="1598"/>
        <w:gridCol w:w="1811"/>
        <w:gridCol w:w="1780"/>
        <w:gridCol w:w="2288"/>
      </w:tblGrid>
      <w:tr w:rsidR="00CB421E" w:rsidRPr="00C258AD" w:rsidTr="00927E1F">
        <w:trPr>
          <w:cantSplit/>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Solde au 31 décembre 2014</w:t>
            </w:r>
          </w:p>
        </w:tc>
        <w:tc>
          <w:tcPr>
            <w:tcW w:w="1640" w:type="dxa"/>
            <w:tcBorders>
              <w:top w:val="single" w:sz="8" w:space="0" w:color="auto"/>
              <w:left w:val="nil"/>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Recettes 2015</w:t>
            </w:r>
          </w:p>
        </w:tc>
        <w:tc>
          <w:tcPr>
            <w:tcW w:w="1860" w:type="dxa"/>
            <w:tcBorders>
              <w:top w:val="single" w:sz="8" w:space="0" w:color="auto"/>
              <w:left w:val="nil"/>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Dépenses 2015</w:t>
            </w:r>
          </w:p>
        </w:tc>
        <w:tc>
          <w:tcPr>
            <w:tcW w:w="1780" w:type="dxa"/>
            <w:tcBorders>
              <w:top w:val="single" w:sz="8" w:space="0" w:color="auto"/>
              <w:left w:val="nil"/>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Remboursements</w:t>
            </w:r>
          </w:p>
        </w:tc>
        <w:tc>
          <w:tcPr>
            <w:tcW w:w="2329" w:type="dxa"/>
            <w:tcBorders>
              <w:top w:val="single" w:sz="8" w:space="0" w:color="auto"/>
              <w:left w:val="nil"/>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Solde au 31 décembre 2015</w:t>
            </w:r>
          </w:p>
        </w:tc>
      </w:tr>
      <w:tr w:rsidR="00CB421E" w:rsidRPr="00C258AD" w:rsidTr="00927E1F">
        <w:trPr>
          <w:cantSplit/>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493 374</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727</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383 882</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CB421E" w:rsidRPr="00C258AD" w:rsidRDefault="00CB421E" w:rsidP="00927E1F">
            <w:pPr>
              <w:jc w:val="center"/>
              <w:rPr>
                <w:rFonts w:cs="Arial"/>
                <w:sz w:val="16"/>
                <w:szCs w:val="16"/>
              </w:rPr>
            </w:pPr>
            <w:r w:rsidRPr="00C258AD">
              <w:rPr>
                <w:rFonts w:cs="Arial"/>
                <w:sz w:val="16"/>
                <w:szCs w:val="16"/>
              </w:rPr>
              <w:noBreakHyphen/>
            </w:r>
          </w:p>
        </w:tc>
        <w:tc>
          <w:tcPr>
            <w:tcW w:w="2329" w:type="dxa"/>
            <w:tcBorders>
              <w:top w:val="single" w:sz="4" w:space="0" w:color="auto"/>
              <w:left w:val="nil"/>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110 219</w:t>
            </w:r>
          </w:p>
        </w:tc>
      </w:tr>
    </w:tbl>
    <w:p w:rsidR="00CB421E" w:rsidRPr="00C258AD" w:rsidRDefault="00CB421E" w:rsidP="00CB421E">
      <w:pPr>
        <w:rPr>
          <w:rFonts w:cs="Arial"/>
          <w:b/>
          <w:szCs w:val="20"/>
        </w:rPr>
      </w:pPr>
    </w:p>
    <w:p w:rsidR="00CB421E" w:rsidRPr="00C258AD" w:rsidRDefault="00CB421E" w:rsidP="00CB421E">
      <w:pPr>
        <w:rPr>
          <w:rFonts w:cs="Arial"/>
          <w:b/>
          <w:szCs w:val="20"/>
        </w:rPr>
      </w:pPr>
    </w:p>
    <w:p w:rsidR="00CB421E" w:rsidRPr="00C258AD" w:rsidRDefault="00CB421E" w:rsidP="00CB421E">
      <w:pPr>
        <w:rPr>
          <w:rFonts w:cs="Arial"/>
          <w:b/>
          <w:szCs w:val="16"/>
        </w:rPr>
      </w:pPr>
      <w:r w:rsidRPr="00C258AD">
        <w:rPr>
          <w:rFonts w:cs="Arial"/>
          <w:b/>
          <w:szCs w:val="16"/>
        </w:rPr>
        <w:t>BRÉSIL</w:t>
      </w:r>
    </w:p>
    <w:p w:rsidR="00CB421E" w:rsidRPr="00C258AD" w:rsidRDefault="00CB421E" w:rsidP="00CB421E">
      <w:pPr>
        <w:rPr>
          <w:rFonts w:cs="Arial"/>
          <w:b/>
          <w:szCs w:val="16"/>
        </w:rPr>
      </w:pPr>
    </w:p>
    <w:tbl>
      <w:tblPr>
        <w:tblW w:w="5000" w:type="pct"/>
        <w:tblInd w:w="108" w:type="dxa"/>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1814"/>
        <w:gridCol w:w="1515"/>
        <w:gridCol w:w="1529"/>
        <w:gridCol w:w="4633"/>
      </w:tblGrid>
      <w:tr w:rsidR="00CB421E" w:rsidRPr="00C258AD" w:rsidTr="00927E1F">
        <w:trPr>
          <w:cantSplit/>
        </w:trPr>
        <w:tc>
          <w:tcPr>
            <w:tcW w:w="9498" w:type="dxa"/>
            <w:gridSpan w:val="4"/>
            <w:tcBorders>
              <w:top w:val="single" w:sz="4" w:space="0" w:color="auto"/>
              <w:bottom w:val="single" w:sz="4" w:space="0" w:color="auto"/>
            </w:tcBorders>
            <w:shd w:val="clear" w:color="auto" w:fill="C6D9F1" w:themeFill="text2" w:themeFillTint="33"/>
          </w:tcPr>
          <w:p w:rsidR="00CB421E" w:rsidRPr="00C258AD" w:rsidRDefault="00CB421E" w:rsidP="00927E1F">
            <w:pPr>
              <w:keepNext/>
              <w:keepLines/>
              <w:tabs>
                <w:tab w:val="left" w:pos="1740"/>
              </w:tabs>
              <w:ind w:left="1740" w:hanging="1740"/>
              <w:rPr>
                <w:rFonts w:cs="Arial"/>
                <w:sz w:val="16"/>
                <w:szCs w:val="16"/>
              </w:rPr>
            </w:pPr>
            <w:r w:rsidRPr="00C258AD">
              <w:rPr>
                <w:rFonts w:cs="Arial"/>
                <w:b/>
                <w:sz w:val="16"/>
                <w:szCs w:val="16"/>
              </w:rPr>
              <w:t>RÉSULTAT</w:t>
            </w:r>
            <w:r w:rsidRPr="00C258AD">
              <w:rPr>
                <w:rFonts w:cs="Arial"/>
                <w:sz w:val="16"/>
                <w:szCs w:val="16"/>
              </w:rPr>
              <w:t xml:space="preserve"> : </w:t>
            </w:r>
            <w:r w:rsidRPr="00C258AD">
              <w:rPr>
                <w:rFonts w:cs="Arial"/>
                <w:sz w:val="16"/>
                <w:szCs w:val="16"/>
              </w:rPr>
              <w:tab/>
              <w:t>III.2 Mise en valeur des ressources humaines pour répondre aux diverses exigences en matière d’utilisation efficace de la propriété intellectuelle au service du développement dans les pays en développement, les PMA et les pays en transition</w:t>
            </w:r>
          </w:p>
        </w:tc>
      </w:tr>
      <w:tr w:rsidR="00CB421E" w:rsidRPr="00C258AD" w:rsidTr="00927E1F">
        <w:trPr>
          <w:cantSplit/>
        </w:trPr>
        <w:tc>
          <w:tcPr>
            <w:tcW w:w="1843" w:type="dxa"/>
            <w:tcBorders>
              <w:top w:val="single" w:sz="4" w:space="0" w:color="auto"/>
              <w:bottom w:val="nil"/>
            </w:tcBorders>
            <w:vAlign w:val="center"/>
          </w:tcPr>
          <w:p w:rsidR="00CB421E" w:rsidRPr="00C258AD" w:rsidRDefault="00CB421E" w:rsidP="00927E1F">
            <w:pPr>
              <w:keepNext/>
              <w:keepLines/>
              <w:rPr>
                <w:rFonts w:cs="Arial"/>
                <w:b/>
                <w:bCs/>
                <w:sz w:val="16"/>
                <w:szCs w:val="16"/>
              </w:rPr>
            </w:pPr>
            <w:r w:rsidRPr="00C258AD">
              <w:rPr>
                <w:b/>
                <w:sz w:val="16"/>
              </w:rPr>
              <w:t>Activité</w:t>
            </w:r>
          </w:p>
        </w:tc>
        <w:tc>
          <w:tcPr>
            <w:tcW w:w="1276" w:type="dxa"/>
            <w:tcBorders>
              <w:top w:val="single" w:sz="4" w:space="0" w:color="auto"/>
              <w:bottom w:val="nil"/>
            </w:tcBorders>
            <w:vAlign w:val="center"/>
          </w:tcPr>
          <w:p w:rsidR="00CB421E" w:rsidRPr="00C258AD" w:rsidRDefault="00CB421E" w:rsidP="00927E1F">
            <w:pPr>
              <w:keepNext/>
              <w:keepLines/>
              <w:rPr>
                <w:rFonts w:cs="Arial"/>
                <w:sz w:val="16"/>
                <w:szCs w:val="16"/>
              </w:rPr>
            </w:pPr>
            <w:r w:rsidRPr="00C258AD">
              <w:rPr>
                <w:b/>
                <w:sz w:val="16"/>
              </w:rPr>
              <w:t>Date</w:t>
            </w:r>
          </w:p>
        </w:tc>
        <w:tc>
          <w:tcPr>
            <w:tcW w:w="1559" w:type="dxa"/>
            <w:tcBorders>
              <w:top w:val="single" w:sz="4" w:space="0" w:color="auto"/>
              <w:bottom w:val="nil"/>
            </w:tcBorders>
            <w:vAlign w:val="center"/>
          </w:tcPr>
          <w:p w:rsidR="00CB421E" w:rsidRPr="00C258AD" w:rsidRDefault="00CB421E" w:rsidP="00927E1F">
            <w:pPr>
              <w:keepNext/>
              <w:keepLines/>
              <w:rPr>
                <w:rFonts w:cs="Arial"/>
                <w:sz w:val="16"/>
                <w:szCs w:val="16"/>
              </w:rPr>
            </w:pPr>
            <w:r w:rsidRPr="00C258AD">
              <w:rPr>
                <w:b/>
                <w:sz w:val="16"/>
              </w:rPr>
              <w:t>Pays hôte/</w:t>
            </w:r>
            <w:r w:rsidRPr="00C258AD">
              <w:br/>
            </w:r>
            <w:r w:rsidRPr="00C258AD">
              <w:rPr>
                <w:b/>
                <w:sz w:val="16"/>
              </w:rPr>
              <w:t>bénéficiaires</w:t>
            </w:r>
          </w:p>
        </w:tc>
        <w:tc>
          <w:tcPr>
            <w:tcW w:w="4820" w:type="dxa"/>
            <w:tcBorders>
              <w:top w:val="single" w:sz="4" w:space="0" w:color="auto"/>
              <w:bottom w:val="nil"/>
            </w:tcBorders>
            <w:vAlign w:val="center"/>
          </w:tcPr>
          <w:p w:rsidR="00CB421E" w:rsidRPr="00C258AD" w:rsidRDefault="00CB421E" w:rsidP="00927E1F">
            <w:pPr>
              <w:keepNext/>
              <w:keepLines/>
              <w:rPr>
                <w:rFonts w:cs="Arial"/>
                <w:sz w:val="16"/>
                <w:szCs w:val="16"/>
              </w:rPr>
            </w:pPr>
            <w:r w:rsidRPr="00C258AD">
              <w:rPr>
                <w:b/>
                <w:sz w:val="16"/>
              </w:rPr>
              <w:t>Objectif(s)/description(s)</w:t>
            </w:r>
          </w:p>
        </w:tc>
      </w:tr>
      <w:tr w:rsidR="00CB421E" w:rsidRPr="00C258AD" w:rsidTr="00927E1F">
        <w:trPr>
          <w:cantSplit/>
        </w:trPr>
        <w:tc>
          <w:tcPr>
            <w:tcW w:w="1843" w:type="dxa"/>
            <w:tcBorders>
              <w:top w:val="nil"/>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Neuvième réunion annuelle du </w:t>
            </w:r>
            <w:proofErr w:type="spellStart"/>
            <w:r w:rsidRPr="00C258AD">
              <w:rPr>
                <w:rFonts w:cs="Arial"/>
                <w:sz w:val="16"/>
                <w:szCs w:val="16"/>
              </w:rPr>
              <w:t>Brazilian</w:t>
            </w:r>
            <w:proofErr w:type="spellEnd"/>
            <w:r w:rsidRPr="00C258AD">
              <w:rPr>
                <w:rFonts w:cs="Arial"/>
                <w:sz w:val="16"/>
                <w:szCs w:val="16"/>
              </w:rPr>
              <w:t xml:space="preserve"> Forum of Innovation and </w:t>
            </w:r>
            <w:proofErr w:type="spellStart"/>
            <w:r w:rsidRPr="00C258AD">
              <w:rPr>
                <w:rFonts w:cs="Arial"/>
                <w:sz w:val="16"/>
                <w:szCs w:val="16"/>
              </w:rPr>
              <w:t>Technology</w:t>
            </w:r>
            <w:proofErr w:type="spellEnd"/>
            <w:r w:rsidRPr="00C258AD">
              <w:rPr>
                <w:rFonts w:cs="Arial"/>
                <w:sz w:val="16"/>
                <w:szCs w:val="16"/>
              </w:rPr>
              <w:t xml:space="preserve"> Transfer Managers (FORTEC)</w:t>
            </w:r>
          </w:p>
        </w:tc>
        <w:tc>
          <w:tcPr>
            <w:tcW w:w="1276" w:type="dxa"/>
            <w:tcBorders>
              <w:top w:val="nil"/>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19 – 22 mai 2015</w:t>
            </w:r>
          </w:p>
        </w:tc>
        <w:tc>
          <w:tcPr>
            <w:tcW w:w="1559" w:type="dxa"/>
            <w:tcBorders>
              <w:top w:val="nil"/>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Brésil</w:t>
            </w:r>
          </w:p>
        </w:tc>
        <w:tc>
          <w:tcPr>
            <w:tcW w:w="4820" w:type="dxa"/>
            <w:tcBorders>
              <w:top w:val="nil"/>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Débattre de thèmes relatifs aux politiques et stratégies en matière d’innovation et renforcer les compétences dans les domaines du transfert de technologie et de la gestion des droits de propriété intellectuelle.</w:t>
            </w:r>
          </w:p>
        </w:tc>
      </w:tr>
      <w:tr w:rsidR="00CB421E" w:rsidRPr="00C258AD" w:rsidTr="00927E1F">
        <w:trPr>
          <w:cantSplit/>
        </w:trPr>
        <w:tc>
          <w:tcPr>
            <w:tcW w:w="184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Atelier sur la protection de la propriété intellectuelle et les stratégies de commercialisation des résultats de la recherche </w:t>
            </w:r>
          </w:p>
        </w:tc>
        <w:tc>
          <w:tcPr>
            <w:tcW w:w="1276"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6 – 10 juillet 2015</w:t>
            </w:r>
          </w:p>
        </w:tc>
        <w:tc>
          <w:tcPr>
            <w:tcW w:w="1559"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Brésil</w:t>
            </w:r>
          </w:p>
        </w:tc>
        <w:tc>
          <w:tcPr>
            <w:tcW w:w="4820"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Dispenser une formation pratique sur les stratégies de gestion et de protection des droits de propriété intellectuelle dans les universités et les instituts de recherche</w:t>
            </w:r>
            <w:r w:rsidRPr="00C258AD">
              <w:rPr>
                <w:rFonts w:cs="Arial"/>
                <w:sz w:val="16"/>
                <w:szCs w:val="16"/>
              </w:rPr>
              <w:noBreakHyphen/>
              <w:t>développement.</w:t>
            </w:r>
          </w:p>
        </w:tc>
      </w:tr>
      <w:tr w:rsidR="00CB421E" w:rsidRPr="00C258AD" w:rsidTr="00927E1F">
        <w:trPr>
          <w:cantSplit/>
        </w:trPr>
        <w:tc>
          <w:tcPr>
            <w:tcW w:w="184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Huitième réunion universitaire sur la propriété intellectuelle, l’innovation et le développement (ENAPID VII)</w:t>
            </w:r>
          </w:p>
        </w:tc>
        <w:tc>
          <w:tcPr>
            <w:tcW w:w="1276" w:type="dxa"/>
          </w:tcPr>
          <w:p w:rsidR="00CB421E" w:rsidRPr="00C258AD" w:rsidRDefault="00CB421E" w:rsidP="00927E1F">
            <w:pPr>
              <w:rPr>
                <w:rFonts w:cs="Arial"/>
                <w:sz w:val="16"/>
                <w:szCs w:val="16"/>
              </w:rPr>
            </w:pPr>
            <w:r w:rsidRPr="00C258AD">
              <w:rPr>
                <w:rFonts w:cs="Arial"/>
                <w:sz w:val="16"/>
                <w:szCs w:val="16"/>
              </w:rPr>
              <w:t>11 – 14 août 2015</w:t>
            </w:r>
          </w:p>
        </w:tc>
        <w:tc>
          <w:tcPr>
            <w:tcW w:w="1559" w:type="dxa"/>
          </w:tcPr>
          <w:p w:rsidR="00CB421E" w:rsidRPr="00C258AD" w:rsidRDefault="00CB421E" w:rsidP="00927E1F">
            <w:pPr>
              <w:rPr>
                <w:rFonts w:cs="Arial"/>
                <w:sz w:val="16"/>
                <w:szCs w:val="16"/>
              </w:rPr>
            </w:pPr>
            <w:r w:rsidRPr="00C258AD">
              <w:rPr>
                <w:rFonts w:cs="Arial"/>
                <w:sz w:val="16"/>
                <w:szCs w:val="16"/>
              </w:rPr>
              <w:t>Brésil</w:t>
            </w:r>
          </w:p>
        </w:tc>
        <w:tc>
          <w:tcPr>
            <w:tcW w:w="4820"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Promouvoir l’innovation durable et le rôle du système de propriété intellectuelle dans le contexte économique mondial.  </w:t>
            </w:r>
          </w:p>
        </w:tc>
      </w:tr>
      <w:tr w:rsidR="00CB421E" w:rsidRPr="00C258AD" w:rsidTr="00927E1F">
        <w:trPr>
          <w:cantSplit/>
        </w:trPr>
        <w:tc>
          <w:tcPr>
            <w:tcW w:w="184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Séminaire sur le franchisage et le règlement extrajudiciaire des litiges </w:t>
            </w:r>
          </w:p>
        </w:tc>
        <w:tc>
          <w:tcPr>
            <w:tcW w:w="1276" w:type="dxa"/>
          </w:tcPr>
          <w:p w:rsidR="00CB421E" w:rsidRPr="00C258AD" w:rsidRDefault="00CB421E" w:rsidP="00927E1F">
            <w:pPr>
              <w:rPr>
                <w:rFonts w:cs="Arial"/>
                <w:sz w:val="16"/>
                <w:szCs w:val="16"/>
              </w:rPr>
            </w:pPr>
            <w:r w:rsidRPr="00C258AD">
              <w:rPr>
                <w:rFonts w:cs="Arial"/>
                <w:sz w:val="16"/>
                <w:szCs w:val="16"/>
              </w:rPr>
              <w:t>3 septembre 2015</w:t>
            </w:r>
          </w:p>
        </w:tc>
        <w:tc>
          <w:tcPr>
            <w:tcW w:w="1559" w:type="dxa"/>
          </w:tcPr>
          <w:p w:rsidR="00CB421E" w:rsidRPr="00C258AD" w:rsidRDefault="00CB421E" w:rsidP="00927E1F">
            <w:pPr>
              <w:rPr>
                <w:rFonts w:cs="Arial"/>
                <w:sz w:val="16"/>
                <w:szCs w:val="16"/>
              </w:rPr>
            </w:pPr>
            <w:r w:rsidRPr="00C258AD">
              <w:rPr>
                <w:rFonts w:cs="Arial"/>
                <w:sz w:val="16"/>
                <w:szCs w:val="16"/>
              </w:rPr>
              <w:t>Brésil</w:t>
            </w:r>
          </w:p>
        </w:tc>
        <w:tc>
          <w:tcPr>
            <w:tcW w:w="4820"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Encourager l’utilisation des clauses de règlement extrajudiciaire des litiges élaborées par l’OMPI dans les accords de franchise conclus par des membres de l’Association brésilienne de la franchise.</w:t>
            </w:r>
          </w:p>
        </w:tc>
      </w:tr>
      <w:tr w:rsidR="00CB421E" w:rsidRPr="00C258AD" w:rsidTr="00927E1F">
        <w:trPr>
          <w:cantSplit/>
        </w:trPr>
        <w:tc>
          <w:tcPr>
            <w:tcW w:w="184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lastRenderedPageBreak/>
              <w:t xml:space="preserve">Séminaire sur la technologie internationale – licences et règlement des litiges </w:t>
            </w:r>
          </w:p>
        </w:tc>
        <w:tc>
          <w:tcPr>
            <w:tcW w:w="1276" w:type="dxa"/>
          </w:tcPr>
          <w:p w:rsidR="00CB421E" w:rsidRPr="00C258AD" w:rsidRDefault="00CB421E" w:rsidP="00927E1F">
            <w:pPr>
              <w:rPr>
                <w:rFonts w:cs="Arial"/>
                <w:sz w:val="16"/>
                <w:szCs w:val="16"/>
              </w:rPr>
            </w:pPr>
            <w:r w:rsidRPr="00C258AD">
              <w:rPr>
                <w:rFonts w:cs="Arial"/>
                <w:sz w:val="16"/>
                <w:szCs w:val="16"/>
              </w:rPr>
              <w:t>4 septembre 2015</w:t>
            </w:r>
          </w:p>
        </w:tc>
        <w:tc>
          <w:tcPr>
            <w:tcW w:w="1559" w:type="dxa"/>
          </w:tcPr>
          <w:p w:rsidR="00CB421E" w:rsidRPr="00C258AD" w:rsidRDefault="00CB421E" w:rsidP="00927E1F">
            <w:pPr>
              <w:rPr>
                <w:rFonts w:cs="Arial"/>
                <w:sz w:val="16"/>
                <w:szCs w:val="16"/>
              </w:rPr>
            </w:pPr>
            <w:r w:rsidRPr="00C258AD">
              <w:rPr>
                <w:rFonts w:cs="Arial"/>
                <w:sz w:val="16"/>
                <w:szCs w:val="16"/>
              </w:rPr>
              <w:t>Brésil</w:t>
            </w:r>
          </w:p>
        </w:tc>
        <w:tc>
          <w:tcPr>
            <w:tcW w:w="4820"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Encourager l’utilisation des clauses de règlement extrajudiciaire des litiges élaborées par l’OMPI par les juristes et les gestionnaires de contrats engagés dans la concession de licences et des accords de recherche–développement au Brésil.  </w:t>
            </w:r>
          </w:p>
        </w:tc>
      </w:tr>
      <w:tr w:rsidR="00CB421E" w:rsidRPr="00C258AD" w:rsidTr="00927E1F">
        <w:trPr>
          <w:cantSplit/>
        </w:trPr>
        <w:tc>
          <w:tcPr>
            <w:tcW w:w="184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Deuxième séminaire sur les indications géographiques et les marques collectives dans le secteur de l’artisanat </w:t>
            </w:r>
          </w:p>
        </w:tc>
        <w:tc>
          <w:tcPr>
            <w:tcW w:w="1276" w:type="dxa"/>
          </w:tcPr>
          <w:p w:rsidR="00CB421E" w:rsidRPr="00C258AD" w:rsidRDefault="00CB421E" w:rsidP="00927E1F">
            <w:pPr>
              <w:rPr>
                <w:rFonts w:cs="Arial"/>
                <w:sz w:val="16"/>
                <w:szCs w:val="16"/>
              </w:rPr>
            </w:pPr>
            <w:r w:rsidRPr="00C258AD">
              <w:rPr>
                <w:rFonts w:cs="Arial"/>
                <w:sz w:val="16"/>
                <w:szCs w:val="16"/>
              </w:rPr>
              <w:t>24 et 25 septembre 2015</w:t>
            </w:r>
          </w:p>
        </w:tc>
        <w:tc>
          <w:tcPr>
            <w:tcW w:w="1559" w:type="dxa"/>
          </w:tcPr>
          <w:p w:rsidR="00CB421E" w:rsidRPr="00C258AD" w:rsidRDefault="00CB421E" w:rsidP="00927E1F">
            <w:pPr>
              <w:rPr>
                <w:rFonts w:cs="Arial"/>
                <w:sz w:val="16"/>
                <w:szCs w:val="16"/>
              </w:rPr>
            </w:pPr>
            <w:r w:rsidRPr="00C258AD">
              <w:rPr>
                <w:rFonts w:cs="Arial"/>
                <w:sz w:val="16"/>
                <w:szCs w:val="16"/>
              </w:rPr>
              <w:t xml:space="preserve">Brésil/ Colombie, Mexique, Pérou </w:t>
            </w:r>
          </w:p>
        </w:tc>
        <w:tc>
          <w:tcPr>
            <w:tcW w:w="4820"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Favoriser un débat sur les avantages économiques et sociaux potentiels que les indications géographiques et les marques collectives apportent au développement national, notamment à l’industrie de l’artisanat.  </w:t>
            </w:r>
          </w:p>
        </w:tc>
      </w:tr>
      <w:tr w:rsidR="00CB421E" w:rsidRPr="00C258AD" w:rsidTr="00927E1F">
        <w:trPr>
          <w:cantSplit/>
        </w:trPr>
        <w:tc>
          <w:tcPr>
            <w:tcW w:w="184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Dix</w:t>
            </w:r>
            <w:r w:rsidRPr="00C258AD">
              <w:rPr>
                <w:rFonts w:cs="Arial"/>
                <w:color w:val="000000"/>
                <w:sz w:val="16"/>
                <w:szCs w:val="22"/>
              </w:rPr>
              <w:noBreakHyphen/>
              <w:t>septième</w:t>
            </w:r>
            <w:r w:rsidRPr="00C258AD">
              <w:rPr>
                <w:rFonts w:cs="Arial"/>
                <w:sz w:val="16"/>
                <w:szCs w:val="16"/>
              </w:rPr>
              <w:t xml:space="preserve"> réunion sur la propriété intellectuelle et la commercialisation des technologies – XVII</w:t>
            </w:r>
            <w:r w:rsidRPr="00C258AD">
              <w:rPr>
                <w:sz w:val="16"/>
                <w:vertAlign w:val="superscript"/>
              </w:rPr>
              <w:t>e</w:t>
            </w:r>
            <w:r w:rsidRPr="00C258AD">
              <w:rPr>
                <w:rFonts w:cs="Arial"/>
                <w:sz w:val="16"/>
                <w:szCs w:val="16"/>
              </w:rPr>
              <w:t> REPICT</w:t>
            </w:r>
          </w:p>
        </w:tc>
        <w:tc>
          <w:tcPr>
            <w:tcW w:w="1276" w:type="dxa"/>
          </w:tcPr>
          <w:p w:rsidR="00CB421E" w:rsidRPr="00C258AD" w:rsidRDefault="00CB421E" w:rsidP="00927E1F">
            <w:pPr>
              <w:rPr>
                <w:rFonts w:cs="Arial"/>
                <w:sz w:val="16"/>
                <w:szCs w:val="16"/>
              </w:rPr>
            </w:pPr>
            <w:r w:rsidRPr="00C258AD">
              <w:rPr>
                <w:rFonts w:cs="Arial"/>
                <w:sz w:val="16"/>
                <w:szCs w:val="16"/>
              </w:rPr>
              <w:t>1</w:t>
            </w:r>
            <w:r w:rsidRPr="00C258AD">
              <w:rPr>
                <w:rFonts w:cs="Arial"/>
                <w:sz w:val="16"/>
                <w:szCs w:val="16"/>
                <w:vertAlign w:val="superscript"/>
              </w:rPr>
              <w:t>er</w:t>
            </w:r>
            <w:r w:rsidRPr="00C258AD">
              <w:rPr>
                <w:rFonts w:cs="Arial"/>
                <w:sz w:val="16"/>
                <w:szCs w:val="16"/>
              </w:rPr>
              <w:t xml:space="preserve"> octobre 2015</w:t>
            </w:r>
          </w:p>
        </w:tc>
        <w:tc>
          <w:tcPr>
            <w:tcW w:w="1559" w:type="dxa"/>
          </w:tcPr>
          <w:p w:rsidR="00CB421E" w:rsidRPr="00C258AD" w:rsidRDefault="00CB421E" w:rsidP="00927E1F">
            <w:pPr>
              <w:rPr>
                <w:rFonts w:cs="Arial"/>
                <w:sz w:val="16"/>
                <w:szCs w:val="16"/>
              </w:rPr>
            </w:pPr>
            <w:r w:rsidRPr="00C258AD">
              <w:rPr>
                <w:rFonts w:cs="Arial"/>
                <w:sz w:val="16"/>
                <w:szCs w:val="16"/>
              </w:rPr>
              <w:t>Brésil</w:t>
            </w:r>
          </w:p>
        </w:tc>
        <w:tc>
          <w:tcPr>
            <w:tcW w:w="4820"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Examiner les outils de transfert de technologie fondés sur la protection des actifs intangibles axée sur les microentreprises et les petites entreprises.  </w:t>
            </w:r>
          </w:p>
        </w:tc>
      </w:tr>
    </w:tbl>
    <w:p w:rsidR="00CB421E" w:rsidRPr="00C258AD" w:rsidRDefault="00CB421E" w:rsidP="00CB421E">
      <w:pPr>
        <w:tabs>
          <w:tab w:val="left" w:pos="0"/>
          <w:tab w:val="left" w:pos="9071"/>
        </w:tabs>
        <w:rPr>
          <w:rFonts w:cs="Arial"/>
          <w:b/>
          <w:szCs w:val="16"/>
        </w:rPr>
      </w:pPr>
    </w:p>
    <w:p w:rsidR="00CB421E" w:rsidRPr="00C258AD" w:rsidRDefault="00CB421E" w:rsidP="00CB421E">
      <w:pPr>
        <w:rPr>
          <w:rFonts w:cs="Arial"/>
          <w:b/>
          <w:szCs w:val="16"/>
        </w:rPr>
      </w:pPr>
    </w:p>
    <w:p w:rsidR="00CB421E" w:rsidRPr="00C258AD" w:rsidRDefault="00CB421E" w:rsidP="00CB421E">
      <w:pPr>
        <w:rPr>
          <w:rFonts w:cs="Arial"/>
          <w:b/>
          <w:bCs/>
          <w:szCs w:val="20"/>
        </w:rPr>
      </w:pPr>
      <w:r w:rsidRPr="00C258AD">
        <w:rPr>
          <w:rFonts w:cs="Arial"/>
          <w:b/>
          <w:bCs/>
          <w:szCs w:val="20"/>
        </w:rPr>
        <w:t>BRÉSIL – Contributions des donateurs et dépenses en 2015</w:t>
      </w:r>
    </w:p>
    <w:p w:rsidR="00CB421E" w:rsidRPr="00C258AD" w:rsidRDefault="00CB421E" w:rsidP="00CB421E">
      <w:pPr>
        <w:rPr>
          <w:rFonts w:cs="Arial"/>
          <w:szCs w:val="16"/>
        </w:rPr>
      </w:pPr>
    </w:p>
    <w:tbl>
      <w:tblPr>
        <w:tblW w:w="5000" w:type="pct"/>
        <w:tblInd w:w="98" w:type="dxa"/>
        <w:tblCellMar>
          <w:top w:w="113" w:type="dxa"/>
          <w:left w:w="68" w:type="dxa"/>
          <w:bottom w:w="113" w:type="dxa"/>
          <w:right w:w="68" w:type="dxa"/>
        </w:tblCellMar>
        <w:tblLook w:val="04A0" w:firstRow="1" w:lastRow="0" w:firstColumn="1" w:lastColumn="0" w:noHBand="0" w:noVBand="1"/>
      </w:tblPr>
      <w:tblGrid>
        <w:gridCol w:w="2037"/>
        <w:gridCol w:w="1635"/>
        <w:gridCol w:w="1855"/>
        <w:gridCol w:w="1780"/>
        <w:gridCol w:w="2184"/>
      </w:tblGrid>
      <w:tr w:rsidR="00CB421E" w:rsidRPr="00C258AD" w:rsidTr="00927E1F">
        <w:trPr>
          <w:cantSplit/>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Solde au 31 décembre 2014</w:t>
            </w:r>
          </w:p>
        </w:tc>
        <w:tc>
          <w:tcPr>
            <w:tcW w:w="1640" w:type="dxa"/>
            <w:tcBorders>
              <w:top w:val="single" w:sz="8" w:space="0" w:color="auto"/>
              <w:left w:val="nil"/>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Recettes 2015</w:t>
            </w:r>
          </w:p>
        </w:tc>
        <w:tc>
          <w:tcPr>
            <w:tcW w:w="1860" w:type="dxa"/>
            <w:tcBorders>
              <w:top w:val="single" w:sz="8" w:space="0" w:color="auto"/>
              <w:left w:val="nil"/>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Dépenses 2015</w:t>
            </w:r>
          </w:p>
        </w:tc>
        <w:tc>
          <w:tcPr>
            <w:tcW w:w="1780" w:type="dxa"/>
            <w:tcBorders>
              <w:top w:val="single" w:sz="8" w:space="0" w:color="auto"/>
              <w:left w:val="nil"/>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Remboursements</w:t>
            </w:r>
          </w:p>
        </w:tc>
        <w:tc>
          <w:tcPr>
            <w:tcW w:w="2188" w:type="dxa"/>
            <w:tcBorders>
              <w:top w:val="single" w:sz="8" w:space="0" w:color="auto"/>
              <w:left w:val="nil"/>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Solde au 31 décembre 2015</w:t>
            </w:r>
          </w:p>
        </w:tc>
      </w:tr>
      <w:tr w:rsidR="00CB421E" w:rsidRPr="00C258AD" w:rsidTr="00927E1F">
        <w:trPr>
          <w:cantSplit/>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333 211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(27)</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102 850</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CB421E" w:rsidRPr="00C258AD" w:rsidRDefault="00CB421E" w:rsidP="00927E1F">
            <w:pPr>
              <w:jc w:val="center"/>
              <w:rPr>
                <w:rFonts w:cs="Arial"/>
                <w:sz w:val="16"/>
                <w:szCs w:val="16"/>
              </w:rPr>
            </w:pPr>
            <w:r w:rsidRPr="00C258AD">
              <w:rPr>
                <w:rFonts w:cs="Arial"/>
                <w:sz w:val="16"/>
                <w:szCs w:val="16"/>
              </w:rPr>
              <w:noBreakHyphen/>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230 334</w:t>
            </w:r>
          </w:p>
        </w:tc>
      </w:tr>
    </w:tbl>
    <w:p w:rsidR="00CB421E" w:rsidRPr="00C258AD" w:rsidRDefault="00CB421E" w:rsidP="00CB421E">
      <w:pPr>
        <w:tabs>
          <w:tab w:val="left" w:pos="0"/>
          <w:tab w:val="left" w:pos="9071"/>
        </w:tabs>
        <w:rPr>
          <w:rFonts w:cs="Arial"/>
          <w:b/>
          <w:szCs w:val="16"/>
        </w:rPr>
      </w:pPr>
    </w:p>
    <w:p w:rsidR="00CB421E" w:rsidRPr="00C258AD" w:rsidRDefault="00CB421E" w:rsidP="00CB421E">
      <w:pPr>
        <w:tabs>
          <w:tab w:val="left" w:pos="0"/>
          <w:tab w:val="left" w:pos="9071"/>
        </w:tabs>
        <w:rPr>
          <w:rFonts w:cs="Arial"/>
          <w:b/>
          <w:szCs w:val="16"/>
        </w:rPr>
      </w:pPr>
    </w:p>
    <w:p w:rsidR="00CB421E" w:rsidRPr="00C258AD" w:rsidRDefault="00CB421E" w:rsidP="00CB421E">
      <w:pPr>
        <w:tabs>
          <w:tab w:val="left" w:pos="0"/>
          <w:tab w:val="left" w:pos="9071"/>
        </w:tabs>
        <w:rPr>
          <w:rFonts w:cs="Arial"/>
          <w:b/>
          <w:szCs w:val="16"/>
        </w:rPr>
      </w:pPr>
      <w:r w:rsidRPr="00C258AD">
        <w:rPr>
          <w:rFonts w:cs="Arial"/>
          <w:b/>
          <w:szCs w:val="16"/>
        </w:rPr>
        <w:t>BRÉSIL Sud</w:t>
      </w:r>
    </w:p>
    <w:p w:rsidR="00CB421E" w:rsidRPr="00C258AD" w:rsidRDefault="00CB421E" w:rsidP="00CB421E">
      <w:pPr>
        <w:tabs>
          <w:tab w:val="left" w:pos="0"/>
          <w:tab w:val="left" w:pos="9071"/>
        </w:tabs>
        <w:rPr>
          <w:rFonts w:cs="Arial"/>
          <w:b/>
          <w:szCs w:val="16"/>
        </w:rPr>
      </w:pPr>
    </w:p>
    <w:tbl>
      <w:tblPr>
        <w:tblW w:w="5000" w:type="pct"/>
        <w:tblInd w:w="108" w:type="dxa"/>
        <w:tblBorders>
          <w:top w:val="single" w:sz="4" w:space="0" w:color="000000"/>
          <w:left w:val="single" w:sz="4" w:space="0" w:color="000000"/>
          <w:bottom w:val="single" w:sz="4" w:space="0" w:color="000000"/>
          <w:right w:val="single" w:sz="4" w:space="0" w:color="000000"/>
        </w:tblBorders>
        <w:tblCellMar>
          <w:top w:w="113" w:type="dxa"/>
          <w:left w:w="68" w:type="dxa"/>
          <w:bottom w:w="113" w:type="dxa"/>
          <w:right w:w="68" w:type="dxa"/>
        </w:tblCellMar>
        <w:tblLook w:val="0000" w:firstRow="0" w:lastRow="0" w:firstColumn="0" w:lastColumn="0" w:noHBand="0" w:noVBand="0"/>
      </w:tblPr>
      <w:tblGrid>
        <w:gridCol w:w="1808"/>
        <w:gridCol w:w="1515"/>
        <w:gridCol w:w="2060"/>
        <w:gridCol w:w="4108"/>
      </w:tblGrid>
      <w:tr w:rsidR="00CB421E" w:rsidRPr="00C258AD" w:rsidTr="00927E1F">
        <w:trPr>
          <w:cantSplit/>
        </w:trPr>
        <w:tc>
          <w:tcPr>
            <w:tcW w:w="9356" w:type="dxa"/>
            <w:gridSpan w:val="4"/>
            <w:tcBorders>
              <w:top w:val="single" w:sz="4" w:space="0" w:color="000000"/>
              <w:bottom w:val="single" w:sz="4" w:space="0" w:color="000000"/>
            </w:tcBorders>
            <w:shd w:val="clear" w:color="auto" w:fill="C6D9F1" w:themeFill="text2" w:themeFillTint="33"/>
          </w:tcPr>
          <w:p w:rsidR="00CB421E" w:rsidRPr="00C258AD" w:rsidRDefault="00CB421E" w:rsidP="00927E1F">
            <w:pPr>
              <w:keepNext/>
              <w:keepLines/>
              <w:tabs>
                <w:tab w:val="left" w:pos="1740"/>
              </w:tabs>
              <w:ind w:left="1740" w:hanging="1740"/>
              <w:rPr>
                <w:rFonts w:cs="Arial"/>
                <w:sz w:val="16"/>
                <w:szCs w:val="16"/>
              </w:rPr>
            </w:pPr>
            <w:r w:rsidRPr="00C258AD">
              <w:rPr>
                <w:rFonts w:cs="Arial"/>
                <w:b/>
                <w:sz w:val="16"/>
                <w:szCs w:val="16"/>
              </w:rPr>
              <w:t>RÉSULTAT</w:t>
            </w:r>
            <w:r w:rsidRPr="00C258AD">
              <w:rPr>
                <w:rFonts w:cs="Arial"/>
                <w:sz w:val="16"/>
                <w:szCs w:val="16"/>
              </w:rPr>
              <w:t xml:space="preserve"> : </w:t>
            </w:r>
            <w:r w:rsidRPr="00C258AD">
              <w:rPr>
                <w:rFonts w:cs="Arial"/>
                <w:sz w:val="16"/>
                <w:szCs w:val="16"/>
              </w:rPr>
              <w:tab/>
              <w:t>III.2 Mise en valeur des ressources humaines pour répondre aux diverses exigences en matière d’utilisation efficace de la propriété intellectuelle au service du développement dans les pays en développement, les PMA et les pays en transition</w:t>
            </w:r>
          </w:p>
        </w:tc>
      </w:tr>
      <w:tr w:rsidR="00CB421E" w:rsidRPr="00C258AD" w:rsidTr="00927E1F">
        <w:trPr>
          <w:cantSplit/>
        </w:trPr>
        <w:tc>
          <w:tcPr>
            <w:tcW w:w="1843" w:type="dxa"/>
            <w:tcBorders>
              <w:top w:val="single" w:sz="4" w:space="0" w:color="000000"/>
            </w:tcBorders>
            <w:vAlign w:val="center"/>
          </w:tcPr>
          <w:p w:rsidR="00CB421E" w:rsidRPr="00C258AD" w:rsidRDefault="00CB421E" w:rsidP="00927E1F">
            <w:pPr>
              <w:keepNext/>
              <w:keepLines/>
              <w:rPr>
                <w:rFonts w:cs="Arial"/>
                <w:b/>
                <w:bCs/>
                <w:sz w:val="16"/>
                <w:szCs w:val="16"/>
              </w:rPr>
            </w:pPr>
            <w:r w:rsidRPr="00C258AD">
              <w:rPr>
                <w:b/>
                <w:sz w:val="16"/>
              </w:rPr>
              <w:t>Activité</w:t>
            </w:r>
          </w:p>
        </w:tc>
        <w:tc>
          <w:tcPr>
            <w:tcW w:w="1134" w:type="dxa"/>
            <w:tcBorders>
              <w:top w:val="single" w:sz="4" w:space="0" w:color="000000"/>
            </w:tcBorders>
            <w:vAlign w:val="center"/>
          </w:tcPr>
          <w:p w:rsidR="00CB421E" w:rsidRPr="00C258AD" w:rsidRDefault="00CB421E" w:rsidP="00927E1F">
            <w:pPr>
              <w:rPr>
                <w:rFonts w:cs="Arial"/>
                <w:sz w:val="16"/>
                <w:szCs w:val="16"/>
              </w:rPr>
            </w:pPr>
            <w:r w:rsidRPr="00C258AD">
              <w:rPr>
                <w:b/>
                <w:sz w:val="16"/>
              </w:rPr>
              <w:t>Date</w:t>
            </w:r>
          </w:p>
        </w:tc>
        <w:tc>
          <w:tcPr>
            <w:tcW w:w="2126" w:type="dxa"/>
            <w:tcBorders>
              <w:top w:val="single" w:sz="4" w:space="0" w:color="000000"/>
            </w:tcBorders>
            <w:vAlign w:val="center"/>
          </w:tcPr>
          <w:p w:rsidR="00CB421E" w:rsidRPr="00C258AD" w:rsidRDefault="00CB421E" w:rsidP="00927E1F">
            <w:pPr>
              <w:rPr>
                <w:rFonts w:cs="Arial"/>
                <w:sz w:val="16"/>
                <w:szCs w:val="16"/>
              </w:rPr>
            </w:pPr>
            <w:r w:rsidRPr="00C258AD">
              <w:rPr>
                <w:b/>
                <w:sz w:val="16"/>
              </w:rPr>
              <w:t>Pays hôte/</w:t>
            </w:r>
            <w:r w:rsidRPr="00C258AD">
              <w:br/>
            </w:r>
            <w:r w:rsidRPr="00C258AD">
              <w:rPr>
                <w:b/>
                <w:sz w:val="16"/>
              </w:rPr>
              <w:t>bénéficiaires</w:t>
            </w:r>
          </w:p>
        </w:tc>
        <w:tc>
          <w:tcPr>
            <w:tcW w:w="4253" w:type="dxa"/>
            <w:tcBorders>
              <w:top w:val="single" w:sz="4" w:space="0" w:color="000000"/>
            </w:tcBorders>
            <w:vAlign w:val="center"/>
          </w:tcPr>
          <w:p w:rsidR="00CB421E" w:rsidRPr="00C258AD" w:rsidRDefault="00CB421E" w:rsidP="00927E1F">
            <w:pPr>
              <w:rPr>
                <w:rFonts w:cs="Arial"/>
                <w:sz w:val="16"/>
                <w:szCs w:val="16"/>
              </w:rPr>
            </w:pPr>
            <w:r w:rsidRPr="00C258AD">
              <w:rPr>
                <w:b/>
                <w:sz w:val="16"/>
              </w:rPr>
              <w:t>Objectif(s)/description(s)</w:t>
            </w:r>
          </w:p>
        </w:tc>
      </w:tr>
      <w:tr w:rsidR="00CB421E" w:rsidRPr="00C258AD" w:rsidTr="00927E1F">
        <w:trPr>
          <w:cantSplit/>
        </w:trPr>
        <w:tc>
          <w:tcPr>
            <w:tcW w:w="184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Deuxième atelier régional sur la propriété intellectuelle et le transfert de technologie </w:t>
            </w:r>
          </w:p>
        </w:tc>
        <w:tc>
          <w:tcPr>
            <w:tcW w:w="1134"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7 – 8 mai 2015</w:t>
            </w:r>
          </w:p>
        </w:tc>
        <w:tc>
          <w:tcPr>
            <w:tcW w:w="2126" w:type="dxa"/>
          </w:tcPr>
          <w:p w:rsidR="00CB421E" w:rsidRPr="00C258AD" w:rsidRDefault="00CB421E" w:rsidP="00927E1F">
            <w:pPr>
              <w:autoSpaceDE w:val="0"/>
              <w:autoSpaceDN w:val="0"/>
              <w:adjustRightInd w:val="0"/>
              <w:rPr>
                <w:rFonts w:cs="Arial"/>
                <w:sz w:val="16"/>
                <w:szCs w:val="16"/>
              </w:rPr>
            </w:pPr>
            <w:r w:rsidRPr="00C258AD">
              <w:rPr>
                <w:sz w:val="16"/>
                <w:szCs w:val="16"/>
              </w:rPr>
              <w:t>Pérou</w:t>
            </w:r>
            <w:r w:rsidRPr="00C258AD">
              <w:rPr>
                <w:rFonts w:cs="Arial"/>
                <w:sz w:val="16"/>
                <w:szCs w:val="16"/>
              </w:rPr>
              <w:t xml:space="preserve">/ </w:t>
            </w:r>
            <w:r w:rsidRPr="00C258AD">
              <w:rPr>
                <w:sz w:val="16"/>
                <w:szCs w:val="16"/>
              </w:rPr>
              <w:t xml:space="preserve">Costa Rica, Équateur, Mexique, Pérou, République dominicaine et </w:t>
            </w:r>
            <w:r w:rsidRPr="00C258AD">
              <w:rPr>
                <w:rFonts w:cs="Arial"/>
                <w:sz w:val="16"/>
                <w:szCs w:val="16"/>
              </w:rPr>
              <w:t>Uruguay</w:t>
            </w:r>
          </w:p>
        </w:tc>
        <w:tc>
          <w:tcPr>
            <w:tcW w:w="425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Débattre : i) de la structure des stratégies nationales et institutionnelles de propriété intellectuelle;  ii) de l’établissement d’offices de transfert de technologie;  et iii) de modèles stratégiques pour encourager l’innovation.</w:t>
            </w:r>
          </w:p>
        </w:tc>
      </w:tr>
      <w:tr w:rsidR="00CB421E" w:rsidRPr="00C258AD" w:rsidTr="00927E1F">
        <w:trPr>
          <w:cantSplit/>
        </w:trPr>
        <w:tc>
          <w:tcPr>
            <w:tcW w:w="184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Atelier régional sur les outils libres pour l’analyse des brevets</w:t>
            </w:r>
          </w:p>
        </w:tc>
        <w:tc>
          <w:tcPr>
            <w:tcW w:w="1134"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27 – 28 août 2015</w:t>
            </w:r>
          </w:p>
        </w:tc>
        <w:tc>
          <w:tcPr>
            <w:tcW w:w="2126" w:type="dxa"/>
          </w:tcPr>
          <w:p w:rsidR="00CB421E" w:rsidRPr="00C258AD" w:rsidRDefault="00CB421E" w:rsidP="00927E1F">
            <w:pPr>
              <w:autoSpaceDE w:val="0"/>
              <w:autoSpaceDN w:val="0"/>
              <w:adjustRightInd w:val="0"/>
              <w:rPr>
                <w:rFonts w:cs="Arial"/>
                <w:sz w:val="16"/>
                <w:szCs w:val="16"/>
              </w:rPr>
            </w:pPr>
            <w:r w:rsidRPr="00C258AD">
              <w:rPr>
                <w:sz w:val="16"/>
                <w:szCs w:val="16"/>
              </w:rPr>
              <w:t>Brésil</w:t>
            </w:r>
            <w:r w:rsidRPr="00C258AD">
              <w:rPr>
                <w:rFonts w:cs="Arial"/>
                <w:sz w:val="16"/>
                <w:szCs w:val="16"/>
              </w:rPr>
              <w:t xml:space="preserve">/ </w:t>
            </w:r>
            <w:r w:rsidRPr="00C258AD">
              <w:rPr>
                <w:sz w:val="16"/>
                <w:szCs w:val="16"/>
              </w:rPr>
              <w:t xml:space="preserve">Chili, Colombie, Mexique et </w:t>
            </w:r>
            <w:r w:rsidRPr="00C258AD">
              <w:rPr>
                <w:rFonts w:cs="Arial"/>
                <w:sz w:val="16"/>
                <w:szCs w:val="16"/>
              </w:rPr>
              <w:t>Uruguay</w:t>
            </w:r>
          </w:p>
        </w:tc>
        <w:tc>
          <w:tcPr>
            <w:tcW w:w="425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i) Compléter la formation dispensée durant l’atelier régional sur l’analyse des brevets qui s’est déroulé en août 2013 à Rio de Janeiro (Brésil);  et ii) servir de plateforme de discussion et de retour d’information sur le manuel relatif aux outils libres d’analyse des brevets qui est actuellement en préparation.</w:t>
            </w:r>
          </w:p>
        </w:tc>
      </w:tr>
      <w:tr w:rsidR="00CB421E" w:rsidRPr="00C258AD" w:rsidTr="00927E1F">
        <w:trPr>
          <w:cantSplit/>
        </w:trPr>
        <w:tc>
          <w:tcPr>
            <w:tcW w:w="184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Troisième atelier régional sur la propriété intellectuelle et le transfert de technologie</w:t>
            </w:r>
          </w:p>
        </w:tc>
        <w:tc>
          <w:tcPr>
            <w:tcW w:w="1134"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18 – 20 novembre 2015</w:t>
            </w:r>
          </w:p>
        </w:tc>
        <w:tc>
          <w:tcPr>
            <w:tcW w:w="2126" w:type="dxa"/>
          </w:tcPr>
          <w:p w:rsidR="00CB421E" w:rsidRPr="00C258AD" w:rsidRDefault="00CB421E" w:rsidP="00927E1F">
            <w:pPr>
              <w:autoSpaceDE w:val="0"/>
              <w:autoSpaceDN w:val="0"/>
              <w:adjustRightInd w:val="0"/>
              <w:rPr>
                <w:rFonts w:cs="Arial"/>
                <w:sz w:val="16"/>
                <w:szCs w:val="16"/>
              </w:rPr>
            </w:pPr>
            <w:r w:rsidRPr="00C258AD">
              <w:rPr>
                <w:sz w:val="16"/>
                <w:szCs w:val="16"/>
              </w:rPr>
              <w:t>Mexique</w:t>
            </w:r>
            <w:r w:rsidRPr="00C258AD">
              <w:rPr>
                <w:rFonts w:cs="Arial"/>
                <w:sz w:val="16"/>
                <w:szCs w:val="16"/>
              </w:rPr>
              <w:t xml:space="preserve">/ </w:t>
            </w:r>
            <w:r w:rsidRPr="00C258AD">
              <w:rPr>
                <w:sz w:val="16"/>
                <w:szCs w:val="16"/>
              </w:rPr>
              <w:t xml:space="preserve">Colombie, </w:t>
            </w:r>
            <w:r w:rsidRPr="00C258AD">
              <w:rPr>
                <w:rFonts w:cs="Arial"/>
                <w:sz w:val="16"/>
                <w:szCs w:val="16"/>
              </w:rPr>
              <w:t>Cuba</w:t>
            </w:r>
            <w:r w:rsidRPr="00C258AD">
              <w:rPr>
                <w:sz w:val="16"/>
                <w:szCs w:val="16"/>
              </w:rPr>
              <w:t>, El Salvador, Mexique et Pérou</w:t>
            </w:r>
          </w:p>
        </w:tc>
        <w:tc>
          <w:tcPr>
            <w:tcW w:w="425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Débattre : i) de l’établissement de politiques relatives au transfert de technologie;  et ii) des aspects pratiques actuels concernant la négociation et la rédaction des accords de technologie.</w:t>
            </w:r>
          </w:p>
        </w:tc>
      </w:tr>
      <w:tr w:rsidR="00CB421E" w:rsidRPr="00C258AD" w:rsidTr="00927E1F">
        <w:trPr>
          <w:cantSplit/>
        </w:trPr>
        <w:tc>
          <w:tcPr>
            <w:tcW w:w="184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Trente</w:t>
            </w:r>
            <w:r w:rsidRPr="00C258AD">
              <w:rPr>
                <w:rFonts w:cs="Arial"/>
                <w:color w:val="000000"/>
                <w:sz w:val="16"/>
                <w:szCs w:val="22"/>
              </w:rPr>
              <w:noBreakHyphen/>
              <w:t>troisième</w:t>
            </w:r>
            <w:r w:rsidRPr="00C258AD">
              <w:rPr>
                <w:rFonts w:cs="Arial"/>
                <w:sz w:val="16"/>
                <w:szCs w:val="16"/>
              </w:rPr>
              <w:t xml:space="preserve"> séminaire pour les offices de propriété intellectuelle des pays d’Amérique latine</w:t>
            </w:r>
          </w:p>
        </w:tc>
        <w:tc>
          <w:tcPr>
            <w:tcW w:w="1134" w:type="dxa"/>
          </w:tcPr>
          <w:p w:rsidR="00CB421E" w:rsidRPr="00C258AD" w:rsidRDefault="00CB421E" w:rsidP="00927E1F">
            <w:pPr>
              <w:rPr>
                <w:rFonts w:cs="Arial"/>
                <w:sz w:val="16"/>
                <w:szCs w:val="16"/>
              </w:rPr>
            </w:pPr>
            <w:r w:rsidRPr="00C258AD">
              <w:rPr>
                <w:rFonts w:cs="Arial"/>
                <w:sz w:val="16"/>
                <w:szCs w:val="16"/>
              </w:rPr>
              <w:t>31 août – 3 septembre 2015</w:t>
            </w:r>
          </w:p>
        </w:tc>
        <w:tc>
          <w:tcPr>
            <w:tcW w:w="2126"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Brésil/ Argentine, Bolivie, Chili, Colombie, Costa Rica, Cuba, Équateur, El Salvador, Guatemala, Honduras, Mexique, Nicaragua, Panama, Paraguay, Pérou, République dominicaine, Uruguay et Venezuela (République bolivarienne du) </w:t>
            </w:r>
          </w:p>
        </w:tc>
        <w:tc>
          <w:tcPr>
            <w:tcW w:w="425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Promouvoir l’échange de données d’expérience entre les fonctionnaires des offices nationaux de propriété intellectuelle sur certains thèmes, en mettant notamment l’accent sur la coopération internationale en matière de propriété intellectuelle.  </w:t>
            </w:r>
          </w:p>
        </w:tc>
      </w:tr>
      <w:tr w:rsidR="00CB421E" w:rsidRPr="00C258AD" w:rsidTr="00927E1F">
        <w:trPr>
          <w:cantSplit/>
        </w:trPr>
        <w:tc>
          <w:tcPr>
            <w:tcW w:w="184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lastRenderedPageBreak/>
              <w:t>Présentation régionale de l’Indice mondial de l’innovation (GII) 2015</w:t>
            </w:r>
          </w:p>
        </w:tc>
        <w:tc>
          <w:tcPr>
            <w:tcW w:w="1134" w:type="dxa"/>
          </w:tcPr>
          <w:p w:rsidR="00CB421E" w:rsidRPr="00C258AD" w:rsidRDefault="00CB421E" w:rsidP="00927E1F">
            <w:pPr>
              <w:rPr>
                <w:rFonts w:cs="Arial"/>
                <w:sz w:val="16"/>
                <w:szCs w:val="16"/>
              </w:rPr>
            </w:pPr>
            <w:r w:rsidRPr="00C258AD">
              <w:rPr>
                <w:rFonts w:cs="Arial"/>
                <w:sz w:val="16"/>
                <w:szCs w:val="16"/>
              </w:rPr>
              <w:t>30 septembre 2015</w:t>
            </w:r>
          </w:p>
        </w:tc>
        <w:tc>
          <w:tcPr>
            <w:tcW w:w="2126" w:type="dxa"/>
          </w:tcPr>
          <w:p w:rsidR="00CB421E" w:rsidRPr="00C258AD" w:rsidRDefault="00CB421E" w:rsidP="00927E1F">
            <w:pPr>
              <w:autoSpaceDE w:val="0"/>
              <w:autoSpaceDN w:val="0"/>
              <w:adjustRightInd w:val="0"/>
              <w:rPr>
                <w:rFonts w:cs="Arial"/>
                <w:sz w:val="16"/>
                <w:szCs w:val="16"/>
              </w:rPr>
            </w:pPr>
            <w:r w:rsidRPr="00C258AD">
              <w:rPr>
                <w:sz w:val="16"/>
                <w:szCs w:val="16"/>
              </w:rPr>
              <w:t>Brésil</w:t>
            </w:r>
            <w:r w:rsidRPr="00C258AD">
              <w:rPr>
                <w:rFonts w:cs="Arial"/>
                <w:sz w:val="16"/>
                <w:szCs w:val="16"/>
              </w:rPr>
              <w:t xml:space="preserve">/ </w:t>
            </w:r>
            <w:r w:rsidRPr="00C258AD">
              <w:rPr>
                <w:sz w:val="16"/>
                <w:szCs w:val="16"/>
              </w:rPr>
              <w:t>Chili, Colombie, Costa Rica et Mexique</w:t>
            </w:r>
          </w:p>
        </w:tc>
        <w:tc>
          <w:tcPr>
            <w:tcW w:w="425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i) Faire la promotion de l’édition 2015 de l’Indice mondial de l’innovation dans la région Amérique latine;  et ii) rassembler des experts et des représentants du gouvernement et des secteurs de l’industrie pour mener des débats sur des questions liées à l’économie de l’innovation.  </w:t>
            </w:r>
          </w:p>
        </w:tc>
      </w:tr>
      <w:tr w:rsidR="00CB421E" w:rsidRPr="00C258AD" w:rsidTr="00927E1F">
        <w:trPr>
          <w:cantSplit/>
        </w:trPr>
        <w:tc>
          <w:tcPr>
            <w:tcW w:w="184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Programme régional de formation intermédiaire sur l’examen des brevets à l’intention des pays d’Amérique latine</w:t>
            </w:r>
          </w:p>
        </w:tc>
        <w:tc>
          <w:tcPr>
            <w:tcW w:w="1134" w:type="dxa"/>
          </w:tcPr>
          <w:p w:rsidR="00CB421E" w:rsidRPr="00C258AD" w:rsidRDefault="00CB421E" w:rsidP="00927E1F">
            <w:pPr>
              <w:rPr>
                <w:rFonts w:cs="Arial"/>
                <w:sz w:val="16"/>
                <w:szCs w:val="16"/>
              </w:rPr>
            </w:pPr>
            <w:r w:rsidRPr="00C258AD">
              <w:rPr>
                <w:rFonts w:cs="Arial"/>
                <w:sz w:val="16"/>
                <w:szCs w:val="16"/>
              </w:rPr>
              <w:t>23 novembre – 4 décembre 2015</w:t>
            </w:r>
          </w:p>
        </w:tc>
        <w:tc>
          <w:tcPr>
            <w:tcW w:w="2126"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Brésil/ Argentine, Bolivie, Colombie, Costa Rica, Cuba, Équateur, El Salvador, Guatemala, Honduras, Mexique, Nicaragua, Panama, Paraguay, Pérou, République dominicaine et Uruguay</w:t>
            </w:r>
          </w:p>
        </w:tc>
        <w:tc>
          <w:tcPr>
            <w:tcW w:w="425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Améliorer les capacités en matière d’examen des brevets dans les pays d’Amérique latine.</w:t>
            </w:r>
          </w:p>
        </w:tc>
      </w:tr>
      <w:tr w:rsidR="00CB421E" w:rsidRPr="00C258AD" w:rsidTr="00927E1F">
        <w:trPr>
          <w:cantSplit/>
        </w:trPr>
        <w:tc>
          <w:tcPr>
            <w:tcW w:w="184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Atelier régional avancé sur la concession réussie de licences de technologie</w:t>
            </w:r>
          </w:p>
        </w:tc>
        <w:tc>
          <w:tcPr>
            <w:tcW w:w="1134" w:type="dxa"/>
          </w:tcPr>
          <w:p w:rsidR="00CB421E" w:rsidRPr="00C258AD" w:rsidRDefault="00CB421E" w:rsidP="00927E1F">
            <w:pPr>
              <w:rPr>
                <w:rFonts w:cs="Arial"/>
                <w:sz w:val="16"/>
                <w:szCs w:val="16"/>
              </w:rPr>
            </w:pPr>
            <w:r w:rsidRPr="00C258AD">
              <w:rPr>
                <w:rFonts w:cs="Arial"/>
                <w:sz w:val="16"/>
                <w:szCs w:val="16"/>
              </w:rPr>
              <w:t>7 – 11 décembre</w:t>
            </w:r>
          </w:p>
        </w:tc>
        <w:tc>
          <w:tcPr>
            <w:tcW w:w="2126"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Brésil/ Cuba, Pérou et Uruguay</w:t>
            </w:r>
          </w:p>
        </w:tc>
        <w:tc>
          <w:tcPr>
            <w:tcW w:w="4253" w:type="dxa"/>
          </w:tcPr>
          <w:p w:rsidR="00CB421E" w:rsidRPr="00C258AD" w:rsidRDefault="00CB421E" w:rsidP="00927E1F">
            <w:pPr>
              <w:autoSpaceDE w:val="0"/>
              <w:autoSpaceDN w:val="0"/>
              <w:adjustRightInd w:val="0"/>
              <w:rPr>
                <w:rFonts w:cs="Arial"/>
                <w:sz w:val="16"/>
                <w:szCs w:val="16"/>
              </w:rPr>
            </w:pPr>
            <w:r w:rsidRPr="00C258AD">
              <w:rPr>
                <w:rFonts w:cs="Arial"/>
                <w:sz w:val="16"/>
                <w:szCs w:val="16"/>
              </w:rPr>
              <w:t>Actualiser les connaissances des directeurs techniques, des spécialistes de l’innovation commerciale et des juristes issus d’établissements universitaires et de l’industrie concernant : i) la commercialisation de la propriété intellectuelle, en accordant une attention particulière à la commercialisation de la propriété intellectuelle et à l’évaluation de la technologie;  et ii) les négociations et l’élaboration des contrats de licence.</w:t>
            </w:r>
          </w:p>
        </w:tc>
      </w:tr>
    </w:tbl>
    <w:p w:rsidR="00CB421E" w:rsidRPr="00C258AD" w:rsidRDefault="00CB421E" w:rsidP="00CB421E">
      <w:pPr>
        <w:tabs>
          <w:tab w:val="left" w:pos="0"/>
          <w:tab w:val="left" w:pos="9071"/>
        </w:tabs>
        <w:rPr>
          <w:rFonts w:cs="Arial"/>
          <w:b/>
          <w:szCs w:val="16"/>
        </w:rPr>
      </w:pPr>
    </w:p>
    <w:p w:rsidR="00CB421E" w:rsidRPr="00C258AD" w:rsidRDefault="00CB421E" w:rsidP="00CB421E">
      <w:pPr>
        <w:tabs>
          <w:tab w:val="left" w:pos="0"/>
          <w:tab w:val="left" w:pos="9071"/>
        </w:tabs>
        <w:rPr>
          <w:rFonts w:cs="Arial"/>
          <w:b/>
          <w:szCs w:val="16"/>
        </w:rPr>
      </w:pPr>
    </w:p>
    <w:p w:rsidR="00CB421E" w:rsidRPr="00C258AD" w:rsidRDefault="00CB421E" w:rsidP="00CB421E">
      <w:pPr>
        <w:rPr>
          <w:rFonts w:cs="Arial"/>
          <w:b/>
          <w:bCs/>
          <w:szCs w:val="20"/>
        </w:rPr>
      </w:pPr>
      <w:r w:rsidRPr="00C258AD">
        <w:rPr>
          <w:rFonts w:cs="Arial"/>
          <w:b/>
          <w:bCs/>
          <w:szCs w:val="20"/>
        </w:rPr>
        <w:t>BRÉSIL Sud – Contributions des donateurs et dépenses en 2015</w:t>
      </w:r>
    </w:p>
    <w:p w:rsidR="00CB421E" w:rsidRPr="00C258AD" w:rsidRDefault="00CB421E" w:rsidP="00CB421E">
      <w:pPr>
        <w:rPr>
          <w:rFonts w:cs="Arial"/>
          <w:szCs w:val="16"/>
        </w:rPr>
      </w:pPr>
    </w:p>
    <w:tbl>
      <w:tblPr>
        <w:tblW w:w="5000" w:type="pct"/>
        <w:tblInd w:w="98" w:type="dxa"/>
        <w:tblCellMar>
          <w:top w:w="113" w:type="dxa"/>
          <w:left w:w="68" w:type="dxa"/>
          <w:bottom w:w="113" w:type="dxa"/>
          <w:right w:w="68" w:type="dxa"/>
        </w:tblCellMar>
        <w:tblLook w:val="04A0" w:firstRow="1" w:lastRow="0" w:firstColumn="1" w:lastColumn="0" w:noHBand="0" w:noVBand="1"/>
      </w:tblPr>
      <w:tblGrid>
        <w:gridCol w:w="2067"/>
        <w:gridCol w:w="1662"/>
        <w:gridCol w:w="1885"/>
        <w:gridCol w:w="1866"/>
        <w:gridCol w:w="2011"/>
      </w:tblGrid>
      <w:tr w:rsidR="00CB421E" w:rsidRPr="00C258AD" w:rsidTr="00927E1F">
        <w:trPr>
          <w:cantSplit/>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Solde au 31 décembre 2014</w:t>
            </w:r>
          </w:p>
        </w:tc>
        <w:tc>
          <w:tcPr>
            <w:tcW w:w="1640" w:type="dxa"/>
            <w:tcBorders>
              <w:top w:val="single" w:sz="8" w:space="0" w:color="auto"/>
              <w:left w:val="nil"/>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Recettes 2015</w:t>
            </w:r>
          </w:p>
        </w:tc>
        <w:tc>
          <w:tcPr>
            <w:tcW w:w="1860" w:type="dxa"/>
            <w:tcBorders>
              <w:top w:val="single" w:sz="8" w:space="0" w:color="auto"/>
              <w:left w:val="nil"/>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Dépenses 2015</w:t>
            </w:r>
          </w:p>
        </w:tc>
        <w:tc>
          <w:tcPr>
            <w:tcW w:w="1841" w:type="dxa"/>
            <w:tcBorders>
              <w:top w:val="single" w:sz="8" w:space="0" w:color="auto"/>
              <w:left w:val="nil"/>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Remboursements</w:t>
            </w:r>
          </w:p>
        </w:tc>
        <w:tc>
          <w:tcPr>
            <w:tcW w:w="1985" w:type="dxa"/>
            <w:tcBorders>
              <w:top w:val="single" w:sz="8" w:space="0" w:color="auto"/>
              <w:left w:val="nil"/>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Solde au 31 décembre 2015</w:t>
            </w:r>
          </w:p>
        </w:tc>
      </w:tr>
      <w:tr w:rsidR="00CB421E" w:rsidRPr="00C258AD" w:rsidTr="00927E1F">
        <w:trPr>
          <w:cantSplit/>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384 809</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(17)</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146 478</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CB421E" w:rsidRPr="00C258AD" w:rsidRDefault="00CB421E" w:rsidP="00927E1F">
            <w:pPr>
              <w:jc w:val="center"/>
              <w:rPr>
                <w:rFonts w:cs="Arial"/>
                <w:sz w:val="16"/>
                <w:szCs w:val="16"/>
              </w:rPr>
            </w:pPr>
            <w:r w:rsidRPr="00C258AD">
              <w:rPr>
                <w:rFonts w:cs="Arial"/>
                <w:sz w:val="16"/>
                <w:szCs w:val="16"/>
              </w:rPr>
              <w:noBreakHyphen/>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238 315</w:t>
            </w:r>
          </w:p>
        </w:tc>
      </w:tr>
    </w:tbl>
    <w:p w:rsidR="00CB421E" w:rsidRPr="00C258AD" w:rsidRDefault="00CB421E" w:rsidP="00CB421E">
      <w:pPr>
        <w:rPr>
          <w:rFonts w:cs="Arial"/>
          <w:b/>
          <w:sz w:val="18"/>
          <w:szCs w:val="16"/>
        </w:rPr>
      </w:pPr>
    </w:p>
    <w:p w:rsidR="00CB421E" w:rsidRPr="00C258AD" w:rsidRDefault="00CB421E" w:rsidP="00CB421E">
      <w:pPr>
        <w:rPr>
          <w:rFonts w:cs="Arial"/>
          <w:b/>
          <w:sz w:val="18"/>
          <w:szCs w:val="16"/>
        </w:rPr>
      </w:pPr>
    </w:p>
    <w:p w:rsidR="00CB421E" w:rsidRPr="00C258AD" w:rsidRDefault="00CB421E" w:rsidP="00CB421E">
      <w:pPr>
        <w:keepNext/>
        <w:keepLines/>
        <w:rPr>
          <w:rFonts w:cs="Arial"/>
          <w:szCs w:val="16"/>
        </w:rPr>
      </w:pPr>
      <w:r w:rsidRPr="00C258AD">
        <w:rPr>
          <w:rFonts w:cs="Arial"/>
          <w:b/>
          <w:szCs w:val="16"/>
        </w:rPr>
        <w:t>Brésil PNUD</w:t>
      </w:r>
      <w:r w:rsidRPr="00C258AD">
        <w:rPr>
          <w:rStyle w:val="FootnoteReference"/>
          <w:rFonts w:eastAsia="SimSun"/>
          <w:b/>
          <w:szCs w:val="16"/>
        </w:rPr>
        <w:footnoteReference w:id="152"/>
      </w:r>
    </w:p>
    <w:p w:rsidR="00CB421E" w:rsidRPr="00C258AD" w:rsidRDefault="00CB421E" w:rsidP="00CB421E">
      <w:pPr>
        <w:keepNext/>
        <w:keepLines/>
        <w:rPr>
          <w:rFonts w:cs="Arial"/>
          <w:szCs w:val="16"/>
        </w:rPr>
      </w:pPr>
    </w:p>
    <w:tbl>
      <w:tblPr>
        <w:tblW w:w="5000" w:type="pct"/>
        <w:tblInd w:w="108" w:type="dxa"/>
        <w:tblBorders>
          <w:top w:val="single" w:sz="4" w:space="0" w:color="000000"/>
          <w:left w:val="single" w:sz="4" w:space="0" w:color="000000"/>
          <w:bottom w:val="single" w:sz="4" w:space="0" w:color="000000"/>
          <w:right w:val="single" w:sz="4" w:space="0" w:color="000000"/>
        </w:tblBorders>
        <w:tblCellMar>
          <w:top w:w="113" w:type="dxa"/>
          <w:left w:w="68" w:type="dxa"/>
          <w:bottom w:w="113" w:type="dxa"/>
          <w:right w:w="68" w:type="dxa"/>
        </w:tblCellMar>
        <w:tblLook w:val="04A0" w:firstRow="1" w:lastRow="0" w:firstColumn="1" w:lastColumn="0" w:noHBand="0" w:noVBand="1"/>
      </w:tblPr>
      <w:tblGrid>
        <w:gridCol w:w="1838"/>
        <w:gridCol w:w="1293"/>
        <w:gridCol w:w="1979"/>
        <w:gridCol w:w="4381"/>
      </w:tblGrid>
      <w:tr w:rsidR="00CB421E" w:rsidRPr="00C258AD" w:rsidTr="00927E1F">
        <w:trPr>
          <w:cantSplit/>
        </w:trPr>
        <w:tc>
          <w:tcPr>
            <w:tcW w:w="9356" w:type="dxa"/>
            <w:gridSpan w:val="4"/>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rsidR="00CB421E" w:rsidRPr="00C258AD" w:rsidRDefault="00CB421E" w:rsidP="00927E1F">
            <w:pPr>
              <w:keepNext/>
              <w:keepLines/>
              <w:tabs>
                <w:tab w:val="left" w:pos="1740"/>
              </w:tabs>
              <w:ind w:left="1740" w:hanging="1740"/>
              <w:rPr>
                <w:rFonts w:cs="Arial"/>
                <w:sz w:val="16"/>
                <w:szCs w:val="16"/>
              </w:rPr>
            </w:pPr>
            <w:r w:rsidRPr="00C258AD">
              <w:rPr>
                <w:rFonts w:cs="Arial"/>
                <w:b/>
                <w:sz w:val="16"/>
                <w:szCs w:val="16"/>
              </w:rPr>
              <w:t>RÉSULTAT</w:t>
            </w:r>
            <w:r w:rsidRPr="00C258AD">
              <w:rPr>
                <w:rFonts w:cs="Arial"/>
                <w:sz w:val="16"/>
                <w:szCs w:val="16"/>
              </w:rPr>
              <w:t xml:space="preserve"> : </w:t>
            </w:r>
            <w:r w:rsidRPr="00C258AD">
              <w:rPr>
                <w:rFonts w:cs="Arial"/>
                <w:sz w:val="16"/>
                <w:szCs w:val="16"/>
              </w:rPr>
              <w:tab/>
              <w:t>III.2 Mise en valeur des ressources humaines pour répondre aux diverses exigences en matière d’utilisation efficace de la propriété intellectuelle au service du développement dans les pays en développement, les PMA et les pays en transition</w:t>
            </w:r>
          </w:p>
        </w:tc>
      </w:tr>
      <w:tr w:rsidR="00CB421E" w:rsidRPr="00C258AD" w:rsidTr="00927E1F">
        <w:trPr>
          <w:cantSplit/>
        </w:trPr>
        <w:tc>
          <w:tcPr>
            <w:tcW w:w="1842" w:type="dxa"/>
            <w:tcBorders>
              <w:top w:val="single" w:sz="4" w:space="0" w:color="000000"/>
              <w:left w:val="single" w:sz="4" w:space="0" w:color="000000"/>
              <w:bottom w:val="nil"/>
              <w:right w:val="nil"/>
            </w:tcBorders>
            <w:vAlign w:val="center"/>
            <w:hideMark/>
          </w:tcPr>
          <w:p w:rsidR="00CB421E" w:rsidRPr="00C258AD" w:rsidRDefault="00CB421E" w:rsidP="00927E1F">
            <w:pPr>
              <w:keepNext/>
              <w:keepLines/>
              <w:rPr>
                <w:rFonts w:cs="Arial"/>
                <w:b/>
                <w:bCs/>
                <w:sz w:val="16"/>
                <w:szCs w:val="16"/>
              </w:rPr>
            </w:pPr>
            <w:r w:rsidRPr="00C258AD">
              <w:rPr>
                <w:b/>
                <w:sz w:val="16"/>
              </w:rPr>
              <w:t>Activité</w:t>
            </w:r>
          </w:p>
        </w:tc>
        <w:tc>
          <w:tcPr>
            <w:tcW w:w="1134" w:type="dxa"/>
            <w:tcBorders>
              <w:top w:val="single" w:sz="4" w:space="0" w:color="000000"/>
              <w:left w:val="nil"/>
              <w:bottom w:val="nil"/>
              <w:right w:val="nil"/>
            </w:tcBorders>
            <w:vAlign w:val="center"/>
            <w:hideMark/>
          </w:tcPr>
          <w:p w:rsidR="00CB421E" w:rsidRPr="00C258AD" w:rsidRDefault="00CB421E" w:rsidP="00927E1F">
            <w:pPr>
              <w:keepNext/>
              <w:keepLines/>
              <w:rPr>
                <w:rFonts w:cs="Arial"/>
                <w:sz w:val="16"/>
                <w:szCs w:val="16"/>
              </w:rPr>
            </w:pPr>
            <w:r w:rsidRPr="00C258AD">
              <w:rPr>
                <w:b/>
                <w:sz w:val="16"/>
              </w:rPr>
              <w:t>Date</w:t>
            </w:r>
          </w:p>
        </w:tc>
        <w:tc>
          <w:tcPr>
            <w:tcW w:w="1984" w:type="dxa"/>
            <w:tcBorders>
              <w:top w:val="single" w:sz="4" w:space="0" w:color="000000"/>
              <w:left w:val="nil"/>
              <w:bottom w:val="nil"/>
              <w:right w:val="nil"/>
            </w:tcBorders>
            <w:vAlign w:val="center"/>
            <w:hideMark/>
          </w:tcPr>
          <w:p w:rsidR="00CB421E" w:rsidRPr="00C258AD" w:rsidRDefault="00CB421E" w:rsidP="00927E1F">
            <w:pPr>
              <w:keepNext/>
              <w:keepLines/>
              <w:rPr>
                <w:rFonts w:cs="Arial"/>
                <w:sz w:val="16"/>
                <w:szCs w:val="16"/>
              </w:rPr>
            </w:pPr>
            <w:r w:rsidRPr="00C258AD">
              <w:rPr>
                <w:b/>
                <w:sz w:val="16"/>
              </w:rPr>
              <w:t>Pays hôte/</w:t>
            </w:r>
            <w:r w:rsidRPr="00C258AD">
              <w:br/>
            </w:r>
            <w:r w:rsidRPr="00C258AD">
              <w:rPr>
                <w:b/>
                <w:sz w:val="16"/>
              </w:rPr>
              <w:t>bénéficiaires</w:t>
            </w:r>
          </w:p>
        </w:tc>
        <w:tc>
          <w:tcPr>
            <w:tcW w:w="4396" w:type="dxa"/>
            <w:tcBorders>
              <w:top w:val="single" w:sz="4" w:space="0" w:color="000000"/>
              <w:left w:val="nil"/>
              <w:bottom w:val="nil"/>
              <w:right w:val="single" w:sz="4" w:space="0" w:color="000000"/>
            </w:tcBorders>
            <w:vAlign w:val="center"/>
            <w:hideMark/>
          </w:tcPr>
          <w:p w:rsidR="00CB421E" w:rsidRPr="00C258AD" w:rsidRDefault="00CB421E" w:rsidP="00927E1F">
            <w:pPr>
              <w:keepNext/>
              <w:keepLines/>
              <w:rPr>
                <w:rFonts w:cs="Arial"/>
                <w:sz w:val="16"/>
                <w:szCs w:val="16"/>
              </w:rPr>
            </w:pPr>
            <w:r w:rsidRPr="00C258AD">
              <w:rPr>
                <w:b/>
                <w:sz w:val="16"/>
              </w:rPr>
              <w:t>Objectif(s)/description(s)</w:t>
            </w:r>
          </w:p>
        </w:tc>
      </w:tr>
      <w:tr w:rsidR="00CB421E" w:rsidRPr="00C258AD" w:rsidTr="00927E1F">
        <w:trPr>
          <w:cantSplit/>
        </w:trPr>
        <w:tc>
          <w:tcPr>
            <w:tcW w:w="1842" w:type="dxa"/>
            <w:tcBorders>
              <w:top w:val="nil"/>
              <w:left w:val="single" w:sz="4" w:space="0" w:color="000000"/>
              <w:bottom w:val="single" w:sz="4" w:space="0" w:color="auto"/>
              <w:right w:val="nil"/>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Programme de formation à l’intention des négociateurs dans le domaine du développement technologique </w:t>
            </w:r>
          </w:p>
        </w:tc>
        <w:tc>
          <w:tcPr>
            <w:tcW w:w="1134" w:type="dxa"/>
            <w:tcBorders>
              <w:top w:val="nil"/>
              <w:left w:val="nil"/>
              <w:bottom w:val="single" w:sz="4" w:space="0" w:color="auto"/>
              <w:right w:val="nil"/>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19 – 30 octobre 2015</w:t>
            </w:r>
          </w:p>
        </w:tc>
        <w:tc>
          <w:tcPr>
            <w:tcW w:w="1984" w:type="dxa"/>
            <w:tcBorders>
              <w:top w:val="nil"/>
              <w:left w:val="nil"/>
              <w:bottom w:val="single" w:sz="4" w:space="0" w:color="auto"/>
              <w:right w:val="nil"/>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Brésil</w:t>
            </w:r>
          </w:p>
        </w:tc>
        <w:tc>
          <w:tcPr>
            <w:tcW w:w="4396" w:type="dxa"/>
            <w:tcBorders>
              <w:top w:val="nil"/>
              <w:left w:val="nil"/>
              <w:bottom w:val="single" w:sz="4" w:space="0" w:color="auto"/>
              <w:right w:val="single" w:sz="4" w:space="0" w:color="000000"/>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Promouvoir la formation de 28 professionnels dans le domaine de la gestion et de la négociation des processus de collaboration, en mettant l’accent en particulier sur les dispositions de propriété intellectuelle pour l’établissement d’accords dans le domaine du développement technologique.</w:t>
            </w:r>
          </w:p>
        </w:tc>
      </w:tr>
    </w:tbl>
    <w:p w:rsidR="00CB421E" w:rsidRPr="00C258AD" w:rsidRDefault="00CB421E" w:rsidP="00CB421E">
      <w:pPr>
        <w:rPr>
          <w:rFonts w:cs="Arial"/>
          <w:sz w:val="18"/>
          <w:szCs w:val="16"/>
        </w:rPr>
      </w:pPr>
    </w:p>
    <w:p w:rsidR="00CB421E" w:rsidRPr="00C258AD" w:rsidRDefault="00CB421E" w:rsidP="00CB421E">
      <w:pPr>
        <w:rPr>
          <w:rFonts w:cs="Arial"/>
          <w:sz w:val="18"/>
          <w:szCs w:val="16"/>
        </w:rPr>
      </w:pPr>
    </w:p>
    <w:p w:rsidR="00CB421E" w:rsidRPr="00C258AD" w:rsidRDefault="00CB421E" w:rsidP="00CB421E">
      <w:pPr>
        <w:rPr>
          <w:rFonts w:cs="Arial"/>
          <w:b/>
          <w:bCs/>
          <w:szCs w:val="20"/>
        </w:rPr>
      </w:pPr>
      <w:r w:rsidRPr="00C258AD">
        <w:rPr>
          <w:rFonts w:cs="Arial"/>
          <w:b/>
          <w:bCs/>
          <w:szCs w:val="20"/>
        </w:rPr>
        <w:t>BRÉSIL PNUD – Contributions des donateurs et dépenses en 2015</w:t>
      </w:r>
    </w:p>
    <w:p w:rsidR="00CB421E" w:rsidRPr="00C258AD" w:rsidRDefault="00CB421E" w:rsidP="00CB421E">
      <w:pPr>
        <w:rPr>
          <w:rFonts w:cs="Arial"/>
          <w:sz w:val="18"/>
          <w:szCs w:val="16"/>
        </w:rPr>
      </w:pPr>
    </w:p>
    <w:tbl>
      <w:tblPr>
        <w:tblW w:w="5000" w:type="pct"/>
        <w:tblInd w:w="98" w:type="dxa"/>
        <w:tblCellMar>
          <w:top w:w="113" w:type="dxa"/>
          <w:left w:w="68" w:type="dxa"/>
          <w:bottom w:w="113" w:type="dxa"/>
          <w:right w:w="68" w:type="dxa"/>
        </w:tblCellMar>
        <w:tblLook w:val="04A0" w:firstRow="1" w:lastRow="0" w:firstColumn="1" w:lastColumn="0" w:noHBand="0" w:noVBand="1"/>
      </w:tblPr>
      <w:tblGrid>
        <w:gridCol w:w="2067"/>
        <w:gridCol w:w="1662"/>
        <w:gridCol w:w="2028"/>
        <w:gridCol w:w="1661"/>
        <w:gridCol w:w="2073"/>
      </w:tblGrid>
      <w:tr w:rsidR="00CB421E" w:rsidRPr="00C258AD" w:rsidTr="00927E1F">
        <w:trPr>
          <w:cantSplit/>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Solde au 31 décembre 2014</w:t>
            </w:r>
          </w:p>
        </w:tc>
        <w:tc>
          <w:tcPr>
            <w:tcW w:w="1640" w:type="dxa"/>
            <w:tcBorders>
              <w:top w:val="single" w:sz="8" w:space="0" w:color="auto"/>
              <w:left w:val="nil"/>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Recettes 2015</w:t>
            </w:r>
          </w:p>
        </w:tc>
        <w:tc>
          <w:tcPr>
            <w:tcW w:w="2001" w:type="dxa"/>
            <w:tcBorders>
              <w:top w:val="single" w:sz="8" w:space="0" w:color="auto"/>
              <w:left w:val="nil"/>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Dépenses 2015</w:t>
            </w:r>
          </w:p>
        </w:tc>
        <w:tc>
          <w:tcPr>
            <w:tcW w:w="1639" w:type="dxa"/>
            <w:tcBorders>
              <w:top w:val="single" w:sz="8" w:space="0" w:color="auto"/>
              <w:left w:val="nil"/>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Remboursements</w:t>
            </w:r>
          </w:p>
        </w:tc>
        <w:tc>
          <w:tcPr>
            <w:tcW w:w="2046" w:type="dxa"/>
            <w:tcBorders>
              <w:top w:val="single" w:sz="8" w:space="0" w:color="auto"/>
              <w:left w:val="nil"/>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Solde au 31 décembre 2015</w:t>
            </w:r>
          </w:p>
        </w:tc>
      </w:tr>
      <w:tr w:rsidR="00CB421E" w:rsidRPr="00C258AD" w:rsidTr="00927E1F">
        <w:trPr>
          <w:cantSplit/>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noBreakHyphen/>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39 489</w:t>
            </w:r>
          </w:p>
        </w:tc>
        <w:tc>
          <w:tcPr>
            <w:tcW w:w="2001" w:type="dxa"/>
            <w:tcBorders>
              <w:top w:val="single" w:sz="4" w:space="0" w:color="auto"/>
              <w:left w:val="nil"/>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39 489</w:t>
            </w:r>
          </w:p>
        </w:tc>
        <w:tc>
          <w:tcPr>
            <w:tcW w:w="1639" w:type="dxa"/>
            <w:tcBorders>
              <w:top w:val="single" w:sz="4" w:space="0" w:color="auto"/>
              <w:left w:val="nil"/>
              <w:bottom w:val="single" w:sz="4" w:space="0" w:color="auto"/>
              <w:right w:val="single" w:sz="4" w:space="0" w:color="auto"/>
            </w:tcBorders>
            <w:shd w:val="clear" w:color="auto" w:fill="auto"/>
            <w:noWrap/>
            <w:vAlign w:val="center"/>
            <w:hideMark/>
          </w:tcPr>
          <w:p w:rsidR="00CB421E" w:rsidRPr="00C258AD" w:rsidRDefault="00CB421E" w:rsidP="00927E1F">
            <w:pPr>
              <w:jc w:val="center"/>
              <w:rPr>
                <w:rFonts w:cs="Arial"/>
                <w:sz w:val="16"/>
                <w:szCs w:val="16"/>
              </w:rPr>
            </w:pPr>
            <w:r w:rsidRPr="00C258AD">
              <w:rPr>
                <w:rFonts w:cs="Arial"/>
                <w:sz w:val="16"/>
                <w:szCs w:val="16"/>
              </w:rPr>
              <w:noBreakHyphen/>
            </w:r>
          </w:p>
        </w:tc>
        <w:tc>
          <w:tcPr>
            <w:tcW w:w="2046" w:type="dxa"/>
            <w:tcBorders>
              <w:top w:val="single" w:sz="4" w:space="0" w:color="auto"/>
              <w:left w:val="nil"/>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noBreakHyphen/>
            </w:r>
          </w:p>
        </w:tc>
      </w:tr>
    </w:tbl>
    <w:p w:rsidR="00CB421E" w:rsidRPr="00C258AD" w:rsidRDefault="00CB421E" w:rsidP="00CB421E"/>
    <w:p w:rsidR="00CB421E" w:rsidRPr="00C258AD" w:rsidRDefault="00CB421E" w:rsidP="00CB421E">
      <w:pPr>
        <w:keepNext/>
        <w:rPr>
          <w:rFonts w:cs="Arial"/>
          <w:b/>
          <w:szCs w:val="20"/>
        </w:rPr>
      </w:pPr>
      <w:r w:rsidRPr="00C258AD">
        <w:rPr>
          <w:rFonts w:cs="Arial"/>
          <w:b/>
          <w:szCs w:val="20"/>
        </w:rPr>
        <w:lastRenderedPageBreak/>
        <w:t>UNION EUROPÉENNE (Projet Pakistan)</w:t>
      </w:r>
    </w:p>
    <w:p w:rsidR="00CB421E" w:rsidRPr="00C258AD" w:rsidRDefault="00CB421E" w:rsidP="00CB421E">
      <w:pPr>
        <w:keepNext/>
        <w:tabs>
          <w:tab w:val="left" w:pos="0"/>
          <w:tab w:val="left" w:pos="9071"/>
        </w:tabs>
        <w:rPr>
          <w:rFonts w:cs="Arial"/>
          <w:b/>
          <w:szCs w:val="20"/>
        </w:rPr>
      </w:pPr>
    </w:p>
    <w:tbl>
      <w:tblPr>
        <w:tblW w:w="5000" w:type="pct"/>
        <w:tblInd w:w="108" w:type="dxa"/>
        <w:tblBorders>
          <w:top w:val="single" w:sz="4" w:space="0" w:color="000000"/>
          <w:left w:val="single" w:sz="4" w:space="0" w:color="000000"/>
          <w:bottom w:val="single" w:sz="4" w:space="0" w:color="000000"/>
          <w:right w:val="single" w:sz="4" w:space="0" w:color="000000"/>
        </w:tblBorders>
        <w:tblCellMar>
          <w:top w:w="113" w:type="dxa"/>
          <w:left w:w="68" w:type="dxa"/>
          <w:bottom w:w="113" w:type="dxa"/>
          <w:right w:w="68" w:type="dxa"/>
        </w:tblCellMar>
        <w:tblLook w:val="0000" w:firstRow="0" w:lastRow="0" w:firstColumn="0" w:lastColumn="0" w:noHBand="0" w:noVBand="0"/>
      </w:tblPr>
      <w:tblGrid>
        <w:gridCol w:w="1847"/>
        <w:gridCol w:w="1251"/>
        <w:gridCol w:w="1989"/>
        <w:gridCol w:w="4404"/>
      </w:tblGrid>
      <w:tr w:rsidR="00CB421E" w:rsidRPr="00C258AD" w:rsidTr="00927E1F">
        <w:trPr>
          <w:cantSplit/>
        </w:trPr>
        <w:tc>
          <w:tcPr>
            <w:tcW w:w="9356" w:type="dxa"/>
            <w:gridSpan w:val="4"/>
            <w:tcBorders>
              <w:top w:val="single" w:sz="4" w:space="0" w:color="000000"/>
              <w:bottom w:val="single" w:sz="4" w:space="0" w:color="000000"/>
            </w:tcBorders>
            <w:shd w:val="clear" w:color="auto" w:fill="C6D9F1" w:themeFill="text2" w:themeFillTint="33"/>
            <w:vAlign w:val="center"/>
          </w:tcPr>
          <w:p w:rsidR="00CB421E" w:rsidRPr="00C258AD" w:rsidRDefault="00CB421E" w:rsidP="00927E1F">
            <w:pPr>
              <w:keepNext/>
              <w:keepLines/>
              <w:tabs>
                <w:tab w:val="left" w:pos="1740"/>
              </w:tabs>
              <w:ind w:left="1740" w:hanging="1740"/>
              <w:rPr>
                <w:rFonts w:cs="Arial"/>
                <w:b/>
                <w:bCs/>
                <w:sz w:val="16"/>
                <w:szCs w:val="16"/>
              </w:rPr>
            </w:pPr>
            <w:r w:rsidRPr="00C258AD">
              <w:rPr>
                <w:rFonts w:cs="Arial"/>
                <w:b/>
                <w:bCs/>
                <w:sz w:val="16"/>
                <w:szCs w:val="16"/>
              </w:rPr>
              <w:t xml:space="preserve">RÉSULTAT : </w:t>
            </w:r>
            <w:r w:rsidRPr="00C258AD">
              <w:rPr>
                <w:rFonts w:cs="Arial"/>
                <w:bCs/>
                <w:sz w:val="16"/>
                <w:szCs w:val="16"/>
              </w:rPr>
              <w:tab/>
              <w:t>I.2 Cadres législatifs, réglementaires et politiques de propriété intellectuelle adaptés et équilibrés</w:t>
            </w:r>
          </w:p>
        </w:tc>
      </w:tr>
      <w:tr w:rsidR="00CB421E" w:rsidRPr="00C258AD" w:rsidTr="00927E1F">
        <w:trPr>
          <w:cantSplit/>
        </w:trPr>
        <w:tc>
          <w:tcPr>
            <w:tcW w:w="1843" w:type="dxa"/>
            <w:tcBorders>
              <w:top w:val="single" w:sz="4" w:space="0" w:color="000000"/>
            </w:tcBorders>
            <w:vAlign w:val="center"/>
          </w:tcPr>
          <w:p w:rsidR="00CB421E" w:rsidRPr="00C258AD" w:rsidRDefault="00CB421E" w:rsidP="00927E1F">
            <w:pPr>
              <w:keepNext/>
              <w:keepLines/>
              <w:rPr>
                <w:rFonts w:cs="Arial"/>
                <w:b/>
                <w:bCs/>
                <w:sz w:val="16"/>
                <w:szCs w:val="16"/>
              </w:rPr>
            </w:pPr>
            <w:r w:rsidRPr="00C258AD">
              <w:rPr>
                <w:b/>
                <w:sz w:val="16"/>
              </w:rPr>
              <w:t>Activité</w:t>
            </w:r>
          </w:p>
        </w:tc>
        <w:tc>
          <w:tcPr>
            <w:tcW w:w="1134" w:type="dxa"/>
            <w:tcBorders>
              <w:top w:val="single" w:sz="4" w:space="0" w:color="000000"/>
            </w:tcBorders>
            <w:shd w:val="clear" w:color="auto" w:fill="auto"/>
            <w:tcMar>
              <w:top w:w="110" w:type="dxa"/>
            </w:tcMar>
            <w:vAlign w:val="center"/>
          </w:tcPr>
          <w:p w:rsidR="00CB421E" w:rsidRPr="00C258AD" w:rsidRDefault="00CB421E" w:rsidP="00927E1F">
            <w:pPr>
              <w:rPr>
                <w:rFonts w:cs="Arial"/>
                <w:sz w:val="16"/>
                <w:szCs w:val="16"/>
              </w:rPr>
            </w:pPr>
            <w:r w:rsidRPr="00C258AD">
              <w:rPr>
                <w:b/>
                <w:sz w:val="16"/>
              </w:rPr>
              <w:t>Date</w:t>
            </w:r>
          </w:p>
        </w:tc>
        <w:tc>
          <w:tcPr>
            <w:tcW w:w="1985" w:type="dxa"/>
            <w:tcBorders>
              <w:top w:val="single" w:sz="4" w:space="0" w:color="000000"/>
            </w:tcBorders>
            <w:shd w:val="clear" w:color="auto" w:fill="auto"/>
            <w:tcMar>
              <w:top w:w="110" w:type="dxa"/>
            </w:tcMar>
            <w:vAlign w:val="center"/>
          </w:tcPr>
          <w:p w:rsidR="00CB421E" w:rsidRPr="00C258AD" w:rsidRDefault="00CB421E" w:rsidP="00927E1F">
            <w:pPr>
              <w:rPr>
                <w:rFonts w:cs="Arial"/>
                <w:sz w:val="16"/>
                <w:szCs w:val="16"/>
              </w:rPr>
            </w:pPr>
            <w:r w:rsidRPr="00C258AD">
              <w:rPr>
                <w:b/>
                <w:sz w:val="16"/>
              </w:rPr>
              <w:t>Pays hôte/</w:t>
            </w:r>
            <w:r w:rsidRPr="00C258AD">
              <w:br/>
            </w:r>
            <w:r w:rsidRPr="00C258AD">
              <w:rPr>
                <w:b/>
                <w:sz w:val="16"/>
              </w:rPr>
              <w:t>bénéficiaires</w:t>
            </w:r>
          </w:p>
        </w:tc>
        <w:tc>
          <w:tcPr>
            <w:tcW w:w="4394" w:type="dxa"/>
            <w:tcBorders>
              <w:top w:val="single" w:sz="4" w:space="0" w:color="000000"/>
            </w:tcBorders>
            <w:shd w:val="clear" w:color="auto" w:fill="FFFFFF"/>
            <w:tcMar>
              <w:top w:w="110" w:type="dxa"/>
            </w:tcMar>
            <w:vAlign w:val="center"/>
          </w:tcPr>
          <w:p w:rsidR="00CB421E" w:rsidRPr="00C258AD" w:rsidRDefault="00CB421E" w:rsidP="00927E1F">
            <w:pPr>
              <w:rPr>
                <w:rFonts w:cs="Arial"/>
                <w:sz w:val="16"/>
                <w:szCs w:val="16"/>
              </w:rPr>
            </w:pPr>
            <w:r w:rsidRPr="00C258AD">
              <w:rPr>
                <w:b/>
                <w:sz w:val="16"/>
              </w:rPr>
              <w:t>Objectif(s)/description(s)</w:t>
            </w:r>
          </w:p>
        </w:tc>
      </w:tr>
      <w:tr w:rsidR="00CB421E" w:rsidRPr="00C258AD" w:rsidTr="00927E1F">
        <w:trPr>
          <w:cantSplit/>
        </w:trPr>
        <w:tc>
          <w:tcPr>
            <w:tcW w:w="1843" w:type="dxa"/>
          </w:tcPr>
          <w:p w:rsidR="00CB421E" w:rsidRPr="00C258AD" w:rsidRDefault="00CB421E" w:rsidP="00927E1F">
            <w:pPr>
              <w:rPr>
                <w:rFonts w:cs="Arial"/>
                <w:bCs/>
                <w:sz w:val="16"/>
                <w:szCs w:val="16"/>
              </w:rPr>
            </w:pPr>
            <w:r w:rsidRPr="00C258AD">
              <w:rPr>
                <w:rFonts w:cs="Arial"/>
                <w:bCs/>
                <w:sz w:val="16"/>
                <w:szCs w:val="16"/>
              </w:rPr>
              <w:t>Table ronde sur la mise au point d’une stratégie nationale de propriété intellectuelle</w:t>
            </w:r>
          </w:p>
        </w:tc>
        <w:tc>
          <w:tcPr>
            <w:tcW w:w="1134" w:type="dxa"/>
          </w:tcPr>
          <w:p w:rsidR="00CB421E" w:rsidRPr="00C258AD" w:rsidRDefault="00CB421E" w:rsidP="00927E1F">
            <w:pPr>
              <w:rPr>
                <w:rFonts w:cs="Arial"/>
                <w:bCs/>
                <w:sz w:val="16"/>
                <w:szCs w:val="16"/>
              </w:rPr>
            </w:pPr>
            <w:r w:rsidRPr="00C258AD">
              <w:rPr>
                <w:rFonts w:cs="Arial"/>
                <w:bCs/>
                <w:sz w:val="16"/>
                <w:szCs w:val="16"/>
              </w:rPr>
              <w:t>23 – 24 avril 2015</w:t>
            </w:r>
          </w:p>
        </w:tc>
        <w:tc>
          <w:tcPr>
            <w:tcW w:w="1985" w:type="dxa"/>
          </w:tcPr>
          <w:p w:rsidR="00CB421E" w:rsidRPr="00C258AD" w:rsidRDefault="00CB421E" w:rsidP="00927E1F">
            <w:pPr>
              <w:rPr>
                <w:rFonts w:cs="Arial"/>
                <w:bCs/>
                <w:sz w:val="16"/>
                <w:szCs w:val="16"/>
              </w:rPr>
            </w:pPr>
            <w:r w:rsidRPr="00C258AD">
              <w:rPr>
                <w:rFonts w:cs="Arial"/>
                <w:bCs/>
                <w:sz w:val="16"/>
                <w:szCs w:val="16"/>
              </w:rPr>
              <w:t>Pakistan/ 53 participants</w:t>
            </w:r>
          </w:p>
        </w:tc>
        <w:tc>
          <w:tcPr>
            <w:tcW w:w="4394" w:type="dxa"/>
          </w:tcPr>
          <w:p w:rsidR="00CB421E" w:rsidRPr="00C258AD" w:rsidRDefault="00CB421E" w:rsidP="00927E1F">
            <w:pPr>
              <w:rPr>
                <w:rFonts w:cs="Arial"/>
                <w:bCs/>
                <w:sz w:val="16"/>
                <w:szCs w:val="16"/>
              </w:rPr>
            </w:pPr>
            <w:r w:rsidRPr="00C258AD">
              <w:rPr>
                <w:rFonts w:cs="Arial"/>
                <w:bCs/>
                <w:sz w:val="16"/>
                <w:szCs w:val="16"/>
              </w:rPr>
              <w:t>i) Examiner les buts généraux et les éléments essentiels des stratégies de propriété intellectuelle;  ii) débattre des liens possibles entre une stratégie nationale de propriété intellectuelle et les principaux domaines d’action (par exemple, le commerce, l’innovation, la santé);  iii) procéder à des échanges de vues sur les méthodes d’élaboration et de mise en œuvre des stratégies de propriété intellectuelle;  et iv) déterminer les mesures qui peuvent être prises par les autorités nationales pour mettre au point une stratégie de propriété intellectuelle pour le pays.</w:t>
            </w:r>
          </w:p>
        </w:tc>
      </w:tr>
      <w:tr w:rsidR="00CB421E" w:rsidRPr="00C258AD" w:rsidTr="00927E1F">
        <w:trPr>
          <w:cantSplit/>
        </w:trPr>
        <w:tc>
          <w:tcPr>
            <w:tcW w:w="9356" w:type="dxa"/>
            <w:gridSpan w:val="4"/>
            <w:tcBorders>
              <w:top w:val="single" w:sz="4" w:space="0" w:color="000000"/>
              <w:bottom w:val="single" w:sz="4" w:space="0" w:color="auto"/>
            </w:tcBorders>
            <w:shd w:val="clear" w:color="auto" w:fill="C6D9F1" w:themeFill="text2" w:themeFillTint="33"/>
          </w:tcPr>
          <w:p w:rsidR="00CB421E" w:rsidRPr="00C258AD" w:rsidRDefault="00CB421E" w:rsidP="00927E1F">
            <w:pPr>
              <w:keepNext/>
              <w:keepLines/>
              <w:tabs>
                <w:tab w:val="left" w:pos="1740"/>
              </w:tabs>
              <w:ind w:left="1740" w:hanging="1740"/>
              <w:rPr>
                <w:rFonts w:cs="Arial"/>
                <w:sz w:val="16"/>
                <w:szCs w:val="16"/>
              </w:rPr>
            </w:pPr>
            <w:r w:rsidRPr="00C258AD">
              <w:rPr>
                <w:rFonts w:cs="Arial"/>
                <w:b/>
                <w:sz w:val="16"/>
                <w:szCs w:val="16"/>
              </w:rPr>
              <w:t xml:space="preserve">RÉSULTAT : </w:t>
            </w:r>
            <w:r w:rsidRPr="00C258AD">
              <w:rPr>
                <w:rFonts w:cs="Arial"/>
                <w:sz w:val="16"/>
                <w:szCs w:val="16"/>
              </w:rPr>
              <w:tab/>
              <w:t>IV.4 Amélioration de l’infrastructure technique et du savoir pour les offices de propriété intellectuelle et les autres institutions de propriété intellectuelle, leur permettant de fournir à leurs parties prenantes des services améliorés (moins chers, plus rapides, de meilleure qualité)</w:t>
            </w:r>
          </w:p>
        </w:tc>
      </w:tr>
      <w:tr w:rsidR="00CB421E" w:rsidRPr="00C258AD" w:rsidTr="00927E1F">
        <w:trPr>
          <w:cantSplit/>
        </w:trPr>
        <w:tc>
          <w:tcPr>
            <w:tcW w:w="1843" w:type="dxa"/>
            <w:tcBorders>
              <w:top w:val="single" w:sz="4" w:space="0" w:color="auto"/>
              <w:left w:val="single" w:sz="4" w:space="0" w:color="000000"/>
              <w:bottom w:val="single" w:sz="4" w:space="0" w:color="auto"/>
            </w:tcBorders>
            <w:vAlign w:val="center"/>
          </w:tcPr>
          <w:p w:rsidR="00CB421E" w:rsidRPr="00C258AD" w:rsidRDefault="00CB421E" w:rsidP="00927E1F">
            <w:pPr>
              <w:keepNext/>
              <w:keepLines/>
              <w:rPr>
                <w:rFonts w:cs="Arial"/>
                <w:b/>
                <w:bCs/>
                <w:sz w:val="16"/>
                <w:szCs w:val="16"/>
              </w:rPr>
            </w:pPr>
            <w:r w:rsidRPr="00C258AD">
              <w:rPr>
                <w:b/>
                <w:sz w:val="16"/>
              </w:rPr>
              <w:t>Activité</w:t>
            </w:r>
          </w:p>
        </w:tc>
        <w:tc>
          <w:tcPr>
            <w:tcW w:w="1134" w:type="dxa"/>
            <w:tcBorders>
              <w:top w:val="single" w:sz="4" w:space="0" w:color="auto"/>
              <w:bottom w:val="single" w:sz="4" w:space="0" w:color="auto"/>
            </w:tcBorders>
            <w:vAlign w:val="center"/>
          </w:tcPr>
          <w:p w:rsidR="00CB421E" w:rsidRPr="00C258AD" w:rsidRDefault="00CB421E" w:rsidP="00927E1F">
            <w:pPr>
              <w:keepNext/>
              <w:keepLines/>
              <w:rPr>
                <w:rFonts w:cs="Arial"/>
                <w:sz w:val="16"/>
                <w:szCs w:val="16"/>
              </w:rPr>
            </w:pPr>
            <w:r w:rsidRPr="00C258AD">
              <w:rPr>
                <w:b/>
                <w:sz w:val="16"/>
              </w:rPr>
              <w:t>Date</w:t>
            </w:r>
          </w:p>
        </w:tc>
        <w:tc>
          <w:tcPr>
            <w:tcW w:w="1985" w:type="dxa"/>
            <w:tcBorders>
              <w:top w:val="single" w:sz="4" w:space="0" w:color="auto"/>
              <w:bottom w:val="single" w:sz="4" w:space="0" w:color="auto"/>
            </w:tcBorders>
            <w:vAlign w:val="center"/>
          </w:tcPr>
          <w:p w:rsidR="00CB421E" w:rsidRPr="00C258AD" w:rsidRDefault="00CB421E" w:rsidP="00927E1F">
            <w:pPr>
              <w:keepNext/>
              <w:keepLines/>
              <w:rPr>
                <w:rFonts w:cs="Arial"/>
                <w:sz w:val="16"/>
                <w:szCs w:val="16"/>
              </w:rPr>
            </w:pPr>
            <w:r w:rsidRPr="00C258AD">
              <w:rPr>
                <w:b/>
                <w:sz w:val="16"/>
              </w:rPr>
              <w:t>Pays hôte/</w:t>
            </w:r>
            <w:r w:rsidRPr="00C258AD">
              <w:br/>
            </w:r>
            <w:r w:rsidRPr="00C258AD">
              <w:rPr>
                <w:b/>
                <w:sz w:val="16"/>
              </w:rPr>
              <w:t>bénéficiaires</w:t>
            </w:r>
          </w:p>
        </w:tc>
        <w:tc>
          <w:tcPr>
            <w:tcW w:w="4394" w:type="dxa"/>
            <w:tcBorders>
              <w:top w:val="single" w:sz="4" w:space="0" w:color="auto"/>
              <w:bottom w:val="single" w:sz="4" w:space="0" w:color="auto"/>
              <w:right w:val="single" w:sz="4" w:space="0" w:color="000000"/>
            </w:tcBorders>
            <w:vAlign w:val="center"/>
          </w:tcPr>
          <w:p w:rsidR="00CB421E" w:rsidRPr="00C258AD" w:rsidRDefault="00CB421E" w:rsidP="00927E1F">
            <w:pPr>
              <w:keepNext/>
              <w:keepLines/>
              <w:rPr>
                <w:rFonts w:cs="Arial"/>
                <w:sz w:val="16"/>
                <w:szCs w:val="16"/>
              </w:rPr>
            </w:pPr>
            <w:r w:rsidRPr="00C258AD">
              <w:rPr>
                <w:b/>
                <w:sz w:val="16"/>
              </w:rPr>
              <w:t>Objectif(s)/description(s)</w:t>
            </w:r>
          </w:p>
        </w:tc>
      </w:tr>
      <w:tr w:rsidR="00CB421E" w:rsidRPr="00C258AD" w:rsidTr="00927E1F">
        <w:trPr>
          <w:cantSplit/>
        </w:trPr>
        <w:tc>
          <w:tcPr>
            <w:tcW w:w="1843" w:type="dxa"/>
            <w:tcBorders>
              <w:top w:val="single" w:sz="4" w:space="0" w:color="auto"/>
              <w:left w:val="single" w:sz="4" w:space="0" w:color="auto"/>
              <w:bottom w:val="single" w:sz="4" w:space="0" w:color="auto"/>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Mise au point du portail Web d’IPO Pakistan</w:t>
            </w:r>
            <w:r w:rsidRPr="00C258AD">
              <w:rPr>
                <w:rStyle w:val="FootnoteReference"/>
                <w:rFonts w:eastAsia="SimSun"/>
                <w:sz w:val="16"/>
                <w:szCs w:val="16"/>
              </w:rPr>
              <w:footnoteReference w:id="153"/>
            </w:r>
          </w:p>
        </w:tc>
        <w:tc>
          <w:tcPr>
            <w:tcW w:w="1134" w:type="dxa"/>
            <w:tcBorders>
              <w:top w:val="single" w:sz="4" w:space="0" w:color="auto"/>
              <w:bottom w:val="single" w:sz="4" w:space="0" w:color="auto"/>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janvier à décembre 2015</w:t>
            </w:r>
          </w:p>
          <w:p w:rsidR="00CB421E" w:rsidRPr="00C258AD" w:rsidRDefault="00CB421E" w:rsidP="00927E1F">
            <w:pPr>
              <w:autoSpaceDE w:val="0"/>
              <w:autoSpaceDN w:val="0"/>
              <w:adjustRightInd w:val="0"/>
              <w:rPr>
                <w:rFonts w:cs="Arial"/>
                <w:sz w:val="16"/>
                <w:szCs w:val="16"/>
              </w:rPr>
            </w:pPr>
            <w:r w:rsidRPr="00C258AD">
              <w:rPr>
                <w:rFonts w:cs="Arial"/>
                <w:sz w:val="16"/>
                <w:szCs w:val="16"/>
              </w:rPr>
              <w:t>(en cours)</w:t>
            </w:r>
          </w:p>
        </w:tc>
        <w:tc>
          <w:tcPr>
            <w:tcW w:w="1985" w:type="dxa"/>
            <w:tcBorders>
              <w:top w:val="single" w:sz="4" w:space="0" w:color="auto"/>
              <w:bottom w:val="single" w:sz="4" w:space="0" w:color="auto"/>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Pakistan/ IPO Pakistan</w:t>
            </w:r>
          </w:p>
        </w:tc>
        <w:tc>
          <w:tcPr>
            <w:tcW w:w="4394" w:type="dxa"/>
            <w:tcBorders>
              <w:top w:val="single" w:sz="4" w:space="0" w:color="auto"/>
              <w:bottom w:val="single" w:sz="4" w:space="0" w:color="auto"/>
              <w:right w:val="single" w:sz="4" w:space="0" w:color="auto"/>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Mettre à jour le site Web existant d’IPO Pakistan en introduisant de nouvelles fonctions, telles que : i) la Gazette des brevets et les revues sur les marques en ligne;  ii) l’accès en ligne pour vérifier la situation des demandes de titres de propriété intellectuelle;  iii) la consultation publique de bases de données de propriété intellectuelle;  et iv) la mise en œuvre d’un Intranet à des fins de communication interne entre les bureaux d’IPO Pakistan à Karachi, Lahore et Islamabad.  </w:t>
            </w:r>
          </w:p>
        </w:tc>
      </w:tr>
      <w:tr w:rsidR="00CB421E" w:rsidRPr="00C258AD" w:rsidTr="00927E1F">
        <w:trPr>
          <w:cantSplit/>
        </w:trPr>
        <w:tc>
          <w:tcPr>
            <w:tcW w:w="1843" w:type="dxa"/>
            <w:tcBorders>
              <w:top w:val="single" w:sz="4" w:space="0" w:color="auto"/>
              <w:left w:val="single" w:sz="4" w:space="0" w:color="auto"/>
              <w:bottom w:val="nil"/>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Adaptation du logiciel de gestion des ressources humaines et financières au sein d’IPO Pakistan</w:t>
            </w:r>
            <w:r w:rsidRPr="00C258AD">
              <w:rPr>
                <w:rStyle w:val="FootnoteReference"/>
                <w:rFonts w:eastAsia="SimSun"/>
                <w:sz w:val="16"/>
                <w:szCs w:val="16"/>
              </w:rPr>
              <w:footnoteReference w:id="154"/>
            </w:r>
          </w:p>
        </w:tc>
        <w:tc>
          <w:tcPr>
            <w:tcW w:w="1134" w:type="dxa"/>
            <w:tcBorders>
              <w:top w:val="single" w:sz="4" w:space="0" w:color="auto"/>
              <w:bottom w:val="nil"/>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janvier à décembre 2015</w:t>
            </w:r>
          </w:p>
          <w:p w:rsidR="00CB421E" w:rsidRPr="00C258AD" w:rsidRDefault="00CB421E" w:rsidP="00927E1F">
            <w:pPr>
              <w:autoSpaceDE w:val="0"/>
              <w:autoSpaceDN w:val="0"/>
              <w:adjustRightInd w:val="0"/>
              <w:rPr>
                <w:rFonts w:cs="Arial"/>
                <w:sz w:val="16"/>
                <w:szCs w:val="16"/>
              </w:rPr>
            </w:pPr>
            <w:r w:rsidRPr="00C258AD">
              <w:rPr>
                <w:rFonts w:cs="Arial"/>
                <w:sz w:val="16"/>
                <w:szCs w:val="16"/>
              </w:rPr>
              <w:t>(en cours)</w:t>
            </w:r>
          </w:p>
        </w:tc>
        <w:tc>
          <w:tcPr>
            <w:tcW w:w="1985" w:type="dxa"/>
            <w:tcBorders>
              <w:top w:val="single" w:sz="4" w:space="0" w:color="auto"/>
              <w:bottom w:val="nil"/>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Pakistan/ IPO Pakistan</w:t>
            </w:r>
          </w:p>
        </w:tc>
        <w:tc>
          <w:tcPr>
            <w:tcW w:w="4394" w:type="dxa"/>
            <w:tcBorders>
              <w:top w:val="single" w:sz="4" w:space="0" w:color="auto"/>
              <w:bottom w:val="nil"/>
              <w:right w:val="single" w:sz="4" w:space="0" w:color="auto"/>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Améliorer la capacité d’IPO Pakistan à fournir des services en introduisant des systèmes d’automatisation pour ses principales fonctions de gestion des ressources humaines et financières.  </w:t>
            </w:r>
          </w:p>
        </w:tc>
      </w:tr>
      <w:tr w:rsidR="00CB421E" w:rsidRPr="00C258AD" w:rsidTr="00927E1F">
        <w:trPr>
          <w:cantSplit/>
        </w:trPr>
        <w:tc>
          <w:tcPr>
            <w:tcW w:w="1843" w:type="dxa"/>
            <w:tcBorders>
              <w:top w:val="nil"/>
              <w:left w:val="single" w:sz="4" w:space="0" w:color="auto"/>
              <w:bottom w:val="single" w:sz="4" w:space="0" w:color="auto"/>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 xml:space="preserve">Consultations pour l’examen des activités en cours au titre du programme II d’assistance technique liée au commerce </w:t>
            </w:r>
          </w:p>
        </w:tc>
        <w:tc>
          <w:tcPr>
            <w:tcW w:w="1134" w:type="dxa"/>
            <w:tcBorders>
              <w:top w:val="nil"/>
              <w:bottom w:val="single" w:sz="4" w:space="0" w:color="auto"/>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20 – 24 avril 2015</w:t>
            </w:r>
          </w:p>
        </w:tc>
        <w:tc>
          <w:tcPr>
            <w:tcW w:w="1985" w:type="dxa"/>
            <w:tcBorders>
              <w:top w:val="nil"/>
              <w:bottom w:val="single" w:sz="4" w:space="0" w:color="auto"/>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Pakistan/ IPO Pakistan et ONUDI</w:t>
            </w:r>
          </w:p>
        </w:tc>
        <w:tc>
          <w:tcPr>
            <w:tcW w:w="4394" w:type="dxa"/>
            <w:tcBorders>
              <w:top w:val="nil"/>
              <w:bottom w:val="single" w:sz="4" w:space="0" w:color="auto"/>
              <w:right w:val="single" w:sz="4" w:space="0" w:color="auto"/>
            </w:tcBorders>
          </w:tcPr>
          <w:p w:rsidR="00CB421E" w:rsidRPr="00C258AD" w:rsidRDefault="00CB421E" w:rsidP="00927E1F">
            <w:pPr>
              <w:autoSpaceDE w:val="0"/>
              <w:autoSpaceDN w:val="0"/>
              <w:adjustRightInd w:val="0"/>
              <w:rPr>
                <w:rFonts w:cs="Arial"/>
                <w:sz w:val="16"/>
                <w:szCs w:val="16"/>
              </w:rPr>
            </w:pPr>
            <w:r w:rsidRPr="00C258AD">
              <w:rPr>
                <w:rFonts w:cs="Arial"/>
                <w:sz w:val="16"/>
                <w:szCs w:val="16"/>
              </w:rPr>
              <w:t>Consultations avec les parties prenantes nationales (office des brevets, service d’enregistrement des marques et bureau du droit d’auteur de l’IPO, Karachi, siège de l’IPO et bureau de gestion de projet ONUDI, Islamabad) pour examiner l’état d’avancement de la mise en œuvre du programme de d’assistance technique liée au commerce et les mesures nécessaires pour garantir l’exécution réussie du programme, notamment en vue d’obtenir des résultats tangibles.</w:t>
            </w:r>
          </w:p>
        </w:tc>
      </w:tr>
    </w:tbl>
    <w:p w:rsidR="00CB421E" w:rsidRPr="00C258AD" w:rsidRDefault="00CB421E" w:rsidP="00CB421E"/>
    <w:p w:rsidR="00CB421E" w:rsidRPr="00C258AD" w:rsidRDefault="00CB421E" w:rsidP="00CB421E"/>
    <w:p w:rsidR="00CB421E" w:rsidRPr="00C258AD" w:rsidRDefault="00CB421E" w:rsidP="00CB421E">
      <w:pPr>
        <w:rPr>
          <w:rFonts w:cs="Arial"/>
          <w:b/>
          <w:szCs w:val="20"/>
        </w:rPr>
      </w:pPr>
      <w:r w:rsidRPr="00C258AD">
        <w:rPr>
          <w:rFonts w:cs="Arial"/>
          <w:b/>
          <w:szCs w:val="20"/>
        </w:rPr>
        <w:t>UNION EUROPÉENNE (Projet Pakistan) – Contributions des donateurs et dépenses en 2015</w:t>
      </w:r>
    </w:p>
    <w:p w:rsidR="00CB421E" w:rsidRPr="00C258AD" w:rsidRDefault="00CB421E" w:rsidP="00CB421E">
      <w:pPr>
        <w:tabs>
          <w:tab w:val="left" w:pos="0"/>
          <w:tab w:val="left" w:pos="9071"/>
        </w:tabs>
        <w:rPr>
          <w:rFonts w:cs="Arial"/>
          <w:b/>
          <w:szCs w:val="20"/>
        </w:rPr>
      </w:pPr>
    </w:p>
    <w:tbl>
      <w:tblPr>
        <w:tblW w:w="5000" w:type="pct"/>
        <w:tblInd w:w="98" w:type="dxa"/>
        <w:tblCellMar>
          <w:top w:w="113" w:type="dxa"/>
          <w:left w:w="68" w:type="dxa"/>
          <w:bottom w:w="113" w:type="dxa"/>
          <w:right w:w="68" w:type="dxa"/>
        </w:tblCellMar>
        <w:tblLook w:val="04A0" w:firstRow="1" w:lastRow="0" w:firstColumn="1" w:lastColumn="0" w:noHBand="0" w:noVBand="1"/>
      </w:tblPr>
      <w:tblGrid>
        <w:gridCol w:w="2067"/>
        <w:gridCol w:w="1662"/>
        <w:gridCol w:w="1885"/>
        <w:gridCol w:w="1804"/>
        <w:gridCol w:w="2073"/>
      </w:tblGrid>
      <w:tr w:rsidR="00CB421E" w:rsidRPr="00C258AD" w:rsidTr="00927E1F">
        <w:trPr>
          <w:cantSplit/>
        </w:trPr>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CB421E" w:rsidRPr="00C258AD" w:rsidRDefault="00CB421E" w:rsidP="00927E1F">
            <w:pPr>
              <w:jc w:val="center"/>
              <w:rPr>
                <w:rFonts w:cs="Arial"/>
                <w:b/>
                <w:bCs/>
                <w:sz w:val="16"/>
                <w:szCs w:val="16"/>
              </w:rPr>
            </w:pPr>
            <w:r w:rsidRPr="00C258AD">
              <w:rPr>
                <w:rFonts w:cs="Arial"/>
                <w:b/>
                <w:bCs/>
                <w:sz w:val="16"/>
                <w:szCs w:val="16"/>
              </w:rPr>
              <w:t>Solde au 31 décembre 2014</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CB421E" w:rsidRPr="00C258AD" w:rsidRDefault="00CB421E" w:rsidP="00927E1F">
            <w:pPr>
              <w:jc w:val="center"/>
              <w:rPr>
                <w:rFonts w:cs="Arial"/>
                <w:b/>
                <w:bCs/>
                <w:sz w:val="16"/>
                <w:szCs w:val="16"/>
              </w:rPr>
            </w:pPr>
            <w:r w:rsidRPr="00C258AD">
              <w:rPr>
                <w:rFonts w:cs="Arial"/>
                <w:b/>
                <w:bCs/>
                <w:sz w:val="16"/>
                <w:szCs w:val="16"/>
              </w:rPr>
              <w:t>Recettes 2015</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CB421E" w:rsidRPr="00C258AD" w:rsidRDefault="00CB421E" w:rsidP="00927E1F">
            <w:pPr>
              <w:jc w:val="center"/>
              <w:rPr>
                <w:rFonts w:cs="Arial"/>
                <w:b/>
                <w:bCs/>
                <w:sz w:val="16"/>
                <w:szCs w:val="16"/>
              </w:rPr>
            </w:pPr>
            <w:r w:rsidRPr="00C258AD">
              <w:rPr>
                <w:rFonts w:cs="Arial"/>
                <w:b/>
                <w:bCs/>
                <w:sz w:val="16"/>
                <w:szCs w:val="16"/>
              </w:rPr>
              <w:t>Dépenses 2015</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CB421E" w:rsidRPr="00C258AD" w:rsidRDefault="00CB421E" w:rsidP="00927E1F">
            <w:pPr>
              <w:jc w:val="center"/>
              <w:rPr>
                <w:rFonts w:cs="Arial"/>
                <w:b/>
                <w:bCs/>
                <w:sz w:val="16"/>
                <w:szCs w:val="16"/>
              </w:rPr>
            </w:pPr>
            <w:r w:rsidRPr="00C258AD">
              <w:rPr>
                <w:rFonts w:cs="Arial"/>
                <w:b/>
                <w:bCs/>
                <w:sz w:val="16"/>
                <w:szCs w:val="16"/>
              </w:rPr>
              <w:t>Remboursements</w:t>
            </w:r>
          </w:p>
        </w:tc>
        <w:tc>
          <w:tcPr>
            <w:tcW w:w="2046" w:type="dxa"/>
            <w:tcBorders>
              <w:top w:val="single" w:sz="8" w:space="0" w:color="auto"/>
              <w:left w:val="nil"/>
              <w:bottom w:val="nil"/>
              <w:right w:val="single" w:sz="8" w:space="0" w:color="auto"/>
            </w:tcBorders>
            <w:shd w:val="clear" w:color="auto" w:fill="C6D9F1" w:themeFill="text2" w:themeFillTint="33"/>
            <w:vAlign w:val="center"/>
            <w:hideMark/>
          </w:tcPr>
          <w:p w:rsidR="00CB421E" w:rsidRPr="00C258AD" w:rsidRDefault="00CB421E" w:rsidP="00927E1F">
            <w:pPr>
              <w:jc w:val="center"/>
              <w:rPr>
                <w:rFonts w:cs="Arial"/>
                <w:b/>
                <w:bCs/>
                <w:sz w:val="16"/>
                <w:szCs w:val="16"/>
              </w:rPr>
            </w:pPr>
            <w:r w:rsidRPr="00C258AD">
              <w:rPr>
                <w:rFonts w:cs="Arial"/>
                <w:b/>
                <w:bCs/>
                <w:sz w:val="16"/>
                <w:szCs w:val="16"/>
              </w:rPr>
              <w:t>Solde au 31 décembre 2015</w:t>
            </w:r>
          </w:p>
        </w:tc>
      </w:tr>
      <w:tr w:rsidR="00CB421E" w:rsidRPr="00C258AD" w:rsidTr="00927E1F">
        <w:trPr>
          <w:cantSplit/>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383 115</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(41 520)</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189 256</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99 868</w:t>
            </w:r>
          </w:p>
        </w:tc>
        <w:tc>
          <w:tcPr>
            <w:tcW w:w="2046" w:type="dxa"/>
            <w:tcBorders>
              <w:top w:val="single" w:sz="4" w:space="0" w:color="auto"/>
              <w:left w:val="nil"/>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52 470</w:t>
            </w:r>
          </w:p>
        </w:tc>
      </w:tr>
    </w:tbl>
    <w:p w:rsidR="00CB421E" w:rsidRPr="00C258AD" w:rsidRDefault="00CB421E" w:rsidP="00CB421E"/>
    <w:p w:rsidR="00CB421E" w:rsidRPr="00C258AD" w:rsidRDefault="00CB421E" w:rsidP="00CB421E"/>
    <w:p w:rsidR="00CB421E" w:rsidRPr="00C258AD" w:rsidRDefault="00CB421E" w:rsidP="00CB421E">
      <w:pPr>
        <w:keepNext/>
        <w:rPr>
          <w:rFonts w:cs="Arial"/>
          <w:b/>
          <w:szCs w:val="20"/>
        </w:rPr>
      </w:pPr>
      <w:r w:rsidRPr="00C258AD">
        <w:rPr>
          <w:rFonts w:cs="Arial"/>
          <w:b/>
          <w:szCs w:val="20"/>
        </w:rPr>
        <w:lastRenderedPageBreak/>
        <w:t>FINLANDE/droit d’auteur</w:t>
      </w:r>
    </w:p>
    <w:p w:rsidR="00CB421E" w:rsidRPr="00C258AD" w:rsidRDefault="00CB421E" w:rsidP="00CB421E">
      <w:pPr>
        <w:keepNext/>
        <w:rPr>
          <w:szCs w:val="20"/>
        </w:rPr>
      </w:pPr>
    </w:p>
    <w:tbl>
      <w:tblPr>
        <w:tblW w:w="5000" w:type="pct"/>
        <w:tblInd w:w="103" w:type="dxa"/>
        <w:tblBorders>
          <w:top w:val="single" w:sz="4" w:space="0" w:color="000000"/>
          <w:left w:val="single" w:sz="4" w:space="0" w:color="000000"/>
          <w:bottom w:val="single" w:sz="4" w:space="0" w:color="000000"/>
          <w:right w:val="single" w:sz="4" w:space="0" w:color="000000"/>
        </w:tblBorders>
        <w:tblCellMar>
          <w:top w:w="113" w:type="dxa"/>
          <w:left w:w="68" w:type="dxa"/>
          <w:bottom w:w="113" w:type="dxa"/>
          <w:right w:w="68" w:type="dxa"/>
        </w:tblCellMar>
        <w:tblLook w:val="0000" w:firstRow="0" w:lastRow="0" w:firstColumn="0" w:lastColumn="0" w:noHBand="0" w:noVBand="0"/>
      </w:tblPr>
      <w:tblGrid>
        <w:gridCol w:w="1942"/>
        <w:gridCol w:w="1471"/>
        <w:gridCol w:w="1670"/>
        <w:gridCol w:w="4408"/>
      </w:tblGrid>
      <w:tr w:rsidR="00CB421E" w:rsidRPr="00C258AD" w:rsidTr="00927E1F">
        <w:trPr>
          <w:cantSplit/>
        </w:trPr>
        <w:tc>
          <w:tcPr>
            <w:tcW w:w="9361" w:type="dxa"/>
            <w:gridSpan w:val="4"/>
            <w:tcBorders>
              <w:top w:val="single" w:sz="4" w:space="0" w:color="000000"/>
              <w:bottom w:val="single" w:sz="4" w:space="0" w:color="000000"/>
            </w:tcBorders>
            <w:shd w:val="clear" w:color="auto" w:fill="C6D9F1" w:themeFill="text2" w:themeFillTint="33"/>
            <w:vAlign w:val="center"/>
          </w:tcPr>
          <w:p w:rsidR="00CB421E" w:rsidRPr="00C258AD" w:rsidRDefault="00CB421E" w:rsidP="00927E1F">
            <w:pPr>
              <w:keepNext/>
              <w:keepLines/>
              <w:tabs>
                <w:tab w:val="left" w:pos="890"/>
              </w:tabs>
              <w:ind w:left="890" w:hanging="890"/>
              <w:rPr>
                <w:rFonts w:cs="Arial"/>
                <w:b/>
                <w:bCs/>
                <w:sz w:val="16"/>
                <w:szCs w:val="16"/>
              </w:rPr>
            </w:pPr>
            <w:r w:rsidRPr="00C258AD">
              <w:rPr>
                <w:rFonts w:cs="Arial"/>
                <w:b/>
                <w:bCs/>
                <w:sz w:val="16"/>
                <w:szCs w:val="16"/>
              </w:rPr>
              <w:t xml:space="preserve">RÉSULTAT : </w:t>
            </w:r>
            <w:r w:rsidRPr="00C258AD">
              <w:rPr>
                <w:rFonts w:cs="Arial"/>
                <w:bCs/>
                <w:sz w:val="16"/>
                <w:szCs w:val="16"/>
              </w:rPr>
              <w:tab/>
              <w:t>V.2 Utilisation élargie et améliorée des analyses économiques de l’OMPI aux fins de l’élaboration des politiques</w:t>
            </w:r>
          </w:p>
        </w:tc>
      </w:tr>
      <w:tr w:rsidR="00CB421E" w:rsidRPr="00C258AD" w:rsidTr="00927E1F">
        <w:trPr>
          <w:cantSplit/>
        </w:trPr>
        <w:tc>
          <w:tcPr>
            <w:tcW w:w="1990" w:type="dxa"/>
            <w:tcBorders>
              <w:top w:val="single" w:sz="4" w:space="0" w:color="000000"/>
            </w:tcBorders>
            <w:vAlign w:val="center"/>
          </w:tcPr>
          <w:p w:rsidR="00CB421E" w:rsidRPr="00C258AD" w:rsidRDefault="00CB421E" w:rsidP="00927E1F">
            <w:pPr>
              <w:keepNext/>
              <w:keepLines/>
              <w:rPr>
                <w:rFonts w:cs="Arial"/>
                <w:b/>
                <w:bCs/>
                <w:sz w:val="16"/>
                <w:szCs w:val="16"/>
              </w:rPr>
            </w:pPr>
            <w:r w:rsidRPr="00C258AD">
              <w:rPr>
                <w:b/>
                <w:sz w:val="16"/>
              </w:rPr>
              <w:t>Activité</w:t>
            </w:r>
          </w:p>
        </w:tc>
        <w:tc>
          <w:tcPr>
            <w:tcW w:w="1134" w:type="dxa"/>
            <w:tcBorders>
              <w:top w:val="single" w:sz="4" w:space="0" w:color="000000"/>
            </w:tcBorders>
            <w:shd w:val="clear" w:color="auto" w:fill="auto"/>
            <w:tcMar>
              <w:top w:w="110" w:type="dxa"/>
            </w:tcMar>
            <w:vAlign w:val="center"/>
          </w:tcPr>
          <w:p w:rsidR="00CB421E" w:rsidRPr="00C258AD" w:rsidRDefault="00CB421E" w:rsidP="00927E1F">
            <w:pPr>
              <w:rPr>
                <w:rFonts w:cs="Arial"/>
                <w:sz w:val="16"/>
                <w:szCs w:val="16"/>
              </w:rPr>
            </w:pPr>
            <w:r w:rsidRPr="00C258AD">
              <w:rPr>
                <w:b/>
                <w:sz w:val="16"/>
              </w:rPr>
              <w:t>Date</w:t>
            </w:r>
          </w:p>
        </w:tc>
        <w:tc>
          <w:tcPr>
            <w:tcW w:w="1700" w:type="dxa"/>
            <w:tcBorders>
              <w:top w:val="single" w:sz="4" w:space="0" w:color="000000"/>
            </w:tcBorders>
            <w:shd w:val="clear" w:color="auto" w:fill="auto"/>
            <w:tcMar>
              <w:top w:w="110" w:type="dxa"/>
            </w:tcMar>
            <w:vAlign w:val="center"/>
          </w:tcPr>
          <w:p w:rsidR="00CB421E" w:rsidRPr="00C258AD" w:rsidRDefault="00CB421E" w:rsidP="00927E1F">
            <w:pPr>
              <w:rPr>
                <w:rFonts w:cs="Arial"/>
                <w:sz w:val="16"/>
                <w:szCs w:val="16"/>
              </w:rPr>
            </w:pPr>
            <w:r w:rsidRPr="00C258AD">
              <w:rPr>
                <w:b/>
                <w:sz w:val="16"/>
              </w:rPr>
              <w:t>Pays hôte/</w:t>
            </w:r>
            <w:r w:rsidRPr="00C258AD">
              <w:br/>
            </w:r>
            <w:r w:rsidRPr="00C258AD">
              <w:rPr>
                <w:b/>
                <w:sz w:val="16"/>
              </w:rPr>
              <w:t>bénéficiaires</w:t>
            </w:r>
          </w:p>
        </w:tc>
        <w:tc>
          <w:tcPr>
            <w:tcW w:w="4537" w:type="dxa"/>
            <w:tcBorders>
              <w:top w:val="single" w:sz="4" w:space="0" w:color="000000"/>
            </w:tcBorders>
            <w:shd w:val="clear" w:color="auto" w:fill="FFFFFF"/>
            <w:tcMar>
              <w:top w:w="110" w:type="dxa"/>
            </w:tcMar>
            <w:vAlign w:val="center"/>
          </w:tcPr>
          <w:p w:rsidR="00CB421E" w:rsidRPr="00C258AD" w:rsidRDefault="00CB421E" w:rsidP="00927E1F">
            <w:pPr>
              <w:rPr>
                <w:rFonts w:cs="Arial"/>
                <w:sz w:val="16"/>
                <w:szCs w:val="16"/>
              </w:rPr>
            </w:pPr>
            <w:r w:rsidRPr="00C258AD">
              <w:rPr>
                <w:b/>
                <w:sz w:val="16"/>
              </w:rPr>
              <w:t>Objectif(s)/description(s)</w:t>
            </w:r>
          </w:p>
        </w:tc>
      </w:tr>
      <w:tr w:rsidR="00CB421E" w:rsidRPr="00C258AD" w:rsidTr="00927E1F">
        <w:trPr>
          <w:cantSplit/>
        </w:trPr>
        <w:tc>
          <w:tcPr>
            <w:tcW w:w="199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Publication de la deuxième édition du Guide de l’OMPI pour l’évaluation de la contribution économique des industries du droit d’auteur</w:t>
            </w:r>
            <w:r w:rsidRPr="00C258AD">
              <w:rPr>
                <w:rStyle w:val="FootnoteReference"/>
                <w:rFonts w:eastAsia="MS Mincho" w:cs="Arial"/>
                <w:sz w:val="16"/>
                <w:szCs w:val="16"/>
                <w:lang w:eastAsia="ja-JP" w:bidi="th-TH"/>
              </w:rPr>
              <w:footnoteReference w:id="155"/>
            </w:r>
            <w:r w:rsidRPr="00C258AD">
              <w:rPr>
                <w:rFonts w:eastAsia="MS Mincho" w:cs="Arial"/>
                <w:sz w:val="16"/>
                <w:szCs w:val="16"/>
                <w:lang w:eastAsia="ja-JP" w:bidi="th-TH"/>
              </w:rPr>
              <w:t xml:space="preserve"> </w:t>
            </w:r>
          </w:p>
        </w:tc>
        <w:tc>
          <w:tcPr>
            <w:tcW w:w="1134"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mars à juin 2015</w:t>
            </w:r>
          </w:p>
        </w:tc>
        <w:tc>
          <w:tcPr>
            <w:tcW w:w="170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Tous les pays</w:t>
            </w:r>
          </w:p>
        </w:tc>
        <w:tc>
          <w:tcPr>
            <w:tcW w:w="4537"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Mettre à jour l’outil de l’OMPI pour évaluer la contribution économique des industries fondées sur le droit d’auteur.</w:t>
            </w:r>
          </w:p>
        </w:tc>
      </w:tr>
      <w:tr w:rsidR="00CB421E" w:rsidRPr="00C258AD" w:rsidTr="00927E1F">
        <w:trPr>
          <w:cantSplit/>
        </w:trPr>
        <w:tc>
          <w:tcPr>
            <w:tcW w:w="199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 xml:space="preserve">Élaborer des principes directeurs pour évaluer l’impact économique, social et culturel du droit d’auteur dans les industries de création </w:t>
            </w:r>
          </w:p>
        </w:tc>
        <w:tc>
          <w:tcPr>
            <w:tcW w:w="1134"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1</w:t>
            </w:r>
            <w:r w:rsidRPr="00C258AD">
              <w:rPr>
                <w:rFonts w:eastAsia="MS Mincho" w:cs="Arial"/>
                <w:sz w:val="16"/>
                <w:szCs w:val="16"/>
                <w:vertAlign w:val="superscript"/>
                <w:lang w:eastAsia="ja-JP" w:bidi="th-TH"/>
              </w:rPr>
              <w:t>er</w:t>
            </w:r>
            <w:r w:rsidRPr="00C258AD">
              <w:rPr>
                <w:rFonts w:eastAsia="MS Mincho" w:cs="Arial"/>
                <w:sz w:val="16"/>
                <w:szCs w:val="16"/>
                <w:lang w:eastAsia="ja-JP" w:bidi="th-TH"/>
              </w:rPr>
              <w:t xml:space="preserve"> mai au 31 décembre 2015</w:t>
            </w:r>
          </w:p>
        </w:tc>
        <w:tc>
          <w:tcPr>
            <w:tcW w:w="170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Finlande/ tous les pays</w:t>
            </w:r>
          </w:p>
        </w:tc>
        <w:tc>
          <w:tcPr>
            <w:tcW w:w="4537"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Diriger un projet consistant à tester et finaliser l’outil de l’OMPI en matière d’évaluation de l’incidence élargie du droit d’auteur</w:t>
            </w:r>
          </w:p>
        </w:tc>
      </w:tr>
      <w:tr w:rsidR="00CB421E" w:rsidRPr="00C258AD" w:rsidTr="00927E1F">
        <w:trPr>
          <w:cantSplit/>
        </w:trPr>
        <w:tc>
          <w:tcPr>
            <w:tcW w:w="199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Études sur la contribution économique des industries du droit d’auteur et sur l’évaluation du piratage du droit d’auteur</w:t>
            </w:r>
          </w:p>
        </w:tc>
        <w:tc>
          <w:tcPr>
            <w:tcW w:w="1134"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janvier à mai 2015</w:t>
            </w:r>
          </w:p>
        </w:tc>
        <w:tc>
          <w:tcPr>
            <w:tcW w:w="170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Éthiopie, République de Moldova</w:t>
            </w:r>
          </w:p>
        </w:tc>
        <w:tc>
          <w:tcPr>
            <w:tcW w:w="4537"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Finaliser pour publication deux nouvelles études de l’OMPI sur la contribution économique des industries du droit d’auteur (Éthiopie et République de Moldova).</w:t>
            </w:r>
          </w:p>
        </w:tc>
      </w:tr>
    </w:tbl>
    <w:p w:rsidR="00CB421E" w:rsidRPr="00C258AD" w:rsidRDefault="00CB421E" w:rsidP="00CB421E"/>
    <w:p w:rsidR="00CB421E" w:rsidRPr="00C258AD" w:rsidRDefault="00CB421E" w:rsidP="00CB421E">
      <w:pPr>
        <w:rPr>
          <w:rFonts w:cs="Arial"/>
          <w:b/>
          <w:szCs w:val="20"/>
        </w:rPr>
      </w:pPr>
    </w:p>
    <w:p w:rsidR="00CB421E" w:rsidRPr="00C258AD" w:rsidRDefault="00CB421E" w:rsidP="00CB421E">
      <w:pPr>
        <w:rPr>
          <w:rFonts w:cs="Arial"/>
          <w:b/>
          <w:szCs w:val="20"/>
        </w:rPr>
      </w:pPr>
      <w:r w:rsidRPr="00C258AD">
        <w:rPr>
          <w:rFonts w:cs="Arial"/>
          <w:b/>
          <w:szCs w:val="20"/>
        </w:rPr>
        <w:t>FINLANDE/droit d’auteur – Contributions des donateurs et dépenses en 2015</w:t>
      </w:r>
    </w:p>
    <w:p w:rsidR="00CB421E" w:rsidRPr="00C258AD" w:rsidRDefault="00CB421E" w:rsidP="00CB421E"/>
    <w:tbl>
      <w:tblPr>
        <w:tblW w:w="5000" w:type="pct"/>
        <w:tblInd w:w="98" w:type="dxa"/>
        <w:tblCellMar>
          <w:top w:w="113" w:type="dxa"/>
          <w:left w:w="68" w:type="dxa"/>
          <w:bottom w:w="113" w:type="dxa"/>
          <w:right w:w="68" w:type="dxa"/>
        </w:tblCellMar>
        <w:tblLook w:val="04A0" w:firstRow="1" w:lastRow="0" w:firstColumn="1" w:lastColumn="0" w:noHBand="0" w:noVBand="1"/>
      </w:tblPr>
      <w:tblGrid>
        <w:gridCol w:w="2067"/>
        <w:gridCol w:w="1662"/>
        <w:gridCol w:w="1885"/>
        <w:gridCol w:w="1804"/>
        <w:gridCol w:w="2073"/>
      </w:tblGrid>
      <w:tr w:rsidR="00CB421E" w:rsidRPr="00C258AD" w:rsidTr="00927E1F">
        <w:trPr>
          <w:cantSplit/>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Solde au 31 décembre 2014</w:t>
            </w:r>
          </w:p>
        </w:tc>
        <w:tc>
          <w:tcPr>
            <w:tcW w:w="1640" w:type="dxa"/>
            <w:tcBorders>
              <w:top w:val="single" w:sz="8" w:space="0" w:color="auto"/>
              <w:left w:val="nil"/>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Recettes 2015</w:t>
            </w:r>
          </w:p>
        </w:tc>
        <w:tc>
          <w:tcPr>
            <w:tcW w:w="1860" w:type="dxa"/>
            <w:tcBorders>
              <w:top w:val="single" w:sz="8" w:space="0" w:color="auto"/>
              <w:left w:val="nil"/>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Dépenses 2015</w:t>
            </w:r>
          </w:p>
        </w:tc>
        <w:tc>
          <w:tcPr>
            <w:tcW w:w="1780" w:type="dxa"/>
            <w:tcBorders>
              <w:top w:val="single" w:sz="8" w:space="0" w:color="auto"/>
              <w:left w:val="nil"/>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Remboursements</w:t>
            </w:r>
          </w:p>
        </w:tc>
        <w:tc>
          <w:tcPr>
            <w:tcW w:w="2046" w:type="dxa"/>
            <w:tcBorders>
              <w:top w:val="single" w:sz="8" w:space="0" w:color="auto"/>
              <w:left w:val="nil"/>
              <w:bottom w:val="nil"/>
              <w:right w:val="single" w:sz="8" w:space="0" w:color="auto"/>
            </w:tcBorders>
            <w:shd w:val="clear" w:color="000000" w:fill="C5D9F1"/>
            <w:vAlign w:val="center"/>
            <w:hideMark/>
          </w:tcPr>
          <w:p w:rsidR="00CB421E" w:rsidRPr="00C258AD" w:rsidRDefault="00CB421E" w:rsidP="00927E1F">
            <w:pPr>
              <w:jc w:val="center"/>
              <w:rPr>
                <w:rFonts w:cs="Arial"/>
                <w:b/>
                <w:bCs/>
                <w:sz w:val="16"/>
                <w:szCs w:val="16"/>
              </w:rPr>
            </w:pPr>
            <w:r w:rsidRPr="00C258AD">
              <w:rPr>
                <w:rFonts w:cs="Arial"/>
                <w:b/>
                <w:bCs/>
                <w:sz w:val="16"/>
                <w:szCs w:val="16"/>
              </w:rPr>
              <w:t>Solde au 31 décembre 2015</w:t>
            </w:r>
          </w:p>
        </w:tc>
      </w:tr>
      <w:tr w:rsidR="00CB421E" w:rsidRPr="00C258AD" w:rsidTr="00927E1F">
        <w:trPr>
          <w:cantSplit/>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66 020</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noBreakHyphen/>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51 660</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CB421E" w:rsidRPr="00C258AD" w:rsidRDefault="00CB421E" w:rsidP="00927E1F">
            <w:pPr>
              <w:jc w:val="center"/>
              <w:rPr>
                <w:rFonts w:cs="Arial"/>
                <w:sz w:val="16"/>
                <w:szCs w:val="16"/>
              </w:rPr>
            </w:pPr>
            <w:r w:rsidRPr="00C258AD">
              <w:rPr>
                <w:rFonts w:cs="Arial"/>
                <w:sz w:val="16"/>
                <w:szCs w:val="16"/>
              </w:rPr>
              <w:noBreakHyphen/>
            </w:r>
          </w:p>
        </w:tc>
        <w:tc>
          <w:tcPr>
            <w:tcW w:w="2046" w:type="dxa"/>
            <w:tcBorders>
              <w:top w:val="single" w:sz="4" w:space="0" w:color="auto"/>
              <w:left w:val="nil"/>
              <w:bottom w:val="single" w:sz="4" w:space="0" w:color="auto"/>
              <w:right w:val="single" w:sz="4" w:space="0" w:color="auto"/>
            </w:tcBorders>
            <w:shd w:val="clear" w:color="auto" w:fill="auto"/>
            <w:vAlign w:val="center"/>
            <w:hideMark/>
          </w:tcPr>
          <w:p w:rsidR="00CB421E" w:rsidRPr="00C258AD" w:rsidRDefault="00CB421E" w:rsidP="00927E1F">
            <w:pPr>
              <w:jc w:val="center"/>
              <w:rPr>
                <w:rFonts w:cs="Arial"/>
                <w:sz w:val="16"/>
                <w:szCs w:val="16"/>
              </w:rPr>
            </w:pPr>
            <w:r w:rsidRPr="00C258AD">
              <w:rPr>
                <w:rFonts w:cs="Arial"/>
                <w:sz w:val="16"/>
                <w:szCs w:val="16"/>
              </w:rPr>
              <w:t>14 360</w:t>
            </w:r>
          </w:p>
        </w:tc>
      </w:tr>
    </w:tbl>
    <w:p w:rsidR="00CB421E" w:rsidRPr="00C258AD" w:rsidRDefault="00CB421E" w:rsidP="00CB421E"/>
    <w:p w:rsidR="00CB421E" w:rsidRPr="00C258AD" w:rsidRDefault="00CB421E" w:rsidP="00CB421E">
      <w:pPr>
        <w:rPr>
          <w:rFonts w:cs="Arial"/>
          <w:b/>
          <w:szCs w:val="20"/>
        </w:rPr>
      </w:pPr>
    </w:p>
    <w:p w:rsidR="00CB421E" w:rsidRPr="00C258AD" w:rsidRDefault="00CB421E" w:rsidP="00CB421E">
      <w:pPr>
        <w:keepNext/>
        <w:keepLines/>
        <w:rPr>
          <w:rFonts w:cs="Arial"/>
          <w:b/>
          <w:szCs w:val="16"/>
        </w:rPr>
      </w:pPr>
      <w:r w:rsidRPr="00C258AD">
        <w:rPr>
          <w:rFonts w:cs="Arial"/>
          <w:b/>
          <w:szCs w:val="16"/>
        </w:rPr>
        <w:t>FRANCE/PROPRIÉTÉ INDUSTRIELLE</w:t>
      </w:r>
    </w:p>
    <w:p w:rsidR="00CB421E" w:rsidRPr="00C258AD" w:rsidRDefault="00CB421E" w:rsidP="00CB421E">
      <w:pPr>
        <w:keepNext/>
        <w:keepLines/>
        <w:rPr>
          <w:rFonts w:cs="Arial"/>
          <w:b/>
          <w:szCs w:val="16"/>
        </w:rPr>
      </w:pPr>
    </w:p>
    <w:tbl>
      <w:tblPr>
        <w:tblW w:w="5000" w:type="pct"/>
        <w:tblInd w:w="108" w:type="dxa"/>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1963"/>
        <w:gridCol w:w="1471"/>
        <w:gridCol w:w="1522"/>
        <w:gridCol w:w="4535"/>
      </w:tblGrid>
      <w:tr w:rsidR="00CB421E" w:rsidRPr="00C258AD" w:rsidTr="00927E1F">
        <w:trPr>
          <w:cantSplit/>
        </w:trPr>
        <w:tc>
          <w:tcPr>
            <w:tcW w:w="9356" w:type="dxa"/>
            <w:gridSpan w:val="4"/>
            <w:tcBorders>
              <w:top w:val="single" w:sz="4" w:space="0" w:color="auto"/>
              <w:bottom w:val="single" w:sz="4" w:space="0" w:color="auto"/>
            </w:tcBorders>
            <w:shd w:val="clear" w:color="auto" w:fill="C6D9F1" w:themeFill="text2" w:themeFillTint="33"/>
            <w:vAlign w:val="center"/>
          </w:tcPr>
          <w:p w:rsidR="00CB421E" w:rsidRPr="00C258AD" w:rsidRDefault="00CB421E" w:rsidP="00927E1F">
            <w:pPr>
              <w:keepNext/>
              <w:keepLines/>
              <w:tabs>
                <w:tab w:val="left" w:pos="1740"/>
              </w:tabs>
              <w:ind w:left="1741" w:hanging="1741"/>
              <w:rPr>
                <w:rFonts w:cs="Arial"/>
                <w:b/>
                <w:bCs/>
                <w:sz w:val="16"/>
                <w:szCs w:val="16"/>
              </w:rPr>
            </w:pPr>
            <w:r w:rsidRPr="00C258AD">
              <w:rPr>
                <w:rFonts w:cs="Arial"/>
                <w:b/>
                <w:bCs/>
                <w:sz w:val="16"/>
                <w:szCs w:val="16"/>
              </w:rPr>
              <w:t xml:space="preserve">RÉSULTAT : </w:t>
            </w:r>
            <w:r w:rsidRPr="00C258AD">
              <w:rPr>
                <w:rFonts w:cs="Arial"/>
                <w:b/>
                <w:bCs/>
                <w:sz w:val="16"/>
                <w:szCs w:val="16"/>
              </w:rPr>
              <w:tab/>
            </w:r>
            <w:r w:rsidRPr="00C258AD">
              <w:rPr>
                <w:rFonts w:cs="Arial"/>
                <w:bCs/>
                <w:sz w:val="16"/>
                <w:szCs w:val="16"/>
              </w:rPr>
              <w:t>III.2 Mise en valeur des ressources humaines pour répondre aux diverses exigences en matière d’utilisation efficace de la propriété intellectuelle au service du développement dans les pays en développement, les PMA et les pays en transition</w:t>
            </w:r>
          </w:p>
        </w:tc>
      </w:tr>
      <w:tr w:rsidR="00CB421E" w:rsidRPr="00C258AD" w:rsidTr="00927E1F">
        <w:trPr>
          <w:cantSplit/>
        </w:trPr>
        <w:tc>
          <w:tcPr>
            <w:tcW w:w="1980" w:type="dxa"/>
            <w:tcBorders>
              <w:top w:val="single" w:sz="4" w:space="0" w:color="auto"/>
            </w:tcBorders>
            <w:vAlign w:val="center"/>
          </w:tcPr>
          <w:p w:rsidR="00CB421E" w:rsidRPr="00C258AD" w:rsidRDefault="00CB421E" w:rsidP="00927E1F">
            <w:pPr>
              <w:keepNext/>
              <w:keepLines/>
              <w:rPr>
                <w:rFonts w:cs="Arial"/>
                <w:b/>
                <w:bCs/>
                <w:sz w:val="16"/>
                <w:szCs w:val="16"/>
              </w:rPr>
            </w:pPr>
            <w:r w:rsidRPr="00C258AD">
              <w:rPr>
                <w:b/>
                <w:sz w:val="16"/>
              </w:rPr>
              <w:t>Activité</w:t>
            </w:r>
          </w:p>
        </w:tc>
        <w:tc>
          <w:tcPr>
            <w:tcW w:w="1260" w:type="dxa"/>
            <w:tcBorders>
              <w:top w:val="single" w:sz="4" w:space="0" w:color="auto"/>
            </w:tcBorders>
            <w:shd w:val="clear" w:color="auto" w:fill="auto"/>
            <w:tcMar>
              <w:top w:w="110" w:type="dxa"/>
            </w:tcMar>
            <w:vAlign w:val="center"/>
          </w:tcPr>
          <w:p w:rsidR="00CB421E" w:rsidRPr="00C258AD" w:rsidRDefault="00CB421E" w:rsidP="00927E1F">
            <w:pPr>
              <w:rPr>
                <w:rFonts w:cs="Arial"/>
                <w:sz w:val="16"/>
                <w:szCs w:val="16"/>
              </w:rPr>
            </w:pPr>
            <w:r w:rsidRPr="00C258AD">
              <w:rPr>
                <w:b/>
                <w:sz w:val="16"/>
              </w:rPr>
              <w:t>Date</w:t>
            </w:r>
          </w:p>
        </w:tc>
        <w:tc>
          <w:tcPr>
            <w:tcW w:w="1530" w:type="dxa"/>
            <w:tcBorders>
              <w:top w:val="single" w:sz="4" w:space="0" w:color="auto"/>
            </w:tcBorders>
            <w:shd w:val="clear" w:color="auto" w:fill="auto"/>
            <w:tcMar>
              <w:top w:w="110" w:type="dxa"/>
            </w:tcMar>
            <w:vAlign w:val="center"/>
          </w:tcPr>
          <w:p w:rsidR="00CB421E" w:rsidRPr="00C258AD" w:rsidRDefault="00CB421E" w:rsidP="00927E1F">
            <w:pPr>
              <w:rPr>
                <w:rFonts w:cs="Arial"/>
                <w:sz w:val="16"/>
                <w:szCs w:val="16"/>
              </w:rPr>
            </w:pPr>
            <w:r w:rsidRPr="00C258AD">
              <w:rPr>
                <w:b/>
                <w:sz w:val="16"/>
              </w:rPr>
              <w:t>Pays hôte/</w:t>
            </w:r>
            <w:r w:rsidRPr="00C258AD">
              <w:br/>
            </w:r>
            <w:r w:rsidRPr="00C258AD">
              <w:rPr>
                <w:b/>
                <w:sz w:val="16"/>
              </w:rPr>
              <w:t>bénéficiaires</w:t>
            </w:r>
          </w:p>
        </w:tc>
        <w:tc>
          <w:tcPr>
            <w:tcW w:w="4586" w:type="dxa"/>
            <w:tcBorders>
              <w:top w:val="single" w:sz="4" w:space="0" w:color="auto"/>
            </w:tcBorders>
            <w:shd w:val="clear" w:color="auto" w:fill="FFFFFF"/>
            <w:tcMar>
              <w:top w:w="110" w:type="dxa"/>
            </w:tcMar>
            <w:vAlign w:val="center"/>
          </w:tcPr>
          <w:p w:rsidR="00CB421E" w:rsidRPr="00C258AD" w:rsidRDefault="00CB421E" w:rsidP="00927E1F">
            <w:pPr>
              <w:rPr>
                <w:rFonts w:cs="Arial"/>
                <w:sz w:val="16"/>
                <w:szCs w:val="16"/>
              </w:rPr>
            </w:pPr>
            <w:r w:rsidRPr="00C258AD">
              <w:rPr>
                <w:b/>
                <w:sz w:val="16"/>
              </w:rPr>
              <w:t>Objectif(s)/description(s)</w:t>
            </w:r>
          </w:p>
        </w:tc>
      </w:tr>
      <w:tr w:rsidR="00CB421E" w:rsidRPr="00C258AD" w:rsidTr="00927E1F">
        <w:trPr>
          <w:cantSplit/>
        </w:trPr>
        <w:tc>
          <w:tcPr>
            <w:tcW w:w="198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Atelier régional : “Innover grâce aux brevets”</w:t>
            </w:r>
          </w:p>
          <w:p w:rsidR="00CB421E" w:rsidRPr="00C258AD" w:rsidRDefault="00CB421E" w:rsidP="00927E1F">
            <w:pPr>
              <w:autoSpaceDE w:val="0"/>
              <w:autoSpaceDN w:val="0"/>
              <w:adjustRightInd w:val="0"/>
              <w:rPr>
                <w:rFonts w:eastAsia="MS Mincho" w:cs="Arial"/>
                <w:sz w:val="16"/>
                <w:szCs w:val="16"/>
                <w:lang w:eastAsia="ja-JP" w:bidi="th-TH"/>
              </w:rPr>
            </w:pPr>
          </w:p>
        </w:tc>
        <w:tc>
          <w:tcPr>
            <w:tcW w:w="126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19 – 20 mai 2015</w:t>
            </w:r>
          </w:p>
        </w:tc>
        <w:tc>
          <w:tcPr>
            <w:tcW w:w="153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Maroc/ 15 participants de l’Algérie, de l’OAPI et de la Turquie</w:t>
            </w:r>
          </w:p>
        </w:tc>
        <w:tc>
          <w:tcPr>
            <w:tcW w:w="4586" w:type="dxa"/>
          </w:tcPr>
          <w:p w:rsidR="00CB421E" w:rsidRPr="00C258AD" w:rsidRDefault="00CB421E" w:rsidP="00927E1F">
            <w:pPr>
              <w:autoSpaceDE w:val="0"/>
              <w:autoSpaceDN w:val="0"/>
              <w:adjustRightInd w:val="0"/>
              <w:rPr>
                <w:rFonts w:eastAsia="MS Mincho" w:cs="Arial"/>
                <w:bCs/>
                <w:sz w:val="16"/>
                <w:szCs w:val="16"/>
                <w:lang w:eastAsia="ja-JP" w:bidi="th-TH"/>
              </w:rPr>
            </w:pPr>
            <w:r w:rsidRPr="00C258AD">
              <w:rPr>
                <w:rFonts w:eastAsia="MS Mincho" w:cs="Arial"/>
                <w:bCs/>
                <w:sz w:val="16"/>
                <w:szCs w:val="16"/>
                <w:lang w:eastAsia="ja-JP" w:bidi="th-TH"/>
              </w:rPr>
              <w:t xml:space="preserve">Engager les entreprises, les universités, les offices de propriété intellectuelle, les instituts de recherche–développement et le secteur privé à utiliser l’information en matière de brevets : i) dans le processus d’innovation;  ii) pour la mise à profit des connaissances;  iii) pour la formulation de nouvelles idées;  et iv) dans le cadre du processus de protection et d’exploitation de leurs inventions.  </w:t>
            </w:r>
          </w:p>
        </w:tc>
      </w:tr>
      <w:tr w:rsidR="00CB421E" w:rsidRPr="00C258AD" w:rsidTr="00927E1F">
        <w:trPr>
          <w:cantSplit/>
        </w:trPr>
        <w:tc>
          <w:tcPr>
            <w:tcW w:w="198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lastRenderedPageBreak/>
              <w:t>Atelier national sur la promotion du respect de la propriété intellectuelle à l’intention des juges</w:t>
            </w:r>
          </w:p>
          <w:p w:rsidR="00CB421E" w:rsidRPr="00C258AD" w:rsidRDefault="00CB421E" w:rsidP="00927E1F">
            <w:pPr>
              <w:autoSpaceDE w:val="0"/>
              <w:autoSpaceDN w:val="0"/>
              <w:adjustRightInd w:val="0"/>
              <w:rPr>
                <w:rFonts w:eastAsia="MS Mincho" w:cs="Arial"/>
                <w:sz w:val="16"/>
                <w:szCs w:val="16"/>
                <w:lang w:eastAsia="ja-JP" w:bidi="th-TH"/>
              </w:rPr>
            </w:pPr>
          </w:p>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Atelier national sur la promotion du respect de la propriété intellectuelle à l’intention des agents des douanes</w:t>
            </w:r>
          </w:p>
        </w:tc>
        <w:tc>
          <w:tcPr>
            <w:tcW w:w="126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30 juin – 2 juillet 2015</w:t>
            </w:r>
          </w:p>
          <w:p w:rsidR="00CB421E" w:rsidRPr="00C258AD" w:rsidRDefault="00CB421E" w:rsidP="00927E1F">
            <w:pPr>
              <w:autoSpaceDE w:val="0"/>
              <w:autoSpaceDN w:val="0"/>
              <w:adjustRightInd w:val="0"/>
              <w:rPr>
                <w:rFonts w:eastAsia="MS Mincho" w:cs="Arial"/>
                <w:sz w:val="16"/>
                <w:szCs w:val="16"/>
                <w:lang w:eastAsia="ja-JP" w:bidi="th-TH"/>
              </w:rPr>
            </w:pPr>
          </w:p>
          <w:p w:rsidR="00CB421E" w:rsidRPr="00C258AD" w:rsidRDefault="00CB421E" w:rsidP="00927E1F">
            <w:pPr>
              <w:autoSpaceDE w:val="0"/>
              <w:autoSpaceDN w:val="0"/>
              <w:adjustRightInd w:val="0"/>
              <w:rPr>
                <w:rFonts w:eastAsia="MS Mincho" w:cs="Arial"/>
                <w:sz w:val="16"/>
                <w:szCs w:val="16"/>
                <w:lang w:eastAsia="ja-JP" w:bidi="th-TH"/>
              </w:rPr>
            </w:pPr>
          </w:p>
          <w:p w:rsidR="00CB421E" w:rsidRPr="00C258AD" w:rsidRDefault="00CB421E" w:rsidP="00927E1F">
            <w:pPr>
              <w:autoSpaceDE w:val="0"/>
              <w:autoSpaceDN w:val="0"/>
              <w:adjustRightInd w:val="0"/>
              <w:rPr>
                <w:rFonts w:eastAsia="MS Mincho" w:cs="Arial"/>
                <w:sz w:val="16"/>
                <w:szCs w:val="16"/>
                <w:lang w:eastAsia="ja-JP" w:bidi="th-TH"/>
              </w:rPr>
            </w:pPr>
          </w:p>
          <w:p w:rsidR="00CB421E" w:rsidRPr="00C258AD" w:rsidRDefault="00CB421E" w:rsidP="00927E1F">
            <w:pPr>
              <w:autoSpaceDE w:val="0"/>
              <w:autoSpaceDN w:val="0"/>
              <w:adjustRightInd w:val="0"/>
              <w:rPr>
                <w:rFonts w:eastAsia="MS Mincho" w:cs="Arial"/>
                <w:sz w:val="16"/>
                <w:szCs w:val="16"/>
                <w:lang w:eastAsia="ja-JP" w:bidi="th-TH"/>
              </w:rPr>
            </w:pPr>
          </w:p>
          <w:p w:rsidR="00CB421E" w:rsidRPr="00C258AD" w:rsidRDefault="00CB421E" w:rsidP="00927E1F">
            <w:pPr>
              <w:autoSpaceDE w:val="0"/>
              <w:autoSpaceDN w:val="0"/>
              <w:adjustRightInd w:val="0"/>
              <w:rPr>
                <w:rFonts w:eastAsia="MS Mincho" w:cs="Arial"/>
                <w:sz w:val="16"/>
                <w:szCs w:val="16"/>
                <w:lang w:eastAsia="ja-JP" w:bidi="th-TH"/>
              </w:rPr>
            </w:pPr>
          </w:p>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30 juin – 1</w:t>
            </w:r>
            <w:r w:rsidRPr="00C258AD">
              <w:rPr>
                <w:rFonts w:eastAsia="MS Mincho" w:cs="Arial"/>
                <w:sz w:val="16"/>
                <w:szCs w:val="16"/>
                <w:vertAlign w:val="superscript"/>
                <w:lang w:eastAsia="ja-JP" w:bidi="th-TH"/>
              </w:rPr>
              <w:t>er</w:t>
            </w:r>
            <w:r w:rsidRPr="00C258AD">
              <w:rPr>
                <w:rFonts w:eastAsia="MS Mincho" w:cs="Arial"/>
                <w:sz w:val="16"/>
                <w:szCs w:val="16"/>
                <w:lang w:eastAsia="ja-JP" w:bidi="th-TH"/>
              </w:rPr>
              <w:t> juillet 2015</w:t>
            </w:r>
          </w:p>
        </w:tc>
        <w:tc>
          <w:tcPr>
            <w:tcW w:w="153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Bénin/30 juges</w:t>
            </w:r>
          </w:p>
          <w:p w:rsidR="00CB421E" w:rsidRPr="00C258AD" w:rsidRDefault="00CB421E" w:rsidP="00927E1F">
            <w:pPr>
              <w:autoSpaceDE w:val="0"/>
              <w:autoSpaceDN w:val="0"/>
              <w:adjustRightInd w:val="0"/>
              <w:rPr>
                <w:rFonts w:eastAsia="MS Mincho" w:cs="Arial"/>
                <w:sz w:val="16"/>
                <w:szCs w:val="16"/>
                <w:lang w:eastAsia="ja-JP" w:bidi="th-TH"/>
              </w:rPr>
            </w:pPr>
          </w:p>
          <w:p w:rsidR="00CB421E" w:rsidRPr="00C258AD" w:rsidRDefault="00CB421E" w:rsidP="00927E1F">
            <w:pPr>
              <w:autoSpaceDE w:val="0"/>
              <w:autoSpaceDN w:val="0"/>
              <w:adjustRightInd w:val="0"/>
              <w:rPr>
                <w:rFonts w:eastAsia="MS Mincho" w:cs="Arial"/>
                <w:sz w:val="16"/>
                <w:szCs w:val="16"/>
                <w:lang w:eastAsia="ja-JP" w:bidi="th-TH"/>
              </w:rPr>
            </w:pPr>
          </w:p>
          <w:p w:rsidR="00CB421E" w:rsidRPr="00C258AD" w:rsidRDefault="00CB421E" w:rsidP="00927E1F">
            <w:pPr>
              <w:autoSpaceDE w:val="0"/>
              <w:autoSpaceDN w:val="0"/>
              <w:adjustRightInd w:val="0"/>
              <w:rPr>
                <w:rFonts w:eastAsia="MS Mincho" w:cs="Arial"/>
                <w:sz w:val="16"/>
                <w:szCs w:val="16"/>
                <w:lang w:eastAsia="ja-JP" w:bidi="th-TH"/>
              </w:rPr>
            </w:pPr>
          </w:p>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Bénin/ 15 fonctionnaires des douanes</w:t>
            </w:r>
          </w:p>
        </w:tc>
        <w:tc>
          <w:tcPr>
            <w:tcW w:w="4586" w:type="dxa"/>
          </w:tcPr>
          <w:p w:rsidR="00CB421E" w:rsidRPr="00C258AD" w:rsidRDefault="00CB421E" w:rsidP="00927E1F">
            <w:pPr>
              <w:autoSpaceDE w:val="0"/>
              <w:autoSpaceDN w:val="0"/>
              <w:adjustRightInd w:val="0"/>
              <w:rPr>
                <w:rFonts w:eastAsia="MS Mincho" w:cs="Arial"/>
                <w:bCs/>
                <w:sz w:val="16"/>
                <w:szCs w:val="16"/>
                <w:lang w:eastAsia="ja-JP" w:bidi="th-TH"/>
              </w:rPr>
            </w:pPr>
            <w:r w:rsidRPr="00C258AD">
              <w:rPr>
                <w:rFonts w:eastAsia="MS Mincho" w:cs="Arial"/>
                <w:bCs/>
                <w:sz w:val="16"/>
                <w:szCs w:val="16"/>
                <w:lang w:eastAsia="ja-JP" w:bidi="th-TH"/>
              </w:rPr>
              <w:t>i) Perfectionner et renforcer les capacités des représentants de l’ordre judiciaire et des agents des douanes du Bénin dans le domaine de l’application des droits de propriété intellectuelle et de la promotion de respect de la propriété intellectuelle;  ii) améliorer les connaissances et les compétences des participants dans le domaine des procédures judiciaires et de la gestion des litiges de propriété intellectuelle, ainsi que l’application des mesures douanières en vue de renforcer l’utilisation des procédures décrites dans la partie III de l’Accord sur les ADPIC;  iii) offrir la possibilité à chaque groupe participant d’échanger des données d’expérience et de débattre des enjeux concernant la mise en œuvre des dispositions juridiques et réglementaires sur l’application des droits de propriété intellectuelle;  et iv) familiariser les juges avec les outils relatifs à la jurisprudence mis au point par l’OMPI et l’OAPI.</w:t>
            </w:r>
          </w:p>
        </w:tc>
      </w:tr>
      <w:tr w:rsidR="00CB421E" w:rsidRPr="00C258AD" w:rsidTr="00927E1F">
        <w:trPr>
          <w:cantSplit/>
        </w:trPr>
        <w:tc>
          <w:tcPr>
            <w:tcW w:w="198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 xml:space="preserve">Séminaire régional sur l’innovation collaborative et la propriété intellectuelle : “Mise au point de partenariats entre universités et entreprises” </w:t>
            </w:r>
          </w:p>
        </w:tc>
        <w:tc>
          <w:tcPr>
            <w:tcW w:w="126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2 – 3 juillet 2015</w:t>
            </w:r>
          </w:p>
        </w:tc>
        <w:tc>
          <w:tcPr>
            <w:tcW w:w="153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 xml:space="preserve">Viet Nam/ 70 participants dont 9 du Cambodge, du Myanmar et de la République démocratique populaire lao </w:t>
            </w:r>
          </w:p>
        </w:tc>
        <w:tc>
          <w:tcPr>
            <w:tcW w:w="4586" w:type="dxa"/>
          </w:tcPr>
          <w:p w:rsidR="00CB421E" w:rsidRPr="00C258AD" w:rsidRDefault="00CB421E" w:rsidP="00927E1F">
            <w:pPr>
              <w:autoSpaceDE w:val="0"/>
              <w:autoSpaceDN w:val="0"/>
              <w:adjustRightInd w:val="0"/>
              <w:rPr>
                <w:rFonts w:eastAsia="MS Mincho" w:cs="Arial"/>
                <w:bCs/>
                <w:sz w:val="16"/>
                <w:szCs w:val="16"/>
                <w:lang w:eastAsia="ja-JP" w:bidi="th-TH"/>
              </w:rPr>
            </w:pPr>
            <w:r w:rsidRPr="00C258AD">
              <w:rPr>
                <w:rFonts w:eastAsia="MS Mincho" w:cs="Arial"/>
                <w:bCs/>
                <w:sz w:val="16"/>
                <w:szCs w:val="16"/>
                <w:lang w:eastAsia="ja-JP" w:bidi="th-TH"/>
              </w:rPr>
              <w:t>i) Présenter plusieurs modèles facilitant la création d’un environnement propice à l’innovation et à la protection des droits de propriété intellectuelle;  ii) accroître les capacités d’innovation grâce à une utilisation efficace du système de propriété intellectuelle;  et iii) aborder les thèmes de l’innovation collaborative et de l’innovation ouverte.</w:t>
            </w:r>
          </w:p>
        </w:tc>
      </w:tr>
      <w:tr w:rsidR="00CB421E" w:rsidRPr="00C258AD" w:rsidTr="00927E1F">
        <w:trPr>
          <w:cantSplit/>
        </w:trPr>
        <w:tc>
          <w:tcPr>
            <w:tcW w:w="198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Séminaire régional sur les marques et la contrefaçon à l’intention des juges des pays du Conseil de coopération des États arabes du Golfe</w:t>
            </w:r>
          </w:p>
        </w:tc>
        <w:tc>
          <w:tcPr>
            <w:tcW w:w="126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25 et 26 octobre 2015</w:t>
            </w:r>
          </w:p>
        </w:tc>
        <w:tc>
          <w:tcPr>
            <w:tcW w:w="153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 xml:space="preserve">Émirats arabes unis/ 23 participants de l’Arabie saoudite, des Émirats arabes unis, du Bahreïn, du Koweït, du Liban, d’Oman et du Qatar </w:t>
            </w:r>
          </w:p>
        </w:tc>
        <w:tc>
          <w:tcPr>
            <w:tcW w:w="4586" w:type="dxa"/>
          </w:tcPr>
          <w:p w:rsidR="00CB421E" w:rsidRPr="00C258AD" w:rsidRDefault="00CB421E" w:rsidP="00927E1F">
            <w:pPr>
              <w:autoSpaceDE w:val="0"/>
              <w:autoSpaceDN w:val="0"/>
              <w:adjustRightInd w:val="0"/>
              <w:rPr>
                <w:rFonts w:eastAsia="MS Mincho" w:cs="Arial"/>
                <w:bCs/>
                <w:sz w:val="16"/>
                <w:szCs w:val="16"/>
                <w:lang w:eastAsia="ja-JP" w:bidi="th-TH"/>
              </w:rPr>
            </w:pPr>
            <w:r w:rsidRPr="00C258AD">
              <w:rPr>
                <w:rFonts w:eastAsia="MS Mincho" w:cs="Arial"/>
                <w:bCs/>
                <w:sz w:val="16"/>
                <w:szCs w:val="16"/>
                <w:lang w:eastAsia="ja-JP" w:bidi="th-TH"/>
              </w:rPr>
              <w:t xml:space="preserve">i) Sensibiliser le corps judiciaire à la propriété industrielle;  ii) s’assurer que les décisions judiciaires respectent les dispositions des législations nationales et des traités internationaux auxquels les différents pays sont parties;  et iii) rendre plus homogènes les décisions prises par les juges à la fois au niveau national et régional.  </w:t>
            </w:r>
          </w:p>
        </w:tc>
      </w:tr>
      <w:tr w:rsidR="00CB421E" w:rsidRPr="00C258AD" w:rsidTr="00927E1F">
        <w:trPr>
          <w:cantSplit/>
        </w:trPr>
        <w:tc>
          <w:tcPr>
            <w:tcW w:w="198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Événements organisés en marge de la COP21</w:t>
            </w:r>
          </w:p>
        </w:tc>
        <w:tc>
          <w:tcPr>
            <w:tcW w:w="126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30 novembre – 11 décembre 2015</w:t>
            </w:r>
          </w:p>
        </w:tc>
        <w:tc>
          <w:tcPr>
            <w:tcW w:w="153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France</w:t>
            </w:r>
          </w:p>
        </w:tc>
        <w:tc>
          <w:tcPr>
            <w:tcW w:w="4586" w:type="dxa"/>
          </w:tcPr>
          <w:p w:rsidR="00CB421E" w:rsidRPr="00C258AD" w:rsidRDefault="00CB421E" w:rsidP="00927E1F">
            <w:pPr>
              <w:autoSpaceDE w:val="0"/>
              <w:autoSpaceDN w:val="0"/>
              <w:adjustRightInd w:val="0"/>
              <w:rPr>
                <w:rFonts w:eastAsia="MS Mincho" w:cs="Arial"/>
                <w:bCs/>
                <w:sz w:val="16"/>
                <w:szCs w:val="16"/>
                <w:lang w:eastAsia="ja-JP" w:bidi="th-TH"/>
              </w:rPr>
            </w:pPr>
            <w:r w:rsidRPr="00C258AD">
              <w:rPr>
                <w:rFonts w:eastAsia="MS Mincho" w:cs="Arial"/>
                <w:bCs/>
                <w:sz w:val="16"/>
                <w:szCs w:val="16"/>
                <w:lang w:eastAsia="ja-JP" w:bidi="th-TH"/>
              </w:rPr>
              <w:t>Donner la possibilité aux PME françaises et internationales i) de démontrer que la propriété industrielle n’est pas un obstacle au développement durable et à la protection du climat;  et ii) de montrer comment la propriété intellectuelle peut contribuer au développement d’innovations qui ont notamment pour effet de réduire les incidences négatives du changement climatique.</w:t>
            </w:r>
          </w:p>
        </w:tc>
      </w:tr>
      <w:tr w:rsidR="00CB421E" w:rsidRPr="00C258AD" w:rsidTr="00927E1F">
        <w:trPr>
          <w:cantSplit/>
        </w:trPr>
        <w:tc>
          <w:tcPr>
            <w:tcW w:w="198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Programme de formation CAPI (Certificat d’animateur propriété intellectuelle) avec l’Institut national de la propriété industrielle (INPI) de la France de l’Office marocain de la propriété industrielle et commerciale (OMPIC)</w:t>
            </w:r>
          </w:p>
        </w:tc>
        <w:tc>
          <w:tcPr>
            <w:tcW w:w="126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12 – 31 décembre 2015</w:t>
            </w:r>
          </w:p>
          <w:p w:rsidR="00CB421E" w:rsidRPr="00C258AD" w:rsidRDefault="00CB421E" w:rsidP="00927E1F">
            <w:pPr>
              <w:autoSpaceDE w:val="0"/>
              <w:autoSpaceDN w:val="0"/>
              <w:adjustRightInd w:val="0"/>
              <w:rPr>
                <w:rFonts w:eastAsia="MS Mincho" w:cs="Arial"/>
                <w:sz w:val="16"/>
                <w:szCs w:val="16"/>
                <w:lang w:eastAsia="ja-JP" w:bidi="th-TH"/>
              </w:rPr>
            </w:pPr>
          </w:p>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(date prévue d’achèvement : 8 avril 2016)</w:t>
            </w:r>
          </w:p>
        </w:tc>
        <w:tc>
          <w:tcPr>
            <w:tcW w:w="1530" w:type="dxa"/>
          </w:tcPr>
          <w:p w:rsidR="00CB421E" w:rsidRPr="00C258AD" w:rsidRDefault="00CB421E" w:rsidP="00927E1F">
            <w:pPr>
              <w:autoSpaceDE w:val="0"/>
              <w:autoSpaceDN w:val="0"/>
              <w:adjustRightInd w:val="0"/>
              <w:rPr>
                <w:rFonts w:eastAsia="MS Mincho" w:cs="Arial"/>
                <w:sz w:val="16"/>
                <w:szCs w:val="16"/>
                <w:lang w:eastAsia="ja-JP" w:bidi="th-TH"/>
              </w:rPr>
            </w:pPr>
            <w:r w:rsidRPr="00C258AD">
              <w:rPr>
                <w:rFonts w:eastAsia="MS Mincho" w:cs="Arial"/>
                <w:sz w:val="16"/>
                <w:szCs w:val="16"/>
                <w:lang w:eastAsia="ja-JP" w:bidi="th-TH"/>
              </w:rPr>
              <w:t xml:space="preserve">Maroc/ 10 participants de l’Algérie, du Cameroun, de la Côte d’Ivoire, du Sénégal et de la Tunisie </w:t>
            </w:r>
          </w:p>
        </w:tc>
        <w:tc>
          <w:tcPr>
            <w:tcW w:w="4586" w:type="dxa"/>
          </w:tcPr>
          <w:p w:rsidR="00CB421E" w:rsidRPr="00C258AD" w:rsidRDefault="00CB421E" w:rsidP="00927E1F">
            <w:pPr>
              <w:rPr>
                <w:rFonts w:eastAsia="MS Mincho" w:cs="Arial"/>
                <w:bCs/>
                <w:sz w:val="16"/>
                <w:szCs w:val="16"/>
                <w:lang w:eastAsia="ja-JP" w:bidi="th-TH"/>
              </w:rPr>
            </w:pPr>
            <w:r w:rsidRPr="00C258AD">
              <w:rPr>
                <w:rFonts w:eastAsia="MS Mincho" w:cs="Arial"/>
                <w:bCs/>
                <w:sz w:val="16"/>
                <w:szCs w:val="16"/>
                <w:lang w:eastAsia="ja-JP" w:bidi="th-TH"/>
              </w:rPr>
              <w:t>Un programme de formation certifié, visant à répondre aux besoins des entreprises et des spécialistes qui souhaitent : i) perfectionner leur savoir</w:t>
            </w:r>
            <w:r w:rsidRPr="00C258AD">
              <w:rPr>
                <w:rFonts w:eastAsia="MS Mincho" w:cs="Arial"/>
                <w:bCs/>
                <w:sz w:val="16"/>
                <w:szCs w:val="16"/>
                <w:lang w:eastAsia="ja-JP" w:bidi="th-TH"/>
              </w:rPr>
              <w:noBreakHyphen/>
              <w:t xml:space="preserve">faire en matière de gestion des droits de propriété industrielle;  ii) comprendre les enjeux de la propriété industrielle;  iii) améliorer l’efficacité de la gestion et de l’évaluation des actifs intangibles;  et iv) maîtriser l’utilisation des outils de protection et de recherche.  </w:t>
            </w:r>
          </w:p>
        </w:tc>
      </w:tr>
    </w:tbl>
    <w:p w:rsidR="00CB421E" w:rsidRPr="00C258AD" w:rsidRDefault="00CB421E" w:rsidP="00CB421E">
      <w:pPr>
        <w:rPr>
          <w:rFonts w:cs="Arial"/>
          <w:b/>
          <w:szCs w:val="16"/>
        </w:rPr>
      </w:pPr>
    </w:p>
    <w:p w:rsidR="001A4D6C" w:rsidRPr="00C258AD" w:rsidRDefault="001A4D6C" w:rsidP="00327D08">
      <w:pPr>
        <w:rPr>
          <w:lang w:eastAsia="ko-KR"/>
        </w:rPr>
      </w:pPr>
    </w:p>
    <w:p w:rsidR="00327D08" w:rsidRPr="00C258AD" w:rsidRDefault="00327D08" w:rsidP="00327D08">
      <w:pPr>
        <w:keepNext/>
        <w:rPr>
          <w:rFonts w:cs="Arial"/>
          <w:b/>
          <w:szCs w:val="16"/>
        </w:rPr>
      </w:pPr>
      <w:r w:rsidRPr="00C258AD">
        <w:rPr>
          <w:rFonts w:cs="Arial"/>
          <w:b/>
          <w:szCs w:val="16"/>
        </w:rPr>
        <w:t>FRANCE/PROPRIÉTÉ INDUSTRIELLE — Contributions des donateurs et dépenses en 2015</w:t>
      </w:r>
    </w:p>
    <w:p w:rsidR="00327D08" w:rsidRPr="00C258AD" w:rsidRDefault="00327D08" w:rsidP="00327D08">
      <w:pPr>
        <w:rPr>
          <w:rFonts w:cs="Arial"/>
          <w:b/>
          <w:szCs w:val="16"/>
        </w:rPr>
      </w:pPr>
    </w:p>
    <w:tbl>
      <w:tblPr>
        <w:tblW w:w="5000" w:type="pct"/>
        <w:tblInd w:w="98" w:type="dxa"/>
        <w:tblCellMar>
          <w:top w:w="113" w:type="dxa"/>
          <w:left w:w="68" w:type="dxa"/>
          <w:bottom w:w="113" w:type="dxa"/>
          <w:right w:w="68" w:type="dxa"/>
        </w:tblCellMar>
        <w:tblLook w:val="04A0" w:firstRow="1" w:lastRow="0" w:firstColumn="1" w:lastColumn="0" w:noHBand="0" w:noVBand="1"/>
      </w:tblPr>
      <w:tblGrid>
        <w:gridCol w:w="2067"/>
        <w:gridCol w:w="1662"/>
        <w:gridCol w:w="1885"/>
        <w:gridCol w:w="1804"/>
        <w:gridCol w:w="2073"/>
      </w:tblGrid>
      <w:tr w:rsidR="00327D08" w:rsidRPr="00C258AD" w:rsidTr="00927E1F">
        <w:trPr>
          <w:cantSplit/>
        </w:trPr>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2014</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Recettes 2015</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Dépenses 2015</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Remboursements</w:t>
            </w:r>
          </w:p>
        </w:tc>
        <w:tc>
          <w:tcPr>
            <w:tcW w:w="2046" w:type="dxa"/>
            <w:tcBorders>
              <w:top w:val="single" w:sz="8" w:space="0" w:color="auto"/>
              <w:left w:val="nil"/>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2015</w:t>
            </w:r>
          </w:p>
        </w:tc>
      </w:tr>
      <w:tr w:rsidR="00327D08" w:rsidRPr="00C258AD" w:rsidTr="00927E1F">
        <w:trPr>
          <w:cantSplit/>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1 027 640</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292 662</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359 804</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27D08" w:rsidRPr="00C258AD" w:rsidRDefault="00327D08" w:rsidP="00927E1F">
            <w:pPr>
              <w:jc w:val="center"/>
              <w:rPr>
                <w:rFonts w:cs="Arial"/>
                <w:sz w:val="16"/>
                <w:szCs w:val="16"/>
              </w:rPr>
            </w:pPr>
            <w:r w:rsidRPr="00C258AD">
              <w:rPr>
                <w:rFonts w:cs="Arial"/>
                <w:sz w:val="16"/>
                <w:szCs w:val="16"/>
              </w:rPr>
              <w:noBreakHyphen/>
            </w:r>
          </w:p>
        </w:tc>
        <w:tc>
          <w:tcPr>
            <w:tcW w:w="2046"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960 497</w:t>
            </w:r>
          </w:p>
        </w:tc>
      </w:tr>
    </w:tbl>
    <w:p w:rsidR="00327D08" w:rsidRPr="00C258AD" w:rsidRDefault="00327D08" w:rsidP="00327D08">
      <w:pPr>
        <w:rPr>
          <w:rFonts w:cs="Arial"/>
          <w:b/>
          <w:szCs w:val="20"/>
        </w:rPr>
      </w:pPr>
    </w:p>
    <w:p w:rsidR="00327D08" w:rsidRPr="00C258AD" w:rsidRDefault="00327D08" w:rsidP="00327D08">
      <w:pPr>
        <w:rPr>
          <w:rFonts w:cs="Arial"/>
          <w:b/>
          <w:szCs w:val="20"/>
        </w:rPr>
      </w:pPr>
    </w:p>
    <w:p w:rsidR="00327D08" w:rsidRPr="00C258AD" w:rsidRDefault="00327D08" w:rsidP="00327D08">
      <w:pPr>
        <w:keepNext/>
        <w:rPr>
          <w:rFonts w:cs="Arial"/>
          <w:b/>
          <w:szCs w:val="20"/>
          <w:u w:val="single"/>
        </w:rPr>
      </w:pPr>
      <w:r w:rsidRPr="00C258AD">
        <w:rPr>
          <w:rFonts w:cs="Arial"/>
          <w:b/>
          <w:szCs w:val="20"/>
        </w:rPr>
        <w:lastRenderedPageBreak/>
        <w:t>PROGRAMME IBÉRO</w:t>
      </w:r>
      <w:r w:rsidRPr="00C258AD">
        <w:rPr>
          <w:rFonts w:cs="Arial"/>
          <w:b/>
          <w:szCs w:val="20"/>
        </w:rPr>
        <w:noBreakHyphen/>
        <w:t>AMÉRICAIN DE LA PROPRIÉTÉ INDUSTRIELLE</w:t>
      </w:r>
      <w:r w:rsidRPr="00C258AD">
        <w:rPr>
          <w:rStyle w:val="FootnoteReference"/>
          <w:rFonts w:cs="Arial"/>
          <w:b/>
          <w:szCs w:val="20"/>
          <w:u w:val="single"/>
        </w:rPr>
        <w:footnoteReference w:id="156"/>
      </w:r>
    </w:p>
    <w:p w:rsidR="00327D08" w:rsidRPr="00C258AD" w:rsidRDefault="00327D08" w:rsidP="00327D08">
      <w:pPr>
        <w:keepNext/>
        <w:rPr>
          <w:rFonts w:cs="Arial"/>
          <w:b/>
          <w:szCs w:val="20"/>
          <w:u w:val="single"/>
        </w:rPr>
      </w:pPr>
    </w:p>
    <w:tbl>
      <w:tblPr>
        <w:tblW w:w="5000" w:type="pct"/>
        <w:tblInd w:w="108" w:type="dxa"/>
        <w:tblBorders>
          <w:top w:val="single" w:sz="4" w:space="0" w:color="000000"/>
          <w:left w:val="single" w:sz="4" w:space="0" w:color="000000"/>
          <w:bottom w:val="single" w:sz="4" w:space="0" w:color="000000"/>
          <w:right w:val="single" w:sz="4" w:space="0" w:color="000000"/>
        </w:tblBorders>
        <w:tblCellMar>
          <w:top w:w="113" w:type="dxa"/>
          <w:left w:w="68" w:type="dxa"/>
          <w:bottom w:w="113" w:type="dxa"/>
          <w:right w:w="68" w:type="dxa"/>
        </w:tblCellMar>
        <w:tblLook w:val="0000" w:firstRow="0" w:lastRow="0" w:firstColumn="0" w:lastColumn="0" w:noHBand="0" w:noVBand="0"/>
      </w:tblPr>
      <w:tblGrid>
        <w:gridCol w:w="1847"/>
        <w:gridCol w:w="1251"/>
        <w:gridCol w:w="2131"/>
        <w:gridCol w:w="4262"/>
      </w:tblGrid>
      <w:tr w:rsidR="00327D08" w:rsidRPr="00C258AD" w:rsidTr="00927E1F">
        <w:trPr>
          <w:cantSplit/>
        </w:trPr>
        <w:tc>
          <w:tcPr>
            <w:tcW w:w="9356" w:type="dxa"/>
            <w:gridSpan w:val="4"/>
            <w:tcBorders>
              <w:top w:val="single" w:sz="4" w:space="0" w:color="000000"/>
              <w:bottom w:val="single" w:sz="4" w:space="0" w:color="000000"/>
            </w:tcBorders>
            <w:shd w:val="clear" w:color="auto" w:fill="C6D9F1"/>
            <w:vAlign w:val="center"/>
          </w:tcPr>
          <w:p w:rsidR="00327D08" w:rsidRPr="00C258AD" w:rsidRDefault="00327D08" w:rsidP="00927E1F">
            <w:pPr>
              <w:keepNext/>
              <w:keepLines/>
              <w:tabs>
                <w:tab w:val="left" w:pos="1740"/>
              </w:tabs>
              <w:ind w:left="1740" w:hanging="1740"/>
              <w:rPr>
                <w:rFonts w:cs="Arial"/>
                <w:b/>
                <w:bCs/>
                <w:sz w:val="16"/>
                <w:szCs w:val="16"/>
              </w:rPr>
            </w:pPr>
            <w:r w:rsidRPr="00C258AD">
              <w:rPr>
                <w:rFonts w:cs="Arial"/>
                <w:b/>
                <w:bCs/>
                <w:sz w:val="16"/>
                <w:szCs w:val="16"/>
              </w:rPr>
              <w:t xml:space="preserve">RÉSULTAT : </w:t>
            </w:r>
            <w:r w:rsidRPr="00C258AD">
              <w:rPr>
                <w:rFonts w:cs="Arial"/>
                <w:b/>
                <w:bCs/>
                <w:sz w:val="16"/>
                <w:szCs w:val="16"/>
              </w:rPr>
              <w:tab/>
            </w:r>
            <w:r w:rsidRPr="00C258AD">
              <w:rPr>
                <w:rFonts w:cs="Arial"/>
                <w:bCs/>
                <w:sz w:val="16"/>
                <w:szCs w:val="16"/>
              </w:rPr>
              <w:t>III.2  Mise en valeur des ressources humaines pour répondre aux diverses exigences en matière d’utilisation efficace de la propriété intellectuelle au service du développement dans les pays en développement, les PMA et les pays en transition</w:t>
            </w:r>
          </w:p>
        </w:tc>
      </w:tr>
      <w:tr w:rsidR="00327D08" w:rsidRPr="00C258AD" w:rsidTr="00927E1F">
        <w:trPr>
          <w:cantSplit/>
        </w:trPr>
        <w:tc>
          <w:tcPr>
            <w:tcW w:w="1843" w:type="dxa"/>
            <w:tcBorders>
              <w:top w:val="single" w:sz="4" w:space="0" w:color="000000"/>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134" w:type="dxa"/>
            <w:tcBorders>
              <w:top w:val="single" w:sz="4" w:space="0" w:color="000000"/>
            </w:tcBorders>
            <w:shd w:val="clear" w:color="auto" w:fill="auto"/>
            <w:tcMar>
              <w:top w:w="110" w:type="dxa"/>
            </w:tcMar>
            <w:vAlign w:val="center"/>
          </w:tcPr>
          <w:p w:rsidR="00327D08" w:rsidRPr="00C258AD" w:rsidRDefault="00327D08" w:rsidP="00927E1F">
            <w:pPr>
              <w:rPr>
                <w:rFonts w:cs="Arial"/>
                <w:sz w:val="16"/>
                <w:szCs w:val="16"/>
              </w:rPr>
            </w:pPr>
            <w:r w:rsidRPr="00C258AD">
              <w:rPr>
                <w:b/>
                <w:sz w:val="16"/>
              </w:rPr>
              <w:t>Date</w:t>
            </w:r>
          </w:p>
        </w:tc>
        <w:tc>
          <w:tcPr>
            <w:tcW w:w="2126" w:type="dxa"/>
            <w:tcBorders>
              <w:top w:val="single" w:sz="4" w:space="0" w:color="000000"/>
            </w:tcBorders>
            <w:shd w:val="clear" w:color="auto" w:fill="auto"/>
            <w:tcMar>
              <w:top w:w="110" w:type="dxa"/>
            </w:tcMar>
            <w:vAlign w:val="center"/>
          </w:tcPr>
          <w:p w:rsidR="00327D08" w:rsidRPr="00C258AD" w:rsidRDefault="00327D08" w:rsidP="00927E1F">
            <w:pPr>
              <w:rPr>
                <w:rFonts w:cs="Arial"/>
                <w:sz w:val="16"/>
                <w:szCs w:val="16"/>
              </w:rPr>
            </w:pPr>
            <w:r w:rsidRPr="00C258AD">
              <w:rPr>
                <w:b/>
                <w:sz w:val="16"/>
              </w:rPr>
              <w:t>Pays hôte/</w:t>
            </w:r>
            <w:r w:rsidRPr="00C258AD">
              <w:br/>
            </w:r>
            <w:r w:rsidRPr="00C258AD">
              <w:rPr>
                <w:b/>
                <w:sz w:val="16"/>
              </w:rPr>
              <w:t>bénéficiaires</w:t>
            </w:r>
          </w:p>
        </w:tc>
        <w:tc>
          <w:tcPr>
            <w:tcW w:w="4253" w:type="dxa"/>
            <w:tcBorders>
              <w:top w:val="single" w:sz="4" w:space="0" w:color="000000"/>
            </w:tcBorders>
            <w:shd w:val="clear" w:color="auto" w:fill="FFFFFF"/>
            <w:tcMar>
              <w:top w:w="110" w:type="dxa"/>
            </w:tcMar>
            <w:vAlign w:val="center"/>
          </w:tcPr>
          <w:p w:rsidR="00327D08" w:rsidRPr="00C258AD" w:rsidRDefault="00327D08" w:rsidP="00927E1F">
            <w:pPr>
              <w:rPr>
                <w:rFonts w:cs="Arial"/>
                <w:sz w:val="16"/>
                <w:szCs w:val="16"/>
              </w:rPr>
            </w:pPr>
            <w:r w:rsidRPr="00C258AD">
              <w:rPr>
                <w:b/>
                <w:sz w:val="16"/>
              </w:rPr>
              <w:t>Objectif(s)/description(s)</w:t>
            </w:r>
          </w:p>
        </w:tc>
      </w:tr>
      <w:tr w:rsidR="00327D08" w:rsidRPr="00C258AD" w:rsidTr="00927E1F">
        <w:trPr>
          <w:cantSplit/>
        </w:trPr>
        <w:tc>
          <w:tcPr>
            <w:tcW w:w="1843" w:type="dxa"/>
            <w:tcBorders>
              <w:bottom w:val="nil"/>
            </w:tcBorders>
          </w:tcPr>
          <w:p w:rsidR="00327D08" w:rsidRPr="00C258AD" w:rsidDel="009E0498" w:rsidRDefault="00327D08" w:rsidP="00927E1F">
            <w:pPr>
              <w:autoSpaceDE w:val="0"/>
              <w:autoSpaceDN w:val="0"/>
              <w:adjustRightInd w:val="0"/>
              <w:rPr>
                <w:rFonts w:cs="Arial"/>
                <w:sz w:val="16"/>
                <w:szCs w:val="16"/>
              </w:rPr>
            </w:pPr>
            <w:r w:rsidRPr="00C258AD">
              <w:rPr>
                <w:rFonts w:cs="Arial"/>
                <w:sz w:val="16"/>
                <w:szCs w:val="16"/>
              </w:rPr>
              <w:t>Plateforme en espagnol sur les services et contenus de propriété intellectuelle pour le secteur privé ibéro</w:t>
            </w:r>
            <w:r w:rsidRPr="00C258AD">
              <w:rPr>
                <w:rFonts w:cs="Arial"/>
                <w:sz w:val="16"/>
                <w:szCs w:val="16"/>
              </w:rPr>
              <w:noBreakHyphen/>
              <w:t>américain, l’accent étant mis sur les PME (CIBEPYME).</w:t>
            </w:r>
          </w:p>
        </w:tc>
        <w:tc>
          <w:tcPr>
            <w:tcW w:w="1134" w:type="dxa"/>
            <w:tcBorders>
              <w:bottom w:val="nil"/>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janvier à décembre 2015</w:t>
            </w:r>
          </w:p>
          <w:p w:rsidR="00327D08" w:rsidRPr="00C258AD" w:rsidRDefault="00327D08" w:rsidP="00927E1F">
            <w:pPr>
              <w:autoSpaceDE w:val="0"/>
              <w:autoSpaceDN w:val="0"/>
              <w:adjustRightInd w:val="0"/>
              <w:rPr>
                <w:rFonts w:cs="Arial"/>
                <w:sz w:val="16"/>
                <w:szCs w:val="16"/>
              </w:rPr>
            </w:pPr>
            <w:r w:rsidRPr="00C258AD">
              <w:rPr>
                <w:rFonts w:cs="Arial"/>
                <w:sz w:val="16"/>
                <w:szCs w:val="16"/>
              </w:rPr>
              <w:t>(en cours)</w:t>
            </w:r>
          </w:p>
        </w:tc>
        <w:tc>
          <w:tcPr>
            <w:tcW w:w="2126" w:type="dxa"/>
            <w:tcBorders>
              <w:bottom w:val="nil"/>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Tous les pays ibéro</w:t>
            </w:r>
            <w:r w:rsidRPr="00C258AD">
              <w:rPr>
                <w:rFonts w:cs="Arial"/>
                <w:sz w:val="16"/>
                <w:szCs w:val="16"/>
              </w:rPr>
              <w:noBreakHyphen/>
              <w:t>américains</w:t>
            </w:r>
          </w:p>
        </w:tc>
        <w:tc>
          <w:tcPr>
            <w:tcW w:w="4253" w:type="dxa"/>
            <w:tcBorders>
              <w:bottom w:val="nil"/>
            </w:tcBorders>
          </w:tcPr>
          <w:p w:rsidR="00327D08" w:rsidRPr="00C258AD" w:rsidDel="00152E3E" w:rsidRDefault="00327D08" w:rsidP="00927E1F">
            <w:pPr>
              <w:autoSpaceDE w:val="0"/>
              <w:autoSpaceDN w:val="0"/>
              <w:adjustRightInd w:val="0"/>
              <w:rPr>
                <w:rFonts w:cs="Arial"/>
                <w:sz w:val="16"/>
                <w:szCs w:val="16"/>
              </w:rPr>
            </w:pPr>
            <w:r w:rsidRPr="00C258AD">
              <w:rPr>
                <w:rFonts w:cs="Arial"/>
                <w:sz w:val="16"/>
                <w:szCs w:val="16"/>
              </w:rPr>
              <w:t>Renforcement des capacités et promotion de la propriété intellectuelle auprès des entreprises.</w:t>
            </w:r>
          </w:p>
        </w:tc>
      </w:tr>
      <w:tr w:rsidR="00327D08" w:rsidRPr="00C258AD" w:rsidTr="00927E1F">
        <w:trPr>
          <w:cantSplit/>
        </w:trPr>
        <w:tc>
          <w:tcPr>
            <w:tcW w:w="9356" w:type="dxa"/>
            <w:gridSpan w:val="4"/>
            <w:tcBorders>
              <w:top w:val="single" w:sz="4" w:space="0" w:color="000000"/>
              <w:bottom w:val="single" w:sz="4" w:space="0" w:color="000000"/>
            </w:tcBorders>
            <w:shd w:val="clear" w:color="auto" w:fill="C6D9F1"/>
          </w:tcPr>
          <w:p w:rsidR="00327D08" w:rsidRPr="00C258AD" w:rsidDel="00152E3E" w:rsidRDefault="00327D08" w:rsidP="00927E1F">
            <w:pPr>
              <w:keepNext/>
              <w:keepLines/>
              <w:tabs>
                <w:tab w:val="left" w:pos="1740"/>
              </w:tabs>
              <w:ind w:left="1740" w:hanging="1740"/>
              <w:rPr>
                <w:rFonts w:cs="Arial"/>
                <w:sz w:val="16"/>
                <w:szCs w:val="16"/>
              </w:rPr>
            </w:pPr>
            <w:r w:rsidRPr="00C258AD">
              <w:rPr>
                <w:rFonts w:cs="Arial"/>
                <w:b/>
                <w:sz w:val="16"/>
                <w:szCs w:val="16"/>
              </w:rPr>
              <w:t xml:space="preserve">RÉSULTAT : </w:t>
            </w:r>
            <w:r w:rsidRPr="00C258AD">
              <w:rPr>
                <w:rFonts w:cs="Arial"/>
                <w:sz w:val="16"/>
                <w:szCs w:val="16"/>
              </w:rPr>
              <w:tab/>
              <w:t>III.4 Mécanismes et programmes de coopération renforcés, adaptés aux besoins des pays en développement et des PMA</w:t>
            </w:r>
          </w:p>
        </w:tc>
      </w:tr>
      <w:tr w:rsidR="00327D08" w:rsidRPr="00C258AD" w:rsidTr="00927E1F">
        <w:trPr>
          <w:cantSplit/>
        </w:trPr>
        <w:tc>
          <w:tcPr>
            <w:tcW w:w="1843" w:type="dxa"/>
            <w:tcBorders>
              <w:top w:val="single" w:sz="4" w:space="0" w:color="000000"/>
            </w:tcBorders>
            <w:vAlign w:val="center"/>
          </w:tcPr>
          <w:p w:rsidR="00327D08" w:rsidRPr="00C258AD" w:rsidRDefault="00327D08" w:rsidP="00927E1F">
            <w:pPr>
              <w:keepNext/>
              <w:keepLines/>
              <w:autoSpaceDE w:val="0"/>
              <w:autoSpaceDN w:val="0"/>
              <w:adjustRightInd w:val="0"/>
              <w:rPr>
                <w:rFonts w:cs="Arial"/>
                <w:sz w:val="16"/>
                <w:szCs w:val="16"/>
              </w:rPr>
            </w:pPr>
            <w:r w:rsidRPr="00C258AD">
              <w:rPr>
                <w:b/>
                <w:sz w:val="16"/>
              </w:rPr>
              <w:t>Activité</w:t>
            </w:r>
          </w:p>
        </w:tc>
        <w:tc>
          <w:tcPr>
            <w:tcW w:w="1134" w:type="dxa"/>
            <w:tcBorders>
              <w:top w:val="single" w:sz="4" w:space="0" w:color="000000"/>
            </w:tcBorders>
            <w:vAlign w:val="center"/>
          </w:tcPr>
          <w:p w:rsidR="00327D08" w:rsidRPr="00C258AD" w:rsidRDefault="00327D08" w:rsidP="00927E1F">
            <w:pPr>
              <w:autoSpaceDE w:val="0"/>
              <w:autoSpaceDN w:val="0"/>
              <w:adjustRightInd w:val="0"/>
              <w:rPr>
                <w:rFonts w:cs="Arial"/>
                <w:sz w:val="16"/>
                <w:szCs w:val="16"/>
              </w:rPr>
            </w:pPr>
            <w:r w:rsidRPr="00C258AD">
              <w:rPr>
                <w:b/>
                <w:sz w:val="16"/>
              </w:rPr>
              <w:t>Date</w:t>
            </w:r>
          </w:p>
        </w:tc>
        <w:tc>
          <w:tcPr>
            <w:tcW w:w="2126" w:type="dxa"/>
            <w:tcBorders>
              <w:top w:val="single" w:sz="4" w:space="0" w:color="000000"/>
            </w:tcBorders>
            <w:vAlign w:val="center"/>
          </w:tcPr>
          <w:p w:rsidR="00327D08" w:rsidRPr="00C258AD" w:rsidRDefault="00327D08" w:rsidP="00927E1F">
            <w:pPr>
              <w:autoSpaceDE w:val="0"/>
              <w:autoSpaceDN w:val="0"/>
              <w:adjustRightInd w:val="0"/>
              <w:rPr>
                <w:rFonts w:cs="Arial"/>
                <w:sz w:val="16"/>
                <w:szCs w:val="16"/>
              </w:rPr>
            </w:pPr>
            <w:r w:rsidRPr="00C258AD">
              <w:rPr>
                <w:b/>
                <w:sz w:val="16"/>
              </w:rPr>
              <w:t>Pays hôte/</w:t>
            </w:r>
            <w:r w:rsidRPr="00C258AD">
              <w:br/>
            </w:r>
            <w:r w:rsidRPr="00C258AD">
              <w:rPr>
                <w:b/>
                <w:sz w:val="16"/>
              </w:rPr>
              <w:t>bénéficiaires</w:t>
            </w:r>
          </w:p>
        </w:tc>
        <w:tc>
          <w:tcPr>
            <w:tcW w:w="4253" w:type="dxa"/>
            <w:tcBorders>
              <w:top w:val="single" w:sz="4" w:space="0" w:color="000000"/>
            </w:tcBorders>
            <w:vAlign w:val="center"/>
          </w:tcPr>
          <w:p w:rsidR="00327D08" w:rsidRPr="00C258AD" w:rsidRDefault="00327D08" w:rsidP="00927E1F">
            <w:pPr>
              <w:autoSpaceDE w:val="0"/>
              <w:autoSpaceDN w:val="0"/>
              <w:adjustRightInd w:val="0"/>
              <w:rPr>
                <w:rFonts w:cs="Arial"/>
                <w:sz w:val="16"/>
                <w:szCs w:val="16"/>
              </w:rPr>
            </w:pPr>
            <w:r w:rsidRPr="00C258AD">
              <w:rPr>
                <w:b/>
                <w:sz w:val="16"/>
              </w:rPr>
              <w:t>Objectif(s)/description(s)</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 xml:space="preserve">Établissement d’une analyse de situation et d’un projet de plan d’action par un consultant externe.  </w:t>
            </w:r>
          </w:p>
        </w:tc>
        <w:tc>
          <w:tcPr>
            <w:tcW w:w="1134"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janvier à décembre 2015</w:t>
            </w:r>
          </w:p>
          <w:p w:rsidR="00327D08" w:rsidRPr="00C258AD" w:rsidRDefault="00327D08" w:rsidP="00927E1F">
            <w:pPr>
              <w:autoSpaceDE w:val="0"/>
              <w:autoSpaceDN w:val="0"/>
              <w:adjustRightInd w:val="0"/>
              <w:rPr>
                <w:rFonts w:cs="Arial"/>
                <w:sz w:val="16"/>
                <w:szCs w:val="16"/>
              </w:rPr>
            </w:pPr>
            <w:r w:rsidRPr="00C258AD">
              <w:rPr>
                <w:rFonts w:cs="Arial"/>
                <w:sz w:val="16"/>
                <w:szCs w:val="16"/>
              </w:rPr>
              <w:t>(en cours)</w:t>
            </w:r>
          </w:p>
        </w:tc>
        <w:tc>
          <w:tcPr>
            <w:tcW w:w="212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Tous les pays ibéro</w:t>
            </w:r>
            <w:r w:rsidRPr="00C258AD">
              <w:rPr>
                <w:rFonts w:cs="Arial"/>
                <w:sz w:val="16"/>
                <w:szCs w:val="16"/>
              </w:rPr>
              <w:noBreakHyphen/>
              <w:t>américains</w:t>
            </w:r>
          </w:p>
        </w:tc>
        <w:tc>
          <w:tcPr>
            <w:tcW w:w="425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Établir une feuille de route pour le développement des services d’information nationaux assortie d’un calendrier de mise en œuvre en vue du renforcement des capacités nationales.</w:t>
            </w:r>
          </w:p>
          <w:p w:rsidR="00327D08" w:rsidRPr="00C258AD" w:rsidRDefault="00327D08" w:rsidP="00927E1F">
            <w:pPr>
              <w:autoSpaceDE w:val="0"/>
              <w:autoSpaceDN w:val="0"/>
              <w:adjustRightInd w:val="0"/>
              <w:rPr>
                <w:rFonts w:cs="Arial"/>
                <w:sz w:val="16"/>
                <w:szCs w:val="16"/>
              </w:rPr>
            </w:pPr>
            <w:r w:rsidRPr="00C258AD">
              <w:rPr>
                <w:rFonts w:cs="Arial"/>
                <w:sz w:val="16"/>
                <w:szCs w:val="16"/>
              </w:rPr>
              <w:t>Coopération horizontale entre les offices de propriété intellectuelle afin de réduire les asymétries en ce qui concerne la gestion de la qualité en matière de technologies de l’information.  Les tâches du consultant sont : i) déceler les asymétries entre les offices de propriété intellectuelle sur la gestion de la qualité et les technologies de l’information;  ii) concevoir un programme d’action visant à les éliminer par le biais de la formation;  et iii) coordonner la mise en œuvre de ce projet.</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Encourager la coopération entre offices de propriété intellectuelle d’Amérique latine en vue de la création d’une plateforme à l’intention des pays membres visant à faciliter l’échange de données d’expérience et de pratiques recommandées entre offices.</w:t>
            </w:r>
          </w:p>
        </w:tc>
        <w:tc>
          <w:tcPr>
            <w:tcW w:w="1134"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janvier à décembre 2015</w:t>
            </w:r>
          </w:p>
          <w:p w:rsidR="00327D08" w:rsidRPr="00C258AD" w:rsidRDefault="00327D08" w:rsidP="00927E1F">
            <w:pPr>
              <w:autoSpaceDE w:val="0"/>
              <w:autoSpaceDN w:val="0"/>
              <w:adjustRightInd w:val="0"/>
              <w:rPr>
                <w:rFonts w:cs="Arial"/>
                <w:sz w:val="16"/>
                <w:szCs w:val="16"/>
              </w:rPr>
            </w:pPr>
            <w:r w:rsidRPr="00C258AD">
              <w:rPr>
                <w:rFonts w:cs="Arial"/>
                <w:sz w:val="16"/>
                <w:szCs w:val="16"/>
              </w:rPr>
              <w:t>(en cours)</w:t>
            </w:r>
          </w:p>
        </w:tc>
        <w:tc>
          <w:tcPr>
            <w:tcW w:w="212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Tous les pays ibéro</w:t>
            </w:r>
            <w:r w:rsidRPr="00C258AD">
              <w:rPr>
                <w:rFonts w:cs="Arial"/>
                <w:sz w:val="16"/>
                <w:szCs w:val="16"/>
              </w:rPr>
              <w:noBreakHyphen/>
              <w:t>américains</w:t>
            </w:r>
          </w:p>
        </w:tc>
        <w:tc>
          <w:tcPr>
            <w:tcW w:w="425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Promouvoir l’échange virtuel de pratiques recommandées entre offices de propriété intellectuelle sur des questions telles que : i) gestion de la qualité;  ii) organisation de services d’enregistrement et d’information en ligne;  iii) mise à disposition de bases de données;  iv) examen des demandes de brevet et d’enregistrement de dessins et modèles et de marques;  v) organisation de services d’information technologique et commerciale;  vi) organisation de programmes de formation;  et vii) arbitrage et médiation.</w:t>
            </w:r>
          </w:p>
        </w:tc>
      </w:tr>
    </w:tbl>
    <w:p w:rsidR="00327D08" w:rsidRPr="00C258AD" w:rsidRDefault="00327D08" w:rsidP="00327D08">
      <w:pPr>
        <w:rPr>
          <w:rFonts w:cs="Arial"/>
          <w:szCs w:val="16"/>
        </w:rPr>
      </w:pPr>
    </w:p>
    <w:p w:rsidR="00327D08" w:rsidRPr="00C258AD" w:rsidRDefault="00327D08" w:rsidP="00327D08">
      <w:pPr>
        <w:rPr>
          <w:rFonts w:cs="Arial"/>
          <w:sz w:val="22"/>
          <w:szCs w:val="18"/>
        </w:rPr>
      </w:pPr>
    </w:p>
    <w:p w:rsidR="00327D08" w:rsidRPr="00C258AD" w:rsidRDefault="00327D08" w:rsidP="00327D08">
      <w:pPr>
        <w:keepNext/>
        <w:rPr>
          <w:rFonts w:cs="Arial"/>
          <w:b/>
          <w:szCs w:val="20"/>
        </w:rPr>
      </w:pPr>
      <w:r w:rsidRPr="00C258AD">
        <w:rPr>
          <w:rFonts w:cs="Arial"/>
          <w:b/>
          <w:szCs w:val="20"/>
        </w:rPr>
        <w:t>PROGRAMME IBÉRO</w:t>
      </w:r>
      <w:r w:rsidRPr="00C258AD">
        <w:rPr>
          <w:rFonts w:cs="Arial"/>
          <w:b/>
          <w:szCs w:val="20"/>
        </w:rPr>
        <w:noBreakHyphen/>
        <w:t>AMÉRICAIN SUR LA PROPRIÉTÉ INDUSTRIELLE — Contributions des donateurs et dépenses en 2015</w:t>
      </w:r>
    </w:p>
    <w:p w:rsidR="00327D08" w:rsidRPr="00C258AD" w:rsidRDefault="00327D08" w:rsidP="00327D08">
      <w:pPr>
        <w:keepNext/>
        <w:rPr>
          <w:rFonts w:cs="Arial"/>
          <w:szCs w:val="20"/>
        </w:rPr>
      </w:pPr>
    </w:p>
    <w:tbl>
      <w:tblPr>
        <w:tblW w:w="5000" w:type="pct"/>
        <w:tblInd w:w="98" w:type="dxa"/>
        <w:tblCellMar>
          <w:top w:w="113" w:type="dxa"/>
          <w:left w:w="68" w:type="dxa"/>
          <w:bottom w:w="113" w:type="dxa"/>
          <w:right w:w="68" w:type="dxa"/>
        </w:tblCellMar>
        <w:tblLook w:val="04A0" w:firstRow="1" w:lastRow="0" w:firstColumn="1" w:lastColumn="0" w:noHBand="0" w:noVBand="1"/>
      </w:tblPr>
      <w:tblGrid>
        <w:gridCol w:w="2037"/>
        <w:gridCol w:w="1635"/>
        <w:gridCol w:w="1855"/>
        <w:gridCol w:w="1780"/>
        <w:gridCol w:w="2184"/>
      </w:tblGrid>
      <w:tr w:rsidR="00327D08" w:rsidRPr="00C258AD" w:rsidTr="00927E1F">
        <w:trPr>
          <w:cantSplit/>
        </w:trPr>
        <w:tc>
          <w:tcPr>
            <w:tcW w:w="2040" w:type="dxa"/>
            <w:tcBorders>
              <w:top w:val="single" w:sz="8" w:space="0" w:color="auto"/>
              <w:left w:val="single" w:sz="8" w:space="0" w:color="auto"/>
              <w:bottom w:val="nil"/>
              <w:right w:val="single" w:sz="8" w:space="0" w:color="auto"/>
            </w:tcBorders>
            <w:shd w:val="clear" w:color="auto" w:fill="C6D9F1"/>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2014</w:t>
            </w:r>
          </w:p>
        </w:tc>
        <w:tc>
          <w:tcPr>
            <w:tcW w:w="1640" w:type="dxa"/>
            <w:tcBorders>
              <w:top w:val="single" w:sz="8" w:space="0" w:color="auto"/>
              <w:left w:val="nil"/>
              <w:bottom w:val="nil"/>
              <w:right w:val="single" w:sz="8" w:space="0" w:color="auto"/>
            </w:tcBorders>
            <w:shd w:val="clear" w:color="auto" w:fill="C6D9F1"/>
            <w:vAlign w:val="center"/>
            <w:hideMark/>
          </w:tcPr>
          <w:p w:rsidR="00327D08" w:rsidRPr="00C258AD" w:rsidRDefault="00327D08" w:rsidP="00927E1F">
            <w:pPr>
              <w:jc w:val="center"/>
              <w:rPr>
                <w:rFonts w:cs="Arial"/>
                <w:b/>
                <w:bCs/>
                <w:sz w:val="16"/>
                <w:szCs w:val="16"/>
              </w:rPr>
            </w:pPr>
            <w:r w:rsidRPr="00C258AD">
              <w:rPr>
                <w:rFonts w:cs="Arial"/>
                <w:b/>
                <w:bCs/>
                <w:sz w:val="16"/>
                <w:szCs w:val="16"/>
              </w:rPr>
              <w:t>Recettes 2015</w:t>
            </w:r>
          </w:p>
        </w:tc>
        <w:tc>
          <w:tcPr>
            <w:tcW w:w="1860" w:type="dxa"/>
            <w:tcBorders>
              <w:top w:val="single" w:sz="8" w:space="0" w:color="auto"/>
              <w:left w:val="nil"/>
              <w:bottom w:val="nil"/>
              <w:right w:val="single" w:sz="8" w:space="0" w:color="auto"/>
            </w:tcBorders>
            <w:shd w:val="clear" w:color="auto" w:fill="C6D9F1"/>
            <w:vAlign w:val="center"/>
            <w:hideMark/>
          </w:tcPr>
          <w:p w:rsidR="00327D08" w:rsidRPr="00C258AD" w:rsidRDefault="00327D08" w:rsidP="00927E1F">
            <w:pPr>
              <w:jc w:val="center"/>
              <w:rPr>
                <w:rFonts w:cs="Arial"/>
                <w:b/>
                <w:bCs/>
                <w:sz w:val="16"/>
                <w:szCs w:val="16"/>
              </w:rPr>
            </w:pPr>
            <w:r w:rsidRPr="00C258AD">
              <w:rPr>
                <w:rFonts w:cs="Arial"/>
                <w:b/>
                <w:bCs/>
                <w:sz w:val="16"/>
                <w:szCs w:val="16"/>
              </w:rPr>
              <w:t>Dépenses 2015</w:t>
            </w:r>
          </w:p>
        </w:tc>
        <w:tc>
          <w:tcPr>
            <w:tcW w:w="1780" w:type="dxa"/>
            <w:tcBorders>
              <w:top w:val="single" w:sz="8" w:space="0" w:color="auto"/>
              <w:left w:val="nil"/>
              <w:bottom w:val="nil"/>
              <w:right w:val="single" w:sz="8" w:space="0" w:color="auto"/>
            </w:tcBorders>
            <w:shd w:val="clear" w:color="auto" w:fill="C6D9F1"/>
            <w:vAlign w:val="center"/>
            <w:hideMark/>
          </w:tcPr>
          <w:p w:rsidR="00327D08" w:rsidRPr="00C258AD" w:rsidRDefault="00327D08" w:rsidP="00927E1F">
            <w:pPr>
              <w:jc w:val="center"/>
              <w:rPr>
                <w:rFonts w:cs="Arial"/>
                <w:b/>
                <w:bCs/>
                <w:sz w:val="16"/>
                <w:szCs w:val="16"/>
              </w:rPr>
            </w:pPr>
            <w:r w:rsidRPr="00C258AD">
              <w:rPr>
                <w:rFonts w:cs="Arial"/>
                <w:b/>
                <w:bCs/>
                <w:sz w:val="16"/>
                <w:szCs w:val="16"/>
              </w:rPr>
              <w:t>Remboursements</w:t>
            </w:r>
          </w:p>
        </w:tc>
        <w:tc>
          <w:tcPr>
            <w:tcW w:w="2188" w:type="dxa"/>
            <w:tcBorders>
              <w:top w:val="single" w:sz="8" w:space="0" w:color="auto"/>
              <w:left w:val="nil"/>
              <w:bottom w:val="nil"/>
              <w:right w:val="single" w:sz="8" w:space="0" w:color="auto"/>
            </w:tcBorders>
            <w:shd w:val="clear" w:color="auto" w:fill="C6D9F1"/>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2015</w:t>
            </w:r>
          </w:p>
        </w:tc>
      </w:tr>
      <w:tr w:rsidR="00327D08" w:rsidRPr="00C258AD" w:rsidTr="00927E1F">
        <w:trPr>
          <w:cantSplit/>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232 961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13 103</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6 110</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27D08" w:rsidRPr="00C258AD" w:rsidRDefault="00327D08" w:rsidP="00927E1F">
            <w:pPr>
              <w:jc w:val="center"/>
              <w:rPr>
                <w:rFonts w:cs="Arial"/>
                <w:sz w:val="16"/>
                <w:szCs w:val="16"/>
              </w:rPr>
            </w:pPr>
            <w:r w:rsidRPr="00C258AD">
              <w:rPr>
                <w:rFonts w:cs="Arial"/>
                <w:sz w:val="16"/>
                <w:szCs w:val="16"/>
              </w:rPr>
              <w:noBreakHyphen/>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239 955</w:t>
            </w:r>
          </w:p>
        </w:tc>
      </w:tr>
    </w:tbl>
    <w:p w:rsidR="00327D08" w:rsidRPr="00C258AD" w:rsidRDefault="00327D08" w:rsidP="00327D08"/>
    <w:p w:rsidR="00327D08" w:rsidRPr="00C258AD" w:rsidRDefault="00327D08" w:rsidP="00327D08"/>
    <w:p w:rsidR="00327D08" w:rsidRPr="00C258AD" w:rsidRDefault="00327D08" w:rsidP="00327D08">
      <w:pPr>
        <w:keepNext/>
        <w:keepLines/>
        <w:rPr>
          <w:rFonts w:cs="Arial"/>
          <w:b/>
          <w:szCs w:val="16"/>
        </w:rPr>
      </w:pPr>
      <w:r w:rsidRPr="00C258AD">
        <w:rPr>
          <w:rFonts w:cs="Arial"/>
          <w:b/>
          <w:szCs w:val="16"/>
        </w:rPr>
        <w:lastRenderedPageBreak/>
        <w:t>ITALIE</w:t>
      </w:r>
    </w:p>
    <w:p w:rsidR="00327D08" w:rsidRPr="00C258AD" w:rsidRDefault="00327D08" w:rsidP="00327D08">
      <w:pPr>
        <w:keepNext/>
        <w:keepLines/>
        <w:rPr>
          <w:rFonts w:cs="Arial"/>
          <w:b/>
          <w:szCs w:val="16"/>
        </w:rPr>
      </w:pPr>
    </w:p>
    <w:tbl>
      <w:tblPr>
        <w:tblW w:w="5000" w:type="pct"/>
        <w:tblInd w:w="78" w:type="dxa"/>
        <w:tblBorders>
          <w:top w:val="single" w:sz="4" w:space="0" w:color="000000"/>
          <w:left w:val="single" w:sz="4" w:space="0" w:color="000000"/>
          <w:bottom w:val="single" w:sz="4" w:space="0" w:color="000000"/>
          <w:right w:val="single" w:sz="4" w:space="0" w:color="000000"/>
        </w:tblBorders>
        <w:tblCellMar>
          <w:top w:w="113" w:type="dxa"/>
          <w:left w:w="68" w:type="dxa"/>
          <w:bottom w:w="113" w:type="dxa"/>
          <w:right w:w="68" w:type="dxa"/>
        </w:tblCellMar>
        <w:tblLook w:val="0000" w:firstRow="0" w:lastRow="0" w:firstColumn="0" w:lastColumn="0" w:noHBand="0" w:noVBand="0"/>
      </w:tblPr>
      <w:tblGrid>
        <w:gridCol w:w="1868"/>
        <w:gridCol w:w="1276"/>
        <w:gridCol w:w="1976"/>
        <w:gridCol w:w="4371"/>
      </w:tblGrid>
      <w:tr w:rsidR="00327D08" w:rsidRPr="00C258AD" w:rsidTr="00927E1F">
        <w:trPr>
          <w:cantSplit/>
        </w:trPr>
        <w:tc>
          <w:tcPr>
            <w:tcW w:w="9528" w:type="dxa"/>
            <w:gridSpan w:val="4"/>
            <w:tcBorders>
              <w:top w:val="single" w:sz="4" w:space="0" w:color="000000"/>
              <w:bottom w:val="single" w:sz="4" w:space="0" w:color="000000"/>
            </w:tcBorders>
            <w:shd w:val="clear" w:color="auto" w:fill="C6D9F1" w:themeFill="text2" w:themeFillTint="33"/>
            <w:vAlign w:val="center"/>
          </w:tcPr>
          <w:p w:rsidR="00327D08" w:rsidRPr="00C258AD" w:rsidRDefault="00327D08" w:rsidP="00927E1F">
            <w:pPr>
              <w:keepNext/>
              <w:keepLines/>
              <w:tabs>
                <w:tab w:val="left" w:pos="1740"/>
              </w:tabs>
              <w:ind w:left="1740" w:hanging="1740"/>
              <w:rPr>
                <w:rFonts w:cs="Arial"/>
                <w:b/>
                <w:bCs/>
                <w:sz w:val="16"/>
                <w:szCs w:val="16"/>
              </w:rPr>
            </w:pPr>
            <w:r w:rsidRPr="00C258AD">
              <w:rPr>
                <w:rFonts w:cs="Arial"/>
                <w:b/>
                <w:bCs/>
                <w:sz w:val="16"/>
                <w:szCs w:val="16"/>
              </w:rPr>
              <w:t>RÉSULTAT</w:t>
            </w:r>
            <w:r w:rsidRPr="00C258AD">
              <w:rPr>
                <w:rFonts w:cs="Arial"/>
                <w:bCs/>
                <w:sz w:val="16"/>
                <w:szCs w:val="16"/>
              </w:rPr>
              <w:t xml:space="preserve"> : </w:t>
            </w:r>
            <w:r w:rsidRPr="00C258AD">
              <w:rPr>
                <w:rFonts w:cs="Arial"/>
                <w:bCs/>
                <w:sz w:val="16"/>
                <w:szCs w:val="16"/>
              </w:rPr>
              <w:tab/>
              <w:t>IV.2  Amélioration de l’accessibilité et de l’utilisation de l’information en matière de propriété intellectuelle par les institutions compétentes et le public afin de promouvoir l’innovation et la créativité</w:t>
            </w:r>
          </w:p>
        </w:tc>
      </w:tr>
      <w:tr w:rsidR="00327D08" w:rsidRPr="00C258AD" w:rsidTr="00927E1F">
        <w:trPr>
          <w:cantSplit/>
        </w:trPr>
        <w:tc>
          <w:tcPr>
            <w:tcW w:w="1873" w:type="dxa"/>
            <w:tcBorders>
              <w:top w:val="single" w:sz="4" w:space="0" w:color="000000"/>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276" w:type="dxa"/>
            <w:tcBorders>
              <w:top w:val="single" w:sz="4" w:space="0" w:color="000000"/>
            </w:tcBorders>
            <w:tcMar>
              <w:top w:w="110" w:type="dxa"/>
            </w:tcMar>
            <w:vAlign w:val="center"/>
          </w:tcPr>
          <w:p w:rsidR="00327D08" w:rsidRPr="00C258AD" w:rsidRDefault="00327D08" w:rsidP="00927E1F">
            <w:pPr>
              <w:rPr>
                <w:rFonts w:cs="Arial"/>
                <w:sz w:val="16"/>
                <w:szCs w:val="16"/>
              </w:rPr>
            </w:pPr>
            <w:r w:rsidRPr="00C258AD">
              <w:rPr>
                <w:rFonts w:cs="Arial"/>
                <w:sz w:val="16"/>
                <w:szCs w:val="16"/>
              </w:rPr>
              <w:t>Date</w:t>
            </w:r>
          </w:p>
        </w:tc>
        <w:tc>
          <w:tcPr>
            <w:tcW w:w="1985" w:type="dxa"/>
            <w:tcBorders>
              <w:top w:val="single" w:sz="4" w:space="0" w:color="000000"/>
            </w:tcBorders>
            <w:tcMar>
              <w:top w:w="110" w:type="dxa"/>
            </w:tcMar>
            <w:vAlign w:val="center"/>
          </w:tcPr>
          <w:p w:rsidR="00327D08" w:rsidRPr="00C258AD" w:rsidRDefault="00327D08" w:rsidP="00927E1F">
            <w:pPr>
              <w:rPr>
                <w:rFonts w:cs="Arial"/>
                <w:sz w:val="16"/>
                <w:szCs w:val="16"/>
              </w:rPr>
            </w:pPr>
            <w:r w:rsidRPr="00C258AD">
              <w:rPr>
                <w:b/>
                <w:sz w:val="16"/>
              </w:rPr>
              <w:t>Pays hôte/</w:t>
            </w:r>
            <w:r w:rsidRPr="00C258AD">
              <w:br/>
            </w:r>
            <w:r w:rsidRPr="00C258AD">
              <w:rPr>
                <w:b/>
                <w:sz w:val="16"/>
              </w:rPr>
              <w:t>bénéficiaires</w:t>
            </w:r>
          </w:p>
        </w:tc>
        <w:tc>
          <w:tcPr>
            <w:tcW w:w="4394" w:type="dxa"/>
            <w:tcBorders>
              <w:top w:val="single" w:sz="4" w:space="0" w:color="000000"/>
            </w:tcBorders>
            <w:shd w:val="clear" w:color="auto" w:fill="FFFFFF"/>
            <w:tcMar>
              <w:top w:w="110" w:type="dxa"/>
            </w:tcMar>
            <w:vAlign w:val="center"/>
          </w:tcPr>
          <w:p w:rsidR="00327D08" w:rsidRPr="00C258AD" w:rsidRDefault="00327D08" w:rsidP="00927E1F">
            <w:pPr>
              <w:rPr>
                <w:rFonts w:cs="Arial"/>
                <w:sz w:val="16"/>
                <w:szCs w:val="16"/>
              </w:rPr>
            </w:pPr>
            <w:r w:rsidRPr="00C258AD">
              <w:rPr>
                <w:b/>
                <w:sz w:val="16"/>
              </w:rPr>
              <w:t>Objectif(s)/description(s)</w:t>
            </w:r>
          </w:p>
        </w:tc>
      </w:tr>
      <w:tr w:rsidR="00327D08" w:rsidRPr="00C258AD" w:rsidTr="00927E1F">
        <w:trPr>
          <w:cantSplit/>
        </w:trPr>
        <w:tc>
          <w:tcPr>
            <w:tcW w:w="1873" w:type="dxa"/>
          </w:tcPr>
          <w:p w:rsidR="00327D08" w:rsidRPr="00C258AD" w:rsidRDefault="00327D08" w:rsidP="00927E1F">
            <w:pPr>
              <w:rPr>
                <w:rFonts w:cs="Arial"/>
                <w:sz w:val="16"/>
                <w:szCs w:val="16"/>
              </w:rPr>
            </w:pPr>
            <w:r w:rsidRPr="00C258AD">
              <w:rPr>
                <w:rFonts w:cs="Arial"/>
                <w:sz w:val="16"/>
                <w:szCs w:val="16"/>
              </w:rPr>
              <w:t>Création d’une base de données nationale de brevets en ligne au sein de l’Office italien des brevets et des marques (DGLC</w:t>
            </w:r>
            <w:r w:rsidRPr="00C258AD">
              <w:rPr>
                <w:rFonts w:cs="Arial"/>
                <w:sz w:val="16"/>
                <w:szCs w:val="16"/>
              </w:rPr>
              <w:noBreakHyphen/>
              <w:t>UIBM)</w:t>
            </w:r>
          </w:p>
        </w:tc>
        <w:tc>
          <w:tcPr>
            <w:tcW w:w="1276" w:type="dxa"/>
          </w:tcPr>
          <w:p w:rsidR="00327D08" w:rsidRPr="00C258AD" w:rsidRDefault="00327D08" w:rsidP="00927E1F">
            <w:pPr>
              <w:keepNext/>
              <w:keepLines/>
              <w:autoSpaceDE w:val="0"/>
              <w:autoSpaceDN w:val="0"/>
              <w:adjustRightInd w:val="0"/>
              <w:rPr>
                <w:rFonts w:cs="Arial"/>
                <w:sz w:val="16"/>
                <w:szCs w:val="16"/>
              </w:rPr>
            </w:pPr>
            <w:r w:rsidRPr="00C258AD">
              <w:rPr>
                <w:rFonts w:cs="Arial"/>
                <w:sz w:val="16"/>
                <w:szCs w:val="16"/>
              </w:rPr>
              <w:t>janvier à décembre 2015</w:t>
            </w:r>
          </w:p>
          <w:p w:rsidR="00327D08" w:rsidRPr="00C258AD" w:rsidRDefault="00327D08" w:rsidP="00927E1F">
            <w:pPr>
              <w:keepNext/>
              <w:keepLines/>
              <w:autoSpaceDE w:val="0"/>
              <w:autoSpaceDN w:val="0"/>
              <w:adjustRightInd w:val="0"/>
              <w:rPr>
                <w:rFonts w:cs="Arial"/>
                <w:sz w:val="16"/>
                <w:szCs w:val="16"/>
              </w:rPr>
            </w:pPr>
            <w:r w:rsidRPr="00C258AD">
              <w:rPr>
                <w:rFonts w:cs="Arial"/>
                <w:sz w:val="16"/>
                <w:szCs w:val="16"/>
              </w:rPr>
              <w:t>(en cours)</w:t>
            </w:r>
            <w:r w:rsidRPr="00C258AD">
              <w:rPr>
                <w:rStyle w:val="FootnoteReference"/>
                <w:rFonts w:cs="Arial"/>
                <w:sz w:val="16"/>
                <w:szCs w:val="16"/>
              </w:rPr>
              <w:footnoteReference w:id="157"/>
            </w:r>
          </w:p>
        </w:tc>
        <w:tc>
          <w:tcPr>
            <w:tcW w:w="1985" w:type="dxa"/>
          </w:tcPr>
          <w:p w:rsidR="00327D08" w:rsidRPr="00C258AD" w:rsidRDefault="00327D08" w:rsidP="00927E1F">
            <w:pPr>
              <w:keepNext/>
              <w:keepLines/>
              <w:rPr>
                <w:rFonts w:cs="Arial"/>
                <w:sz w:val="16"/>
                <w:szCs w:val="16"/>
              </w:rPr>
            </w:pPr>
            <w:r w:rsidRPr="00C258AD">
              <w:rPr>
                <w:rFonts w:cs="Arial"/>
                <w:sz w:val="16"/>
                <w:szCs w:val="16"/>
              </w:rPr>
              <w:t xml:space="preserve">Italie </w:t>
            </w:r>
          </w:p>
        </w:tc>
        <w:tc>
          <w:tcPr>
            <w:tcW w:w="4394" w:type="dxa"/>
          </w:tcPr>
          <w:p w:rsidR="00327D08" w:rsidRPr="00C258AD" w:rsidRDefault="00327D08" w:rsidP="00927E1F">
            <w:pPr>
              <w:keepNext/>
              <w:keepLines/>
              <w:rPr>
                <w:rFonts w:cs="Arial"/>
                <w:sz w:val="16"/>
                <w:szCs w:val="16"/>
              </w:rPr>
            </w:pPr>
            <w:r w:rsidRPr="00C258AD">
              <w:rPr>
                <w:rFonts w:cs="Arial"/>
                <w:sz w:val="16"/>
                <w:szCs w:val="16"/>
              </w:rPr>
              <w:t xml:space="preserve">i) Faciliter la participation de l’Italie aux accords multilatéraux en vigueur en matière de partage des informations et documents de brevet;  ii) fixer la base de la participation de l’Italie à PATENTSCOPE et à d’autres bases de données de brevets mondiales ou internationales (par exemple </w:t>
            </w:r>
            <w:proofErr w:type="spellStart"/>
            <w:r w:rsidRPr="00C258AD">
              <w:rPr>
                <w:rFonts w:cs="Arial"/>
                <w:sz w:val="16"/>
                <w:szCs w:val="16"/>
              </w:rPr>
              <w:t>Espacenet</w:t>
            </w:r>
            <w:proofErr w:type="spellEnd"/>
            <w:r w:rsidRPr="00C258AD">
              <w:rPr>
                <w:rFonts w:cs="Arial"/>
                <w:sz w:val="16"/>
                <w:szCs w:val="16"/>
              </w:rPr>
              <w:t>);  et iii) contribuer à la diffusion accrue de collections numérisées de brevets pour le bénéfice de tous les États membres de l’OMPI, y compris les pays en développement.</w:t>
            </w:r>
          </w:p>
        </w:tc>
      </w:tr>
      <w:tr w:rsidR="00327D08" w:rsidRPr="00C258AD" w:rsidTr="00927E1F">
        <w:trPr>
          <w:cantSplit/>
        </w:trPr>
        <w:tc>
          <w:tcPr>
            <w:tcW w:w="187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Relecture et publication d’un guide sur la propriété intellectuelle pour les petites et moyennes entreprises du secteur agroalimentaire</w:t>
            </w:r>
            <w:r w:rsidRPr="00C258AD">
              <w:rPr>
                <w:rStyle w:val="FootnoteReference"/>
                <w:rFonts w:cs="Arial"/>
                <w:sz w:val="16"/>
                <w:szCs w:val="16"/>
              </w:rPr>
              <w:footnoteReference w:id="158"/>
            </w:r>
          </w:p>
        </w:tc>
        <w:tc>
          <w:tcPr>
            <w:tcW w:w="1276" w:type="dxa"/>
          </w:tcPr>
          <w:p w:rsidR="00327D08" w:rsidRPr="00C258AD" w:rsidRDefault="00327D08" w:rsidP="00927E1F">
            <w:pPr>
              <w:keepNext/>
              <w:keepLines/>
              <w:rPr>
                <w:rFonts w:cs="Arial"/>
                <w:sz w:val="16"/>
                <w:szCs w:val="16"/>
              </w:rPr>
            </w:pPr>
            <w:r w:rsidRPr="00C258AD">
              <w:rPr>
                <w:rFonts w:cs="Arial"/>
                <w:bCs/>
                <w:sz w:val="16"/>
                <w:szCs w:val="16"/>
              </w:rPr>
              <w:t>janvier à juillet 2015</w:t>
            </w:r>
            <w:r w:rsidRPr="00C258AD">
              <w:rPr>
                <w:rStyle w:val="FootnoteReference"/>
                <w:rFonts w:cs="Arial"/>
                <w:bCs/>
                <w:sz w:val="16"/>
                <w:szCs w:val="16"/>
              </w:rPr>
              <w:footnoteReference w:id="159"/>
            </w:r>
          </w:p>
        </w:tc>
        <w:tc>
          <w:tcPr>
            <w:tcW w:w="1985" w:type="dxa"/>
          </w:tcPr>
          <w:p w:rsidR="00327D08" w:rsidRPr="00C258AD" w:rsidRDefault="00327D08" w:rsidP="00927E1F">
            <w:pPr>
              <w:keepNext/>
              <w:keepLines/>
              <w:rPr>
                <w:rFonts w:cs="Arial"/>
                <w:sz w:val="16"/>
                <w:szCs w:val="16"/>
              </w:rPr>
            </w:pPr>
            <w:r w:rsidRPr="00C258AD">
              <w:rPr>
                <w:rFonts w:cs="Arial"/>
                <w:sz w:val="16"/>
                <w:szCs w:val="16"/>
              </w:rPr>
              <w:t xml:space="preserve">Italie </w:t>
            </w:r>
          </w:p>
        </w:tc>
        <w:tc>
          <w:tcPr>
            <w:tcW w:w="4394" w:type="dxa"/>
          </w:tcPr>
          <w:p w:rsidR="00327D08" w:rsidRPr="00C258AD" w:rsidRDefault="00327D08" w:rsidP="00927E1F">
            <w:pPr>
              <w:keepNext/>
              <w:keepLines/>
              <w:autoSpaceDE w:val="0"/>
              <w:autoSpaceDN w:val="0"/>
              <w:adjustRightInd w:val="0"/>
              <w:rPr>
                <w:rFonts w:cs="Arial"/>
                <w:sz w:val="16"/>
                <w:szCs w:val="16"/>
              </w:rPr>
            </w:pPr>
            <w:r w:rsidRPr="00C258AD">
              <w:rPr>
                <w:rFonts w:cs="Arial"/>
                <w:sz w:val="16"/>
                <w:szCs w:val="16"/>
              </w:rPr>
              <w:t>La publication et la diffusion du guide à l’Exposition universelle de Milan 2015 organisée autour du thème “</w:t>
            </w:r>
            <w:r w:rsidRPr="00C258AD">
              <w:rPr>
                <w:rFonts w:cs="Arial"/>
                <w:bCs/>
                <w:sz w:val="16"/>
                <w:szCs w:val="16"/>
              </w:rPr>
              <w:t>Nourrir la planète, énergie pour la vie”</w:t>
            </w:r>
            <w:r w:rsidRPr="00C258AD">
              <w:rPr>
                <w:rFonts w:cs="Arial"/>
                <w:sz w:val="16"/>
                <w:szCs w:val="16"/>
              </w:rPr>
              <w:t> ont contribué à la réflexion sur l’utilisation de la propriété intellectuelle dans l’industrie agroalimentaire mondiale.</w:t>
            </w:r>
          </w:p>
        </w:tc>
      </w:tr>
    </w:tbl>
    <w:p w:rsidR="00327D08" w:rsidRPr="00C258AD" w:rsidRDefault="00327D08" w:rsidP="00327D08">
      <w:pPr>
        <w:rPr>
          <w:rFonts w:cs="Arial"/>
          <w:szCs w:val="20"/>
        </w:rPr>
      </w:pPr>
    </w:p>
    <w:p w:rsidR="00327D08" w:rsidRPr="00C258AD" w:rsidRDefault="00327D08" w:rsidP="00327D08">
      <w:pPr>
        <w:rPr>
          <w:rFonts w:cs="Arial"/>
          <w:szCs w:val="20"/>
        </w:rPr>
      </w:pPr>
    </w:p>
    <w:p w:rsidR="00327D08" w:rsidRPr="00C258AD" w:rsidRDefault="00327D08" w:rsidP="00327D08">
      <w:pPr>
        <w:rPr>
          <w:rFonts w:cs="Arial"/>
          <w:b/>
          <w:szCs w:val="20"/>
        </w:rPr>
      </w:pPr>
      <w:r w:rsidRPr="00C258AD">
        <w:rPr>
          <w:rFonts w:cs="Arial"/>
          <w:b/>
          <w:szCs w:val="20"/>
        </w:rPr>
        <w:t>ITALIE — Contributions des donateurs et dépenses en 2015</w:t>
      </w:r>
    </w:p>
    <w:p w:rsidR="00327D08" w:rsidRPr="00C258AD" w:rsidRDefault="00327D08" w:rsidP="00327D08">
      <w:pPr>
        <w:rPr>
          <w:rFonts w:cs="Arial"/>
          <w:szCs w:val="20"/>
        </w:rPr>
      </w:pPr>
    </w:p>
    <w:tbl>
      <w:tblPr>
        <w:tblW w:w="5000" w:type="pct"/>
        <w:tblInd w:w="98" w:type="dxa"/>
        <w:tblCellMar>
          <w:top w:w="113" w:type="dxa"/>
          <w:left w:w="68" w:type="dxa"/>
          <w:bottom w:w="113" w:type="dxa"/>
          <w:right w:w="68" w:type="dxa"/>
        </w:tblCellMar>
        <w:tblLook w:val="04A0" w:firstRow="1" w:lastRow="0" w:firstColumn="1" w:lastColumn="0" w:noHBand="0" w:noVBand="1"/>
      </w:tblPr>
      <w:tblGrid>
        <w:gridCol w:w="2037"/>
        <w:gridCol w:w="1635"/>
        <w:gridCol w:w="1855"/>
        <w:gridCol w:w="1780"/>
        <w:gridCol w:w="2184"/>
      </w:tblGrid>
      <w:tr w:rsidR="00327D08" w:rsidRPr="00C258AD" w:rsidTr="00927E1F">
        <w:trPr>
          <w:cantSplit/>
        </w:trPr>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2014</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Recettes 2015</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Dépenses 2015</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Remboursements</w:t>
            </w:r>
          </w:p>
        </w:tc>
        <w:tc>
          <w:tcPr>
            <w:tcW w:w="2188" w:type="dxa"/>
            <w:tcBorders>
              <w:top w:val="single" w:sz="8" w:space="0" w:color="auto"/>
              <w:left w:val="nil"/>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2015</w:t>
            </w:r>
          </w:p>
        </w:tc>
      </w:tr>
      <w:tr w:rsidR="00327D08" w:rsidRPr="00C258AD" w:rsidTr="00927E1F">
        <w:trPr>
          <w:cantSplit/>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1 233 536</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noBreakHyphen/>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436 938</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27D08" w:rsidRPr="00C258AD" w:rsidRDefault="00327D08" w:rsidP="00927E1F">
            <w:pPr>
              <w:jc w:val="center"/>
              <w:rPr>
                <w:rFonts w:cs="Arial"/>
                <w:sz w:val="16"/>
                <w:szCs w:val="16"/>
              </w:rPr>
            </w:pPr>
            <w:r w:rsidRPr="00C258AD">
              <w:rPr>
                <w:rFonts w:cs="Arial"/>
                <w:sz w:val="16"/>
                <w:szCs w:val="16"/>
              </w:rPr>
              <w:noBreakHyphen/>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796 598</w:t>
            </w:r>
          </w:p>
        </w:tc>
      </w:tr>
    </w:tbl>
    <w:p w:rsidR="00327D08" w:rsidRPr="00C258AD" w:rsidRDefault="00327D08" w:rsidP="00327D08">
      <w:pPr>
        <w:rPr>
          <w:rFonts w:cs="Arial"/>
          <w:b/>
          <w:szCs w:val="20"/>
        </w:rPr>
      </w:pPr>
    </w:p>
    <w:p w:rsidR="00327D08" w:rsidRPr="00C258AD" w:rsidRDefault="00327D08" w:rsidP="00327D08">
      <w:pPr>
        <w:rPr>
          <w:rFonts w:cs="Arial"/>
          <w:b/>
          <w:szCs w:val="20"/>
        </w:rPr>
      </w:pPr>
    </w:p>
    <w:p w:rsidR="00327D08" w:rsidRPr="00C258AD" w:rsidRDefault="00327D08" w:rsidP="00327D08">
      <w:pPr>
        <w:rPr>
          <w:rFonts w:cs="Arial"/>
          <w:b/>
          <w:szCs w:val="16"/>
          <w:lang w:eastAsia="ja-JP"/>
        </w:rPr>
      </w:pPr>
      <w:r w:rsidRPr="00C258AD">
        <w:rPr>
          <w:rFonts w:cs="Arial"/>
          <w:b/>
          <w:szCs w:val="16"/>
          <w:lang w:eastAsia="ja-JP"/>
        </w:rPr>
        <w:t>JAPON/DROIT D’AUTEUR</w:t>
      </w:r>
    </w:p>
    <w:p w:rsidR="00327D08" w:rsidRPr="00C258AD" w:rsidRDefault="00327D08" w:rsidP="00327D08">
      <w:pPr>
        <w:rPr>
          <w:rFonts w:cs="Arial"/>
          <w:b/>
          <w:szCs w:val="16"/>
          <w:lang w:eastAsia="ja-JP"/>
        </w:rPr>
      </w:pPr>
    </w:p>
    <w:tbl>
      <w:tblPr>
        <w:tblW w:w="5000" w:type="pct"/>
        <w:tblInd w:w="108" w:type="dxa"/>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1817"/>
        <w:gridCol w:w="1293"/>
        <w:gridCol w:w="2084"/>
        <w:gridCol w:w="4297"/>
      </w:tblGrid>
      <w:tr w:rsidR="00327D08" w:rsidRPr="00C258AD" w:rsidTr="00927E1F">
        <w:trPr>
          <w:cantSplit/>
        </w:trPr>
        <w:tc>
          <w:tcPr>
            <w:tcW w:w="9498" w:type="dxa"/>
            <w:gridSpan w:val="4"/>
            <w:tcBorders>
              <w:top w:val="single" w:sz="4" w:space="0" w:color="auto"/>
              <w:bottom w:val="single" w:sz="4" w:space="0" w:color="auto"/>
            </w:tcBorders>
            <w:shd w:val="clear" w:color="auto" w:fill="C6D9F1" w:themeFill="text2" w:themeFillTint="33"/>
            <w:vAlign w:val="center"/>
          </w:tcPr>
          <w:p w:rsidR="00327D08" w:rsidRPr="00C258AD" w:rsidRDefault="00327D08" w:rsidP="00927E1F">
            <w:pPr>
              <w:keepNext/>
              <w:keepLines/>
              <w:tabs>
                <w:tab w:val="left" w:pos="1740"/>
              </w:tabs>
              <w:ind w:left="1740" w:hanging="1740"/>
              <w:rPr>
                <w:rFonts w:cs="Arial"/>
                <w:b/>
                <w:bCs/>
                <w:sz w:val="16"/>
                <w:szCs w:val="16"/>
              </w:rPr>
            </w:pPr>
            <w:r w:rsidRPr="00C258AD">
              <w:rPr>
                <w:rFonts w:cs="Arial"/>
                <w:b/>
                <w:bCs/>
                <w:sz w:val="16"/>
                <w:szCs w:val="16"/>
              </w:rPr>
              <w:t xml:space="preserve">RÉSULTAT : </w:t>
            </w:r>
            <w:r w:rsidRPr="00C258AD">
              <w:rPr>
                <w:rFonts w:cs="Arial"/>
                <w:b/>
                <w:bCs/>
                <w:sz w:val="16"/>
                <w:szCs w:val="16"/>
              </w:rPr>
              <w:tab/>
            </w:r>
            <w:r w:rsidRPr="00C258AD">
              <w:rPr>
                <w:rFonts w:cs="Arial"/>
                <w:bCs/>
                <w:sz w:val="16"/>
                <w:szCs w:val="16"/>
              </w:rPr>
              <w:t>III.2  Mise en valeur des ressources humaines pour répondre aux diverses exigences en matière d’utilisation efficace de la propriété intellectuelle au service du développement dans les pays en développement, les PMA et les pays en transition</w:t>
            </w:r>
          </w:p>
        </w:tc>
      </w:tr>
      <w:tr w:rsidR="00327D08" w:rsidRPr="00C258AD" w:rsidTr="00927E1F">
        <w:trPr>
          <w:cantSplit/>
        </w:trPr>
        <w:tc>
          <w:tcPr>
            <w:tcW w:w="1843" w:type="dxa"/>
            <w:tcBorders>
              <w:top w:val="single" w:sz="4" w:space="0" w:color="auto"/>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134" w:type="dxa"/>
            <w:tcBorders>
              <w:top w:val="single" w:sz="4" w:space="0" w:color="auto"/>
            </w:tcBorders>
            <w:shd w:val="clear" w:color="auto" w:fill="auto"/>
            <w:tcMar>
              <w:top w:w="110" w:type="dxa"/>
            </w:tcMar>
            <w:vAlign w:val="center"/>
          </w:tcPr>
          <w:p w:rsidR="00327D08" w:rsidRPr="00C258AD" w:rsidRDefault="00327D08" w:rsidP="00927E1F">
            <w:pPr>
              <w:keepNext/>
              <w:keepLines/>
              <w:rPr>
                <w:rFonts w:cs="Arial"/>
                <w:sz w:val="16"/>
                <w:szCs w:val="16"/>
              </w:rPr>
            </w:pPr>
            <w:r w:rsidRPr="00C258AD">
              <w:rPr>
                <w:rFonts w:cs="Arial"/>
                <w:sz w:val="16"/>
                <w:szCs w:val="16"/>
              </w:rPr>
              <w:t>Date</w:t>
            </w:r>
          </w:p>
        </w:tc>
        <w:tc>
          <w:tcPr>
            <w:tcW w:w="2126" w:type="dxa"/>
            <w:tcBorders>
              <w:top w:val="single" w:sz="4" w:space="0" w:color="auto"/>
            </w:tcBorders>
            <w:shd w:val="clear" w:color="auto" w:fill="auto"/>
            <w:tcMar>
              <w:top w:w="110" w:type="dxa"/>
            </w:tcMar>
            <w:vAlign w:val="center"/>
          </w:tcPr>
          <w:p w:rsidR="00327D08" w:rsidRPr="00C258AD" w:rsidRDefault="00327D08" w:rsidP="00927E1F">
            <w:pPr>
              <w:keepNext/>
              <w:keepLines/>
              <w:rPr>
                <w:rFonts w:cs="Arial"/>
                <w:sz w:val="16"/>
                <w:szCs w:val="16"/>
              </w:rPr>
            </w:pPr>
            <w:r w:rsidRPr="00C258AD">
              <w:rPr>
                <w:b/>
                <w:sz w:val="16"/>
              </w:rPr>
              <w:t>Pays hôte/</w:t>
            </w:r>
            <w:r w:rsidRPr="00C258AD">
              <w:br/>
            </w:r>
            <w:r w:rsidRPr="00C258AD">
              <w:rPr>
                <w:b/>
                <w:sz w:val="16"/>
              </w:rPr>
              <w:t>bénéficiaires</w:t>
            </w:r>
          </w:p>
        </w:tc>
        <w:tc>
          <w:tcPr>
            <w:tcW w:w="4395" w:type="dxa"/>
            <w:tcBorders>
              <w:top w:val="single" w:sz="4" w:space="0" w:color="auto"/>
            </w:tcBorders>
            <w:shd w:val="clear" w:color="auto" w:fill="FFFFFF"/>
            <w:tcMar>
              <w:top w:w="110" w:type="dxa"/>
            </w:tcMar>
            <w:vAlign w:val="center"/>
          </w:tcPr>
          <w:p w:rsidR="00327D08" w:rsidRPr="00C258AD" w:rsidRDefault="00327D08" w:rsidP="00927E1F">
            <w:pPr>
              <w:keepNext/>
              <w:keepLines/>
              <w:rPr>
                <w:rFonts w:cs="Arial"/>
                <w:sz w:val="16"/>
                <w:szCs w:val="16"/>
              </w:rPr>
            </w:pPr>
            <w:r w:rsidRPr="00C258AD">
              <w:rPr>
                <w:b/>
                <w:sz w:val="16"/>
              </w:rPr>
              <w:t>Objectif(s)/description(s)</w:t>
            </w:r>
          </w:p>
        </w:tc>
      </w:tr>
      <w:tr w:rsidR="00327D08" w:rsidRPr="00C258AD" w:rsidTr="00927E1F">
        <w:trPr>
          <w:cantSplit/>
        </w:trPr>
        <w:tc>
          <w:tcPr>
            <w:tcW w:w="1843" w:type="dxa"/>
          </w:tcPr>
          <w:p w:rsidR="00327D08" w:rsidRPr="00C258AD" w:rsidDel="009E0498" w:rsidRDefault="00327D08" w:rsidP="00927E1F">
            <w:pPr>
              <w:autoSpaceDE w:val="0"/>
              <w:autoSpaceDN w:val="0"/>
              <w:adjustRightInd w:val="0"/>
              <w:rPr>
                <w:rFonts w:cs="Arial"/>
                <w:sz w:val="16"/>
                <w:szCs w:val="16"/>
              </w:rPr>
            </w:pPr>
            <w:r w:rsidRPr="00C258AD">
              <w:rPr>
                <w:rFonts w:cs="Arial"/>
                <w:sz w:val="16"/>
                <w:szCs w:val="16"/>
              </w:rPr>
              <w:t>Atelier national sur le droit d’auteur et les droits connexes</w:t>
            </w:r>
          </w:p>
        </w:tc>
        <w:tc>
          <w:tcPr>
            <w:tcW w:w="1134"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3 – 4 mars 2015</w:t>
            </w:r>
          </w:p>
        </w:tc>
        <w:tc>
          <w:tcPr>
            <w:tcW w:w="212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Bangladesh/ plus de 50 participants locaux</w:t>
            </w:r>
          </w:p>
        </w:tc>
        <w:tc>
          <w:tcPr>
            <w:tcW w:w="4395" w:type="dxa"/>
          </w:tcPr>
          <w:p w:rsidR="00327D08" w:rsidRPr="00C258AD" w:rsidDel="00152E3E" w:rsidRDefault="00327D08" w:rsidP="00927E1F">
            <w:pPr>
              <w:autoSpaceDE w:val="0"/>
              <w:autoSpaceDN w:val="0"/>
              <w:adjustRightInd w:val="0"/>
              <w:rPr>
                <w:rFonts w:cs="Arial"/>
                <w:sz w:val="16"/>
                <w:szCs w:val="16"/>
              </w:rPr>
            </w:pPr>
            <w:r w:rsidRPr="00C258AD">
              <w:rPr>
                <w:rFonts w:cs="Arial"/>
                <w:sz w:val="16"/>
                <w:szCs w:val="16"/>
              </w:rPr>
              <w:t>Mieux faire connaître le droit d’auteur et les droits connexes ainsi que leur rôle dans le développement culturel et économique.</w:t>
            </w:r>
          </w:p>
        </w:tc>
      </w:tr>
      <w:tr w:rsidR="00327D08" w:rsidRPr="00C258AD" w:rsidTr="00927E1F">
        <w:trPr>
          <w:cantSplit/>
        </w:trPr>
        <w:tc>
          <w:tcPr>
            <w:tcW w:w="1843" w:type="dxa"/>
          </w:tcPr>
          <w:p w:rsidR="00327D08" w:rsidRPr="00C258AD" w:rsidDel="009E0498" w:rsidRDefault="00327D08" w:rsidP="00927E1F">
            <w:pPr>
              <w:autoSpaceDE w:val="0"/>
              <w:autoSpaceDN w:val="0"/>
              <w:adjustRightInd w:val="0"/>
              <w:rPr>
                <w:rFonts w:cs="Arial"/>
                <w:sz w:val="16"/>
                <w:szCs w:val="16"/>
              </w:rPr>
            </w:pPr>
            <w:r w:rsidRPr="00C258AD">
              <w:rPr>
                <w:rFonts w:cs="Arial"/>
                <w:sz w:val="16"/>
                <w:szCs w:val="16"/>
              </w:rPr>
              <w:t>Atelier national sur le rôle du droit d’auteur et des droits connexes dans le développement économique et culturel</w:t>
            </w:r>
          </w:p>
        </w:tc>
        <w:tc>
          <w:tcPr>
            <w:tcW w:w="1134"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6 – 7 juillet 2015</w:t>
            </w:r>
          </w:p>
        </w:tc>
        <w:tc>
          <w:tcPr>
            <w:tcW w:w="212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Myanmar/ quelque 90 participants locaux</w:t>
            </w:r>
          </w:p>
        </w:tc>
        <w:tc>
          <w:tcPr>
            <w:tcW w:w="4395" w:type="dxa"/>
          </w:tcPr>
          <w:p w:rsidR="00327D08" w:rsidRPr="00C258AD" w:rsidDel="00152E3E" w:rsidRDefault="00327D08" w:rsidP="00927E1F">
            <w:pPr>
              <w:autoSpaceDE w:val="0"/>
              <w:autoSpaceDN w:val="0"/>
              <w:adjustRightInd w:val="0"/>
              <w:rPr>
                <w:rFonts w:cs="Arial"/>
                <w:sz w:val="16"/>
                <w:szCs w:val="16"/>
              </w:rPr>
            </w:pPr>
            <w:r w:rsidRPr="00C258AD">
              <w:rPr>
                <w:rFonts w:cs="Arial"/>
                <w:sz w:val="16"/>
                <w:szCs w:val="16"/>
              </w:rPr>
              <w:t xml:space="preserve">i) Promouvoir une meilleure compréhension du rôle du droit d’auteur et des droits connexes dans le développement culturel et économique, et ii) contribuer à encourager une exploitation efficace des ouvrages culturels par le biais du droit d’auteur et des droits connexes </w:t>
            </w:r>
          </w:p>
        </w:tc>
      </w:tr>
      <w:tr w:rsidR="00327D08" w:rsidRPr="00C258AD" w:rsidTr="00927E1F">
        <w:trPr>
          <w:cantSplit/>
        </w:trPr>
        <w:tc>
          <w:tcPr>
            <w:tcW w:w="1843" w:type="dxa"/>
            <w:tcBorders>
              <w:bottom w:val="single" w:sz="4" w:space="0" w:color="auto"/>
            </w:tcBorders>
          </w:tcPr>
          <w:p w:rsidR="00327D08" w:rsidRPr="00C258AD" w:rsidDel="009E0498" w:rsidRDefault="00327D08" w:rsidP="00927E1F">
            <w:pPr>
              <w:autoSpaceDE w:val="0"/>
              <w:autoSpaceDN w:val="0"/>
              <w:adjustRightInd w:val="0"/>
              <w:rPr>
                <w:rFonts w:cs="Arial"/>
                <w:sz w:val="16"/>
                <w:szCs w:val="16"/>
              </w:rPr>
            </w:pPr>
            <w:r w:rsidRPr="00C258AD">
              <w:rPr>
                <w:rFonts w:cs="Arial"/>
                <w:sz w:val="16"/>
                <w:szCs w:val="16"/>
              </w:rPr>
              <w:t>Atelier national sur le droit d’auteur et les droits connexes et les questions émergentes</w:t>
            </w:r>
          </w:p>
        </w:tc>
        <w:tc>
          <w:tcPr>
            <w:tcW w:w="1134" w:type="dxa"/>
            <w:tcBorders>
              <w:bottom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5 – 6 août 2015</w:t>
            </w:r>
          </w:p>
        </w:tc>
        <w:tc>
          <w:tcPr>
            <w:tcW w:w="2126" w:type="dxa"/>
            <w:tcBorders>
              <w:bottom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Viet Nam/ quelque 100 participants locaux</w:t>
            </w:r>
          </w:p>
        </w:tc>
        <w:tc>
          <w:tcPr>
            <w:tcW w:w="4395" w:type="dxa"/>
            <w:tcBorders>
              <w:bottom w:val="single" w:sz="4" w:space="0" w:color="auto"/>
            </w:tcBorders>
          </w:tcPr>
          <w:p w:rsidR="00327D08" w:rsidRPr="00C258AD" w:rsidDel="00152E3E" w:rsidRDefault="00327D08" w:rsidP="00927E1F">
            <w:pPr>
              <w:autoSpaceDE w:val="0"/>
              <w:autoSpaceDN w:val="0"/>
              <w:adjustRightInd w:val="0"/>
              <w:rPr>
                <w:rFonts w:cs="Arial"/>
                <w:sz w:val="16"/>
                <w:szCs w:val="16"/>
              </w:rPr>
            </w:pPr>
            <w:r w:rsidRPr="00C258AD">
              <w:rPr>
                <w:rFonts w:cs="Arial"/>
                <w:sz w:val="16"/>
                <w:szCs w:val="16"/>
                <w:lang w:eastAsia="ja-JP"/>
              </w:rPr>
              <w:t>i)</w:t>
            </w:r>
            <w:r w:rsidRPr="00C258AD">
              <w:rPr>
                <w:rFonts w:cs="Arial"/>
                <w:sz w:val="16"/>
                <w:szCs w:val="16"/>
              </w:rPr>
              <w:t xml:space="preserve"> Promouvoir une meilleure compréhension des tendances récentes en matière de droit d’auteur et de droits connexes ainsi que de la technologie et de ses incidences sur le système du droit d’auteur</w:t>
            </w:r>
            <w:r w:rsidRPr="00C258AD">
              <w:rPr>
                <w:rFonts w:cs="Arial"/>
                <w:sz w:val="16"/>
                <w:szCs w:val="16"/>
                <w:lang w:eastAsia="ja-JP"/>
              </w:rPr>
              <w:t xml:space="preserve">; </w:t>
            </w:r>
            <w:r w:rsidRPr="00C258AD">
              <w:rPr>
                <w:rFonts w:cs="Arial"/>
                <w:sz w:val="16"/>
                <w:szCs w:val="16"/>
              </w:rPr>
              <w:t xml:space="preserve"> et </w:t>
            </w:r>
            <w:r w:rsidRPr="00C258AD">
              <w:rPr>
                <w:rFonts w:cs="Arial"/>
                <w:sz w:val="16"/>
                <w:szCs w:val="16"/>
                <w:lang w:eastAsia="ja-JP"/>
              </w:rPr>
              <w:t>ii)</w:t>
            </w:r>
            <w:r w:rsidRPr="00C258AD">
              <w:rPr>
                <w:rFonts w:cs="Arial"/>
                <w:sz w:val="16"/>
                <w:szCs w:val="16"/>
              </w:rPr>
              <w:t> </w:t>
            </w:r>
            <w:r w:rsidRPr="00C258AD">
              <w:rPr>
                <w:rFonts w:cs="Arial"/>
                <w:sz w:val="16"/>
                <w:szCs w:val="16"/>
                <w:lang w:eastAsia="ja-JP"/>
              </w:rPr>
              <w:t>passer en revue les questions et enjeux qui se posent dans le domaine du droit d’auteur et des droits connexes dans l’environnement numérique</w:t>
            </w:r>
            <w:r w:rsidRPr="00C258AD">
              <w:rPr>
                <w:rFonts w:cs="Arial"/>
                <w:sz w:val="16"/>
                <w:szCs w:val="16"/>
              </w:rPr>
              <w:t>.</w:t>
            </w:r>
          </w:p>
        </w:tc>
      </w:tr>
      <w:tr w:rsidR="00327D08" w:rsidRPr="00C258AD" w:rsidTr="00927E1F">
        <w:trPr>
          <w:cantSplit/>
        </w:trPr>
        <w:tc>
          <w:tcPr>
            <w:tcW w:w="9498" w:type="dxa"/>
            <w:gridSpan w:val="4"/>
            <w:tcBorders>
              <w:top w:val="single" w:sz="4" w:space="0" w:color="auto"/>
              <w:bottom w:val="single" w:sz="4" w:space="0" w:color="auto"/>
            </w:tcBorders>
            <w:shd w:val="clear" w:color="auto" w:fill="C6D9F1" w:themeFill="text2" w:themeFillTint="33"/>
          </w:tcPr>
          <w:p w:rsidR="00327D08" w:rsidRPr="00C258AD" w:rsidDel="00152E3E" w:rsidRDefault="00327D08" w:rsidP="00927E1F">
            <w:pPr>
              <w:keepNext/>
              <w:keepLines/>
              <w:tabs>
                <w:tab w:val="left" w:pos="1740"/>
              </w:tabs>
              <w:ind w:left="1740" w:hanging="1740"/>
              <w:rPr>
                <w:rFonts w:cs="Arial"/>
                <w:sz w:val="16"/>
                <w:szCs w:val="16"/>
              </w:rPr>
            </w:pPr>
            <w:r w:rsidRPr="00C258AD">
              <w:rPr>
                <w:rFonts w:cs="Arial"/>
                <w:b/>
                <w:sz w:val="16"/>
                <w:szCs w:val="16"/>
              </w:rPr>
              <w:lastRenderedPageBreak/>
              <w:t xml:space="preserve">RÉSULTAT : </w:t>
            </w:r>
            <w:r w:rsidRPr="00C258AD">
              <w:rPr>
                <w:rFonts w:cs="Arial"/>
                <w:sz w:val="16"/>
                <w:szCs w:val="16"/>
              </w:rPr>
              <w:tab/>
              <w:t>IV.4 Amélioration de l’infrastructure technique et du savoir pour les offices de propriété intellectuelle et les autres institutions de propriété intellectuelle, leur permettant de fournir à leurs parties prenantes des services améliorés (moins chers, plus rapides, de meilleure qualité)</w:t>
            </w:r>
          </w:p>
        </w:tc>
      </w:tr>
      <w:tr w:rsidR="00327D08" w:rsidRPr="00C258AD" w:rsidTr="00927E1F">
        <w:trPr>
          <w:cantSplit/>
        </w:trPr>
        <w:tc>
          <w:tcPr>
            <w:tcW w:w="1843" w:type="dxa"/>
            <w:tcBorders>
              <w:top w:val="single" w:sz="4" w:space="0" w:color="auto"/>
            </w:tcBorders>
            <w:vAlign w:val="center"/>
          </w:tcPr>
          <w:p w:rsidR="00327D08" w:rsidRPr="00C258AD" w:rsidRDefault="00327D08" w:rsidP="00927E1F">
            <w:pPr>
              <w:keepNext/>
              <w:keepLines/>
              <w:rPr>
                <w:rFonts w:cs="Arial"/>
                <w:sz w:val="16"/>
                <w:szCs w:val="16"/>
              </w:rPr>
            </w:pPr>
            <w:r w:rsidRPr="00C258AD">
              <w:rPr>
                <w:b/>
                <w:sz w:val="16"/>
              </w:rPr>
              <w:t>Activité</w:t>
            </w:r>
          </w:p>
        </w:tc>
        <w:tc>
          <w:tcPr>
            <w:tcW w:w="1134" w:type="dxa"/>
            <w:tcBorders>
              <w:top w:val="single" w:sz="4" w:space="0" w:color="auto"/>
            </w:tcBorders>
            <w:vAlign w:val="center"/>
          </w:tcPr>
          <w:p w:rsidR="00327D08" w:rsidRPr="00C258AD" w:rsidRDefault="00327D08" w:rsidP="00927E1F">
            <w:pPr>
              <w:rPr>
                <w:rFonts w:cs="Arial"/>
                <w:sz w:val="16"/>
                <w:szCs w:val="16"/>
              </w:rPr>
            </w:pPr>
            <w:r w:rsidRPr="00C258AD">
              <w:rPr>
                <w:rFonts w:cs="Arial"/>
                <w:sz w:val="16"/>
                <w:szCs w:val="16"/>
              </w:rPr>
              <w:t>Date</w:t>
            </w:r>
          </w:p>
        </w:tc>
        <w:tc>
          <w:tcPr>
            <w:tcW w:w="2126" w:type="dxa"/>
            <w:tcBorders>
              <w:top w:val="single" w:sz="4" w:space="0" w:color="auto"/>
            </w:tcBorders>
            <w:vAlign w:val="center"/>
          </w:tcPr>
          <w:p w:rsidR="00327D08" w:rsidRPr="00C258AD" w:rsidRDefault="00327D08" w:rsidP="00927E1F">
            <w:pPr>
              <w:rPr>
                <w:rFonts w:cs="Arial"/>
                <w:sz w:val="16"/>
                <w:szCs w:val="16"/>
              </w:rPr>
            </w:pPr>
            <w:r w:rsidRPr="00C258AD">
              <w:rPr>
                <w:b/>
                <w:sz w:val="16"/>
              </w:rPr>
              <w:t>Pays hôte/</w:t>
            </w:r>
            <w:r w:rsidRPr="00C258AD">
              <w:br/>
            </w:r>
            <w:r w:rsidRPr="00C258AD">
              <w:rPr>
                <w:b/>
                <w:sz w:val="16"/>
              </w:rPr>
              <w:t>bénéficiaires</w:t>
            </w:r>
          </w:p>
        </w:tc>
        <w:tc>
          <w:tcPr>
            <w:tcW w:w="4395" w:type="dxa"/>
            <w:tcBorders>
              <w:top w:val="single" w:sz="4" w:space="0" w:color="auto"/>
            </w:tcBorders>
            <w:vAlign w:val="center"/>
          </w:tcPr>
          <w:p w:rsidR="00327D08" w:rsidRPr="00C258AD" w:rsidRDefault="00327D08" w:rsidP="00927E1F">
            <w:pPr>
              <w:rPr>
                <w:rFonts w:cs="Arial"/>
                <w:sz w:val="16"/>
                <w:szCs w:val="16"/>
              </w:rPr>
            </w:pPr>
            <w:r w:rsidRPr="00C258AD">
              <w:rPr>
                <w:b/>
                <w:sz w:val="16"/>
              </w:rPr>
              <w:t>Objectif(s)/description(s)</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Atelier sur la protection du droit d’auteur et des droits connexes</w:t>
            </w:r>
          </w:p>
        </w:tc>
        <w:tc>
          <w:tcPr>
            <w:tcW w:w="1134"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2 – 13 février 2015</w:t>
            </w:r>
          </w:p>
        </w:tc>
        <w:tc>
          <w:tcPr>
            <w:tcW w:w="212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 xml:space="preserve">Japon/ </w:t>
            </w:r>
            <w:r w:rsidRPr="00C258AD">
              <w:rPr>
                <w:rFonts w:cs="Arial"/>
                <w:sz w:val="16"/>
                <w:szCs w:val="16"/>
                <w:lang w:eastAsia="ja-JP"/>
              </w:rPr>
              <w:t xml:space="preserve">11 </w:t>
            </w:r>
            <w:r w:rsidRPr="00C258AD">
              <w:rPr>
                <w:rFonts w:cs="Arial"/>
                <w:sz w:val="16"/>
                <w:szCs w:val="16"/>
              </w:rPr>
              <w:t>participants de la Chine, de l’Inde de la Malaisie des Philippines, de Sri Lanka et de Thaïlande</w:t>
            </w:r>
          </w:p>
        </w:tc>
        <w:tc>
          <w:tcPr>
            <w:tcW w:w="4395"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Informer les fonctionnaires des bureaux de droit d’auteur et autres institutions apparentées dans la région Asie et Pacifique de l’importance de la protection du droit d’auteur et des droits connexes.</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Visite d’étude auprès d’organismes de gestion du droit d’auteur</w:t>
            </w:r>
          </w:p>
        </w:tc>
        <w:tc>
          <w:tcPr>
            <w:tcW w:w="1134"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9 – 13 février 2015</w:t>
            </w:r>
          </w:p>
        </w:tc>
        <w:tc>
          <w:tcPr>
            <w:tcW w:w="2126" w:type="dxa"/>
          </w:tcPr>
          <w:p w:rsidR="00327D08" w:rsidRPr="00C258AD" w:rsidRDefault="00327D08" w:rsidP="00927E1F">
            <w:pPr>
              <w:autoSpaceDE w:val="0"/>
              <w:autoSpaceDN w:val="0"/>
              <w:adjustRightInd w:val="0"/>
              <w:rPr>
                <w:rFonts w:cs="Arial"/>
                <w:sz w:val="16"/>
                <w:szCs w:val="16"/>
                <w:lang w:eastAsia="ja-JP"/>
              </w:rPr>
            </w:pPr>
            <w:r w:rsidRPr="00C258AD">
              <w:rPr>
                <w:rFonts w:cs="Arial"/>
                <w:sz w:val="16"/>
                <w:szCs w:val="16"/>
                <w:lang w:eastAsia="ja-JP"/>
              </w:rPr>
              <w:t>Japon/ 8</w:t>
            </w:r>
            <w:r w:rsidRPr="00C258AD">
              <w:rPr>
                <w:rFonts w:cs="Arial"/>
                <w:sz w:val="16"/>
                <w:szCs w:val="16"/>
              </w:rPr>
              <w:t xml:space="preserve"> </w:t>
            </w:r>
            <w:r w:rsidRPr="00C258AD">
              <w:rPr>
                <w:rFonts w:cs="Arial"/>
                <w:sz w:val="16"/>
                <w:szCs w:val="16"/>
                <w:lang w:eastAsia="ja-JP"/>
              </w:rPr>
              <w:t>participants du Bhoutan, du Cambodge, du Myanmar et de la République démocratique populaire lao</w:t>
            </w:r>
          </w:p>
        </w:tc>
        <w:tc>
          <w:tcPr>
            <w:tcW w:w="4395"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i) Approfondir les connaissances et la compréhension des participants sur les questions relatives à la gestion du droit d’auteur;  ii) faciliter la coopération et la coordination entre les offices du droit d’auteur et les organismes de gestion du droit d’auteur;  et iii) s’instruire sur l’expérience du Japon dans le domaine du droit d’auteur et des droits connexes.</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Atelier sur la protection du droit d’auteur et des droits connexes</w:t>
            </w:r>
          </w:p>
        </w:tc>
        <w:tc>
          <w:tcPr>
            <w:tcW w:w="1134"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19 – 30 octobre 2015</w:t>
            </w:r>
          </w:p>
        </w:tc>
        <w:tc>
          <w:tcPr>
            <w:tcW w:w="2126" w:type="dxa"/>
          </w:tcPr>
          <w:p w:rsidR="00327D08" w:rsidRPr="00C258AD" w:rsidRDefault="00327D08" w:rsidP="00927E1F">
            <w:pPr>
              <w:autoSpaceDE w:val="0"/>
              <w:autoSpaceDN w:val="0"/>
              <w:adjustRightInd w:val="0"/>
              <w:rPr>
                <w:rFonts w:cs="Arial"/>
                <w:sz w:val="16"/>
                <w:szCs w:val="16"/>
                <w:lang w:eastAsia="ja-JP"/>
              </w:rPr>
            </w:pPr>
            <w:r w:rsidRPr="00C258AD">
              <w:rPr>
                <w:rFonts w:cs="Arial"/>
                <w:sz w:val="16"/>
                <w:szCs w:val="16"/>
                <w:lang w:eastAsia="ja-JP"/>
              </w:rPr>
              <w:t>Japon/ 10 participants de l’Indonésie, de la Malaisie, des Philippines, de la Thaïlande et du Viet Nam</w:t>
            </w:r>
          </w:p>
        </w:tc>
        <w:tc>
          <w:tcPr>
            <w:tcW w:w="4395" w:type="dxa"/>
          </w:tcPr>
          <w:p w:rsidR="00327D08" w:rsidRPr="00C258AD" w:rsidRDefault="00327D08" w:rsidP="00927E1F">
            <w:pPr>
              <w:autoSpaceDE w:val="0"/>
              <w:autoSpaceDN w:val="0"/>
              <w:adjustRightInd w:val="0"/>
              <w:rPr>
                <w:rFonts w:cs="Arial"/>
                <w:sz w:val="16"/>
                <w:szCs w:val="16"/>
                <w:lang w:eastAsia="ja-JP"/>
              </w:rPr>
            </w:pPr>
            <w:r w:rsidRPr="00C258AD">
              <w:rPr>
                <w:rFonts w:cs="Arial"/>
                <w:sz w:val="16"/>
                <w:szCs w:val="16"/>
                <w:lang w:eastAsia="ja-JP"/>
              </w:rPr>
              <w:t xml:space="preserve">i) Informer les fonctionnaires des bureaux de droit d’auteur et autres institutions apparentées dans la région Asie et Pacifique de l’importance de la protection du droit d’auteur et des droits connexes;  et ii) échanger des données d’expérience avec des collègues japonais.  </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 xml:space="preserve">Visite d’étude auprès d’organismes de gestion du droit d’auteur </w:t>
            </w:r>
          </w:p>
        </w:tc>
        <w:tc>
          <w:tcPr>
            <w:tcW w:w="1134"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26 – 30 octobre 2015</w:t>
            </w:r>
          </w:p>
        </w:tc>
        <w:tc>
          <w:tcPr>
            <w:tcW w:w="212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 xml:space="preserve">Japon/ </w:t>
            </w:r>
            <w:r w:rsidRPr="00C258AD">
              <w:rPr>
                <w:rFonts w:cs="Arial"/>
                <w:sz w:val="16"/>
                <w:szCs w:val="16"/>
                <w:lang w:eastAsia="ja-JP"/>
              </w:rPr>
              <w:t xml:space="preserve">6 </w:t>
            </w:r>
            <w:r w:rsidRPr="00C258AD">
              <w:rPr>
                <w:rFonts w:cs="Arial"/>
                <w:sz w:val="16"/>
                <w:szCs w:val="16"/>
              </w:rPr>
              <w:t>participants du Bangladesh, de la Mongolie et de Sri Lanka</w:t>
            </w:r>
          </w:p>
        </w:tc>
        <w:tc>
          <w:tcPr>
            <w:tcW w:w="4395" w:type="dxa"/>
          </w:tcPr>
          <w:p w:rsidR="00327D08" w:rsidRPr="00C258AD" w:rsidRDefault="00327D08" w:rsidP="00927E1F">
            <w:pPr>
              <w:autoSpaceDE w:val="0"/>
              <w:autoSpaceDN w:val="0"/>
              <w:adjustRightInd w:val="0"/>
              <w:rPr>
                <w:rFonts w:cs="Arial"/>
                <w:sz w:val="16"/>
                <w:szCs w:val="16"/>
              </w:rPr>
            </w:pPr>
            <w:r w:rsidRPr="00C258AD">
              <w:rPr>
                <w:rFonts w:cs="Arial"/>
                <w:sz w:val="16"/>
                <w:szCs w:val="16"/>
                <w:lang w:eastAsia="ja-JP"/>
              </w:rPr>
              <w:t>i)</w:t>
            </w:r>
            <w:r w:rsidRPr="00C258AD">
              <w:rPr>
                <w:rFonts w:cs="Arial"/>
                <w:sz w:val="16"/>
                <w:szCs w:val="16"/>
              </w:rPr>
              <w:t xml:space="preserve"> Approfondir la connaissance et la compréhension qu’ont les participants des questions relatives à la gestion du droit d’auteur</w:t>
            </w:r>
            <w:r w:rsidRPr="00C258AD">
              <w:rPr>
                <w:rFonts w:cs="Arial"/>
                <w:sz w:val="16"/>
                <w:szCs w:val="16"/>
                <w:lang w:eastAsia="ja-JP"/>
              </w:rPr>
              <w:t>;  ii) </w:t>
            </w:r>
            <w:r w:rsidRPr="00C258AD">
              <w:rPr>
                <w:rFonts w:cs="Arial"/>
                <w:sz w:val="16"/>
                <w:szCs w:val="16"/>
              </w:rPr>
              <w:t>faciliter la coopération et la coordination parmi les bureaux du droit d’auteur et les organisations de gestion collective</w:t>
            </w:r>
            <w:r w:rsidRPr="00C258AD">
              <w:rPr>
                <w:rFonts w:cs="Arial"/>
                <w:sz w:val="16"/>
                <w:szCs w:val="16"/>
                <w:lang w:eastAsia="ja-JP"/>
              </w:rPr>
              <w:t xml:space="preserve">;  et iii) tirer des leçons de l’expérience </w:t>
            </w:r>
            <w:r w:rsidRPr="00C258AD">
              <w:rPr>
                <w:rFonts w:cs="Arial"/>
                <w:sz w:val="16"/>
                <w:szCs w:val="16"/>
              </w:rPr>
              <w:t>du Japon dans le domaine du droit d’auteur et des droits connexes.</w:t>
            </w:r>
          </w:p>
        </w:tc>
      </w:tr>
    </w:tbl>
    <w:p w:rsidR="00327D08" w:rsidRPr="00C258AD" w:rsidRDefault="00327D08" w:rsidP="00327D08">
      <w:pPr>
        <w:rPr>
          <w:rFonts w:cs="Arial"/>
          <w:b/>
          <w:szCs w:val="16"/>
        </w:rPr>
      </w:pPr>
    </w:p>
    <w:p w:rsidR="00327D08" w:rsidRPr="00C258AD" w:rsidRDefault="00327D08" w:rsidP="00327D08">
      <w:pPr>
        <w:rPr>
          <w:rFonts w:cs="Arial"/>
          <w:b/>
          <w:szCs w:val="16"/>
        </w:rPr>
      </w:pPr>
    </w:p>
    <w:p w:rsidR="00327D08" w:rsidRPr="00C258AD" w:rsidRDefault="00327D08" w:rsidP="00327D08">
      <w:pPr>
        <w:rPr>
          <w:rFonts w:cs="Arial"/>
          <w:b/>
          <w:bCs/>
          <w:szCs w:val="16"/>
        </w:rPr>
      </w:pPr>
      <w:r w:rsidRPr="00C258AD">
        <w:rPr>
          <w:rFonts w:cs="Arial"/>
          <w:b/>
          <w:bCs/>
          <w:szCs w:val="16"/>
        </w:rPr>
        <w:t>JAPON/DROIT D’AUTEUR — Contributions des donateurs et dépenses en 2015</w:t>
      </w:r>
    </w:p>
    <w:p w:rsidR="00327D08" w:rsidRPr="00C258AD" w:rsidRDefault="00327D08" w:rsidP="00327D08">
      <w:pPr>
        <w:rPr>
          <w:rFonts w:cs="Arial"/>
          <w:b/>
          <w:bCs/>
          <w:szCs w:val="16"/>
        </w:rPr>
      </w:pPr>
    </w:p>
    <w:tbl>
      <w:tblPr>
        <w:tblW w:w="5000" w:type="pct"/>
        <w:tblInd w:w="98" w:type="dxa"/>
        <w:tblCellMar>
          <w:top w:w="113" w:type="dxa"/>
          <w:left w:w="68" w:type="dxa"/>
          <w:bottom w:w="113" w:type="dxa"/>
          <w:right w:w="68" w:type="dxa"/>
        </w:tblCellMar>
        <w:tblLook w:val="04A0" w:firstRow="1" w:lastRow="0" w:firstColumn="1" w:lastColumn="0" w:noHBand="0" w:noVBand="1"/>
      </w:tblPr>
      <w:tblGrid>
        <w:gridCol w:w="2037"/>
        <w:gridCol w:w="1635"/>
        <w:gridCol w:w="1855"/>
        <w:gridCol w:w="1780"/>
        <w:gridCol w:w="2184"/>
      </w:tblGrid>
      <w:tr w:rsidR="00327D08" w:rsidRPr="00C258AD" w:rsidTr="00927E1F">
        <w:trPr>
          <w:cantSplit/>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2014</w:t>
            </w:r>
          </w:p>
        </w:tc>
        <w:tc>
          <w:tcPr>
            <w:tcW w:w="1640" w:type="dxa"/>
            <w:tcBorders>
              <w:top w:val="single" w:sz="8" w:space="0" w:color="auto"/>
              <w:left w:val="nil"/>
              <w:bottom w:val="nil"/>
              <w:right w:val="single" w:sz="8" w:space="0" w:color="auto"/>
            </w:tcBorders>
            <w:shd w:val="clear" w:color="000000" w:fill="C5D9F1"/>
            <w:vAlign w:val="center"/>
            <w:hideMark/>
          </w:tcPr>
          <w:p w:rsidR="00327D08" w:rsidRPr="00C258AD" w:rsidRDefault="00327D08" w:rsidP="00927E1F">
            <w:pPr>
              <w:jc w:val="center"/>
              <w:rPr>
                <w:rFonts w:cs="Arial"/>
                <w:b/>
                <w:bCs/>
                <w:sz w:val="16"/>
                <w:szCs w:val="16"/>
              </w:rPr>
            </w:pPr>
            <w:r w:rsidRPr="00C258AD">
              <w:rPr>
                <w:rFonts w:cs="Arial"/>
                <w:b/>
                <w:bCs/>
                <w:sz w:val="16"/>
                <w:szCs w:val="16"/>
              </w:rPr>
              <w:t>Recettes 2015</w:t>
            </w:r>
          </w:p>
        </w:tc>
        <w:tc>
          <w:tcPr>
            <w:tcW w:w="1860" w:type="dxa"/>
            <w:tcBorders>
              <w:top w:val="single" w:sz="8" w:space="0" w:color="auto"/>
              <w:left w:val="nil"/>
              <w:bottom w:val="nil"/>
              <w:right w:val="single" w:sz="8" w:space="0" w:color="auto"/>
            </w:tcBorders>
            <w:shd w:val="clear" w:color="000000" w:fill="C5D9F1"/>
            <w:vAlign w:val="center"/>
            <w:hideMark/>
          </w:tcPr>
          <w:p w:rsidR="00327D08" w:rsidRPr="00C258AD" w:rsidRDefault="00327D08" w:rsidP="00927E1F">
            <w:pPr>
              <w:jc w:val="center"/>
              <w:rPr>
                <w:rFonts w:cs="Arial"/>
                <w:b/>
                <w:bCs/>
                <w:sz w:val="16"/>
                <w:szCs w:val="16"/>
              </w:rPr>
            </w:pPr>
            <w:r w:rsidRPr="00C258AD">
              <w:rPr>
                <w:rFonts w:cs="Arial"/>
                <w:b/>
                <w:bCs/>
                <w:sz w:val="16"/>
                <w:szCs w:val="16"/>
              </w:rPr>
              <w:t>Dépenses 2015</w:t>
            </w:r>
          </w:p>
        </w:tc>
        <w:tc>
          <w:tcPr>
            <w:tcW w:w="1780" w:type="dxa"/>
            <w:tcBorders>
              <w:top w:val="single" w:sz="8" w:space="0" w:color="auto"/>
              <w:left w:val="nil"/>
              <w:bottom w:val="nil"/>
              <w:right w:val="single" w:sz="8" w:space="0" w:color="auto"/>
            </w:tcBorders>
            <w:shd w:val="clear" w:color="000000" w:fill="C5D9F1"/>
            <w:vAlign w:val="center"/>
            <w:hideMark/>
          </w:tcPr>
          <w:p w:rsidR="00327D08" w:rsidRPr="00C258AD" w:rsidRDefault="00327D08" w:rsidP="00927E1F">
            <w:pPr>
              <w:jc w:val="center"/>
              <w:rPr>
                <w:rFonts w:cs="Arial"/>
                <w:b/>
                <w:bCs/>
                <w:sz w:val="16"/>
                <w:szCs w:val="16"/>
              </w:rPr>
            </w:pPr>
            <w:r w:rsidRPr="00C258AD">
              <w:rPr>
                <w:rFonts w:cs="Arial"/>
                <w:b/>
                <w:bCs/>
                <w:sz w:val="16"/>
                <w:szCs w:val="16"/>
              </w:rPr>
              <w:t>Remboursements</w:t>
            </w:r>
          </w:p>
        </w:tc>
        <w:tc>
          <w:tcPr>
            <w:tcW w:w="2188" w:type="dxa"/>
            <w:tcBorders>
              <w:top w:val="single" w:sz="8" w:space="0" w:color="auto"/>
              <w:left w:val="nil"/>
              <w:bottom w:val="nil"/>
              <w:right w:val="single" w:sz="8" w:space="0" w:color="auto"/>
            </w:tcBorders>
            <w:shd w:val="clear" w:color="000000" w:fill="C5D9F1"/>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2015</w:t>
            </w:r>
          </w:p>
        </w:tc>
      </w:tr>
      <w:tr w:rsidR="00327D08" w:rsidRPr="00C258AD" w:rsidTr="00927E1F">
        <w:trPr>
          <w:cantSplit/>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339,511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469,462</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464,038</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27D08" w:rsidRPr="00C258AD" w:rsidRDefault="00327D08" w:rsidP="00927E1F">
            <w:pPr>
              <w:jc w:val="center"/>
              <w:rPr>
                <w:rFonts w:cs="Arial"/>
                <w:sz w:val="16"/>
                <w:szCs w:val="16"/>
              </w:rPr>
            </w:pPr>
            <w:r w:rsidRPr="00C258AD">
              <w:rPr>
                <w:rFonts w:cs="Arial"/>
                <w:sz w:val="16"/>
                <w:szCs w:val="16"/>
              </w:rPr>
              <w:noBreakHyphen/>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344,935</w:t>
            </w:r>
          </w:p>
        </w:tc>
      </w:tr>
    </w:tbl>
    <w:p w:rsidR="00327D08" w:rsidRPr="00C258AD" w:rsidRDefault="00327D08" w:rsidP="00327D08">
      <w:pPr>
        <w:rPr>
          <w:rFonts w:cs="Arial"/>
          <w:b/>
          <w:szCs w:val="16"/>
          <w:lang w:eastAsia="ja-JP"/>
        </w:rPr>
      </w:pPr>
    </w:p>
    <w:p w:rsidR="00327D08" w:rsidRPr="00C258AD" w:rsidRDefault="00327D08" w:rsidP="00327D08">
      <w:pPr>
        <w:rPr>
          <w:rFonts w:cs="Arial"/>
          <w:b/>
          <w:szCs w:val="16"/>
        </w:rPr>
      </w:pPr>
    </w:p>
    <w:p w:rsidR="00327D08" w:rsidRPr="00C258AD" w:rsidRDefault="00327D08" w:rsidP="00327D08">
      <w:pPr>
        <w:keepNext/>
        <w:rPr>
          <w:rFonts w:cs="Arial"/>
          <w:b/>
          <w:szCs w:val="16"/>
        </w:rPr>
      </w:pPr>
      <w:r w:rsidRPr="00C258AD">
        <w:rPr>
          <w:rFonts w:cs="Arial"/>
          <w:b/>
          <w:szCs w:val="16"/>
        </w:rPr>
        <w:t>JAPON/PROPRIÉTÉ INDUSTRIELLE</w:t>
      </w:r>
    </w:p>
    <w:p w:rsidR="00327D08" w:rsidRPr="00C258AD" w:rsidRDefault="00327D08" w:rsidP="00327D08">
      <w:pPr>
        <w:keepNext/>
        <w:rPr>
          <w:rFonts w:cs="Arial"/>
          <w:b/>
          <w:szCs w:val="16"/>
        </w:rPr>
      </w:pPr>
    </w:p>
    <w:tbl>
      <w:tblPr>
        <w:tblW w:w="5000" w:type="pct"/>
        <w:tblInd w:w="108" w:type="dxa"/>
        <w:tblBorders>
          <w:top w:val="single" w:sz="4" w:space="0" w:color="000000"/>
          <w:left w:val="single" w:sz="4" w:space="0" w:color="000000"/>
          <w:bottom w:val="single" w:sz="4" w:space="0" w:color="000000"/>
          <w:right w:val="single" w:sz="4" w:space="0" w:color="000000"/>
        </w:tblBorders>
        <w:tblCellMar>
          <w:top w:w="113" w:type="dxa"/>
          <w:left w:w="68" w:type="dxa"/>
          <w:bottom w:w="113" w:type="dxa"/>
          <w:right w:w="68" w:type="dxa"/>
        </w:tblCellMar>
        <w:tblLook w:val="0000" w:firstRow="0" w:lastRow="0" w:firstColumn="0" w:lastColumn="0" w:noHBand="0" w:noVBand="0"/>
      </w:tblPr>
      <w:tblGrid>
        <w:gridCol w:w="1724"/>
        <w:gridCol w:w="40"/>
        <w:gridCol w:w="1446"/>
        <w:gridCol w:w="2169"/>
        <w:gridCol w:w="13"/>
        <w:gridCol w:w="4099"/>
      </w:tblGrid>
      <w:tr w:rsidR="00327D08" w:rsidRPr="00C258AD" w:rsidTr="00927E1F">
        <w:trPr>
          <w:cantSplit/>
        </w:trPr>
        <w:tc>
          <w:tcPr>
            <w:tcW w:w="9491" w:type="dxa"/>
            <w:gridSpan w:val="6"/>
            <w:tcBorders>
              <w:top w:val="single" w:sz="4" w:space="0" w:color="auto"/>
              <w:bottom w:val="single" w:sz="4" w:space="0" w:color="auto"/>
            </w:tcBorders>
            <w:shd w:val="clear" w:color="auto" w:fill="C6D9F1" w:themeFill="text2" w:themeFillTint="33"/>
          </w:tcPr>
          <w:p w:rsidR="00327D08" w:rsidRPr="00C258AD" w:rsidRDefault="00327D08" w:rsidP="00927E1F">
            <w:pPr>
              <w:keepNext/>
              <w:keepLines/>
              <w:tabs>
                <w:tab w:val="left" w:pos="1740"/>
              </w:tabs>
              <w:ind w:left="1701" w:hanging="1701"/>
              <w:rPr>
                <w:rFonts w:cs="Arial"/>
                <w:sz w:val="16"/>
                <w:szCs w:val="16"/>
              </w:rPr>
            </w:pPr>
            <w:r w:rsidRPr="00C258AD">
              <w:rPr>
                <w:rFonts w:cs="Arial"/>
                <w:b/>
                <w:sz w:val="16"/>
                <w:szCs w:val="16"/>
              </w:rPr>
              <w:t>RÉSULTAT :</w:t>
            </w:r>
            <w:r w:rsidRPr="00C258AD">
              <w:rPr>
                <w:rFonts w:cs="Arial"/>
                <w:sz w:val="16"/>
                <w:szCs w:val="16"/>
              </w:rPr>
              <w:t xml:space="preserve"> </w:t>
            </w:r>
            <w:r w:rsidRPr="00C258AD">
              <w:rPr>
                <w:rFonts w:cs="Arial"/>
                <w:sz w:val="16"/>
                <w:szCs w:val="16"/>
              </w:rPr>
              <w:tab/>
              <w:t>III.2  Mise en valeur des ressources humaines pour répondre aux diverses exigences en matière d’utilisation efficace de la propriété intellectuelle au service du développement dans les pays en développement, les PMA et les pays en transition</w:t>
            </w:r>
          </w:p>
        </w:tc>
      </w:tr>
      <w:tr w:rsidR="00327D08" w:rsidRPr="00C258AD" w:rsidTr="00927E1F">
        <w:trPr>
          <w:cantSplit/>
        </w:trPr>
        <w:tc>
          <w:tcPr>
            <w:tcW w:w="1724" w:type="dxa"/>
            <w:tcBorders>
              <w:top w:val="single" w:sz="4" w:space="0" w:color="auto"/>
              <w:left w:val="single" w:sz="4" w:space="0" w:color="auto"/>
              <w:bottom w:val="nil"/>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486" w:type="dxa"/>
            <w:gridSpan w:val="2"/>
            <w:tcBorders>
              <w:top w:val="single" w:sz="4" w:space="0" w:color="auto"/>
              <w:bottom w:val="nil"/>
            </w:tcBorders>
            <w:vAlign w:val="center"/>
          </w:tcPr>
          <w:p w:rsidR="00327D08" w:rsidRPr="00C258AD" w:rsidRDefault="00327D08" w:rsidP="00927E1F">
            <w:pPr>
              <w:rPr>
                <w:rFonts w:cs="Arial"/>
                <w:b/>
                <w:sz w:val="16"/>
                <w:szCs w:val="16"/>
              </w:rPr>
            </w:pPr>
            <w:r w:rsidRPr="00C258AD">
              <w:rPr>
                <w:rFonts w:cs="Arial"/>
                <w:b/>
                <w:sz w:val="16"/>
                <w:szCs w:val="16"/>
              </w:rPr>
              <w:t>Date</w:t>
            </w:r>
          </w:p>
        </w:tc>
        <w:tc>
          <w:tcPr>
            <w:tcW w:w="2182" w:type="dxa"/>
            <w:gridSpan w:val="2"/>
            <w:tcBorders>
              <w:top w:val="single" w:sz="4" w:space="0" w:color="auto"/>
              <w:bottom w:val="nil"/>
            </w:tcBorders>
            <w:vAlign w:val="center"/>
          </w:tcPr>
          <w:p w:rsidR="00327D08" w:rsidRPr="00C258AD" w:rsidRDefault="00327D08" w:rsidP="00927E1F">
            <w:pPr>
              <w:rPr>
                <w:rFonts w:cs="Arial"/>
                <w:b/>
                <w:sz w:val="16"/>
                <w:szCs w:val="16"/>
              </w:rPr>
            </w:pPr>
            <w:r w:rsidRPr="00C258AD">
              <w:rPr>
                <w:b/>
                <w:sz w:val="16"/>
              </w:rPr>
              <w:t>Pays hôte/</w:t>
            </w:r>
            <w:r w:rsidRPr="00C258AD">
              <w:rPr>
                <w:b/>
              </w:rPr>
              <w:br/>
            </w:r>
            <w:r w:rsidRPr="00C258AD">
              <w:rPr>
                <w:b/>
                <w:sz w:val="16"/>
              </w:rPr>
              <w:t>bénéficiaires</w:t>
            </w:r>
          </w:p>
        </w:tc>
        <w:tc>
          <w:tcPr>
            <w:tcW w:w="4099" w:type="dxa"/>
            <w:tcBorders>
              <w:top w:val="single" w:sz="4" w:space="0" w:color="auto"/>
              <w:bottom w:val="nil"/>
              <w:right w:val="single" w:sz="4" w:space="0" w:color="auto"/>
            </w:tcBorders>
            <w:vAlign w:val="center"/>
          </w:tcPr>
          <w:p w:rsidR="00327D08" w:rsidRPr="00C258AD" w:rsidRDefault="00327D08" w:rsidP="00927E1F">
            <w:pPr>
              <w:rPr>
                <w:rFonts w:cs="Arial"/>
                <w:b/>
                <w:sz w:val="16"/>
                <w:szCs w:val="16"/>
              </w:rPr>
            </w:pPr>
            <w:r w:rsidRPr="00C258AD">
              <w:rPr>
                <w:b/>
                <w:sz w:val="16"/>
              </w:rPr>
              <w:t>Objectif(s)/description(s)</w:t>
            </w:r>
          </w:p>
        </w:tc>
      </w:tr>
      <w:tr w:rsidR="00327D08" w:rsidRPr="00C258AD" w:rsidTr="00927E1F">
        <w:trPr>
          <w:cantSplit/>
        </w:trPr>
        <w:tc>
          <w:tcPr>
            <w:tcW w:w="1724" w:type="dxa"/>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 xml:space="preserve">Programme de formation sur les pratiques d’examen de la propriété industrielle (programme de base) </w:t>
            </w:r>
          </w:p>
        </w:tc>
        <w:tc>
          <w:tcPr>
            <w:tcW w:w="1486" w:type="dxa"/>
            <w:gridSpan w:val="2"/>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19 – 30 janvier 2015</w:t>
            </w:r>
          </w:p>
        </w:tc>
        <w:tc>
          <w:tcPr>
            <w:tcW w:w="2182"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sz w:val="16"/>
                <w:szCs w:val="16"/>
              </w:rPr>
              <w:t xml:space="preserve">Japon/ Afghanistan, Algérie, ARIPO, </w:t>
            </w:r>
            <w:proofErr w:type="spellStart"/>
            <w:r w:rsidRPr="00C258AD">
              <w:rPr>
                <w:sz w:val="16"/>
                <w:szCs w:val="16"/>
              </w:rPr>
              <w:t>Brunéi</w:t>
            </w:r>
            <w:proofErr w:type="spellEnd"/>
            <w:r w:rsidRPr="00C258AD">
              <w:rPr>
                <w:sz w:val="16"/>
                <w:szCs w:val="16"/>
              </w:rPr>
              <w:t xml:space="preserve"> Darussalam, Cambodge, Chili, Indonésie, Kenya, Madagascar, Malaisie, Myanmar, Pakistan, Pérou, République démocratique populaire lao, République</w:t>
            </w:r>
            <w:r w:rsidRPr="00C258AD">
              <w:rPr>
                <w:sz w:val="16"/>
                <w:szCs w:val="16"/>
              </w:rPr>
              <w:noBreakHyphen/>
              <w:t>Unie de Tanzanie, Singapour, Sri Lanka, Tadjikistan et Viet Nam</w:t>
            </w:r>
          </w:p>
        </w:tc>
        <w:tc>
          <w:tcPr>
            <w:tcW w:w="4099" w:type="dxa"/>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 xml:space="preserve">Améliorer les connaissances de base importantes sur les lois et les procédures d’examen quant au fond dans le domaine de l’examen des droits de la propriété industrielle </w:t>
            </w:r>
          </w:p>
        </w:tc>
      </w:tr>
      <w:tr w:rsidR="00327D08" w:rsidRPr="00C258AD" w:rsidTr="00927E1F">
        <w:trPr>
          <w:cantSplit/>
        </w:trPr>
        <w:tc>
          <w:tcPr>
            <w:tcW w:w="1724" w:type="dxa"/>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lastRenderedPageBreak/>
              <w:t xml:space="preserve">Programme de formation sur la gestion de la propriété intellectuelle et la formulation ainsi que la mise en œuvre des plans des offices de propriété intellectuelle axés sur les résultats </w:t>
            </w:r>
          </w:p>
        </w:tc>
        <w:tc>
          <w:tcPr>
            <w:tcW w:w="1486" w:type="dxa"/>
            <w:gridSpan w:val="2"/>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6 – 13 février 2015</w:t>
            </w:r>
          </w:p>
        </w:tc>
        <w:tc>
          <w:tcPr>
            <w:tcW w:w="2182"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sz w:val="16"/>
                <w:szCs w:val="16"/>
              </w:rPr>
              <w:t xml:space="preserve">Japon/ Afrique du Sud, Bangladesh, Brésil, </w:t>
            </w:r>
            <w:proofErr w:type="spellStart"/>
            <w:r w:rsidRPr="00C258AD">
              <w:rPr>
                <w:sz w:val="16"/>
                <w:szCs w:val="16"/>
              </w:rPr>
              <w:t>Brunéi</w:t>
            </w:r>
            <w:proofErr w:type="spellEnd"/>
            <w:r w:rsidRPr="00C258AD">
              <w:rPr>
                <w:sz w:val="16"/>
                <w:szCs w:val="16"/>
              </w:rPr>
              <w:t xml:space="preserve"> Darussalam, Cambodge, Chili, Inde, Indonésie, Malaisie, Maroc, Mexique, Myanmar, Nigéria, Pakistan, Pérou, Philippines, République démocratique populaire lao, Singapour, Thaïlande et Viet Nam</w:t>
            </w:r>
          </w:p>
        </w:tc>
        <w:tc>
          <w:tcPr>
            <w:tcW w:w="4099" w:type="dxa"/>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 xml:space="preserve">i) </w:t>
            </w:r>
            <w:r w:rsidRPr="00C258AD">
              <w:rPr>
                <w:rFonts w:cs="Arial"/>
                <w:sz w:val="16"/>
                <w:szCs w:val="16"/>
              </w:rPr>
              <w:t xml:space="preserve">Approfondir la connaissance qu’ont les </w:t>
            </w:r>
            <w:r w:rsidRPr="00C258AD">
              <w:rPr>
                <w:rFonts w:eastAsia="MS Mincho" w:cs="Arial"/>
                <w:sz w:val="16"/>
                <w:szCs w:val="16"/>
                <w:lang w:eastAsia="ja-JP"/>
              </w:rPr>
              <w:t>participants des pratiques modernes de gestion de la propriété intellectuelle notamment en matière d’élaboration de politiques, de stratégies et de plans concernant le renforcement des capacités des examinateurs de brevets et la gestion de la qualité de l’examen des demandes de brevet;  et ii) améliorer les capacités des participants en matière de formulation, de mise en œuvre et d’évaluation de plans pour les offices de propriété intellectuelle qui soient assortis de délais, axés sur les résultats et mesurables en termes d’impact.</w:t>
            </w:r>
          </w:p>
        </w:tc>
      </w:tr>
      <w:tr w:rsidR="00327D08" w:rsidRPr="00C258AD" w:rsidTr="00927E1F">
        <w:trPr>
          <w:cantSplit/>
        </w:trPr>
        <w:tc>
          <w:tcPr>
            <w:tcW w:w="1724" w:type="dxa"/>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Cours de formation à l’intention des examinateurs de brevets sur la technologie en matière de produits pharmaceutiques</w:t>
            </w:r>
          </w:p>
        </w:tc>
        <w:tc>
          <w:tcPr>
            <w:tcW w:w="1486" w:type="dxa"/>
            <w:gridSpan w:val="2"/>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19 – 26 février 2015</w:t>
            </w:r>
          </w:p>
        </w:tc>
        <w:tc>
          <w:tcPr>
            <w:tcW w:w="2182"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sz w:val="16"/>
                <w:szCs w:val="16"/>
              </w:rPr>
              <w:t>Japon/ ARIPO, Chine, Égypte, Inde, Indonésie, Malaisie, Pakistan, Philippines, Thaïlande, Turquie et Viet Nam</w:t>
            </w:r>
          </w:p>
        </w:tc>
        <w:tc>
          <w:tcPr>
            <w:tcW w:w="4099" w:type="dxa"/>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i) Informer les participants des tendances actuelles et des pratiques modernes d’examen des brevets relatifs aux produits pharmaceutiques;  ii) leur transmettre des connaissances et informations concrètes sur les méthodes d’examen de brevet;  iii) donner aux participants l’occasion d’échanger des expériences et des points de vue sur les questions d’examen des brevets;  et iv) renforcer les compétences professionnelles des participants en matière d’examen de brevets relatifs aux produits pharmaceutiques.</w:t>
            </w:r>
          </w:p>
        </w:tc>
      </w:tr>
      <w:tr w:rsidR="00327D08" w:rsidRPr="00C258AD" w:rsidTr="00927E1F">
        <w:trPr>
          <w:cantSplit/>
        </w:trPr>
        <w:tc>
          <w:tcPr>
            <w:tcW w:w="1724" w:type="dxa"/>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 xml:space="preserve">Programme de formation sur le recours aux technologies de l’information dans l’administration de la propriété industrielle </w:t>
            </w:r>
          </w:p>
        </w:tc>
        <w:tc>
          <w:tcPr>
            <w:tcW w:w="1486" w:type="dxa"/>
            <w:gridSpan w:val="2"/>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26 octobre au 6 novembre 2015</w:t>
            </w:r>
          </w:p>
        </w:tc>
        <w:tc>
          <w:tcPr>
            <w:tcW w:w="2182"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sz w:val="16"/>
                <w:szCs w:val="16"/>
              </w:rPr>
              <w:t xml:space="preserve">Japon/ Afrique du Sud, Algérie, Argentine, ARIPO, </w:t>
            </w:r>
            <w:proofErr w:type="spellStart"/>
            <w:r w:rsidRPr="00C258AD">
              <w:rPr>
                <w:sz w:val="16"/>
                <w:szCs w:val="16"/>
              </w:rPr>
              <w:t>Brunéi</w:t>
            </w:r>
            <w:proofErr w:type="spellEnd"/>
            <w:r w:rsidRPr="00C258AD">
              <w:rPr>
                <w:sz w:val="16"/>
                <w:szCs w:val="16"/>
              </w:rPr>
              <w:t xml:space="preserve"> Darussalam, Cambodge, Chili, Inde, Indonésie, Malaisie, Mexique, Myanmar, Papouasie</w:t>
            </w:r>
            <w:r w:rsidRPr="00C258AD">
              <w:rPr>
                <w:sz w:val="16"/>
                <w:szCs w:val="16"/>
              </w:rPr>
              <w:noBreakHyphen/>
              <w:t>Nouvelle</w:t>
            </w:r>
            <w:r w:rsidRPr="00C258AD">
              <w:rPr>
                <w:sz w:val="16"/>
                <w:szCs w:val="16"/>
              </w:rPr>
              <w:noBreakHyphen/>
              <w:t>Guinée, Pérou, Philippines, République démocratique populaire lao, Thaïlande et Viet Nam</w:t>
            </w:r>
          </w:p>
        </w:tc>
        <w:tc>
          <w:tcPr>
            <w:tcW w:w="4099" w:type="dxa"/>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i) Présenter aux participants les dernières évolutions dans le domaine des technologies de l’information associées à l’administration de la propriété industrielle, la diffusion de l’information en matière de propriété industrielle et la fourniture de services en ligne;  ii) transmettre des connaissances concrètes quant aux derniers outils et technologies via des sessions interactives, ainsi que par le biais de visites auprès d’entités privées pertinentes;  iii) donner l’occasion aux participants d’échanger leurs points de vue et leurs préoccupations sur des questions d’actualité et renforcer les compétences professionnelles des participants en matière de planification et de gestion des technologies de l’information pour l’administration de la propriété industrielle.</w:t>
            </w:r>
          </w:p>
        </w:tc>
      </w:tr>
      <w:tr w:rsidR="00327D08" w:rsidRPr="00C258AD" w:rsidTr="00927E1F">
        <w:trPr>
          <w:cantSplit/>
        </w:trPr>
        <w:tc>
          <w:tcPr>
            <w:tcW w:w="1724" w:type="dxa"/>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Programme de formation sur l’application des droits de propriété intellectuelle</w:t>
            </w:r>
          </w:p>
        </w:tc>
        <w:tc>
          <w:tcPr>
            <w:tcW w:w="1486" w:type="dxa"/>
            <w:gridSpan w:val="2"/>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30 novembre – 10 décembre 2015</w:t>
            </w:r>
          </w:p>
        </w:tc>
        <w:tc>
          <w:tcPr>
            <w:tcW w:w="2182"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sz w:val="16"/>
                <w:szCs w:val="16"/>
              </w:rPr>
              <w:t>Japon/ Chine, Émirats arabes unis, Indonésie, Malaisie, Philippines, Thaïlande et Viet Nam</w:t>
            </w:r>
          </w:p>
        </w:tc>
        <w:tc>
          <w:tcPr>
            <w:tcW w:w="4099" w:type="dxa"/>
          </w:tcPr>
          <w:p w:rsidR="00327D08" w:rsidRPr="00C258AD" w:rsidRDefault="00327D08" w:rsidP="00927E1F">
            <w:pPr>
              <w:tabs>
                <w:tab w:val="left" w:pos="403"/>
              </w:tabs>
              <w:rPr>
                <w:rFonts w:eastAsia="MS Mincho" w:cs="Arial"/>
                <w:sz w:val="16"/>
                <w:szCs w:val="16"/>
                <w:lang w:eastAsia="ja-JP"/>
              </w:rPr>
            </w:pPr>
            <w:r w:rsidRPr="00C258AD">
              <w:rPr>
                <w:rFonts w:eastAsia="MS Mincho" w:cs="Arial"/>
                <w:sz w:val="16"/>
                <w:szCs w:val="16"/>
                <w:lang w:eastAsia="ja-JP"/>
              </w:rPr>
              <w:t xml:space="preserve">i) Promouvoir le respect de la propriété intellectuelle grâce à </w:t>
            </w:r>
            <w:r w:rsidRPr="00C258AD">
              <w:rPr>
                <w:rFonts w:cs="Arial"/>
                <w:sz w:val="16"/>
                <w:szCs w:val="16"/>
              </w:rPr>
              <w:t>un examen et une discussion de normes minimales et des éléments de flexibilité en matière d’application des droits prévus dans la partie III de l’Accord sur les ADPIC;  ii) donner aux participants la possibilité d’exercer leurs compétences en matière d’appréciation des preuves et de décision sur les litiges de propriété intellectuelle, et évaluer les tendances récentes dans la jurisprudence et les questions examinées au Comité consultatif de l’OMPI sur l’application des droits;  iii) permettre aux participants d’acquérir une connaissance étendue des questions relatives à la propriété intellectuelle et aux systèmes judiciaires;  iv) leur permettre d’approfondir leur compréhension des procédures relatives aux litiges de propriété intellectuelle et aux procédures correspondantes;  et v) renforcer le niveau de compétence professionnelle en matière de procédures judiciaires contre les atteintes aux droits.</w:t>
            </w:r>
          </w:p>
        </w:tc>
      </w:tr>
      <w:tr w:rsidR="00327D08" w:rsidRPr="00C258AD" w:rsidTr="00927E1F">
        <w:trPr>
          <w:cantSplit/>
        </w:trPr>
        <w:tc>
          <w:tcPr>
            <w:tcW w:w="1724" w:type="dxa"/>
            <w:tcBorders>
              <w:bottom w:val="nil"/>
            </w:tcBorders>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Bourse d’études de longue durée à l’Office des brevets du Japon (JPO)</w:t>
            </w:r>
          </w:p>
        </w:tc>
        <w:tc>
          <w:tcPr>
            <w:tcW w:w="1486" w:type="dxa"/>
            <w:gridSpan w:val="2"/>
            <w:tcBorders>
              <w:bottom w:val="nil"/>
            </w:tcBorders>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Mai à septembre 2015</w:t>
            </w:r>
          </w:p>
        </w:tc>
        <w:tc>
          <w:tcPr>
            <w:tcW w:w="2182" w:type="dxa"/>
            <w:gridSpan w:val="2"/>
            <w:tcBorders>
              <w:bottom w:val="nil"/>
            </w:tcBorders>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Japon/ Viet Nam</w:t>
            </w:r>
          </w:p>
        </w:tc>
        <w:tc>
          <w:tcPr>
            <w:tcW w:w="4099" w:type="dxa"/>
            <w:tcBorders>
              <w:bottom w:val="nil"/>
            </w:tcBorders>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 xml:space="preserve">Améliorer la connaissance et la compréhension des boursiers sur certains sujets dans le domaine de la propriété industrielle, principalement en leur donnant la possibilité de mener des recherches indépendantes sur des thèmes de leur choix.  Le candidat du NOIP (Viet Nam) a choisi pour thème la “promotion efficace de la propriété intellectuelle dans un pays en développement”.  </w:t>
            </w:r>
          </w:p>
        </w:tc>
      </w:tr>
      <w:tr w:rsidR="00327D08" w:rsidRPr="00C258AD" w:rsidTr="00927E1F">
        <w:trPr>
          <w:cantSplit/>
        </w:trPr>
        <w:tc>
          <w:tcPr>
            <w:tcW w:w="1724" w:type="dxa"/>
            <w:tcBorders>
              <w:top w:val="nil"/>
              <w:bottom w:val="single" w:sz="4" w:space="0" w:color="auto"/>
            </w:tcBorders>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Stage de courte durée dans des cabinets de conseils en brevets</w:t>
            </w:r>
          </w:p>
        </w:tc>
        <w:tc>
          <w:tcPr>
            <w:tcW w:w="1486" w:type="dxa"/>
            <w:gridSpan w:val="2"/>
            <w:tcBorders>
              <w:top w:val="nil"/>
              <w:bottom w:val="single" w:sz="4" w:space="0" w:color="auto"/>
            </w:tcBorders>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2 – 13 novembre 2015</w:t>
            </w:r>
          </w:p>
        </w:tc>
        <w:tc>
          <w:tcPr>
            <w:tcW w:w="2169" w:type="dxa"/>
            <w:tcBorders>
              <w:top w:val="nil"/>
              <w:bottom w:val="single" w:sz="4" w:space="0" w:color="auto"/>
            </w:tcBorders>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Japon/ Népal</w:t>
            </w:r>
          </w:p>
        </w:tc>
        <w:tc>
          <w:tcPr>
            <w:tcW w:w="4112" w:type="dxa"/>
            <w:gridSpan w:val="2"/>
            <w:tcBorders>
              <w:top w:val="nil"/>
              <w:bottom w:val="single" w:sz="4" w:space="0" w:color="auto"/>
            </w:tcBorders>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 xml:space="preserve">Inculquer aux nouveaux diplômés des connaissances, compétences et points de repères concernant le monde réel de la propriété intellectuelle </w:t>
            </w:r>
            <w:r w:rsidRPr="00C258AD">
              <w:rPr>
                <w:rFonts w:cs="Arial"/>
                <w:sz w:val="16"/>
                <w:szCs w:val="16"/>
              </w:rPr>
              <w:t>au moyen d’un enseignement didactique complété d’une formation et d’une expérience pratiques.</w:t>
            </w:r>
          </w:p>
        </w:tc>
      </w:tr>
      <w:tr w:rsidR="00327D08" w:rsidRPr="00C258AD" w:rsidTr="00927E1F">
        <w:trPr>
          <w:cantSplit/>
        </w:trPr>
        <w:tc>
          <w:tcPr>
            <w:tcW w:w="9491" w:type="dxa"/>
            <w:gridSpan w:val="6"/>
            <w:tcBorders>
              <w:top w:val="single" w:sz="4" w:space="0" w:color="auto"/>
              <w:bottom w:val="single" w:sz="4" w:space="0" w:color="auto"/>
            </w:tcBorders>
            <w:shd w:val="clear" w:color="auto" w:fill="C6D9F1" w:themeFill="text2" w:themeFillTint="33"/>
          </w:tcPr>
          <w:p w:rsidR="00327D08" w:rsidRPr="00C258AD" w:rsidRDefault="00327D08" w:rsidP="00927E1F">
            <w:pPr>
              <w:keepNext/>
              <w:keepLines/>
              <w:tabs>
                <w:tab w:val="left" w:pos="1740"/>
              </w:tabs>
              <w:ind w:left="1701" w:hanging="1701"/>
              <w:rPr>
                <w:rFonts w:cs="Arial"/>
                <w:sz w:val="16"/>
                <w:szCs w:val="16"/>
              </w:rPr>
            </w:pPr>
            <w:r w:rsidRPr="00C258AD">
              <w:rPr>
                <w:rFonts w:cs="Arial"/>
                <w:b/>
                <w:sz w:val="16"/>
                <w:szCs w:val="16"/>
              </w:rPr>
              <w:lastRenderedPageBreak/>
              <w:t xml:space="preserve">RÉSULTAT : </w:t>
            </w:r>
            <w:r w:rsidRPr="00C258AD">
              <w:rPr>
                <w:rFonts w:cs="Arial"/>
                <w:sz w:val="16"/>
                <w:szCs w:val="16"/>
              </w:rPr>
              <w:tab/>
              <w:t>III.4  Mécanismes et programmes de coopération renforcés, adaptés aux besoins des pays en développement et des PMA</w:t>
            </w:r>
          </w:p>
        </w:tc>
      </w:tr>
      <w:tr w:rsidR="00327D08" w:rsidRPr="00C258AD" w:rsidTr="00927E1F">
        <w:trPr>
          <w:cantSplit/>
        </w:trPr>
        <w:tc>
          <w:tcPr>
            <w:tcW w:w="1724" w:type="dxa"/>
            <w:tcBorders>
              <w:top w:val="single" w:sz="4" w:space="0" w:color="auto"/>
              <w:left w:val="single" w:sz="4" w:space="0" w:color="auto"/>
              <w:bottom w:val="nil"/>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486" w:type="dxa"/>
            <w:gridSpan w:val="2"/>
            <w:tcBorders>
              <w:top w:val="single" w:sz="4" w:space="0" w:color="auto"/>
              <w:bottom w:val="nil"/>
            </w:tcBorders>
            <w:vAlign w:val="center"/>
          </w:tcPr>
          <w:p w:rsidR="00327D08" w:rsidRPr="00C258AD" w:rsidRDefault="00327D08" w:rsidP="00927E1F">
            <w:pPr>
              <w:rPr>
                <w:rFonts w:cs="Arial"/>
                <w:sz w:val="16"/>
                <w:szCs w:val="16"/>
              </w:rPr>
            </w:pPr>
            <w:r w:rsidRPr="00C258AD">
              <w:rPr>
                <w:rFonts w:cs="Arial"/>
                <w:sz w:val="16"/>
                <w:szCs w:val="16"/>
              </w:rPr>
              <w:t>Date</w:t>
            </w:r>
          </w:p>
        </w:tc>
        <w:tc>
          <w:tcPr>
            <w:tcW w:w="2182" w:type="dxa"/>
            <w:gridSpan w:val="2"/>
            <w:tcBorders>
              <w:top w:val="single" w:sz="4" w:space="0" w:color="auto"/>
              <w:bottom w:val="nil"/>
            </w:tcBorders>
            <w:vAlign w:val="center"/>
          </w:tcPr>
          <w:p w:rsidR="00327D08" w:rsidRPr="00C258AD" w:rsidRDefault="00327D08" w:rsidP="00927E1F">
            <w:pPr>
              <w:rPr>
                <w:rFonts w:cs="Arial"/>
                <w:sz w:val="16"/>
                <w:szCs w:val="16"/>
              </w:rPr>
            </w:pPr>
            <w:r w:rsidRPr="00C258AD">
              <w:rPr>
                <w:b/>
                <w:sz w:val="16"/>
              </w:rPr>
              <w:t>Pays hôte/</w:t>
            </w:r>
            <w:r w:rsidRPr="00C258AD">
              <w:br/>
            </w:r>
            <w:r w:rsidRPr="00C258AD">
              <w:rPr>
                <w:b/>
                <w:sz w:val="16"/>
              </w:rPr>
              <w:t>bénéficiaires</w:t>
            </w:r>
          </w:p>
        </w:tc>
        <w:tc>
          <w:tcPr>
            <w:tcW w:w="4099" w:type="dxa"/>
            <w:tcBorders>
              <w:top w:val="single" w:sz="4" w:space="0" w:color="auto"/>
              <w:bottom w:val="nil"/>
              <w:right w:val="single" w:sz="4" w:space="0" w:color="auto"/>
            </w:tcBorders>
            <w:vAlign w:val="center"/>
          </w:tcPr>
          <w:p w:rsidR="00327D08" w:rsidRPr="00C258AD" w:rsidRDefault="00327D08" w:rsidP="00927E1F">
            <w:pPr>
              <w:rPr>
                <w:rFonts w:cs="Arial"/>
                <w:sz w:val="16"/>
                <w:szCs w:val="16"/>
              </w:rPr>
            </w:pPr>
            <w:r w:rsidRPr="00C258AD">
              <w:rPr>
                <w:b/>
                <w:sz w:val="16"/>
              </w:rPr>
              <w:t>Objectif(s)/description(s)</w:t>
            </w:r>
          </w:p>
        </w:tc>
      </w:tr>
      <w:tr w:rsidR="00327D08" w:rsidRPr="00C258AD" w:rsidTr="00927E1F">
        <w:trPr>
          <w:cantSplit/>
        </w:trPr>
        <w:tc>
          <w:tcPr>
            <w:tcW w:w="1724" w:type="dxa"/>
          </w:tcPr>
          <w:p w:rsidR="00327D08" w:rsidRPr="00C258AD" w:rsidRDefault="00327D08" w:rsidP="00927E1F">
            <w:pPr>
              <w:keepNext/>
              <w:keepLines/>
              <w:autoSpaceDE w:val="0"/>
              <w:autoSpaceDN w:val="0"/>
              <w:adjustRightInd w:val="0"/>
              <w:rPr>
                <w:rFonts w:eastAsia="MS Mincho" w:cs="Arial"/>
                <w:sz w:val="16"/>
                <w:szCs w:val="16"/>
                <w:lang w:eastAsia="ja-JP"/>
              </w:rPr>
            </w:pPr>
            <w:r w:rsidRPr="00C258AD">
              <w:rPr>
                <w:rFonts w:eastAsia="MS Mincho" w:cs="Arial"/>
                <w:sz w:val="16"/>
                <w:szCs w:val="16"/>
                <w:lang w:eastAsia="ja-JP"/>
              </w:rPr>
              <w:t xml:space="preserve">Conférence des directeurs d’offices de propriété intellectuelle </w:t>
            </w:r>
          </w:p>
        </w:tc>
        <w:tc>
          <w:tcPr>
            <w:tcW w:w="1486" w:type="dxa"/>
            <w:gridSpan w:val="2"/>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29 – 30 juin 2015</w:t>
            </w:r>
          </w:p>
        </w:tc>
        <w:tc>
          <w:tcPr>
            <w:tcW w:w="2182"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sz w:val="16"/>
                <w:szCs w:val="16"/>
              </w:rPr>
              <w:t>Japon/ Bangladesh, Bhoutan, Cambodge, Inde, Malaisie, Myanmar, Népal, Pakistan, Philippines, République démocratique populaire lao, Singapour, Sri Lanka et Thaïlande</w:t>
            </w:r>
          </w:p>
        </w:tc>
        <w:tc>
          <w:tcPr>
            <w:tcW w:w="4099" w:type="dxa"/>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i) Sensibiliser les nouveaux directeurs au monde de la propriété intellectuelle et leur dispenser un enseignement visant à améliorer leur compréhension de la propriété intellectuelle et du développement;  ii) passer en revue la stratégie de mise en œuvre de l’assistance technique de l’OMPI en mettant l’accent sur la durabilité;  iii) fournir aux directeurs d’offices de propriété intellectuelle un environnement sécurisé pour échanger des vues et des données d’expérience;  et iv) faciliter la coopération Sud</w:t>
            </w:r>
            <w:r w:rsidRPr="00C258AD">
              <w:rPr>
                <w:rFonts w:eastAsia="MS Mincho" w:cs="Arial"/>
                <w:sz w:val="16"/>
                <w:szCs w:val="16"/>
                <w:lang w:eastAsia="ja-JP"/>
              </w:rPr>
              <w:noBreakHyphen/>
              <w:t xml:space="preserve">Sud en renforçant les liens entre les directeurs d’offices de propriété intellectuelle dans la région.  </w:t>
            </w:r>
          </w:p>
        </w:tc>
      </w:tr>
      <w:tr w:rsidR="00327D08" w:rsidRPr="00C258AD" w:rsidTr="00927E1F">
        <w:trPr>
          <w:cantSplit/>
        </w:trPr>
        <w:tc>
          <w:tcPr>
            <w:tcW w:w="9491" w:type="dxa"/>
            <w:gridSpan w:val="6"/>
            <w:tcBorders>
              <w:top w:val="single" w:sz="4" w:space="0" w:color="auto"/>
              <w:bottom w:val="single" w:sz="4" w:space="0" w:color="auto"/>
            </w:tcBorders>
            <w:shd w:val="clear" w:color="auto" w:fill="C6D9F1" w:themeFill="text2" w:themeFillTint="33"/>
          </w:tcPr>
          <w:p w:rsidR="00327D08" w:rsidRPr="00C258AD" w:rsidRDefault="00327D08" w:rsidP="00927E1F">
            <w:pPr>
              <w:keepNext/>
              <w:keepLines/>
              <w:tabs>
                <w:tab w:val="left" w:pos="1740"/>
              </w:tabs>
              <w:ind w:left="1701" w:hanging="1701"/>
              <w:rPr>
                <w:rFonts w:cs="Arial"/>
                <w:sz w:val="16"/>
                <w:szCs w:val="16"/>
              </w:rPr>
            </w:pPr>
            <w:r w:rsidRPr="00C258AD">
              <w:rPr>
                <w:rFonts w:cs="Arial"/>
                <w:b/>
                <w:sz w:val="16"/>
                <w:szCs w:val="16"/>
              </w:rPr>
              <w:t>RÉSULTAT</w:t>
            </w:r>
            <w:r w:rsidRPr="00C258AD">
              <w:rPr>
                <w:rFonts w:cs="Arial"/>
                <w:sz w:val="16"/>
                <w:szCs w:val="16"/>
              </w:rPr>
              <w:t xml:space="preserve"> : </w:t>
            </w:r>
            <w:r w:rsidRPr="00C258AD">
              <w:rPr>
                <w:rFonts w:cs="Arial"/>
                <w:sz w:val="16"/>
                <w:szCs w:val="16"/>
              </w:rPr>
              <w:tab/>
              <w:t>IV.2  Amélioration de l’accessibilité et de l’utilisation de l’information en matière de propriété intellectuelle par les institutions compétentes et le public afin de promouvoir l’innovation et la créativité</w:t>
            </w:r>
          </w:p>
        </w:tc>
      </w:tr>
      <w:tr w:rsidR="00327D08" w:rsidRPr="00C258AD" w:rsidTr="00927E1F">
        <w:trPr>
          <w:cantSplit/>
        </w:trPr>
        <w:tc>
          <w:tcPr>
            <w:tcW w:w="1724" w:type="dxa"/>
            <w:tcBorders>
              <w:top w:val="single" w:sz="4" w:space="0" w:color="auto"/>
              <w:left w:val="single" w:sz="4" w:space="0" w:color="auto"/>
              <w:bottom w:val="nil"/>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486" w:type="dxa"/>
            <w:gridSpan w:val="2"/>
            <w:tcBorders>
              <w:top w:val="single" w:sz="4" w:space="0" w:color="auto"/>
              <w:bottom w:val="nil"/>
            </w:tcBorders>
            <w:vAlign w:val="center"/>
          </w:tcPr>
          <w:p w:rsidR="00327D08" w:rsidRPr="00C258AD" w:rsidRDefault="00327D08" w:rsidP="00927E1F">
            <w:pPr>
              <w:rPr>
                <w:rFonts w:cs="Arial"/>
                <w:sz w:val="16"/>
                <w:szCs w:val="16"/>
              </w:rPr>
            </w:pPr>
            <w:r w:rsidRPr="00C258AD">
              <w:rPr>
                <w:rFonts w:cs="Arial"/>
                <w:sz w:val="16"/>
                <w:szCs w:val="16"/>
              </w:rPr>
              <w:t>Date</w:t>
            </w:r>
          </w:p>
        </w:tc>
        <w:tc>
          <w:tcPr>
            <w:tcW w:w="2182" w:type="dxa"/>
            <w:gridSpan w:val="2"/>
            <w:tcBorders>
              <w:top w:val="single" w:sz="4" w:space="0" w:color="auto"/>
              <w:bottom w:val="nil"/>
            </w:tcBorders>
            <w:vAlign w:val="center"/>
          </w:tcPr>
          <w:p w:rsidR="00327D08" w:rsidRPr="00C258AD" w:rsidRDefault="00327D08" w:rsidP="00927E1F">
            <w:pPr>
              <w:rPr>
                <w:rFonts w:cs="Arial"/>
                <w:sz w:val="16"/>
                <w:szCs w:val="16"/>
              </w:rPr>
            </w:pPr>
            <w:r w:rsidRPr="00C258AD">
              <w:rPr>
                <w:b/>
                <w:sz w:val="16"/>
              </w:rPr>
              <w:t>Pays hôte/</w:t>
            </w:r>
            <w:r w:rsidRPr="00C258AD">
              <w:br/>
            </w:r>
            <w:r w:rsidRPr="00C258AD">
              <w:rPr>
                <w:b/>
                <w:sz w:val="16"/>
              </w:rPr>
              <w:t>bénéficiaires</w:t>
            </w:r>
          </w:p>
        </w:tc>
        <w:tc>
          <w:tcPr>
            <w:tcW w:w="4099" w:type="dxa"/>
            <w:tcBorders>
              <w:top w:val="single" w:sz="4" w:space="0" w:color="auto"/>
              <w:bottom w:val="nil"/>
              <w:right w:val="single" w:sz="4" w:space="0" w:color="auto"/>
            </w:tcBorders>
            <w:vAlign w:val="center"/>
          </w:tcPr>
          <w:p w:rsidR="00327D08" w:rsidRPr="00C258AD" w:rsidRDefault="00327D08" w:rsidP="00927E1F">
            <w:pPr>
              <w:rPr>
                <w:rFonts w:cs="Arial"/>
                <w:sz w:val="16"/>
                <w:szCs w:val="16"/>
              </w:rPr>
            </w:pPr>
            <w:r w:rsidRPr="00C258AD">
              <w:rPr>
                <w:b/>
                <w:sz w:val="16"/>
              </w:rPr>
              <w:t>Objectif(s)/description(s)</w:t>
            </w:r>
          </w:p>
        </w:tc>
      </w:tr>
      <w:tr w:rsidR="00327D08" w:rsidRPr="00C258AD" w:rsidTr="00927E1F">
        <w:trPr>
          <w:cantSplit/>
        </w:trPr>
        <w:tc>
          <w:tcPr>
            <w:tcW w:w="1724" w:type="dxa"/>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Séminaire régional sur la diffusion et l’utilisation efficace de l’information en matière de brevets</w:t>
            </w:r>
          </w:p>
        </w:tc>
        <w:tc>
          <w:tcPr>
            <w:tcW w:w="1486" w:type="dxa"/>
            <w:gridSpan w:val="2"/>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5 – 6 novembre 2015</w:t>
            </w:r>
          </w:p>
        </w:tc>
        <w:tc>
          <w:tcPr>
            <w:tcW w:w="2182"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sz w:val="16"/>
                <w:szCs w:val="16"/>
              </w:rPr>
              <w:t>Japon</w:t>
            </w:r>
            <w:r w:rsidRPr="00C258AD">
              <w:rPr>
                <w:rFonts w:eastAsia="MS Mincho"/>
                <w:sz w:val="16"/>
                <w:szCs w:val="16"/>
              </w:rPr>
              <w:t xml:space="preserve">/ </w:t>
            </w:r>
            <w:r w:rsidRPr="00C258AD">
              <w:rPr>
                <w:sz w:val="16"/>
                <w:szCs w:val="16"/>
              </w:rPr>
              <w:t>Indonésie</w:t>
            </w:r>
            <w:r w:rsidRPr="00C258AD">
              <w:rPr>
                <w:rFonts w:eastAsia="MS Mincho"/>
                <w:sz w:val="16"/>
                <w:szCs w:val="16"/>
              </w:rPr>
              <w:t xml:space="preserve">, </w:t>
            </w:r>
            <w:r w:rsidRPr="00C258AD">
              <w:rPr>
                <w:sz w:val="16"/>
                <w:szCs w:val="16"/>
              </w:rPr>
              <w:t>Malaisie</w:t>
            </w:r>
            <w:r w:rsidRPr="00C258AD">
              <w:rPr>
                <w:rFonts w:eastAsia="MS Mincho"/>
                <w:sz w:val="16"/>
                <w:szCs w:val="16"/>
              </w:rPr>
              <w:t xml:space="preserve">, </w:t>
            </w:r>
            <w:r w:rsidRPr="00C258AD">
              <w:rPr>
                <w:sz w:val="16"/>
                <w:szCs w:val="16"/>
              </w:rPr>
              <w:t>Philippines</w:t>
            </w:r>
            <w:r w:rsidRPr="00C258AD">
              <w:rPr>
                <w:rFonts w:eastAsia="MS Mincho"/>
                <w:sz w:val="16"/>
                <w:szCs w:val="16"/>
              </w:rPr>
              <w:t xml:space="preserve">, </w:t>
            </w:r>
            <w:r w:rsidRPr="00C258AD">
              <w:rPr>
                <w:sz w:val="16"/>
                <w:szCs w:val="16"/>
              </w:rPr>
              <w:t>Thaïlande et</w:t>
            </w:r>
            <w:r w:rsidRPr="00C258AD">
              <w:rPr>
                <w:rFonts w:eastAsia="MS Mincho"/>
                <w:sz w:val="16"/>
                <w:szCs w:val="16"/>
              </w:rPr>
              <w:t xml:space="preserve"> </w:t>
            </w:r>
            <w:r w:rsidRPr="00C258AD">
              <w:rPr>
                <w:sz w:val="16"/>
                <w:szCs w:val="16"/>
              </w:rPr>
              <w:t>Viet Nam</w:t>
            </w:r>
          </w:p>
        </w:tc>
        <w:tc>
          <w:tcPr>
            <w:tcW w:w="4099" w:type="dxa"/>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 xml:space="preserve">Donner aux participants la possibilité de s’informer sur : i) les avantages économiques de l’information en matière de brevets;  et ii) les tendances générales en matière d’échange de données de brevets entre offices de propriété intellectuelle.  </w:t>
            </w:r>
          </w:p>
        </w:tc>
      </w:tr>
      <w:tr w:rsidR="00327D08" w:rsidRPr="00C258AD" w:rsidTr="00927E1F">
        <w:trPr>
          <w:cantSplit/>
        </w:trPr>
        <w:tc>
          <w:tcPr>
            <w:tcW w:w="1724" w:type="dxa"/>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 xml:space="preserve">Manuel d’utilisation des logiciels libres d’analyse de brevets </w:t>
            </w:r>
          </w:p>
        </w:tc>
        <w:tc>
          <w:tcPr>
            <w:tcW w:w="1486" w:type="dxa"/>
            <w:gridSpan w:val="2"/>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Mars à décembre 2015</w:t>
            </w:r>
          </w:p>
        </w:tc>
        <w:tc>
          <w:tcPr>
            <w:tcW w:w="2182"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Tous les États membres de l’OMPI</w:t>
            </w:r>
          </w:p>
        </w:tc>
        <w:tc>
          <w:tcPr>
            <w:tcW w:w="4099" w:type="dxa"/>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Renforcer les capacités des spécialistes de l’information en matière de brevets au sein des offices de propriété intellectuelle et autres institutions publiques aux fins de l’élaboration de rapports panoramiques sur les brevets.</w:t>
            </w:r>
          </w:p>
        </w:tc>
      </w:tr>
      <w:tr w:rsidR="00327D08" w:rsidRPr="00C258AD" w:rsidTr="00927E1F">
        <w:trPr>
          <w:cantSplit/>
        </w:trPr>
        <w:tc>
          <w:tcPr>
            <w:tcW w:w="1724" w:type="dxa"/>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Atelier interrégional sur les logiciels libres d’analyse de brevets</w:t>
            </w:r>
          </w:p>
        </w:tc>
        <w:tc>
          <w:tcPr>
            <w:tcW w:w="1486" w:type="dxa"/>
            <w:gridSpan w:val="2"/>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25 – 27 novembre 2015</w:t>
            </w:r>
          </w:p>
        </w:tc>
        <w:tc>
          <w:tcPr>
            <w:tcW w:w="2182"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sz w:val="16"/>
                <w:szCs w:val="16"/>
              </w:rPr>
              <w:t xml:space="preserve">Philippines/ Brésil, </w:t>
            </w:r>
            <w:proofErr w:type="spellStart"/>
            <w:r w:rsidRPr="00C258AD">
              <w:rPr>
                <w:sz w:val="16"/>
                <w:szCs w:val="16"/>
              </w:rPr>
              <w:t>Brunéi</w:t>
            </w:r>
            <w:proofErr w:type="spellEnd"/>
            <w:r w:rsidRPr="00C258AD">
              <w:rPr>
                <w:sz w:val="16"/>
                <w:szCs w:val="16"/>
              </w:rPr>
              <w:t xml:space="preserve"> Darussalam, Chili, Inde, Indonésie.  Malaisie, Mongolie, Pakistan, Philippines et Viet Nam</w:t>
            </w:r>
          </w:p>
        </w:tc>
        <w:tc>
          <w:tcPr>
            <w:tcW w:w="4099" w:type="dxa"/>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i) Présenter le manuel aux utilisateurs potentiels;  ii) dispenser une formation pratique sur certains outils libres et open source pour différentes tâches d’analyse en matière de brevets;  et iii) faciliter la collaboration entre offices de propriété intellectuelle et autres institutions travaillant dans le domaine de l’analyse de brevets afin d’échanger des vues et des pratiques recommandées.</w:t>
            </w:r>
          </w:p>
        </w:tc>
      </w:tr>
      <w:tr w:rsidR="00327D08" w:rsidRPr="00C258AD" w:rsidTr="00927E1F">
        <w:trPr>
          <w:cantSplit/>
        </w:trPr>
        <w:tc>
          <w:tcPr>
            <w:tcW w:w="1724" w:type="dxa"/>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Recherche du Bureau de l’OMPI au Japon sur les réussites reliant le commerce et la propriété intellectuelle</w:t>
            </w:r>
          </w:p>
        </w:tc>
        <w:tc>
          <w:tcPr>
            <w:tcW w:w="1486" w:type="dxa"/>
            <w:gridSpan w:val="2"/>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janvier à mars 2015</w:t>
            </w:r>
          </w:p>
        </w:tc>
        <w:tc>
          <w:tcPr>
            <w:tcW w:w="2182"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sz w:val="16"/>
                <w:szCs w:val="16"/>
              </w:rPr>
              <w:t>Grèce, Jordanie et Malaisie/ tous les États membres de l’OMPI</w:t>
            </w:r>
          </w:p>
        </w:tc>
        <w:tc>
          <w:tcPr>
            <w:tcW w:w="4099" w:type="dxa"/>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 xml:space="preserve">Le Bureau de l’OMPI au Japon e entrepris des recherches et recueilli des données sur des exemples de liens fructueux entre entreprises et propriété intellectuelle, l’accent étant mis en particulier sur les pays en développement, afin d’enrichir la base de données IP </w:t>
            </w:r>
            <w:proofErr w:type="spellStart"/>
            <w:r w:rsidRPr="00C258AD">
              <w:rPr>
                <w:rFonts w:eastAsia="MS Mincho" w:cs="Arial"/>
                <w:sz w:val="16"/>
                <w:szCs w:val="16"/>
                <w:lang w:eastAsia="ja-JP"/>
              </w:rPr>
              <w:t>Advantage</w:t>
            </w:r>
            <w:proofErr w:type="spellEnd"/>
            <w:r w:rsidRPr="00C258AD">
              <w:rPr>
                <w:rFonts w:eastAsia="MS Mincho" w:cs="Arial"/>
                <w:sz w:val="16"/>
                <w:szCs w:val="16"/>
                <w:lang w:eastAsia="ja-JP"/>
              </w:rPr>
              <w:t> :</w:t>
            </w:r>
          </w:p>
          <w:p w:rsidR="00327D08" w:rsidRPr="00C258AD" w:rsidRDefault="00327D08" w:rsidP="00DF2EEF">
            <w:pPr>
              <w:pStyle w:val="ListParagraph"/>
              <w:numPr>
                <w:ilvl w:val="0"/>
                <w:numId w:val="104"/>
              </w:numPr>
              <w:autoSpaceDE w:val="0"/>
              <w:autoSpaceDN w:val="0"/>
              <w:adjustRightInd w:val="0"/>
              <w:ind w:left="0"/>
              <w:rPr>
                <w:rFonts w:eastAsia="MS Mincho" w:cs="Arial"/>
                <w:sz w:val="16"/>
                <w:szCs w:val="16"/>
              </w:rPr>
            </w:pPr>
            <w:r w:rsidRPr="00C258AD">
              <w:rPr>
                <w:rFonts w:eastAsia="MS Mincho" w:cs="Arial"/>
                <w:sz w:val="16"/>
                <w:szCs w:val="16"/>
              </w:rPr>
              <w:t>Le cas de la feta (Grèce);</w:t>
            </w:r>
          </w:p>
          <w:p w:rsidR="00327D08" w:rsidRPr="00C258AD" w:rsidRDefault="00327D08" w:rsidP="00DF2EEF">
            <w:pPr>
              <w:pStyle w:val="ListParagraph"/>
              <w:numPr>
                <w:ilvl w:val="0"/>
                <w:numId w:val="104"/>
              </w:numPr>
              <w:autoSpaceDE w:val="0"/>
              <w:autoSpaceDN w:val="0"/>
              <w:adjustRightInd w:val="0"/>
              <w:ind w:left="0"/>
              <w:rPr>
                <w:rFonts w:eastAsia="MS Mincho" w:cs="Arial"/>
                <w:sz w:val="16"/>
                <w:szCs w:val="16"/>
              </w:rPr>
            </w:pPr>
            <w:r w:rsidRPr="00C258AD">
              <w:rPr>
                <w:rFonts w:eastAsia="MS Mincho" w:cs="Arial"/>
                <w:sz w:val="16"/>
                <w:szCs w:val="16"/>
              </w:rPr>
              <w:t>i) Élaboration de logiciels abordables pour les petites entreprises;  ii) Vers une innovation alimentée par la propriété intellectuelle (Jordanie);  et</w:t>
            </w:r>
          </w:p>
          <w:p w:rsidR="00327D08" w:rsidRPr="00C258AD" w:rsidRDefault="00327D08" w:rsidP="00DF2EEF">
            <w:pPr>
              <w:pStyle w:val="ListParagraph"/>
              <w:numPr>
                <w:ilvl w:val="0"/>
                <w:numId w:val="104"/>
              </w:numPr>
              <w:autoSpaceDE w:val="0"/>
              <w:autoSpaceDN w:val="0"/>
              <w:adjustRightInd w:val="0"/>
              <w:ind w:left="0"/>
              <w:rPr>
                <w:rFonts w:eastAsia="MS Mincho" w:cs="Arial"/>
                <w:sz w:val="16"/>
                <w:szCs w:val="16"/>
              </w:rPr>
            </w:pPr>
            <w:r w:rsidRPr="00C258AD">
              <w:rPr>
                <w:rFonts w:eastAsia="MS Mincho" w:cs="Arial"/>
                <w:sz w:val="16"/>
                <w:szCs w:val="16"/>
              </w:rPr>
              <w:t>Technologie, licences et arboriculture et R</w:t>
            </w:r>
            <w:r w:rsidRPr="00C258AD">
              <w:rPr>
                <w:rFonts w:eastAsia="MS Mincho" w:cs="Arial"/>
                <w:sz w:val="16"/>
                <w:szCs w:val="16"/>
              </w:rPr>
              <w:noBreakHyphen/>
              <w:t>D universitaire pour nourrir une nation (Malaisie)</w:t>
            </w:r>
          </w:p>
        </w:tc>
      </w:tr>
      <w:tr w:rsidR="00327D08" w:rsidRPr="00C258AD" w:rsidTr="00927E1F">
        <w:trPr>
          <w:cantSplit/>
        </w:trPr>
        <w:tc>
          <w:tcPr>
            <w:tcW w:w="1724" w:type="dxa"/>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 xml:space="preserve">Traduction des publications de l’OMPI </w:t>
            </w:r>
          </w:p>
        </w:tc>
        <w:tc>
          <w:tcPr>
            <w:tcW w:w="1486" w:type="dxa"/>
            <w:gridSpan w:val="2"/>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2015 (lancement)</w:t>
            </w:r>
          </w:p>
        </w:tc>
        <w:tc>
          <w:tcPr>
            <w:tcW w:w="2182"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Myanmar</w:t>
            </w:r>
          </w:p>
        </w:tc>
        <w:tc>
          <w:tcPr>
            <w:tcW w:w="4099" w:type="dxa"/>
          </w:tcPr>
          <w:p w:rsidR="00327D08" w:rsidRPr="00C258AD" w:rsidRDefault="00327D08" w:rsidP="00927E1F">
            <w:pPr>
              <w:autoSpaceDE w:val="0"/>
              <w:autoSpaceDN w:val="0"/>
              <w:adjustRightInd w:val="0"/>
              <w:rPr>
                <w:rFonts w:eastAsia="MS Mincho" w:cs="Arial"/>
                <w:sz w:val="16"/>
                <w:szCs w:val="16"/>
                <w:lang w:eastAsia="ja-JP"/>
              </w:rPr>
            </w:pPr>
            <w:r w:rsidRPr="00C258AD">
              <w:rPr>
                <w:rFonts w:cs="Arial"/>
                <w:sz w:val="16"/>
                <w:szCs w:val="16"/>
                <w:lang w:eastAsia="ja-JP"/>
              </w:rPr>
              <w:t>Les publications OMPI ci</w:t>
            </w:r>
            <w:r w:rsidRPr="00C258AD">
              <w:rPr>
                <w:rFonts w:cs="Arial"/>
                <w:sz w:val="16"/>
                <w:szCs w:val="16"/>
                <w:lang w:eastAsia="ja-JP"/>
              </w:rPr>
              <w:noBreakHyphen/>
              <w:t xml:space="preserve">après sont en cours de traduction en birman : </w:t>
            </w:r>
            <w:r w:rsidRPr="00C258AD">
              <w:rPr>
                <w:rFonts w:cs="Arial"/>
                <w:sz w:val="16"/>
                <w:szCs w:val="16"/>
              </w:rPr>
              <w:t>i)</w:t>
            </w:r>
            <w:r w:rsidRPr="00C258AD">
              <w:rPr>
                <w:rFonts w:cs="Arial"/>
                <w:sz w:val="16"/>
                <w:szCs w:val="16"/>
                <w:lang w:eastAsia="ja-JP"/>
              </w:rPr>
              <w:t> </w:t>
            </w:r>
            <w:r w:rsidRPr="00C258AD">
              <w:rPr>
                <w:rFonts w:cs="Arial"/>
                <w:i/>
                <w:sz w:val="16"/>
                <w:szCs w:val="16"/>
              </w:rPr>
              <w:t>Créer une marque : initiation aux marques pour les petites et moyennes entreprises</w:t>
            </w:r>
            <w:r w:rsidRPr="00C258AD">
              <w:rPr>
                <w:rFonts w:cs="Arial"/>
                <w:sz w:val="16"/>
                <w:szCs w:val="16"/>
              </w:rPr>
              <w:t>;</w:t>
            </w:r>
            <w:r w:rsidRPr="00C258AD">
              <w:rPr>
                <w:rFonts w:cs="Arial"/>
                <w:sz w:val="16"/>
                <w:szCs w:val="16"/>
                <w:lang w:eastAsia="ja-JP"/>
              </w:rPr>
              <w:t xml:space="preserve">  </w:t>
            </w:r>
            <w:r w:rsidRPr="00C258AD">
              <w:rPr>
                <w:rFonts w:cs="Arial"/>
                <w:sz w:val="16"/>
                <w:szCs w:val="16"/>
              </w:rPr>
              <w:t>ii) </w:t>
            </w:r>
            <w:r w:rsidRPr="00C258AD">
              <w:rPr>
                <w:rFonts w:cs="Arial"/>
                <w:i/>
                <w:sz w:val="16"/>
                <w:szCs w:val="16"/>
              </w:rPr>
              <w:t>Inventer le futur : initiation aux brevets pour les petites et moyennes entreprises</w:t>
            </w:r>
            <w:r w:rsidRPr="00C258AD">
              <w:rPr>
                <w:rFonts w:cs="Arial"/>
                <w:sz w:val="16"/>
                <w:szCs w:val="16"/>
              </w:rPr>
              <w:t>;  et</w:t>
            </w:r>
            <w:r w:rsidRPr="00C258AD">
              <w:rPr>
                <w:rFonts w:cs="Arial"/>
                <w:sz w:val="16"/>
                <w:szCs w:val="16"/>
                <w:lang w:eastAsia="ja-JP"/>
              </w:rPr>
              <w:t xml:space="preserve"> </w:t>
            </w:r>
            <w:r w:rsidRPr="00C258AD">
              <w:rPr>
                <w:rFonts w:cs="Arial"/>
                <w:sz w:val="16"/>
                <w:szCs w:val="16"/>
              </w:rPr>
              <w:t>iii) </w:t>
            </w:r>
            <w:r w:rsidRPr="00C258AD">
              <w:rPr>
                <w:rFonts w:cs="Arial"/>
                <w:i/>
                <w:sz w:val="16"/>
                <w:szCs w:val="16"/>
              </w:rPr>
              <w:t>L’expression de la créativité : initiation au droit d’auteur et aux droits connexes pour les petites et moyennes entreprises</w:t>
            </w:r>
            <w:r w:rsidRPr="00C258AD">
              <w:rPr>
                <w:rFonts w:cs="Arial"/>
                <w:sz w:val="16"/>
                <w:szCs w:val="16"/>
              </w:rPr>
              <w:t>.</w:t>
            </w:r>
            <w:r w:rsidRPr="00C258AD">
              <w:rPr>
                <w:rFonts w:cs="Arial"/>
                <w:sz w:val="16"/>
                <w:szCs w:val="16"/>
                <w:lang w:eastAsia="ja-JP"/>
              </w:rPr>
              <w:t xml:space="preserve"> </w:t>
            </w:r>
            <w:r w:rsidRPr="00C258AD">
              <w:rPr>
                <w:rFonts w:cs="Arial"/>
                <w:sz w:val="16"/>
                <w:szCs w:val="16"/>
              </w:rPr>
              <w:t xml:space="preserve"> </w:t>
            </w:r>
          </w:p>
        </w:tc>
      </w:tr>
      <w:tr w:rsidR="00327D08" w:rsidRPr="00C258AD" w:rsidTr="00927E1F">
        <w:trPr>
          <w:cantSplit/>
        </w:trPr>
        <w:tc>
          <w:tcPr>
            <w:tcW w:w="1724" w:type="dxa"/>
            <w:tcBorders>
              <w:bottom w:val="single" w:sz="4" w:space="0" w:color="auto"/>
            </w:tcBorders>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Fourniture d’une documentation de référence sur la propriété intellectuelle</w:t>
            </w:r>
          </w:p>
        </w:tc>
        <w:tc>
          <w:tcPr>
            <w:tcW w:w="1486" w:type="dxa"/>
            <w:gridSpan w:val="2"/>
            <w:tcBorders>
              <w:bottom w:val="single" w:sz="4" w:space="0" w:color="auto"/>
            </w:tcBorders>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2015</w:t>
            </w:r>
          </w:p>
        </w:tc>
        <w:tc>
          <w:tcPr>
            <w:tcW w:w="2182" w:type="dxa"/>
            <w:gridSpan w:val="2"/>
            <w:tcBorders>
              <w:bottom w:val="single" w:sz="4" w:space="0" w:color="auto"/>
            </w:tcBorders>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Thaïlande</w:t>
            </w:r>
          </w:p>
        </w:tc>
        <w:tc>
          <w:tcPr>
            <w:tcW w:w="4099" w:type="dxa"/>
            <w:tcBorders>
              <w:bottom w:val="single" w:sz="4" w:space="0" w:color="auto"/>
            </w:tcBorders>
          </w:tcPr>
          <w:p w:rsidR="00327D08" w:rsidRPr="00C258AD" w:rsidRDefault="00327D08" w:rsidP="00927E1F">
            <w:pPr>
              <w:autoSpaceDE w:val="0"/>
              <w:autoSpaceDN w:val="0"/>
              <w:adjustRightInd w:val="0"/>
              <w:rPr>
                <w:rFonts w:eastAsia="MS Mincho" w:cs="Arial"/>
                <w:sz w:val="16"/>
                <w:szCs w:val="16"/>
                <w:lang w:eastAsia="ja-JP"/>
              </w:rPr>
            </w:pPr>
            <w:r w:rsidRPr="00C258AD">
              <w:rPr>
                <w:rFonts w:cs="Arial"/>
                <w:sz w:val="16"/>
                <w:szCs w:val="16"/>
                <w:lang w:eastAsia="ja-JP"/>
              </w:rPr>
              <w:t xml:space="preserve">Fourniture d’une série de publications essentielles sur la propriété intellectuelle au Tribunal central de propriété intellectuelle et Cour commerciale internationale de la </w:t>
            </w:r>
            <w:r w:rsidRPr="00C258AD">
              <w:rPr>
                <w:rFonts w:cs="Arial"/>
                <w:bCs/>
                <w:sz w:val="16"/>
                <w:szCs w:val="16"/>
              </w:rPr>
              <w:t>Thaïlande.</w:t>
            </w:r>
            <w:r w:rsidRPr="00C258AD">
              <w:rPr>
                <w:rFonts w:eastAsia="MS Mincho" w:cs="Arial"/>
                <w:sz w:val="16"/>
                <w:szCs w:val="16"/>
                <w:lang w:eastAsia="ja-JP"/>
              </w:rPr>
              <w:t xml:space="preserve"> </w:t>
            </w:r>
            <w:r w:rsidRPr="00C258AD">
              <w:rPr>
                <w:rFonts w:cs="Arial"/>
                <w:bCs/>
                <w:sz w:val="16"/>
                <w:szCs w:val="16"/>
              </w:rPr>
              <w:t xml:space="preserve"> </w:t>
            </w:r>
          </w:p>
        </w:tc>
      </w:tr>
      <w:tr w:rsidR="00327D08" w:rsidRPr="00C258AD" w:rsidTr="00927E1F">
        <w:trPr>
          <w:cantSplit/>
        </w:trPr>
        <w:tc>
          <w:tcPr>
            <w:tcW w:w="9491" w:type="dxa"/>
            <w:gridSpan w:val="6"/>
            <w:tcBorders>
              <w:top w:val="single" w:sz="4" w:space="0" w:color="auto"/>
              <w:bottom w:val="single" w:sz="4" w:space="0" w:color="000000"/>
            </w:tcBorders>
            <w:shd w:val="clear" w:color="auto" w:fill="C6D9F1" w:themeFill="text2" w:themeFillTint="33"/>
          </w:tcPr>
          <w:p w:rsidR="00327D08" w:rsidRPr="00C258AD" w:rsidRDefault="00327D08" w:rsidP="00927E1F">
            <w:pPr>
              <w:keepNext/>
              <w:keepLines/>
              <w:tabs>
                <w:tab w:val="left" w:pos="1740"/>
              </w:tabs>
              <w:ind w:left="1701" w:hanging="1701"/>
              <w:rPr>
                <w:rFonts w:cs="Arial"/>
                <w:sz w:val="16"/>
                <w:szCs w:val="16"/>
              </w:rPr>
            </w:pPr>
            <w:r w:rsidRPr="00C258AD">
              <w:rPr>
                <w:rFonts w:cs="Arial"/>
                <w:b/>
                <w:sz w:val="16"/>
                <w:szCs w:val="16"/>
              </w:rPr>
              <w:lastRenderedPageBreak/>
              <w:t xml:space="preserve">RÉSULTAT : </w:t>
            </w:r>
            <w:r w:rsidRPr="00C258AD">
              <w:rPr>
                <w:rFonts w:cs="Arial"/>
                <w:sz w:val="16"/>
                <w:szCs w:val="16"/>
              </w:rPr>
              <w:tab/>
              <w:t>IV.4 Amélioration de l’infrastructure technique et du savoir pour les offices de propriété intellectuelle et les autres institutions de propriété intellectuelle, leur permettant de fournir à leurs parties prenantes des services améliorés (moins chers, plus rapides, de meilleure qualité)</w:t>
            </w:r>
          </w:p>
        </w:tc>
      </w:tr>
      <w:tr w:rsidR="00327D08" w:rsidRPr="00C258AD" w:rsidTr="00927E1F">
        <w:trPr>
          <w:cantSplit/>
        </w:trPr>
        <w:tc>
          <w:tcPr>
            <w:tcW w:w="1764" w:type="dxa"/>
            <w:gridSpan w:val="2"/>
            <w:tcBorders>
              <w:top w:val="single" w:sz="4" w:space="0" w:color="000000"/>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446" w:type="dxa"/>
            <w:tcBorders>
              <w:top w:val="single" w:sz="4" w:space="0" w:color="000000"/>
            </w:tcBorders>
            <w:vAlign w:val="center"/>
          </w:tcPr>
          <w:p w:rsidR="00327D08" w:rsidRPr="00C258AD" w:rsidRDefault="00327D08" w:rsidP="00927E1F">
            <w:pPr>
              <w:keepNext/>
              <w:keepLines/>
              <w:rPr>
                <w:rFonts w:cs="Arial"/>
                <w:sz w:val="16"/>
                <w:szCs w:val="16"/>
              </w:rPr>
            </w:pPr>
            <w:r w:rsidRPr="00C258AD">
              <w:rPr>
                <w:rFonts w:cs="Arial"/>
                <w:sz w:val="16"/>
                <w:szCs w:val="16"/>
              </w:rPr>
              <w:t>Date</w:t>
            </w:r>
          </w:p>
        </w:tc>
        <w:tc>
          <w:tcPr>
            <w:tcW w:w="2182" w:type="dxa"/>
            <w:gridSpan w:val="2"/>
            <w:tcBorders>
              <w:top w:val="single" w:sz="4" w:space="0" w:color="000000"/>
            </w:tcBorders>
            <w:vAlign w:val="center"/>
          </w:tcPr>
          <w:p w:rsidR="00327D08" w:rsidRPr="00C258AD" w:rsidRDefault="00327D08" w:rsidP="00927E1F">
            <w:pPr>
              <w:keepNext/>
              <w:keepLines/>
              <w:rPr>
                <w:rFonts w:cs="Arial"/>
                <w:sz w:val="16"/>
                <w:szCs w:val="16"/>
              </w:rPr>
            </w:pPr>
            <w:r w:rsidRPr="00C258AD">
              <w:rPr>
                <w:b/>
                <w:sz w:val="16"/>
              </w:rPr>
              <w:t>Pays hôte/</w:t>
            </w:r>
            <w:r w:rsidRPr="00C258AD">
              <w:br/>
            </w:r>
            <w:r w:rsidRPr="00C258AD">
              <w:rPr>
                <w:b/>
                <w:sz w:val="16"/>
              </w:rPr>
              <w:t>bénéficiaires</w:t>
            </w:r>
          </w:p>
        </w:tc>
        <w:tc>
          <w:tcPr>
            <w:tcW w:w="4099" w:type="dxa"/>
            <w:tcBorders>
              <w:top w:val="single" w:sz="4" w:space="0" w:color="000000"/>
            </w:tcBorders>
            <w:vAlign w:val="center"/>
          </w:tcPr>
          <w:p w:rsidR="00327D08" w:rsidRPr="00C258AD" w:rsidRDefault="00327D08" w:rsidP="00927E1F">
            <w:pPr>
              <w:keepNext/>
              <w:keepLines/>
              <w:rPr>
                <w:rFonts w:cs="Arial"/>
                <w:sz w:val="16"/>
                <w:szCs w:val="16"/>
              </w:rPr>
            </w:pPr>
            <w:r w:rsidRPr="00C258AD">
              <w:rPr>
                <w:b/>
                <w:sz w:val="16"/>
              </w:rPr>
              <w:t>Objectif(s)/description(s)</w:t>
            </w:r>
          </w:p>
        </w:tc>
      </w:tr>
      <w:tr w:rsidR="00327D08" w:rsidRPr="00C258AD" w:rsidTr="00927E1F">
        <w:trPr>
          <w:cantSplit/>
        </w:trPr>
        <w:tc>
          <w:tcPr>
            <w:tcW w:w="1764"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Atelier sur l’utilisation de la plateforme CASE et l’efficacité du partage du travail dans l’ASEAN</w:t>
            </w:r>
          </w:p>
        </w:tc>
        <w:tc>
          <w:tcPr>
            <w:tcW w:w="1446" w:type="dxa"/>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février 2015</w:t>
            </w:r>
          </w:p>
        </w:tc>
        <w:tc>
          <w:tcPr>
            <w:tcW w:w="2182"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Singapour/ États membres de l’ASEAN</w:t>
            </w:r>
          </w:p>
        </w:tc>
        <w:tc>
          <w:tcPr>
            <w:tcW w:w="4099"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Aider les membres de l’ASEAN à mettre en œuvre l’initiative relative au partage du travail en matière de brevets en ayant une idée claire des besoins opérationnels et améliorer la qualité de la recherche et de l’examen au niveau national.  Les objectifs de l’atelier étaient les suivants : i) améliorer les pratiques opérationnelles du programme de coopération de l’ASEAN en matière d’examen des brevets (ASPEC) en adoptant un approche plus stratégique et axée sur les opérations;  ii) passer en revue l’état actuel des pratiques prévues dans le cadre de l’ASPEC ainsi que l’efficacité et l’efficience de la plateforme WIPO CASE afin de faciliter les processus ASPEC;  iii) faire de WIPO CASE une plateforme qui aide les examinateurs de brevets à s’informer des pratiques d’examen dans différents offices de propriété intellectuelle et à les appliquer dans leur travail courant;  et iv) établir des recommandations, y compris sur des mesures spécifiques, pour renforcer et améliorer les procédures de travail de l’ASPEC.</w:t>
            </w:r>
          </w:p>
        </w:tc>
      </w:tr>
      <w:tr w:rsidR="00327D08" w:rsidRPr="00C258AD" w:rsidTr="00927E1F">
        <w:trPr>
          <w:cantSplit/>
        </w:trPr>
        <w:tc>
          <w:tcPr>
            <w:tcW w:w="1764"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Projet sur le renforcement des infrastructures des offices de propriété intellectuelle de l’ASEAN pour soutenir la coopération régionale en matière de partage du travail sur les brevets</w:t>
            </w:r>
          </w:p>
        </w:tc>
        <w:tc>
          <w:tcPr>
            <w:tcW w:w="1446" w:type="dxa"/>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avril 2015 (lancement)</w:t>
            </w:r>
          </w:p>
        </w:tc>
        <w:tc>
          <w:tcPr>
            <w:tcW w:w="2182"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États membres de l’ASEAN</w:t>
            </w:r>
          </w:p>
        </w:tc>
        <w:tc>
          <w:tcPr>
            <w:tcW w:w="4099"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i) Élargir et améliorer le partage de l’information contenue dans les dossiers des offices de propriété intellectuelle des membres de l’ASEAN, y compris les résultats de la recherche et de l’examen, avec les autres offices de propriété intellectuelle, notamment grâce au réseau WIPO CASE;  ii) mettre en place au niveau régional des systèmes informatiques tirant efficacement parti d’une plateforme logicielle;  et iii) fournir aux offices de propriété intellectuelle des membres de l’ASEAN une assistance en faveur du partage de l’information figurant dans les dossiers et d’autres données de propriété intellectuelle grâce à la modernisation de leurs systèmes de gestion de la propriété intellectuelle.</w:t>
            </w:r>
          </w:p>
        </w:tc>
      </w:tr>
      <w:tr w:rsidR="00327D08" w:rsidRPr="00C258AD" w:rsidTr="00927E1F">
        <w:trPr>
          <w:cantSplit/>
        </w:trPr>
        <w:tc>
          <w:tcPr>
            <w:tcW w:w="1764"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Visite de la Direction générale chargée de la propriété intellectuelle (DGIP) de l’Indonésie à l’Office des brevets du Japon</w:t>
            </w:r>
          </w:p>
        </w:tc>
        <w:tc>
          <w:tcPr>
            <w:tcW w:w="1446" w:type="dxa"/>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septembre 2015</w:t>
            </w:r>
          </w:p>
        </w:tc>
        <w:tc>
          <w:tcPr>
            <w:tcW w:w="2182"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Indonésie</w:t>
            </w:r>
          </w:p>
        </w:tc>
        <w:tc>
          <w:tcPr>
            <w:tcW w:w="4099"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Étude des procédures opérationnelles et des pratiques en matière d’examen du JPO faisant appel à l’informatique.</w:t>
            </w:r>
          </w:p>
        </w:tc>
      </w:tr>
      <w:tr w:rsidR="00327D08" w:rsidRPr="00C258AD" w:rsidTr="00927E1F">
        <w:trPr>
          <w:cantSplit/>
        </w:trPr>
        <w:tc>
          <w:tcPr>
            <w:tcW w:w="1764"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Atelier informatique de l’ASEAN sur les services en ligne au Cambodge</w:t>
            </w:r>
          </w:p>
        </w:tc>
        <w:tc>
          <w:tcPr>
            <w:tcW w:w="1446" w:type="dxa"/>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2 – 6 novembre 2015</w:t>
            </w:r>
          </w:p>
        </w:tc>
        <w:tc>
          <w:tcPr>
            <w:tcW w:w="2182"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sz w:val="16"/>
                <w:szCs w:val="16"/>
                <w:lang w:eastAsia="ja-JP"/>
              </w:rPr>
              <w:t>Cambodge</w:t>
            </w:r>
            <w:r w:rsidRPr="00C258AD">
              <w:rPr>
                <w:rFonts w:eastAsia="MS Mincho" w:cs="Arial"/>
                <w:sz w:val="16"/>
                <w:szCs w:val="16"/>
                <w:lang w:eastAsia="ja-JP"/>
              </w:rPr>
              <w:t xml:space="preserve">/ </w:t>
            </w:r>
            <w:proofErr w:type="spellStart"/>
            <w:r w:rsidRPr="00C258AD">
              <w:rPr>
                <w:rFonts w:eastAsia="MS Mincho"/>
                <w:sz w:val="16"/>
                <w:szCs w:val="16"/>
                <w:lang w:eastAsia="ja-JP"/>
              </w:rPr>
              <w:t>Brunéi</w:t>
            </w:r>
            <w:proofErr w:type="spellEnd"/>
            <w:r w:rsidRPr="00C258AD">
              <w:rPr>
                <w:rFonts w:eastAsia="MS Mincho"/>
                <w:sz w:val="16"/>
                <w:szCs w:val="16"/>
                <w:lang w:eastAsia="ja-JP"/>
              </w:rPr>
              <w:t xml:space="preserve"> Darussalam, Indonésie, Malaisie, </w:t>
            </w:r>
            <w:r w:rsidRPr="00C258AD">
              <w:rPr>
                <w:rFonts w:eastAsia="MS Mincho" w:cs="Arial"/>
                <w:sz w:val="16"/>
                <w:szCs w:val="16"/>
                <w:lang w:eastAsia="ja-JP"/>
              </w:rPr>
              <w:t>Myanmar</w:t>
            </w:r>
            <w:r w:rsidRPr="00C258AD">
              <w:rPr>
                <w:rFonts w:eastAsia="MS Mincho"/>
                <w:sz w:val="16"/>
                <w:szCs w:val="16"/>
                <w:lang w:eastAsia="ja-JP"/>
              </w:rPr>
              <w:t>, Philippines, République démocratique populaire lao, Singapour, Thaïlande et Viet Nam</w:t>
            </w:r>
          </w:p>
        </w:tc>
        <w:tc>
          <w:tcPr>
            <w:tcW w:w="4099"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Appuyer la mise au point technique des services en ligne dans la région de l’ASEAN et une meilleure utilisation du système IPAS d’administration de la propriété intellectuelle à cet effet.</w:t>
            </w:r>
          </w:p>
        </w:tc>
      </w:tr>
      <w:tr w:rsidR="00327D08" w:rsidRPr="00C258AD" w:rsidTr="00927E1F">
        <w:trPr>
          <w:cantSplit/>
        </w:trPr>
        <w:tc>
          <w:tcPr>
            <w:tcW w:w="1764"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Projet de numérisation et de SGED au Cambodge</w:t>
            </w:r>
          </w:p>
        </w:tc>
        <w:tc>
          <w:tcPr>
            <w:tcW w:w="1446" w:type="dxa"/>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février à décembre 2015</w:t>
            </w:r>
          </w:p>
        </w:tc>
        <w:tc>
          <w:tcPr>
            <w:tcW w:w="2182"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Cambodge</w:t>
            </w:r>
          </w:p>
        </w:tc>
        <w:tc>
          <w:tcPr>
            <w:tcW w:w="4099"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Numérisation des documents de brevet du Département de la propriété industrielle du Ministère de l’industrie, des mines et de l’énergie et des documents de marques du Département des droits de propriété intellectuelle du Ministère du commerce du Cambodge</w:t>
            </w:r>
          </w:p>
        </w:tc>
      </w:tr>
      <w:tr w:rsidR="00327D08" w:rsidRPr="00C258AD" w:rsidTr="00927E1F">
        <w:trPr>
          <w:cantSplit/>
        </w:trPr>
        <w:tc>
          <w:tcPr>
            <w:tcW w:w="1764"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 xml:space="preserve">Activités de développement liées au système d’accès centralisé à la recherche et à l’examen (CASE) </w:t>
            </w:r>
          </w:p>
        </w:tc>
        <w:tc>
          <w:tcPr>
            <w:tcW w:w="1446" w:type="dxa"/>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janvier à décembre 2015</w:t>
            </w:r>
          </w:p>
        </w:tc>
        <w:tc>
          <w:tcPr>
            <w:tcW w:w="2182"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Offices participant au système CASE</w:t>
            </w:r>
          </w:p>
        </w:tc>
        <w:tc>
          <w:tcPr>
            <w:tcW w:w="4099"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Élaborer un nouveau portail pour les utilisateurs des offices et achever l’intégration du système WIPO CASE et du système de dossier unique (OPD).</w:t>
            </w:r>
          </w:p>
        </w:tc>
      </w:tr>
      <w:tr w:rsidR="00327D08" w:rsidRPr="00C258AD" w:rsidTr="00927E1F">
        <w:trPr>
          <w:cantSplit/>
        </w:trPr>
        <w:tc>
          <w:tcPr>
            <w:tcW w:w="1764" w:type="dxa"/>
            <w:gridSpan w:val="2"/>
            <w:tcBorders>
              <w:bottom w:val="single" w:sz="4" w:space="0" w:color="auto"/>
            </w:tcBorders>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lastRenderedPageBreak/>
              <w:t xml:space="preserve">Activités de développement liées aux solutions opérationnelles des offices de propriété intellectuelle </w:t>
            </w:r>
          </w:p>
        </w:tc>
        <w:tc>
          <w:tcPr>
            <w:tcW w:w="1446" w:type="dxa"/>
            <w:tcBorders>
              <w:bottom w:val="single" w:sz="4" w:space="0" w:color="auto"/>
            </w:tcBorders>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janvier à décembre 2015</w:t>
            </w:r>
          </w:p>
        </w:tc>
        <w:tc>
          <w:tcPr>
            <w:tcW w:w="2182" w:type="dxa"/>
            <w:gridSpan w:val="2"/>
            <w:tcBorders>
              <w:bottom w:val="single" w:sz="4" w:space="0" w:color="auto"/>
            </w:tcBorders>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États membres de l’ASEAN et de l’ASPAC</w:t>
            </w:r>
          </w:p>
        </w:tc>
        <w:tc>
          <w:tcPr>
            <w:tcW w:w="4099" w:type="dxa"/>
            <w:tcBorders>
              <w:bottom w:val="single" w:sz="4" w:space="0" w:color="auto"/>
            </w:tcBorders>
          </w:tcPr>
          <w:p w:rsidR="00327D08" w:rsidRPr="00C258AD" w:rsidRDefault="00327D08" w:rsidP="00927E1F">
            <w:pPr>
              <w:rPr>
                <w:rFonts w:cs="Arial"/>
                <w:sz w:val="16"/>
                <w:szCs w:val="16"/>
              </w:rPr>
            </w:pPr>
            <w:r w:rsidRPr="00C258AD">
              <w:rPr>
                <w:rFonts w:cs="Arial"/>
                <w:sz w:val="16"/>
                <w:szCs w:val="16"/>
              </w:rPr>
              <w:t xml:space="preserve">Améliorer les systèmes d’extraction des données grâce à l’élaboration et au déploiement pilote du système WIPO </w:t>
            </w:r>
            <w:proofErr w:type="spellStart"/>
            <w:r w:rsidRPr="00C258AD">
              <w:rPr>
                <w:rFonts w:cs="Arial"/>
                <w:sz w:val="16"/>
                <w:szCs w:val="16"/>
              </w:rPr>
              <w:t>Publish</w:t>
            </w:r>
            <w:proofErr w:type="spellEnd"/>
            <w:r w:rsidRPr="00C258AD">
              <w:rPr>
                <w:rFonts w:cs="Arial"/>
                <w:sz w:val="16"/>
                <w:szCs w:val="16"/>
              </w:rPr>
              <w:t xml:space="preserve"> pour l’extraction, le formatage et la diffusion des données.</w:t>
            </w:r>
          </w:p>
        </w:tc>
      </w:tr>
      <w:tr w:rsidR="00327D08" w:rsidRPr="00C258AD" w:rsidTr="00927E1F">
        <w:trPr>
          <w:cantSplit/>
        </w:trPr>
        <w:tc>
          <w:tcPr>
            <w:tcW w:w="9491" w:type="dxa"/>
            <w:gridSpan w:val="6"/>
            <w:tcBorders>
              <w:top w:val="single" w:sz="4" w:space="0" w:color="auto"/>
              <w:bottom w:val="single" w:sz="4" w:space="0" w:color="auto"/>
            </w:tcBorders>
            <w:shd w:val="clear" w:color="auto" w:fill="C6D9F1" w:themeFill="text2" w:themeFillTint="33"/>
            <w:vAlign w:val="center"/>
          </w:tcPr>
          <w:p w:rsidR="00327D08" w:rsidRPr="00C258AD" w:rsidRDefault="00327D08" w:rsidP="00927E1F">
            <w:pPr>
              <w:keepNext/>
              <w:keepLines/>
              <w:ind w:left="1701" w:hanging="1701"/>
              <w:rPr>
                <w:rFonts w:cs="Arial"/>
                <w:sz w:val="16"/>
                <w:szCs w:val="16"/>
              </w:rPr>
            </w:pPr>
            <w:r w:rsidRPr="00C258AD">
              <w:rPr>
                <w:rFonts w:cs="Arial"/>
                <w:b/>
                <w:sz w:val="16"/>
                <w:szCs w:val="16"/>
              </w:rPr>
              <w:t>RÉSULTAT</w:t>
            </w:r>
            <w:r w:rsidRPr="00C258AD">
              <w:rPr>
                <w:rFonts w:cs="Arial"/>
                <w:sz w:val="16"/>
                <w:szCs w:val="16"/>
              </w:rPr>
              <w:t xml:space="preserve"> : </w:t>
            </w:r>
            <w:r w:rsidRPr="00C258AD">
              <w:rPr>
                <w:rFonts w:cs="Arial"/>
                <w:sz w:val="16"/>
                <w:szCs w:val="16"/>
              </w:rPr>
              <w:tab/>
              <w:t xml:space="preserve">VII.2  Des plateformes et instruments fondés sur la propriété intellectuelle sont utilisés pour le transfert de connaissances et l’adaptation et la diffusion de la technologie entre les pays développés et les pays en développement, notamment les PMA, pour relever des défis mondiaux </w:t>
            </w:r>
          </w:p>
        </w:tc>
      </w:tr>
      <w:tr w:rsidR="00327D08" w:rsidRPr="00C258AD" w:rsidTr="00927E1F">
        <w:trPr>
          <w:cantSplit/>
        </w:trPr>
        <w:tc>
          <w:tcPr>
            <w:tcW w:w="1764" w:type="dxa"/>
            <w:gridSpan w:val="2"/>
            <w:tcBorders>
              <w:top w:val="single" w:sz="4" w:space="0" w:color="auto"/>
            </w:tcBorders>
            <w:vAlign w:val="center"/>
          </w:tcPr>
          <w:p w:rsidR="00327D08" w:rsidRPr="00C258AD" w:rsidRDefault="00327D08" w:rsidP="00927E1F">
            <w:pPr>
              <w:keepNext/>
              <w:keepLines/>
              <w:autoSpaceDE w:val="0"/>
              <w:autoSpaceDN w:val="0"/>
              <w:adjustRightInd w:val="0"/>
              <w:rPr>
                <w:rFonts w:eastAsia="MS Mincho" w:cs="Arial"/>
                <w:sz w:val="16"/>
                <w:szCs w:val="16"/>
                <w:lang w:eastAsia="ja-JP"/>
              </w:rPr>
            </w:pPr>
            <w:r w:rsidRPr="00C258AD">
              <w:rPr>
                <w:b/>
                <w:sz w:val="16"/>
              </w:rPr>
              <w:t>Activité</w:t>
            </w:r>
          </w:p>
        </w:tc>
        <w:tc>
          <w:tcPr>
            <w:tcW w:w="1446" w:type="dxa"/>
            <w:tcBorders>
              <w:top w:val="single" w:sz="4" w:space="0" w:color="auto"/>
            </w:tcBorders>
            <w:vAlign w:val="center"/>
          </w:tcPr>
          <w:p w:rsidR="00327D08" w:rsidRPr="00C258AD" w:rsidRDefault="00327D08" w:rsidP="00927E1F">
            <w:pPr>
              <w:keepNext/>
              <w:keepLines/>
              <w:rPr>
                <w:rFonts w:eastAsia="MS Mincho" w:cs="Arial"/>
                <w:sz w:val="16"/>
                <w:szCs w:val="16"/>
                <w:lang w:eastAsia="ja-JP"/>
              </w:rPr>
            </w:pPr>
            <w:r w:rsidRPr="00C258AD">
              <w:rPr>
                <w:rFonts w:eastAsia="MS Mincho" w:cs="Arial"/>
                <w:sz w:val="16"/>
                <w:szCs w:val="16"/>
                <w:lang w:eastAsia="ja-JP"/>
              </w:rPr>
              <w:t>Date</w:t>
            </w:r>
          </w:p>
        </w:tc>
        <w:tc>
          <w:tcPr>
            <w:tcW w:w="2182" w:type="dxa"/>
            <w:gridSpan w:val="2"/>
            <w:tcBorders>
              <w:top w:val="single" w:sz="4" w:space="0" w:color="auto"/>
            </w:tcBorders>
            <w:vAlign w:val="center"/>
          </w:tcPr>
          <w:p w:rsidR="00327D08" w:rsidRPr="00C258AD" w:rsidRDefault="00327D08" w:rsidP="00927E1F">
            <w:pPr>
              <w:keepNext/>
              <w:keepLines/>
              <w:autoSpaceDE w:val="0"/>
              <w:autoSpaceDN w:val="0"/>
              <w:adjustRightInd w:val="0"/>
              <w:rPr>
                <w:rFonts w:eastAsia="MS Mincho" w:cs="Arial"/>
                <w:sz w:val="16"/>
                <w:szCs w:val="16"/>
                <w:lang w:eastAsia="ja-JP"/>
              </w:rPr>
            </w:pPr>
            <w:r w:rsidRPr="00C258AD">
              <w:rPr>
                <w:b/>
                <w:sz w:val="16"/>
              </w:rPr>
              <w:t>Pays hôte/</w:t>
            </w:r>
            <w:r w:rsidRPr="00C258AD">
              <w:br/>
            </w:r>
            <w:r w:rsidRPr="00C258AD">
              <w:rPr>
                <w:b/>
                <w:sz w:val="16"/>
              </w:rPr>
              <w:t>bénéficiaires</w:t>
            </w:r>
          </w:p>
        </w:tc>
        <w:tc>
          <w:tcPr>
            <w:tcW w:w="4099" w:type="dxa"/>
            <w:tcBorders>
              <w:top w:val="single" w:sz="4" w:space="0" w:color="auto"/>
            </w:tcBorders>
            <w:vAlign w:val="center"/>
          </w:tcPr>
          <w:p w:rsidR="00327D08" w:rsidRPr="00C258AD" w:rsidRDefault="00327D08" w:rsidP="00927E1F">
            <w:pPr>
              <w:keepNext/>
              <w:keepLines/>
              <w:rPr>
                <w:rFonts w:cs="Arial"/>
                <w:sz w:val="16"/>
                <w:szCs w:val="16"/>
              </w:rPr>
            </w:pPr>
            <w:r w:rsidRPr="00C258AD">
              <w:rPr>
                <w:b/>
                <w:sz w:val="16"/>
              </w:rPr>
              <w:t>Objectif(s)/description(s)</w:t>
            </w:r>
          </w:p>
        </w:tc>
      </w:tr>
      <w:tr w:rsidR="00327D08" w:rsidRPr="00C258AD" w:rsidTr="00927E1F">
        <w:trPr>
          <w:cantSplit/>
        </w:trPr>
        <w:tc>
          <w:tcPr>
            <w:tcW w:w="1764"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 xml:space="preserve">Élaboration d’une étude de cas sur les besoins et opportunités en matière de technologies vertes </w:t>
            </w:r>
          </w:p>
        </w:tc>
        <w:tc>
          <w:tcPr>
            <w:tcW w:w="1446" w:type="dxa"/>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janvier à mars 2015</w:t>
            </w:r>
          </w:p>
        </w:tc>
        <w:tc>
          <w:tcPr>
            <w:tcW w:w="2182"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Philippines/ Indonésie, Philippines et Viet Nam</w:t>
            </w:r>
          </w:p>
        </w:tc>
        <w:tc>
          <w:tcPr>
            <w:tcW w:w="4099" w:type="dxa"/>
          </w:tcPr>
          <w:p w:rsidR="00327D08" w:rsidRPr="00C258AD" w:rsidRDefault="00327D08" w:rsidP="00927E1F">
            <w:pPr>
              <w:tabs>
                <w:tab w:val="left" w:pos="317"/>
              </w:tabs>
              <w:rPr>
                <w:rFonts w:cs="Arial"/>
                <w:sz w:val="16"/>
                <w:szCs w:val="16"/>
              </w:rPr>
            </w:pPr>
            <w:r w:rsidRPr="00C258AD">
              <w:rPr>
                <w:rFonts w:cs="Arial"/>
                <w:bCs/>
                <w:sz w:val="16"/>
                <w:szCs w:val="16"/>
              </w:rPr>
              <w:t xml:space="preserve">i) Recenser les besoins propres de l’Indonésie, des </w:t>
            </w:r>
            <w:r w:rsidRPr="00C258AD">
              <w:rPr>
                <w:rFonts w:cs="Arial"/>
                <w:bCs/>
                <w:sz w:val="16"/>
                <w:szCs w:val="16"/>
                <w:lang w:eastAsia="ja-JP"/>
              </w:rPr>
              <w:t xml:space="preserve">Philippines et du Viet Nam </w:t>
            </w:r>
            <w:r w:rsidRPr="00C258AD">
              <w:rPr>
                <w:rFonts w:cs="Arial"/>
                <w:bCs/>
                <w:sz w:val="16"/>
                <w:szCs w:val="16"/>
              </w:rPr>
              <w:t xml:space="preserve">en matière de technologies vertes;  ii) recenser les possibilités de collaboration autour de ces besoins, en mettant l’accent sur les capacités nationales et les contributions des PME;  iii) faciliter l’élaboration d’un accord de transfert de technologie;  iv) élaborer une étude de cas sur la base des conclusions et constatations relatives au panorama du transfert de technologie, avec une partie sur la contribution de la plateforme WIPO GREEN à la résolution des défis;  et v) présenter WIPO GREEN comme un marché efficace pour recenser et mettre en évidence les besoins et les solutions technologiques.  </w:t>
            </w:r>
          </w:p>
        </w:tc>
      </w:tr>
      <w:tr w:rsidR="00327D08" w:rsidRPr="00C258AD" w:rsidTr="00927E1F">
        <w:trPr>
          <w:cantSplit/>
        </w:trPr>
        <w:tc>
          <w:tcPr>
            <w:tcW w:w="1764"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rFonts w:cs="Arial"/>
                <w:bCs/>
                <w:sz w:val="16"/>
                <w:szCs w:val="16"/>
              </w:rPr>
              <w:t>Séminaire régional sur la facilitation du transfert et de la diffusion de solutions technologiques propres à partir d’un projet pilote sur le traitement des eaux usées en Asie du Sud</w:t>
            </w:r>
            <w:r w:rsidRPr="00C258AD">
              <w:rPr>
                <w:rFonts w:cs="Arial"/>
                <w:bCs/>
                <w:sz w:val="16"/>
                <w:szCs w:val="16"/>
              </w:rPr>
              <w:noBreakHyphen/>
              <w:t>Est</w:t>
            </w:r>
          </w:p>
        </w:tc>
        <w:tc>
          <w:tcPr>
            <w:tcW w:w="1446" w:type="dxa"/>
          </w:tcPr>
          <w:p w:rsidR="00327D08" w:rsidRPr="00C258AD" w:rsidRDefault="00327D08" w:rsidP="00927E1F">
            <w:pPr>
              <w:rPr>
                <w:rFonts w:eastAsia="MS Mincho" w:cs="Arial"/>
                <w:sz w:val="16"/>
                <w:szCs w:val="16"/>
                <w:lang w:eastAsia="ja-JP"/>
              </w:rPr>
            </w:pPr>
            <w:r w:rsidRPr="00C258AD">
              <w:rPr>
                <w:rFonts w:eastAsia="MS Mincho" w:cs="Arial"/>
                <w:sz w:val="16"/>
                <w:szCs w:val="16"/>
                <w:lang w:eastAsia="ja-JP"/>
              </w:rPr>
              <w:t>23 et 24 avril 2015</w:t>
            </w:r>
          </w:p>
        </w:tc>
        <w:tc>
          <w:tcPr>
            <w:tcW w:w="2182" w:type="dxa"/>
            <w:gridSpan w:val="2"/>
          </w:tcPr>
          <w:p w:rsidR="00327D08" w:rsidRPr="00C258AD" w:rsidRDefault="00327D08" w:rsidP="00927E1F">
            <w:pPr>
              <w:autoSpaceDE w:val="0"/>
              <w:autoSpaceDN w:val="0"/>
              <w:adjustRightInd w:val="0"/>
              <w:rPr>
                <w:rFonts w:eastAsia="MS Mincho" w:cs="Arial"/>
                <w:sz w:val="16"/>
                <w:szCs w:val="16"/>
                <w:lang w:eastAsia="ja-JP"/>
              </w:rPr>
            </w:pPr>
            <w:r w:rsidRPr="00C258AD">
              <w:rPr>
                <w:rFonts w:eastAsia="MS Mincho" w:cs="Arial"/>
                <w:sz w:val="16"/>
                <w:szCs w:val="16"/>
                <w:lang w:eastAsia="ja-JP"/>
              </w:rPr>
              <w:t>Philippines/ Indonésie, Philippines et Viet Nam</w:t>
            </w:r>
          </w:p>
        </w:tc>
        <w:tc>
          <w:tcPr>
            <w:tcW w:w="4099" w:type="dxa"/>
          </w:tcPr>
          <w:p w:rsidR="00327D08" w:rsidRPr="00C258AD" w:rsidRDefault="00327D08" w:rsidP="00927E1F">
            <w:pPr>
              <w:tabs>
                <w:tab w:val="left" w:pos="317"/>
              </w:tabs>
              <w:rPr>
                <w:rFonts w:cs="Arial"/>
                <w:sz w:val="16"/>
                <w:szCs w:val="16"/>
                <w:lang w:eastAsia="ja-JP"/>
              </w:rPr>
            </w:pPr>
            <w:r w:rsidRPr="00C258AD">
              <w:rPr>
                <w:rFonts w:cs="Arial"/>
                <w:bCs/>
                <w:sz w:val="16"/>
                <w:szCs w:val="16"/>
              </w:rPr>
              <w:t xml:space="preserve">À l’issue du projet, un séminaire régional a été organisé à Manille en </w:t>
            </w:r>
            <w:r w:rsidRPr="00C258AD">
              <w:rPr>
                <w:rFonts w:cs="Arial"/>
                <w:sz w:val="16"/>
                <w:szCs w:val="16"/>
                <w:lang w:eastAsia="ja-JP"/>
              </w:rPr>
              <w:t>coopération avec la Banque asiatique de développement (</w:t>
            </w:r>
            <w:proofErr w:type="spellStart"/>
            <w:r w:rsidRPr="00C258AD">
              <w:rPr>
                <w:rFonts w:cs="Arial"/>
                <w:sz w:val="16"/>
                <w:szCs w:val="16"/>
                <w:lang w:eastAsia="ja-JP"/>
              </w:rPr>
              <w:t>BAsD</w:t>
            </w:r>
            <w:proofErr w:type="spellEnd"/>
            <w:r w:rsidRPr="00C258AD">
              <w:rPr>
                <w:rFonts w:cs="Arial"/>
                <w:sz w:val="16"/>
                <w:szCs w:val="16"/>
                <w:lang w:eastAsia="ja-JP"/>
              </w:rPr>
              <w:t>) et l’Office de la propriété intellectuelle des Philippines (IPOPHL) avec un volet consacré à la mise en parallèle de l’offre et de la demande afin de renforcer les liens avec le Centre et Réseau des technologies climatiques (CTCN) et d’établir des contacts stratégiques avec les entités nationales désignées.</w:t>
            </w:r>
          </w:p>
        </w:tc>
      </w:tr>
    </w:tbl>
    <w:p w:rsidR="00327D08" w:rsidRPr="00C258AD" w:rsidRDefault="00327D08" w:rsidP="00327D08">
      <w:pPr>
        <w:rPr>
          <w:rFonts w:cs="Arial"/>
          <w:b/>
          <w:szCs w:val="16"/>
        </w:rPr>
      </w:pPr>
    </w:p>
    <w:p w:rsidR="00327D08" w:rsidRPr="00C258AD" w:rsidRDefault="00327D08" w:rsidP="00327D08">
      <w:pPr>
        <w:rPr>
          <w:rFonts w:cs="Arial"/>
          <w:b/>
          <w:szCs w:val="16"/>
        </w:rPr>
      </w:pPr>
    </w:p>
    <w:p w:rsidR="00327D08" w:rsidRPr="00C258AD" w:rsidRDefault="00327D08" w:rsidP="00327D08">
      <w:pPr>
        <w:rPr>
          <w:rFonts w:cs="Arial"/>
          <w:b/>
          <w:szCs w:val="16"/>
        </w:rPr>
      </w:pPr>
      <w:r w:rsidRPr="00C258AD">
        <w:rPr>
          <w:rFonts w:cs="Arial"/>
          <w:b/>
          <w:szCs w:val="16"/>
        </w:rPr>
        <w:t>JAPON/PROPRIÉTÉ INDUSTRIELLE</w:t>
      </w:r>
    </w:p>
    <w:p w:rsidR="00327D08" w:rsidRPr="00C258AD" w:rsidRDefault="00327D08" w:rsidP="00327D08">
      <w:pPr>
        <w:rPr>
          <w:rFonts w:cs="Arial"/>
          <w:b/>
          <w:szCs w:val="16"/>
        </w:rPr>
      </w:pPr>
    </w:p>
    <w:tbl>
      <w:tblPr>
        <w:tblW w:w="5000" w:type="pct"/>
        <w:tblInd w:w="98" w:type="dxa"/>
        <w:tblCellMar>
          <w:top w:w="113" w:type="dxa"/>
          <w:left w:w="68" w:type="dxa"/>
          <w:bottom w:w="113" w:type="dxa"/>
          <w:right w:w="68" w:type="dxa"/>
        </w:tblCellMar>
        <w:tblLook w:val="04A0" w:firstRow="1" w:lastRow="0" w:firstColumn="1" w:lastColumn="0" w:noHBand="0" w:noVBand="1"/>
      </w:tblPr>
      <w:tblGrid>
        <w:gridCol w:w="2038"/>
        <w:gridCol w:w="1635"/>
        <w:gridCol w:w="1854"/>
        <w:gridCol w:w="1780"/>
        <w:gridCol w:w="2184"/>
      </w:tblGrid>
      <w:tr w:rsidR="00327D08" w:rsidRPr="00C258AD" w:rsidTr="00927E1F">
        <w:trPr>
          <w:cantSplit/>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2014</w:t>
            </w:r>
          </w:p>
        </w:tc>
        <w:tc>
          <w:tcPr>
            <w:tcW w:w="1640" w:type="dxa"/>
            <w:tcBorders>
              <w:top w:val="single" w:sz="8" w:space="0" w:color="auto"/>
              <w:left w:val="nil"/>
              <w:bottom w:val="nil"/>
              <w:right w:val="single" w:sz="8" w:space="0" w:color="auto"/>
            </w:tcBorders>
            <w:shd w:val="clear" w:color="000000" w:fill="C5D9F1"/>
            <w:vAlign w:val="center"/>
            <w:hideMark/>
          </w:tcPr>
          <w:p w:rsidR="00327D08" w:rsidRPr="00C258AD" w:rsidRDefault="00327D08" w:rsidP="00927E1F">
            <w:pPr>
              <w:jc w:val="center"/>
              <w:rPr>
                <w:rFonts w:cs="Arial"/>
                <w:b/>
                <w:bCs/>
                <w:sz w:val="16"/>
                <w:szCs w:val="16"/>
              </w:rPr>
            </w:pPr>
            <w:r w:rsidRPr="00C258AD">
              <w:rPr>
                <w:rFonts w:cs="Arial"/>
                <w:b/>
                <w:bCs/>
                <w:sz w:val="16"/>
                <w:szCs w:val="16"/>
              </w:rPr>
              <w:t>Recettes 2015</w:t>
            </w:r>
          </w:p>
        </w:tc>
        <w:tc>
          <w:tcPr>
            <w:tcW w:w="1860" w:type="dxa"/>
            <w:tcBorders>
              <w:top w:val="single" w:sz="8" w:space="0" w:color="auto"/>
              <w:left w:val="nil"/>
              <w:bottom w:val="nil"/>
              <w:right w:val="single" w:sz="8" w:space="0" w:color="auto"/>
            </w:tcBorders>
            <w:shd w:val="clear" w:color="000000" w:fill="C5D9F1"/>
            <w:vAlign w:val="center"/>
            <w:hideMark/>
          </w:tcPr>
          <w:p w:rsidR="00327D08" w:rsidRPr="00C258AD" w:rsidRDefault="00327D08" w:rsidP="00927E1F">
            <w:pPr>
              <w:jc w:val="center"/>
              <w:rPr>
                <w:rFonts w:cs="Arial"/>
                <w:b/>
                <w:bCs/>
                <w:sz w:val="16"/>
                <w:szCs w:val="16"/>
              </w:rPr>
            </w:pPr>
            <w:r w:rsidRPr="00C258AD">
              <w:rPr>
                <w:rFonts w:cs="Arial"/>
                <w:b/>
                <w:bCs/>
                <w:sz w:val="16"/>
                <w:szCs w:val="16"/>
              </w:rPr>
              <w:t>Dépenses 2015</w:t>
            </w:r>
          </w:p>
        </w:tc>
        <w:tc>
          <w:tcPr>
            <w:tcW w:w="1780" w:type="dxa"/>
            <w:tcBorders>
              <w:top w:val="single" w:sz="8" w:space="0" w:color="auto"/>
              <w:left w:val="nil"/>
              <w:bottom w:val="nil"/>
              <w:right w:val="single" w:sz="8" w:space="0" w:color="auto"/>
            </w:tcBorders>
            <w:shd w:val="clear" w:color="000000" w:fill="C5D9F1"/>
            <w:vAlign w:val="center"/>
            <w:hideMark/>
          </w:tcPr>
          <w:p w:rsidR="00327D08" w:rsidRPr="00C258AD" w:rsidRDefault="00327D08" w:rsidP="00927E1F">
            <w:pPr>
              <w:jc w:val="center"/>
              <w:rPr>
                <w:rFonts w:cs="Arial"/>
                <w:b/>
                <w:bCs/>
                <w:sz w:val="16"/>
                <w:szCs w:val="16"/>
              </w:rPr>
            </w:pPr>
            <w:r w:rsidRPr="00C258AD">
              <w:rPr>
                <w:rFonts w:cs="Arial"/>
                <w:b/>
                <w:bCs/>
                <w:sz w:val="16"/>
                <w:szCs w:val="16"/>
              </w:rPr>
              <w:t>Remboursements</w:t>
            </w:r>
          </w:p>
        </w:tc>
        <w:tc>
          <w:tcPr>
            <w:tcW w:w="2188" w:type="dxa"/>
            <w:tcBorders>
              <w:top w:val="single" w:sz="8" w:space="0" w:color="auto"/>
              <w:left w:val="nil"/>
              <w:bottom w:val="nil"/>
              <w:right w:val="single" w:sz="8" w:space="0" w:color="auto"/>
            </w:tcBorders>
            <w:shd w:val="clear" w:color="000000" w:fill="C5D9F1"/>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2015</w:t>
            </w:r>
          </w:p>
        </w:tc>
      </w:tr>
      <w:tr w:rsidR="00327D08" w:rsidRPr="00C258AD" w:rsidTr="00927E1F">
        <w:trPr>
          <w:cantSplit/>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4 912 335</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3 828 469</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3 770 805</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27D08" w:rsidRPr="00C258AD" w:rsidRDefault="00327D08" w:rsidP="00927E1F">
            <w:pPr>
              <w:jc w:val="center"/>
              <w:rPr>
                <w:rFonts w:cs="Arial"/>
                <w:sz w:val="16"/>
                <w:szCs w:val="16"/>
              </w:rPr>
            </w:pPr>
            <w:r w:rsidRPr="00C258AD">
              <w:rPr>
                <w:rFonts w:cs="Arial"/>
                <w:sz w:val="16"/>
                <w:szCs w:val="16"/>
              </w:rPr>
              <w:noBreakHyphen/>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4 969 999</w:t>
            </w:r>
          </w:p>
        </w:tc>
      </w:tr>
    </w:tbl>
    <w:p w:rsidR="00327D08" w:rsidRPr="00C258AD" w:rsidRDefault="00327D08" w:rsidP="00327D08">
      <w:pPr>
        <w:rPr>
          <w:rFonts w:cs="Arial"/>
          <w:b/>
          <w:szCs w:val="20"/>
        </w:rPr>
      </w:pPr>
    </w:p>
    <w:p w:rsidR="00327D08" w:rsidRPr="00C258AD" w:rsidRDefault="00327D08" w:rsidP="00327D08">
      <w:pPr>
        <w:rPr>
          <w:rFonts w:cs="Arial"/>
          <w:b/>
          <w:szCs w:val="20"/>
        </w:rPr>
      </w:pPr>
    </w:p>
    <w:p w:rsidR="00327D08" w:rsidRPr="00C258AD" w:rsidRDefault="00327D08" w:rsidP="00327D08">
      <w:pPr>
        <w:keepNext/>
        <w:keepLines/>
        <w:rPr>
          <w:rFonts w:cs="Arial"/>
          <w:b/>
          <w:szCs w:val="16"/>
        </w:rPr>
      </w:pPr>
      <w:r w:rsidRPr="00C258AD">
        <w:rPr>
          <w:rFonts w:cs="Arial"/>
          <w:b/>
          <w:szCs w:val="16"/>
        </w:rPr>
        <w:t>JAPON/PROPRIÉTÉ INTELLECTUELLE/AFRIQUE – PAYS LES MOINS AVANCÉS</w:t>
      </w:r>
    </w:p>
    <w:p w:rsidR="00327D08" w:rsidRPr="00C258AD" w:rsidRDefault="00327D08" w:rsidP="00327D08">
      <w:pPr>
        <w:keepNext/>
        <w:keepLines/>
        <w:rPr>
          <w:rFonts w:cs="Arial"/>
          <w:b/>
          <w:szCs w:val="16"/>
        </w:rPr>
      </w:pPr>
    </w:p>
    <w:tbl>
      <w:tblPr>
        <w:tblW w:w="5000" w:type="pct"/>
        <w:tblInd w:w="108" w:type="dxa"/>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1797"/>
        <w:gridCol w:w="1515"/>
        <w:gridCol w:w="1953"/>
        <w:gridCol w:w="4226"/>
      </w:tblGrid>
      <w:tr w:rsidR="00327D08" w:rsidRPr="00C258AD" w:rsidTr="00927E1F">
        <w:trPr>
          <w:cantSplit/>
        </w:trPr>
        <w:tc>
          <w:tcPr>
            <w:tcW w:w="9498" w:type="dxa"/>
            <w:gridSpan w:val="4"/>
            <w:tcBorders>
              <w:top w:val="single" w:sz="4" w:space="0" w:color="auto"/>
              <w:bottom w:val="single" w:sz="4" w:space="0" w:color="auto"/>
            </w:tcBorders>
            <w:shd w:val="clear" w:color="auto" w:fill="C6D9F1" w:themeFill="text2" w:themeFillTint="33"/>
          </w:tcPr>
          <w:p w:rsidR="00327D08" w:rsidRPr="00C258AD" w:rsidRDefault="00327D08" w:rsidP="00927E1F">
            <w:pPr>
              <w:keepNext/>
              <w:keepLines/>
              <w:tabs>
                <w:tab w:val="left" w:pos="1740"/>
              </w:tabs>
              <w:ind w:left="1740" w:hanging="1740"/>
              <w:rPr>
                <w:rFonts w:cs="Arial"/>
                <w:sz w:val="16"/>
                <w:szCs w:val="16"/>
              </w:rPr>
            </w:pPr>
            <w:r w:rsidRPr="00C258AD">
              <w:rPr>
                <w:rFonts w:cs="Arial"/>
                <w:b/>
                <w:sz w:val="16"/>
                <w:szCs w:val="16"/>
              </w:rPr>
              <w:t>RÉSULTAT</w:t>
            </w:r>
            <w:r w:rsidRPr="00C258AD">
              <w:rPr>
                <w:rFonts w:cs="Arial"/>
                <w:sz w:val="16"/>
                <w:szCs w:val="16"/>
              </w:rPr>
              <w:t xml:space="preserve"> : </w:t>
            </w:r>
            <w:r w:rsidRPr="00C258AD">
              <w:rPr>
                <w:rFonts w:cs="Arial"/>
                <w:sz w:val="16"/>
                <w:szCs w:val="16"/>
              </w:rPr>
              <w:tab/>
              <w:t>III.1 Stratégies et plans nationaux en matière d’innovation et de propriété intellectuelle conformes aux objectifs de développement nationaux</w:t>
            </w:r>
          </w:p>
        </w:tc>
      </w:tr>
      <w:tr w:rsidR="00327D08" w:rsidRPr="00C258AD" w:rsidTr="00927E1F">
        <w:trPr>
          <w:cantSplit/>
        </w:trPr>
        <w:tc>
          <w:tcPr>
            <w:tcW w:w="1843" w:type="dxa"/>
            <w:tcBorders>
              <w:top w:val="single" w:sz="4" w:space="0" w:color="auto"/>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134" w:type="dxa"/>
            <w:tcBorders>
              <w:top w:val="single" w:sz="4" w:space="0" w:color="auto"/>
            </w:tcBorders>
            <w:vAlign w:val="center"/>
          </w:tcPr>
          <w:p w:rsidR="00327D08" w:rsidRPr="00C258AD" w:rsidRDefault="00327D08" w:rsidP="00927E1F">
            <w:pPr>
              <w:keepNext/>
              <w:keepLines/>
              <w:rPr>
                <w:rFonts w:cs="Arial"/>
                <w:b/>
                <w:sz w:val="16"/>
                <w:szCs w:val="16"/>
              </w:rPr>
            </w:pPr>
            <w:r w:rsidRPr="00C258AD">
              <w:rPr>
                <w:rFonts w:cs="Arial"/>
                <w:b/>
                <w:sz w:val="16"/>
                <w:szCs w:val="16"/>
              </w:rPr>
              <w:t>Date</w:t>
            </w:r>
          </w:p>
        </w:tc>
        <w:tc>
          <w:tcPr>
            <w:tcW w:w="1985" w:type="dxa"/>
            <w:tcBorders>
              <w:top w:val="single" w:sz="4" w:space="0" w:color="auto"/>
            </w:tcBorders>
            <w:vAlign w:val="center"/>
          </w:tcPr>
          <w:p w:rsidR="00327D08" w:rsidRPr="00C258AD" w:rsidRDefault="00327D08" w:rsidP="00927E1F">
            <w:pPr>
              <w:keepNext/>
              <w:keepLines/>
              <w:rPr>
                <w:rFonts w:cs="Arial"/>
                <w:b/>
                <w:sz w:val="16"/>
                <w:szCs w:val="16"/>
              </w:rPr>
            </w:pPr>
            <w:r w:rsidRPr="00C258AD">
              <w:rPr>
                <w:b/>
                <w:sz w:val="16"/>
              </w:rPr>
              <w:t>Pays hôte/</w:t>
            </w:r>
            <w:r w:rsidRPr="00C258AD">
              <w:rPr>
                <w:b/>
              </w:rPr>
              <w:br/>
            </w:r>
            <w:r w:rsidRPr="00C258AD">
              <w:rPr>
                <w:b/>
                <w:sz w:val="16"/>
              </w:rPr>
              <w:t>bénéficiaires</w:t>
            </w:r>
          </w:p>
        </w:tc>
        <w:tc>
          <w:tcPr>
            <w:tcW w:w="4536" w:type="dxa"/>
            <w:tcBorders>
              <w:top w:val="single" w:sz="4" w:space="0" w:color="auto"/>
            </w:tcBorders>
            <w:vAlign w:val="center"/>
          </w:tcPr>
          <w:p w:rsidR="00327D08" w:rsidRPr="00C258AD" w:rsidRDefault="00327D08" w:rsidP="00927E1F">
            <w:pPr>
              <w:keepNext/>
              <w:keepLines/>
              <w:rPr>
                <w:rFonts w:cs="Arial"/>
                <w:b/>
                <w:sz w:val="16"/>
                <w:szCs w:val="16"/>
              </w:rPr>
            </w:pPr>
            <w:r w:rsidRPr="00C258AD">
              <w:rPr>
                <w:b/>
                <w:sz w:val="16"/>
              </w:rPr>
              <w:t>Objectif(s)/description(s)</w:t>
            </w:r>
          </w:p>
        </w:tc>
      </w:tr>
      <w:tr w:rsidR="00327D08" w:rsidRPr="00C258AD" w:rsidTr="00927E1F">
        <w:trPr>
          <w:cantSplit/>
        </w:trPr>
        <w:tc>
          <w:tcPr>
            <w:tcW w:w="1843" w:type="dxa"/>
          </w:tcPr>
          <w:p w:rsidR="00327D08" w:rsidRPr="00C258AD" w:rsidRDefault="00327D08" w:rsidP="00327D08">
            <w:pPr>
              <w:autoSpaceDE w:val="0"/>
              <w:autoSpaceDN w:val="0"/>
              <w:adjustRightInd w:val="0"/>
              <w:rPr>
                <w:rFonts w:cs="Arial"/>
                <w:sz w:val="16"/>
                <w:szCs w:val="16"/>
              </w:rPr>
            </w:pPr>
            <w:r w:rsidRPr="00C258AD">
              <w:rPr>
                <w:rFonts w:cs="Arial"/>
                <w:sz w:val="16"/>
                <w:szCs w:val="16"/>
              </w:rPr>
              <w:t xml:space="preserve">Réunion des parties prenantes aux fins de l’intégration des politiques d’innovation </w:t>
            </w:r>
          </w:p>
        </w:tc>
        <w:tc>
          <w:tcPr>
            <w:tcW w:w="1134" w:type="dxa"/>
          </w:tcPr>
          <w:p w:rsidR="00327D08" w:rsidRPr="00C258AD" w:rsidRDefault="00327D08" w:rsidP="00327D08">
            <w:pPr>
              <w:autoSpaceDE w:val="0"/>
              <w:autoSpaceDN w:val="0"/>
              <w:adjustRightInd w:val="0"/>
              <w:rPr>
                <w:rFonts w:cs="Arial"/>
                <w:sz w:val="16"/>
                <w:szCs w:val="16"/>
              </w:rPr>
            </w:pPr>
            <w:r w:rsidRPr="00C258AD">
              <w:rPr>
                <w:rFonts w:cs="Arial"/>
                <w:sz w:val="16"/>
                <w:szCs w:val="16"/>
              </w:rPr>
              <w:t>4 – 5 mai 2015</w:t>
            </w:r>
          </w:p>
        </w:tc>
        <w:tc>
          <w:tcPr>
            <w:tcW w:w="1985" w:type="dxa"/>
          </w:tcPr>
          <w:p w:rsidR="00327D08" w:rsidRPr="00C258AD" w:rsidRDefault="00327D08" w:rsidP="00327D08">
            <w:pPr>
              <w:autoSpaceDE w:val="0"/>
              <w:autoSpaceDN w:val="0"/>
              <w:adjustRightInd w:val="0"/>
              <w:rPr>
                <w:rFonts w:cs="Arial"/>
                <w:sz w:val="16"/>
                <w:szCs w:val="16"/>
              </w:rPr>
            </w:pPr>
            <w:r w:rsidRPr="00C258AD">
              <w:rPr>
                <w:rFonts w:cs="Arial"/>
                <w:sz w:val="16"/>
                <w:szCs w:val="16"/>
              </w:rPr>
              <w:t>Rwanda</w:t>
            </w:r>
          </w:p>
        </w:tc>
        <w:tc>
          <w:tcPr>
            <w:tcW w:w="4536" w:type="dxa"/>
          </w:tcPr>
          <w:p w:rsidR="00327D08" w:rsidRPr="00C258AD" w:rsidRDefault="00327D08" w:rsidP="00327D08">
            <w:pPr>
              <w:autoSpaceDE w:val="0"/>
              <w:autoSpaceDN w:val="0"/>
              <w:adjustRightInd w:val="0"/>
              <w:rPr>
                <w:rFonts w:cs="Arial"/>
                <w:sz w:val="16"/>
                <w:szCs w:val="16"/>
              </w:rPr>
            </w:pPr>
            <w:r w:rsidRPr="00C258AD">
              <w:rPr>
                <w:rFonts w:cs="Arial"/>
                <w:sz w:val="16"/>
                <w:szCs w:val="16"/>
              </w:rPr>
              <w:t>Présenter les résultats et conclusions d’un rapport sur l’intégration de la propriété intellectuelle dans l’élaboration des politiques d’innovation au Rwanda aux parties prenantes du système d’innovation du pays pour examen et validation.</w:t>
            </w:r>
          </w:p>
        </w:tc>
      </w:tr>
      <w:tr w:rsidR="00327D08" w:rsidRPr="00C258AD" w:rsidTr="00927E1F">
        <w:trPr>
          <w:cantSplit/>
        </w:trPr>
        <w:tc>
          <w:tcPr>
            <w:tcW w:w="1843" w:type="dxa"/>
            <w:tcBorders>
              <w:bottom w:val="single" w:sz="4" w:space="0" w:color="auto"/>
            </w:tcBorders>
          </w:tcPr>
          <w:p w:rsidR="00327D08" w:rsidRPr="00C258AD" w:rsidRDefault="00327D08" w:rsidP="00327D08">
            <w:pPr>
              <w:autoSpaceDE w:val="0"/>
              <w:autoSpaceDN w:val="0"/>
              <w:adjustRightInd w:val="0"/>
              <w:rPr>
                <w:rFonts w:cs="Arial"/>
                <w:sz w:val="16"/>
                <w:szCs w:val="16"/>
              </w:rPr>
            </w:pPr>
            <w:r w:rsidRPr="00C258AD">
              <w:rPr>
                <w:rFonts w:cs="Arial"/>
                <w:sz w:val="16"/>
                <w:szCs w:val="16"/>
              </w:rPr>
              <w:lastRenderedPageBreak/>
              <w:t>Conférence ministérielle africaine 2015 sur la propriété intellectuelle pour une Afrique émergente</w:t>
            </w:r>
          </w:p>
        </w:tc>
        <w:tc>
          <w:tcPr>
            <w:tcW w:w="1134" w:type="dxa"/>
            <w:tcBorders>
              <w:bottom w:val="single" w:sz="4" w:space="0" w:color="auto"/>
            </w:tcBorders>
          </w:tcPr>
          <w:p w:rsidR="00327D08" w:rsidRPr="00C258AD" w:rsidRDefault="00327D08" w:rsidP="00327D08">
            <w:pPr>
              <w:autoSpaceDE w:val="0"/>
              <w:autoSpaceDN w:val="0"/>
              <w:adjustRightInd w:val="0"/>
              <w:rPr>
                <w:rFonts w:cs="Arial"/>
                <w:sz w:val="16"/>
                <w:szCs w:val="16"/>
              </w:rPr>
            </w:pPr>
            <w:r w:rsidRPr="00C258AD">
              <w:rPr>
                <w:rFonts w:cs="Arial"/>
                <w:sz w:val="16"/>
                <w:szCs w:val="16"/>
              </w:rPr>
              <w:t>3 – 5 novembre 2015</w:t>
            </w:r>
          </w:p>
        </w:tc>
        <w:tc>
          <w:tcPr>
            <w:tcW w:w="1985" w:type="dxa"/>
            <w:tcBorders>
              <w:bottom w:val="single" w:sz="4" w:space="0" w:color="auto"/>
            </w:tcBorders>
          </w:tcPr>
          <w:p w:rsidR="00327D08" w:rsidRPr="00C258AD" w:rsidRDefault="00327D08" w:rsidP="00327D08">
            <w:pPr>
              <w:autoSpaceDE w:val="0"/>
              <w:autoSpaceDN w:val="0"/>
              <w:adjustRightInd w:val="0"/>
              <w:rPr>
                <w:rFonts w:cs="Arial"/>
                <w:sz w:val="16"/>
                <w:szCs w:val="16"/>
              </w:rPr>
            </w:pPr>
            <w:r w:rsidRPr="00C258AD">
              <w:rPr>
                <w:rFonts w:cs="Arial"/>
                <w:sz w:val="16"/>
                <w:szCs w:val="16"/>
              </w:rPr>
              <w:t>Sénégal/ 400 participants, dont une cinquantaine de ministres de pays africains</w:t>
            </w:r>
          </w:p>
        </w:tc>
        <w:tc>
          <w:tcPr>
            <w:tcW w:w="4536" w:type="dxa"/>
            <w:tcBorders>
              <w:bottom w:val="single" w:sz="4" w:space="0" w:color="auto"/>
            </w:tcBorders>
          </w:tcPr>
          <w:p w:rsidR="00327D08" w:rsidRPr="00C258AD" w:rsidRDefault="00327D08" w:rsidP="00327D08">
            <w:pPr>
              <w:autoSpaceDE w:val="0"/>
              <w:autoSpaceDN w:val="0"/>
              <w:adjustRightInd w:val="0"/>
              <w:rPr>
                <w:rFonts w:cs="Arial"/>
                <w:sz w:val="16"/>
                <w:szCs w:val="16"/>
              </w:rPr>
            </w:pPr>
            <w:r w:rsidRPr="00C258AD">
              <w:rPr>
                <w:rFonts w:cs="Arial"/>
                <w:sz w:val="16"/>
                <w:szCs w:val="16"/>
              </w:rPr>
              <w:t>i) Souligner l’importance de la propriété intellectuelle comme outil de transformation des économies africaines grâce à la science, à la technologie et à l’innovation;  et ii) mettre à la disposition des décideurs et experts régionaux africains un lieu d’échange et de partage d’idées sur les moyens d’utiliser les options offertes par le système de la propriété intellectuelle pour promouvoir l’innovation et la créativité aux fins de la transformation économique.</w:t>
            </w:r>
          </w:p>
        </w:tc>
      </w:tr>
      <w:tr w:rsidR="00327D08" w:rsidRPr="00C258AD" w:rsidTr="00927E1F">
        <w:trPr>
          <w:cantSplit/>
        </w:trPr>
        <w:tc>
          <w:tcPr>
            <w:tcW w:w="9498" w:type="dxa"/>
            <w:gridSpan w:val="4"/>
            <w:tcBorders>
              <w:top w:val="single" w:sz="4" w:space="0" w:color="auto"/>
              <w:bottom w:val="single" w:sz="4" w:space="0" w:color="auto"/>
            </w:tcBorders>
            <w:shd w:val="clear" w:color="auto" w:fill="C6D9F1" w:themeFill="text2" w:themeFillTint="33"/>
          </w:tcPr>
          <w:p w:rsidR="00327D08" w:rsidRPr="00C258AD" w:rsidRDefault="00327D08" w:rsidP="00927E1F">
            <w:pPr>
              <w:keepNext/>
              <w:keepLines/>
              <w:tabs>
                <w:tab w:val="left" w:pos="1740"/>
              </w:tabs>
              <w:ind w:left="1740" w:hanging="1740"/>
              <w:rPr>
                <w:rFonts w:cs="Arial"/>
                <w:sz w:val="16"/>
                <w:szCs w:val="16"/>
              </w:rPr>
            </w:pPr>
            <w:r w:rsidRPr="00C258AD">
              <w:rPr>
                <w:rFonts w:cs="Arial"/>
                <w:b/>
                <w:sz w:val="16"/>
                <w:szCs w:val="16"/>
              </w:rPr>
              <w:t>RÉSULTAT :</w:t>
            </w:r>
            <w:r w:rsidRPr="00C258AD">
              <w:rPr>
                <w:rFonts w:cs="Arial"/>
                <w:sz w:val="16"/>
                <w:szCs w:val="16"/>
              </w:rPr>
              <w:t xml:space="preserve"> </w:t>
            </w:r>
            <w:r w:rsidRPr="00C258AD">
              <w:rPr>
                <w:rFonts w:cs="Arial"/>
                <w:sz w:val="16"/>
                <w:szCs w:val="16"/>
              </w:rPr>
              <w:tab/>
              <w:t>III.2  Mise en valeur des ressources humaines pour répondre aux diverses exigences en matière d’utilisation efficace de la propriété intellectuelle au service du développement dans les pays en développement, les PMA et les pays en transition</w:t>
            </w:r>
          </w:p>
        </w:tc>
      </w:tr>
      <w:tr w:rsidR="00327D08" w:rsidRPr="00C258AD" w:rsidTr="00927E1F">
        <w:trPr>
          <w:cantSplit/>
        </w:trPr>
        <w:tc>
          <w:tcPr>
            <w:tcW w:w="1843" w:type="dxa"/>
            <w:tcBorders>
              <w:top w:val="single" w:sz="4" w:space="0" w:color="auto"/>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134" w:type="dxa"/>
            <w:tcBorders>
              <w:top w:val="single" w:sz="4" w:space="0" w:color="auto"/>
            </w:tcBorders>
            <w:vAlign w:val="center"/>
          </w:tcPr>
          <w:p w:rsidR="00327D08" w:rsidRPr="00C258AD" w:rsidRDefault="00327D08" w:rsidP="00927E1F">
            <w:pPr>
              <w:keepNext/>
              <w:keepLines/>
              <w:rPr>
                <w:rFonts w:cs="Arial"/>
                <w:b/>
                <w:sz w:val="16"/>
                <w:szCs w:val="16"/>
              </w:rPr>
            </w:pPr>
            <w:r w:rsidRPr="00C258AD">
              <w:rPr>
                <w:rFonts w:cs="Arial"/>
                <w:b/>
                <w:sz w:val="16"/>
                <w:szCs w:val="16"/>
              </w:rPr>
              <w:t>Date</w:t>
            </w:r>
          </w:p>
        </w:tc>
        <w:tc>
          <w:tcPr>
            <w:tcW w:w="1985" w:type="dxa"/>
            <w:tcBorders>
              <w:top w:val="single" w:sz="4" w:space="0" w:color="auto"/>
            </w:tcBorders>
            <w:vAlign w:val="center"/>
          </w:tcPr>
          <w:p w:rsidR="00327D08" w:rsidRPr="00C258AD" w:rsidRDefault="00327D08" w:rsidP="00927E1F">
            <w:pPr>
              <w:keepNext/>
              <w:keepLines/>
              <w:rPr>
                <w:rFonts w:cs="Arial"/>
                <w:b/>
                <w:sz w:val="16"/>
                <w:szCs w:val="16"/>
              </w:rPr>
            </w:pPr>
            <w:r w:rsidRPr="00C258AD">
              <w:rPr>
                <w:b/>
                <w:sz w:val="16"/>
              </w:rPr>
              <w:t>Pays hôte/</w:t>
            </w:r>
            <w:r w:rsidRPr="00C258AD">
              <w:rPr>
                <w:b/>
              </w:rPr>
              <w:br/>
            </w:r>
            <w:r w:rsidRPr="00C258AD">
              <w:rPr>
                <w:b/>
                <w:sz w:val="16"/>
              </w:rPr>
              <w:t>bénéficiaires</w:t>
            </w:r>
          </w:p>
        </w:tc>
        <w:tc>
          <w:tcPr>
            <w:tcW w:w="4536" w:type="dxa"/>
            <w:tcBorders>
              <w:top w:val="single" w:sz="4" w:space="0" w:color="auto"/>
            </w:tcBorders>
            <w:vAlign w:val="center"/>
          </w:tcPr>
          <w:p w:rsidR="00327D08" w:rsidRPr="00C258AD" w:rsidRDefault="00327D08" w:rsidP="00927E1F">
            <w:pPr>
              <w:keepNext/>
              <w:keepLines/>
              <w:rPr>
                <w:rFonts w:cs="Arial"/>
                <w:b/>
                <w:sz w:val="16"/>
                <w:szCs w:val="16"/>
              </w:rPr>
            </w:pPr>
            <w:r w:rsidRPr="00C258AD">
              <w:rPr>
                <w:b/>
                <w:sz w:val="16"/>
              </w:rPr>
              <w:t>Objectif(s)/description(s)</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Examen des demandes de titres de propriété industrielle (bases) – Programme de formation sur les brevets consacré à l’examen des demandes de titres de propriété industrielle (programme de base)</w:t>
            </w:r>
          </w:p>
        </w:tc>
        <w:tc>
          <w:tcPr>
            <w:tcW w:w="1134"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19 – 30 janvier 2015</w:t>
            </w:r>
          </w:p>
        </w:tc>
        <w:tc>
          <w:tcPr>
            <w:tcW w:w="1985" w:type="dxa"/>
          </w:tcPr>
          <w:p w:rsidR="00327D08" w:rsidRPr="00C258AD" w:rsidRDefault="00327D08" w:rsidP="00927E1F">
            <w:pPr>
              <w:rPr>
                <w:rFonts w:cs="Arial"/>
                <w:sz w:val="16"/>
                <w:szCs w:val="16"/>
              </w:rPr>
            </w:pPr>
            <w:r w:rsidRPr="00C258AD">
              <w:rPr>
                <w:sz w:val="16"/>
              </w:rPr>
              <w:t>Japon/ Algérie, ARIPO, Kenya, Madagascar et République</w:t>
            </w:r>
            <w:r w:rsidRPr="00C258AD">
              <w:rPr>
                <w:sz w:val="16"/>
              </w:rPr>
              <w:noBreakHyphen/>
              <w:t>Unie de Tanzanie</w:t>
            </w:r>
          </w:p>
        </w:tc>
        <w:tc>
          <w:tcPr>
            <w:tcW w:w="453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Aider les participants à acquérir des connaissances de base sur le droit et les procédures d’examen quant au fond des demandes de droits de propriété industrielle.</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Cours de formation sur l’administration de la propriété intellectuelle</w:t>
            </w:r>
          </w:p>
        </w:tc>
        <w:tc>
          <w:tcPr>
            <w:tcW w:w="1134"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6 – 13 février 2015</w:t>
            </w:r>
          </w:p>
        </w:tc>
        <w:tc>
          <w:tcPr>
            <w:tcW w:w="1985" w:type="dxa"/>
          </w:tcPr>
          <w:p w:rsidR="00327D08" w:rsidRPr="00C258AD" w:rsidRDefault="00327D08" w:rsidP="00927E1F">
            <w:pPr>
              <w:autoSpaceDE w:val="0"/>
              <w:autoSpaceDN w:val="0"/>
              <w:adjustRightInd w:val="0"/>
              <w:rPr>
                <w:rFonts w:cs="Arial"/>
                <w:sz w:val="16"/>
                <w:szCs w:val="16"/>
              </w:rPr>
            </w:pPr>
            <w:r w:rsidRPr="00C258AD">
              <w:rPr>
                <w:sz w:val="16"/>
              </w:rPr>
              <w:t>Japon/ Afrique du Sud, Maroc et Nigéria</w:t>
            </w:r>
          </w:p>
        </w:tc>
        <w:tc>
          <w:tcPr>
            <w:tcW w:w="453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i) renforcer les connaissances des participants en matière de pratiques modernes de gestion de la propriété intellectuelle et de méthodologie pour l’élaboration de politiques, stratégies et plans de renforcement des capacités pour les examinateurs de brevets ainsi que la gestion de la qualité de l’examen;  et ii) renforcer les capacités des participants en matière de formulation, de mise en œuvre et d’évaluation de plans pour les offices de propriété intellectuelle qui soient assortis de délais, axés sur les résultats et mesurables.</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Cours de formation à l’intention des examinateurs de brevets sur la technologie en matière de produits pharmaceutiques</w:t>
            </w:r>
          </w:p>
        </w:tc>
        <w:tc>
          <w:tcPr>
            <w:tcW w:w="1134"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19 – 26 février 2015</w:t>
            </w:r>
          </w:p>
        </w:tc>
        <w:tc>
          <w:tcPr>
            <w:tcW w:w="1985" w:type="dxa"/>
          </w:tcPr>
          <w:p w:rsidR="00327D08" w:rsidRPr="00C258AD" w:rsidRDefault="00327D08" w:rsidP="00927E1F">
            <w:pPr>
              <w:autoSpaceDE w:val="0"/>
              <w:autoSpaceDN w:val="0"/>
              <w:adjustRightInd w:val="0"/>
              <w:rPr>
                <w:rFonts w:cs="Arial"/>
                <w:sz w:val="16"/>
                <w:szCs w:val="16"/>
              </w:rPr>
            </w:pPr>
            <w:r w:rsidRPr="00C258AD">
              <w:rPr>
                <w:sz w:val="16"/>
              </w:rPr>
              <w:t>Japon/ ARIPO et Égypte</w:t>
            </w:r>
          </w:p>
        </w:tc>
        <w:tc>
          <w:tcPr>
            <w:tcW w:w="453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i) Informer les participants des tendances actuelles et des pratiques modernes d’examen des brevets relatifs aux produits pharmaceutiques;  ii) leur transmettre des connaissances et informations concrètes sur les méthodes d’examen de brevet;  iii) donner aux participants l’occasion d’échanger des expériences et des points de vue sur les questions d’examen des brevets;  et iv) renforcer les compétences professionnelles des participants en matière d’examen de brevets relatifs aux produits pharmaceutiques.</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 xml:space="preserve">Réunion des parties prenantes et atelier de formation sur un projet de création de marque pour la stéatite de </w:t>
            </w:r>
            <w:proofErr w:type="spellStart"/>
            <w:r w:rsidRPr="00C258AD">
              <w:rPr>
                <w:rFonts w:cs="Arial"/>
                <w:sz w:val="16"/>
                <w:szCs w:val="16"/>
              </w:rPr>
              <w:t>Kisii</w:t>
            </w:r>
            <w:proofErr w:type="spellEnd"/>
            <w:r w:rsidRPr="00C258AD">
              <w:rPr>
                <w:rFonts w:cs="Arial"/>
                <w:sz w:val="16"/>
                <w:szCs w:val="16"/>
              </w:rPr>
              <w:t xml:space="preserve"> </w:t>
            </w:r>
          </w:p>
        </w:tc>
        <w:tc>
          <w:tcPr>
            <w:tcW w:w="1134"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16 – 20 mars 2015</w:t>
            </w:r>
          </w:p>
        </w:tc>
        <w:tc>
          <w:tcPr>
            <w:tcW w:w="1985"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Kenya</w:t>
            </w:r>
          </w:p>
        </w:tc>
        <w:tc>
          <w:tcPr>
            <w:tcW w:w="453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 xml:space="preserve">Lancer un projet relatif à la création d’une marque tirant parti du potentiel commercial et intangible de la stéatite de </w:t>
            </w:r>
            <w:proofErr w:type="spellStart"/>
            <w:r w:rsidRPr="00C258AD">
              <w:rPr>
                <w:rFonts w:cs="Arial"/>
                <w:sz w:val="16"/>
                <w:szCs w:val="16"/>
              </w:rPr>
              <w:t>Kisii</w:t>
            </w:r>
            <w:proofErr w:type="spellEnd"/>
            <w:r w:rsidRPr="00C258AD">
              <w:rPr>
                <w:rFonts w:cs="Arial"/>
                <w:sz w:val="16"/>
                <w:szCs w:val="16"/>
              </w:rPr>
              <w:t xml:space="preserve"> grâce à l’innovation et à la propriété intellectuelle.</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Réunion de haut niveau pour les parlementaires des États membres de l’ARIPO : Utilisation stratégique du système de la propriété intellectuelle aux fins du développement économique, culturel, social et technologique</w:t>
            </w:r>
          </w:p>
        </w:tc>
        <w:tc>
          <w:tcPr>
            <w:tcW w:w="1134"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25 – 27 mars 2015</w:t>
            </w:r>
          </w:p>
        </w:tc>
        <w:tc>
          <w:tcPr>
            <w:tcW w:w="1985" w:type="dxa"/>
          </w:tcPr>
          <w:p w:rsidR="00327D08" w:rsidRPr="00C258AD" w:rsidRDefault="00327D08" w:rsidP="00927E1F">
            <w:pPr>
              <w:autoSpaceDE w:val="0"/>
              <w:autoSpaceDN w:val="0"/>
              <w:adjustRightInd w:val="0"/>
              <w:rPr>
                <w:rFonts w:cs="Arial"/>
                <w:sz w:val="16"/>
                <w:szCs w:val="16"/>
              </w:rPr>
            </w:pPr>
            <w:r w:rsidRPr="00C258AD">
              <w:rPr>
                <w:sz w:val="16"/>
              </w:rPr>
              <w:t>Ouganda/ 28 parlementaires de : Gambie, Ghana, Kenya, Malawi, Mozambique, Ouganda, Sao Tomé</w:t>
            </w:r>
            <w:r w:rsidRPr="00C258AD">
              <w:rPr>
                <w:sz w:val="16"/>
              </w:rPr>
              <w:noBreakHyphen/>
              <w:t>et</w:t>
            </w:r>
            <w:r w:rsidRPr="00C258AD">
              <w:rPr>
                <w:sz w:val="16"/>
              </w:rPr>
              <w:noBreakHyphen/>
              <w:t>Principe, Swaziland, Zambie et Zimbabwe</w:t>
            </w:r>
          </w:p>
        </w:tc>
        <w:tc>
          <w:tcPr>
            <w:tcW w:w="453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i) Offrir une plateforme aux parlementaires pour leur permettre d’acquérir une meilleure compréhension du système de la propriété intellectuelle en tant que pilier du développement économique, culturel, social et technologique;  ii) sensibiliser les parlementaires aux aspects de politique générale des perspectives offertes et des intérêts présentés par les traités de l’OMPI;  iii) sensibiliser les parlementaires à la nécessité de renforcer l’utilisation du système de la propriété intellectuelle dans leurs pays respectifs;  et iv) donner aux parlementaires les moyens de jouer un rôle clé dans l’élaboration et l’adoption de législations nationales de propriété intellectuelle propres à favoriser la réalisation des objectifs de développement nationaux.</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lastRenderedPageBreak/>
              <w:t>Mission d’experts sur le transfert de technologie et la commercialisation de la propriété intellectuelle</w:t>
            </w:r>
          </w:p>
        </w:tc>
        <w:tc>
          <w:tcPr>
            <w:tcW w:w="1134"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6 – 10 avril 2015</w:t>
            </w:r>
          </w:p>
        </w:tc>
        <w:tc>
          <w:tcPr>
            <w:tcW w:w="1985"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Maroc</w:t>
            </w:r>
          </w:p>
        </w:tc>
        <w:tc>
          <w:tcPr>
            <w:tcW w:w="453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i) Partager les connaissances et l’expérience du Japon en matière de promotion du transfert de technologie et de la commercialisation des résultats des recherches menées par les universités et les centres de recherche;  ii) recenser les problèmes à résoudre;  et iii) proposer des solutions possibles pour le pays.</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Partenariat entre l’OMPI/OAPI</w:t>
            </w:r>
            <w:r w:rsidRPr="00C258AD">
              <w:rPr>
                <w:rFonts w:cs="Arial"/>
                <w:i/>
                <w:sz w:val="16"/>
                <w:szCs w:val="16"/>
              </w:rPr>
              <w:t xml:space="preserve"> </w:t>
            </w:r>
            <w:r w:rsidRPr="00C258AD">
              <w:rPr>
                <w:rFonts w:cs="Arial"/>
                <w:sz w:val="16"/>
                <w:szCs w:val="16"/>
              </w:rPr>
              <w:t>et l’Université de Yaoundé II</w:t>
            </w:r>
          </w:p>
        </w:tc>
        <w:tc>
          <w:tcPr>
            <w:tcW w:w="1134"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janvier à juin 2015 (en cours)</w:t>
            </w:r>
          </w:p>
        </w:tc>
        <w:tc>
          <w:tcPr>
            <w:tcW w:w="1985" w:type="dxa"/>
          </w:tcPr>
          <w:p w:rsidR="00327D08" w:rsidRPr="00C258AD" w:rsidRDefault="00327D08" w:rsidP="00927E1F">
            <w:pPr>
              <w:autoSpaceDE w:val="0"/>
              <w:autoSpaceDN w:val="0"/>
              <w:adjustRightInd w:val="0"/>
              <w:rPr>
                <w:rFonts w:cs="Arial"/>
                <w:sz w:val="16"/>
                <w:szCs w:val="16"/>
              </w:rPr>
            </w:pPr>
            <w:r w:rsidRPr="00C258AD">
              <w:rPr>
                <w:sz w:val="16"/>
              </w:rPr>
              <w:t>Cameroun/ 10 bourses d’études à l’intention de stagiaires de : Bénin, Burkina Faso, Cameroun, Comores, Congo, Gabon, Guinée, Madagascar, Niger et Togo</w:t>
            </w:r>
          </w:p>
        </w:tc>
        <w:tc>
          <w:tcPr>
            <w:tcW w:w="453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i) Proposer des formations générales et spécialisées en matière de propriété intellectuelle à des fonctionnaires gouvernementaux et des professionnels de la propriété intellectuelle;  et ii) offrir des perspectives de renforcement des ressources humaines et des capacités par le biais de formations et de cours consacrés à la propriété intellectuelle et destinés aux personnes chargées de l’enseignement et de la recherche dans ce domaine au sein des universités et autres institutions.</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Partenariat entre l’OMPI/ARIPO et l’Université d’Afrique à Mutare (Zimbabwe)</w:t>
            </w:r>
          </w:p>
        </w:tc>
        <w:tc>
          <w:tcPr>
            <w:tcW w:w="1134"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mai à décembre 2015</w:t>
            </w:r>
          </w:p>
          <w:p w:rsidR="00327D08" w:rsidRPr="00C258AD" w:rsidRDefault="00327D08" w:rsidP="00927E1F">
            <w:pPr>
              <w:autoSpaceDE w:val="0"/>
              <w:autoSpaceDN w:val="0"/>
              <w:adjustRightInd w:val="0"/>
              <w:rPr>
                <w:rFonts w:cs="Arial"/>
                <w:sz w:val="16"/>
                <w:szCs w:val="16"/>
              </w:rPr>
            </w:pPr>
            <w:r w:rsidRPr="00C258AD">
              <w:rPr>
                <w:rFonts w:cs="Arial"/>
                <w:sz w:val="16"/>
                <w:szCs w:val="16"/>
              </w:rPr>
              <w:t>(en cours)</w:t>
            </w:r>
          </w:p>
        </w:tc>
        <w:tc>
          <w:tcPr>
            <w:tcW w:w="1985" w:type="dxa"/>
          </w:tcPr>
          <w:p w:rsidR="00327D08" w:rsidRPr="00C258AD" w:rsidRDefault="00327D08" w:rsidP="00927E1F">
            <w:pPr>
              <w:autoSpaceDE w:val="0"/>
              <w:autoSpaceDN w:val="0"/>
              <w:adjustRightInd w:val="0"/>
              <w:rPr>
                <w:rFonts w:cs="Arial"/>
                <w:sz w:val="16"/>
                <w:szCs w:val="16"/>
              </w:rPr>
            </w:pPr>
            <w:r w:rsidRPr="00C258AD">
              <w:rPr>
                <w:sz w:val="16"/>
              </w:rPr>
              <w:t>Zimbabwe/ 9 bourses d’études à l’intention de stagiaires de : Ghana, Kenya, Namibie, Nigéria, l’Ouganda, République</w:t>
            </w:r>
            <w:r w:rsidRPr="00C258AD">
              <w:rPr>
                <w:sz w:val="16"/>
              </w:rPr>
              <w:noBreakHyphen/>
              <w:t>Unie de Tanzanie, Rwanda, Sierra Leone et Zimbabwe</w:t>
            </w:r>
          </w:p>
        </w:tc>
        <w:tc>
          <w:tcPr>
            <w:tcW w:w="453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i) proposer des formations générales et spécialisées en matière de propriété intellectuelle à des fonctionnaires gouvernementaux et des professionnels de la propriété intellectuelle;  et ii) offrir des perspectives de renforcement des ressources humaines et des capacités par le biais de formations et de cours consacrés à la propriété intellectuelle et destinés aux personnes chargées de l’enseignement et de la recherche dans ce domaine au sein des universités et autres institutions.</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 xml:space="preserve">Production d’un film sur la réussite de l’industrie du clou de girofle à Zanzibar </w:t>
            </w:r>
          </w:p>
        </w:tc>
        <w:tc>
          <w:tcPr>
            <w:tcW w:w="1134"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août à novembre 2015</w:t>
            </w:r>
          </w:p>
        </w:tc>
        <w:tc>
          <w:tcPr>
            <w:tcW w:w="1985"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République</w:t>
            </w:r>
            <w:r w:rsidRPr="00C258AD">
              <w:rPr>
                <w:rFonts w:cs="Arial"/>
                <w:sz w:val="16"/>
                <w:szCs w:val="16"/>
              </w:rPr>
              <w:noBreakHyphen/>
              <w:t>Unie de Tanzanie</w:t>
            </w:r>
          </w:p>
        </w:tc>
        <w:tc>
          <w:tcPr>
            <w:tcW w:w="453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 xml:space="preserve">Mettre en évidence le rôle de la propriété intellectuelle et l’importance de l’engagement du gouvernement nationale et des autres partenaires dans un projet de création de marque.  </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Cours sur la rédaction des demandes de brevet pour les agents de brevets</w:t>
            </w:r>
          </w:p>
        </w:tc>
        <w:tc>
          <w:tcPr>
            <w:tcW w:w="1134"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7 septembre – 9 octobre 2015</w:t>
            </w:r>
          </w:p>
        </w:tc>
        <w:tc>
          <w:tcPr>
            <w:tcW w:w="1985" w:type="dxa"/>
          </w:tcPr>
          <w:p w:rsidR="00327D08" w:rsidRPr="00C258AD" w:rsidRDefault="00327D08" w:rsidP="00927E1F">
            <w:pPr>
              <w:autoSpaceDE w:val="0"/>
              <w:autoSpaceDN w:val="0"/>
              <w:adjustRightInd w:val="0"/>
              <w:rPr>
                <w:rFonts w:cs="Arial"/>
                <w:sz w:val="16"/>
                <w:szCs w:val="16"/>
              </w:rPr>
            </w:pPr>
            <w:r w:rsidRPr="00C258AD">
              <w:rPr>
                <w:sz w:val="16"/>
              </w:rPr>
              <w:t>Zimbabwe/ 22 participants de : Gambie, Ghana, Kenya, Malawi, Mozambique, Namibie, Nigéria, République</w:t>
            </w:r>
            <w:r w:rsidRPr="00C258AD">
              <w:rPr>
                <w:sz w:val="16"/>
              </w:rPr>
              <w:noBreakHyphen/>
              <w:t>Unie de Tanzanie, Rwanda, Sao Tomé</w:t>
            </w:r>
            <w:r w:rsidRPr="00C258AD">
              <w:rPr>
                <w:sz w:val="16"/>
              </w:rPr>
              <w:noBreakHyphen/>
              <w:t>et</w:t>
            </w:r>
            <w:r w:rsidRPr="00C258AD">
              <w:rPr>
                <w:sz w:val="16"/>
              </w:rPr>
              <w:noBreakHyphen/>
              <w:t>Principe, Sierra Leone, Swaziland, Zambie et Zimbabwe</w:t>
            </w:r>
          </w:p>
        </w:tc>
        <w:tc>
          <w:tcPr>
            <w:tcW w:w="453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 xml:space="preserve">i) Améliorer les capacités des agents/mandataires des États membres et observateurs de l’ARIPO en matière de rédaction de demandes de brevet;  et ii) les familiariser avec les nouvelles techniques pour les aider à mieux définir l’étendue et la description des revendications.  </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Mission visant à établir une étude de faisabilité pour un projet de création de marque</w:t>
            </w:r>
          </w:p>
        </w:tc>
        <w:tc>
          <w:tcPr>
            <w:tcW w:w="1134"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21 – 25 septembre 2015</w:t>
            </w:r>
          </w:p>
        </w:tc>
        <w:tc>
          <w:tcPr>
            <w:tcW w:w="1985"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Kenya</w:t>
            </w:r>
          </w:p>
        </w:tc>
        <w:tc>
          <w:tcPr>
            <w:tcW w:w="453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 xml:space="preserve">Évaluer la faisabilité d’un projet de création de marque fondé sur la propriété intellectuelle pour la vannerie </w:t>
            </w:r>
            <w:proofErr w:type="spellStart"/>
            <w:r w:rsidRPr="00C258AD">
              <w:rPr>
                <w:rFonts w:cs="Arial"/>
                <w:sz w:val="16"/>
                <w:szCs w:val="16"/>
              </w:rPr>
              <w:t>Taita</w:t>
            </w:r>
            <w:proofErr w:type="spellEnd"/>
            <w:r w:rsidRPr="00C258AD">
              <w:rPr>
                <w:rFonts w:cs="Arial"/>
                <w:sz w:val="16"/>
                <w:szCs w:val="16"/>
              </w:rPr>
              <w:t xml:space="preserve"> au Kenya.</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Programme de formation sur le recours aux technologies de l’information dans l’administration de la propriété industrielle</w:t>
            </w:r>
          </w:p>
        </w:tc>
        <w:tc>
          <w:tcPr>
            <w:tcW w:w="1134"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26 octobre – 6 novembre 2015</w:t>
            </w:r>
          </w:p>
        </w:tc>
        <w:tc>
          <w:tcPr>
            <w:tcW w:w="1985" w:type="dxa"/>
          </w:tcPr>
          <w:p w:rsidR="00327D08" w:rsidRPr="00C258AD" w:rsidRDefault="00327D08" w:rsidP="00927E1F">
            <w:pPr>
              <w:autoSpaceDE w:val="0"/>
              <w:autoSpaceDN w:val="0"/>
              <w:adjustRightInd w:val="0"/>
              <w:rPr>
                <w:rFonts w:cs="Arial"/>
                <w:sz w:val="16"/>
                <w:szCs w:val="16"/>
              </w:rPr>
            </w:pPr>
            <w:r w:rsidRPr="00C258AD">
              <w:rPr>
                <w:sz w:val="16"/>
              </w:rPr>
              <w:t>Japon/ Algérie, Afrique du Sud et ARIPO</w:t>
            </w:r>
          </w:p>
        </w:tc>
        <w:tc>
          <w:tcPr>
            <w:tcW w:w="453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i) Familiariser les participants avec les tendances récentes dans le domaine informatique en termes d’administration de la propriété industrielle, de diffusion de l’information en matière de propriété industrielle et de prestation de services en ligne ; ii) dispenser des connaissances pratiques sur les derniers outils et les dernières technologies au moyen de séances interactives et de visites des entités privées concernées; et iii) donner aux participants la possibilité d’échanger leurs vues et leurs sujets de préoccupation sur des thèmes en rapport, de manière à renforcer leurs compétences professionnelles en matière de planification et d’utilisation des technologies de l’information pour l’administration de la propriété industrielle.</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Examen des demandes de droits de propriété intellectuelle (perfectionnement) – Cours de formation sur l’examen des demandes de droits de propriété industrielle – Brevets</w:t>
            </w:r>
          </w:p>
        </w:tc>
        <w:tc>
          <w:tcPr>
            <w:tcW w:w="1134"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9 – 20 novembre 2015</w:t>
            </w:r>
          </w:p>
        </w:tc>
        <w:tc>
          <w:tcPr>
            <w:tcW w:w="1985"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Japon/ Égypte</w:t>
            </w:r>
          </w:p>
        </w:tc>
        <w:tc>
          <w:tcPr>
            <w:tcW w:w="453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i) Dispenser aux participants des connaissances de base sur les lois et procédures liées à l’examen des demandes de droits de propriété industrielle;  et ii) échanger des vues sur des questions en rapport dans le domaine de la propriété intellectuelle.</w:t>
            </w:r>
          </w:p>
        </w:tc>
      </w:tr>
      <w:tr w:rsidR="00327D08" w:rsidRPr="00C258AD" w:rsidTr="00927E1F">
        <w:trPr>
          <w:cantSplit/>
        </w:trPr>
        <w:tc>
          <w:tcPr>
            <w:tcW w:w="1843" w:type="dxa"/>
            <w:tcBorders>
              <w:bottom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lastRenderedPageBreak/>
              <w:t>Cours d’été avancé OMPI</w:t>
            </w:r>
            <w:r w:rsidRPr="00C258AD">
              <w:rPr>
                <w:rFonts w:cs="Arial"/>
                <w:sz w:val="16"/>
                <w:szCs w:val="16"/>
              </w:rPr>
              <w:noBreakHyphen/>
              <w:t>Afrique du Sud sur la propriété intellectuelle et le transfert de technologie</w:t>
            </w:r>
          </w:p>
        </w:tc>
        <w:tc>
          <w:tcPr>
            <w:tcW w:w="1134" w:type="dxa"/>
            <w:tcBorders>
              <w:bottom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30 novembre – 11 décembre 2015</w:t>
            </w:r>
          </w:p>
        </w:tc>
        <w:tc>
          <w:tcPr>
            <w:tcW w:w="1985" w:type="dxa"/>
            <w:tcBorders>
              <w:bottom w:val="single" w:sz="4" w:space="0" w:color="auto"/>
            </w:tcBorders>
          </w:tcPr>
          <w:p w:rsidR="00327D08" w:rsidRPr="00C258AD" w:rsidRDefault="00327D08" w:rsidP="00927E1F">
            <w:pPr>
              <w:autoSpaceDE w:val="0"/>
              <w:autoSpaceDN w:val="0"/>
              <w:adjustRightInd w:val="0"/>
              <w:rPr>
                <w:rFonts w:cs="Arial"/>
                <w:sz w:val="16"/>
                <w:szCs w:val="16"/>
              </w:rPr>
            </w:pPr>
            <w:r w:rsidRPr="00C258AD">
              <w:rPr>
                <w:sz w:val="16"/>
              </w:rPr>
              <w:t>Afrique du Sud/ 10 bourses d’études à des stagiaires de : Botswana, Kenya, Lesotho, Malawi, Namibie, Nigéria et Zimbabwe</w:t>
            </w:r>
          </w:p>
        </w:tc>
        <w:tc>
          <w:tcPr>
            <w:tcW w:w="4536" w:type="dxa"/>
            <w:tcBorders>
              <w:bottom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Permettre à des étudiants de deuxième et troisième cycles et à de jeunes cadres : i) d’acquérir une connaissance approfondie de l’interface entre propriété intellectuelle et transfert de technologie;  et ii) de débattre des questions de propriété intellectuelle relatives aux négociations de licence dans le cadre d’études de cas et d’exercices de simulation.</w:t>
            </w:r>
          </w:p>
        </w:tc>
      </w:tr>
      <w:tr w:rsidR="00327D08" w:rsidRPr="00C258AD" w:rsidTr="00927E1F">
        <w:trPr>
          <w:cantSplit/>
        </w:trPr>
        <w:tc>
          <w:tcPr>
            <w:tcW w:w="9498" w:type="dxa"/>
            <w:gridSpan w:val="4"/>
            <w:tcBorders>
              <w:top w:val="single" w:sz="4" w:space="0" w:color="auto"/>
              <w:bottom w:val="single" w:sz="4" w:space="0" w:color="auto"/>
            </w:tcBorders>
            <w:shd w:val="clear" w:color="auto" w:fill="C6D9F1" w:themeFill="text2" w:themeFillTint="33"/>
          </w:tcPr>
          <w:p w:rsidR="00327D08" w:rsidRPr="00C258AD" w:rsidRDefault="00327D08" w:rsidP="00927E1F">
            <w:pPr>
              <w:keepNext/>
              <w:keepLines/>
              <w:tabs>
                <w:tab w:val="left" w:pos="1740"/>
              </w:tabs>
              <w:ind w:left="1740" w:hanging="1740"/>
              <w:rPr>
                <w:rFonts w:cs="Arial"/>
                <w:sz w:val="16"/>
                <w:szCs w:val="16"/>
              </w:rPr>
            </w:pPr>
            <w:r w:rsidRPr="00C258AD">
              <w:rPr>
                <w:rFonts w:cs="Arial"/>
                <w:b/>
                <w:sz w:val="16"/>
                <w:szCs w:val="16"/>
              </w:rPr>
              <w:t xml:space="preserve">RÉSULTAT : </w:t>
            </w:r>
            <w:r w:rsidRPr="00C258AD">
              <w:rPr>
                <w:rFonts w:cs="Arial"/>
                <w:sz w:val="16"/>
                <w:szCs w:val="16"/>
              </w:rPr>
              <w:tab/>
              <w:t>III.6  Renforcement des capacités des PME s’agissant de mettre la propriété intellectuelle au service de l’innovation</w:t>
            </w:r>
          </w:p>
        </w:tc>
      </w:tr>
      <w:tr w:rsidR="00327D08" w:rsidRPr="00C258AD" w:rsidTr="00927E1F">
        <w:trPr>
          <w:cantSplit/>
        </w:trPr>
        <w:tc>
          <w:tcPr>
            <w:tcW w:w="1843" w:type="dxa"/>
            <w:tcBorders>
              <w:top w:val="single" w:sz="4" w:space="0" w:color="auto"/>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134" w:type="dxa"/>
            <w:tcBorders>
              <w:top w:val="single" w:sz="4" w:space="0" w:color="auto"/>
            </w:tcBorders>
            <w:vAlign w:val="center"/>
          </w:tcPr>
          <w:p w:rsidR="00327D08" w:rsidRPr="00C258AD" w:rsidRDefault="00327D08" w:rsidP="00927E1F">
            <w:pPr>
              <w:keepNext/>
              <w:keepLines/>
              <w:rPr>
                <w:rFonts w:cs="Arial"/>
                <w:sz w:val="16"/>
                <w:szCs w:val="16"/>
              </w:rPr>
            </w:pPr>
            <w:r w:rsidRPr="00C258AD">
              <w:rPr>
                <w:rFonts w:cs="Arial"/>
                <w:sz w:val="16"/>
                <w:szCs w:val="16"/>
              </w:rPr>
              <w:t>Date</w:t>
            </w:r>
          </w:p>
        </w:tc>
        <w:tc>
          <w:tcPr>
            <w:tcW w:w="1985" w:type="dxa"/>
            <w:tcBorders>
              <w:top w:val="single" w:sz="4" w:space="0" w:color="auto"/>
            </w:tcBorders>
            <w:vAlign w:val="center"/>
          </w:tcPr>
          <w:p w:rsidR="00327D08" w:rsidRPr="00C258AD" w:rsidRDefault="00327D08" w:rsidP="00927E1F">
            <w:pPr>
              <w:keepNext/>
              <w:keepLines/>
              <w:rPr>
                <w:rFonts w:cs="Arial"/>
                <w:sz w:val="16"/>
                <w:szCs w:val="16"/>
              </w:rPr>
            </w:pPr>
            <w:r w:rsidRPr="00C258AD">
              <w:rPr>
                <w:b/>
                <w:sz w:val="16"/>
              </w:rPr>
              <w:t>Pays hôte/</w:t>
            </w:r>
            <w:r w:rsidRPr="00C258AD">
              <w:br/>
            </w:r>
            <w:r w:rsidRPr="00C258AD">
              <w:rPr>
                <w:b/>
                <w:sz w:val="16"/>
              </w:rPr>
              <w:t>bénéficiaires</w:t>
            </w:r>
          </w:p>
        </w:tc>
        <w:tc>
          <w:tcPr>
            <w:tcW w:w="4536" w:type="dxa"/>
            <w:tcBorders>
              <w:top w:val="single" w:sz="4" w:space="0" w:color="auto"/>
            </w:tcBorders>
            <w:vAlign w:val="center"/>
          </w:tcPr>
          <w:p w:rsidR="00327D08" w:rsidRPr="00C258AD" w:rsidRDefault="00327D08" w:rsidP="00927E1F">
            <w:pPr>
              <w:keepNext/>
              <w:keepLines/>
              <w:rPr>
                <w:rFonts w:cs="Arial"/>
                <w:sz w:val="16"/>
                <w:szCs w:val="16"/>
              </w:rPr>
            </w:pPr>
            <w:r w:rsidRPr="00C258AD">
              <w:rPr>
                <w:b/>
                <w:sz w:val="16"/>
              </w:rPr>
              <w:t>Objectif(s)/description(s)</w:t>
            </w:r>
          </w:p>
        </w:tc>
      </w:tr>
      <w:tr w:rsidR="00327D08" w:rsidRPr="00C258AD" w:rsidTr="00927E1F">
        <w:trPr>
          <w:cantSplit/>
        </w:trPr>
        <w:tc>
          <w:tcPr>
            <w:tcW w:w="1843" w:type="dxa"/>
            <w:tcBorders>
              <w:bottom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 xml:space="preserve">Atelier régional sur les modèles d’utilité et des dessins et modèles industriels pour les PME des États membres de l’ARIPO </w:t>
            </w:r>
          </w:p>
        </w:tc>
        <w:tc>
          <w:tcPr>
            <w:tcW w:w="1134" w:type="dxa"/>
            <w:tcBorders>
              <w:bottom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24 – 26 juin 2015</w:t>
            </w:r>
          </w:p>
        </w:tc>
        <w:tc>
          <w:tcPr>
            <w:tcW w:w="1985" w:type="dxa"/>
            <w:tcBorders>
              <w:bottom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Zimbabwe/ 25 participants de : Botswana</w:t>
            </w:r>
            <w:r w:rsidRPr="00C258AD">
              <w:rPr>
                <w:sz w:val="16"/>
                <w:szCs w:val="16"/>
              </w:rPr>
              <w:t xml:space="preserve">, Gambie, </w:t>
            </w:r>
            <w:r w:rsidRPr="00C258AD">
              <w:rPr>
                <w:rFonts w:cs="Arial"/>
                <w:sz w:val="16"/>
                <w:szCs w:val="16"/>
              </w:rPr>
              <w:t>Ghana</w:t>
            </w:r>
            <w:r w:rsidRPr="00C258AD">
              <w:rPr>
                <w:sz w:val="16"/>
                <w:szCs w:val="16"/>
              </w:rPr>
              <w:t xml:space="preserve">, Kenya, </w:t>
            </w:r>
            <w:r w:rsidRPr="00C258AD">
              <w:rPr>
                <w:rFonts w:cs="Arial"/>
                <w:sz w:val="16"/>
                <w:szCs w:val="16"/>
              </w:rPr>
              <w:t>Malawi</w:t>
            </w:r>
            <w:r w:rsidRPr="00C258AD">
              <w:rPr>
                <w:sz w:val="16"/>
                <w:szCs w:val="16"/>
              </w:rPr>
              <w:t>, Namibie, Ouganda, République</w:t>
            </w:r>
            <w:r w:rsidRPr="00C258AD">
              <w:rPr>
                <w:sz w:val="16"/>
                <w:szCs w:val="16"/>
              </w:rPr>
              <w:noBreakHyphen/>
              <w:t>Unie de Tanzanie</w:t>
            </w:r>
            <w:r w:rsidRPr="00C258AD">
              <w:rPr>
                <w:rFonts w:cs="Arial"/>
                <w:sz w:val="16"/>
                <w:szCs w:val="16"/>
              </w:rPr>
              <w:t xml:space="preserve"> </w:t>
            </w:r>
            <w:r w:rsidRPr="00C258AD">
              <w:rPr>
                <w:sz w:val="16"/>
                <w:szCs w:val="16"/>
              </w:rPr>
              <w:t>et</w:t>
            </w:r>
            <w:r w:rsidRPr="00C258AD">
              <w:rPr>
                <w:rFonts w:cs="Arial"/>
                <w:sz w:val="16"/>
                <w:szCs w:val="16"/>
              </w:rPr>
              <w:t xml:space="preserve"> </w:t>
            </w:r>
            <w:r w:rsidRPr="00C258AD">
              <w:rPr>
                <w:sz w:val="16"/>
                <w:szCs w:val="16"/>
              </w:rPr>
              <w:t>Zambie</w:t>
            </w:r>
          </w:p>
        </w:tc>
        <w:tc>
          <w:tcPr>
            <w:tcW w:w="4536" w:type="dxa"/>
            <w:tcBorders>
              <w:bottom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i) Mettre à la disposition des fonctionnaires des offices e propriété intellectuelle, des PME, des inventeurs, des centres de recherche, des universités, des pôles d’innovation, des chambres de commerce, des associations de PME et des créateurs de la région une plateforme leur permettant de s’informer quant aux systèmes des modèles d’utilité et de dessins et modèles industriels;  et ii) échanger avec des experts internationaux et nationaux des vues sur les avantages de l’utilisation des modèles d’utilité et des dessins et modèles industriels pour les petites, micro et moyennes entreprises.</w:t>
            </w:r>
          </w:p>
        </w:tc>
      </w:tr>
      <w:tr w:rsidR="00327D08" w:rsidRPr="00C258AD" w:rsidTr="00927E1F">
        <w:trPr>
          <w:cantSplit/>
        </w:trPr>
        <w:tc>
          <w:tcPr>
            <w:tcW w:w="9498" w:type="dxa"/>
            <w:gridSpan w:val="4"/>
            <w:tcBorders>
              <w:top w:val="single" w:sz="4" w:space="0" w:color="auto"/>
              <w:bottom w:val="single" w:sz="4" w:space="0" w:color="auto"/>
            </w:tcBorders>
            <w:shd w:val="clear" w:color="auto" w:fill="C6D9F1" w:themeFill="text2" w:themeFillTint="33"/>
          </w:tcPr>
          <w:p w:rsidR="00327D08" w:rsidRPr="00C258AD" w:rsidRDefault="00327D08" w:rsidP="00927E1F">
            <w:pPr>
              <w:keepNext/>
              <w:keepLines/>
              <w:tabs>
                <w:tab w:val="left" w:pos="1740"/>
              </w:tabs>
              <w:ind w:left="1740" w:hanging="1740"/>
              <w:rPr>
                <w:rFonts w:cs="Arial"/>
                <w:b/>
                <w:bCs/>
                <w:sz w:val="16"/>
                <w:szCs w:val="16"/>
              </w:rPr>
            </w:pPr>
            <w:r w:rsidRPr="00C258AD">
              <w:rPr>
                <w:rFonts w:cs="Arial"/>
                <w:b/>
                <w:bCs/>
                <w:sz w:val="16"/>
                <w:szCs w:val="16"/>
              </w:rPr>
              <w:t xml:space="preserve">RÉSULTAT : </w:t>
            </w:r>
            <w:r w:rsidRPr="00C258AD">
              <w:rPr>
                <w:rFonts w:cs="Arial"/>
                <w:b/>
                <w:bCs/>
                <w:sz w:val="16"/>
                <w:szCs w:val="16"/>
              </w:rPr>
              <w:tab/>
            </w:r>
            <w:r w:rsidRPr="00C258AD">
              <w:rPr>
                <w:rFonts w:cs="Arial"/>
                <w:bCs/>
                <w:sz w:val="16"/>
                <w:szCs w:val="16"/>
              </w:rPr>
              <w:t>IV.2  Amélioration de l’accessibilité et de l’utilisation de l’information en matière de propriété intellectuelle par les institutions compétentes et le public afin de promouvoir l’innovation et la créativité</w:t>
            </w:r>
          </w:p>
        </w:tc>
      </w:tr>
      <w:tr w:rsidR="00327D08" w:rsidRPr="00C258AD" w:rsidTr="00927E1F">
        <w:trPr>
          <w:cantSplit/>
        </w:trPr>
        <w:tc>
          <w:tcPr>
            <w:tcW w:w="1843" w:type="dxa"/>
            <w:tcBorders>
              <w:top w:val="single" w:sz="4" w:space="0" w:color="auto"/>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134" w:type="dxa"/>
            <w:tcBorders>
              <w:top w:val="single" w:sz="4" w:space="0" w:color="auto"/>
            </w:tcBorders>
            <w:vAlign w:val="center"/>
          </w:tcPr>
          <w:p w:rsidR="00327D08" w:rsidRPr="00C258AD" w:rsidRDefault="00327D08" w:rsidP="00927E1F">
            <w:pPr>
              <w:keepNext/>
              <w:keepLines/>
              <w:rPr>
                <w:rFonts w:cs="Arial"/>
                <w:sz w:val="16"/>
                <w:szCs w:val="16"/>
              </w:rPr>
            </w:pPr>
            <w:r w:rsidRPr="00C258AD">
              <w:rPr>
                <w:rFonts w:cs="Arial"/>
                <w:sz w:val="16"/>
                <w:szCs w:val="16"/>
              </w:rPr>
              <w:t>Date</w:t>
            </w:r>
          </w:p>
        </w:tc>
        <w:tc>
          <w:tcPr>
            <w:tcW w:w="1985" w:type="dxa"/>
            <w:tcBorders>
              <w:top w:val="single" w:sz="4" w:space="0" w:color="auto"/>
            </w:tcBorders>
            <w:vAlign w:val="center"/>
          </w:tcPr>
          <w:p w:rsidR="00327D08" w:rsidRPr="00C258AD" w:rsidRDefault="00327D08" w:rsidP="00927E1F">
            <w:pPr>
              <w:keepNext/>
              <w:keepLines/>
              <w:rPr>
                <w:rFonts w:cs="Arial"/>
                <w:sz w:val="16"/>
                <w:szCs w:val="16"/>
              </w:rPr>
            </w:pPr>
            <w:r w:rsidRPr="00C258AD">
              <w:rPr>
                <w:b/>
                <w:sz w:val="16"/>
              </w:rPr>
              <w:t>Pays hôte/</w:t>
            </w:r>
            <w:r w:rsidRPr="00C258AD">
              <w:br/>
            </w:r>
            <w:r w:rsidRPr="00C258AD">
              <w:rPr>
                <w:b/>
                <w:sz w:val="16"/>
              </w:rPr>
              <w:t>bénéficiaires</w:t>
            </w:r>
          </w:p>
        </w:tc>
        <w:tc>
          <w:tcPr>
            <w:tcW w:w="4536" w:type="dxa"/>
            <w:tcBorders>
              <w:top w:val="single" w:sz="4" w:space="0" w:color="auto"/>
            </w:tcBorders>
            <w:vAlign w:val="center"/>
          </w:tcPr>
          <w:p w:rsidR="00327D08" w:rsidRPr="00C258AD" w:rsidRDefault="00327D08" w:rsidP="00927E1F">
            <w:pPr>
              <w:keepNext/>
              <w:keepLines/>
              <w:rPr>
                <w:rFonts w:cs="Arial"/>
                <w:sz w:val="16"/>
                <w:szCs w:val="16"/>
              </w:rPr>
            </w:pPr>
            <w:r w:rsidRPr="00C258AD">
              <w:rPr>
                <w:b/>
                <w:sz w:val="16"/>
              </w:rPr>
              <w:t>Objectif(s)/description(s)</w:t>
            </w:r>
          </w:p>
        </w:tc>
      </w:tr>
      <w:tr w:rsidR="00327D08" w:rsidRPr="00C258AD" w:rsidTr="00927E1F">
        <w:trPr>
          <w:cantSplit/>
        </w:trPr>
        <w:tc>
          <w:tcPr>
            <w:tcW w:w="1843" w:type="dxa"/>
          </w:tcPr>
          <w:p w:rsidR="00327D08" w:rsidRPr="00C258AD" w:rsidRDefault="00327D08" w:rsidP="00927E1F">
            <w:pPr>
              <w:rPr>
                <w:rFonts w:cs="Arial"/>
                <w:sz w:val="16"/>
                <w:szCs w:val="16"/>
              </w:rPr>
            </w:pPr>
            <w:r w:rsidRPr="00C258AD">
              <w:rPr>
                <w:rFonts w:cs="Arial"/>
                <w:sz w:val="16"/>
                <w:szCs w:val="16"/>
              </w:rPr>
              <w:t>Deuxième atelier des CATI consacré à l’utilisation efficace des informations techniques et scientifiques</w:t>
            </w:r>
          </w:p>
        </w:tc>
        <w:tc>
          <w:tcPr>
            <w:tcW w:w="1134" w:type="dxa"/>
          </w:tcPr>
          <w:p w:rsidR="00327D08" w:rsidRPr="00C258AD" w:rsidRDefault="00327D08" w:rsidP="00927E1F">
            <w:pPr>
              <w:rPr>
                <w:rFonts w:cs="Arial"/>
                <w:sz w:val="16"/>
                <w:szCs w:val="16"/>
              </w:rPr>
            </w:pPr>
            <w:r w:rsidRPr="00C258AD">
              <w:rPr>
                <w:rFonts w:cs="Arial"/>
                <w:sz w:val="16"/>
                <w:szCs w:val="16"/>
              </w:rPr>
              <w:t>24 – 26 février 2015</w:t>
            </w:r>
          </w:p>
        </w:tc>
        <w:tc>
          <w:tcPr>
            <w:tcW w:w="1985" w:type="dxa"/>
          </w:tcPr>
          <w:p w:rsidR="00327D08" w:rsidRPr="00C258AD" w:rsidRDefault="00327D08" w:rsidP="00927E1F">
            <w:pPr>
              <w:rPr>
                <w:rFonts w:cs="Arial"/>
                <w:sz w:val="16"/>
                <w:szCs w:val="16"/>
              </w:rPr>
            </w:pPr>
            <w:r w:rsidRPr="00C258AD">
              <w:rPr>
                <w:rFonts w:cs="Arial"/>
                <w:sz w:val="16"/>
                <w:szCs w:val="16"/>
              </w:rPr>
              <w:t>Ghana/ quelque 50 participants locaux</w:t>
            </w:r>
          </w:p>
        </w:tc>
        <w:tc>
          <w:tcPr>
            <w:tcW w:w="4536" w:type="dxa"/>
          </w:tcPr>
          <w:p w:rsidR="00327D08" w:rsidRPr="00C258AD" w:rsidRDefault="00327D08" w:rsidP="00927E1F">
            <w:pPr>
              <w:rPr>
                <w:rFonts w:cs="Arial"/>
                <w:sz w:val="16"/>
                <w:szCs w:val="16"/>
              </w:rPr>
            </w:pPr>
            <w:r w:rsidRPr="00C258AD">
              <w:rPr>
                <w:rFonts w:cs="Arial"/>
                <w:sz w:val="16"/>
                <w:szCs w:val="16"/>
              </w:rPr>
              <w:t>Renforcer les capacités des participants en matière de recherche et d’utilisation de l’information technique et scientifique pour le développement de leurs activités respectives.</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Séminaire des CATI sur l’utilisation de l’information technique et scientifique</w:t>
            </w:r>
          </w:p>
        </w:tc>
        <w:tc>
          <w:tcPr>
            <w:tcW w:w="1134" w:type="dxa"/>
          </w:tcPr>
          <w:p w:rsidR="00327D08" w:rsidRPr="00C258AD" w:rsidRDefault="00327D08" w:rsidP="00927E1F">
            <w:pPr>
              <w:rPr>
                <w:rFonts w:cs="Arial"/>
                <w:sz w:val="16"/>
                <w:szCs w:val="16"/>
              </w:rPr>
            </w:pPr>
            <w:r w:rsidRPr="00C258AD">
              <w:rPr>
                <w:rFonts w:cs="Arial"/>
                <w:sz w:val="16"/>
                <w:szCs w:val="16"/>
              </w:rPr>
              <w:t>23 – 27 mars 2015</w:t>
            </w:r>
          </w:p>
        </w:tc>
        <w:tc>
          <w:tcPr>
            <w:tcW w:w="1985"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Burkina Faso/ quelque 50 participants locaux</w:t>
            </w:r>
          </w:p>
        </w:tc>
        <w:tc>
          <w:tcPr>
            <w:tcW w:w="453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Former des chercheurs, des enseignants et des étudiants à la recherche dans la littérature de brevet et la littérature non</w:t>
            </w:r>
            <w:r w:rsidRPr="00C258AD">
              <w:rPr>
                <w:rFonts w:cs="Arial"/>
                <w:sz w:val="16"/>
                <w:szCs w:val="16"/>
              </w:rPr>
              <w:noBreakHyphen/>
              <w:t>brevet.</w:t>
            </w:r>
          </w:p>
        </w:tc>
      </w:tr>
      <w:tr w:rsidR="00327D08" w:rsidRPr="00C258AD" w:rsidTr="00927E1F">
        <w:trPr>
          <w:cantSplit/>
        </w:trPr>
        <w:tc>
          <w:tcPr>
            <w:tcW w:w="1843" w:type="dxa"/>
            <w:tcBorders>
              <w:bottom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 xml:space="preserve">Séminaire sur l’utilisation efficace de l’information technique et scientifique et lancement d’un CATI </w:t>
            </w:r>
          </w:p>
        </w:tc>
        <w:tc>
          <w:tcPr>
            <w:tcW w:w="1134" w:type="dxa"/>
            <w:tcBorders>
              <w:bottom w:val="single" w:sz="4" w:space="0" w:color="auto"/>
            </w:tcBorders>
          </w:tcPr>
          <w:p w:rsidR="00327D08" w:rsidRPr="00C258AD" w:rsidRDefault="00327D08" w:rsidP="00927E1F">
            <w:pPr>
              <w:rPr>
                <w:rFonts w:cs="Arial"/>
                <w:sz w:val="16"/>
                <w:szCs w:val="16"/>
              </w:rPr>
            </w:pPr>
            <w:r w:rsidRPr="00C258AD">
              <w:rPr>
                <w:rFonts w:cs="Arial"/>
                <w:sz w:val="16"/>
                <w:szCs w:val="16"/>
              </w:rPr>
              <w:t>1</w:t>
            </w:r>
            <w:r w:rsidRPr="00C258AD">
              <w:rPr>
                <w:rFonts w:cs="Arial"/>
                <w:sz w:val="16"/>
                <w:szCs w:val="16"/>
                <w:vertAlign w:val="superscript"/>
              </w:rPr>
              <w:t>er</w:t>
            </w:r>
            <w:r w:rsidRPr="00C258AD">
              <w:rPr>
                <w:rFonts w:cs="Arial"/>
                <w:sz w:val="16"/>
                <w:szCs w:val="16"/>
              </w:rPr>
              <w:t xml:space="preserve"> – 5 juin 2015</w:t>
            </w:r>
          </w:p>
        </w:tc>
        <w:tc>
          <w:tcPr>
            <w:tcW w:w="1985" w:type="dxa"/>
            <w:tcBorders>
              <w:bottom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Rwanda/ quelque 50 participants locaux</w:t>
            </w:r>
          </w:p>
        </w:tc>
        <w:tc>
          <w:tcPr>
            <w:tcW w:w="4536" w:type="dxa"/>
            <w:tcBorders>
              <w:bottom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Présenter le projet relatif au CATI et ses avantages à deux établissements d’enseignement supérieur du pays.</w:t>
            </w:r>
          </w:p>
        </w:tc>
      </w:tr>
      <w:tr w:rsidR="00327D08" w:rsidRPr="00C258AD" w:rsidTr="00927E1F">
        <w:trPr>
          <w:cantSplit/>
        </w:trPr>
        <w:tc>
          <w:tcPr>
            <w:tcW w:w="9498" w:type="dxa"/>
            <w:gridSpan w:val="4"/>
            <w:tcBorders>
              <w:top w:val="single" w:sz="4" w:space="0" w:color="auto"/>
              <w:bottom w:val="single" w:sz="4" w:space="0" w:color="auto"/>
            </w:tcBorders>
            <w:shd w:val="clear" w:color="auto" w:fill="C6D9F1" w:themeFill="text2" w:themeFillTint="33"/>
          </w:tcPr>
          <w:p w:rsidR="00327D08" w:rsidRPr="00C258AD" w:rsidRDefault="00327D08" w:rsidP="00927E1F">
            <w:pPr>
              <w:keepNext/>
              <w:keepLines/>
              <w:tabs>
                <w:tab w:val="left" w:pos="1740"/>
              </w:tabs>
              <w:ind w:left="1740" w:hanging="1740"/>
              <w:rPr>
                <w:rFonts w:cs="Arial"/>
                <w:b/>
                <w:bCs/>
                <w:sz w:val="16"/>
                <w:szCs w:val="16"/>
              </w:rPr>
            </w:pPr>
            <w:r w:rsidRPr="00C258AD">
              <w:rPr>
                <w:rFonts w:cs="Arial"/>
                <w:b/>
                <w:bCs/>
                <w:sz w:val="16"/>
                <w:szCs w:val="16"/>
              </w:rPr>
              <w:t xml:space="preserve">RÉSULTAT : </w:t>
            </w:r>
            <w:r w:rsidRPr="00C258AD">
              <w:rPr>
                <w:rFonts w:cs="Arial"/>
                <w:bCs/>
                <w:sz w:val="16"/>
                <w:szCs w:val="16"/>
              </w:rPr>
              <w:tab/>
              <w:t>IV.4 Amélioration de l’infrastructure technique et du savoir pour les offices de propriété intellectuelle et les autres institutions de propriété intellectuelle, leur permettant de fournir à leurs parties prenantes des services améliorés (moins chers, plus rapides, de meilleure qualité)</w:t>
            </w:r>
          </w:p>
        </w:tc>
      </w:tr>
      <w:tr w:rsidR="00327D08" w:rsidRPr="00C258AD" w:rsidTr="00927E1F">
        <w:trPr>
          <w:cantSplit/>
        </w:trPr>
        <w:tc>
          <w:tcPr>
            <w:tcW w:w="1843" w:type="dxa"/>
            <w:tcBorders>
              <w:top w:val="single" w:sz="4" w:space="0" w:color="auto"/>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134" w:type="dxa"/>
            <w:tcBorders>
              <w:top w:val="single" w:sz="4" w:space="0" w:color="auto"/>
            </w:tcBorders>
            <w:vAlign w:val="center"/>
          </w:tcPr>
          <w:p w:rsidR="00327D08" w:rsidRPr="00C258AD" w:rsidRDefault="00327D08" w:rsidP="00927E1F">
            <w:pPr>
              <w:keepNext/>
              <w:keepLines/>
              <w:rPr>
                <w:rFonts w:cs="Arial"/>
                <w:sz w:val="16"/>
                <w:szCs w:val="16"/>
              </w:rPr>
            </w:pPr>
            <w:r w:rsidRPr="00C258AD">
              <w:rPr>
                <w:rFonts w:cs="Arial"/>
                <w:sz w:val="16"/>
                <w:szCs w:val="16"/>
              </w:rPr>
              <w:t>Date</w:t>
            </w:r>
          </w:p>
        </w:tc>
        <w:tc>
          <w:tcPr>
            <w:tcW w:w="1985" w:type="dxa"/>
            <w:tcBorders>
              <w:top w:val="single" w:sz="4" w:space="0" w:color="auto"/>
            </w:tcBorders>
            <w:vAlign w:val="center"/>
          </w:tcPr>
          <w:p w:rsidR="00327D08" w:rsidRPr="00C258AD" w:rsidRDefault="00327D08" w:rsidP="00927E1F">
            <w:pPr>
              <w:keepNext/>
              <w:keepLines/>
              <w:rPr>
                <w:rFonts w:cs="Arial"/>
                <w:sz w:val="16"/>
                <w:szCs w:val="16"/>
              </w:rPr>
            </w:pPr>
            <w:r w:rsidRPr="00C258AD">
              <w:rPr>
                <w:b/>
                <w:sz w:val="16"/>
              </w:rPr>
              <w:t>Pays hôte/</w:t>
            </w:r>
            <w:r w:rsidRPr="00C258AD">
              <w:br/>
            </w:r>
            <w:r w:rsidRPr="00C258AD">
              <w:rPr>
                <w:b/>
                <w:sz w:val="16"/>
              </w:rPr>
              <w:t>bénéficiaires</w:t>
            </w:r>
          </w:p>
        </w:tc>
        <w:tc>
          <w:tcPr>
            <w:tcW w:w="4536" w:type="dxa"/>
            <w:tcBorders>
              <w:top w:val="single" w:sz="4" w:space="0" w:color="auto"/>
            </w:tcBorders>
            <w:vAlign w:val="center"/>
          </w:tcPr>
          <w:p w:rsidR="00327D08" w:rsidRPr="00C258AD" w:rsidRDefault="00327D08" w:rsidP="00927E1F">
            <w:pPr>
              <w:keepNext/>
              <w:keepLines/>
              <w:rPr>
                <w:rFonts w:cs="Arial"/>
                <w:sz w:val="16"/>
                <w:szCs w:val="16"/>
              </w:rPr>
            </w:pPr>
            <w:r w:rsidRPr="00C258AD">
              <w:rPr>
                <w:b/>
                <w:sz w:val="16"/>
              </w:rPr>
              <w:t>Objectif(s)/description(s)</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Numérisation de documents de propriété intellectuelle pour le compte de l’ARIPO</w:t>
            </w:r>
          </w:p>
        </w:tc>
        <w:tc>
          <w:tcPr>
            <w:tcW w:w="1134" w:type="dxa"/>
          </w:tcPr>
          <w:p w:rsidR="00327D08" w:rsidRPr="00C258AD" w:rsidRDefault="00327D08" w:rsidP="00927E1F">
            <w:pPr>
              <w:rPr>
                <w:rFonts w:cs="Arial"/>
                <w:sz w:val="16"/>
                <w:szCs w:val="16"/>
              </w:rPr>
            </w:pPr>
            <w:r w:rsidRPr="00C258AD">
              <w:rPr>
                <w:rFonts w:cs="Arial"/>
                <w:sz w:val="16"/>
                <w:szCs w:val="16"/>
              </w:rPr>
              <w:t>avril à décembre 2015</w:t>
            </w:r>
          </w:p>
          <w:p w:rsidR="00327D08" w:rsidRPr="00C258AD" w:rsidRDefault="00327D08" w:rsidP="00927E1F">
            <w:pPr>
              <w:rPr>
                <w:rFonts w:cs="Arial"/>
                <w:sz w:val="16"/>
                <w:szCs w:val="16"/>
              </w:rPr>
            </w:pPr>
            <w:r w:rsidRPr="00C258AD">
              <w:rPr>
                <w:rFonts w:cs="Arial"/>
                <w:sz w:val="16"/>
                <w:szCs w:val="16"/>
              </w:rPr>
              <w:t>(en cours)</w:t>
            </w:r>
          </w:p>
        </w:tc>
        <w:tc>
          <w:tcPr>
            <w:tcW w:w="1985"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ARIPO</w:t>
            </w:r>
          </w:p>
        </w:tc>
        <w:tc>
          <w:tcPr>
            <w:tcW w:w="453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i) Faciliter les procédures d’examen et de traitement des demandes/enregistrements;  ii) sécuriser et préserver les dossiers de propriété intellectuelle en les conservant à la fois sur support matériel et sous forme numérique;  iii) faciliter l’échange de données de propriété intellectuelle aux niveaux national et international;  et iv) améliorer la gouvernance, la transparence et responsabilisation concernant les procédures en matière de propriété intellectuelle.</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lastRenderedPageBreak/>
              <w:t>Numérisation de documents de propriété intellectuelle pour le compte de l’Institut de la propriété industrielle du Kenya (KIPI)</w:t>
            </w:r>
          </w:p>
        </w:tc>
        <w:tc>
          <w:tcPr>
            <w:tcW w:w="1134" w:type="dxa"/>
          </w:tcPr>
          <w:p w:rsidR="00327D08" w:rsidRPr="00C258AD" w:rsidRDefault="00327D08" w:rsidP="00927E1F">
            <w:pPr>
              <w:rPr>
                <w:rFonts w:cs="Arial"/>
                <w:sz w:val="16"/>
                <w:szCs w:val="16"/>
              </w:rPr>
            </w:pPr>
            <w:r w:rsidRPr="00C258AD">
              <w:rPr>
                <w:rFonts w:cs="Arial"/>
                <w:sz w:val="16"/>
                <w:szCs w:val="16"/>
              </w:rPr>
              <w:t>avril à décembre 2015</w:t>
            </w:r>
          </w:p>
          <w:p w:rsidR="00327D08" w:rsidRPr="00C258AD" w:rsidRDefault="00327D08" w:rsidP="00927E1F">
            <w:pPr>
              <w:rPr>
                <w:rFonts w:cs="Arial"/>
                <w:sz w:val="16"/>
                <w:szCs w:val="16"/>
              </w:rPr>
            </w:pPr>
            <w:r w:rsidRPr="00C258AD">
              <w:rPr>
                <w:rFonts w:cs="Arial"/>
                <w:sz w:val="16"/>
                <w:szCs w:val="16"/>
              </w:rPr>
              <w:t>(en cours)</w:t>
            </w:r>
          </w:p>
        </w:tc>
        <w:tc>
          <w:tcPr>
            <w:tcW w:w="1985"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Kenya</w:t>
            </w:r>
          </w:p>
        </w:tc>
        <w:tc>
          <w:tcPr>
            <w:tcW w:w="453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i) Faciliter les procédures d’examen et de traitement des demandes/enregistrements;  ii) sécuriser et préserver les dossiers de propriété intellectuelle en les conservant à la fois sur support matériel et sous forme numérique;  iii) faciliter l’échange de données de propriété intellectuelle aux niveaux national et international;  et iv) améliorer la gouvernance, la transparence et responsabilisation concernant les procédures en matière de propriété intellectuelle.</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Projet de numérisation des brevets et des marques pour l’Office de la propriété intellectuelle du Zimbabwe (ZIPO)</w:t>
            </w:r>
          </w:p>
        </w:tc>
        <w:tc>
          <w:tcPr>
            <w:tcW w:w="1134" w:type="dxa"/>
          </w:tcPr>
          <w:p w:rsidR="00327D08" w:rsidRPr="00C258AD" w:rsidRDefault="00327D08" w:rsidP="00927E1F">
            <w:pPr>
              <w:rPr>
                <w:rFonts w:cs="Arial"/>
                <w:sz w:val="16"/>
                <w:szCs w:val="16"/>
              </w:rPr>
            </w:pPr>
            <w:r w:rsidRPr="00C258AD">
              <w:rPr>
                <w:rFonts w:cs="Arial"/>
                <w:sz w:val="16"/>
                <w:szCs w:val="16"/>
              </w:rPr>
              <w:t>avril à décembre 2015</w:t>
            </w:r>
          </w:p>
          <w:p w:rsidR="00327D08" w:rsidRPr="00C258AD" w:rsidRDefault="00327D08" w:rsidP="00927E1F">
            <w:pPr>
              <w:rPr>
                <w:rFonts w:cs="Arial"/>
                <w:sz w:val="16"/>
                <w:szCs w:val="16"/>
              </w:rPr>
            </w:pPr>
            <w:r w:rsidRPr="00C258AD">
              <w:rPr>
                <w:rFonts w:cs="Arial"/>
                <w:sz w:val="16"/>
                <w:szCs w:val="16"/>
              </w:rPr>
              <w:t>(en cours)</w:t>
            </w:r>
          </w:p>
        </w:tc>
        <w:tc>
          <w:tcPr>
            <w:tcW w:w="1985"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Zimbabwe</w:t>
            </w:r>
          </w:p>
        </w:tc>
        <w:tc>
          <w:tcPr>
            <w:tcW w:w="453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i) Créer des dossiers électroniques pour tous les dossiers de brevets et de marques;  ii) accélérer les procédures administratives et d’examen au sein de l’office de propriété intellectuelle;  iii) améliorer l’accès à l’information en matière de propriété intellectuelle;  et iv) améliorer la gouvernance, la transparence et responsabilisation concernant les procédures en rendant l’information contenue dans les dossiers aisément accessible, y compris sous forme numérique.</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Atelier de formation régional de l’OMPI sur le système IPAS à l’intention des responsables des processus et de la gouvernance</w:t>
            </w:r>
          </w:p>
        </w:tc>
        <w:tc>
          <w:tcPr>
            <w:tcW w:w="1134" w:type="dxa"/>
          </w:tcPr>
          <w:p w:rsidR="00327D08" w:rsidRPr="00C258AD" w:rsidRDefault="00327D08" w:rsidP="00927E1F">
            <w:pPr>
              <w:rPr>
                <w:rFonts w:cs="Arial"/>
                <w:sz w:val="16"/>
                <w:szCs w:val="16"/>
              </w:rPr>
            </w:pPr>
            <w:r w:rsidRPr="00C258AD">
              <w:rPr>
                <w:rFonts w:cs="Arial"/>
                <w:sz w:val="16"/>
                <w:szCs w:val="16"/>
              </w:rPr>
              <w:t>13 – 17 avril 2015</w:t>
            </w:r>
          </w:p>
        </w:tc>
        <w:tc>
          <w:tcPr>
            <w:tcW w:w="1985" w:type="dxa"/>
          </w:tcPr>
          <w:p w:rsidR="00327D08" w:rsidRPr="00C258AD" w:rsidRDefault="00327D08" w:rsidP="00927E1F">
            <w:pPr>
              <w:autoSpaceDE w:val="0"/>
              <w:autoSpaceDN w:val="0"/>
              <w:adjustRightInd w:val="0"/>
              <w:rPr>
                <w:rFonts w:cs="Arial"/>
                <w:sz w:val="16"/>
                <w:szCs w:val="16"/>
              </w:rPr>
            </w:pPr>
            <w:r w:rsidRPr="00C258AD">
              <w:rPr>
                <w:sz w:val="16"/>
                <w:szCs w:val="16"/>
              </w:rPr>
              <w:t>Namibie/ 24 participants de : ARIPO, Botswana, Éthiopie, Ghana, Kenya, Lesotho, Madagascar, Malawi, Maurice, Mozambique, Namibie, Nigéria, OAPI, Ouganda, République</w:t>
            </w:r>
            <w:r w:rsidRPr="00C258AD">
              <w:rPr>
                <w:sz w:val="16"/>
                <w:szCs w:val="16"/>
              </w:rPr>
              <w:noBreakHyphen/>
              <w:t>Unie de Tanzanie, Rwanda, Seychelles, Swaziland, Gambie, Zambie et Zimbabwe</w:t>
            </w:r>
          </w:p>
        </w:tc>
        <w:tc>
          <w:tcPr>
            <w:tcW w:w="453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i) Présenter aux participants les notions fondamentales et les outils IPAS pour la gouvernance, la responsabilisation, la transparence et la supervision concernant les procédures opérationnelles;  et ii) améliorer la compréhension des fonctions et outils IPAS pour la production de rapports statistiques, la gouvernance et la responsabilisation aux fins des procédures administratives de traitement des demandes et enregistrements de droits de propriété intellectuelle.</w:t>
            </w:r>
          </w:p>
        </w:tc>
      </w:tr>
      <w:tr w:rsidR="00327D08" w:rsidRPr="00C258AD" w:rsidTr="00927E1F">
        <w:trPr>
          <w:cantSplit/>
        </w:trPr>
        <w:tc>
          <w:tcPr>
            <w:tcW w:w="1843"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Atelier de formation régional de l’OMPI sur la validation et l’échange de données de propriété intellectuelle.</w:t>
            </w:r>
          </w:p>
        </w:tc>
        <w:tc>
          <w:tcPr>
            <w:tcW w:w="1134" w:type="dxa"/>
          </w:tcPr>
          <w:p w:rsidR="00327D08" w:rsidRPr="00C258AD" w:rsidRDefault="00327D08" w:rsidP="00927E1F">
            <w:pPr>
              <w:rPr>
                <w:rFonts w:cs="Arial"/>
                <w:sz w:val="16"/>
                <w:szCs w:val="16"/>
              </w:rPr>
            </w:pPr>
            <w:r w:rsidRPr="00C258AD">
              <w:rPr>
                <w:rFonts w:cs="Arial"/>
                <w:sz w:val="16"/>
                <w:szCs w:val="16"/>
              </w:rPr>
              <w:t>19 – 23 octobre 2015</w:t>
            </w:r>
          </w:p>
        </w:tc>
        <w:tc>
          <w:tcPr>
            <w:tcW w:w="1985" w:type="dxa"/>
          </w:tcPr>
          <w:p w:rsidR="00327D08" w:rsidRPr="00C258AD" w:rsidRDefault="00327D08" w:rsidP="00927E1F">
            <w:pPr>
              <w:autoSpaceDE w:val="0"/>
              <w:autoSpaceDN w:val="0"/>
              <w:adjustRightInd w:val="0"/>
              <w:rPr>
                <w:rFonts w:cs="Arial"/>
                <w:sz w:val="16"/>
                <w:szCs w:val="16"/>
              </w:rPr>
            </w:pPr>
            <w:r w:rsidRPr="00C258AD">
              <w:rPr>
                <w:sz w:val="16"/>
                <w:szCs w:val="16"/>
              </w:rPr>
              <w:t>Zimbabwe/ 33 participants de : ARIPO, Botswana, Éthiopie, Ghana, Kenya, Lesotho, Madagascar, Malawi, Maurice, Mozambique, Namibie, OAPI</w:t>
            </w:r>
            <w:r w:rsidRPr="00C258AD">
              <w:t xml:space="preserve">, </w:t>
            </w:r>
            <w:r w:rsidRPr="00C258AD">
              <w:rPr>
                <w:sz w:val="16"/>
                <w:szCs w:val="16"/>
              </w:rPr>
              <w:t>Ouganda, République</w:t>
            </w:r>
            <w:r w:rsidRPr="00C258AD">
              <w:rPr>
                <w:sz w:val="16"/>
                <w:szCs w:val="16"/>
              </w:rPr>
              <w:noBreakHyphen/>
              <w:t>Unie de Tanzanie, Rwanda, Seychelles, Swaziland, Gambie, Zambie et Zimbabwe</w:t>
            </w:r>
          </w:p>
        </w:tc>
        <w:tc>
          <w:tcPr>
            <w:tcW w:w="4536"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i) Présenter aux participants les normes de l’OMPI relatives aux données de propriété intellectuelle et les pratiques recommandées;  ii) présenter le système IPAS et ses fonctions intégrées de validation et de vérification des données;  iii) présenter les fonctions et outils du système pour la supervision, la productivité et la gestion des processus;  et iv) montrer aux participants comment produire des rapports de contrôle de la qualité pour les vérifications aléatoires.</w:t>
            </w:r>
          </w:p>
        </w:tc>
      </w:tr>
    </w:tbl>
    <w:p w:rsidR="00327D08" w:rsidRPr="00C258AD" w:rsidRDefault="00327D08" w:rsidP="00327D08">
      <w:pPr>
        <w:rPr>
          <w:rFonts w:cs="Arial"/>
          <w:b/>
          <w:szCs w:val="16"/>
        </w:rPr>
      </w:pPr>
    </w:p>
    <w:p w:rsidR="00327D08" w:rsidRPr="00C258AD" w:rsidRDefault="00327D08" w:rsidP="00327D08">
      <w:pPr>
        <w:rPr>
          <w:rFonts w:cs="Arial"/>
          <w:b/>
          <w:szCs w:val="16"/>
        </w:rPr>
      </w:pPr>
    </w:p>
    <w:p w:rsidR="00327D08" w:rsidRPr="00C258AD" w:rsidRDefault="00327D08" w:rsidP="00327D08">
      <w:pPr>
        <w:rPr>
          <w:rFonts w:cs="Arial"/>
          <w:b/>
          <w:bCs/>
          <w:szCs w:val="20"/>
        </w:rPr>
      </w:pPr>
      <w:r w:rsidRPr="00C258AD">
        <w:rPr>
          <w:rFonts w:cs="Arial"/>
          <w:b/>
          <w:bCs/>
          <w:szCs w:val="20"/>
        </w:rPr>
        <w:t>JAPON/PROPRIÉTÉ INTELLECTUELLE/AFRIQUE – PAYS LES MOINS AVANCÉS – Contributions des donateurs et dépenses en 2015</w:t>
      </w:r>
    </w:p>
    <w:p w:rsidR="00327D08" w:rsidRPr="00C258AD" w:rsidRDefault="00327D08" w:rsidP="00327D08">
      <w:pPr>
        <w:rPr>
          <w:rFonts w:cs="Arial"/>
          <w:szCs w:val="16"/>
        </w:rPr>
      </w:pPr>
    </w:p>
    <w:tbl>
      <w:tblPr>
        <w:tblW w:w="5000" w:type="pct"/>
        <w:tblInd w:w="98" w:type="dxa"/>
        <w:tblCellMar>
          <w:top w:w="113" w:type="dxa"/>
          <w:left w:w="68" w:type="dxa"/>
          <w:bottom w:w="113" w:type="dxa"/>
          <w:right w:w="68" w:type="dxa"/>
        </w:tblCellMar>
        <w:tblLook w:val="04A0" w:firstRow="1" w:lastRow="0" w:firstColumn="1" w:lastColumn="0" w:noHBand="0" w:noVBand="1"/>
      </w:tblPr>
      <w:tblGrid>
        <w:gridCol w:w="2038"/>
        <w:gridCol w:w="1635"/>
        <w:gridCol w:w="1854"/>
        <w:gridCol w:w="1780"/>
        <w:gridCol w:w="2184"/>
      </w:tblGrid>
      <w:tr w:rsidR="00327D08" w:rsidRPr="00C258AD" w:rsidTr="00927E1F">
        <w:trPr>
          <w:cantSplit/>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2014</w:t>
            </w:r>
          </w:p>
        </w:tc>
        <w:tc>
          <w:tcPr>
            <w:tcW w:w="1640" w:type="dxa"/>
            <w:tcBorders>
              <w:top w:val="single" w:sz="8" w:space="0" w:color="auto"/>
              <w:left w:val="nil"/>
              <w:bottom w:val="nil"/>
              <w:right w:val="single" w:sz="8" w:space="0" w:color="auto"/>
            </w:tcBorders>
            <w:shd w:val="clear" w:color="000000" w:fill="C5D9F1"/>
            <w:vAlign w:val="center"/>
            <w:hideMark/>
          </w:tcPr>
          <w:p w:rsidR="00327D08" w:rsidRPr="00C258AD" w:rsidRDefault="00327D08" w:rsidP="00927E1F">
            <w:pPr>
              <w:jc w:val="center"/>
              <w:rPr>
                <w:rFonts w:cs="Arial"/>
                <w:b/>
                <w:bCs/>
                <w:sz w:val="16"/>
                <w:szCs w:val="16"/>
              </w:rPr>
            </w:pPr>
            <w:r w:rsidRPr="00C258AD">
              <w:rPr>
                <w:rFonts w:cs="Arial"/>
                <w:b/>
                <w:bCs/>
                <w:sz w:val="16"/>
                <w:szCs w:val="16"/>
              </w:rPr>
              <w:t>Recettes 2015</w:t>
            </w:r>
          </w:p>
        </w:tc>
        <w:tc>
          <w:tcPr>
            <w:tcW w:w="1860" w:type="dxa"/>
            <w:tcBorders>
              <w:top w:val="single" w:sz="8" w:space="0" w:color="auto"/>
              <w:left w:val="nil"/>
              <w:bottom w:val="nil"/>
              <w:right w:val="single" w:sz="8" w:space="0" w:color="auto"/>
            </w:tcBorders>
            <w:shd w:val="clear" w:color="000000" w:fill="C5D9F1"/>
            <w:vAlign w:val="center"/>
            <w:hideMark/>
          </w:tcPr>
          <w:p w:rsidR="00327D08" w:rsidRPr="00C258AD" w:rsidRDefault="00327D08" w:rsidP="00927E1F">
            <w:pPr>
              <w:jc w:val="center"/>
              <w:rPr>
                <w:rFonts w:cs="Arial"/>
                <w:b/>
                <w:bCs/>
                <w:sz w:val="16"/>
                <w:szCs w:val="16"/>
              </w:rPr>
            </w:pPr>
            <w:r w:rsidRPr="00C258AD">
              <w:rPr>
                <w:rFonts w:cs="Arial"/>
                <w:b/>
                <w:bCs/>
                <w:sz w:val="16"/>
                <w:szCs w:val="16"/>
              </w:rPr>
              <w:t>Dépenses 2015</w:t>
            </w:r>
          </w:p>
        </w:tc>
        <w:tc>
          <w:tcPr>
            <w:tcW w:w="1780" w:type="dxa"/>
            <w:tcBorders>
              <w:top w:val="single" w:sz="8" w:space="0" w:color="auto"/>
              <w:left w:val="nil"/>
              <w:bottom w:val="nil"/>
              <w:right w:val="single" w:sz="8" w:space="0" w:color="auto"/>
            </w:tcBorders>
            <w:shd w:val="clear" w:color="000000" w:fill="C5D9F1"/>
            <w:vAlign w:val="center"/>
            <w:hideMark/>
          </w:tcPr>
          <w:p w:rsidR="00327D08" w:rsidRPr="00C258AD" w:rsidRDefault="00327D08" w:rsidP="00927E1F">
            <w:pPr>
              <w:jc w:val="center"/>
              <w:rPr>
                <w:rFonts w:cs="Arial"/>
                <w:b/>
                <w:bCs/>
                <w:sz w:val="16"/>
                <w:szCs w:val="16"/>
              </w:rPr>
            </w:pPr>
            <w:r w:rsidRPr="00C258AD">
              <w:rPr>
                <w:rFonts w:cs="Arial"/>
                <w:b/>
                <w:bCs/>
                <w:sz w:val="16"/>
                <w:szCs w:val="16"/>
              </w:rPr>
              <w:t>Remboursements</w:t>
            </w:r>
          </w:p>
        </w:tc>
        <w:tc>
          <w:tcPr>
            <w:tcW w:w="2188" w:type="dxa"/>
            <w:tcBorders>
              <w:top w:val="single" w:sz="8" w:space="0" w:color="auto"/>
              <w:left w:val="nil"/>
              <w:bottom w:val="nil"/>
              <w:right w:val="single" w:sz="8" w:space="0" w:color="auto"/>
            </w:tcBorders>
            <w:shd w:val="clear" w:color="000000" w:fill="C5D9F1"/>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2015</w:t>
            </w:r>
          </w:p>
        </w:tc>
      </w:tr>
      <w:tr w:rsidR="00327D08" w:rsidRPr="00C258AD" w:rsidTr="00927E1F">
        <w:trPr>
          <w:cantSplit/>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1 435 090</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1 602 617</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1 386 067</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27D08" w:rsidRPr="00C258AD" w:rsidRDefault="00327D08" w:rsidP="00927E1F">
            <w:pPr>
              <w:jc w:val="center"/>
              <w:rPr>
                <w:rFonts w:cs="Arial"/>
                <w:sz w:val="16"/>
                <w:szCs w:val="16"/>
              </w:rPr>
            </w:pPr>
            <w:r w:rsidRPr="00C258AD">
              <w:rPr>
                <w:rFonts w:cs="Arial"/>
                <w:sz w:val="16"/>
                <w:szCs w:val="16"/>
              </w:rPr>
              <w:noBreakHyphen/>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1 651 640</w:t>
            </w:r>
          </w:p>
        </w:tc>
      </w:tr>
    </w:tbl>
    <w:p w:rsidR="00327D08" w:rsidRPr="00C258AD" w:rsidRDefault="00327D08" w:rsidP="00327D08">
      <w:pPr>
        <w:rPr>
          <w:rFonts w:cs="Arial"/>
          <w:b/>
          <w:szCs w:val="20"/>
        </w:rPr>
      </w:pPr>
    </w:p>
    <w:p w:rsidR="00327D08" w:rsidRPr="00C258AD" w:rsidRDefault="00327D08" w:rsidP="00327D08">
      <w:pPr>
        <w:rPr>
          <w:rFonts w:cs="Arial"/>
          <w:b/>
          <w:szCs w:val="20"/>
        </w:rPr>
      </w:pPr>
    </w:p>
    <w:p w:rsidR="00327D08" w:rsidRPr="00C258AD" w:rsidRDefault="00327D08" w:rsidP="00327D08">
      <w:pPr>
        <w:keepNext/>
        <w:keepLines/>
        <w:rPr>
          <w:rFonts w:cs="Arial"/>
          <w:b/>
          <w:szCs w:val="20"/>
        </w:rPr>
      </w:pPr>
      <w:r w:rsidRPr="00C258AD">
        <w:rPr>
          <w:rFonts w:cs="Arial"/>
          <w:b/>
          <w:szCs w:val="20"/>
        </w:rPr>
        <w:lastRenderedPageBreak/>
        <w:t>RÉPUBLIQUE DE CORÉE/PROMOTION DU RESPECT DE LA PROPRIÉTÉ INTELLECTUELLE</w:t>
      </w:r>
    </w:p>
    <w:p w:rsidR="00327D08" w:rsidRPr="00C258AD" w:rsidRDefault="00327D08" w:rsidP="00327D08">
      <w:pPr>
        <w:keepNext/>
        <w:keepLines/>
        <w:rPr>
          <w:rFonts w:cs="Arial"/>
          <w:b/>
          <w:szCs w:val="16"/>
        </w:rPr>
      </w:pPr>
    </w:p>
    <w:tbl>
      <w:tblPr>
        <w:tblW w:w="5000" w:type="pct"/>
        <w:tblInd w:w="78" w:type="dxa"/>
        <w:tblBorders>
          <w:top w:val="single" w:sz="4" w:space="0" w:color="000000"/>
          <w:left w:val="single" w:sz="4" w:space="0" w:color="000000"/>
          <w:bottom w:val="single" w:sz="4" w:space="0" w:color="000000"/>
          <w:right w:val="single" w:sz="4" w:space="0" w:color="000000"/>
        </w:tblBorders>
        <w:tblCellMar>
          <w:top w:w="113" w:type="dxa"/>
          <w:left w:w="68" w:type="dxa"/>
          <w:bottom w:w="113" w:type="dxa"/>
          <w:right w:w="68" w:type="dxa"/>
        </w:tblCellMar>
        <w:tblLook w:val="0000" w:firstRow="0" w:lastRow="0" w:firstColumn="0" w:lastColumn="0" w:noHBand="0" w:noVBand="0"/>
      </w:tblPr>
      <w:tblGrid>
        <w:gridCol w:w="1808"/>
        <w:gridCol w:w="1515"/>
        <w:gridCol w:w="1767"/>
        <w:gridCol w:w="4401"/>
      </w:tblGrid>
      <w:tr w:rsidR="00327D08" w:rsidRPr="00C258AD" w:rsidTr="00927E1F">
        <w:trPr>
          <w:cantSplit/>
        </w:trPr>
        <w:tc>
          <w:tcPr>
            <w:tcW w:w="9528" w:type="dxa"/>
            <w:gridSpan w:val="4"/>
            <w:tcBorders>
              <w:top w:val="single" w:sz="4" w:space="0" w:color="000000"/>
              <w:bottom w:val="single" w:sz="4" w:space="0" w:color="000000"/>
            </w:tcBorders>
            <w:shd w:val="clear" w:color="auto" w:fill="C6D9F1" w:themeFill="text2" w:themeFillTint="33"/>
            <w:vAlign w:val="center"/>
          </w:tcPr>
          <w:p w:rsidR="00327D08" w:rsidRPr="00C258AD" w:rsidRDefault="00327D08" w:rsidP="00927E1F">
            <w:pPr>
              <w:keepNext/>
              <w:keepLines/>
              <w:ind w:left="1701" w:hanging="1701"/>
              <w:rPr>
                <w:rFonts w:cs="Arial"/>
                <w:bCs/>
                <w:sz w:val="16"/>
                <w:szCs w:val="16"/>
              </w:rPr>
            </w:pPr>
            <w:r w:rsidRPr="00C258AD">
              <w:rPr>
                <w:rFonts w:cs="Arial"/>
                <w:b/>
                <w:bCs/>
                <w:sz w:val="16"/>
                <w:szCs w:val="16"/>
              </w:rPr>
              <w:t>RÉSULTAT :</w:t>
            </w:r>
            <w:r w:rsidRPr="00C258AD">
              <w:rPr>
                <w:rFonts w:cs="Arial"/>
                <w:bCs/>
                <w:sz w:val="16"/>
                <w:szCs w:val="16"/>
              </w:rPr>
              <w:t xml:space="preserve"> </w:t>
            </w:r>
            <w:r w:rsidRPr="00C258AD">
              <w:rPr>
                <w:rFonts w:cs="Arial"/>
                <w:bCs/>
                <w:sz w:val="16"/>
                <w:szCs w:val="16"/>
              </w:rPr>
              <w:tab/>
              <w:t>III.2  Mise en valeur des ressources humaines pour répondre aux diverses exigences en matière d’utilisation efficace de la propriété intellectuelle au service du développement dans les pays en développement, les PMA et les pays en transition</w:t>
            </w:r>
          </w:p>
        </w:tc>
      </w:tr>
      <w:tr w:rsidR="00327D08" w:rsidRPr="00C258AD" w:rsidTr="00927E1F">
        <w:trPr>
          <w:cantSplit/>
        </w:trPr>
        <w:tc>
          <w:tcPr>
            <w:tcW w:w="1873" w:type="dxa"/>
            <w:tcBorders>
              <w:top w:val="single" w:sz="4" w:space="0" w:color="000000"/>
              <w:bottom w:val="nil"/>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134" w:type="dxa"/>
            <w:tcBorders>
              <w:top w:val="single" w:sz="4" w:space="0" w:color="000000"/>
              <w:bottom w:val="nil"/>
            </w:tcBorders>
            <w:shd w:val="clear" w:color="auto" w:fill="auto"/>
            <w:tcMar>
              <w:top w:w="110" w:type="dxa"/>
            </w:tcMar>
            <w:vAlign w:val="center"/>
          </w:tcPr>
          <w:p w:rsidR="00327D08" w:rsidRPr="00C258AD" w:rsidRDefault="00327D08" w:rsidP="00927E1F">
            <w:pPr>
              <w:keepNext/>
              <w:keepLines/>
              <w:rPr>
                <w:rFonts w:cs="Arial"/>
                <w:b/>
                <w:bCs/>
                <w:sz w:val="16"/>
                <w:szCs w:val="16"/>
              </w:rPr>
            </w:pPr>
            <w:r w:rsidRPr="00C258AD">
              <w:rPr>
                <w:rFonts w:cs="Arial"/>
                <w:b/>
                <w:bCs/>
                <w:sz w:val="16"/>
                <w:szCs w:val="16"/>
              </w:rPr>
              <w:t>Date</w:t>
            </w:r>
          </w:p>
        </w:tc>
        <w:tc>
          <w:tcPr>
            <w:tcW w:w="1843" w:type="dxa"/>
            <w:tcBorders>
              <w:top w:val="single" w:sz="4" w:space="0" w:color="000000"/>
              <w:bottom w:val="nil"/>
            </w:tcBorders>
            <w:shd w:val="clear" w:color="auto" w:fill="auto"/>
            <w:tcMar>
              <w:top w:w="110" w:type="dxa"/>
            </w:tcMar>
            <w:vAlign w:val="center"/>
          </w:tcPr>
          <w:p w:rsidR="00327D08" w:rsidRPr="00C258AD" w:rsidRDefault="00327D08" w:rsidP="00927E1F">
            <w:pPr>
              <w:keepNext/>
              <w:keepLines/>
              <w:rPr>
                <w:rFonts w:cs="Arial"/>
                <w:sz w:val="16"/>
                <w:szCs w:val="16"/>
              </w:rPr>
            </w:pPr>
            <w:r w:rsidRPr="00C258AD">
              <w:rPr>
                <w:b/>
                <w:sz w:val="16"/>
              </w:rPr>
              <w:t>Pays hôte/</w:t>
            </w:r>
            <w:r w:rsidRPr="00C258AD">
              <w:br/>
            </w:r>
            <w:r w:rsidRPr="00C258AD">
              <w:rPr>
                <w:b/>
                <w:sz w:val="16"/>
              </w:rPr>
              <w:t>bénéficiaires</w:t>
            </w:r>
          </w:p>
        </w:tc>
        <w:tc>
          <w:tcPr>
            <w:tcW w:w="4678" w:type="dxa"/>
            <w:tcBorders>
              <w:top w:val="single" w:sz="4" w:space="0" w:color="000000"/>
              <w:bottom w:val="nil"/>
            </w:tcBorders>
            <w:shd w:val="clear" w:color="auto" w:fill="FFFFFF"/>
            <w:tcMar>
              <w:top w:w="110" w:type="dxa"/>
            </w:tcMar>
            <w:vAlign w:val="center"/>
          </w:tcPr>
          <w:p w:rsidR="00327D08" w:rsidRPr="00C258AD" w:rsidRDefault="00327D08" w:rsidP="00927E1F">
            <w:pPr>
              <w:keepNext/>
              <w:keepLines/>
              <w:rPr>
                <w:rFonts w:cs="Arial"/>
                <w:sz w:val="16"/>
                <w:szCs w:val="16"/>
              </w:rPr>
            </w:pPr>
            <w:r w:rsidRPr="00C258AD">
              <w:rPr>
                <w:b/>
                <w:sz w:val="16"/>
              </w:rPr>
              <w:t>Objectif(s)/description(s)</w:t>
            </w:r>
          </w:p>
        </w:tc>
      </w:tr>
      <w:tr w:rsidR="00327D08" w:rsidRPr="00C258AD" w:rsidTr="00927E1F">
        <w:trPr>
          <w:cantSplit/>
        </w:trPr>
        <w:tc>
          <w:tcPr>
            <w:tcW w:w="1873" w:type="dxa"/>
            <w:tcBorders>
              <w:top w:val="nil"/>
              <w:bottom w:val="nil"/>
            </w:tcBorders>
          </w:tcPr>
          <w:p w:rsidR="00327D08" w:rsidRPr="00C258AD" w:rsidRDefault="00327D08" w:rsidP="00927E1F">
            <w:pPr>
              <w:rPr>
                <w:rFonts w:cs="Arial"/>
                <w:bCs/>
                <w:sz w:val="16"/>
                <w:szCs w:val="16"/>
              </w:rPr>
            </w:pPr>
            <w:r w:rsidRPr="00C258AD">
              <w:rPr>
                <w:rFonts w:cs="Arial"/>
                <w:bCs/>
                <w:sz w:val="16"/>
                <w:szCs w:val="16"/>
              </w:rPr>
              <w:t>Atelier interrégional sur l’application du droit d’auteur</w:t>
            </w:r>
          </w:p>
        </w:tc>
        <w:tc>
          <w:tcPr>
            <w:tcW w:w="1134" w:type="dxa"/>
            <w:tcBorders>
              <w:top w:val="nil"/>
              <w:bottom w:val="nil"/>
            </w:tcBorders>
            <w:shd w:val="clear" w:color="auto" w:fill="auto"/>
            <w:tcMar>
              <w:top w:w="110" w:type="dxa"/>
            </w:tcMar>
          </w:tcPr>
          <w:p w:rsidR="00327D08" w:rsidRPr="00C258AD" w:rsidRDefault="00327D08" w:rsidP="00927E1F">
            <w:pPr>
              <w:rPr>
                <w:rFonts w:cs="Arial"/>
                <w:bCs/>
                <w:sz w:val="16"/>
                <w:szCs w:val="16"/>
              </w:rPr>
            </w:pPr>
            <w:r w:rsidRPr="00C258AD">
              <w:rPr>
                <w:rFonts w:cs="Arial"/>
                <w:bCs/>
                <w:sz w:val="16"/>
                <w:szCs w:val="16"/>
              </w:rPr>
              <w:t>14 – 18 septembre 2015</w:t>
            </w:r>
          </w:p>
        </w:tc>
        <w:tc>
          <w:tcPr>
            <w:tcW w:w="1843" w:type="dxa"/>
            <w:tcBorders>
              <w:top w:val="nil"/>
              <w:bottom w:val="nil"/>
            </w:tcBorders>
            <w:shd w:val="clear" w:color="auto" w:fill="auto"/>
            <w:tcMar>
              <w:top w:w="110" w:type="dxa"/>
            </w:tcMar>
          </w:tcPr>
          <w:p w:rsidR="00327D08" w:rsidRPr="00C258AD" w:rsidRDefault="00327D08" w:rsidP="00927E1F">
            <w:pPr>
              <w:rPr>
                <w:rFonts w:cs="Arial"/>
                <w:bCs/>
                <w:sz w:val="16"/>
                <w:szCs w:val="16"/>
              </w:rPr>
            </w:pPr>
            <w:r w:rsidRPr="00C258AD">
              <w:rPr>
                <w:rFonts w:cs="Arial"/>
                <w:bCs/>
                <w:sz w:val="16"/>
                <w:szCs w:val="16"/>
              </w:rPr>
              <w:t>République de Corée/ 20 participants étrangers provenant de 10 pays</w:t>
            </w:r>
          </w:p>
        </w:tc>
        <w:tc>
          <w:tcPr>
            <w:tcW w:w="4678" w:type="dxa"/>
            <w:tcBorders>
              <w:top w:val="nil"/>
              <w:bottom w:val="nil"/>
            </w:tcBorders>
            <w:shd w:val="clear" w:color="auto" w:fill="FFFFFF"/>
            <w:tcMar>
              <w:top w:w="110" w:type="dxa"/>
            </w:tcMar>
          </w:tcPr>
          <w:p w:rsidR="00327D08" w:rsidRPr="00C258AD" w:rsidRDefault="00327D08" w:rsidP="00927E1F">
            <w:pPr>
              <w:rPr>
                <w:rFonts w:cs="Arial"/>
                <w:bCs/>
                <w:sz w:val="16"/>
                <w:szCs w:val="16"/>
              </w:rPr>
            </w:pPr>
            <w:r w:rsidRPr="00C258AD">
              <w:rPr>
                <w:rFonts w:cs="Arial"/>
                <w:bCs/>
                <w:sz w:val="16"/>
                <w:szCs w:val="16"/>
              </w:rPr>
              <w:t xml:space="preserve">Dans le cadre de l’objectif stratégique VI de l’OMPI : i) examiner l’intérêt de la protection et de l’application du droit d’auteur et des droits connexes pour le développement social, économique et culturel des pays participants;  ii) dispenser une formation de base sur les mesures d’application et de réparation en matière de droit d’auteur, l’accent étant placé en particulier sur l’environnement numérique;  iii) examiner des questions d’actualité dans le domaine de la promotion du respect du droit d’auteur;  et iv) envisager des stratégies nationales et transnationales de coopération efficace pour la promotion du respect de la propriété intellectuelle.  </w:t>
            </w:r>
          </w:p>
        </w:tc>
      </w:tr>
      <w:tr w:rsidR="00327D08" w:rsidRPr="00C258AD" w:rsidTr="00927E1F">
        <w:trPr>
          <w:cantSplit/>
        </w:trPr>
        <w:tc>
          <w:tcPr>
            <w:tcW w:w="1873" w:type="dxa"/>
            <w:tcBorders>
              <w:top w:val="nil"/>
            </w:tcBorders>
          </w:tcPr>
          <w:p w:rsidR="00327D08" w:rsidRPr="00C258AD" w:rsidRDefault="00327D08" w:rsidP="00927E1F">
            <w:pPr>
              <w:rPr>
                <w:rFonts w:eastAsia="Batang" w:cs="Arial"/>
                <w:sz w:val="16"/>
                <w:szCs w:val="16"/>
                <w:lang w:eastAsia="ko-KR"/>
              </w:rPr>
            </w:pPr>
            <w:r w:rsidRPr="00C258AD">
              <w:rPr>
                <w:rFonts w:eastAsia="Batang" w:cs="Arial"/>
                <w:sz w:val="16"/>
                <w:szCs w:val="16"/>
                <w:lang w:eastAsia="ko-KR"/>
              </w:rPr>
              <w:t>Matériel didactique OMPI</w:t>
            </w:r>
            <w:r w:rsidRPr="00C258AD">
              <w:rPr>
                <w:rFonts w:eastAsia="Batang" w:cs="Arial"/>
                <w:sz w:val="16"/>
                <w:szCs w:val="16"/>
                <w:lang w:eastAsia="ko-KR"/>
              </w:rPr>
              <w:noBreakHyphen/>
              <w:t xml:space="preserve">Ministère de la culture, des sports et du tourisme (MCST) </w:t>
            </w:r>
            <w:r w:rsidRPr="00C258AD">
              <w:rPr>
                <w:rFonts w:cs="Arial"/>
                <w:sz w:val="16"/>
                <w:szCs w:val="16"/>
                <w:lang w:eastAsia="ko-KR"/>
              </w:rPr>
              <w:t>sur le respect du droit d’auteur</w:t>
            </w:r>
          </w:p>
        </w:tc>
        <w:tc>
          <w:tcPr>
            <w:tcW w:w="1134" w:type="dxa"/>
            <w:tcBorders>
              <w:top w:val="nil"/>
            </w:tcBorders>
            <w:shd w:val="clear" w:color="auto" w:fill="auto"/>
            <w:tcMar>
              <w:top w:w="110" w:type="dxa"/>
            </w:tcMar>
          </w:tcPr>
          <w:p w:rsidR="00327D08" w:rsidRPr="00C258AD" w:rsidRDefault="00327D08" w:rsidP="00927E1F">
            <w:pPr>
              <w:rPr>
                <w:rFonts w:cs="Arial"/>
                <w:bCs/>
                <w:sz w:val="16"/>
                <w:szCs w:val="16"/>
              </w:rPr>
            </w:pPr>
            <w:r w:rsidRPr="00C258AD">
              <w:rPr>
                <w:rFonts w:cs="Arial"/>
                <w:bCs/>
                <w:sz w:val="16"/>
                <w:szCs w:val="16"/>
              </w:rPr>
              <w:t>janvier à octobre 2015</w:t>
            </w:r>
          </w:p>
        </w:tc>
        <w:tc>
          <w:tcPr>
            <w:tcW w:w="1843" w:type="dxa"/>
            <w:tcBorders>
              <w:top w:val="nil"/>
            </w:tcBorders>
            <w:shd w:val="clear" w:color="auto" w:fill="auto"/>
            <w:tcMar>
              <w:top w:w="110" w:type="dxa"/>
            </w:tcMar>
          </w:tcPr>
          <w:p w:rsidR="00327D08" w:rsidRPr="00C258AD" w:rsidRDefault="00327D08" w:rsidP="00927E1F">
            <w:pPr>
              <w:rPr>
                <w:rFonts w:cs="Arial"/>
                <w:bCs/>
                <w:kern w:val="36"/>
                <w:sz w:val="16"/>
                <w:szCs w:val="16"/>
                <w:lang w:eastAsia="ko-KR"/>
              </w:rPr>
            </w:pPr>
            <w:r w:rsidRPr="00C258AD">
              <w:rPr>
                <w:rFonts w:cs="Arial"/>
                <w:bCs/>
                <w:kern w:val="36"/>
                <w:sz w:val="16"/>
                <w:szCs w:val="16"/>
                <w:lang w:eastAsia="ko-KR"/>
              </w:rPr>
              <w:t>Tous les États membres de l’OMPI</w:t>
            </w:r>
          </w:p>
        </w:tc>
        <w:tc>
          <w:tcPr>
            <w:tcW w:w="4678" w:type="dxa"/>
            <w:tcBorders>
              <w:top w:val="nil"/>
            </w:tcBorders>
            <w:shd w:val="clear" w:color="auto" w:fill="FFFFFF"/>
            <w:tcMar>
              <w:top w:w="110" w:type="dxa"/>
            </w:tcMar>
          </w:tcPr>
          <w:p w:rsidR="00327D08" w:rsidRPr="00C258AD" w:rsidRDefault="00327D08" w:rsidP="00927E1F">
            <w:pPr>
              <w:rPr>
                <w:rFonts w:cs="Arial"/>
                <w:sz w:val="16"/>
                <w:szCs w:val="16"/>
                <w:lang w:eastAsia="ko-KR"/>
              </w:rPr>
            </w:pPr>
            <w:r w:rsidRPr="00C258AD">
              <w:rPr>
                <w:rFonts w:cs="Arial"/>
                <w:sz w:val="16"/>
                <w:szCs w:val="16"/>
                <w:lang w:eastAsia="ko-KR"/>
              </w:rPr>
              <w:t>Élaboration de matériel didactique pour aider les professeurs à enseigner le droit d’auteur, avec cinq parties destinées aux élèves âgés de 10 à 15 ans.</w:t>
            </w:r>
          </w:p>
        </w:tc>
      </w:tr>
    </w:tbl>
    <w:p w:rsidR="00327D08" w:rsidRPr="00C258AD" w:rsidRDefault="00327D08" w:rsidP="00327D08">
      <w:pPr>
        <w:rPr>
          <w:rFonts w:cs="Arial"/>
          <w:szCs w:val="16"/>
        </w:rPr>
      </w:pPr>
    </w:p>
    <w:p w:rsidR="00327D08" w:rsidRPr="00C258AD" w:rsidRDefault="00327D08" w:rsidP="00327D08">
      <w:pPr>
        <w:rPr>
          <w:rFonts w:cs="Arial"/>
          <w:szCs w:val="16"/>
        </w:rPr>
      </w:pPr>
    </w:p>
    <w:p w:rsidR="00327D08" w:rsidRPr="00C258AD" w:rsidRDefault="00327D08" w:rsidP="00327D08">
      <w:pPr>
        <w:keepNext/>
        <w:keepLines/>
        <w:rPr>
          <w:rFonts w:cs="Arial"/>
          <w:b/>
          <w:bCs/>
          <w:szCs w:val="20"/>
        </w:rPr>
      </w:pPr>
      <w:r w:rsidRPr="00C258AD">
        <w:rPr>
          <w:rFonts w:cs="Arial"/>
          <w:b/>
          <w:szCs w:val="20"/>
        </w:rPr>
        <w:t xml:space="preserve">RÉPUBLIQUE DE CORÉE/PROMOTION DU RESPECT DE LA PROPRIÉTÉ INTELLECTUELLE </w:t>
      </w:r>
      <w:r w:rsidRPr="00C258AD">
        <w:rPr>
          <w:rFonts w:cs="Arial"/>
          <w:b/>
          <w:bCs/>
          <w:szCs w:val="20"/>
        </w:rPr>
        <w:t>– Contributions des donateurs et dépenses en 2015</w:t>
      </w:r>
    </w:p>
    <w:p w:rsidR="00327D08" w:rsidRPr="00C258AD" w:rsidRDefault="00327D08" w:rsidP="00327D08">
      <w:pPr>
        <w:rPr>
          <w:rFonts w:cs="Arial"/>
          <w:b/>
          <w:bCs/>
          <w:szCs w:val="20"/>
        </w:rPr>
      </w:pPr>
    </w:p>
    <w:tbl>
      <w:tblPr>
        <w:tblW w:w="5000" w:type="pct"/>
        <w:tblInd w:w="98" w:type="dxa"/>
        <w:tblCellMar>
          <w:top w:w="113" w:type="dxa"/>
          <w:left w:w="68" w:type="dxa"/>
          <w:bottom w:w="113" w:type="dxa"/>
          <w:right w:w="68" w:type="dxa"/>
        </w:tblCellMar>
        <w:tblLook w:val="04A0" w:firstRow="1" w:lastRow="0" w:firstColumn="1" w:lastColumn="0" w:noHBand="0" w:noVBand="1"/>
      </w:tblPr>
      <w:tblGrid>
        <w:gridCol w:w="2037"/>
        <w:gridCol w:w="1635"/>
        <w:gridCol w:w="1855"/>
        <w:gridCol w:w="1780"/>
        <w:gridCol w:w="2184"/>
      </w:tblGrid>
      <w:tr w:rsidR="00327D08" w:rsidRPr="00C258AD" w:rsidTr="00927E1F">
        <w:trPr>
          <w:cantSplit/>
        </w:trPr>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2014</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Recettes 2015</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Dépenses 2015</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Remboursements</w:t>
            </w:r>
          </w:p>
        </w:tc>
        <w:tc>
          <w:tcPr>
            <w:tcW w:w="2188" w:type="dxa"/>
            <w:tcBorders>
              <w:top w:val="single" w:sz="8" w:space="0" w:color="auto"/>
              <w:left w:val="nil"/>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2015</w:t>
            </w:r>
          </w:p>
        </w:tc>
      </w:tr>
      <w:tr w:rsidR="00327D08" w:rsidRPr="00C258AD" w:rsidTr="00927E1F">
        <w:trPr>
          <w:cantSplit/>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42 310</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122 960</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114 795</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27D08" w:rsidRPr="00C258AD" w:rsidRDefault="00327D08" w:rsidP="00927E1F">
            <w:pPr>
              <w:jc w:val="center"/>
              <w:rPr>
                <w:rFonts w:cs="Arial"/>
                <w:sz w:val="16"/>
                <w:szCs w:val="16"/>
              </w:rPr>
            </w:pPr>
            <w:r w:rsidRPr="00C258AD">
              <w:rPr>
                <w:rFonts w:cs="Arial"/>
                <w:sz w:val="16"/>
                <w:szCs w:val="16"/>
              </w:rPr>
              <w:noBreakHyphen/>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50 475</w:t>
            </w:r>
          </w:p>
        </w:tc>
      </w:tr>
    </w:tbl>
    <w:p w:rsidR="00327D08" w:rsidRPr="00C258AD" w:rsidRDefault="00327D08" w:rsidP="00327D08">
      <w:pPr>
        <w:keepNext/>
        <w:keepLines/>
        <w:rPr>
          <w:rFonts w:cs="Arial"/>
          <w:b/>
          <w:szCs w:val="16"/>
        </w:rPr>
      </w:pPr>
    </w:p>
    <w:p w:rsidR="00327D08" w:rsidRPr="00C258AD" w:rsidRDefault="00327D08" w:rsidP="00327D08">
      <w:pPr>
        <w:rPr>
          <w:sz w:val="24"/>
        </w:rPr>
      </w:pPr>
    </w:p>
    <w:p w:rsidR="00327D08" w:rsidRPr="00C258AD" w:rsidRDefault="00327D08" w:rsidP="00327D08">
      <w:pPr>
        <w:keepNext/>
        <w:keepLines/>
        <w:rPr>
          <w:rFonts w:cs="Arial"/>
          <w:b/>
          <w:szCs w:val="20"/>
        </w:rPr>
      </w:pPr>
      <w:r w:rsidRPr="00C258AD">
        <w:rPr>
          <w:rFonts w:cs="Arial"/>
          <w:b/>
          <w:szCs w:val="20"/>
        </w:rPr>
        <w:t>RÉPUBLIQUE DE CORÉE/DROIT D’AUTEUR</w:t>
      </w:r>
    </w:p>
    <w:p w:rsidR="00327D08" w:rsidRPr="00C258AD" w:rsidRDefault="00327D08" w:rsidP="00327D08">
      <w:pPr>
        <w:keepNext/>
        <w:keepLines/>
        <w:rPr>
          <w:rFonts w:cs="Arial"/>
          <w:b/>
          <w:szCs w:val="16"/>
        </w:rPr>
      </w:pPr>
    </w:p>
    <w:tbl>
      <w:tblPr>
        <w:tblW w:w="5000" w:type="pct"/>
        <w:tblInd w:w="78" w:type="dxa"/>
        <w:tblBorders>
          <w:top w:val="single" w:sz="4" w:space="0" w:color="000000"/>
          <w:left w:val="single" w:sz="4" w:space="0" w:color="000000"/>
          <w:bottom w:val="single" w:sz="4" w:space="0" w:color="000000"/>
          <w:right w:val="single" w:sz="4" w:space="0" w:color="000000"/>
        </w:tblBorders>
        <w:tblCellMar>
          <w:top w:w="113" w:type="dxa"/>
          <w:left w:w="68" w:type="dxa"/>
          <w:bottom w:w="113" w:type="dxa"/>
          <w:right w:w="68" w:type="dxa"/>
        </w:tblCellMar>
        <w:tblLook w:val="0000" w:firstRow="0" w:lastRow="0" w:firstColumn="0" w:lastColumn="0" w:noHBand="0" w:noVBand="0"/>
      </w:tblPr>
      <w:tblGrid>
        <w:gridCol w:w="1331"/>
        <w:gridCol w:w="1515"/>
        <w:gridCol w:w="1630"/>
        <w:gridCol w:w="5015"/>
      </w:tblGrid>
      <w:tr w:rsidR="00327D08" w:rsidRPr="00C258AD" w:rsidTr="00327D08">
        <w:trPr>
          <w:cantSplit/>
        </w:trPr>
        <w:tc>
          <w:tcPr>
            <w:tcW w:w="9491" w:type="dxa"/>
            <w:gridSpan w:val="4"/>
            <w:tcBorders>
              <w:top w:val="single" w:sz="4" w:space="0" w:color="000000"/>
              <w:bottom w:val="single" w:sz="4" w:space="0" w:color="000000"/>
            </w:tcBorders>
            <w:shd w:val="clear" w:color="auto" w:fill="C6D9F1" w:themeFill="text2" w:themeFillTint="33"/>
            <w:vAlign w:val="center"/>
          </w:tcPr>
          <w:p w:rsidR="00327D08" w:rsidRPr="00C258AD" w:rsidRDefault="00327D08" w:rsidP="00327D08">
            <w:pPr>
              <w:keepLines/>
              <w:ind w:left="1701" w:hanging="1701"/>
              <w:rPr>
                <w:rFonts w:cs="Arial"/>
                <w:bCs/>
                <w:sz w:val="16"/>
                <w:szCs w:val="16"/>
              </w:rPr>
            </w:pPr>
            <w:r w:rsidRPr="00C258AD">
              <w:rPr>
                <w:rFonts w:cs="Arial"/>
                <w:b/>
                <w:bCs/>
                <w:sz w:val="16"/>
                <w:szCs w:val="16"/>
              </w:rPr>
              <w:t>RÉSULTAT :</w:t>
            </w:r>
            <w:r w:rsidRPr="00C258AD">
              <w:rPr>
                <w:rFonts w:cs="Arial"/>
                <w:bCs/>
                <w:sz w:val="16"/>
                <w:szCs w:val="16"/>
              </w:rPr>
              <w:t xml:space="preserve"> </w:t>
            </w:r>
            <w:r w:rsidRPr="00C258AD">
              <w:rPr>
                <w:rFonts w:cs="Arial"/>
                <w:bCs/>
                <w:sz w:val="16"/>
                <w:szCs w:val="16"/>
              </w:rPr>
              <w:tab/>
              <w:t>III.2 Mise en valeur des ressources humaines pour répondre aux diverses exigences en matière d’utilisation efficace de la propriété intellectuelle au service du développement dans les pays en développement, les PMA et les pays en transition</w:t>
            </w:r>
          </w:p>
        </w:tc>
      </w:tr>
      <w:tr w:rsidR="00327D08" w:rsidRPr="00C258AD" w:rsidTr="00327D08">
        <w:trPr>
          <w:cantSplit/>
        </w:trPr>
        <w:tc>
          <w:tcPr>
            <w:tcW w:w="1331" w:type="dxa"/>
            <w:tcBorders>
              <w:top w:val="single" w:sz="4" w:space="0" w:color="000000"/>
            </w:tcBorders>
            <w:vAlign w:val="center"/>
          </w:tcPr>
          <w:p w:rsidR="00327D08" w:rsidRPr="00C258AD" w:rsidRDefault="00327D08" w:rsidP="00327D08">
            <w:pPr>
              <w:keepLines/>
              <w:rPr>
                <w:rFonts w:cs="Arial"/>
                <w:b/>
                <w:bCs/>
                <w:sz w:val="16"/>
                <w:szCs w:val="16"/>
              </w:rPr>
            </w:pPr>
            <w:r w:rsidRPr="00C258AD">
              <w:rPr>
                <w:b/>
                <w:sz w:val="16"/>
              </w:rPr>
              <w:t>Activité</w:t>
            </w:r>
          </w:p>
        </w:tc>
        <w:tc>
          <w:tcPr>
            <w:tcW w:w="1515" w:type="dxa"/>
            <w:tcBorders>
              <w:top w:val="single" w:sz="4" w:space="0" w:color="000000"/>
            </w:tcBorders>
            <w:shd w:val="clear" w:color="auto" w:fill="auto"/>
            <w:tcMar>
              <w:top w:w="110" w:type="dxa"/>
            </w:tcMar>
            <w:vAlign w:val="center"/>
          </w:tcPr>
          <w:p w:rsidR="00327D08" w:rsidRPr="00C258AD" w:rsidRDefault="00327D08" w:rsidP="00327D08">
            <w:pPr>
              <w:keepLines/>
              <w:rPr>
                <w:rFonts w:cs="Arial"/>
                <w:b/>
                <w:bCs/>
                <w:sz w:val="16"/>
                <w:szCs w:val="16"/>
              </w:rPr>
            </w:pPr>
            <w:r w:rsidRPr="00C258AD">
              <w:rPr>
                <w:rFonts w:cs="Arial"/>
                <w:b/>
                <w:bCs/>
                <w:sz w:val="16"/>
                <w:szCs w:val="16"/>
              </w:rPr>
              <w:t>Date</w:t>
            </w:r>
          </w:p>
        </w:tc>
        <w:tc>
          <w:tcPr>
            <w:tcW w:w="1630" w:type="dxa"/>
            <w:tcBorders>
              <w:top w:val="single" w:sz="4" w:space="0" w:color="000000"/>
            </w:tcBorders>
            <w:shd w:val="clear" w:color="auto" w:fill="auto"/>
            <w:tcMar>
              <w:top w:w="110" w:type="dxa"/>
            </w:tcMar>
            <w:vAlign w:val="center"/>
          </w:tcPr>
          <w:p w:rsidR="00327D08" w:rsidRPr="00C258AD" w:rsidRDefault="00327D08" w:rsidP="00327D08">
            <w:pPr>
              <w:keepLines/>
              <w:rPr>
                <w:rFonts w:cs="Arial"/>
                <w:sz w:val="16"/>
                <w:szCs w:val="16"/>
              </w:rPr>
            </w:pPr>
            <w:r w:rsidRPr="00C258AD">
              <w:rPr>
                <w:b/>
                <w:sz w:val="16"/>
              </w:rPr>
              <w:t>Pays hôte/</w:t>
            </w:r>
            <w:r w:rsidRPr="00C258AD">
              <w:br/>
            </w:r>
            <w:r w:rsidRPr="00C258AD">
              <w:rPr>
                <w:b/>
                <w:sz w:val="16"/>
              </w:rPr>
              <w:t>bénéficiaires</w:t>
            </w:r>
          </w:p>
        </w:tc>
        <w:tc>
          <w:tcPr>
            <w:tcW w:w="5015" w:type="dxa"/>
            <w:tcBorders>
              <w:top w:val="single" w:sz="4" w:space="0" w:color="000000"/>
            </w:tcBorders>
            <w:shd w:val="clear" w:color="auto" w:fill="FFFFFF"/>
            <w:tcMar>
              <w:top w:w="110" w:type="dxa"/>
            </w:tcMar>
            <w:vAlign w:val="center"/>
          </w:tcPr>
          <w:p w:rsidR="00327D08" w:rsidRPr="00C258AD" w:rsidRDefault="00327D08" w:rsidP="00327D08">
            <w:pPr>
              <w:keepLines/>
              <w:rPr>
                <w:rFonts w:cs="Arial"/>
                <w:sz w:val="16"/>
                <w:szCs w:val="16"/>
              </w:rPr>
            </w:pPr>
            <w:r w:rsidRPr="00C258AD">
              <w:rPr>
                <w:b/>
                <w:sz w:val="16"/>
              </w:rPr>
              <w:t>Objectif(s)/description(s)</w:t>
            </w:r>
          </w:p>
        </w:tc>
      </w:tr>
      <w:tr w:rsidR="00327D08" w:rsidRPr="00C258AD" w:rsidTr="00327D08">
        <w:trPr>
          <w:cantSplit/>
        </w:trPr>
        <w:tc>
          <w:tcPr>
            <w:tcW w:w="1331" w:type="dxa"/>
          </w:tcPr>
          <w:p w:rsidR="00327D08" w:rsidRPr="00C258AD" w:rsidDel="009E0498" w:rsidRDefault="00327D08" w:rsidP="00327D08">
            <w:pPr>
              <w:autoSpaceDE w:val="0"/>
              <w:autoSpaceDN w:val="0"/>
              <w:adjustRightInd w:val="0"/>
              <w:rPr>
                <w:rFonts w:cs="Arial"/>
                <w:sz w:val="16"/>
                <w:szCs w:val="16"/>
              </w:rPr>
            </w:pPr>
            <w:r w:rsidRPr="00C258AD">
              <w:rPr>
                <w:rFonts w:cs="Arial"/>
                <w:sz w:val="16"/>
                <w:szCs w:val="16"/>
              </w:rPr>
              <w:t>Atelier national sur le droit d’auteur et les droits connexes</w:t>
            </w:r>
          </w:p>
        </w:tc>
        <w:tc>
          <w:tcPr>
            <w:tcW w:w="1515" w:type="dxa"/>
            <w:shd w:val="clear" w:color="auto" w:fill="auto"/>
            <w:tcMar>
              <w:top w:w="110" w:type="dxa"/>
            </w:tcMar>
          </w:tcPr>
          <w:p w:rsidR="00327D08" w:rsidRPr="00C258AD" w:rsidRDefault="00327D08" w:rsidP="00327D08">
            <w:pPr>
              <w:autoSpaceDE w:val="0"/>
              <w:autoSpaceDN w:val="0"/>
              <w:adjustRightInd w:val="0"/>
              <w:rPr>
                <w:rFonts w:cs="Arial"/>
                <w:sz w:val="16"/>
                <w:szCs w:val="16"/>
              </w:rPr>
            </w:pPr>
            <w:r w:rsidRPr="00C258AD">
              <w:rPr>
                <w:rFonts w:cs="Arial"/>
                <w:sz w:val="16"/>
                <w:szCs w:val="16"/>
              </w:rPr>
              <w:t>31 août et 1</w:t>
            </w:r>
            <w:r w:rsidRPr="00C258AD">
              <w:rPr>
                <w:rFonts w:cs="Arial"/>
                <w:sz w:val="16"/>
                <w:szCs w:val="16"/>
                <w:vertAlign w:val="superscript"/>
              </w:rPr>
              <w:t>er</w:t>
            </w:r>
            <w:r w:rsidRPr="00C258AD">
              <w:rPr>
                <w:rFonts w:cs="Arial"/>
                <w:sz w:val="16"/>
                <w:szCs w:val="16"/>
              </w:rPr>
              <w:t> septembre 2015</w:t>
            </w:r>
          </w:p>
        </w:tc>
        <w:tc>
          <w:tcPr>
            <w:tcW w:w="1630" w:type="dxa"/>
            <w:shd w:val="clear" w:color="auto" w:fill="auto"/>
            <w:tcMar>
              <w:top w:w="110" w:type="dxa"/>
            </w:tcMar>
          </w:tcPr>
          <w:p w:rsidR="00327D08" w:rsidRPr="00C258AD" w:rsidRDefault="00327D08" w:rsidP="00327D08">
            <w:pPr>
              <w:autoSpaceDE w:val="0"/>
              <w:autoSpaceDN w:val="0"/>
              <w:adjustRightInd w:val="0"/>
              <w:rPr>
                <w:rFonts w:cs="Arial"/>
                <w:sz w:val="16"/>
                <w:szCs w:val="16"/>
              </w:rPr>
            </w:pPr>
            <w:r w:rsidRPr="00C258AD">
              <w:rPr>
                <w:rFonts w:cs="Arial"/>
                <w:sz w:val="16"/>
                <w:szCs w:val="16"/>
              </w:rPr>
              <w:t>Cambodge/ approximativement 100 participants locaux</w:t>
            </w:r>
          </w:p>
        </w:tc>
        <w:tc>
          <w:tcPr>
            <w:tcW w:w="5015" w:type="dxa"/>
            <w:shd w:val="clear" w:color="auto" w:fill="FFFFFF"/>
            <w:tcMar>
              <w:top w:w="110" w:type="dxa"/>
            </w:tcMar>
          </w:tcPr>
          <w:p w:rsidR="00327D08" w:rsidRPr="00C258AD" w:rsidDel="00152E3E" w:rsidRDefault="00327D08" w:rsidP="00327D08">
            <w:pPr>
              <w:autoSpaceDE w:val="0"/>
              <w:autoSpaceDN w:val="0"/>
              <w:adjustRightInd w:val="0"/>
              <w:rPr>
                <w:rFonts w:cs="Arial"/>
                <w:sz w:val="16"/>
                <w:szCs w:val="16"/>
              </w:rPr>
            </w:pPr>
            <w:r w:rsidRPr="00C258AD">
              <w:rPr>
                <w:rFonts w:cs="Arial"/>
                <w:kern w:val="2"/>
                <w:sz w:val="16"/>
                <w:szCs w:val="16"/>
              </w:rPr>
              <w:t>Sensibiliser les décideurs et les principales parties prenantes à l’importance du droit d’auteur et des droits connexes.</w:t>
            </w:r>
          </w:p>
        </w:tc>
      </w:tr>
      <w:tr w:rsidR="00327D08" w:rsidRPr="00C258AD" w:rsidTr="00327D08">
        <w:trPr>
          <w:cantSplit/>
        </w:trPr>
        <w:tc>
          <w:tcPr>
            <w:tcW w:w="1331" w:type="dxa"/>
          </w:tcPr>
          <w:p w:rsidR="00327D08" w:rsidRPr="00C258AD" w:rsidRDefault="00327D08" w:rsidP="00327D08">
            <w:pPr>
              <w:rPr>
                <w:sz w:val="16"/>
              </w:rPr>
            </w:pPr>
            <w:r w:rsidRPr="00C258AD">
              <w:rPr>
                <w:sz w:val="16"/>
              </w:rPr>
              <w:t xml:space="preserve">Projet de renforcement de la connaissance du droit d’auteur et des droits connexes </w:t>
            </w:r>
          </w:p>
        </w:tc>
        <w:tc>
          <w:tcPr>
            <w:tcW w:w="1515" w:type="dxa"/>
            <w:shd w:val="clear" w:color="auto" w:fill="auto"/>
            <w:tcMar>
              <w:top w:w="110" w:type="dxa"/>
            </w:tcMar>
          </w:tcPr>
          <w:p w:rsidR="00327D08" w:rsidRPr="00C258AD" w:rsidRDefault="00327D08" w:rsidP="00327D08">
            <w:pPr>
              <w:rPr>
                <w:sz w:val="16"/>
              </w:rPr>
            </w:pPr>
            <w:r w:rsidRPr="00C258AD">
              <w:rPr>
                <w:sz w:val="16"/>
              </w:rPr>
              <w:t>février à juin 2015</w:t>
            </w:r>
          </w:p>
        </w:tc>
        <w:tc>
          <w:tcPr>
            <w:tcW w:w="1630" w:type="dxa"/>
            <w:shd w:val="clear" w:color="auto" w:fill="auto"/>
            <w:tcMar>
              <w:top w:w="110" w:type="dxa"/>
            </w:tcMar>
          </w:tcPr>
          <w:p w:rsidR="00327D08" w:rsidRPr="00C258AD" w:rsidRDefault="00327D08" w:rsidP="00327D08">
            <w:pPr>
              <w:rPr>
                <w:sz w:val="16"/>
              </w:rPr>
            </w:pPr>
            <w:r w:rsidRPr="00C258AD">
              <w:rPr>
                <w:sz w:val="16"/>
              </w:rPr>
              <w:t>Malawi / quelque 350 participants locaux à cinq programmes</w:t>
            </w:r>
          </w:p>
        </w:tc>
        <w:tc>
          <w:tcPr>
            <w:tcW w:w="5015" w:type="dxa"/>
            <w:shd w:val="clear" w:color="auto" w:fill="FFFFFF"/>
            <w:tcMar>
              <w:top w:w="110" w:type="dxa"/>
            </w:tcMar>
          </w:tcPr>
          <w:p w:rsidR="00327D08" w:rsidRPr="00C258AD" w:rsidRDefault="00327D08" w:rsidP="00327D08">
            <w:pPr>
              <w:rPr>
                <w:sz w:val="16"/>
              </w:rPr>
            </w:pPr>
            <w:r w:rsidRPr="00C258AD">
              <w:rPr>
                <w:sz w:val="16"/>
              </w:rPr>
              <w:t>Aider le Malawi dans ses efforts pour établir une infrastructure viable du droit d’auteur et renforcer les capacités nationales de mise en œuvre de programmes de sensibilisation du public dans le domaine du droit d’auteur et des droits connexes.</w:t>
            </w:r>
          </w:p>
        </w:tc>
      </w:tr>
      <w:tr w:rsidR="00327D08" w:rsidRPr="00C258AD" w:rsidTr="00327D08">
        <w:trPr>
          <w:cantSplit/>
        </w:trPr>
        <w:tc>
          <w:tcPr>
            <w:tcW w:w="1331" w:type="dxa"/>
          </w:tcPr>
          <w:p w:rsidR="00327D08" w:rsidRPr="00C258AD" w:rsidRDefault="00327D08" w:rsidP="00327D08">
            <w:pPr>
              <w:autoSpaceDE w:val="0"/>
              <w:autoSpaceDN w:val="0"/>
              <w:adjustRightInd w:val="0"/>
              <w:rPr>
                <w:rFonts w:cs="Arial"/>
                <w:sz w:val="16"/>
                <w:szCs w:val="16"/>
              </w:rPr>
            </w:pPr>
            <w:r w:rsidRPr="00C258AD">
              <w:rPr>
                <w:rFonts w:cs="Arial"/>
                <w:sz w:val="16"/>
                <w:szCs w:val="16"/>
              </w:rPr>
              <w:t xml:space="preserve">Projet relatif au Consortium pour des livres accessibles (ABC) </w:t>
            </w:r>
          </w:p>
        </w:tc>
        <w:tc>
          <w:tcPr>
            <w:tcW w:w="1515" w:type="dxa"/>
            <w:shd w:val="clear" w:color="auto" w:fill="auto"/>
            <w:tcMar>
              <w:top w:w="110" w:type="dxa"/>
            </w:tcMar>
          </w:tcPr>
          <w:p w:rsidR="00327D08" w:rsidRPr="00C258AD" w:rsidRDefault="00327D08" w:rsidP="00327D08">
            <w:pPr>
              <w:autoSpaceDE w:val="0"/>
              <w:autoSpaceDN w:val="0"/>
              <w:adjustRightInd w:val="0"/>
              <w:rPr>
                <w:rFonts w:cs="Arial"/>
                <w:sz w:val="16"/>
                <w:szCs w:val="16"/>
              </w:rPr>
            </w:pPr>
            <w:r w:rsidRPr="00C258AD">
              <w:rPr>
                <w:rFonts w:cs="Arial"/>
                <w:sz w:val="16"/>
                <w:szCs w:val="16"/>
              </w:rPr>
              <w:t>1</w:t>
            </w:r>
            <w:r w:rsidRPr="00C258AD">
              <w:rPr>
                <w:rFonts w:cs="Arial"/>
                <w:sz w:val="16"/>
                <w:szCs w:val="16"/>
                <w:vertAlign w:val="superscript"/>
              </w:rPr>
              <w:t>er</w:t>
            </w:r>
            <w:r w:rsidRPr="00C258AD">
              <w:rPr>
                <w:rFonts w:cs="Arial"/>
                <w:sz w:val="16"/>
                <w:szCs w:val="16"/>
              </w:rPr>
              <w:t xml:space="preserve"> janvier au 31 juillet 2015</w:t>
            </w:r>
            <w:r w:rsidRPr="00C258AD">
              <w:rPr>
                <w:rStyle w:val="FootnoteReference"/>
                <w:rFonts w:cs="Arial"/>
                <w:sz w:val="16"/>
                <w:szCs w:val="16"/>
              </w:rPr>
              <w:footnoteReference w:id="160"/>
            </w:r>
          </w:p>
        </w:tc>
        <w:tc>
          <w:tcPr>
            <w:tcW w:w="1630" w:type="dxa"/>
            <w:shd w:val="clear" w:color="auto" w:fill="auto"/>
            <w:tcMar>
              <w:top w:w="110" w:type="dxa"/>
            </w:tcMar>
          </w:tcPr>
          <w:p w:rsidR="00327D08" w:rsidRPr="00C258AD" w:rsidRDefault="00327D08" w:rsidP="00327D08">
            <w:pPr>
              <w:autoSpaceDE w:val="0"/>
              <w:autoSpaceDN w:val="0"/>
              <w:adjustRightInd w:val="0"/>
              <w:rPr>
                <w:rFonts w:cs="Arial"/>
                <w:sz w:val="16"/>
                <w:szCs w:val="16"/>
              </w:rPr>
            </w:pPr>
            <w:r w:rsidRPr="00C258AD">
              <w:rPr>
                <w:rFonts w:cs="Arial"/>
                <w:sz w:val="16"/>
                <w:szCs w:val="16"/>
              </w:rPr>
              <w:t xml:space="preserve">Inde </w:t>
            </w:r>
          </w:p>
        </w:tc>
        <w:tc>
          <w:tcPr>
            <w:tcW w:w="5015" w:type="dxa"/>
            <w:shd w:val="clear" w:color="auto" w:fill="FFFFFF"/>
            <w:tcMar>
              <w:top w:w="110" w:type="dxa"/>
            </w:tcMar>
          </w:tcPr>
          <w:p w:rsidR="00327D08" w:rsidRPr="00C258AD" w:rsidRDefault="00327D08" w:rsidP="00327D08">
            <w:pPr>
              <w:autoSpaceDE w:val="0"/>
              <w:autoSpaceDN w:val="0"/>
              <w:adjustRightInd w:val="0"/>
              <w:rPr>
                <w:rFonts w:cs="Arial"/>
                <w:sz w:val="16"/>
                <w:szCs w:val="16"/>
              </w:rPr>
            </w:pPr>
            <w:r w:rsidRPr="00C258AD">
              <w:rPr>
                <w:rFonts w:cs="Arial"/>
                <w:sz w:val="16"/>
                <w:szCs w:val="16"/>
                <w:lang w:eastAsia="ja-JP"/>
              </w:rPr>
              <w:t>i)</w:t>
            </w:r>
            <w:r w:rsidRPr="00C258AD">
              <w:rPr>
                <w:rFonts w:cs="Arial"/>
                <w:sz w:val="16"/>
                <w:szCs w:val="16"/>
              </w:rPr>
              <w:t xml:space="preserve"> Mettre fin à la pénurie de livres pour les lycéens ayant des difficultés de lecture des textes imprimés dans les États de </w:t>
            </w:r>
            <w:proofErr w:type="spellStart"/>
            <w:r w:rsidRPr="00C258AD">
              <w:rPr>
                <w:rFonts w:cs="Arial"/>
                <w:sz w:val="16"/>
                <w:szCs w:val="16"/>
              </w:rPr>
              <w:t>Madhya</w:t>
            </w:r>
            <w:proofErr w:type="spellEnd"/>
            <w:r w:rsidRPr="00C258AD">
              <w:rPr>
                <w:rFonts w:cs="Arial"/>
                <w:sz w:val="16"/>
                <w:szCs w:val="16"/>
              </w:rPr>
              <w:t xml:space="preserve"> </w:t>
            </w:r>
            <w:proofErr w:type="spellStart"/>
            <w:r w:rsidRPr="00C258AD">
              <w:rPr>
                <w:rFonts w:cs="Arial"/>
                <w:sz w:val="16"/>
                <w:szCs w:val="16"/>
              </w:rPr>
              <w:t>Pradesh</w:t>
            </w:r>
            <w:proofErr w:type="spellEnd"/>
            <w:r w:rsidRPr="00C258AD">
              <w:rPr>
                <w:rFonts w:cs="Arial"/>
                <w:sz w:val="16"/>
                <w:szCs w:val="16"/>
              </w:rPr>
              <w:t xml:space="preserve">, du </w:t>
            </w:r>
            <w:proofErr w:type="spellStart"/>
            <w:r w:rsidRPr="00C258AD">
              <w:rPr>
                <w:rFonts w:cs="Arial"/>
                <w:sz w:val="16"/>
                <w:szCs w:val="16"/>
              </w:rPr>
              <w:t>Bihar</w:t>
            </w:r>
            <w:proofErr w:type="spellEnd"/>
            <w:r w:rsidRPr="00C258AD">
              <w:rPr>
                <w:rFonts w:cs="Arial"/>
                <w:sz w:val="16"/>
                <w:szCs w:val="16"/>
              </w:rPr>
              <w:t xml:space="preserve"> et du Rajasthan (Inde);  et </w:t>
            </w:r>
            <w:r w:rsidRPr="00C258AD">
              <w:rPr>
                <w:rFonts w:cs="Arial"/>
                <w:sz w:val="16"/>
                <w:szCs w:val="16"/>
                <w:lang w:eastAsia="ja-JP"/>
              </w:rPr>
              <w:t>ii)</w:t>
            </w:r>
            <w:r w:rsidRPr="00C258AD">
              <w:rPr>
                <w:rFonts w:cs="Arial"/>
                <w:sz w:val="16"/>
                <w:szCs w:val="16"/>
              </w:rPr>
              <w:t> </w:t>
            </w:r>
            <w:r w:rsidRPr="00C258AD">
              <w:rPr>
                <w:rFonts w:cs="Arial"/>
                <w:sz w:val="16"/>
                <w:szCs w:val="16"/>
                <w:lang w:eastAsia="ja-JP"/>
              </w:rPr>
              <w:t>renforcer les capacités des éditeurs de manuels scolaires afin que leurs publications futures soient en format accessible natif</w:t>
            </w:r>
            <w:r w:rsidRPr="00C258AD">
              <w:rPr>
                <w:rFonts w:cs="Arial"/>
                <w:sz w:val="16"/>
                <w:szCs w:val="16"/>
              </w:rPr>
              <w:t>.</w:t>
            </w:r>
          </w:p>
        </w:tc>
      </w:tr>
      <w:tr w:rsidR="00327D08" w:rsidRPr="00C258AD" w:rsidTr="00327D08">
        <w:trPr>
          <w:cantSplit/>
        </w:trPr>
        <w:tc>
          <w:tcPr>
            <w:tcW w:w="1331" w:type="dxa"/>
          </w:tcPr>
          <w:p w:rsidR="00327D08" w:rsidRPr="00C258AD" w:rsidRDefault="00327D08" w:rsidP="00327D08">
            <w:pPr>
              <w:autoSpaceDE w:val="0"/>
              <w:autoSpaceDN w:val="0"/>
              <w:adjustRightInd w:val="0"/>
              <w:rPr>
                <w:rFonts w:cs="Arial"/>
                <w:sz w:val="16"/>
                <w:szCs w:val="16"/>
              </w:rPr>
            </w:pPr>
            <w:r w:rsidRPr="00C258AD">
              <w:rPr>
                <w:rFonts w:cs="Arial"/>
                <w:sz w:val="16"/>
                <w:szCs w:val="16"/>
              </w:rPr>
              <w:lastRenderedPageBreak/>
              <w:t xml:space="preserve">Projet de traduction et de publication </w:t>
            </w:r>
          </w:p>
        </w:tc>
        <w:tc>
          <w:tcPr>
            <w:tcW w:w="1515" w:type="dxa"/>
            <w:shd w:val="clear" w:color="auto" w:fill="auto"/>
            <w:tcMar>
              <w:top w:w="110" w:type="dxa"/>
            </w:tcMar>
          </w:tcPr>
          <w:p w:rsidR="00327D08" w:rsidRPr="00C258AD" w:rsidRDefault="00327D08" w:rsidP="00327D08">
            <w:pPr>
              <w:autoSpaceDE w:val="0"/>
              <w:autoSpaceDN w:val="0"/>
              <w:adjustRightInd w:val="0"/>
              <w:rPr>
                <w:rFonts w:cs="Arial"/>
                <w:sz w:val="16"/>
                <w:szCs w:val="16"/>
              </w:rPr>
            </w:pPr>
            <w:r w:rsidRPr="00C258AD">
              <w:rPr>
                <w:rFonts w:cs="Arial"/>
                <w:sz w:val="16"/>
                <w:szCs w:val="16"/>
              </w:rPr>
              <w:t>janvier à décembre 2015</w:t>
            </w:r>
            <w:r w:rsidRPr="00C258AD">
              <w:rPr>
                <w:rStyle w:val="FootnoteReference"/>
                <w:rFonts w:cs="Arial"/>
                <w:sz w:val="16"/>
                <w:szCs w:val="16"/>
              </w:rPr>
              <w:footnoteReference w:id="161"/>
            </w:r>
          </w:p>
          <w:p w:rsidR="00327D08" w:rsidRPr="00C258AD" w:rsidRDefault="00327D08" w:rsidP="00327D08">
            <w:pPr>
              <w:autoSpaceDE w:val="0"/>
              <w:autoSpaceDN w:val="0"/>
              <w:adjustRightInd w:val="0"/>
              <w:rPr>
                <w:rFonts w:cs="Arial"/>
                <w:sz w:val="16"/>
                <w:szCs w:val="16"/>
              </w:rPr>
            </w:pPr>
          </w:p>
          <w:p w:rsidR="00327D08" w:rsidRPr="00C258AD" w:rsidRDefault="00327D08" w:rsidP="00327D08">
            <w:pPr>
              <w:autoSpaceDE w:val="0"/>
              <w:autoSpaceDN w:val="0"/>
              <w:adjustRightInd w:val="0"/>
              <w:rPr>
                <w:rFonts w:cs="Arial"/>
                <w:sz w:val="16"/>
                <w:szCs w:val="16"/>
              </w:rPr>
            </w:pPr>
            <w:r w:rsidRPr="00C258AD">
              <w:rPr>
                <w:rFonts w:cs="Arial"/>
                <w:sz w:val="16"/>
                <w:szCs w:val="16"/>
              </w:rPr>
              <w:t>(en cours)</w:t>
            </w:r>
          </w:p>
        </w:tc>
        <w:tc>
          <w:tcPr>
            <w:tcW w:w="1630" w:type="dxa"/>
            <w:shd w:val="clear" w:color="auto" w:fill="auto"/>
            <w:tcMar>
              <w:top w:w="110" w:type="dxa"/>
            </w:tcMar>
          </w:tcPr>
          <w:p w:rsidR="00327D08" w:rsidRPr="00C258AD" w:rsidRDefault="00327D08" w:rsidP="00327D08">
            <w:pPr>
              <w:autoSpaceDE w:val="0"/>
              <w:autoSpaceDN w:val="0"/>
              <w:adjustRightInd w:val="0"/>
              <w:rPr>
                <w:rFonts w:cs="Arial"/>
                <w:sz w:val="16"/>
                <w:szCs w:val="16"/>
              </w:rPr>
            </w:pPr>
            <w:r w:rsidRPr="00C258AD">
              <w:rPr>
                <w:rFonts w:cs="Arial"/>
                <w:sz w:val="16"/>
                <w:szCs w:val="16"/>
              </w:rPr>
              <w:t xml:space="preserve">Tonga </w:t>
            </w:r>
          </w:p>
        </w:tc>
        <w:tc>
          <w:tcPr>
            <w:tcW w:w="5015" w:type="dxa"/>
            <w:shd w:val="clear" w:color="auto" w:fill="FFFFFF"/>
            <w:tcMar>
              <w:top w:w="110" w:type="dxa"/>
            </w:tcMar>
          </w:tcPr>
          <w:p w:rsidR="00327D08" w:rsidRPr="00C258AD" w:rsidRDefault="00327D08" w:rsidP="00327D08">
            <w:pPr>
              <w:pStyle w:val="ListParagraph"/>
              <w:tabs>
                <w:tab w:val="center" w:pos="4536"/>
                <w:tab w:val="right" w:pos="9072"/>
              </w:tabs>
              <w:ind w:left="0"/>
              <w:rPr>
                <w:rFonts w:eastAsia="Batang" w:cs="Arial"/>
                <w:sz w:val="16"/>
                <w:szCs w:val="16"/>
              </w:rPr>
            </w:pPr>
            <w:r w:rsidRPr="00C258AD">
              <w:rPr>
                <w:rFonts w:cs="Arial"/>
                <w:sz w:val="16"/>
                <w:szCs w:val="16"/>
              </w:rPr>
              <w:t>Renforcer les capacités de l’office de propriété intellectuelle en matière de mise en œuvre de programmes de sensibilisation du public</w:t>
            </w:r>
            <w:r w:rsidRPr="00C258AD">
              <w:rPr>
                <w:rFonts w:cs="Arial"/>
                <w:kern w:val="2"/>
                <w:sz w:val="16"/>
                <w:szCs w:val="16"/>
              </w:rPr>
              <w:t>, de manière à établir un environnement propice à l’utilisation et à la protection effectives du droit d’auteur et des droits connexes.</w:t>
            </w:r>
          </w:p>
        </w:tc>
      </w:tr>
      <w:tr w:rsidR="00327D08" w:rsidRPr="00C258AD" w:rsidTr="00327D08">
        <w:trPr>
          <w:cantSplit/>
        </w:trPr>
        <w:tc>
          <w:tcPr>
            <w:tcW w:w="9491" w:type="dxa"/>
            <w:gridSpan w:val="4"/>
            <w:tcBorders>
              <w:top w:val="single" w:sz="4" w:space="0" w:color="000000"/>
              <w:bottom w:val="single" w:sz="4" w:space="0" w:color="000000"/>
            </w:tcBorders>
            <w:shd w:val="clear" w:color="auto" w:fill="C6D9F1" w:themeFill="text2" w:themeFillTint="33"/>
            <w:vAlign w:val="center"/>
          </w:tcPr>
          <w:p w:rsidR="00327D08" w:rsidRPr="00C258AD" w:rsidRDefault="00327D08" w:rsidP="00927E1F">
            <w:pPr>
              <w:keepNext/>
              <w:keepLines/>
              <w:tabs>
                <w:tab w:val="left" w:pos="1740"/>
              </w:tabs>
              <w:ind w:left="1701" w:hanging="1701"/>
              <w:rPr>
                <w:rFonts w:cs="Arial"/>
                <w:bCs/>
                <w:sz w:val="16"/>
                <w:szCs w:val="16"/>
              </w:rPr>
            </w:pPr>
            <w:r w:rsidRPr="00C258AD">
              <w:rPr>
                <w:rFonts w:cs="Arial"/>
                <w:b/>
                <w:bCs/>
                <w:sz w:val="16"/>
                <w:szCs w:val="16"/>
              </w:rPr>
              <w:t>RÉSULTAT :</w:t>
            </w:r>
            <w:r w:rsidRPr="00C258AD">
              <w:rPr>
                <w:rFonts w:cs="Arial"/>
                <w:bCs/>
                <w:sz w:val="16"/>
                <w:szCs w:val="16"/>
              </w:rPr>
              <w:t xml:space="preserve"> </w:t>
            </w:r>
            <w:r w:rsidRPr="00C258AD">
              <w:rPr>
                <w:rFonts w:cs="Arial"/>
                <w:bCs/>
                <w:sz w:val="16"/>
                <w:szCs w:val="16"/>
              </w:rPr>
              <w:tab/>
              <w:t>IV.4 Amélioration de l’infrastructure technique et du savoir pour les offices de propriété intellectuelle et les autres institutions de propriété intellectuelle, leur permettant de fournir à leurs parties prenantes des services améliorés (moins chers, plus rapides, de meilleure qualité)</w:t>
            </w:r>
          </w:p>
        </w:tc>
      </w:tr>
      <w:tr w:rsidR="00327D08" w:rsidRPr="00C258AD" w:rsidTr="00327D08">
        <w:trPr>
          <w:cantSplit/>
        </w:trPr>
        <w:tc>
          <w:tcPr>
            <w:tcW w:w="1331" w:type="dxa"/>
            <w:tcBorders>
              <w:top w:val="single" w:sz="4" w:space="0" w:color="000000"/>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515" w:type="dxa"/>
            <w:tcBorders>
              <w:top w:val="single" w:sz="4" w:space="0" w:color="000000"/>
            </w:tcBorders>
            <w:shd w:val="clear" w:color="auto" w:fill="auto"/>
            <w:tcMar>
              <w:top w:w="110" w:type="dxa"/>
            </w:tcMar>
            <w:vAlign w:val="center"/>
          </w:tcPr>
          <w:p w:rsidR="00327D08" w:rsidRPr="00C258AD" w:rsidRDefault="00327D08" w:rsidP="00927E1F">
            <w:pPr>
              <w:keepNext/>
              <w:keepLines/>
              <w:rPr>
                <w:rFonts w:cs="Arial"/>
                <w:sz w:val="16"/>
                <w:szCs w:val="16"/>
              </w:rPr>
            </w:pPr>
            <w:r w:rsidRPr="00C258AD">
              <w:rPr>
                <w:rFonts w:cs="Arial"/>
                <w:sz w:val="16"/>
                <w:szCs w:val="16"/>
              </w:rPr>
              <w:t>Date</w:t>
            </w:r>
          </w:p>
        </w:tc>
        <w:tc>
          <w:tcPr>
            <w:tcW w:w="1630" w:type="dxa"/>
            <w:tcBorders>
              <w:top w:val="single" w:sz="4" w:space="0" w:color="000000"/>
            </w:tcBorders>
            <w:shd w:val="clear" w:color="auto" w:fill="auto"/>
            <w:tcMar>
              <w:top w:w="110" w:type="dxa"/>
            </w:tcMar>
            <w:vAlign w:val="center"/>
          </w:tcPr>
          <w:p w:rsidR="00327D08" w:rsidRPr="00C258AD" w:rsidRDefault="00327D08" w:rsidP="00927E1F">
            <w:pPr>
              <w:keepNext/>
              <w:keepLines/>
              <w:rPr>
                <w:rFonts w:cs="Arial"/>
                <w:sz w:val="16"/>
                <w:szCs w:val="16"/>
              </w:rPr>
            </w:pPr>
            <w:r w:rsidRPr="00C258AD">
              <w:rPr>
                <w:b/>
                <w:sz w:val="16"/>
              </w:rPr>
              <w:t>Pays hôte/</w:t>
            </w:r>
            <w:r w:rsidRPr="00C258AD">
              <w:br/>
            </w:r>
            <w:r w:rsidRPr="00C258AD">
              <w:rPr>
                <w:b/>
                <w:sz w:val="16"/>
              </w:rPr>
              <w:t>bénéficiaires</w:t>
            </w:r>
          </w:p>
        </w:tc>
        <w:tc>
          <w:tcPr>
            <w:tcW w:w="5015" w:type="dxa"/>
            <w:tcBorders>
              <w:top w:val="single" w:sz="4" w:space="0" w:color="000000"/>
            </w:tcBorders>
            <w:shd w:val="clear" w:color="auto" w:fill="FFFFFF"/>
            <w:tcMar>
              <w:top w:w="110" w:type="dxa"/>
            </w:tcMar>
            <w:vAlign w:val="center"/>
          </w:tcPr>
          <w:p w:rsidR="00327D08" w:rsidRPr="00C258AD" w:rsidRDefault="00327D08" w:rsidP="00927E1F">
            <w:pPr>
              <w:keepNext/>
              <w:keepLines/>
              <w:rPr>
                <w:rFonts w:cs="Arial"/>
                <w:sz w:val="16"/>
                <w:szCs w:val="16"/>
              </w:rPr>
            </w:pPr>
            <w:r w:rsidRPr="00C258AD">
              <w:rPr>
                <w:b/>
                <w:sz w:val="16"/>
              </w:rPr>
              <w:t>Objectif(s)/description(s)</w:t>
            </w:r>
          </w:p>
        </w:tc>
      </w:tr>
      <w:tr w:rsidR="00327D08" w:rsidRPr="00C258AD" w:rsidTr="00327D08">
        <w:trPr>
          <w:cantSplit/>
        </w:trPr>
        <w:tc>
          <w:tcPr>
            <w:tcW w:w="1331"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Atelier interrégional à l’intention des directeurs de bureaux de droit d’auteur sur le renforcement des capacités</w:t>
            </w:r>
          </w:p>
        </w:tc>
        <w:tc>
          <w:tcPr>
            <w:tcW w:w="1515" w:type="dxa"/>
            <w:shd w:val="clear" w:color="auto" w:fill="auto"/>
            <w:tcMar>
              <w:top w:w="110" w:type="dxa"/>
            </w:tcMar>
          </w:tcPr>
          <w:p w:rsidR="00327D08" w:rsidRPr="00C258AD" w:rsidRDefault="00327D08" w:rsidP="00927E1F">
            <w:pPr>
              <w:autoSpaceDE w:val="0"/>
              <w:autoSpaceDN w:val="0"/>
              <w:adjustRightInd w:val="0"/>
              <w:rPr>
                <w:rFonts w:cs="Arial"/>
                <w:sz w:val="16"/>
                <w:szCs w:val="16"/>
              </w:rPr>
            </w:pPr>
            <w:r w:rsidRPr="00C258AD">
              <w:rPr>
                <w:rFonts w:cs="Arial"/>
                <w:sz w:val="16"/>
                <w:szCs w:val="16"/>
              </w:rPr>
              <w:t>3 – 5 février 2015</w:t>
            </w:r>
          </w:p>
        </w:tc>
        <w:tc>
          <w:tcPr>
            <w:tcW w:w="1630" w:type="dxa"/>
            <w:shd w:val="clear" w:color="auto" w:fill="auto"/>
            <w:tcMar>
              <w:top w:w="110" w:type="dxa"/>
            </w:tcMar>
          </w:tcPr>
          <w:p w:rsidR="00327D08" w:rsidRPr="00C258AD" w:rsidRDefault="00327D08" w:rsidP="00927E1F">
            <w:pPr>
              <w:autoSpaceDE w:val="0"/>
              <w:autoSpaceDN w:val="0"/>
              <w:adjustRightInd w:val="0"/>
              <w:rPr>
                <w:rFonts w:cs="Arial"/>
                <w:sz w:val="16"/>
                <w:szCs w:val="16"/>
              </w:rPr>
            </w:pPr>
            <w:r w:rsidRPr="00C258AD">
              <w:rPr>
                <w:sz w:val="16"/>
              </w:rPr>
              <w:t>République de Corée/ 27 participants de : Arabie saoudite, ARIPO, Chine, Équateur, Kenya, Liban, Malawi, Mexique, Mongolie, Paraguay, Philippines, Qatar, Thaïlande et Viet Nam</w:t>
            </w:r>
          </w:p>
        </w:tc>
        <w:tc>
          <w:tcPr>
            <w:tcW w:w="5015" w:type="dxa"/>
            <w:shd w:val="clear" w:color="auto" w:fill="FFFFFF"/>
            <w:tcMar>
              <w:top w:w="110" w:type="dxa"/>
            </w:tcMar>
          </w:tcPr>
          <w:p w:rsidR="00327D08" w:rsidRPr="00C258AD" w:rsidRDefault="00327D08" w:rsidP="00927E1F">
            <w:pPr>
              <w:pStyle w:val="Header"/>
              <w:rPr>
                <w:rFonts w:cs="Arial"/>
                <w:kern w:val="2"/>
                <w:sz w:val="16"/>
                <w:szCs w:val="16"/>
                <w:lang w:eastAsia="ko-KR"/>
              </w:rPr>
            </w:pPr>
            <w:r w:rsidRPr="00C258AD">
              <w:rPr>
                <w:rFonts w:cs="Arial"/>
                <w:sz w:val="16"/>
                <w:szCs w:val="16"/>
                <w:lang w:eastAsia="ko-KR"/>
              </w:rPr>
              <w:t xml:space="preserve">Mettre à jour les connaissances, partager des données d’expérience en matière de renforcement des capacités dans le domaine du droit d’auteur, échanger des vues sur les méthodologies de différents programmes de renforcement des capacités dans ce domaine et débattre les moyens d’améliorer ces programmes aux niveaux national, régional et international.  </w:t>
            </w:r>
          </w:p>
        </w:tc>
      </w:tr>
      <w:tr w:rsidR="00327D08" w:rsidRPr="00C258AD" w:rsidTr="00327D08">
        <w:trPr>
          <w:cantSplit/>
        </w:trPr>
        <w:tc>
          <w:tcPr>
            <w:tcW w:w="1331"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 xml:space="preserve">Atelier </w:t>
            </w:r>
            <w:proofErr w:type="spellStart"/>
            <w:r w:rsidRPr="00C258AD">
              <w:rPr>
                <w:rFonts w:cs="Arial"/>
                <w:sz w:val="16"/>
                <w:szCs w:val="16"/>
              </w:rPr>
              <w:t>sous</w:t>
            </w:r>
            <w:r w:rsidRPr="00C258AD">
              <w:rPr>
                <w:rFonts w:cs="Arial"/>
                <w:sz w:val="16"/>
                <w:szCs w:val="16"/>
              </w:rPr>
              <w:noBreakHyphen/>
              <w:t>régional</w:t>
            </w:r>
            <w:proofErr w:type="spellEnd"/>
            <w:r w:rsidRPr="00C258AD">
              <w:rPr>
                <w:rFonts w:cs="Arial"/>
                <w:sz w:val="16"/>
                <w:szCs w:val="16"/>
              </w:rPr>
              <w:t xml:space="preserve"> sur la coopération en matière de droit d’auteur et de droits connexes</w:t>
            </w:r>
          </w:p>
        </w:tc>
        <w:tc>
          <w:tcPr>
            <w:tcW w:w="1515" w:type="dxa"/>
            <w:shd w:val="clear" w:color="auto" w:fill="auto"/>
            <w:tcMar>
              <w:top w:w="110" w:type="dxa"/>
            </w:tcMar>
          </w:tcPr>
          <w:p w:rsidR="00327D08" w:rsidRPr="00C258AD" w:rsidRDefault="00327D08" w:rsidP="00927E1F">
            <w:pPr>
              <w:autoSpaceDE w:val="0"/>
              <w:autoSpaceDN w:val="0"/>
              <w:adjustRightInd w:val="0"/>
              <w:rPr>
                <w:rFonts w:cs="Arial"/>
                <w:sz w:val="16"/>
                <w:szCs w:val="16"/>
              </w:rPr>
            </w:pPr>
            <w:r w:rsidRPr="00C258AD">
              <w:rPr>
                <w:rFonts w:cs="Arial"/>
                <w:sz w:val="16"/>
                <w:szCs w:val="16"/>
              </w:rPr>
              <w:t>18 – 20 juin 2015</w:t>
            </w:r>
          </w:p>
        </w:tc>
        <w:tc>
          <w:tcPr>
            <w:tcW w:w="1630" w:type="dxa"/>
            <w:shd w:val="clear" w:color="auto" w:fill="auto"/>
            <w:tcMar>
              <w:top w:w="110" w:type="dxa"/>
            </w:tcMar>
          </w:tcPr>
          <w:p w:rsidR="00327D08" w:rsidRPr="00C258AD" w:rsidRDefault="00327D08" w:rsidP="00927E1F">
            <w:pPr>
              <w:autoSpaceDE w:val="0"/>
              <w:autoSpaceDN w:val="0"/>
              <w:adjustRightInd w:val="0"/>
              <w:rPr>
                <w:rFonts w:cs="Arial"/>
                <w:sz w:val="16"/>
                <w:szCs w:val="16"/>
              </w:rPr>
            </w:pPr>
            <w:r w:rsidRPr="00C258AD">
              <w:rPr>
                <w:sz w:val="16"/>
              </w:rPr>
              <w:t>Mongolie/ 15 participants de : Chine, Fédération de Russie, Mongolie et République de Corée</w:t>
            </w:r>
          </w:p>
        </w:tc>
        <w:tc>
          <w:tcPr>
            <w:tcW w:w="5015" w:type="dxa"/>
            <w:shd w:val="clear" w:color="auto" w:fill="FFFFFF"/>
            <w:tcMar>
              <w:top w:w="110" w:type="dxa"/>
            </w:tcMar>
          </w:tcPr>
          <w:p w:rsidR="00327D08" w:rsidRPr="00C258AD" w:rsidRDefault="00327D08" w:rsidP="00927E1F">
            <w:pPr>
              <w:rPr>
                <w:rFonts w:cs="Arial"/>
                <w:sz w:val="16"/>
                <w:szCs w:val="16"/>
                <w:lang w:eastAsia="ko-KR"/>
              </w:rPr>
            </w:pPr>
            <w:r w:rsidRPr="00C258AD">
              <w:rPr>
                <w:rFonts w:cs="Arial"/>
                <w:sz w:val="16"/>
                <w:szCs w:val="16"/>
                <w:lang w:eastAsia="ko-KR"/>
              </w:rPr>
              <w:t xml:space="preserve">Partager des informations et des données d’expérience entre pays participants concernant le développement du système du droit d’auteur et rechercher des possibilités supplémentaires d’améliorer la coopération entre ces pays dans le domaine du droit d’auteur et des droits connexes.  </w:t>
            </w:r>
          </w:p>
        </w:tc>
      </w:tr>
      <w:tr w:rsidR="00327D08" w:rsidRPr="00C258AD" w:rsidTr="00327D08">
        <w:trPr>
          <w:cantSplit/>
        </w:trPr>
        <w:tc>
          <w:tcPr>
            <w:tcW w:w="1331"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 xml:space="preserve">Atelier </w:t>
            </w:r>
            <w:proofErr w:type="spellStart"/>
            <w:r w:rsidRPr="00C258AD">
              <w:rPr>
                <w:rFonts w:cs="Arial"/>
                <w:sz w:val="16"/>
                <w:szCs w:val="16"/>
              </w:rPr>
              <w:t>sous</w:t>
            </w:r>
            <w:r w:rsidRPr="00C258AD">
              <w:rPr>
                <w:rFonts w:cs="Arial"/>
                <w:sz w:val="16"/>
                <w:szCs w:val="16"/>
              </w:rPr>
              <w:noBreakHyphen/>
              <w:t>régional</w:t>
            </w:r>
            <w:proofErr w:type="spellEnd"/>
            <w:r w:rsidRPr="00C258AD">
              <w:rPr>
                <w:rFonts w:cs="Arial"/>
                <w:sz w:val="16"/>
                <w:szCs w:val="16"/>
              </w:rPr>
              <w:t xml:space="preserve"> sur le droit d’auteur et les droits connexes</w:t>
            </w:r>
          </w:p>
        </w:tc>
        <w:tc>
          <w:tcPr>
            <w:tcW w:w="1515" w:type="dxa"/>
            <w:shd w:val="clear" w:color="auto" w:fill="auto"/>
            <w:tcMar>
              <w:top w:w="110" w:type="dxa"/>
            </w:tcMar>
          </w:tcPr>
          <w:p w:rsidR="00327D08" w:rsidRPr="00C258AD" w:rsidRDefault="00327D08" w:rsidP="00927E1F">
            <w:pPr>
              <w:autoSpaceDE w:val="0"/>
              <w:autoSpaceDN w:val="0"/>
              <w:adjustRightInd w:val="0"/>
              <w:rPr>
                <w:rFonts w:cs="Arial"/>
                <w:sz w:val="16"/>
                <w:szCs w:val="16"/>
              </w:rPr>
            </w:pPr>
            <w:r w:rsidRPr="00C258AD">
              <w:rPr>
                <w:rFonts w:cs="Arial"/>
                <w:sz w:val="16"/>
                <w:szCs w:val="16"/>
              </w:rPr>
              <w:t>2 – 4 septembre 2015</w:t>
            </w:r>
          </w:p>
        </w:tc>
        <w:tc>
          <w:tcPr>
            <w:tcW w:w="1630" w:type="dxa"/>
            <w:shd w:val="clear" w:color="auto" w:fill="auto"/>
            <w:tcMar>
              <w:top w:w="110" w:type="dxa"/>
            </w:tcMar>
          </w:tcPr>
          <w:p w:rsidR="00327D08" w:rsidRPr="00C258AD" w:rsidRDefault="00327D08" w:rsidP="00927E1F">
            <w:pPr>
              <w:autoSpaceDE w:val="0"/>
              <w:autoSpaceDN w:val="0"/>
              <w:adjustRightInd w:val="0"/>
              <w:rPr>
                <w:rFonts w:cs="Arial"/>
                <w:sz w:val="16"/>
                <w:szCs w:val="16"/>
              </w:rPr>
            </w:pPr>
            <w:r w:rsidRPr="00C258AD">
              <w:rPr>
                <w:sz w:val="16"/>
              </w:rPr>
              <w:t>Cambodge/ 15 participants de : Cambodge, Myanmar, République démocratique populaire lao, Thaïlande et Viet Nam</w:t>
            </w:r>
          </w:p>
        </w:tc>
        <w:tc>
          <w:tcPr>
            <w:tcW w:w="5015" w:type="dxa"/>
            <w:shd w:val="clear" w:color="auto" w:fill="FFFFFF"/>
            <w:tcMar>
              <w:top w:w="110" w:type="dxa"/>
            </w:tcMar>
          </w:tcPr>
          <w:p w:rsidR="00327D08" w:rsidRPr="00C258AD" w:rsidRDefault="00327D08" w:rsidP="00927E1F">
            <w:pPr>
              <w:rPr>
                <w:rFonts w:cs="Arial"/>
                <w:sz w:val="16"/>
                <w:szCs w:val="16"/>
                <w:lang w:eastAsia="ko-KR"/>
              </w:rPr>
            </w:pPr>
            <w:r w:rsidRPr="00C258AD">
              <w:rPr>
                <w:rFonts w:cs="Arial"/>
                <w:sz w:val="16"/>
                <w:szCs w:val="16"/>
                <w:lang w:eastAsia="ko-KR"/>
              </w:rPr>
              <w:t xml:space="preserve">Partager des informations et des données d’expérience entre pays participants concernant le développement des politiques et systèmes de droit d’auteur en mettant l’accent sur le renforcement des capacités.  </w:t>
            </w:r>
          </w:p>
        </w:tc>
      </w:tr>
      <w:tr w:rsidR="00327D08" w:rsidRPr="00C258AD" w:rsidTr="00327D08">
        <w:trPr>
          <w:cantSplit/>
        </w:trPr>
        <w:tc>
          <w:tcPr>
            <w:tcW w:w="1331"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Visite d’étude à la Commission du droit d’auteur de Corée</w:t>
            </w:r>
          </w:p>
        </w:tc>
        <w:tc>
          <w:tcPr>
            <w:tcW w:w="1515" w:type="dxa"/>
            <w:shd w:val="clear" w:color="auto" w:fill="auto"/>
            <w:tcMar>
              <w:top w:w="110" w:type="dxa"/>
            </w:tcMar>
          </w:tcPr>
          <w:p w:rsidR="00327D08" w:rsidRPr="00C258AD" w:rsidRDefault="00327D08" w:rsidP="00927E1F">
            <w:pPr>
              <w:autoSpaceDE w:val="0"/>
              <w:autoSpaceDN w:val="0"/>
              <w:adjustRightInd w:val="0"/>
              <w:rPr>
                <w:rFonts w:cs="Arial"/>
                <w:sz w:val="16"/>
                <w:szCs w:val="16"/>
              </w:rPr>
            </w:pPr>
            <w:r w:rsidRPr="00C258AD">
              <w:rPr>
                <w:rFonts w:cs="Arial"/>
                <w:sz w:val="16"/>
                <w:szCs w:val="16"/>
              </w:rPr>
              <w:t>2 – 6 novembre 2015</w:t>
            </w:r>
          </w:p>
        </w:tc>
        <w:tc>
          <w:tcPr>
            <w:tcW w:w="1630" w:type="dxa"/>
            <w:shd w:val="clear" w:color="auto" w:fill="auto"/>
            <w:tcMar>
              <w:top w:w="110" w:type="dxa"/>
            </w:tcMar>
          </w:tcPr>
          <w:p w:rsidR="00327D08" w:rsidRPr="00C258AD" w:rsidRDefault="00327D08" w:rsidP="00927E1F">
            <w:pPr>
              <w:autoSpaceDE w:val="0"/>
              <w:autoSpaceDN w:val="0"/>
              <w:adjustRightInd w:val="0"/>
              <w:rPr>
                <w:rFonts w:cs="Arial"/>
                <w:sz w:val="16"/>
                <w:szCs w:val="16"/>
              </w:rPr>
            </w:pPr>
            <w:r w:rsidRPr="00C258AD">
              <w:rPr>
                <w:sz w:val="16"/>
              </w:rPr>
              <w:t>République de Corée/ 13 participants de : Cambodge, Chine, Costa Rica, Côte d’Ivoire, El Salvador, Ghana, Honduras, Îles Cook, Inde, Philippines, République</w:t>
            </w:r>
            <w:r w:rsidRPr="00C258AD">
              <w:rPr>
                <w:sz w:val="16"/>
              </w:rPr>
              <w:noBreakHyphen/>
              <w:t>Unie de Tanzanie, Tonga et Tunisie</w:t>
            </w:r>
          </w:p>
        </w:tc>
        <w:tc>
          <w:tcPr>
            <w:tcW w:w="5015" w:type="dxa"/>
            <w:shd w:val="clear" w:color="auto" w:fill="FFFFFF"/>
            <w:tcMar>
              <w:top w:w="110" w:type="dxa"/>
            </w:tcMar>
          </w:tcPr>
          <w:p w:rsidR="00327D08" w:rsidRPr="00C258AD" w:rsidRDefault="00327D08" w:rsidP="00927E1F">
            <w:pPr>
              <w:rPr>
                <w:rFonts w:cs="Arial"/>
                <w:sz w:val="16"/>
                <w:szCs w:val="16"/>
              </w:rPr>
            </w:pPr>
            <w:r w:rsidRPr="00C258AD">
              <w:rPr>
                <w:rFonts w:cs="Arial"/>
                <w:sz w:val="16"/>
                <w:szCs w:val="16"/>
                <w:lang w:eastAsia="ko-KR"/>
              </w:rPr>
              <w:t xml:space="preserve">Partager l’expérience de la République de Corée en matière d’administration du droit d’auteur et des droits connexes pour renforcer les capacités d’élaboration de politiques, moderniser les cadres législatifs et administratifs et améliorer le fonctionnement des organismes de droit d’auteur dans les pays respectifs.  </w:t>
            </w:r>
          </w:p>
        </w:tc>
      </w:tr>
    </w:tbl>
    <w:p w:rsidR="00327D08" w:rsidRPr="00C258AD" w:rsidRDefault="00327D08">
      <w:pPr>
        <w:spacing w:after="200" w:line="276" w:lineRule="auto"/>
        <w:rPr>
          <w:rFonts w:cs="Arial"/>
          <w:b/>
          <w:bCs/>
          <w:szCs w:val="20"/>
        </w:rPr>
      </w:pPr>
      <w:r w:rsidRPr="00C258AD">
        <w:rPr>
          <w:rFonts w:cs="Arial"/>
          <w:b/>
          <w:bCs/>
          <w:szCs w:val="20"/>
        </w:rPr>
        <w:br w:type="page"/>
      </w:r>
    </w:p>
    <w:p w:rsidR="00327D08" w:rsidRPr="00C258AD" w:rsidRDefault="00327D08" w:rsidP="00327D08">
      <w:pPr>
        <w:rPr>
          <w:rFonts w:cs="Arial"/>
          <w:b/>
          <w:bCs/>
          <w:szCs w:val="20"/>
        </w:rPr>
      </w:pPr>
      <w:r w:rsidRPr="00C258AD">
        <w:rPr>
          <w:rFonts w:cs="Arial"/>
          <w:b/>
          <w:bCs/>
          <w:szCs w:val="20"/>
        </w:rPr>
        <w:lastRenderedPageBreak/>
        <w:t>RÉPUBLIQUE DE CORÉE/DROIT D’AUTEUR – Contributions des donateurs et dépenses en 2015</w:t>
      </w:r>
    </w:p>
    <w:p w:rsidR="00327D08" w:rsidRPr="00C258AD" w:rsidRDefault="00327D08" w:rsidP="00327D08">
      <w:pPr>
        <w:rPr>
          <w:rFonts w:cs="Arial"/>
          <w:b/>
          <w:bCs/>
          <w:szCs w:val="20"/>
        </w:rPr>
      </w:pPr>
    </w:p>
    <w:tbl>
      <w:tblPr>
        <w:tblW w:w="5000" w:type="pct"/>
        <w:tblInd w:w="98" w:type="dxa"/>
        <w:tblCellMar>
          <w:top w:w="113" w:type="dxa"/>
          <w:left w:w="68" w:type="dxa"/>
          <w:bottom w:w="113" w:type="dxa"/>
          <w:right w:w="68" w:type="dxa"/>
        </w:tblCellMar>
        <w:tblLook w:val="04A0" w:firstRow="1" w:lastRow="0" w:firstColumn="1" w:lastColumn="0" w:noHBand="0" w:noVBand="1"/>
      </w:tblPr>
      <w:tblGrid>
        <w:gridCol w:w="2037"/>
        <w:gridCol w:w="1635"/>
        <w:gridCol w:w="1855"/>
        <w:gridCol w:w="1780"/>
        <w:gridCol w:w="2184"/>
      </w:tblGrid>
      <w:tr w:rsidR="00327D08" w:rsidRPr="00C258AD" w:rsidTr="00927E1F">
        <w:trPr>
          <w:cantSplit/>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2014</w:t>
            </w:r>
          </w:p>
        </w:tc>
        <w:tc>
          <w:tcPr>
            <w:tcW w:w="1640" w:type="dxa"/>
            <w:tcBorders>
              <w:top w:val="single" w:sz="8" w:space="0" w:color="auto"/>
              <w:left w:val="nil"/>
              <w:bottom w:val="nil"/>
              <w:right w:val="single" w:sz="8" w:space="0" w:color="auto"/>
            </w:tcBorders>
            <w:shd w:val="clear" w:color="000000" w:fill="C5D9F1"/>
            <w:vAlign w:val="center"/>
            <w:hideMark/>
          </w:tcPr>
          <w:p w:rsidR="00327D08" w:rsidRPr="00C258AD" w:rsidRDefault="00327D08" w:rsidP="00927E1F">
            <w:pPr>
              <w:jc w:val="center"/>
              <w:rPr>
                <w:rFonts w:cs="Arial"/>
                <w:b/>
                <w:bCs/>
                <w:sz w:val="16"/>
                <w:szCs w:val="16"/>
              </w:rPr>
            </w:pPr>
            <w:r w:rsidRPr="00C258AD">
              <w:rPr>
                <w:rFonts w:cs="Arial"/>
                <w:b/>
                <w:bCs/>
                <w:sz w:val="16"/>
                <w:szCs w:val="16"/>
              </w:rPr>
              <w:t>Recettes 2015</w:t>
            </w:r>
          </w:p>
        </w:tc>
        <w:tc>
          <w:tcPr>
            <w:tcW w:w="1860" w:type="dxa"/>
            <w:tcBorders>
              <w:top w:val="single" w:sz="8" w:space="0" w:color="auto"/>
              <w:left w:val="nil"/>
              <w:bottom w:val="nil"/>
              <w:right w:val="single" w:sz="8" w:space="0" w:color="auto"/>
            </w:tcBorders>
            <w:shd w:val="clear" w:color="000000" w:fill="C5D9F1"/>
            <w:vAlign w:val="center"/>
            <w:hideMark/>
          </w:tcPr>
          <w:p w:rsidR="00327D08" w:rsidRPr="00C258AD" w:rsidRDefault="00327D08" w:rsidP="00927E1F">
            <w:pPr>
              <w:jc w:val="center"/>
              <w:rPr>
                <w:rFonts w:cs="Arial"/>
                <w:b/>
                <w:bCs/>
                <w:sz w:val="16"/>
                <w:szCs w:val="16"/>
              </w:rPr>
            </w:pPr>
            <w:r w:rsidRPr="00C258AD">
              <w:rPr>
                <w:rFonts w:cs="Arial"/>
                <w:b/>
                <w:bCs/>
                <w:sz w:val="16"/>
                <w:szCs w:val="16"/>
              </w:rPr>
              <w:t>Dépenses 2015</w:t>
            </w:r>
          </w:p>
        </w:tc>
        <w:tc>
          <w:tcPr>
            <w:tcW w:w="1780" w:type="dxa"/>
            <w:tcBorders>
              <w:top w:val="single" w:sz="8" w:space="0" w:color="auto"/>
              <w:left w:val="nil"/>
              <w:bottom w:val="nil"/>
              <w:right w:val="single" w:sz="8" w:space="0" w:color="auto"/>
            </w:tcBorders>
            <w:shd w:val="clear" w:color="000000" w:fill="C5D9F1"/>
            <w:vAlign w:val="center"/>
            <w:hideMark/>
          </w:tcPr>
          <w:p w:rsidR="00327D08" w:rsidRPr="00C258AD" w:rsidRDefault="00327D08" w:rsidP="00927E1F">
            <w:pPr>
              <w:jc w:val="center"/>
              <w:rPr>
                <w:rFonts w:cs="Arial"/>
                <w:b/>
                <w:bCs/>
                <w:sz w:val="16"/>
                <w:szCs w:val="16"/>
              </w:rPr>
            </w:pPr>
            <w:r w:rsidRPr="00C258AD">
              <w:rPr>
                <w:rFonts w:cs="Arial"/>
                <w:b/>
                <w:bCs/>
                <w:sz w:val="16"/>
                <w:szCs w:val="16"/>
              </w:rPr>
              <w:t>Remboursements</w:t>
            </w:r>
          </w:p>
        </w:tc>
        <w:tc>
          <w:tcPr>
            <w:tcW w:w="2188" w:type="dxa"/>
            <w:tcBorders>
              <w:top w:val="single" w:sz="8" w:space="0" w:color="auto"/>
              <w:left w:val="nil"/>
              <w:bottom w:val="nil"/>
              <w:right w:val="single" w:sz="8" w:space="0" w:color="auto"/>
            </w:tcBorders>
            <w:shd w:val="clear" w:color="000000" w:fill="C5D9F1"/>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2015</w:t>
            </w:r>
          </w:p>
        </w:tc>
      </w:tr>
      <w:tr w:rsidR="00327D08" w:rsidRPr="00C258AD" w:rsidTr="00927E1F">
        <w:trPr>
          <w:cantSplit/>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579 780</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310 768</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360 896</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27D08" w:rsidRPr="00C258AD" w:rsidRDefault="00327D08" w:rsidP="00927E1F">
            <w:pPr>
              <w:jc w:val="center"/>
              <w:rPr>
                <w:rFonts w:cs="Arial"/>
                <w:sz w:val="16"/>
                <w:szCs w:val="16"/>
              </w:rPr>
            </w:pPr>
            <w:r w:rsidRPr="00C258AD">
              <w:rPr>
                <w:rFonts w:cs="Arial"/>
                <w:sz w:val="16"/>
                <w:szCs w:val="16"/>
              </w:rPr>
              <w:noBreakHyphen/>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529 652</w:t>
            </w:r>
          </w:p>
        </w:tc>
      </w:tr>
    </w:tbl>
    <w:p w:rsidR="00327D08" w:rsidRPr="00C258AD" w:rsidRDefault="00327D08" w:rsidP="00327D08"/>
    <w:p w:rsidR="00327D08" w:rsidRPr="00C258AD" w:rsidRDefault="00327D08" w:rsidP="00327D08">
      <w:pPr>
        <w:rPr>
          <w:rFonts w:cs="Arial"/>
          <w:b/>
          <w:szCs w:val="20"/>
        </w:rPr>
      </w:pPr>
    </w:p>
    <w:p w:rsidR="00327D08" w:rsidRPr="00C258AD" w:rsidRDefault="00327D08" w:rsidP="00327D08">
      <w:pPr>
        <w:rPr>
          <w:rFonts w:cs="Arial"/>
          <w:b/>
          <w:szCs w:val="20"/>
        </w:rPr>
      </w:pPr>
      <w:r w:rsidRPr="00C258AD">
        <w:rPr>
          <w:rFonts w:cs="Arial"/>
          <w:b/>
          <w:szCs w:val="20"/>
        </w:rPr>
        <w:t>RÉPUBLIQUE DE CORÉE (FORMATION) – Bourses sur la propriété intellectuelle (académie)</w:t>
      </w:r>
    </w:p>
    <w:p w:rsidR="00327D08" w:rsidRPr="00C258AD" w:rsidRDefault="00327D08" w:rsidP="00327D08">
      <w:pPr>
        <w:rPr>
          <w:rFonts w:cs="Arial"/>
          <w:b/>
          <w:szCs w:val="16"/>
        </w:rPr>
      </w:pPr>
    </w:p>
    <w:tbl>
      <w:tblPr>
        <w:tblW w:w="5000" w:type="pct"/>
        <w:tblInd w:w="108" w:type="dxa"/>
        <w:tblBorders>
          <w:top w:val="single" w:sz="4" w:space="0" w:color="000000"/>
          <w:left w:val="single" w:sz="4" w:space="0" w:color="000000"/>
          <w:bottom w:val="single" w:sz="4" w:space="0" w:color="000000"/>
          <w:right w:val="single" w:sz="4" w:space="0" w:color="000000"/>
        </w:tblBorders>
        <w:tblCellMar>
          <w:top w:w="113" w:type="dxa"/>
          <w:left w:w="68" w:type="dxa"/>
          <w:bottom w:w="113" w:type="dxa"/>
          <w:right w:w="68" w:type="dxa"/>
        </w:tblCellMar>
        <w:tblLook w:val="0000" w:firstRow="0" w:lastRow="0" w:firstColumn="0" w:lastColumn="0" w:noHBand="0" w:noVBand="0"/>
      </w:tblPr>
      <w:tblGrid>
        <w:gridCol w:w="1811"/>
        <w:gridCol w:w="1293"/>
        <w:gridCol w:w="2285"/>
        <w:gridCol w:w="4102"/>
      </w:tblGrid>
      <w:tr w:rsidR="00327D08" w:rsidRPr="00C258AD" w:rsidTr="00927E1F">
        <w:trPr>
          <w:cantSplit/>
        </w:trPr>
        <w:tc>
          <w:tcPr>
            <w:tcW w:w="9498" w:type="dxa"/>
            <w:gridSpan w:val="4"/>
            <w:tcBorders>
              <w:top w:val="single" w:sz="4" w:space="0" w:color="000000"/>
              <w:bottom w:val="single" w:sz="4" w:space="0" w:color="auto"/>
            </w:tcBorders>
            <w:shd w:val="clear" w:color="auto" w:fill="C6D9F1" w:themeFill="text2" w:themeFillTint="33"/>
            <w:vAlign w:val="center"/>
          </w:tcPr>
          <w:p w:rsidR="00327D08" w:rsidRPr="00C258AD" w:rsidRDefault="00327D08" w:rsidP="00927E1F">
            <w:pPr>
              <w:keepNext/>
              <w:keepLines/>
              <w:tabs>
                <w:tab w:val="left" w:pos="1740"/>
              </w:tabs>
              <w:ind w:left="1740" w:hanging="1740"/>
              <w:rPr>
                <w:rFonts w:cs="Arial"/>
                <w:b/>
                <w:bCs/>
                <w:sz w:val="16"/>
                <w:szCs w:val="16"/>
              </w:rPr>
            </w:pPr>
            <w:r w:rsidRPr="00C258AD">
              <w:rPr>
                <w:rFonts w:cs="Arial"/>
                <w:b/>
                <w:bCs/>
                <w:sz w:val="16"/>
                <w:szCs w:val="16"/>
              </w:rPr>
              <w:t xml:space="preserve">RÉSULTAT : </w:t>
            </w:r>
            <w:r w:rsidRPr="00C258AD">
              <w:rPr>
                <w:rFonts w:cs="Arial"/>
                <w:b/>
                <w:bCs/>
                <w:sz w:val="16"/>
                <w:szCs w:val="16"/>
              </w:rPr>
              <w:tab/>
            </w:r>
            <w:r w:rsidRPr="00C258AD">
              <w:rPr>
                <w:rFonts w:cs="Arial"/>
                <w:bCs/>
                <w:sz w:val="16"/>
                <w:szCs w:val="16"/>
              </w:rPr>
              <w:t>III.2  Mise en valeur des ressources humaines pour répondre aux diverses exigences en matière d’utilisation efficace de la propriété intellectuelle au service du développement dans les pays en développement, les PMA et les pays en transition</w:t>
            </w:r>
          </w:p>
        </w:tc>
      </w:tr>
      <w:tr w:rsidR="00327D08" w:rsidRPr="00C258AD" w:rsidTr="00927E1F">
        <w:trPr>
          <w:cantSplit/>
        </w:trPr>
        <w:tc>
          <w:tcPr>
            <w:tcW w:w="1843" w:type="dxa"/>
            <w:tcBorders>
              <w:top w:val="single" w:sz="4" w:space="0" w:color="auto"/>
              <w:left w:val="single" w:sz="4" w:space="0" w:color="auto"/>
              <w:bottom w:val="nil"/>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134" w:type="dxa"/>
            <w:tcBorders>
              <w:top w:val="single" w:sz="4" w:space="0" w:color="auto"/>
              <w:bottom w:val="nil"/>
            </w:tcBorders>
            <w:shd w:val="clear" w:color="auto" w:fill="auto"/>
            <w:tcMar>
              <w:top w:w="110" w:type="dxa"/>
            </w:tcMar>
            <w:vAlign w:val="center"/>
          </w:tcPr>
          <w:p w:rsidR="00327D08" w:rsidRPr="00C258AD" w:rsidRDefault="00327D08" w:rsidP="00927E1F">
            <w:pPr>
              <w:keepNext/>
              <w:keepLines/>
              <w:rPr>
                <w:rFonts w:cs="Arial"/>
                <w:sz w:val="16"/>
                <w:szCs w:val="16"/>
              </w:rPr>
            </w:pPr>
            <w:r w:rsidRPr="00C258AD">
              <w:rPr>
                <w:rFonts w:cs="Arial"/>
                <w:sz w:val="16"/>
                <w:szCs w:val="16"/>
              </w:rPr>
              <w:t>Date</w:t>
            </w:r>
          </w:p>
        </w:tc>
        <w:tc>
          <w:tcPr>
            <w:tcW w:w="2333" w:type="dxa"/>
            <w:tcBorders>
              <w:top w:val="single" w:sz="4" w:space="0" w:color="auto"/>
              <w:bottom w:val="nil"/>
            </w:tcBorders>
            <w:shd w:val="clear" w:color="auto" w:fill="auto"/>
            <w:tcMar>
              <w:top w:w="110" w:type="dxa"/>
            </w:tcMar>
            <w:vAlign w:val="center"/>
          </w:tcPr>
          <w:p w:rsidR="00327D08" w:rsidRPr="00C258AD" w:rsidRDefault="00327D08" w:rsidP="00927E1F">
            <w:pPr>
              <w:keepNext/>
              <w:keepLines/>
              <w:rPr>
                <w:rFonts w:cs="Arial"/>
                <w:sz w:val="16"/>
                <w:szCs w:val="16"/>
              </w:rPr>
            </w:pPr>
            <w:r w:rsidRPr="00C258AD">
              <w:rPr>
                <w:b/>
                <w:sz w:val="16"/>
              </w:rPr>
              <w:t>Pays hôte/</w:t>
            </w:r>
            <w:r w:rsidRPr="00C258AD">
              <w:br/>
            </w:r>
            <w:r w:rsidRPr="00C258AD">
              <w:rPr>
                <w:b/>
                <w:sz w:val="16"/>
              </w:rPr>
              <w:t>bénéficiaires</w:t>
            </w:r>
          </w:p>
        </w:tc>
        <w:tc>
          <w:tcPr>
            <w:tcW w:w="4188" w:type="dxa"/>
            <w:tcBorders>
              <w:top w:val="single" w:sz="4" w:space="0" w:color="auto"/>
              <w:bottom w:val="nil"/>
              <w:right w:val="single" w:sz="4" w:space="0" w:color="auto"/>
            </w:tcBorders>
            <w:shd w:val="clear" w:color="auto" w:fill="FFFFFF"/>
            <w:tcMar>
              <w:top w:w="110" w:type="dxa"/>
            </w:tcMar>
            <w:vAlign w:val="center"/>
          </w:tcPr>
          <w:p w:rsidR="00327D08" w:rsidRPr="00C258AD" w:rsidRDefault="00327D08" w:rsidP="00927E1F">
            <w:pPr>
              <w:keepNext/>
              <w:keepLines/>
              <w:rPr>
                <w:rFonts w:cs="Arial"/>
                <w:sz w:val="16"/>
                <w:szCs w:val="16"/>
              </w:rPr>
            </w:pPr>
            <w:r w:rsidRPr="00C258AD">
              <w:rPr>
                <w:b/>
                <w:sz w:val="16"/>
              </w:rPr>
              <w:t>Objectif(s)/description(s)</w:t>
            </w:r>
          </w:p>
        </w:tc>
      </w:tr>
      <w:tr w:rsidR="00327D08" w:rsidRPr="00C258AD" w:rsidTr="00927E1F">
        <w:trPr>
          <w:cantSplit/>
        </w:trPr>
        <w:tc>
          <w:tcPr>
            <w:tcW w:w="1843" w:type="dxa"/>
            <w:tcBorders>
              <w:top w:val="nil"/>
              <w:left w:val="single" w:sz="4" w:space="0" w:color="auto"/>
              <w:bottom w:val="nil"/>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 xml:space="preserve">Bourses pour l’Académie de l’OMPI – Queensland </w:t>
            </w:r>
            <w:proofErr w:type="spellStart"/>
            <w:r w:rsidRPr="00C258AD">
              <w:rPr>
                <w:rFonts w:cs="Arial"/>
                <w:sz w:val="16"/>
                <w:szCs w:val="16"/>
              </w:rPr>
              <w:t>University</w:t>
            </w:r>
            <w:proofErr w:type="spellEnd"/>
            <w:r w:rsidRPr="00C258AD">
              <w:rPr>
                <w:rFonts w:cs="Arial"/>
                <w:sz w:val="16"/>
                <w:szCs w:val="16"/>
              </w:rPr>
              <w:t xml:space="preserve"> of </w:t>
            </w:r>
            <w:proofErr w:type="spellStart"/>
            <w:r w:rsidRPr="00C258AD">
              <w:rPr>
                <w:rFonts w:cs="Arial"/>
                <w:sz w:val="16"/>
                <w:szCs w:val="16"/>
              </w:rPr>
              <w:t>Technology</w:t>
            </w:r>
            <w:proofErr w:type="spellEnd"/>
            <w:r w:rsidRPr="00C258AD">
              <w:rPr>
                <w:rFonts w:cs="Arial"/>
                <w:sz w:val="16"/>
                <w:szCs w:val="16"/>
              </w:rPr>
              <w:t xml:space="preserve"> (OMPI</w:t>
            </w:r>
            <w:r w:rsidRPr="00C258AD">
              <w:rPr>
                <w:rFonts w:cs="Arial"/>
                <w:sz w:val="16"/>
                <w:szCs w:val="16"/>
              </w:rPr>
              <w:noBreakHyphen/>
              <w:t>QUT) Programme de maîtrise en droit de la propriété intellectuelle</w:t>
            </w:r>
          </w:p>
        </w:tc>
        <w:tc>
          <w:tcPr>
            <w:tcW w:w="1134" w:type="dxa"/>
            <w:tcBorders>
              <w:top w:val="nil"/>
              <w:bottom w:val="nil"/>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3 février – 30 octobre 2015</w:t>
            </w:r>
          </w:p>
        </w:tc>
        <w:tc>
          <w:tcPr>
            <w:tcW w:w="2333" w:type="dxa"/>
            <w:tcBorders>
              <w:top w:val="nil"/>
              <w:bottom w:val="nil"/>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Australie/ 6 étudiants de : Bangladesh (1) et République de Corée (5)</w:t>
            </w:r>
          </w:p>
        </w:tc>
        <w:tc>
          <w:tcPr>
            <w:tcW w:w="4188" w:type="dxa"/>
            <w:tcBorders>
              <w:top w:val="nil"/>
              <w:bottom w:val="nil"/>
              <w:right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Offrir une formation supérieure aux fonctionnaires gouvernementaux et autres experts en propriété intellectuelle afin d’améliorer leurs capacités en matière d’utilisation de la propriété intellectuelle et d’administration des droits de propriété intellectuelle.</w:t>
            </w:r>
          </w:p>
        </w:tc>
      </w:tr>
      <w:tr w:rsidR="00327D08" w:rsidRPr="00C258AD" w:rsidTr="00927E1F">
        <w:trPr>
          <w:cantSplit/>
        </w:trPr>
        <w:tc>
          <w:tcPr>
            <w:tcW w:w="1843" w:type="dxa"/>
            <w:tcBorders>
              <w:top w:val="nil"/>
              <w:left w:val="single" w:sz="4" w:space="0" w:color="auto"/>
              <w:bottom w:val="nil"/>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Bourses pour le programme de maîtrise en droit de la propriété intellectuelle proposé par l’Académie de l’OMPI et l’Université nationale de Séoul</w:t>
            </w:r>
          </w:p>
        </w:tc>
        <w:tc>
          <w:tcPr>
            <w:tcW w:w="1134" w:type="dxa"/>
            <w:tcBorders>
              <w:top w:val="nil"/>
              <w:bottom w:val="nil"/>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mars 2015 à décembre 2016</w:t>
            </w:r>
          </w:p>
        </w:tc>
        <w:tc>
          <w:tcPr>
            <w:tcW w:w="2333" w:type="dxa"/>
            <w:tcBorders>
              <w:top w:val="nil"/>
              <w:bottom w:val="nil"/>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 xml:space="preserve">République de Corée/ 2 étudiants de : Inde (1) et Pakistan (1) </w:t>
            </w:r>
          </w:p>
        </w:tc>
        <w:tc>
          <w:tcPr>
            <w:tcW w:w="4188" w:type="dxa"/>
            <w:tcBorders>
              <w:top w:val="nil"/>
              <w:bottom w:val="nil"/>
              <w:right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Offrir une formation supérieure aux fonctionnaires gouvernementaux et autres experts en propriété intellectuelle afin d’améliorer leurs capacités en matière d’utilisation de la propriété intellectuelle et d’administration des droits de propriété intellectuelle.</w:t>
            </w:r>
          </w:p>
        </w:tc>
      </w:tr>
      <w:tr w:rsidR="00327D08" w:rsidRPr="00C258AD" w:rsidTr="00927E1F">
        <w:trPr>
          <w:cantSplit/>
        </w:trPr>
        <w:tc>
          <w:tcPr>
            <w:tcW w:w="1843" w:type="dxa"/>
            <w:tcBorders>
              <w:top w:val="nil"/>
              <w:left w:val="single" w:sz="4" w:space="0" w:color="auto"/>
              <w:bottom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Bourses pour l’université d’été OMPI</w:t>
            </w:r>
            <w:r w:rsidRPr="00C258AD">
              <w:rPr>
                <w:rFonts w:cs="Arial"/>
                <w:sz w:val="16"/>
                <w:szCs w:val="16"/>
              </w:rPr>
              <w:noBreakHyphen/>
              <w:t>Corée</w:t>
            </w:r>
          </w:p>
        </w:tc>
        <w:tc>
          <w:tcPr>
            <w:tcW w:w="1134" w:type="dxa"/>
            <w:tcBorders>
              <w:top w:val="nil"/>
              <w:bottom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13 – 24 juillet 2015</w:t>
            </w:r>
          </w:p>
        </w:tc>
        <w:tc>
          <w:tcPr>
            <w:tcW w:w="2333" w:type="dxa"/>
            <w:tcBorders>
              <w:top w:val="nil"/>
              <w:bottom w:val="single" w:sz="4" w:space="0" w:color="auto"/>
            </w:tcBorders>
          </w:tcPr>
          <w:p w:rsidR="00327D08" w:rsidRPr="00C258AD" w:rsidRDefault="00327D08" w:rsidP="00927E1F">
            <w:pPr>
              <w:autoSpaceDE w:val="0"/>
              <w:autoSpaceDN w:val="0"/>
              <w:adjustRightInd w:val="0"/>
              <w:ind w:right="-108"/>
              <w:rPr>
                <w:rFonts w:cs="Arial"/>
                <w:sz w:val="16"/>
                <w:szCs w:val="16"/>
              </w:rPr>
            </w:pPr>
            <w:r w:rsidRPr="00C258AD">
              <w:rPr>
                <w:rFonts w:cs="Arial"/>
                <w:sz w:val="16"/>
                <w:szCs w:val="16"/>
              </w:rPr>
              <w:t>République de Corée/ 6 participants de : Brésil, Bangladesh, Inde, Mongolie, Roumanie et Zimbabwe</w:t>
            </w:r>
          </w:p>
        </w:tc>
        <w:tc>
          <w:tcPr>
            <w:tcW w:w="4188" w:type="dxa"/>
            <w:tcBorders>
              <w:top w:val="nil"/>
              <w:bottom w:val="single" w:sz="4" w:space="0" w:color="auto"/>
              <w:right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i) développer les capacités des étudiants des cycles supérieurs et des jeunes actifs par le biais d’une meilleure connaissance des domaines liés aux droits de propriété intellectuelle;  et ii) améliorer leur compréhension des rôles et fonctions du système de propriété intellectuelle.</w:t>
            </w:r>
          </w:p>
        </w:tc>
      </w:tr>
    </w:tbl>
    <w:p w:rsidR="00327D08" w:rsidRPr="00C258AD" w:rsidRDefault="00327D08" w:rsidP="00327D08">
      <w:pPr>
        <w:rPr>
          <w:rFonts w:cs="Arial"/>
          <w:b/>
          <w:szCs w:val="16"/>
        </w:rPr>
      </w:pPr>
    </w:p>
    <w:p w:rsidR="00327D08" w:rsidRPr="00C258AD" w:rsidRDefault="00327D08" w:rsidP="00327D08">
      <w:pPr>
        <w:rPr>
          <w:rFonts w:cs="Arial"/>
          <w:b/>
          <w:szCs w:val="16"/>
        </w:rPr>
      </w:pPr>
    </w:p>
    <w:p w:rsidR="00327D08" w:rsidRPr="00C258AD" w:rsidRDefault="00327D08" w:rsidP="00327D08">
      <w:pPr>
        <w:rPr>
          <w:rFonts w:cs="Arial"/>
          <w:b/>
          <w:bCs/>
          <w:szCs w:val="20"/>
        </w:rPr>
      </w:pPr>
      <w:r w:rsidRPr="00C258AD">
        <w:rPr>
          <w:rFonts w:cs="Arial"/>
          <w:b/>
          <w:bCs/>
          <w:szCs w:val="20"/>
        </w:rPr>
        <w:t>RÉPUBLIQUE DE CORÉE (FORMATION) – Bourses sur la propriété intellectuelle (académie) – Contributions des donateurs et dépenses en 2015</w:t>
      </w:r>
    </w:p>
    <w:p w:rsidR="00327D08" w:rsidRPr="00C258AD" w:rsidRDefault="00327D08" w:rsidP="00327D08">
      <w:pPr>
        <w:rPr>
          <w:rFonts w:cs="Arial"/>
          <w:b/>
          <w:bCs/>
          <w:szCs w:val="20"/>
        </w:rPr>
      </w:pPr>
    </w:p>
    <w:tbl>
      <w:tblPr>
        <w:tblW w:w="5000" w:type="pct"/>
        <w:tblInd w:w="98" w:type="dxa"/>
        <w:tblCellMar>
          <w:top w:w="113" w:type="dxa"/>
          <w:left w:w="68" w:type="dxa"/>
          <w:bottom w:w="113" w:type="dxa"/>
          <w:right w:w="68" w:type="dxa"/>
        </w:tblCellMar>
        <w:tblLook w:val="04A0" w:firstRow="1" w:lastRow="0" w:firstColumn="1" w:lastColumn="0" w:noHBand="0" w:noVBand="1"/>
      </w:tblPr>
      <w:tblGrid>
        <w:gridCol w:w="2037"/>
        <w:gridCol w:w="1635"/>
        <w:gridCol w:w="1855"/>
        <w:gridCol w:w="1780"/>
        <w:gridCol w:w="2184"/>
      </w:tblGrid>
      <w:tr w:rsidR="00327D08" w:rsidRPr="00C258AD" w:rsidTr="00927E1F">
        <w:trPr>
          <w:cantSplit/>
        </w:trPr>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2014</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Recettes 2015</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Dépenses 2015</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Remboursements</w:t>
            </w:r>
          </w:p>
        </w:tc>
        <w:tc>
          <w:tcPr>
            <w:tcW w:w="2188" w:type="dxa"/>
            <w:tcBorders>
              <w:top w:val="single" w:sz="8" w:space="0" w:color="auto"/>
              <w:left w:val="nil"/>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2015</w:t>
            </w:r>
          </w:p>
        </w:tc>
      </w:tr>
      <w:tr w:rsidR="00327D08" w:rsidRPr="00C258AD" w:rsidTr="00927E1F">
        <w:trPr>
          <w:cantSplit/>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276 726</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164 735</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124 143</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27D08" w:rsidRPr="00C258AD" w:rsidRDefault="00327D08" w:rsidP="00927E1F">
            <w:pPr>
              <w:jc w:val="center"/>
              <w:rPr>
                <w:rFonts w:cs="Arial"/>
                <w:sz w:val="16"/>
                <w:szCs w:val="16"/>
              </w:rPr>
            </w:pPr>
            <w:r w:rsidRPr="00C258AD">
              <w:rPr>
                <w:rFonts w:cs="Arial"/>
                <w:sz w:val="16"/>
                <w:szCs w:val="16"/>
              </w:rPr>
              <w:noBreakHyphen/>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317 318</w:t>
            </w:r>
          </w:p>
        </w:tc>
      </w:tr>
    </w:tbl>
    <w:p w:rsidR="00327D08" w:rsidRPr="00C258AD" w:rsidRDefault="00327D08" w:rsidP="00327D08">
      <w:pPr>
        <w:rPr>
          <w:rFonts w:cs="Arial"/>
          <w:szCs w:val="16"/>
        </w:rPr>
      </w:pPr>
    </w:p>
    <w:p w:rsidR="00327D08" w:rsidRPr="00C258AD" w:rsidRDefault="00327D08" w:rsidP="00327D08">
      <w:pPr>
        <w:rPr>
          <w:rFonts w:cs="Arial"/>
          <w:szCs w:val="16"/>
        </w:rPr>
      </w:pPr>
    </w:p>
    <w:p w:rsidR="00327D08" w:rsidRPr="00C258AD" w:rsidRDefault="00327D08" w:rsidP="00327D08">
      <w:pPr>
        <w:keepNext/>
        <w:keepLines/>
        <w:rPr>
          <w:rFonts w:cs="Arial"/>
          <w:b/>
          <w:szCs w:val="20"/>
        </w:rPr>
      </w:pPr>
      <w:r w:rsidRPr="00C258AD">
        <w:rPr>
          <w:rFonts w:cs="Arial"/>
          <w:b/>
          <w:szCs w:val="20"/>
        </w:rPr>
        <w:lastRenderedPageBreak/>
        <w:t>RÉPUBLIQUE DE CORÉE / PROPRIÉTÉ INDUSTRIELLE</w:t>
      </w:r>
    </w:p>
    <w:p w:rsidR="00327D08" w:rsidRPr="00C258AD" w:rsidRDefault="00327D08" w:rsidP="00327D08">
      <w:pPr>
        <w:keepNext/>
        <w:keepLines/>
        <w:rPr>
          <w:rFonts w:cs="Arial"/>
          <w:b/>
          <w:szCs w:val="20"/>
        </w:rPr>
      </w:pPr>
    </w:p>
    <w:tbl>
      <w:tblPr>
        <w:tblW w:w="5000" w:type="pct"/>
        <w:tblInd w:w="78" w:type="dxa"/>
        <w:tblBorders>
          <w:top w:val="single" w:sz="4" w:space="0" w:color="000000"/>
          <w:left w:val="single" w:sz="4" w:space="0" w:color="000000"/>
          <w:bottom w:val="single" w:sz="4" w:space="0" w:color="000000"/>
          <w:right w:val="single" w:sz="4" w:space="0" w:color="000000"/>
        </w:tblBorders>
        <w:tblCellMar>
          <w:top w:w="113" w:type="dxa"/>
          <w:left w:w="68" w:type="dxa"/>
          <w:bottom w:w="113" w:type="dxa"/>
          <w:right w:w="68" w:type="dxa"/>
        </w:tblCellMar>
        <w:tblLook w:val="0000" w:firstRow="0" w:lastRow="0" w:firstColumn="0" w:lastColumn="0" w:noHBand="0" w:noVBand="0"/>
      </w:tblPr>
      <w:tblGrid>
        <w:gridCol w:w="1824"/>
        <w:gridCol w:w="43"/>
        <w:gridCol w:w="1133"/>
        <w:gridCol w:w="1838"/>
        <w:gridCol w:w="4653"/>
      </w:tblGrid>
      <w:tr w:rsidR="00327D08" w:rsidRPr="00C258AD" w:rsidTr="00927E1F">
        <w:trPr>
          <w:cantSplit/>
        </w:trPr>
        <w:tc>
          <w:tcPr>
            <w:tcW w:w="9528" w:type="dxa"/>
            <w:gridSpan w:val="5"/>
            <w:tcBorders>
              <w:top w:val="single" w:sz="4" w:space="0" w:color="000000"/>
              <w:bottom w:val="single" w:sz="4" w:space="0" w:color="000000"/>
            </w:tcBorders>
            <w:shd w:val="clear" w:color="auto" w:fill="C6D9F1" w:themeFill="text2" w:themeFillTint="33"/>
            <w:vAlign w:val="center"/>
          </w:tcPr>
          <w:p w:rsidR="00327D08" w:rsidRPr="00C258AD" w:rsidRDefault="00327D08" w:rsidP="00927E1F">
            <w:pPr>
              <w:keepNext/>
              <w:keepLines/>
              <w:tabs>
                <w:tab w:val="left" w:pos="1740"/>
              </w:tabs>
              <w:ind w:left="1740" w:hanging="1740"/>
              <w:rPr>
                <w:rFonts w:cs="Arial"/>
                <w:b/>
                <w:bCs/>
                <w:sz w:val="16"/>
                <w:szCs w:val="16"/>
              </w:rPr>
            </w:pPr>
            <w:r w:rsidRPr="00C258AD">
              <w:rPr>
                <w:rFonts w:cs="Arial"/>
                <w:b/>
                <w:bCs/>
                <w:sz w:val="16"/>
                <w:szCs w:val="16"/>
                <w:shd w:val="clear" w:color="auto" w:fill="C6D9F1" w:themeFill="text2" w:themeFillTint="33"/>
              </w:rPr>
              <w:t xml:space="preserve">RÉSULTAT : </w:t>
            </w:r>
            <w:r w:rsidRPr="00C258AD">
              <w:rPr>
                <w:rFonts w:cs="Arial"/>
                <w:b/>
                <w:bCs/>
                <w:sz w:val="16"/>
                <w:szCs w:val="16"/>
                <w:shd w:val="clear" w:color="auto" w:fill="C6D9F1" w:themeFill="text2" w:themeFillTint="33"/>
              </w:rPr>
              <w:tab/>
            </w:r>
            <w:r w:rsidRPr="00C258AD">
              <w:rPr>
                <w:rFonts w:cs="Arial"/>
                <w:bCs/>
                <w:sz w:val="16"/>
                <w:szCs w:val="16"/>
                <w:shd w:val="clear" w:color="auto" w:fill="C6D9F1" w:themeFill="text2" w:themeFillTint="33"/>
              </w:rPr>
              <w:t>II.2. Cadres législatifs, réglementaires et politiques de propriété intellectuelle adaptés et équilibrés</w:t>
            </w:r>
          </w:p>
        </w:tc>
      </w:tr>
      <w:tr w:rsidR="00327D08" w:rsidRPr="00C258AD" w:rsidTr="00927E1F">
        <w:trPr>
          <w:cantSplit/>
        </w:trPr>
        <w:tc>
          <w:tcPr>
            <w:tcW w:w="1873" w:type="dxa"/>
            <w:gridSpan w:val="2"/>
            <w:tcBorders>
              <w:top w:val="single" w:sz="4" w:space="0" w:color="000000"/>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134" w:type="dxa"/>
            <w:tcBorders>
              <w:top w:val="single" w:sz="4" w:space="0" w:color="000000"/>
            </w:tcBorders>
            <w:shd w:val="clear" w:color="auto" w:fill="auto"/>
            <w:tcMar>
              <w:top w:w="110" w:type="dxa"/>
            </w:tcMar>
            <w:vAlign w:val="center"/>
          </w:tcPr>
          <w:p w:rsidR="00327D08" w:rsidRPr="00C258AD" w:rsidRDefault="00327D08" w:rsidP="00927E1F">
            <w:pPr>
              <w:keepNext/>
              <w:keepLines/>
              <w:rPr>
                <w:rFonts w:cs="Arial"/>
                <w:b/>
                <w:sz w:val="16"/>
                <w:szCs w:val="16"/>
              </w:rPr>
            </w:pPr>
            <w:r w:rsidRPr="00C258AD">
              <w:rPr>
                <w:rFonts w:cs="Arial"/>
                <w:b/>
                <w:sz w:val="16"/>
                <w:szCs w:val="16"/>
              </w:rPr>
              <w:t>Date</w:t>
            </w:r>
          </w:p>
        </w:tc>
        <w:tc>
          <w:tcPr>
            <w:tcW w:w="1843" w:type="dxa"/>
            <w:tcBorders>
              <w:top w:val="single" w:sz="4" w:space="0" w:color="000000"/>
            </w:tcBorders>
            <w:shd w:val="clear" w:color="auto" w:fill="auto"/>
            <w:tcMar>
              <w:top w:w="110" w:type="dxa"/>
            </w:tcMar>
            <w:vAlign w:val="center"/>
          </w:tcPr>
          <w:p w:rsidR="00327D08" w:rsidRPr="00C258AD" w:rsidRDefault="00327D08" w:rsidP="00927E1F">
            <w:pPr>
              <w:keepNext/>
              <w:keepLines/>
              <w:rPr>
                <w:rFonts w:cs="Arial"/>
                <w:sz w:val="16"/>
                <w:szCs w:val="16"/>
              </w:rPr>
            </w:pPr>
            <w:r w:rsidRPr="00C258AD">
              <w:rPr>
                <w:b/>
                <w:sz w:val="16"/>
              </w:rPr>
              <w:t>Pays hôte/</w:t>
            </w:r>
            <w:r w:rsidRPr="00C258AD">
              <w:br/>
            </w:r>
            <w:r w:rsidRPr="00C258AD">
              <w:rPr>
                <w:b/>
                <w:sz w:val="16"/>
              </w:rPr>
              <w:t>bénéficiaires</w:t>
            </w:r>
          </w:p>
        </w:tc>
        <w:tc>
          <w:tcPr>
            <w:tcW w:w="4678" w:type="dxa"/>
            <w:tcBorders>
              <w:top w:val="single" w:sz="4" w:space="0" w:color="000000"/>
            </w:tcBorders>
            <w:shd w:val="clear" w:color="auto" w:fill="FFFFFF"/>
            <w:tcMar>
              <w:top w:w="110" w:type="dxa"/>
            </w:tcMar>
            <w:vAlign w:val="center"/>
          </w:tcPr>
          <w:p w:rsidR="00327D08" w:rsidRPr="00C258AD" w:rsidRDefault="00327D08" w:rsidP="00927E1F">
            <w:pPr>
              <w:keepNext/>
              <w:keepLines/>
              <w:rPr>
                <w:rFonts w:cs="Arial"/>
                <w:sz w:val="16"/>
                <w:szCs w:val="16"/>
              </w:rPr>
            </w:pPr>
            <w:r w:rsidRPr="00C258AD">
              <w:rPr>
                <w:b/>
                <w:sz w:val="16"/>
              </w:rPr>
              <w:t>Objectif(s)/description(s)</w:t>
            </w:r>
          </w:p>
        </w:tc>
      </w:tr>
      <w:tr w:rsidR="00327D08" w:rsidRPr="00C258AD" w:rsidTr="00927E1F">
        <w:trPr>
          <w:cantSplit/>
        </w:trPr>
        <w:tc>
          <w:tcPr>
            <w:tcW w:w="1873" w:type="dxa"/>
            <w:gridSpan w:val="2"/>
          </w:tcPr>
          <w:p w:rsidR="00327D08" w:rsidRPr="00C258AD" w:rsidRDefault="00327D08" w:rsidP="00327D08">
            <w:pPr>
              <w:rPr>
                <w:rFonts w:cs="Arial"/>
                <w:sz w:val="16"/>
                <w:szCs w:val="16"/>
                <w:lang w:eastAsia="ko-KR"/>
              </w:rPr>
            </w:pPr>
            <w:r w:rsidRPr="00C258AD">
              <w:rPr>
                <w:rFonts w:cs="Arial"/>
                <w:sz w:val="16"/>
                <w:szCs w:val="16"/>
                <w:lang w:eastAsia="ko-KR"/>
              </w:rPr>
              <w:t>Étude sur les dessins et modèles industriels dans les pays d’Asie du Sud</w:t>
            </w:r>
            <w:r w:rsidRPr="00C258AD">
              <w:rPr>
                <w:rFonts w:cs="Arial"/>
                <w:sz w:val="16"/>
                <w:szCs w:val="16"/>
                <w:lang w:eastAsia="ko-KR"/>
              </w:rPr>
              <w:noBreakHyphen/>
              <w:t>Est</w:t>
            </w:r>
          </w:p>
        </w:tc>
        <w:tc>
          <w:tcPr>
            <w:tcW w:w="1134" w:type="dxa"/>
          </w:tcPr>
          <w:p w:rsidR="00327D08" w:rsidRPr="00C258AD" w:rsidRDefault="00327D08" w:rsidP="00327D08">
            <w:pPr>
              <w:rPr>
                <w:rFonts w:cs="Arial"/>
                <w:sz w:val="16"/>
                <w:szCs w:val="16"/>
              </w:rPr>
            </w:pPr>
            <w:r w:rsidRPr="00C258AD">
              <w:rPr>
                <w:rFonts w:eastAsia="Malgun Gothic" w:cs="Arial"/>
                <w:sz w:val="16"/>
                <w:szCs w:val="16"/>
                <w:lang w:eastAsia="ko-KR"/>
              </w:rPr>
              <w:t>mai </w:t>
            </w:r>
            <w:r w:rsidRPr="00C258AD">
              <w:rPr>
                <w:rFonts w:cs="Arial"/>
                <w:sz w:val="16"/>
                <w:szCs w:val="16"/>
                <w:lang w:eastAsia="ko-KR"/>
              </w:rPr>
              <w:t>2015 (lancement)</w:t>
            </w:r>
          </w:p>
        </w:tc>
        <w:tc>
          <w:tcPr>
            <w:tcW w:w="1843" w:type="dxa"/>
          </w:tcPr>
          <w:p w:rsidR="00327D08" w:rsidRPr="00C258AD" w:rsidRDefault="00327D08" w:rsidP="00327D08">
            <w:pPr>
              <w:autoSpaceDE w:val="0"/>
              <w:autoSpaceDN w:val="0"/>
              <w:adjustRightInd w:val="0"/>
              <w:rPr>
                <w:rFonts w:eastAsia="Malgun Gothic" w:cs="Arial"/>
                <w:bCs/>
                <w:sz w:val="16"/>
                <w:szCs w:val="16"/>
                <w:lang w:eastAsia="ko-KR"/>
              </w:rPr>
            </w:pPr>
            <w:r w:rsidRPr="00C258AD">
              <w:rPr>
                <w:rFonts w:eastAsia="Malgun Gothic" w:cs="Arial"/>
                <w:sz w:val="16"/>
                <w:szCs w:val="16"/>
                <w:lang w:eastAsia="ko-KR"/>
              </w:rPr>
              <w:t>Indonésie, Philippines et Thaïlande</w:t>
            </w:r>
          </w:p>
        </w:tc>
        <w:tc>
          <w:tcPr>
            <w:tcW w:w="4678" w:type="dxa"/>
          </w:tcPr>
          <w:p w:rsidR="00327D08" w:rsidRPr="00C258AD" w:rsidRDefault="00327D08" w:rsidP="00327D08">
            <w:pPr>
              <w:ind w:left="60"/>
              <w:rPr>
                <w:rFonts w:eastAsia="Malgun Gothic" w:cs="Arial"/>
                <w:sz w:val="16"/>
                <w:szCs w:val="16"/>
              </w:rPr>
            </w:pPr>
            <w:r w:rsidRPr="00C258AD">
              <w:rPr>
                <w:rFonts w:eastAsia="Malgun Gothic" w:cs="Arial"/>
                <w:sz w:val="16"/>
                <w:szCs w:val="16"/>
              </w:rPr>
              <w:t>i) créer des séries de données sur l’enregistrement unitaire de dessins et modèles industriels dans un certain nombre de pays d’Asie du Sud</w:t>
            </w:r>
            <w:r w:rsidRPr="00C258AD">
              <w:rPr>
                <w:rFonts w:eastAsia="Malgun Gothic" w:cs="Arial"/>
                <w:sz w:val="16"/>
                <w:szCs w:val="16"/>
              </w:rPr>
              <w:noBreakHyphen/>
              <w:t xml:space="preserve">Est;  ii) réaliser une étude comparative sur l’utilisation qui est faite des dessins et modèles industriels;  iii) examiner les principales tendances historiques;  iv) fournir des données ventilées par type d’utilisateur, secteur et d’autres caractéristiques;  et v) analyser le taux de délivrance et les comportements en matière de renouvellements, en fonction des données disponibles.  </w:t>
            </w:r>
          </w:p>
        </w:tc>
      </w:tr>
      <w:tr w:rsidR="00327D08" w:rsidRPr="00C258AD" w:rsidTr="00927E1F">
        <w:trPr>
          <w:cantSplit/>
        </w:trPr>
        <w:tc>
          <w:tcPr>
            <w:tcW w:w="1873" w:type="dxa"/>
            <w:gridSpan w:val="2"/>
          </w:tcPr>
          <w:p w:rsidR="00327D08" w:rsidRPr="00C258AD" w:rsidRDefault="00327D08" w:rsidP="00927E1F">
            <w:pPr>
              <w:rPr>
                <w:rFonts w:cs="Arial"/>
                <w:sz w:val="16"/>
                <w:szCs w:val="16"/>
                <w:lang w:eastAsia="ko-KR"/>
              </w:rPr>
            </w:pPr>
            <w:r w:rsidRPr="00C258AD">
              <w:rPr>
                <w:rFonts w:cs="Arial"/>
                <w:sz w:val="16"/>
                <w:szCs w:val="16"/>
                <w:lang w:eastAsia="ko-KR"/>
              </w:rPr>
              <w:t>Production d’un guide sur les procédures alternatives de règlement des différends</w:t>
            </w:r>
          </w:p>
        </w:tc>
        <w:tc>
          <w:tcPr>
            <w:tcW w:w="1134" w:type="dxa"/>
          </w:tcPr>
          <w:p w:rsidR="00327D08" w:rsidRPr="00C258AD" w:rsidRDefault="00327D08" w:rsidP="00927E1F">
            <w:pPr>
              <w:rPr>
                <w:rFonts w:eastAsia="Malgun Gothic" w:cs="Arial"/>
                <w:sz w:val="16"/>
                <w:szCs w:val="16"/>
                <w:lang w:eastAsia="ko-KR"/>
              </w:rPr>
            </w:pPr>
            <w:r w:rsidRPr="00C258AD">
              <w:rPr>
                <w:rFonts w:cs="Arial"/>
                <w:sz w:val="16"/>
                <w:szCs w:val="16"/>
                <w:lang w:eastAsia="ko-KR"/>
              </w:rPr>
              <w:t>janvier à juillet 2015</w:t>
            </w:r>
            <w:r w:rsidRPr="00C258AD">
              <w:rPr>
                <w:rStyle w:val="FootnoteReference"/>
                <w:rFonts w:cs="Arial"/>
                <w:sz w:val="16"/>
                <w:szCs w:val="16"/>
                <w:lang w:eastAsia="ko-KR"/>
              </w:rPr>
              <w:footnoteReference w:id="162"/>
            </w:r>
          </w:p>
        </w:tc>
        <w:tc>
          <w:tcPr>
            <w:tcW w:w="1843" w:type="dxa"/>
          </w:tcPr>
          <w:p w:rsidR="00327D08" w:rsidRPr="00C258AD" w:rsidRDefault="00327D08" w:rsidP="00927E1F">
            <w:pPr>
              <w:autoSpaceDE w:val="0"/>
              <w:autoSpaceDN w:val="0"/>
              <w:adjustRightInd w:val="0"/>
              <w:rPr>
                <w:rFonts w:eastAsia="Malgun Gothic" w:cs="Arial"/>
                <w:sz w:val="16"/>
                <w:szCs w:val="16"/>
                <w:lang w:eastAsia="ko-KR"/>
              </w:rPr>
            </w:pPr>
            <w:r w:rsidRPr="00C258AD">
              <w:rPr>
                <w:rFonts w:eastAsia="Malgun Gothic" w:cs="Arial"/>
                <w:sz w:val="16"/>
                <w:szCs w:val="16"/>
                <w:lang w:eastAsia="ko-KR"/>
              </w:rPr>
              <w:t>Tous les États membres de l’OMPI</w:t>
            </w:r>
          </w:p>
        </w:tc>
        <w:tc>
          <w:tcPr>
            <w:tcW w:w="4678" w:type="dxa"/>
          </w:tcPr>
          <w:p w:rsidR="00327D08" w:rsidRPr="00C258AD" w:rsidDel="0018277F" w:rsidRDefault="00327D08" w:rsidP="00927E1F">
            <w:pPr>
              <w:ind w:left="60"/>
              <w:rPr>
                <w:rFonts w:eastAsia="Malgun Gothic" w:cs="Arial"/>
                <w:sz w:val="16"/>
                <w:szCs w:val="16"/>
              </w:rPr>
            </w:pPr>
            <w:r w:rsidRPr="00C258AD">
              <w:rPr>
                <w:rFonts w:eastAsia="Malgun Gothic" w:cs="Arial"/>
                <w:sz w:val="16"/>
                <w:szCs w:val="16"/>
                <w:lang w:eastAsia="ko-KR"/>
              </w:rPr>
              <w:t>i) offrir une meilleure compréhension des procédures de règlement des différends dans les litiges liés à la propriété intellectuelle;  ii) partager l’expérience du Centre de l’OMPI en matière de règlement des différends avec les administrations nationales chargées du règlement des différends;</w:t>
            </w:r>
            <w:r w:rsidRPr="00C258AD">
              <w:rPr>
                <w:rFonts w:cs="Arial"/>
                <w:sz w:val="16"/>
                <w:szCs w:val="16"/>
                <w:lang w:eastAsia="ko-KR"/>
              </w:rPr>
              <w:t xml:space="preserve">  et iii) encourager les pays en développement à élaborer et mettre en œuvre des procédures de règlement des différends appropriées.  </w:t>
            </w:r>
          </w:p>
        </w:tc>
      </w:tr>
      <w:tr w:rsidR="00327D08" w:rsidRPr="00C258AD" w:rsidTr="00927E1F">
        <w:trPr>
          <w:cantSplit/>
        </w:trPr>
        <w:tc>
          <w:tcPr>
            <w:tcW w:w="9528" w:type="dxa"/>
            <w:gridSpan w:val="5"/>
            <w:tcBorders>
              <w:top w:val="single" w:sz="4" w:space="0" w:color="000000"/>
              <w:bottom w:val="single" w:sz="4" w:space="0" w:color="000000"/>
            </w:tcBorders>
            <w:shd w:val="clear" w:color="auto" w:fill="C6D9F1" w:themeFill="text2" w:themeFillTint="33"/>
            <w:vAlign w:val="center"/>
          </w:tcPr>
          <w:p w:rsidR="00327D08" w:rsidRPr="00C258AD" w:rsidRDefault="00327D08" w:rsidP="00927E1F">
            <w:pPr>
              <w:keepNext/>
              <w:keepLines/>
              <w:tabs>
                <w:tab w:val="left" w:pos="1740"/>
              </w:tabs>
              <w:ind w:left="1740" w:hanging="1740"/>
              <w:rPr>
                <w:rFonts w:cs="Arial"/>
                <w:b/>
                <w:bCs/>
                <w:sz w:val="16"/>
                <w:szCs w:val="16"/>
              </w:rPr>
            </w:pPr>
            <w:r w:rsidRPr="00C258AD">
              <w:rPr>
                <w:rFonts w:cs="Arial"/>
                <w:b/>
                <w:bCs/>
                <w:sz w:val="16"/>
                <w:szCs w:val="16"/>
              </w:rPr>
              <w:t xml:space="preserve">RÉSULTAT : </w:t>
            </w:r>
            <w:r w:rsidRPr="00C258AD">
              <w:rPr>
                <w:rFonts w:cs="Arial"/>
                <w:bCs/>
                <w:sz w:val="16"/>
                <w:szCs w:val="16"/>
              </w:rPr>
              <w:tab/>
              <w:t>III.1 Stratégies et plans nationaux en matière d’innovation et de propriété intellectuelle conformes aux objectifs de développement nationaux</w:t>
            </w:r>
          </w:p>
        </w:tc>
      </w:tr>
      <w:tr w:rsidR="00327D08" w:rsidRPr="00C258AD" w:rsidTr="00927E1F">
        <w:trPr>
          <w:cantSplit/>
        </w:trPr>
        <w:tc>
          <w:tcPr>
            <w:tcW w:w="1873" w:type="dxa"/>
            <w:gridSpan w:val="2"/>
            <w:tcBorders>
              <w:top w:val="single" w:sz="4" w:space="0" w:color="000000"/>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134" w:type="dxa"/>
            <w:tcBorders>
              <w:top w:val="single" w:sz="4" w:space="0" w:color="000000"/>
            </w:tcBorders>
            <w:shd w:val="clear" w:color="auto" w:fill="auto"/>
            <w:tcMar>
              <w:top w:w="110" w:type="dxa"/>
            </w:tcMar>
            <w:vAlign w:val="center"/>
          </w:tcPr>
          <w:p w:rsidR="00327D08" w:rsidRPr="00C258AD" w:rsidRDefault="00327D08" w:rsidP="00927E1F">
            <w:pPr>
              <w:rPr>
                <w:rFonts w:cs="Arial"/>
                <w:b/>
                <w:sz w:val="16"/>
                <w:szCs w:val="16"/>
              </w:rPr>
            </w:pPr>
            <w:r w:rsidRPr="00C258AD">
              <w:rPr>
                <w:rFonts w:cs="Arial"/>
                <w:b/>
                <w:sz w:val="16"/>
                <w:szCs w:val="16"/>
              </w:rPr>
              <w:t>Date</w:t>
            </w:r>
          </w:p>
        </w:tc>
        <w:tc>
          <w:tcPr>
            <w:tcW w:w="1843" w:type="dxa"/>
            <w:tcBorders>
              <w:top w:val="single" w:sz="4" w:space="0" w:color="000000"/>
            </w:tcBorders>
            <w:shd w:val="clear" w:color="auto" w:fill="auto"/>
            <w:tcMar>
              <w:top w:w="110" w:type="dxa"/>
            </w:tcMar>
            <w:vAlign w:val="center"/>
          </w:tcPr>
          <w:p w:rsidR="00327D08" w:rsidRPr="00C258AD" w:rsidRDefault="00327D08" w:rsidP="00927E1F">
            <w:pPr>
              <w:rPr>
                <w:rFonts w:cs="Arial"/>
                <w:sz w:val="16"/>
                <w:szCs w:val="16"/>
              </w:rPr>
            </w:pPr>
            <w:r w:rsidRPr="00C258AD">
              <w:rPr>
                <w:b/>
                <w:sz w:val="16"/>
              </w:rPr>
              <w:t>Pays hôte/</w:t>
            </w:r>
            <w:r w:rsidRPr="00C258AD">
              <w:br/>
            </w:r>
            <w:r w:rsidRPr="00C258AD">
              <w:rPr>
                <w:b/>
                <w:sz w:val="16"/>
              </w:rPr>
              <w:t>bénéficiaires</w:t>
            </w:r>
          </w:p>
        </w:tc>
        <w:tc>
          <w:tcPr>
            <w:tcW w:w="4678" w:type="dxa"/>
            <w:tcBorders>
              <w:top w:val="single" w:sz="4" w:space="0" w:color="000000"/>
            </w:tcBorders>
            <w:shd w:val="clear" w:color="auto" w:fill="FFFFFF"/>
            <w:tcMar>
              <w:top w:w="110" w:type="dxa"/>
            </w:tcMar>
            <w:vAlign w:val="center"/>
          </w:tcPr>
          <w:p w:rsidR="00327D08" w:rsidRPr="00C258AD" w:rsidRDefault="00327D08" w:rsidP="00927E1F">
            <w:pPr>
              <w:rPr>
                <w:rFonts w:cs="Arial"/>
                <w:sz w:val="16"/>
                <w:szCs w:val="16"/>
              </w:rPr>
            </w:pPr>
            <w:r w:rsidRPr="00C258AD">
              <w:rPr>
                <w:b/>
                <w:sz w:val="16"/>
              </w:rPr>
              <w:t>Objectif(s)/description(s)</w:t>
            </w:r>
          </w:p>
        </w:tc>
      </w:tr>
      <w:tr w:rsidR="00327D08" w:rsidRPr="00C258AD" w:rsidTr="00927E1F">
        <w:trPr>
          <w:cantSplit/>
        </w:trPr>
        <w:tc>
          <w:tcPr>
            <w:tcW w:w="1873" w:type="dxa"/>
            <w:gridSpan w:val="2"/>
          </w:tcPr>
          <w:p w:rsidR="00327D08" w:rsidRPr="00C258AD" w:rsidRDefault="00327D08" w:rsidP="00927E1F">
            <w:pPr>
              <w:keepNext/>
              <w:keepLines/>
              <w:rPr>
                <w:rFonts w:cs="Arial"/>
                <w:sz w:val="16"/>
                <w:szCs w:val="16"/>
                <w:lang w:eastAsia="ko-KR"/>
              </w:rPr>
            </w:pPr>
            <w:r w:rsidRPr="00C258AD">
              <w:rPr>
                <w:rFonts w:cs="Arial"/>
                <w:sz w:val="16"/>
                <w:szCs w:val="16"/>
              </w:rPr>
              <w:t>Visite d’étude sur la gestion de la propriété intellectuelle dans la chaîne de valorisation des innovations organisée à l’intention d’un certain nombre de cadres africains</w:t>
            </w:r>
          </w:p>
        </w:tc>
        <w:tc>
          <w:tcPr>
            <w:tcW w:w="1134" w:type="dxa"/>
            <w:shd w:val="clear" w:color="auto" w:fill="auto"/>
            <w:tcMar>
              <w:top w:w="110" w:type="dxa"/>
            </w:tcMar>
          </w:tcPr>
          <w:p w:rsidR="00327D08" w:rsidRPr="00C258AD" w:rsidRDefault="00327D08" w:rsidP="00927E1F">
            <w:pPr>
              <w:rPr>
                <w:rFonts w:cs="Arial"/>
                <w:sz w:val="16"/>
                <w:szCs w:val="16"/>
              </w:rPr>
            </w:pPr>
            <w:r w:rsidRPr="00C258AD">
              <w:rPr>
                <w:rFonts w:cs="Arial"/>
                <w:sz w:val="16"/>
                <w:szCs w:val="16"/>
              </w:rPr>
              <w:t>2 – 5 juin 2015</w:t>
            </w:r>
          </w:p>
        </w:tc>
        <w:tc>
          <w:tcPr>
            <w:tcW w:w="1843" w:type="dxa"/>
            <w:shd w:val="clear" w:color="auto" w:fill="auto"/>
            <w:tcMar>
              <w:top w:w="110" w:type="dxa"/>
            </w:tcMar>
          </w:tcPr>
          <w:p w:rsidR="00327D08" w:rsidRPr="00C258AD" w:rsidRDefault="00327D08" w:rsidP="00927E1F">
            <w:pPr>
              <w:autoSpaceDE w:val="0"/>
              <w:autoSpaceDN w:val="0"/>
              <w:adjustRightInd w:val="0"/>
              <w:rPr>
                <w:rFonts w:eastAsia="Malgun Gothic" w:cs="Arial"/>
                <w:bCs/>
                <w:sz w:val="16"/>
                <w:szCs w:val="16"/>
                <w:lang w:eastAsia="ko-KR"/>
              </w:rPr>
            </w:pPr>
            <w:r w:rsidRPr="00C258AD">
              <w:rPr>
                <w:rFonts w:eastAsia="Malgun Gothic" w:cs="Arial"/>
                <w:sz w:val="16"/>
                <w:szCs w:val="16"/>
                <w:lang w:eastAsia="ko-KR"/>
              </w:rPr>
              <w:t>République de Corée/ Botswana, République</w:t>
            </w:r>
            <w:r w:rsidRPr="00C258AD">
              <w:rPr>
                <w:rFonts w:eastAsia="Malgun Gothic" w:cs="Arial"/>
                <w:sz w:val="16"/>
                <w:szCs w:val="16"/>
                <w:lang w:eastAsia="ko-KR"/>
              </w:rPr>
              <w:noBreakHyphen/>
              <w:t>Unie de Tanzanie et Rwanda</w:t>
            </w:r>
          </w:p>
        </w:tc>
        <w:tc>
          <w:tcPr>
            <w:tcW w:w="4678" w:type="dxa"/>
            <w:shd w:val="clear" w:color="auto" w:fill="FFFFFF"/>
            <w:tcMar>
              <w:top w:w="110" w:type="dxa"/>
            </w:tcMar>
          </w:tcPr>
          <w:p w:rsidR="00327D08" w:rsidRPr="00C258AD" w:rsidRDefault="00327D08" w:rsidP="00927E1F">
            <w:pPr>
              <w:contextualSpacing/>
              <w:rPr>
                <w:rFonts w:eastAsia="Malgun Gothic" w:cs="Arial"/>
                <w:sz w:val="16"/>
                <w:szCs w:val="16"/>
                <w:lang w:eastAsia="ko-KR"/>
              </w:rPr>
            </w:pPr>
            <w:r w:rsidRPr="00C258AD">
              <w:rPr>
                <w:rFonts w:eastAsia="Malgun Gothic" w:cs="Arial"/>
                <w:sz w:val="16"/>
                <w:szCs w:val="16"/>
              </w:rPr>
              <w:t>Présentation i) des données d’expérience de la République de Corée concernant la transformation du savoir en produits commercialement viables;  ii) du rôle que jouent les politiques publiques dans ce processus;  iii) du rôle que jouent les bureaux de transfert de technologie en ce qui concerne la recherche et le secteur privé;  et iv) du fonctionnement de l’ensemble de la chaîne de valorisation des innovations (du laboratoire au marché).</w:t>
            </w:r>
          </w:p>
        </w:tc>
      </w:tr>
      <w:tr w:rsidR="00327D08" w:rsidRPr="00C258AD" w:rsidTr="00927E1F">
        <w:trPr>
          <w:cantSplit/>
        </w:trPr>
        <w:tc>
          <w:tcPr>
            <w:tcW w:w="1873" w:type="dxa"/>
            <w:gridSpan w:val="2"/>
          </w:tcPr>
          <w:p w:rsidR="00327D08" w:rsidRPr="00C258AD" w:rsidRDefault="00327D08" w:rsidP="00927E1F">
            <w:pPr>
              <w:rPr>
                <w:rFonts w:cs="Arial"/>
                <w:sz w:val="16"/>
                <w:szCs w:val="16"/>
                <w:lang w:eastAsia="ko-KR"/>
              </w:rPr>
            </w:pPr>
            <w:r w:rsidRPr="00C258AD">
              <w:rPr>
                <w:rFonts w:cs="Arial"/>
                <w:sz w:val="16"/>
                <w:szCs w:val="16"/>
                <w:lang w:eastAsia="ko-KR"/>
              </w:rPr>
              <w:t>Visite d’étude d’une délégation indonésienne sur l’élaboration d’une stratégie nationale de propriété intellectuelle en faveur de la création d’un écosystème de propriété intellectuelle efficace</w:t>
            </w:r>
          </w:p>
        </w:tc>
        <w:tc>
          <w:tcPr>
            <w:tcW w:w="1134" w:type="dxa"/>
            <w:shd w:val="clear" w:color="auto" w:fill="auto"/>
            <w:tcMar>
              <w:top w:w="110" w:type="dxa"/>
            </w:tcMar>
          </w:tcPr>
          <w:p w:rsidR="00327D08" w:rsidRPr="00C258AD" w:rsidRDefault="00327D08" w:rsidP="00927E1F">
            <w:pPr>
              <w:rPr>
                <w:rFonts w:cs="Arial"/>
                <w:sz w:val="16"/>
                <w:szCs w:val="16"/>
              </w:rPr>
            </w:pPr>
            <w:r w:rsidRPr="00C258AD">
              <w:rPr>
                <w:rFonts w:cs="Arial"/>
                <w:sz w:val="16"/>
                <w:szCs w:val="16"/>
              </w:rPr>
              <w:t>21 – 24 décembre 2015</w:t>
            </w:r>
          </w:p>
        </w:tc>
        <w:tc>
          <w:tcPr>
            <w:tcW w:w="1843" w:type="dxa"/>
            <w:shd w:val="clear" w:color="auto" w:fill="auto"/>
            <w:tcMar>
              <w:top w:w="110" w:type="dxa"/>
            </w:tcMar>
          </w:tcPr>
          <w:p w:rsidR="00327D08" w:rsidRPr="00C258AD" w:rsidRDefault="00327D08" w:rsidP="00927E1F">
            <w:pPr>
              <w:autoSpaceDE w:val="0"/>
              <w:autoSpaceDN w:val="0"/>
              <w:adjustRightInd w:val="0"/>
              <w:rPr>
                <w:rFonts w:eastAsia="Malgun Gothic" w:cs="Arial"/>
                <w:bCs/>
                <w:sz w:val="16"/>
                <w:szCs w:val="16"/>
                <w:lang w:eastAsia="ko-KR"/>
              </w:rPr>
            </w:pPr>
            <w:r w:rsidRPr="00C258AD">
              <w:rPr>
                <w:rFonts w:cs="Arial"/>
                <w:sz w:val="16"/>
                <w:szCs w:val="16"/>
                <w:lang w:eastAsia="ko-KR"/>
              </w:rPr>
              <w:t>République de Corée/ Indonésie</w:t>
            </w:r>
          </w:p>
        </w:tc>
        <w:tc>
          <w:tcPr>
            <w:tcW w:w="4678" w:type="dxa"/>
            <w:shd w:val="clear" w:color="auto" w:fill="FFFFFF"/>
            <w:tcMar>
              <w:top w:w="110" w:type="dxa"/>
            </w:tcMar>
          </w:tcPr>
          <w:p w:rsidR="00327D08" w:rsidRPr="00C258AD" w:rsidRDefault="00327D08" w:rsidP="00927E1F">
            <w:pPr>
              <w:rPr>
                <w:rFonts w:eastAsia="Malgun Gothic" w:cs="Arial"/>
                <w:sz w:val="16"/>
                <w:szCs w:val="16"/>
              </w:rPr>
            </w:pPr>
            <w:r w:rsidRPr="00C258AD">
              <w:rPr>
                <w:rFonts w:cs="Arial"/>
                <w:sz w:val="16"/>
                <w:szCs w:val="16"/>
                <w:lang w:eastAsia="ko-KR"/>
              </w:rPr>
              <w:t>i) Approfondir les connaissances des fonctionnaires gouvernementaux sur les solutions qui peuvent être adoptées au niveau politique pour renforcer les systèmes de propriété intellectuelle</w:t>
            </w:r>
            <w:r w:rsidRPr="00C258AD">
              <w:rPr>
                <w:rFonts w:eastAsiaTheme="minorEastAsia" w:cs="Arial"/>
                <w:sz w:val="16"/>
                <w:szCs w:val="16"/>
                <w:lang w:eastAsia="ko-KR"/>
              </w:rPr>
              <w:t>;  et ii) renforcer les capacités des offices de propriété intellectuelle et des organismes nationaux à mettre en œuvre des programmes sur l’utilisation efficace de la propriété intellectuelle au service du développement.</w:t>
            </w:r>
          </w:p>
        </w:tc>
      </w:tr>
      <w:tr w:rsidR="00327D08" w:rsidRPr="00C258AD" w:rsidTr="00927E1F">
        <w:trPr>
          <w:cantSplit/>
        </w:trPr>
        <w:tc>
          <w:tcPr>
            <w:tcW w:w="1873"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Mission d’experts</w:t>
            </w:r>
          </w:p>
        </w:tc>
        <w:tc>
          <w:tcPr>
            <w:tcW w:w="1134" w:type="dxa"/>
            <w:shd w:val="clear" w:color="auto" w:fill="auto"/>
            <w:tcMar>
              <w:top w:w="110" w:type="dxa"/>
            </w:tcMar>
          </w:tcPr>
          <w:p w:rsidR="00327D08" w:rsidRPr="00C258AD" w:rsidRDefault="00327D08" w:rsidP="00927E1F">
            <w:pPr>
              <w:pStyle w:val="Normal-table"/>
              <w:rPr>
                <w:rFonts w:cs="Arial"/>
                <w:sz w:val="16"/>
                <w:szCs w:val="16"/>
                <w:lang w:val="fr-FR" w:eastAsia="ko-KR"/>
              </w:rPr>
            </w:pPr>
            <w:r w:rsidRPr="00C258AD">
              <w:rPr>
                <w:rFonts w:cs="Arial"/>
                <w:sz w:val="16"/>
                <w:szCs w:val="16"/>
                <w:lang w:val="fr-FR" w:eastAsia="ko-KR"/>
              </w:rPr>
              <w:t>4 – 5 novembre 2015</w:t>
            </w:r>
          </w:p>
        </w:tc>
        <w:tc>
          <w:tcPr>
            <w:tcW w:w="1843" w:type="dxa"/>
            <w:shd w:val="clear" w:color="auto" w:fill="auto"/>
            <w:tcMar>
              <w:top w:w="110" w:type="dxa"/>
            </w:tcMar>
          </w:tcPr>
          <w:p w:rsidR="00327D08" w:rsidRPr="00C258AD" w:rsidRDefault="00327D08" w:rsidP="00927E1F">
            <w:pPr>
              <w:contextualSpacing/>
              <w:rPr>
                <w:rFonts w:cs="Arial"/>
                <w:sz w:val="16"/>
                <w:szCs w:val="16"/>
              </w:rPr>
            </w:pPr>
            <w:r w:rsidRPr="00C258AD">
              <w:rPr>
                <w:rFonts w:cs="Arial"/>
                <w:sz w:val="16"/>
                <w:szCs w:val="16"/>
              </w:rPr>
              <w:t>République de Corée</w:t>
            </w:r>
          </w:p>
        </w:tc>
        <w:tc>
          <w:tcPr>
            <w:tcW w:w="4678" w:type="dxa"/>
            <w:shd w:val="clear" w:color="auto" w:fill="FFFFFF"/>
            <w:tcMar>
              <w:top w:w="110" w:type="dxa"/>
            </w:tcMar>
          </w:tcPr>
          <w:p w:rsidR="00327D08" w:rsidRPr="00C258AD" w:rsidRDefault="00327D08" w:rsidP="00927E1F">
            <w:pPr>
              <w:keepNext/>
              <w:keepLines/>
              <w:autoSpaceDE w:val="0"/>
              <w:autoSpaceDN w:val="0"/>
              <w:adjustRightInd w:val="0"/>
              <w:rPr>
                <w:rFonts w:eastAsia="SimSun" w:cs="Arial"/>
                <w:sz w:val="16"/>
                <w:szCs w:val="16"/>
                <w:lang w:eastAsia="ko-KR"/>
              </w:rPr>
            </w:pPr>
            <w:r w:rsidRPr="00C258AD">
              <w:rPr>
                <w:rFonts w:eastAsia="SimSun" w:cs="Arial"/>
                <w:sz w:val="16"/>
                <w:szCs w:val="16"/>
                <w:lang w:eastAsia="ko-KR"/>
              </w:rPr>
              <w:t xml:space="preserve">i) Évaluer les progrès accomplis dans le cadre des opérations du PCT;  et ii) renforcer la coopération entre l’OMPI et l’Office coréen de la propriété intellectuelle (KIPO).  </w:t>
            </w:r>
          </w:p>
        </w:tc>
      </w:tr>
      <w:tr w:rsidR="00327D08" w:rsidRPr="00C258AD" w:rsidTr="00927E1F">
        <w:trPr>
          <w:cantSplit/>
        </w:trPr>
        <w:tc>
          <w:tcPr>
            <w:tcW w:w="9528" w:type="dxa"/>
            <w:gridSpan w:val="5"/>
            <w:tcBorders>
              <w:top w:val="single" w:sz="4" w:space="0" w:color="000000"/>
              <w:bottom w:val="single" w:sz="4" w:space="0" w:color="000000"/>
            </w:tcBorders>
            <w:shd w:val="clear" w:color="auto" w:fill="C6D9F1" w:themeFill="text2" w:themeFillTint="33"/>
            <w:vAlign w:val="center"/>
          </w:tcPr>
          <w:p w:rsidR="00327D08" w:rsidRPr="00C258AD" w:rsidRDefault="00327D08" w:rsidP="00927E1F">
            <w:pPr>
              <w:keepNext/>
              <w:keepLines/>
              <w:tabs>
                <w:tab w:val="left" w:pos="1740"/>
              </w:tabs>
              <w:ind w:left="1741" w:hanging="1741"/>
              <w:rPr>
                <w:rFonts w:cs="Arial"/>
                <w:b/>
                <w:bCs/>
                <w:sz w:val="16"/>
                <w:szCs w:val="16"/>
              </w:rPr>
            </w:pPr>
            <w:r w:rsidRPr="00C258AD">
              <w:rPr>
                <w:rFonts w:cs="Arial"/>
                <w:b/>
                <w:bCs/>
                <w:sz w:val="16"/>
                <w:szCs w:val="16"/>
              </w:rPr>
              <w:lastRenderedPageBreak/>
              <w:t xml:space="preserve">RÉSULTAT : </w:t>
            </w:r>
            <w:r w:rsidRPr="00C258AD">
              <w:rPr>
                <w:rFonts w:cs="Arial"/>
                <w:b/>
                <w:bCs/>
                <w:sz w:val="16"/>
                <w:szCs w:val="16"/>
              </w:rPr>
              <w:tab/>
            </w:r>
            <w:r w:rsidRPr="00C258AD">
              <w:rPr>
                <w:rFonts w:cs="Arial"/>
                <w:bCs/>
                <w:sz w:val="16"/>
                <w:szCs w:val="16"/>
              </w:rPr>
              <w:t>III.2 Mise en valeur des ressources humaines pour répondre aux diverses exigences en matière d’utilisation efficace de la propriété intellectuelle au service du développement dans les pays en développement, les PMA et les pays en transition</w:t>
            </w:r>
          </w:p>
        </w:tc>
      </w:tr>
      <w:tr w:rsidR="00327D08" w:rsidRPr="00C258AD" w:rsidTr="00927E1F">
        <w:trPr>
          <w:cantSplit/>
        </w:trPr>
        <w:tc>
          <w:tcPr>
            <w:tcW w:w="1873" w:type="dxa"/>
            <w:gridSpan w:val="2"/>
            <w:tcBorders>
              <w:top w:val="single" w:sz="4" w:space="0" w:color="000000"/>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134" w:type="dxa"/>
            <w:tcBorders>
              <w:top w:val="single" w:sz="4" w:space="0" w:color="000000"/>
            </w:tcBorders>
            <w:shd w:val="clear" w:color="auto" w:fill="auto"/>
            <w:tcMar>
              <w:top w:w="110" w:type="dxa"/>
            </w:tcMar>
            <w:vAlign w:val="center"/>
          </w:tcPr>
          <w:p w:rsidR="00327D08" w:rsidRPr="00C258AD" w:rsidRDefault="00327D08" w:rsidP="00927E1F">
            <w:pPr>
              <w:keepNext/>
              <w:rPr>
                <w:rFonts w:cs="Arial"/>
                <w:b/>
                <w:sz w:val="16"/>
                <w:szCs w:val="16"/>
              </w:rPr>
            </w:pPr>
            <w:r w:rsidRPr="00C258AD">
              <w:rPr>
                <w:rFonts w:cs="Arial"/>
                <w:b/>
                <w:sz w:val="16"/>
                <w:szCs w:val="16"/>
              </w:rPr>
              <w:t>Date</w:t>
            </w:r>
          </w:p>
        </w:tc>
        <w:tc>
          <w:tcPr>
            <w:tcW w:w="1843" w:type="dxa"/>
            <w:tcBorders>
              <w:top w:val="single" w:sz="4" w:space="0" w:color="000000"/>
            </w:tcBorders>
            <w:shd w:val="clear" w:color="auto" w:fill="auto"/>
            <w:tcMar>
              <w:top w:w="110" w:type="dxa"/>
            </w:tcMar>
            <w:vAlign w:val="center"/>
          </w:tcPr>
          <w:p w:rsidR="00327D08" w:rsidRPr="00C258AD" w:rsidRDefault="00327D08" w:rsidP="00927E1F">
            <w:pPr>
              <w:keepNext/>
              <w:rPr>
                <w:rFonts w:cs="Arial"/>
                <w:sz w:val="16"/>
                <w:szCs w:val="16"/>
              </w:rPr>
            </w:pPr>
            <w:r w:rsidRPr="00C258AD">
              <w:rPr>
                <w:b/>
                <w:sz w:val="16"/>
              </w:rPr>
              <w:t>Pays hôte/</w:t>
            </w:r>
            <w:r w:rsidRPr="00C258AD">
              <w:br/>
            </w:r>
            <w:r w:rsidRPr="00C258AD">
              <w:rPr>
                <w:b/>
                <w:sz w:val="16"/>
              </w:rPr>
              <w:t>bénéficiaires</w:t>
            </w:r>
          </w:p>
        </w:tc>
        <w:tc>
          <w:tcPr>
            <w:tcW w:w="4678" w:type="dxa"/>
            <w:tcBorders>
              <w:top w:val="single" w:sz="4" w:space="0" w:color="000000"/>
            </w:tcBorders>
            <w:shd w:val="clear" w:color="auto" w:fill="FFFFFF"/>
            <w:tcMar>
              <w:top w:w="110" w:type="dxa"/>
            </w:tcMar>
            <w:vAlign w:val="center"/>
          </w:tcPr>
          <w:p w:rsidR="00327D08" w:rsidRPr="00C258AD" w:rsidRDefault="00327D08" w:rsidP="00927E1F">
            <w:pPr>
              <w:keepNext/>
              <w:rPr>
                <w:rFonts w:cs="Arial"/>
                <w:sz w:val="16"/>
                <w:szCs w:val="16"/>
              </w:rPr>
            </w:pPr>
            <w:r w:rsidRPr="00C258AD">
              <w:rPr>
                <w:b/>
                <w:sz w:val="16"/>
              </w:rPr>
              <w:t>Objectif(s)/description(s)</w:t>
            </w:r>
          </w:p>
        </w:tc>
      </w:tr>
      <w:tr w:rsidR="00327D08" w:rsidRPr="00C258AD" w:rsidTr="00927E1F">
        <w:trPr>
          <w:cantSplit/>
        </w:trPr>
        <w:tc>
          <w:tcPr>
            <w:tcW w:w="1873" w:type="dxa"/>
            <w:gridSpan w:val="2"/>
            <w:tcBorders>
              <w:bottom w:val="nil"/>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Colloque régional organisé par l’OMPI, l’Office coréen de la propriété intellectuelle (KIPO) et la Division de la propriété intellectuelle de la Thaïlande (DIP) sur l’application des droits de propriété intellectuelle à l’intention des juges et de procureurs</w:t>
            </w:r>
          </w:p>
        </w:tc>
        <w:tc>
          <w:tcPr>
            <w:tcW w:w="1134" w:type="dxa"/>
            <w:tcBorders>
              <w:bottom w:val="nil"/>
            </w:tcBorders>
          </w:tcPr>
          <w:p w:rsidR="00327D08" w:rsidRPr="00C258AD" w:rsidRDefault="00327D08" w:rsidP="00927E1F">
            <w:pPr>
              <w:keepNext/>
              <w:rPr>
                <w:rFonts w:cs="Arial"/>
                <w:bCs/>
                <w:sz w:val="16"/>
                <w:szCs w:val="16"/>
              </w:rPr>
            </w:pPr>
            <w:r w:rsidRPr="00C258AD">
              <w:rPr>
                <w:rFonts w:cs="Arial"/>
                <w:bCs/>
                <w:sz w:val="16"/>
                <w:szCs w:val="16"/>
              </w:rPr>
              <w:t>28 – 29 octobre 2015</w:t>
            </w:r>
          </w:p>
        </w:tc>
        <w:tc>
          <w:tcPr>
            <w:tcW w:w="1843" w:type="dxa"/>
            <w:tcBorders>
              <w:bottom w:val="nil"/>
            </w:tcBorders>
          </w:tcPr>
          <w:p w:rsidR="00327D08" w:rsidRPr="00C258AD" w:rsidRDefault="00327D08" w:rsidP="00927E1F">
            <w:pPr>
              <w:keepNext/>
              <w:rPr>
                <w:rFonts w:cs="Arial"/>
                <w:bCs/>
                <w:sz w:val="16"/>
                <w:szCs w:val="16"/>
              </w:rPr>
            </w:pPr>
            <w:r w:rsidRPr="00C258AD">
              <w:rPr>
                <w:sz w:val="16"/>
              </w:rPr>
              <w:t xml:space="preserve">Thaïlande/ </w:t>
            </w:r>
            <w:proofErr w:type="spellStart"/>
            <w:r w:rsidRPr="00C258AD">
              <w:rPr>
                <w:sz w:val="16"/>
              </w:rPr>
              <w:t>Brunéi</w:t>
            </w:r>
            <w:proofErr w:type="spellEnd"/>
            <w:r w:rsidRPr="00C258AD">
              <w:rPr>
                <w:sz w:val="16"/>
              </w:rPr>
              <w:t xml:space="preserve"> Darussalam, Cambodge, Chine, Indonésie, Malaisie, Myanmar, Philippines, République de Corée, République démocratique populaire lao, Singapour, Thaïlande et Viet Nam</w:t>
            </w:r>
          </w:p>
        </w:tc>
        <w:tc>
          <w:tcPr>
            <w:tcW w:w="4678" w:type="dxa"/>
            <w:tcBorders>
              <w:bottom w:val="nil"/>
            </w:tcBorders>
          </w:tcPr>
          <w:p w:rsidR="00327D08" w:rsidRPr="00C258AD" w:rsidRDefault="00327D08" w:rsidP="00927E1F">
            <w:pPr>
              <w:keepNext/>
              <w:rPr>
                <w:rFonts w:cs="Arial"/>
                <w:bCs/>
                <w:sz w:val="16"/>
                <w:szCs w:val="16"/>
              </w:rPr>
            </w:pPr>
            <w:r w:rsidRPr="00C258AD">
              <w:rPr>
                <w:rFonts w:cs="Arial"/>
                <w:bCs/>
                <w:sz w:val="16"/>
                <w:szCs w:val="16"/>
              </w:rPr>
              <w:t>i) Approfondir les connaissances sur l’application des droits de propriété intellectuelle et ses défis;  ii) renforcer l’efficacité des procédures civiles ou pénales dans le domaine de la propriété intellectuelle, dans l’intérêt du développement et de la protection des consommateurs;  et iii) créer un réseau international de spécialistes de la propriété intellectuelle du domaine judiciaire afin de permettre un échange et une coopération durable.</w:t>
            </w:r>
          </w:p>
        </w:tc>
      </w:tr>
      <w:tr w:rsidR="00327D08" w:rsidRPr="00C258AD" w:rsidTr="00927E1F">
        <w:trPr>
          <w:cantSplit/>
        </w:trPr>
        <w:tc>
          <w:tcPr>
            <w:tcW w:w="1873" w:type="dxa"/>
            <w:gridSpan w:val="2"/>
            <w:tcBorders>
              <w:bottom w:val="nil"/>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Atelier sur le droit et l’examen des brevets</w:t>
            </w:r>
          </w:p>
        </w:tc>
        <w:tc>
          <w:tcPr>
            <w:tcW w:w="1134" w:type="dxa"/>
            <w:tcBorders>
              <w:bottom w:val="nil"/>
            </w:tcBorders>
          </w:tcPr>
          <w:p w:rsidR="00327D08" w:rsidRPr="00C258AD" w:rsidRDefault="00327D08" w:rsidP="00927E1F">
            <w:pPr>
              <w:keepNext/>
              <w:keepLines/>
              <w:autoSpaceDE w:val="0"/>
              <w:autoSpaceDN w:val="0"/>
              <w:adjustRightInd w:val="0"/>
              <w:rPr>
                <w:rFonts w:cs="Arial"/>
                <w:sz w:val="16"/>
                <w:szCs w:val="16"/>
                <w:lang w:eastAsia="ko-KR"/>
              </w:rPr>
            </w:pPr>
            <w:r w:rsidRPr="00C258AD">
              <w:rPr>
                <w:rFonts w:cs="Arial"/>
                <w:sz w:val="16"/>
                <w:szCs w:val="16"/>
                <w:lang w:eastAsia="ko-KR"/>
              </w:rPr>
              <w:t>3 – 12</w:t>
            </w:r>
            <w:r w:rsidRPr="00C258AD">
              <w:rPr>
                <w:rFonts w:cs="Arial"/>
                <w:sz w:val="16"/>
                <w:szCs w:val="16"/>
                <w:lang w:eastAsia="ko-KR"/>
              </w:rPr>
              <w:br/>
              <w:t>mars 2015</w:t>
            </w:r>
          </w:p>
          <w:p w:rsidR="00327D08" w:rsidRPr="00C258AD" w:rsidRDefault="00327D08" w:rsidP="00927E1F">
            <w:pPr>
              <w:autoSpaceDE w:val="0"/>
              <w:autoSpaceDN w:val="0"/>
              <w:adjustRightInd w:val="0"/>
              <w:rPr>
                <w:rFonts w:eastAsia="Malgun Gothic" w:cs="Arial"/>
                <w:sz w:val="16"/>
                <w:szCs w:val="16"/>
                <w:lang w:eastAsia="ko-KR"/>
              </w:rPr>
            </w:pPr>
            <w:r w:rsidRPr="00C258AD">
              <w:rPr>
                <w:rFonts w:cs="Arial"/>
                <w:sz w:val="16"/>
                <w:szCs w:val="16"/>
              </w:rPr>
              <w:t>(programme pilote de formation en cours d’emploi</w:t>
            </w:r>
            <w:r w:rsidRPr="00C258AD">
              <w:rPr>
                <w:rFonts w:cs="Arial"/>
                <w:sz w:val="16"/>
                <w:szCs w:val="16"/>
                <w:lang w:eastAsia="ko-KR"/>
              </w:rPr>
              <w:t xml:space="preserve">;  </w:t>
            </w:r>
            <w:r w:rsidRPr="00C258AD">
              <w:rPr>
                <w:rFonts w:cs="Arial"/>
                <w:sz w:val="16"/>
                <w:szCs w:val="16"/>
                <w:lang w:eastAsia="ko-KR"/>
              </w:rPr>
              <w:br/>
              <w:t>16 – 27 mars 2015)</w:t>
            </w:r>
          </w:p>
        </w:tc>
        <w:tc>
          <w:tcPr>
            <w:tcW w:w="1843" w:type="dxa"/>
            <w:tcBorders>
              <w:bottom w:val="nil"/>
            </w:tcBorders>
          </w:tcPr>
          <w:p w:rsidR="00327D08" w:rsidRPr="00C258AD" w:rsidRDefault="00327D08" w:rsidP="00927E1F">
            <w:pPr>
              <w:keepNext/>
              <w:keepLines/>
              <w:autoSpaceDE w:val="0"/>
              <w:autoSpaceDN w:val="0"/>
              <w:adjustRightInd w:val="0"/>
              <w:rPr>
                <w:rFonts w:eastAsia="Malgun Gothic" w:cs="Arial"/>
                <w:sz w:val="16"/>
                <w:szCs w:val="16"/>
                <w:lang w:eastAsia="ko-KR"/>
              </w:rPr>
            </w:pPr>
            <w:r w:rsidRPr="00C258AD">
              <w:rPr>
                <w:sz w:val="16"/>
              </w:rPr>
              <w:t>République de Corée/ Bangladesh, Cambodge, Colombie, Ghana, Inde, Indonésie, Malaisie, Mongolie, Pakistan, Pérou, Philippines, République démocratique populaire lao, Sri Lanka, Thaïlande, Tunisie et Viet Nam</w:t>
            </w:r>
          </w:p>
        </w:tc>
        <w:tc>
          <w:tcPr>
            <w:tcW w:w="4678" w:type="dxa"/>
            <w:tcBorders>
              <w:bottom w:val="nil"/>
            </w:tcBorders>
          </w:tcPr>
          <w:p w:rsidR="00327D08" w:rsidRPr="00C258AD" w:rsidRDefault="00327D08" w:rsidP="00927E1F">
            <w:pPr>
              <w:rPr>
                <w:rFonts w:cs="Arial"/>
                <w:sz w:val="16"/>
                <w:szCs w:val="16"/>
                <w:lang w:eastAsia="ko-KR"/>
              </w:rPr>
            </w:pPr>
            <w:r w:rsidRPr="00C258AD">
              <w:rPr>
                <w:rFonts w:eastAsia="SimSun" w:cs="Arial"/>
                <w:sz w:val="16"/>
                <w:szCs w:val="16"/>
                <w:lang w:eastAsia="ko-KR"/>
              </w:rPr>
              <w:t>i) Renforcer les connaissances et les compétences des examinateurs de brevets en ce qui concerne les procédures d’examen;  ii) organiser des sessions pratiques sur l’accès aux résultats des examens étrangers et l’utilisation de ces derniers, et la compréhension des notifications transmises;  iii) créer un forum où les participants peuvent échanger des vues et découvrir les différences et les points communs entre les offices de brevets nationaux en ce qui concerne la pratique de l’examen des brevets quant au fond</w:t>
            </w:r>
            <w:r w:rsidRPr="00C258AD">
              <w:rPr>
                <w:rFonts w:eastAsia="Malgun Gothic" w:cs="Arial"/>
                <w:sz w:val="16"/>
                <w:szCs w:val="16"/>
                <w:lang w:eastAsia="ko-KR"/>
              </w:rPr>
              <w:t xml:space="preserve">;  et iv) renforcer la crédibilité en ce qui concerne l’examen des brevets par un contrôle de la qualité des brevets.  </w:t>
            </w:r>
          </w:p>
        </w:tc>
      </w:tr>
      <w:tr w:rsidR="00327D08" w:rsidRPr="00C258AD" w:rsidTr="00927E1F">
        <w:trPr>
          <w:cantSplit/>
        </w:trPr>
        <w:tc>
          <w:tcPr>
            <w:tcW w:w="1873" w:type="dxa"/>
            <w:gridSpan w:val="2"/>
            <w:tcBorders>
              <w:top w:val="nil"/>
              <w:bottom w:val="nil"/>
            </w:tcBorders>
          </w:tcPr>
          <w:p w:rsidR="00327D08" w:rsidRPr="00C258AD" w:rsidRDefault="00327D08" w:rsidP="00927E1F">
            <w:pPr>
              <w:autoSpaceDE w:val="0"/>
              <w:autoSpaceDN w:val="0"/>
              <w:adjustRightInd w:val="0"/>
              <w:rPr>
                <w:rFonts w:cs="Arial"/>
                <w:sz w:val="16"/>
                <w:szCs w:val="16"/>
              </w:rPr>
            </w:pPr>
            <w:r w:rsidRPr="00C258AD">
              <w:rPr>
                <w:rFonts w:eastAsia="Malgun Gothic" w:cs="Arial"/>
                <w:sz w:val="16"/>
                <w:szCs w:val="16"/>
                <w:lang w:eastAsia="ko-KR"/>
              </w:rPr>
              <w:t>Exposition sur le programme IP IGNITE</w:t>
            </w:r>
          </w:p>
        </w:tc>
        <w:tc>
          <w:tcPr>
            <w:tcW w:w="1134" w:type="dxa"/>
            <w:tcBorders>
              <w:top w:val="nil"/>
              <w:bottom w:val="nil"/>
            </w:tcBorders>
          </w:tcPr>
          <w:p w:rsidR="00327D08" w:rsidRPr="00C258AD" w:rsidRDefault="00327D08" w:rsidP="00927E1F">
            <w:pPr>
              <w:autoSpaceDE w:val="0"/>
              <w:autoSpaceDN w:val="0"/>
              <w:adjustRightInd w:val="0"/>
              <w:rPr>
                <w:rFonts w:eastAsia="Malgun Gothic" w:cs="Arial"/>
                <w:sz w:val="16"/>
                <w:szCs w:val="16"/>
                <w:lang w:eastAsia="ko-KR"/>
              </w:rPr>
            </w:pPr>
            <w:r w:rsidRPr="00C258AD">
              <w:rPr>
                <w:rFonts w:eastAsia="Malgun Gothic" w:cs="Arial"/>
                <w:sz w:val="16"/>
                <w:szCs w:val="16"/>
                <w:lang w:eastAsia="ko-KR"/>
              </w:rPr>
              <w:t>20 avril 2015</w:t>
            </w:r>
          </w:p>
        </w:tc>
        <w:tc>
          <w:tcPr>
            <w:tcW w:w="1843" w:type="dxa"/>
            <w:tcBorders>
              <w:top w:val="nil"/>
              <w:bottom w:val="nil"/>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Tous les États membres de l’OMPI</w:t>
            </w:r>
          </w:p>
        </w:tc>
        <w:tc>
          <w:tcPr>
            <w:tcW w:w="4678" w:type="dxa"/>
            <w:tcBorders>
              <w:top w:val="nil"/>
              <w:bottom w:val="nil"/>
            </w:tcBorders>
          </w:tcPr>
          <w:p w:rsidR="00327D08" w:rsidRPr="00C258AD" w:rsidRDefault="00327D08" w:rsidP="00927E1F">
            <w:pPr>
              <w:autoSpaceDE w:val="0"/>
              <w:autoSpaceDN w:val="0"/>
              <w:adjustRightInd w:val="0"/>
              <w:rPr>
                <w:rFonts w:cs="Arial"/>
                <w:sz w:val="16"/>
                <w:szCs w:val="16"/>
                <w:lang w:eastAsia="ko-KR"/>
              </w:rPr>
            </w:pPr>
            <w:r w:rsidRPr="00C258AD">
              <w:rPr>
                <w:rFonts w:cs="Arial"/>
                <w:sz w:val="16"/>
                <w:szCs w:val="16"/>
                <w:lang w:eastAsia="ko-KR"/>
              </w:rPr>
              <w:t>Commémoration du lancement du programme IP IGNITE, créé par le KIPO en coopération avec l’Académie de l’OMPI dans le but d’élaborer un cours audiovisuel général sur la propriété intellectuelle fondé sur le cours DL</w:t>
            </w:r>
            <w:r w:rsidRPr="00C258AD">
              <w:rPr>
                <w:rFonts w:cs="Arial"/>
                <w:sz w:val="16"/>
                <w:szCs w:val="16"/>
                <w:lang w:eastAsia="ko-KR"/>
              </w:rPr>
              <w:noBreakHyphen/>
              <w:t xml:space="preserve">101 de l’OMPI.  </w:t>
            </w:r>
          </w:p>
        </w:tc>
      </w:tr>
      <w:tr w:rsidR="00327D08" w:rsidRPr="00C258AD" w:rsidTr="00927E1F">
        <w:trPr>
          <w:cantSplit/>
        </w:trPr>
        <w:tc>
          <w:tcPr>
            <w:tcW w:w="1873" w:type="dxa"/>
            <w:gridSpan w:val="2"/>
            <w:tcBorders>
              <w:top w:val="nil"/>
              <w:left w:val="single" w:sz="4" w:space="0" w:color="auto"/>
              <w:bottom w:val="nil"/>
            </w:tcBorders>
          </w:tcPr>
          <w:p w:rsidR="00327D08" w:rsidRPr="00C258AD" w:rsidRDefault="00327D08" w:rsidP="00927E1F">
            <w:pPr>
              <w:autoSpaceDE w:val="0"/>
              <w:autoSpaceDN w:val="0"/>
              <w:adjustRightInd w:val="0"/>
              <w:rPr>
                <w:rFonts w:eastAsia="Malgun Gothic" w:cs="Arial"/>
                <w:sz w:val="16"/>
                <w:szCs w:val="16"/>
                <w:lang w:eastAsia="ko-KR"/>
              </w:rPr>
            </w:pPr>
            <w:r w:rsidRPr="00C258AD">
              <w:rPr>
                <w:rFonts w:cs="Arial"/>
                <w:sz w:val="16"/>
                <w:szCs w:val="16"/>
              </w:rPr>
              <w:t>Séminaire régional sur l’élaboration et la mise en œuvre d’une politique nationale en matière de propriété intellectuelle</w:t>
            </w:r>
          </w:p>
        </w:tc>
        <w:tc>
          <w:tcPr>
            <w:tcW w:w="1134" w:type="dxa"/>
            <w:tcBorders>
              <w:top w:val="nil"/>
              <w:bottom w:val="nil"/>
            </w:tcBorders>
          </w:tcPr>
          <w:p w:rsidR="00327D08" w:rsidRPr="00C258AD" w:rsidRDefault="00327D08" w:rsidP="00927E1F">
            <w:pPr>
              <w:autoSpaceDE w:val="0"/>
              <w:autoSpaceDN w:val="0"/>
              <w:adjustRightInd w:val="0"/>
              <w:rPr>
                <w:rFonts w:eastAsia="Malgun Gothic" w:cs="Arial"/>
                <w:sz w:val="16"/>
                <w:szCs w:val="16"/>
                <w:lang w:eastAsia="ko-KR"/>
              </w:rPr>
            </w:pPr>
            <w:r w:rsidRPr="00C258AD">
              <w:rPr>
                <w:rFonts w:eastAsia="Malgun Gothic" w:cs="Arial"/>
                <w:sz w:val="16"/>
                <w:szCs w:val="16"/>
                <w:lang w:eastAsia="ko-KR"/>
              </w:rPr>
              <w:t>9 – 11 juin 2015</w:t>
            </w:r>
          </w:p>
        </w:tc>
        <w:tc>
          <w:tcPr>
            <w:tcW w:w="1843" w:type="dxa"/>
            <w:tcBorders>
              <w:top w:val="nil"/>
              <w:bottom w:val="nil"/>
            </w:tcBorders>
          </w:tcPr>
          <w:p w:rsidR="00327D08" w:rsidRPr="00C258AD" w:rsidRDefault="00327D08" w:rsidP="00927E1F">
            <w:pPr>
              <w:contextualSpacing/>
              <w:rPr>
                <w:rFonts w:cs="Arial"/>
                <w:sz w:val="16"/>
                <w:szCs w:val="16"/>
              </w:rPr>
            </w:pPr>
            <w:r w:rsidRPr="00C258AD">
              <w:rPr>
                <w:sz w:val="16"/>
              </w:rPr>
              <w:t>République de Corée/ Arabie saoudite, Cambodge, Cameroun, Gambie, Ghana, Inde, Mexique, Mongolie, Myanmar, Paraguay, Philippines, République dominicaine, Viet Nam, Zambie et Zimbabwe</w:t>
            </w:r>
          </w:p>
        </w:tc>
        <w:tc>
          <w:tcPr>
            <w:tcW w:w="4678" w:type="dxa"/>
            <w:tcBorders>
              <w:top w:val="nil"/>
              <w:bottom w:val="nil"/>
              <w:right w:val="single" w:sz="4" w:space="0" w:color="auto"/>
            </w:tcBorders>
          </w:tcPr>
          <w:p w:rsidR="00327D08" w:rsidRPr="00C258AD" w:rsidRDefault="00327D08" w:rsidP="00927E1F">
            <w:pPr>
              <w:rPr>
                <w:rFonts w:cs="Arial"/>
                <w:sz w:val="16"/>
                <w:szCs w:val="16"/>
                <w:lang w:eastAsia="ko-KR"/>
              </w:rPr>
            </w:pPr>
            <w:r w:rsidRPr="00C258AD">
              <w:rPr>
                <w:rFonts w:eastAsia="SimSun" w:cs="Arial"/>
                <w:sz w:val="16"/>
                <w:szCs w:val="16"/>
                <w:lang w:eastAsia="ko-KR"/>
              </w:rPr>
              <w:t>i) Présenter les données d’expérience du KIPO en ce qui concerne l’élaboration et la mise en œuvre de sa politique en matière de propriété intellectuelle;  ii) recenser les défis que doivent relever les pays en développement en matière de politique de propriété intellectuelle;  et iii) élaborer des stratégies appropriées pour l’élaboration d’une politique en matière de propriété intellectuelle et sa mise en œuvre dans les pays en développement.</w:t>
            </w:r>
          </w:p>
        </w:tc>
      </w:tr>
      <w:tr w:rsidR="00327D08" w:rsidRPr="00C258AD" w:rsidTr="00927E1F">
        <w:trPr>
          <w:cantSplit/>
        </w:trPr>
        <w:tc>
          <w:tcPr>
            <w:tcW w:w="1873" w:type="dxa"/>
            <w:gridSpan w:val="2"/>
            <w:tcBorders>
              <w:top w:val="nil"/>
              <w:left w:val="single" w:sz="4" w:space="0" w:color="auto"/>
              <w:bottom w:val="nil"/>
            </w:tcBorders>
          </w:tcPr>
          <w:p w:rsidR="00327D08" w:rsidRPr="00C258AD" w:rsidRDefault="00327D08" w:rsidP="00927E1F">
            <w:pPr>
              <w:autoSpaceDE w:val="0"/>
              <w:autoSpaceDN w:val="0"/>
              <w:adjustRightInd w:val="0"/>
              <w:rPr>
                <w:rFonts w:eastAsia="Malgun Gothic" w:cs="Arial"/>
                <w:sz w:val="16"/>
                <w:szCs w:val="16"/>
                <w:lang w:eastAsia="ko-KR"/>
              </w:rPr>
            </w:pPr>
            <w:r w:rsidRPr="00C258AD">
              <w:rPr>
                <w:rFonts w:eastAsia="Malgun Gothic" w:cs="Arial"/>
                <w:sz w:val="16"/>
                <w:szCs w:val="16"/>
                <w:lang w:eastAsia="ko-KR"/>
              </w:rPr>
              <w:t>Instrument multimédia IP PANORAMA</w:t>
            </w:r>
          </w:p>
        </w:tc>
        <w:tc>
          <w:tcPr>
            <w:tcW w:w="1134" w:type="dxa"/>
            <w:tcBorders>
              <w:top w:val="nil"/>
              <w:bottom w:val="nil"/>
            </w:tcBorders>
          </w:tcPr>
          <w:p w:rsidR="00327D08" w:rsidRPr="00C258AD" w:rsidRDefault="00327D08" w:rsidP="00927E1F">
            <w:pPr>
              <w:autoSpaceDE w:val="0"/>
              <w:autoSpaceDN w:val="0"/>
              <w:adjustRightInd w:val="0"/>
              <w:rPr>
                <w:rFonts w:eastAsia="Malgun Gothic" w:cs="Arial"/>
                <w:sz w:val="16"/>
                <w:szCs w:val="16"/>
                <w:lang w:eastAsia="ko-KR"/>
              </w:rPr>
            </w:pPr>
            <w:r w:rsidRPr="00C258AD">
              <w:rPr>
                <w:rFonts w:eastAsia="Malgun Gothic" w:cs="Arial"/>
                <w:sz w:val="16"/>
                <w:szCs w:val="16"/>
                <w:lang w:eastAsia="ko-KR"/>
              </w:rPr>
              <w:t>janvier à décembre 2015</w:t>
            </w:r>
            <w:r w:rsidRPr="00C258AD">
              <w:rPr>
                <w:rStyle w:val="FootnoteReference"/>
                <w:rFonts w:cs="Arial"/>
                <w:sz w:val="16"/>
                <w:szCs w:val="16"/>
                <w:lang w:eastAsia="ko-KR"/>
              </w:rPr>
              <w:footnoteReference w:id="163"/>
            </w:r>
          </w:p>
        </w:tc>
        <w:tc>
          <w:tcPr>
            <w:tcW w:w="1843" w:type="dxa"/>
            <w:tcBorders>
              <w:top w:val="nil"/>
              <w:bottom w:val="nil"/>
            </w:tcBorders>
          </w:tcPr>
          <w:p w:rsidR="00327D08" w:rsidRPr="00C258AD" w:rsidRDefault="00327D08" w:rsidP="00927E1F">
            <w:pPr>
              <w:autoSpaceDE w:val="0"/>
              <w:autoSpaceDN w:val="0"/>
              <w:adjustRightInd w:val="0"/>
              <w:rPr>
                <w:rFonts w:cs="Arial"/>
                <w:sz w:val="16"/>
                <w:szCs w:val="16"/>
              </w:rPr>
            </w:pPr>
            <w:r w:rsidRPr="00C258AD">
              <w:rPr>
                <w:sz w:val="16"/>
              </w:rPr>
              <w:t>Cambodge, Myanmar et République démocratique populaire lao</w:t>
            </w:r>
          </w:p>
        </w:tc>
        <w:tc>
          <w:tcPr>
            <w:tcW w:w="4678" w:type="dxa"/>
            <w:tcBorders>
              <w:top w:val="nil"/>
              <w:bottom w:val="nil"/>
              <w:right w:val="single" w:sz="4" w:space="0" w:color="auto"/>
            </w:tcBorders>
          </w:tcPr>
          <w:p w:rsidR="00327D08" w:rsidRPr="00C258AD" w:rsidRDefault="00327D08" w:rsidP="00927E1F">
            <w:pPr>
              <w:autoSpaceDE w:val="0"/>
              <w:autoSpaceDN w:val="0"/>
              <w:adjustRightInd w:val="0"/>
              <w:rPr>
                <w:rFonts w:cs="Arial"/>
                <w:sz w:val="16"/>
                <w:szCs w:val="16"/>
                <w:lang w:eastAsia="ko-KR"/>
              </w:rPr>
            </w:pPr>
            <w:r w:rsidRPr="00C258AD">
              <w:rPr>
                <w:rFonts w:cs="Arial"/>
                <w:sz w:val="16"/>
                <w:szCs w:val="16"/>
              </w:rPr>
              <w:t>Traduction des 12 modules de l’instrument multimédia IP PANORAMA de l’OMPI dans trois pays, à savoir le Cambodge, le Myanmar et la République démocratique populaire lao.</w:t>
            </w:r>
          </w:p>
        </w:tc>
      </w:tr>
      <w:tr w:rsidR="00327D08" w:rsidRPr="00C258AD" w:rsidTr="00927E1F">
        <w:trPr>
          <w:cantSplit/>
        </w:trPr>
        <w:tc>
          <w:tcPr>
            <w:tcW w:w="1873" w:type="dxa"/>
            <w:gridSpan w:val="2"/>
            <w:tcBorders>
              <w:top w:val="nil"/>
              <w:bottom w:val="nil"/>
            </w:tcBorders>
          </w:tcPr>
          <w:p w:rsidR="00327D08" w:rsidRPr="00C258AD" w:rsidRDefault="00327D08" w:rsidP="00927E1F">
            <w:pPr>
              <w:autoSpaceDE w:val="0"/>
              <w:autoSpaceDN w:val="0"/>
              <w:adjustRightInd w:val="0"/>
              <w:rPr>
                <w:rFonts w:eastAsia="Malgun Gothic" w:cs="Arial"/>
                <w:sz w:val="16"/>
                <w:szCs w:val="16"/>
                <w:lang w:eastAsia="ko-KR"/>
              </w:rPr>
            </w:pPr>
            <w:r w:rsidRPr="00C258AD">
              <w:rPr>
                <w:rFonts w:cs="Arial"/>
                <w:sz w:val="16"/>
                <w:szCs w:val="16"/>
              </w:rPr>
              <w:t xml:space="preserve">Production du guide fondé sur le film d’animation </w:t>
            </w:r>
            <w:proofErr w:type="spellStart"/>
            <w:r w:rsidRPr="00C258AD">
              <w:rPr>
                <w:rFonts w:cs="Arial"/>
                <w:sz w:val="16"/>
                <w:szCs w:val="16"/>
              </w:rPr>
              <w:t>Pororo</w:t>
            </w:r>
            <w:proofErr w:type="spellEnd"/>
            <w:r w:rsidRPr="00C258AD">
              <w:rPr>
                <w:rFonts w:cs="Arial"/>
                <w:sz w:val="16"/>
                <w:szCs w:val="16"/>
              </w:rPr>
              <w:t xml:space="preserve"> en espagnol et en français</w:t>
            </w:r>
          </w:p>
        </w:tc>
        <w:tc>
          <w:tcPr>
            <w:tcW w:w="1134" w:type="dxa"/>
            <w:tcBorders>
              <w:top w:val="nil"/>
              <w:bottom w:val="nil"/>
            </w:tcBorders>
          </w:tcPr>
          <w:p w:rsidR="00327D08" w:rsidRPr="00C258AD" w:rsidRDefault="00327D08" w:rsidP="00927E1F">
            <w:pPr>
              <w:autoSpaceDE w:val="0"/>
              <w:autoSpaceDN w:val="0"/>
              <w:adjustRightInd w:val="0"/>
              <w:rPr>
                <w:rFonts w:eastAsia="Malgun Gothic" w:cs="Arial"/>
                <w:sz w:val="16"/>
                <w:szCs w:val="16"/>
                <w:lang w:eastAsia="ko-KR"/>
              </w:rPr>
            </w:pPr>
            <w:r w:rsidRPr="00C258AD">
              <w:rPr>
                <w:rFonts w:eastAsia="Malgun Gothic" w:cs="Arial"/>
                <w:sz w:val="16"/>
                <w:szCs w:val="16"/>
                <w:lang w:eastAsia="ko-KR"/>
              </w:rPr>
              <w:t>février à avril </w:t>
            </w:r>
            <w:r w:rsidRPr="00C258AD">
              <w:rPr>
                <w:rFonts w:cs="Arial"/>
                <w:sz w:val="16"/>
                <w:szCs w:val="16"/>
                <w:lang w:eastAsia="ko-KR"/>
              </w:rPr>
              <w:t>2015</w:t>
            </w:r>
          </w:p>
        </w:tc>
        <w:tc>
          <w:tcPr>
            <w:tcW w:w="1843" w:type="dxa"/>
            <w:tcBorders>
              <w:top w:val="nil"/>
              <w:bottom w:val="nil"/>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République de Corée/ tous les États membres de l’OMPI</w:t>
            </w:r>
          </w:p>
        </w:tc>
        <w:tc>
          <w:tcPr>
            <w:tcW w:w="4678" w:type="dxa"/>
            <w:tcBorders>
              <w:top w:val="nil"/>
              <w:bottom w:val="nil"/>
            </w:tcBorders>
          </w:tcPr>
          <w:p w:rsidR="00327D08" w:rsidRPr="00C258AD" w:rsidRDefault="00327D08" w:rsidP="00927E1F">
            <w:pPr>
              <w:autoSpaceDE w:val="0"/>
              <w:autoSpaceDN w:val="0"/>
              <w:adjustRightInd w:val="0"/>
              <w:rPr>
                <w:rFonts w:cs="Arial"/>
                <w:sz w:val="16"/>
                <w:szCs w:val="16"/>
                <w:lang w:eastAsia="ko-KR"/>
              </w:rPr>
            </w:pPr>
            <w:r w:rsidRPr="00C258AD">
              <w:rPr>
                <w:rFonts w:eastAsia="SimSun" w:cs="Arial"/>
                <w:sz w:val="16"/>
                <w:szCs w:val="16"/>
                <w:lang w:eastAsia="ko-KR"/>
              </w:rPr>
              <w:t>i) Créer du matériel convivial sur la propriété intellectuelle à l’usage des personnes qui ne sont pas des spécialistes de la propriété intellectuelle;  ii) sensibiliser le public aux questions relatives à la propriété intellectuelle;  iii) aider les écoles et les autres établissements d’enseignement à élaborer des programmes scolaires qui misent sur la créativité;  et iv) faciliter l’accès des utilisateurs de la propriété intellectuelle à du matériel sur la propriété intellectuelle dans les langues locales.</w:t>
            </w:r>
          </w:p>
        </w:tc>
      </w:tr>
      <w:tr w:rsidR="00327D08" w:rsidRPr="00C258AD" w:rsidTr="00927E1F">
        <w:trPr>
          <w:cantSplit/>
        </w:trPr>
        <w:tc>
          <w:tcPr>
            <w:tcW w:w="1873" w:type="dxa"/>
            <w:gridSpan w:val="2"/>
            <w:tcBorders>
              <w:top w:val="nil"/>
              <w:bottom w:val="single" w:sz="4" w:space="0" w:color="000000"/>
            </w:tcBorders>
          </w:tcPr>
          <w:p w:rsidR="00327D08" w:rsidRPr="00C258AD" w:rsidRDefault="00327D08" w:rsidP="00927E1F">
            <w:pPr>
              <w:autoSpaceDE w:val="0"/>
              <w:autoSpaceDN w:val="0"/>
              <w:adjustRightInd w:val="0"/>
              <w:rPr>
                <w:rFonts w:eastAsia="Malgun Gothic" w:cs="Arial"/>
                <w:sz w:val="16"/>
                <w:szCs w:val="16"/>
                <w:lang w:eastAsia="ko-KR"/>
              </w:rPr>
            </w:pPr>
            <w:r w:rsidRPr="00C258AD">
              <w:rPr>
                <w:rFonts w:eastAsia="Malgun Gothic" w:cs="Arial"/>
                <w:sz w:val="16"/>
                <w:szCs w:val="16"/>
                <w:lang w:eastAsia="ko-KR"/>
              </w:rPr>
              <w:t>Production d’un support pédagogique concernant la propriété intellectuelle</w:t>
            </w:r>
          </w:p>
        </w:tc>
        <w:tc>
          <w:tcPr>
            <w:tcW w:w="1134" w:type="dxa"/>
            <w:tcBorders>
              <w:top w:val="nil"/>
              <w:bottom w:val="single" w:sz="4" w:space="0" w:color="000000"/>
            </w:tcBorders>
          </w:tcPr>
          <w:p w:rsidR="00327D08" w:rsidRPr="00C258AD" w:rsidRDefault="00327D08" w:rsidP="00927E1F">
            <w:pPr>
              <w:autoSpaceDE w:val="0"/>
              <w:autoSpaceDN w:val="0"/>
              <w:adjustRightInd w:val="0"/>
              <w:rPr>
                <w:rFonts w:eastAsia="Malgun Gothic" w:cs="Arial"/>
                <w:sz w:val="16"/>
                <w:szCs w:val="16"/>
                <w:lang w:eastAsia="ko-KR"/>
              </w:rPr>
            </w:pPr>
            <w:r w:rsidRPr="00C258AD">
              <w:rPr>
                <w:rFonts w:eastAsia="Malgun Gothic" w:cs="Arial"/>
                <w:sz w:val="16"/>
                <w:szCs w:val="16"/>
                <w:lang w:eastAsia="ko-KR"/>
              </w:rPr>
              <w:t>janvier à décembre 2015</w:t>
            </w:r>
            <w:r w:rsidRPr="00C258AD">
              <w:rPr>
                <w:rStyle w:val="FootnoteReference"/>
                <w:rFonts w:eastAsia="Malgun Gothic" w:cs="Arial"/>
                <w:sz w:val="16"/>
                <w:szCs w:val="16"/>
                <w:lang w:eastAsia="ko-KR"/>
              </w:rPr>
              <w:footnoteReference w:id="164"/>
            </w:r>
          </w:p>
        </w:tc>
        <w:tc>
          <w:tcPr>
            <w:tcW w:w="1843" w:type="dxa"/>
            <w:tcBorders>
              <w:top w:val="nil"/>
              <w:bottom w:val="single" w:sz="4" w:space="0" w:color="000000"/>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République de Corée</w:t>
            </w:r>
          </w:p>
        </w:tc>
        <w:tc>
          <w:tcPr>
            <w:tcW w:w="4678" w:type="dxa"/>
            <w:tcBorders>
              <w:top w:val="nil"/>
              <w:bottom w:val="single" w:sz="4" w:space="0" w:color="000000"/>
            </w:tcBorders>
          </w:tcPr>
          <w:p w:rsidR="00327D08" w:rsidRPr="00C258AD" w:rsidRDefault="00327D08" w:rsidP="00927E1F">
            <w:pPr>
              <w:autoSpaceDE w:val="0"/>
              <w:autoSpaceDN w:val="0"/>
              <w:adjustRightInd w:val="0"/>
              <w:rPr>
                <w:rFonts w:cs="Arial"/>
                <w:sz w:val="16"/>
                <w:szCs w:val="16"/>
                <w:lang w:eastAsia="ko-KR"/>
              </w:rPr>
            </w:pPr>
            <w:r w:rsidRPr="00C258AD">
              <w:rPr>
                <w:rFonts w:eastAsia="SimSun" w:cs="Arial"/>
                <w:sz w:val="16"/>
                <w:szCs w:val="16"/>
                <w:lang w:eastAsia="ko-KR"/>
              </w:rPr>
              <w:t>i) Produire du matériel pédagogique sur la propriété intellectuelle pour les étudiants du secondaire pour leur expliquer ce qu’est une invention et comment transformer une idée en actif de propriété intellectuelle;  et ii) aider les écoles et les autres établissements d’enseignement à élaborer des programmes scolaires qui misent sur la créativité.</w:t>
            </w:r>
          </w:p>
        </w:tc>
      </w:tr>
      <w:tr w:rsidR="00327D08" w:rsidRPr="00C258AD" w:rsidTr="00927E1F">
        <w:trPr>
          <w:cantSplit/>
        </w:trPr>
        <w:tc>
          <w:tcPr>
            <w:tcW w:w="9528" w:type="dxa"/>
            <w:gridSpan w:val="5"/>
            <w:tcBorders>
              <w:top w:val="single" w:sz="4" w:space="0" w:color="000000"/>
              <w:bottom w:val="single" w:sz="4" w:space="0" w:color="000000"/>
            </w:tcBorders>
            <w:shd w:val="clear" w:color="auto" w:fill="C6D9F1" w:themeFill="text2" w:themeFillTint="33"/>
          </w:tcPr>
          <w:p w:rsidR="00327D08" w:rsidRPr="00C258AD" w:rsidRDefault="00327D08" w:rsidP="00927E1F">
            <w:pPr>
              <w:keepNext/>
              <w:keepLines/>
              <w:tabs>
                <w:tab w:val="left" w:pos="1740"/>
              </w:tabs>
              <w:ind w:left="1740" w:hanging="1740"/>
              <w:rPr>
                <w:rFonts w:eastAsia="Malgun Gothic" w:cs="Arial"/>
                <w:sz w:val="16"/>
                <w:szCs w:val="16"/>
                <w:lang w:eastAsia="ko-KR"/>
              </w:rPr>
            </w:pPr>
            <w:r w:rsidRPr="00C258AD">
              <w:rPr>
                <w:rFonts w:eastAsia="Malgun Gothic" w:cs="Arial"/>
                <w:b/>
                <w:sz w:val="16"/>
                <w:szCs w:val="16"/>
                <w:lang w:eastAsia="ko-KR"/>
              </w:rPr>
              <w:lastRenderedPageBreak/>
              <w:t>RÉSULTAT :</w:t>
            </w:r>
            <w:r w:rsidRPr="00C258AD">
              <w:rPr>
                <w:rFonts w:eastAsia="Malgun Gothic" w:cs="Arial"/>
                <w:sz w:val="16"/>
                <w:szCs w:val="16"/>
                <w:lang w:eastAsia="ko-KR"/>
              </w:rPr>
              <w:t xml:space="preserve"> </w:t>
            </w:r>
            <w:r w:rsidRPr="00C258AD">
              <w:rPr>
                <w:rFonts w:eastAsia="Malgun Gothic" w:cs="Arial"/>
                <w:sz w:val="16"/>
                <w:szCs w:val="16"/>
                <w:lang w:eastAsia="ko-KR"/>
              </w:rPr>
              <w:tab/>
              <w:t>IV.2 Amélioration de l’accessibilité et de l’utilisation de l’information en matière de propriété intellectuelle par les institutions compétentes et le public afin de promouvoir l’innovation et la créativité</w:t>
            </w:r>
          </w:p>
        </w:tc>
      </w:tr>
      <w:tr w:rsidR="00327D08" w:rsidRPr="00C258AD" w:rsidTr="00927E1F">
        <w:trPr>
          <w:cantSplit/>
        </w:trPr>
        <w:tc>
          <w:tcPr>
            <w:tcW w:w="1830" w:type="dxa"/>
            <w:tcBorders>
              <w:top w:val="single" w:sz="4" w:space="0" w:color="000000"/>
              <w:bottom w:val="nil"/>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177" w:type="dxa"/>
            <w:gridSpan w:val="2"/>
            <w:tcBorders>
              <w:top w:val="single" w:sz="4" w:space="0" w:color="000000"/>
              <w:bottom w:val="nil"/>
            </w:tcBorders>
            <w:vAlign w:val="center"/>
          </w:tcPr>
          <w:p w:rsidR="00327D08" w:rsidRPr="00C258AD" w:rsidRDefault="00327D08" w:rsidP="00927E1F">
            <w:pPr>
              <w:keepNext/>
              <w:rPr>
                <w:rFonts w:cs="Arial"/>
                <w:b/>
                <w:sz w:val="16"/>
                <w:szCs w:val="16"/>
              </w:rPr>
            </w:pPr>
            <w:r w:rsidRPr="00C258AD">
              <w:rPr>
                <w:rFonts w:cs="Arial"/>
                <w:b/>
                <w:sz w:val="16"/>
                <w:szCs w:val="16"/>
              </w:rPr>
              <w:t>Date</w:t>
            </w:r>
          </w:p>
        </w:tc>
        <w:tc>
          <w:tcPr>
            <w:tcW w:w="1843" w:type="dxa"/>
            <w:tcBorders>
              <w:top w:val="single" w:sz="4" w:space="0" w:color="000000"/>
              <w:bottom w:val="nil"/>
            </w:tcBorders>
            <w:vAlign w:val="center"/>
          </w:tcPr>
          <w:p w:rsidR="00327D08" w:rsidRPr="00C258AD" w:rsidRDefault="00327D08" w:rsidP="00927E1F">
            <w:pPr>
              <w:keepNext/>
              <w:rPr>
                <w:rFonts w:cs="Arial"/>
                <w:sz w:val="16"/>
                <w:szCs w:val="16"/>
              </w:rPr>
            </w:pPr>
            <w:r w:rsidRPr="00C258AD">
              <w:rPr>
                <w:b/>
                <w:sz w:val="16"/>
              </w:rPr>
              <w:t>Pays hôte/</w:t>
            </w:r>
            <w:r w:rsidRPr="00C258AD">
              <w:br/>
            </w:r>
            <w:r w:rsidRPr="00C258AD">
              <w:rPr>
                <w:b/>
                <w:sz w:val="16"/>
              </w:rPr>
              <w:t>bénéficiaires</w:t>
            </w:r>
          </w:p>
        </w:tc>
        <w:tc>
          <w:tcPr>
            <w:tcW w:w="4678" w:type="dxa"/>
            <w:tcBorders>
              <w:top w:val="single" w:sz="4" w:space="0" w:color="000000"/>
              <w:bottom w:val="nil"/>
            </w:tcBorders>
            <w:vAlign w:val="center"/>
          </w:tcPr>
          <w:p w:rsidR="00327D08" w:rsidRPr="00C258AD" w:rsidRDefault="00327D08" w:rsidP="00927E1F">
            <w:pPr>
              <w:keepNext/>
              <w:rPr>
                <w:rFonts w:cs="Arial"/>
                <w:sz w:val="16"/>
                <w:szCs w:val="16"/>
              </w:rPr>
            </w:pPr>
            <w:r w:rsidRPr="00C258AD">
              <w:rPr>
                <w:b/>
                <w:sz w:val="16"/>
              </w:rPr>
              <w:t>Objectif(s)/description(s)</w:t>
            </w:r>
          </w:p>
        </w:tc>
      </w:tr>
      <w:tr w:rsidR="00327D08" w:rsidRPr="00C258AD" w:rsidTr="00927E1F">
        <w:trPr>
          <w:cantSplit/>
        </w:trPr>
        <w:tc>
          <w:tcPr>
            <w:tcW w:w="1830" w:type="dxa"/>
            <w:tcBorders>
              <w:bottom w:val="nil"/>
            </w:tcBorders>
          </w:tcPr>
          <w:p w:rsidR="00327D08" w:rsidRPr="00C258AD" w:rsidRDefault="00327D08" w:rsidP="00927E1F">
            <w:pPr>
              <w:autoSpaceDE w:val="0"/>
              <w:autoSpaceDN w:val="0"/>
              <w:adjustRightInd w:val="0"/>
              <w:rPr>
                <w:rFonts w:cs="Arial"/>
                <w:sz w:val="16"/>
                <w:szCs w:val="16"/>
              </w:rPr>
            </w:pPr>
            <w:r w:rsidRPr="00C258AD">
              <w:rPr>
                <w:rFonts w:cs="Arial"/>
                <w:sz w:val="16"/>
                <w:szCs w:val="16"/>
                <w:lang w:eastAsia="ko-KR"/>
              </w:rPr>
              <w:t>Séminaire régional sur la diffusion des inventions faisant appel à des technologies appropriées</w:t>
            </w:r>
          </w:p>
        </w:tc>
        <w:tc>
          <w:tcPr>
            <w:tcW w:w="1177" w:type="dxa"/>
            <w:gridSpan w:val="2"/>
            <w:tcBorders>
              <w:bottom w:val="nil"/>
            </w:tcBorders>
          </w:tcPr>
          <w:p w:rsidR="00327D08" w:rsidRPr="00C258AD" w:rsidRDefault="00327D08" w:rsidP="00927E1F">
            <w:pPr>
              <w:autoSpaceDE w:val="0"/>
              <w:autoSpaceDN w:val="0"/>
              <w:adjustRightInd w:val="0"/>
              <w:rPr>
                <w:rFonts w:eastAsia="Malgun Gothic" w:cs="Arial"/>
                <w:sz w:val="16"/>
                <w:szCs w:val="16"/>
                <w:lang w:eastAsia="ko-KR"/>
              </w:rPr>
            </w:pPr>
            <w:r w:rsidRPr="00C258AD">
              <w:rPr>
                <w:rFonts w:eastAsia="Malgun Gothic" w:cs="Arial"/>
                <w:sz w:val="16"/>
                <w:szCs w:val="16"/>
                <w:lang w:eastAsia="ko-KR"/>
              </w:rPr>
              <w:t>29 – 30 avril 2015</w:t>
            </w:r>
          </w:p>
        </w:tc>
        <w:tc>
          <w:tcPr>
            <w:tcW w:w="1843" w:type="dxa"/>
            <w:tcBorders>
              <w:bottom w:val="nil"/>
            </w:tcBorders>
          </w:tcPr>
          <w:p w:rsidR="00327D08" w:rsidRPr="00C258AD" w:rsidRDefault="00327D08" w:rsidP="00927E1F">
            <w:pPr>
              <w:keepNext/>
              <w:keepLines/>
              <w:rPr>
                <w:rFonts w:cs="Arial"/>
                <w:sz w:val="16"/>
                <w:szCs w:val="16"/>
              </w:rPr>
            </w:pPr>
            <w:r w:rsidRPr="00C258AD">
              <w:rPr>
                <w:rFonts w:cs="Arial"/>
                <w:sz w:val="16"/>
                <w:szCs w:val="16"/>
              </w:rPr>
              <w:t>République de Corée/ Éthiopie, Mexique, Mongolie, Philippines et Viet Nam</w:t>
            </w:r>
          </w:p>
        </w:tc>
        <w:tc>
          <w:tcPr>
            <w:tcW w:w="4678" w:type="dxa"/>
            <w:tcBorders>
              <w:bottom w:val="nil"/>
            </w:tcBorders>
          </w:tcPr>
          <w:p w:rsidR="00327D08" w:rsidRPr="00C258AD" w:rsidRDefault="00327D08" w:rsidP="00927E1F">
            <w:pPr>
              <w:autoSpaceDE w:val="0"/>
              <w:autoSpaceDN w:val="0"/>
              <w:adjustRightInd w:val="0"/>
              <w:rPr>
                <w:rFonts w:cs="Arial"/>
                <w:sz w:val="16"/>
                <w:szCs w:val="16"/>
                <w:lang w:eastAsia="ko-KR"/>
              </w:rPr>
            </w:pPr>
            <w:r w:rsidRPr="00C258AD">
              <w:rPr>
                <w:rFonts w:cs="Arial"/>
                <w:sz w:val="16"/>
                <w:szCs w:val="16"/>
              </w:rPr>
              <w:t>i) Partager des données d’expérience sur la création et la diffusion d’inventions faisant appel à des technologies appropriées;  ii) approfondir les connaissances sur les questions liées à la titularité des droits au niveau local et à la durabilité des technologies appropriées;  iii) déterminer les mesures à prendre pour renforcer la collaboration entre le secteur privé, les instituts de recherche ou les universités et les gouvernements, aux fins de la production et de la diffusion de produits faisant appel à des technologies appropriées;  et iv) recenser les défis liés à la diffusion de produits faisant appel à des technologies appropriées et chercher des solutions pour relever ces défis.</w:t>
            </w:r>
          </w:p>
        </w:tc>
      </w:tr>
      <w:tr w:rsidR="00327D08" w:rsidRPr="00C258AD" w:rsidTr="00927E1F">
        <w:trPr>
          <w:cantSplit/>
        </w:trPr>
        <w:tc>
          <w:tcPr>
            <w:tcW w:w="1830" w:type="dxa"/>
            <w:tcBorders>
              <w:top w:val="nil"/>
              <w:left w:val="single" w:sz="4" w:space="0" w:color="auto"/>
              <w:bottom w:val="nil"/>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Concours sur les technologies appropriées</w:t>
            </w:r>
          </w:p>
        </w:tc>
        <w:tc>
          <w:tcPr>
            <w:tcW w:w="1177" w:type="dxa"/>
            <w:gridSpan w:val="2"/>
            <w:tcBorders>
              <w:top w:val="nil"/>
              <w:bottom w:val="nil"/>
            </w:tcBorders>
          </w:tcPr>
          <w:p w:rsidR="00327D08" w:rsidRPr="00C258AD" w:rsidRDefault="00327D08" w:rsidP="00927E1F">
            <w:pPr>
              <w:autoSpaceDE w:val="0"/>
              <w:autoSpaceDN w:val="0"/>
              <w:adjustRightInd w:val="0"/>
              <w:rPr>
                <w:rFonts w:eastAsia="Malgun Gothic" w:cs="Arial"/>
                <w:sz w:val="16"/>
                <w:szCs w:val="16"/>
                <w:lang w:eastAsia="ko-KR"/>
              </w:rPr>
            </w:pPr>
            <w:r w:rsidRPr="00C258AD">
              <w:rPr>
                <w:rFonts w:eastAsia="Malgun Gothic" w:cs="Arial"/>
                <w:sz w:val="16"/>
                <w:szCs w:val="16"/>
                <w:lang w:eastAsia="ko-KR"/>
              </w:rPr>
              <w:t>1</w:t>
            </w:r>
            <w:r w:rsidRPr="00C258AD">
              <w:rPr>
                <w:rFonts w:eastAsia="Malgun Gothic" w:cs="Arial"/>
                <w:sz w:val="16"/>
                <w:szCs w:val="16"/>
                <w:vertAlign w:val="superscript"/>
                <w:lang w:eastAsia="ko-KR"/>
              </w:rPr>
              <w:t>er</w:t>
            </w:r>
            <w:r w:rsidRPr="00C258AD">
              <w:rPr>
                <w:rFonts w:eastAsia="Malgun Gothic" w:cs="Arial"/>
                <w:sz w:val="16"/>
                <w:szCs w:val="16"/>
                <w:lang w:eastAsia="ko-KR"/>
              </w:rPr>
              <w:t xml:space="preserve"> avril au 18 décembre </w:t>
            </w:r>
            <w:r w:rsidRPr="00C258AD">
              <w:rPr>
                <w:rFonts w:cs="Arial"/>
                <w:sz w:val="16"/>
                <w:szCs w:val="16"/>
                <w:lang w:eastAsia="ko-KR"/>
              </w:rPr>
              <w:t>2015</w:t>
            </w:r>
          </w:p>
        </w:tc>
        <w:tc>
          <w:tcPr>
            <w:tcW w:w="1843" w:type="dxa"/>
            <w:tcBorders>
              <w:top w:val="nil"/>
              <w:bottom w:val="nil"/>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Mongolie</w:t>
            </w:r>
          </w:p>
        </w:tc>
        <w:tc>
          <w:tcPr>
            <w:tcW w:w="4678" w:type="dxa"/>
            <w:tcBorders>
              <w:top w:val="nil"/>
              <w:bottom w:val="nil"/>
              <w:right w:val="single" w:sz="4" w:space="0" w:color="auto"/>
            </w:tcBorders>
          </w:tcPr>
          <w:p w:rsidR="00327D08" w:rsidRPr="00C258AD" w:rsidRDefault="00327D08" w:rsidP="00927E1F">
            <w:pPr>
              <w:contextualSpacing/>
              <w:rPr>
                <w:rFonts w:eastAsia="SimSun" w:cs="Arial"/>
                <w:sz w:val="16"/>
                <w:szCs w:val="16"/>
                <w:lang w:eastAsia="zh-CN"/>
              </w:rPr>
            </w:pPr>
            <w:r w:rsidRPr="00C258AD">
              <w:rPr>
                <w:rFonts w:eastAsia="SimSun" w:cs="Arial"/>
                <w:sz w:val="16"/>
                <w:szCs w:val="16"/>
                <w:lang w:eastAsia="zh-CN"/>
              </w:rPr>
              <w:t>i) Encourager et récompenser l’excellence en matière d’inventions faisant appel à des technologies appropriées qui pourraient être utilisées simplement et de façon économique par les communautés locales pour répondre à leurs besoins;  et ii) contribuer au développement durable des communautés locales.</w:t>
            </w:r>
          </w:p>
          <w:p w:rsidR="00327D08" w:rsidRPr="00C258AD" w:rsidRDefault="00327D08" w:rsidP="00927E1F">
            <w:pPr>
              <w:contextualSpacing/>
              <w:rPr>
                <w:rFonts w:eastAsia="SimSun" w:cs="Arial"/>
                <w:sz w:val="16"/>
                <w:szCs w:val="16"/>
                <w:lang w:eastAsia="zh-CN"/>
              </w:rPr>
            </w:pPr>
          </w:p>
          <w:p w:rsidR="00327D08" w:rsidRPr="00C258AD" w:rsidRDefault="00327D08" w:rsidP="00927E1F">
            <w:pPr>
              <w:contextualSpacing/>
              <w:rPr>
                <w:rFonts w:eastAsia="SimSun" w:cs="Arial"/>
                <w:sz w:val="16"/>
                <w:szCs w:val="16"/>
                <w:lang w:eastAsia="ko-KR"/>
              </w:rPr>
            </w:pPr>
            <w:r w:rsidRPr="00C258AD">
              <w:rPr>
                <w:rFonts w:eastAsia="SimSun" w:cs="Arial"/>
                <w:sz w:val="16"/>
                <w:szCs w:val="16"/>
                <w:lang w:eastAsia="zh-CN"/>
              </w:rPr>
              <w:t>L’utilisation efficace d’informations relatives aux brevets lors de la conception des solutions élaborées a été un élément clé du concours.</w:t>
            </w:r>
          </w:p>
        </w:tc>
      </w:tr>
      <w:tr w:rsidR="00327D08" w:rsidRPr="00C258AD" w:rsidTr="00927E1F">
        <w:trPr>
          <w:cantSplit/>
        </w:trPr>
        <w:tc>
          <w:tcPr>
            <w:tcW w:w="1830" w:type="dxa"/>
            <w:tcBorders>
              <w:top w:val="nil"/>
              <w:left w:val="single" w:sz="4" w:space="0" w:color="auto"/>
              <w:bottom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Concours sur les technologies appropriées</w:t>
            </w:r>
          </w:p>
        </w:tc>
        <w:tc>
          <w:tcPr>
            <w:tcW w:w="1177" w:type="dxa"/>
            <w:gridSpan w:val="2"/>
            <w:tcBorders>
              <w:top w:val="nil"/>
              <w:bottom w:val="single" w:sz="4" w:space="0" w:color="auto"/>
            </w:tcBorders>
          </w:tcPr>
          <w:p w:rsidR="00327D08" w:rsidRPr="00C258AD" w:rsidRDefault="00327D08" w:rsidP="00927E1F">
            <w:pPr>
              <w:rPr>
                <w:rFonts w:eastAsia="Malgun Gothic" w:cs="Arial"/>
                <w:sz w:val="16"/>
                <w:szCs w:val="16"/>
                <w:lang w:eastAsia="ko-KR"/>
              </w:rPr>
            </w:pPr>
            <w:r w:rsidRPr="00C258AD">
              <w:rPr>
                <w:rFonts w:eastAsia="Malgun Gothic" w:cs="Arial"/>
                <w:sz w:val="16"/>
                <w:szCs w:val="16"/>
                <w:lang w:eastAsia="ko-KR"/>
              </w:rPr>
              <w:t>juillet </w:t>
            </w:r>
            <w:r w:rsidRPr="00C258AD">
              <w:rPr>
                <w:rFonts w:cs="Arial"/>
                <w:sz w:val="16"/>
                <w:szCs w:val="16"/>
                <w:lang w:eastAsia="ko-KR"/>
              </w:rPr>
              <w:t>2015 (lancement)</w:t>
            </w:r>
          </w:p>
        </w:tc>
        <w:tc>
          <w:tcPr>
            <w:tcW w:w="1843" w:type="dxa"/>
            <w:tcBorders>
              <w:top w:val="nil"/>
              <w:bottom w:val="single" w:sz="4" w:space="0" w:color="auto"/>
            </w:tcBorders>
          </w:tcPr>
          <w:p w:rsidR="00327D08" w:rsidRPr="00C258AD" w:rsidRDefault="00327D08" w:rsidP="00927E1F">
            <w:pPr>
              <w:contextualSpacing/>
              <w:rPr>
                <w:rFonts w:cs="Arial"/>
                <w:sz w:val="16"/>
                <w:szCs w:val="16"/>
              </w:rPr>
            </w:pPr>
            <w:r w:rsidRPr="00C258AD">
              <w:rPr>
                <w:rFonts w:cs="Arial"/>
                <w:sz w:val="16"/>
                <w:szCs w:val="16"/>
              </w:rPr>
              <w:t>République dominicaine</w:t>
            </w:r>
          </w:p>
        </w:tc>
        <w:tc>
          <w:tcPr>
            <w:tcW w:w="4678" w:type="dxa"/>
            <w:tcBorders>
              <w:top w:val="nil"/>
              <w:bottom w:val="single" w:sz="4" w:space="0" w:color="auto"/>
              <w:right w:val="single" w:sz="4" w:space="0" w:color="auto"/>
            </w:tcBorders>
          </w:tcPr>
          <w:p w:rsidR="00327D08" w:rsidRPr="00C258AD" w:rsidRDefault="00327D08" w:rsidP="00927E1F">
            <w:pPr>
              <w:contextualSpacing/>
              <w:rPr>
                <w:rFonts w:eastAsia="SimSun" w:cs="Arial"/>
                <w:sz w:val="16"/>
                <w:szCs w:val="16"/>
                <w:lang w:eastAsia="zh-CN"/>
              </w:rPr>
            </w:pPr>
            <w:r w:rsidRPr="00C258AD">
              <w:rPr>
                <w:rFonts w:eastAsia="SimSun" w:cs="Arial"/>
                <w:sz w:val="16"/>
                <w:szCs w:val="16"/>
                <w:lang w:eastAsia="zh-CN"/>
              </w:rPr>
              <w:t>Encourager et récompenser l’excellence en matière d’inventions faisant appel à des technologies appropriées dans le domaine de l’agriculture qui pourraient être utilisées simplement et de façon économique par les communautés locales pour répondre à leurs besoins et contribuer au développement durable des communautés locales.</w:t>
            </w:r>
          </w:p>
          <w:p w:rsidR="00327D08" w:rsidRPr="00C258AD" w:rsidRDefault="00327D08" w:rsidP="00927E1F">
            <w:pPr>
              <w:contextualSpacing/>
              <w:rPr>
                <w:rFonts w:eastAsia="SimSun" w:cs="Arial"/>
                <w:sz w:val="16"/>
                <w:szCs w:val="16"/>
                <w:lang w:eastAsia="zh-CN"/>
              </w:rPr>
            </w:pPr>
          </w:p>
          <w:p w:rsidR="00327D08" w:rsidRPr="00C258AD" w:rsidRDefault="00327D08" w:rsidP="00927E1F">
            <w:pPr>
              <w:contextualSpacing/>
              <w:rPr>
                <w:rFonts w:eastAsia="SimSun" w:cs="Arial"/>
                <w:sz w:val="16"/>
                <w:szCs w:val="16"/>
                <w:lang w:eastAsia="ko-KR"/>
              </w:rPr>
            </w:pPr>
            <w:r w:rsidRPr="00C258AD">
              <w:rPr>
                <w:rFonts w:eastAsia="SimSun" w:cs="Arial"/>
                <w:sz w:val="16"/>
                <w:szCs w:val="16"/>
                <w:lang w:eastAsia="ko-KR"/>
              </w:rPr>
              <w:t>L’utilisation efficace d’informations relatives aux brevets lors de la conception des solutions élaborées a été un élément clé du concours.</w:t>
            </w:r>
          </w:p>
        </w:tc>
      </w:tr>
    </w:tbl>
    <w:p w:rsidR="00327D08" w:rsidRPr="00C258AD" w:rsidRDefault="00327D08" w:rsidP="00327D08">
      <w:pPr>
        <w:rPr>
          <w:rFonts w:cs="Arial"/>
          <w:szCs w:val="16"/>
        </w:rPr>
      </w:pPr>
    </w:p>
    <w:p w:rsidR="00327D08" w:rsidRPr="00C258AD" w:rsidRDefault="00327D08" w:rsidP="00327D08">
      <w:pPr>
        <w:rPr>
          <w:rFonts w:cs="Arial"/>
          <w:szCs w:val="16"/>
        </w:rPr>
      </w:pPr>
    </w:p>
    <w:p w:rsidR="00327D08" w:rsidRPr="00C258AD" w:rsidRDefault="00327D08" w:rsidP="00327D08">
      <w:pPr>
        <w:rPr>
          <w:rFonts w:cs="Arial"/>
          <w:b/>
          <w:bCs/>
          <w:szCs w:val="20"/>
        </w:rPr>
      </w:pPr>
      <w:r w:rsidRPr="00C258AD">
        <w:rPr>
          <w:rFonts w:cs="Arial"/>
          <w:b/>
          <w:bCs/>
          <w:szCs w:val="20"/>
        </w:rPr>
        <w:t>RÉPUBLIQUE DE CORÉE/PROPRIÉTÉ INDUSTRIELLE – Contributions des donateurs et dépenses en 2015</w:t>
      </w:r>
    </w:p>
    <w:p w:rsidR="00327D08" w:rsidRPr="00C258AD" w:rsidRDefault="00327D08" w:rsidP="00327D08">
      <w:pPr>
        <w:rPr>
          <w:rFonts w:cs="Arial"/>
          <w:b/>
          <w:bCs/>
          <w:szCs w:val="20"/>
        </w:rPr>
      </w:pPr>
    </w:p>
    <w:tbl>
      <w:tblPr>
        <w:tblW w:w="5000" w:type="pct"/>
        <w:tblInd w:w="98" w:type="dxa"/>
        <w:tblCellMar>
          <w:top w:w="113" w:type="dxa"/>
          <w:left w:w="68" w:type="dxa"/>
          <w:bottom w:w="113" w:type="dxa"/>
          <w:right w:w="68" w:type="dxa"/>
        </w:tblCellMar>
        <w:tblLook w:val="04A0" w:firstRow="1" w:lastRow="0" w:firstColumn="1" w:lastColumn="0" w:noHBand="0" w:noVBand="1"/>
      </w:tblPr>
      <w:tblGrid>
        <w:gridCol w:w="2037"/>
        <w:gridCol w:w="1635"/>
        <w:gridCol w:w="1855"/>
        <w:gridCol w:w="1780"/>
        <w:gridCol w:w="2184"/>
      </w:tblGrid>
      <w:tr w:rsidR="00327D08" w:rsidRPr="00C258AD" w:rsidTr="00927E1F">
        <w:trPr>
          <w:cantSplit/>
        </w:trPr>
        <w:tc>
          <w:tcPr>
            <w:tcW w:w="2040" w:type="dxa"/>
            <w:tcBorders>
              <w:top w:val="single" w:sz="8" w:space="0" w:color="auto"/>
              <w:left w:val="single" w:sz="8" w:space="0" w:color="auto"/>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2014</w:t>
            </w:r>
          </w:p>
        </w:tc>
        <w:tc>
          <w:tcPr>
            <w:tcW w:w="1640" w:type="dxa"/>
            <w:tcBorders>
              <w:top w:val="single" w:sz="8" w:space="0" w:color="auto"/>
              <w:left w:val="nil"/>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Recettes 2015</w:t>
            </w:r>
          </w:p>
        </w:tc>
        <w:tc>
          <w:tcPr>
            <w:tcW w:w="1860" w:type="dxa"/>
            <w:tcBorders>
              <w:top w:val="single" w:sz="8" w:space="0" w:color="auto"/>
              <w:left w:val="nil"/>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Dépenses 2015</w:t>
            </w:r>
          </w:p>
        </w:tc>
        <w:tc>
          <w:tcPr>
            <w:tcW w:w="1780" w:type="dxa"/>
            <w:tcBorders>
              <w:top w:val="single" w:sz="8" w:space="0" w:color="auto"/>
              <w:left w:val="nil"/>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Remboursements</w:t>
            </w:r>
          </w:p>
        </w:tc>
        <w:tc>
          <w:tcPr>
            <w:tcW w:w="2188" w:type="dxa"/>
            <w:tcBorders>
              <w:top w:val="single" w:sz="8" w:space="0" w:color="auto"/>
              <w:left w:val="nil"/>
              <w:bottom w:val="nil"/>
              <w:right w:val="single" w:sz="8" w:space="0" w:color="auto"/>
            </w:tcBorders>
            <w:shd w:val="clear" w:color="auto" w:fill="C6D9F1" w:themeFill="text2" w:themeFillTint="33"/>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2015</w:t>
            </w:r>
          </w:p>
        </w:tc>
      </w:tr>
      <w:tr w:rsidR="00327D08" w:rsidRPr="00C258AD" w:rsidTr="00927E1F">
        <w:trPr>
          <w:cantSplit/>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1 180 774</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659 148</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786 531</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27D08" w:rsidRPr="00C258AD" w:rsidRDefault="00327D08" w:rsidP="00927E1F">
            <w:pPr>
              <w:jc w:val="center"/>
              <w:rPr>
                <w:rFonts w:cs="Arial"/>
                <w:sz w:val="16"/>
                <w:szCs w:val="16"/>
              </w:rPr>
            </w:pPr>
            <w:r w:rsidRPr="00C258AD">
              <w:rPr>
                <w:rFonts w:cs="Arial"/>
                <w:sz w:val="16"/>
                <w:szCs w:val="16"/>
              </w:rPr>
              <w:noBreakHyphen/>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1 053 391</w:t>
            </w:r>
          </w:p>
        </w:tc>
      </w:tr>
    </w:tbl>
    <w:p w:rsidR="00327D08" w:rsidRPr="00C258AD" w:rsidRDefault="00327D08" w:rsidP="00327D08">
      <w:pPr>
        <w:rPr>
          <w:sz w:val="16"/>
        </w:rPr>
      </w:pPr>
    </w:p>
    <w:p w:rsidR="00327D08" w:rsidRPr="00C258AD" w:rsidRDefault="00327D08" w:rsidP="00327D08">
      <w:pPr>
        <w:rPr>
          <w:sz w:val="16"/>
        </w:rPr>
      </w:pPr>
    </w:p>
    <w:p w:rsidR="00327D08" w:rsidRPr="00C258AD" w:rsidRDefault="00327D08" w:rsidP="00327D08">
      <w:pPr>
        <w:keepNext/>
        <w:keepLines/>
        <w:rPr>
          <w:rFonts w:cs="Arial"/>
          <w:b/>
        </w:rPr>
      </w:pPr>
      <w:r w:rsidRPr="00C258AD">
        <w:rPr>
          <w:rFonts w:cs="Arial"/>
          <w:b/>
        </w:rPr>
        <w:t>MEXIQUE</w:t>
      </w:r>
      <w:r w:rsidRPr="00C258AD">
        <w:rPr>
          <w:rStyle w:val="FootnoteReference"/>
          <w:rFonts w:cs="Arial"/>
          <w:b/>
        </w:rPr>
        <w:footnoteReference w:id="165"/>
      </w:r>
    </w:p>
    <w:p w:rsidR="00327D08" w:rsidRPr="00C258AD" w:rsidRDefault="00327D08" w:rsidP="00327D08">
      <w:pPr>
        <w:keepNext/>
        <w:keepLines/>
        <w:rPr>
          <w:rFonts w:cs="Arial"/>
          <w:b/>
          <w:sz w:val="18"/>
          <w:szCs w:val="16"/>
        </w:rPr>
      </w:pPr>
    </w:p>
    <w:tbl>
      <w:tblPr>
        <w:tblW w:w="5000" w:type="pct"/>
        <w:tblInd w:w="78" w:type="dxa"/>
        <w:tblBorders>
          <w:top w:val="single" w:sz="4" w:space="0" w:color="000000"/>
          <w:left w:val="single" w:sz="4" w:space="0" w:color="000000"/>
          <w:bottom w:val="single" w:sz="4" w:space="0" w:color="000000"/>
          <w:right w:val="single" w:sz="4" w:space="0" w:color="000000"/>
        </w:tblBorders>
        <w:tblCellMar>
          <w:top w:w="113" w:type="dxa"/>
          <w:left w:w="68" w:type="dxa"/>
          <w:bottom w:w="113" w:type="dxa"/>
          <w:right w:w="68" w:type="dxa"/>
        </w:tblCellMar>
        <w:tblLook w:val="0000" w:firstRow="0" w:lastRow="0" w:firstColumn="0" w:lastColumn="0" w:noHBand="0" w:noVBand="0"/>
      </w:tblPr>
      <w:tblGrid>
        <w:gridCol w:w="1867"/>
        <w:gridCol w:w="990"/>
        <w:gridCol w:w="2540"/>
        <w:gridCol w:w="4094"/>
      </w:tblGrid>
      <w:tr w:rsidR="00327D08" w:rsidRPr="00C258AD" w:rsidTr="00927E1F">
        <w:trPr>
          <w:cantSplit/>
        </w:trPr>
        <w:tc>
          <w:tcPr>
            <w:tcW w:w="9528" w:type="dxa"/>
            <w:gridSpan w:val="4"/>
            <w:tcBorders>
              <w:top w:val="single" w:sz="4" w:space="0" w:color="000000"/>
              <w:bottom w:val="single" w:sz="4" w:space="0" w:color="000000"/>
            </w:tcBorders>
            <w:shd w:val="clear" w:color="auto" w:fill="C6D9F1"/>
            <w:vAlign w:val="center"/>
          </w:tcPr>
          <w:p w:rsidR="00327D08" w:rsidRPr="00C258AD" w:rsidRDefault="00327D08" w:rsidP="00927E1F">
            <w:pPr>
              <w:keepNext/>
              <w:keepLines/>
              <w:tabs>
                <w:tab w:val="left" w:pos="1740"/>
              </w:tabs>
              <w:ind w:left="1740" w:hanging="1740"/>
              <w:rPr>
                <w:rFonts w:cs="Arial"/>
                <w:b/>
                <w:bCs/>
                <w:sz w:val="16"/>
                <w:szCs w:val="16"/>
              </w:rPr>
            </w:pPr>
            <w:r w:rsidRPr="00C258AD">
              <w:rPr>
                <w:rFonts w:cs="Arial"/>
                <w:b/>
                <w:bCs/>
                <w:sz w:val="16"/>
                <w:szCs w:val="16"/>
              </w:rPr>
              <w:t xml:space="preserve">RÉSULTAT : </w:t>
            </w:r>
            <w:r w:rsidRPr="00C258AD">
              <w:rPr>
                <w:rFonts w:cs="Arial"/>
                <w:bCs/>
                <w:sz w:val="16"/>
                <w:szCs w:val="16"/>
              </w:rPr>
              <w:tab/>
              <w:t>III.1 Stratégies et plans nationaux en matière d’innovation et de propriété intellectuelle conformes aux objectifs de développement nationaux</w:t>
            </w:r>
          </w:p>
        </w:tc>
      </w:tr>
      <w:tr w:rsidR="00327D08" w:rsidRPr="00C258AD" w:rsidTr="00927E1F">
        <w:trPr>
          <w:cantSplit/>
        </w:trPr>
        <w:tc>
          <w:tcPr>
            <w:tcW w:w="1873" w:type="dxa"/>
            <w:tcBorders>
              <w:top w:val="single" w:sz="4" w:space="0" w:color="000000"/>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992" w:type="dxa"/>
            <w:tcBorders>
              <w:top w:val="single" w:sz="4" w:space="0" w:color="000000"/>
            </w:tcBorders>
            <w:tcMar>
              <w:top w:w="110" w:type="dxa"/>
            </w:tcMar>
            <w:vAlign w:val="center"/>
          </w:tcPr>
          <w:p w:rsidR="00327D08" w:rsidRPr="00C258AD" w:rsidRDefault="00327D08" w:rsidP="00927E1F">
            <w:pPr>
              <w:keepNext/>
              <w:keepLines/>
              <w:rPr>
                <w:rFonts w:cs="Arial"/>
                <w:b/>
                <w:sz w:val="16"/>
                <w:szCs w:val="16"/>
              </w:rPr>
            </w:pPr>
            <w:r w:rsidRPr="00C258AD">
              <w:rPr>
                <w:rFonts w:cs="Arial"/>
                <w:b/>
                <w:sz w:val="16"/>
                <w:szCs w:val="16"/>
              </w:rPr>
              <w:t>Date</w:t>
            </w:r>
          </w:p>
        </w:tc>
        <w:tc>
          <w:tcPr>
            <w:tcW w:w="2552" w:type="dxa"/>
            <w:tcBorders>
              <w:top w:val="single" w:sz="4" w:space="0" w:color="000000"/>
            </w:tcBorders>
            <w:tcMar>
              <w:top w:w="110" w:type="dxa"/>
            </w:tcMar>
            <w:vAlign w:val="center"/>
          </w:tcPr>
          <w:p w:rsidR="00327D08" w:rsidRPr="00C258AD" w:rsidRDefault="00327D08" w:rsidP="00927E1F">
            <w:pPr>
              <w:keepNext/>
              <w:keepLines/>
              <w:rPr>
                <w:rFonts w:cs="Arial"/>
                <w:sz w:val="16"/>
                <w:szCs w:val="16"/>
              </w:rPr>
            </w:pPr>
            <w:r w:rsidRPr="00C258AD">
              <w:rPr>
                <w:b/>
                <w:sz w:val="16"/>
              </w:rPr>
              <w:t>Pays hôte/</w:t>
            </w:r>
            <w:r w:rsidRPr="00C258AD">
              <w:br/>
            </w:r>
            <w:r w:rsidRPr="00C258AD">
              <w:rPr>
                <w:b/>
                <w:sz w:val="16"/>
              </w:rPr>
              <w:t>bénéficiaires</w:t>
            </w:r>
          </w:p>
        </w:tc>
        <w:tc>
          <w:tcPr>
            <w:tcW w:w="4111" w:type="dxa"/>
            <w:tcBorders>
              <w:top w:val="single" w:sz="4" w:space="0" w:color="000000"/>
            </w:tcBorders>
            <w:shd w:val="clear" w:color="auto" w:fill="FFFFFF"/>
            <w:tcMar>
              <w:top w:w="110" w:type="dxa"/>
            </w:tcMar>
            <w:vAlign w:val="center"/>
          </w:tcPr>
          <w:p w:rsidR="00327D08" w:rsidRPr="00C258AD" w:rsidRDefault="00327D08" w:rsidP="00927E1F">
            <w:pPr>
              <w:keepNext/>
              <w:keepLines/>
              <w:rPr>
                <w:rFonts w:cs="Arial"/>
                <w:sz w:val="16"/>
                <w:szCs w:val="16"/>
              </w:rPr>
            </w:pPr>
            <w:r w:rsidRPr="00C258AD">
              <w:rPr>
                <w:b/>
                <w:sz w:val="16"/>
              </w:rPr>
              <w:t>Objectif(s)/description(s)</w:t>
            </w:r>
          </w:p>
        </w:tc>
      </w:tr>
      <w:tr w:rsidR="00327D08" w:rsidRPr="00C258AD" w:rsidTr="00927E1F">
        <w:trPr>
          <w:cantSplit/>
        </w:trPr>
        <w:tc>
          <w:tcPr>
            <w:tcW w:w="1873" w:type="dxa"/>
          </w:tcPr>
          <w:p w:rsidR="00327D08" w:rsidRPr="00C258AD" w:rsidDel="000B184E" w:rsidRDefault="00327D08" w:rsidP="00327D08">
            <w:pPr>
              <w:autoSpaceDE w:val="0"/>
              <w:autoSpaceDN w:val="0"/>
              <w:adjustRightInd w:val="0"/>
              <w:rPr>
                <w:rFonts w:cs="Arial"/>
                <w:sz w:val="16"/>
                <w:szCs w:val="16"/>
              </w:rPr>
            </w:pPr>
            <w:r w:rsidRPr="00C258AD">
              <w:rPr>
                <w:rFonts w:cs="Arial"/>
                <w:sz w:val="16"/>
                <w:szCs w:val="16"/>
              </w:rPr>
              <w:t>Réunion de consultation des pays de l’Alliance du Pacifique et d’autres pays invités tenue à Genève</w:t>
            </w:r>
          </w:p>
        </w:tc>
        <w:tc>
          <w:tcPr>
            <w:tcW w:w="992" w:type="dxa"/>
          </w:tcPr>
          <w:p w:rsidR="00327D08" w:rsidRPr="00C258AD" w:rsidRDefault="00327D08" w:rsidP="00327D08">
            <w:pPr>
              <w:autoSpaceDE w:val="0"/>
              <w:autoSpaceDN w:val="0"/>
              <w:adjustRightInd w:val="0"/>
              <w:rPr>
                <w:rFonts w:cs="Arial"/>
                <w:sz w:val="16"/>
                <w:szCs w:val="16"/>
              </w:rPr>
            </w:pPr>
            <w:r w:rsidRPr="00C258AD">
              <w:rPr>
                <w:rFonts w:cs="Arial"/>
                <w:sz w:val="16"/>
                <w:szCs w:val="16"/>
              </w:rPr>
              <w:t>6 octobre 2015</w:t>
            </w:r>
          </w:p>
        </w:tc>
        <w:tc>
          <w:tcPr>
            <w:tcW w:w="2552" w:type="dxa"/>
          </w:tcPr>
          <w:p w:rsidR="00327D08" w:rsidRPr="00C258AD" w:rsidRDefault="00327D08" w:rsidP="00327D08">
            <w:pPr>
              <w:autoSpaceDE w:val="0"/>
              <w:autoSpaceDN w:val="0"/>
              <w:adjustRightInd w:val="0"/>
              <w:rPr>
                <w:rFonts w:cs="Arial"/>
                <w:sz w:val="16"/>
                <w:szCs w:val="16"/>
              </w:rPr>
            </w:pPr>
            <w:r w:rsidRPr="00C258AD">
              <w:rPr>
                <w:rFonts w:cs="Arial"/>
                <w:sz w:val="16"/>
                <w:szCs w:val="16"/>
              </w:rPr>
              <w:t>Mexique/ Chili, Colombie, Cuba, Office espagnol des brevets et des marques (OEPM), Office européen des brevets (OEB), Pérou</w:t>
            </w:r>
          </w:p>
        </w:tc>
        <w:tc>
          <w:tcPr>
            <w:tcW w:w="4111" w:type="dxa"/>
          </w:tcPr>
          <w:p w:rsidR="00327D08" w:rsidRPr="00C258AD" w:rsidDel="000B184E" w:rsidRDefault="00327D08" w:rsidP="00327D08">
            <w:pPr>
              <w:autoSpaceDE w:val="0"/>
              <w:autoSpaceDN w:val="0"/>
              <w:adjustRightInd w:val="0"/>
              <w:rPr>
                <w:rFonts w:cs="Arial"/>
                <w:sz w:val="16"/>
                <w:szCs w:val="16"/>
              </w:rPr>
            </w:pPr>
            <w:r w:rsidRPr="00C258AD">
              <w:rPr>
                <w:rFonts w:cs="Arial"/>
                <w:sz w:val="16"/>
                <w:szCs w:val="16"/>
              </w:rPr>
              <w:t>Promouvoir le dialogue sur les questions communes dans le domaine de la propriété industrielle entre les pays de l’Alliance du Pacifique et d’autres pays invités.</w:t>
            </w:r>
          </w:p>
        </w:tc>
      </w:tr>
    </w:tbl>
    <w:p w:rsidR="00327D08" w:rsidRPr="00C258AD" w:rsidRDefault="00327D08">
      <w:pPr>
        <w:spacing w:after="200" w:line="276" w:lineRule="auto"/>
        <w:rPr>
          <w:rFonts w:cs="Arial"/>
          <w:b/>
          <w:bCs/>
        </w:rPr>
      </w:pPr>
      <w:r w:rsidRPr="00C258AD">
        <w:rPr>
          <w:rFonts w:cs="Arial"/>
          <w:b/>
          <w:bCs/>
        </w:rPr>
        <w:br w:type="page"/>
      </w:r>
    </w:p>
    <w:p w:rsidR="00327D08" w:rsidRPr="00C258AD" w:rsidRDefault="00327D08" w:rsidP="00327D08">
      <w:pPr>
        <w:keepNext/>
        <w:keepLines/>
        <w:rPr>
          <w:rFonts w:cs="Arial"/>
          <w:b/>
          <w:bCs/>
        </w:rPr>
      </w:pPr>
      <w:r w:rsidRPr="00C258AD">
        <w:rPr>
          <w:rFonts w:cs="Arial"/>
          <w:b/>
          <w:bCs/>
        </w:rPr>
        <w:lastRenderedPageBreak/>
        <w:t>MEXIQUE – Contributions des donateurs et dépenses en 2015</w:t>
      </w:r>
    </w:p>
    <w:p w:rsidR="00327D08" w:rsidRPr="00C258AD" w:rsidRDefault="00327D08" w:rsidP="00327D08">
      <w:pPr>
        <w:keepNext/>
        <w:keepLines/>
        <w:rPr>
          <w:rFonts w:cs="Arial"/>
          <w:b/>
          <w:szCs w:val="16"/>
        </w:rPr>
      </w:pPr>
    </w:p>
    <w:tbl>
      <w:tblPr>
        <w:tblW w:w="5000" w:type="pct"/>
        <w:tblInd w:w="98" w:type="dxa"/>
        <w:tblCellMar>
          <w:top w:w="113" w:type="dxa"/>
          <w:left w:w="68" w:type="dxa"/>
          <w:bottom w:w="113" w:type="dxa"/>
          <w:right w:w="68" w:type="dxa"/>
        </w:tblCellMar>
        <w:tblLook w:val="04A0" w:firstRow="1" w:lastRow="0" w:firstColumn="1" w:lastColumn="0" w:noHBand="0" w:noVBand="1"/>
      </w:tblPr>
      <w:tblGrid>
        <w:gridCol w:w="2037"/>
        <w:gridCol w:w="1635"/>
        <w:gridCol w:w="1855"/>
        <w:gridCol w:w="1780"/>
        <w:gridCol w:w="2184"/>
      </w:tblGrid>
      <w:tr w:rsidR="00327D08" w:rsidRPr="00C258AD" w:rsidTr="00927E1F">
        <w:trPr>
          <w:cantSplit/>
        </w:trPr>
        <w:tc>
          <w:tcPr>
            <w:tcW w:w="2040" w:type="dxa"/>
            <w:tcBorders>
              <w:top w:val="single" w:sz="8" w:space="0" w:color="auto"/>
              <w:left w:val="single" w:sz="8" w:space="0" w:color="auto"/>
              <w:bottom w:val="nil"/>
              <w:right w:val="single" w:sz="8" w:space="0" w:color="auto"/>
            </w:tcBorders>
            <w:shd w:val="clear" w:color="auto" w:fill="C6D9F1"/>
            <w:vAlign w:val="center"/>
            <w:hideMark/>
          </w:tcPr>
          <w:p w:rsidR="00327D08" w:rsidRPr="00C258AD" w:rsidRDefault="00327D08" w:rsidP="00927E1F">
            <w:pPr>
              <w:keepNext/>
              <w:keepLines/>
              <w:jc w:val="center"/>
              <w:rPr>
                <w:rFonts w:cs="Arial"/>
                <w:b/>
                <w:bCs/>
                <w:sz w:val="16"/>
                <w:szCs w:val="16"/>
              </w:rPr>
            </w:pPr>
            <w:r w:rsidRPr="00C258AD">
              <w:rPr>
                <w:rFonts w:cs="Arial"/>
                <w:b/>
                <w:bCs/>
                <w:sz w:val="16"/>
                <w:szCs w:val="16"/>
              </w:rPr>
              <w:t>Solde au 31 décembre 2014</w:t>
            </w:r>
          </w:p>
        </w:tc>
        <w:tc>
          <w:tcPr>
            <w:tcW w:w="1640" w:type="dxa"/>
            <w:tcBorders>
              <w:top w:val="single" w:sz="8" w:space="0" w:color="auto"/>
              <w:left w:val="nil"/>
              <w:bottom w:val="nil"/>
              <w:right w:val="single" w:sz="8" w:space="0" w:color="auto"/>
            </w:tcBorders>
            <w:shd w:val="clear" w:color="auto" w:fill="C6D9F1"/>
            <w:vAlign w:val="center"/>
            <w:hideMark/>
          </w:tcPr>
          <w:p w:rsidR="00327D08" w:rsidRPr="00C258AD" w:rsidRDefault="00327D08" w:rsidP="00927E1F">
            <w:pPr>
              <w:keepNext/>
              <w:keepLines/>
              <w:jc w:val="center"/>
              <w:rPr>
                <w:rFonts w:cs="Arial"/>
                <w:b/>
                <w:bCs/>
                <w:sz w:val="16"/>
                <w:szCs w:val="16"/>
              </w:rPr>
            </w:pPr>
            <w:r w:rsidRPr="00C258AD">
              <w:rPr>
                <w:rFonts w:cs="Arial"/>
                <w:b/>
                <w:bCs/>
                <w:sz w:val="16"/>
                <w:szCs w:val="16"/>
              </w:rPr>
              <w:t>Recettes 2015</w:t>
            </w:r>
          </w:p>
        </w:tc>
        <w:tc>
          <w:tcPr>
            <w:tcW w:w="1860" w:type="dxa"/>
            <w:tcBorders>
              <w:top w:val="single" w:sz="8" w:space="0" w:color="auto"/>
              <w:left w:val="nil"/>
              <w:bottom w:val="nil"/>
              <w:right w:val="single" w:sz="8" w:space="0" w:color="auto"/>
            </w:tcBorders>
            <w:shd w:val="clear" w:color="auto" w:fill="C6D9F1"/>
            <w:vAlign w:val="center"/>
            <w:hideMark/>
          </w:tcPr>
          <w:p w:rsidR="00327D08" w:rsidRPr="00C258AD" w:rsidRDefault="00327D08" w:rsidP="00927E1F">
            <w:pPr>
              <w:keepNext/>
              <w:keepLines/>
              <w:jc w:val="center"/>
              <w:rPr>
                <w:rFonts w:cs="Arial"/>
                <w:b/>
                <w:bCs/>
                <w:sz w:val="16"/>
                <w:szCs w:val="16"/>
              </w:rPr>
            </w:pPr>
            <w:r w:rsidRPr="00C258AD">
              <w:rPr>
                <w:rFonts w:cs="Arial"/>
                <w:b/>
                <w:bCs/>
                <w:sz w:val="16"/>
                <w:szCs w:val="16"/>
              </w:rPr>
              <w:t>Dépenses 2015</w:t>
            </w:r>
          </w:p>
        </w:tc>
        <w:tc>
          <w:tcPr>
            <w:tcW w:w="1780" w:type="dxa"/>
            <w:tcBorders>
              <w:top w:val="single" w:sz="8" w:space="0" w:color="auto"/>
              <w:left w:val="nil"/>
              <w:bottom w:val="nil"/>
              <w:right w:val="single" w:sz="8" w:space="0" w:color="auto"/>
            </w:tcBorders>
            <w:shd w:val="clear" w:color="auto" w:fill="C6D9F1"/>
            <w:vAlign w:val="center"/>
            <w:hideMark/>
          </w:tcPr>
          <w:p w:rsidR="00327D08" w:rsidRPr="00C258AD" w:rsidRDefault="00327D08" w:rsidP="00927E1F">
            <w:pPr>
              <w:keepNext/>
              <w:keepLines/>
              <w:jc w:val="center"/>
              <w:rPr>
                <w:rFonts w:cs="Arial"/>
                <w:b/>
                <w:bCs/>
                <w:sz w:val="16"/>
                <w:szCs w:val="16"/>
              </w:rPr>
            </w:pPr>
            <w:r w:rsidRPr="00C258AD">
              <w:rPr>
                <w:rFonts w:cs="Arial"/>
                <w:b/>
                <w:bCs/>
                <w:sz w:val="16"/>
                <w:szCs w:val="16"/>
              </w:rPr>
              <w:t>Remboursements</w:t>
            </w:r>
          </w:p>
        </w:tc>
        <w:tc>
          <w:tcPr>
            <w:tcW w:w="2188" w:type="dxa"/>
            <w:tcBorders>
              <w:top w:val="single" w:sz="8" w:space="0" w:color="auto"/>
              <w:left w:val="nil"/>
              <w:bottom w:val="nil"/>
              <w:right w:val="single" w:sz="8" w:space="0" w:color="auto"/>
            </w:tcBorders>
            <w:shd w:val="clear" w:color="auto" w:fill="C6D9F1"/>
            <w:vAlign w:val="center"/>
            <w:hideMark/>
          </w:tcPr>
          <w:p w:rsidR="00327D08" w:rsidRPr="00C258AD" w:rsidRDefault="00327D08" w:rsidP="00927E1F">
            <w:pPr>
              <w:keepNext/>
              <w:keepLines/>
              <w:jc w:val="center"/>
              <w:rPr>
                <w:rFonts w:cs="Arial"/>
                <w:b/>
                <w:bCs/>
                <w:sz w:val="16"/>
                <w:szCs w:val="16"/>
              </w:rPr>
            </w:pPr>
            <w:r w:rsidRPr="00C258AD">
              <w:rPr>
                <w:rFonts w:cs="Arial"/>
                <w:b/>
                <w:bCs/>
                <w:sz w:val="16"/>
                <w:szCs w:val="16"/>
              </w:rPr>
              <w:t>Solde au 31 décembre 2015</w:t>
            </w:r>
          </w:p>
        </w:tc>
      </w:tr>
      <w:tr w:rsidR="00327D08" w:rsidRPr="00C258AD" w:rsidTr="00927E1F">
        <w:trPr>
          <w:cantSplit/>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D08" w:rsidRPr="00C258AD" w:rsidRDefault="00327D08" w:rsidP="00927E1F">
            <w:pPr>
              <w:keepNext/>
              <w:keepLines/>
              <w:jc w:val="center"/>
              <w:rPr>
                <w:rFonts w:cs="Arial"/>
                <w:sz w:val="16"/>
                <w:szCs w:val="16"/>
              </w:rPr>
            </w:pPr>
            <w:r w:rsidRPr="00C258AD">
              <w:rPr>
                <w:rFonts w:cs="Arial"/>
                <w:sz w:val="16"/>
                <w:szCs w:val="16"/>
              </w:rPr>
              <w:t>163 131</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keepNext/>
              <w:keepLines/>
              <w:jc w:val="center"/>
              <w:rPr>
                <w:rFonts w:cs="Arial"/>
                <w:sz w:val="16"/>
                <w:szCs w:val="16"/>
              </w:rPr>
            </w:pPr>
            <w:r w:rsidRPr="00C258AD">
              <w:rPr>
                <w:rFonts w:cs="Arial"/>
                <w:sz w:val="16"/>
                <w:szCs w:val="16"/>
              </w:rPr>
              <w:t>53</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keepNext/>
              <w:keepLines/>
              <w:jc w:val="center"/>
              <w:rPr>
                <w:rFonts w:cs="Arial"/>
                <w:sz w:val="16"/>
                <w:szCs w:val="16"/>
              </w:rPr>
            </w:pPr>
            <w:r w:rsidRPr="00C258AD">
              <w:rPr>
                <w:rFonts w:cs="Arial"/>
                <w:sz w:val="16"/>
                <w:szCs w:val="16"/>
              </w:rPr>
              <w:t>18 758</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27D08" w:rsidRPr="00C258AD" w:rsidRDefault="00327D08" w:rsidP="00927E1F">
            <w:pPr>
              <w:keepNext/>
              <w:keepLines/>
              <w:jc w:val="center"/>
              <w:rPr>
                <w:rFonts w:cs="Arial"/>
                <w:sz w:val="16"/>
                <w:szCs w:val="16"/>
              </w:rPr>
            </w:pPr>
            <w:r w:rsidRPr="00C258AD">
              <w:rPr>
                <w:rFonts w:cs="Arial"/>
                <w:sz w:val="16"/>
                <w:szCs w:val="16"/>
              </w:rPr>
              <w:noBreakHyphen/>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keepNext/>
              <w:keepLines/>
              <w:jc w:val="center"/>
              <w:rPr>
                <w:rFonts w:cs="Arial"/>
                <w:sz w:val="16"/>
                <w:szCs w:val="16"/>
              </w:rPr>
            </w:pPr>
            <w:r w:rsidRPr="00C258AD">
              <w:rPr>
                <w:rFonts w:cs="Arial"/>
                <w:sz w:val="16"/>
                <w:szCs w:val="16"/>
              </w:rPr>
              <w:t>144 426</w:t>
            </w:r>
          </w:p>
        </w:tc>
      </w:tr>
    </w:tbl>
    <w:p w:rsidR="00327D08" w:rsidRPr="00C258AD" w:rsidRDefault="00327D08" w:rsidP="00327D08">
      <w:pPr>
        <w:keepNext/>
        <w:keepLines/>
        <w:rPr>
          <w:rFonts w:cs="Arial"/>
          <w:b/>
          <w:szCs w:val="16"/>
        </w:rPr>
      </w:pPr>
    </w:p>
    <w:p w:rsidR="00327D08" w:rsidRPr="00C258AD" w:rsidRDefault="00327D08" w:rsidP="00327D08">
      <w:pPr>
        <w:rPr>
          <w:rFonts w:cs="Arial"/>
          <w:b/>
          <w:szCs w:val="16"/>
        </w:rPr>
      </w:pPr>
    </w:p>
    <w:p w:rsidR="00327D08" w:rsidRPr="00C258AD" w:rsidRDefault="00327D08" w:rsidP="00327D08">
      <w:pPr>
        <w:keepNext/>
        <w:rPr>
          <w:rFonts w:cs="Arial"/>
          <w:b/>
          <w:szCs w:val="20"/>
        </w:rPr>
      </w:pPr>
      <w:r w:rsidRPr="00C258AD">
        <w:rPr>
          <w:rFonts w:cs="Arial"/>
          <w:b/>
          <w:szCs w:val="20"/>
        </w:rPr>
        <w:t>ESPAGNE</w:t>
      </w:r>
      <w:r w:rsidRPr="00C258AD">
        <w:rPr>
          <w:rStyle w:val="FootnoteReference"/>
          <w:rFonts w:cs="Arial"/>
          <w:b/>
          <w:szCs w:val="20"/>
        </w:rPr>
        <w:footnoteReference w:id="166"/>
      </w:r>
    </w:p>
    <w:p w:rsidR="00327D08" w:rsidRPr="00C258AD" w:rsidRDefault="00327D08" w:rsidP="00327D08">
      <w:pPr>
        <w:keepNext/>
        <w:rPr>
          <w:rFonts w:cs="Arial"/>
          <w:b/>
          <w:szCs w:val="16"/>
        </w:rPr>
      </w:pPr>
    </w:p>
    <w:tbl>
      <w:tblPr>
        <w:tblW w:w="5000" w:type="pct"/>
        <w:tblInd w:w="108" w:type="dxa"/>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1958"/>
        <w:gridCol w:w="89"/>
        <w:gridCol w:w="199"/>
        <w:gridCol w:w="1114"/>
        <w:gridCol w:w="160"/>
        <w:gridCol w:w="1681"/>
        <w:gridCol w:w="136"/>
        <w:gridCol w:w="4154"/>
      </w:tblGrid>
      <w:tr w:rsidR="00327D08" w:rsidRPr="00C258AD" w:rsidTr="00927E1F">
        <w:trPr>
          <w:cantSplit/>
        </w:trPr>
        <w:tc>
          <w:tcPr>
            <w:tcW w:w="9491" w:type="dxa"/>
            <w:gridSpan w:val="8"/>
            <w:tcBorders>
              <w:top w:val="single" w:sz="4" w:space="0" w:color="auto"/>
              <w:bottom w:val="single" w:sz="4" w:space="0" w:color="auto"/>
            </w:tcBorders>
            <w:shd w:val="clear" w:color="auto" w:fill="C6D9F1"/>
            <w:vAlign w:val="center"/>
          </w:tcPr>
          <w:p w:rsidR="00327D08" w:rsidRPr="00C258AD" w:rsidRDefault="00327D08" w:rsidP="00927E1F">
            <w:pPr>
              <w:keepNext/>
              <w:keepLines/>
              <w:tabs>
                <w:tab w:val="left" w:pos="1740"/>
              </w:tabs>
              <w:ind w:left="1740" w:hanging="1740"/>
              <w:rPr>
                <w:rFonts w:cs="Arial"/>
                <w:b/>
                <w:bCs/>
                <w:sz w:val="16"/>
                <w:szCs w:val="16"/>
              </w:rPr>
            </w:pPr>
            <w:r w:rsidRPr="00C258AD">
              <w:rPr>
                <w:rFonts w:cs="Arial"/>
                <w:b/>
                <w:bCs/>
                <w:sz w:val="16"/>
                <w:szCs w:val="16"/>
              </w:rPr>
              <w:t xml:space="preserve">RÉSULTAT : </w:t>
            </w:r>
            <w:r w:rsidRPr="00C258AD">
              <w:rPr>
                <w:rFonts w:cs="Arial"/>
                <w:b/>
                <w:bCs/>
                <w:sz w:val="16"/>
                <w:szCs w:val="16"/>
              </w:rPr>
              <w:tab/>
            </w:r>
            <w:r w:rsidRPr="00C258AD">
              <w:rPr>
                <w:rFonts w:cs="Arial"/>
                <w:bCs/>
                <w:sz w:val="16"/>
                <w:szCs w:val="16"/>
              </w:rPr>
              <w:t>III.2 Mise en valeur des ressources humaines pour répondre aux diverses exigences en matière d’utilisation efficace de la propriété intellectuelle au service du développement dans les pays en développement, les PMA et les pays en transition</w:t>
            </w:r>
          </w:p>
        </w:tc>
      </w:tr>
      <w:tr w:rsidR="00327D08" w:rsidRPr="00C258AD" w:rsidTr="00927E1F">
        <w:trPr>
          <w:cantSplit/>
        </w:trPr>
        <w:tc>
          <w:tcPr>
            <w:tcW w:w="2246" w:type="dxa"/>
            <w:gridSpan w:val="3"/>
            <w:tcBorders>
              <w:top w:val="single" w:sz="4" w:space="0" w:color="auto"/>
            </w:tcBorders>
            <w:vAlign w:val="center"/>
          </w:tcPr>
          <w:p w:rsidR="00327D08" w:rsidRPr="00C258AD" w:rsidRDefault="00327D08" w:rsidP="00927E1F">
            <w:pPr>
              <w:keepNext/>
              <w:keepLines/>
              <w:autoSpaceDE w:val="0"/>
              <w:autoSpaceDN w:val="0"/>
              <w:adjustRightInd w:val="0"/>
              <w:rPr>
                <w:rFonts w:cs="Arial"/>
                <w:b/>
                <w:sz w:val="16"/>
                <w:szCs w:val="16"/>
              </w:rPr>
            </w:pPr>
            <w:r w:rsidRPr="00C258AD">
              <w:rPr>
                <w:b/>
                <w:sz w:val="16"/>
              </w:rPr>
              <w:t>Activité</w:t>
            </w:r>
          </w:p>
        </w:tc>
        <w:tc>
          <w:tcPr>
            <w:tcW w:w="1274" w:type="dxa"/>
            <w:gridSpan w:val="2"/>
            <w:tcBorders>
              <w:top w:val="single" w:sz="4" w:space="0" w:color="auto"/>
            </w:tcBorders>
            <w:shd w:val="clear" w:color="auto" w:fill="auto"/>
            <w:tcMar>
              <w:top w:w="110" w:type="dxa"/>
            </w:tcMar>
            <w:vAlign w:val="center"/>
          </w:tcPr>
          <w:p w:rsidR="00327D08" w:rsidRPr="00C258AD" w:rsidRDefault="00327D08" w:rsidP="00927E1F">
            <w:pPr>
              <w:autoSpaceDE w:val="0"/>
              <w:autoSpaceDN w:val="0"/>
              <w:adjustRightInd w:val="0"/>
              <w:rPr>
                <w:rFonts w:cs="Arial"/>
                <w:b/>
                <w:sz w:val="16"/>
                <w:szCs w:val="16"/>
              </w:rPr>
            </w:pPr>
            <w:r w:rsidRPr="00C258AD">
              <w:rPr>
                <w:rFonts w:cs="Arial"/>
                <w:b/>
                <w:sz w:val="16"/>
                <w:szCs w:val="16"/>
              </w:rPr>
              <w:t>Date</w:t>
            </w:r>
          </w:p>
        </w:tc>
        <w:tc>
          <w:tcPr>
            <w:tcW w:w="1817" w:type="dxa"/>
            <w:gridSpan w:val="2"/>
            <w:tcBorders>
              <w:top w:val="single" w:sz="4" w:space="0" w:color="auto"/>
            </w:tcBorders>
            <w:shd w:val="clear" w:color="auto" w:fill="auto"/>
            <w:tcMar>
              <w:top w:w="110" w:type="dxa"/>
            </w:tcMar>
            <w:vAlign w:val="center"/>
          </w:tcPr>
          <w:p w:rsidR="00327D08" w:rsidRPr="00C258AD" w:rsidRDefault="00327D08" w:rsidP="00927E1F">
            <w:pPr>
              <w:autoSpaceDE w:val="0"/>
              <w:autoSpaceDN w:val="0"/>
              <w:adjustRightInd w:val="0"/>
              <w:rPr>
                <w:rFonts w:cs="Arial"/>
                <w:b/>
                <w:sz w:val="16"/>
                <w:szCs w:val="16"/>
              </w:rPr>
            </w:pPr>
            <w:r w:rsidRPr="00C258AD">
              <w:rPr>
                <w:b/>
                <w:sz w:val="16"/>
              </w:rPr>
              <w:t>Pays hôte/</w:t>
            </w:r>
            <w:r w:rsidRPr="00C258AD">
              <w:br/>
            </w:r>
            <w:r w:rsidRPr="00C258AD">
              <w:rPr>
                <w:b/>
                <w:sz w:val="16"/>
              </w:rPr>
              <w:t>bénéficiaires</w:t>
            </w:r>
          </w:p>
        </w:tc>
        <w:tc>
          <w:tcPr>
            <w:tcW w:w="4154" w:type="dxa"/>
            <w:tcBorders>
              <w:top w:val="single" w:sz="4" w:space="0" w:color="auto"/>
            </w:tcBorders>
            <w:shd w:val="clear" w:color="auto" w:fill="FFFFFF"/>
            <w:tcMar>
              <w:top w:w="110" w:type="dxa"/>
            </w:tcMar>
            <w:vAlign w:val="center"/>
          </w:tcPr>
          <w:p w:rsidR="00327D08" w:rsidRPr="00C258AD" w:rsidRDefault="00327D08" w:rsidP="00927E1F">
            <w:pPr>
              <w:autoSpaceDE w:val="0"/>
              <w:autoSpaceDN w:val="0"/>
              <w:adjustRightInd w:val="0"/>
              <w:rPr>
                <w:rFonts w:cs="Arial"/>
                <w:b/>
                <w:sz w:val="16"/>
                <w:szCs w:val="16"/>
              </w:rPr>
            </w:pPr>
            <w:r w:rsidRPr="00C258AD">
              <w:rPr>
                <w:b/>
                <w:sz w:val="16"/>
              </w:rPr>
              <w:t>Objectif(s)/description(s)</w:t>
            </w:r>
          </w:p>
        </w:tc>
      </w:tr>
      <w:tr w:rsidR="00327D08" w:rsidRPr="00C258AD" w:rsidTr="00927E1F">
        <w:trPr>
          <w:cantSplit/>
        </w:trPr>
        <w:tc>
          <w:tcPr>
            <w:tcW w:w="2246" w:type="dxa"/>
            <w:gridSpan w:val="3"/>
            <w:tcBorders>
              <w:bottom w:val="single" w:sz="4" w:space="0" w:color="auto"/>
            </w:tcBorders>
          </w:tcPr>
          <w:p w:rsidR="00327D08" w:rsidRPr="00C258AD" w:rsidRDefault="00327D08" w:rsidP="00927E1F">
            <w:pPr>
              <w:rPr>
                <w:rFonts w:cs="Arial"/>
                <w:sz w:val="16"/>
                <w:szCs w:val="16"/>
              </w:rPr>
            </w:pPr>
            <w:r w:rsidRPr="00C258AD">
              <w:rPr>
                <w:rFonts w:cs="Arial"/>
                <w:sz w:val="16"/>
                <w:szCs w:val="16"/>
              </w:rPr>
              <w:t>Troisième séminaire régional OMPI/OEPM/AECID sur les marques et les dessins et modèles industriels comme facteur d’innovation et actifs de l’entreprise : élaborer une stratégie nationale en matière de gestion de l’image de marque</w:t>
            </w:r>
          </w:p>
        </w:tc>
        <w:tc>
          <w:tcPr>
            <w:tcW w:w="1274" w:type="dxa"/>
            <w:gridSpan w:val="2"/>
            <w:tcBorders>
              <w:bottom w:val="single" w:sz="4" w:space="0" w:color="auto"/>
            </w:tcBorders>
            <w:shd w:val="clear" w:color="auto" w:fill="auto"/>
            <w:tcMar>
              <w:top w:w="110" w:type="dxa"/>
            </w:tcMar>
          </w:tcPr>
          <w:p w:rsidR="00327D08" w:rsidRPr="00C258AD" w:rsidRDefault="00327D08" w:rsidP="00927E1F">
            <w:pPr>
              <w:rPr>
                <w:rFonts w:cs="Arial"/>
                <w:sz w:val="16"/>
                <w:szCs w:val="16"/>
              </w:rPr>
            </w:pPr>
            <w:r w:rsidRPr="00C258AD">
              <w:rPr>
                <w:rFonts w:cs="Arial"/>
                <w:sz w:val="16"/>
                <w:szCs w:val="16"/>
              </w:rPr>
              <w:t>26 – 29 octobre 2015</w:t>
            </w:r>
          </w:p>
        </w:tc>
        <w:tc>
          <w:tcPr>
            <w:tcW w:w="1817" w:type="dxa"/>
            <w:gridSpan w:val="2"/>
            <w:tcBorders>
              <w:bottom w:val="single" w:sz="4" w:space="0" w:color="auto"/>
            </w:tcBorders>
            <w:shd w:val="clear" w:color="auto" w:fill="auto"/>
            <w:tcMar>
              <w:top w:w="110" w:type="dxa"/>
            </w:tcMar>
          </w:tcPr>
          <w:p w:rsidR="00327D08" w:rsidRPr="00C258AD" w:rsidRDefault="00327D08" w:rsidP="00927E1F">
            <w:pPr>
              <w:rPr>
                <w:rFonts w:cs="Arial"/>
                <w:sz w:val="16"/>
                <w:szCs w:val="16"/>
              </w:rPr>
            </w:pPr>
            <w:r w:rsidRPr="00C258AD">
              <w:rPr>
                <w:rFonts w:cs="Arial"/>
                <w:sz w:val="16"/>
                <w:szCs w:val="16"/>
              </w:rPr>
              <w:t>Colombie/ tous les pays d’Amérique latine</w:t>
            </w:r>
          </w:p>
        </w:tc>
        <w:tc>
          <w:tcPr>
            <w:tcW w:w="4154" w:type="dxa"/>
            <w:tcBorders>
              <w:bottom w:val="single" w:sz="4" w:space="0" w:color="auto"/>
            </w:tcBorders>
            <w:shd w:val="clear" w:color="auto" w:fill="FFFFFF"/>
            <w:tcMar>
              <w:top w:w="110" w:type="dxa"/>
            </w:tcMar>
          </w:tcPr>
          <w:p w:rsidR="00327D08" w:rsidRPr="00C258AD" w:rsidRDefault="00327D08" w:rsidP="00927E1F">
            <w:pPr>
              <w:rPr>
                <w:rFonts w:cs="Arial"/>
                <w:sz w:val="16"/>
                <w:szCs w:val="16"/>
              </w:rPr>
            </w:pPr>
            <w:r w:rsidRPr="00C258AD">
              <w:rPr>
                <w:rFonts w:cs="Arial"/>
                <w:sz w:val="16"/>
                <w:szCs w:val="16"/>
              </w:rPr>
              <w:t>i) Encourager l’utilisation de programmes nationaux en matière de gestion de l’image de marque;  ii) créer un forum pour débattre des aspects juridiques de ces programmes et promouvoir une approche régionale de la question;  et iii) promouvoir l’échange de données d’expérience et de pratiques recommandées.</w:t>
            </w:r>
          </w:p>
        </w:tc>
      </w:tr>
      <w:tr w:rsidR="00327D08" w:rsidRPr="00C258AD" w:rsidTr="00927E1F">
        <w:trPr>
          <w:cantSplit/>
        </w:trPr>
        <w:tc>
          <w:tcPr>
            <w:tcW w:w="9491" w:type="dxa"/>
            <w:gridSpan w:val="8"/>
            <w:tcBorders>
              <w:top w:val="single" w:sz="4" w:space="0" w:color="auto"/>
              <w:bottom w:val="single" w:sz="4" w:space="0" w:color="auto"/>
            </w:tcBorders>
            <w:shd w:val="clear" w:color="auto" w:fill="C6D9F1"/>
            <w:vAlign w:val="center"/>
          </w:tcPr>
          <w:p w:rsidR="00327D08" w:rsidRPr="00C258AD" w:rsidRDefault="00327D08" w:rsidP="00927E1F">
            <w:pPr>
              <w:keepNext/>
              <w:keepLines/>
              <w:tabs>
                <w:tab w:val="left" w:pos="1740"/>
              </w:tabs>
              <w:ind w:left="1740" w:hanging="1740"/>
              <w:rPr>
                <w:rFonts w:cs="Arial"/>
                <w:b/>
                <w:bCs/>
                <w:sz w:val="16"/>
                <w:szCs w:val="16"/>
              </w:rPr>
            </w:pPr>
            <w:r w:rsidRPr="00C258AD">
              <w:rPr>
                <w:rFonts w:cs="Arial"/>
                <w:b/>
                <w:bCs/>
                <w:sz w:val="16"/>
                <w:szCs w:val="16"/>
              </w:rPr>
              <w:t xml:space="preserve">RÉSULTAT : </w:t>
            </w:r>
            <w:r w:rsidRPr="00C258AD">
              <w:rPr>
                <w:rFonts w:cs="Arial"/>
                <w:bCs/>
                <w:sz w:val="16"/>
                <w:szCs w:val="16"/>
              </w:rPr>
              <w:tab/>
              <w:t>III.4 Mécanismes et programmes de coopération renforcés, adaptés aux besoins des pays en développement et des PMA</w:t>
            </w:r>
          </w:p>
        </w:tc>
      </w:tr>
      <w:tr w:rsidR="00327D08" w:rsidRPr="00C258AD" w:rsidTr="00927E1F">
        <w:trPr>
          <w:cantSplit/>
        </w:trPr>
        <w:tc>
          <w:tcPr>
            <w:tcW w:w="2047" w:type="dxa"/>
            <w:gridSpan w:val="2"/>
            <w:tcBorders>
              <w:top w:val="single" w:sz="4" w:space="0" w:color="auto"/>
            </w:tcBorders>
            <w:vAlign w:val="center"/>
          </w:tcPr>
          <w:p w:rsidR="00327D08" w:rsidRPr="00C258AD" w:rsidRDefault="00327D08" w:rsidP="00927E1F">
            <w:pPr>
              <w:keepNext/>
              <w:keepLines/>
              <w:autoSpaceDE w:val="0"/>
              <w:autoSpaceDN w:val="0"/>
              <w:adjustRightInd w:val="0"/>
              <w:rPr>
                <w:rFonts w:cs="Arial"/>
                <w:b/>
                <w:bCs/>
                <w:sz w:val="16"/>
                <w:szCs w:val="16"/>
              </w:rPr>
            </w:pPr>
            <w:r w:rsidRPr="00C258AD">
              <w:rPr>
                <w:b/>
                <w:sz w:val="16"/>
              </w:rPr>
              <w:t>Activité</w:t>
            </w:r>
          </w:p>
        </w:tc>
        <w:tc>
          <w:tcPr>
            <w:tcW w:w="1313" w:type="dxa"/>
            <w:gridSpan w:val="2"/>
            <w:tcBorders>
              <w:top w:val="single" w:sz="4" w:space="0" w:color="auto"/>
            </w:tcBorders>
            <w:shd w:val="clear" w:color="auto" w:fill="auto"/>
            <w:tcMar>
              <w:top w:w="110" w:type="dxa"/>
            </w:tcMar>
            <w:vAlign w:val="center"/>
          </w:tcPr>
          <w:p w:rsidR="00327D08" w:rsidRPr="00C258AD" w:rsidRDefault="00327D08" w:rsidP="00927E1F">
            <w:pPr>
              <w:autoSpaceDE w:val="0"/>
              <w:autoSpaceDN w:val="0"/>
              <w:adjustRightInd w:val="0"/>
              <w:rPr>
                <w:rFonts w:cs="Arial"/>
                <w:b/>
                <w:sz w:val="16"/>
                <w:szCs w:val="16"/>
              </w:rPr>
            </w:pPr>
            <w:r w:rsidRPr="00C258AD">
              <w:rPr>
                <w:rFonts w:cs="Arial"/>
                <w:b/>
                <w:sz w:val="16"/>
                <w:szCs w:val="16"/>
              </w:rPr>
              <w:t>Date</w:t>
            </w:r>
          </w:p>
        </w:tc>
        <w:tc>
          <w:tcPr>
            <w:tcW w:w="1841" w:type="dxa"/>
            <w:gridSpan w:val="2"/>
            <w:tcBorders>
              <w:top w:val="single" w:sz="4" w:space="0" w:color="auto"/>
            </w:tcBorders>
            <w:shd w:val="clear" w:color="auto" w:fill="auto"/>
            <w:tcMar>
              <w:top w:w="110" w:type="dxa"/>
            </w:tcMar>
            <w:vAlign w:val="center"/>
          </w:tcPr>
          <w:p w:rsidR="00327D08" w:rsidRPr="00C258AD" w:rsidRDefault="00327D08" w:rsidP="00927E1F">
            <w:pPr>
              <w:autoSpaceDE w:val="0"/>
              <w:autoSpaceDN w:val="0"/>
              <w:adjustRightInd w:val="0"/>
              <w:rPr>
                <w:rFonts w:cs="Arial"/>
                <w:sz w:val="16"/>
                <w:szCs w:val="16"/>
              </w:rPr>
            </w:pPr>
            <w:r w:rsidRPr="00C258AD">
              <w:rPr>
                <w:b/>
                <w:sz w:val="16"/>
              </w:rPr>
              <w:t>Pays hôte/</w:t>
            </w:r>
            <w:r w:rsidRPr="00C258AD">
              <w:br/>
            </w:r>
            <w:r w:rsidRPr="00C258AD">
              <w:rPr>
                <w:b/>
                <w:sz w:val="16"/>
              </w:rPr>
              <w:t>bénéficiaires</w:t>
            </w:r>
          </w:p>
        </w:tc>
        <w:tc>
          <w:tcPr>
            <w:tcW w:w="4290" w:type="dxa"/>
            <w:gridSpan w:val="2"/>
            <w:tcBorders>
              <w:top w:val="single" w:sz="4" w:space="0" w:color="auto"/>
            </w:tcBorders>
            <w:shd w:val="clear" w:color="auto" w:fill="FFFFFF"/>
            <w:tcMar>
              <w:top w:w="110" w:type="dxa"/>
            </w:tcMar>
            <w:vAlign w:val="center"/>
          </w:tcPr>
          <w:p w:rsidR="00327D08" w:rsidRPr="00C258AD" w:rsidRDefault="00327D08" w:rsidP="00927E1F">
            <w:pPr>
              <w:autoSpaceDE w:val="0"/>
              <w:autoSpaceDN w:val="0"/>
              <w:adjustRightInd w:val="0"/>
              <w:rPr>
                <w:rFonts w:cs="Arial"/>
                <w:sz w:val="16"/>
                <w:szCs w:val="16"/>
              </w:rPr>
            </w:pPr>
            <w:r w:rsidRPr="00C258AD">
              <w:rPr>
                <w:b/>
                <w:sz w:val="16"/>
              </w:rPr>
              <w:t>Objectif(s)/description(s)</w:t>
            </w:r>
          </w:p>
        </w:tc>
      </w:tr>
      <w:tr w:rsidR="00327D08" w:rsidRPr="00C258AD" w:rsidTr="00927E1F">
        <w:trPr>
          <w:cantSplit/>
        </w:trPr>
        <w:tc>
          <w:tcPr>
            <w:tcW w:w="2047" w:type="dxa"/>
            <w:gridSpan w:val="2"/>
          </w:tcPr>
          <w:p w:rsidR="00327D08" w:rsidRPr="00C258AD" w:rsidRDefault="00327D08" w:rsidP="00927E1F">
            <w:pPr>
              <w:keepNext/>
              <w:keepLines/>
              <w:autoSpaceDE w:val="0"/>
              <w:autoSpaceDN w:val="0"/>
              <w:adjustRightInd w:val="0"/>
              <w:rPr>
                <w:rFonts w:cs="Arial"/>
                <w:sz w:val="16"/>
                <w:szCs w:val="16"/>
              </w:rPr>
            </w:pPr>
            <w:r w:rsidRPr="00C258AD">
              <w:rPr>
                <w:rFonts w:cs="Arial"/>
                <w:sz w:val="16"/>
                <w:szCs w:val="16"/>
              </w:rPr>
              <w:t xml:space="preserve">Quatorzième séminaire régional OMPI/OEPM/AECID sur la propriété intellectuelle à l’intention des juges et des procureurs de pays d’Amérique latine </w:t>
            </w:r>
          </w:p>
        </w:tc>
        <w:tc>
          <w:tcPr>
            <w:tcW w:w="1313" w:type="dxa"/>
            <w:gridSpan w:val="2"/>
          </w:tcPr>
          <w:p w:rsidR="00327D08" w:rsidRPr="00C258AD" w:rsidRDefault="00327D08" w:rsidP="00927E1F">
            <w:pPr>
              <w:keepNext/>
              <w:keepLines/>
              <w:autoSpaceDE w:val="0"/>
              <w:autoSpaceDN w:val="0"/>
              <w:adjustRightInd w:val="0"/>
              <w:rPr>
                <w:rFonts w:cs="Arial"/>
                <w:sz w:val="16"/>
                <w:szCs w:val="16"/>
              </w:rPr>
            </w:pPr>
            <w:r w:rsidRPr="00C258AD">
              <w:rPr>
                <w:rFonts w:cs="Arial"/>
                <w:sz w:val="16"/>
                <w:szCs w:val="16"/>
              </w:rPr>
              <w:t>16 – 20 février 2015</w:t>
            </w:r>
          </w:p>
        </w:tc>
        <w:tc>
          <w:tcPr>
            <w:tcW w:w="1841" w:type="dxa"/>
            <w:gridSpan w:val="2"/>
          </w:tcPr>
          <w:p w:rsidR="00327D08" w:rsidRPr="00C258AD" w:rsidRDefault="00327D08" w:rsidP="00927E1F">
            <w:pPr>
              <w:keepNext/>
              <w:keepLines/>
              <w:autoSpaceDE w:val="0"/>
              <w:autoSpaceDN w:val="0"/>
              <w:adjustRightInd w:val="0"/>
              <w:rPr>
                <w:rFonts w:cs="Arial"/>
                <w:sz w:val="16"/>
                <w:szCs w:val="16"/>
              </w:rPr>
            </w:pPr>
            <w:r w:rsidRPr="00C258AD">
              <w:rPr>
                <w:rFonts w:cs="Arial"/>
                <w:sz w:val="16"/>
                <w:szCs w:val="16"/>
              </w:rPr>
              <w:t>Guatemala/ tous les pays d’Amérique latine et Tribunal de la communauté andine</w:t>
            </w:r>
          </w:p>
        </w:tc>
        <w:tc>
          <w:tcPr>
            <w:tcW w:w="4290" w:type="dxa"/>
            <w:gridSpan w:val="2"/>
          </w:tcPr>
          <w:p w:rsidR="00327D08" w:rsidRPr="00C258AD" w:rsidRDefault="00327D08" w:rsidP="00927E1F">
            <w:pPr>
              <w:keepNext/>
              <w:keepLines/>
              <w:autoSpaceDE w:val="0"/>
              <w:autoSpaceDN w:val="0"/>
              <w:adjustRightInd w:val="0"/>
              <w:rPr>
                <w:rFonts w:cs="Arial"/>
                <w:sz w:val="16"/>
                <w:szCs w:val="16"/>
              </w:rPr>
            </w:pPr>
            <w:r w:rsidRPr="00C258AD">
              <w:rPr>
                <w:rFonts w:cs="Arial"/>
                <w:sz w:val="16"/>
                <w:szCs w:val="16"/>
              </w:rPr>
              <w:t>i) Dispenser aux juges et aux procureurs publics responsables de la propriété intellectuelle dans les pays d’Amérique latine une formation sur les questions de propriété intellectuelle pour améliorer le processus de prise de décision dans les cas litigieux;  et ii) fournir aux participants des informations à jour et une formation pratique dans les domaines des brevets, des marques, du droit d’auteur et des cas d’application des droits de propriété intellectuelle.</w:t>
            </w:r>
          </w:p>
        </w:tc>
      </w:tr>
      <w:tr w:rsidR="00327D08" w:rsidRPr="00C258AD" w:rsidTr="00927E1F">
        <w:trPr>
          <w:cantSplit/>
        </w:trPr>
        <w:tc>
          <w:tcPr>
            <w:tcW w:w="2047"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Plateforme en espagnol sur les services de propriété industrielle et leurs contenus, adaptés aux besoins du secteur ibéro</w:t>
            </w:r>
            <w:r w:rsidRPr="00C258AD">
              <w:rPr>
                <w:rFonts w:cs="Arial"/>
                <w:sz w:val="16"/>
                <w:szCs w:val="16"/>
              </w:rPr>
              <w:noBreakHyphen/>
              <w:t>américain des entrepreneurs, l’accent étant mis sur les PME (CIBEPYME)</w:t>
            </w:r>
          </w:p>
        </w:tc>
        <w:tc>
          <w:tcPr>
            <w:tcW w:w="1313" w:type="dxa"/>
            <w:gridSpan w:val="2"/>
            <w:shd w:val="clear" w:color="auto" w:fill="auto"/>
            <w:tcMar>
              <w:top w:w="110" w:type="dxa"/>
            </w:tcMar>
          </w:tcPr>
          <w:p w:rsidR="00327D08" w:rsidRPr="00C258AD" w:rsidRDefault="00327D08" w:rsidP="00927E1F">
            <w:pPr>
              <w:autoSpaceDE w:val="0"/>
              <w:autoSpaceDN w:val="0"/>
              <w:adjustRightInd w:val="0"/>
              <w:rPr>
                <w:rFonts w:cs="Arial"/>
                <w:sz w:val="16"/>
                <w:szCs w:val="16"/>
              </w:rPr>
            </w:pPr>
            <w:r w:rsidRPr="00C258AD">
              <w:rPr>
                <w:rFonts w:cs="Arial"/>
                <w:sz w:val="16"/>
                <w:szCs w:val="16"/>
              </w:rPr>
              <w:t>janvier à décembre 2015</w:t>
            </w:r>
          </w:p>
          <w:p w:rsidR="00327D08" w:rsidRPr="00C258AD" w:rsidRDefault="00327D08" w:rsidP="00927E1F">
            <w:pPr>
              <w:autoSpaceDE w:val="0"/>
              <w:autoSpaceDN w:val="0"/>
              <w:adjustRightInd w:val="0"/>
              <w:rPr>
                <w:rFonts w:cs="Arial"/>
                <w:sz w:val="16"/>
                <w:szCs w:val="16"/>
              </w:rPr>
            </w:pPr>
            <w:r w:rsidRPr="00C258AD">
              <w:rPr>
                <w:rFonts w:cs="Arial"/>
                <w:sz w:val="16"/>
                <w:szCs w:val="16"/>
              </w:rPr>
              <w:t>(projet en cours depuis 2010)</w:t>
            </w:r>
          </w:p>
        </w:tc>
        <w:tc>
          <w:tcPr>
            <w:tcW w:w="1841" w:type="dxa"/>
            <w:gridSpan w:val="2"/>
            <w:shd w:val="clear" w:color="auto" w:fill="auto"/>
            <w:tcMar>
              <w:top w:w="110" w:type="dxa"/>
            </w:tcMar>
          </w:tcPr>
          <w:p w:rsidR="00327D08" w:rsidRPr="00C258AD" w:rsidRDefault="00327D08" w:rsidP="00927E1F">
            <w:pPr>
              <w:autoSpaceDE w:val="0"/>
              <w:autoSpaceDN w:val="0"/>
              <w:adjustRightInd w:val="0"/>
              <w:rPr>
                <w:rFonts w:cs="Arial"/>
                <w:sz w:val="16"/>
                <w:szCs w:val="16"/>
              </w:rPr>
            </w:pPr>
            <w:r w:rsidRPr="00C258AD">
              <w:rPr>
                <w:rFonts w:cs="Arial"/>
                <w:sz w:val="16"/>
                <w:szCs w:val="16"/>
              </w:rPr>
              <w:t>Tous les pays ibéro</w:t>
            </w:r>
            <w:r w:rsidRPr="00C258AD">
              <w:rPr>
                <w:rFonts w:cs="Arial"/>
                <w:sz w:val="16"/>
                <w:szCs w:val="16"/>
              </w:rPr>
              <w:noBreakHyphen/>
              <w:t>américains</w:t>
            </w:r>
          </w:p>
        </w:tc>
        <w:tc>
          <w:tcPr>
            <w:tcW w:w="4290" w:type="dxa"/>
            <w:gridSpan w:val="2"/>
            <w:shd w:val="clear" w:color="auto" w:fill="FFFFFF"/>
            <w:tcMar>
              <w:top w:w="110" w:type="dxa"/>
            </w:tcMar>
          </w:tcPr>
          <w:p w:rsidR="00327D08" w:rsidRPr="00C258AD" w:rsidRDefault="00327D08" w:rsidP="00927E1F">
            <w:pPr>
              <w:autoSpaceDE w:val="0"/>
              <w:autoSpaceDN w:val="0"/>
              <w:adjustRightInd w:val="0"/>
              <w:rPr>
                <w:rFonts w:cs="Arial"/>
                <w:sz w:val="16"/>
                <w:szCs w:val="16"/>
              </w:rPr>
            </w:pPr>
            <w:r w:rsidRPr="00C258AD">
              <w:rPr>
                <w:rFonts w:cs="Arial"/>
                <w:sz w:val="16"/>
                <w:szCs w:val="16"/>
              </w:rPr>
              <w:t>Poursuite de la conception et création d’une plateforme pour le secteur privé afin de : i) fournir assistance et services lors de l’utilisation de la propriété intellectuelle;  ii) augmenter la valeur de leurs activités commerciales;  et iii) constituer un forum pour le secteur privé visant à assurer les échanges d’idées et les partages d’expériences.</w:t>
            </w:r>
          </w:p>
        </w:tc>
      </w:tr>
      <w:tr w:rsidR="00327D08" w:rsidRPr="00C258AD" w:rsidTr="00927E1F">
        <w:trPr>
          <w:cantSplit/>
        </w:trPr>
        <w:tc>
          <w:tcPr>
            <w:tcW w:w="2047"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Projet régional d’automatisation pour la traduction espagnole du niveau avancé de la classification internationale des brevets (CIB)</w:t>
            </w:r>
          </w:p>
        </w:tc>
        <w:tc>
          <w:tcPr>
            <w:tcW w:w="1313"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janvier à décembre 2015</w:t>
            </w:r>
          </w:p>
          <w:p w:rsidR="00327D08" w:rsidRPr="00C258AD" w:rsidRDefault="00327D08" w:rsidP="00927E1F">
            <w:pPr>
              <w:autoSpaceDE w:val="0"/>
              <w:autoSpaceDN w:val="0"/>
              <w:adjustRightInd w:val="0"/>
              <w:rPr>
                <w:rFonts w:cs="Arial"/>
                <w:sz w:val="16"/>
                <w:szCs w:val="16"/>
              </w:rPr>
            </w:pPr>
            <w:r w:rsidRPr="00C258AD">
              <w:rPr>
                <w:rFonts w:cs="Arial"/>
                <w:sz w:val="16"/>
                <w:szCs w:val="16"/>
              </w:rPr>
              <w:t>(projet en cours depuis 2010)</w:t>
            </w:r>
          </w:p>
        </w:tc>
        <w:tc>
          <w:tcPr>
            <w:tcW w:w="1841"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Tous les pays d’Amérique latine</w:t>
            </w:r>
          </w:p>
        </w:tc>
        <w:tc>
          <w:tcPr>
            <w:tcW w:w="4290"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i) Mettre en œuvre l’automatisation pour la traduction espagnole du niveau avancé de la CIB, qui est d’abord déployé en anglais et en français uniquement;  et ii) assurer sa mise à disposition des offices de propriété industrielle dans les pays d’Amérique latine.</w:t>
            </w:r>
          </w:p>
        </w:tc>
      </w:tr>
      <w:tr w:rsidR="00327D08" w:rsidRPr="00C258AD" w:rsidTr="00927E1F">
        <w:trPr>
          <w:cantSplit/>
        </w:trPr>
        <w:tc>
          <w:tcPr>
            <w:tcW w:w="2047"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lastRenderedPageBreak/>
              <w:t>Séminaire régional sur le PCT et le Traité de Budapest à l’intention des pays d’Amérique latine</w:t>
            </w:r>
          </w:p>
        </w:tc>
        <w:tc>
          <w:tcPr>
            <w:tcW w:w="1313"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28 – 31 juillet 2015</w:t>
            </w:r>
          </w:p>
        </w:tc>
        <w:tc>
          <w:tcPr>
            <w:tcW w:w="1841"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Équateur/ tous les pays d’Amérique latine</w:t>
            </w:r>
          </w:p>
        </w:tc>
        <w:tc>
          <w:tcPr>
            <w:tcW w:w="4290"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Partager des données d’expérience avec les offices nationaux et les tenir informés des derniers faits nouveaux concernant le système du PCT.</w:t>
            </w:r>
          </w:p>
        </w:tc>
      </w:tr>
      <w:tr w:rsidR="00327D08" w:rsidRPr="00C258AD" w:rsidTr="00927E1F">
        <w:trPr>
          <w:cantSplit/>
        </w:trPr>
        <w:tc>
          <w:tcPr>
            <w:tcW w:w="2047"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Séminaire régional sur l’application des droits de propriété industrielle</w:t>
            </w:r>
            <w:r w:rsidRPr="00C258AD">
              <w:rPr>
                <w:rStyle w:val="FootnoteReference"/>
                <w:rFonts w:cs="Arial"/>
                <w:sz w:val="16"/>
                <w:szCs w:val="16"/>
              </w:rPr>
              <w:footnoteReference w:id="167"/>
            </w:r>
            <w:r w:rsidRPr="00C258AD">
              <w:rPr>
                <w:rFonts w:cs="Arial"/>
                <w:sz w:val="16"/>
                <w:szCs w:val="16"/>
              </w:rPr>
              <w:t xml:space="preserve"> </w:t>
            </w:r>
          </w:p>
        </w:tc>
        <w:tc>
          <w:tcPr>
            <w:tcW w:w="1313"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27 – 28 juillet 2015</w:t>
            </w:r>
          </w:p>
        </w:tc>
        <w:tc>
          <w:tcPr>
            <w:tcW w:w="1841"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Mexique/ Équateur, Espagne, Honduras, Mexique, Paraguay et Pérou</w:t>
            </w:r>
          </w:p>
        </w:tc>
        <w:tc>
          <w:tcPr>
            <w:tcW w:w="4290"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i) Informer les pouvoirs publics chargés de la propriété intellectuelle au sujet des questions d’application des droits de propriété intellectuelle par différentes approches;  ii) créer un forum où les offices nationaux de propriété intellectuelle des pays d’Amérique latine peuvent échanger des données d’expérience sur la promotion du respect des droits de propriété intellectuelle;  iii) renforcer les liens de collaboration aux niveaux territorial et institutionnel dans le domaine de l’application des droits.</w:t>
            </w:r>
          </w:p>
        </w:tc>
      </w:tr>
      <w:tr w:rsidR="00327D08" w:rsidRPr="00C258AD" w:rsidTr="00927E1F">
        <w:trPr>
          <w:cantSplit/>
        </w:trPr>
        <w:tc>
          <w:tcPr>
            <w:tcW w:w="2047"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Journée de lutte contre la contrefaçon pour les chambres de commerce et les entrepreneurs</w:t>
            </w:r>
            <w:r w:rsidRPr="00C258AD">
              <w:rPr>
                <w:rStyle w:val="FootnoteReference"/>
                <w:rFonts w:cs="Arial"/>
                <w:sz w:val="16"/>
                <w:szCs w:val="16"/>
              </w:rPr>
              <w:footnoteReference w:id="168"/>
            </w:r>
          </w:p>
        </w:tc>
        <w:tc>
          <w:tcPr>
            <w:tcW w:w="1313"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29 juillet 2015</w:t>
            </w:r>
          </w:p>
        </w:tc>
        <w:tc>
          <w:tcPr>
            <w:tcW w:w="1841"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Mexique/ Équateur, Espagne, Honduras, Mexique, Paraguay et Pérou</w:t>
            </w:r>
          </w:p>
        </w:tc>
        <w:tc>
          <w:tcPr>
            <w:tcW w:w="4290"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i) Réunir des hauts fonctionnaires nationaux et des chefs d’entreprise pour mettre en commun leurs données d’expérience et améliorer la coordination et la coopération internationales et trouver des solutions plus efficaces pour lutter contre la contrefaçon;  et ii) présenter un aperçu des services et des moyens publics disponibles pour l’application des droits de propriété intellectuelle.</w:t>
            </w:r>
          </w:p>
        </w:tc>
      </w:tr>
      <w:tr w:rsidR="00327D08" w:rsidRPr="00C258AD" w:rsidTr="00927E1F">
        <w:trPr>
          <w:cantSplit/>
        </w:trPr>
        <w:tc>
          <w:tcPr>
            <w:tcW w:w="2047"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 xml:space="preserve">Réunion </w:t>
            </w:r>
            <w:proofErr w:type="spellStart"/>
            <w:r w:rsidRPr="00C258AD">
              <w:rPr>
                <w:rFonts w:cs="Arial"/>
                <w:sz w:val="16"/>
                <w:szCs w:val="16"/>
              </w:rPr>
              <w:t>sous</w:t>
            </w:r>
            <w:r w:rsidRPr="00C258AD">
              <w:rPr>
                <w:rFonts w:cs="Arial"/>
                <w:sz w:val="16"/>
                <w:szCs w:val="16"/>
              </w:rPr>
              <w:noBreakHyphen/>
              <w:t>régionale</w:t>
            </w:r>
            <w:proofErr w:type="spellEnd"/>
            <w:r w:rsidRPr="00C258AD">
              <w:rPr>
                <w:rFonts w:cs="Arial"/>
                <w:sz w:val="16"/>
                <w:szCs w:val="16"/>
              </w:rPr>
              <w:t xml:space="preserve"> sur les brevets des pays d’Amérique centrale, du Panama et de la République dominicaine pour l’examen et l’approbation d’un Manuel sur l’examen des demandes d’enregistrement de brevets et mécanismes de coopération renforcés</w:t>
            </w:r>
          </w:p>
        </w:tc>
        <w:tc>
          <w:tcPr>
            <w:tcW w:w="1313"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30 juin – 2 juillet 2015</w:t>
            </w:r>
          </w:p>
        </w:tc>
        <w:tc>
          <w:tcPr>
            <w:tcW w:w="1841"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Panama/ pays d’Amérique centrale et République dominicaine</w:t>
            </w:r>
          </w:p>
        </w:tc>
        <w:tc>
          <w:tcPr>
            <w:tcW w:w="4290"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i) Permettre une mise à jour du Manuel sur l’examen des brevets pour les pays d’Amérique centrale, le Panama et la République dominicaine;  ii) proposer des mesures pour l’utilisation future du Manuel pour les processus d’examen;  et iii) définir des mesures pour renforcer les mécanismes de coopération en vue d’assurer un consensus sur les mécanismes qui permettraient de maintenir la pertinence de ce Manuel et d’aller de l’avant.</w:t>
            </w:r>
          </w:p>
        </w:tc>
      </w:tr>
      <w:tr w:rsidR="00327D08" w:rsidRPr="00C258AD" w:rsidTr="00927E1F">
        <w:trPr>
          <w:cantSplit/>
        </w:trPr>
        <w:tc>
          <w:tcPr>
            <w:tcW w:w="2047"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Programme de propriété intellectuelle d’Amérique latine (IBEPI)</w:t>
            </w:r>
          </w:p>
        </w:tc>
        <w:tc>
          <w:tcPr>
            <w:tcW w:w="1313"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janvier à décembre 2015</w:t>
            </w:r>
          </w:p>
        </w:tc>
        <w:tc>
          <w:tcPr>
            <w:tcW w:w="1841"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Tous les pays ibéro</w:t>
            </w:r>
            <w:r w:rsidRPr="00C258AD">
              <w:rPr>
                <w:rFonts w:cs="Arial"/>
                <w:sz w:val="16"/>
                <w:szCs w:val="16"/>
              </w:rPr>
              <w:noBreakHyphen/>
              <w:t>américains</w:t>
            </w:r>
          </w:p>
        </w:tc>
        <w:tc>
          <w:tcPr>
            <w:tcW w:w="4290"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Promouvoir le développement social et économique de la région dans le cadre du Sommet des chefs d’État et de gouvernement des pays d’Amérique latine</w:t>
            </w:r>
          </w:p>
        </w:tc>
      </w:tr>
      <w:tr w:rsidR="00327D08" w:rsidRPr="00C258AD" w:rsidTr="00927E1F">
        <w:trPr>
          <w:cantSplit/>
        </w:trPr>
        <w:tc>
          <w:tcPr>
            <w:tcW w:w="2047" w:type="dxa"/>
            <w:gridSpan w:val="2"/>
            <w:tcBorders>
              <w:bottom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 xml:space="preserve">Réunion du comité intergouvernemental du programme IBEPI </w:t>
            </w:r>
          </w:p>
        </w:tc>
        <w:tc>
          <w:tcPr>
            <w:tcW w:w="1313" w:type="dxa"/>
            <w:gridSpan w:val="2"/>
            <w:tcBorders>
              <w:bottom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1</w:t>
            </w:r>
            <w:r w:rsidRPr="00C258AD">
              <w:rPr>
                <w:rFonts w:cs="Arial"/>
                <w:sz w:val="16"/>
                <w:szCs w:val="16"/>
                <w:vertAlign w:val="superscript"/>
              </w:rPr>
              <w:t>er</w:t>
            </w:r>
            <w:r w:rsidRPr="00C258AD">
              <w:rPr>
                <w:rFonts w:cs="Arial"/>
                <w:sz w:val="16"/>
                <w:szCs w:val="16"/>
              </w:rPr>
              <w:t xml:space="preserve"> – 2 octobre 2015</w:t>
            </w:r>
          </w:p>
        </w:tc>
        <w:tc>
          <w:tcPr>
            <w:tcW w:w="1841" w:type="dxa"/>
            <w:gridSpan w:val="2"/>
            <w:tcBorders>
              <w:bottom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Espagne/ tous les pays ibéro</w:t>
            </w:r>
            <w:r w:rsidRPr="00C258AD">
              <w:rPr>
                <w:rFonts w:cs="Arial"/>
                <w:sz w:val="16"/>
                <w:szCs w:val="16"/>
              </w:rPr>
              <w:noBreakHyphen/>
              <w:t>américains</w:t>
            </w:r>
          </w:p>
        </w:tc>
        <w:tc>
          <w:tcPr>
            <w:tcW w:w="4290" w:type="dxa"/>
            <w:gridSpan w:val="2"/>
            <w:tcBorders>
              <w:bottom w:val="single" w:sz="4" w:space="0" w:color="auto"/>
            </w:tcBorders>
          </w:tcPr>
          <w:p w:rsidR="00327D08" w:rsidRPr="00C258AD" w:rsidRDefault="00327D08" w:rsidP="00927E1F">
            <w:pPr>
              <w:autoSpaceDE w:val="0"/>
              <w:autoSpaceDN w:val="0"/>
              <w:adjustRightInd w:val="0"/>
              <w:rPr>
                <w:rFonts w:cs="Arial"/>
                <w:sz w:val="16"/>
                <w:szCs w:val="16"/>
              </w:rPr>
            </w:pPr>
            <w:r w:rsidRPr="00C258AD">
              <w:rPr>
                <w:rFonts w:cs="Arial"/>
                <w:sz w:val="16"/>
                <w:szCs w:val="16"/>
              </w:rPr>
              <w:t xml:space="preserve">Faciliter l’organisation de la réunion du comité intergouvernemental du programme IBEPI, </w:t>
            </w:r>
            <w:proofErr w:type="spellStart"/>
            <w:r w:rsidRPr="00C258AD">
              <w:rPr>
                <w:rFonts w:cs="Arial"/>
                <w:sz w:val="16"/>
                <w:szCs w:val="16"/>
              </w:rPr>
              <w:t>coorganisée</w:t>
            </w:r>
            <w:proofErr w:type="spellEnd"/>
            <w:r w:rsidRPr="00C258AD">
              <w:rPr>
                <w:rFonts w:cs="Arial"/>
                <w:sz w:val="16"/>
                <w:szCs w:val="16"/>
              </w:rPr>
              <w:t xml:space="preserve"> avec le secrétariat du programme IBEPI.  </w:t>
            </w:r>
          </w:p>
        </w:tc>
      </w:tr>
      <w:tr w:rsidR="00327D08" w:rsidRPr="00C258AD" w:rsidTr="00927E1F">
        <w:trPr>
          <w:cantSplit/>
        </w:trPr>
        <w:tc>
          <w:tcPr>
            <w:tcW w:w="9491" w:type="dxa"/>
            <w:gridSpan w:val="8"/>
            <w:tcBorders>
              <w:top w:val="single" w:sz="4" w:space="0" w:color="auto"/>
              <w:bottom w:val="single" w:sz="4" w:space="0" w:color="auto"/>
            </w:tcBorders>
            <w:shd w:val="clear" w:color="auto" w:fill="C6D9F1"/>
            <w:vAlign w:val="center"/>
          </w:tcPr>
          <w:p w:rsidR="00327D08" w:rsidRPr="00C258AD" w:rsidRDefault="00327D08" w:rsidP="00927E1F">
            <w:pPr>
              <w:keepNext/>
              <w:keepLines/>
              <w:tabs>
                <w:tab w:val="left" w:pos="1740"/>
              </w:tabs>
              <w:ind w:left="1740" w:hanging="1740"/>
              <w:rPr>
                <w:rFonts w:cs="Arial"/>
                <w:b/>
                <w:bCs/>
                <w:sz w:val="16"/>
                <w:szCs w:val="16"/>
              </w:rPr>
            </w:pPr>
            <w:r w:rsidRPr="00C258AD">
              <w:rPr>
                <w:rFonts w:cs="Arial"/>
                <w:b/>
                <w:bCs/>
                <w:sz w:val="16"/>
                <w:szCs w:val="16"/>
              </w:rPr>
              <w:t xml:space="preserve">RÉSULTAT : </w:t>
            </w:r>
            <w:r w:rsidRPr="00C258AD">
              <w:rPr>
                <w:rFonts w:cs="Arial"/>
                <w:b/>
                <w:bCs/>
                <w:sz w:val="16"/>
                <w:szCs w:val="16"/>
              </w:rPr>
              <w:tab/>
            </w:r>
            <w:r w:rsidRPr="00C258AD">
              <w:rPr>
                <w:rFonts w:cs="Arial"/>
                <w:bCs/>
                <w:sz w:val="16"/>
                <w:szCs w:val="16"/>
              </w:rPr>
              <w:t>IV.4 Amélioration de l’infrastructure technique et du savoir pour les offices de propriété intellectuelle et les autres institutions de propriété intellectuelle, leur permettant de fournir à leurs parties prenantes des services améliorés (moins chers, plus rapides, de meilleure qualité)</w:t>
            </w:r>
          </w:p>
        </w:tc>
      </w:tr>
      <w:tr w:rsidR="00327D08" w:rsidRPr="00C258AD" w:rsidTr="00927E1F">
        <w:trPr>
          <w:cantSplit/>
        </w:trPr>
        <w:tc>
          <w:tcPr>
            <w:tcW w:w="1958" w:type="dxa"/>
            <w:tcBorders>
              <w:top w:val="single" w:sz="4" w:space="0" w:color="auto"/>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402" w:type="dxa"/>
            <w:gridSpan w:val="3"/>
            <w:tcBorders>
              <w:top w:val="single" w:sz="4" w:space="0" w:color="auto"/>
            </w:tcBorders>
            <w:shd w:val="clear" w:color="auto" w:fill="auto"/>
            <w:tcMar>
              <w:top w:w="110" w:type="dxa"/>
            </w:tcMar>
            <w:vAlign w:val="center"/>
          </w:tcPr>
          <w:p w:rsidR="00327D08" w:rsidRPr="00C258AD" w:rsidRDefault="00327D08" w:rsidP="00927E1F">
            <w:pPr>
              <w:keepNext/>
              <w:keepLines/>
              <w:rPr>
                <w:rFonts w:cs="Arial"/>
                <w:b/>
                <w:sz w:val="16"/>
                <w:szCs w:val="16"/>
              </w:rPr>
            </w:pPr>
            <w:r w:rsidRPr="00C258AD">
              <w:rPr>
                <w:rFonts w:cs="Arial"/>
                <w:b/>
                <w:sz w:val="16"/>
                <w:szCs w:val="16"/>
              </w:rPr>
              <w:t>Date</w:t>
            </w:r>
          </w:p>
        </w:tc>
        <w:tc>
          <w:tcPr>
            <w:tcW w:w="1841" w:type="dxa"/>
            <w:gridSpan w:val="2"/>
            <w:tcBorders>
              <w:top w:val="single" w:sz="4" w:space="0" w:color="auto"/>
            </w:tcBorders>
            <w:shd w:val="clear" w:color="auto" w:fill="auto"/>
            <w:tcMar>
              <w:top w:w="110" w:type="dxa"/>
            </w:tcMar>
            <w:vAlign w:val="center"/>
          </w:tcPr>
          <w:p w:rsidR="00327D08" w:rsidRPr="00C258AD" w:rsidRDefault="00327D08" w:rsidP="00927E1F">
            <w:pPr>
              <w:keepNext/>
              <w:keepLines/>
              <w:rPr>
                <w:rFonts w:cs="Arial"/>
                <w:sz w:val="16"/>
                <w:szCs w:val="16"/>
              </w:rPr>
            </w:pPr>
            <w:r w:rsidRPr="00C258AD">
              <w:rPr>
                <w:b/>
                <w:sz w:val="16"/>
              </w:rPr>
              <w:t>Pays hôte/</w:t>
            </w:r>
            <w:r w:rsidRPr="00C258AD">
              <w:br/>
            </w:r>
            <w:r w:rsidRPr="00C258AD">
              <w:rPr>
                <w:b/>
                <w:sz w:val="16"/>
              </w:rPr>
              <w:t>bénéficiaires</w:t>
            </w:r>
          </w:p>
        </w:tc>
        <w:tc>
          <w:tcPr>
            <w:tcW w:w="4290" w:type="dxa"/>
            <w:gridSpan w:val="2"/>
            <w:tcBorders>
              <w:top w:val="single" w:sz="4" w:space="0" w:color="auto"/>
            </w:tcBorders>
            <w:shd w:val="clear" w:color="auto" w:fill="FFFFFF"/>
            <w:tcMar>
              <w:top w:w="110" w:type="dxa"/>
            </w:tcMar>
            <w:vAlign w:val="center"/>
          </w:tcPr>
          <w:p w:rsidR="00327D08" w:rsidRPr="00C258AD" w:rsidRDefault="00327D08" w:rsidP="00927E1F">
            <w:pPr>
              <w:keepNext/>
              <w:keepLines/>
              <w:rPr>
                <w:rFonts w:cs="Arial"/>
                <w:sz w:val="16"/>
                <w:szCs w:val="16"/>
              </w:rPr>
            </w:pPr>
            <w:r w:rsidRPr="00C258AD">
              <w:rPr>
                <w:b/>
                <w:sz w:val="16"/>
              </w:rPr>
              <w:t>Objectif(s)/description(s)</w:t>
            </w:r>
          </w:p>
        </w:tc>
      </w:tr>
      <w:tr w:rsidR="00327D08" w:rsidRPr="00C258AD" w:rsidTr="00927E1F">
        <w:trPr>
          <w:cantSplit/>
        </w:trPr>
        <w:tc>
          <w:tcPr>
            <w:tcW w:w="1958" w:type="dxa"/>
          </w:tcPr>
          <w:p w:rsidR="00327D08" w:rsidRPr="00C258AD" w:rsidRDefault="00327D08" w:rsidP="00327D08">
            <w:pPr>
              <w:autoSpaceDE w:val="0"/>
              <w:autoSpaceDN w:val="0"/>
              <w:adjustRightInd w:val="0"/>
              <w:rPr>
                <w:rFonts w:cs="Arial"/>
                <w:sz w:val="16"/>
                <w:szCs w:val="16"/>
              </w:rPr>
            </w:pPr>
            <w:r w:rsidRPr="00C258AD">
              <w:rPr>
                <w:rFonts w:cs="Arial"/>
                <w:sz w:val="16"/>
                <w:szCs w:val="16"/>
              </w:rPr>
              <w:t>Sixième séminaire régional sur la gestion des offices nationaux de propriété industrielle : rôle des programmes de partage du travail</w:t>
            </w:r>
          </w:p>
        </w:tc>
        <w:tc>
          <w:tcPr>
            <w:tcW w:w="1402" w:type="dxa"/>
            <w:gridSpan w:val="3"/>
          </w:tcPr>
          <w:p w:rsidR="00327D08" w:rsidRPr="00C258AD" w:rsidRDefault="00327D08" w:rsidP="00327D08">
            <w:pPr>
              <w:autoSpaceDE w:val="0"/>
              <w:autoSpaceDN w:val="0"/>
              <w:adjustRightInd w:val="0"/>
              <w:rPr>
                <w:rFonts w:cs="Arial"/>
                <w:sz w:val="16"/>
                <w:szCs w:val="16"/>
                <w:lang w:eastAsia="ja-JP"/>
              </w:rPr>
            </w:pPr>
            <w:r w:rsidRPr="00C258AD">
              <w:rPr>
                <w:rFonts w:cs="Arial"/>
                <w:sz w:val="16"/>
                <w:szCs w:val="16"/>
                <w:lang w:eastAsia="ja-JP"/>
              </w:rPr>
              <w:t>16 – 19 mars 2015</w:t>
            </w:r>
          </w:p>
        </w:tc>
        <w:tc>
          <w:tcPr>
            <w:tcW w:w="1841" w:type="dxa"/>
            <w:gridSpan w:val="2"/>
          </w:tcPr>
          <w:p w:rsidR="00327D08" w:rsidRPr="00C258AD" w:rsidRDefault="00327D08" w:rsidP="00327D08">
            <w:pPr>
              <w:autoSpaceDE w:val="0"/>
              <w:autoSpaceDN w:val="0"/>
              <w:adjustRightInd w:val="0"/>
              <w:rPr>
                <w:rFonts w:cs="Arial"/>
                <w:sz w:val="16"/>
                <w:szCs w:val="16"/>
                <w:lang w:eastAsia="ja-JP"/>
              </w:rPr>
            </w:pPr>
            <w:r w:rsidRPr="00C258AD">
              <w:rPr>
                <w:rFonts w:cs="Arial"/>
                <w:sz w:val="16"/>
                <w:szCs w:val="16"/>
                <w:lang w:eastAsia="ja-JP"/>
              </w:rPr>
              <w:t>Colombie/tous les pays d’Amérique latine</w:t>
            </w:r>
          </w:p>
        </w:tc>
        <w:tc>
          <w:tcPr>
            <w:tcW w:w="4290" w:type="dxa"/>
            <w:gridSpan w:val="2"/>
          </w:tcPr>
          <w:p w:rsidR="00327D08" w:rsidRPr="00C258AD" w:rsidRDefault="00327D08" w:rsidP="00327D08">
            <w:pPr>
              <w:autoSpaceDE w:val="0"/>
              <w:autoSpaceDN w:val="0"/>
              <w:adjustRightInd w:val="0"/>
              <w:rPr>
                <w:rFonts w:cs="Arial"/>
                <w:sz w:val="16"/>
                <w:szCs w:val="16"/>
                <w:lang w:eastAsia="ja-JP"/>
              </w:rPr>
            </w:pPr>
            <w:r w:rsidRPr="00C258AD">
              <w:rPr>
                <w:rFonts w:cs="Arial"/>
                <w:sz w:val="16"/>
                <w:szCs w:val="16"/>
                <w:lang w:eastAsia="ja-JP"/>
              </w:rPr>
              <w:t>i) Fournir aux participants des données actualisées, une formation pratique et des outils utiles pour la gestion des offices nationaux;  ii) créer un forum pour le partage de pratiques recommandées;  et iii) inculquer un sens aigu de la gestion axée sur les services parmi les administrateurs des offices de propriété intellectuelle des pays d’Amérique latine.</w:t>
            </w:r>
          </w:p>
        </w:tc>
      </w:tr>
      <w:tr w:rsidR="00327D08" w:rsidRPr="00C258AD" w:rsidTr="00927E1F">
        <w:trPr>
          <w:cantSplit/>
        </w:trPr>
        <w:tc>
          <w:tcPr>
            <w:tcW w:w="1958"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lastRenderedPageBreak/>
              <w:t xml:space="preserve">Projet LATIPAT, onzième réunion régionale OMPI/OEB/OEBM des spécialistes des technologies de l’information et de la gestion des informations relatives aux brevets des Offices de propriété industrielle en Amérique latine </w:t>
            </w:r>
          </w:p>
        </w:tc>
        <w:tc>
          <w:tcPr>
            <w:tcW w:w="1402" w:type="dxa"/>
            <w:gridSpan w:val="3"/>
          </w:tcPr>
          <w:p w:rsidR="00327D08" w:rsidRPr="00C258AD" w:rsidRDefault="00327D08" w:rsidP="00927E1F">
            <w:pPr>
              <w:autoSpaceDE w:val="0"/>
              <w:autoSpaceDN w:val="0"/>
              <w:adjustRightInd w:val="0"/>
              <w:rPr>
                <w:rFonts w:cs="Arial"/>
                <w:sz w:val="16"/>
                <w:szCs w:val="16"/>
              </w:rPr>
            </w:pPr>
            <w:r w:rsidRPr="00C258AD">
              <w:rPr>
                <w:rFonts w:cs="Arial"/>
                <w:sz w:val="16"/>
                <w:szCs w:val="16"/>
              </w:rPr>
              <w:t>4 – 6 novembre 2016</w:t>
            </w:r>
          </w:p>
        </w:tc>
        <w:tc>
          <w:tcPr>
            <w:tcW w:w="1841"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Mexique/ tous les pays d’Amérique latine</w:t>
            </w:r>
          </w:p>
        </w:tc>
        <w:tc>
          <w:tcPr>
            <w:tcW w:w="4290" w:type="dxa"/>
            <w:gridSpan w:val="2"/>
          </w:tcPr>
          <w:p w:rsidR="00327D08" w:rsidRPr="00C258AD" w:rsidRDefault="00327D08" w:rsidP="00927E1F">
            <w:pPr>
              <w:autoSpaceDE w:val="0"/>
              <w:autoSpaceDN w:val="0"/>
              <w:adjustRightInd w:val="0"/>
              <w:rPr>
                <w:rFonts w:cs="Arial"/>
                <w:sz w:val="16"/>
                <w:szCs w:val="16"/>
              </w:rPr>
            </w:pPr>
            <w:r w:rsidRPr="00C258AD">
              <w:rPr>
                <w:rFonts w:cs="Arial"/>
                <w:sz w:val="16"/>
                <w:szCs w:val="16"/>
              </w:rPr>
              <w:t>Le projet LATIPAT a été créé pour constituer une base de données et entrer des informations relatives aux brevets concernant tous les pays d’Amérique latine.  Actuellement, le projet LATIPAT est un exemple, non seulement pour les pays d’Amérique latine, mais pour les différents forums internationaux se rapportant aux informations sur les brevets, aux engagements, à la persévérance et au travail d’équipe.  Sur une période de 15 ans, la base de données a recueilli plus de 2 millions de documents et elle reçoit en moyenne 14 000 visites par mois.</w:t>
            </w:r>
          </w:p>
        </w:tc>
      </w:tr>
    </w:tbl>
    <w:p w:rsidR="00327D08" w:rsidRPr="00C258AD" w:rsidRDefault="00327D08" w:rsidP="00327D08">
      <w:pPr>
        <w:keepNext/>
        <w:keepLines/>
        <w:rPr>
          <w:rFonts w:cs="Arial"/>
          <w:b/>
          <w:szCs w:val="16"/>
        </w:rPr>
      </w:pPr>
    </w:p>
    <w:p w:rsidR="00327D08" w:rsidRPr="00C258AD" w:rsidRDefault="00327D08" w:rsidP="00327D08">
      <w:pPr>
        <w:keepNext/>
        <w:keepLines/>
        <w:rPr>
          <w:rFonts w:cs="Arial"/>
          <w:b/>
          <w:szCs w:val="16"/>
        </w:rPr>
      </w:pPr>
    </w:p>
    <w:p w:rsidR="00327D08" w:rsidRPr="00C258AD" w:rsidRDefault="00327D08" w:rsidP="00327D08">
      <w:pPr>
        <w:keepNext/>
        <w:rPr>
          <w:rFonts w:cs="Arial"/>
          <w:b/>
          <w:bCs/>
          <w:szCs w:val="20"/>
        </w:rPr>
      </w:pPr>
      <w:r w:rsidRPr="00C258AD">
        <w:rPr>
          <w:rFonts w:cs="Arial"/>
          <w:b/>
          <w:bCs/>
          <w:szCs w:val="20"/>
        </w:rPr>
        <w:t>ESPAGNE – Contributions des donateurs et dépenses en 2015</w:t>
      </w:r>
    </w:p>
    <w:p w:rsidR="00327D08" w:rsidRPr="00C258AD" w:rsidRDefault="00327D08" w:rsidP="00327D08">
      <w:pPr>
        <w:keepNext/>
        <w:keepLines/>
        <w:rPr>
          <w:rFonts w:cs="Arial"/>
          <w:b/>
          <w:sz w:val="16"/>
          <w:szCs w:val="16"/>
        </w:rPr>
      </w:pPr>
    </w:p>
    <w:tbl>
      <w:tblPr>
        <w:tblW w:w="5000" w:type="pct"/>
        <w:tblInd w:w="98" w:type="dxa"/>
        <w:tblCellMar>
          <w:top w:w="113" w:type="dxa"/>
          <w:left w:w="68" w:type="dxa"/>
          <w:bottom w:w="113" w:type="dxa"/>
          <w:right w:w="68" w:type="dxa"/>
        </w:tblCellMar>
        <w:tblLook w:val="04A0" w:firstRow="1" w:lastRow="0" w:firstColumn="1" w:lastColumn="0" w:noHBand="0" w:noVBand="1"/>
      </w:tblPr>
      <w:tblGrid>
        <w:gridCol w:w="2037"/>
        <w:gridCol w:w="1635"/>
        <w:gridCol w:w="1855"/>
        <w:gridCol w:w="1780"/>
        <w:gridCol w:w="2184"/>
      </w:tblGrid>
      <w:tr w:rsidR="00327D08" w:rsidRPr="00C258AD" w:rsidTr="00927E1F">
        <w:trPr>
          <w:cantSplit/>
        </w:trPr>
        <w:tc>
          <w:tcPr>
            <w:tcW w:w="2040" w:type="dxa"/>
            <w:tcBorders>
              <w:top w:val="single" w:sz="8" w:space="0" w:color="auto"/>
              <w:left w:val="single" w:sz="8" w:space="0" w:color="auto"/>
              <w:bottom w:val="nil"/>
              <w:right w:val="single" w:sz="8" w:space="0" w:color="auto"/>
            </w:tcBorders>
            <w:shd w:val="clear" w:color="000000" w:fill="C5D9F1"/>
            <w:vAlign w:val="center"/>
            <w:hideMark/>
          </w:tcPr>
          <w:p w:rsidR="00327D08" w:rsidRPr="00C258AD" w:rsidRDefault="00327D08" w:rsidP="00927E1F">
            <w:pPr>
              <w:keepNext/>
              <w:jc w:val="center"/>
              <w:rPr>
                <w:rFonts w:cs="Arial"/>
                <w:b/>
                <w:bCs/>
                <w:sz w:val="16"/>
                <w:szCs w:val="16"/>
              </w:rPr>
            </w:pPr>
            <w:r w:rsidRPr="00C258AD">
              <w:rPr>
                <w:rFonts w:cs="Arial"/>
                <w:b/>
                <w:bCs/>
                <w:sz w:val="16"/>
                <w:szCs w:val="16"/>
              </w:rPr>
              <w:t>Solde au 31 décembre 2014</w:t>
            </w:r>
          </w:p>
        </w:tc>
        <w:tc>
          <w:tcPr>
            <w:tcW w:w="1640" w:type="dxa"/>
            <w:tcBorders>
              <w:top w:val="single" w:sz="8" w:space="0" w:color="auto"/>
              <w:left w:val="nil"/>
              <w:bottom w:val="nil"/>
              <w:right w:val="single" w:sz="8" w:space="0" w:color="auto"/>
            </w:tcBorders>
            <w:shd w:val="clear" w:color="000000" w:fill="C5D9F1"/>
            <w:vAlign w:val="center"/>
            <w:hideMark/>
          </w:tcPr>
          <w:p w:rsidR="00327D08" w:rsidRPr="00C258AD" w:rsidRDefault="00327D08" w:rsidP="00927E1F">
            <w:pPr>
              <w:keepNext/>
              <w:jc w:val="center"/>
              <w:rPr>
                <w:rFonts w:cs="Arial"/>
                <w:b/>
                <w:bCs/>
                <w:sz w:val="16"/>
                <w:szCs w:val="16"/>
              </w:rPr>
            </w:pPr>
            <w:r w:rsidRPr="00C258AD">
              <w:rPr>
                <w:rFonts w:cs="Arial"/>
                <w:b/>
                <w:bCs/>
                <w:sz w:val="16"/>
                <w:szCs w:val="16"/>
              </w:rPr>
              <w:t>Recettes 2015</w:t>
            </w:r>
          </w:p>
        </w:tc>
        <w:tc>
          <w:tcPr>
            <w:tcW w:w="1860" w:type="dxa"/>
            <w:tcBorders>
              <w:top w:val="single" w:sz="8" w:space="0" w:color="auto"/>
              <w:left w:val="nil"/>
              <w:bottom w:val="nil"/>
              <w:right w:val="single" w:sz="8" w:space="0" w:color="auto"/>
            </w:tcBorders>
            <w:shd w:val="clear" w:color="000000" w:fill="C5D9F1"/>
            <w:vAlign w:val="center"/>
            <w:hideMark/>
          </w:tcPr>
          <w:p w:rsidR="00327D08" w:rsidRPr="00C258AD" w:rsidRDefault="00327D08" w:rsidP="00927E1F">
            <w:pPr>
              <w:keepNext/>
              <w:jc w:val="center"/>
              <w:rPr>
                <w:rFonts w:cs="Arial"/>
                <w:b/>
                <w:bCs/>
                <w:sz w:val="16"/>
                <w:szCs w:val="16"/>
              </w:rPr>
            </w:pPr>
            <w:r w:rsidRPr="00C258AD">
              <w:rPr>
                <w:rFonts w:cs="Arial"/>
                <w:b/>
                <w:bCs/>
                <w:sz w:val="16"/>
                <w:szCs w:val="16"/>
              </w:rPr>
              <w:t>Dépenses 2015</w:t>
            </w:r>
          </w:p>
        </w:tc>
        <w:tc>
          <w:tcPr>
            <w:tcW w:w="1780" w:type="dxa"/>
            <w:tcBorders>
              <w:top w:val="single" w:sz="8" w:space="0" w:color="auto"/>
              <w:left w:val="nil"/>
              <w:bottom w:val="nil"/>
              <w:right w:val="single" w:sz="8" w:space="0" w:color="auto"/>
            </w:tcBorders>
            <w:shd w:val="clear" w:color="000000" w:fill="C5D9F1"/>
            <w:vAlign w:val="center"/>
            <w:hideMark/>
          </w:tcPr>
          <w:p w:rsidR="00327D08" w:rsidRPr="00C258AD" w:rsidRDefault="00327D08" w:rsidP="00927E1F">
            <w:pPr>
              <w:keepNext/>
              <w:jc w:val="center"/>
              <w:rPr>
                <w:rFonts w:cs="Arial"/>
                <w:b/>
                <w:bCs/>
                <w:sz w:val="16"/>
                <w:szCs w:val="16"/>
              </w:rPr>
            </w:pPr>
            <w:r w:rsidRPr="00C258AD">
              <w:rPr>
                <w:rFonts w:cs="Arial"/>
                <w:b/>
                <w:bCs/>
                <w:sz w:val="16"/>
                <w:szCs w:val="16"/>
              </w:rPr>
              <w:t>Remboursements</w:t>
            </w:r>
          </w:p>
        </w:tc>
        <w:tc>
          <w:tcPr>
            <w:tcW w:w="2188" w:type="dxa"/>
            <w:tcBorders>
              <w:top w:val="single" w:sz="8" w:space="0" w:color="auto"/>
              <w:left w:val="nil"/>
              <w:bottom w:val="nil"/>
              <w:right w:val="single" w:sz="8" w:space="0" w:color="auto"/>
            </w:tcBorders>
            <w:shd w:val="clear" w:color="000000" w:fill="C5D9F1"/>
            <w:vAlign w:val="center"/>
            <w:hideMark/>
          </w:tcPr>
          <w:p w:rsidR="00327D08" w:rsidRPr="00C258AD" w:rsidRDefault="00327D08" w:rsidP="00927E1F">
            <w:pPr>
              <w:keepNext/>
              <w:jc w:val="center"/>
              <w:rPr>
                <w:rFonts w:cs="Arial"/>
                <w:b/>
                <w:bCs/>
                <w:sz w:val="16"/>
                <w:szCs w:val="16"/>
              </w:rPr>
            </w:pPr>
            <w:r w:rsidRPr="00C258AD">
              <w:rPr>
                <w:rFonts w:cs="Arial"/>
                <w:b/>
                <w:bCs/>
                <w:sz w:val="16"/>
                <w:szCs w:val="16"/>
              </w:rPr>
              <w:t>Solde au 31 décembre 2015</w:t>
            </w:r>
          </w:p>
        </w:tc>
      </w:tr>
      <w:tr w:rsidR="00327D08" w:rsidRPr="00C258AD" w:rsidTr="00927E1F">
        <w:trPr>
          <w:cantSplit/>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120 153</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169 146</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182 078</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27D08" w:rsidRPr="00C258AD" w:rsidRDefault="00327D08" w:rsidP="00927E1F">
            <w:pPr>
              <w:jc w:val="center"/>
              <w:rPr>
                <w:rFonts w:cs="Arial"/>
                <w:sz w:val="16"/>
                <w:szCs w:val="16"/>
              </w:rPr>
            </w:pPr>
            <w:r w:rsidRPr="00C258AD">
              <w:rPr>
                <w:rFonts w:cs="Arial"/>
                <w:sz w:val="16"/>
                <w:szCs w:val="16"/>
              </w:rPr>
              <w:noBreakHyphen/>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107 221</w:t>
            </w:r>
          </w:p>
        </w:tc>
      </w:tr>
    </w:tbl>
    <w:p w:rsidR="00327D08" w:rsidRPr="00C258AD" w:rsidRDefault="00327D08" w:rsidP="00327D08"/>
    <w:p w:rsidR="00327D08" w:rsidRPr="00C258AD" w:rsidRDefault="00327D08" w:rsidP="00327D08"/>
    <w:p w:rsidR="00327D08" w:rsidRPr="00C258AD" w:rsidRDefault="00327D08" w:rsidP="00327D08">
      <w:pPr>
        <w:keepNext/>
        <w:keepLines/>
        <w:rPr>
          <w:rFonts w:cs="Arial"/>
          <w:b/>
          <w:szCs w:val="20"/>
        </w:rPr>
      </w:pPr>
      <w:r w:rsidRPr="00C258AD">
        <w:rPr>
          <w:rFonts w:cs="Arial"/>
          <w:b/>
          <w:szCs w:val="20"/>
        </w:rPr>
        <w:t>URUGUAY</w:t>
      </w:r>
    </w:p>
    <w:p w:rsidR="00327D08" w:rsidRPr="00C258AD" w:rsidRDefault="00327D08" w:rsidP="00327D08">
      <w:pPr>
        <w:keepNext/>
        <w:keepLines/>
        <w:rPr>
          <w:rFonts w:cs="Arial"/>
          <w:b/>
          <w:szCs w:val="20"/>
        </w:rPr>
      </w:pPr>
    </w:p>
    <w:tbl>
      <w:tblPr>
        <w:tblW w:w="5000" w:type="pct"/>
        <w:tblInd w:w="108" w:type="dxa"/>
        <w:tblBorders>
          <w:top w:val="single" w:sz="4" w:space="0" w:color="auto"/>
          <w:left w:val="single" w:sz="4" w:space="0" w:color="auto"/>
          <w:bottom w:val="single" w:sz="4" w:space="0" w:color="auto"/>
          <w:right w:val="single" w:sz="4" w:space="0" w:color="auto"/>
        </w:tblBorders>
        <w:tblCellMar>
          <w:top w:w="113" w:type="dxa"/>
          <w:left w:w="68" w:type="dxa"/>
          <w:bottom w:w="113" w:type="dxa"/>
          <w:right w:w="68" w:type="dxa"/>
        </w:tblCellMar>
        <w:tblLook w:val="0000" w:firstRow="0" w:lastRow="0" w:firstColumn="0" w:lastColumn="0" w:noHBand="0" w:noVBand="0"/>
      </w:tblPr>
      <w:tblGrid>
        <w:gridCol w:w="1980"/>
        <w:gridCol w:w="1260"/>
        <w:gridCol w:w="1861"/>
        <w:gridCol w:w="4390"/>
      </w:tblGrid>
      <w:tr w:rsidR="00327D08" w:rsidRPr="00C258AD" w:rsidTr="00927E1F">
        <w:trPr>
          <w:cantSplit/>
        </w:trPr>
        <w:tc>
          <w:tcPr>
            <w:tcW w:w="9498" w:type="dxa"/>
            <w:gridSpan w:val="4"/>
            <w:tcBorders>
              <w:top w:val="single" w:sz="4" w:space="0" w:color="auto"/>
              <w:bottom w:val="single" w:sz="4" w:space="0" w:color="auto"/>
            </w:tcBorders>
            <w:shd w:val="clear" w:color="auto" w:fill="C6D9F1"/>
            <w:vAlign w:val="center"/>
          </w:tcPr>
          <w:p w:rsidR="00327D08" w:rsidRPr="00C258AD" w:rsidRDefault="00327D08" w:rsidP="00927E1F">
            <w:pPr>
              <w:keepNext/>
              <w:keepLines/>
              <w:tabs>
                <w:tab w:val="left" w:pos="1740"/>
              </w:tabs>
              <w:ind w:left="1740" w:hanging="1740"/>
              <w:rPr>
                <w:rFonts w:cs="Arial"/>
                <w:b/>
                <w:bCs/>
                <w:sz w:val="16"/>
                <w:szCs w:val="16"/>
              </w:rPr>
            </w:pPr>
            <w:r w:rsidRPr="00C258AD">
              <w:rPr>
                <w:rFonts w:cs="Arial"/>
                <w:b/>
                <w:bCs/>
                <w:sz w:val="16"/>
                <w:szCs w:val="16"/>
              </w:rPr>
              <w:t xml:space="preserve">RÉSULTAT : </w:t>
            </w:r>
            <w:r w:rsidRPr="00C258AD">
              <w:rPr>
                <w:rFonts w:cs="Arial"/>
                <w:b/>
                <w:bCs/>
                <w:sz w:val="16"/>
                <w:szCs w:val="16"/>
              </w:rPr>
              <w:tab/>
            </w:r>
            <w:r w:rsidRPr="00C258AD">
              <w:rPr>
                <w:rFonts w:cs="Arial"/>
                <w:bCs/>
                <w:sz w:val="16"/>
                <w:szCs w:val="16"/>
              </w:rPr>
              <w:t>III.2 Mise en valeur des ressources humaines pour répondre aux diverses exigences en matière d’utilisation efficace de la propriété intellectuelle au service du développement dans les pays en développement, les PMA et les pays en transition</w:t>
            </w:r>
          </w:p>
        </w:tc>
      </w:tr>
      <w:tr w:rsidR="00327D08" w:rsidRPr="00C258AD" w:rsidTr="00927E1F">
        <w:trPr>
          <w:cantSplit/>
        </w:trPr>
        <w:tc>
          <w:tcPr>
            <w:tcW w:w="1981" w:type="dxa"/>
            <w:tcBorders>
              <w:top w:val="single" w:sz="4" w:space="0" w:color="auto"/>
            </w:tcBorders>
            <w:vAlign w:val="center"/>
          </w:tcPr>
          <w:p w:rsidR="00327D08" w:rsidRPr="00C258AD" w:rsidRDefault="00327D08" w:rsidP="00927E1F">
            <w:pPr>
              <w:keepNext/>
              <w:keepLines/>
              <w:autoSpaceDE w:val="0"/>
              <w:autoSpaceDN w:val="0"/>
              <w:adjustRightInd w:val="0"/>
              <w:rPr>
                <w:rFonts w:cs="Arial"/>
                <w:b/>
                <w:sz w:val="16"/>
                <w:szCs w:val="16"/>
              </w:rPr>
            </w:pPr>
            <w:r w:rsidRPr="00C258AD">
              <w:rPr>
                <w:b/>
                <w:sz w:val="16"/>
              </w:rPr>
              <w:t>Activité</w:t>
            </w:r>
          </w:p>
        </w:tc>
        <w:tc>
          <w:tcPr>
            <w:tcW w:w="1260" w:type="dxa"/>
            <w:tcBorders>
              <w:top w:val="single" w:sz="4" w:space="0" w:color="auto"/>
            </w:tcBorders>
            <w:shd w:val="clear" w:color="auto" w:fill="auto"/>
            <w:tcMar>
              <w:top w:w="110" w:type="dxa"/>
            </w:tcMar>
            <w:vAlign w:val="center"/>
          </w:tcPr>
          <w:p w:rsidR="00327D08" w:rsidRPr="00C258AD" w:rsidRDefault="00327D08" w:rsidP="00927E1F">
            <w:pPr>
              <w:keepNext/>
              <w:keepLines/>
              <w:autoSpaceDE w:val="0"/>
              <w:autoSpaceDN w:val="0"/>
              <w:adjustRightInd w:val="0"/>
              <w:rPr>
                <w:rFonts w:cs="Arial"/>
                <w:b/>
                <w:sz w:val="16"/>
                <w:szCs w:val="16"/>
              </w:rPr>
            </w:pPr>
            <w:r w:rsidRPr="00C258AD">
              <w:rPr>
                <w:rFonts w:cs="Arial"/>
                <w:b/>
                <w:sz w:val="16"/>
                <w:szCs w:val="16"/>
              </w:rPr>
              <w:t>Date</w:t>
            </w:r>
          </w:p>
        </w:tc>
        <w:tc>
          <w:tcPr>
            <w:tcW w:w="1862" w:type="dxa"/>
            <w:tcBorders>
              <w:top w:val="single" w:sz="4" w:space="0" w:color="auto"/>
            </w:tcBorders>
            <w:shd w:val="clear" w:color="auto" w:fill="auto"/>
            <w:tcMar>
              <w:top w:w="110" w:type="dxa"/>
            </w:tcMar>
            <w:vAlign w:val="center"/>
          </w:tcPr>
          <w:p w:rsidR="00327D08" w:rsidRPr="00C258AD" w:rsidRDefault="00327D08" w:rsidP="00927E1F">
            <w:pPr>
              <w:keepNext/>
              <w:keepLines/>
              <w:autoSpaceDE w:val="0"/>
              <w:autoSpaceDN w:val="0"/>
              <w:adjustRightInd w:val="0"/>
              <w:rPr>
                <w:rFonts w:cs="Arial"/>
                <w:b/>
                <w:sz w:val="16"/>
                <w:szCs w:val="16"/>
              </w:rPr>
            </w:pPr>
            <w:r w:rsidRPr="00C258AD">
              <w:rPr>
                <w:b/>
                <w:sz w:val="16"/>
              </w:rPr>
              <w:t>Pays hôte/</w:t>
            </w:r>
            <w:r w:rsidRPr="00C258AD">
              <w:br/>
            </w:r>
            <w:r w:rsidRPr="00C258AD">
              <w:rPr>
                <w:b/>
                <w:sz w:val="16"/>
              </w:rPr>
              <w:t>bénéficiaires</w:t>
            </w:r>
          </w:p>
        </w:tc>
        <w:tc>
          <w:tcPr>
            <w:tcW w:w="4395" w:type="dxa"/>
            <w:tcBorders>
              <w:top w:val="single" w:sz="4" w:space="0" w:color="auto"/>
            </w:tcBorders>
            <w:shd w:val="clear" w:color="auto" w:fill="FFFFFF"/>
            <w:tcMar>
              <w:top w:w="110" w:type="dxa"/>
            </w:tcMar>
            <w:vAlign w:val="center"/>
          </w:tcPr>
          <w:p w:rsidR="00327D08" w:rsidRPr="00C258AD" w:rsidRDefault="00327D08" w:rsidP="00927E1F">
            <w:pPr>
              <w:keepNext/>
              <w:keepLines/>
              <w:autoSpaceDE w:val="0"/>
              <w:autoSpaceDN w:val="0"/>
              <w:adjustRightInd w:val="0"/>
              <w:rPr>
                <w:rFonts w:cs="Arial"/>
                <w:b/>
                <w:sz w:val="16"/>
                <w:szCs w:val="16"/>
              </w:rPr>
            </w:pPr>
            <w:r w:rsidRPr="00C258AD">
              <w:rPr>
                <w:b/>
                <w:sz w:val="16"/>
              </w:rPr>
              <w:t>Objectif(s)/description(s)</w:t>
            </w:r>
          </w:p>
        </w:tc>
      </w:tr>
      <w:tr w:rsidR="00327D08" w:rsidRPr="00C258AD" w:rsidTr="00927E1F">
        <w:trPr>
          <w:cantSplit/>
        </w:trPr>
        <w:tc>
          <w:tcPr>
            <w:tcW w:w="1981"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Mise à disposition du financement pour un professionnel de la propriété intellectuelle pour participer à un programme de maîtrise en gestion stratégique des technologies de l’information dans le cadre de la fondation de l’Université ibéro</w:t>
            </w:r>
            <w:r w:rsidRPr="00C258AD">
              <w:rPr>
                <w:rFonts w:cs="Arial"/>
                <w:sz w:val="16"/>
                <w:szCs w:val="16"/>
              </w:rPr>
              <w:noBreakHyphen/>
              <w:t>américaine (FUNIBER)</w:t>
            </w:r>
          </w:p>
        </w:tc>
        <w:tc>
          <w:tcPr>
            <w:tcW w:w="1260" w:type="dxa"/>
            <w:shd w:val="clear" w:color="auto" w:fill="auto"/>
            <w:tcMar>
              <w:top w:w="110" w:type="dxa"/>
            </w:tcMar>
          </w:tcPr>
          <w:p w:rsidR="00327D08" w:rsidRPr="00C258AD" w:rsidRDefault="00327D08" w:rsidP="00927E1F">
            <w:pPr>
              <w:autoSpaceDE w:val="0"/>
              <w:autoSpaceDN w:val="0"/>
              <w:adjustRightInd w:val="0"/>
              <w:rPr>
                <w:rFonts w:cs="Arial"/>
                <w:sz w:val="16"/>
                <w:szCs w:val="16"/>
              </w:rPr>
            </w:pPr>
            <w:r w:rsidRPr="00C258AD">
              <w:rPr>
                <w:rFonts w:cs="Arial"/>
                <w:sz w:val="16"/>
                <w:szCs w:val="16"/>
              </w:rPr>
              <w:t>janvier à décembre 2015</w:t>
            </w:r>
          </w:p>
          <w:p w:rsidR="00327D08" w:rsidRPr="00C258AD" w:rsidRDefault="00327D08" w:rsidP="00927E1F">
            <w:pPr>
              <w:autoSpaceDE w:val="0"/>
              <w:autoSpaceDN w:val="0"/>
              <w:adjustRightInd w:val="0"/>
              <w:rPr>
                <w:rFonts w:cs="Arial"/>
                <w:sz w:val="16"/>
                <w:szCs w:val="16"/>
              </w:rPr>
            </w:pPr>
            <w:r w:rsidRPr="00C258AD">
              <w:rPr>
                <w:rFonts w:cs="Arial"/>
                <w:sz w:val="16"/>
                <w:szCs w:val="16"/>
              </w:rPr>
              <w:t>(en cours)</w:t>
            </w:r>
            <w:r w:rsidRPr="00C258AD">
              <w:rPr>
                <w:rStyle w:val="FootnoteReference"/>
                <w:rFonts w:cs="Arial"/>
                <w:sz w:val="16"/>
                <w:szCs w:val="16"/>
              </w:rPr>
              <w:footnoteReference w:id="169"/>
            </w:r>
          </w:p>
        </w:tc>
        <w:tc>
          <w:tcPr>
            <w:tcW w:w="1862" w:type="dxa"/>
            <w:shd w:val="clear" w:color="auto" w:fill="auto"/>
            <w:tcMar>
              <w:top w:w="110" w:type="dxa"/>
            </w:tcMar>
          </w:tcPr>
          <w:p w:rsidR="00327D08" w:rsidRPr="00C258AD" w:rsidRDefault="00327D08" w:rsidP="00927E1F">
            <w:pPr>
              <w:autoSpaceDE w:val="0"/>
              <w:autoSpaceDN w:val="0"/>
              <w:adjustRightInd w:val="0"/>
              <w:rPr>
                <w:rFonts w:cs="Arial"/>
                <w:sz w:val="16"/>
                <w:szCs w:val="16"/>
              </w:rPr>
            </w:pPr>
            <w:r w:rsidRPr="00C258AD">
              <w:rPr>
                <w:rFonts w:cs="Arial"/>
                <w:sz w:val="16"/>
                <w:szCs w:val="16"/>
              </w:rPr>
              <w:t>Uruguay</w:t>
            </w:r>
            <w:r w:rsidRPr="00C258AD" w:rsidDel="00D70E5A">
              <w:rPr>
                <w:rFonts w:cs="Arial"/>
                <w:sz w:val="16"/>
                <w:szCs w:val="16"/>
              </w:rPr>
              <w:t xml:space="preserve"> </w:t>
            </w:r>
          </w:p>
        </w:tc>
        <w:tc>
          <w:tcPr>
            <w:tcW w:w="4395" w:type="dxa"/>
            <w:shd w:val="clear" w:color="auto" w:fill="FFFFFF"/>
            <w:tcMar>
              <w:top w:w="110" w:type="dxa"/>
            </w:tcMar>
          </w:tcPr>
          <w:p w:rsidR="00327D08" w:rsidRPr="00C258AD" w:rsidRDefault="00327D08" w:rsidP="00927E1F">
            <w:pPr>
              <w:autoSpaceDE w:val="0"/>
              <w:autoSpaceDN w:val="0"/>
              <w:adjustRightInd w:val="0"/>
              <w:rPr>
                <w:rFonts w:cs="Arial"/>
                <w:sz w:val="16"/>
                <w:szCs w:val="16"/>
              </w:rPr>
            </w:pPr>
            <w:r w:rsidRPr="00C258AD">
              <w:rPr>
                <w:rFonts w:cs="Arial"/>
                <w:sz w:val="16"/>
                <w:szCs w:val="16"/>
              </w:rPr>
              <w:t xml:space="preserve">Améliorer la capacité d’un professionnel de la propriété intellectuelle en se concentrant sur le rôle des technologies de l’information dans la gestion stratégique des processus commerciaux.  </w:t>
            </w:r>
          </w:p>
        </w:tc>
      </w:tr>
      <w:tr w:rsidR="00327D08" w:rsidRPr="00C258AD" w:rsidTr="00927E1F">
        <w:trPr>
          <w:cantSplit/>
        </w:trPr>
        <w:tc>
          <w:tcPr>
            <w:tcW w:w="9498" w:type="dxa"/>
            <w:gridSpan w:val="4"/>
            <w:tcBorders>
              <w:top w:val="single" w:sz="4" w:space="0" w:color="auto"/>
              <w:bottom w:val="single" w:sz="4" w:space="0" w:color="auto"/>
            </w:tcBorders>
            <w:shd w:val="clear" w:color="auto" w:fill="C6D9F1"/>
            <w:vAlign w:val="center"/>
          </w:tcPr>
          <w:p w:rsidR="00327D08" w:rsidRPr="00C258AD" w:rsidRDefault="00327D08" w:rsidP="00927E1F">
            <w:pPr>
              <w:keepNext/>
              <w:keepLines/>
              <w:tabs>
                <w:tab w:val="left" w:pos="1740"/>
              </w:tabs>
              <w:ind w:left="1740" w:hanging="1740"/>
              <w:rPr>
                <w:rFonts w:cs="Arial"/>
                <w:b/>
                <w:bCs/>
                <w:sz w:val="16"/>
                <w:szCs w:val="16"/>
              </w:rPr>
            </w:pPr>
            <w:r w:rsidRPr="00C258AD">
              <w:rPr>
                <w:rFonts w:cs="Arial"/>
                <w:b/>
                <w:bCs/>
                <w:sz w:val="16"/>
                <w:szCs w:val="16"/>
              </w:rPr>
              <w:t xml:space="preserve">RÉSULTAT : </w:t>
            </w:r>
            <w:r w:rsidRPr="00C258AD">
              <w:rPr>
                <w:rFonts w:cs="Arial"/>
                <w:bCs/>
                <w:sz w:val="16"/>
                <w:szCs w:val="16"/>
              </w:rPr>
              <w:tab/>
              <w:t>III.4 Mécanismes et programmes de coopération renforcés, adaptés aux besoins des pays en développement et des PMA</w:t>
            </w:r>
          </w:p>
        </w:tc>
      </w:tr>
      <w:tr w:rsidR="00327D08" w:rsidRPr="00C258AD" w:rsidTr="00927E1F">
        <w:trPr>
          <w:cantSplit/>
        </w:trPr>
        <w:tc>
          <w:tcPr>
            <w:tcW w:w="1981" w:type="dxa"/>
            <w:tcBorders>
              <w:top w:val="single" w:sz="4" w:space="0" w:color="auto"/>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260" w:type="dxa"/>
            <w:tcBorders>
              <w:top w:val="single" w:sz="4" w:space="0" w:color="auto"/>
            </w:tcBorders>
            <w:shd w:val="clear" w:color="auto" w:fill="auto"/>
            <w:tcMar>
              <w:top w:w="110" w:type="dxa"/>
            </w:tcMar>
            <w:vAlign w:val="center"/>
          </w:tcPr>
          <w:p w:rsidR="00327D08" w:rsidRPr="00C258AD" w:rsidRDefault="00327D08" w:rsidP="00927E1F">
            <w:pPr>
              <w:keepNext/>
              <w:keepLines/>
              <w:rPr>
                <w:rFonts w:cs="Arial"/>
                <w:b/>
                <w:sz w:val="16"/>
                <w:szCs w:val="16"/>
              </w:rPr>
            </w:pPr>
            <w:r w:rsidRPr="00C258AD">
              <w:rPr>
                <w:rFonts w:cs="Arial"/>
                <w:b/>
                <w:sz w:val="16"/>
                <w:szCs w:val="16"/>
              </w:rPr>
              <w:t>Date</w:t>
            </w:r>
          </w:p>
        </w:tc>
        <w:tc>
          <w:tcPr>
            <w:tcW w:w="1862" w:type="dxa"/>
            <w:tcBorders>
              <w:top w:val="single" w:sz="4" w:space="0" w:color="auto"/>
            </w:tcBorders>
            <w:shd w:val="clear" w:color="auto" w:fill="auto"/>
            <w:tcMar>
              <w:top w:w="110" w:type="dxa"/>
            </w:tcMar>
            <w:vAlign w:val="center"/>
          </w:tcPr>
          <w:p w:rsidR="00327D08" w:rsidRPr="00C258AD" w:rsidRDefault="00327D08" w:rsidP="00927E1F">
            <w:pPr>
              <w:keepNext/>
              <w:keepLines/>
              <w:rPr>
                <w:rFonts w:cs="Arial"/>
                <w:sz w:val="16"/>
                <w:szCs w:val="16"/>
              </w:rPr>
            </w:pPr>
            <w:r w:rsidRPr="00C258AD">
              <w:rPr>
                <w:b/>
                <w:sz w:val="16"/>
              </w:rPr>
              <w:t>Pays hôte/</w:t>
            </w:r>
            <w:r w:rsidRPr="00C258AD">
              <w:br/>
            </w:r>
            <w:r w:rsidRPr="00C258AD">
              <w:rPr>
                <w:b/>
                <w:sz w:val="16"/>
              </w:rPr>
              <w:t>bénéficiaires</w:t>
            </w:r>
          </w:p>
        </w:tc>
        <w:tc>
          <w:tcPr>
            <w:tcW w:w="4395" w:type="dxa"/>
            <w:tcBorders>
              <w:top w:val="single" w:sz="4" w:space="0" w:color="auto"/>
            </w:tcBorders>
            <w:shd w:val="clear" w:color="auto" w:fill="FFFFFF"/>
            <w:tcMar>
              <w:top w:w="110" w:type="dxa"/>
            </w:tcMar>
            <w:vAlign w:val="center"/>
          </w:tcPr>
          <w:p w:rsidR="00327D08" w:rsidRPr="00C258AD" w:rsidRDefault="00327D08" w:rsidP="00927E1F">
            <w:pPr>
              <w:keepNext/>
              <w:keepLines/>
              <w:rPr>
                <w:rFonts w:cs="Arial"/>
                <w:sz w:val="16"/>
                <w:szCs w:val="16"/>
              </w:rPr>
            </w:pPr>
            <w:r w:rsidRPr="00C258AD">
              <w:rPr>
                <w:b/>
                <w:sz w:val="16"/>
              </w:rPr>
              <w:t>Objectif(s)/description(s)</w:t>
            </w:r>
          </w:p>
        </w:tc>
      </w:tr>
      <w:tr w:rsidR="00327D08" w:rsidRPr="00C258AD" w:rsidTr="00927E1F">
        <w:trPr>
          <w:cantSplit/>
        </w:trPr>
        <w:tc>
          <w:tcPr>
            <w:tcW w:w="1981"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Participation des fonctionnaires gouvernementaux aux Assemblées de l’OMPI</w:t>
            </w:r>
          </w:p>
        </w:tc>
        <w:tc>
          <w:tcPr>
            <w:tcW w:w="1260"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janvier à décembre 2015</w:t>
            </w:r>
          </w:p>
        </w:tc>
        <w:tc>
          <w:tcPr>
            <w:tcW w:w="1862"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Suisse/Uruguay</w:t>
            </w:r>
          </w:p>
        </w:tc>
        <w:tc>
          <w:tcPr>
            <w:tcW w:w="4395"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Représenter le gouvernement dans les différents forums où les différents programmes et questions de propriété intellectuelle font l’objet d’analyses</w:t>
            </w:r>
          </w:p>
        </w:tc>
      </w:tr>
      <w:tr w:rsidR="00327D08" w:rsidRPr="00C258AD" w:rsidTr="00927E1F">
        <w:trPr>
          <w:cantSplit/>
        </w:trPr>
        <w:tc>
          <w:tcPr>
            <w:tcW w:w="9498" w:type="dxa"/>
            <w:gridSpan w:val="4"/>
            <w:tcBorders>
              <w:top w:val="single" w:sz="4" w:space="0" w:color="auto"/>
              <w:bottom w:val="single" w:sz="4" w:space="0" w:color="auto"/>
            </w:tcBorders>
            <w:shd w:val="clear" w:color="auto" w:fill="C6D9F1"/>
            <w:vAlign w:val="center"/>
          </w:tcPr>
          <w:p w:rsidR="00327D08" w:rsidRPr="00C258AD" w:rsidRDefault="00327D08" w:rsidP="00927E1F">
            <w:pPr>
              <w:keepNext/>
              <w:keepLines/>
              <w:tabs>
                <w:tab w:val="left" w:pos="1740"/>
              </w:tabs>
              <w:ind w:left="1740" w:hanging="1740"/>
              <w:rPr>
                <w:rFonts w:cs="Arial"/>
                <w:b/>
                <w:bCs/>
                <w:sz w:val="16"/>
                <w:szCs w:val="16"/>
              </w:rPr>
            </w:pPr>
            <w:r w:rsidRPr="00C258AD">
              <w:rPr>
                <w:rFonts w:cs="Arial"/>
                <w:b/>
                <w:bCs/>
                <w:sz w:val="16"/>
                <w:szCs w:val="16"/>
              </w:rPr>
              <w:lastRenderedPageBreak/>
              <w:t xml:space="preserve">RÉSULTAT : </w:t>
            </w:r>
            <w:r w:rsidRPr="00C258AD">
              <w:rPr>
                <w:rFonts w:cs="Arial"/>
                <w:b/>
                <w:bCs/>
                <w:sz w:val="16"/>
                <w:szCs w:val="16"/>
              </w:rPr>
              <w:tab/>
            </w:r>
            <w:r w:rsidRPr="00C258AD">
              <w:rPr>
                <w:rFonts w:cs="Arial"/>
                <w:bCs/>
                <w:sz w:val="16"/>
                <w:szCs w:val="16"/>
              </w:rPr>
              <w:t>IV.4 Amélioration de l’infrastructure technique et du savoir pour les offices de propriété intellectuelle et les autres institutions de propriété intellectuelle, leur permettant de fournir à leurs parties prenantes des services améliorés (moins chers, plus rapides, de meilleure qualité)</w:t>
            </w:r>
          </w:p>
        </w:tc>
      </w:tr>
      <w:tr w:rsidR="00327D08" w:rsidRPr="00C258AD" w:rsidTr="00927E1F">
        <w:trPr>
          <w:cantSplit/>
        </w:trPr>
        <w:tc>
          <w:tcPr>
            <w:tcW w:w="1981" w:type="dxa"/>
            <w:tcBorders>
              <w:top w:val="single" w:sz="4" w:space="0" w:color="auto"/>
            </w:tcBorders>
            <w:vAlign w:val="center"/>
          </w:tcPr>
          <w:p w:rsidR="00327D08" w:rsidRPr="00C258AD" w:rsidRDefault="00327D08" w:rsidP="00927E1F">
            <w:pPr>
              <w:keepNext/>
              <w:keepLines/>
              <w:rPr>
                <w:rFonts w:cs="Arial"/>
                <w:b/>
                <w:bCs/>
                <w:sz w:val="16"/>
                <w:szCs w:val="16"/>
              </w:rPr>
            </w:pPr>
            <w:r w:rsidRPr="00C258AD">
              <w:rPr>
                <w:b/>
                <w:sz w:val="16"/>
              </w:rPr>
              <w:t>Activité</w:t>
            </w:r>
          </w:p>
        </w:tc>
        <w:tc>
          <w:tcPr>
            <w:tcW w:w="1260" w:type="dxa"/>
            <w:tcBorders>
              <w:top w:val="single" w:sz="4" w:space="0" w:color="auto"/>
            </w:tcBorders>
            <w:shd w:val="clear" w:color="auto" w:fill="auto"/>
            <w:tcMar>
              <w:top w:w="110" w:type="dxa"/>
            </w:tcMar>
            <w:vAlign w:val="center"/>
          </w:tcPr>
          <w:p w:rsidR="00327D08" w:rsidRPr="00C258AD" w:rsidRDefault="00327D08" w:rsidP="00927E1F">
            <w:pPr>
              <w:keepNext/>
              <w:keepLines/>
              <w:rPr>
                <w:rFonts w:cs="Arial"/>
                <w:b/>
                <w:sz w:val="16"/>
                <w:szCs w:val="16"/>
              </w:rPr>
            </w:pPr>
            <w:r w:rsidRPr="00C258AD">
              <w:rPr>
                <w:rFonts w:cs="Arial"/>
                <w:b/>
                <w:sz w:val="16"/>
                <w:szCs w:val="16"/>
              </w:rPr>
              <w:t>Date</w:t>
            </w:r>
          </w:p>
        </w:tc>
        <w:tc>
          <w:tcPr>
            <w:tcW w:w="1862" w:type="dxa"/>
            <w:tcBorders>
              <w:top w:val="single" w:sz="4" w:space="0" w:color="auto"/>
            </w:tcBorders>
            <w:shd w:val="clear" w:color="auto" w:fill="auto"/>
            <w:tcMar>
              <w:top w:w="110" w:type="dxa"/>
            </w:tcMar>
            <w:vAlign w:val="center"/>
          </w:tcPr>
          <w:p w:rsidR="00327D08" w:rsidRPr="00C258AD" w:rsidRDefault="00327D08" w:rsidP="00927E1F">
            <w:pPr>
              <w:keepNext/>
              <w:keepLines/>
              <w:rPr>
                <w:rFonts w:cs="Arial"/>
                <w:sz w:val="16"/>
                <w:szCs w:val="16"/>
              </w:rPr>
            </w:pPr>
            <w:r w:rsidRPr="00C258AD">
              <w:rPr>
                <w:b/>
                <w:sz w:val="16"/>
              </w:rPr>
              <w:t>Pays hôte/</w:t>
            </w:r>
            <w:r w:rsidRPr="00C258AD">
              <w:br/>
            </w:r>
            <w:r w:rsidRPr="00C258AD">
              <w:rPr>
                <w:b/>
                <w:sz w:val="16"/>
              </w:rPr>
              <w:t>bénéficiaires</w:t>
            </w:r>
          </w:p>
        </w:tc>
        <w:tc>
          <w:tcPr>
            <w:tcW w:w="4395" w:type="dxa"/>
            <w:tcBorders>
              <w:top w:val="single" w:sz="4" w:space="0" w:color="auto"/>
            </w:tcBorders>
            <w:shd w:val="clear" w:color="auto" w:fill="FFFFFF"/>
            <w:tcMar>
              <w:top w:w="110" w:type="dxa"/>
            </w:tcMar>
            <w:vAlign w:val="center"/>
          </w:tcPr>
          <w:p w:rsidR="00327D08" w:rsidRPr="00C258AD" w:rsidRDefault="00327D08" w:rsidP="00927E1F">
            <w:pPr>
              <w:keepNext/>
              <w:keepLines/>
              <w:rPr>
                <w:rFonts w:cs="Arial"/>
                <w:sz w:val="16"/>
                <w:szCs w:val="16"/>
              </w:rPr>
            </w:pPr>
            <w:r w:rsidRPr="00C258AD">
              <w:rPr>
                <w:b/>
                <w:sz w:val="16"/>
              </w:rPr>
              <w:t>Objectif(s)/description(s)</w:t>
            </w:r>
          </w:p>
        </w:tc>
      </w:tr>
      <w:tr w:rsidR="00327D08" w:rsidRPr="00C258AD" w:rsidTr="00927E1F">
        <w:trPr>
          <w:cantSplit/>
        </w:trPr>
        <w:tc>
          <w:tcPr>
            <w:tcW w:w="1981" w:type="dxa"/>
          </w:tcPr>
          <w:p w:rsidR="00327D08" w:rsidRPr="00C258AD" w:rsidRDefault="00327D08" w:rsidP="00927E1F">
            <w:pPr>
              <w:rPr>
                <w:rFonts w:cs="Arial"/>
                <w:sz w:val="16"/>
                <w:szCs w:val="16"/>
              </w:rPr>
            </w:pPr>
            <w:r w:rsidRPr="00C258AD">
              <w:rPr>
                <w:rFonts w:cs="Arial"/>
                <w:sz w:val="16"/>
                <w:szCs w:val="16"/>
              </w:rPr>
              <w:t>Renouvellement de la base de données de propriété intellectuelle Thomson</w:t>
            </w:r>
            <w:r w:rsidRPr="00C258AD">
              <w:rPr>
                <w:rFonts w:cs="Arial"/>
                <w:sz w:val="16"/>
                <w:szCs w:val="16"/>
              </w:rPr>
              <w:noBreakHyphen/>
              <w:t>Reuters</w:t>
            </w:r>
          </w:p>
        </w:tc>
        <w:tc>
          <w:tcPr>
            <w:tcW w:w="1260" w:type="dxa"/>
          </w:tcPr>
          <w:p w:rsidR="00327D08" w:rsidRPr="00C258AD" w:rsidRDefault="00327D08" w:rsidP="00927E1F">
            <w:pPr>
              <w:rPr>
                <w:rFonts w:cs="Arial"/>
                <w:sz w:val="16"/>
                <w:szCs w:val="16"/>
              </w:rPr>
            </w:pPr>
            <w:r w:rsidRPr="00C258AD">
              <w:rPr>
                <w:rFonts w:cs="Arial"/>
                <w:sz w:val="16"/>
                <w:szCs w:val="16"/>
              </w:rPr>
              <w:t>janvier à octobre 2015 (en cours depuis 2013)</w:t>
            </w:r>
          </w:p>
        </w:tc>
        <w:tc>
          <w:tcPr>
            <w:tcW w:w="1862" w:type="dxa"/>
          </w:tcPr>
          <w:p w:rsidR="00327D08" w:rsidRPr="00C258AD" w:rsidDel="00E54910" w:rsidRDefault="00327D08" w:rsidP="00927E1F">
            <w:pPr>
              <w:autoSpaceDE w:val="0"/>
              <w:autoSpaceDN w:val="0"/>
              <w:adjustRightInd w:val="0"/>
              <w:rPr>
                <w:rFonts w:cs="Arial"/>
                <w:sz w:val="16"/>
                <w:szCs w:val="16"/>
              </w:rPr>
            </w:pPr>
            <w:r w:rsidRPr="00C258AD">
              <w:rPr>
                <w:rFonts w:cs="Arial"/>
                <w:sz w:val="16"/>
                <w:szCs w:val="16"/>
              </w:rPr>
              <w:t>Tous les pays d’Amérique latine</w:t>
            </w:r>
          </w:p>
        </w:tc>
        <w:tc>
          <w:tcPr>
            <w:tcW w:w="4395"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Améliorer la couverture et la qualité des informations figurant dans les bases de données de la Direction nationale de la propriété industrielle.</w:t>
            </w:r>
          </w:p>
        </w:tc>
      </w:tr>
      <w:tr w:rsidR="00327D08" w:rsidRPr="00C258AD" w:rsidTr="00927E1F">
        <w:trPr>
          <w:cantSplit/>
        </w:trPr>
        <w:tc>
          <w:tcPr>
            <w:tcW w:w="1981"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Visite d’étude sur le système d’administration de la propriété industrielle (IPAS)</w:t>
            </w:r>
          </w:p>
          <w:p w:rsidR="00327D08" w:rsidRPr="00C258AD" w:rsidRDefault="00327D08" w:rsidP="00927E1F">
            <w:pPr>
              <w:rPr>
                <w:rFonts w:cs="Arial"/>
                <w:sz w:val="16"/>
                <w:szCs w:val="16"/>
              </w:rPr>
            </w:pPr>
          </w:p>
          <w:p w:rsidR="00327D08" w:rsidRPr="00C258AD" w:rsidRDefault="00327D08" w:rsidP="00927E1F">
            <w:pPr>
              <w:rPr>
                <w:rFonts w:cs="Arial"/>
                <w:sz w:val="16"/>
                <w:szCs w:val="16"/>
              </w:rPr>
            </w:pPr>
            <w:r w:rsidRPr="00C258AD">
              <w:rPr>
                <w:rFonts w:cs="Arial"/>
                <w:sz w:val="16"/>
                <w:szCs w:val="16"/>
              </w:rPr>
              <w:t>Renouvellement de la base de données de l’OEB relative aux informations mondiales en matière de brevets</w:t>
            </w:r>
          </w:p>
        </w:tc>
        <w:tc>
          <w:tcPr>
            <w:tcW w:w="1260"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16 – 20 février 2015</w:t>
            </w:r>
          </w:p>
          <w:p w:rsidR="00327D08" w:rsidRPr="00C258AD" w:rsidRDefault="00327D08" w:rsidP="00927E1F">
            <w:pPr>
              <w:rPr>
                <w:rFonts w:cs="Arial"/>
                <w:sz w:val="16"/>
                <w:szCs w:val="16"/>
              </w:rPr>
            </w:pPr>
          </w:p>
          <w:p w:rsidR="00327D08" w:rsidRPr="00C258AD" w:rsidRDefault="00327D08" w:rsidP="00927E1F">
            <w:pPr>
              <w:rPr>
                <w:rFonts w:cs="Arial"/>
                <w:sz w:val="16"/>
                <w:szCs w:val="16"/>
              </w:rPr>
            </w:pPr>
          </w:p>
          <w:p w:rsidR="00327D08" w:rsidRPr="00C258AD" w:rsidRDefault="00327D08" w:rsidP="00927E1F">
            <w:pPr>
              <w:rPr>
                <w:rFonts w:cs="Arial"/>
                <w:sz w:val="16"/>
                <w:szCs w:val="16"/>
              </w:rPr>
            </w:pPr>
            <w:r w:rsidRPr="00C258AD">
              <w:rPr>
                <w:rFonts w:cs="Arial"/>
                <w:sz w:val="16"/>
                <w:szCs w:val="16"/>
              </w:rPr>
              <w:t>janvier à décembre 2015</w:t>
            </w:r>
          </w:p>
          <w:p w:rsidR="00327D08" w:rsidRPr="00C258AD" w:rsidRDefault="00327D08" w:rsidP="00927E1F">
            <w:pPr>
              <w:rPr>
                <w:rFonts w:cs="Arial"/>
                <w:sz w:val="16"/>
                <w:szCs w:val="16"/>
              </w:rPr>
            </w:pPr>
          </w:p>
          <w:p w:rsidR="00327D08" w:rsidRPr="00C258AD" w:rsidRDefault="00327D08" w:rsidP="00927E1F">
            <w:pPr>
              <w:rPr>
                <w:rFonts w:cs="Arial"/>
                <w:sz w:val="16"/>
                <w:szCs w:val="16"/>
              </w:rPr>
            </w:pPr>
            <w:r w:rsidRPr="00C258AD">
              <w:rPr>
                <w:rFonts w:cs="Arial"/>
                <w:sz w:val="16"/>
                <w:szCs w:val="16"/>
              </w:rPr>
              <w:t>(en cours)</w:t>
            </w:r>
          </w:p>
        </w:tc>
        <w:tc>
          <w:tcPr>
            <w:tcW w:w="1862"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Pérou / représentant de la Direction nationale de la propriété industrielle</w:t>
            </w:r>
          </w:p>
          <w:p w:rsidR="00327D08" w:rsidRPr="00C258AD" w:rsidRDefault="00327D08" w:rsidP="00927E1F">
            <w:pPr>
              <w:autoSpaceDE w:val="0"/>
              <w:autoSpaceDN w:val="0"/>
              <w:adjustRightInd w:val="0"/>
              <w:rPr>
                <w:rFonts w:cs="Arial"/>
                <w:sz w:val="16"/>
                <w:szCs w:val="16"/>
              </w:rPr>
            </w:pPr>
          </w:p>
          <w:p w:rsidR="00327D08" w:rsidRPr="00C258AD" w:rsidRDefault="00327D08" w:rsidP="00927E1F">
            <w:pPr>
              <w:autoSpaceDE w:val="0"/>
              <w:autoSpaceDN w:val="0"/>
              <w:adjustRightInd w:val="0"/>
              <w:rPr>
                <w:rFonts w:cs="Arial"/>
                <w:sz w:val="16"/>
                <w:szCs w:val="16"/>
              </w:rPr>
            </w:pPr>
            <w:r w:rsidRPr="00C258AD">
              <w:rPr>
                <w:rFonts w:cs="Arial"/>
                <w:sz w:val="16"/>
                <w:szCs w:val="16"/>
              </w:rPr>
              <w:t>Tous les pays d’Amérique latine</w:t>
            </w:r>
          </w:p>
        </w:tc>
        <w:tc>
          <w:tcPr>
            <w:tcW w:w="4395" w:type="dxa"/>
          </w:tcPr>
          <w:p w:rsidR="00327D08" w:rsidRPr="00C258AD" w:rsidRDefault="00327D08" w:rsidP="00927E1F">
            <w:pPr>
              <w:autoSpaceDE w:val="0"/>
              <w:autoSpaceDN w:val="0"/>
              <w:adjustRightInd w:val="0"/>
              <w:rPr>
                <w:rFonts w:cs="Arial"/>
                <w:sz w:val="16"/>
                <w:szCs w:val="16"/>
              </w:rPr>
            </w:pPr>
            <w:r w:rsidRPr="00C258AD">
              <w:rPr>
                <w:rFonts w:cs="Arial"/>
                <w:sz w:val="16"/>
                <w:szCs w:val="16"/>
              </w:rPr>
              <w:t>Améliorer l’efficacité des processus internes de la Direction nationale de la propriété industrielle</w:t>
            </w:r>
          </w:p>
          <w:p w:rsidR="00327D08" w:rsidRPr="00C258AD" w:rsidRDefault="00327D08" w:rsidP="00927E1F">
            <w:pPr>
              <w:autoSpaceDE w:val="0"/>
              <w:autoSpaceDN w:val="0"/>
              <w:adjustRightInd w:val="0"/>
              <w:rPr>
                <w:rFonts w:cs="Arial"/>
                <w:sz w:val="16"/>
                <w:szCs w:val="16"/>
              </w:rPr>
            </w:pPr>
          </w:p>
          <w:p w:rsidR="00327D08" w:rsidRPr="00C258AD" w:rsidRDefault="00327D08" w:rsidP="00927E1F">
            <w:pPr>
              <w:autoSpaceDE w:val="0"/>
              <w:autoSpaceDN w:val="0"/>
              <w:adjustRightInd w:val="0"/>
              <w:rPr>
                <w:rFonts w:cs="Arial"/>
                <w:sz w:val="16"/>
                <w:szCs w:val="16"/>
              </w:rPr>
            </w:pPr>
            <w:r w:rsidRPr="00C258AD">
              <w:rPr>
                <w:rFonts w:cs="Arial"/>
                <w:sz w:val="16"/>
                <w:szCs w:val="16"/>
              </w:rPr>
              <w:t>Améliorer la couverture et la qualité des informations figurant dans les bases de données de la Direction nationale de la propriété industrielle</w:t>
            </w:r>
          </w:p>
          <w:p w:rsidR="00327D08" w:rsidRPr="00C258AD" w:rsidRDefault="00327D08" w:rsidP="00927E1F">
            <w:pPr>
              <w:autoSpaceDE w:val="0"/>
              <w:autoSpaceDN w:val="0"/>
              <w:adjustRightInd w:val="0"/>
              <w:rPr>
                <w:rFonts w:cs="Arial"/>
                <w:sz w:val="16"/>
                <w:szCs w:val="16"/>
              </w:rPr>
            </w:pPr>
          </w:p>
        </w:tc>
      </w:tr>
    </w:tbl>
    <w:p w:rsidR="00327D08" w:rsidRPr="00C258AD" w:rsidRDefault="00327D08" w:rsidP="00327D08">
      <w:pPr>
        <w:rPr>
          <w:rFonts w:cs="Arial"/>
          <w:b/>
          <w:szCs w:val="20"/>
        </w:rPr>
      </w:pPr>
    </w:p>
    <w:p w:rsidR="00327D08" w:rsidRPr="00C258AD" w:rsidRDefault="00327D08" w:rsidP="00327D08">
      <w:pPr>
        <w:rPr>
          <w:rFonts w:cs="Arial"/>
          <w:szCs w:val="20"/>
        </w:rPr>
      </w:pPr>
    </w:p>
    <w:p w:rsidR="00327D08" w:rsidRPr="00C258AD" w:rsidRDefault="00327D08" w:rsidP="00327D08">
      <w:pPr>
        <w:rPr>
          <w:rFonts w:cs="Arial"/>
          <w:b/>
          <w:bCs/>
          <w:szCs w:val="20"/>
        </w:rPr>
      </w:pPr>
      <w:r w:rsidRPr="00C258AD">
        <w:rPr>
          <w:rFonts w:cs="Arial"/>
          <w:b/>
          <w:bCs/>
          <w:szCs w:val="20"/>
        </w:rPr>
        <w:t>URUGUAY – Contributions des donateurs et dépenses en 2015</w:t>
      </w:r>
    </w:p>
    <w:p w:rsidR="00327D08" w:rsidRPr="00C258AD" w:rsidRDefault="00327D08" w:rsidP="00327D08">
      <w:pPr>
        <w:rPr>
          <w:rFonts w:cs="Arial"/>
          <w:szCs w:val="20"/>
        </w:rPr>
      </w:pPr>
    </w:p>
    <w:tbl>
      <w:tblPr>
        <w:tblW w:w="5000" w:type="pct"/>
        <w:tblInd w:w="98" w:type="dxa"/>
        <w:tblCellMar>
          <w:top w:w="113" w:type="dxa"/>
          <w:left w:w="68" w:type="dxa"/>
          <w:bottom w:w="113" w:type="dxa"/>
          <w:right w:w="68" w:type="dxa"/>
        </w:tblCellMar>
        <w:tblLook w:val="04A0" w:firstRow="1" w:lastRow="0" w:firstColumn="1" w:lastColumn="0" w:noHBand="0" w:noVBand="1"/>
      </w:tblPr>
      <w:tblGrid>
        <w:gridCol w:w="2037"/>
        <w:gridCol w:w="1635"/>
        <w:gridCol w:w="1855"/>
        <w:gridCol w:w="1780"/>
        <w:gridCol w:w="2184"/>
      </w:tblGrid>
      <w:tr w:rsidR="00327D08" w:rsidRPr="00C258AD" w:rsidTr="00927E1F">
        <w:trPr>
          <w:cantSplit/>
        </w:trPr>
        <w:tc>
          <w:tcPr>
            <w:tcW w:w="2040" w:type="dxa"/>
            <w:tcBorders>
              <w:top w:val="single" w:sz="8" w:space="0" w:color="auto"/>
              <w:left w:val="single" w:sz="8" w:space="0" w:color="auto"/>
              <w:bottom w:val="nil"/>
              <w:right w:val="single" w:sz="8" w:space="0" w:color="auto"/>
            </w:tcBorders>
            <w:shd w:val="clear" w:color="auto" w:fill="C6D9F1"/>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2014</w:t>
            </w:r>
          </w:p>
        </w:tc>
        <w:tc>
          <w:tcPr>
            <w:tcW w:w="1640" w:type="dxa"/>
            <w:tcBorders>
              <w:top w:val="single" w:sz="8" w:space="0" w:color="auto"/>
              <w:left w:val="nil"/>
              <w:bottom w:val="nil"/>
              <w:right w:val="single" w:sz="8" w:space="0" w:color="auto"/>
            </w:tcBorders>
            <w:shd w:val="clear" w:color="auto" w:fill="C6D9F1"/>
            <w:vAlign w:val="center"/>
            <w:hideMark/>
          </w:tcPr>
          <w:p w:rsidR="00327D08" w:rsidRPr="00C258AD" w:rsidRDefault="00327D08" w:rsidP="00927E1F">
            <w:pPr>
              <w:jc w:val="center"/>
              <w:rPr>
                <w:rFonts w:cs="Arial"/>
                <w:b/>
                <w:bCs/>
                <w:sz w:val="16"/>
                <w:szCs w:val="16"/>
              </w:rPr>
            </w:pPr>
            <w:r w:rsidRPr="00C258AD">
              <w:rPr>
                <w:rFonts w:cs="Arial"/>
                <w:b/>
                <w:bCs/>
                <w:sz w:val="16"/>
                <w:szCs w:val="16"/>
              </w:rPr>
              <w:t>Recettes 2015</w:t>
            </w:r>
          </w:p>
        </w:tc>
        <w:tc>
          <w:tcPr>
            <w:tcW w:w="1860" w:type="dxa"/>
            <w:tcBorders>
              <w:top w:val="single" w:sz="8" w:space="0" w:color="auto"/>
              <w:left w:val="nil"/>
              <w:bottom w:val="nil"/>
              <w:right w:val="single" w:sz="8" w:space="0" w:color="auto"/>
            </w:tcBorders>
            <w:shd w:val="clear" w:color="auto" w:fill="C6D9F1"/>
            <w:vAlign w:val="center"/>
            <w:hideMark/>
          </w:tcPr>
          <w:p w:rsidR="00327D08" w:rsidRPr="00C258AD" w:rsidRDefault="00327D08" w:rsidP="00927E1F">
            <w:pPr>
              <w:jc w:val="center"/>
              <w:rPr>
                <w:rFonts w:cs="Arial"/>
                <w:b/>
                <w:bCs/>
                <w:sz w:val="16"/>
                <w:szCs w:val="16"/>
              </w:rPr>
            </w:pPr>
            <w:r w:rsidRPr="00C258AD">
              <w:rPr>
                <w:rFonts w:cs="Arial"/>
                <w:b/>
                <w:bCs/>
                <w:sz w:val="16"/>
                <w:szCs w:val="16"/>
              </w:rPr>
              <w:t>Dépenses 2015</w:t>
            </w:r>
          </w:p>
        </w:tc>
        <w:tc>
          <w:tcPr>
            <w:tcW w:w="1780" w:type="dxa"/>
            <w:tcBorders>
              <w:top w:val="single" w:sz="8" w:space="0" w:color="auto"/>
              <w:left w:val="nil"/>
              <w:bottom w:val="nil"/>
              <w:right w:val="single" w:sz="8" w:space="0" w:color="auto"/>
            </w:tcBorders>
            <w:shd w:val="clear" w:color="auto" w:fill="C6D9F1"/>
            <w:vAlign w:val="center"/>
            <w:hideMark/>
          </w:tcPr>
          <w:p w:rsidR="00327D08" w:rsidRPr="00C258AD" w:rsidRDefault="00327D08" w:rsidP="00927E1F">
            <w:pPr>
              <w:jc w:val="center"/>
              <w:rPr>
                <w:rFonts w:cs="Arial"/>
                <w:b/>
                <w:bCs/>
                <w:sz w:val="16"/>
                <w:szCs w:val="16"/>
              </w:rPr>
            </w:pPr>
            <w:r w:rsidRPr="00C258AD">
              <w:rPr>
                <w:rFonts w:cs="Arial"/>
                <w:b/>
                <w:bCs/>
                <w:sz w:val="16"/>
                <w:szCs w:val="16"/>
              </w:rPr>
              <w:t>Remboursements</w:t>
            </w:r>
          </w:p>
        </w:tc>
        <w:tc>
          <w:tcPr>
            <w:tcW w:w="2188" w:type="dxa"/>
            <w:tcBorders>
              <w:top w:val="single" w:sz="8" w:space="0" w:color="auto"/>
              <w:left w:val="nil"/>
              <w:bottom w:val="nil"/>
              <w:right w:val="single" w:sz="8" w:space="0" w:color="auto"/>
            </w:tcBorders>
            <w:shd w:val="clear" w:color="auto" w:fill="C6D9F1"/>
            <w:vAlign w:val="center"/>
            <w:hideMark/>
          </w:tcPr>
          <w:p w:rsidR="00327D08" w:rsidRPr="00C258AD" w:rsidRDefault="00327D08" w:rsidP="00927E1F">
            <w:pPr>
              <w:jc w:val="center"/>
              <w:rPr>
                <w:rFonts w:cs="Arial"/>
                <w:b/>
                <w:bCs/>
                <w:sz w:val="16"/>
                <w:szCs w:val="16"/>
              </w:rPr>
            </w:pPr>
            <w:r w:rsidRPr="00C258AD">
              <w:rPr>
                <w:rFonts w:cs="Arial"/>
                <w:b/>
                <w:bCs/>
                <w:sz w:val="16"/>
                <w:szCs w:val="16"/>
              </w:rPr>
              <w:t>Solde au 31 décembre 2015</w:t>
            </w:r>
          </w:p>
        </w:tc>
      </w:tr>
      <w:tr w:rsidR="00327D08" w:rsidRPr="00C258AD" w:rsidTr="00927E1F">
        <w:trPr>
          <w:cantSplit/>
        </w:trPr>
        <w:tc>
          <w:tcPr>
            <w:tcW w:w="2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157 932</w:t>
            </w:r>
          </w:p>
        </w:tc>
        <w:tc>
          <w:tcPr>
            <w:tcW w:w="164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(144)</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9 164</w:t>
            </w:r>
          </w:p>
        </w:tc>
        <w:tc>
          <w:tcPr>
            <w:tcW w:w="1780" w:type="dxa"/>
            <w:tcBorders>
              <w:top w:val="single" w:sz="4" w:space="0" w:color="auto"/>
              <w:left w:val="nil"/>
              <w:bottom w:val="single" w:sz="4" w:space="0" w:color="auto"/>
              <w:right w:val="single" w:sz="4" w:space="0" w:color="auto"/>
            </w:tcBorders>
            <w:shd w:val="clear" w:color="auto" w:fill="auto"/>
            <w:noWrap/>
            <w:vAlign w:val="center"/>
            <w:hideMark/>
          </w:tcPr>
          <w:p w:rsidR="00327D08" w:rsidRPr="00C258AD" w:rsidRDefault="00327D08" w:rsidP="00927E1F">
            <w:pPr>
              <w:jc w:val="center"/>
              <w:rPr>
                <w:rFonts w:cs="Arial"/>
                <w:sz w:val="16"/>
                <w:szCs w:val="16"/>
              </w:rPr>
            </w:pPr>
            <w:r w:rsidRPr="00C258AD">
              <w:rPr>
                <w:rFonts w:cs="Arial"/>
                <w:sz w:val="16"/>
                <w:szCs w:val="16"/>
              </w:rPr>
              <w:noBreakHyphen/>
            </w:r>
          </w:p>
        </w:tc>
        <w:tc>
          <w:tcPr>
            <w:tcW w:w="2188" w:type="dxa"/>
            <w:tcBorders>
              <w:top w:val="single" w:sz="4" w:space="0" w:color="auto"/>
              <w:left w:val="nil"/>
              <w:bottom w:val="single" w:sz="4" w:space="0" w:color="auto"/>
              <w:right w:val="single" w:sz="4" w:space="0" w:color="auto"/>
            </w:tcBorders>
            <w:shd w:val="clear" w:color="auto" w:fill="auto"/>
            <w:vAlign w:val="center"/>
            <w:hideMark/>
          </w:tcPr>
          <w:p w:rsidR="00327D08" w:rsidRPr="00C258AD" w:rsidRDefault="00327D08" w:rsidP="00927E1F">
            <w:pPr>
              <w:jc w:val="center"/>
              <w:rPr>
                <w:rFonts w:cs="Arial"/>
                <w:sz w:val="16"/>
                <w:szCs w:val="16"/>
              </w:rPr>
            </w:pPr>
            <w:r w:rsidRPr="00C258AD">
              <w:rPr>
                <w:rFonts w:cs="Arial"/>
                <w:sz w:val="16"/>
                <w:szCs w:val="16"/>
              </w:rPr>
              <w:t>148 624</w:t>
            </w:r>
          </w:p>
        </w:tc>
      </w:tr>
    </w:tbl>
    <w:p w:rsidR="00327D08" w:rsidRPr="00C258AD" w:rsidRDefault="00327D08" w:rsidP="00327D08"/>
    <w:p w:rsidR="00327D08" w:rsidRPr="00E82DE1" w:rsidRDefault="00327D08" w:rsidP="00327D08">
      <w:pPr>
        <w:rPr>
          <w:rFonts w:cs="Arial"/>
          <w:szCs w:val="20"/>
        </w:rPr>
      </w:pPr>
    </w:p>
    <w:p w:rsidR="00327D08" w:rsidRPr="00E82DE1" w:rsidRDefault="00327D08" w:rsidP="00327D08">
      <w:pPr>
        <w:rPr>
          <w:rFonts w:cs="Arial"/>
          <w:szCs w:val="20"/>
        </w:rPr>
      </w:pPr>
    </w:p>
    <w:p w:rsidR="00327D08" w:rsidRPr="007A287B" w:rsidRDefault="00327D08" w:rsidP="00327D08">
      <w:pPr>
        <w:pStyle w:val="Endofdocument-Annex"/>
        <w:rPr>
          <w:b/>
          <w:lang w:val="fr-FR"/>
        </w:rPr>
      </w:pPr>
      <w:r w:rsidRPr="00C258AD">
        <w:rPr>
          <w:lang w:val="fr-FR"/>
        </w:rPr>
        <w:t>[L’annexe III suit]</w:t>
      </w:r>
    </w:p>
    <w:p w:rsidR="00327D08" w:rsidRPr="007A287B" w:rsidRDefault="00327D08" w:rsidP="00327D08">
      <w:pPr>
        <w:rPr>
          <w:rFonts w:cs="Arial"/>
          <w:b/>
          <w:szCs w:val="16"/>
        </w:rPr>
      </w:pPr>
    </w:p>
    <w:p w:rsidR="00D574C7" w:rsidRPr="00834415" w:rsidRDefault="00EA46D0" w:rsidP="00D574C7">
      <w:pPr>
        <w:pStyle w:val="Heading3"/>
        <w:tabs>
          <w:tab w:val="left" w:pos="6"/>
        </w:tabs>
        <w:ind w:left="0" w:firstLine="0"/>
      </w:pPr>
      <w:r>
        <w:rPr>
          <w:lang w:eastAsia="ko-KR"/>
        </w:rPr>
        <w:br w:type="page"/>
      </w:r>
      <w:bookmarkStart w:id="186" w:name="_Toc455394220"/>
      <w:r w:rsidR="00D574C7" w:rsidRPr="00834415">
        <w:lastRenderedPageBreak/>
        <w:t>Annexe I</w:t>
      </w:r>
      <w:r w:rsidR="00343D9F">
        <w:t>II</w:t>
      </w:r>
      <w:r w:rsidR="00D574C7" w:rsidRPr="00834415">
        <w:br/>
      </w:r>
      <w:r w:rsidR="00D574C7" w:rsidRPr="00834415">
        <w:br/>
      </w:r>
      <w:r w:rsidR="00D574C7" w:rsidRPr="00834415">
        <w:tab/>
      </w:r>
      <w:r w:rsidR="00343D9F">
        <w:t>Rapport sur l’état d’avancement du plan</w:t>
      </w:r>
      <w:r w:rsidR="00343D9F">
        <w:noBreakHyphen/>
        <w:t>cadre d’équipement en 2014</w:t>
      </w:r>
      <w:r w:rsidR="00343D9F">
        <w:noBreakHyphen/>
        <w:t>2015</w:t>
      </w:r>
      <w:bookmarkEnd w:id="186"/>
    </w:p>
    <w:p w:rsidR="00927E1F" w:rsidRPr="00927E1F" w:rsidRDefault="00927E1F" w:rsidP="00927E1F">
      <w:pPr>
        <w:autoSpaceDE w:val="0"/>
        <w:autoSpaceDN w:val="0"/>
        <w:jc w:val="both"/>
        <w:rPr>
          <w:bCs/>
        </w:rPr>
      </w:pPr>
    </w:p>
    <w:p w:rsidR="00927E1F" w:rsidRPr="00D50F16" w:rsidRDefault="00927E1F" w:rsidP="00927E1F">
      <w:pPr>
        <w:autoSpaceDE w:val="0"/>
        <w:autoSpaceDN w:val="0"/>
        <w:jc w:val="both"/>
        <w:rPr>
          <w:bCs/>
        </w:rPr>
      </w:pPr>
    </w:p>
    <w:p w:rsidR="00927E1F" w:rsidRPr="00D50F16" w:rsidRDefault="00927E1F" w:rsidP="00927E1F">
      <w:pPr>
        <w:rPr>
          <w:b/>
          <w:bCs/>
        </w:rPr>
      </w:pPr>
      <w:r w:rsidRPr="00D50F16">
        <w:rPr>
          <w:b/>
        </w:rPr>
        <w:t>I.</w:t>
      </w:r>
      <w:r w:rsidRPr="00D50F16">
        <w:tab/>
      </w:r>
      <w:r w:rsidRPr="00D50F16">
        <w:rPr>
          <w:b/>
        </w:rPr>
        <w:t>INTRODUCTION</w:t>
      </w:r>
    </w:p>
    <w:p w:rsidR="00927E1F" w:rsidRPr="00927E1F" w:rsidRDefault="00927E1F" w:rsidP="00927E1F"/>
    <w:p w:rsidR="00927E1F" w:rsidRPr="00D50F16" w:rsidRDefault="00927E1F" w:rsidP="00E82DE1">
      <w:pPr>
        <w:pStyle w:val="ONUME"/>
        <w:numPr>
          <w:ilvl w:val="0"/>
          <w:numId w:val="0"/>
        </w:numPr>
        <w:tabs>
          <w:tab w:val="left" w:pos="567"/>
        </w:tabs>
        <w:jc w:val="both"/>
      </w:pPr>
      <w:r w:rsidRPr="00D50F16">
        <w:t>La cinquante et unième session des assemblées des États membres de l’OMPI en septembre 2013 a entériné les principes en vertu desquels les projets sont inclus dans le Plan</w:t>
      </w:r>
      <w:r w:rsidRPr="00D50F16">
        <w:noBreakHyphen/>
        <w:t>cadre d’équipement de l’Organisation et a approuvé un financement pour un montant total estimé à 11,2 millions de francs suisses à prélever sur les réserves pour sept projets (document A/51/16</w:t>
      </w:r>
      <w:r w:rsidRPr="00D50F16">
        <w:rPr>
          <w:rStyle w:val="FootnoteReference"/>
          <w:rFonts w:eastAsia="SimSun"/>
        </w:rPr>
        <w:footnoteReference w:id="170"/>
      </w:r>
      <w:r w:rsidRPr="00D50F16">
        <w:t>).</w:t>
      </w:r>
    </w:p>
    <w:p w:rsidR="00927E1F" w:rsidRPr="00D50F16" w:rsidRDefault="00927E1F" w:rsidP="00E82DE1">
      <w:pPr>
        <w:pStyle w:val="ONUME"/>
        <w:numPr>
          <w:ilvl w:val="0"/>
          <w:numId w:val="0"/>
        </w:numPr>
        <w:tabs>
          <w:tab w:val="left" w:pos="567"/>
        </w:tabs>
        <w:jc w:val="both"/>
      </w:pPr>
      <w:r w:rsidRPr="00D50F16">
        <w:t>Dans le cadre des efforts déployés pour rationaliser la reddition de comptes au sein de l’Organisation, le Rapport sur l’état d’avancement du Plan</w:t>
      </w:r>
      <w:r w:rsidRPr="00D50F16">
        <w:noBreakHyphen/>
        <w:t>cadre d’équipement en 2015 est inclus en annexe du rapport sur l’exécution du programme en 2014</w:t>
      </w:r>
      <w:r w:rsidRPr="00D50F16">
        <w:noBreakHyphen/>
        <w:t>2015.  Ce rapport est le troisième rapport sur l’état d’avancement soumis au PBC, et il présente aux États membres un aperçu des progrès accomplis, des étapes franchies et de l’utilisation des ressources durant la période allant de janvier à décembre 2015 au titre des projets suivants :</w:t>
      </w:r>
    </w:p>
    <w:p w:rsidR="00927E1F" w:rsidRPr="00D50F16" w:rsidRDefault="00927E1F" w:rsidP="00927E1F">
      <w:pPr>
        <w:pStyle w:val="ONUME"/>
        <w:numPr>
          <w:ilvl w:val="1"/>
          <w:numId w:val="60"/>
        </w:numPr>
        <w:rPr>
          <w:u w:val="single"/>
        </w:rPr>
      </w:pPr>
      <w:r w:rsidRPr="00D50F16">
        <w:rPr>
          <w:u w:val="single"/>
        </w:rPr>
        <w:t>Projets dans le domaine des TIC</w:t>
      </w:r>
    </w:p>
    <w:p w:rsidR="00927E1F" w:rsidRPr="00D50F16" w:rsidRDefault="00927E1F" w:rsidP="00927E1F">
      <w:pPr>
        <w:pStyle w:val="ONUME"/>
        <w:numPr>
          <w:ilvl w:val="2"/>
          <w:numId w:val="60"/>
        </w:numPr>
      </w:pPr>
      <w:r w:rsidRPr="00D50F16">
        <w:t>Renforcement de la sécurité : cryptage des données et gestion des utilisateurs</w:t>
      </w:r>
    </w:p>
    <w:p w:rsidR="00927E1F" w:rsidRPr="00D50F16" w:rsidRDefault="00927E1F" w:rsidP="00927E1F">
      <w:pPr>
        <w:pStyle w:val="ONUME"/>
        <w:numPr>
          <w:ilvl w:val="2"/>
          <w:numId w:val="60"/>
        </w:numPr>
      </w:pPr>
      <w:r w:rsidRPr="00D50F16">
        <w:t>mise en œuvre du système de gestion des contenus de l’Organisation</w:t>
      </w:r>
    </w:p>
    <w:p w:rsidR="00927E1F" w:rsidRPr="00D50F16" w:rsidRDefault="00927E1F" w:rsidP="00927E1F">
      <w:pPr>
        <w:pStyle w:val="ONUME"/>
        <w:numPr>
          <w:ilvl w:val="1"/>
          <w:numId w:val="60"/>
        </w:numPr>
        <w:rPr>
          <w:u w:val="single"/>
        </w:rPr>
      </w:pPr>
      <w:r w:rsidRPr="00D50F16">
        <w:rPr>
          <w:u w:val="single"/>
        </w:rPr>
        <w:t>Projets liés aux bâtiments</w:t>
      </w:r>
    </w:p>
    <w:p w:rsidR="00927E1F" w:rsidRPr="00D50F16" w:rsidRDefault="00927E1F" w:rsidP="00DF2EEF">
      <w:pPr>
        <w:pStyle w:val="ONUME"/>
        <w:numPr>
          <w:ilvl w:val="2"/>
          <w:numId w:val="110"/>
        </w:numPr>
        <w:ind w:left="1710" w:hanging="576"/>
      </w:pPr>
      <w:r w:rsidRPr="00D50F16">
        <w:t>Rénovation des façades et de la climatisation du bâtiment PCT</w:t>
      </w:r>
    </w:p>
    <w:p w:rsidR="00927E1F" w:rsidRPr="00D50F16" w:rsidRDefault="00927E1F" w:rsidP="00927E1F">
      <w:pPr>
        <w:pStyle w:val="ONUME"/>
        <w:numPr>
          <w:ilvl w:val="2"/>
          <w:numId w:val="60"/>
        </w:numPr>
        <w:ind w:left="1710" w:hanging="576"/>
      </w:pPr>
      <w:r w:rsidRPr="00D50F16">
        <w:t>Installation du système de refroidissement au moyen de l’eau du lac Léman (projet réseau du lac) pour les bâtiments AB et PCT</w:t>
      </w:r>
    </w:p>
    <w:p w:rsidR="00927E1F" w:rsidRPr="00D50F16" w:rsidRDefault="00927E1F" w:rsidP="00927E1F">
      <w:pPr>
        <w:pStyle w:val="ONUME"/>
        <w:numPr>
          <w:ilvl w:val="2"/>
          <w:numId w:val="60"/>
        </w:numPr>
      </w:pPr>
      <w:r w:rsidRPr="00D50F16">
        <w:t xml:space="preserve">Bâtiment Arpad </w:t>
      </w:r>
      <w:proofErr w:type="spellStart"/>
      <w:r w:rsidRPr="00D50F16">
        <w:t>Bogsch</w:t>
      </w:r>
      <w:proofErr w:type="spellEnd"/>
      <w:r w:rsidRPr="00D50F16">
        <w:t xml:space="preserve"> – phase 1 de la rénovation du sous</w:t>
      </w:r>
      <w:r w:rsidRPr="00D50F16">
        <w:noBreakHyphen/>
        <w:t>sol (redimensionnement du centre informatique et rénovation de l’imprimerie)</w:t>
      </w:r>
    </w:p>
    <w:p w:rsidR="00927E1F" w:rsidRPr="00D50F16" w:rsidRDefault="00927E1F" w:rsidP="00927E1F">
      <w:pPr>
        <w:pStyle w:val="ONUME"/>
        <w:numPr>
          <w:ilvl w:val="2"/>
          <w:numId w:val="60"/>
        </w:numPr>
      </w:pPr>
      <w:r w:rsidRPr="00D50F16">
        <w:t xml:space="preserve">Bâtiment Arpad </w:t>
      </w:r>
      <w:proofErr w:type="spellStart"/>
      <w:r w:rsidRPr="00D50F16">
        <w:t>Bogsch</w:t>
      </w:r>
      <w:proofErr w:type="spellEnd"/>
      <w:r w:rsidRPr="00D50F16">
        <w:t xml:space="preserve"> – remplacement de certaines fenêtres</w:t>
      </w:r>
    </w:p>
    <w:p w:rsidR="00927E1F" w:rsidRPr="00D50F16" w:rsidRDefault="00927E1F" w:rsidP="00927E1F">
      <w:pPr>
        <w:pStyle w:val="ONUME"/>
        <w:numPr>
          <w:ilvl w:val="1"/>
          <w:numId w:val="60"/>
        </w:numPr>
        <w:rPr>
          <w:u w:val="single"/>
        </w:rPr>
      </w:pPr>
      <w:r w:rsidRPr="00D50F16">
        <w:rPr>
          <w:u w:val="single"/>
        </w:rPr>
        <w:t>Projets liés à la sécurité</w:t>
      </w:r>
    </w:p>
    <w:p w:rsidR="00927E1F" w:rsidRPr="00D50F16" w:rsidRDefault="00927E1F" w:rsidP="00DF2EEF">
      <w:pPr>
        <w:pStyle w:val="ONUME"/>
        <w:numPr>
          <w:ilvl w:val="2"/>
          <w:numId w:val="111"/>
        </w:numPr>
      </w:pPr>
      <w:r w:rsidRPr="00D50F16">
        <w:t>Mesures de sécurité et de protection anti</w:t>
      </w:r>
      <w:r w:rsidRPr="00D50F16">
        <w:noBreakHyphen/>
        <w:t>incendie</w:t>
      </w:r>
    </w:p>
    <w:p w:rsidR="00927E1F" w:rsidRPr="00D50F16" w:rsidRDefault="00927E1F" w:rsidP="00927E1F">
      <w:pPr>
        <w:rPr>
          <w:b/>
          <w:bCs/>
        </w:rPr>
      </w:pPr>
    </w:p>
    <w:p w:rsidR="00927E1F" w:rsidRPr="00D50F16" w:rsidRDefault="00927E1F" w:rsidP="00927E1F">
      <w:pPr>
        <w:rPr>
          <w:b/>
          <w:bCs/>
        </w:rPr>
      </w:pPr>
      <w:r w:rsidRPr="00D50F16">
        <w:rPr>
          <w:b/>
        </w:rPr>
        <w:t>II.</w:t>
      </w:r>
      <w:r w:rsidRPr="00D50F16">
        <w:rPr>
          <w:b/>
        </w:rPr>
        <w:tab/>
        <w:t>STRUCTURE DE GOUVERNANCE APPROUVÉE</w:t>
      </w:r>
    </w:p>
    <w:p w:rsidR="00927E1F" w:rsidRPr="00D50F16" w:rsidRDefault="00927E1F" w:rsidP="00927E1F"/>
    <w:p w:rsidR="00927E1F" w:rsidRPr="00D50F16" w:rsidRDefault="00927E1F" w:rsidP="00E82DE1">
      <w:pPr>
        <w:pStyle w:val="ONUME"/>
        <w:numPr>
          <w:ilvl w:val="0"/>
          <w:numId w:val="0"/>
        </w:numPr>
        <w:tabs>
          <w:tab w:val="left" w:pos="567"/>
        </w:tabs>
        <w:jc w:val="both"/>
      </w:pPr>
      <w:r w:rsidRPr="00D50F16">
        <w:t>Conformément aux pratiques recommandées dans le secteur en matière de gestion de projets, un cadre de gouvernance a été mis en œuvre pour le Plan</w:t>
      </w:r>
      <w:r w:rsidRPr="00D50F16">
        <w:noBreakHyphen/>
        <w:t>cadre d’équipement en 2014 afin de : i) définir les structures et processus de gestion et de supervision des activités des projets en vue de la réalisation de leurs objectifs;  et ii) veiller à ce que les responsabilités et obligations en matière de reddition de comptes soient toutes clairement communiquées.</w:t>
      </w:r>
    </w:p>
    <w:p w:rsidR="00927E1F" w:rsidRPr="00D50F16" w:rsidRDefault="00927E1F" w:rsidP="00E82DE1">
      <w:pPr>
        <w:pStyle w:val="ONUME"/>
        <w:numPr>
          <w:ilvl w:val="0"/>
          <w:numId w:val="0"/>
        </w:numPr>
        <w:tabs>
          <w:tab w:val="left" w:pos="567"/>
        </w:tabs>
        <w:jc w:val="both"/>
      </w:pPr>
      <w:r w:rsidRPr="00D50F16">
        <w:t>Le PBC, à sa vingt</w:t>
      </w:r>
      <w:r w:rsidRPr="00D50F16">
        <w:noBreakHyphen/>
        <w:t>deuxième session en septembre 2014, a pris note de la structure de gouvernance mise en place pour gérer, superviser et rendre compte de la mise en œuvre du portefeuille de projets du Plan</w:t>
      </w:r>
      <w:r w:rsidRPr="00D50F16">
        <w:noBreakHyphen/>
        <w:t>cadre d’équipement, comme cela est indiqué dans le document WO/PBC/22/21</w:t>
      </w:r>
      <w:r w:rsidRPr="00D50F16">
        <w:rPr>
          <w:rStyle w:val="FootnoteReference"/>
          <w:rFonts w:eastAsia="SimSun"/>
        </w:rPr>
        <w:footnoteReference w:id="171"/>
      </w:r>
      <w:r w:rsidRPr="00D50F16">
        <w:t>.</w:t>
      </w:r>
    </w:p>
    <w:p w:rsidR="00927E1F" w:rsidRPr="00D50F16" w:rsidRDefault="00927E1F" w:rsidP="00927E1F">
      <w:pPr>
        <w:rPr>
          <w:b/>
          <w:sz w:val="22"/>
        </w:rPr>
      </w:pPr>
      <w:r w:rsidRPr="00D50F16">
        <w:br w:type="page"/>
      </w:r>
      <w:r w:rsidRPr="00D50F16">
        <w:rPr>
          <w:b/>
          <w:sz w:val="22"/>
        </w:rPr>
        <w:lastRenderedPageBreak/>
        <w:t>PROJETS DANS LE DOMAINE DES TIC</w:t>
      </w:r>
    </w:p>
    <w:p w:rsidR="00927E1F" w:rsidRPr="00D50F16" w:rsidRDefault="00927E1F" w:rsidP="00927E1F">
      <w:pPr>
        <w:rPr>
          <w:b/>
          <w:i/>
          <w:caps/>
        </w:rPr>
      </w:pPr>
    </w:p>
    <w:p w:rsidR="00927E1F" w:rsidRPr="00E82DE1" w:rsidRDefault="00927E1F" w:rsidP="00E82DE1">
      <w:pPr>
        <w:pStyle w:val="Heading8"/>
      </w:pPr>
      <w:bookmarkStart w:id="187" w:name="_Toc423352908"/>
      <w:bookmarkStart w:id="188" w:name="_Toc455394221"/>
      <w:r w:rsidRPr="00E82DE1">
        <w:t xml:space="preserve">PROJET 1 </w:t>
      </w:r>
      <w:r w:rsidRPr="00E82DE1">
        <w:tab/>
        <w:t>RENFORCEMENT DE LA SÉCURITÉ : CRYPTAGE DES DONNÉES ET GESTION DES UTILISATEURS</w:t>
      </w:r>
      <w:bookmarkEnd w:id="187"/>
      <w:bookmarkEnd w:id="188"/>
    </w:p>
    <w:p w:rsidR="00927E1F" w:rsidRPr="00D50F16" w:rsidRDefault="00927E1F" w:rsidP="00927E1F">
      <w:pPr>
        <w:rPr>
          <w:b/>
          <w:i/>
        </w:rPr>
      </w:pPr>
    </w:p>
    <w:p w:rsidR="00927E1F" w:rsidRPr="00D50F16" w:rsidRDefault="00927E1F" w:rsidP="00927E1F">
      <w:pPr>
        <w:rPr>
          <w:b/>
        </w:rPr>
      </w:pPr>
      <w:r w:rsidRPr="00D50F16">
        <w:rPr>
          <w:b/>
        </w:rPr>
        <w:t>Chef de projet</w:t>
      </w:r>
      <w:r w:rsidRPr="00D50F16">
        <w:rPr>
          <w:b/>
        </w:rPr>
        <w:tab/>
        <w:t>M. R. LANE</w:t>
      </w:r>
    </w:p>
    <w:p w:rsidR="00927E1F" w:rsidRPr="00D50F16" w:rsidRDefault="00927E1F" w:rsidP="00927E1F"/>
    <w:p w:rsidR="00927E1F" w:rsidRPr="00D50F16" w:rsidRDefault="00927E1F" w:rsidP="00927E1F">
      <w:pPr>
        <w:rPr>
          <w:bCs/>
        </w:rPr>
      </w:pPr>
    </w:p>
    <w:p w:rsidR="00927E1F" w:rsidRPr="00D50F16" w:rsidRDefault="00927E1F" w:rsidP="00927E1F">
      <w:pPr>
        <w:rPr>
          <w:bCs/>
        </w:rPr>
      </w:pPr>
      <w:r w:rsidRPr="00D50F16">
        <w:t>RÉSULTATS ESCOMPTÉS</w:t>
      </w:r>
    </w:p>
    <w:p w:rsidR="00927E1F" w:rsidRPr="00D50F16" w:rsidRDefault="00927E1F" w:rsidP="00927E1F">
      <w:pPr>
        <w:rPr>
          <w:bCs/>
        </w:rPr>
      </w:pPr>
    </w:p>
    <w:p w:rsidR="00927E1F" w:rsidRPr="00D50F16" w:rsidRDefault="00927E1F" w:rsidP="00927E1F">
      <w:pPr>
        <w:jc w:val="both"/>
        <w:rPr>
          <w:i/>
          <w:iCs/>
        </w:rPr>
      </w:pPr>
      <w:r w:rsidRPr="00D50F16">
        <w:rPr>
          <w:i/>
        </w:rPr>
        <w:t>IX.1</w:t>
      </w:r>
      <w:r w:rsidRPr="00D50F16">
        <w:t xml:space="preserve"> </w:t>
      </w:r>
      <w:r w:rsidRPr="00D50F16">
        <w:rPr>
          <w:i/>
        </w:rPr>
        <w:t>Services d’appui efficaces, efficients, de qualité et tournés vers la clientèle, à l’intention à la fois des clients internes et des parties prenantes externes</w:t>
      </w:r>
    </w:p>
    <w:p w:rsidR="00927E1F" w:rsidRPr="00D50F16" w:rsidRDefault="00927E1F" w:rsidP="00927E1F">
      <w:pPr>
        <w:jc w:val="both"/>
        <w:rPr>
          <w:i/>
          <w:iCs/>
        </w:rPr>
      </w:pPr>
    </w:p>
    <w:p w:rsidR="00927E1F" w:rsidRPr="00D50F16" w:rsidRDefault="00927E1F" w:rsidP="00DF2EEF">
      <w:pPr>
        <w:pStyle w:val="ONUME"/>
        <w:numPr>
          <w:ilvl w:val="0"/>
          <w:numId w:val="120"/>
        </w:numPr>
        <w:tabs>
          <w:tab w:val="left" w:pos="567"/>
        </w:tabs>
        <w:ind w:left="0" w:firstLine="0"/>
        <w:jc w:val="both"/>
        <w:rPr>
          <w:iCs/>
        </w:rPr>
      </w:pPr>
      <w:r w:rsidRPr="00D50F16">
        <w:t>La mise en œuvre du cryptage des données et de la gestion des utilisateurs renforcerait la capacité de réaction de l’OMPI face aux menaces informatiques croissantes, tout en permettant d’envisager des solutions de sous</w:t>
      </w:r>
      <w:r w:rsidRPr="00D50F16">
        <w:noBreakHyphen/>
        <w:t>traitance plus économiques et de renforcer la gestion centralisée des droits d’accès.</w:t>
      </w:r>
    </w:p>
    <w:p w:rsidR="00927E1F" w:rsidRPr="00D50F16" w:rsidRDefault="00927E1F" w:rsidP="00927E1F">
      <w:pPr>
        <w:rPr>
          <w:bCs/>
        </w:rPr>
      </w:pPr>
    </w:p>
    <w:p w:rsidR="00927E1F" w:rsidRPr="00D50F16" w:rsidRDefault="00927E1F" w:rsidP="00927E1F">
      <w:pPr>
        <w:rPr>
          <w:bCs/>
        </w:rPr>
      </w:pPr>
      <w:r w:rsidRPr="00D50F16">
        <w:t>OBJECTIFS, PORTÉE ET APPROCHE – GÉNÉRALITÉS</w:t>
      </w:r>
    </w:p>
    <w:p w:rsidR="00927E1F" w:rsidRPr="00D50F16" w:rsidRDefault="00927E1F" w:rsidP="00927E1F">
      <w:pPr>
        <w:rPr>
          <w:bCs/>
        </w:rPr>
      </w:pPr>
    </w:p>
    <w:p w:rsidR="00927E1F" w:rsidRPr="00D50F16" w:rsidRDefault="00927E1F" w:rsidP="00DF2EEF">
      <w:pPr>
        <w:pStyle w:val="ONUME"/>
        <w:numPr>
          <w:ilvl w:val="0"/>
          <w:numId w:val="120"/>
        </w:numPr>
        <w:tabs>
          <w:tab w:val="left" w:pos="567"/>
        </w:tabs>
        <w:ind w:left="0" w:firstLine="0"/>
        <w:jc w:val="both"/>
      </w:pPr>
      <w:r w:rsidRPr="00D50F16">
        <w:t>Ce projet vise trois objectifs principaux : protection des données essentielles, possibilité de recourir à des options de sous</w:t>
      </w:r>
      <w:r w:rsidRPr="00D50F16">
        <w:noBreakHyphen/>
        <w:t>traitance plus économiques et gestion centralisée des droits d’accès.</w:t>
      </w:r>
    </w:p>
    <w:p w:rsidR="00927E1F" w:rsidRPr="00D50F16" w:rsidRDefault="00927E1F" w:rsidP="00DF2EEF">
      <w:pPr>
        <w:pStyle w:val="ONUME"/>
        <w:numPr>
          <w:ilvl w:val="0"/>
          <w:numId w:val="120"/>
        </w:numPr>
        <w:tabs>
          <w:tab w:val="left" w:pos="567"/>
        </w:tabs>
        <w:ind w:left="0" w:firstLine="0"/>
        <w:jc w:val="both"/>
      </w:pPr>
      <w:r w:rsidRPr="00D50F16">
        <w:t>L’OMPI a déjà pris des mesures variées pour protéger ses informations confidentielles.  Ces mesures comprennent les mécanismes traditionnels de défense périphérique, la sécurité informatique et la gestion des événements, la détection et la prévention des intrusions, entre autres.  Toutefois, compte tenu de la sophistication croissante des menaces, les pratiques recommandées en matière de sécurité informatique mettent désormais aussi l’accent sur la protection directe des sources.</w:t>
      </w:r>
    </w:p>
    <w:p w:rsidR="00927E1F" w:rsidRPr="00D50F16" w:rsidRDefault="00927E1F" w:rsidP="00DF2EEF">
      <w:pPr>
        <w:pStyle w:val="ONUME"/>
        <w:numPr>
          <w:ilvl w:val="0"/>
          <w:numId w:val="120"/>
        </w:numPr>
        <w:tabs>
          <w:tab w:val="left" w:pos="567"/>
        </w:tabs>
        <w:ind w:left="0" w:firstLine="0"/>
        <w:jc w:val="both"/>
      </w:pPr>
      <w:r w:rsidRPr="00D50F16">
        <w:t>Par ailleurs, l’accès à des ressources externes plus économiques est une nécessité dans le monde actuel de la gestion informatique, qui suppose, d’une part, des compétences diversifiées et susceptibles d’évoluer rapidement et, d’autre part, la capacité de mobiliser rapidement des ressources humaines en fonction de l’évolution des priorités opérationnelles.  Cela étant, la diversification des options en matière de sous</w:t>
      </w:r>
      <w:r w:rsidRPr="00D50F16">
        <w:noBreakHyphen/>
        <w:t>traitance accroît la vulnérabilité de l’information.</w:t>
      </w:r>
    </w:p>
    <w:p w:rsidR="00927E1F" w:rsidRPr="00D50F16" w:rsidRDefault="00927E1F" w:rsidP="00DF2EEF">
      <w:pPr>
        <w:pStyle w:val="ONUME"/>
        <w:numPr>
          <w:ilvl w:val="0"/>
          <w:numId w:val="120"/>
        </w:numPr>
        <w:tabs>
          <w:tab w:val="left" w:pos="567"/>
        </w:tabs>
        <w:ind w:left="0" w:firstLine="0"/>
        <w:jc w:val="both"/>
        <w:rPr>
          <w:bCs/>
        </w:rPr>
      </w:pPr>
      <w:r w:rsidRPr="00D50F16">
        <w:t>Les technologies de cryptage des données sont un moyen de relever ces deux défis.  Elles complètent les autres mesures de sécurité informatique en assurant le cryptage des données à la source.  Elles offrent également davantage de souplesse pour le choix de prestataires plus économiques en préservant le contrôle du cryptage tout en permettant aux prestataires extérieurs de remplir leurs fonctions d’appui.</w:t>
      </w:r>
    </w:p>
    <w:p w:rsidR="00927E1F" w:rsidRPr="00D50F16" w:rsidRDefault="00927E1F" w:rsidP="00DF2EEF">
      <w:pPr>
        <w:pStyle w:val="ONUME"/>
        <w:numPr>
          <w:ilvl w:val="0"/>
          <w:numId w:val="120"/>
        </w:numPr>
        <w:tabs>
          <w:tab w:val="left" w:pos="567"/>
        </w:tabs>
        <w:ind w:left="0" w:firstLine="0"/>
        <w:jc w:val="both"/>
      </w:pPr>
      <w:r w:rsidRPr="00D50F16">
        <w:t>La gestion des droits d’accès s’inscrit en complément des investissements consentis par l’Organisation dans les solutions de cryptage des données.  Traditionnellement, la gestion des droits d’accès se concentre sur les systèmes.  En d’autres termes, à l’intérieur d’un système donné, on doit savoir qui a accès à quoi.  Ce mécanisme peut être efficace lorsque le nombre d’utilisateurs et d’applications logicielles est relativement restreint.</w:t>
      </w:r>
    </w:p>
    <w:p w:rsidR="00927E1F" w:rsidRPr="00D50F16" w:rsidRDefault="00927E1F" w:rsidP="00DF2EEF">
      <w:pPr>
        <w:pStyle w:val="ONUME"/>
        <w:numPr>
          <w:ilvl w:val="0"/>
          <w:numId w:val="120"/>
        </w:numPr>
        <w:tabs>
          <w:tab w:val="left" w:pos="567"/>
        </w:tabs>
        <w:ind w:left="0" w:firstLine="0"/>
        <w:jc w:val="both"/>
        <w:rPr>
          <w:iCs/>
        </w:rPr>
      </w:pPr>
      <w:r w:rsidRPr="00D50F16">
        <w:t>Toutefois, alors que l’OMPI continue de renforcer ses services en ligne, le nombre d’utilisateurs devrait augmenter régulièrement dans les années à venir.  Il convient d’investir dans des solutions axant la gestion des droits d’accès sur les utilisateurs.  En d’autres termes, on doit savoir exactement de quels droits d’accès jouit un utilisateur donné dans tout l’éventail des systèmes.</w:t>
      </w:r>
    </w:p>
    <w:p w:rsidR="00927E1F" w:rsidRPr="00D50F16" w:rsidRDefault="00927E1F" w:rsidP="00DF2EEF">
      <w:pPr>
        <w:pStyle w:val="ONUME"/>
        <w:numPr>
          <w:ilvl w:val="0"/>
          <w:numId w:val="120"/>
        </w:numPr>
        <w:tabs>
          <w:tab w:val="left" w:pos="567"/>
        </w:tabs>
        <w:ind w:left="0" w:firstLine="0"/>
        <w:jc w:val="both"/>
        <w:rPr>
          <w:iCs/>
        </w:rPr>
      </w:pPr>
      <w:r w:rsidRPr="00D50F16">
        <w:t>À terme, la technologie pourrait permettre de gérer les droits d’accès en fonction du rôle des utilisateurs dans un système ou une série de systèmes complexes, tels que l’ERP.  Pour l’heure, il est difficile de prévoir quand et comment ces technologies évolueront.  En conséquence, cet aspect n’a pas été pris en considération dans le présent projet.</w:t>
      </w:r>
    </w:p>
    <w:p w:rsidR="00927E1F" w:rsidRPr="00D50F16" w:rsidRDefault="00927E1F" w:rsidP="00927E1F">
      <w:pPr>
        <w:rPr>
          <w:bCs/>
        </w:rPr>
      </w:pPr>
    </w:p>
    <w:p w:rsidR="00927E1F" w:rsidRPr="00D50F16" w:rsidRDefault="00927E1F" w:rsidP="00927E1F">
      <w:pPr>
        <w:keepNext/>
        <w:rPr>
          <w:bCs/>
        </w:rPr>
      </w:pPr>
      <w:r w:rsidRPr="00D50F16">
        <w:lastRenderedPageBreak/>
        <w:t>APERÇU DES PROGRÈS RÉALISÉS EN 2015 (PRINCIPALES ÉTAPES)</w:t>
      </w:r>
    </w:p>
    <w:p w:rsidR="00927E1F" w:rsidRPr="00D50F16" w:rsidRDefault="00927E1F" w:rsidP="00927E1F">
      <w:pPr>
        <w:keepNext/>
        <w:rPr>
          <w:bCs/>
        </w:rPr>
      </w:pPr>
    </w:p>
    <w:p w:rsidR="00927E1F" w:rsidRPr="00D50F16" w:rsidRDefault="00927E1F" w:rsidP="00DF2EEF">
      <w:pPr>
        <w:pStyle w:val="ONUME"/>
        <w:numPr>
          <w:ilvl w:val="0"/>
          <w:numId w:val="120"/>
        </w:numPr>
        <w:tabs>
          <w:tab w:val="left" w:pos="567"/>
        </w:tabs>
        <w:spacing w:after="0"/>
        <w:ind w:left="0" w:firstLine="0"/>
        <w:jc w:val="both"/>
        <w:rPr>
          <w:bCs/>
        </w:rPr>
      </w:pPr>
      <w:r w:rsidRPr="00D50F16">
        <w:rPr>
          <w:bCs/>
        </w:rPr>
        <w:t>En 2015, les progrès réalisés concernant ce projet étaient modestes, du fait des exigences opérationnelles de la section de la sécurité informatique et de la mise en place, au mois de février, d’une Division de la sécurité et de l’assurance informatique distincte.  Sous la conduite du Directeur de la sécurité dont le poste a été créé, un processus de sélection a été lancé à la mi</w:t>
      </w:r>
      <w:r w:rsidRPr="00D50F16">
        <w:rPr>
          <w:bCs/>
        </w:rPr>
        <w:noBreakHyphen/>
        <w:t>2015 en vue de recruter un expert indépendant pour réaliser une étude sur l’état actuel du cryptage et de la gestion des utilisateurs (gestion de l’identité et des accès), pour apporter une solution sous la forme d’une architecture de référence, et pour élaborer une feuille de route concernant la mise en œuvre des processus et des solutions techniques.  L’évaluation a débuté en novembre 2015</w:t>
      </w:r>
      <w:r w:rsidRPr="00D50F16">
        <w:t>.</w:t>
      </w:r>
      <w:r w:rsidRPr="00D50F16">
        <w:rPr>
          <w:bCs/>
        </w:rPr>
        <w:t xml:space="preserve"> </w:t>
      </w:r>
      <w:r w:rsidRPr="00D50F16">
        <w:t xml:space="preserve"> </w:t>
      </w:r>
      <w:r w:rsidRPr="00D50F16">
        <w:rPr>
          <w:bCs/>
        </w:rPr>
        <w:t>La première étape devrait être achevée à la mi</w:t>
      </w:r>
      <w:r w:rsidRPr="00D50F16">
        <w:rPr>
          <w:bCs/>
        </w:rPr>
        <w:noBreakHyphen/>
        <w:t>2016, fournissant la base requise afin de donner plus de détails quant à la mise en œuvre du projet.</w:t>
      </w:r>
    </w:p>
    <w:p w:rsidR="00927E1F" w:rsidRPr="00D50F16" w:rsidRDefault="00927E1F" w:rsidP="00927E1F">
      <w:pPr>
        <w:jc w:val="both"/>
        <w:rPr>
          <w:bCs/>
        </w:rPr>
      </w:pPr>
    </w:p>
    <w:p w:rsidR="00927E1F" w:rsidRPr="00D50F16" w:rsidRDefault="00927E1F" w:rsidP="00DF2EEF">
      <w:pPr>
        <w:pStyle w:val="ONUME"/>
        <w:numPr>
          <w:ilvl w:val="0"/>
          <w:numId w:val="120"/>
        </w:numPr>
        <w:tabs>
          <w:tab w:val="left" w:pos="567"/>
        </w:tabs>
        <w:spacing w:after="0"/>
        <w:ind w:left="0" w:firstLine="0"/>
        <w:jc w:val="both"/>
        <w:rPr>
          <w:bCs/>
        </w:rPr>
      </w:pPr>
      <w:r w:rsidRPr="00D50F16">
        <w:rPr>
          <w:bCs/>
        </w:rPr>
        <w:t>En raison des mesures supplémentaires prises par précaution, notamment du processus d’approbation interne plus strict, le processus de sélection d’un expert indépendant a pris plus de temps que prévu, ce qui a donné lieu à des retards dans le calendrier du projet.  Celui</w:t>
      </w:r>
      <w:r w:rsidRPr="00D50F16">
        <w:rPr>
          <w:bCs/>
        </w:rPr>
        <w:noBreakHyphen/>
        <w:t>ci a été mis à jour en tenant compte de ce contretemps.</w:t>
      </w:r>
    </w:p>
    <w:p w:rsidR="00927E1F" w:rsidRPr="00D50F16" w:rsidRDefault="00927E1F" w:rsidP="00E82DE1">
      <w:pPr>
        <w:rPr>
          <w:bCs/>
          <w:szCs w:val="22"/>
        </w:rPr>
      </w:pPr>
    </w:p>
    <w:p w:rsidR="00927E1F" w:rsidRPr="00D50F16" w:rsidRDefault="00927E1F" w:rsidP="00927E1F">
      <w:pPr>
        <w:jc w:val="both"/>
        <w:rPr>
          <w:bCs/>
        </w:rPr>
      </w:pPr>
    </w:p>
    <w:p w:rsidR="00927E1F" w:rsidRPr="00D50F16" w:rsidRDefault="00927E1F" w:rsidP="00927E1F">
      <w:r w:rsidRPr="00D50F16">
        <w:t>CONCRÉTISATION DES AVANTAGES</w:t>
      </w:r>
    </w:p>
    <w:p w:rsidR="00927E1F" w:rsidRPr="00D50F16" w:rsidRDefault="00927E1F" w:rsidP="00927E1F">
      <w:pPr>
        <w:jc w:val="both"/>
        <w:rPr>
          <w:bCs/>
        </w:rPr>
      </w:pPr>
    </w:p>
    <w:tbl>
      <w:tblPr>
        <w:tblW w:w="3693" w:type="pct"/>
        <w:jc w:val="center"/>
        <w:tblInd w:w="-2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69"/>
      </w:tblGrid>
      <w:tr w:rsidR="00927E1F" w:rsidRPr="00D50F16" w:rsidTr="00927E1F">
        <w:trPr>
          <w:trHeight w:val="535"/>
          <w:tblHeader/>
          <w:jc w:val="center"/>
        </w:trPr>
        <w:tc>
          <w:tcPr>
            <w:tcW w:w="5000" w:type="pct"/>
            <w:shd w:val="clear" w:color="auto" w:fill="C6D9F1" w:themeFill="text2" w:themeFillTint="33"/>
            <w:vAlign w:val="center"/>
          </w:tcPr>
          <w:p w:rsidR="00927E1F" w:rsidRPr="00D50F16" w:rsidRDefault="00927E1F" w:rsidP="00927E1F">
            <w:pPr>
              <w:jc w:val="center"/>
              <w:rPr>
                <w:b/>
                <w:bCs/>
                <w:sz w:val="16"/>
                <w:szCs w:val="16"/>
              </w:rPr>
            </w:pPr>
            <w:r w:rsidRPr="00D50F16">
              <w:rPr>
                <w:b/>
                <w:bCs/>
                <w:sz w:val="16"/>
                <w:szCs w:val="16"/>
              </w:rPr>
              <w:t>Avantages escomptés en 2017</w:t>
            </w:r>
          </w:p>
        </w:tc>
      </w:tr>
      <w:tr w:rsidR="00927E1F" w:rsidRPr="00D50F16" w:rsidTr="00927E1F">
        <w:trPr>
          <w:trHeight w:val="564"/>
          <w:jc w:val="center"/>
        </w:trPr>
        <w:tc>
          <w:tcPr>
            <w:tcW w:w="5000" w:type="pct"/>
            <w:shd w:val="clear" w:color="auto" w:fill="auto"/>
          </w:tcPr>
          <w:p w:rsidR="00927E1F" w:rsidRPr="00D50F16" w:rsidRDefault="00927E1F" w:rsidP="00927E1F">
            <w:pPr>
              <w:rPr>
                <w:bCs/>
                <w:iCs/>
                <w:sz w:val="16"/>
                <w:szCs w:val="16"/>
              </w:rPr>
            </w:pPr>
          </w:p>
          <w:p w:rsidR="00927E1F" w:rsidRPr="00D50F16" w:rsidRDefault="00927E1F" w:rsidP="00927E1F">
            <w:pPr>
              <w:rPr>
                <w:bCs/>
                <w:iCs/>
                <w:sz w:val="16"/>
                <w:szCs w:val="16"/>
              </w:rPr>
            </w:pPr>
            <w:r w:rsidRPr="00D50F16">
              <w:rPr>
                <w:bCs/>
                <w:iCs/>
                <w:sz w:val="16"/>
                <w:szCs w:val="16"/>
              </w:rPr>
              <w:t>La</w:t>
            </w:r>
            <w:r w:rsidRPr="00D50F16">
              <w:rPr>
                <w:sz w:val="16"/>
              </w:rPr>
              <w:t xml:space="preserve"> </w:t>
            </w:r>
            <w:r w:rsidRPr="00D50F16">
              <w:rPr>
                <w:bCs/>
                <w:iCs/>
                <w:sz w:val="16"/>
                <w:szCs w:val="16"/>
              </w:rPr>
              <w:t>mise en œuvre des solutions en termes d’architecture, de processus et de techniques visant à améliorer la gestion de l’identité et des accès ainsi que le cryptage donneront lieu à </w:t>
            </w:r>
            <w:r w:rsidRPr="00D50F16">
              <w:rPr>
                <w:sz w:val="16"/>
              </w:rPr>
              <w:t>:</w:t>
            </w:r>
          </w:p>
          <w:p w:rsidR="00927E1F" w:rsidRPr="00D50F16" w:rsidRDefault="00927E1F" w:rsidP="00927E1F">
            <w:pPr>
              <w:rPr>
                <w:bCs/>
                <w:iCs/>
                <w:sz w:val="16"/>
                <w:szCs w:val="16"/>
              </w:rPr>
            </w:pPr>
          </w:p>
          <w:p w:rsidR="00927E1F" w:rsidRPr="00D50F16" w:rsidRDefault="00927E1F" w:rsidP="00DF2EEF">
            <w:pPr>
              <w:pStyle w:val="ListParagraph"/>
              <w:numPr>
                <w:ilvl w:val="0"/>
                <w:numId w:val="127"/>
              </w:numPr>
              <w:rPr>
                <w:bCs/>
                <w:iCs/>
                <w:sz w:val="16"/>
                <w:szCs w:val="16"/>
              </w:rPr>
            </w:pPr>
            <w:r w:rsidRPr="00D50F16">
              <w:rPr>
                <w:bCs/>
                <w:iCs/>
                <w:sz w:val="16"/>
                <w:szCs w:val="16"/>
              </w:rPr>
              <w:t>la normalisation et la réutilisation du cryptage et de l’architecture de référence en matière de sécurité pour la gestion de l’identité et des accès dans les systèmes et applications essentiels de l’OMPI</w:t>
            </w:r>
            <w:r w:rsidRPr="00D50F16">
              <w:rPr>
                <w:sz w:val="16"/>
              </w:rPr>
              <w:t xml:space="preserve">;  </w:t>
            </w:r>
            <w:r w:rsidRPr="00D50F16">
              <w:rPr>
                <w:bCs/>
                <w:iCs/>
                <w:sz w:val="16"/>
                <w:szCs w:val="16"/>
              </w:rPr>
              <w:t>et</w:t>
            </w:r>
          </w:p>
          <w:p w:rsidR="00927E1F" w:rsidRPr="00D50F16" w:rsidRDefault="00927E1F" w:rsidP="00DF2EEF">
            <w:pPr>
              <w:pStyle w:val="ListParagraph"/>
              <w:numPr>
                <w:ilvl w:val="0"/>
                <w:numId w:val="127"/>
              </w:numPr>
              <w:rPr>
                <w:bCs/>
                <w:iCs/>
                <w:sz w:val="16"/>
                <w:szCs w:val="16"/>
              </w:rPr>
            </w:pPr>
            <w:r w:rsidRPr="00D50F16">
              <w:rPr>
                <w:bCs/>
                <w:iCs/>
                <w:sz w:val="16"/>
                <w:szCs w:val="16"/>
              </w:rPr>
              <w:t>l’amélioration de la protection des informations sensibles contre l’accès ou la diffusion non autorisés</w:t>
            </w:r>
            <w:r w:rsidRPr="00D50F16">
              <w:rPr>
                <w:sz w:val="16"/>
              </w:rPr>
              <w:t xml:space="preserve">. </w:t>
            </w:r>
            <w:r w:rsidRPr="00D50F16">
              <w:rPr>
                <w:bCs/>
                <w:iCs/>
                <w:sz w:val="16"/>
                <w:szCs w:val="16"/>
              </w:rPr>
              <w:t xml:space="preserve"> </w:t>
            </w:r>
          </w:p>
        </w:tc>
      </w:tr>
    </w:tbl>
    <w:p w:rsidR="00927E1F" w:rsidRPr="00D50F16" w:rsidRDefault="00927E1F" w:rsidP="00927E1F">
      <w:pPr>
        <w:jc w:val="both"/>
        <w:rPr>
          <w:bCs/>
        </w:rPr>
      </w:pPr>
    </w:p>
    <w:p w:rsidR="00927E1F" w:rsidRPr="00D50F16" w:rsidRDefault="00927E1F" w:rsidP="00927E1F">
      <w:pPr>
        <w:jc w:val="both"/>
        <w:rPr>
          <w:bCs/>
        </w:rPr>
      </w:pPr>
    </w:p>
    <w:p w:rsidR="00927E1F" w:rsidRPr="00D50F16" w:rsidRDefault="00927E1F" w:rsidP="00927E1F">
      <w:r w:rsidRPr="00D50F16">
        <w:t>UTILISATION DES RESSOURCES</w:t>
      </w:r>
      <w:r w:rsidRPr="00D50F16">
        <w:rPr>
          <w:rStyle w:val="FootnoteReference"/>
          <w:rFonts w:eastAsia="SimSun"/>
        </w:rPr>
        <w:footnoteReference w:id="172"/>
      </w:r>
    </w:p>
    <w:p w:rsidR="00927E1F" w:rsidRPr="00D50F16" w:rsidRDefault="00927E1F" w:rsidP="00927E1F"/>
    <w:p w:rsidR="00927E1F" w:rsidRPr="00D50F16" w:rsidRDefault="00927E1F" w:rsidP="00927E1F">
      <w:pPr>
        <w:keepNext/>
        <w:keepLines/>
        <w:tabs>
          <w:tab w:val="left" w:pos="3261"/>
        </w:tabs>
        <w:autoSpaceDE w:val="0"/>
        <w:autoSpaceDN w:val="0"/>
        <w:adjustRightInd w:val="0"/>
        <w:jc w:val="center"/>
        <w:rPr>
          <w:b/>
        </w:rPr>
      </w:pPr>
      <w:r w:rsidRPr="00D50F16">
        <w:rPr>
          <w:b/>
        </w:rPr>
        <w:t>Utilisation du budget du projet</w:t>
      </w:r>
    </w:p>
    <w:p w:rsidR="00927E1F" w:rsidRPr="00D50F16" w:rsidRDefault="00927E1F" w:rsidP="00927E1F">
      <w:pPr>
        <w:keepNext/>
        <w:keepLines/>
        <w:tabs>
          <w:tab w:val="left" w:pos="3261"/>
        </w:tabs>
        <w:autoSpaceDE w:val="0"/>
        <w:autoSpaceDN w:val="0"/>
        <w:adjustRightInd w:val="0"/>
        <w:jc w:val="center"/>
        <w:rPr>
          <w:i/>
          <w:iCs/>
          <w:sz w:val="18"/>
          <w:szCs w:val="18"/>
        </w:rPr>
      </w:pPr>
      <w:r w:rsidRPr="00D50F16">
        <w:rPr>
          <w:i/>
          <w:sz w:val="18"/>
        </w:rPr>
        <w:t>(</w:t>
      </w:r>
      <w:proofErr w:type="gramStart"/>
      <w:r w:rsidRPr="00D50F16">
        <w:rPr>
          <w:i/>
          <w:sz w:val="18"/>
        </w:rPr>
        <w:t>en</w:t>
      </w:r>
      <w:proofErr w:type="gramEnd"/>
      <w:r w:rsidRPr="00D50F16">
        <w:rPr>
          <w:i/>
          <w:sz w:val="18"/>
        </w:rPr>
        <w:t xml:space="preserve"> francs suisses, au 31 décembre 2015)</w:t>
      </w:r>
    </w:p>
    <w:p w:rsidR="00927E1F" w:rsidRPr="00D50F16" w:rsidRDefault="00927E1F" w:rsidP="00927E1F">
      <w:pPr>
        <w:rPr>
          <w:sz w:val="22"/>
          <w:szCs w:val="22"/>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927E1F" w:rsidRPr="00D50F16" w:rsidTr="00927E1F">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D50F16" w:rsidRDefault="00927E1F" w:rsidP="00927E1F">
            <w:pPr>
              <w:keepNext/>
              <w:keepLines/>
              <w:autoSpaceDE w:val="0"/>
              <w:autoSpaceDN w:val="0"/>
              <w:adjustRightInd w:val="0"/>
              <w:spacing w:before="40" w:after="40"/>
              <w:ind w:left="-74" w:right="-60"/>
              <w:jc w:val="center"/>
              <w:rPr>
                <w:b/>
                <w:bCs/>
                <w:sz w:val="16"/>
                <w:szCs w:val="16"/>
              </w:rPr>
            </w:pPr>
            <w:r w:rsidRPr="00D50F16">
              <w:rPr>
                <w:b/>
                <w:sz w:val="16"/>
              </w:rPr>
              <w:t>Nom du projet</w:t>
            </w:r>
          </w:p>
        </w:tc>
        <w:tc>
          <w:tcPr>
            <w:tcW w:w="850"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D50F16" w:rsidRDefault="00927E1F" w:rsidP="00927E1F">
            <w:pPr>
              <w:keepNext/>
              <w:keepLines/>
              <w:autoSpaceDE w:val="0"/>
              <w:autoSpaceDN w:val="0"/>
              <w:adjustRightInd w:val="0"/>
              <w:spacing w:before="40" w:after="40"/>
              <w:ind w:left="-107" w:right="-108"/>
              <w:jc w:val="center"/>
              <w:rPr>
                <w:b/>
                <w:bCs/>
                <w:sz w:val="16"/>
                <w:szCs w:val="16"/>
              </w:rPr>
            </w:pPr>
            <w:r w:rsidRPr="00D50F16">
              <w:rPr>
                <w:b/>
                <w:sz w:val="16"/>
              </w:rPr>
              <w:t>Budget du projet</w:t>
            </w:r>
          </w:p>
        </w:tc>
        <w:tc>
          <w:tcPr>
            <w:tcW w:w="851"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D50F16" w:rsidRDefault="00927E1F" w:rsidP="00927E1F">
            <w:pPr>
              <w:keepNext/>
              <w:keepLines/>
              <w:autoSpaceDE w:val="0"/>
              <w:autoSpaceDN w:val="0"/>
              <w:adjustRightInd w:val="0"/>
              <w:spacing w:before="40" w:after="40"/>
              <w:ind w:left="-108" w:right="-106"/>
              <w:jc w:val="center"/>
              <w:rPr>
                <w:b/>
                <w:bCs/>
                <w:sz w:val="16"/>
                <w:szCs w:val="16"/>
              </w:rPr>
            </w:pPr>
            <w:r w:rsidRPr="00D50F16">
              <w:rPr>
                <w:b/>
                <w:sz w:val="16"/>
              </w:rPr>
              <w:t>Dépenses effectives à ce jour</w:t>
            </w:r>
          </w:p>
        </w:tc>
        <w:tc>
          <w:tcPr>
            <w:tcW w:w="851"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D50F16" w:rsidRDefault="00927E1F" w:rsidP="00927E1F">
            <w:pPr>
              <w:keepNext/>
              <w:keepLines/>
              <w:autoSpaceDE w:val="0"/>
              <w:autoSpaceDN w:val="0"/>
              <w:adjustRightInd w:val="0"/>
              <w:spacing w:before="40" w:after="40"/>
              <w:ind w:left="-109" w:right="-108"/>
              <w:jc w:val="center"/>
              <w:rPr>
                <w:b/>
                <w:bCs/>
                <w:sz w:val="16"/>
                <w:szCs w:val="16"/>
              </w:rPr>
            </w:pPr>
            <w:r w:rsidRPr="00D50F16">
              <w:rPr>
                <w:b/>
                <w:sz w:val="16"/>
              </w:rPr>
              <w:t>Utilisation effective du budget</w:t>
            </w:r>
          </w:p>
        </w:tc>
        <w:tc>
          <w:tcPr>
            <w:tcW w:w="850"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D50F16" w:rsidRDefault="00927E1F" w:rsidP="00927E1F">
            <w:pPr>
              <w:keepNext/>
              <w:keepLines/>
              <w:autoSpaceDE w:val="0"/>
              <w:autoSpaceDN w:val="0"/>
              <w:adjustRightInd w:val="0"/>
              <w:spacing w:before="40" w:after="40"/>
              <w:ind w:left="-109" w:right="-73" w:firstLine="1"/>
              <w:jc w:val="center"/>
              <w:rPr>
                <w:b/>
                <w:bCs/>
                <w:sz w:val="16"/>
                <w:szCs w:val="16"/>
              </w:rPr>
            </w:pPr>
            <w:r w:rsidRPr="00D50F16">
              <w:rPr>
                <w:b/>
                <w:sz w:val="16"/>
              </w:rPr>
              <w:t>Taux d’avancement de la mise en œuvre du projet</w:t>
            </w:r>
          </w:p>
        </w:tc>
      </w:tr>
      <w:tr w:rsidR="00927E1F" w:rsidRPr="00D50F16" w:rsidTr="00927E1F">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rPr>
                <w:sz w:val="16"/>
                <w:szCs w:val="16"/>
              </w:rPr>
            </w:pPr>
            <w:r w:rsidRPr="00D50F16">
              <w:rPr>
                <w:sz w:val="16"/>
              </w:rPr>
              <w:t>Renforcement de la sécurité : cryptage des données et gestion des utilisateurs</w:t>
            </w:r>
          </w:p>
        </w:tc>
        <w:tc>
          <w:tcPr>
            <w:tcW w:w="850"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jc w:val="center"/>
              <w:rPr>
                <w:sz w:val="16"/>
                <w:szCs w:val="16"/>
              </w:rPr>
            </w:pPr>
            <w:r w:rsidRPr="00D50F16">
              <w:rPr>
                <w:sz w:val="16"/>
              </w:rPr>
              <w:t>700 000</w:t>
            </w:r>
          </w:p>
        </w:tc>
        <w:tc>
          <w:tcPr>
            <w:tcW w:w="851"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jc w:val="center"/>
              <w:rPr>
                <w:sz w:val="16"/>
                <w:szCs w:val="16"/>
              </w:rPr>
            </w:pPr>
            <w:r w:rsidRPr="00D50F16">
              <w:rPr>
                <w:sz w:val="16"/>
              </w:rPr>
              <w:t>0</w:t>
            </w:r>
          </w:p>
        </w:tc>
        <w:tc>
          <w:tcPr>
            <w:tcW w:w="851"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jc w:val="center"/>
              <w:rPr>
                <w:sz w:val="16"/>
                <w:szCs w:val="16"/>
              </w:rPr>
            </w:pPr>
            <w:r w:rsidRPr="00D50F16">
              <w:rPr>
                <w:sz w:val="16"/>
              </w:rPr>
              <w:t>0%</w:t>
            </w:r>
          </w:p>
        </w:tc>
        <w:tc>
          <w:tcPr>
            <w:tcW w:w="850"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jc w:val="center"/>
              <w:rPr>
                <w:sz w:val="16"/>
                <w:szCs w:val="16"/>
              </w:rPr>
            </w:pPr>
            <w:r w:rsidRPr="00D50F16">
              <w:rPr>
                <w:sz w:val="16"/>
              </w:rPr>
              <w:t>15%</w:t>
            </w:r>
          </w:p>
        </w:tc>
      </w:tr>
    </w:tbl>
    <w:p w:rsidR="00927E1F" w:rsidRPr="00D50F16" w:rsidRDefault="00927E1F" w:rsidP="00927E1F">
      <w:pPr>
        <w:keepNext/>
        <w:autoSpaceDE w:val="0"/>
        <w:autoSpaceDN w:val="0"/>
        <w:rPr>
          <w:sz w:val="16"/>
          <w:szCs w:val="16"/>
        </w:rPr>
      </w:pPr>
    </w:p>
    <w:p w:rsidR="00927E1F" w:rsidRPr="00D50F16" w:rsidRDefault="00927E1F" w:rsidP="00927E1F">
      <w:pPr>
        <w:keepNext/>
        <w:keepLines/>
        <w:tabs>
          <w:tab w:val="left" w:pos="3261"/>
        </w:tabs>
        <w:autoSpaceDE w:val="0"/>
        <w:autoSpaceDN w:val="0"/>
        <w:adjustRightInd w:val="0"/>
        <w:jc w:val="center"/>
        <w:rPr>
          <w:b/>
          <w:szCs w:val="22"/>
        </w:rPr>
      </w:pPr>
    </w:p>
    <w:p w:rsidR="00927E1F" w:rsidRPr="00D50F16" w:rsidRDefault="00927E1F" w:rsidP="00927E1F">
      <w:pPr>
        <w:keepNext/>
        <w:keepLines/>
        <w:tabs>
          <w:tab w:val="left" w:pos="3261"/>
        </w:tabs>
        <w:autoSpaceDE w:val="0"/>
        <w:autoSpaceDN w:val="0"/>
        <w:adjustRightInd w:val="0"/>
        <w:jc w:val="center"/>
        <w:rPr>
          <w:b/>
          <w:szCs w:val="22"/>
        </w:rPr>
      </w:pPr>
    </w:p>
    <w:p w:rsidR="00927E1F" w:rsidRPr="00D50F16" w:rsidRDefault="00927E1F" w:rsidP="00927E1F">
      <w:pPr>
        <w:rPr>
          <w:b/>
        </w:rPr>
      </w:pPr>
      <w:r w:rsidRPr="00D50F16">
        <w:rPr>
          <w:b/>
        </w:rPr>
        <w:br w:type="page"/>
      </w:r>
    </w:p>
    <w:p w:rsidR="00927E1F" w:rsidRPr="00D50F16" w:rsidRDefault="00927E1F" w:rsidP="00927E1F">
      <w:pPr>
        <w:keepNext/>
        <w:keepLines/>
        <w:tabs>
          <w:tab w:val="left" w:pos="3261"/>
        </w:tabs>
        <w:autoSpaceDE w:val="0"/>
        <w:autoSpaceDN w:val="0"/>
        <w:adjustRightInd w:val="0"/>
        <w:jc w:val="center"/>
        <w:rPr>
          <w:b/>
          <w:szCs w:val="22"/>
        </w:rPr>
      </w:pPr>
      <w:r w:rsidRPr="00D50F16">
        <w:rPr>
          <w:b/>
        </w:rPr>
        <w:lastRenderedPageBreak/>
        <w:t>Utilisation du budget du projet (par étape)</w:t>
      </w:r>
    </w:p>
    <w:p w:rsidR="00927E1F" w:rsidRPr="00D50F16" w:rsidRDefault="00927E1F" w:rsidP="00927E1F">
      <w:pPr>
        <w:keepNext/>
        <w:keepLines/>
        <w:tabs>
          <w:tab w:val="left" w:pos="3261"/>
        </w:tabs>
        <w:autoSpaceDE w:val="0"/>
        <w:autoSpaceDN w:val="0"/>
        <w:adjustRightInd w:val="0"/>
        <w:jc w:val="center"/>
        <w:rPr>
          <w:i/>
          <w:sz w:val="18"/>
        </w:rPr>
      </w:pPr>
      <w:r w:rsidRPr="00D50F16">
        <w:rPr>
          <w:i/>
          <w:sz w:val="18"/>
        </w:rPr>
        <w:t>(</w:t>
      </w:r>
      <w:proofErr w:type="gramStart"/>
      <w:r w:rsidRPr="00D50F16">
        <w:rPr>
          <w:i/>
          <w:sz w:val="18"/>
        </w:rPr>
        <w:t>en</w:t>
      </w:r>
      <w:proofErr w:type="gramEnd"/>
      <w:r w:rsidRPr="00D50F16">
        <w:rPr>
          <w:i/>
          <w:sz w:val="18"/>
        </w:rPr>
        <w:t xml:space="preserve"> francs suisses, au 31 décembre 2015)</w:t>
      </w:r>
    </w:p>
    <w:p w:rsidR="00927E1F" w:rsidRPr="00D50F16" w:rsidRDefault="00927E1F" w:rsidP="00927E1F">
      <w:pPr>
        <w:keepNext/>
        <w:keepLines/>
        <w:tabs>
          <w:tab w:val="left" w:pos="3261"/>
        </w:tabs>
        <w:autoSpaceDE w:val="0"/>
        <w:autoSpaceDN w:val="0"/>
        <w:adjustRightInd w:val="0"/>
        <w:jc w:val="center"/>
        <w:rPr>
          <w:i/>
          <w:iCs/>
          <w:sz w:val="18"/>
          <w:szCs w:val="18"/>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4"/>
        <w:gridCol w:w="1389"/>
        <w:gridCol w:w="1575"/>
        <w:gridCol w:w="1575"/>
        <w:gridCol w:w="1575"/>
      </w:tblGrid>
      <w:tr w:rsidR="00927E1F" w:rsidRPr="00D50F16" w:rsidTr="00927E1F">
        <w:trPr>
          <w:trHeight w:val="410"/>
        </w:trPr>
        <w:tc>
          <w:tcPr>
            <w:tcW w:w="167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D50F16" w:rsidRDefault="00927E1F" w:rsidP="00927E1F">
            <w:pPr>
              <w:keepNext/>
              <w:keepLines/>
              <w:autoSpaceDE w:val="0"/>
              <w:autoSpaceDN w:val="0"/>
              <w:adjustRightInd w:val="0"/>
              <w:spacing w:before="40" w:after="40"/>
              <w:ind w:left="-74" w:right="-60"/>
              <w:jc w:val="center"/>
              <w:rPr>
                <w:b/>
                <w:bCs/>
                <w:sz w:val="16"/>
                <w:szCs w:val="16"/>
              </w:rPr>
            </w:pPr>
            <w:r w:rsidRPr="00D50F16">
              <w:rPr>
                <w:b/>
                <w:sz w:val="16"/>
              </w:rPr>
              <w:t>Nom du projet</w:t>
            </w:r>
          </w:p>
        </w:tc>
        <w:tc>
          <w:tcPr>
            <w:tcW w:w="75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D50F16" w:rsidRDefault="00927E1F" w:rsidP="00927E1F">
            <w:pPr>
              <w:keepNext/>
              <w:keepLines/>
              <w:autoSpaceDE w:val="0"/>
              <w:autoSpaceDN w:val="0"/>
              <w:adjustRightInd w:val="0"/>
              <w:spacing w:before="40" w:after="40"/>
              <w:ind w:left="-107" w:right="-108"/>
              <w:jc w:val="center"/>
              <w:rPr>
                <w:b/>
                <w:bCs/>
                <w:sz w:val="16"/>
                <w:szCs w:val="16"/>
              </w:rPr>
            </w:pPr>
            <w:r w:rsidRPr="00D50F16">
              <w:rPr>
                <w:b/>
                <w:sz w:val="16"/>
              </w:rPr>
              <w:t>Budget du projet</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D50F16" w:rsidRDefault="00927E1F" w:rsidP="00927E1F">
            <w:pPr>
              <w:keepNext/>
              <w:keepLines/>
              <w:autoSpaceDE w:val="0"/>
              <w:autoSpaceDN w:val="0"/>
              <w:adjustRightInd w:val="0"/>
              <w:spacing w:before="40" w:after="40"/>
              <w:ind w:left="-108" w:right="-106"/>
              <w:jc w:val="center"/>
              <w:rPr>
                <w:b/>
                <w:bCs/>
                <w:sz w:val="16"/>
                <w:szCs w:val="16"/>
              </w:rPr>
            </w:pPr>
            <w:r w:rsidRPr="00D50F16">
              <w:rPr>
                <w:b/>
                <w:sz w:val="16"/>
              </w:rPr>
              <w:t>Dépenses effectives à ce jour</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D50F16" w:rsidRDefault="00927E1F" w:rsidP="00927E1F">
            <w:pPr>
              <w:keepNext/>
              <w:keepLines/>
              <w:autoSpaceDE w:val="0"/>
              <w:autoSpaceDN w:val="0"/>
              <w:adjustRightInd w:val="0"/>
              <w:spacing w:before="40" w:after="40"/>
              <w:ind w:left="-109" w:right="-108"/>
              <w:jc w:val="center"/>
              <w:rPr>
                <w:b/>
                <w:bCs/>
                <w:sz w:val="16"/>
                <w:szCs w:val="16"/>
              </w:rPr>
            </w:pPr>
            <w:r w:rsidRPr="00D50F16">
              <w:rPr>
                <w:b/>
                <w:sz w:val="16"/>
              </w:rPr>
              <w:t>Utilisation effective du budget</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D50F16" w:rsidRDefault="00927E1F" w:rsidP="00927E1F">
            <w:pPr>
              <w:keepNext/>
              <w:keepLines/>
              <w:autoSpaceDE w:val="0"/>
              <w:autoSpaceDN w:val="0"/>
              <w:adjustRightInd w:val="0"/>
              <w:spacing w:before="40" w:after="40"/>
              <w:ind w:left="-109" w:right="-73" w:firstLine="1"/>
              <w:jc w:val="center"/>
              <w:rPr>
                <w:b/>
                <w:bCs/>
                <w:sz w:val="16"/>
                <w:szCs w:val="16"/>
              </w:rPr>
            </w:pPr>
            <w:r w:rsidRPr="00D50F16">
              <w:rPr>
                <w:b/>
                <w:sz w:val="16"/>
              </w:rPr>
              <w:t>Taux d’avancement de la mise en œuvre du projet</w:t>
            </w:r>
          </w:p>
        </w:tc>
      </w:tr>
      <w:tr w:rsidR="00927E1F" w:rsidRPr="00D50F16" w:rsidTr="00927E1F">
        <w:trPr>
          <w:trHeight w:val="389"/>
        </w:trPr>
        <w:tc>
          <w:tcPr>
            <w:tcW w:w="1676"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rPr>
                <w:sz w:val="16"/>
                <w:szCs w:val="16"/>
              </w:rPr>
            </w:pPr>
            <w:r w:rsidRPr="00D50F16">
              <w:rPr>
                <w:sz w:val="16"/>
                <w:szCs w:val="16"/>
              </w:rPr>
              <w:t>Évaluation de l’état actuel et mise au point d’</w:t>
            </w:r>
            <w:r w:rsidRPr="00D50F16">
              <w:rPr>
                <w:bCs/>
                <w:sz w:val="16"/>
                <w:szCs w:val="16"/>
              </w:rPr>
              <w:t>une solution sous la forme d’une architecture de référence</w:t>
            </w:r>
            <w:r w:rsidRPr="00D50F16">
              <w:rPr>
                <w:sz w:val="16"/>
                <w:szCs w:val="16"/>
              </w:rPr>
              <w:t xml:space="preserve"> et d’une feuille de route pour la mise en œuvre</w:t>
            </w:r>
          </w:p>
        </w:tc>
        <w:tc>
          <w:tcPr>
            <w:tcW w:w="755"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jc w:val="center"/>
              <w:rPr>
                <w:sz w:val="16"/>
                <w:szCs w:val="16"/>
              </w:rPr>
            </w:pPr>
            <w:r w:rsidRPr="00D50F16">
              <w:rPr>
                <w:sz w:val="16"/>
                <w:szCs w:val="16"/>
              </w:rPr>
              <w:t>130 000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jc w:val="center"/>
              <w:rPr>
                <w:sz w:val="16"/>
                <w:szCs w:val="16"/>
              </w:rPr>
            </w:pPr>
            <w:r w:rsidRPr="00D50F16">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jc w:val="center"/>
              <w:rPr>
                <w:sz w:val="16"/>
                <w:szCs w:val="16"/>
              </w:rPr>
            </w:pPr>
            <w:r w:rsidRPr="00D50F16">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jc w:val="center"/>
              <w:rPr>
                <w:sz w:val="16"/>
                <w:szCs w:val="16"/>
              </w:rPr>
            </w:pPr>
            <w:r w:rsidRPr="00D50F16">
              <w:rPr>
                <w:sz w:val="16"/>
                <w:szCs w:val="16"/>
              </w:rPr>
              <w:t>30%</w:t>
            </w:r>
          </w:p>
        </w:tc>
      </w:tr>
      <w:tr w:rsidR="00927E1F" w:rsidRPr="00D50F16" w:rsidTr="00927E1F">
        <w:trPr>
          <w:trHeight w:val="389"/>
        </w:trPr>
        <w:tc>
          <w:tcPr>
            <w:tcW w:w="1676"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rPr>
                <w:sz w:val="16"/>
                <w:szCs w:val="16"/>
              </w:rPr>
            </w:pPr>
            <w:r w:rsidRPr="00D50F16">
              <w:rPr>
                <w:sz w:val="16"/>
                <w:szCs w:val="16"/>
              </w:rPr>
              <w:t>Mise en œuvre par ordre de priorité d’une feuille de route pour</w:t>
            </w:r>
            <w:r w:rsidRPr="00D50F16">
              <w:rPr>
                <w:bCs/>
                <w:iCs/>
                <w:sz w:val="16"/>
                <w:szCs w:val="16"/>
              </w:rPr>
              <w:t xml:space="preserve"> les capacités en termes de gestion de l’identité et des accès et de cryptage,</w:t>
            </w:r>
            <w:r w:rsidRPr="00D50F16">
              <w:rPr>
                <w:sz w:val="16"/>
                <w:szCs w:val="16"/>
              </w:rPr>
              <w:t xml:space="preserve"> et cas d’utilisation</w:t>
            </w:r>
          </w:p>
        </w:tc>
        <w:tc>
          <w:tcPr>
            <w:tcW w:w="755"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jc w:val="center"/>
              <w:rPr>
                <w:sz w:val="16"/>
                <w:szCs w:val="16"/>
              </w:rPr>
            </w:pPr>
            <w:r w:rsidRPr="00D50F16">
              <w:rPr>
                <w:sz w:val="16"/>
                <w:szCs w:val="16"/>
              </w:rPr>
              <w:t>570 000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jc w:val="center"/>
              <w:rPr>
                <w:sz w:val="16"/>
                <w:szCs w:val="16"/>
              </w:rPr>
            </w:pPr>
            <w:r w:rsidRPr="00D50F16">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jc w:val="center"/>
              <w:rPr>
                <w:sz w:val="16"/>
                <w:szCs w:val="16"/>
              </w:rPr>
            </w:pPr>
            <w:r w:rsidRPr="00D50F16">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jc w:val="center"/>
              <w:rPr>
                <w:sz w:val="16"/>
                <w:szCs w:val="16"/>
              </w:rPr>
            </w:pPr>
            <w:r w:rsidRPr="00D50F16">
              <w:rPr>
                <w:sz w:val="16"/>
                <w:szCs w:val="16"/>
              </w:rPr>
              <w:noBreakHyphen/>
            </w:r>
          </w:p>
        </w:tc>
      </w:tr>
      <w:tr w:rsidR="00927E1F" w:rsidRPr="00D50F16" w:rsidTr="00927E1F">
        <w:trPr>
          <w:trHeight w:val="389"/>
        </w:trPr>
        <w:tc>
          <w:tcPr>
            <w:tcW w:w="167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D50F16" w:rsidRDefault="00927E1F" w:rsidP="00927E1F">
            <w:pPr>
              <w:keepNext/>
              <w:keepLines/>
              <w:autoSpaceDE w:val="0"/>
              <w:autoSpaceDN w:val="0"/>
              <w:adjustRightInd w:val="0"/>
              <w:spacing w:before="40" w:after="40"/>
              <w:rPr>
                <w:b/>
                <w:sz w:val="16"/>
                <w:szCs w:val="16"/>
              </w:rPr>
            </w:pPr>
            <w:r w:rsidRPr="00D50F16">
              <w:rPr>
                <w:b/>
                <w:sz w:val="16"/>
                <w:szCs w:val="16"/>
              </w:rPr>
              <w:t>Total</w:t>
            </w:r>
          </w:p>
        </w:tc>
        <w:tc>
          <w:tcPr>
            <w:tcW w:w="755"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D50F16" w:rsidRDefault="00927E1F" w:rsidP="00927E1F">
            <w:pPr>
              <w:keepNext/>
              <w:keepLines/>
              <w:autoSpaceDE w:val="0"/>
              <w:autoSpaceDN w:val="0"/>
              <w:adjustRightInd w:val="0"/>
              <w:spacing w:before="40" w:after="40"/>
              <w:jc w:val="center"/>
              <w:rPr>
                <w:b/>
                <w:sz w:val="16"/>
                <w:szCs w:val="16"/>
              </w:rPr>
            </w:pPr>
            <w:r w:rsidRPr="00D50F16">
              <w:rPr>
                <w:b/>
                <w:sz w:val="16"/>
                <w:szCs w:val="16"/>
              </w:rPr>
              <w:t>700 000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927E1F" w:rsidRPr="00D50F16" w:rsidRDefault="00927E1F" w:rsidP="00927E1F">
            <w:pPr>
              <w:keepNext/>
              <w:keepLines/>
              <w:autoSpaceDE w:val="0"/>
              <w:autoSpaceDN w:val="0"/>
              <w:adjustRightInd w:val="0"/>
              <w:spacing w:before="40" w:after="40"/>
              <w:jc w:val="center"/>
              <w:rPr>
                <w:b/>
                <w:sz w:val="16"/>
                <w:szCs w:val="16"/>
              </w:rPr>
            </w:pPr>
            <w:r w:rsidRPr="00D50F16">
              <w:rPr>
                <w:b/>
                <w:sz w:val="16"/>
                <w:szCs w:val="16"/>
              </w:rPr>
              <w:t>0</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927E1F" w:rsidRPr="00D50F16" w:rsidRDefault="00927E1F" w:rsidP="00927E1F">
            <w:pPr>
              <w:keepNext/>
              <w:keepLines/>
              <w:autoSpaceDE w:val="0"/>
              <w:autoSpaceDN w:val="0"/>
              <w:adjustRightInd w:val="0"/>
              <w:spacing w:before="40" w:after="40"/>
              <w:jc w:val="center"/>
              <w:rPr>
                <w:b/>
                <w:sz w:val="16"/>
                <w:szCs w:val="16"/>
              </w:rPr>
            </w:pP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927E1F" w:rsidRPr="00D50F16" w:rsidRDefault="00927E1F" w:rsidP="00927E1F">
            <w:pPr>
              <w:keepNext/>
              <w:keepLines/>
              <w:autoSpaceDE w:val="0"/>
              <w:autoSpaceDN w:val="0"/>
              <w:adjustRightInd w:val="0"/>
              <w:spacing w:before="40" w:after="40"/>
              <w:jc w:val="center"/>
              <w:rPr>
                <w:b/>
                <w:sz w:val="16"/>
                <w:szCs w:val="16"/>
              </w:rPr>
            </w:pPr>
          </w:p>
        </w:tc>
      </w:tr>
    </w:tbl>
    <w:p w:rsidR="00927E1F" w:rsidRPr="00D50F16" w:rsidRDefault="00927E1F" w:rsidP="00927E1F">
      <w:pPr>
        <w:tabs>
          <w:tab w:val="left" w:pos="3261"/>
        </w:tabs>
        <w:autoSpaceDE w:val="0"/>
        <w:autoSpaceDN w:val="0"/>
        <w:adjustRightInd w:val="0"/>
        <w:jc w:val="center"/>
        <w:rPr>
          <w:b/>
          <w:color w:val="000000"/>
          <w:szCs w:val="22"/>
        </w:rPr>
      </w:pPr>
    </w:p>
    <w:p w:rsidR="00927E1F" w:rsidRPr="00D50F16" w:rsidRDefault="00927E1F" w:rsidP="00927E1F">
      <w:pPr>
        <w:tabs>
          <w:tab w:val="left" w:pos="3261"/>
        </w:tabs>
        <w:autoSpaceDE w:val="0"/>
        <w:autoSpaceDN w:val="0"/>
        <w:adjustRightInd w:val="0"/>
        <w:jc w:val="center"/>
        <w:rPr>
          <w:b/>
          <w:color w:val="000000"/>
          <w:szCs w:val="22"/>
        </w:rPr>
      </w:pPr>
    </w:p>
    <w:p w:rsidR="00927E1F" w:rsidRPr="00D50F16" w:rsidRDefault="00927E1F" w:rsidP="00927E1F">
      <w:pPr>
        <w:keepNext/>
        <w:keepLines/>
        <w:tabs>
          <w:tab w:val="left" w:pos="3261"/>
        </w:tabs>
        <w:autoSpaceDE w:val="0"/>
        <w:autoSpaceDN w:val="0"/>
        <w:adjustRightInd w:val="0"/>
        <w:jc w:val="center"/>
        <w:rPr>
          <w:b/>
          <w:szCs w:val="22"/>
        </w:rPr>
      </w:pPr>
      <w:r w:rsidRPr="00D50F16">
        <w:rPr>
          <w:b/>
        </w:rPr>
        <w:t>Utilisation du budget du projet (par catégorie de dépenses)</w:t>
      </w:r>
    </w:p>
    <w:p w:rsidR="00927E1F" w:rsidRPr="00D50F16" w:rsidRDefault="00927E1F" w:rsidP="00927E1F">
      <w:pPr>
        <w:keepNext/>
        <w:keepLines/>
        <w:tabs>
          <w:tab w:val="left" w:pos="3261"/>
        </w:tabs>
        <w:autoSpaceDE w:val="0"/>
        <w:autoSpaceDN w:val="0"/>
        <w:adjustRightInd w:val="0"/>
        <w:jc w:val="center"/>
        <w:rPr>
          <w:i/>
          <w:iCs/>
          <w:sz w:val="18"/>
          <w:szCs w:val="18"/>
        </w:rPr>
      </w:pPr>
      <w:r w:rsidRPr="00D50F16">
        <w:rPr>
          <w:i/>
          <w:sz w:val="18"/>
        </w:rPr>
        <w:t>(</w:t>
      </w:r>
      <w:proofErr w:type="gramStart"/>
      <w:r w:rsidRPr="00D50F16">
        <w:rPr>
          <w:i/>
          <w:sz w:val="18"/>
        </w:rPr>
        <w:t>en</w:t>
      </w:r>
      <w:proofErr w:type="gramEnd"/>
      <w:r w:rsidRPr="00D50F16">
        <w:rPr>
          <w:i/>
          <w:sz w:val="18"/>
        </w:rPr>
        <w:t xml:space="preserve"> francs suisses, au 31 décembre 2015)</w:t>
      </w:r>
    </w:p>
    <w:p w:rsidR="00927E1F" w:rsidRPr="00D50F16" w:rsidRDefault="00927E1F" w:rsidP="00927E1F">
      <w:pPr>
        <w:keepNext/>
        <w:keepLines/>
        <w:tabs>
          <w:tab w:val="left" w:pos="3261"/>
        </w:tabs>
        <w:autoSpaceDE w:val="0"/>
        <w:autoSpaceDN w:val="0"/>
        <w:adjustRightInd w:val="0"/>
        <w:jc w:val="center"/>
        <w:rPr>
          <w:i/>
          <w:iCs/>
          <w:sz w:val="18"/>
          <w:szCs w:val="18"/>
        </w:rPr>
      </w:pPr>
    </w:p>
    <w:tbl>
      <w:tblPr>
        <w:tblW w:w="484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6"/>
        <w:gridCol w:w="1839"/>
        <w:gridCol w:w="1839"/>
        <w:gridCol w:w="2056"/>
      </w:tblGrid>
      <w:tr w:rsidR="00927E1F" w:rsidRPr="00D50F16" w:rsidTr="00927E1F">
        <w:trPr>
          <w:trHeight w:val="569"/>
        </w:trPr>
        <w:tc>
          <w:tcPr>
            <w:tcW w:w="190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D50F16" w:rsidRDefault="00927E1F" w:rsidP="00927E1F">
            <w:pPr>
              <w:keepNext/>
              <w:keepLines/>
              <w:autoSpaceDE w:val="0"/>
              <w:autoSpaceDN w:val="0"/>
              <w:adjustRightInd w:val="0"/>
              <w:spacing w:before="40" w:after="40" w:line="260" w:lineRule="exact"/>
              <w:ind w:left="-74" w:right="-60"/>
              <w:jc w:val="center"/>
              <w:rPr>
                <w:b/>
                <w:bCs/>
                <w:sz w:val="16"/>
                <w:szCs w:val="16"/>
              </w:rPr>
            </w:pPr>
            <w:r w:rsidRPr="00D50F16">
              <w:rPr>
                <w:b/>
                <w:bCs/>
                <w:sz w:val="16"/>
                <w:szCs w:val="16"/>
              </w:rPr>
              <w:t>Catégorie de dépenses</w:t>
            </w:r>
          </w:p>
        </w:tc>
        <w:tc>
          <w:tcPr>
            <w:tcW w:w="9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D50F16" w:rsidRDefault="00927E1F" w:rsidP="00927E1F">
            <w:pPr>
              <w:keepNext/>
              <w:keepLines/>
              <w:autoSpaceDE w:val="0"/>
              <w:autoSpaceDN w:val="0"/>
              <w:adjustRightInd w:val="0"/>
              <w:spacing w:before="40" w:after="40" w:line="260" w:lineRule="exact"/>
              <w:ind w:left="-107" w:right="-108"/>
              <w:jc w:val="center"/>
              <w:rPr>
                <w:b/>
                <w:bCs/>
                <w:sz w:val="16"/>
                <w:szCs w:val="16"/>
              </w:rPr>
            </w:pPr>
            <w:r w:rsidRPr="00D50F16">
              <w:rPr>
                <w:b/>
                <w:bCs/>
                <w:sz w:val="16"/>
                <w:szCs w:val="16"/>
              </w:rPr>
              <w:t>Budget du projet</w:t>
            </w:r>
          </w:p>
        </w:tc>
        <w:tc>
          <w:tcPr>
            <w:tcW w:w="9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D50F16" w:rsidRDefault="00927E1F" w:rsidP="00927E1F">
            <w:pPr>
              <w:keepNext/>
              <w:keepLines/>
              <w:autoSpaceDE w:val="0"/>
              <w:autoSpaceDN w:val="0"/>
              <w:adjustRightInd w:val="0"/>
              <w:spacing w:before="40" w:after="40" w:line="260" w:lineRule="exact"/>
              <w:ind w:left="-108"/>
              <w:jc w:val="center"/>
              <w:rPr>
                <w:b/>
                <w:bCs/>
                <w:sz w:val="16"/>
                <w:szCs w:val="16"/>
              </w:rPr>
            </w:pPr>
            <w:r w:rsidRPr="00D50F16">
              <w:rPr>
                <w:b/>
                <w:bCs/>
                <w:sz w:val="16"/>
                <w:szCs w:val="16"/>
              </w:rPr>
              <w:t xml:space="preserve">Dépenses effectives à ce jour </w:t>
            </w:r>
          </w:p>
        </w:tc>
        <w:tc>
          <w:tcPr>
            <w:tcW w:w="110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D50F16" w:rsidRDefault="00927E1F" w:rsidP="00927E1F">
            <w:pPr>
              <w:keepNext/>
              <w:keepLines/>
              <w:autoSpaceDE w:val="0"/>
              <w:autoSpaceDN w:val="0"/>
              <w:adjustRightInd w:val="0"/>
              <w:spacing w:before="40" w:after="40" w:line="260" w:lineRule="exact"/>
              <w:ind w:left="-109"/>
              <w:jc w:val="center"/>
              <w:rPr>
                <w:b/>
                <w:bCs/>
                <w:sz w:val="16"/>
                <w:szCs w:val="16"/>
              </w:rPr>
            </w:pPr>
            <w:r w:rsidRPr="00D50F16">
              <w:rPr>
                <w:b/>
                <w:bCs/>
                <w:sz w:val="16"/>
                <w:szCs w:val="16"/>
              </w:rPr>
              <w:t>Utilisation effective du budget</w:t>
            </w:r>
          </w:p>
        </w:tc>
      </w:tr>
      <w:tr w:rsidR="00927E1F" w:rsidRPr="00D50F16" w:rsidTr="00927E1F">
        <w:tc>
          <w:tcPr>
            <w:tcW w:w="1907"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line="260" w:lineRule="exact"/>
              <w:rPr>
                <w:sz w:val="16"/>
                <w:szCs w:val="16"/>
              </w:rPr>
            </w:pPr>
            <w:r w:rsidRPr="00D50F16">
              <w:rPr>
                <w:sz w:val="16"/>
                <w:szCs w:val="16"/>
              </w:rPr>
              <w:t>Services contractuels</w:t>
            </w:r>
          </w:p>
        </w:tc>
        <w:tc>
          <w:tcPr>
            <w:tcW w:w="992"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line="260" w:lineRule="exact"/>
              <w:jc w:val="center"/>
              <w:rPr>
                <w:sz w:val="16"/>
                <w:szCs w:val="16"/>
              </w:rPr>
            </w:pPr>
            <w:r w:rsidRPr="00D50F16">
              <w:rPr>
                <w:sz w:val="16"/>
                <w:szCs w:val="16"/>
              </w:rPr>
              <w:t>130 000</w:t>
            </w:r>
          </w:p>
        </w:tc>
        <w:tc>
          <w:tcPr>
            <w:tcW w:w="992"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line="260" w:lineRule="exact"/>
              <w:jc w:val="center"/>
              <w:rPr>
                <w:sz w:val="16"/>
                <w:szCs w:val="16"/>
              </w:rPr>
            </w:pPr>
            <w:r w:rsidRPr="00D50F16">
              <w:rPr>
                <w:sz w:val="16"/>
                <w:szCs w:val="16"/>
              </w:rPr>
              <w:t>0</w:t>
            </w:r>
          </w:p>
        </w:tc>
        <w:tc>
          <w:tcPr>
            <w:tcW w:w="1109"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line="260" w:lineRule="exact"/>
              <w:jc w:val="center"/>
              <w:rPr>
                <w:sz w:val="16"/>
                <w:szCs w:val="16"/>
              </w:rPr>
            </w:pPr>
            <w:r w:rsidRPr="00D50F16">
              <w:rPr>
                <w:sz w:val="16"/>
                <w:szCs w:val="16"/>
              </w:rPr>
              <w:t>0%</w:t>
            </w:r>
          </w:p>
        </w:tc>
      </w:tr>
      <w:tr w:rsidR="00927E1F" w:rsidRPr="00D50F16" w:rsidTr="00927E1F">
        <w:tc>
          <w:tcPr>
            <w:tcW w:w="1907"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line="260" w:lineRule="exact"/>
              <w:rPr>
                <w:sz w:val="16"/>
                <w:szCs w:val="16"/>
              </w:rPr>
            </w:pPr>
            <w:r w:rsidRPr="00D50F16">
              <w:rPr>
                <w:sz w:val="16"/>
                <w:szCs w:val="16"/>
              </w:rPr>
              <w:t>À déterminer</w:t>
            </w:r>
            <w:r w:rsidRPr="00D50F16">
              <w:rPr>
                <w:rStyle w:val="FootnoteReference"/>
                <w:rFonts w:eastAsia="SimSun"/>
                <w:sz w:val="16"/>
                <w:szCs w:val="16"/>
              </w:rPr>
              <w:footnoteReference w:id="173"/>
            </w:r>
          </w:p>
        </w:tc>
        <w:tc>
          <w:tcPr>
            <w:tcW w:w="992"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line="260" w:lineRule="exact"/>
              <w:jc w:val="center"/>
              <w:rPr>
                <w:sz w:val="16"/>
                <w:szCs w:val="16"/>
              </w:rPr>
            </w:pPr>
            <w:r w:rsidRPr="00D50F16">
              <w:rPr>
                <w:sz w:val="16"/>
                <w:szCs w:val="16"/>
              </w:rPr>
              <w:t>570 000</w:t>
            </w:r>
          </w:p>
        </w:tc>
        <w:tc>
          <w:tcPr>
            <w:tcW w:w="992"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line="260" w:lineRule="exact"/>
              <w:jc w:val="center"/>
              <w:rPr>
                <w:sz w:val="16"/>
                <w:szCs w:val="16"/>
              </w:rPr>
            </w:pPr>
            <w:r w:rsidRPr="00D50F16">
              <w:rPr>
                <w:sz w:val="16"/>
                <w:szCs w:val="16"/>
              </w:rPr>
              <w:t>0</w:t>
            </w:r>
          </w:p>
        </w:tc>
        <w:tc>
          <w:tcPr>
            <w:tcW w:w="1109" w:type="pct"/>
            <w:tcBorders>
              <w:top w:val="single" w:sz="4" w:space="0" w:color="auto"/>
              <w:left w:val="single" w:sz="4" w:space="0" w:color="auto"/>
              <w:bottom w:val="single" w:sz="4" w:space="0" w:color="auto"/>
              <w:right w:val="single" w:sz="4" w:space="0" w:color="auto"/>
            </w:tcBorders>
            <w:vAlign w:val="center"/>
          </w:tcPr>
          <w:p w:rsidR="00927E1F" w:rsidRPr="00D50F16" w:rsidRDefault="00927E1F" w:rsidP="00927E1F">
            <w:pPr>
              <w:keepNext/>
              <w:keepLines/>
              <w:autoSpaceDE w:val="0"/>
              <w:autoSpaceDN w:val="0"/>
              <w:adjustRightInd w:val="0"/>
              <w:spacing w:before="40" w:after="40" w:line="260" w:lineRule="exact"/>
              <w:jc w:val="center"/>
              <w:rPr>
                <w:sz w:val="16"/>
                <w:szCs w:val="16"/>
              </w:rPr>
            </w:pPr>
            <w:r w:rsidRPr="00D50F16">
              <w:rPr>
                <w:sz w:val="16"/>
                <w:szCs w:val="16"/>
              </w:rPr>
              <w:t>0%</w:t>
            </w:r>
          </w:p>
        </w:tc>
      </w:tr>
      <w:tr w:rsidR="00927E1F" w:rsidRPr="00D50F16" w:rsidTr="00927E1F">
        <w:tc>
          <w:tcPr>
            <w:tcW w:w="190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D50F16" w:rsidRDefault="00927E1F" w:rsidP="00927E1F">
            <w:pPr>
              <w:autoSpaceDE w:val="0"/>
              <w:autoSpaceDN w:val="0"/>
              <w:adjustRightInd w:val="0"/>
              <w:spacing w:before="40" w:after="40" w:line="260" w:lineRule="exact"/>
              <w:rPr>
                <w:b/>
                <w:sz w:val="16"/>
                <w:szCs w:val="16"/>
              </w:rPr>
            </w:pPr>
            <w:r w:rsidRPr="00D50F16">
              <w:rPr>
                <w:b/>
                <w:sz w:val="16"/>
                <w:szCs w:val="16"/>
              </w:rPr>
              <w:t>Total</w:t>
            </w:r>
          </w:p>
        </w:tc>
        <w:tc>
          <w:tcPr>
            <w:tcW w:w="9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D50F16" w:rsidRDefault="00927E1F" w:rsidP="00927E1F">
            <w:pPr>
              <w:autoSpaceDE w:val="0"/>
              <w:autoSpaceDN w:val="0"/>
              <w:adjustRightInd w:val="0"/>
              <w:spacing w:before="40" w:after="40" w:line="260" w:lineRule="exact"/>
              <w:jc w:val="center"/>
              <w:rPr>
                <w:b/>
                <w:sz w:val="16"/>
                <w:szCs w:val="16"/>
              </w:rPr>
            </w:pPr>
            <w:r w:rsidRPr="00D50F16">
              <w:rPr>
                <w:b/>
                <w:sz w:val="16"/>
                <w:szCs w:val="16"/>
              </w:rPr>
              <w:t>700 000</w:t>
            </w:r>
          </w:p>
        </w:tc>
        <w:tc>
          <w:tcPr>
            <w:tcW w:w="992"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D50F16" w:rsidRDefault="00927E1F" w:rsidP="00927E1F">
            <w:pPr>
              <w:autoSpaceDE w:val="0"/>
              <w:autoSpaceDN w:val="0"/>
              <w:adjustRightInd w:val="0"/>
              <w:spacing w:before="40" w:after="40" w:line="260" w:lineRule="exact"/>
              <w:jc w:val="center"/>
              <w:rPr>
                <w:b/>
                <w:sz w:val="16"/>
                <w:szCs w:val="16"/>
              </w:rPr>
            </w:pPr>
            <w:r w:rsidRPr="00D50F16">
              <w:rPr>
                <w:b/>
                <w:sz w:val="16"/>
                <w:szCs w:val="16"/>
              </w:rPr>
              <w:t>0</w:t>
            </w:r>
          </w:p>
        </w:tc>
        <w:tc>
          <w:tcPr>
            <w:tcW w:w="110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927E1F" w:rsidRPr="00D50F16" w:rsidRDefault="00927E1F" w:rsidP="00927E1F">
            <w:pPr>
              <w:autoSpaceDE w:val="0"/>
              <w:autoSpaceDN w:val="0"/>
              <w:adjustRightInd w:val="0"/>
              <w:spacing w:before="40" w:after="40" w:line="260" w:lineRule="exact"/>
              <w:jc w:val="center"/>
              <w:rPr>
                <w:b/>
                <w:sz w:val="16"/>
                <w:szCs w:val="16"/>
              </w:rPr>
            </w:pPr>
          </w:p>
        </w:tc>
      </w:tr>
    </w:tbl>
    <w:p w:rsidR="00927E1F" w:rsidRPr="00422570" w:rsidRDefault="00927E1F" w:rsidP="00927E1F">
      <w:pPr>
        <w:rPr>
          <w:color w:val="000000"/>
        </w:rPr>
      </w:pPr>
    </w:p>
    <w:p w:rsidR="00927E1F" w:rsidRPr="00422570" w:rsidRDefault="00927E1F" w:rsidP="00927E1F">
      <w:pPr>
        <w:rPr>
          <w:color w:val="000000"/>
        </w:rPr>
      </w:pPr>
    </w:p>
    <w:p w:rsidR="00927E1F" w:rsidRPr="00422570" w:rsidRDefault="00927E1F" w:rsidP="00927E1F">
      <w:r w:rsidRPr="00422570">
        <w:t>RISQUES ET STRATÉGIES D’ATTÉNUATION</w:t>
      </w:r>
    </w:p>
    <w:p w:rsidR="00927E1F" w:rsidRPr="00422570" w:rsidRDefault="00927E1F" w:rsidP="00927E1F">
      <w:pPr>
        <w:rPr>
          <w:color w:val="000000"/>
        </w:rPr>
      </w:pPr>
    </w:p>
    <w:tbl>
      <w:tblPr>
        <w:tblW w:w="4814" w:type="pct"/>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2"/>
      </w:tblGrid>
      <w:tr w:rsidR="00927E1F" w:rsidRPr="00D50F16" w:rsidTr="00927E1F">
        <w:trPr>
          <w:trHeight w:val="507"/>
          <w:tblHeader/>
          <w:jc w:val="center"/>
        </w:trPr>
        <w:tc>
          <w:tcPr>
            <w:tcW w:w="1666" w:type="pct"/>
            <w:shd w:val="clear" w:color="auto" w:fill="C6D9F1" w:themeFill="text2" w:themeFillTint="33"/>
            <w:vAlign w:val="center"/>
          </w:tcPr>
          <w:p w:rsidR="00927E1F" w:rsidRPr="00D50F16" w:rsidRDefault="00927E1F" w:rsidP="00927E1F">
            <w:pPr>
              <w:autoSpaceDE w:val="0"/>
              <w:autoSpaceDN w:val="0"/>
              <w:adjustRightInd w:val="0"/>
              <w:ind w:left="-74" w:right="-60"/>
              <w:jc w:val="center"/>
              <w:rPr>
                <w:b/>
                <w:bCs/>
                <w:sz w:val="16"/>
                <w:szCs w:val="16"/>
              </w:rPr>
            </w:pPr>
            <w:r w:rsidRPr="00D50F16">
              <w:rPr>
                <w:b/>
                <w:bCs/>
                <w:iCs/>
                <w:sz w:val="16"/>
                <w:szCs w:val="16"/>
              </w:rPr>
              <w:t>Description</w:t>
            </w:r>
            <w:r w:rsidRPr="00D50F16">
              <w:rPr>
                <w:b/>
                <w:sz w:val="16"/>
                <w:szCs w:val="16"/>
              </w:rPr>
              <w:t xml:space="preserve"> du risque</w:t>
            </w:r>
          </w:p>
        </w:tc>
        <w:tc>
          <w:tcPr>
            <w:tcW w:w="1667" w:type="pct"/>
            <w:shd w:val="clear" w:color="auto" w:fill="C6D9F1" w:themeFill="text2" w:themeFillTint="33"/>
            <w:vAlign w:val="center"/>
          </w:tcPr>
          <w:p w:rsidR="00927E1F" w:rsidRPr="00D50F16" w:rsidRDefault="00927E1F" w:rsidP="00927E1F">
            <w:pPr>
              <w:autoSpaceDE w:val="0"/>
              <w:autoSpaceDN w:val="0"/>
              <w:adjustRightInd w:val="0"/>
              <w:ind w:left="-107" w:right="-108"/>
              <w:jc w:val="center"/>
              <w:rPr>
                <w:b/>
                <w:bCs/>
                <w:sz w:val="16"/>
                <w:szCs w:val="16"/>
              </w:rPr>
            </w:pPr>
            <w:r w:rsidRPr="00D50F16">
              <w:rPr>
                <w:b/>
                <w:sz w:val="16"/>
                <w:szCs w:val="16"/>
              </w:rPr>
              <w:t>Atténuation du risque</w:t>
            </w:r>
          </w:p>
        </w:tc>
        <w:tc>
          <w:tcPr>
            <w:tcW w:w="1667" w:type="pct"/>
            <w:shd w:val="clear" w:color="auto" w:fill="C6D9F1" w:themeFill="text2" w:themeFillTint="33"/>
            <w:vAlign w:val="center"/>
          </w:tcPr>
          <w:p w:rsidR="00927E1F" w:rsidRPr="00D50F16" w:rsidRDefault="00927E1F" w:rsidP="00927E1F">
            <w:pPr>
              <w:autoSpaceDE w:val="0"/>
              <w:autoSpaceDN w:val="0"/>
              <w:adjustRightInd w:val="0"/>
              <w:ind w:left="-109"/>
              <w:jc w:val="center"/>
              <w:rPr>
                <w:b/>
                <w:bCs/>
                <w:sz w:val="16"/>
                <w:szCs w:val="16"/>
              </w:rPr>
            </w:pPr>
            <w:r w:rsidRPr="00D50F16">
              <w:rPr>
                <w:b/>
                <w:bCs/>
                <w:sz w:val="16"/>
                <w:szCs w:val="16"/>
              </w:rPr>
              <w:t>Observation</w:t>
            </w:r>
          </w:p>
        </w:tc>
      </w:tr>
      <w:tr w:rsidR="00927E1F" w:rsidRPr="00D50F16" w:rsidTr="00927E1F">
        <w:trPr>
          <w:trHeight w:val="776"/>
          <w:jc w:val="center"/>
        </w:trPr>
        <w:tc>
          <w:tcPr>
            <w:tcW w:w="1666" w:type="pct"/>
            <w:shd w:val="clear" w:color="auto" w:fill="auto"/>
          </w:tcPr>
          <w:p w:rsidR="00927E1F" w:rsidRPr="00D50F16" w:rsidRDefault="00927E1F" w:rsidP="00927E1F">
            <w:pPr>
              <w:autoSpaceDE w:val="0"/>
              <w:autoSpaceDN w:val="0"/>
              <w:adjustRightInd w:val="0"/>
              <w:spacing w:before="40" w:after="40"/>
              <w:rPr>
                <w:sz w:val="16"/>
                <w:szCs w:val="16"/>
              </w:rPr>
            </w:pPr>
            <w:r w:rsidRPr="00D50F16">
              <w:rPr>
                <w:sz w:val="16"/>
                <w:szCs w:val="16"/>
              </w:rPr>
              <w:t>Absence du budget nécessaire pour mettre en œuvre la feuille de route pour la gestion de l’identité et des accès ainsi que pour le cryptage.</w:t>
            </w:r>
          </w:p>
        </w:tc>
        <w:tc>
          <w:tcPr>
            <w:tcW w:w="1667" w:type="pct"/>
            <w:shd w:val="clear" w:color="auto" w:fill="auto"/>
          </w:tcPr>
          <w:p w:rsidR="00927E1F" w:rsidRPr="00D50F16" w:rsidRDefault="00927E1F" w:rsidP="00927E1F">
            <w:pPr>
              <w:autoSpaceDE w:val="0"/>
              <w:autoSpaceDN w:val="0"/>
              <w:adjustRightInd w:val="0"/>
              <w:spacing w:before="40" w:after="40"/>
              <w:rPr>
                <w:sz w:val="16"/>
                <w:szCs w:val="16"/>
              </w:rPr>
            </w:pPr>
            <w:r w:rsidRPr="00D50F16">
              <w:rPr>
                <w:sz w:val="16"/>
                <w:szCs w:val="16"/>
              </w:rPr>
              <w:t>Définition des priorités pour la feuille de route, en mettant l’accent sur les secteurs à haut risque en premier lieu.</w:t>
            </w:r>
          </w:p>
        </w:tc>
        <w:tc>
          <w:tcPr>
            <w:tcW w:w="1667" w:type="pct"/>
          </w:tcPr>
          <w:p w:rsidR="00927E1F" w:rsidRPr="00D50F16" w:rsidRDefault="00927E1F" w:rsidP="00927E1F">
            <w:pPr>
              <w:autoSpaceDE w:val="0"/>
              <w:autoSpaceDN w:val="0"/>
              <w:adjustRightInd w:val="0"/>
              <w:spacing w:before="40" w:after="40"/>
              <w:rPr>
                <w:sz w:val="16"/>
                <w:szCs w:val="16"/>
              </w:rPr>
            </w:pPr>
            <w:r w:rsidRPr="00D50F16">
              <w:rPr>
                <w:sz w:val="16"/>
                <w:szCs w:val="16"/>
              </w:rPr>
              <w:t>L’évaluation de l’état actuel mettra en évidence les lacunes des capacités actuelles de l’OMPI en matière de gestion de l’identité et des accès et de cryptage.  Elle recommandera une feuille de route établissant des priorités pour combler ces lacunes.  Ces lacunes et mesures correctives étant actuellement inconnues, le budget actuel du projet pourrait s’avérer insuffisant.</w:t>
            </w:r>
          </w:p>
        </w:tc>
      </w:tr>
    </w:tbl>
    <w:p w:rsidR="00927E1F" w:rsidRPr="00422570" w:rsidRDefault="00927E1F" w:rsidP="00927E1F"/>
    <w:p w:rsidR="00927E1F" w:rsidRPr="00422570" w:rsidRDefault="00927E1F" w:rsidP="00927E1F"/>
    <w:p w:rsidR="00927E1F" w:rsidRPr="00422570" w:rsidRDefault="00927E1F" w:rsidP="00927E1F">
      <w:r w:rsidRPr="00422570">
        <w:t>CALENDRIER DU PROJET PAR ÉTAPE</w:t>
      </w:r>
    </w:p>
    <w:p w:rsidR="00927E1F" w:rsidRPr="00422570" w:rsidRDefault="00927E1F" w:rsidP="00927E1F"/>
    <w:tbl>
      <w:tblPr>
        <w:tblW w:w="8847" w:type="dxa"/>
        <w:jc w:val="center"/>
        <w:tblInd w:w="-330" w:type="dxa"/>
        <w:tblLayout w:type="fixed"/>
        <w:tblLook w:val="04A0" w:firstRow="1" w:lastRow="0" w:firstColumn="1" w:lastColumn="0" w:noHBand="0" w:noVBand="1"/>
      </w:tblPr>
      <w:tblGrid>
        <w:gridCol w:w="2408"/>
        <w:gridCol w:w="517"/>
        <w:gridCol w:w="517"/>
        <w:gridCol w:w="518"/>
        <w:gridCol w:w="520"/>
        <w:gridCol w:w="571"/>
        <w:gridCol w:w="572"/>
        <w:gridCol w:w="572"/>
        <w:gridCol w:w="574"/>
        <w:gridCol w:w="518"/>
        <w:gridCol w:w="518"/>
        <w:gridCol w:w="518"/>
        <w:gridCol w:w="518"/>
        <w:gridCol w:w="6"/>
      </w:tblGrid>
      <w:tr w:rsidR="00927E1F" w:rsidRPr="00D50F16" w:rsidTr="00927E1F">
        <w:trPr>
          <w:trHeight w:val="290"/>
          <w:tblHeader/>
          <w:jc w:val="center"/>
        </w:trPr>
        <w:tc>
          <w:tcPr>
            <w:tcW w:w="2408" w:type="dxa"/>
            <w:tcBorders>
              <w:top w:val="nil"/>
              <w:left w:val="nil"/>
              <w:bottom w:val="nil"/>
              <w:right w:val="nil"/>
            </w:tcBorders>
            <w:shd w:val="clear" w:color="auto" w:fill="auto"/>
            <w:noWrap/>
            <w:vAlign w:val="bottom"/>
            <w:hideMark/>
          </w:tcPr>
          <w:p w:rsidR="00927E1F" w:rsidRPr="00D50F16" w:rsidRDefault="00927E1F" w:rsidP="00927E1F">
            <w:pPr>
              <w:rPr>
                <w:color w:val="000000"/>
                <w:spacing w:val="-2"/>
                <w:sz w:val="16"/>
                <w:szCs w:val="16"/>
              </w:rPr>
            </w:pPr>
          </w:p>
        </w:tc>
        <w:tc>
          <w:tcPr>
            <w:tcW w:w="2072" w:type="dxa"/>
            <w:gridSpan w:val="4"/>
            <w:tcBorders>
              <w:top w:val="single" w:sz="8" w:space="0" w:color="auto"/>
              <w:left w:val="single" w:sz="8" w:space="0" w:color="auto"/>
              <w:bottom w:val="single" w:sz="4" w:space="0" w:color="auto"/>
              <w:right w:val="single" w:sz="8" w:space="0" w:color="000000"/>
            </w:tcBorders>
            <w:shd w:val="clear" w:color="auto" w:fill="C6D9F1" w:themeFill="text2" w:themeFillTint="33"/>
            <w:noWrap/>
            <w:vAlign w:val="bottom"/>
            <w:hideMark/>
          </w:tcPr>
          <w:p w:rsidR="00927E1F" w:rsidRPr="00D50F16" w:rsidRDefault="00927E1F" w:rsidP="00927E1F">
            <w:pPr>
              <w:jc w:val="center"/>
              <w:rPr>
                <w:b/>
                <w:bCs/>
                <w:color w:val="000000"/>
                <w:spacing w:val="-2"/>
                <w:sz w:val="16"/>
                <w:szCs w:val="16"/>
              </w:rPr>
            </w:pPr>
            <w:r w:rsidRPr="00D50F16">
              <w:rPr>
                <w:b/>
                <w:bCs/>
                <w:color w:val="000000"/>
                <w:spacing w:val="-2"/>
                <w:sz w:val="16"/>
                <w:szCs w:val="16"/>
              </w:rPr>
              <w:t>2015</w:t>
            </w:r>
          </w:p>
        </w:tc>
        <w:tc>
          <w:tcPr>
            <w:tcW w:w="2289" w:type="dxa"/>
            <w:gridSpan w:val="4"/>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927E1F" w:rsidRPr="00D50F16" w:rsidRDefault="00927E1F" w:rsidP="00927E1F">
            <w:pPr>
              <w:jc w:val="center"/>
              <w:rPr>
                <w:b/>
                <w:bCs/>
                <w:color w:val="000000"/>
                <w:spacing w:val="-2"/>
                <w:sz w:val="16"/>
                <w:szCs w:val="16"/>
              </w:rPr>
            </w:pPr>
            <w:r w:rsidRPr="00D50F16">
              <w:rPr>
                <w:b/>
                <w:bCs/>
                <w:color w:val="000000"/>
                <w:spacing w:val="-2"/>
                <w:sz w:val="16"/>
                <w:szCs w:val="16"/>
              </w:rPr>
              <w:t>2016</w:t>
            </w:r>
          </w:p>
        </w:tc>
        <w:tc>
          <w:tcPr>
            <w:tcW w:w="2078" w:type="dxa"/>
            <w:gridSpan w:val="5"/>
            <w:tcBorders>
              <w:top w:val="single" w:sz="8" w:space="0" w:color="auto"/>
              <w:left w:val="nil"/>
              <w:bottom w:val="single" w:sz="4" w:space="0" w:color="auto"/>
              <w:right w:val="single" w:sz="8" w:space="0" w:color="000000"/>
            </w:tcBorders>
            <w:shd w:val="clear" w:color="auto" w:fill="C6D9F1" w:themeFill="text2" w:themeFillTint="33"/>
            <w:noWrap/>
            <w:vAlign w:val="bottom"/>
            <w:hideMark/>
          </w:tcPr>
          <w:p w:rsidR="00927E1F" w:rsidRPr="00D50F16" w:rsidRDefault="00927E1F" w:rsidP="00927E1F">
            <w:pPr>
              <w:jc w:val="center"/>
              <w:rPr>
                <w:b/>
                <w:bCs/>
                <w:color w:val="000000"/>
                <w:spacing w:val="-2"/>
                <w:sz w:val="16"/>
                <w:szCs w:val="16"/>
              </w:rPr>
            </w:pPr>
            <w:r w:rsidRPr="00D50F16">
              <w:rPr>
                <w:b/>
                <w:bCs/>
                <w:color w:val="000000"/>
                <w:spacing w:val="-2"/>
                <w:sz w:val="16"/>
                <w:szCs w:val="16"/>
              </w:rPr>
              <w:t>2017</w:t>
            </w:r>
          </w:p>
        </w:tc>
      </w:tr>
      <w:tr w:rsidR="00927E1F" w:rsidRPr="00D50F16" w:rsidTr="00927E1F">
        <w:trPr>
          <w:gridAfter w:val="1"/>
          <w:wAfter w:w="6" w:type="dxa"/>
          <w:trHeight w:val="403"/>
          <w:tblHeader/>
          <w:jc w:val="center"/>
        </w:trPr>
        <w:tc>
          <w:tcPr>
            <w:tcW w:w="2408" w:type="dxa"/>
            <w:tcBorders>
              <w:top w:val="single" w:sz="8" w:space="0" w:color="auto"/>
              <w:left w:val="single" w:sz="8" w:space="0" w:color="auto"/>
              <w:bottom w:val="single" w:sz="4" w:space="0" w:color="auto"/>
              <w:right w:val="single" w:sz="8" w:space="0" w:color="auto"/>
            </w:tcBorders>
            <w:shd w:val="clear" w:color="auto" w:fill="C6D9F1" w:themeFill="text2" w:themeFillTint="33"/>
            <w:noWrap/>
            <w:vAlign w:val="bottom"/>
            <w:hideMark/>
          </w:tcPr>
          <w:p w:rsidR="00927E1F" w:rsidRPr="00D50F16" w:rsidRDefault="00927E1F" w:rsidP="00927E1F">
            <w:pPr>
              <w:rPr>
                <w:b/>
                <w:bCs/>
                <w:spacing w:val="-2"/>
                <w:sz w:val="16"/>
                <w:szCs w:val="16"/>
              </w:rPr>
            </w:pPr>
            <w:r w:rsidRPr="00D50F16">
              <w:rPr>
                <w:b/>
                <w:bCs/>
                <w:spacing w:val="-2"/>
                <w:sz w:val="16"/>
                <w:szCs w:val="16"/>
              </w:rPr>
              <w:t>Étape principale</w:t>
            </w:r>
          </w:p>
        </w:tc>
        <w:tc>
          <w:tcPr>
            <w:tcW w:w="517" w:type="dxa"/>
            <w:tcBorders>
              <w:top w:val="nil"/>
              <w:left w:val="nil"/>
              <w:bottom w:val="single" w:sz="4" w:space="0" w:color="auto"/>
              <w:right w:val="single" w:sz="4" w:space="0" w:color="auto"/>
            </w:tcBorders>
            <w:shd w:val="clear" w:color="auto" w:fill="C6D9F1" w:themeFill="text2" w:themeFillTint="33"/>
            <w:noWrap/>
            <w:vAlign w:val="bottom"/>
            <w:hideMark/>
          </w:tcPr>
          <w:p w:rsidR="00927E1F" w:rsidRPr="00D50F16" w:rsidRDefault="00927E1F" w:rsidP="00927E1F">
            <w:pPr>
              <w:rPr>
                <w:b/>
                <w:bCs/>
                <w:spacing w:val="-2"/>
                <w:sz w:val="16"/>
                <w:szCs w:val="16"/>
              </w:rPr>
            </w:pPr>
            <w:r w:rsidRPr="00D50F16">
              <w:rPr>
                <w:b/>
                <w:bCs/>
                <w:spacing w:val="-2"/>
                <w:sz w:val="16"/>
                <w:szCs w:val="16"/>
              </w:rPr>
              <w:t>T1</w:t>
            </w:r>
          </w:p>
        </w:tc>
        <w:tc>
          <w:tcPr>
            <w:tcW w:w="517" w:type="dxa"/>
            <w:tcBorders>
              <w:top w:val="nil"/>
              <w:left w:val="nil"/>
              <w:bottom w:val="single" w:sz="4" w:space="0" w:color="auto"/>
              <w:right w:val="single" w:sz="4" w:space="0" w:color="auto"/>
            </w:tcBorders>
            <w:shd w:val="clear" w:color="auto" w:fill="C6D9F1" w:themeFill="text2" w:themeFillTint="33"/>
            <w:noWrap/>
            <w:vAlign w:val="bottom"/>
            <w:hideMark/>
          </w:tcPr>
          <w:p w:rsidR="00927E1F" w:rsidRPr="00D50F16" w:rsidRDefault="00927E1F" w:rsidP="00927E1F">
            <w:pPr>
              <w:rPr>
                <w:b/>
                <w:bCs/>
                <w:spacing w:val="-2"/>
                <w:sz w:val="16"/>
                <w:szCs w:val="16"/>
              </w:rPr>
            </w:pPr>
            <w:r w:rsidRPr="00D50F16">
              <w:rPr>
                <w:b/>
                <w:bCs/>
                <w:spacing w:val="-2"/>
                <w:sz w:val="16"/>
                <w:szCs w:val="16"/>
              </w:rPr>
              <w:t>T2</w:t>
            </w:r>
          </w:p>
        </w:tc>
        <w:tc>
          <w:tcPr>
            <w:tcW w:w="518" w:type="dxa"/>
            <w:tcBorders>
              <w:top w:val="nil"/>
              <w:left w:val="nil"/>
              <w:bottom w:val="single" w:sz="4" w:space="0" w:color="auto"/>
              <w:right w:val="single" w:sz="4" w:space="0" w:color="auto"/>
            </w:tcBorders>
            <w:shd w:val="clear" w:color="auto" w:fill="C6D9F1" w:themeFill="text2" w:themeFillTint="33"/>
            <w:noWrap/>
            <w:vAlign w:val="bottom"/>
            <w:hideMark/>
          </w:tcPr>
          <w:p w:rsidR="00927E1F" w:rsidRPr="00D50F16" w:rsidRDefault="00927E1F" w:rsidP="00927E1F">
            <w:pPr>
              <w:rPr>
                <w:b/>
                <w:bCs/>
                <w:spacing w:val="-2"/>
                <w:sz w:val="16"/>
                <w:szCs w:val="16"/>
              </w:rPr>
            </w:pPr>
            <w:r w:rsidRPr="00D50F16">
              <w:rPr>
                <w:b/>
                <w:bCs/>
                <w:spacing w:val="-2"/>
                <w:sz w:val="16"/>
                <w:szCs w:val="16"/>
              </w:rPr>
              <w:t>T3</w:t>
            </w:r>
          </w:p>
        </w:tc>
        <w:tc>
          <w:tcPr>
            <w:tcW w:w="520" w:type="dxa"/>
            <w:tcBorders>
              <w:top w:val="nil"/>
              <w:left w:val="nil"/>
              <w:bottom w:val="single" w:sz="4" w:space="0" w:color="auto"/>
              <w:right w:val="single" w:sz="8" w:space="0" w:color="auto"/>
            </w:tcBorders>
            <w:shd w:val="clear" w:color="auto" w:fill="C6D9F1" w:themeFill="text2" w:themeFillTint="33"/>
            <w:noWrap/>
            <w:vAlign w:val="bottom"/>
            <w:hideMark/>
          </w:tcPr>
          <w:p w:rsidR="00927E1F" w:rsidRPr="00D50F16" w:rsidRDefault="00927E1F" w:rsidP="00927E1F">
            <w:pPr>
              <w:rPr>
                <w:b/>
                <w:bCs/>
                <w:spacing w:val="-2"/>
                <w:sz w:val="16"/>
                <w:szCs w:val="16"/>
              </w:rPr>
            </w:pPr>
            <w:r w:rsidRPr="00D50F16">
              <w:rPr>
                <w:b/>
                <w:bCs/>
                <w:spacing w:val="-2"/>
                <w:sz w:val="16"/>
                <w:szCs w:val="16"/>
              </w:rPr>
              <w:t>T4</w:t>
            </w:r>
          </w:p>
        </w:tc>
        <w:tc>
          <w:tcPr>
            <w:tcW w:w="571" w:type="dxa"/>
            <w:tcBorders>
              <w:top w:val="nil"/>
              <w:left w:val="nil"/>
              <w:bottom w:val="single" w:sz="4" w:space="0" w:color="auto"/>
              <w:right w:val="single" w:sz="4" w:space="0" w:color="auto"/>
            </w:tcBorders>
            <w:shd w:val="clear" w:color="auto" w:fill="C6D9F1" w:themeFill="text2" w:themeFillTint="33"/>
            <w:noWrap/>
            <w:vAlign w:val="bottom"/>
            <w:hideMark/>
          </w:tcPr>
          <w:p w:rsidR="00927E1F" w:rsidRPr="00D50F16" w:rsidRDefault="00927E1F" w:rsidP="00927E1F">
            <w:pPr>
              <w:rPr>
                <w:b/>
                <w:bCs/>
                <w:spacing w:val="-2"/>
                <w:sz w:val="16"/>
                <w:szCs w:val="16"/>
              </w:rPr>
            </w:pPr>
            <w:r w:rsidRPr="00D50F16">
              <w:rPr>
                <w:b/>
                <w:bCs/>
                <w:spacing w:val="-2"/>
                <w:sz w:val="16"/>
                <w:szCs w:val="16"/>
              </w:rPr>
              <w:t>T1</w:t>
            </w:r>
          </w:p>
        </w:tc>
        <w:tc>
          <w:tcPr>
            <w:tcW w:w="572" w:type="dxa"/>
            <w:tcBorders>
              <w:top w:val="nil"/>
              <w:left w:val="nil"/>
              <w:bottom w:val="single" w:sz="4" w:space="0" w:color="auto"/>
              <w:right w:val="single" w:sz="4" w:space="0" w:color="auto"/>
            </w:tcBorders>
            <w:shd w:val="clear" w:color="auto" w:fill="C6D9F1" w:themeFill="text2" w:themeFillTint="33"/>
            <w:noWrap/>
            <w:vAlign w:val="bottom"/>
            <w:hideMark/>
          </w:tcPr>
          <w:p w:rsidR="00927E1F" w:rsidRPr="00D50F16" w:rsidRDefault="00927E1F" w:rsidP="00927E1F">
            <w:pPr>
              <w:rPr>
                <w:b/>
                <w:bCs/>
                <w:spacing w:val="-2"/>
                <w:sz w:val="16"/>
                <w:szCs w:val="16"/>
              </w:rPr>
            </w:pPr>
            <w:r w:rsidRPr="00D50F16">
              <w:rPr>
                <w:b/>
                <w:bCs/>
                <w:spacing w:val="-2"/>
                <w:sz w:val="16"/>
                <w:szCs w:val="16"/>
              </w:rPr>
              <w:t>T2</w:t>
            </w:r>
          </w:p>
        </w:tc>
        <w:tc>
          <w:tcPr>
            <w:tcW w:w="572" w:type="dxa"/>
            <w:tcBorders>
              <w:top w:val="nil"/>
              <w:left w:val="nil"/>
              <w:bottom w:val="single" w:sz="4" w:space="0" w:color="auto"/>
              <w:right w:val="single" w:sz="4" w:space="0" w:color="auto"/>
            </w:tcBorders>
            <w:shd w:val="clear" w:color="auto" w:fill="C6D9F1" w:themeFill="text2" w:themeFillTint="33"/>
            <w:noWrap/>
            <w:vAlign w:val="bottom"/>
            <w:hideMark/>
          </w:tcPr>
          <w:p w:rsidR="00927E1F" w:rsidRPr="00D50F16" w:rsidRDefault="00927E1F" w:rsidP="00927E1F">
            <w:pPr>
              <w:rPr>
                <w:b/>
                <w:bCs/>
                <w:spacing w:val="-2"/>
                <w:sz w:val="16"/>
                <w:szCs w:val="16"/>
              </w:rPr>
            </w:pPr>
            <w:r w:rsidRPr="00D50F16">
              <w:rPr>
                <w:b/>
                <w:bCs/>
                <w:spacing w:val="-2"/>
                <w:sz w:val="16"/>
                <w:szCs w:val="16"/>
              </w:rPr>
              <w:t>T3</w:t>
            </w:r>
          </w:p>
        </w:tc>
        <w:tc>
          <w:tcPr>
            <w:tcW w:w="574" w:type="dxa"/>
            <w:tcBorders>
              <w:top w:val="nil"/>
              <w:left w:val="nil"/>
              <w:bottom w:val="single" w:sz="4" w:space="0" w:color="auto"/>
              <w:right w:val="single" w:sz="8" w:space="0" w:color="auto"/>
            </w:tcBorders>
            <w:shd w:val="clear" w:color="auto" w:fill="C6D9F1" w:themeFill="text2" w:themeFillTint="33"/>
            <w:noWrap/>
            <w:vAlign w:val="bottom"/>
            <w:hideMark/>
          </w:tcPr>
          <w:p w:rsidR="00927E1F" w:rsidRPr="00D50F16" w:rsidRDefault="00927E1F" w:rsidP="00927E1F">
            <w:pPr>
              <w:rPr>
                <w:b/>
                <w:bCs/>
                <w:spacing w:val="-2"/>
                <w:sz w:val="16"/>
                <w:szCs w:val="16"/>
              </w:rPr>
            </w:pPr>
            <w:r w:rsidRPr="00D50F16">
              <w:rPr>
                <w:b/>
                <w:bCs/>
                <w:spacing w:val="-2"/>
                <w:sz w:val="16"/>
                <w:szCs w:val="16"/>
              </w:rPr>
              <w:t>T4</w:t>
            </w:r>
          </w:p>
        </w:tc>
        <w:tc>
          <w:tcPr>
            <w:tcW w:w="518" w:type="dxa"/>
            <w:tcBorders>
              <w:top w:val="nil"/>
              <w:left w:val="nil"/>
              <w:bottom w:val="single" w:sz="4" w:space="0" w:color="auto"/>
              <w:right w:val="single" w:sz="4" w:space="0" w:color="auto"/>
            </w:tcBorders>
            <w:shd w:val="clear" w:color="auto" w:fill="C6D9F1" w:themeFill="text2" w:themeFillTint="33"/>
            <w:noWrap/>
            <w:vAlign w:val="bottom"/>
            <w:hideMark/>
          </w:tcPr>
          <w:p w:rsidR="00927E1F" w:rsidRPr="00D50F16" w:rsidRDefault="00927E1F" w:rsidP="00927E1F">
            <w:pPr>
              <w:rPr>
                <w:b/>
                <w:bCs/>
                <w:spacing w:val="-2"/>
                <w:sz w:val="16"/>
                <w:szCs w:val="16"/>
              </w:rPr>
            </w:pPr>
            <w:r w:rsidRPr="00D50F16">
              <w:rPr>
                <w:b/>
                <w:bCs/>
                <w:spacing w:val="-2"/>
                <w:sz w:val="16"/>
                <w:szCs w:val="16"/>
              </w:rPr>
              <w:t>T1</w:t>
            </w:r>
          </w:p>
        </w:tc>
        <w:tc>
          <w:tcPr>
            <w:tcW w:w="518" w:type="dxa"/>
            <w:tcBorders>
              <w:top w:val="nil"/>
              <w:left w:val="nil"/>
              <w:bottom w:val="single" w:sz="4" w:space="0" w:color="auto"/>
              <w:right w:val="single" w:sz="4" w:space="0" w:color="auto"/>
            </w:tcBorders>
            <w:shd w:val="clear" w:color="auto" w:fill="C6D9F1" w:themeFill="text2" w:themeFillTint="33"/>
            <w:noWrap/>
            <w:vAlign w:val="bottom"/>
            <w:hideMark/>
          </w:tcPr>
          <w:p w:rsidR="00927E1F" w:rsidRPr="00D50F16" w:rsidRDefault="00927E1F" w:rsidP="00927E1F">
            <w:pPr>
              <w:rPr>
                <w:b/>
                <w:bCs/>
                <w:spacing w:val="-2"/>
                <w:sz w:val="16"/>
                <w:szCs w:val="16"/>
              </w:rPr>
            </w:pPr>
            <w:r w:rsidRPr="00D50F16">
              <w:rPr>
                <w:b/>
                <w:bCs/>
                <w:spacing w:val="-2"/>
                <w:sz w:val="16"/>
                <w:szCs w:val="16"/>
              </w:rPr>
              <w:t>T2</w:t>
            </w:r>
          </w:p>
        </w:tc>
        <w:tc>
          <w:tcPr>
            <w:tcW w:w="518" w:type="dxa"/>
            <w:tcBorders>
              <w:top w:val="nil"/>
              <w:left w:val="nil"/>
              <w:bottom w:val="single" w:sz="4" w:space="0" w:color="auto"/>
              <w:right w:val="single" w:sz="4" w:space="0" w:color="auto"/>
            </w:tcBorders>
            <w:shd w:val="clear" w:color="auto" w:fill="C6D9F1" w:themeFill="text2" w:themeFillTint="33"/>
            <w:noWrap/>
            <w:vAlign w:val="bottom"/>
            <w:hideMark/>
          </w:tcPr>
          <w:p w:rsidR="00927E1F" w:rsidRPr="00D50F16" w:rsidRDefault="00927E1F" w:rsidP="00927E1F">
            <w:pPr>
              <w:rPr>
                <w:b/>
                <w:bCs/>
                <w:spacing w:val="-2"/>
                <w:sz w:val="16"/>
                <w:szCs w:val="16"/>
              </w:rPr>
            </w:pPr>
            <w:r w:rsidRPr="00D50F16">
              <w:rPr>
                <w:b/>
                <w:bCs/>
                <w:spacing w:val="-2"/>
                <w:sz w:val="16"/>
                <w:szCs w:val="16"/>
              </w:rPr>
              <w:t>T3</w:t>
            </w:r>
          </w:p>
        </w:tc>
        <w:tc>
          <w:tcPr>
            <w:tcW w:w="518" w:type="dxa"/>
            <w:tcBorders>
              <w:top w:val="nil"/>
              <w:left w:val="nil"/>
              <w:bottom w:val="single" w:sz="4" w:space="0" w:color="auto"/>
              <w:right w:val="single" w:sz="8" w:space="0" w:color="auto"/>
            </w:tcBorders>
            <w:shd w:val="clear" w:color="auto" w:fill="C6D9F1" w:themeFill="text2" w:themeFillTint="33"/>
            <w:noWrap/>
            <w:vAlign w:val="bottom"/>
            <w:hideMark/>
          </w:tcPr>
          <w:p w:rsidR="00927E1F" w:rsidRPr="00D50F16" w:rsidRDefault="00927E1F" w:rsidP="00927E1F">
            <w:pPr>
              <w:rPr>
                <w:b/>
                <w:bCs/>
                <w:spacing w:val="-2"/>
                <w:sz w:val="16"/>
                <w:szCs w:val="16"/>
              </w:rPr>
            </w:pPr>
            <w:r w:rsidRPr="00D50F16">
              <w:rPr>
                <w:b/>
                <w:bCs/>
                <w:spacing w:val="-2"/>
                <w:sz w:val="16"/>
                <w:szCs w:val="16"/>
              </w:rPr>
              <w:t>T4</w:t>
            </w:r>
          </w:p>
        </w:tc>
      </w:tr>
      <w:tr w:rsidR="00927E1F" w:rsidRPr="00D50F16" w:rsidTr="00927E1F">
        <w:trPr>
          <w:gridAfter w:val="1"/>
          <w:wAfter w:w="6" w:type="dxa"/>
          <w:trHeight w:val="661"/>
          <w:jc w:val="center"/>
        </w:trPr>
        <w:tc>
          <w:tcPr>
            <w:tcW w:w="2408" w:type="dxa"/>
            <w:tcBorders>
              <w:top w:val="nil"/>
              <w:left w:val="single" w:sz="8" w:space="0" w:color="auto"/>
              <w:bottom w:val="single" w:sz="4" w:space="0" w:color="auto"/>
              <w:right w:val="single" w:sz="8" w:space="0" w:color="auto"/>
            </w:tcBorders>
            <w:shd w:val="clear" w:color="auto" w:fill="auto"/>
            <w:noWrap/>
            <w:vAlign w:val="bottom"/>
          </w:tcPr>
          <w:p w:rsidR="00927E1F" w:rsidRPr="00D50F16" w:rsidRDefault="00927E1F" w:rsidP="00927E1F">
            <w:pPr>
              <w:spacing w:before="40" w:after="40"/>
              <w:rPr>
                <w:color w:val="000000"/>
                <w:spacing w:val="-2"/>
                <w:sz w:val="15"/>
                <w:szCs w:val="15"/>
              </w:rPr>
            </w:pPr>
            <w:r w:rsidRPr="00D50F16">
              <w:rPr>
                <w:spacing w:val="-2"/>
                <w:sz w:val="15"/>
                <w:szCs w:val="15"/>
              </w:rPr>
              <w:t xml:space="preserve">Évaluation de l’état actuel </w:t>
            </w:r>
            <w:r w:rsidRPr="00D50F16">
              <w:rPr>
                <w:color w:val="000000"/>
                <w:spacing w:val="-2"/>
                <w:sz w:val="15"/>
                <w:szCs w:val="15"/>
              </w:rPr>
              <w:t>et feuille de route relative à l’architecture de référence et à la mise en œuvre</w:t>
            </w:r>
          </w:p>
        </w:tc>
        <w:tc>
          <w:tcPr>
            <w:tcW w:w="517" w:type="dxa"/>
            <w:tcBorders>
              <w:top w:val="nil"/>
              <w:left w:val="nil"/>
              <w:bottom w:val="single" w:sz="4" w:space="0" w:color="auto"/>
              <w:right w:val="single" w:sz="4" w:space="0" w:color="auto"/>
            </w:tcBorders>
            <w:shd w:val="clear" w:color="auto" w:fill="auto"/>
            <w:noWrap/>
            <w:vAlign w:val="bottom"/>
          </w:tcPr>
          <w:p w:rsidR="00927E1F" w:rsidRPr="00D50F16" w:rsidRDefault="00927E1F" w:rsidP="00927E1F">
            <w:pPr>
              <w:spacing w:before="40" w:after="40"/>
              <w:rPr>
                <w:color w:val="000000"/>
                <w:spacing w:val="-2"/>
                <w:sz w:val="16"/>
                <w:szCs w:val="16"/>
              </w:rPr>
            </w:pPr>
          </w:p>
        </w:tc>
        <w:tc>
          <w:tcPr>
            <w:tcW w:w="517" w:type="dxa"/>
            <w:tcBorders>
              <w:top w:val="nil"/>
              <w:left w:val="nil"/>
              <w:bottom w:val="single" w:sz="4" w:space="0" w:color="auto"/>
              <w:right w:val="single" w:sz="4" w:space="0" w:color="auto"/>
            </w:tcBorders>
            <w:shd w:val="clear" w:color="auto" w:fill="auto"/>
            <w:noWrap/>
            <w:vAlign w:val="bottom"/>
          </w:tcPr>
          <w:p w:rsidR="00927E1F" w:rsidRPr="00D50F16" w:rsidRDefault="00927E1F" w:rsidP="00927E1F">
            <w:pPr>
              <w:spacing w:before="40" w:after="40"/>
              <w:rPr>
                <w:color w:val="000000"/>
                <w:spacing w:val="-2"/>
                <w:sz w:val="16"/>
                <w:szCs w:val="16"/>
              </w:rPr>
            </w:pPr>
          </w:p>
        </w:tc>
        <w:tc>
          <w:tcPr>
            <w:tcW w:w="518" w:type="dxa"/>
            <w:tcBorders>
              <w:top w:val="nil"/>
              <w:left w:val="nil"/>
              <w:bottom w:val="single" w:sz="4" w:space="0" w:color="auto"/>
              <w:right w:val="single" w:sz="4" w:space="0" w:color="auto"/>
            </w:tcBorders>
            <w:shd w:val="clear" w:color="auto" w:fill="auto"/>
            <w:noWrap/>
            <w:vAlign w:val="bottom"/>
          </w:tcPr>
          <w:p w:rsidR="00927E1F" w:rsidRPr="00D50F16" w:rsidRDefault="00927E1F" w:rsidP="00927E1F">
            <w:pPr>
              <w:spacing w:before="40" w:after="40"/>
              <w:rPr>
                <w:color w:val="000000"/>
                <w:spacing w:val="-2"/>
                <w:sz w:val="16"/>
                <w:szCs w:val="16"/>
              </w:rPr>
            </w:pPr>
          </w:p>
        </w:tc>
        <w:tc>
          <w:tcPr>
            <w:tcW w:w="520" w:type="dxa"/>
            <w:tcBorders>
              <w:top w:val="nil"/>
              <w:left w:val="nil"/>
              <w:bottom w:val="single" w:sz="4" w:space="0" w:color="auto"/>
              <w:right w:val="single" w:sz="8" w:space="0" w:color="auto"/>
            </w:tcBorders>
            <w:shd w:val="clear" w:color="auto" w:fill="auto"/>
            <w:noWrap/>
            <w:vAlign w:val="center"/>
          </w:tcPr>
          <w:p w:rsidR="00927E1F" w:rsidRPr="00D50F16" w:rsidRDefault="00927E1F" w:rsidP="00927E1F">
            <w:pPr>
              <w:spacing w:before="40" w:after="40"/>
              <w:jc w:val="center"/>
              <w:rPr>
                <w:color w:val="000000"/>
                <w:spacing w:val="-2"/>
                <w:sz w:val="16"/>
                <w:szCs w:val="16"/>
              </w:rPr>
            </w:pPr>
            <w:r w:rsidRPr="00D50F16">
              <w:rPr>
                <w:color w:val="000000"/>
                <w:spacing w:val="-2"/>
                <w:sz w:val="16"/>
                <w:szCs w:val="16"/>
              </w:rPr>
              <w:t>X</w:t>
            </w:r>
          </w:p>
        </w:tc>
        <w:tc>
          <w:tcPr>
            <w:tcW w:w="571" w:type="dxa"/>
            <w:tcBorders>
              <w:top w:val="nil"/>
              <w:left w:val="nil"/>
              <w:bottom w:val="single" w:sz="4" w:space="0" w:color="auto"/>
              <w:right w:val="single" w:sz="4" w:space="0" w:color="auto"/>
            </w:tcBorders>
            <w:shd w:val="clear" w:color="auto" w:fill="auto"/>
            <w:noWrap/>
            <w:vAlign w:val="center"/>
          </w:tcPr>
          <w:p w:rsidR="00927E1F" w:rsidRPr="00D50F16" w:rsidRDefault="00927E1F" w:rsidP="00927E1F">
            <w:pPr>
              <w:spacing w:before="40" w:after="40"/>
              <w:jc w:val="center"/>
              <w:rPr>
                <w:color w:val="000000"/>
                <w:spacing w:val="-2"/>
                <w:sz w:val="16"/>
                <w:szCs w:val="16"/>
              </w:rPr>
            </w:pPr>
            <w:r w:rsidRPr="00D50F16">
              <w:rPr>
                <w:color w:val="000000"/>
                <w:spacing w:val="-2"/>
                <w:sz w:val="16"/>
                <w:szCs w:val="16"/>
              </w:rPr>
              <w:t>X</w:t>
            </w:r>
          </w:p>
        </w:tc>
        <w:tc>
          <w:tcPr>
            <w:tcW w:w="572" w:type="dxa"/>
            <w:tcBorders>
              <w:top w:val="nil"/>
              <w:left w:val="nil"/>
              <w:bottom w:val="single" w:sz="4" w:space="0" w:color="auto"/>
              <w:right w:val="single" w:sz="4" w:space="0" w:color="auto"/>
            </w:tcBorders>
            <w:shd w:val="clear" w:color="auto" w:fill="auto"/>
            <w:noWrap/>
            <w:vAlign w:val="center"/>
          </w:tcPr>
          <w:p w:rsidR="00927E1F" w:rsidRPr="00D50F16" w:rsidRDefault="00927E1F" w:rsidP="00927E1F">
            <w:pPr>
              <w:spacing w:before="40" w:after="40"/>
              <w:jc w:val="center"/>
              <w:rPr>
                <w:color w:val="000000"/>
                <w:spacing w:val="-2"/>
                <w:sz w:val="16"/>
                <w:szCs w:val="16"/>
              </w:rPr>
            </w:pPr>
            <w:r w:rsidRPr="00D50F16">
              <w:rPr>
                <w:color w:val="000000"/>
                <w:spacing w:val="-2"/>
                <w:sz w:val="16"/>
                <w:szCs w:val="16"/>
              </w:rPr>
              <w:t>X</w:t>
            </w:r>
          </w:p>
        </w:tc>
        <w:tc>
          <w:tcPr>
            <w:tcW w:w="572" w:type="dxa"/>
            <w:tcBorders>
              <w:top w:val="nil"/>
              <w:left w:val="nil"/>
              <w:bottom w:val="single" w:sz="4" w:space="0" w:color="auto"/>
              <w:right w:val="single" w:sz="4" w:space="0" w:color="auto"/>
            </w:tcBorders>
            <w:shd w:val="clear" w:color="auto" w:fill="auto"/>
            <w:noWrap/>
            <w:vAlign w:val="center"/>
          </w:tcPr>
          <w:p w:rsidR="00927E1F" w:rsidRPr="00D50F16" w:rsidRDefault="00927E1F" w:rsidP="00927E1F">
            <w:pPr>
              <w:spacing w:before="40" w:after="40"/>
              <w:jc w:val="center"/>
              <w:rPr>
                <w:color w:val="000000"/>
                <w:spacing w:val="-2"/>
                <w:sz w:val="16"/>
                <w:szCs w:val="16"/>
              </w:rPr>
            </w:pPr>
          </w:p>
        </w:tc>
        <w:tc>
          <w:tcPr>
            <w:tcW w:w="574" w:type="dxa"/>
            <w:tcBorders>
              <w:top w:val="nil"/>
              <w:left w:val="nil"/>
              <w:bottom w:val="single" w:sz="4" w:space="0" w:color="auto"/>
              <w:right w:val="single" w:sz="8" w:space="0" w:color="auto"/>
            </w:tcBorders>
            <w:shd w:val="clear" w:color="auto" w:fill="auto"/>
            <w:noWrap/>
            <w:vAlign w:val="center"/>
          </w:tcPr>
          <w:p w:rsidR="00927E1F" w:rsidRPr="00D50F16" w:rsidRDefault="00927E1F" w:rsidP="00927E1F">
            <w:pPr>
              <w:spacing w:before="40" w:after="40"/>
              <w:jc w:val="center"/>
              <w:rPr>
                <w:color w:val="000000"/>
                <w:spacing w:val="-2"/>
                <w:sz w:val="16"/>
                <w:szCs w:val="16"/>
              </w:rPr>
            </w:pPr>
          </w:p>
        </w:tc>
        <w:tc>
          <w:tcPr>
            <w:tcW w:w="518" w:type="dxa"/>
            <w:tcBorders>
              <w:top w:val="nil"/>
              <w:left w:val="nil"/>
              <w:bottom w:val="single" w:sz="4" w:space="0" w:color="auto"/>
              <w:right w:val="single" w:sz="4" w:space="0" w:color="auto"/>
            </w:tcBorders>
            <w:shd w:val="clear" w:color="auto" w:fill="auto"/>
            <w:noWrap/>
            <w:vAlign w:val="center"/>
          </w:tcPr>
          <w:p w:rsidR="00927E1F" w:rsidRPr="00D50F16" w:rsidRDefault="00927E1F" w:rsidP="00927E1F">
            <w:pPr>
              <w:spacing w:before="40" w:after="40"/>
              <w:jc w:val="center"/>
              <w:rPr>
                <w:color w:val="000000"/>
                <w:spacing w:val="-2"/>
                <w:sz w:val="16"/>
                <w:szCs w:val="16"/>
              </w:rPr>
            </w:pPr>
          </w:p>
        </w:tc>
        <w:tc>
          <w:tcPr>
            <w:tcW w:w="518" w:type="dxa"/>
            <w:tcBorders>
              <w:top w:val="nil"/>
              <w:left w:val="nil"/>
              <w:bottom w:val="single" w:sz="4" w:space="0" w:color="auto"/>
              <w:right w:val="single" w:sz="4" w:space="0" w:color="auto"/>
            </w:tcBorders>
            <w:shd w:val="clear" w:color="auto" w:fill="auto"/>
            <w:noWrap/>
            <w:vAlign w:val="center"/>
          </w:tcPr>
          <w:p w:rsidR="00927E1F" w:rsidRPr="00D50F16" w:rsidRDefault="00927E1F" w:rsidP="00927E1F">
            <w:pPr>
              <w:spacing w:before="40" w:after="40"/>
              <w:jc w:val="center"/>
              <w:rPr>
                <w:color w:val="000000"/>
                <w:spacing w:val="-2"/>
                <w:sz w:val="16"/>
                <w:szCs w:val="16"/>
              </w:rPr>
            </w:pPr>
          </w:p>
        </w:tc>
        <w:tc>
          <w:tcPr>
            <w:tcW w:w="518" w:type="dxa"/>
            <w:tcBorders>
              <w:top w:val="nil"/>
              <w:left w:val="nil"/>
              <w:bottom w:val="single" w:sz="4" w:space="0" w:color="auto"/>
              <w:right w:val="single" w:sz="4" w:space="0" w:color="auto"/>
            </w:tcBorders>
            <w:shd w:val="clear" w:color="auto" w:fill="auto"/>
            <w:noWrap/>
            <w:vAlign w:val="center"/>
          </w:tcPr>
          <w:p w:rsidR="00927E1F" w:rsidRPr="00D50F16" w:rsidRDefault="00927E1F" w:rsidP="00927E1F">
            <w:pPr>
              <w:spacing w:before="40" w:after="40"/>
              <w:jc w:val="center"/>
              <w:rPr>
                <w:color w:val="000000"/>
                <w:spacing w:val="-2"/>
                <w:sz w:val="16"/>
                <w:szCs w:val="16"/>
              </w:rPr>
            </w:pPr>
          </w:p>
        </w:tc>
        <w:tc>
          <w:tcPr>
            <w:tcW w:w="518" w:type="dxa"/>
            <w:tcBorders>
              <w:top w:val="nil"/>
              <w:left w:val="nil"/>
              <w:bottom w:val="single" w:sz="4" w:space="0" w:color="auto"/>
              <w:right w:val="single" w:sz="8" w:space="0" w:color="auto"/>
            </w:tcBorders>
            <w:shd w:val="clear" w:color="auto" w:fill="auto"/>
            <w:noWrap/>
            <w:vAlign w:val="center"/>
          </w:tcPr>
          <w:p w:rsidR="00927E1F" w:rsidRPr="00D50F16" w:rsidRDefault="00927E1F" w:rsidP="00927E1F">
            <w:pPr>
              <w:spacing w:before="40" w:after="40"/>
              <w:jc w:val="center"/>
              <w:rPr>
                <w:color w:val="000000"/>
                <w:spacing w:val="-2"/>
                <w:sz w:val="16"/>
                <w:szCs w:val="16"/>
              </w:rPr>
            </w:pPr>
          </w:p>
        </w:tc>
      </w:tr>
      <w:tr w:rsidR="00927E1F" w:rsidRPr="00D50F16" w:rsidTr="00927E1F">
        <w:trPr>
          <w:gridAfter w:val="1"/>
          <w:wAfter w:w="6" w:type="dxa"/>
          <w:trHeight w:val="661"/>
          <w:jc w:val="center"/>
        </w:trPr>
        <w:tc>
          <w:tcPr>
            <w:tcW w:w="2408" w:type="dxa"/>
            <w:tcBorders>
              <w:top w:val="nil"/>
              <w:left w:val="single" w:sz="8" w:space="0" w:color="auto"/>
              <w:bottom w:val="single" w:sz="4" w:space="0" w:color="auto"/>
              <w:right w:val="single" w:sz="8" w:space="0" w:color="auto"/>
            </w:tcBorders>
            <w:shd w:val="clear" w:color="auto" w:fill="auto"/>
            <w:noWrap/>
            <w:vAlign w:val="center"/>
          </w:tcPr>
          <w:p w:rsidR="00927E1F" w:rsidRPr="00D50F16" w:rsidRDefault="00927E1F" w:rsidP="00927E1F">
            <w:pPr>
              <w:spacing w:before="40" w:after="40"/>
              <w:rPr>
                <w:spacing w:val="-2"/>
                <w:sz w:val="15"/>
                <w:szCs w:val="15"/>
              </w:rPr>
            </w:pPr>
            <w:r w:rsidRPr="00D50F16">
              <w:rPr>
                <w:spacing w:val="-2"/>
                <w:sz w:val="15"/>
                <w:szCs w:val="15"/>
              </w:rPr>
              <w:t>Mise en œuvre par ordre de priorité d’une feuille de route pour</w:t>
            </w:r>
            <w:r w:rsidRPr="00D50F16">
              <w:rPr>
                <w:bCs/>
                <w:iCs/>
                <w:spacing w:val="-2"/>
                <w:sz w:val="15"/>
                <w:szCs w:val="15"/>
              </w:rPr>
              <w:t xml:space="preserve"> les capacités en termes de gestion de l’identité et des accès et de cryptage,</w:t>
            </w:r>
            <w:r w:rsidRPr="00D50F16">
              <w:rPr>
                <w:spacing w:val="-2"/>
                <w:sz w:val="15"/>
                <w:szCs w:val="15"/>
              </w:rPr>
              <w:t xml:space="preserve"> et cas d’utilisation </w:t>
            </w:r>
          </w:p>
        </w:tc>
        <w:tc>
          <w:tcPr>
            <w:tcW w:w="517" w:type="dxa"/>
            <w:tcBorders>
              <w:top w:val="nil"/>
              <w:left w:val="nil"/>
              <w:bottom w:val="single" w:sz="4" w:space="0" w:color="auto"/>
              <w:right w:val="single" w:sz="4" w:space="0" w:color="auto"/>
            </w:tcBorders>
            <w:shd w:val="clear" w:color="auto" w:fill="auto"/>
            <w:noWrap/>
            <w:vAlign w:val="bottom"/>
          </w:tcPr>
          <w:p w:rsidR="00927E1F" w:rsidRPr="00D50F16" w:rsidRDefault="00927E1F" w:rsidP="00927E1F">
            <w:pPr>
              <w:spacing w:before="40" w:after="40"/>
              <w:rPr>
                <w:color w:val="000000"/>
                <w:spacing w:val="-2"/>
                <w:sz w:val="16"/>
                <w:szCs w:val="16"/>
              </w:rPr>
            </w:pPr>
          </w:p>
        </w:tc>
        <w:tc>
          <w:tcPr>
            <w:tcW w:w="517" w:type="dxa"/>
            <w:tcBorders>
              <w:top w:val="nil"/>
              <w:left w:val="nil"/>
              <w:bottom w:val="single" w:sz="4" w:space="0" w:color="auto"/>
              <w:right w:val="single" w:sz="4" w:space="0" w:color="auto"/>
            </w:tcBorders>
            <w:shd w:val="clear" w:color="auto" w:fill="auto"/>
            <w:noWrap/>
            <w:vAlign w:val="bottom"/>
          </w:tcPr>
          <w:p w:rsidR="00927E1F" w:rsidRPr="00D50F16" w:rsidRDefault="00927E1F" w:rsidP="00927E1F">
            <w:pPr>
              <w:spacing w:before="40" w:after="40"/>
              <w:rPr>
                <w:color w:val="000000"/>
                <w:spacing w:val="-2"/>
                <w:sz w:val="16"/>
                <w:szCs w:val="16"/>
              </w:rPr>
            </w:pPr>
          </w:p>
        </w:tc>
        <w:tc>
          <w:tcPr>
            <w:tcW w:w="518" w:type="dxa"/>
            <w:tcBorders>
              <w:top w:val="nil"/>
              <w:left w:val="nil"/>
              <w:bottom w:val="single" w:sz="4" w:space="0" w:color="auto"/>
              <w:right w:val="single" w:sz="4" w:space="0" w:color="auto"/>
            </w:tcBorders>
            <w:shd w:val="clear" w:color="auto" w:fill="auto"/>
            <w:noWrap/>
            <w:vAlign w:val="bottom"/>
          </w:tcPr>
          <w:p w:rsidR="00927E1F" w:rsidRPr="00D50F16" w:rsidRDefault="00927E1F" w:rsidP="00927E1F">
            <w:pPr>
              <w:spacing w:before="40" w:after="40"/>
              <w:rPr>
                <w:color w:val="000000"/>
                <w:spacing w:val="-2"/>
                <w:sz w:val="16"/>
                <w:szCs w:val="16"/>
              </w:rPr>
            </w:pPr>
          </w:p>
        </w:tc>
        <w:tc>
          <w:tcPr>
            <w:tcW w:w="520" w:type="dxa"/>
            <w:tcBorders>
              <w:top w:val="nil"/>
              <w:left w:val="nil"/>
              <w:bottom w:val="single" w:sz="4" w:space="0" w:color="auto"/>
              <w:right w:val="single" w:sz="8" w:space="0" w:color="auto"/>
            </w:tcBorders>
            <w:shd w:val="clear" w:color="auto" w:fill="auto"/>
            <w:noWrap/>
            <w:vAlign w:val="center"/>
          </w:tcPr>
          <w:p w:rsidR="00927E1F" w:rsidRPr="00D50F16" w:rsidRDefault="00927E1F" w:rsidP="00927E1F">
            <w:pPr>
              <w:spacing w:before="40" w:after="40"/>
              <w:jc w:val="center"/>
              <w:rPr>
                <w:color w:val="000000"/>
                <w:spacing w:val="-2"/>
                <w:sz w:val="16"/>
                <w:szCs w:val="16"/>
              </w:rPr>
            </w:pPr>
          </w:p>
        </w:tc>
        <w:tc>
          <w:tcPr>
            <w:tcW w:w="571" w:type="dxa"/>
            <w:tcBorders>
              <w:top w:val="nil"/>
              <w:left w:val="nil"/>
              <w:bottom w:val="single" w:sz="4" w:space="0" w:color="auto"/>
              <w:right w:val="single" w:sz="4" w:space="0" w:color="auto"/>
            </w:tcBorders>
            <w:shd w:val="clear" w:color="auto" w:fill="auto"/>
            <w:noWrap/>
            <w:vAlign w:val="center"/>
          </w:tcPr>
          <w:p w:rsidR="00927E1F" w:rsidRPr="00D50F16" w:rsidRDefault="00927E1F" w:rsidP="00927E1F">
            <w:pPr>
              <w:spacing w:before="40" w:after="40"/>
              <w:jc w:val="center"/>
              <w:rPr>
                <w:color w:val="000000"/>
                <w:spacing w:val="-2"/>
                <w:sz w:val="16"/>
                <w:szCs w:val="16"/>
              </w:rPr>
            </w:pPr>
          </w:p>
        </w:tc>
        <w:tc>
          <w:tcPr>
            <w:tcW w:w="572" w:type="dxa"/>
            <w:tcBorders>
              <w:top w:val="nil"/>
              <w:left w:val="nil"/>
              <w:bottom w:val="single" w:sz="4" w:space="0" w:color="auto"/>
              <w:right w:val="single" w:sz="4" w:space="0" w:color="auto"/>
            </w:tcBorders>
            <w:shd w:val="clear" w:color="auto" w:fill="auto"/>
            <w:noWrap/>
            <w:vAlign w:val="center"/>
          </w:tcPr>
          <w:p w:rsidR="00927E1F" w:rsidRPr="00D50F16" w:rsidRDefault="00927E1F" w:rsidP="00927E1F">
            <w:pPr>
              <w:spacing w:before="40" w:after="40"/>
              <w:jc w:val="center"/>
              <w:rPr>
                <w:color w:val="000000"/>
                <w:spacing w:val="-2"/>
                <w:sz w:val="16"/>
                <w:szCs w:val="16"/>
              </w:rPr>
            </w:pPr>
          </w:p>
        </w:tc>
        <w:tc>
          <w:tcPr>
            <w:tcW w:w="572" w:type="dxa"/>
            <w:tcBorders>
              <w:top w:val="nil"/>
              <w:left w:val="nil"/>
              <w:bottom w:val="single" w:sz="4" w:space="0" w:color="auto"/>
              <w:right w:val="single" w:sz="4" w:space="0" w:color="auto"/>
            </w:tcBorders>
            <w:shd w:val="clear" w:color="auto" w:fill="auto"/>
            <w:noWrap/>
            <w:vAlign w:val="center"/>
          </w:tcPr>
          <w:p w:rsidR="00927E1F" w:rsidRPr="00D50F16" w:rsidRDefault="00927E1F" w:rsidP="00927E1F">
            <w:pPr>
              <w:spacing w:before="40" w:after="40"/>
              <w:jc w:val="center"/>
              <w:rPr>
                <w:color w:val="000000"/>
                <w:spacing w:val="-2"/>
                <w:sz w:val="16"/>
                <w:szCs w:val="16"/>
              </w:rPr>
            </w:pPr>
            <w:r w:rsidRPr="00D50F16">
              <w:rPr>
                <w:color w:val="000000"/>
                <w:spacing w:val="-2"/>
                <w:sz w:val="16"/>
                <w:szCs w:val="16"/>
              </w:rPr>
              <w:t>X</w:t>
            </w:r>
          </w:p>
        </w:tc>
        <w:tc>
          <w:tcPr>
            <w:tcW w:w="574" w:type="dxa"/>
            <w:tcBorders>
              <w:top w:val="nil"/>
              <w:left w:val="nil"/>
              <w:bottom w:val="single" w:sz="4" w:space="0" w:color="auto"/>
              <w:right w:val="single" w:sz="8" w:space="0" w:color="auto"/>
            </w:tcBorders>
            <w:shd w:val="clear" w:color="auto" w:fill="auto"/>
            <w:noWrap/>
            <w:vAlign w:val="center"/>
          </w:tcPr>
          <w:p w:rsidR="00927E1F" w:rsidRPr="00D50F16" w:rsidRDefault="00927E1F" w:rsidP="00927E1F">
            <w:pPr>
              <w:spacing w:before="40" w:after="40"/>
              <w:jc w:val="center"/>
              <w:rPr>
                <w:color w:val="000000"/>
                <w:spacing w:val="-2"/>
                <w:sz w:val="16"/>
                <w:szCs w:val="16"/>
              </w:rPr>
            </w:pPr>
            <w:r w:rsidRPr="00D50F16">
              <w:rPr>
                <w:color w:val="000000"/>
                <w:spacing w:val="-2"/>
                <w:sz w:val="16"/>
                <w:szCs w:val="16"/>
              </w:rPr>
              <w:t>X</w:t>
            </w:r>
          </w:p>
        </w:tc>
        <w:tc>
          <w:tcPr>
            <w:tcW w:w="518" w:type="dxa"/>
            <w:tcBorders>
              <w:top w:val="nil"/>
              <w:left w:val="nil"/>
              <w:bottom w:val="single" w:sz="4" w:space="0" w:color="auto"/>
              <w:right w:val="single" w:sz="4" w:space="0" w:color="auto"/>
            </w:tcBorders>
            <w:shd w:val="clear" w:color="auto" w:fill="auto"/>
            <w:noWrap/>
            <w:vAlign w:val="center"/>
          </w:tcPr>
          <w:p w:rsidR="00927E1F" w:rsidRPr="00D50F16" w:rsidRDefault="00927E1F" w:rsidP="00927E1F">
            <w:pPr>
              <w:spacing w:before="40" w:after="40"/>
              <w:jc w:val="center"/>
              <w:rPr>
                <w:color w:val="000000"/>
                <w:spacing w:val="-2"/>
                <w:sz w:val="16"/>
                <w:szCs w:val="16"/>
              </w:rPr>
            </w:pPr>
            <w:r w:rsidRPr="00D50F16">
              <w:rPr>
                <w:color w:val="000000"/>
                <w:spacing w:val="-2"/>
                <w:sz w:val="16"/>
                <w:szCs w:val="16"/>
              </w:rPr>
              <w:t>X</w:t>
            </w:r>
          </w:p>
        </w:tc>
        <w:tc>
          <w:tcPr>
            <w:tcW w:w="518" w:type="dxa"/>
            <w:tcBorders>
              <w:top w:val="nil"/>
              <w:left w:val="nil"/>
              <w:bottom w:val="single" w:sz="4" w:space="0" w:color="auto"/>
              <w:right w:val="single" w:sz="4" w:space="0" w:color="auto"/>
            </w:tcBorders>
            <w:shd w:val="clear" w:color="auto" w:fill="auto"/>
            <w:noWrap/>
            <w:vAlign w:val="center"/>
          </w:tcPr>
          <w:p w:rsidR="00927E1F" w:rsidRPr="00D50F16" w:rsidRDefault="00927E1F" w:rsidP="00927E1F">
            <w:pPr>
              <w:spacing w:before="40" w:after="40"/>
              <w:jc w:val="center"/>
              <w:rPr>
                <w:color w:val="000000"/>
                <w:spacing w:val="-2"/>
                <w:sz w:val="16"/>
                <w:szCs w:val="16"/>
              </w:rPr>
            </w:pPr>
            <w:r w:rsidRPr="00D50F16">
              <w:rPr>
                <w:color w:val="000000"/>
                <w:spacing w:val="-2"/>
                <w:sz w:val="16"/>
                <w:szCs w:val="16"/>
              </w:rPr>
              <w:t>X</w:t>
            </w:r>
          </w:p>
        </w:tc>
        <w:tc>
          <w:tcPr>
            <w:tcW w:w="518" w:type="dxa"/>
            <w:tcBorders>
              <w:top w:val="nil"/>
              <w:left w:val="nil"/>
              <w:bottom w:val="single" w:sz="4" w:space="0" w:color="auto"/>
              <w:right w:val="single" w:sz="4" w:space="0" w:color="auto"/>
            </w:tcBorders>
            <w:shd w:val="clear" w:color="auto" w:fill="auto"/>
            <w:noWrap/>
            <w:vAlign w:val="center"/>
          </w:tcPr>
          <w:p w:rsidR="00927E1F" w:rsidRPr="00D50F16" w:rsidRDefault="00927E1F" w:rsidP="00927E1F">
            <w:pPr>
              <w:spacing w:before="40" w:after="40"/>
              <w:jc w:val="center"/>
              <w:rPr>
                <w:color w:val="000000"/>
                <w:spacing w:val="-2"/>
                <w:sz w:val="16"/>
                <w:szCs w:val="16"/>
              </w:rPr>
            </w:pPr>
            <w:r w:rsidRPr="00D50F16">
              <w:rPr>
                <w:color w:val="000000"/>
                <w:spacing w:val="-2"/>
                <w:sz w:val="16"/>
                <w:szCs w:val="16"/>
              </w:rPr>
              <w:t>X</w:t>
            </w:r>
          </w:p>
        </w:tc>
        <w:tc>
          <w:tcPr>
            <w:tcW w:w="518" w:type="dxa"/>
            <w:tcBorders>
              <w:top w:val="nil"/>
              <w:left w:val="nil"/>
              <w:bottom w:val="single" w:sz="4" w:space="0" w:color="auto"/>
              <w:right w:val="single" w:sz="8" w:space="0" w:color="auto"/>
            </w:tcBorders>
            <w:shd w:val="clear" w:color="auto" w:fill="auto"/>
            <w:noWrap/>
            <w:vAlign w:val="center"/>
          </w:tcPr>
          <w:p w:rsidR="00927E1F" w:rsidRPr="00D50F16" w:rsidRDefault="00927E1F" w:rsidP="00927E1F">
            <w:pPr>
              <w:spacing w:before="40" w:after="40"/>
              <w:jc w:val="center"/>
              <w:rPr>
                <w:color w:val="000000"/>
                <w:spacing w:val="-2"/>
                <w:sz w:val="16"/>
                <w:szCs w:val="16"/>
              </w:rPr>
            </w:pPr>
            <w:r w:rsidRPr="00D50F16">
              <w:rPr>
                <w:color w:val="000000"/>
                <w:spacing w:val="-2"/>
                <w:sz w:val="16"/>
                <w:szCs w:val="16"/>
              </w:rPr>
              <w:t>X</w:t>
            </w:r>
          </w:p>
        </w:tc>
      </w:tr>
    </w:tbl>
    <w:p w:rsidR="00927E1F" w:rsidRPr="00D50F16" w:rsidRDefault="00927E1F" w:rsidP="00927E1F">
      <w:pPr>
        <w:keepNext/>
        <w:keepLines/>
        <w:tabs>
          <w:tab w:val="left" w:pos="3261"/>
        </w:tabs>
        <w:autoSpaceDE w:val="0"/>
        <w:autoSpaceDN w:val="0"/>
        <w:adjustRightInd w:val="0"/>
        <w:jc w:val="center"/>
        <w:rPr>
          <w:b/>
          <w:szCs w:val="22"/>
        </w:rPr>
      </w:pPr>
    </w:p>
    <w:p w:rsidR="00927E1F" w:rsidRPr="00D50F16" w:rsidRDefault="00927E1F" w:rsidP="00927E1F">
      <w:pPr>
        <w:rPr>
          <w:b/>
          <w:sz w:val="22"/>
        </w:rPr>
      </w:pPr>
      <w:r w:rsidRPr="00D50F16">
        <w:br w:type="page"/>
      </w:r>
      <w:r w:rsidRPr="00D50F16">
        <w:rPr>
          <w:b/>
          <w:sz w:val="22"/>
        </w:rPr>
        <w:lastRenderedPageBreak/>
        <w:t>PROJETS DANS LE DOMAINE DES TIC</w:t>
      </w:r>
    </w:p>
    <w:p w:rsidR="00927E1F" w:rsidRPr="00D50F16" w:rsidRDefault="00927E1F" w:rsidP="00927E1F">
      <w:pPr>
        <w:rPr>
          <w:b/>
          <w:i/>
        </w:rPr>
      </w:pPr>
      <w:bookmarkStart w:id="189" w:name="_Toc422210524"/>
    </w:p>
    <w:p w:rsidR="00927E1F" w:rsidRPr="00D50F16" w:rsidRDefault="00927E1F" w:rsidP="00783605">
      <w:pPr>
        <w:pStyle w:val="Heading8"/>
      </w:pPr>
      <w:bookmarkStart w:id="190" w:name="_Toc423352909"/>
      <w:bookmarkStart w:id="191" w:name="_Toc455394222"/>
      <w:r w:rsidRPr="00D50F16">
        <w:t>PROJET 2</w:t>
      </w:r>
      <w:r w:rsidRPr="00D50F16">
        <w:tab/>
        <w:t>MISE EN ŒUVRE DU SYSTÈME DE GESTION DES CONTENUS DE L’ORGANISATION</w:t>
      </w:r>
      <w:bookmarkEnd w:id="189"/>
      <w:bookmarkEnd w:id="190"/>
      <w:bookmarkEnd w:id="191"/>
    </w:p>
    <w:p w:rsidR="00927E1F" w:rsidRPr="00D50F16" w:rsidRDefault="00927E1F" w:rsidP="00927E1F">
      <w:pPr>
        <w:rPr>
          <w:b/>
          <w:sz w:val="18"/>
        </w:rPr>
      </w:pPr>
    </w:p>
    <w:p w:rsidR="00927E1F" w:rsidRPr="00D50F16" w:rsidRDefault="00927E1F" w:rsidP="00927E1F">
      <w:pPr>
        <w:rPr>
          <w:b/>
          <w:sz w:val="22"/>
          <w:szCs w:val="22"/>
        </w:rPr>
      </w:pPr>
      <w:r w:rsidRPr="00D50F16">
        <w:rPr>
          <w:b/>
          <w:sz w:val="22"/>
        </w:rPr>
        <w:t>Chef de projet</w:t>
      </w:r>
      <w:r w:rsidRPr="00D50F16">
        <w:rPr>
          <w:b/>
          <w:sz w:val="22"/>
        </w:rPr>
        <w:tab/>
        <w:t>M. G. Beaver</w:t>
      </w:r>
    </w:p>
    <w:p w:rsidR="00927E1F" w:rsidRPr="00D50F16" w:rsidRDefault="00927E1F" w:rsidP="00927E1F">
      <w:pPr>
        <w:rPr>
          <w:b/>
          <w:sz w:val="22"/>
          <w:szCs w:val="22"/>
        </w:rPr>
      </w:pPr>
    </w:p>
    <w:p w:rsidR="00927E1F" w:rsidRPr="00D50F16" w:rsidRDefault="00927E1F" w:rsidP="00927E1F">
      <w:pPr>
        <w:rPr>
          <w:bCs/>
        </w:rPr>
      </w:pPr>
      <w:r w:rsidRPr="00D50F16">
        <w:t>RÉSULTATS ESCOMPTÉS</w:t>
      </w:r>
    </w:p>
    <w:p w:rsidR="00927E1F" w:rsidRPr="00D50F16" w:rsidRDefault="00927E1F" w:rsidP="00927E1F">
      <w:pPr>
        <w:rPr>
          <w:bCs/>
        </w:rPr>
      </w:pPr>
    </w:p>
    <w:p w:rsidR="00927E1F" w:rsidRPr="00D50F16" w:rsidRDefault="00927E1F" w:rsidP="00927E1F">
      <w:pPr>
        <w:rPr>
          <w:bCs/>
          <w:i/>
        </w:rPr>
      </w:pPr>
      <w:r w:rsidRPr="00D50F16">
        <w:rPr>
          <w:i/>
        </w:rPr>
        <w:t>IX.2 Un Secrétariat réactif, fonctionnant harmonieusement et doté de ressources humaines bien gérées et compétentes, à même d’obtenir des résultats concrets</w:t>
      </w:r>
    </w:p>
    <w:p w:rsidR="00927E1F" w:rsidRPr="00D50F16" w:rsidRDefault="00927E1F" w:rsidP="00927E1F">
      <w:pPr>
        <w:rPr>
          <w:bCs/>
        </w:rPr>
      </w:pPr>
    </w:p>
    <w:p w:rsidR="00927E1F" w:rsidRPr="00D50F16" w:rsidRDefault="00927E1F" w:rsidP="00927E1F">
      <w:pPr>
        <w:rPr>
          <w:bCs/>
        </w:rPr>
      </w:pPr>
    </w:p>
    <w:p w:rsidR="00927E1F" w:rsidRPr="00D50F16" w:rsidRDefault="00927E1F" w:rsidP="00927E1F">
      <w:pPr>
        <w:rPr>
          <w:bCs/>
        </w:rPr>
      </w:pPr>
      <w:r w:rsidRPr="00D50F16">
        <w:t>OBJECTIFS, PORTÉE ET APPROCHE – GÉNÉRALITÉS</w:t>
      </w:r>
    </w:p>
    <w:p w:rsidR="00927E1F" w:rsidRPr="00D50F16" w:rsidRDefault="00927E1F" w:rsidP="00927E1F">
      <w:pPr>
        <w:rPr>
          <w:bCs/>
        </w:rPr>
      </w:pPr>
    </w:p>
    <w:p w:rsidR="00927E1F" w:rsidRPr="00D50F16" w:rsidRDefault="00927E1F" w:rsidP="00DF2EEF">
      <w:pPr>
        <w:pStyle w:val="ONUME"/>
        <w:numPr>
          <w:ilvl w:val="0"/>
          <w:numId w:val="121"/>
        </w:numPr>
        <w:tabs>
          <w:tab w:val="left" w:pos="567"/>
        </w:tabs>
        <w:ind w:left="0" w:firstLine="0"/>
        <w:jc w:val="both"/>
      </w:pPr>
      <w:r w:rsidRPr="00D50F16">
        <w:t>Ce projet vise à établir un répertoire central pour stocker les documents de l’Organisation.  Cela nous permettra de travailler ensemble (collaborer) à la création des documents et de rechercher et trouver plus facilement l’information, ainsi que de faire le lien entre les documents et les transactions consignées dans le système ERP.</w:t>
      </w:r>
    </w:p>
    <w:p w:rsidR="00927E1F" w:rsidRPr="00D50F16" w:rsidRDefault="00927E1F" w:rsidP="00DF2EEF">
      <w:pPr>
        <w:pStyle w:val="ONUME"/>
        <w:numPr>
          <w:ilvl w:val="0"/>
          <w:numId w:val="121"/>
        </w:numPr>
        <w:tabs>
          <w:tab w:val="left" w:pos="567"/>
        </w:tabs>
        <w:ind w:left="0" w:firstLine="0"/>
        <w:jc w:val="both"/>
        <w:rPr>
          <w:iCs/>
        </w:rPr>
      </w:pPr>
      <w:r w:rsidRPr="00D50F16">
        <w:t>Lors de la phase de planification du projet relatif au système de gestion des contenus de l’Organisation, des modifications ont été proposées quant à l’approche et la portée tout en maintenant les objectifs initiaux.  Ces modifications de l’approche et de la portée permettent de continuer à accroître les chances de réussite des changements organisationnels et des éléments de mise en œuvre technique du système de gestion des contenus de l’Organisation.  L’approche révisée se fonde sur une mise en œuvre progressive avec un certain nombre de “gains prometteurs” (détaillées par la suite), où les avantages pour l’Organisation seront réalisés par des secteurs organisationnels spécifiques, grâce à l’automatisation d’un certain nombre de leurs processus axés sur les documents, avant le déploiement du système de gestion des contenus au niveau de l’Organisation.</w:t>
      </w:r>
    </w:p>
    <w:p w:rsidR="00927E1F" w:rsidRPr="00D50F16" w:rsidRDefault="00927E1F" w:rsidP="00DF2EEF">
      <w:pPr>
        <w:pStyle w:val="ONUME"/>
        <w:numPr>
          <w:ilvl w:val="0"/>
          <w:numId w:val="121"/>
        </w:numPr>
        <w:tabs>
          <w:tab w:val="left" w:pos="567"/>
        </w:tabs>
        <w:ind w:left="0" w:firstLine="0"/>
        <w:jc w:val="both"/>
        <w:rPr>
          <w:iCs/>
        </w:rPr>
      </w:pPr>
      <w:r w:rsidRPr="00D50F16">
        <w:t>Les objectifs du système de gestion des contenus sont les suivants :</w:t>
      </w:r>
    </w:p>
    <w:p w:rsidR="00927E1F" w:rsidRPr="00D50F16" w:rsidRDefault="00927E1F" w:rsidP="00DF2EEF">
      <w:pPr>
        <w:pStyle w:val="ListParagraph"/>
        <w:numPr>
          <w:ilvl w:val="0"/>
          <w:numId w:val="113"/>
        </w:numPr>
        <w:spacing w:after="120"/>
        <w:ind w:left="1134" w:hanging="567"/>
        <w:jc w:val="both"/>
      </w:pPr>
      <w:r w:rsidRPr="00D50F16">
        <w:t>la mise en œuvre d’un système à l’échelle de l’Organisation pour le stockage, la récupération et la gestion des documents, dossiers et archives de l’OMPI (l’application du système de gestion des contenus);</w:t>
      </w:r>
    </w:p>
    <w:p w:rsidR="00927E1F" w:rsidRPr="00D50F16" w:rsidRDefault="00927E1F" w:rsidP="00DF2EEF">
      <w:pPr>
        <w:pStyle w:val="ListParagraph"/>
        <w:numPr>
          <w:ilvl w:val="0"/>
          <w:numId w:val="113"/>
        </w:numPr>
        <w:spacing w:after="120"/>
        <w:ind w:left="1134" w:hanging="567"/>
        <w:jc w:val="both"/>
      </w:pPr>
      <w:r w:rsidRPr="00D50F16">
        <w:t>la mise en œuvre de configurations spécifiques aux processus du système de gestion des contenus à l’intérieur même de l’application du système de gestion des contenus en vue de soutenir les processus de l’Organisation riches en contenus.  Ces processus peuvent être spécifiques à un secteur ou concerner l’ensemble de l’Organisation;</w:t>
      </w:r>
    </w:p>
    <w:p w:rsidR="00927E1F" w:rsidRPr="00D50F16" w:rsidRDefault="00927E1F" w:rsidP="00DF2EEF">
      <w:pPr>
        <w:pStyle w:val="ListParagraph"/>
        <w:numPr>
          <w:ilvl w:val="0"/>
          <w:numId w:val="113"/>
        </w:numPr>
        <w:spacing w:after="120"/>
        <w:ind w:left="1134" w:hanging="567"/>
        <w:jc w:val="both"/>
      </w:pPr>
      <w:r w:rsidRPr="00D50F16">
        <w:t>l’intégration, le cas échéant, avec les sous</w:t>
      </w:r>
      <w:r w:rsidRPr="00D50F16">
        <w:noBreakHyphen/>
        <w:t>composantes du système de planification des ressources, afin de permettre l’association du contenu d’appui (figurant dans le système de gestion des contenus) avec les dossiers relatifs aux transactions (figurant dans le système de planification des ressources) lorsque les processus organisationnels mis en œuvre dans le système de planification des ressources l’exigent;</w:t>
      </w:r>
    </w:p>
    <w:p w:rsidR="00927E1F" w:rsidRPr="00D50F16" w:rsidRDefault="00927E1F" w:rsidP="00DF2EEF">
      <w:pPr>
        <w:pStyle w:val="ListParagraph"/>
        <w:numPr>
          <w:ilvl w:val="0"/>
          <w:numId w:val="113"/>
        </w:numPr>
        <w:spacing w:after="120"/>
        <w:ind w:left="1134" w:hanging="567"/>
        <w:jc w:val="both"/>
      </w:pPr>
      <w:r w:rsidRPr="00D50F16">
        <w:t>l’application du système de gestion des contenus et l’infrastructure d’appui seront hébergées et gérées de manière à répondre aux objectifs de disponibilité et de sécurité des services d’un tel système en fonction de leur importance pour l’Organisation;</w:t>
      </w:r>
    </w:p>
    <w:p w:rsidR="00927E1F" w:rsidRPr="00D50F16" w:rsidRDefault="00927E1F" w:rsidP="00DF2EEF">
      <w:pPr>
        <w:pStyle w:val="ListParagraph"/>
        <w:numPr>
          <w:ilvl w:val="0"/>
          <w:numId w:val="113"/>
        </w:numPr>
        <w:spacing w:after="120"/>
        <w:ind w:left="1134" w:hanging="567"/>
        <w:jc w:val="both"/>
      </w:pPr>
      <w:r w:rsidRPr="00D50F16">
        <w:t>la mise en œuvre des éléments relatifs aux dossiers et archives de l’application du système de gestion des contenus et des processus d’appui seront conformes à la politique de gestion des documents et d’archivage des dossiers de l’OMPI (ordre de service 15/2013);</w:t>
      </w:r>
    </w:p>
    <w:p w:rsidR="00927E1F" w:rsidRPr="00D50F16" w:rsidRDefault="00927E1F" w:rsidP="00DF2EEF">
      <w:pPr>
        <w:pStyle w:val="ListParagraph"/>
        <w:numPr>
          <w:ilvl w:val="0"/>
          <w:numId w:val="113"/>
        </w:numPr>
        <w:spacing w:after="120"/>
        <w:ind w:left="1134" w:hanging="567"/>
        <w:jc w:val="both"/>
      </w:pPr>
      <w:r w:rsidRPr="00D50F16">
        <w:t>les utilisateurs finaux seront formés à l’utilisation du système, ainsi qu’aux processus et procédures afin d’assurer une conformité opérationnelle permanente à l’ordre de service 15/2013 de l’OMPI (processus du système de gestion des contenus);</w:t>
      </w:r>
    </w:p>
    <w:p w:rsidR="00927E1F" w:rsidRPr="00D50F16" w:rsidRDefault="00927E1F" w:rsidP="00DF2EEF">
      <w:pPr>
        <w:pStyle w:val="ListParagraph"/>
        <w:numPr>
          <w:ilvl w:val="0"/>
          <w:numId w:val="113"/>
        </w:numPr>
        <w:spacing w:after="120"/>
        <w:ind w:left="1134" w:hanging="567"/>
        <w:jc w:val="both"/>
      </w:pPr>
      <w:r w:rsidRPr="00D50F16">
        <w:t>le système mettra en œuvre des contrôles de sécurité suffisants pour respecter la conformité aux politiques de sécurité de l’OMPI;  et</w:t>
      </w:r>
    </w:p>
    <w:p w:rsidR="00927E1F" w:rsidRPr="00D50F16" w:rsidRDefault="00927E1F" w:rsidP="00DF2EEF">
      <w:pPr>
        <w:pStyle w:val="ListParagraph"/>
        <w:numPr>
          <w:ilvl w:val="0"/>
          <w:numId w:val="113"/>
        </w:numPr>
        <w:ind w:left="1134" w:hanging="567"/>
        <w:contextualSpacing/>
        <w:jc w:val="both"/>
      </w:pPr>
      <w:r w:rsidRPr="00D50F16">
        <w:t xml:space="preserve">la conception, l’acquisition de licence, la mise en œuvre, la configuration de base, les configurations spécifiques aux différents “gains prometteurs” du projet, les capacités du système de gestion des contenus à l’échelle de l’Organisation tout entière, la formation des </w:t>
      </w:r>
      <w:r w:rsidRPr="00D50F16">
        <w:lastRenderedPageBreak/>
        <w:t>utilisateurs et le fonctionnement optimal de la transition de l’application du système de gestion des contenus seront délivrés dans les limites du budget affecté au projet au titre du Plan</w:t>
      </w:r>
      <w:r w:rsidRPr="00D50F16">
        <w:noBreakHyphen/>
        <w:t>cadre d’équipement (voir le document WO/PBC/21/18 du 31 juillet 2013).</w:t>
      </w:r>
    </w:p>
    <w:p w:rsidR="00927E1F" w:rsidRPr="00D50F16" w:rsidRDefault="00927E1F" w:rsidP="00927E1F">
      <w:pPr>
        <w:contextualSpacing/>
        <w:jc w:val="both"/>
      </w:pPr>
    </w:p>
    <w:p w:rsidR="00927E1F" w:rsidRPr="00D50F16" w:rsidRDefault="00927E1F" w:rsidP="00DF2EEF">
      <w:pPr>
        <w:pStyle w:val="ONUME"/>
        <w:numPr>
          <w:ilvl w:val="0"/>
          <w:numId w:val="121"/>
        </w:numPr>
        <w:tabs>
          <w:tab w:val="left" w:pos="567"/>
        </w:tabs>
        <w:ind w:left="0" w:firstLine="0"/>
        <w:jc w:val="both"/>
      </w:pPr>
      <w:r w:rsidRPr="00D50F16">
        <w:t>Le projet sera divisé en un certain nombre de phases ou de sous</w:t>
      </w:r>
      <w:r w:rsidRPr="00D50F16">
        <w:noBreakHyphen/>
        <w:t>projets, chacun(e) apportant un ensemble d’avantages opérationnels dans un ou plusieurs domaines.  Chaque sous</w:t>
      </w:r>
      <w:r w:rsidRPr="00D50F16">
        <w:noBreakHyphen/>
        <w:t>projet inclura :</w:t>
      </w:r>
    </w:p>
    <w:p w:rsidR="00927E1F" w:rsidRPr="00D50F16" w:rsidRDefault="00927E1F" w:rsidP="00DF2EEF">
      <w:pPr>
        <w:pStyle w:val="ListParagraph"/>
        <w:numPr>
          <w:ilvl w:val="0"/>
          <w:numId w:val="113"/>
        </w:numPr>
        <w:spacing w:after="120"/>
        <w:ind w:left="1134" w:hanging="567"/>
        <w:jc w:val="both"/>
      </w:pPr>
      <w:r w:rsidRPr="00D50F16">
        <w:t>l’analyse de l’Organisation requise afin de spécifier le processus opérationnel que la solution du système de gestion des contenus viendra appuyer;</w:t>
      </w:r>
    </w:p>
    <w:p w:rsidR="00927E1F" w:rsidRPr="00D50F16" w:rsidRDefault="00927E1F" w:rsidP="00DF2EEF">
      <w:pPr>
        <w:pStyle w:val="ListParagraph"/>
        <w:numPr>
          <w:ilvl w:val="0"/>
          <w:numId w:val="113"/>
        </w:numPr>
        <w:spacing w:after="120"/>
        <w:ind w:left="1134" w:hanging="567"/>
        <w:jc w:val="both"/>
      </w:pPr>
      <w:r w:rsidRPr="00D50F16">
        <w:t>l’identification et la documentation des interfaces vers les systèmes existants, y compris le système de planification des ressources, le cas échéant;</w:t>
      </w:r>
    </w:p>
    <w:p w:rsidR="00927E1F" w:rsidRPr="00D50F16" w:rsidRDefault="00927E1F" w:rsidP="00DF2EEF">
      <w:pPr>
        <w:pStyle w:val="ListParagraph"/>
        <w:numPr>
          <w:ilvl w:val="0"/>
          <w:numId w:val="113"/>
        </w:numPr>
        <w:spacing w:after="120"/>
        <w:ind w:left="1134" w:hanging="567"/>
        <w:jc w:val="both"/>
      </w:pPr>
      <w:r w:rsidRPr="00D50F16">
        <w:t>la conception de la configuration du système de gestion des contenus reposant sur les processus de l’Organisation;</w:t>
      </w:r>
    </w:p>
    <w:p w:rsidR="00927E1F" w:rsidRPr="00D50F16" w:rsidRDefault="00927E1F" w:rsidP="00DF2EEF">
      <w:pPr>
        <w:pStyle w:val="ListParagraph"/>
        <w:numPr>
          <w:ilvl w:val="0"/>
          <w:numId w:val="113"/>
        </w:numPr>
        <w:spacing w:after="120"/>
        <w:ind w:left="1134" w:hanging="567"/>
        <w:jc w:val="both"/>
      </w:pPr>
      <w:r w:rsidRPr="00D50F16">
        <w:t>la mise en œuvre de la configuration du système de gestion des contenus pour appuyer les processus de l’Organisation;</w:t>
      </w:r>
    </w:p>
    <w:p w:rsidR="00927E1F" w:rsidRPr="00D50F16" w:rsidRDefault="00927E1F" w:rsidP="00DF2EEF">
      <w:pPr>
        <w:pStyle w:val="ListParagraph"/>
        <w:numPr>
          <w:ilvl w:val="0"/>
          <w:numId w:val="113"/>
        </w:numPr>
        <w:spacing w:after="120"/>
        <w:ind w:left="1134" w:hanging="567"/>
        <w:jc w:val="both"/>
      </w:pPr>
      <w:r w:rsidRPr="00D50F16">
        <w:t>l’essai du système et les tests d’acceptation par les utilisateurs de la configuration du système de gestion des contenus pour appuyer les processus de l’Organisation;  et</w:t>
      </w:r>
    </w:p>
    <w:p w:rsidR="00927E1F" w:rsidRPr="00D50F16" w:rsidRDefault="00927E1F" w:rsidP="00DF2EEF">
      <w:pPr>
        <w:pStyle w:val="ListParagraph"/>
        <w:numPr>
          <w:ilvl w:val="0"/>
          <w:numId w:val="113"/>
        </w:numPr>
        <w:ind w:left="1134" w:hanging="567"/>
        <w:contextualSpacing/>
        <w:jc w:val="both"/>
      </w:pPr>
      <w:r w:rsidRPr="00D50F16">
        <w:t>la formation des utilisateurs finaux sur la configuration du système de gestion des processus spécifiques aux processus de l’Organisation.</w:t>
      </w:r>
    </w:p>
    <w:p w:rsidR="00927E1F" w:rsidRPr="00D50F16" w:rsidRDefault="00927E1F" w:rsidP="00927E1F">
      <w:pPr>
        <w:contextualSpacing/>
        <w:jc w:val="both"/>
      </w:pPr>
    </w:p>
    <w:p w:rsidR="00927E1F" w:rsidRPr="00D50F16" w:rsidRDefault="00927E1F" w:rsidP="00DF2EEF">
      <w:pPr>
        <w:pStyle w:val="ONUME"/>
        <w:numPr>
          <w:ilvl w:val="0"/>
          <w:numId w:val="121"/>
        </w:numPr>
        <w:tabs>
          <w:tab w:val="left" w:pos="567"/>
        </w:tabs>
        <w:ind w:left="0" w:firstLine="0"/>
        <w:jc w:val="both"/>
      </w:pPr>
      <w:r w:rsidRPr="00D50F16">
        <w:t>Les sous</w:t>
      </w:r>
      <w:r w:rsidRPr="00D50F16">
        <w:noBreakHyphen/>
        <w:t>projets recensés actuellement sont, par ordre de mis en œuvre :</w:t>
      </w:r>
    </w:p>
    <w:p w:rsidR="00927E1F" w:rsidRPr="00D50F16" w:rsidRDefault="00927E1F" w:rsidP="00927E1F">
      <w:pPr>
        <w:ind w:left="567"/>
        <w:contextualSpacing/>
        <w:jc w:val="both"/>
      </w:pPr>
      <w:r w:rsidRPr="00D50F16">
        <w:rPr>
          <w:b/>
        </w:rPr>
        <w:t>Dossiers et archives de l’Organisation :</w:t>
      </w:r>
      <w:r w:rsidRPr="00D50F16">
        <w:t xml:space="preserve"> un sous</w:t>
      </w:r>
      <w:r w:rsidRPr="00D50F16">
        <w:noBreakHyphen/>
        <w:t>projet visant à améliorer la fonctionnalité du service dédié aux dossiers et aux archives, y compris l’amélioration ou le remplacement de leurs processus de numérisation des documents, ainsi que la mise en œuvre d’un processus d’analyse et de suivi du courrier entrant et sortant (numérisation et flux de travail), et la mise en œuvre de l’archivage par section sur la base de la politique de gestion des dossiers de l’OMPI (gestion des dossiers et des archives).</w:t>
      </w:r>
    </w:p>
    <w:p w:rsidR="00927E1F" w:rsidRPr="00D50F16" w:rsidRDefault="00927E1F" w:rsidP="00927E1F">
      <w:pPr>
        <w:ind w:left="567"/>
        <w:contextualSpacing/>
        <w:jc w:val="both"/>
      </w:pPr>
    </w:p>
    <w:p w:rsidR="00927E1F" w:rsidRPr="00D50F16" w:rsidRDefault="00927E1F" w:rsidP="00927E1F">
      <w:pPr>
        <w:ind w:left="567"/>
        <w:contextualSpacing/>
        <w:jc w:val="both"/>
      </w:pPr>
      <w:r w:rsidRPr="00D50F16">
        <w:rPr>
          <w:b/>
        </w:rPr>
        <w:t>Demande de traduction :</w:t>
      </w:r>
      <w:r w:rsidRPr="00D50F16">
        <w:t xml:space="preserve"> l’automatisation d’un flux de travail basé sur un document avec suivi et reddition de comptes, pour l’affectation de documents à traduire par la Division linguistique.</w:t>
      </w:r>
    </w:p>
    <w:p w:rsidR="00927E1F" w:rsidRPr="00D50F16" w:rsidRDefault="00927E1F" w:rsidP="00927E1F">
      <w:pPr>
        <w:ind w:left="567"/>
        <w:contextualSpacing/>
        <w:jc w:val="both"/>
      </w:pPr>
    </w:p>
    <w:p w:rsidR="00927E1F" w:rsidRPr="00D50F16" w:rsidRDefault="00927E1F" w:rsidP="00927E1F">
      <w:pPr>
        <w:ind w:left="567"/>
        <w:contextualSpacing/>
        <w:jc w:val="both"/>
      </w:pPr>
      <w:r w:rsidRPr="00D50F16">
        <w:rPr>
          <w:b/>
        </w:rPr>
        <w:t>Courrier reçu par le cabinet du Directeur général :</w:t>
      </w:r>
      <w:r w:rsidRPr="00D50F16">
        <w:t xml:space="preserve"> la numérisation et le flux d’analyses du courrier reçu par le cabinet du Directeur général, avec les liens vers la réponse qui en découle, le suivi des progrès accomplis afin de s’assurer que la réponse est </w:t>
      </w:r>
      <w:proofErr w:type="gramStart"/>
      <w:r w:rsidRPr="00D50F16">
        <w:t>achevée</w:t>
      </w:r>
      <w:proofErr w:type="gramEnd"/>
      <w:r w:rsidRPr="00D50F16">
        <w:t xml:space="preserve"> et envoyée dans les délais appropriés.</w:t>
      </w:r>
    </w:p>
    <w:p w:rsidR="00927E1F" w:rsidRPr="00D50F16" w:rsidRDefault="00927E1F" w:rsidP="00927E1F">
      <w:pPr>
        <w:ind w:left="567"/>
        <w:contextualSpacing/>
        <w:jc w:val="both"/>
      </w:pPr>
    </w:p>
    <w:p w:rsidR="00927E1F" w:rsidRPr="00D50F16" w:rsidRDefault="00927E1F" w:rsidP="00927E1F">
      <w:pPr>
        <w:ind w:left="567"/>
        <w:contextualSpacing/>
        <w:jc w:val="both"/>
      </w:pPr>
      <w:r w:rsidRPr="00D50F16">
        <w:rPr>
          <w:b/>
        </w:rPr>
        <w:t>Système de gestion des fournisseurs et des contrats :</w:t>
      </w:r>
      <w:r w:rsidRPr="00D50F16">
        <w:t xml:space="preserve"> un “projet aux gains prometteurs” visant à mettre en œuvre une solution ou des processus destinés à gérer les informations relatives aux contrats, permettant la création de documents contractuels (gestion des documents), le stockage des documents relatifs à un contrat (gestion des dossiers), la reddition de comptes et la notification des manifestations pendant le cycle de vie du contrat (flux de travail et gestion des dossiers) ainsi que la recherche par contrat (recherche).</w:t>
      </w:r>
    </w:p>
    <w:p w:rsidR="00927E1F" w:rsidRPr="00D50F16" w:rsidRDefault="00927E1F" w:rsidP="00927E1F">
      <w:pPr>
        <w:ind w:left="567"/>
        <w:contextualSpacing/>
        <w:jc w:val="both"/>
      </w:pPr>
    </w:p>
    <w:p w:rsidR="00927E1F" w:rsidRPr="00D50F16" w:rsidRDefault="00927E1F" w:rsidP="00927E1F">
      <w:pPr>
        <w:ind w:left="567"/>
        <w:contextualSpacing/>
        <w:jc w:val="both"/>
      </w:pPr>
      <w:r w:rsidRPr="00D50F16">
        <w:rPr>
          <w:b/>
        </w:rPr>
        <w:t>Rapports de mission :</w:t>
      </w:r>
      <w:r w:rsidRPr="00D50F16">
        <w:t xml:space="preserve"> la gestion de la création des rapports de mission (gestion de documents), les processus de révision et de publication du rapport de mission (flux de travail) et la recherche des rapports de mission antérieurs (recherche) sur la base de la catégorisation (sites, personnel, thèmes et organisations visitées).</w:t>
      </w:r>
    </w:p>
    <w:p w:rsidR="00927E1F" w:rsidRPr="00D50F16" w:rsidRDefault="00927E1F" w:rsidP="00927E1F">
      <w:pPr>
        <w:ind w:left="567"/>
        <w:contextualSpacing/>
        <w:jc w:val="both"/>
      </w:pPr>
    </w:p>
    <w:p w:rsidR="00927E1F" w:rsidRPr="00D50F16" w:rsidRDefault="00927E1F" w:rsidP="00927E1F">
      <w:pPr>
        <w:ind w:left="567"/>
        <w:contextualSpacing/>
        <w:jc w:val="both"/>
      </w:pPr>
      <w:r w:rsidRPr="00D50F16">
        <w:rPr>
          <w:b/>
        </w:rPr>
        <w:t>Ressources humaines (Dossier électronique du personnel) :</w:t>
      </w:r>
      <w:r w:rsidRPr="00D50F16">
        <w:t xml:space="preserve"> la création de dossiers des ressources humaines sécurisés pour chaque employé devant contenir les documents et dossiers électroniques de l’employé concerné, ainsi que la version numérisée des dossiers existants sur support papier (imagerie et numérisation).  Le personnel du DGRH aura la faculté d’effectuer des recherches dans les dossiers électroniques afin de recenser et de récupérer tous les fichiers nécessaires (recherche).</w:t>
      </w:r>
    </w:p>
    <w:p w:rsidR="00927E1F" w:rsidRPr="00D50F16" w:rsidRDefault="00927E1F" w:rsidP="00927E1F">
      <w:pPr>
        <w:ind w:left="567"/>
        <w:contextualSpacing/>
        <w:jc w:val="both"/>
      </w:pPr>
    </w:p>
    <w:p w:rsidR="00927E1F" w:rsidRPr="00D50F16" w:rsidRDefault="00927E1F" w:rsidP="00927E1F">
      <w:pPr>
        <w:ind w:left="567"/>
        <w:contextualSpacing/>
        <w:jc w:val="both"/>
      </w:pPr>
      <w:r w:rsidRPr="00D50F16">
        <w:rPr>
          <w:b/>
        </w:rPr>
        <w:t>Accès au système de gestion des contenus dans toute l’Organisation :</w:t>
      </w:r>
      <w:r w:rsidRPr="00D50F16">
        <w:t xml:space="preserve"> l’intégration du système de gestion des contenus sur les ordinateurs standard utilisés au sein de l’OMPI permettant ainsi à tous les utilisateurs de l’OMPI de s’impliquer dans la gestion des documents </w:t>
      </w:r>
      <w:r w:rsidRPr="00D50F16">
        <w:lastRenderedPageBreak/>
        <w:t>(stockage, catégorisation, recherche et récupération, vérification de la version) portant sur un contenu créé par des utilisateurs, des services et l’Organisation.  Le contenu comprendra le contenu créé sur les ordinateurs des utilisateurs ainsi que les fichiers de traitement de texte (par exemple, les documents Microsoft Word et PDF), les feuilles de calcul (par exemple Microsoft Excel), les présentations (par exemple Microsoft PowerPoint), les diagrammes (par exemple Microsoft Visio), les plans de projets (par exemple Microsoft Project), les courriers électroniques.</w:t>
      </w:r>
    </w:p>
    <w:p w:rsidR="00927E1F" w:rsidRPr="00D50F16" w:rsidRDefault="00927E1F" w:rsidP="00927E1F">
      <w:pPr>
        <w:rPr>
          <w:bCs/>
        </w:rPr>
      </w:pPr>
    </w:p>
    <w:p w:rsidR="00927E1F" w:rsidRPr="00D50F16" w:rsidRDefault="00927E1F" w:rsidP="00927E1F">
      <w:pPr>
        <w:rPr>
          <w:bCs/>
        </w:rPr>
      </w:pPr>
    </w:p>
    <w:p w:rsidR="00927E1F" w:rsidRPr="00D50F16" w:rsidRDefault="00927E1F" w:rsidP="00927E1F">
      <w:pPr>
        <w:rPr>
          <w:bCs/>
        </w:rPr>
      </w:pPr>
      <w:r w:rsidRPr="00D50F16">
        <w:t>APERÇU DES PROGRÈS RÉALISÉS EN 2015 (PRINCIPALES ÉTAPES)</w:t>
      </w:r>
    </w:p>
    <w:p w:rsidR="00927E1F" w:rsidRPr="00D50F16" w:rsidRDefault="00927E1F" w:rsidP="00927E1F">
      <w:pPr>
        <w:rPr>
          <w:bCs/>
        </w:rPr>
      </w:pPr>
    </w:p>
    <w:p w:rsidR="00927E1F" w:rsidRPr="00D50F16" w:rsidRDefault="00927E1F" w:rsidP="00DF2EEF">
      <w:pPr>
        <w:pStyle w:val="ONUME"/>
        <w:numPr>
          <w:ilvl w:val="0"/>
          <w:numId w:val="121"/>
        </w:numPr>
        <w:tabs>
          <w:tab w:val="left" w:pos="567"/>
        </w:tabs>
        <w:spacing w:after="0"/>
        <w:ind w:left="0" w:firstLine="0"/>
        <w:jc w:val="both"/>
        <w:rPr>
          <w:bCs/>
        </w:rPr>
      </w:pPr>
      <w:r w:rsidRPr="00D50F16">
        <w:rPr>
          <w:bCs/>
        </w:rPr>
        <w:t>La version révisée de l’approche du projet relatif au système de gestion des contenus, contenant notamment l’établissement d’une nouvelle liste de priorités concernant les projets prometteurs, a été approuvée par le Conseil des TIC de l’OMPI en avril 2015.</w:t>
      </w:r>
    </w:p>
    <w:p w:rsidR="00927E1F" w:rsidRPr="00D50F16" w:rsidRDefault="00927E1F" w:rsidP="00927E1F">
      <w:pPr>
        <w:rPr>
          <w:bCs/>
        </w:rPr>
      </w:pPr>
    </w:p>
    <w:p w:rsidR="00927E1F" w:rsidRPr="00D50F16" w:rsidRDefault="00927E1F" w:rsidP="00DF2EEF">
      <w:pPr>
        <w:pStyle w:val="ONUME"/>
        <w:numPr>
          <w:ilvl w:val="0"/>
          <w:numId w:val="121"/>
        </w:numPr>
        <w:tabs>
          <w:tab w:val="left" w:pos="567"/>
        </w:tabs>
        <w:spacing w:after="0"/>
        <w:ind w:left="0" w:firstLine="0"/>
        <w:jc w:val="both"/>
        <w:rPr>
          <w:bCs/>
        </w:rPr>
      </w:pPr>
      <w:r w:rsidRPr="00D50F16">
        <w:rPr>
          <w:bCs/>
        </w:rPr>
        <w:t>En 2015, les progrès suivants ont été accomplis </w:t>
      </w:r>
      <w:r w:rsidRPr="00D50F16">
        <w:t>:</w:t>
      </w:r>
    </w:p>
    <w:p w:rsidR="00927E1F" w:rsidRPr="00D50F16" w:rsidRDefault="00927E1F" w:rsidP="00927E1F">
      <w:pPr>
        <w:tabs>
          <w:tab w:val="left" w:pos="993"/>
        </w:tabs>
        <w:ind w:left="993" w:hanging="426"/>
        <w:rPr>
          <w:bCs/>
        </w:rPr>
      </w:pPr>
    </w:p>
    <w:p w:rsidR="00927E1F" w:rsidRPr="00D50F16" w:rsidRDefault="00927E1F" w:rsidP="00DF2EEF">
      <w:pPr>
        <w:pStyle w:val="ListParagraph"/>
        <w:numPr>
          <w:ilvl w:val="0"/>
          <w:numId w:val="128"/>
        </w:numPr>
        <w:spacing w:after="120"/>
        <w:ind w:left="1134" w:hanging="567"/>
        <w:rPr>
          <w:bCs/>
        </w:rPr>
      </w:pPr>
      <w:r w:rsidRPr="00D50F16">
        <w:rPr>
          <w:bCs/>
        </w:rPr>
        <w:t>le choix d’une technologie (</w:t>
      </w:r>
      <w:proofErr w:type="spellStart"/>
      <w:r w:rsidRPr="00D50F16">
        <w:rPr>
          <w:bCs/>
        </w:rPr>
        <w:t>OpenText</w:t>
      </w:r>
      <w:proofErr w:type="spellEnd"/>
      <w:r w:rsidRPr="00D50F16">
        <w:rPr>
          <w:bCs/>
        </w:rPr>
        <w:t>) pour la mise en œuvre du système de gestion des contenus a été finalisé au troisième trimestre suite aux recommandations d’un consultant indépendant et à une analyse plus poussée du marché;</w:t>
      </w:r>
    </w:p>
    <w:p w:rsidR="00927E1F" w:rsidRPr="00D50F16" w:rsidRDefault="00927E1F" w:rsidP="00DF2EEF">
      <w:pPr>
        <w:pStyle w:val="ListParagraph"/>
        <w:numPr>
          <w:ilvl w:val="0"/>
          <w:numId w:val="128"/>
        </w:numPr>
        <w:spacing w:after="120"/>
        <w:ind w:left="1134" w:hanging="567"/>
        <w:jc w:val="both"/>
      </w:pPr>
      <w:r w:rsidRPr="00D50F16">
        <w:t xml:space="preserve">le système de dossiers et d’archives existant pour les entreprises a été mis à jour vers la nouvelle plateforme </w:t>
      </w:r>
      <w:proofErr w:type="spellStart"/>
      <w:r w:rsidRPr="00D50F16">
        <w:t>OpenText</w:t>
      </w:r>
      <w:proofErr w:type="spellEnd"/>
      <w:r w:rsidRPr="00D50F16">
        <w:t xml:space="preserve"> au cours du quatrième trimestre, soit deux trimestres plus tôt que ce qui était prévu à l’origine, car Microsoft a supprimé son soutien à la plateforme existante à la mi</w:t>
      </w:r>
      <w:r w:rsidRPr="00D50F16">
        <w:noBreakHyphen/>
        <w:t>septembre 2015;</w:t>
      </w:r>
    </w:p>
    <w:p w:rsidR="00927E1F" w:rsidRPr="00D50F16" w:rsidRDefault="00927E1F" w:rsidP="00DF2EEF">
      <w:pPr>
        <w:pStyle w:val="ListParagraph"/>
        <w:numPr>
          <w:ilvl w:val="0"/>
          <w:numId w:val="128"/>
        </w:numPr>
        <w:ind w:left="1134" w:hanging="567"/>
        <w:jc w:val="both"/>
        <w:rPr>
          <w:bCs/>
        </w:rPr>
      </w:pPr>
      <w:r w:rsidRPr="00D50F16">
        <w:rPr>
          <w:bCs/>
        </w:rPr>
        <w:t>les activités relatives à la désignation d’un prestataire de service pour la fourniture de services de conception, de configuration, de mise en œuvre et de soutien pour le projet de système de gestion des contenus ont été lancées avec une</w:t>
      </w:r>
      <w:r w:rsidRPr="00D50F16">
        <w:t xml:space="preserve"> </w:t>
      </w:r>
      <w:r w:rsidRPr="00D50F16">
        <w:rPr>
          <w:bCs/>
        </w:rPr>
        <w:t>demande d’information (RFI) en novembre 2015</w:t>
      </w:r>
      <w:r w:rsidRPr="00D50F16">
        <w:t xml:space="preserve">.  </w:t>
      </w:r>
      <w:r w:rsidRPr="00D50F16">
        <w:rPr>
          <w:bCs/>
        </w:rPr>
        <w:t>Les entreprises retenues à l’issue de la RFI seront invitées à participer à la procédure complète d’appel à propositions en mars 2016.</w:t>
      </w:r>
    </w:p>
    <w:p w:rsidR="00927E1F" w:rsidRPr="00D50F16" w:rsidRDefault="00927E1F" w:rsidP="00927E1F">
      <w:pPr>
        <w:jc w:val="both"/>
        <w:rPr>
          <w:bCs/>
        </w:rPr>
      </w:pPr>
    </w:p>
    <w:p w:rsidR="00927E1F" w:rsidRPr="00D50F16" w:rsidRDefault="00927E1F" w:rsidP="00DF2EEF">
      <w:pPr>
        <w:pStyle w:val="ONUME"/>
        <w:numPr>
          <w:ilvl w:val="0"/>
          <w:numId w:val="121"/>
        </w:numPr>
        <w:tabs>
          <w:tab w:val="left" w:pos="567"/>
        </w:tabs>
        <w:spacing w:after="0"/>
        <w:ind w:left="0" w:firstLine="0"/>
        <w:jc w:val="both"/>
        <w:rPr>
          <w:bCs/>
        </w:rPr>
      </w:pPr>
      <w:r w:rsidRPr="00D50F16">
        <w:rPr>
          <w:bCs/>
        </w:rPr>
        <w:t>En raison des mesures supplémentaires prises par précaution, notamment du processus d’approbation interne plus strict, le processus de sélection d’une solution technique a pris plus de temps que prévu, ce qui a donné lieu à des retards dans le calendrier du projet.  Celui</w:t>
      </w:r>
      <w:r w:rsidRPr="00D50F16">
        <w:rPr>
          <w:bCs/>
        </w:rPr>
        <w:noBreakHyphen/>
        <w:t>ci a été mis à jour en tenant compte de ce contretemps.</w:t>
      </w:r>
    </w:p>
    <w:p w:rsidR="00927E1F" w:rsidRDefault="00927E1F" w:rsidP="00927E1F">
      <w:pPr>
        <w:jc w:val="both"/>
      </w:pPr>
    </w:p>
    <w:p w:rsidR="00927E1F" w:rsidRPr="001F6F76" w:rsidRDefault="00927E1F" w:rsidP="00927E1F">
      <w:pPr>
        <w:jc w:val="both"/>
      </w:pPr>
    </w:p>
    <w:p w:rsidR="00927E1F" w:rsidRPr="001F6F76" w:rsidRDefault="00927E1F" w:rsidP="00927E1F">
      <w:r w:rsidRPr="001F6F76">
        <w:t>CONCRÉTISATION DES AVANTAGES</w:t>
      </w:r>
    </w:p>
    <w:p w:rsidR="00927E1F" w:rsidRPr="001F6F76" w:rsidRDefault="00927E1F" w:rsidP="00927E1F"/>
    <w:tbl>
      <w:tblPr>
        <w:tblW w:w="499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18"/>
        <w:gridCol w:w="3728"/>
        <w:gridCol w:w="2606"/>
      </w:tblGrid>
      <w:tr w:rsidR="00927E1F" w:rsidRPr="001F6F76" w:rsidTr="00927E1F">
        <w:trPr>
          <w:trHeight w:val="535"/>
          <w:tblHeader/>
          <w:jc w:val="center"/>
        </w:trPr>
        <w:tc>
          <w:tcPr>
            <w:tcW w:w="1684" w:type="pct"/>
            <w:shd w:val="clear" w:color="auto" w:fill="C6D9F1" w:themeFill="text2" w:themeFillTint="33"/>
            <w:vAlign w:val="center"/>
          </w:tcPr>
          <w:p w:rsidR="00927E1F" w:rsidRPr="001F6F76" w:rsidRDefault="00927E1F" w:rsidP="00927E1F">
            <w:pPr>
              <w:jc w:val="center"/>
              <w:rPr>
                <w:b/>
                <w:bCs/>
                <w:sz w:val="16"/>
                <w:szCs w:val="16"/>
              </w:rPr>
            </w:pPr>
            <w:r w:rsidRPr="001F6F76">
              <w:rPr>
                <w:b/>
                <w:bCs/>
                <w:sz w:val="16"/>
                <w:szCs w:val="16"/>
              </w:rPr>
              <w:t>Avantages escomptés en 2016</w:t>
            </w:r>
          </w:p>
        </w:tc>
        <w:tc>
          <w:tcPr>
            <w:tcW w:w="1951" w:type="pct"/>
            <w:shd w:val="clear" w:color="auto" w:fill="C6D9F1" w:themeFill="text2" w:themeFillTint="33"/>
            <w:vAlign w:val="center"/>
          </w:tcPr>
          <w:p w:rsidR="00927E1F" w:rsidRPr="001F6F76" w:rsidRDefault="00927E1F" w:rsidP="00927E1F">
            <w:pPr>
              <w:jc w:val="center"/>
              <w:rPr>
                <w:b/>
                <w:bCs/>
                <w:sz w:val="16"/>
                <w:szCs w:val="16"/>
              </w:rPr>
            </w:pPr>
            <w:r w:rsidRPr="001F6F76">
              <w:rPr>
                <w:b/>
                <w:bCs/>
                <w:sz w:val="16"/>
                <w:szCs w:val="16"/>
              </w:rPr>
              <w:t>Avantages escomptés en 2017</w:t>
            </w:r>
          </w:p>
        </w:tc>
        <w:tc>
          <w:tcPr>
            <w:tcW w:w="1364" w:type="pct"/>
            <w:shd w:val="clear" w:color="auto" w:fill="C6D9F1" w:themeFill="text2" w:themeFillTint="33"/>
          </w:tcPr>
          <w:p w:rsidR="00927E1F" w:rsidRPr="001F6F76" w:rsidRDefault="00927E1F" w:rsidP="00927E1F">
            <w:pPr>
              <w:jc w:val="center"/>
              <w:rPr>
                <w:b/>
                <w:bCs/>
                <w:sz w:val="16"/>
                <w:szCs w:val="16"/>
              </w:rPr>
            </w:pPr>
          </w:p>
          <w:p w:rsidR="00927E1F" w:rsidRPr="001F6F76" w:rsidRDefault="00927E1F" w:rsidP="00927E1F">
            <w:pPr>
              <w:jc w:val="center"/>
              <w:rPr>
                <w:b/>
                <w:bCs/>
                <w:sz w:val="16"/>
                <w:szCs w:val="16"/>
              </w:rPr>
            </w:pPr>
            <w:r w:rsidRPr="001F6F76">
              <w:rPr>
                <w:b/>
                <w:bCs/>
                <w:sz w:val="16"/>
                <w:szCs w:val="16"/>
              </w:rPr>
              <w:t>Avantages escomptés en 2018</w:t>
            </w:r>
          </w:p>
        </w:tc>
      </w:tr>
      <w:tr w:rsidR="00927E1F" w:rsidRPr="001F6F76" w:rsidTr="00927E1F">
        <w:trPr>
          <w:trHeight w:val="564"/>
          <w:jc w:val="center"/>
        </w:trPr>
        <w:tc>
          <w:tcPr>
            <w:tcW w:w="1684" w:type="pct"/>
            <w:shd w:val="clear" w:color="auto" w:fill="auto"/>
            <w:tcMar>
              <w:top w:w="85" w:type="dxa"/>
            </w:tcMar>
          </w:tcPr>
          <w:p w:rsidR="00927E1F" w:rsidRPr="00F418DE" w:rsidRDefault="00927E1F" w:rsidP="00927E1F">
            <w:pPr>
              <w:rPr>
                <w:b/>
                <w:bCs/>
                <w:i/>
                <w:iCs/>
                <w:sz w:val="16"/>
                <w:szCs w:val="16"/>
              </w:rPr>
            </w:pPr>
            <w:r w:rsidRPr="00F418DE">
              <w:rPr>
                <w:b/>
                <w:bCs/>
                <w:i/>
                <w:iCs/>
                <w:sz w:val="16"/>
                <w:szCs w:val="16"/>
              </w:rPr>
              <w:t>Consécutivement à l’amélioration des processus concernant les dossiers et archives de l’Organisation :</w:t>
            </w:r>
          </w:p>
          <w:p w:rsidR="00927E1F" w:rsidRPr="00F418DE" w:rsidRDefault="00927E1F" w:rsidP="00927E1F">
            <w:pPr>
              <w:contextualSpacing/>
              <w:rPr>
                <w:sz w:val="16"/>
              </w:rPr>
            </w:pPr>
            <w:r w:rsidRPr="00F418DE">
              <w:rPr>
                <w:sz w:val="16"/>
              </w:rPr>
              <w:t>Un “gain prometteur” consisterait à mettre en place des procédures plus efficaces de numérisation des documents, y compris en ce qui concerne la numérisation du courrier entrant, ce qui permettra de réduire le temps devant être consacré par le personnel à ces tâches.</w:t>
            </w:r>
          </w:p>
          <w:p w:rsidR="00927E1F" w:rsidRPr="00F418DE" w:rsidRDefault="00927E1F" w:rsidP="00927E1F">
            <w:pPr>
              <w:contextualSpacing/>
              <w:rPr>
                <w:sz w:val="16"/>
              </w:rPr>
            </w:pPr>
          </w:p>
          <w:p w:rsidR="00927E1F" w:rsidRPr="00F418DE" w:rsidRDefault="00927E1F" w:rsidP="00927E1F">
            <w:pPr>
              <w:contextualSpacing/>
              <w:rPr>
                <w:sz w:val="16"/>
              </w:rPr>
            </w:pPr>
            <w:r w:rsidRPr="00F418DE">
              <w:rPr>
                <w:sz w:val="16"/>
              </w:rPr>
              <w:t>Les avantages à plus long terme se concrétiseront à la suite de la mise en œuvre de la configuration du système de gestion des contenus à l’échelle de l’Organisation en 2018.</w:t>
            </w:r>
          </w:p>
          <w:p w:rsidR="00927E1F" w:rsidRPr="00F418DE" w:rsidRDefault="00927E1F" w:rsidP="00927E1F"/>
        </w:tc>
        <w:tc>
          <w:tcPr>
            <w:tcW w:w="1951" w:type="pct"/>
            <w:shd w:val="clear" w:color="auto" w:fill="auto"/>
            <w:tcMar>
              <w:top w:w="85" w:type="dxa"/>
            </w:tcMar>
          </w:tcPr>
          <w:p w:rsidR="00927E1F" w:rsidRPr="00F418DE" w:rsidRDefault="00927E1F" w:rsidP="00927E1F">
            <w:pPr>
              <w:rPr>
                <w:b/>
                <w:bCs/>
                <w:i/>
                <w:iCs/>
                <w:sz w:val="16"/>
                <w:szCs w:val="16"/>
              </w:rPr>
            </w:pPr>
            <w:r w:rsidRPr="00F418DE">
              <w:rPr>
                <w:b/>
                <w:bCs/>
                <w:i/>
                <w:iCs/>
                <w:sz w:val="16"/>
                <w:szCs w:val="16"/>
              </w:rPr>
              <w:t>Consécutivement au déploiement opérationnel de la configuration du système de gestion des contenus des courriers électroniques</w:t>
            </w:r>
          </w:p>
          <w:p w:rsidR="00927E1F" w:rsidRPr="00F418DE" w:rsidRDefault="00927E1F" w:rsidP="00927E1F">
            <w:pPr>
              <w:rPr>
                <w:sz w:val="16"/>
              </w:rPr>
            </w:pPr>
            <w:r w:rsidRPr="00F418DE">
              <w:rPr>
                <w:sz w:val="16"/>
              </w:rPr>
              <w:t>Le cabinet du Directeur général et l’Équipe de haute direction disposeront d’un système unique pour la distribution et le suivi de la création des réponses à la correspondance extérieure, ce qui entraînera :</w:t>
            </w:r>
          </w:p>
          <w:p w:rsidR="00927E1F" w:rsidRPr="00F418DE" w:rsidRDefault="00927E1F" w:rsidP="00DF2EEF">
            <w:pPr>
              <w:pStyle w:val="ListParagraph"/>
              <w:numPr>
                <w:ilvl w:val="0"/>
                <w:numId w:val="112"/>
              </w:numPr>
              <w:ind w:left="459" w:hanging="425"/>
              <w:contextualSpacing/>
              <w:rPr>
                <w:sz w:val="16"/>
              </w:rPr>
            </w:pPr>
            <w:r w:rsidRPr="00F418DE">
              <w:rPr>
                <w:sz w:val="16"/>
              </w:rPr>
              <w:t>une réduction du temps passé à répondre à la correspondance extérieure dans la mesure où la correspondance et les réponses n’auront pas à être distribuées physiquement sur le campus de l’OMPI, contribuant ainsi à la réalisation des objectifs en termes de délais de réponse;</w:t>
            </w:r>
          </w:p>
          <w:p w:rsidR="00927E1F" w:rsidRPr="00F418DE" w:rsidRDefault="00927E1F" w:rsidP="00927E1F">
            <w:pPr>
              <w:rPr>
                <w:b/>
                <w:bCs/>
                <w:i/>
                <w:iCs/>
                <w:sz w:val="16"/>
                <w:szCs w:val="16"/>
              </w:rPr>
            </w:pPr>
            <w:r w:rsidRPr="00F418DE">
              <w:rPr>
                <w:sz w:val="16"/>
              </w:rPr>
              <w:t>le statut et l’état d’avancement de chaque réponse à une correspondance extérieure seront connus par l’intermédiaire d’un tableau de bord de gestion, réduisant ainsi les efforts du personnel consacrés au suivi du statut des réponses pour assurer la réalisation des objectifs, ce qui libérera du personnel administratif afin qu’il se concentre sur d’autres activités.</w:t>
            </w:r>
          </w:p>
        </w:tc>
        <w:tc>
          <w:tcPr>
            <w:tcW w:w="1364" w:type="pct"/>
            <w:tcMar>
              <w:top w:w="85" w:type="dxa"/>
            </w:tcMar>
          </w:tcPr>
          <w:p w:rsidR="00927E1F" w:rsidRPr="00F418DE" w:rsidRDefault="00927E1F" w:rsidP="00927E1F">
            <w:pPr>
              <w:rPr>
                <w:b/>
                <w:bCs/>
                <w:i/>
                <w:iCs/>
                <w:sz w:val="16"/>
                <w:szCs w:val="16"/>
              </w:rPr>
            </w:pPr>
            <w:r w:rsidRPr="00F418DE">
              <w:rPr>
                <w:b/>
                <w:bCs/>
                <w:i/>
                <w:iCs/>
                <w:sz w:val="16"/>
                <w:szCs w:val="16"/>
              </w:rPr>
              <w:t>Consécutivement au déploiement opérationnel de la configuration du système de gestion des contenus à l’échelle de l’Organisation</w:t>
            </w:r>
          </w:p>
          <w:p w:rsidR="00927E1F" w:rsidRPr="00F418DE" w:rsidRDefault="00927E1F" w:rsidP="00927E1F">
            <w:pPr>
              <w:contextualSpacing/>
              <w:rPr>
                <w:sz w:val="16"/>
                <w:szCs w:val="16"/>
              </w:rPr>
            </w:pPr>
            <w:r w:rsidRPr="00F418DE">
              <w:rPr>
                <w:sz w:val="16"/>
                <w:szCs w:val="16"/>
              </w:rPr>
              <w:t>La mise en œuvre du système de gestion des contenus à l’échelle de l’Organisation pour favoriser les changements culturels en matière de partage des connaissances et de gestion des informations au sein de l’OMPI, en sus du “gain prometteur” du sous</w:t>
            </w:r>
            <w:r w:rsidRPr="00F418DE">
              <w:rPr>
                <w:sz w:val="16"/>
                <w:szCs w:val="16"/>
              </w:rPr>
              <w:noBreakHyphen/>
              <w:t>projet, entraînera :</w:t>
            </w:r>
          </w:p>
          <w:p w:rsidR="00927E1F" w:rsidRPr="00F418DE" w:rsidRDefault="00927E1F" w:rsidP="00DF2EEF">
            <w:pPr>
              <w:pStyle w:val="ListParagraph"/>
              <w:numPr>
                <w:ilvl w:val="0"/>
                <w:numId w:val="112"/>
              </w:numPr>
              <w:ind w:left="335" w:hanging="283"/>
              <w:contextualSpacing/>
              <w:rPr>
                <w:sz w:val="16"/>
                <w:szCs w:val="16"/>
              </w:rPr>
            </w:pPr>
            <w:r w:rsidRPr="00F418DE">
              <w:rPr>
                <w:sz w:val="16"/>
                <w:szCs w:val="16"/>
              </w:rPr>
              <w:t>la possibilité d’effectuer des recherches dans l’intégralité de la base de connaissances de l’OMPI, réduisant ainsi le nombre de doublons de créations et d’enregistrements de connaissances grâce au partage des informations;</w:t>
            </w:r>
          </w:p>
          <w:p w:rsidR="00927E1F" w:rsidRPr="00F418DE" w:rsidRDefault="00927E1F" w:rsidP="00DF2EEF">
            <w:pPr>
              <w:pStyle w:val="ListParagraph"/>
              <w:numPr>
                <w:ilvl w:val="0"/>
                <w:numId w:val="112"/>
              </w:numPr>
              <w:ind w:left="275" w:hanging="275"/>
              <w:contextualSpacing/>
              <w:rPr>
                <w:sz w:val="16"/>
                <w:szCs w:val="16"/>
              </w:rPr>
            </w:pPr>
            <w:r w:rsidRPr="00F418DE">
              <w:rPr>
                <w:sz w:val="16"/>
                <w:szCs w:val="16"/>
              </w:rPr>
              <w:t xml:space="preserve">la possibilité d’étendre la conformité à la politique de gestion des dossiers et des </w:t>
            </w:r>
            <w:r w:rsidRPr="00F418DE">
              <w:rPr>
                <w:sz w:val="16"/>
                <w:szCs w:val="16"/>
              </w:rPr>
              <w:lastRenderedPageBreak/>
              <w:t>archives de l’OMPI (ordre de service n° 15/2013) à un plus grand nombre d’unités fonctionnelles;</w:t>
            </w:r>
          </w:p>
          <w:p w:rsidR="00927E1F" w:rsidRPr="00F418DE" w:rsidRDefault="00927E1F" w:rsidP="00DF2EEF">
            <w:pPr>
              <w:pStyle w:val="ListParagraph"/>
              <w:numPr>
                <w:ilvl w:val="0"/>
                <w:numId w:val="112"/>
              </w:numPr>
              <w:ind w:left="335" w:hanging="283"/>
              <w:contextualSpacing/>
              <w:rPr>
                <w:sz w:val="16"/>
                <w:szCs w:val="16"/>
              </w:rPr>
            </w:pPr>
            <w:r w:rsidRPr="00F418DE">
              <w:rPr>
                <w:sz w:val="16"/>
                <w:szCs w:val="16"/>
              </w:rPr>
              <w:t>la possibilité de réduire les coûts permanents d’archivage physique des documents puisque ces documents deviennent électroniques;</w:t>
            </w:r>
          </w:p>
          <w:p w:rsidR="00927E1F" w:rsidRPr="00F418DE" w:rsidRDefault="00927E1F" w:rsidP="00DF2EEF">
            <w:pPr>
              <w:pStyle w:val="ListParagraph"/>
              <w:numPr>
                <w:ilvl w:val="0"/>
                <w:numId w:val="112"/>
              </w:numPr>
              <w:ind w:left="335" w:hanging="283"/>
              <w:contextualSpacing/>
              <w:rPr>
                <w:bCs/>
                <w:iCs/>
                <w:sz w:val="16"/>
                <w:szCs w:val="16"/>
              </w:rPr>
            </w:pPr>
            <w:r w:rsidRPr="00F418DE">
              <w:rPr>
                <w:bCs/>
                <w:iCs/>
                <w:sz w:val="16"/>
                <w:szCs w:val="16"/>
              </w:rPr>
              <w:t>la possibilité de réduire les coûts de stockage électronique des documents, puisque la recherche dans l’intégralité de la base de connaissances de l’Organisation devrait réduire le niveau de remaniement et la duplication de l’enregistrement des connaissances.</w:t>
            </w:r>
          </w:p>
        </w:tc>
      </w:tr>
      <w:tr w:rsidR="00927E1F" w:rsidRPr="001F6F76" w:rsidTr="00927E1F">
        <w:trPr>
          <w:trHeight w:val="564"/>
          <w:jc w:val="center"/>
        </w:trPr>
        <w:tc>
          <w:tcPr>
            <w:tcW w:w="1684" w:type="pct"/>
            <w:shd w:val="clear" w:color="auto" w:fill="auto"/>
            <w:tcMar>
              <w:top w:w="85" w:type="dxa"/>
            </w:tcMar>
          </w:tcPr>
          <w:p w:rsidR="00927E1F" w:rsidRPr="00F418DE" w:rsidRDefault="00927E1F" w:rsidP="00927E1F">
            <w:pPr>
              <w:rPr>
                <w:b/>
                <w:bCs/>
                <w:i/>
                <w:iCs/>
                <w:sz w:val="16"/>
                <w:szCs w:val="16"/>
              </w:rPr>
            </w:pPr>
            <w:r w:rsidRPr="00F418DE">
              <w:rPr>
                <w:b/>
                <w:bCs/>
                <w:i/>
                <w:iCs/>
                <w:sz w:val="16"/>
                <w:szCs w:val="16"/>
              </w:rPr>
              <w:lastRenderedPageBreak/>
              <w:t>Consécutivement au déploiement opérationnel de la configuration du système de gestion des contenus des statuts et des flux de traduction</w:t>
            </w:r>
          </w:p>
          <w:p w:rsidR="00927E1F" w:rsidRPr="00F418DE" w:rsidRDefault="00927E1F" w:rsidP="00927E1F">
            <w:pPr>
              <w:rPr>
                <w:sz w:val="16"/>
              </w:rPr>
            </w:pPr>
            <w:r w:rsidRPr="00F418DE">
              <w:rPr>
                <w:sz w:val="16"/>
              </w:rPr>
              <w:t>La création d’un système de suivi des flux et du statut des traductions de documents pour la Division linguistique entraînera :</w:t>
            </w:r>
          </w:p>
          <w:p w:rsidR="00927E1F" w:rsidRPr="00F418DE" w:rsidRDefault="00927E1F" w:rsidP="00DF2EEF">
            <w:pPr>
              <w:pStyle w:val="ListParagraph"/>
              <w:numPr>
                <w:ilvl w:val="0"/>
                <w:numId w:val="112"/>
              </w:numPr>
              <w:contextualSpacing/>
              <w:rPr>
                <w:sz w:val="16"/>
              </w:rPr>
            </w:pPr>
            <w:r w:rsidRPr="00F418DE">
              <w:rPr>
                <w:sz w:val="16"/>
              </w:rPr>
              <w:t>une réduction des efforts déployés par le personnel pour rendre compte du statut des demandes de traduction, puisque le système générera des comptes rendus automatiques;</w:t>
            </w:r>
          </w:p>
          <w:p w:rsidR="00927E1F" w:rsidRPr="00F418DE" w:rsidRDefault="00927E1F" w:rsidP="00DF2EEF">
            <w:pPr>
              <w:pStyle w:val="ListParagraph"/>
              <w:numPr>
                <w:ilvl w:val="0"/>
                <w:numId w:val="112"/>
              </w:numPr>
              <w:contextualSpacing/>
              <w:rPr>
                <w:sz w:val="16"/>
              </w:rPr>
            </w:pPr>
            <w:r w:rsidRPr="00F418DE">
              <w:rPr>
                <w:sz w:val="16"/>
              </w:rPr>
              <w:t>la possibilité de veiller à ce que les niveaux de service de traduction soient atteints par le biais d’un suivi actif et de comptes rendus du statut de chaque demande de traduction.</w:t>
            </w:r>
          </w:p>
        </w:tc>
        <w:tc>
          <w:tcPr>
            <w:tcW w:w="1951" w:type="pct"/>
            <w:shd w:val="clear" w:color="auto" w:fill="auto"/>
            <w:tcMar>
              <w:top w:w="85" w:type="dxa"/>
            </w:tcMar>
          </w:tcPr>
          <w:p w:rsidR="00927E1F" w:rsidRPr="00F418DE" w:rsidRDefault="00927E1F" w:rsidP="00927E1F">
            <w:pPr>
              <w:rPr>
                <w:b/>
                <w:bCs/>
                <w:i/>
                <w:iCs/>
                <w:sz w:val="16"/>
                <w:szCs w:val="16"/>
              </w:rPr>
            </w:pPr>
            <w:r w:rsidRPr="00F418DE">
              <w:rPr>
                <w:b/>
                <w:bCs/>
                <w:i/>
                <w:iCs/>
                <w:sz w:val="16"/>
                <w:szCs w:val="16"/>
              </w:rPr>
              <w:t>Consécutivement au déploiement opérationnel de la configuration du système de gestion des contenus dans le cadre de la gestion des fournisseurs et des contrats</w:t>
            </w:r>
          </w:p>
          <w:p w:rsidR="00927E1F" w:rsidRPr="00F418DE" w:rsidRDefault="00927E1F" w:rsidP="00927E1F">
            <w:pPr>
              <w:rPr>
                <w:sz w:val="16"/>
              </w:rPr>
            </w:pPr>
            <w:r w:rsidRPr="00F418DE">
              <w:rPr>
                <w:sz w:val="16"/>
              </w:rPr>
              <w:t>Les Achats disposeront d’une source d’informations consultable unique dédiée aux appels d’offres en cours et conclus, qui entraînera :</w:t>
            </w:r>
          </w:p>
          <w:p w:rsidR="00927E1F" w:rsidRPr="00F418DE" w:rsidRDefault="00927E1F" w:rsidP="00DF2EEF">
            <w:pPr>
              <w:pStyle w:val="ListParagraph"/>
              <w:numPr>
                <w:ilvl w:val="0"/>
                <w:numId w:val="112"/>
              </w:numPr>
              <w:contextualSpacing/>
              <w:rPr>
                <w:sz w:val="16"/>
              </w:rPr>
            </w:pPr>
            <w:r w:rsidRPr="00F418DE">
              <w:rPr>
                <w:sz w:val="16"/>
              </w:rPr>
              <w:t>la réduction du temps consacré à recenser et à récupérer les informations courantes;</w:t>
            </w:r>
          </w:p>
          <w:p w:rsidR="00927E1F" w:rsidRPr="00F418DE" w:rsidRDefault="00927E1F" w:rsidP="00DF2EEF">
            <w:pPr>
              <w:pStyle w:val="ListParagraph"/>
              <w:numPr>
                <w:ilvl w:val="0"/>
                <w:numId w:val="112"/>
              </w:numPr>
              <w:contextualSpacing/>
              <w:rPr>
                <w:sz w:val="16"/>
              </w:rPr>
            </w:pPr>
            <w:r w:rsidRPr="00F418DE">
              <w:rPr>
                <w:sz w:val="16"/>
              </w:rPr>
              <w:t>la réduction du nombre d’erreurs et de remaniements en veillant à ce que la dernière version de chaque document puisse être clairement identifiée.</w:t>
            </w:r>
          </w:p>
          <w:p w:rsidR="00927E1F" w:rsidRPr="00F418DE" w:rsidRDefault="00927E1F" w:rsidP="00927E1F">
            <w:pPr>
              <w:rPr>
                <w:sz w:val="16"/>
              </w:rPr>
            </w:pPr>
            <w:r w:rsidRPr="00F418DE">
              <w:rPr>
                <w:sz w:val="16"/>
              </w:rPr>
              <w:t>Les Achats disposeront d’un tableau de bord unique indiquant l’état d’avancement des appels d’offres actifs ainsi que des informations relatives à la date à laquelle les contrats existants devront faire l’objet d’un nouvel appel d’offres, ce qui entraînera :</w:t>
            </w:r>
          </w:p>
          <w:p w:rsidR="00927E1F" w:rsidRPr="00F418DE" w:rsidRDefault="00927E1F" w:rsidP="00DF2EEF">
            <w:pPr>
              <w:pStyle w:val="ListParagraph"/>
              <w:numPr>
                <w:ilvl w:val="0"/>
                <w:numId w:val="112"/>
              </w:numPr>
              <w:contextualSpacing/>
              <w:rPr>
                <w:bCs/>
                <w:iCs/>
                <w:sz w:val="16"/>
                <w:szCs w:val="16"/>
              </w:rPr>
            </w:pPr>
            <w:r w:rsidRPr="00F418DE">
              <w:rPr>
                <w:bCs/>
                <w:iCs/>
                <w:sz w:val="16"/>
                <w:szCs w:val="16"/>
              </w:rPr>
              <w:t>une meilleure utilisation des tâches de production grâce à une meilleure planification des activités d’achat.</w:t>
            </w:r>
          </w:p>
        </w:tc>
        <w:tc>
          <w:tcPr>
            <w:tcW w:w="1364" w:type="pct"/>
            <w:tcMar>
              <w:top w:w="85" w:type="dxa"/>
            </w:tcMar>
          </w:tcPr>
          <w:p w:rsidR="00927E1F" w:rsidRPr="00F418DE" w:rsidRDefault="00927E1F" w:rsidP="00927E1F">
            <w:pPr>
              <w:rPr>
                <w:b/>
                <w:bCs/>
                <w:i/>
                <w:iCs/>
                <w:sz w:val="16"/>
                <w:szCs w:val="16"/>
              </w:rPr>
            </w:pPr>
          </w:p>
        </w:tc>
      </w:tr>
      <w:tr w:rsidR="00927E1F" w:rsidRPr="001F6F76" w:rsidTr="00927E1F">
        <w:trPr>
          <w:trHeight w:val="564"/>
          <w:jc w:val="center"/>
        </w:trPr>
        <w:tc>
          <w:tcPr>
            <w:tcW w:w="1684" w:type="pct"/>
            <w:shd w:val="clear" w:color="auto" w:fill="auto"/>
            <w:tcMar>
              <w:top w:w="85" w:type="dxa"/>
            </w:tcMar>
          </w:tcPr>
          <w:p w:rsidR="00927E1F" w:rsidRPr="00F418DE" w:rsidRDefault="00927E1F" w:rsidP="00927E1F">
            <w:pPr>
              <w:pStyle w:val="ListParagraph"/>
              <w:numPr>
                <w:ilvl w:val="0"/>
                <w:numId w:val="0"/>
              </w:numPr>
              <w:ind w:left="318"/>
              <w:contextualSpacing/>
              <w:rPr>
                <w:b/>
                <w:bCs/>
                <w:i/>
                <w:iCs/>
                <w:sz w:val="16"/>
                <w:szCs w:val="16"/>
              </w:rPr>
            </w:pPr>
          </w:p>
        </w:tc>
        <w:tc>
          <w:tcPr>
            <w:tcW w:w="1951" w:type="pct"/>
            <w:shd w:val="clear" w:color="auto" w:fill="auto"/>
            <w:tcMar>
              <w:top w:w="85" w:type="dxa"/>
            </w:tcMar>
          </w:tcPr>
          <w:p w:rsidR="00927E1F" w:rsidRPr="00F418DE" w:rsidRDefault="00927E1F" w:rsidP="00927E1F">
            <w:pPr>
              <w:rPr>
                <w:b/>
                <w:bCs/>
                <w:i/>
                <w:iCs/>
                <w:sz w:val="16"/>
                <w:szCs w:val="16"/>
              </w:rPr>
            </w:pPr>
            <w:r w:rsidRPr="00F418DE">
              <w:rPr>
                <w:b/>
                <w:bCs/>
                <w:i/>
                <w:iCs/>
                <w:sz w:val="16"/>
                <w:szCs w:val="16"/>
              </w:rPr>
              <w:t>Consécutivement au déploiement opérationnel de la configuration du système de gestion des contenus des rapports de mission</w:t>
            </w:r>
          </w:p>
          <w:p w:rsidR="00927E1F" w:rsidRPr="00F418DE" w:rsidRDefault="00927E1F" w:rsidP="00927E1F">
            <w:pPr>
              <w:rPr>
                <w:sz w:val="16"/>
              </w:rPr>
            </w:pPr>
            <w:r w:rsidRPr="00F418DE">
              <w:rPr>
                <w:sz w:val="16"/>
              </w:rPr>
              <w:t>Les contenus des rapports de mission, ainsi que les informations relatives aux missions planifiées seront consultables dans toute l’Organisation.  Cela entraînera :</w:t>
            </w:r>
          </w:p>
          <w:p w:rsidR="00927E1F" w:rsidRPr="00F418DE" w:rsidRDefault="00927E1F" w:rsidP="00DF2EEF">
            <w:pPr>
              <w:pStyle w:val="ListParagraph"/>
              <w:numPr>
                <w:ilvl w:val="0"/>
                <w:numId w:val="112"/>
              </w:numPr>
              <w:ind w:left="317" w:hanging="283"/>
              <w:contextualSpacing/>
              <w:rPr>
                <w:sz w:val="16"/>
              </w:rPr>
            </w:pPr>
            <w:r w:rsidRPr="00F418DE">
              <w:rPr>
                <w:sz w:val="16"/>
              </w:rPr>
              <w:t>une réduction du nombre de missions grâce au recensement des voyages et points à l’ordre du jour se chevauchant, réduisant ainsi les coûts;</w:t>
            </w:r>
          </w:p>
          <w:p w:rsidR="00927E1F" w:rsidRPr="00F418DE" w:rsidRDefault="00927E1F" w:rsidP="00DF2EEF">
            <w:pPr>
              <w:pStyle w:val="ListParagraph"/>
              <w:numPr>
                <w:ilvl w:val="0"/>
                <w:numId w:val="112"/>
              </w:numPr>
              <w:ind w:left="317" w:hanging="283"/>
              <w:contextualSpacing/>
              <w:rPr>
                <w:b/>
                <w:bCs/>
                <w:i/>
                <w:iCs/>
                <w:sz w:val="16"/>
                <w:szCs w:val="16"/>
              </w:rPr>
            </w:pPr>
            <w:r w:rsidRPr="00F418DE">
              <w:rPr>
                <w:sz w:val="16"/>
              </w:rPr>
              <w:t xml:space="preserve">un renforcement du caractère productif des missions étant donné que le personnel de l’OMPI aura accès à des quantités d’informations plus conséquentes concernant les missions antérieures relatives à un pays ou une institution spécifique et qu’il pourra ainsi être en mesure de répondre aux questions en suspens ayant éventuellement été posées lors d’une précédente mission.  </w:t>
            </w:r>
          </w:p>
        </w:tc>
        <w:tc>
          <w:tcPr>
            <w:tcW w:w="1364" w:type="pct"/>
            <w:tcMar>
              <w:top w:w="85" w:type="dxa"/>
            </w:tcMar>
          </w:tcPr>
          <w:p w:rsidR="00927E1F" w:rsidRPr="00F418DE" w:rsidRDefault="00927E1F" w:rsidP="00927E1F">
            <w:pPr>
              <w:rPr>
                <w:b/>
                <w:bCs/>
                <w:i/>
                <w:iCs/>
                <w:sz w:val="16"/>
                <w:szCs w:val="16"/>
              </w:rPr>
            </w:pPr>
          </w:p>
        </w:tc>
      </w:tr>
      <w:tr w:rsidR="00927E1F" w:rsidRPr="001F6F76" w:rsidTr="00927E1F">
        <w:trPr>
          <w:trHeight w:val="564"/>
          <w:jc w:val="center"/>
        </w:trPr>
        <w:tc>
          <w:tcPr>
            <w:tcW w:w="1684" w:type="pct"/>
            <w:shd w:val="clear" w:color="auto" w:fill="auto"/>
            <w:tcMar>
              <w:top w:w="85" w:type="dxa"/>
            </w:tcMar>
          </w:tcPr>
          <w:p w:rsidR="00927E1F" w:rsidRPr="001F6F76" w:rsidRDefault="00927E1F" w:rsidP="00927E1F">
            <w:pPr>
              <w:keepNext/>
              <w:contextualSpacing/>
              <w:rPr>
                <w:b/>
                <w:bCs/>
                <w:i/>
                <w:iCs/>
                <w:sz w:val="16"/>
                <w:szCs w:val="16"/>
                <w:highlight w:val="yellow"/>
              </w:rPr>
            </w:pPr>
          </w:p>
        </w:tc>
        <w:tc>
          <w:tcPr>
            <w:tcW w:w="1951" w:type="pct"/>
            <w:shd w:val="clear" w:color="auto" w:fill="auto"/>
            <w:tcMar>
              <w:top w:w="85" w:type="dxa"/>
            </w:tcMar>
          </w:tcPr>
          <w:p w:rsidR="00927E1F" w:rsidRPr="001F6F76" w:rsidRDefault="00927E1F" w:rsidP="00927E1F">
            <w:pPr>
              <w:keepNext/>
              <w:rPr>
                <w:b/>
                <w:bCs/>
                <w:i/>
                <w:iCs/>
                <w:sz w:val="16"/>
                <w:szCs w:val="16"/>
              </w:rPr>
            </w:pPr>
            <w:r w:rsidRPr="001F6F76">
              <w:rPr>
                <w:b/>
                <w:bCs/>
                <w:i/>
                <w:iCs/>
                <w:sz w:val="16"/>
                <w:szCs w:val="16"/>
              </w:rPr>
              <w:t>Consécutivement au déploiement opérationnel de la configuration du système de gestion des contenus des dossiers électroniques des ressources humaines sur le personnel</w:t>
            </w:r>
          </w:p>
          <w:p w:rsidR="00927E1F" w:rsidRPr="001F6F76" w:rsidRDefault="00927E1F" w:rsidP="00927E1F">
            <w:pPr>
              <w:pStyle w:val="ListParagraph"/>
              <w:keepNext/>
              <w:numPr>
                <w:ilvl w:val="0"/>
                <w:numId w:val="0"/>
              </w:numPr>
              <w:ind w:left="35"/>
              <w:contextualSpacing/>
              <w:rPr>
                <w:sz w:val="16"/>
              </w:rPr>
            </w:pPr>
            <w:r w:rsidRPr="001F6F76">
              <w:rPr>
                <w:sz w:val="16"/>
              </w:rPr>
              <w:t>Le Département de la gestion des ressources humaines disposera d’un répertoire unique pour le stockage des documents relatifs au personnel, englobant les anciens documents, qui seront numérisés, ainsi que la saisie des documents nouvellement créés.  Cela entraînera :</w:t>
            </w:r>
          </w:p>
          <w:p w:rsidR="00927E1F" w:rsidRPr="001F6F76" w:rsidRDefault="00927E1F" w:rsidP="00DF2EEF">
            <w:pPr>
              <w:pStyle w:val="ListParagraph"/>
              <w:keepNext/>
              <w:numPr>
                <w:ilvl w:val="0"/>
                <w:numId w:val="112"/>
              </w:numPr>
              <w:ind w:left="318" w:hanging="283"/>
              <w:contextualSpacing/>
              <w:rPr>
                <w:sz w:val="16"/>
              </w:rPr>
            </w:pPr>
            <w:r w:rsidRPr="001F6F76">
              <w:rPr>
                <w:sz w:val="16"/>
              </w:rPr>
              <w:t>la saisie, la gestion et la préservation permanente des principaux fichiers des ressources humaines et des documents connexes.  Le répertoire d’informations unique réduira le temps consacré et les efforts des ressources humaines requis pour recenser et extraire les documents pertinents afin d’appuyer les processus organisationnels essentiels;</w:t>
            </w:r>
          </w:p>
          <w:p w:rsidR="00927E1F" w:rsidRPr="001F6F76" w:rsidRDefault="00927E1F" w:rsidP="00DF2EEF">
            <w:pPr>
              <w:pStyle w:val="ListParagraph"/>
              <w:keepNext/>
              <w:numPr>
                <w:ilvl w:val="0"/>
                <w:numId w:val="112"/>
              </w:numPr>
              <w:ind w:left="335" w:hanging="283"/>
              <w:contextualSpacing/>
              <w:rPr>
                <w:bCs/>
                <w:iCs/>
                <w:sz w:val="16"/>
                <w:szCs w:val="16"/>
              </w:rPr>
            </w:pPr>
            <w:r w:rsidRPr="001F6F76">
              <w:rPr>
                <w:bCs/>
                <w:iCs/>
                <w:sz w:val="16"/>
                <w:szCs w:val="16"/>
              </w:rPr>
              <w:t>la dernière version de chaque document des ressources humaines relatif au personnel de l’OMPI sera clairement identifiable, réduisant ainsi le temps et les efforts nécessaires pour identifier la dernière version des documents ainsi que le niveau de remaniement.</w:t>
            </w:r>
          </w:p>
        </w:tc>
        <w:tc>
          <w:tcPr>
            <w:tcW w:w="1364" w:type="pct"/>
            <w:tcMar>
              <w:top w:w="85" w:type="dxa"/>
            </w:tcMar>
          </w:tcPr>
          <w:p w:rsidR="00927E1F" w:rsidRPr="001F6F76" w:rsidRDefault="00927E1F" w:rsidP="00927E1F">
            <w:pPr>
              <w:keepNext/>
              <w:rPr>
                <w:b/>
                <w:bCs/>
                <w:i/>
                <w:iCs/>
                <w:sz w:val="16"/>
                <w:szCs w:val="16"/>
                <w:highlight w:val="yellow"/>
              </w:rPr>
            </w:pPr>
          </w:p>
        </w:tc>
      </w:tr>
    </w:tbl>
    <w:p w:rsidR="00927E1F" w:rsidRPr="001F6F76" w:rsidRDefault="00927E1F" w:rsidP="00927E1F"/>
    <w:p w:rsidR="00927E1F" w:rsidRPr="001F6F76" w:rsidRDefault="00927E1F" w:rsidP="00927E1F"/>
    <w:p w:rsidR="00927E1F" w:rsidRPr="00422570" w:rsidRDefault="00927E1F" w:rsidP="00783605">
      <w:r w:rsidRPr="00422570">
        <w:t>UTILISATION DES RESSOURCES</w:t>
      </w:r>
      <w:r w:rsidRPr="00422570">
        <w:rPr>
          <w:rStyle w:val="FootnoteReference"/>
        </w:rPr>
        <w:footnoteReference w:id="174"/>
      </w:r>
    </w:p>
    <w:p w:rsidR="00927E1F" w:rsidRPr="001F6F76" w:rsidRDefault="00927E1F" w:rsidP="00927E1F">
      <w:pPr>
        <w:keepNext/>
        <w:keepLines/>
        <w:rPr>
          <w:sz w:val="22"/>
          <w:szCs w:val="22"/>
        </w:rPr>
      </w:pPr>
    </w:p>
    <w:p w:rsidR="00927E1F" w:rsidRPr="001F6F76" w:rsidRDefault="00927E1F" w:rsidP="00927E1F">
      <w:pPr>
        <w:keepNext/>
        <w:keepLines/>
        <w:tabs>
          <w:tab w:val="left" w:pos="3261"/>
        </w:tabs>
        <w:autoSpaceDE w:val="0"/>
        <w:autoSpaceDN w:val="0"/>
        <w:adjustRightInd w:val="0"/>
        <w:jc w:val="center"/>
        <w:rPr>
          <w:b/>
        </w:rPr>
      </w:pPr>
      <w:r w:rsidRPr="001F6F76">
        <w:rPr>
          <w:b/>
        </w:rPr>
        <w:t>Utilisation du budget du projet</w:t>
      </w:r>
    </w:p>
    <w:p w:rsidR="00927E1F" w:rsidRPr="001F6F76" w:rsidRDefault="00927E1F" w:rsidP="00927E1F">
      <w:pPr>
        <w:keepNext/>
        <w:keepLines/>
        <w:tabs>
          <w:tab w:val="left" w:pos="3261"/>
        </w:tabs>
        <w:autoSpaceDE w:val="0"/>
        <w:autoSpaceDN w:val="0"/>
        <w:adjustRightInd w:val="0"/>
        <w:jc w:val="center"/>
        <w:rPr>
          <w:i/>
          <w:iCs/>
          <w:sz w:val="18"/>
          <w:szCs w:val="18"/>
        </w:rPr>
      </w:pPr>
      <w:r w:rsidRPr="001F6F76">
        <w:rPr>
          <w:i/>
          <w:sz w:val="18"/>
        </w:rPr>
        <w:t>(</w:t>
      </w:r>
      <w:proofErr w:type="gramStart"/>
      <w:r w:rsidRPr="001F6F76">
        <w:rPr>
          <w:i/>
          <w:sz w:val="18"/>
        </w:rPr>
        <w:t>en</w:t>
      </w:r>
      <w:proofErr w:type="gramEnd"/>
      <w:r w:rsidRPr="001F6F76">
        <w:rPr>
          <w:i/>
          <w:sz w:val="18"/>
        </w:rPr>
        <w:t xml:space="preserve"> francs suisses, au 31 décembre 2015)</w:t>
      </w:r>
    </w:p>
    <w:p w:rsidR="00927E1F" w:rsidRPr="001F6F76" w:rsidRDefault="00927E1F" w:rsidP="00927E1F">
      <w:pPr>
        <w:keepNext/>
        <w:keepLines/>
        <w:rPr>
          <w:sz w:val="22"/>
          <w:szCs w:val="22"/>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927E1F" w:rsidRPr="001F6F76" w:rsidTr="00927E1F">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keepNext/>
              <w:keepLines/>
              <w:autoSpaceDE w:val="0"/>
              <w:autoSpaceDN w:val="0"/>
              <w:adjustRightInd w:val="0"/>
              <w:spacing w:before="40" w:after="40"/>
              <w:ind w:left="-74" w:right="-60"/>
              <w:jc w:val="center"/>
              <w:rPr>
                <w:b/>
                <w:bCs/>
                <w:sz w:val="16"/>
                <w:szCs w:val="16"/>
              </w:rPr>
            </w:pPr>
            <w:r w:rsidRPr="001F6F76">
              <w:rPr>
                <w:b/>
                <w:sz w:val="16"/>
              </w:rPr>
              <w:t>Nom du projet</w:t>
            </w:r>
          </w:p>
        </w:tc>
        <w:tc>
          <w:tcPr>
            <w:tcW w:w="850"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keepNext/>
              <w:keepLines/>
              <w:autoSpaceDE w:val="0"/>
              <w:autoSpaceDN w:val="0"/>
              <w:adjustRightInd w:val="0"/>
              <w:spacing w:before="40" w:after="40"/>
              <w:ind w:left="-107" w:right="-108"/>
              <w:jc w:val="center"/>
              <w:rPr>
                <w:b/>
                <w:bCs/>
                <w:sz w:val="16"/>
                <w:szCs w:val="16"/>
              </w:rPr>
            </w:pPr>
            <w:r w:rsidRPr="001F6F76">
              <w:rPr>
                <w:b/>
                <w:sz w:val="16"/>
              </w:rPr>
              <w:t>Budget du projet</w:t>
            </w:r>
          </w:p>
        </w:tc>
        <w:tc>
          <w:tcPr>
            <w:tcW w:w="851"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keepNext/>
              <w:keepLines/>
              <w:autoSpaceDE w:val="0"/>
              <w:autoSpaceDN w:val="0"/>
              <w:adjustRightInd w:val="0"/>
              <w:spacing w:before="40" w:after="40"/>
              <w:ind w:left="-108" w:right="-106"/>
              <w:jc w:val="center"/>
              <w:rPr>
                <w:b/>
                <w:bCs/>
                <w:sz w:val="16"/>
                <w:szCs w:val="16"/>
              </w:rPr>
            </w:pPr>
            <w:r w:rsidRPr="001F6F76">
              <w:rPr>
                <w:b/>
                <w:sz w:val="16"/>
              </w:rPr>
              <w:t>Dépenses effectives à ce jour</w:t>
            </w:r>
          </w:p>
        </w:tc>
        <w:tc>
          <w:tcPr>
            <w:tcW w:w="851"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keepNext/>
              <w:keepLines/>
              <w:autoSpaceDE w:val="0"/>
              <w:autoSpaceDN w:val="0"/>
              <w:adjustRightInd w:val="0"/>
              <w:spacing w:before="40" w:after="40"/>
              <w:ind w:left="-109" w:right="-108"/>
              <w:jc w:val="center"/>
              <w:rPr>
                <w:b/>
                <w:bCs/>
                <w:sz w:val="16"/>
                <w:szCs w:val="16"/>
              </w:rPr>
            </w:pPr>
            <w:r w:rsidRPr="001F6F76">
              <w:rPr>
                <w:b/>
                <w:sz w:val="16"/>
              </w:rPr>
              <w:t>Utilisation effective du budget</w:t>
            </w:r>
          </w:p>
        </w:tc>
        <w:tc>
          <w:tcPr>
            <w:tcW w:w="850"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keepNext/>
              <w:keepLines/>
              <w:autoSpaceDE w:val="0"/>
              <w:autoSpaceDN w:val="0"/>
              <w:adjustRightInd w:val="0"/>
              <w:spacing w:before="40" w:after="40"/>
              <w:ind w:left="-109" w:right="-73" w:firstLine="1"/>
              <w:jc w:val="center"/>
              <w:rPr>
                <w:b/>
                <w:bCs/>
                <w:sz w:val="16"/>
                <w:szCs w:val="16"/>
              </w:rPr>
            </w:pPr>
            <w:r w:rsidRPr="001F6F76">
              <w:rPr>
                <w:b/>
                <w:sz w:val="16"/>
              </w:rPr>
              <w:t>Taux d’avancement de la mise en œuvre du projet</w:t>
            </w:r>
          </w:p>
        </w:tc>
      </w:tr>
      <w:tr w:rsidR="00927E1F" w:rsidRPr="001F6F76" w:rsidTr="00927E1F">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rPr>
                <w:sz w:val="16"/>
                <w:szCs w:val="16"/>
              </w:rPr>
            </w:pPr>
            <w:r w:rsidRPr="001F6F76">
              <w:rPr>
                <w:sz w:val="16"/>
              </w:rPr>
              <w:t>Projet de mise en œuvre du système de gestion des contenus</w:t>
            </w:r>
          </w:p>
        </w:tc>
        <w:tc>
          <w:tcPr>
            <w:tcW w:w="850"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rPr>
              <w:t>2 068 000</w:t>
            </w:r>
          </w:p>
        </w:tc>
        <w:tc>
          <w:tcPr>
            <w:tcW w:w="851"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rPr>
              <w:t>75 170</w:t>
            </w:r>
          </w:p>
        </w:tc>
        <w:tc>
          <w:tcPr>
            <w:tcW w:w="851"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rPr>
              <w:t>3,6%</w:t>
            </w:r>
          </w:p>
        </w:tc>
        <w:tc>
          <w:tcPr>
            <w:tcW w:w="850"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rPr>
              <w:t>3%</w:t>
            </w:r>
          </w:p>
        </w:tc>
      </w:tr>
    </w:tbl>
    <w:p w:rsidR="00927E1F" w:rsidRPr="001F6F76" w:rsidRDefault="00927E1F" w:rsidP="00927E1F">
      <w:pPr>
        <w:keepNext/>
        <w:keepLines/>
        <w:tabs>
          <w:tab w:val="left" w:pos="3261"/>
        </w:tabs>
        <w:autoSpaceDE w:val="0"/>
        <w:autoSpaceDN w:val="0"/>
        <w:adjustRightInd w:val="0"/>
        <w:rPr>
          <w:b/>
          <w:szCs w:val="22"/>
        </w:rPr>
      </w:pPr>
    </w:p>
    <w:p w:rsidR="00927E1F" w:rsidRPr="001F6F76" w:rsidRDefault="00927E1F" w:rsidP="00927E1F">
      <w:pPr>
        <w:rPr>
          <w:sz w:val="22"/>
          <w:szCs w:val="22"/>
        </w:rPr>
      </w:pPr>
    </w:p>
    <w:p w:rsidR="00927E1F" w:rsidRDefault="00927E1F" w:rsidP="00927E1F">
      <w:pPr>
        <w:rPr>
          <w:b/>
        </w:rPr>
      </w:pPr>
      <w:r>
        <w:rPr>
          <w:b/>
        </w:rPr>
        <w:br w:type="page"/>
      </w:r>
    </w:p>
    <w:p w:rsidR="00927E1F" w:rsidRPr="001F6F76" w:rsidRDefault="00927E1F" w:rsidP="00927E1F">
      <w:pPr>
        <w:keepNext/>
        <w:keepLines/>
        <w:tabs>
          <w:tab w:val="left" w:pos="3261"/>
        </w:tabs>
        <w:autoSpaceDE w:val="0"/>
        <w:autoSpaceDN w:val="0"/>
        <w:adjustRightInd w:val="0"/>
        <w:jc w:val="center"/>
        <w:rPr>
          <w:b/>
          <w:szCs w:val="22"/>
        </w:rPr>
      </w:pPr>
      <w:r w:rsidRPr="001F6F76">
        <w:rPr>
          <w:b/>
        </w:rPr>
        <w:lastRenderedPageBreak/>
        <w:t>Utilisation du budget du projet (par étape)</w:t>
      </w:r>
    </w:p>
    <w:p w:rsidR="00927E1F" w:rsidRPr="001F6F76" w:rsidRDefault="00927E1F" w:rsidP="00927E1F">
      <w:pPr>
        <w:keepNext/>
        <w:keepLines/>
        <w:tabs>
          <w:tab w:val="left" w:pos="3261"/>
        </w:tabs>
        <w:autoSpaceDE w:val="0"/>
        <w:autoSpaceDN w:val="0"/>
        <w:adjustRightInd w:val="0"/>
        <w:jc w:val="center"/>
        <w:rPr>
          <w:i/>
          <w:iCs/>
          <w:sz w:val="18"/>
          <w:szCs w:val="18"/>
        </w:rPr>
      </w:pPr>
      <w:r w:rsidRPr="001F6F76">
        <w:rPr>
          <w:i/>
          <w:sz w:val="18"/>
        </w:rPr>
        <w:t>(</w:t>
      </w:r>
      <w:proofErr w:type="gramStart"/>
      <w:r w:rsidRPr="001F6F76">
        <w:rPr>
          <w:i/>
          <w:sz w:val="18"/>
        </w:rPr>
        <w:t>en</w:t>
      </w:r>
      <w:proofErr w:type="gramEnd"/>
      <w:r w:rsidRPr="001F6F76">
        <w:rPr>
          <w:i/>
          <w:sz w:val="18"/>
        </w:rPr>
        <w:t xml:space="preserve"> francs suisses, au 31 décembre 2015)</w:t>
      </w:r>
    </w:p>
    <w:p w:rsidR="00927E1F" w:rsidRPr="001F6F76" w:rsidRDefault="00927E1F" w:rsidP="00927E1F">
      <w:pPr>
        <w:keepNext/>
        <w:keepLines/>
        <w:autoSpaceDE w:val="0"/>
        <w:autoSpaceDN w:val="0"/>
        <w:adjustRightInd w:val="0"/>
        <w:spacing w:after="120"/>
        <w:jc w:val="center"/>
        <w:rPr>
          <w:i/>
          <w:iCs/>
          <w:sz w:val="18"/>
          <w:szCs w:val="18"/>
        </w:rPr>
      </w:pPr>
    </w:p>
    <w:tbl>
      <w:tblPr>
        <w:tblpPr w:leftFromText="180" w:rightFromText="180" w:vertAnchor="text" w:horzAnchor="margin" w:tblpX="182" w:tblpY="17"/>
        <w:tblW w:w="47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9"/>
        <w:gridCol w:w="1575"/>
        <w:gridCol w:w="1575"/>
        <w:gridCol w:w="1575"/>
        <w:gridCol w:w="1557"/>
      </w:tblGrid>
      <w:tr w:rsidR="00927E1F" w:rsidRPr="001F6F76" w:rsidTr="00927E1F">
        <w:trPr>
          <w:trHeight w:val="410"/>
        </w:trPr>
        <w:tc>
          <w:tcPr>
            <w:tcW w:w="157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1F6F76" w:rsidRDefault="00927E1F" w:rsidP="00927E1F">
            <w:pPr>
              <w:keepNext/>
              <w:keepLines/>
              <w:autoSpaceDE w:val="0"/>
              <w:autoSpaceDN w:val="0"/>
              <w:adjustRightInd w:val="0"/>
              <w:spacing w:before="40" w:after="40"/>
              <w:ind w:left="-74" w:right="-60"/>
              <w:jc w:val="center"/>
              <w:rPr>
                <w:b/>
                <w:bCs/>
                <w:sz w:val="16"/>
                <w:szCs w:val="16"/>
              </w:rPr>
            </w:pPr>
            <w:r w:rsidRPr="001F6F76">
              <w:rPr>
                <w:b/>
                <w:bCs/>
                <w:sz w:val="16"/>
                <w:szCs w:val="16"/>
              </w:rPr>
              <w:t>Étape principale</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1F6F76" w:rsidRDefault="00927E1F" w:rsidP="00927E1F">
            <w:pPr>
              <w:keepNext/>
              <w:keepLines/>
              <w:autoSpaceDE w:val="0"/>
              <w:autoSpaceDN w:val="0"/>
              <w:adjustRightInd w:val="0"/>
              <w:spacing w:before="40" w:after="40"/>
              <w:ind w:left="-107" w:right="-108"/>
              <w:jc w:val="center"/>
              <w:rPr>
                <w:b/>
                <w:bCs/>
                <w:sz w:val="16"/>
                <w:szCs w:val="16"/>
              </w:rPr>
            </w:pPr>
            <w:r w:rsidRPr="001F6F76">
              <w:rPr>
                <w:b/>
                <w:bCs/>
                <w:sz w:val="16"/>
                <w:szCs w:val="16"/>
              </w:rPr>
              <w:t>Budget du projet</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1F6F76" w:rsidRDefault="00927E1F" w:rsidP="00927E1F">
            <w:pPr>
              <w:keepNext/>
              <w:keepLines/>
              <w:autoSpaceDE w:val="0"/>
              <w:autoSpaceDN w:val="0"/>
              <w:adjustRightInd w:val="0"/>
              <w:spacing w:before="40" w:after="40"/>
              <w:ind w:left="-108" w:right="-106"/>
              <w:jc w:val="center"/>
              <w:rPr>
                <w:b/>
                <w:bCs/>
                <w:sz w:val="16"/>
                <w:szCs w:val="16"/>
              </w:rPr>
            </w:pPr>
            <w:r w:rsidRPr="001F6F76">
              <w:rPr>
                <w:b/>
                <w:bCs/>
                <w:sz w:val="16"/>
                <w:szCs w:val="16"/>
              </w:rPr>
              <w:t>Dépenses effectives à ce jour</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1F6F76" w:rsidRDefault="00927E1F" w:rsidP="00927E1F">
            <w:pPr>
              <w:keepNext/>
              <w:keepLines/>
              <w:autoSpaceDE w:val="0"/>
              <w:autoSpaceDN w:val="0"/>
              <w:adjustRightInd w:val="0"/>
              <w:spacing w:before="40" w:after="40"/>
              <w:ind w:left="-109" w:right="-108"/>
              <w:jc w:val="center"/>
              <w:rPr>
                <w:b/>
                <w:bCs/>
                <w:sz w:val="16"/>
                <w:szCs w:val="16"/>
              </w:rPr>
            </w:pPr>
            <w:r w:rsidRPr="001F6F76">
              <w:rPr>
                <w:b/>
                <w:bCs/>
                <w:sz w:val="16"/>
                <w:szCs w:val="16"/>
              </w:rPr>
              <w:t>Utilisation effective du budget</w:t>
            </w:r>
          </w:p>
        </w:tc>
        <w:tc>
          <w:tcPr>
            <w:tcW w:w="8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1F6F76" w:rsidRDefault="00927E1F" w:rsidP="00927E1F">
            <w:pPr>
              <w:keepNext/>
              <w:keepLines/>
              <w:autoSpaceDE w:val="0"/>
              <w:autoSpaceDN w:val="0"/>
              <w:adjustRightInd w:val="0"/>
              <w:spacing w:before="40" w:after="40"/>
              <w:ind w:left="-109" w:right="-73" w:firstLine="1"/>
              <w:jc w:val="center"/>
              <w:rPr>
                <w:b/>
                <w:bCs/>
                <w:sz w:val="16"/>
                <w:szCs w:val="16"/>
              </w:rPr>
            </w:pPr>
            <w:r w:rsidRPr="001F6F76">
              <w:rPr>
                <w:b/>
                <w:bCs/>
                <w:sz w:val="16"/>
                <w:szCs w:val="16"/>
              </w:rPr>
              <w:t>Taux d’avancement de mise en œuvre par étape</w:t>
            </w:r>
          </w:p>
        </w:tc>
      </w:tr>
      <w:tr w:rsidR="00927E1F" w:rsidRPr="001F6F76" w:rsidTr="00927E1F">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rPr>
                <w:sz w:val="16"/>
                <w:szCs w:val="16"/>
                <w:highlight w:val="yellow"/>
              </w:rPr>
            </w:pPr>
            <w:r w:rsidRPr="001F6F76">
              <w:rPr>
                <w:sz w:val="16"/>
                <w:szCs w:val="16"/>
              </w:rPr>
              <w:t>Étude et élaboration de la stratégie, y compris la sélection de la technologie relative au système de gestion des contenus</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36 000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36 000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100%</w:t>
            </w:r>
          </w:p>
        </w:tc>
        <w:tc>
          <w:tcPr>
            <w:tcW w:w="84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100%</w:t>
            </w:r>
          </w:p>
        </w:tc>
      </w:tr>
      <w:tr w:rsidR="00927E1F" w:rsidRPr="001F6F76" w:rsidTr="00927E1F">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rPr>
                <w:sz w:val="16"/>
                <w:szCs w:val="16"/>
                <w:highlight w:val="yellow"/>
              </w:rPr>
            </w:pPr>
            <w:r w:rsidRPr="001F6F76">
              <w:rPr>
                <w:color w:val="000000"/>
                <w:sz w:val="16"/>
                <w:szCs w:val="16"/>
              </w:rPr>
              <w:t xml:space="preserve">Transformation de la plateforme et mise à niveau de la version existante des dossiers et archives de l’Organisation </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42 000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39 170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93%</w:t>
            </w:r>
          </w:p>
        </w:tc>
        <w:tc>
          <w:tcPr>
            <w:tcW w:w="84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100%</w:t>
            </w:r>
          </w:p>
        </w:tc>
      </w:tr>
      <w:tr w:rsidR="00927E1F" w:rsidRPr="001F6F76" w:rsidTr="00927E1F">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rPr>
                <w:sz w:val="16"/>
                <w:szCs w:val="16"/>
                <w:highlight w:val="yellow"/>
              </w:rPr>
            </w:pPr>
            <w:r w:rsidRPr="001F6F76">
              <w:rPr>
                <w:sz w:val="16"/>
                <w:szCs w:val="16"/>
              </w:rPr>
              <w:t xml:space="preserve">Attribution du contrat au gestionnaire du projet pour le client et au spécialiste du système de gestion des contenus </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400 000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0%</w:t>
            </w:r>
          </w:p>
        </w:tc>
        <w:tc>
          <w:tcPr>
            <w:tcW w:w="84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noBreakHyphen/>
            </w:r>
          </w:p>
        </w:tc>
      </w:tr>
      <w:tr w:rsidR="00927E1F" w:rsidRPr="001F6F76" w:rsidTr="00927E1F">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rPr>
                <w:sz w:val="16"/>
                <w:szCs w:val="16"/>
                <w:highlight w:val="yellow"/>
              </w:rPr>
            </w:pPr>
            <w:r w:rsidRPr="001F6F76">
              <w:rPr>
                <w:sz w:val="16"/>
                <w:szCs w:val="16"/>
              </w:rPr>
              <w:t>Frais d’hébergement et de maintenance du système de gestion des contenus</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1 298 000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0%</w:t>
            </w:r>
          </w:p>
        </w:tc>
        <w:tc>
          <w:tcPr>
            <w:tcW w:w="84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noBreakHyphen/>
            </w:r>
          </w:p>
        </w:tc>
      </w:tr>
      <w:tr w:rsidR="00927E1F" w:rsidRPr="001F6F76" w:rsidTr="00927E1F">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rPr>
                <w:sz w:val="16"/>
                <w:szCs w:val="16"/>
                <w:highlight w:val="yellow"/>
              </w:rPr>
            </w:pPr>
            <w:r w:rsidRPr="001F6F76">
              <w:rPr>
                <w:sz w:val="16"/>
                <w:szCs w:val="16"/>
              </w:rPr>
              <w:t>Installation &amp; configuration de base</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205 000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0%</w:t>
            </w:r>
          </w:p>
        </w:tc>
        <w:tc>
          <w:tcPr>
            <w:tcW w:w="84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noBreakHyphen/>
            </w:r>
          </w:p>
        </w:tc>
      </w:tr>
      <w:tr w:rsidR="00927E1F" w:rsidRPr="001F6F76" w:rsidTr="00927E1F">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rPr>
                <w:sz w:val="16"/>
                <w:szCs w:val="16"/>
                <w:highlight w:val="yellow"/>
              </w:rPr>
            </w:pPr>
            <w:r w:rsidRPr="001F6F76">
              <w:rPr>
                <w:sz w:val="16"/>
                <w:szCs w:val="16"/>
              </w:rPr>
              <w:t>Projet n° 1 : gestion des demandes de traduction</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58 000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0%</w:t>
            </w:r>
          </w:p>
        </w:tc>
        <w:tc>
          <w:tcPr>
            <w:tcW w:w="84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noBreakHyphen/>
            </w:r>
          </w:p>
        </w:tc>
      </w:tr>
      <w:tr w:rsidR="00927E1F" w:rsidRPr="001F6F76" w:rsidTr="00927E1F">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rPr>
                <w:sz w:val="16"/>
                <w:szCs w:val="16"/>
                <w:highlight w:val="yellow"/>
              </w:rPr>
            </w:pPr>
            <w:r w:rsidRPr="001F6F76">
              <w:rPr>
                <w:sz w:val="16"/>
                <w:szCs w:val="16"/>
              </w:rPr>
              <w:t>Projet n° 2 : courrier reçu par le Cabinet du Directeur général</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80 000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0%</w:t>
            </w:r>
          </w:p>
        </w:tc>
        <w:tc>
          <w:tcPr>
            <w:tcW w:w="84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noBreakHyphen/>
            </w:r>
          </w:p>
        </w:tc>
      </w:tr>
      <w:tr w:rsidR="00927E1F" w:rsidRPr="001F6F76" w:rsidTr="00927E1F">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rPr>
                <w:sz w:val="16"/>
                <w:szCs w:val="16"/>
                <w:highlight w:val="yellow"/>
              </w:rPr>
            </w:pPr>
            <w:r w:rsidRPr="001F6F76">
              <w:rPr>
                <w:sz w:val="16"/>
                <w:szCs w:val="16"/>
              </w:rPr>
              <w:t xml:space="preserve">Projet n° 3 : système de gestion des fournisseurs et des contrats </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46 000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0%</w:t>
            </w:r>
          </w:p>
        </w:tc>
        <w:tc>
          <w:tcPr>
            <w:tcW w:w="84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noBreakHyphen/>
            </w:r>
          </w:p>
        </w:tc>
      </w:tr>
      <w:tr w:rsidR="00927E1F" w:rsidRPr="001F6F76" w:rsidTr="00927E1F">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rPr>
                <w:sz w:val="16"/>
                <w:szCs w:val="16"/>
                <w:highlight w:val="yellow"/>
              </w:rPr>
            </w:pPr>
            <w:r w:rsidRPr="001F6F76">
              <w:rPr>
                <w:sz w:val="16"/>
                <w:szCs w:val="16"/>
              </w:rPr>
              <w:t xml:space="preserve">Projet n° 4 : rapports de mission </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37 000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0%</w:t>
            </w:r>
          </w:p>
        </w:tc>
        <w:tc>
          <w:tcPr>
            <w:tcW w:w="84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noBreakHyphen/>
            </w:r>
          </w:p>
        </w:tc>
      </w:tr>
      <w:tr w:rsidR="00927E1F" w:rsidRPr="001F6F76" w:rsidTr="00927E1F">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rPr>
                <w:sz w:val="16"/>
                <w:szCs w:val="16"/>
                <w:highlight w:val="yellow"/>
              </w:rPr>
            </w:pPr>
            <w:r w:rsidRPr="001F6F76">
              <w:rPr>
                <w:sz w:val="16"/>
                <w:szCs w:val="16"/>
              </w:rPr>
              <w:t>Projet n° 5 : dossiers électroniques du personnel</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140 000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0%</w:t>
            </w:r>
          </w:p>
        </w:tc>
        <w:tc>
          <w:tcPr>
            <w:tcW w:w="84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noBreakHyphen/>
            </w:r>
          </w:p>
        </w:tc>
      </w:tr>
      <w:tr w:rsidR="00927E1F" w:rsidRPr="001F6F76" w:rsidTr="00927E1F">
        <w:trPr>
          <w:trHeight w:val="389"/>
        </w:trPr>
        <w:tc>
          <w:tcPr>
            <w:tcW w:w="157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rPr>
                <w:sz w:val="16"/>
                <w:szCs w:val="16"/>
                <w:highlight w:val="yellow"/>
              </w:rPr>
            </w:pPr>
            <w:r w:rsidRPr="001F6F76">
              <w:rPr>
                <w:sz w:val="16"/>
                <w:szCs w:val="16"/>
              </w:rPr>
              <w:t>Projet n° 6 : accès au système de gestion des contenus dans toute l’Organisation</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46 000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0</w:t>
            </w:r>
          </w:p>
        </w:tc>
        <w:tc>
          <w:tcPr>
            <w:tcW w:w="85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t>0%</w:t>
            </w:r>
          </w:p>
        </w:tc>
        <w:tc>
          <w:tcPr>
            <w:tcW w:w="84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after="40"/>
              <w:jc w:val="center"/>
              <w:rPr>
                <w:sz w:val="16"/>
                <w:szCs w:val="16"/>
              </w:rPr>
            </w:pPr>
            <w:r w:rsidRPr="001F6F76">
              <w:rPr>
                <w:sz w:val="16"/>
                <w:szCs w:val="16"/>
              </w:rPr>
              <w:noBreakHyphen/>
            </w:r>
          </w:p>
        </w:tc>
      </w:tr>
      <w:tr w:rsidR="00927E1F" w:rsidRPr="001F6F76" w:rsidTr="00927E1F">
        <w:trPr>
          <w:trHeight w:val="389"/>
        </w:trPr>
        <w:tc>
          <w:tcPr>
            <w:tcW w:w="157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1F6F76" w:rsidRDefault="00927E1F" w:rsidP="00927E1F">
            <w:pPr>
              <w:keepNext/>
              <w:keepLines/>
              <w:autoSpaceDE w:val="0"/>
              <w:autoSpaceDN w:val="0"/>
              <w:adjustRightInd w:val="0"/>
              <w:spacing w:after="40"/>
              <w:rPr>
                <w:b/>
                <w:sz w:val="16"/>
                <w:szCs w:val="16"/>
              </w:rPr>
            </w:pPr>
            <w:r w:rsidRPr="001F6F76">
              <w:rPr>
                <w:b/>
                <w:sz w:val="16"/>
                <w:szCs w:val="16"/>
              </w:rPr>
              <w:t>Total</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1F6F76" w:rsidRDefault="00927E1F" w:rsidP="00927E1F">
            <w:pPr>
              <w:keepNext/>
              <w:keepLines/>
              <w:autoSpaceDE w:val="0"/>
              <w:autoSpaceDN w:val="0"/>
              <w:adjustRightInd w:val="0"/>
              <w:spacing w:after="40"/>
              <w:jc w:val="center"/>
              <w:rPr>
                <w:b/>
                <w:sz w:val="16"/>
                <w:szCs w:val="16"/>
              </w:rPr>
            </w:pPr>
            <w:r w:rsidRPr="001F6F76">
              <w:rPr>
                <w:b/>
                <w:sz w:val="16"/>
                <w:szCs w:val="16"/>
              </w:rPr>
              <w:t>2 068 000</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1F6F76" w:rsidRDefault="00927E1F" w:rsidP="00927E1F">
            <w:pPr>
              <w:keepNext/>
              <w:keepLines/>
              <w:autoSpaceDE w:val="0"/>
              <w:autoSpaceDN w:val="0"/>
              <w:adjustRightInd w:val="0"/>
              <w:spacing w:after="40"/>
              <w:jc w:val="center"/>
              <w:rPr>
                <w:b/>
                <w:sz w:val="16"/>
                <w:szCs w:val="16"/>
              </w:rPr>
            </w:pPr>
            <w:r w:rsidRPr="001F6F76">
              <w:rPr>
                <w:b/>
                <w:sz w:val="16"/>
                <w:szCs w:val="16"/>
              </w:rPr>
              <w:t>75 170</w:t>
            </w:r>
          </w:p>
        </w:tc>
        <w:tc>
          <w:tcPr>
            <w:tcW w:w="85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927E1F" w:rsidRPr="001F6F76" w:rsidRDefault="00927E1F" w:rsidP="00927E1F">
            <w:pPr>
              <w:keepNext/>
              <w:keepLines/>
              <w:autoSpaceDE w:val="0"/>
              <w:autoSpaceDN w:val="0"/>
              <w:adjustRightInd w:val="0"/>
              <w:spacing w:after="40"/>
              <w:jc w:val="center"/>
              <w:rPr>
                <w:b/>
                <w:sz w:val="16"/>
                <w:szCs w:val="16"/>
              </w:rPr>
            </w:pPr>
          </w:p>
        </w:tc>
        <w:tc>
          <w:tcPr>
            <w:tcW w:w="84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927E1F" w:rsidRPr="001F6F76" w:rsidRDefault="00927E1F" w:rsidP="00927E1F">
            <w:pPr>
              <w:keepNext/>
              <w:keepLines/>
              <w:autoSpaceDE w:val="0"/>
              <w:autoSpaceDN w:val="0"/>
              <w:adjustRightInd w:val="0"/>
              <w:spacing w:after="40"/>
              <w:jc w:val="center"/>
              <w:rPr>
                <w:b/>
                <w:sz w:val="16"/>
                <w:szCs w:val="16"/>
              </w:rPr>
            </w:pPr>
          </w:p>
        </w:tc>
      </w:tr>
    </w:tbl>
    <w:p w:rsidR="00927E1F" w:rsidRPr="001F6F76" w:rsidRDefault="00927E1F" w:rsidP="00927E1F">
      <w:pPr>
        <w:rPr>
          <w:color w:val="000000"/>
          <w:sz w:val="22"/>
          <w:szCs w:val="22"/>
        </w:rPr>
      </w:pPr>
    </w:p>
    <w:p w:rsidR="00927E1F" w:rsidRPr="001F6F76" w:rsidRDefault="00927E1F" w:rsidP="00927E1F">
      <w:pPr>
        <w:keepNext/>
        <w:keepLines/>
        <w:tabs>
          <w:tab w:val="left" w:pos="3261"/>
        </w:tabs>
        <w:autoSpaceDE w:val="0"/>
        <w:autoSpaceDN w:val="0"/>
        <w:adjustRightInd w:val="0"/>
        <w:jc w:val="center"/>
        <w:rPr>
          <w:b/>
          <w:color w:val="000000"/>
          <w:szCs w:val="22"/>
        </w:rPr>
      </w:pPr>
    </w:p>
    <w:p w:rsidR="00927E1F" w:rsidRPr="001F6F76" w:rsidRDefault="00927E1F" w:rsidP="00927E1F">
      <w:pPr>
        <w:keepNext/>
        <w:keepLines/>
        <w:tabs>
          <w:tab w:val="left" w:pos="3261"/>
        </w:tabs>
        <w:autoSpaceDE w:val="0"/>
        <w:autoSpaceDN w:val="0"/>
        <w:adjustRightInd w:val="0"/>
        <w:jc w:val="center"/>
        <w:rPr>
          <w:b/>
          <w:szCs w:val="22"/>
        </w:rPr>
      </w:pPr>
      <w:r w:rsidRPr="001F6F76">
        <w:rPr>
          <w:b/>
        </w:rPr>
        <w:t>Utilisation du budget du projet (par catégorie de dépenses)</w:t>
      </w:r>
    </w:p>
    <w:p w:rsidR="00927E1F" w:rsidRPr="001F6F76" w:rsidRDefault="00927E1F" w:rsidP="00927E1F">
      <w:pPr>
        <w:keepNext/>
        <w:keepLines/>
        <w:tabs>
          <w:tab w:val="left" w:pos="3261"/>
        </w:tabs>
        <w:autoSpaceDE w:val="0"/>
        <w:autoSpaceDN w:val="0"/>
        <w:adjustRightInd w:val="0"/>
        <w:jc w:val="center"/>
        <w:rPr>
          <w:i/>
          <w:iCs/>
          <w:sz w:val="18"/>
          <w:szCs w:val="18"/>
        </w:rPr>
      </w:pPr>
      <w:r w:rsidRPr="001F6F76">
        <w:rPr>
          <w:i/>
          <w:sz w:val="18"/>
        </w:rPr>
        <w:t>(</w:t>
      </w:r>
      <w:proofErr w:type="gramStart"/>
      <w:r w:rsidRPr="001F6F76">
        <w:rPr>
          <w:i/>
          <w:sz w:val="18"/>
        </w:rPr>
        <w:t>en</w:t>
      </w:r>
      <w:proofErr w:type="gramEnd"/>
      <w:r w:rsidRPr="001F6F76">
        <w:rPr>
          <w:i/>
          <w:sz w:val="18"/>
        </w:rPr>
        <w:t xml:space="preserve"> francs suisses, au 31 décembre 2015)</w:t>
      </w:r>
    </w:p>
    <w:p w:rsidR="00927E1F" w:rsidRPr="001F6F76" w:rsidRDefault="00927E1F" w:rsidP="00927E1F">
      <w:pPr>
        <w:keepNext/>
        <w:keepLines/>
        <w:tabs>
          <w:tab w:val="left" w:pos="3261"/>
        </w:tabs>
        <w:autoSpaceDE w:val="0"/>
        <w:autoSpaceDN w:val="0"/>
        <w:adjustRightInd w:val="0"/>
        <w:spacing w:after="120"/>
        <w:jc w:val="center"/>
        <w:rPr>
          <w:i/>
          <w:iCs/>
          <w:sz w:val="18"/>
          <w:szCs w:val="18"/>
        </w:rPr>
      </w:pPr>
    </w:p>
    <w:tbl>
      <w:tblPr>
        <w:tblW w:w="4665"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999"/>
      </w:tblGrid>
      <w:tr w:rsidR="00927E1F" w:rsidRPr="001F6F76" w:rsidTr="00927E1F">
        <w:trPr>
          <w:trHeight w:val="569"/>
        </w:trPr>
        <w:tc>
          <w:tcPr>
            <w:tcW w:w="18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1F6F76" w:rsidRDefault="00927E1F" w:rsidP="00927E1F">
            <w:pPr>
              <w:keepNext/>
              <w:keepLines/>
              <w:autoSpaceDE w:val="0"/>
              <w:autoSpaceDN w:val="0"/>
              <w:adjustRightInd w:val="0"/>
              <w:ind w:left="-74" w:right="-60"/>
              <w:jc w:val="center"/>
              <w:rPr>
                <w:b/>
                <w:bCs/>
                <w:sz w:val="16"/>
                <w:szCs w:val="16"/>
              </w:rPr>
            </w:pPr>
            <w:r w:rsidRPr="001F6F76">
              <w:rPr>
                <w:b/>
                <w:sz w:val="16"/>
                <w:szCs w:val="16"/>
              </w:rPr>
              <w:t>Catégorie de dépenses</w:t>
            </w:r>
          </w:p>
        </w:tc>
        <w:tc>
          <w:tcPr>
            <w:tcW w:w="10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1F6F76" w:rsidRDefault="00927E1F" w:rsidP="00927E1F">
            <w:pPr>
              <w:keepNext/>
              <w:keepLines/>
              <w:autoSpaceDE w:val="0"/>
              <w:autoSpaceDN w:val="0"/>
              <w:adjustRightInd w:val="0"/>
              <w:ind w:left="-107" w:right="-108"/>
              <w:jc w:val="center"/>
              <w:rPr>
                <w:b/>
                <w:bCs/>
                <w:sz w:val="16"/>
                <w:szCs w:val="16"/>
              </w:rPr>
            </w:pPr>
            <w:r w:rsidRPr="001F6F76">
              <w:rPr>
                <w:b/>
                <w:sz w:val="16"/>
                <w:szCs w:val="16"/>
              </w:rPr>
              <w:t>Budget du projet</w:t>
            </w:r>
          </w:p>
        </w:tc>
        <w:tc>
          <w:tcPr>
            <w:tcW w:w="10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1F6F76" w:rsidRDefault="00927E1F" w:rsidP="00927E1F">
            <w:pPr>
              <w:keepNext/>
              <w:keepLines/>
              <w:autoSpaceDE w:val="0"/>
              <w:autoSpaceDN w:val="0"/>
              <w:adjustRightInd w:val="0"/>
              <w:ind w:left="-108"/>
              <w:jc w:val="center"/>
              <w:rPr>
                <w:b/>
                <w:bCs/>
                <w:sz w:val="16"/>
                <w:szCs w:val="16"/>
              </w:rPr>
            </w:pPr>
            <w:r w:rsidRPr="001F6F76">
              <w:rPr>
                <w:b/>
                <w:sz w:val="16"/>
                <w:szCs w:val="16"/>
              </w:rPr>
              <w:t xml:space="preserve">Dépenses effectives à ce jour </w:t>
            </w:r>
          </w:p>
        </w:tc>
        <w:tc>
          <w:tcPr>
            <w:tcW w:w="111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1F6F76" w:rsidRDefault="00927E1F" w:rsidP="00927E1F">
            <w:pPr>
              <w:keepNext/>
              <w:keepLines/>
              <w:autoSpaceDE w:val="0"/>
              <w:autoSpaceDN w:val="0"/>
              <w:adjustRightInd w:val="0"/>
              <w:ind w:left="-109"/>
              <w:jc w:val="center"/>
              <w:rPr>
                <w:b/>
                <w:bCs/>
                <w:sz w:val="16"/>
                <w:szCs w:val="16"/>
              </w:rPr>
            </w:pPr>
            <w:r w:rsidRPr="001F6F76">
              <w:rPr>
                <w:b/>
                <w:sz w:val="16"/>
                <w:szCs w:val="16"/>
              </w:rPr>
              <w:t>Utilisation effective du budget</w:t>
            </w:r>
          </w:p>
        </w:tc>
      </w:tr>
      <w:tr w:rsidR="00927E1F" w:rsidRPr="001F6F76" w:rsidTr="00927E1F">
        <w:tc>
          <w:tcPr>
            <w:tcW w:w="1820"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spacing w:before="40" w:after="40"/>
              <w:rPr>
                <w:sz w:val="16"/>
                <w:szCs w:val="16"/>
              </w:rPr>
            </w:pPr>
            <w:r w:rsidRPr="001F6F76">
              <w:rPr>
                <w:sz w:val="16"/>
                <w:szCs w:val="16"/>
              </w:rPr>
              <w:t>Services contractuels de personnes</w:t>
            </w:r>
          </w:p>
        </w:tc>
        <w:tc>
          <w:tcPr>
            <w:tcW w:w="1030"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spacing w:before="40" w:after="40" w:line="260" w:lineRule="exact"/>
              <w:jc w:val="center"/>
              <w:rPr>
                <w:sz w:val="16"/>
                <w:szCs w:val="16"/>
              </w:rPr>
            </w:pPr>
            <w:r w:rsidRPr="001F6F76">
              <w:rPr>
                <w:sz w:val="16"/>
                <w:szCs w:val="16"/>
              </w:rPr>
              <w:t>400 000</w:t>
            </w:r>
          </w:p>
        </w:tc>
        <w:tc>
          <w:tcPr>
            <w:tcW w:w="1030"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spacing w:before="40" w:after="40" w:line="260" w:lineRule="exact"/>
              <w:jc w:val="center"/>
              <w:rPr>
                <w:sz w:val="16"/>
                <w:szCs w:val="16"/>
              </w:rPr>
            </w:pPr>
            <w:r w:rsidRPr="001F6F76">
              <w:rPr>
                <w:sz w:val="16"/>
                <w:szCs w:val="16"/>
              </w:rPr>
              <w:t>36 000</w:t>
            </w:r>
          </w:p>
        </w:tc>
        <w:tc>
          <w:tcPr>
            <w:tcW w:w="1119"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spacing w:before="40" w:after="40" w:line="260" w:lineRule="exact"/>
              <w:jc w:val="center"/>
              <w:rPr>
                <w:sz w:val="16"/>
                <w:szCs w:val="16"/>
              </w:rPr>
            </w:pPr>
            <w:r w:rsidRPr="001F6F76">
              <w:rPr>
                <w:sz w:val="16"/>
                <w:szCs w:val="16"/>
              </w:rPr>
              <w:t>9%</w:t>
            </w:r>
          </w:p>
        </w:tc>
      </w:tr>
      <w:tr w:rsidR="00927E1F" w:rsidRPr="001F6F76" w:rsidTr="00927E1F">
        <w:tc>
          <w:tcPr>
            <w:tcW w:w="1820"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spacing w:before="40" w:after="40"/>
              <w:rPr>
                <w:sz w:val="16"/>
                <w:szCs w:val="16"/>
              </w:rPr>
            </w:pPr>
            <w:r w:rsidRPr="001F6F76">
              <w:rPr>
                <w:sz w:val="16"/>
                <w:szCs w:val="16"/>
              </w:rPr>
              <w:t>Services contractuels</w:t>
            </w:r>
          </w:p>
        </w:tc>
        <w:tc>
          <w:tcPr>
            <w:tcW w:w="1030"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spacing w:before="40" w:after="40" w:line="260" w:lineRule="exact"/>
              <w:jc w:val="center"/>
              <w:rPr>
                <w:sz w:val="16"/>
                <w:szCs w:val="16"/>
              </w:rPr>
            </w:pPr>
            <w:r w:rsidRPr="001F6F76">
              <w:rPr>
                <w:sz w:val="16"/>
                <w:szCs w:val="16"/>
              </w:rPr>
              <w:t>690 000</w:t>
            </w:r>
          </w:p>
        </w:tc>
        <w:tc>
          <w:tcPr>
            <w:tcW w:w="1030"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jc w:val="center"/>
              <w:rPr>
                <w:sz w:val="16"/>
                <w:szCs w:val="16"/>
              </w:rPr>
            </w:pPr>
            <w:r w:rsidRPr="001F6F76">
              <w:rPr>
                <w:sz w:val="16"/>
                <w:szCs w:val="16"/>
              </w:rPr>
              <w:t>39 170</w:t>
            </w:r>
          </w:p>
        </w:tc>
        <w:tc>
          <w:tcPr>
            <w:tcW w:w="1119"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jc w:val="center"/>
              <w:rPr>
                <w:sz w:val="16"/>
                <w:szCs w:val="16"/>
              </w:rPr>
            </w:pPr>
            <w:r w:rsidRPr="001F6F76">
              <w:rPr>
                <w:sz w:val="16"/>
                <w:szCs w:val="16"/>
              </w:rPr>
              <w:t>6%</w:t>
            </w:r>
          </w:p>
        </w:tc>
      </w:tr>
      <w:tr w:rsidR="00927E1F" w:rsidRPr="001F6F76" w:rsidTr="00927E1F">
        <w:tc>
          <w:tcPr>
            <w:tcW w:w="1820"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spacing w:before="40" w:after="40"/>
              <w:rPr>
                <w:sz w:val="16"/>
                <w:szCs w:val="16"/>
                <w:highlight w:val="yellow"/>
              </w:rPr>
            </w:pPr>
            <w:r w:rsidRPr="001F6F76">
              <w:rPr>
                <w:sz w:val="16"/>
                <w:szCs w:val="16"/>
              </w:rPr>
              <w:t xml:space="preserve">Appui logiciel </w:t>
            </w:r>
            <w:proofErr w:type="spellStart"/>
            <w:r w:rsidRPr="001F6F76">
              <w:rPr>
                <w:sz w:val="16"/>
                <w:szCs w:val="16"/>
              </w:rPr>
              <w:t>OpenText</w:t>
            </w:r>
            <w:proofErr w:type="spellEnd"/>
            <w:r w:rsidRPr="001F6F76">
              <w:rPr>
                <w:sz w:val="16"/>
                <w:szCs w:val="16"/>
              </w:rPr>
              <w:t xml:space="preserve"> (frais de maintenance)</w:t>
            </w:r>
            <w:r w:rsidRPr="001F6F76">
              <w:rPr>
                <w:sz w:val="16"/>
                <w:szCs w:val="16"/>
                <w:highlight w:val="yellow"/>
              </w:rPr>
              <w:t xml:space="preserve"> </w:t>
            </w:r>
          </w:p>
        </w:tc>
        <w:tc>
          <w:tcPr>
            <w:tcW w:w="1030"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spacing w:before="40" w:after="40" w:line="260" w:lineRule="exact"/>
              <w:jc w:val="center"/>
              <w:rPr>
                <w:sz w:val="16"/>
                <w:szCs w:val="16"/>
              </w:rPr>
            </w:pPr>
            <w:r w:rsidRPr="001F6F76">
              <w:rPr>
                <w:sz w:val="16"/>
                <w:szCs w:val="16"/>
              </w:rPr>
              <w:t>514 000</w:t>
            </w:r>
          </w:p>
        </w:tc>
        <w:tc>
          <w:tcPr>
            <w:tcW w:w="1030"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jc w:val="center"/>
              <w:rPr>
                <w:sz w:val="16"/>
                <w:szCs w:val="16"/>
              </w:rPr>
            </w:pPr>
            <w:r w:rsidRPr="001F6F76">
              <w:rPr>
                <w:sz w:val="16"/>
                <w:szCs w:val="16"/>
              </w:rPr>
              <w:t>0</w:t>
            </w:r>
          </w:p>
        </w:tc>
        <w:tc>
          <w:tcPr>
            <w:tcW w:w="1119"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jc w:val="center"/>
              <w:rPr>
                <w:sz w:val="16"/>
                <w:szCs w:val="16"/>
              </w:rPr>
            </w:pPr>
            <w:r w:rsidRPr="001F6F76">
              <w:rPr>
                <w:sz w:val="16"/>
                <w:szCs w:val="16"/>
              </w:rPr>
              <w:t>0%</w:t>
            </w:r>
          </w:p>
        </w:tc>
      </w:tr>
      <w:tr w:rsidR="00927E1F" w:rsidRPr="001F6F76" w:rsidTr="00927E1F">
        <w:tc>
          <w:tcPr>
            <w:tcW w:w="1820"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spacing w:before="40" w:after="40"/>
              <w:rPr>
                <w:sz w:val="16"/>
                <w:szCs w:val="16"/>
                <w:highlight w:val="yellow"/>
              </w:rPr>
            </w:pPr>
            <w:r w:rsidRPr="001F6F76">
              <w:rPr>
                <w:sz w:val="16"/>
                <w:szCs w:val="16"/>
              </w:rPr>
              <w:t>Hébergement (CIC)</w:t>
            </w:r>
          </w:p>
        </w:tc>
        <w:tc>
          <w:tcPr>
            <w:tcW w:w="1030"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spacing w:before="40" w:after="40" w:line="260" w:lineRule="exact"/>
              <w:jc w:val="center"/>
              <w:rPr>
                <w:sz w:val="16"/>
                <w:szCs w:val="16"/>
              </w:rPr>
            </w:pPr>
            <w:r w:rsidRPr="001F6F76">
              <w:rPr>
                <w:sz w:val="16"/>
                <w:szCs w:val="16"/>
              </w:rPr>
              <w:t>144 000</w:t>
            </w:r>
          </w:p>
        </w:tc>
        <w:tc>
          <w:tcPr>
            <w:tcW w:w="1030"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jc w:val="center"/>
              <w:rPr>
                <w:sz w:val="16"/>
                <w:szCs w:val="16"/>
              </w:rPr>
            </w:pPr>
            <w:r w:rsidRPr="001F6F76">
              <w:rPr>
                <w:sz w:val="16"/>
                <w:szCs w:val="16"/>
              </w:rPr>
              <w:t>0</w:t>
            </w:r>
          </w:p>
        </w:tc>
        <w:tc>
          <w:tcPr>
            <w:tcW w:w="1119"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jc w:val="center"/>
              <w:rPr>
                <w:sz w:val="16"/>
                <w:szCs w:val="16"/>
              </w:rPr>
            </w:pPr>
            <w:r w:rsidRPr="001F6F76">
              <w:rPr>
                <w:sz w:val="16"/>
                <w:szCs w:val="16"/>
              </w:rPr>
              <w:t>0%</w:t>
            </w:r>
          </w:p>
        </w:tc>
      </w:tr>
      <w:tr w:rsidR="00927E1F" w:rsidRPr="001F6F76" w:rsidTr="00927E1F">
        <w:tc>
          <w:tcPr>
            <w:tcW w:w="1820"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spacing w:before="40" w:after="40"/>
              <w:rPr>
                <w:sz w:val="16"/>
                <w:szCs w:val="16"/>
                <w:highlight w:val="yellow"/>
              </w:rPr>
            </w:pPr>
            <w:r w:rsidRPr="001F6F76">
              <w:rPr>
                <w:sz w:val="16"/>
                <w:szCs w:val="16"/>
              </w:rPr>
              <w:t>Divers et imprévus</w:t>
            </w:r>
          </w:p>
        </w:tc>
        <w:tc>
          <w:tcPr>
            <w:tcW w:w="1030"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spacing w:before="40" w:after="40" w:line="260" w:lineRule="exact"/>
              <w:jc w:val="center"/>
              <w:rPr>
                <w:sz w:val="16"/>
                <w:szCs w:val="16"/>
              </w:rPr>
            </w:pPr>
            <w:r w:rsidRPr="001F6F76">
              <w:rPr>
                <w:sz w:val="16"/>
                <w:szCs w:val="16"/>
              </w:rPr>
              <w:t>320 000</w:t>
            </w:r>
          </w:p>
        </w:tc>
        <w:tc>
          <w:tcPr>
            <w:tcW w:w="1030"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jc w:val="center"/>
              <w:rPr>
                <w:sz w:val="16"/>
                <w:szCs w:val="16"/>
              </w:rPr>
            </w:pPr>
            <w:r w:rsidRPr="001F6F76">
              <w:rPr>
                <w:sz w:val="16"/>
                <w:szCs w:val="16"/>
              </w:rPr>
              <w:t>0</w:t>
            </w:r>
          </w:p>
        </w:tc>
        <w:tc>
          <w:tcPr>
            <w:tcW w:w="1119"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jc w:val="center"/>
              <w:rPr>
                <w:sz w:val="16"/>
                <w:szCs w:val="16"/>
              </w:rPr>
            </w:pPr>
            <w:r w:rsidRPr="001F6F76">
              <w:rPr>
                <w:sz w:val="16"/>
                <w:szCs w:val="16"/>
              </w:rPr>
              <w:t>0%</w:t>
            </w:r>
          </w:p>
        </w:tc>
      </w:tr>
      <w:tr w:rsidR="00927E1F" w:rsidRPr="001F6F76" w:rsidTr="00927E1F">
        <w:tc>
          <w:tcPr>
            <w:tcW w:w="182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1F6F76" w:rsidRDefault="00927E1F" w:rsidP="00927E1F">
            <w:pPr>
              <w:autoSpaceDE w:val="0"/>
              <w:autoSpaceDN w:val="0"/>
              <w:adjustRightInd w:val="0"/>
              <w:spacing w:before="40" w:after="40" w:line="260" w:lineRule="exact"/>
              <w:rPr>
                <w:b/>
                <w:sz w:val="16"/>
                <w:szCs w:val="16"/>
              </w:rPr>
            </w:pPr>
            <w:r w:rsidRPr="001F6F76">
              <w:rPr>
                <w:b/>
                <w:sz w:val="16"/>
                <w:szCs w:val="16"/>
              </w:rPr>
              <w:t>Total</w:t>
            </w:r>
          </w:p>
        </w:tc>
        <w:tc>
          <w:tcPr>
            <w:tcW w:w="10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1F6F76" w:rsidRDefault="00927E1F" w:rsidP="00927E1F">
            <w:pPr>
              <w:autoSpaceDE w:val="0"/>
              <w:autoSpaceDN w:val="0"/>
              <w:adjustRightInd w:val="0"/>
              <w:spacing w:before="40" w:after="40" w:line="260" w:lineRule="exact"/>
              <w:jc w:val="center"/>
              <w:rPr>
                <w:b/>
                <w:sz w:val="16"/>
                <w:szCs w:val="16"/>
              </w:rPr>
            </w:pPr>
            <w:r w:rsidRPr="001F6F76">
              <w:rPr>
                <w:b/>
                <w:sz w:val="16"/>
                <w:szCs w:val="16"/>
              </w:rPr>
              <w:t>2 068 000</w:t>
            </w:r>
          </w:p>
        </w:tc>
        <w:tc>
          <w:tcPr>
            <w:tcW w:w="10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1F6F76" w:rsidRDefault="00927E1F" w:rsidP="00927E1F">
            <w:pPr>
              <w:autoSpaceDE w:val="0"/>
              <w:autoSpaceDN w:val="0"/>
              <w:adjustRightInd w:val="0"/>
              <w:spacing w:before="40" w:after="40" w:line="260" w:lineRule="exact"/>
              <w:jc w:val="center"/>
              <w:rPr>
                <w:b/>
                <w:sz w:val="16"/>
                <w:szCs w:val="16"/>
              </w:rPr>
            </w:pPr>
            <w:r w:rsidRPr="001F6F76">
              <w:rPr>
                <w:b/>
                <w:sz w:val="16"/>
                <w:szCs w:val="16"/>
              </w:rPr>
              <w:t>75 170</w:t>
            </w:r>
          </w:p>
        </w:tc>
        <w:tc>
          <w:tcPr>
            <w:tcW w:w="111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927E1F" w:rsidRPr="001F6F76" w:rsidRDefault="00927E1F" w:rsidP="00927E1F">
            <w:pPr>
              <w:autoSpaceDE w:val="0"/>
              <w:autoSpaceDN w:val="0"/>
              <w:adjustRightInd w:val="0"/>
              <w:spacing w:before="40" w:after="40" w:line="260" w:lineRule="exact"/>
              <w:jc w:val="center"/>
              <w:rPr>
                <w:b/>
                <w:sz w:val="16"/>
                <w:szCs w:val="16"/>
              </w:rPr>
            </w:pPr>
          </w:p>
        </w:tc>
      </w:tr>
    </w:tbl>
    <w:p w:rsidR="00927E1F" w:rsidRPr="001F6F76" w:rsidRDefault="00927E1F" w:rsidP="00927E1F">
      <w:pPr>
        <w:spacing w:after="200" w:line="276" w:lineRule="auto"/>
        <w:rPr>
          <w:color w:val="000000"/>
          <w:sz w:val="22"/>
          <w:szCs w:val="22"/>
        </w:rPr>
      </w:pPr>
      <w:r w:rsidRPr="001F6F76">
        <w:rPr>
          <w:color w:val="000000"/>
          <w:sz w:val="22"/>
          <w:szCs w:val="22"/>
        </w:rPr>
        <w:br w:type="page"/>
      </w:r>
    </w:p>
    <w:p w:rsidR="00927E1F" w:rsidRPr="00422570" w:rsidRDefault="00927E1F" w:rsidP="00927E1F">
      <w:pPr>
        <w:rPr>
          <w:color w:val="000000"/>
        </w:rPr>
      </w:pPr>
    </w:p>
    <w:p w:rsidR="00927E1F" w:rsidRPr="00422570" w:rsidRDefault="00927E1F" w:rsidP="00783605">
      <w:r w:rsidRPr="00422570">
        <w:t>CALENDRIER DU PROJET PAR ÉTAPE</w:t>
      </w:r>
    </w:p>
    <w:p w:rsidR="00927E1F" w:rsidRPr="00422570" w:rsidRDefault="00927E1F" w:rsidP="00783605"/>
    <w:tbl>
      <w:tblPr>
        <w:tblW w:w="9520" w:type="dxa"/>
        <w:jc w:val="center"/>
        <w:tblInd w:w="93" w:type="dxa"/>
        <w:tblCellMar>
          <w:top w:w="113" w:type="dxa"/>
          <w:left w:w="68" w:type="dxa"/>
          <w:bottom w:w="113" w:type="dxa"/>
          <w:right w:w="68" w:type="dxa"/>
        </w:tblCellMar>
        <w:tblLook w:val="04A0" w:firstRow="1" w:lastRow="0" w:firstColumn="1" w:lastColumn="0" w:noHBand="0" w:noVBand="1"/>
      </w:tblPr>
      <w:tblGrid>
        <w:gridCol w:w="1840"/>
        <w:gridCol w:w="480"/>
        <w:gridCol w:w="480"/>
        <w:gridCol w:w="480"/>
        <w:gridCol w:w="480"/>
        <w:gridCol w:w="480"/>
        <w:gridCol w:w="480"/>
        <w:gridCol w:w="480"/>
        <w:gridCol w:w="480"/>
        <w:gridCol w:w="480"/>
        <w:gridCol w:w="480"/>
        <w:gridCol w:w="480"/>
        <w:gridCol w:w="480"/>
        <w:gridCol w:w="480"/>
        <w:gridCol w:w="480"/>
        <w:gridCol w:w="480"/>
        <w:gridCol w:w="480"/>
      </w:tblGrid>
      <w:tr w:rsidR="00927E1F" w:rsidRPr="001F6F76" w:rsidTr="00927E1F">
        <w:trPr>
          <w:cantSplit/>
          <w:jc w:val="center"/>
        </w:trPr>
        <w:tc>
          <w:tcPr>
            <w:tcW w:w="1840" w:type="dxa"/>
            <w:tcBorders>
              <w:top w:val="nil"/>
              <w:left w:val="nil"/>
              <w:bottom w:val="nil"/>
              <w:right w:val="nil"/>
            </w:tcBorders>
            <w:shd w:val="clear" w:color="auto" w:fill="auto"/>
            <w:noWrap/>
            <w:vAlign w:val="bottom"/>
            <w:hideMark/>
          </w:tcPr>
          <w:p w:rsidR="00927E1F" w:rsidRPr="001F6F76" w:rsidRDefault="00927E1F" w:rsidP="00927E1F">
            <w:pPr>
              <w:rPr>
                <w:sz w:val="16"/>
                <w:szCs w:val="16"/>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noWrap/>
            <w:vAlign w:val="bottom"/>
            <w:hideMark/>
          </w:tcPr>
          <w:p w:rsidR="00927E1F" w:rsidRPr="001F6F76" w:rsidRDefault="00927E1F" w:rsidP="00927E1F">
            <w:pPr>
              <w:jc w:val="center"/>
              <w:rPr>
                <w:b/>
                <w:bCs/>
                <w:sz w:val="16"/>
                <w:szCs w:val="16"/>
              </w:rPr>
            </w:pPr>
            <w:r w:rsidRPr="001F6F76">
              <w:rPr>
                <w:b/>
                <w:sz w:val="16"/>
              </w:rPr>
              <w:t>2014</w:t>
            </w:r>
          </w:p>
        </w:tc>
        <w:tc>
          <w:tcPr>
            <w:tcW w:w="1920" w:type="dxa"/>
            <w:gridSpan w:val="4"/>
            <w:tcBorders>
              <w:top w:val="single" w:sz="8" w:space="0" w:color="auto"/>
              <w:left w:val="nil"/>
              <w:bottom w:val="single" w:sz="4" w:space="0" w:color="auto"/>
              <w:right w:val="single" w:sz="8" w:space="0" w:color="000000"/>
            </w:tcBorders>
            <w:shd w:val="clear" w:color="auto" w:fill="C6D9F1"/>
            <w:noWrap/>
            <w:vAlign w:val="bottom"/>
            <w:hideMark/>
          </w:tcPr>
          <w:p w:rsidR="00927E1F" w:rsidRPr="001F6F76" w:rsidRDefault="00927E1F" w:rsidP="00927E1F">
            <w:pPr>
              <w:jc w:val="center"/>
              <w:rPr>
                <w:b/>
                <w:bCs/>
                <w:sz w:val="16"/>
                <w:szCs w:val="16"/>
              </w:rPr>
            </w:pPr>
            <w:r w:rsidRPr="001F6F76">
              <w:rPr>
                <w:b/>
                <w:sz w:val="16"/>
              </w:rPr>
              <w:t>2015</w:t>
            </w:r>
          </w:p>
        </w:tc>
        <w:tc>
          <w:tcPr>
            <w:tcW w:w="1920" w:type="dxa"/>
            <w:gridSpan w:val="4"/>
            <w:tcBorders>
              <w:top w:val="single" w:sz="8" w:space="0" w:color="auto"/>
              <w:left w:val="nil"/>
              <w:bottom w:val="single" w:sz="4" w:space="0" w:color="auto"/>
              <w:right w:val="single" w:sz="8" w:space="0" w:color="000000"/>
            </w:tcBorders>
            <w:shd w:val="clear" w:color="auto" w:fill="C6D9F1"/>
            <w:noWrap/>
            <w:vAlign w:val="bottom"/>
            <w:hideMark/>
          </w:tcPr>
          <w:p w:rsidR="00927E1F" w:rsidRPr="001F6F76" w:rsidRDefault="00927E1F" w:rsidP="00927E1F">
            <w:pPr>
              <w:jc w:val="center"/>
              <w:rPr>
                <w:b/>
                <w:bCs/>
                <w:sz w:val="16"/>
                <w:szCs w:val="16"/>
              </w:rPr>
            </w:pPr>
            <w:r w:rsidRPr="001F6F76">
              <w:rPr>
                <w:b/>
                <w:sz w:val="16"/>
              </w:rPr>
              <w:t>2016</w:t>
            </w:r>
          </w:p>
        </w:tc>
        <w:tc>
          <w:tcPr>
            <w:tcW w:w="1920" w:type="dxa"/>
            <w:gridSpan w:val="4"/>
            <w:tcBorders>
              <w:top w:val="single" w:sz="8" w:space="0" w:color="auto"/>
              <w:left w:val="nil"/>
              <w:bottom w:val="single" w:sz="4" w:space="0" w:color="auto"/>
              <w:right w:val="single" w:sz="8" w:space="0" w:color="000000"/>
            </w:tcBorders>
            <w:shd w:val="clear" w:color="auto" w:fill="C6D9F1"/>
            <w:noWrap/>
            <w:vAlign w:val="bottom"/>
            <w:hideMark/>
          </w:tcPr>
          <w:p w:rsidR="00927E1F" w:rsidRPr="001F6F76" w:rsidRDefault="00927E1F" w:rsidP="00927E1F">
            <w:pPr>
              <w:jc w:val="center"/>
              <w:rPr>
                <w:b/>
                <w:bCs/>
                <w:sz w:val="16"/>
                <w:szCs w:val="16"/>
              </w:rPr>
            </w:pPr>
            <w:r w:rsidRPr="001F6F76">
              <w:rPr>
                <w:b/>
                <w:sz w:val="16"/>
              </w:rPr>
              <w:t>2017</w:t>
            </w:r>
          </w:p>
        </w:tc>
      </w:tr>
      <w:tr w:rsidR="00927E1F" w:rsidRPr="00F418DE" w:rsidTr="00927E1F">
        <w:trPr>
          <w:cantSplit/>
          <w:jc w:val="center"/>
        </w:trPr>
        <w:tc>
          <w:tcPr>
            <w:tcW w:w="1840" w:type="dxa"/>
            <w:tcBorders>
              <w:top w:val="single" w:sz="8" w:space="0" w:color="auto"/>
              <w:left w:val="single" w:sz="8" w:space="0" w:color="auto"/>
              <w:bottom w:val="single" w:sz="4" w:space="0" w:color="auto"/>
              <w:right w:val="single" w:sz="8" w:space="0" w:color="auto"/>
            </w:tcBorders>
            <w:shd w:val="clear" w:color="auto" w:fill="C6D9F1"/>
            <w:noWrap/>
            <w:vAlign w:val="bottom"/>
            <w:hideMark/>
          </w:tcPr>
          <w:p w:rsidR="00927E1F" w:rsidRPr="00F418DE" w:rsidRDefault="00927E1F" w:rsidP="00927E1F">
            <w:pPr>
              <w:rPr>
                <w:b/>
                <w:bCs/>
                <w:sz w:val="16"/>
                <w:szCs w:val="16"/>
              </w:rPr>
            </w:pPr>
            <w:r w:rsidRPr="00F418DE">
              <w:rPr>
                <w:b/>
                <w:sz w:val="16"/>
              </w:rPr>
              <w:t>Étape principale</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418DE" w:rsidRDefault="00927E1F" w:rsidP="00927E1F">
            <w:pPr>
              <w:rPr>
                <w:b/>
                <w:bCs/>
                <w:sz w:val="16"/>
                <w:szCs w:val="16"/>
              </w:rPr>
            </w:pPr>
            <w:r w:rsidRPr="00F418DE">
              <w:rPr>
                <w:b/>
                <w:bCs/>
                <w:sz w:val="16"/>
                <w:szCs w:val="16"/>
              </w:rPr>
              <w:t>T1</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418DE" w:rsidRDefault="00927E1F" w:rsidP="00927E1F">
            <w:pPr>
              <w:rPr>
                <w:b/>
                <w:bCs/>
                <w:sz w:val="16"/>
                <w:szCs w:val="16"/>
              </w:rPr>
            </w:pPr>
            <w:r w:rsidRPr="00F418DE">
              <w:rPr>
                <w:b/>
                <w:bCs/>
                <w:sz w:val="16"/>
                <w:szCs w:val="16"/>
              </w:rPr>
              <w:t>T2</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418DE" w:rsidRDefault="00927E1F" w:rsidP="00927E1F">
            <w:pPr>
              <w:rPr>
                <w:b/>
                <w:bCs/>
                <w:sz w:val="16"/>
                <w:szCs w:val="16"/>
              </w:rPr>
            </w:pPr>
            <w:r w:rsidRPr="00F418DE">
              <w:rPr>
                <w:b/>
                <w:bCs/>
                <w:sz w:val="16"/>
                <w:szCs w:val="16"/>
              </w:rPr>
              <w:t>T3</w:t>
            </w:r>
          </w:p>
        </w:tc>
        <w:tc>
          <w:tcPr>
            <w:tcW w:w="480" w:type="dxa"/>
            <w:tcBorders>
              <w:top w:val="nil"/>
              <w:left w:val="nil"/>
              <w:bottom w:val="single" w:sz="4" w:space="0" w:color="auto"/>
              <w:right w:val="single" w:sz="8" w:space="0" w:color="auto"/>
            </w:tcBorders>
            <w:shd w:val="clear" w:color="auto" w:fill="C6D9F1"/>
            <w:noWrap/>
            <w:vAlign w:val="bottom"/>
            <w:hideMark/>
          </w:tcPr>
          <w:p w:rsidR="00927E1F" w:rsidRPr="00F418DE" w:rsidRDefault="00927E1F" w:rsidP="00927E1F">
            <w:pPr>
              <w:rPr>
                <w:b/>
                <w:bCs/>
                <w:sz w:val="16"/>
                <w:szCs w:val="16"/>
              </w:rPr>
            </w:pPr>
            <w:r w:rsidRPr="00F418DE">
              <w:rPr>
                <w:b/>
                <w:bCs/>
                <w:sz w:val="16"/>
                <w:szCs w:val="16"/>
              </w:rPr>
              <w:t>T4</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418DE" w:rsidRDefault="00927E1F" w:rsidP="00927E1F">
            <w:pPr>
              <w:rPr>
                <w:b/>
                <w:bCs/>
                <w:sz w:val="16"/>
                <w:szCs w:val="16"/>
              </w:rPr>
            </w:pPr>
            <w:r w:rsidRPr="00F418DE">
              <w:rPr>
                <w:b/>
                <w:bCs/>
                <w:sz w:val="16"/>
                <w:szCs w:val="16"/>
              </w:rPr>
              <w:t>T1</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418DE" w:rsidRDefault="00927E1F" w:rsidP="00927E1F">
            <w:pPr>
              <w:rPr>
                <w:b/>
                <w:bCs/>
                <w:sz w:val="16"/>
                <w:szCs w:val="16"/>
              </w:rPr>
            </w:pPr>
            <w:r w:rsidRPr="00F418DE">
              <w:rPr>
                <w:b/>
                <w:bCs/>
                <w:sz w:val="16"/>
                <w:szCs w:val="16"/>
              </w:rPr>
              <w:t>T2</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418DE" w:rsidRDefault="00927E1F" w:rsidP="00927E1F">
            <w:pPr>
              <w:rPr>
                <w:b/>
                <w:bCs/>
                <w:sz w:val="16"/>
                <w:szCs w:val="16"/>
              </w:rPr>
            </w:pPr>
            <w:r w:rsidRPr="00F418DE">
              <w:rPr>
                <w:b/>
                <w:bCs/>
                <w:sz w:val="16"/>
                <w:szCs w:val="16"/>
              </w:rPr>
              <w:t>T3</w:t>
            </w:r>
          </w:p>
        </w:tc>
        <w:tc>
          <w:tcPr>
            <w:tcW w:w="480" w:type="dxa"/>
            <w:tcBorders>
              <w:top w:val="nil"/>
              <w:left w:val="nil"/>
              <w:bottom w:val="single" w:sz="4" w:space="0" w:color="auto"/>
              <w:right w:val="single" w:sz="8" w:space="0" w:color="auto"/>
            </w:tcBorders>
            <w:shd w:val="clear" w:color="auto" w:fill="C6D9F1"/>
            <w:noWrap/>
            <w:vAlign w:val="bottom"/>
            <w:hideMark/>
          </w:tcPr>
          <w:p w:rsidR="00927E1F" w:rsidRPr="00F418DE" w:rsidRDefault="00927E1F" w:rsidP="00927E1F">
            <w:pPr>
              <w:rPr>
                <w:b/>
                <w:bCs/>
                <w:sz w:val="16"/>
                <w:szCs w:val="16"/>
              </w:rPr>
            </w:pPr>
            <w:r w:rsidRPr="00F418DE">
              <w:rPr>
                <w:b/>
                <w:bCs/>
                <w:sz w:val="16"/>
                <w:szCs w:val="16"/>
              </w:rPr>
              <w:t>T4</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418DE" w:rsidRDefault="00927E1F" w:rsidP="00927E1F">
            <w:pPr>
              <w:rPr>
                <w:b/>
                <w:bCs/>
                <w:sz w:val="16"/>
                <w:szCs w:val="16"/>
              </w:rPr>
            </w:pPr>
            <w:r w:rsidRPr="00F418DE">
              <w:rPr>
                <w:b/>
                <w:bCs/>
                <w:sz w:val="16"/>
                <w:szCs w:val="16"/>
              </w:rPr>
              <w:t>T1</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418DE" w:rsidRDefault="00927E1F" w:rsidP="00927E1F">
            <w:pPr>
              <w:rPr>
                <w:b/>
                <w:bCs/>
                <w:sz w:val="16"/>
                <w:szCs w:val="16"/>
              </w:rPr>
            </w:pPr>
            <w:r w:rsidRPr="00F418DE">
              <w:rPr>
                <w:b/>
                <w:bCs/>
                <w:sz w:val="16"/>
                <w:szCs w:val="16"/>
              </w:rPr>
              <w:t>T2</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418DE" w:rsidRDefault="00927E1F" w:rsidP="00927E1F">
            <w:pPr>
              <w:rPr>
                <w:b/>
                <w:bCs/>
                <w:sz w:val="16"/>
                <w:szCs w:val="16"/>
              </w:rPr>
            </w:pPr>
            <w:r w:rsidRPr="00F418DE">
              <w:rPr>
                <w:b/>
                <w:bCs/>
                <w:sz w:val="16"/>
                <w:szCs w:val="16"/>
              </w:rPr>
              <w:t>T3</w:t>
            </w:r>
          </w:p>
        </w:tc>
        <w:tc>
          <w:tcPr>
            <w:tcW w:w="480" w:type="dxa"/>
            <w:tcBorders>
              <w:top w:val="nil"/>
              <w:left w:val="nil"/>
              <w:bottom w:val="single" w:sz="4" w:space="0" w:color="auto"/>
              <w:right w:val="single" w:sz="8" w:space="0" w:color="auto"/>
            </w:tcBorders>
            <w:shd w:val="clear" w:color="auto" w:fill="C6D9F1"/>
            <w:noWrap/>
            <w:vAlign w:val="bottom"/>
            <w:hideMark/>
          </w:tcPr>
          <w:p w:rsidR="00927E1F" w:rsidRPr="00F418DE" w:rsidRDefault="00927E1F" w:rsidP="00927E1F">
            <w:pPr>
              <w:rPr>
                <w:b/>
                <w:bCs/>
                <w:sz w:val="16"/>
                <w:szCs w:val="16"/>
              </w:rPr>
            </w:pPr>
            <w:r w:rsidRPr="00F418DE">
              <w:rPr>
                <w:b/>
                <w:bCs/>
                <w:sz w:val="16"/>
                <w:szCs w:val="16"/>
              </w:rPr>
              <w:t>T4</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418DE" w:rsidRDefault="00927E1F" w:rsidP="00927E1F">
            <w:pPr>
              <w:rPr>
                <w:b/>
                <w:bCs/>
                <w:sz w:val="16"/>
                <w:szCs w:val="16"/>
              </w:rPr>
            </w:pPr>
            <w:r w:rsidRPr="00F418DE">
              <w:rPr>
                <w:b/>
                <w:bCs/>
                <w:sz w:val="16"/>
                <w:szCs w:val="16"/>
              </w:rPr>
              <w:t>T1</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418DE" w:rsidRDefault="00927E1F" w:rsidP="00927E1F">
            <w:pPr>
              <w:rPr>
                <w:b/>
                <w:bCs/>
                <w:sz w:val="16"/>
                <w:szCs w:val="16"/>
              </w:rPr>
            </w:pPr>
            <w:r w:rsidRPr="00F418DE">
              <w:rPr>
                <w:b/>
                <w:bCs/>
                <w:sz w:val="16"/>
                <w:szCs w:val="16"/>
              </w:rPr>
              <w:t>T2</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418DE" w:rsidRDefault="00927E1F" w:rsidP="00927E1F">
            <w:pPr>
              <w:rPr>
                <w:b/>
                <w:bCs/>
                <w:sz w:val="16"/>
                <w:szCs w:val="16"/>
              </w:rPr>
            </w:pPr>
            <w:r w:rsidRPr="00F418DE">
              <w:rPr>
                <w:b/>
                <w:bCs/>
                <w:sz w:val="16"/>
                <w:szCs w:val="16"/>
              </w:rPr>
              <w:t>T3</w:t>
            </w:r>
          </w:p>
        </w:tc>
        <w:tc>
          <w:tcPr>
            <w:tcW w:w="480" w:type="dxa"/>
            <w:tcBorders>
              <w:top w:val="nil"/>
              <w:left w:val="nil"/>
              <w:bottom w:val="single" w:sz="4" w:space="0" w:color="auto"/>
              <w:right w:val="single" w:sz="8" w:space="0" w:color="auto"/>
            </w:tcBorders>
            <w:shd w:val="clear" w:color="auto" w:fill="C6D9F1"/>
            <w:noWrap/>
            <w:vAlign w:val="bottom"/>
            <w:hideMark/>
          </w:tcPr>
          <w:p w:rsidR="00927E1F" w:rsidRPr="00F418DE" w:rsidRDefault="00927E1F" w:rsidP="00927E1F">
            <w:pPr>
              <w:rPr>
                <w:b/>
                <w:bCs/>
                <w:sz w:val="16"/>
                <w:szCs w:val="16"/>
              </w:rPr>
            </w:pPr>
            <w:r w:rsidRPr="00F418DE">
              <w:rPr>
                <w:b/>
                <w:bCs/>
                <w:sz w:val="16"/>
                <w:szCs w:val="16"/>
              </w:rPr>
              <w:t>T4</w:t>
            </w:r>
          </w:p>
        </w:tc>
      </w:tr>
      <w:tr w:rsidR="00927E1F" w:rsidRPr="001F6F76" w:rsidTr="00927E1F">
        <w:trPr>
          <w:cantSplit/>
          <w:jc w:val="center"/>
        </w:trPr>
        <w:tc>
          <w:tcPr>
            <w:tcW w:w="1840" w:type="dxa"/>
            <w:tcBorders>
              <w:top w:val="nil"/>
              <w:left w:val="single" w:sz="8" w:space="0" w:color="auto"/>
              <w:bottom w:val="single" w:sz="4" w:space="0" w:color="auto"/>
              <w:right w:val="single" w:sz="8" w:space="0" w:color="auto"/>
            </w:tcBorders>
            <w:shd w:val="clear" w:color="auto" w:fill="auto"/>
            <w:noWrap/>
            <w:vAlign w:val="bottom"/>
          </w:tcPr>
          <w:p w:rsidR="00927E1F" w:rsidRPr="001F6F76" w:rsidRDefault="00927E1F" w:rsidP="00927E1F">
            <w:pPr>
              <w:rPr>
                <w:sz w:val="16"/>
                <w:szCs w:val="16"/>
              </w:rPr>
            </w:pPr>
            <w:r w:rsidRPr="001F6F76">
              <w:rPr>
                <w:sz w:val="16"/>
              </w:rPr>
              <w:t>Étude et élaboration de la stratégie</w:t>
            </w: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r w:rsidRPr="001F6F76">
              <w:rPr>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r>
      <w:tr w:rsidR="00927E1F" w:rsidRPr="001F6F76" w:rsidTr="00927E1F">
        <w:trPr>
          <w:cantSplit/>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927E1F" w:rsidRPr="001F6F76" w:rsidRDefault="00927E1F" w:rsidP="00927E1F">
            <w:pPr>
              <w:rPr>
                <w:sz w:val="16"/>
                <w:szCs w:val="16"/>
              </w:rPr>
            </w:pPr>
            <w:r w:rsidRPr="001F6F76">
              <w:rPr>
                <w:sz w:val="16"/>
              </w:rPr>
              <w:t>Technologie du système de gestion des contenus sélectionnée</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r w:rsidRPr="001F6F76">
              <w:rPr>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1F6F76" w:rsidRDefault="00927E1F" w:rsidP="00927E1F">
            <w:pPr>
              <w:jc w:val="center"/>
              <w:rPr>
                <w:color w:val="000000"/>
                <w:sz w:val="16"/>
                <w:szCs w:val="16"/>
              </w:rPr>
            </w:pPr>
          </w:p>
        </w:tc>
      </w:tr>
      <w:tr w:rsidR="00927E1F" w:rsidRPr="001F6F76" w:rsidTr="00927E1F">
        <w:trPr>
          <w:cantSplit/>
          <w:jc w:val="center"/>
        </w:trPr>
        <w:tc>
          <w:tcPr>
            <w:tcW w:w="1840" w:type="dxa"/>
            <w:tcBorders>
              <w:top w:val="nil"/>
              <w:left w:val="single" w:sz="8" w:space="0" w:color="auto"/>
              <w:bottom w:val="single" w:sz="4" w:space="0" w:color="auto"/>
              <w:right w:val="single" w:sz="8" w:space="0" w:color="auto"/>
            </w:tcBorders>
            <w:shd w:val="clear" w:color="auto" w:fill="auto"/>
            <w:noWrap/>
            <w:vAlign w:val="bottom"/>
          </w:tcPr>
          <w:p w:rsidR="00927E1F" w:rsidRPr="001F6F76" w:rsidRDefault="00927E1F" w:rsidP="00927E1F">
            <w:pPr>
              <w:rPr>
                <w:sz w:val="16"/>
              </w:rPr>
            </w:pPr>
            <w:r w:rsidRPr="001F6F76">
              <w:rPr>
                <w:sz w:val="16"/>
              </w:rPr>
              <w:t>Transformation de la plateforme et mise à niveau de la version existante des dossiers et archives de l’Organisation</w:t>
            </w: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r w:rsidRPr="001F6F76">
              <w:rPr>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r>
      <w:tr w:rsidR="00927E1F" w:rsidRPr="001F6F76" w:rsidTr="00927E1F">
        <w:trPr>
          <w:cantSplit/>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927E1F" w:rsidRPr="001F6F76" w:rsidRDefault="00927E1F" w:rsidP="00927E1F">
            <w:pPr>
              <w:rPr>
                <w:sz w:val="16"/>
                <w:szCs w:val="16"/>
              </w:rPr>
            </w:pPr>
            <w:r w:rsidRPr="001F6F76">
              <w:rPr>
                <w:sz w:val="16"/>
              </w:rPr>
              <w:t>Appel d’offres de partenaires de mise en œuvre terminé</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r w:rsidRPr="001F6F76">
              <w:rPr>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1F6F76" w:rsidRDefault="00927E1F" w:rsidP="00927E1F">
            <w:pPr>
              <w:jc w:val="center"/>
              <w:rPr>
                <w:color w:val="000000"/>
                <w:sz w:val="16"/>
                <w:szCs w:val="16"/>
              </w:rPr>
            </w:pPr>
          </w:p>
        </w:tc>
      </w:tr>
      <w:tr w:rsidR="00927E1F" w:rsidRPr="001F6F76" w:rsidTr="00927E1F">
        <w:trPr>
          <w:cantSplit/>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927E1F" w:rsidRPr="001F6F76" w:rsidRDefault="00927E1F" w:rsidP="00927E1F">
            <w:pPr>
              <w:rPr>
                <w:sz w:val="16"/>
                <w:szCs w:val="16"/>
              </w:rPr>
            </w:pPr>
            <w:r w:rsidRPr="001F6F76">
              <w:rPr>
                <w:sz w:val="16"/>
              </w:rPr>
              <w:t>Configuration de base du système de gestion des contenus acceptée</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r w:rsidRPr="001F6F76">
              <w:rPr>
                <w:color w:val="000000"/>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1F6F76" w:rsidRDefault="00927E1F" w:rsidP="00927E1F">
            <w:pPr>
              <w:jc w:val="center"/>
              <w:rPr>
                <w:color w:val="000000"/>
                <w:sz w:val="16"/>
                <w:szCs w:val="16"/>
              </w:rPr>
            </w:pPr>
          </w:p>
        </w:tc>
      </w:tr>
      <w:tr w:rsidR="00927E1F" w:rsidRPr="001F6F76" w:rsidTr="00927E1F">
        <w:trPr>
          <w:cantSplit/>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927E1F" w:rsidRPr="001F6F76" w:rsidRDefault="00927E1F" w:rsidP="00927E1F">
            <w:pPr>
              <w:rPr>
                <w:sz w:val="16"/>
                <w:szCs w:val="16"/>
              </w:rPr>
            </w:pPr>
            <w:r w:rsidRPr="001F6F76">
              <w:rPr>
                <w:sz w:val="16"/>
              </w:rPr>
              <w:t>Configuration améliorée des dossiers et archives acceptée</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r w:rsidRPr="001F6F76">
              <w:rPr>
                <w:color w:val="000000"/>
                <w:sz w:val="16"/>
                <w:szCs w:val="16"/>
              </w:rPr>
              <w:t>X</w:t>
            </w: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1F6F76" w:rsidRDefault="00927E1F" w:rsidP="00927E1F">
            <w:pPr>
              <w:jc w:val="center"/>
              <w:rPr>
                <w:color w:val="000000"/>
                <w:sz w:val="16"/>
                <w:szCs w:val="16"/>
              </w:rPr>
            </w:pPr>
          </w:p>
        </w:tc>
      </w:tr>
      <w:tr w:rsidR="00927E1F" w:rsidRPr="001F6F76" w:rsidTr="00927E1F">
        <w:trPr>
          <w:cantSplit/>
          <w:jc w:val="center"/>
        </w:trPr>
        <w:tc>
          <w:tcPr>
            <w:tcW w:w="1840" w:type="dxa"/>
            <w:tcBorders>
              <w:top w:val="single" w:sz="4" w:space="0" w:color="auto"/>
              <w:left w:val="single" w:sz="8" w:space="0" w:color="auto"/>
              <w:bottom w:val="single" w:sz="4" w:space="0" w:color="auto"/>
              <w:right w:val="single" w:sz="8" w:space="0" w:color="auto"/>
            </w:tcBorders>
            <w:shd w:val="clear" w:color="auto" w:fill="auto"/>
            <w:noWrap/>
            <w:vAlign w:val="bottom"/>
          </w:tcPr>
          <w:p w:rsidR="00927E1F" w:rsidRPr="001F6F76" w:rsidRDefault="00927E1F" w:rsidP="00927E1F">
            <w:pPr>
              <w:rPr>
                <w:sz w:val="16"/>
                <w:szCs w:val="16"/>
              </w:rPr>
            </w:pPr>
            <w:r w:rsidRPr="001F6F76">
              <w:rPr>
                <w:sz w:val="16"/>
              </w:rPr>
              <w:t>Configuration du système de gestion des contenus des flux et du statut des traductions opérationnelle</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r w:rsidRPr="001F6F76">
              <w:rPr>
                <w:color w:val="000000"/>
                <w:sz w:val="16"/>
                <w:szCs w:val="16"/>
              </w:rPr>
              <w:t>X</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r>
      <w:tr w:rsidR="00927E1F" w:rsidRPr="001F6F76" w:rsidTr="00927E1F">
        <w:trPr>
          <w:cantSplit/>
          <w:jc w:val="center"/>
        </w:trPr>
        <w:tc>
          <w:tcPr>
            <w:tcW w:w="1840" w:type="dxa"/>
            <w:tcBorders>
              <w:top w:val="single" w:sz="4" w:space="0" w:color="auto"/>
              <w:left w:val="single" w:sz="8" w:space="0" w:color="auto"/>
              <w:bottom w:val="single" w:sz="4" w:space="0" w:color="auto"/>
              <w:right w:val="single" w:sz="8" w:space="0" w:color="auto"/>
            </w:tcBorders>
            <w:shd w:val="clear" w:color="auto" w:fill="auto"/>
            <w:noWrap/>
            <w:vAlign w:val="bottom"/>
          </w:tcPr>
          <w:p w:rsidR="00927E1F" w:rsidRPr="001F6F76" w:rsidRDefault="00927E1F" w:rsidP="00927E1F">
            <w:pPr>
              <w:rPr>
                <w:sz w:val="16"/>
                <w:szCs w:val="16"/>
              </w:rPr>
            </w:pPr>
            <w:r w:rsidRPr="001F6F76">
              <w:rPr>
                <w:sz w:val="16"/>
              </w:rPr>
              <w:t>Configuration du système de gestion des contenus du courrier reçu par le Cabinet du Directeur général opérationnelle</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r w:rsidRPr="001F6F76">
              <w:rPr>
                <w:color w:val="000000"/>
                <w:sz w:val="16"/>
                <w:szCs w:val="16"/>
              </w:rPr>
              <w:t>X</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r>
      <w:tr w:rsidR="00927E1F" w:rsidRPr="001F6F76" w:rsidTr="00927E1F">
        <w:trPr>
          <w:cantSplit/>
          <w:jc w:val="center"/>
        </w:trPr>
        <w:tc>
          <w:tcPr>
            <w:tcW w:w="1840" w:type="dxa"/>
            <w:tcBorders>
              <w:top w:val="single" w:sz="4" w:space="0" w:color="auto"/>
              <w:left w:val="single" w:sz="8" w:space="0" w:color="auto"/>
              <w:bottom w:val="single" w:sz="4" w:space="0" w:color="auto"/>
              <w:right w:val="single" w:sz="8" w:space="0" w:color="auto"/>
            </w:tcBorders>
            <w:shd w:val="clear" w:color="auto" w:fill="auto"/>
            <w:noWrap/>
            <w:vAlign w:val="bottom"/>
            <w:hideMark/>
          </w:tcPr>
          <w:p w:rsidR="00927E1F" w:rsidRPr="001F6F76" w:rsidRDefault="00927E1F" w:rsidP="00927E1F">
            <w:pPr>
              <w:rPr>
                <w:sz w:val="16"/>
                <w:szCs w:val="16"/>
              </w:rPr>
            </w:pPr>
            <w:r w:rsidRPr="001F6F76">
              <w:rPr>
                <w:sz w:val="16"/>
              </w:rPr>
              <w:t>Configuration du système de gestion des contenus en matière de gestion des fournisseurs et des contrats opérationnelle</w:t>
            </w: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r w:rsidRPr="001F6F76">
              <w:rPr>
                <w:color w:val="000000"/>
                <w:sz w:val="16"/>
                <w:szCs w:val="16"/>
              </w:rPr>
              <w:t>X</w:t>
            </w: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hideMark/>
          </w:tcPr>
          <w:p w:rsidR="00927E1F" w:rsidRPr="001F6F76" w:rsidRDefault="00927E1F" w:rsidP="00927E1F">
            <w:pPr>
              <w:jc w:val="center"/>
              <w:rPr>
                <w:color w:val="000000"/>
                <w:sz w:val="16"/>
                <w:szCs w:val="16"/>
              </w:rPr>
            </w:pPr>
          </w:p>
        </w:tc>
      </w:tr>
      <w:tr w:rsidR="00927E1F" w:rsidRPr="001F6F76" w:rsidTr="00927E1F">
        <w:trPr>
          <w:cantSplit/>
          <w:jc w:val="center"/>
        </w:trPr>
        <w:tc>
          <w:tcPr>
            <w:tcW w:w="1840" w:type="dxa"/>
            <w:tcBorders>
              <w:top w:val="single" w:sz="4" w:space="0" w:color="auto"/>
              <w:left w:val="single" w:sz="8" w:space="0" w:color="auto"/>
              <w:bottom w:val="single" w:sz="4" w:space="0" w:color="auto"/>
              <w:right w:val="single" w:sz="8" w:space="0" w:color="auto"/>
            </w:tcBorders>
            <w:shd w:val="clear" w:color="auto" w:fill="auto"/>
            <w:noWrap/>
            <w:vAlign w:val="bottom"/>
          </w:tcPr>
          <w:p w:rsidR="00927E1F" w:rsidRPr="001F6F76" w:rsidRDefault="00927E1F" w:rsidP="00927E1F">
            <w:pPr>
              <w:rPr>
                <w:sz w:val="16"/>
                <w:szCs w:val="16"/>
              </w:rPr>
            </w:pPr>
            <w:r w:rsidRPr="001F6F76">
              <w:rPr>
                <w:sz w:val="16"/>
              </w:rPr>
              <w:t>Configuration du système de gestion des contenus des rapports de mission opérationnelle</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r w:rsidRPr="001F6F76">
              <w:rPr>
                <w:color w:val="000000"/>
                <w:sz w:val="16"/>
                <w:szCs w:val="16"/>
              </w:rPr>
              <w:t>X</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r>
      <w:tr w:rsidR="00927E1F" w:rsidRPr="001F6F76" w:rsidTr="00927E1F">
        <w:trPr>
          <w:cantSplit/>
          <w:jc w:val="center"/>
        </w:trPr>
        <w:tc>
          <w:tcPr>
            <w:tcW w:w="1840" w:type="dxa"/>
            <w:tcBorders>
              <w:top w:val="single" w:sz="4" w:space="0" w:color="auto"/>
              <w:left w:val="single" w:sz="8" w:space="0" w:color="auto"/>
              <w:bottom w:val="single" w:sz="4" w:space="0" w:color="auto"/>
              <w:right w:val="single" w:sz="8" w:space="0" w:color="auto"/>
            </w:tcBorders>
            <w:shd w:val="clear" w:color="auto" w:fill="auto"/>
            <w:noWrap/>
            <w:vAlign w:val="bottom"/>
          </w:tcPr>
          <w:p w:rsidR="00927E1F" w:rsidRPr="001F6F76" w:rsidRDefault="00927E1F" w:rsidP="00927E1F">
            <w:pPr>
              <w:rPr>
                <w:sz w:val="16"/>
                <w:szCs w:val="16"/>
              </w:rPr>
            </w:pPr>
            <w:r w:rsidRPr="001F6F76">
              <w:rPr>
                <w:sz w:val="16"/>
              </w:rPr>
              <w:t>Configuration du système de gestion des contenus des dossiers électroniques des ressources humaines opérationnelle</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r w:rsidRPr="001F6F76">
              <w:rPr>
                <w:color w:val="000000"/>
                <w:sz w:val="16"/>
                <w:szCs w:val="16"/>
              </w:rPr>
              <w:t>X</w:t>
            </w: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r>
      <w:tr w:rsidR="00927E1F" w:rsidRPr="001F6F76" w:rsidTr="00927E1F">
        <w:trPr>
          <w:cantSplit/>
          <w:jc w:val="center"/>
        </w:trPr>
        <w:tc>
          <w:tcPr>
            <w:tcW w:w="1840" w:type="dxa"/>
            <w:tcBorders>
              <w:top w:val="single" w:sz="4" w:space="0" w:color="auto"/>
              <w:left w:val="single" w:sz="8" w:space="0" w:color="auto"/>
              <w:bottom w:val="single" w:sz="8" w:space="0" w:color="auto"/>
              <w:right w:val="single" w:sz="8" w:space="0" w:color="auto"/>
            </w:tcBorders>
            <w:shd w:val="clear" w:color="auto" w:fill="auto"/>
            <w:noWrap/>
            <w:vAlign w:val="bottom"/>
          </w:tcPr>
          <w:p w:rsidR="00927E1F" w:rsidRPr="001F6F76" w:rsidRDefault="00927E1F" w:rsidP="00927E1F">
            <w:pPr>
              <w:rPr>
                <w:sz w:val="16"/>
                <w:szCs w:val="16"/>
              </w:rPr>
            </w:pPr>
            <w:r w:rsidRPr="001F6F76">
              <w:rPr>
                <w:sz w:val="16"/>
              </w:rPr>
              <w:t>Configuration du système de gestion des contenus dans toute l’Organisation opérationnelle</w:t>
            </w:r>
          </w:p>
        </w:tc>
        <w:tc>
          <w:tcPr>
            <w:tcW w:w="480" w:type="dxa"/>
            <w:tcBorders>
              <w:top w:val="single" w:sz="4" w:space="0" w:color="auto"/>
              <w:left w:val="nil"/>
              <w:bottom w:val="single" w:sz="8"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8"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8"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8"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8" w:space="0" w:color="auto"/>
              <w:right w:val="single" w:sz="4" w:space="0" w:color="auto"/>
            </w:tcBorders>
            <w:shd w:val="clear" w:color="auto" w:fill="auto"/>
            <w:noWrap/>
            <w:vAlign w:val="center"/>
          </w:tcPr>
          <w:p w:rsidR="00927E1F" w:rsidRPr="001F6F76" w:rsidRDefault="00927E1F" w:rsidP="00927E1F">
            <w:pPr>
              <w:jc w:val="center"/>
              <w:rPr>
                <w:color w:val="000000"/>
                <w:sz w:val="16"/>
                <w:szCs w:val="16"/>
              </w:rPr>
            </w:pPr>
          </w:p>
        </w:tc>
        <w:tc>
          <w:tcPr>
            <w:tcW w:w="480" w:type="dxa"/>
            <w:tcBorders>
              <w:top w:val="single" w:sz="4" w:space="0" w:color="auto"/>
              <w:left w:val="nil"/>
              <w:bottom w:val="single" w:sz="8" w:space="0" w:color="auto"/>
              <w:right w:val="single" w:sz="8" w:space="0" w:color="auto"/>
            </w:tcBorders>
            <w:shd w:val="clear" w:color="auto" w:fill="auto"/>
            <w:noWrap/>
            <w:vAlign w:val="center"/>
          </w:tcPr>
          <w:p w:rsidR="00927E1F" w:rsidRPr="001F6F76" w:rsidRDefault="00927E1F" w:rsidP="00927E1F">
            <w:pPr>
              <w:jc w:val="center"/>
              <w:rPr>
                <w:color w:val="000000"/>
                <w:sz w:val="16"/>
                <w:szCs w:val="16"/>
              </w:rPr>
            </w:pPr>
            <w:r w:rsidRPr="001F6F76">
              <w:rPr>
                <w:color w:val="000000"/>
                <w:sz w:val="16"/>
                <w:szCs w:val="16"/>
              </w:rPr>
              <w:t>X</w:t>
            </w:r>
          </w:p>
        </w:tc>
      </w:tr>
    </w:tbl>
    <w:p w:rsidR="00927E1F" w:rsidRPr="001F6F76" w:rsidRDefault="00927E1F" w:rsidP="00927E1F">
      <w:pPr>
        <w:rPr>
          <w:b/>
          <w:sz w:val="22"/>
        </w:rPr>
      </w:pPr>
      <w:r w:rsidRPr="001F6F76">
        <w:br w:type="page"/>
      </w:r>
      <w:r w:rsidRPr="001F6F76">
        <w:rPr>
          <w:b/>
          <w:sz w:val="22"/>
        </w:rPr>
        <w:lastRenderedPageBreak/>
        <w:t>PROJETS LIÉS AUX BÂTIMENTS</w:t>
      </w:r>
    </w:p>
    <w:p w:rsidR="00927E1F" w:rsidRPr="001F6F76" w:rsidRDefault="00927E1F" w:rsidP="00927E1F">
      <w:pPr>
        <w:rPr>
          <w:b/>
          <w:i/>
        </w:rPr>
      </w:pPr>
      <w:bookmarkStart w:id="192" w:name="_Toc422210525"/>
    </w:p>
    <w:p w:rsidR="00927E1F" w:rsidRPr="001F6F76" w:rsidRDefault="00927E1F" w:rsidP="00783605">
      <w:pPr>
        <w:pStyle w:val="Heading8"/>
      </w:pPr>
      <w:bookmarkStart w:id="193" w:name="_Toc423352910"/>
      <w:bookmarkStart w:id="194" w:name="_Toc455394223"/>
      <w:r w:rsidRPr="001F6F76">
        <w:t>PROJET3</w:t>
      </w:r>
      <w:r w:rsidRPr="001F6F76">
        <w:tab/>
        <w:t>RÉNOVATION DES FAÇADES ET DE LA CLIMATISATION DU BÂTIMENT DU PCT</w:t>
      </w:r>
      <w:bookmarkEnd w:id="192"/>
      <w:bookmarkEnd w:id="193"/>
      <w:bookmarkEnd w:id="194"/>
    </w:p>
    <w:p w:rsidR="00927E1F" w:rsidRPr="001F6F76" w:rsidRDefault="00927E1F" w:rsidP="00927E1F">
      <w:pPr>
        <w:rPr>
          <w:b/>
        </w:rPr>
      </w:pPr>
    </w:p>
    <w:p w:rsidR="00927E1F" w:rsidRPr="001F6F76" w:rsidRDefault="00927E1F" w:rsidP="00927E1F">
      <w:pPr>
        <w:rPr>
          <w:b/>
        </w:rPr>
      </w:pPr>
      <w:r w:rsidRPr="001F6F76">
        <w:rPr>
          <w:b/>
        </w:rPr>
        <w:t>Chef de projet</w:t>
      </w:r>
      <w:r w:rsidRPr="001F6F76">
        <w:rPr>
          <w:b/>
        </w:rPr>
        <w:tab/>
        <w:t>M. A. FAVERO</w:t>
      </w:r>
    </w:p>
    <w:p w:rsidR="00927E1F" w:rsidRPr="001F6F76" w:rsidRDefault="00927E1F" w:rsidP="00927E1F">
      <w:pPr>
        <w:rPr>
          <w:b/>
        </w:rPr>
      </w:pPr>
    </w:p>
    <w:p w:rsidR="00927E1F" w:rsidRPr="001F6F76" w:rsidRDefault="00927E1F" w:rsidP="00927E1F">
      <w:pPr>
        <w:rPr>
          <w:bCs/>
        </w:rPr>
      </w:pPr>
    </w:p>
    <w:p w:rsidR="00927E1F" w:rsidRPr="001F6F76" w:rsidRDefault="00927E1F" w:rsidP="00927E1F">
      <w:pPr>
        <w:rPr>
          <w:bCs/>
        </w:rPr>
      </w:pPr>
      <w:r w:rsidRPr="001F6F76">
        <w:t>RÉSULTATS ESCOMPTÉS</w:t>
      </w:r>
    </w:p>
    <w:p w:rsidR="00927E1F" w:rsidRPr="001F6F76" w:rsidRDefault="00927E1F" w:rsidP="00927E1F">
      <w:pPr>
        <w:rPr>
          <w:bCs/>
        </w:rPr>
      </w:pPr>
    </w:p>
    <w:p w:rsidR="00927E1F" w:rsidRPr="001F6F76" w:rsidRDefault="00927E1F" w:rsidP="00927E1F">
      <w:pPr>
        <w:rPr>
          <w:i/>
          <w:iCs/>
        </w:rPr>
      </w:pPr>
      <w:r w:rsidRPr="001F6F76">
        <w:rPr>
          <w:i/>
        </w:rPr>
        <w:t>IX.1 Services d’appui efficaces, efficients, de qualité et tournés vers la clientèle, à l’intention à la fois des clients internes et des parties prenantes externes</w:t>
      </w:r>
    </w:p>
    <w:p w:rsidR="00927E1F" w:rsidRPr="001F6F76" w:rsidRDefault="00927E1F" w:rsidP="00927E1F">
      <w:pPr>
        <w:rPr>
          <w:bCs/>
        </w:rPr>
      </w:pPr>
    </w:p>
    <w:p w:rsidR="00927E1F" w:rsidRPr="001F6F76" w:rsidRDefault="00927E1F" w:rsidP="00927E1F">
      <w:pPr>
        <w:rPr>
          <w:bCs/>
        </w:rPr>
      </w:pPr>
    </w:p>
    <w:p w:rsidR="00927E1F" w:rsidRPr="001F6F76" w:rsidRDefault="00927E1F" w:rsidP="00927E1F">
      <w:pPr>
        <w:rPr>
          <w:bCs/>
        </w:rPr>
      </w:pPr>
      <w:r w:rsidRPr="001F6F76">
        <w:t>OBJECTIFS, PORTÉE ET APPROCHE – GÉNÉRALITÉS</w:t>
      </w:r>
    </w:p>
    <w:p w:rsidR="00927E1F" w:rsidRPr="001F6F76" w:rsidRDefault="00927E1F" w:rsidP="00927E1F">
      <w:pPr>
        <w:rPr>
          <w:bCs/>
        </w:rPr>
      </w:pPr>
    </w:p>
    <w:p w:rsidR="00927E1F" w:rsidRPr="001F6F76" w:rsidRDefault="00927E1F" w:rsidP="00DF2EEF">
      <w:pPr>
        <w:pStyle w:val="ONUME"/>
        <w:numPr>
          <w:ilvl w:val="0"/>
          <w:numId w:val="122"/>
        </w:numPr>
        <w:tabs>
          <w:tab w:val="left" w:pos="567"/>
        </w:tabs>
        <w:ind w:left="0" w:firstLine="0"/>
        <w:jc w:val="both"/>
      </w:pPr>
      <w:r w:rsidRPr="001F6F76">
        <w:t>L’objectif du projet est double : i) remplacement complet des faux plafonds pour le système de climatisation des étages supérieurs du bâtiment PCT et ii) rénovation majeure des éléments structurels de toutes les façades de ce bâtiment (en d’autres termes, les fenêtres proprement dites ne sont normalement pas visées).  Ces dernières années, il est apparu que les réparations mineures rendues nécessaires en cas de panne et d’élévation ou d’abaissement excessif de la température dans les bureaux qui sont opérées depuis une dizaine d’années n’étaient plus tenables.  Par ailleurs, un certain nombre d’éléments de l’installation de climatisation actuelle ne sont plus commercialisés et les pièces détachées sont introuvables, ce qui compromet à court terme la viabilité de l’ensemble de l’installation de climatisation du bâtiment.  La surconsommation d’énergie causée par le caractère défectueux des systèmes et installations ainsi que des éléments structurels des façades est considérable et ne fera qu’augmenter au fil des ans.  Un audit technique de l’installation de climatisation a été effectué en 2011 et un audit technique des façades a eu lieu au premier semestre de 2013.</w:t>
      </w:r>
    </w:p>
    <w:p w:rsidR="00927E1F" w:rsidRPr="001F6F76" w:rsidRDefault="00927E1F" w:rsidP="00DF2EEF">
      <w:pPr>
        <w:pStyle w:val="ONUME"/>
        <w:numPr>
          <w:ilvl w:val="0"/>
          <w:numId w:val="122"/>
        </w:numPr>
        <w:tabs>
          <w:tab w:val="left" w:pos="567"/>
        </w:tabs>
        <w:ind w:left="0" w:firstLine="0"/>
        <w:jc w:val="both"/>
      </w:pPr>
      <w:r w:rsidRPr="001F6F76">
        <w:t>Les résultats escomptés de ces travaux de rénovation sont une installation de climatisation et des façades opérationnelles et fiables, ainsi qu’une réduction significative de la consommation d’énergie grâce à la suppression du gaspillage actuel.</w:t>
      </w:r>
    </w:p>
    <w:p w:rsidR="00927E1F" w:rsidRPr="001F6F76" w:rsidRDefault="00927E1F" w:rsidP="00DF2EEF">
      <w:pPr>
        <w:pStyle w:val="ONUME"/>
        <w:numPr>
          <w:ilvl w:val="0"/>
          <w:numId w:val="122"/>
        </w:numPr>
        <w:tabs>
          <w:tab w:val="left" w:pos="567"/>
        </w:tabs>
        <w:ind w:left="0" w:firstLine="0"/>
        <w:jc w:val="both"/>
      </w:pPr>
      <w:r w:rsidRPr="001F6F76">
        <w:t>Les objectifs du projet consistent à : i) réduire les déperditions d’énergie (façades);  ii) réduire la consommation énergétique (faux plafonds thermiques et façades);  iii) améliorer les installations techniques afin de réduire le besoin de maintenance (faux plafonds thermiques et façades);  iv) améliorer le confort des occupants;  v) utiliser une nouvelle technologie, plus respectueuse de l’environnement;  et vi) moderniser en vue de cycles de vie plus longs (faux plafonds thermiques).</w:t>
      </w:r>
    </w:p>
    <w:p w:rsidR="00927E1F" w:rsidRPr="001F6F76" w:rsidRDefault="00927E1F" w:rsidP="00927E1F">
      <w:pPr>
        <w:rPr>
          <w:bCs/>
        </w:rPr>
      </w:pPr>
      <w:r w:rsidRPr="001F6F76">
        <w:t>APERÇU DES PROGRÈS RÉALISÉS EN 2015 (PRINCIPALES ÉTAPES)</w:t>
      </w:r>
    </w:p>
    <w:p w:rsidR="00927E1F" w:rsidRPr="001F6F76" w:rsidRDefault="00927E1F" w:rsidP="00927E1F">
      <w:pPr>
        <w:rPr>
          <w:bCs/>
        </w:rPr>
      </w:pPr>
    </w:p>
    <w:p w:rsidR="00927E1F" w:rsidRPr="001F6F76" w:rsidRDefault="00927E1F" w:rsidP="00DF2EEF">
      <w:pPr>
        <w:pStyle w:val="ONUME"/>
        <w:numPr>
          <w:ilvl w:val="0"/>
          <w:numId w:val="122"/>
        </w:numPr>
        <w:tabs>
          <w:tab w:val="left" w:pos="567"/>
        </w:tabs>
        <w:ind w:left="0" w:firstLine="0"/>
        <w:jc w:val="both"/>
        <w:rPr>
          <w:bCs/>
        </w:rPr>
      </w:pPr>
      <w:r w:rsidRPr="001F6F76">
        <w:t>En 2014, les progrès suivants ont été accomplis :</w:t>
      </w:r>
    </w:p>
    <w:p w:rsidR="00927E1F" w:rsidRPr="001F6F76" w:rsidRDefault="00927E1F" w:rsidP="00DF2EEF">
      <w:pPr>
        <w:pStyle w:val="ListParagraph"/>
        <w:numPr>
          <w:ilvl w:val="0"/>
          <w:numId w:val="114"/>
        </w:numPr>
        <w:spacing w:after="120"/>
        <w:ind w:left="992" w:hanging="425"/>
        <w:rPr>
          <w:bCs/>
        </w:rPr>
      </w:pPr>
      <w:r w:rsidRPr="001F6F76">
        <w:t>rédaction et lancement de l’appel à manifestations d’intérêt pour le pilote/architecte;</w:t>
      </w:r>
    </w:p>
    <w:p w:rsidR="00927E1F" w:rsidRPr="001F6F76" w:rsidRDefault="00927E1F" w:rsidP="00DF2EEF">
      <w:pPr>
        <w:pStyle w:val="ListParagraph"/>
        <w:numPr>
          <w:ilvl w:val="0"/>
          <w:numId w:val="114"/>
        </w:numPr>
        <w:shd w:val="clear" w:color="auto" w:fill="FFFFFF"/>
        <w:spacing w:after="120"/>
        <w:ind w:left="992" w:hanging="425"/>
        <w:rPr>
          <w:bCs/>
        </w:rPr>
      </w:pPr>
      <w:r w:rsidRPr="001F6F76">
        <w:t>achèvement de la présélection et évaluation de l’appel à manifestations d’intérêt pour le mandat du pilote/architecte;  et</w:t>
      </w:r>
    </w:p>
    <w:p w:rsidR="00927E1F" w:rsidRPr="001F6F76" w:rsidRDefault="00927E1F" w:rsidP="00DF2EEF">
      <w:pPr>
        <w:pStyle w:val="ListParagraph"/>
        <w:numPr>
          <w:ilvl w:val="0"/>
          <w:numId w:val="114"/>
        </w:numPr>
        <w:shd w:val="clear" w:color="auto" w:fill="FFFFFF"/>
        <w:ind w:left="993" w:hanging="426"/>
      </w:pPr>
      <w:r w:rsidRPr="001F6F76">
        <w:t>rédaction des spécifications techniques pour l’appel d’offres du pilote/architecte.</w:t>
      </w:r>
    </w:p>
    <w:p w:rsidR="00927E1F" w:rsidRPr="00422570" w:rsidRDefault="00927E1F" w:rsidP="00927E1F">
      <w:pPr>
        <w:shd w:val="clear" w:color="auto" w:fill="FFFFFF"/>
        <w:rPr>
          <w:bCs/>
        </w:rPr>
      </w:pPr>
    </w:p>
    <w:p w:rsidR="00927E1F" w:rsidRPr="001F6F76" w:rsidRDefault="00927E1F" w:rsidP="00DF2EEF">
      <w:pPr>
        <w:pStyle w:val="ONUME"/>
        <w:numPr>
          <w:ilvl w:val="0"/>
          <w:numId w:val="122"/>
        </w:numPr>
        <w:tabs>
          <w:tab w:val="left" w:pos="567"/>
        </w:tabs>
        <w:ind w:left="0" w:firstLine="0"/>
        <w:jc w:val="both"/>
      </w:pPr>
      <w:r w:rsidRPr="001F6F76">
        <w:t>En raison de l’achèvement retardé (de début 2014 à septembre 2014) de la nouvelle salle de conférence de l’OMPI, le commencement du projet a été retardé de neuf mois par rapport au plan initial.  Le calendrier du projet a été prolongé jusqu’en 2018.</w:t>
      </w:r>
    </w:p>
    <w:p w:rsidR="00927E1F" w:rsidRPr="001F6F76" w:rsidRDefault="00927E1F" w:rsidP="00DF2EEF">
      <w:pPr>
        <w:pStyle w:val="ONUME"/>
        <w:numPr>
          <w:ilvl w:val="0"/>
          <w:numId w:val="122"/>
        </w:numPr>
        <w:tabs>
          <w:tab w:val="left" w:pos="567"/>
        </w:tabs>
        <w:ind w:left="0" w:firstLine="0"/>
        <w:jc w:val="both"/>
        <w:rPr>
          <w:rFonts w:eastAsiaTheme="minorHAnsi"/>
        </w:rPr>
      </w:pPr>
      <w:r w:rsidRPr="001F6F76">
        <w:rPr>
          <w:rFonts w:eastAsiaTheme="minorHAnsi"/>
        </w:rPr>
        <w:t>En 2015, les progrès suivants ont été accomplis :</w:t>
      </w:r>
    </w:p>
    <w:p w:rsidR="00927E1F" w:rsidRPr="001F6F76" w:rsidRDefault="00927E1F" w:rsidP="00DF2EEF">
      <w:pPr>
        <w:pStyle w:val="ListParagraph"/>
        <w:numPr>
          <w:ilvl w:val="0"/>
          <w:numId w:val="129"/>
        </w:numPr>
        <w:autoSpaceDE w:val="0"/>
        <w:autoSpaceDN w:val="0"/>
        <w:adjustRightInd w:val="0"/>
        <w:spacing w:after="120"/>
        <w:ind w:left="714" w:hanging="357"/>
        <w:rPr>
          <w:bCs/>
        </w:rPr>
      </w:pPr>
      <w:r w:rsidRPr="001F6F76">
        <w:rPr>
          <w:bCs/>
        </w:rPr>
        <w:t>lancement de l’appel d’offres concernant le pilote ou l’architecte;</w:t>
      </w:r>
    </w:p>
    <w:p w:rsidR="00927E1F" w:rsidRPr="001F6F76" w:rsidRDefault="00927E1F" w:rsidP="00DF2EEF">
      <w:pPr>
        <w:pStyle w:val="ListParagraph"/>
        <w:numPr>
          <w:ilvl w:val="0"/>
          <w:numId w:val="129"/>
        </w:numPr>
        <w:autoSpaceDE w:val="0"/>
        <w:autoSpaceDN w:val="0"/>
        <w:adjustRightInd w:val="0"/>
        <w:spacing w:after="120"/>
        <w:rPr>
          <w:bCs/>
        </w:rPr>
      </w:pPr>
      <w:r w:rsidRPr="001F6F76">
        <w:rPr>
          <w:bCs/>
        </w:rPr>
        <w:t>attribution du contrat au pilote ou à l’architecte en décembre 2015, un retard ayant été enregistré par rapport au calendrier initialement prévu, à savoir le deuxième trimestre de 2015, en raison de la résiliation à l’amiable et d’un commun accord du contrat relatif au projet de nouvelle salle de conférence;</w:t>
      </w:r>
    </w:p>
    <w:p w:rsidR="00927E1F" w:rsidRPr="001F6F76" w:rsidRDefault="00927E1F" w:rsidP="00DF2EEF">
      <w:pPr>
        <w:pStyle w:val="ListParagraph"/>
        <w:numPr>
          <w:ilvl w:val="0"/>
          <w:numId w:val="129"/>
        </w:numPr>
        <w:autoSpaceDE w:val="0"/>
        <w:autoSpaceDN w:val="0"/>
        <w:adjustRightInd w:val="0"/>
        <w:spacing w:after="120"/>
        <w:ind w:left="714" w:hanging="357"/>
        <w:rPr>
          <w:bCs/>
        </w:rPr>
      </w:pPr>
      <w:r w:rsidRPr="001F6F76">
        <w:rPr>
          <w:bCs/>
        </w:rPr>
        <w:lastRenderedPageBreak/>
        <w:t xml:space="preserve">élaboration des spécifications préliminaires pour les ingénieurs CVC et ceux chargés des façades;  </w:t>
      </w:r>
      <w:r>
        <w:rPr>
          <w:bCs/>
        </w:rPr>
        <w:t>et</w:t>
      </w:r>
    </w:p>
    <w:p w:rsidR="00927E1F" w:rsidRPr="001F6F76" w:rsidRDefault="00927E1F" w:rsidP="00DF2EEF">
      <w:pPr>
        <w:pStyle w:val="ListParagraph"/>
        <w:numPr>
          <w:ilvl w:val="0"/>
          <w:numId w:val="129"/>
        </w:numPr>
        <w:autoSpaceDE w:val="0"/>
        <w:autoSpaceDN w:val="0"/>
        <w:adjustRightInd w:val="0"/>
        <w:spacing w:after="120"/>
        <w:rPr>
          <w:bCs/>
        </w:rPr>
      </w:pPr>
      <w:r w:rsidRPr="001F6F76">
        <w:rPr>
          <w:bCs/>
        </w:rPr>
        <w:t>lancement de l’appel d’offres pour les ingénieurs CVC et ceux chargés des façades.  Afin que le pilote ou l’architecte sélectionné puisse être pleinement impliqué dans cette procédure</w:t>
      </w:r>
      <w:r w:rsidRPr="001F6F76">
        <w:rPr>
          <w:bCs/>
          <w:vertAlign w:val="superscript"/>
        </w:rPr>
        <w:footnoteReference w:id="175"/>
      </w:r>
      <w:r w:rsidRPr="001F6F76">
        <w:rPr>
          <w:bCs/>
        </w:rPr>
        <w:t>, la date de clôture de l’appel d’offres a été repoussée.</w:t>
      </w:r>
    </w:p>
    <w:p w:rsidR="00927E1F" w:rsidRPr="001F6F76" w:rsidRDefault="00927E1F" w:rsidP="00DF2EEF">
      <w:pPr>
        <w:pStyle w:val="ONUME"/>
        <w:numPr>
          <w:ilvl w:val="0"/>
          <w:numId w:val="122"/>
        </w:numPr>
        <w:tabs>
          <w:tab w:val="left" w:pos="567"/>
        </w:tabs>
        <w:ind w:left="0" w:firstLine="0"/>
        <w:jc w:val="both"/>
      </w:pPr>
      <w:r w:rsidRPr="001F6F76">
        <w:t>Le calendrier du projet a été actualisé de manière à tenir compte des changements susmentionnés.</w:t>
      </w:r>
    </w:p>
    <w:p w:rsidR="00927E1F" w:rsidRPr="00422570" w:rsidRDefault="00927E1F" w:rsidP="00927E1F">
      <w:pPr>
        <w:shd w:val="clear" w:color="auto" w:fill="FFFFFF"/>
        <w:rPr>
          <w:bCs/>
        </w:rPr>
      </w:pPr>
    </w:p>
    <w:p w:rsidR="00927E1F" w:rsidRPr="00422570" w:rsidRDefault="00927E1F" w:rsidP="00927E1F">
      <w:pPr>
        <w:keepNext/>
        <w:keepLines/>
        <w:rPr>
          <w:bCs/>
        </w:rPr>
      </w:pPr>
      <w:r w:rsidRPr="00422570">
        <w:t>CONCRÉTISATION DES AVANTAGES</w:t>
      </w:r>
    </w:p>
    <w:p w:rsidR="00927E1F" w:rsidRPr="00422570" w:rsidRDefault="00927E1F" w:rsidP="00927E1F">
      <w:pPr>
        <w:keepNext/>
        <w:keepLines/>
      </w:pPr>
    </w:p>
    <w:tbl>
      <w:tblPr>
        <w:tblW w:w="4223" w:type="pct"/>
        <w:jc w:val="center"/>
        <w:tblInd w:w="-16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68" w:type="dxa"/>
          <w:bottom w:w="113" w:type="dxa"/>
          <w:right w:w="68" w:type="dxa"/>
        </w:tblCellMar>
        <w:tblLook w:val="01E0" w:firstRow="1" w:lastRow="1" w:firstColumn="1" w:lastColumn="1" w:noHBand="0" w:noVBand="0"/>
      </w:tblPr>
      <w:tblGrid>
        <w:gridCol w:w="3798"/>
        <w:gridCol w:w="4218"/>
      </w:tblGrid>
      <w:tr w:rsidR="00927E1F" w:rsidRPr="001F6F76" w:rsidTr="00927E1F">
        <w:trPr>
          <w:cantSplit/>
          <w:tblHeader/>
          <w:jc w:val="center"/>
        </w:trPr>
        <w:tc>
          <w:tcPr>
            <w:tcW w:w="2369" w:type="pct"/>
            <w:shd w:val="clear" w:color="auto" w:fill="C6D9F1"/>
            <w:vAlign w:val="center"/>
          </w:tcPr>
          <w:p w:rsidR="00927E1F" w:rsidRPr="001F6F76" w:rsidRDefault="00927E1F" w:rsidP="00927E1F">
            <w:pPr>
              <w:keepNext/>
              <w:keepLines/>
              <w:jc w:val="center"/>
              <w:rPr>
                <w:b/>
                <w:bCs/>
                <w:sz w:val="16"/>
                <w:szCs w:val="16"/>
              </w:rPr>
            </w:pPr>
            <w:r w:rsidRPr="001F6F76">
              <w:rPr>
                <w:b/>
                <w:sz w:val="16"/>
              </w:rPr>
              <w:t>Avantages escomptés en 2017</w:t>
            </w:r>
          </w:p>
        </w:tc>
        <w:tc>
          <w:tcPr>
            <w:tcW w:w="2631" w:type="pct"/>
            <w:shd w:val="clear" w:color="auto" w:fill="C6D9F1"/>
          </w:tcPr>
          <w:p w:rsidR="00927E1F" w:rsidRPr="001F6F76" w:rsidRDefault="00927E1F" w:rsidP="00927E1F">
            <w:pPr>
              <w:keepNext/>
              <w:keepLines/>
              <w:jc w:val="center"/>
              <w:rPr>
                <w:b/>
                <w:bCs/>
                <w:sz w:val="16"/>
                <w:szCs w:val="16"/>
              </w:rPr>
            </w:pPr>
            <w:r w:rsidRPr="001F6F76">
              <w:rPr>
                <w:b/>
                <w:sz w:val="16"/>
              </w:rPr>
              <w:t>Avantages escomptés en 2018</w:t>
            </w:r>
          </w:p>
        </w:tc>
      </w:tr>
      <w:tr w:rsidR="00927E1F" w:rsidRPr="001F6F76" w:rsidTr="00927E1F">
        <w:trPr>
          <w:cantSplit/>
          <w:jc w:val="center"/>
        </w:trPr>
        <w:tc>
          <w:tcPr>
            <w:tcW w:w="2369" w:type="pct"/>
            <w:shd w:val="clear" w:color="auto" w:fill="auto"/>
          </w:tcPr>
          <w:p w:rsidR="00927E1F" w:rsidRPr="001F6F76" w:rsidRDefault="00927E1F" w:rsidP="00927E1F">
            <w:pPr>
              <w:keepNext/>
              <w:keepLines/>
              <w:rPr>
                <w:bCs/>
                <w:iCs/>
                <w:sz w:val="16"/>
                <w:szCs w:val="16"/>
              </w:rPr>
            </w:pPr>
            <w:r w:rsidRPr="001F6F76">
              <w:rPr>
                <w:sz w:val="16"/>
              </w:rPr>
              <w:t>Amélioration partielle des installations techniques</w:t>
            </w:r>
          </w:p>
        </w:tc>
        <w:tc>
          <w:tcPr>
            <w:tcW w:w="2631" w:type="pct"/>
            <w:shd w:val="clear" w:color="auto" w:fill="auto"/>
          </w:tcPr>
          <w:p w:rsidR="00927E1F" w:rsidRPr="001F6F76" w:rsidRDefault="00927E1F" w:rsidP="00927E1F">
            <w:pPr>
              <w:keepNext/>
              <w:keepLines/>
              <w:rPr>
                <w:bCs/>
                <w:iCs/>
                <w:sz w:val="16"/>
                <w:szCs w:val="16"/>
              </w:rPr>
            </w:pPr>
            <w:r w:rsidRPr="001F6F76">
              <w:rPr>
                <w:sz w:val="16"/>
              </w:rPr>
              <w:t>Amélioration complète des installations techniques</w:t>
            </w:r>
          </w:p>
        </w:tc>
      </w:tr>
      <w:tr w:rsidR="00927E1F" w:rsidRPr="001F6F76" w:rsidTr="00927E1F">
        <w:trPr>
          <w:cantSplit/>
          <w:jc w:val="center"/>
        </w:trPr>
        <w:tc>
          <w:tcPr>
            <w:tcW w:w="2369" w:type="pct"/>
            <w:shd w:val="clear" w:color="auto" w:fill="auto"/>
          </w:tcPr>
          <w:p w:rsidR="00927E1F" w:rsidRPr="001F6F76" w:rsidRDefault="00927E1F" w:rsidP="00927E1F">
            <w:pPr>
              <w:keepNext/>
              <w:keepLines/>
              <w:rPr>
                <w:bCs/>
                <w:iCs/>
                <w:sz w:val="16"/>
                <w:szCs w:val="16"/>
              </w:rPr>
            </w:pPr>
            <w:r w:rsidRPr="001F6F76">
              <w:rPr>
                <w:sz w:val="16"/>
              </w:rPr>
              <w:t>Amélioration partielle du confort des occupants</w:t>
            </w:r>
          </w:p>
        </w:tc>
        <w:tc>
          <w:tcPr>
            <w:tcW w:w="2631" w:type="pct"/>
            <w:shd w:val="clear" w:color="auto" w:fill="auto"/>
          </w:tcPr>
          <w:p w:rsidR="00927E1F" w:rsidRPr="001F6F76" w:rsidRDefault="00927E1F" w:rsidP="00927E1F">
            <w:pPr>
              <w:keepNext/>
              <w:keepLines/>
              <w:rPr>
                <w:bCs/>
                <w:iCs/>
                <w:sz w:val="16"/>
                <w:szCs w:val="16"/>
              </w:rPr>
            </w:pPr>
            <w:r w:rsidRPr="001F6F76">
              <w:rPr>
                <w:sz w:val="16"/>
              </w:rPr>
              <w:t>Amélioration complète du confort des occupants</w:t>
            </w:r>
          </w:p>
        </w:tc>
      </w:tr>
      <w:tr w:rsidR="00927E1F" w:rsidRPr="001F6F76" w:rsidTr="00927E1F">
        <w:trPr>
          <w:cantSplit/>
          <w:jc w:val="center"/>
        </w:trPr>
        <w:tc>
          <w:tcPr>
            <w:tcW w:w="2369" w:type="pct"/>
            <w:shd w:val="clear" w:color="auto" w:fill="auto"/>
          </w:tcPr>
          <w:p w:rsidR="00927E1F" w:rsidRPr="001F6F76" w:rsidRDefault="00927E1F" w:rsidP="00927E1F">
            <w:pPr>
              <w:rPr>
                <w:bCs/>
                <w:iCs/>
                <w:sz w:val="16"/>
                <w:szCs w:val="16"/>
              </w:rPr>
            </w:pPr>
          </w:p>
        </w:tc>
        <w:tc>
          <w:tcPr>
            <w:tcW w:w="2631" w:type="pct"/>
            <w:shd w:val="clear" w:color="auto" w:fill="auto"/>
          </w:tcPr>
          <w:p w:rsidR="00927E1F" w:rsidRPr="001F6F76" w:rsidRDefault="00927E1F" w:rsidP="00927E1F">
            <w:pPr>
              <w:rPr>
                <w:bCs/>
                <w:iCs/>
                <w:sz w:val="16"/>
                <w:szCs w:val="16"/>
              </w:rPr>
            </w:pPr>
            <w:r w:rsidRPr="001F6F76">
              <w:rPr>
                <w:sz w:val="16"/>
              </w:rPr>
              <w:t>Réduction d’une partie des pertes d’énergie grâce à l’amélioration des façades</w:t>
            </w:r>
          </w:p>
        </w:tc>
      </w:tr>
      <w:tr w:rsidR="00927E1F" w:rsidRPr="001F6F76" w:rsidTr="00927E1F">
        <w:trPr>
          <w:cantSplit/>
          <w:jc w:val="center"/>
        </w:trPr>
        <w:tc>
          <w:tcPr>
            <w:tcW w:w="2369" w:type="pct"/>
            <w:shd w:val="clear" w:color="auto" w:fill="auto"/>
          </w:tcPr>
          <w:p w:rsidR="00927E1F" w:rsidRPr="001F6F76" w:rsidRDefault="00927E1F" w:rsidP="00927E1F">
            <w:pPr>
              <w:rPr>
                <w:bCs/>
                <w:iCs/>
                <w:sz w:val="16"/>
                <w:szCs w:val="16"/>
              </w:rPr>
            </w:pPr>
          </w:p>
        </w:tc>
        <w:tc>
          <w:tcPr>
            <w:tcW w:w="2631" w:type="pct"/>
            <w:shd w:val="clear" w:color="auto" w:fill="auto"/>
          </w:tcPr>
          <w:p w:rsidR="00927E1F" w:rsidRPr="001F6F76" w:rsidRDefault="00927E1F" w:rsidP="00927E1F">
            <w:pPr>
              <w:rPr>
                <w:bCs/>
                <w:iCs/>
                <w:sz w:val="16"/>
                <w:szCs w:val="16"/>
              </w:rPr>
            </w:pPr>
            <w:r w:rsidRPr="001F6F76">
              <w:rPr>
                <w:sz w:val="16"/>
              </w:rPr>
              <w:t xml:space="preserve">Réduction partielle de la consommation énergétique grâce aux nouveaux faux plafonds thermiques </w:t>
            </w:r>
          </w:p>
        </w:tc>
      </w:tr>
      <w:tr w:rsidR="00927E1F" w:rsidRPr="001F6F76" w:rsidTr="00927E1F">
        <w:trPr>
          <w:cantSplit/>
          <w:jc w:val="center"/>
        </w:trPr>
        <w:tc>
          <w:tcPr>
            <w:tcW w:w="2369" w:type="pct"/>
            <w:shd w:val="clear" w:color="auto" w:fill="auto"/>
          </w:tcPr>
          <w:p w:rsidR="00927E1F" w:rsidRPr="001F6F76" w:rsidRDefault="00927E1F" w:rsidP="00927E1F">
            <w:pPr>
              <w:rPr>
                <w:b/>
                <w:bCs/>
                <w:i/>
                <w:iCs/>
                <w:sz w:val="16"/>
                <w:szCs w:val="16"/>
              </w:rPr>
            </w:pPr>
          </w:p>
        </w:tc>
        <w:tc>
          <w:tcPr>
            <w:tcW w:w="2631" w:type="pct"/>
            <w:shd w:val="clear" w:color="auto" w:fill="auto"/>
          </w:tcPr>
          <w:p w:rsidR="00927E1F" w:rsidRPr="001F6F76" w:rsidRDefault="00927E1F" w:rsidP="00927E1F">
            <w:pPr>
              <w:rPr>
                <w:bCs/>
                <w:iCs/>
                <w:sz w:val="16"/>
                <w:szCs w:val="16"/>
              </w:rPr>
            </w:pPr>
            <w:r w:rsidRPr="001F6F76">
              <w:rPr>
                <w:sz w:val="16"/>
              </w:rPr>
              <w:t>Cycle de vie allongé des nouveaux faux plafonds thermiques</w:t>
            </w:r>
          </w:p>
        </w:tc>
      </w:tr>
      <w:tr w:rsidR="00927E1F" w:rsidRPr="001F6F76" w:rsidTr="00927E1F">
        <w:trPr>
          <w:cantSplit/>
          <w:jc w:val="center"/>
        </w:trPr>
        <w:tc>
          <w:tcPr>
            <w:tcW w:w="2369" w:type="pct"/>
            <w:shd w:val="clear" w:color="auto" w:fill="auto"/>
          </w:tcPr>
          <w:p w:rsidR="00927E1F" w:rsidRPr="001F6F76" w:rsidRDefault="00927E1F" w:rsidP="00927E1F">
            <w:pPr>
              <w:rPr>
                <w:b/>
                <w:bCs/>
                <w:i/>
                <w:iCs/>
                <w:sz w:val="16"/>
                <w:szCs w:val="16"/>
              </w:rPr>
            </w:pPr>
          </w:p>
        </w:tc>
        <w:tc>
          <w:tcPr>
            <w:tcW w:w="2631" w:type="pct"/>
            <w:shd w:val="clear" w:color="auto" w:fill="auto"/>
          </w:tcPr>
          <w:p w:rsidR="00927E1F" w:rsidRPr="001F6F76" w:rsidRDefault="00927E1F" w:rsidP="00927E1F">
            <w:pPr>
              <w:rPr>
                <w:bCs/>
                <w:iCs/>
                <w:sz w:val="16"/>
                <w:szCs w:val="16"/>
              </w:rPr>
            </w:pPr>
            <w:r w:rsidRPr="001F6F76">
              <w:rPr>
                <w:sz w:val="16"/>
              </w:rPr>
              <w:t>Coûts de maintenance corrective réduits grâce aux nouveaux faux plafonds thermiques</w:t>
            </w:r>
          </w:p>
        </w:tc>
      </w:tr>
    </w:tbl>
    <w:p w:rsidR="00927E1F" w:rsidRPr="00422570" w:rsidRDefault="00927E1F" w:rsidP="00927E1F">
      <w:pPr>
        <w:rPr>
          <w:b/>
        </w:rPr>
      </w:pPr>
    </w:p>
    <w:p w:rsidR="00927E1F" w:rsidRPr="00422570" w:rsidRDefault="00927E1F" w:rsidP="00927E1F"/>
    <w:p w:rsidR="00927E1F" w:rsidRPr="00422570" w:rsidRDefault="00927E1F" w:rsidP="00927E1F">
      <w:r w:rsidRPr="00422570">
        <w:t>UTILISATION DES RESSOURCES</w:t>
      </w:r>
      <w:r w:rsidRPr="00422570">
        <w:rPr>
          <w:rStyle w:val="FootnoteReference"/>
          <w:rFonts w:eastAsia="SimSun"/>
        </w:rPr>
        <w:footnoteReference w:id="176"/>
      </w:r>
    </w:p>
    <w:p w:rsidR="00927E1F" w:rsidRPr="00422570" w:rsidRDefault="00927E1F" w:rsidP="00927E1F"/>
    <w:p w:rsidR="00927E1F" w:rsidRPr="001F6F76" w:rsidRDefault="00927E1F" w:rsidP="00927E1F">
      <w:pPr>
        <w:keepNext/>
        <w:keepLines/>
        <w:tabs>
          <w:tab w:val="left" w:pos="3261"/>
        </w:tabs>
        <w:autoSpaceDE w:val="0"/>
        <w:autoSpaceDN w:val="0"/>
        <w:adjustRightInd w:val="0"/>
        <w:jc w:val="center"/>
        <w:rPr>
          <w:b/>
        </w:rPr>
      </w:pPr>
      <w:r w:rsidRPr="001F6F76">
        <w:rPr>
          <w:b/>
        </w:rPr>
        <w:t>Utilisation du budget du projet</w:t>
      </w:r>
    </w:p>
    <w:p w:rsidR="00927E1F" w:rsidRPr="001F6F76" w:rsidRDefault="00927E1F" w:rsidP="00927E1F">
      <w:pPr>
        <w:keepNext/>
        <w:keepLines/>
        <w:tabs>
          <w:tab w:val="left" w:pos="3261"/>
        </w:tabs>
        <w:autoSpaceDE w:val="0"/>
        <w:autoSpaceDN w:val="0"/>
        <w:adjustRightInd w:val="0"/>
        <w:jc w:val="center"/>
        <w:rPr>
          <w:i/>
          <w:iCs/>
          <w:sz w:val="18"/>
          <w:szCs w:val="18"/>
        </w:rPr>
      </w:pPr>
      <w:r w:rsidRPr="001F6F76">
        <w:rPr>
          <w:i/>
          <w:sz w:val="18"/>
        </w:rPr>
        <w:t>(</w:t>
      </w:r>
      <w:proofErr w:type="gramStart"/>
      <w:r w:rsidRPr="001F6F76">
        <w:rPr>
          <w:i/>
          <w:sz w:val="18"/>
        </w:rPr>
        <w:t>en</w:t>
      </w:r>
      <w:proofErr w:type="gramEnd"/>
      <w:r w:rsidRPr="001F6F76">
        <w:rPr>
          <w:i/>
          <w:sz w:val="18"/>
        </w:rPr>
        <w:t xml:space="preserve"> francs suisses, au 31 décembre 2015)</w:t>
      </w:r>
    </w:p>
    <w:p w:rsidR="00927E1F" w:rsidRPr="001F6F76" w:rsidRDefault="00927E1F" w:rsidP="00927E1F">
      <w:pPr>
        <w:rPr>
          <w:sz w:val="18"/>
          <w:szCs w:val="22"/>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927E1F" w:rsidRPr="001F6F76" w:rsidTr="00927E1F">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keepNext/>
              <w:keepLines/>
              <w:autoSpaceDE w:val="0"/>
              <w:autoSpaceDN w:val="0"/>
              <w:adjustRightInd w:val="0"/>
              <w:spacing w:before="40" w:after="40"/>
              <w:ind w:left="-74" w:right="-60"/>
              <w:jc w:val="center"/>
              <w:rPr>
                <w:b/>
                <w:bCs/>
                <w:sz w:val="16"/>
                <w:szCs w:val="16"/>
              </w:rPr>
            </w:pPr>
            <w:r w:rsidRPr="001F6F76">
              <w:rPr>
                <w:b/>
                <w:sz w:val="16"/>
              </w:rPr>
              <w:t>Nom du projet</w:t>
            </w:r>
          </w:p>
        </w:tc>
        <w:tc>
          <w:tcPr>
            <w:tcW w:w="850"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keepNext/>
              <w:keepLines/>
              <w:autoSpaceDE w:val="0"/>
              <w:autoSpaceDN w:val="0"/>
              <w:adjustRightInd w:val="0"/>
              <w:spacing w:before="40" w:after="40"/>
              <w:ind w:left="-107" w:right="-108"/>
              <w:jc w:val="center"/>
              <w:rPr>
                <w:b/>
                <w:bCs/>
                <w:sz w:val="16"/>
                <w:szCs w:val="16"/>
              </w:rPr>
            </w:pPr>
            <w:r w:rsidRPr="001F6F76">
              <w:rPr>
                <w:b/>
                <w:sz w:val="16"/>
              </w:rPr>
              <w:t>Budget du projet</w:t>
            </w:r>
          </w:p>
        </w:tc>
        <w:tc>
          <w:tcPr>
            <w:tcW w:w="851"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keepNext/>
              <w:keepLines/>
              <w:autoSpaceDE w:val="0"/>
              <w:autoSpaceDN w:val="0"/>
              <w:adjustRightInd w:val="0"/>
              <w:spacing w:before="40" w:after="40"/>
              <w:ind w:left="-108" w:right="-106"/>
              <w:jc w:val="center"/>
              <w:rPr>
                <w:b/>
                <w:bCs/>
                <w:sz w:val="16"/>
                <w:szCs w:val="16"/>
              </w:rPr>
            </w:pPr>
            <w:r w:rsidRPr="001F6F76">
              <w:rPr>
                <w:b/>
                <w:sz w:val="16"/>
              </w:rPr>
              <w:t>Dépenses effectives à ce jour</w:t>
            </w:r>
          </w:p>
        </w:tc>
        <w:tc>
          <w:tcPr>
            <w:tcW w:w="851"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keepNext/>
              <w:keepLines/>
              <w:autoSpaceDE w:val="0"/>
              <w:autoSpaceDN w:val="0"/>
              <w:adjustRightInd w:val="0"/>
              <w:spacing w:before="40" w:after="40"/>
              <w:ind w:left="-109" w:right="-108"/>
              <w:jc w:val="center"/>
              <w:rPr>
                <w:b/>
                <w:bCs/>
                <w:sz w:val="16"/>
                <w:szCs w:val="16"/>
              </w:rPr>
            </w:pPr>
            <w:r w:rsidRPr="001F6F76">
              <w:rPr>
                <w:b/>
                <w:sz w:val="16"/>
              </w:rPr>
              <w:t>Utilisation effective du budget</w:t>
            </w:r>
          </w:p>
        </w:tc>
        <w:tc>
          <w:tcPr>
            <w:tcW w:w="850"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keepNext/>
              <w:keepLines/>
              <w:autoSpaceDE w:val="0"/>
              <w:autoSpaceDN w:val="0"/>
              <w:adjustRightInd w:val="0"/>
              <w:spacing w:before="40" w:after="40"/>
              <w:ind w:left="-109" w:right="-73" w:firstLine="1"/>
              <w:jc w:val="center"/>
              <w:rPr>
                <w:b/>
                <w:bCs/>
                <w:sz w:val="16"/>
                <w:szCs w:val="16"/>
              </w:rPr>
            </w:pPr>
            <w:r w:rsidRPr="001F6F76">
              <w:rPr>
                <w:b/>
                <w:sz w:val="16"/>
              </w:rPr>
              <w:t>Taux d’avancement de la mise en œuvre du projet</w:t>
            </w:r>
          </w:p>
        </w:tc>
      </w:tr>
      <w:tr w:rsidR="00927E1F" w:rsidRPr="001F6F76" w:rsidTr="00927E1F">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rPr>
                <w:sz w:val="16"/>
                <w:szCs w:val="16"/>
              </w:rPr>
            </w:pPr>
            <w:r w:rsidRPr="001F6F76">
              <w:rPr>
                <w:sz w:val="16"/>
              </w:rPr>
              <w:t>Rénovation des façades et de la climatisation du bâtiment du PCT (Plan</w:t>
            </w:r>
            <w:r w:rsidRPr="001F6F76">
              <w:rPr>
                <w:sz w:val="16"/>
              </w:rPr>
              <w:noBreakHyphen/>
              <w:t>cadre d’équipement 3)</w:t>
            </w:r>
          </w:p>
        </w:tc>
        <w:tc>
          <w:tcPr>
            <w:tcW w:w="850"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rPr>
              <w:t>6 000 000</w:t>
            </w:r>
          </w:p>
        </w:tc>
        <w:tc>
          <w:tcPr>
            <w:tcW w:w="851"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rPr>
              <w:t>83 651</w:t>
            </w:r>
          </w:p>
        </w:tc>
        <w:tc>
          <w:tcPr>
            <w:tcW w:w="851"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rPr>
              <w:t>1,4%</w:t>
            </w:r>
          </w:p>
        </w:tc>
        <w:tc>
          <w:tcPr>
            <w:tcW w:w="850"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rPr>
              <w:t>10%</w:t>
            </w:r>
          </w:p>
        </w:tc>
      </w:tr>
    </w:tbl>
    <w:p w:rsidR="00927E1F" w:rsidRPr="001F6F76" w:rsidRDefault="00927E1F" w:rsidP="00927E1F">
      <w:pPr>
        <w:rPr>
          <w:szCs w:val="22"/>
        </w:rPr>
      </w:pPr>
    </w:p>
    <w:p w:rsidR="00927E1F" w:rsidRPr="001F6F76" w:rsidRDefault="00927E1F" w:rsidP="00927E1F">
      <w:pPr>
        <w:keepNext/>
        <w:keepLines/>
        <w:tabs>
          <w:tab w:val="left" w:pos="3261"/>
        </w:tabs>
        <w:autoSpaceDE w:val="0"/>
        <w:autoSpaceDN w:val="0"/>
        <w:adjustRightInd w:val="0"/>
        <w:jc w:val="center"/>
        <w:rPr>
          <w:b/>
          <w:szCs w:val="22"/>
        </w:rPr>
      </w:pPr>
      <w:r w:rsidRPr="001F6F76">
        <w:rPr>
          <w:b/>
        </w:rPr>
        <w:t>Utilisation du budget du projet (par étape)</w:t>
      </w:r>
    </w:p>
    <w:p w:rsidR="00927E1F" w:rsidRPr="001F6F76" w:rsidRDefault="00927E1F" w:rsidP="00927E1F">
      <w:pPr>
        <w:keepNext/>
        <w:keepLines/>
        <w:tabs>
          <w:tab w:val="left" w:pos="3261"/>
        </w:tabs>
        <w:autoSpaceDE w:val="0"/>
        <w:autoSpaceDN w:val="0"/>
        <w:adjustRightInd w:val="0"/>
        <w:jc w:val="center"/>
        <w:rPr>
          <w:i/>
          <w:iCs/>
          <w:sz w:val="18"/>
          <w:szCs w:val="18"/>
        </w:rPr>
      </w:pPr>
      <w:r w:rsidRPr="001F6F76">
        <w:rPr>
          <w:i/>
          <w:sz w:val="18"/>
        </w:rPr>
        <w:t>(</w:t>
      </w:r>
      <w:proofErr w:type="gramStart"/>
      <w:r w:rsidRPr="001F6F76">
        <w:rPr>
          <w:i/>
          <w:sz w:val="18"/>
        </w:rPr>
        <w:t>en</w:t>
      </w:r>
      <w:proofErr w:type="gramEnd"/>
      <w:r w:rsidRPr="001F6F76">
        <w:rPr>
          <w:i/>
          <w:sz w:val="18"/>
        </w:rPr>
        <w:t xml:space="preserve"> francs suisses, au 31 décembre 2015)</w:t>
      </w:r>
    </w:p>
    <w:p w:rsidR="00927E1F" w:rsidRPr="001F6F76" w:rsidRDefault="00927E1F" w:rsidP="00927E1F">
      <w:pPr>
        <w:keepNext/>
        <w:autoSpaceDE w:val="0"/>
        <w:autoSpaceDN w:val="0"/>
        <w:rPr>
          <w:sz w:val="16"/>
          <w:szCs w:val="16"/>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8"/>
        <w:gridCol w:w="1575"/>
        <w:gridCol w:w="1575"/>
        <w:gridCol w:w="1575"/>
        <w:gridCol w:w="1575"/>
      </w:tblGrid>
      <w:tr w:rsidR="00927E1F" w:rsidRPr="001F6F76" w:rsidTr="00927E1F">
        <w:trPr>
          <w:trHeight w:val="410"/>
        </w:trPr>
        <w:tc>
          <w:tcPr>
            <w:tcW w:w="1575"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keepNext/>
              <w:keepLines/>
              <w:autoSpaceDE w:val="0"/>
              <w:autoSpaceDN w:val="0"/>
              <w:adjustRightInd w:val="0"/>
              <w:spacing w:before="40" w:after="40"/>
              <w:ind w:left="-74" w:right="-60"/>
              <w:jc w:val="center"/>
              <w:rPr>
                <w:b/>
                <w:bCs/>
                <w:sz w:val="16"/>
                <w:szCs w:val="16"/>
              </w:rPr>
            </w:pPr>
            <w:r w:rsidRPr="001F6F76">
              <w:rPr>
                <w:b/>
                <w:sz w:val="16"/>
              </w:rPr>
              <w:t>Étape principale</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keepNext/>
              <w:keepLines/>
              <w:autoSpaceDE w:val="0"/>
              <w:autoSpaceDN w:val="0"/>
              <w:adjustRightInd w:val="0"/>
              <w:spacing w:before="40" w:after="40"/>
              <w:ind w:left="-107" w:right="-108"/>
              <w:jc w:val="center"/>
              <w:rPr>
                <w:b/>
                <w:bCs/>
                <w:sz w:val="16"/>
                <w:szCs w:val="16"/>
              </w:rPr>
            </w:pPr>
            <w:r w:rsidRPr="001F6F76">
              <w:rPr>
                <w:b/>
                <w:sz w:val="16"/>
              </w:rPr>
              <w:t>Budget du projet</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keepNext/>
              <w:keepLines/>
              <w:autoSpaceDE w:val="0"/>
              <w:autoSpaceDN w:val="0"/>
              <w:adjustRightInd w:val="0"/>
              <w:spacing w:before="40" w:after="40"/>
              <w:ind w:left="-108" w:right="-106"/>
              <w:jc w:val="center"/>
              <w:rPr>
                <w:b/>
                <w:bCs/>
                <w:sz w:val="16"/>
                <w:szCs w:val="16"/>
              </w:rPr>
            </w:pPr>
            <w:r w:rsidRPr="001F6F76">
              <w:rPr>
                <w:b/>
                <w:sz w:val="16"/>
              </w:rPr>
              <w:t>Dépenses effectives à ce jour</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keepNext/>
              <w:keepLines/>
              <w:autoSpaceDE w:val="0"/>
              <w:autoSpaceDN w:val="0"/>
              <w:adjustRightInd w:val="0"/>
              <w:spacing w:before="40" w:after="40"/>
              <w:ind w:left="-109" w:right="-108"/>
              <w:jc w:val="center"/>
              <w:rPr>
                <w:b/>
                <w:bCs/>
                <w:sz w:val="16"/>
                <w:szCs w:val="16"/>
              </w:rPr>
            </w:pPr>
            <w:r w:rsidRPr="001F6F76">
              <w:rPr>
                <w:b/>
                <w:sz w:val="16"/>
              </w:rPr>
              <w:t>Utilisation effective du budget</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keepNext/>
              <w:keepLines/>
              <w:autoSpaceDE w:val="0"/>
              <w:autoSpaceDN w:val="0"/>
              <w:adjustRightInd w:val="0"/>
              <w:spacing w:before="40" w:after="40"/>
              <w:ind w:left="-109" w:right="-73" w:firstLine="1"/>
              <w:jc w:val="center"/>
              <w:rPr>
                <w:b/>
                <w:bCs/>
                <w:sz w:val="16"/>
                <w:szCs w:val="16"/>
              </w:rPr>
            </w:pPr>
            <w:r w:rsidRPr="001F6F76">
              <w:rPr>
                <w:b/>
                <w:sz w:val="16"/>
              </w:rPr>
              <w:t>Taux d’avancement de mise en œuvre par étape</w:t>
            </w:r>
          </w:p>
        </w:tc>
      </w:tr>
      <w:tr w:rsidR="00927E1F" w:rsidRPr="001F6F76" w:rsidTr="00927E1F">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rPr>
                <w:sz w:val="16"/>
                <w:szCs w:val="16"/>
              </w:rPr>
            </w:pPr>
            <w:r w:rsidRPr="001F6F76">
              <w:rPr>
                <w:sz w:val="16"/>
              </w:rPr>
              <w:t>Attribution du contrat pour le pilote/architecte</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rPr>
              <w:t>124 000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szCs w:val="16"/>
              </w:rPr>
              <w:t>100%</w:t>
            </w:r>
          </w:p>
        </w:tc>
      </w:tr>
      <w:tr w:rsidR="00927E1F" w:rsidRPr="001F6F76" w:rsidTr="00927E1F">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rPr>
                <w:sz w:val="16"/>
                <w:szCs w:val="16"/>
              </w:rPr>
            </w:pPr>
            <w:r w:rsidRPr="001F6F76">
              <w:rPr>
                <w:sz w:val="16"/>
              </w:rPr>
              <w:t>Attribution des contrats aux agents</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rPr>
              <w:t>900 000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szCs w:val="16"/>
              </w:rPr>
              <w:t>30%</w:t>
            </w:r>
          </w:p>
        </w:tc>
      </w:tr>
      <w:tr w:rsidR="00927E1F" w:rsidRPr="001F6F76" w:rsidTr="00927E1F">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rPr>
                <w:sz w:val="16"/>
                <w:szCs w:val="16"/>
              </w:rPr>
            </w:pPr>
            <w:r w:rsidRPr="001F6F76">
              <w:rPr>
                <w:sz w:val="16"/>
              </w:rPr>
              <w:t>Engagement ressources internes et externes</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rPr>
              <w:t>867 000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szCs w:val="16"/>
              </w:rPr>
              <w:t>83 651</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szCs w:val="16"/>
              </w:rPr>
              <w:t>9,6%</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szCs w:val="16"/>
              </w:rPr>
              <w:t>15%</w:t>
            </w:r>
          </w:p>
        </w:tc>
      </w:tr>
      <w:tr w:rsidR="00927E1F" w:rsidRPr="001F6F76" w:rsidTr="00927E1F">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rPr>
                <w:sz w:val="16"/>
                <w:szCs w:val="16"/>
              </w:rPr>
            </w:pPr>
            <w:r w:rsidRPr="001F6F76">
              <w:rPr>
                <w:sz w:val="16"/>
              </w:rPr>
              <w:t>Travaux et mise en service</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rPr>
              <w:t>4 109 000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keepNext/>
              <w:keepLines/>
              <w:autoSpaceDE w:val="0"/>
              <w:autoSpaceDN w:val="0"/>
              <w:adjustRightInd w:val="0"/>
              <w:spacing w:before="40" w:after="40"/>
              <w:jc w:val="center"/>
              <w:rPr>
                <w:sz w:val="16"/>
                <w:szCs w:val="16"/>
              </w:rPr>
            </w:pPr>
            <w:r w:rsidRPr="001F6F76">
              <w:rPr>
                <w:sz w:val="16"/>
                <w:szCs w:val="16"/>
              </w:rPr>
              <w:noBreakHyphen/>
            </w:r>
          </w:p>
        </w:tc>
      </w:tr>
      <w:tr w:rsidR="00927E1F" w:rsidRPr="001F6F76" w:rsidTr="00927E1F">
        <w:trPr>
          <w:trHeight w:val="389"/>
        </w:trPr>
        <w:tc>
          <w:tcPr>
            <w:tcW w:w="1575"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keepNext/>
              <w:keepLines/>
              <w:autoSpaceDE w:val="0"/>
              <w:autoSpaceDN w:val="0"/>
              <w:adjustRightInd w:val="0"/>
              <w:spacing w:before="40" w:after="40"/>
              <w:rPr>
                <w:b/>
                <w:sz w:val="16"/>
                <w:szCs w:val="16"/>
              </w:rPr>
            </w:pPr>
            <w:r w:rsidRPr="001F6F76">
              <w:rPr>
                <w:b/>
                <w:sz w:val="16"/>
              </w:rPr>
              <w:t>Total</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keepNext/>
              <w:keepLines/>
              <w:autoSpaceDE w:val="0"/>
              <w:autoSpaceDN w:val="0"/>
              <w:adjustRightInd w:val="0"/>
              <w:spacing w:before="40" w:after="40"/>
              <w:jc w:val="center"/>
              <w:rPr>
                <w:b/>
                <w:sz w:val="16"/>
                <w:szCs w:val="16"/>
              </w:rPr>
            </w:pPr>
            <w:r w:rsidRPr="001F6F76">
              <w:rPr>
                <w:b/>
                <w:sz w:val="16"/>
              </w:rPr>
              <w:t>6 000 000</w:t>
            </w:r>
          </w:p>
        </w:tc>
        <w:tc>
          <w:tcPr>
            <w:tcW w:w="856" w:type="pct"/>
            <w:tcBorders>
              <w:top w:val="single" w:sz="4" w:space="0" w:color="auto"/>
              <w:left w:val="single" w:sz="4" w:space="0" w:color="auto"/>
              <w:bottom w:val="single" w:sz="4" w:space="0" w:color="auto"/>
              <w:right w:val="single" w:sz="4" w:space="0" w:color="auto"/>
            </w:tcBorders>
            <w:shd w:val="clear" w:color="auto" w:fill="C6D9F1"/>
          </w:tcPr>
          <w:p w:rsidR="00927E1F" w:rsidRPr="001F6F76" w:rsidRDefault="00927E1F" w:rsidP="00927E1F">
            <w:pPr>
              <w:keepNext/>
              <w:keepLines/>
              <w:autoSpaceDE w:val="0"/>
              <w:autoSpaceDN w:val="0"/>
              <w:adjustRightInd w:val="0"/>
              <w:spacing w:before="40" w:after="40"/>
              <w:jc w:val="center"/>
              <w:rPr>
                <w:b/>
                <w:sz w:val="16"/>
                <w:szCs w:val="16"/>
              </w:rPr>
            </w:pPr>
            <w:r w:rsidRPr="001F6F76">
              <w:rPr>
                <w:b/>
                <w:sz w:val="16"/>
                <w:szCs w:val="16"/>
              </w:rPr>
              <w:t>83 651</w:t>
            </w:r>
          </w:p>
        </w:tc>
        <w:tc>
          <w:tcPr>
            <w:tcW w:w="856" w:type="pct"/>
            <w:tcBorders>
              <w:top w:val="single" w:sz="4" w:space="0" w:color="auto"/>
              <w:left w:val="single" w:sz="4" w:space="0" w:color="auto"/>
              <w:bottom w:val="single" w:sz="4" w:space="0" w:color="auto"/>
              <w:right w:val="single" w:sz="4" w:space="0" w:color="auto"/>
            </w:tcBorders>
            <w:shd w:val="clear" w:color="auto" w:fill="C6D9F1"/>
          </w:tcPr>
          <w:p w:rsidR="00927E1F" w:rsidRPr="001F6F76" w:rsidRDefault="00927E1F" w:rsidP="00927E1F">
            <w:pPr>
              <w:keepNext/>
              <w:keepLines/>
              <w:autoSpaceDE w:val="0"/>
              <w:autoSpaceDN w:val="0"/>
              <w:adjustRightInd w:val="0"/>
              <w:spacing w:before="40" w:after="40"/>
              <w:jc w:val="center"/>
              <w:rPr>
                <w:b/>
                <w:sz w:val="16"/>
                <w:szCs w:val="16"/>
              </w:rPr>
            </w:pPr>
          </w:p>
        </w:tc>
        <w:tc>
          <w:tcPr>
            <w:tcW w:w="856" w:type="pct"/>
            <w:tcBorders>
              <w:top w:val="single" w:sz="4" w:space="0" w:color="auto"/>
              <w:left w:val="single" w:sz="4" w:space="0" w:color="auto"/>
              <w:bottom w:val="single" w:sz="4" w:space="0" w:color="auto"/>
              <w:right w:val="single" w:sz="4" w:space="0" w:color="auto"/>
            </w:tcBorders>
            <w:shd w:val="clear" w:color="auto" w:fill="C6D9F1"/>
          </w:tcPr>
          <w:p w:rsidR="00927E1F" w:rsidRPr="001F6F76" w:rsidRDefault="00927E1F" w:rsidP="00927E1F">
            <w:pPr>
              <w:keepNext/>
              <w:keepLines/>
              <w:autoSpaceDE w:val="0"/>
              <w:autoSpaceDN w:val="0"/>
              <w:adjustRightInd w:val="0"/>
              <w:spacing w:before="40" w:after="40"/>
              <w:jc w:val="center"/>
              <w:rPr>
                <w:b/>
                <w:sz w:val="16"/>
                <w:szCs w:val="16"/>
              </w:rPr>
            </w:pPr>
          </w:p>
        </w:tc>
      </w:tr>
    </w:tbl>
    <w:p w:rsidR="00927E1F" w:rsidRPr="001F6F76" w:rsidRDefault="00927E1F" w:rsidP="00B62C62">
      <w:pPr>
        <w:pStyle w:val="Heading2"/>
        <w:rPr>
          <w:szCs w:val="22"/>
        </w:rPr>
      </w:pPr>
      <w:r w:rsidRPr="001F6F76">
        <w:lastRenderedPageBreak/>
        <w:t>Utilisation du budget du projet (par catégorie de dépenses)</w:t>
      </w:r>
    </w:p>
    <w:p w:rsidR="00927E1F" w:rsidRPr="001F6F76" w:rsidRDefault="00927E1F" w:rsidP="00927E1F">
      <w:pPr>
        <w:keepNext/>
        <w:keepLines/>
        <w:tabs>
          <w:tab w:val="left" w:pos="3261"/>
        </w:tabs>
        <w:autoSpaceDE w:val="0"/>
        <w:autoSpaceDN w:val="0"/>
        <w:adjustRightInd w:val="0"/>
        <w:jc w:val="center"/>
        <w:rPr>
          <w:i/>
          <w:iCs/>
          <w:sz w:val="18"/>
          <w:szCs w:val="18"/>
        </w:rPr>
      </w:pPr>
      <w:r w:rsidRPr="001F6F76">
        <w:rPr>
          <w:i/>
          <w:sz w:val="18"/>
        </w:rPr>
        <w:t>(</w:t>
      </w:r>
      <w:proofErr w:type="gramStart"/>
      <w:r w:rsidRPr="001F6F76">
        <w:rPr>
          <w:i/>
          <w:sz w:val="18"/>
        </w:rPr>
        <w:t>en</w:t>
      </w:r>
      <w:proofErr w:type="gramEnd"/>
      <w:r w:rsidRPr="001F6F76">
        <w:rPr>
          <w:i/>
          <w:sz w:val="18"/>
        </w:rPr>
        <w:t xml:space="preserve"> francs suisses, au 31 décembre 2015)</w:t>
      </w:r>
    </w:p>
    <w:p w:rsidR="00927E1F" w:rsidRPr="001F6F76" w:rsidRDefault="00927E1F" w:rsidP="00927E1F">
      <w:pPr>
        <w:keepNext/>
        <w:keepLines/>
        <w:autoSpaceDE w:val="0"/>
        <w:autoSpaceDN w:val="0"/>
        <w:adjustRightInd w:val="0"/>
        <w:jc w:val="center"/>
      </w:pP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68" w:type="dxa"/>
          <w:bottom w:w="113" w:type="dxa"/>
          <w:right w:w="68" w:type="dxa"/>
        </w:tblCellMar>
        <w:tblLook w:val="01E0" w:firstRow="1" w:lastRow="1" w:firstColumn="1" w:lastColumn="1" w:noHBand="0" w:noVBand="0"/>
      </w:tblPr>
      <w:tblGrid>
        <w:gridCol w:w="3225"/>
        <w:gridCol w:w="1824"/>
        <w:gridCol w:w="1824"/>
        <w:gridCol w:w="1823"/>
      </w:tblGrid>
      <w:tr w:rsidR="00927E1F" w:rsidRPr="001F6F76" w:rsidTr="00927E1F">
        <w:trPr>
          <w:cantSplit/>
        </w:trPr>
        <w:tc>
          <w:tcPr>
            <w:tcW w:w="1854"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keepNext/>
              <w:keepLines/>
              <w:autoSpaceDE w:val="0"/>
              <w:autoSpaceDN w:val="0"/>
              <w:adjustRightInd w:val="0"/>
              <w:ind w:left="-74" w:right="-60"/>
              <w:jc w:val="center"/>
              <w:rPr>
                <w:b/>
                <w:bCs/>
                <w:sz w:val="16"/>
                <w:szCs w:val="16"/>
              </w:rPr>
            </w:pPr>
            <w:r w:rsidRPr="001F6F76">
              <w:rPr>
                <w:b/>
                <w:sz w:val="16"/>
                <w:szCs w:val="16"/>
              </w:rPr>
              <w:t>Catégorie de dépenses</w:t>
            </w:r>
          </w:p>
        </w:tc>
        <w:tc>
          <w:tcPr>
            <w:tcW w:w="1049"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keepNext/>
              <w:keepLines/>
              <w:autoSpaceDE w:val="0"/>
              <w:autoSpaceDN w:val="0"/>
              <w:adjustRightInd w:val="0"/>
              <w:ind w:left="-107" w:right="-108"/>
              <w:jc w:val="center"/>
              <w:rPr>
                <w:b/>
                <w:bCs/>
                <w:sz w:val="16"/>
                <w:szCs w:val="16"/>
              </w:rPr>
            </w:pPr>
            <w:r w:rsidRPr="001F6F76">
              <w:rPr>
                <w:b/>
                <w:sz w:val="16"/>
                <w:szCs w:val="16"/>
              </w:rPr>
              <w:t>Budget du projet</w:t>
            </w:r>
          </w:p>
        </w:tc>
        <w:tc>
          <w:tcPr>
            <w:tcW w:w="1049"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keepNext/>
              <w:keepLines/>
              <w:autoSpaceDE w:val="0"/>
              <w:autoSpaceDN w:val="0"/>
              <w:adjustRightInd w:val="0"/>
              <w:ind w:left="-108"/>
              <w:jc w:val="center"/>
              <w:rPr>
                <w:b/>
                <w:bCs/>
                <w:sz w:val="16"/>
                <w:szCs w:val="16"/>
              </w:rPr>
            </w:pPr>
            <w:r w:rsidRPr="001F6F76">
              <w:rPr>
                <w:b/>
                <w:sz w:val="16"/>
                <w:szCs w:val="16"/>
              </w:rPr>
              <w:t xml:space="preserve">Dépenses effectives à ce jour </w:t>
            </w:r>
          </w:p>
        </w:tc>
        <w:tc>
          <w:tcPr>
            <w:tcW w:w="1048"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keepNext/>
              <w:keepLines/>
              <w:autoSpaceDE w:val="0"/>
              <w:autoSpaceDN w:val="0"/>
              <w:adjustRightInd w:val="0"/>
              <w:ind w:left="-109"/>
              <w:jc w:val="center"/>
              <w:rPr>
                <w:b/>
                <w:bCs/>
                <w:sz w:val="16"/>
                <w:szCs w:val="16"/>
              </w:rPr>
            </w:pPr>
            <w:r w:rsidRPr="001F6F76">
              <w:rPr>
                <w:b/>
                <w:sz w:val="16"/>
                <w:szCs w:val="16"/>
              </w:rPr>
              <w:t>Utilisation effective du budget</w:t>
            </w:r>
          </w:p>
        </w:tc>
      </w:tr>
      <w:tr w:rsidR="00927E1F" w:rsidRPr="001F6F76" w:rsidTr="00927E1F">
        <w:trPr>
          <w:cantSplit/>
        </w:trPr>
        <w:tc>
          <w:tcPr>
            <w:tcW w:w="1854"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rPr>
                <w:sz w:val="16"/>
                <w:szCs w:val="16"/>
              </w:rPr>
            </w:pPr>
            <w:r w:rsidRPr="001F6F76">
              <w:rPr>
                <w:sz w:val="16"/>
                <w:szCs w:val="16"/>
              </w:rPr>
              <w:t>Dépenses relatives à la construction</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jc w:val="center"/>
              <w:rPr>
                <w:sz w:val="16"/>
                <w:szCs w:val="16"/>
              </w:rPr>
            </w:pPr>
            <w:r w:rsidRPr="001F6F76">
              <w:rPr>
                <w:sz w:val="16"/>
                <w:szCs w:val="16"/>
              </w:rPr>
              <w:t>3 569 000</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jc w:val="center"/>
              <w:rPr>
                <w:sz w:val="16"/>
                <w:szCs w:val="16"/>
              </w:rPr>
            </w:pPr>
            <w:r w:rsidRPr="001F6F76">
              <w:rPr>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jc w:val="center"/>
              <w:rPr>
                <w:sz w:val="16"/>
                <w:szCs w:val="16"/>
              </w:rPr>
            </w:pPr>
            <w:r w:rsidRPr="001F6F76">
              <w:rPr>
                <w:sz w:val="16"/>
                <w:szCs w:val="16"/>
              </w:rPr>
              <w:t>0%</w:t>
            </w:r>
          </w:p>
        </w:tc>
      </w:tr>
      <w:tr w:rsidR="00927E1F" w:rsidRPr="001F6F76" w:rsidTr="00927E1F">
        <w:trPr>
          <w:cantSplit/>
        </w:trPr>
        <w:tc>
          <w:tcPr>
            <w:tcW w:w="1854"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rPr>
                <w:sz w:val="16"/>
                <w:szCs w:val="16"/>
              </w:rPr>
            </w:pPr>
            <w:r w:rsidRPr="001F6F76">
              <w:rPr>
                <w:sz w:val="16"/>
                <w:szCs w:val="16"/>
              </w:rPr>
              <w:t>Honoraires</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jc w:val="center"/>
              <w:rPr>
                <w:sz w:val="16"/>
                <w:szCs w:val="16"/>
              </w:rPr>
            </w:pPr>
            <w:r w:rsidRPr="001F6F76">
              <w:rPr>
                <w:sz w:val="16"/>
                <w:szCs w:val="16"/>
              </w:rPr>
              <w:t>1 024 000</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jc w:val="center"/>
              <w:rPr>
                <w:sz w:val="16"/>
                <w:szCs w:val="16"/>
              </w:rPr>
            </w:pPr>
            <w:r w:rsidRPr="001F6F76">
              <w:rPr>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jc w:val="center"/>
              <w:rPr>
                <w:sz w:val="16"/>
                <w:szCs w:val="16"/>
              </w:rPr>
            </w:pPr>
            <w:r w:rsidRPr="001F6F76">
              <w:rPr>
                <w:sz w:val="16"/>
                <w:szCs w:val="16"/>
              </w:rPr>
              <w:t>0%</w:t>
            </w:r>
          </w:p>
        </w:tc>
      </w:tr>
      <w:tr w:rsidR="00927E1F" w:rsidRPr="001F6F76" w:rsidTr="00927E1F">
        <w:trPr>
          <w:cantSplit/>
        </w:trPr>
        <w:tc>
          <w:tcPr>
            <w:tcW w:w="1854"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rPr>
                <w:sz w:val="16"/>
                <w:szCs w:val="16"/>
              </w:rPr>
            </w:pPr>
            <w:r w:rsidRPr="001F6F76">
              <w:rPr>
                <w:sz w:val="16"/>
                <w:szCs w:val="16"/>
              </w:rPr>
              <w:t>Ressources internes et externes</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jc w:val="center"/>
              <w:rPr>
                <w:sz w:val="16"/>
                <w:szCs w:val="16"/>
              </w:rPr>
            </w:pPr>
            <w:r w:rsidRPr="001F6F76">
              <w:rPr>
                <w:sz w:val="16"/>
                <w:szCs w:val="16"/>
              </w:rPr>
              <w:t>867 000</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jc w:val="center"/>
              <w:rPr>
                <w:sz w:val="16"/>
                <w:szCs w:val="16"/>
              </w:rPr>
            </w:pPr>
            <w:r w:rsidRPr="001F6F76">
              <w:rPr>
                <w:sz w:val="16"/>
                <w:szCs w:val="16"/>
              </w:rPr>
              <w:t>83 651</w:t>
            </w:r>
          </w:p>
        </w:tc>
        <w:tc>
          <w:tcPr>
            <w:tcW w:w="104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jc w:val="center"/>
              <w:rPr>
                <w:sz w:val="16"/>
                <w:szCs w:val="16"/>
              </w:rPr>
            </w:pPr>
            <w:r w:rsidRPr="001F6F76">
              <w:rPr>
                <w:sz w:val="16"/>
                <w:szCs w:val="16"/>
              </w:rPr>
              <w:t>9,6%</w:t>
            </w:r>
          </w:p>
        </w:tc>
      </w:tr>
      <w:tr w:rsidR="00927E1F" w:rsidRPr="001F6F76" w:rsidTr="00927E1F">
        <w:trPr>
          <w:cantSplit/>
        </w:trPr>
        <w:tc>
          <w:tcPr>
            <w:tcW w:w="1854"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rPr>
                <w:sz w:val="16"/>
                <w:szCs w:val="16"/>
              </w:rPr>
            </w:pPr>
            <w:r w:rsidRPr="001F6F76">
              <w:rPr>
                <w:sz w:val="16"/>
                <w:szCs w:val="16"/>
              </w:rPr>
              <w:t>Taxes</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jc w:val="center"/>
              <w:rPr>
                <w:sz w:val="16"/>
                <w:szCs w:val="16"/>
              </w:rPr>
            </w:pPr>
            <w:r w:rsidRPr="001F6F76">
              <w:rPr>
                <w:sz w:val="16"/>
                <w:szCs w:val="16"/>
              </w:rPr>
              <w:t>120 000</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jc w:val="center"/>
              <w:rPr>
                <w:sz w:val="16"/>
                <w:szCs w:val="16"/>
              </w:rPr>
            </w:pPr>
            <w:r w:rsidRPr="001F6F76">
              <w:rPr>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jc w:val="center"/>
              <w:rPr>
                <w:sz w:val="16"/>
                <w:szCs w:val="16"/>
              </w:rPr>
            </w:pPr>
            <w:r w:rsidRPr="001F6F76">
              <w:rPr>
                <w:sz w:val="16"/>
                <w:szCs w:val="16"/>
              </w:rPr>
              <w:t>0%</w:t>
            </w:r>
          </w:p>
        </w:tc>
      </w:tr>
      <w:tr w:rsidR="00927E1F" w:rsidRPr="001F6F76" w:rsidTr="00927E1F">
        <w:trPr>
          <w:cantSplit/>
        </w:trPr>
        <w:tc>
          <w:tcPr>
            <w:tcW w:w="1854"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rPr>
                <w:sz w:val="16"/>
                <w:szCs w:val="16"/>
              </w:rPr>
            </w:pPr>
            <w:r w:rsidRPr="001F6F76">
              <w:rPr>
                <w:sz w:val="16"/>
                <w:szCs w:val="16"/>
              </w:rPr>
              <w:t>Divers et imprévus</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autoSpaceDE w:val="0"/>
              <w:autoSpaceDN w:val="0"/>
              <w:adjustRightInd w:val="0"/>
              <w:jc w:val="center"/>
              <w:rPr>
                <w:sz w:val="16"/>
                <w:szCs w:val="16"/>
              </w:rPr>
            </w:pPr>
            <w:r w:rsidRPr="001F6F76">
              <w:rPr>
                <w:sz w:val="16"/>
                <w:szCs w:val="16"/>
              </w:rPr>
              <w:t>420 000</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jc w:val="center"/>
              <w:rPr>
                <w:sz w:val="16"/>
                <w:szCs w:val="16"/>
              </w:rPr>
            </w:pPr>
            <w:r w:rsidRPr="001F6F76">
              <w:rPr>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927E1F" w:rsidRPr="001F6F76" w:rsidRDefault="00927E1F" w:rsidP="00927E1F">
            <w:pPr>
              <w:jc w:val="center"/>
              <w:rPr>
                <w:sz w:val="16"/>
                <w:szCs w:val="16"/>
              </w:rPr>
            </w:pPr>
            <w:r w:rsidRPr="001F6F76">
              <w:rPr>
                <w:sz w:val="16"/>
                <w:szCs w:val="16"/>
              </w:rPr>
              <w:t>0%</w:t>
            </w:r>
          </w:p>
        </w:tc>
      </w:tr>
      <w:tr w:rsidR="00927E1F" w:rsidRPr="001F6F76" w:rsidTr="00927E1F">
        <w:trPr>
          <w:cantSplit/>
        </w:trPr>
        <w:tc>
          <w:tcPr>
            <w:tcW w:w="1854"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autoSpaceDE w:val="0"/>
              <w:autoSpaceDN w:val="0"/>
              <w:adjustRightInd w:val="0"/>
              <w:rPr>
                <w:b/>
                <w:sz w:val="16"/>
                <w:szCs w:val="16"/>
              </w:rPr>
            </w:pPr>
            <w:r w:rsidRPr="001F6F76">
              <w:rPr>
                <w:b/>
                <w:sz w:val="16"/>
                <w:szCs w:val="16"/>
              </w:rPr>
              <w:t>Total</w:t>
            </w:r>
          </w:p>
        </w:tc>
        <w:tc>
          <w:tcPr>
            <w:tcW w:w="1049"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autoSpaceDE w:val="0"/>
              <w:autoSpaceDN w:val="0"/>
              <w:adjustRightInd w:val="0"/>
              <w:jc w:val="center"/>
              <w:rPr>
                <w:b/>
                <w:sz w:val="16"/>
                <w:szCs w:val="16"/>
              </w:rPr>
            </w:pPr>
            <w:r w:rsidRPr="001F6F76">
              <w:rPr>
                <w:b/>
                <w:sz w:val="16"/>
                <w:szCs w:val="16"/>
              </w:rPr>
              <w:t>6 000 000</w:t>
            </w:r>
          </w:p>
        </w:tc>
        <w:tc>
          <w:tcPr>
            <w:tcW w:w="1049"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1F6F76" w:rsidRDefault="00927E1F" w:rsidP="00927E1F">
            <w:pPr>
              <w:autoSpaceDE w:val="0"/>
              <w:autoSpaceDN w:val="0"/>
              <w:adjustRightInd w:val="0"/>
              <w:jc w:val="center"/>
              <w:rPr>
                <w:b/>
                <w:sz w:val="16"/>
                <w:szCs w:val="16"/>
              </w:rPr>
            </w:pPr>
            <w:r w:rsidRPr="001F6F76">
              <w:rPr>
                <w:b/>
                <w:sz w:val="16"/>
                <w:szCs w:val="16"/>
              </w:rPr>
              <w:t>83 651</w:t>
            </w:r>
          </w:p>
        </w:tc>
        <w:tc>
          <w:tcPr>
            <w:tcW w:w="1048" w:type="pct"/>
            <w:tcBorders>
              <w:top w:val="single" w:sz="4" w:space="0" w:color="auto"/>
              <w:left w:val="single" w:sz="4" w:space="0" w:color="auto"/>
              <w:bottom w:val="single" w:sz="4" w:space="0" w:color="auto"/>
              <w:right w:val="single" w:sz="4" w:space="0" w:color="auto"/>
            </w:tcBorders>
            <w:shd w:val="clear" w:color="auto" w:fill="C6D9F1"/>
          </w:tcPr>
          <w:p w:rsidR="00927E1F" w:rsidRPr="001F6F76" w:rsidRDefault="00927E1F" w:rsidP="00927E1F">
            <w:pPr>
              <w:autoSpaceDE w:val="0"/>
              <w:autoSpaceDN w:val="0"/>
              <w:adjustRightInd w:val="0"/>
              <w:jc w:val="center"/>
              <w:rPr>
                <w:b/>
                <w:sz w:val="16"/>
                <w:szCs w:val="16"/>
              </w:rPr>
            </w:pPr>
          </w:p>
        </w:tc>
      </w:tr>
    </w:tbl>
    <w:p w:rsidR="00927E1F" w:rsidRPr="00422570" w:rsidRDefault="00927E1F" w:rsidP="00927E1F"/>
    <w:p w:rsidR="00927E1F" w:rsidRPr="00422570" w:rsidRDefault="00927E1F" w:rsidP="00927E1F"/>
    <w:p w:rsidR="00927E1F" w:rsidRPr="00422570" w:rsidRDefault="00927E1F" w:rsidP="00927E1F">
      <w:r w:rsidRPr="00422570">
        <w:t>RISQUES ET STRATÉGIES D’ATTÉNUATION</w:t>
      </w:r>
    </w:p>
    <w:p w:rsidR="00927E1F" w:rsidRPr="00422570" w:rsidRDefault="00927E1F" w:rsidP="00927E1F"/>
    <w:tbl>
      <w:tblPr>
        <w:tblW w:w="4813" w:type="pct"/>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68" w:type="dxa"/>
          <w:bottom w:w="113" w:type="dxa"/>
          <w:right w:w="68" w:type="dxa"/>
        </w:tblCellMar>
        <w:tblLook w:val="01E0" w:firstRow="1" w:lastRow="1" w:firstColumn="1" w:lastColumn="1" w:noHBand="0" w:noVBand="0"/>
      </w:tblPr>
      <w:tblGrid>
        <w:gridCol w:w="3046"/>
        <w:gridCol w:w="3046"/>
        <w:gridCol w:w="3044"/>
      </w:tblGrid>
      <w:tr w:rsidR="00927E1F" w:rsidRPr="001F6F76" w:rsidTr="00927E1F">
        <w:trPr>
          <w:cantSplit/>
          <w:tblHeader/>
          <w:jc w:val="center"/>
        </w:trPr>
        <w:tc>
          <w:tcPr>
            <w:tcW w:w="1667" w:type="pct"/>
            <w:shd w:val="clear" w:color="auto" w:fill="C6D9F1"/>
            <w:vAlign w:val="center"/>
          </w:tcPr>
          <w:p w:rsidR="00927E1F" w:rsidRPr="001F6F76" w:rsidRDefault="00927E1F" w:rsidP="00927E1F">
            <w:pPr>
              <w:autoSpaceDE w:val="0"/>
              <w:autoSpaceDN w:val="0"/>
              <w:adjustRightInd w:val="0"/>
              <w:ind w:left="-74" w:right="-60"/>
              <w:jc w:val="center"/>
              <w:rPr>
                <w:b/>
                <w:bCs/>
                <w:sz w:val="16"/>
                <w:szCs w:val="16"/>
              </w:rPr>
            </w:pPr>
            <w:r w:rsidRPr="001F6F76">
              <w:rPr>
                <w:b/>
                <w:sz w:val="16"/>
                <w:szCs w:val="16"/>
              </w:rPr>
              <w:t xml:space="preserve">Risques / </w:t>
            </w:r>
            <w:r w:rsidRPr="001F6F76">
              <w:rPr>
                <w:b/>
                <w:bCs/>
                <w:iCs/>
                <w:sz w:val="16"/>
                <w:szCs w:val="16"/>
              </w:rPr>
              <w:t>Description des risques</w:t>
            </w:r>
          </w:p>
        </w:tc>
        <w:tc>
          <w:tcPr>
            <w:tcW w:w="1667" w:type="pct"/>
            <w:shd w:val="clear" w:color="auto" w:fill="C6D9F1"/>
            <w:vAlign w:val="center"/>
          </w:tcPr>
          <w:p w:rsidR="00927E1F" w:rsidRPr="001F6F76" w:rsidRDefault="00927E1F" w:rsidP="00927E1F">
            <w:pPr>
              <w:autoSpaceDE w:val="0"/>
              <w:autoSpaceDN w:val="0"/>
              <w:adjustRightInd w:val="0"/>
              <w:ind w:left="-107" w:right="-108"/>
              <w:jc w:val="center"/>
              <w:rPr>
                <w:b/>
                <w:bCs/>
                <w:sz w:val="16"/>
                <w:szCs w:val="16"/>
              </w:rPr>
            </w:pPr>
            <w:r w:rsidRPr="001F6F76">
              <w:rPr>
                <w:b/>
                <w:sz w:val="16"/>
                <w:szCs w:val="16"/>
              </w:rPr>
              <w:t>Atténuation des risques</w:t>
            </w:r>
          </w:p>
        </w:tc>
        <w:tc>
          <w:tcPr>
            <w:tcW w:w="1666" w:type="pct"/>
            <w:shd w:val="clear" w:color="auto" w:fill="C6D9F1"/>
            <w:vAlign w:val="center"/>
          </w:tcPr>
          <w:p w:rsidR="00927E1F" w:rsidRPr="001F6F76" w:rsidRDefault="00927E1F" w:rsidP="00927E1F">
            <w:pPr>
              <w:autoSpaceDE w:val="0"/>
              <w:autoSpaceDN w:val="0"/>
              <w:adjustRightInd w:val="0"/>
              <w:ind w:left="-109"/>
              <w:jc w:val="center"/>
              <w:rPr>
                <w:b/>
                <w:bCs/>
                <w:sz w:val="16"/>
                <w:szCs w:val="16"/>
              </w:rPr>
            </w:pPr>
            <w:r w:rsidRPr="001F6F76">
              <w:rPr>
                <w:b/>
                <w:bCs/>
                <w:sz w:val="16"/>
                <w:szCs w:val="16"/>
              </w:rPr>
              <w:t>Observation</w:t>
            </w:r>
          </w:p>
        </w:tc>
      </w:tr>
      <w:tr w:rsidR="00927E1F" w:rsidRPr="001F6F76" w:rsidTr="00927E1F">
        <w:trPr>
          <w:cantSplit/>
          <w:jc w:val="center"/>
        </w:trPr>
        <w:tc>
          <w:tcPr>
            <w:tcW w:w="1667" w:type="pct"/>
            <w:shd w:val="clear" w:color="auto" w:fill="auto"/>
          </w:tcPr>
          <w:p w:rsidR="00927E1F" w:rsidRPr="001F6F76" w:rsidRDefault="00927E1F" w:rsidP="00927E1F">
            <w:pPr>
              <w:autoSpaceDE w:val="0"/>
              <w:autoSpaceDN w:val="0"/>
              <w:adjustRightInd w:val="0"/>
              <w:spacing w:before="40" w:after="40"/>
              <w:rPr>
                <w:sz w:val="16"/>
                <w:szCs w:val="16"/>
                <w:highlight w:val="yellow"/>
              </w:rPr>
            </w:pPr>
            <w:r w:rsidRPr="001F6F76">
              <w:rPr>
                <w:sz w:val="16"/>
                <w:szCs w:val="16"/>
              </w:rPr>
              <w:t>Jusqu’à un an de retard dans le démarrage du projet en raison du retard enregistré dans l’achèvement de la nouvelle salle de conférence de l’OMPI.</w:t>
            </w:r>
          </w:p>
        </w:tc>
        <w:tc>
          <w:tcPr>
            <w:tcW w:w="1667" w:type="pct"/>
            <w:shd w:val="clear" w:color="auto" w:fill="auto"/>
          </w:tcPr>
          <w:p w:rsidR="00927E1F" w:rsidRPr="001F6F76" w:rsidRDefault="00927E1F" w:rsidP="00927E1F">
            <w:pPr>
              <w:autoSpaceDE w:val="0"/>
              <w:autoSpaceDN w:val="0"/>
              <w:adjustRightInd w:val="0"/>
              <w:spacing w:before="40" w:after="40"/>
              <w:rPr>
                <w:sz w:val="16"/>
                <w:szCs w:val="16"/>
              </w:rPr>
            </w:pPr>
            <w:r w:rsidRPr="001F6F76">
              <w:rPr>
                <w:sz w:val="16"/>
                <w:szCs w:val="16"/>
              </w:rPr>
              <w:t>Décalage du planning général du projet.</w:t>
            </w:r>
          </w:p>
        </w:tc>
        <w:tc>
          <w:tcPr>
            <w:tcW w:w="1666" w:type="pct"/>
            <w:shd w:val="clear" w:color="auto" w:fill="auto"/>
          </w:tcPr>
          <w:p w:rsidR="00927E1F" w:rsidRPr="001F6F76" w:rsidRDefault="00927E1F" w:rsidP="00927E1F">
            <w:pPr>
              <w:autoSpaceDE w:val="0"/>
              <w:autoSpaceDN w:val="0"/>
              <w:adjustRightInd w:val="0"/>
              <w:spacing w:before="40" w:after="40"/>
              <w:rPr>
                <w:sz w:val="16"/>
                <w:szCs w:val="16"/>
              </w:rPr>
            </w:pPr>
            <w:r w:rsidRPr="001F6F76">
              <w:rPr>
                <w:sz w:val="16"/>
                <w:szCs w:val="16"/>
              </w:rPr>
              <w:t>Ce risque s’est réalisé en 2014.  Le calendrier général d’exécution du projet a été retardé de neuf mois par rapport au plan initial.  Le calendrier du projet a été prolongé jusqu’en 2018, conformément à la mesure d’atténuation des risques prévue.  Il n’y a eu aucune incidence concrète sur les résultats attendus du projet.</w:t>
            </w:r>
          </w:p>
          <w:p w:rsidR="00927E1F" w:rsidRPr="001F6F76" w:rsidRDefault="00927E1F" w:rsidP="00927E1F">
            <w:pPr>
              <w:autoSpaceDE w:val="0"/>
              <w:autoSpaceDN w:val="0"/>
              <w:adjustRightInd w:val="0"/>
              <w:spacing w:before="40" w:after="40"/>
              <w:rPr>
                <w:sz w:val="16"/>
                <w:szCs w:val="16"/>
                <w:highlight w:val="yellow"/>
              </w:rPr>
            </w:pPr>
          </w:p>
          <w:p w:rsidR="00927E1F" w:rsidRPr="001F6F76" w:rsidDel="005B0FC6" w:rsidRDefault="00927E1F" w:rsidP="00927E1F">
            <w:pPr>
              <w:keepNext/>
              <w:autoSpaceDE w:val="0"/>
              <w:autoSpaceDN w:val="0"/>
              <w:adjustRightInd w:val="0"/>
              <w:spacing w:before="40" w:after="40"/>
              <w:outlineLvl w:val="3"/>
              <w:rPr>
                <w:b/>
                <w:bCs/>
                <w:sz w:val="16"/>
                <w:szCs w:val="16"/>
                <w:highlight w:val="yellow"/>
              </w:rPr>
            </w:pPr>
            <w:r w:rsidRPr="001F6F76">
              <w:rPr>
                <w:i/>
                <w:sz w:val="16"/>
                <w:szCs w:val="16"/>
              </w:rPr>
              <w:t>Ce risque a été supprimé.</w:t>
            </w:r>
          </w:p>
        </w:tc>
      </w:tr>
      <w:tr w:rsidR="00927E1F" w:rsidRPr="001F6F76" w:rsidTr="00927E1F">
        <w:trPr>
          <w:cantSplit/>
          <w:jc w:val="center"/>
        </w:trPr>
        <w:tc>
          <w:tcPr>
            <w:tcW w:w="1667" w:type="pct"/>
            <w:shd w:val="clear" w:color="auto" w:fill="auto"/>
          </w:tcPr>
          <w:p w:rsidR="00927E1F" w:rsidRPr="001F6F76" w:rsidRDefault="00927E1F" w:rsidP="00927E1F">
            <w:pPr>
              <w:autoSpaceDE w:val="0"/>
              <w:autoSpaceDN w:val="0"/>
              <w:adjustRightInd w:val="0"/>
              <w:spacing w:before="40" w:after="40"/>
              <w:rPr>
                <w:sz w:val="16"/>
                <w:szCs w:val="16"/>
                <w:highlight w:val="yellow"/>
              </w:rPr>
            </w:pPr>
            <w:r w:rsidRPr="001F6F76">
              <w:rPr>
                <w:sz w:val="16"/>
                <w:szCs w:val="16"/>
              </w:rPr>
              <w:t>Retard dans le démarrage des travaux, étant donné que cela dépendra du temps nécessaire pour choisir la solution technique.</w:t>
            </w:r>
          </w:p>
        </w:tc>
        <w:tc>
          <w:tcPr>
            <w:tcW w:w="1667" w:type="pct"/>
            <w:shd w:val="clear" w:color="auto" w:fill="auto"/>
          </w:tcPr>
          <w:p w:rsidR="00927E1F" w:rsidRPr="001F6F76" w:rsidRDefault="00927E1F" w:rsidP="00927E1F">
            <w:pPr>
              <w:autoSpaceDE w:val="0"/>
              <w:autoSpaceDN w:val="0"/>
              <w:adjustRightInd w:val="0"/>
              <w:spacing w:before="40" w:after="40"/>
              <w:rPr>
                <w:sz w:val="16"/>
                <w:szCs w:val="16"/>
              </w:rPr>
            </w:pPr>
            <w:r w:rsidRPr="001F6F76">
              <w:rPr>
                <w:sz w:val="16"/>
                <w:szCs w:val="16"/>
              </w:rPr>
              <w:t>Modification du calendrier des travaux.</w:t>
            </w:r>
          </w:p>
        </w:tc>
        <w:tc>
          <w:tcPr>
            <w:tcW w:w="1666" w:type="pct"/>
            <w:shd w:val="clear" w:color="auto" w:fill="auto"/>
          </w:tcPr>
          <w:p w:rsidR="00927E1F" w:rsidRPr="001F6F76" w:rsidRDefault="00927E1F" w:rsidP="00927E1F">
            <w:pPr>
              <w:autoSpaceDE w:val="0"/>
              <w:autoSpaceDN w:val="0"/>
              <w:adjustRightInd w:val="0"/>
              <w:spacing w:before="40" w:after="40"/>
              <w:rPr>
                <w:sz w:val="16"/>
                <w:szCs w:val="16"/>
                <w:highlight w:val="yellow"/>
              </w:rPr>
            </w:pPr>
            <w:r w:rsidRPr="001F6F76">
              <w:rPr>
                <w:sz w:val="16"/>
                <w:szCs w:val="16"/>
              </w:rPr>
              <w:t>La résiliation à l’amiable et d’un commun accord du contrat relatif au projet de nouvelle salle de conférence ayant pris plus de temps que prévu, le calendrier d’exécution du projet a été retardé, le démarrage des travaux initialement prévu pour le premier trimestre de 2017, comme précédemment indiqué, ayant été reporté au troisième trimestre de 2017.  Il n’y a eu aucune incidence concrète sur les résultats attendus du projet.</w:t>
            </w:r>
          </w:p>
        </w:tc>
      </w:tr>
      <w:tr w:rsidR="00927E1F" w:rsidRPr="001F6F76" w:rsidTr="00927E1F">
        <w:trPr>
          <w:cantSplit/>
          <w:jc w:val="center"/>
        </w:trPr>
        <w:tc>
          <w:tcPr>
            <w:tcW w:w="1667" w:type="pct"/>
            <w:shd w:val="clear" w:color="auto" w:fill="auto"/>
          </w:tcPr>
          <w:p w:rsidR="00927E1F" w:rsidRPr="001F6F76" w:rsidRDefault="00927E1F" w:rsidP="00927E1F">
            <w:pPr>
              <w:autoSpaceDE w:val="0"/>
              <w:autoSpaceDN w:val="0"/>
              <w:adjustRightInd w:val="0"/>
              <w:spacing w:before="40" w:after="40"/>
              <w:rPr>
                <w:b/>
                <w:bCs/>
                <w:sz w:val="16"/>
                <w:szCs w:val="16"/>
                <w:highlight w:val="yellow"/>
              </w:rPr>
            </w:pPr>
            <w:r w:rsidRPr="001F6F76">
              <w:rPr>
                <w:sz w:val="16"/>
                <w:szCs w:val="16"/>
              </w:rPr>
              <w:t>Retard dans la mise en route des travaux de rénovation en fonction de la solution technique retenue ou de la logistique interne pour le déménagement des bureaux.</w:t>
            </w:r>
          </w:p>
        </w:tc>
        <w:tc>
          <w:tcPr>
            <w:tcW w:w="1667" w:type="pct"/>
            <w:shd w:val="clear" w:color="auto" w:fill="auto"/>
          </w:tcPr>
          <w:p w:rsidR="00927E1F" w:rsidRPr="001F6F76" w:rsidRDefault="00927E1F" w:rsidP="00DF2EEF">
            <w:pPr>
              <w:pStyle w:val="ListParagraph"/>
              <w:numPr>
                <w:ilvl w:val="0"/>
                <w:numId w:val="130"/>
              </w:numPr>
              <w:autoSpaceDE w:val="0"/>
              <w:autoSpaceDN w:val="0"/>
              <w:adjustRightInd w:val="0"/>
              <w:spacing w:before="40" w:after="40"/>
              <w:rPr>
                <w:sz w:val="16"/>
                <w:szCs w:val="16"/>
              </w:rPr>
            </w:pPr>
            <w:r w:rsidRPr="001F6F76">
              <w:rPr>
                <w:sz w:val="16"/>
                <w:szCs w:val="16"/>
              </w:rPr>
              <w:t>Réexamen du choix de la solution technique à retenir.</w:t>
            </w:r>
          </w:p>
          <w:p w:rsidR="00927E1F" w:rsidRPr="001F6F76" w:rsidRDefault="00927E1F" w:rsidP="00DF2EEF">
            <w:pPr>
              <w:pStyle w:val="ListParagraph"/>
              <w:numPr>
                <w:ilvl w:val="0"/>
                <w:numId w:val="130"/>
              </w:numPr>
              <w:autoSpaceDE w:val="0"/>
              <w:autoSpaceDN w:val="0"/>
              <w:adjustRightInd w:val="0"/>
              <w:spacing w:before="40" w:after="40"/>
              <w:rPr>
                <w:sz w:val="16"/>
                <w:szCs w:val="16"/>
              </w:rPr>
            </w:pPr>
            <w:r w:rsidRPr="001F6F76">
              <w:rPr>
                <w:sz w:val="16"/>
                <w:szCs w:val="16"/>
              </w:rPr>
              <w:t>Réexamen pour compresser le calendrier.</w:t>
            </w:r>
          </w:p>
          <w:p w:rsidR="00927E1F" w:rsidRPr="001F6F76" w:rsidRDefault="00927E1F" w:rsidP="00DF2EEF">
            <w:pPr>
              <w:pStyle w:val="ListParagraph"/>
              <w:numPr>
                <w:ilvl w:val="0"/>
                <w:numId w:val="130"/>
              </w:numPr>
              <w:autoSpaceDE w:val="0"/>
              <w:autoSpaceDN w:val="0"/>
              <w:adjustRightInd w:val="0"/>
              <w:spacing w:before="40" w:after="40"/>
              <w:rPr>
                <w:sz w:val="16"/>
                <w:szCs w:val="16"/>
              </w:rPr>
            </w:pPr>
            <w:r w:rsidRPr="001F6F76">
              <w:rPr>
                <w:sz w:val="16"/>
                <w:szCs w:val="16"/>
              </w:rPr>
              <w:t>Anticipation avec PCT, IT, SSCS.</w:t>
            </w:r>
          </w:p>
        </w:tc>
        <w:tc>
          <w:tcPr>
            <w:tcW w:w="1666" w:type="pct"/>
            <w:shd w:val="clear" w:color="auto" w:fill="auto"/>
          </w:tcPr>
          <w:p w:rsidR="00927E1F" w:rsidRPr="001F6F76" w:rsidRDefault="00927E1F" w:rsidP="00927E1F">
            <w:pPr>
              <w:autoSpaceDE w:val="0"/>
              <w:autoSpaceDN w:val="0"/>
              <w:adjustRightInd w:val="0"/>
              <w:spacing w:before="40" w:after="40"/>
              <w:rPr>
                <w:sz w:val="16"/>
                <w:szCs w:val="16"/>
                <w:highlight w:val="yellow"/>
              </w:rPr>
            </w:pPr>
          </w:p>
        </w:tc>
      </w:tr>
      <w:tr w:rsidR="00927E1F" w:rsidRPr="001F6F76" w:rsidTr="00927E1F">
        <w:trPr>
          <w:cantSplit/>
          <w:jc w:val="center"/>
        </w:trPr>
        <w:tc>
          <w:tcPr>
            <w:tcW w:w="1667" w:type="pct"/>
            <w:shd w:val="clear" w:color="auto" w:fill="auto"/>
          </w:tcPr>
          <w:p w:rsidR="00927E1F" w:rsidRPr="001F6F76" w:rsidRDefault="00927E1F" w:rsidP="00927E1F">
            <w:pPr>
              <w:autoSpaceDE w:val="0"/>
              <w:autoSpaceDN w:val="0"/>
              <w:adjustRightInd w:val="0"/>
              <w:spacing w:before="40" w:after="40"/>
              <w:rPr>
                <w:b/>
                <w:bCs/>
                <w:sz w:val="16"/>
                <w:szCs w:val="16"/>
                <w:highlight w:val="yellow"/>
              </w:rPr>
            </w:pPr>
            <w:r w:rsidRPr="001F6F76">
              <w:rPr>
                <w:sz w:val="16"/>
                <w:szCs w:val="16"/>
              </w:rPr>
              <w:t>Risque financier dû au coût inconnu de la solution technique à sélectionner.  Le coût du projet pourrait aussi être supérieur au budget approuvé en raison de la situation sur le marché de la construction pendant les appels d’offres concernant les entreprises en 2016.</w:t>
            </w:r>
          </w:p>
        </w:tc>
        <w:tc>
          <w:tcPr>
            <w:tcW w:w="1667" w:type="pct"/>
            <w:shd w:val="clear" w:color="auto" w:fill="auto"/>
          </w:tcPr>
          <w:p w:rsidR="00927E1F" w:rsidRPr="001F6F76" w:rsidRDefault="00927E1F" w:rsidP="00927E1F">
            <w:pPr>
              <w:autoSpaceDE w:val="0"/>
              <w:autoSpaceDN w:val="0"/>
              <w:adjustRightInd w:val="0"/>
              <w:spacing w:before="40" w:after="40"/>
              <w:rPr>
                <w:sz w:val="16"/>
                <w:szCs w:val="16"/>
                <w:highlight w:val="yellow"/>
              </w:rPr>
            </w:pPr>
            <w:r w:rsidRPr="001F6F76">
              <w:rPr>
                <w:sz w:val="16"/>
                <w:szCs w:val="16"/>
              </w:rPr>
              <w:t>Examen du choix de la solution technique et suivi de la situation sur le marché de la construction – prévoir, le cas échéant, des clauses relatives à une atténuation des risques dans les contrats.</w:t>
            </w:r>
          </w:p>
        </w:tc>
        <w:tc>
          <w:tcPr>
            <w:tcW w:w="1666" w:type="pct"/>
            <w:shd w:val="clear" w:color="auto" w:fill="auto"/>
          </w:tcPr>
          <w:p w:rsidR="00927E1F" w:rsidRPr="001F6F76" w:rsidRDefault="00927E1F" w:rsidP="00927E1F">
            <w:pPr>
              <w:autoSpaceDE w:val="0"/>
              <w:autoSpaceDN w:val="0"/>
              <w:adjustRightInd w:val="0"/>
              <w:spacing w:before="40" w:after="40"/>
              <w:rPr>
                <w:sz w:val="16"/>
                <w:szCs w:val="16"/>
                <w:highlight w:val="yellow"/>
              </w:rPr>
            </w:pPr>
          </w:p>
        </w:tc>
      </w:tr>
    </w:tbl>
    <w:p w:rsidR="00927E1F" w:rsidRPr="001F6F76" w:rsidRDefault="00927E1F" w:rsidP="00927E1F">
      <w:pPr>
        <w:rPr>
          <w:sz w:val="22"/>
        </w:rPr>
      </w:pPr>
      <w:r w:rsidRPr="001F6F76">
        <w:rPr>
          <w:sz w:val="22"/>
        </w:rPr>
        <w:br w:type="page"/>
      </w:r>
    </w:p>
    <w:p w:rsidR="00927E1F" w:rsidRPr="00783605" w:rsidRDefault="00927E1F" w:rsidP="00927E1F">
      <w:pPr>
        <w:rPr>
          <w:szCs w:val="20"/>
        </w:rPr>
      </w:pPr>
      <w:r w:rsidRPr="00783605">
        <w:rPr>
          <w:szCs w:val="20"/>
        </w:rPr>
        <w:lastRenderedPageBreak/>
        <w:t>CALENDRIER DU PROJET PAR ÉTAPE</w:t>
      </w:r>
    </w:p>
    <w:p w:rsidR="00927E1F" w:rsidRPr="00783605" w:rsidRDefault="00927E1F" w:rsidP="00927E1F">
      <w:pPr>
        <w:autoSpaceDE w:val="0"/>
        <w:autoSpaceDN w:val="0"/>
        <w:jc w:val="both"/>
        <w:rPr>
          <w:szCs w:val="20"/>
        </w:rPr>
      </w:pPr>
    </w:p>
    <w:p w:rsidR="00927E1F" w:rsidRPr="00783605" w:rsidRDefault="00927E1F" w:rsidP="00927E1F">
      <w:pPr>
        <w:autoSpaceDE w:val="0"/>
        <w:autoSpaceDN w:val="0"/>
        <w:jc w:val="both"/>
        <w:rPr>
          <w:szCs w:val="20"/>
        </w:rPr>
      </w:pPr>
    </w:p>
    <w:tbl>
      <w:tblPr>
        <w:tblW w:w="9666" w:type="dxa"/>
        <w:jc w:val="center"/>
        <w:tblLayout w:type="fixed"/>
        <w:tblCellMar>
          <w:top w:w="113" w:type="dxa"/>
          <w:left w:w="68" w:type="dxa"/>
          <w:bottom w:w="113" w:type="dxa"/>
          <w:right w:w="68" w:type="dxa"/>
        </w:tblCellMar>
        <w:tblLook w:val="04A0" w:firstRow="1" w:lastRow="0" w:firstColumn="1" w:lastColumn="0" w:noHBand="0" w:noVBand="1"/>
      </w:tblPr>
      <w:tblGrid>
        <w:gridCol w:w="1999"/>
        <w:gridCol w:w="383"/>
        <w:gridCol w:w="383"/>
        <w:gridCol w:w="384"/>
        <w:gridCol w:w="383"/>
        <w:gridCol w:w="383"/>
        <w:gridCol w:w="384"/>
        <w:gridCol w:w="383"/>
        <w:gridCol w:w="383"/>
        <w:gridCol w:w="384"/>
        <w:gridCol w:w="383"/>
        <w:gridCol w:w="383"/>
        <w:gridCol w:w="384"/>
        <w:gridCol w:w="383"/>
        <w:gridCol w:w="383"/>
        <w:gridCol w:w="384"/>
        <w:gridCol w:w="383"/>
        <w:gridCol w:w="383"/>
        <w:gridCol w:w="384"/>
        <w:gridCol w:w="383"/>
        <w:gridCol w:w="384"/>
      </w:tblGrid>
      <w:tr w:rsidR="00927E1F" w:rsidRPr="001F6F76" w:rsidTr="00927E1F">
        <w:trPr>
          <w:cantSplit/>
          <w:jc w:val="center"/>
        </w:trPr>
        <w:tc>
          <w:tcPr>
            <w:tcW w:w="1999" w:type="dxa"/>
            <w:tcBorders>
              <w:top w:val="nil"/>
              <w:left w:val="nil"/>
              <w:bottom w:val="nil"/>
              <w:right w:val="nil"/>
            </w:tcBorders>
            <w:shd w:val="clear" w:color="auto" w:fill="auto"/>
            <w:noWrap/>
            <w:vAlign w:val="bottom"/>
            <w:hideMark/>
          </w:tcPr>
          <w:p w:rsidR="00927E1F" w:rsidRPr="001F6F76" w:rsidRDefault="00927E1F" w:rsidP="00927E1F">
            <w:pPr>
              <w:rPr>
                <w:sz w:val="16"/>
                <w:szCs w:val="16"/>
              </w:rPr>
            </w:pPr>
          </w:p>
        </w:tc>
        <w:tc>
          <w:tcPr>
            <w:tcW w:w="1533" w:type="dxa"/>
            <w:gridSpan w:val="4"/>
            <w:tcBorders>
              <w:top w:val="single" w:sz="8" w:space="0" w:color="auto"/>
              <w:left w:val="single" w:sz="8" w:space="0" w:color="auto"/>
              <w:bottom w:val="single" w:sz="4" w:space="0" w:color="auto"/>
              <w:right w:val="single" w:sz="4" w:space="0" w:color="auto"/>
            </w:tcBorders>
            <w:shd w:val="clear" w:color="auto" w:fill="C6D9F1"/>
            <w:noWrap/>
            <w:tcMar>
              <w:left w:w="0" w:type="dxa"/>
              <w:right w:w="0" w:type="dxa"/>
            </w:tcMar>
            <w:vAlign w:val="bottom"/>
            <w:hideMark/>
          </w:tcPr>
          <w:p w:rsidR="00927E1F" w:rsidRPr="001F6F76" w:rsidRDefault="00927E1F" w:rsidP="00927E1F">
            <w:pPr>
              <w:jc w:val="center"/>
              <w:rPr>
                <w:b/>
                <w:bCs/>
                <w:sz w:val="16"/>
                <w:szCs w:val="16"/>
              </w:rPr>
            </w:pPr>
            <w:r w:rsidRPr="001F6F76">
              <w:rPr>
                <w:b/>
                <w:sz w:val="16"/>
              </w:rPr>
              <w:t>2014</w:t>
            </w:r>
          </w:p>
        </w:tc>
        <w:tc>
          <w:tcPr>
            <w:tcW w:w="1533" w:type="dxa"/>
            <w:gridSpan w:val="4"/>
            <w:tcBorders>
              <w:top w:val="single" w:sz="8" w:space="0" w:color="auto"/>
              <w:left w:val="single" w:sz="8" w:space="0" w:color="auto"/>
              <w:bottom w:val="single" w:sz="4" w:space="0" w:color="auto"/>
              <w:right w:val="single" w:sz="4" w:space="0" w:color="auto"/>
            </w:tcBorders>
            <w:shd w:val="clear" w:color="auto" w:fill="C6D9F1"/>
            <w:vAlign w:val="bottom"/>
          </w:tcPr>
          <w:p w:rsidR="00927E1F" w:rsidRPr="001F6F76" w:rsidRDefault="00927E1F" w:rsidP="00927E1F">
            <w:pPr>
              <w:jc w:val="center"/>
              <w:rPr>
                <w:b/>
                <w:bCs/>
                <w:sz w:val="16"/>
                <w:szCs w:val="16"/>
              </w:rPr>
            </w:pPr>
            <w:r w:rsidRPr="001F6F76">
              <w:rPr>
                <w:b/>
                <w:sz w:val="16"/>
              </w:rPr>
              <w:t>2015</w:t>
            </w:r>
          </w:p>
        </w:tc>
        <w:tc>
          <w:tcPr>
            <w:tcW w:w="1534" w:type="dxa"/>
            <w:gridSpan w:val="4"/>
            <w:tcBorders>
              <w:top w:val="single" w:sz="8" w:space="0" w:color="auto"/>
              <w:left w:val="single" w:sz="8" w:space="0" w:color="auto"/>
              <w:bottom w:val="single" w:sz="4" w:space="0" w:color="auto"/>
              <w:right w:val="single" w:sz="4" w:space="0" w:color="auto"/>
            </w:tcBorders>
            <w:shd w:val="clear" w:color="auto" w:fill="C6D9F1"/>
            <w:vAlign w:val="bottom"/>
          </w:tcPr>
          <w:p w:rsidR="00927E1F" w:rsidRPr="001F6F76" w:rsidRDefault="00927E1F" w:rsidP="00927E1F">
            <w:pPr>
              <w:jc w:val="center"/>
              <w:rPr>
                <w:b/>
                <w:bCs/>
                <w:sz w:val="16"/>
                <w:szCs w:val="16"/>
              </w:rPr>
            </w:pPr>
            <w:r w:rsidRPr="001F6F76">
              <w:rPr>
                <w:b/>
                <w:sz w:val="16"/>
              </w:rPr>
              <w:t>2016</w:t>
            </w:r>
          </w:p>
        </w:tc>
        <w:tc>
          <w:tcPr>
            <w:tcW w:w="1533" w:type="dxa"/>
            <w:gridSpan w:val="4"/>
            <w:tcBorders>
              <w:top w:val="single" w:sz="8" w:space="0" w:color="auto"/>
              <w:left w:val="single" w:sz="8" w:space="0" w:color="auto"/>
              <w:bottom w:val="single" w:sz="4" w:space="0" w:color="auto"/>
              <w:right w:val="single" w:sz="4" w:space="0" w:color="auto"/>
            </w:tcBorders>
            <w:shd w:val="clear" w:color="auto" w:fill="C6D9F1"/>
            <w:vAlign w:val="bottom"/>
          </w:tcPr>
          <w:p w:rsidR="00927E1F" w:rsidRPr="001F6F76" w:rsidRDefault="00927E1F" w:rsidP="00927E1F">
            <w:pPr>
              <w:jc w:val="center"/>
              <w:rPr>
                <w:b/>
                <w:bCs/>
                <w:sz w:val="16"/>
                <w:szCs w:val="16"/>
              </w:rPr>
            </w:pPr>
            <w:r w:rsidRPr="001F6F76">
              <w:rPr>
                <w:b/>
                <w:sz w:val="16"/>
              </w:rPr>
              <w:t>2017</w:t>
            </w:r>
          </w:p>
        </w:tc>
        <w:tc>
          <w:tcPr>
            <w:tcW w:w="1534" w:type="dxa"/>
            <w:gridSpan w:val="4"/>
            <w:tcBorders>
              <w:top w:val="single" w:sz="8" w:space="0" w:color="auto"/>
              <w:left w:val="single" w:sz="8" w:space="0" w:color="auto"/>
              <w:bottom w:val="single" w:sz="4" w:space="0" w:color="auto"/>
              <w:right w:val="single" w:sz="4" w:space="0" w:color="auto"/>
            </w:tcBorders>
            <w:shd w:val="clear" w:color="auto" w:fill="C6D9F1"/>
            <w:vAlign w:val="bottom"/>
          </w:tcPr>
          <w:p w:rsidR="00927E1F" w:rsidRPr="001F6F76" w:rsidRDefault="00927E1F" w:rsidP="00927E1F">
            <w:pPr>
              <w:jc w:val="center"/>
              <w:rPr>
                <w:b/>
                <w:bCs/>
                <w:sz w:val="16"/>
                <w:szCs w:val="16"/>
              </w:rPr>
            </w:pPr>
            <w:r w:rsidRPr="001F6F76">
              <w:rPr>
                <w:b/>
                <w:sz w:val="16"/>
              </w:rPr>
              <w:t>2018</w:t>
            </w:r>
          </w:p>
        </w:tc>
      </w:tr>
      <w:tr w:rsidR="00927E1F" w:rsidRPr="001F6F76" w:rsidTr="00927E1F">
        <w:trPr>
          <w:cantSplit/>
          <w:jc w:val="center"/>
        </w:trPr>
        <w:tc>
          <w:tcPr>
            <w:tcW w:w="1999" w:type="dxa"/>
            <w:tcBorders>
              <w:top w:val="single" w:sz="8" w:space="0" w:color="auto"/>
              <w:left w:val="single" w:sz="4" w:space="0" w:color="auto"/>
              <w:bottom w:val="single" w:sz="4" w:space="0" w:color="auto"/>
              <w:right w:val="single" w:sz="8" w:space="0" w:color="auto"/>
            </w:tcBorders>
            <w:shd w:val="clear" w:color="auto" w:fill="C6D9F1"/>
            <w:noWrap/>
            <w:vAlign w:val="bottom"/>
            <w:hideMark/>
          </w:tcPr>
          <w:p w:rsidR="00927E1F" w:rsidRPr="001F6F76" w:rsidRDefault="00927E1F" w:rsidP="00927E1F">
            <w:pPr>
              <w:rPr>
                <w:b/>
                <w:bCs/>
                <w:sz w:val="16"/>
                <w:szCs w:val="16"/>
              </w:rPr>
            </w:pPr>
            <w:r w:rsidRPr="001F6F76">
              <w:rPr>
                <w:b/>
                <w:sz w:val="16"/>
              </w:rPr>
              <w:t>Étape principale</w:t>
            </w:r>
          </w:p>
        </w:tc>
        <w:tc>
          <w:tcPr>
            <w:tcW w:w="383" w:type="dxa"/>
            <w:tcBorders>
              <w:top w:val="nil"/>
              <w:left w:val="nil"/>
              <w:bottom w:val="single" w:sz="4" w:space="0" w:color="auto"/>
              <w:right w:val="single" w:sz="4" w:space="0" w:color="auto"/>
            </w:tcBorders>
            <w:shd w:val="clear" w:color="auto" w:fill="C6D9F1"/>
            <w:noWrap/>
            <w:tcMar>
              <w:left w:w="0" w:type="dxa"/>
              <w:right w:w="0" w:type="dxa"/>
            </w:tcMar>
            <w:vAlign w:val="bottom"/>
            <w:hideMark/>
          </w:tcPr>
          <w:p w:rsidR="00927E1F" w:rsidRPr="001F6F76" w:rsidRDefault="00927E1F" w:rsidP="00927E1F">
            <w:pPr>
              <w:jc w:val="center"/>
              <w:rPr>
                <w:b/>
                <w:bCs/>
                <w:sz w:val="16"/>
                <w:szCs w:val="16"/>
              </w:rPr>
            </w:pPr>
            <w:r>
              <w:rPr>
                <w:b/>
                <w:bCs/>
                <w:sz w:val="16"/>
                <w:szCs w:val="16"/>
              </w:rPr>
              <w:t>T</w:t>
            </w:r>
            <w:r w:rsidRPr="001F6F76">
              <w:rPr>
                <w:b/>
                <w:bCs/>
                <w:sz w:val="16"/>
                <w:szCs w:val="16"/>
              </w:rPr>
              <w:t>1</w:t>
            </w:r>
          </w:p>
        </w:tc>
        <w:tc>
          <w:tcPr>
            <w:tcW w:w="383" w:type="dxa"/>
            <w:tcBorders>
              <w:top w:val="nil"/>
              <w:left w:val="nil"/>
              <w:bottom w:val="single" w:sz="4" w:space="0" w:color="auto"/>
              <w:right w:val="single" w:sz="4" w:space="0" w:color="auto"/>
            </w:tcBorders>
            <w:shd w:val="clear" w:color="auto" w:fill="C6D9F1"/>
            <w:noWrap/>
            <w:tcMar>
              <w:left w:w="0" w:type="dxa"/>
              <w:right w:w="0" w:type="dxa"/>
            </w:tcMar>
            <w:vAlign w:val="bottom"/>
            <w:hideMark/>
          </w:tcPr>
          <w:p w:rsidR="00927E1F" w:rsidRPr="001F6F76" w:rsidRDefault="00927E1F" w:rsidP="00927E1F">
            <w:pPr>
              <w:jc w:val="center"/>
              <w:rPr>
                <w:b/>
                <w:bCs/>
                <w:sz w:val="16"/>
                <w:szCs w:val="16"/>
              </w:rPr>
            </w:pPr>
            <w:r>
              <w:rPr>
                <w:b/>
                <w:bCs/>
                <w:sz w:val="16"/>
                <w:szCs w:val="16"/>
              </w:rPr>
              <w:t>T2</w:t>
            </w:r>
          </w:p>
        </w:tc>
        <w:tc>
          <w:tcPr>
            <w:tcW w:w="384" w:type="dxa"/>
            <w:tcBorders>
              <w:top w:val="nil"/>
              <w:left w:val="nil"/>
              <w:bottom w:val="single" w:sz="4" w:space="0" w:color="auto"/>
              <w:right w:val="single" w:sz="4" w:space="0" w:color="auto"/>
            </w:tcBorders>
            <w:shd w:val="clear" w:color="auto" w:fill="C6D9F1"/>
            <w:noWrap/>
            <w:tcMar>
              <w:left w:w="0" w:type="dxa"/>
              <w:right w:w="0" w:type="dxa"/>
            </w:tcMar>
            <w:vAlign w:val="bottom"/>
            <w:hideMark/>
          </w:tcPr>
          <w:p w:rsidR="00927E1F" w:rsidRPr="001F6F76" w:rsidRDefault="00927E1F" w:rsidP="00927E1F">
            <w:pPr>
              <w:jc w:val="center"/>
              <w:rPr>
                <w:b/>
                <w:bCs/>
                <w:sz w:val="16"/>
                <w:szCs w:val="16"/>
              </w:rPr>
            </w:pPr>
            <w:r>
              <w:rPr>
                <w:b/>
                <w:bCs/>
                <w:sz w:val="16"/>
                <w:szCs w:val="16"/>
              </w:rPr>
              <w:t>T</w:t>
            </w:r>
            <w:r w:rsidRPr="001F6F76">
              <w:rPr>
                <w:b/>
                <w:bCs/>
                <w:sz w:val="16"/>
                <w:szCs w:val="16"/>
              </w:rPr>
              <w:t>3</w:t>
            </w:r>
          </w:p>
        </w:tc>
        <w:tc>
          <w:tcPr>
            <w:tcW w:w="383" w:type="dxa"/>
            <w:tcBorders>
              <w:top w:val="nil"/>
              <w:left w:val="nil"/>
              <w:bottom w:val="single" w:sz="4" w:space="0" w:color="auto"/>
              <w:right w:val="single" w:sz="8" w:space="0" w:color="auto"/>
            </w:tcBorders>
            <w:shd w:val="clear" w:color="auto" w:fill="C6D9F1"/>
            <w:noWrap/>
            <w:tcMar>
              <w:left w:w="0" w:type="dxa"/>
              <w:right w:w="0" w:type="dxa"/>
            </w:tcMar>
            <w:vAlign w:val="bottom"/>
            <w:hideMark/>
          </w:tcPr>
          <w:p w:rsidR="00927E1F" w:rsidRPr="001F6F76" w:rsidRDefault="00927E1F" w:rsidP="00927E1F">
            <w:pPr>
              <w:jc w:val="center"/>
              <w:rPr>
                <w:b/>
                <w:bCs/>
                <w:sz w:val="16"/>
                <w:szCs w:val="16"/>
              </w:rPr>
            </w:pPr>
            <w:r>
              <w:rPr>
                <w:b/>
                <w:bCs/>
                <w:sz w:val="16"/>
                <w:szCs w:val="16"/>
              </w:rPr>
              <w:t>T</w:t>
            </w:r>
            <w:r w:rsidRPr="001F6F76">
              <w:rPr>
                <w:b/>
                <w:bCs/>
                <w:sz w:val="16"/>
                <w:szCs w:val="16"/>
              </w:rPr>
              <w:t>4</w:t>
            </w:r>
          </w:p>
        </w:tc>
        <w:tc>
          <w:tcPr>
            <w:tcW w:w="383" w:type="dxa"/>
            <w:tcBorders>
              <w:top w:val="nil"/>
              <w:left w:val="nil"/>
              <w:bottom w:val="single" w:sz="4" w:space="0" w:color="auto"/>
              <w:right w:val="single" w:sz="4" w:space="0" w:color="auto"/>
            </w:tcBorders>
            <w:shd w:val="clear" w:color="auto" w:fill="C6D9F1"/>
            <w:noWrap/>
            <w:tcMar>
              <w:left w:w="0" w:type="dxa"/>
              <w:right w:w="0" w:type="dxa"/>
            </w:tcMar>
            <w:vAlign w:val="bottom"/>
            <w:hideMark/>
          </w:tcPr>
          <w:p w:rsidR="00927E1F" w:rsidRPr="001F6F76" w:rsidRDefault="00927E1F" w:rsidP="00927E1F">
            <w:pPr>
              <w:jc w:val="center"/>
              <w:rPr>
                <w:b/>
                <w:bCs/>
                <w:sz w:val="16"/>
                <w:szCs w:val="16"/>
              </w:rPr>
            </w:pPr>
            <w:r>
              <w:rPr>
                <w:b/>
                <w:bCs/>
                <w:sz w:val="16"/>
                <w:szCs w:val="16"/>
              </w:rPr>
              <w:t>T</w:t>
            </w:r>
            <w:r w:rsidRPr="001F6F76">
              <w:rPr>
                <w:b/>
                <w:bCs/>
                <w:sz w:val="16"/>
                <w:szCs w:val="16"/>
              </w:rPr>
              <w:t>1</w:t>
            </w:r>
          </w:p>
        </w:tc>
        <w:tc>
          <w:tcPr>
            <w:tcW w:w="384" w:type="dxa"/>
            <w:tcBorders>
              <w:top w:val="nil"/>
              <w:left w:val="nil"/>
              <w:bottom w:val="single" w:sz="4" w:space="0" w:color="auto"/>
              <w:right w:val="single" w:sz="4" w:space="0" w:color="auto"/>
            </w:tcBorders>
            <w:shd w:val="clear" w:color="auto" w:fill="C6D9F1"/>
            <w:noWrap/>
            <w:tcMar>
              <w:left w:w="0" w:type="dxa"/>
              <w:right w:w="0" w:type="dxa"/>
            </w:tcMar>
            <w:vAlign w:val="bottom"/>
            <w:hideMark/>
          </w:tcPr>
          <w:p w:rsidR="00927E1F" w:rsidRPr="001F6F76" w:rsidRDefault="00927E1F" w:rsidP="00927E1F">
            <w:pPr>
              <w:jc w:val="center"/>
              <w:rPr>
                <w:b/>
                <w:bCs/>
                <w:sz w:val="16"/>
                <w:szCs w:val="16"/>
              </w:rPr>
            </w:pPr>
            <w:r>
              <w:rPr>
                <w:b/>
                <w:bCs/>
                <w:sz w:val="16"/>
                <w:szCs w:val="16"/>
              </w:rPr>
              <w:t>T</w:t>
            </w:r>
            <w:r w:rsidRPr="001F6F76">
              <w:rPr>
                <w:b/>
                <w:bCs/>
                <w:sz w:val="16"/>
                <w:szCs w:val="16"/>
              </w:rPr>
              <w:t>2</w:t>
            </w:r>
          </w:p>
        </w:tc>
        <w:tc>
          <w:tcPr>
            <w:tcW w:w="383" w:type="dxa"/>
            <w:tcBorders>
              <w:top w:val="nil"/>
              <w:left w:val="nil"/>
              <w:bottom w:val="single" w:sz="4" w:space="0" w:color="auto"/>
              <w:right w:val="single" w:sz="4" w:space="0" w:color="auto"/>
            </w:tcBorders>
            <w:shd w:val="clear" w:color="auto" w:fill="C6D9F1"/>
            <w:noWrap/>
            <w:tcMar>
              <w:left w:w="0" w:type="dxa"/>
              <w:right w:w="0" w:type="dxa"/>
            </w:tcMar>
            <w:vAlign w:val="bottom"/>
            <w:hideMark/>
          </w:tcPr>
          <w:p w:rsidR="00927E1F" w:rsidRPr="001F6F76" w:rsidRDefault="00927E1F" w:rsidP="00927E1F">
            <w:pPr>
              <w:jc w:val="center"/>
              <w:rPr>
                <w:b/>
                <w:bCs/>
                <w:sz w:val="16"/>
                <w:szCs w:val="16"/>
              </w:rPr>
            </w:pPr>
            <w:r>
              <w:rPr>
                <w:b/>
                <w:bCs/>
                <w:sz w:val="16"/>
                <w:szCs w:val="16"/>
              </w:rPr>
              <w:t>T</w:t>
            </w:r>
            <w:r w:rsidRPr="001F6F76">
              <w:rPr>
                <w:b/>
                <w:bCs/>
                <w:sz w:val="16"/>
                <w:szCs w:val="16"/>
              </w:rPr>
              <w:t>3</w:t>
            </w:r>
          </w:p>
        </w:tc>
        <w:tc>
          <w:tcPr>
            <w:tcW w:w="383" w:type="dxa"/>
            <w:tcBorders>
              <w:top w:val="nil"/>
              <w:left w:val="nil"/>
              <w:bottom w:val="single" w:sz="4" w:space="0" w:color="auto"/>
              <w:right w:val="single" w:sz="8" w:space="0" w:color="auto"/>
            </w:tcBorders>
            <w:shd w:val="clear" w:color="auto" w:fill="C6D9F1"/>
            <w:noWrap/>
            <w:tcMar>
              <w:left w:w="0" w:type="dxa"/>
              <w:right w:w="0" w:type="dxa"/>
            </w:tcMar>
            <w:vAlign w:val="bottom"/>
            <w:hideMark/>
          </w:tcPr>
          <w:p w:rsidR="00927E1F" w:rsidRPr="001F6F76" w:rsidRDefault="00927E1F" w:rsidP="00927E1F">
            <w:pPr>
              <w:jc w:val="center"/>
              <w:rPr>
                <w:b/>
                <w:bCs/>
                <w:sz w:val="16"/>
                <w:szCs w:val="16"/>
              </w:rPr>
            </w:pPr>
            <w:r>
              <w:rPr>
                <w:b/>
                <w:bCs/>
                <w:sz w:val="16"/>
                <w:szCs w:val="16"/>
              </w:rPr>
              <w:t>T</w:t>
            </w:r>
            <w:r w:rsidRPr="001F6F76">
              <w:rPr>
                <w:b/>
                <w:bCs/>
                <w:sz w:val="16"/>
                <w:szCs w:val="16"/>
              </w:rPr>
              <w:t>4</w:t>
            </w:r>
          </w:p>
        </w:tc>
        <w:tc>
          <w:tcPr>
            <w:tcW w:w="384" w:type="dxa"/>
            <w:tcBorders>
              <w:top w:val="nil"/>
              <w:left w:val="nil"/>
              <w:bottom w:val="single" w:sz="4" w:space="0" w:color="auto"/>
              <w:right w:val="single" w:sz="4" w:space="0" w:color="auto"/>
            </w:tcBorders>
            <w:shd w:val="clear" w:color="auto" w:fill="C6D9F1"/>
            <w:noWrap/>
            <w:tcMar>
              <w:left w:w="0" w:type="dxa"/>
              <w:right w:w="0" w:type="dxa"/>
            </w:tcMar>
            <w:vAlign w:val="bottom"/>
            <w:hideMark/>
          </w:tcPr>
          <w:p w:rsidR="00927E1F" w:rsidRPr="001F6F76" w:rsidRDefault="00927E1F" w:rsidP="00927E1F">
            <w:pPr>
              <w:jc w:val="center"/>
              <w:rPr>
                <w:b/>
                <w:bCs/>
                <w:sz w:val="16"/>
                <w:szCs w:val="16"/>
              </w:rPr>
            </w:pPr>
            <w:r>
              <w:rPr>
                <w:b/>
                <w:bCs/>
                <w:sz w:val="16"/>
                <w:szCs w:val="16"/>
              </w:rPr>
              <w:t>T</w:t>
            </w:r>
            <w:r w:rsidRPr="001F6F76">
              <w:rPr>
                <w:b/>
                <w:bCs/>
                <w:sz w:val="16"/>
                <w:szCs w:val="16"/>
              </w:rPr>
              <w:t>1</w:t>
            </w:r>
          </w:p>
        </w:tc>
        <w:tc>
          <w:tcPr>
            <w:tcW w:w="383" w:type="dxa"/>
            <w:tcBorders>
              <w:top w:val="nil"/>
              <w:left w:val="nil"/>
              <w:bottom w:val="single" w:sz="4" w:space="0" w:color="auto"/>
              <w:right w:val="single" w:sz="4" w:space="0" w:color="auto"/>
            </w:tcBorders>
            <w:shd w:val="clear" w:color="auto" w:fill="C6D9F1"/>
            <w:noWrap/>
            <w:tcMar>
              <w:left w:w="0" w:type="dxa"/>
              <w:right w:w="0" w:type="dxa"/>
            </w:tcMar>
            <w:vAlign w:val="bottom"/>
            <w:hideMark/>
          </w:tcPr>
          <w:p w:rsidR="00927E1F" w:rsidRPr="001F6F76" w:rsidRDefault="00927E1F" w:rsidP="00927E1F">
            <w:pPr>
              <w:jc w:val="center"/>
              <w:rPr>
                <w:b/>
                <w:bCs/>
                <w:sz w:val="16"/>
                <w:szCs w:val="16"/>
              </w:rPr>
            </w:pPr>
            <w:r>
              <w:rPr>
                <w:b/>
                <w:bCs/>
                <w:sz w:val="16"/>
                <w:szCs w:val="16"/>
              </w:rPr>
              <w:t>T</w:t>
            </w:r>
            <w:r w:rsidRPr="001F6F76">
              <w:rPr>
                <w:b/>
                <w:bCs/>
                <w:sz w:val="16"/>
                <w:szCs w:val="16"/>
              </w:rPr>
              <w:t>2</w:t>
            </w:r>
          </w:p>
        </w:tc>
        <w:tc>
          <w:tcPr>
            <w:tcW w:w="383" w:type="dxa"/>
            <w:tcBorders>
              <w:top w:val="nil"/>
              <w:left w:val="nil"/>
              <w:bottom w:val="single" w:sz="4" w:space="0" w:color="auto"/>
              <w:right w:val="single" w:sz="4" w:space="0" w:color="auto"/>
            </w:tcBorders>
            <w:shd w:val="clear" w:color="auto" w:fill="C6D9F1"/>
            <w:noWrap/>
            <w:tcMar>
              <w:left w:w="0" w:type="dxa"/>
              <w:right w:w="0" w:type="dxa"/>
            </w:tcMar>
            <w:vAlign w:val="bottom"/>
            <w:hideMark/>
          </w:tcPr>
          <w:p w:rsidR="00927E1F" w:rsidRPr="001F6F76" w:rsidRDefault="00927E1F" w:rsidP="00927E1F">
            <w:pPr>
              <w:jc w:val="center"/>
              <w:rPr>
                <w:b/>
                <w:bCs/>
                <w:sz w:val="16"/>
                <w:szCs w:val="16"/>
              </w:rPr>
            </w:pPr>
            <w:r>
              <w:rPr>
                <w:b/>
                <w:bCs/>
                <w:sz w:val="16"/>
                <w:szCs w:val="16"/>
              </w:rPr>
              <w:t>T</w:t>
            </w:r>
            <w:r w:rsidRPr="001F6F76">
              <w:rPr>
                <w:b/>
                <w:bCs/>
                <w:sz w:val="16"/>
                <w:szCs w:val="16"/>
              </w:rPr>
              <w:t>3</w:t>
            </w:r>
          </w:p>
        </w:tc>
        <w:tc>
          <w:tcPr>
            <w:tcW w:w="384" w:type="dxa"/>
            <w:tcBorders>
              <w:top w:val="nil"/>
              <w:left w:val="nil"/>
              <w:bottom w:val="single" w:sz="4" w:space="0" w:color="auto"/>
              <w:right w:val="single" w:sz="8" w:space="0" w:color="auto"/>
            </w:tcBorders>
            <w:shd w:val="clear" w:color="auto" w:fill="C6D9F1"/>
            <w:noWrap/>
            <w:tcMar>
              <w:left w:w="0" w:type="dxa"/>
              <w:right w:w="0" w:type="dxa"/>
            </w:tcMar>
            <w:vAlign w:val="bottom"/>
            <w:hideMark/>
          </w:tcPr>
          <w:p w:rsidR="00927E1F" w:rsidRPr="001F6F76" w:rsidRDefault="00927E1F" w:rsidP="00927E1F">
            <w:pPr>
              <w:jc w:val="center"/>
              <w:rPr>
                <w:b/>
                <w:bCs/>
                <w:sz w:val="16"/>
                <w:szCs w:val="16"/>
              </w:rPr>
            </w:pPr>
            <w:r>
              <w:rPr>
                <w:b/>
                <w:bCs/>
                <w:sz w:val="16"/>
                <w:szCs w:val="16"/>
              </w:rPr>
              <w:t>T</w:t>
            </w:r>
            <w:r w:rsidRPr="001F6F76">
              <w:rPr>
                <w:b/>
                <w:bCs/>
                <w:sz w:val="16"/>
                <w:szCs w:val="16"/>
              </w:rPr>
              <w:t>4</w:t>
            </w:r>
          </w:p>
        </w:tc>
        <w:tc>
          <w:tcPr>
            <w:tcW w:w="383" w:type="dxa"/>
            <w:tcBorders>
              <w:top w:val="nil"/>
              <w:left w:val="nil"/>
              <w:bottom w:val="single" w:sz="4" w:space="0" w:color="auto"/>
              <w:right w:val="single" w:sz="4" w:space="0" w:color="auto"/>
            </w:tcBorders>
            <w:shd w:val="clear" w:color="auto" w:fill="C6D9F1"/>
            <w:noWrap/>
            <w:tcMar>
              <w:left w:w="0" w:type="dxa"/>
              <w:right w:w="0" w:type="dxa"/>
            </w:tcMar>
            <w:vAlign w:val="bottom"/>
            <w:hideMark/>
          </w:tcPr>
          <w:p w:rsidR="00927E1F" w:rsidRPr="001F6F76" w:rsidRDefault="00927E1F" w:rsidP="00927E1F">
            <w:pPr>
              <w:jc w:val="center"/>
              <w:rPr>
                <w:b/>
                <w:bCs/>
                <w:sz w:val="16"/>
                <w:szCs w:val="16"/>
              </w:rPr>
            </w:pPr>
            <w:r>
              <w:rPr>
                <w:b/>
                <w:bCs/>
                <w:sz w:val="16"/>
                <w:szCs w:val="16"/>
              </w:rPr>
              <w:t>T</w:t>
            </w:r>
            <w:r w:rsidRPr="001F6F76">
              <w:rPr>
                <w:b/>
                <w:bCs/>
                <w:sz w:val="16"/>
                <w:szCs w:val="16"/>
              </w:rPr>
              <w:t>1</w:t>
            </w:r>
          </w:p>
        </w:tc>
        <w:tc>
          <w:tcPr>
            <w:tcW w:w="383" w:type="dxa"/>
            <w:tcBorders>
              <w:top w:val="nil"/>
              <w:left w:val="nil"/>
              <w:bottom w:val="single" w:sz="4" w:space="0" w:color="auto"/>
              <w:right w:val="single" w:sz="4" w:space="0" w:color="auto"/>
            </w:tcBorders>
            <w:shd w:val="clear" w:color="auto" w:fill="C6D9F1"/>
            <w:noWrap/>
            <w:tcMar>
              <w:left w:w="0" w:type="dxa"/>
              <w:right w:w="0" w:type="dxa"/>
            </w:tcMar>
            <w:vAlign w:val="bottom"/>
            <w:hideMark/>
          </w:tcPr>
          <w:p w:rsidR="00927E1F" w:rsidRPr="001F6F76" w:rsidRDefault="00927E1F" w:rsidP="00927E1F">
            <w:pPr>
              <w:jc w:val="center"/>
              <w:rPr>
                <w:b/>
                <w:bCs/>
                <w:sz w:val="16"/>
                <w:szCs w:val="16"/>
              </w:rPr>
            </w:pPr>
            <w:r>
              <w:rPr>
                <w:b/>
                <w:bCs/>
                <w:sz w:val="16"/>
                <w:szCs w:val="16"/>
              </w:rPr>
              <w:t>T</w:t>
            </w:r>
            <w:r w:rsidRPr="001F6F76">
              <w:rPr>
                <w:b/>
                <w:bCs/>
                <w:sz w:val="16"/>
                <w:szCs w:val="16"/>
              </w:rPr>
              <w:t>2</w:t>
            </w:r>
          </w:p>
        </w:tc>
        <w:tc>
          <w:tcPr>
            <w:tcW w:w="384" w:type="dxa"/>
            <w:tcBorders>
              <w:top w:val="nil"/>
              <w:left w:val="nil"/>
              <w:bottom w:val="single" w:sz="4" w:space="0" w:color="auto"/>
              <w:right w:val="single" w:sz="4" w:space="0" w:color="auto"/>
            </w:tcBorders>
            <w:shd w:val="clear" w:color="auto" w:fill="C6D9F1"/>
            <w:noWrap/>
            <w:tcMar>
              <w:left w:w="0" w:type="dxa"/>
              <w:right w:w="0" w:type="dxa"/>
            </w:tcMar>
            <w:vAlign w:val="bottom"/>
            <w:hideMark/>
          </w:tcPr>
          <w:p w:rsidR="00927E1F" w:rsidRPr="001F6F76" w:rsidRDefault="00927E1F" w:rsidP="00927E1F">
            <w:pPr>
              <w:jc w:val="center"/>
              <w:rPr>
                <w:b/>
                <w:bCs/>
                <w:sz w:val="16"/>
                <w:szCs w:val="16"/>
              </w:rPr>
            </w:pPr>
            <w:r>
              <w:rPr>
                <w:b/>
                <w:bCs/>
                <w:sz w:val="16"/>
                <w:szCs w:val="16"/>
              </w:rPr>
              <w:t>T</w:t>
            </w:r>
            <w:r w:rsidRPr="001F6F76">
              <w:rPr>
                <w:b/>
                <w:bCs/>
                <w:sz w:val="16"/>
                <w:szCs w:val="16"/>
              </w:rPr>
              <w:t>3</w:t>
            </w:r>
          </w:p>
        </w:tc>
        <w:tc>
          <w:tcPr>
            <w:tcW w:w="383" w:type="dxa"/>
            <w:tcBorders>
              <w:top w:val="nil"/>
              <w:left w:val="nil"/>
              <w:bottom w:val="single" w:sz="4" w:space="0" w:color="auto"/>
              <w:right w:val="single" w:sz="8" w:space="0" w:color="auto"/>
            </w:tcBorders>
            <w:shd w:val="clear" w:color="auto" w:fill="C6D9F1"/>
            <w:noWrap/>
            <w:tcMar>
              <w:left w:w="0" w:type="dxa"/>
              <w:right w:w="0" w:type="dxa"/>
            </w:tcMar>
            <w:vAlign w:val="bottom"/>
            <w:hideMark/>
          </w:tcPr>
          <w:p w:rsidR="00927E1F" w:rsidRPr="001F6F76" w:rsidRDefault="00927E1F" w:rsidP="00927E1F">
            <w:pPr>
              <w:jc w:val="center"/>
              <w:rPr>
                <w:b/>
                <w:bCs/>
                <w:sz w:val="16"/>
                <w:szCs w:val="16"/>
              </w:rPr>
            </w:pPr>
            <w:r>
              <w:rPr>
                <w:b/>
                <w:bCs/>
                <w:sz w:val="16"/>
                <w:szCs w:val="16"/>
              </w:rPr>
              <w:t>T</w:t>
            </w:r>
            <w:r w:rsidRPr="001F6F76">
              <w:rPr>
                <w:b/>
                <w:bCs/>
                <w:sz w:val="16"/>
                <w:szCs w:val="16"/>
              </w:rPr>
              <w:t>4</w:t>
            </w:r>
          </w:p>
        </w:tc>
        <w:tc>
          <w:tcPr>
            <w:tcW w:w="383" w:type="dxa"/>
            <w:tcBorders>
              <w:top w:val="nil"/>
              <w:left w:val="nil"/>
              <w:bottom w:val="single" w:sz="4" w:space="0" w:color="auto"/>
              <w:right w:val="single" w:sz="8" w:space="0" w:color="auto"/>
            </w:tcBorders>
            <w:shd w:val="clear" w:color="auto" w:fill="C6D9F1"/>
            <w:tcMar>
              <w:left w:w="0" w:type="dxa"/>
              <w:right w:w="0" w:type="dxa"/>
            </w:tcMar>
            <w:vAlign w:val="bottom"/>
          </w:tcPr>
          <w:p w:rsidR="00927E1F" w:rsidRPr="001F6F76" w:rsidRDefault="00927E1F" w:rsidP="00927E1F">
            <w:pPr>
              <w:jc w:val="center"/>
              <w:rPr>
                <w:b/>
                <w:bCs/>
                <w:sz w:val="16"/>
                <w:szCs w:val="16"/>
              </w:rPr>
            </w:pPr>
            <w:r>
              <w:rPr>
                <w:b/>
                <w:bCs/>
                <w:sz w:val="16"/>
                <w:szCs w:val="16"/>
              </w:rPr>
              <w:t>T</w:t>
            </w:r>
            <w:r w:rsidRPr="001F6F76">
              <w:rPr>
                <w:b/>
                <w:bCs/>
                <w:sz w:val="16"/>
                <w:szCs w:val="16"/>
              </w:rPr>
              <w:t>1</w:t>
            </w:r>
          </w:p>
        </w:tc>
        <w:tc>
          <w:tcPr>
            <w:tcW w:w="384" w:type="dxa"/>
            <w:tcBorders>
              <w:top w:val="nil"/>
              <w:left w:val="nil"/>
              <w:bottom w:val="single" w:sz="4" w:space="0" w:color="auto"/>
              <w:right w:val="single" w:sz="8" w:space="0" w:color="auto"/>
            </w:tcBorders>
            <w:shd w:val="clear" w:color="auto" w:fill="C6D9F1"/>
            <w:tcMar>
              <w:left w:w="0" w:type="dxa"/>
              <w:right w:w="0" w:type="dxa"/>
            </w:tcMar>
            <w:vAlign w:val="bottom"/>
          </w:tcPr>
          <w:p w:rsidR="00927E1F" w:rsidRPr="001F6F76" w:rsidRDefault="00927E1F" w:rsidP="00927E1F">
            <w:pPr>
              <w:jc w:val="center"/>
              <w:rPr>
                <w:b/>
                <w:bCs/>
                <w:sz w:val="16"/>
                <w:szCs w:val="16"/>
              </w:rPr>
            </w:pPr>
            <w:r>
              <w:rPr>
                <w:b/>
                <w:bCs/>
                <w:sz w:val="16"/>
                <w:szCs w:val="16"/>
              </w:rPr>
              <w:t>T</w:t>
            </w:r>
            <w:r w:rsidRPr="001F6F76">
              <w:rPr>
                <w:b/>
                <w:bCs/>
                <w:sz w:val="16"/>
                <w:szCs w:val="16"/>
              </w:rPr>
              <w:t>2</w:t>
            </w:r>
          </w:p>
        </w:tc>
        <w:tc>
          <w:tcPr>
            <w:tcW w:w="383" w:type="dxa"/>
            <w:tcBorders>
              <w:top w:val="nil"/>
              <w:left w:val="nil"/>
              <w:bottom w:val="single" w:sz="4" w:space="0" w:color="auto"/>
              <w:right w:val="single" w:sz="8" w:space="0" w:color="auto"/>
            </w:tcBorders>
            <w:shd w:val="clear" w:color="auto" w:fill="C6D9F1"/>
            <w:vAlign w:val="bottom"/>
          </w:tcPr>
          <w:p w:rsidR="00927E1F" w:rsidRPr="001F6F76" w:rsidRDefault="00927E1F" w:rsidP="00927E1F">
            <w:pPr>
              <w:jc w:val="center"/>
              <w:rPr>
                <w:b/>
                <w:bCs/>
                <w:sz w:val="16"/>
                <w:szCs w:val="16"/>
              </w:rPr>
            </w:pPr>
            <w:r>
              <w:rPr>
                <w:b/>
                <w:bCs/>
                <w:sz w:val="16"/>
                <w:szCs w:val="16"/>
              </w:rPr>
              <w:t>T</w:t>
            </w:r>
            <w:r w:rsidRPr="001F6F76">
              <w:rPr>
                <w:b/>
                <w:bCs/>
                <w:sz w:val="16"/>
                <w:szCs w:val="16"/>
              </w:rPr>
              <w:t>3</w:t>
            </w:r>
          </w:p>
        </w:tc>
        <w:tc>
          <w:tcPr>
            <w:tcW w:w="384" w:type="dxa"/>
            <w:tcBorders>
              <w:top w:val="nil"/>
              <w:left w:val="nil"/>
              <w:bottom w:val="single" w:sz="4" w:space="0" w:color="auto"/>
              <w:right w:val="single" w:sz="4" w:space="0" w:color="auto"/>
            </w:tcBorders>
            <w:shd w:val="clear" w:color="auto" w:fill="C6D9F1"/>
            <w:vAlign w:val="bottom"/>
          </w:tcPr>
          <w:p w:rsidR="00927E1F" w:rsidRPr="001F6F76" w:rsidRDefault="00927E1F" w:rsidP="00927E1F">
            <w:pPr>
              <w:jc w:val="center"/>
              <w:rPr>
                <w:b/>
                <w:bCs/>
                <w:sz w:val="16"/>
                <w:szCs w:val="16"/>
              </w:rPr>
            </w:pPr>
            <w:r>
              <w:rPr>
                <w:b/>
                <w:bCs/>
                <w:sz w:val="16"/>
                <w:szCs w:val="16"/>
              </w:rPr>
              <w:t>T</w:t>
            </w:r>
            <w:r w:rsidRPr="001F6F76">
              <w:rPr>
                <w:b/>
                <w:bCs/>
                <w:sz w:val="16"/>
                <w:szCs w:val="16"/>
              </w:rPr>
              <w:t>4</w:t>
            </w:r>
          </w:p>
        </w:tc>
      </w:tr>
      <w:tr w:rsidR="00927E1F" w:rsidRPr="001F6F76" w:rsidTr="00927E1F">
        <w:trPr>
          <w:cantSplit/>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927E1F" w:rsidRPr="001F6F76" w:rsidRDefault="00927E1F" w:rsidP="00927E1F">
            <w:pPr>
              <w:rPr>
                <w:sz w:val="16"/>
                <w:szCs w:val="16"/>
              </w:rPr>
            </w:pPr>
            <w:r w:rsidRPr="001F6F76">
              <w:rPr>
                <w:sz w:val="16"/>
              </w:rPr>
              <w:t>Appel à manifestation d’intérêt pilote/architecte</w:t>
            </w: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r w:rsidRPr="001F6F76">
              <w:rPr>
                <w:sz w:val="16"/>
                <w:szCs w:val="16"/>
              </w:rPr>
              <w:t>X</w:t>
            </w: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tcMar>
              <w:left w:w="0" w:type="dxa"/>
              <w:right w:w="0" w:type="dxa"/>
            </w:tcMar>
            <w:vAlign w:val="center"/>
          </w:tcPr>
          <w:p w:rsidR="00927E1F" w:rsidRPr="001F6F76" w:rsidRDefault="00927E1F" w:rsidP="00927E1F">
            <w:pPr>
              <w:jc w:val="center"/>
              <w:rPr>
                <w:sz w:val="16"/>
                <w:szCs w:val="16"/>
              </w:rPr>
            </w:pPr>
          </w:p>
        </w:tc>
        <w:tc>
          <w:tcPr>
            <w:tcW w:w="384" w:type="dxa"/>
            <w:tcBorders>
              <w:top w:val="nil"/>
              <w:left w:val="nil"/>
              <w:bottom w:val="single" w:sz="4" w:space="0" w:color="auto"/>
              <w:right w:val="single" w:sz="8" w:space="0" w:color="auto"/>
            </w:tcBorders>
            <w:tcMar>
              <w:left w:w="0" w:type="dxa"/>
              <w:right w:w="0" w:type="dxa"/>
            </w:tcMar>
            <w:vAlign w:val="center"/>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vAlign w:val="center"/>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vAlign w:val="center"/>
          </w:tcPr>
          <w:p w:rsidR="00927E1F" w:rsidRPr="001F6F76" w:rsidRDefault="00927E1F" w:rsidP="00927E1F">
            <w:pPr>
              <w:jc w:val="center"/>
              <w:rPr>
                <w:sz w:val="16"/>
                <w:szCs w:val="16"/>
              </w:rPr>
            </w:pPr>
          </w:p>
        </w:tc>
      </w:tr>
      <w:tr w:rsidR="00927E1F" w:rsidRPr="001F6F76" w:rsidTr="00927E1F">
        <w:trPr>
          <w:cantSplit/>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927E1F" w:rsidRPr="001F6F76" w:rsidRDefault="00927E1F" w:rsidP="00927E1F">
            <w:pPr>
              <w:rPr>
                <w:sz w:val="16"/>
                <w:szCs w:val="16"/>
              </w:rPr>
            </w:pPr>
            <w:r w:rsidRPr="001F6F76">
              <w:rPr>
                <w:sz w:val="16"/>
              </w:rPr>
              <w:t>Appel d’offres et sélection pour pilote/architecte et ingénieurs</w:t>
            </w: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r w:rsidRPr="001F6F76">
              <w:rPr>
                <w:sz w:val="16"/>
                <w:szCs w:val="16"/>
              </w:rPr>
              <w:t>X</w:t>
            </w:r>
          </w:p>
        </w:tc>
        <w:tc>
          <w:tcPr>
            <w:tcW w:w="383" w:type="dxa"/>
            <w:tcBorders>
              <w:top w:val="nil"/>
              <w:left w:val="nil"/>
              <w:bottom w:val="single" w:sz="4" w:space="0" w:color="auto"/>
              <w:right w:val="single" w:sz="8"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r w:rsidRPr="001F6F76">
              <w:rPr>
                <w:sz w:val="16"/>
                <w:szCs w:val="16"/>
              </w:rPr>
              <w:t>X</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r w:rsidRPr="001F6F76">
              <w:rPr>
                <w:sz w:val="16"/>
                <w:szCs w:val="16"/>
              </w:rPr>
              <w:t>X</w:t>
            </w: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tcMar>
              <w:left w:w="0" w:type="dxa"/>
              <w:right w:w="0" w:type="dxa"/>
            </w:tcMar>
            <w:vAlign w:val="center"/>
          </w:tcPr>
          <w:p w:rsidR="00927E1F" w:rsidRPr="001F6F76" w:rsidRDefault="00927E1F" w:rsidP="00927E1F">
            <w:pPr>
              <w:jc w:val="center"/>
              <w:rPr>
                <w:sz w:val="16"/>
                <w:szCs w:val="16"/>
              </w:rPr>
            </w:pPr>
          </w:p>
        </w:tc>
        <w:tc>
          <w:tcPr>
            <w:tcW w:w="384" w:type="dxa"/>
            <w:tcBorders>
              <w:top w:val="nil"/>
              <w:left w:val="nil"/>
              <w:bottom w:val="single" w:sz="4" w:space="0" w:color="auto"/>
              <w:right w:val="single" w:sz="8" w:space="0" w:color="auto"/>
            </w:tcBorders>
            <w:tcMar>
              <w:left w:w="0" w:type="dxa"/>
              <w:right w:w="0" w:type="dxa"/>
            </w:tcMar>
            <w:vAlign w:val="center"/>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vAlign w:val="center"/>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vAlign w:val="center"/>
          </w:tcPr>
          <w:p w:rsidR="00927E1F" w:rsidRPr="001F6F76" w:rsidRDefault="00927E1F" w:rsidP="00927E1F">
            <w:pPr>
              <w:jc w:val="center"/>
              <w:rPr>
                <w:sz w:val="16"/>
                <w:szCs w:val="16"/>
              </w:rPr>
            </w:pPr>
          </w:p>
        </w:tc>
      </w:tr>
      <w:tr w:rsidR="00927E1F" w:rsidRPr="001F6F76" w:rsidTr="00927E1F">
        <w:trPr>
          <w:cantSplit/>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927E1F" w:rsidRPr="001F6F76" w:rsidRDefault="00927E1F" w:rsidP="00927E1F">
            <w:pPr>
              <w:rPr>
                <w:sz w:val="16"/>
                <w:szCs w:val="16"/>
              </w:rPr>
            </w:pPr>
            <w:r w:rsidRPr="001F6F76">
              <w:rPr>
                <w:sz w:val="16"/>
              </w:rPr>
              <w:t>Études détaillées pour exécution</w:t>
            </w: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r w:rsidRPr="001F6F76">
              <w:rPr>
                <w:sz w:val="16"/>
                <w:szCs w:val="16"/>
              </w:rPr>
              <w:t>X</w:t>
            </w: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r w:rsidRPr="001F6F76">
              <w:rPr>
                <w:sz w:val="16"/>
                <w:szCs w:val="16"/>
              </w:rPr>
              <w:t>X</w:t>
            </w: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tcMar>
              <w:left w:w="0" w:type="dxa"/>
              <w:right w:w="0" w:type="dxa"/>
            </w:tcMar>
            <w:vAlign w:val="center"/>
          </w:tcPr>
          <w:p w:rsidR="00927E1F" w:rsidRPr="001F6F76" w:rsidRDefault="00927E1F" w:rsidP="00927E1F">
            <w:pPr>
              <w:jc w:val="center"/>
              <w:rPr>
                <w:sz w:val="16"/>
                <w:szCs w:val="16"/>
              </w:rPr>
            </w:pPr>
          </w:p>
        </w:tc>
        <w:tc>
          <w:tcPr>
            <w:tcW w:w="384" w:type="dxa"/>
            <w:tcBorders>
              <w:top w:val="nil"/>
              <w:left w:val="nil"/>
              <w:bottom w:val="single" w:sz="4" w:space="0" w:color="auto"/>
              <w:right w:val="single" w:sz="8" w:space="0" w:color="auto"/>
            </w:tcBorders>
            <w:tcMar>
              <w:left w:w="0" w:type="dxa"/>
              <w:right w:w="0" w:type="dxa"/>
            </w:tcMar>
            <w:vAlign w:val="center"/>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vAlign w:val="center"/>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vAlign w:val="center"/>
          </w:tcPr>
          <w:p w:rsidR="00927E1F" w:rsidRPr="001F6F76" w:rsidRDefault="00927E1F" w:rsidP="00927E1F">
            <w:pPr>
              <w:jc w:val="center"/>
              <w:rPr>
                <w:sz w:val="16"/>
                <w:szCs w:val="16"/>
              </w:rPr>
            </w:pPr>
          </w:p>
        </w:tc>
      </w:tr>
      <w:tr w:rsidR="00927E1F" w:rsidRPr="001F6F76" w:rsidTr="00927E1F">
        <w:trPr>
          <w:cantSplit/>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927E1F" w:rsidRPr="001F6F76" w:rsidRDefault="00927E1F" w:rsidP="00927E1F">
            <w:pPr>
              <w:rPr>
                <w:sz w:val="16"/>
                <w:szCs w:val="16"/>
              </w:rPr>
            </w:pPr>
            <w:r w:rsidRPr="001F6F76">
              <w:rPr>
                <w:sz w:val="16"/>
              </w:rPr>
              <w:t>Choix de la solution technique</w:t>
            </w: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r w:rsidRPr="001F6F76">
              <w:rPr>
                <w:sz w:val="16"/>
                <w:szCs w:val="16"/>
              </w:rPr>
              <w:t>X</w:t>
            </w: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tcMar>
              <w:left w:w="0" w:type="dxa"/>
              <w:right w:w="0" w:type="dxa"/>
            </w:tcMar>
            <w:vAlign w:val="center"/>
          </w:tcPr>
          <w:p w:rsidR="00927E1F" w:rsidRPr="001F6F76" w:rsidRDefault="00927E1F" w:rsidP="00927E1F">
            <w:pPr>
              <w:jc w:val="center"/>
              <w:rPr>
                <w:sz w:val="16"/>
                <w:szCs w:val="16"/>
              </w:rPr>
            </w:pPr>
          </w:p>
        </w:tc>
        <w:tc>
          <w:tcPr>
            <w:tcW w:w="384" w:type="dxa"/>
            <w:tcBorders>
              <w:top w:val="nil"/>
              <w:left w:val="nil"/>
              <w:bottom w:val="single" w:sz="4" w:space="0" w:color="auto"/>
              <w:right w:val="single" w:sz="8" w:space="0" w:color="auto"/>
            </w:tcBorders>
            <w:tcMar>
              <w:left w:w="0" w:type="dxa"/>
              <w:right w:w="0" w:type="dxa"/>
            </w:tcMar>
            <w:vAlign w:val="center"/>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vAlign w:val="center"/>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vAlign w:val="center"/>
          </w:tcPr>
          <w:p w:rsidR="00927E1F" w:rsidRPr="001F6F76" w:rsidRDefault="00927E1F" w:rsidP="00927E1F">
            <w:pPr>
              <w:jc w:val="center"/>
              <w:rPr>
                <w:sz w:val="16"/>
                <w:szCs w:val="16"/>
              </w:rPr>
            </w:pPr>
          </w:p>
        </w:tc>
      </w:tr>
      <w:tr w:rsidR="00927E1F" w:rsidRPr="001F6F76" w:rsidTr="00927E1F">
        <w:trPr>
          <w:cantSplit/>
          <w:jc w:val="center"/>
        </w:trPr>
        <w:tc>
          <w:tcPr>
            <w:tcW w:w="1999" w:type="dxa"/>
            <w:tcBorders>
              <w:top w:val="nil"/>
              <w:left w:val="single" w:sz="4" w:space="0" w:color="auto"/>
              <w:bottom w:val="single" w:sz="4" w:space="0" w:color="auto"/>
              <w:right w:val="single" w:sz="8" w:space="0" w:color="auto"/>
            </w:tcBorders>
            <w:shd w:val="clear" w:color="auto" w:fill="auto"/>
            <w:noWrap/>
            <w:vAlign w:val="center"/>
            <w:hideMark/>
          </w:tcPr>
          <w:p w:rsidR="00927E1F" w:rsidRPr="001F6F76" w:rsidRDefault="00927E1F" w:rsidP="00927E1F">
            <w:pPr>
              <w:rPr>
                <w:sz w:val="16"/>
                <w:szCs w:val="16"/>
              </w:rPr>
            </w:pPr>
            <w:r w:rsidRPr="001F6F76">
              <w:rPr>
                <w:sz w:val="16"/>
              </w:rPr>
              <w:t>Appels d’offres entreprises</w:t>
            </w: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4"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r w:rsidRPr="001F6F76">
              <w:rPr>
                <w:sz w:val="16"/>
                <w:szCs w:val="16"/>
              </w:rPr>
              <w:t>X</w:t>
            </w:r>
          </w:p>
        </w:tc>
        <w:tc>
          <w:tcPr>
            <w:tcW w:w="383"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r w:rsidRPr="001F6F76">
              <w:rPr>
                <w:sz w:val="16"/>
                <w:szCs w:val="16"/>
              </w:rPr>
              <w:t>X</w:t>
            </w:r>
          </w:p>
        </w:tc>
        <w:tc>
          <w:tcPr>
            <w:tcW w:w="384" w:type="dxa"/>
            <w:tcBorders>
              <w:top w:val="nil"/>
              <w:left w:val="nil"/>
              <w:bottom w:val="single" w:sz="4" w:space="0" w:color="auto"/>
              <w:right w:val="single" w:sz="4"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r w:rsidRPr="001F6F76">
              <w:rPr>
                <w:sz w:val="16"/>
                <w:szCs w:val="16"/>
              </w:rPr>
              <w:t>X</w:t>
            </w:r>
          </w:p>
        </w:tc>
        <w:tc>
          <w:tcPr>
            <w:tcW w:w="383" w:type="dxa"/>
            <w:tcBorders>
              <w:top w:val="nil"/>
              <w:left w:val="nil"/>
              <w:bottom w:val="single" w:sz="4" w:space="0" w:color="auto"/>
              <w:right w:val="single" w:sz="8" w:space="0" w:color="auto"/>
            </w:tcBorders>
            <w:shd w:val="clear" w:color="auto" w:fill="auto"/>
            <w:noWrap/>
            <w:tcMar>
              <w:left w:w="0" w:type="dxa"/>
              <w:right w:w="0" w:type="dxa"/>
            </w:tcMar>
            <w:vAlign w:val="center"/>
            <w:hideMark/>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tcMar>
              <w:left w:w="0" w:type="dxa"/>
              <w:right w:w="0" w:type="dxa"/>
            </w:tcMar>
            <w:vAlign w:val="center"/>
          </w:tcPr>
          <w:p w:rsidR="00927E1F" w:rsidRPr="001F6F76" w:rsidRDefault="00927E1F" w:rsidP="00927E1F">
            <w:pPr>
              <w:jc w:val="center"/>
              <w:rPr>
                <w:sz w:val="16"/>
                <w:szCs w:val="16"/>
              </w:rPr>
            </w:pPr>
          </w:p>
        </w:tc>
        <w:tc>
          <w:tcPr>
            <w:tcW w:w="384" w:type="dxa"/>
            <w:tcBorders>
              <w:top w:val="nil"/>
              <w:left w:val="nil"/>
              <w:bottom w:val="single" w:sz="4" w:space="0" w:color="auto"/>
              <w:right w:val="single" w:sz="8" w:space="0" w:color="auto"/>
            </w:tcBorders>
            <w:tcMar>
              <w:left w:w="0" w:type="dxa"/>
              <w:right w:w="0" w:type="dxa"/>
            </w:tcMar>
            <w:vAlign w:val="center"/>
          </w:tcPr>
          <w:p w:rsidR="00927E1F" w:rsidRPr="001F6F76" w:rsidRDefault="00927E1F" w:rsidP="00927E1F">
            <w:pPr>
              <w:jc w:val="center"/>
              <w:rPr>
                <w:sz w:val="16"/>
                <w:szCs w:val="16"/>
              </w:rPr>
            </w:pPr>
          </w:p>
        </w:tc>
        <w:tc>
          <w:tcPr>
            <w:tcW w:w="383" w:type="dxa"/>
            <w:tcBorders>
              <w:top w:val="nil"/>
              <w:left w:val="nil"/>
              <w:bottom w:val="single" w:sz="4" w:space="0" w:color="auto"/>
              <w:right w:val="single" w:sz="8" w:space="0" w:color="auto"/>
            </w:tcBorders>
            <w:vAlign w:val="center"/>
          </w:tcPr>
          <w:p w:rsidR="00927E1F" w:rsidRPr="001F6F76" w:rsidRDefault="00927E1F" w:rsidP="00927E1F">
            <w:pPr>
              <w:jc w:val="center"/>
              <w:rPr>
                <w:sz w:val="16"/>
                <w:szCs w:val="16"/>
              </w:rPr>
            </w:pPr>
          </w:p>
        </w:tc>
        <w:tc>
          <w:tcPr>
            <w:tcW w:w="384" w:type="dxa"/>
            <w:tcBorders>
              <w:top w:val="nil"/>
              <w:left w:val="nil"/>
              <w:bottom w:val="single" w:sz="4" w:space="0" w:color="auto"/>
              <w:right w:val="single" w:sz="4" w:space="0" w:color="auto"/>
            </w:tcBorders>
            <w:vAlign w:val="center"/>
          </w:tcPr>
          <w:p w:rsidR="00927E1F" w:rsidRPr="001F6F76" w:rsidRDefault="00927E1F" w:rsidP="00927E1F">
            <w:pPr>
              <w:jc w:val="center"/>
              <w:rPr>
                <w:sz w:val="16"/>
                <w:szCs w:val="16"/>
              </w:rPr>
            </w:pPr>
          </w:p>
        </w:tc>
      </w:tr>
      <w:tr w:rsidR="00927E1F" w:rsidRPr="001F6F76" w:rsidTr="00927E1F">
        <w:trPr>
          <w:cantSplit/>
          <w:jc w:val="center"/>
        </w:trPr>
        <w:tc>
          <w:tcPr>
            <w:tcW w:w="1999" w:type="dxa"/>
            <w:tcBorders>
              <w:top w:val="single" w:sz="4" w:space="0" w:color="auto"/>
              <w:left w:val="single" w:sz="4" w:space="0" w:color="auto"/>
              <w:bottom w:val="single" w:sz="4" w:space="0" w:color="auto"/>
              <w:right w:val="single" w:sz="8" w:space="0" w:color="auto"/>
            </w:tcBorders>
            <w:shd w:val="clear" w:color="auto" w:fill="auto"/>
            <w:noWrap/>
            <w:vAlign w:val="center"/>
          </w:tcPr>
          <w:p w:rsidR="00927E1F" w:rsidRPr="001F6F76" w:rsidRDefault="00927E1F" w:rsidP="00927E1F">
            <w:pPr>
              <w:rPr>
                <w:sz w:val="16"/>
                <w:szCs w:val="16"/>
              </w:rPr>
            </w:pPr>
            <w:r w:rsidRPr="001F6F76">
              <w:rPr>
                <w:sz w:val="16"/>
              </w:rPr>
              <w:t>Travaux</w:t>
            </w:r>
          </w:p>
        </w:tc>
        <w:tc>
          <w:tcPr>
            <w:tcW w:w="383"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3"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3"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3"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3"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3"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3"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3"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4"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3"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3"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r w:rsidRPr="001F6F76">
              <w:rPr>
                <w:sz w:val="16"/>
                <w:szCs w:val="16"/>
              </w:rPr>
              <w:t>X</w:t>
            </w:r>
          </w:p>
        </w:tc>
        <w:tc>
          <w:tcPr>
            <w:tcW w:w="383"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r w:rsidRPr="001F6F76">
              <w:rPr>
                <w:sz w:val="16"/>
                <w:szCs w:val="16"/>
              </w:rPr>
              <w:t>X</w:t>
            </w:r>
          </w:p>
        </w:tc>
        <w:tc>
          <w:tcPr>
            <w:tcW w:w="383" w:type="dxa"/>
            <w:tcBorders>
              <w:top w:val="single" w:sz="4" w:space="0" w:color="auto"/>
              <w:left w:val="nil"/>
              <w:bottom w:val="single" w:sz="4" w:space="0" w:color="auto"/>
              <w:right w:val="single" w:sz="8" w:space="0" w:color="auto"/>
            </w:tcBorders>
            <w:tcMar>
              <w:left w:w="0" w:type="dxa"/>
              <w:right w:w="0" w:type="dxa"/>
            </w:tcMar>
            <w:vAlign w:val="center"/>
          </w:tcPr>
          <w:p w:rsidR="00927E1F" w:rsidRPr="001F6F76" w:rsidRDefault="00927E1F" w:rsidP="00927E1F">
            <w:pPr>
              <w:jc w:val="center"/>
              <w:rPr>
                <w:sz w:val="16"/>
                <w:szCs w:val="16"/>
              </w:rPr>
            </w:pPr>
            <w:r w:rsidRPr="001F6F76">
              <w:rPr>
                <w:sz w:val="16"/>
                <w:szCs w:val="16"/>
              </w:rPr>
              <w:t>X</w:t>
            </w:r>
          </w:p>
        </w:tc>
        <w:tc>
          <w:tcPr>
            <w:tcW w:w="384" w:type="dxa"/>
            <w:tcBorders>
              <w:top w:val="single" w:sz="4" w:space="0" w:color="auto"/>
              <w:left w:val="nil"/>
              <w:bottom w:val="single" w:sz="4" w:space="0" w:color="auto"/>
              <w:right w:val="single" w:sz="8" w:space="0" w:color="auto"/>
            </w:tcBorders>
            <w:tcMar>
              <w:left w:w="0" w:type="dxa"/>
              <w:right w:w="0" w:type="dxa"/>
            </w:tcMar>
            <w:vAlign w:val="center"/>
          </w:tcPr>
          <w:p w:rsidR="00927E1F" w:rsidRPr="001F6F76" w:rsidRDefault="00927E1F" w:rsidP="00927E1F">
            <w:pPr>
              <w:jc w:val="center"/>
              <w:rPr>
                <w:sz w:val="16"/>
                <w:szCs w:val="16"/>
              </w:rPr>
            </w:pPr>
            <w:r w:rsidRPr="001F6F76">
              <w:rPr>
                <w:sz w:val="16"/>
                <w:szCs w:val="16"/>
              </w:rPr>
              <w:t>X</w:t>
            </w:r>
          </w:p>
        </w:tc>
        <w:tc>
          <w:tcPr>
            <w:tcW w:w="383" w:type="dxa"/>
            <w:tcBorders>
              <w:top w:val="single" w:sz="4" w:space="0" w:color="auto"/>
              <w:left w:val="nil"/>
              <w:bottom w:val="single" w:sz="4" w:space="0" w:color="auto"/>
              <w:right w:val="single" w:sz="8" w:space="0" w:color="auto"/>
            </w:tcBorders>
            <w:vAlign w:val="center"/>
          </w:tcPr>
          <w:p w:rsidR="00927E1F" w:rsidRPr="001F6F76" w:rsidRDefault="00927E1F" w:rsidP="00927E1F">
            <w:pPr>
              <w:jc w:val="center"/>
              <w:rPr>
                <w:sz w:val="16"/>
                <w:szCs w:val="16"/>
              </w:rPr>
            </w:pPr>
          </w:p>
        </w:tc>
        <w:tc>
          <w:tcPr>
            <w:tcW w:w="384" w:type="dxa"/>
            <w:tcBorders>
              <w:top w:val="single" w:sz="4" w:space="0" w:color="auto"/>
              <w:left w:val="nil"/>
              <w:bottom w:val="single" w:sz="4" w:space="0" w:color="auto"/>
              <w:right w:val="single" w:sz="4" w:space="0" w:color="auto"/>
            </w:tcBorders>
            <w:vAlign w:val="center"/>
          </w:tcPr>
          <w:p w:rsidR="00927E1F" w:rsidRPr="001F6F76" w:rsidRDefault="00927E1F" w:rsidP="00927E1F">
            <w:pPr>
              <w:jc w:val="center"/>
              <w:rPr>
                <w:sz w:val="16"/>
                <w:szCs w:val="16"/>
              </w:rPr>
            </w:pPr>
          </w:p>
        </w:tc>
      </w:tr>
      <w:tr w:rsidR="00927E1F" w:rsidRPr="001F6F76" w:rsidTr="00927E1F">
        <w:trPr>
          <w:cantSplit/>
          <w:jc w:val="center"/>
        </w:trPr>
        <w:tc>
          <w:tcPr>
            <w:tcW w:w="1999" w:type="dxa"/>
            <w:tcBorders>
              <w:top w:val="single" w:sz="4" w:space="0" w:color="auto"/>
              <w:left w:val="single" w:sz="4" w:space="0" w:color="auto"/>
              <w:bottom w:val="single" w:sz="4" w:space="0" w:color="auto"/>
              <w:right w:val="single" w:sz="8" w:space="0" w:color="auto"/>
            </w:tcBorders>
            <w:shd w:val="clear" w:color="auto" w:fill="auto"/>
            <w:noWrap/>
            <w:vAlign w:val="center"/>
          </w:tcPr>
          <w:p w:rsidR="00927E1F" w:rsidRPr="001F6F76" w:rsidRDefault="00927E1F" w:rsidP="00927E1F">
            <w:pPr>
              <w:rPr>
                <w:sz w:val="16"/>
                <w:szCs w:val="16"/>
              </w:rPr>
            </w:pPr>
            <w:r w:rsidRPr="001F6F76">
              <w:rPr>
                <w:sz w:val="16"/>
              </w:rPr>
              <w:t>Mise en service</w:t>
            </w:r>
          </w:p>
        </w:tc>
        <w:tc>
          <w:tcPr>
            <w:tcW w:w="383"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3"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3"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3"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3"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3"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3"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3"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4"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3"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3"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4" w:type="dxa"/>
            <w:tcBorders>
              <w:top w:val="single" w:sz="4" w:space="0" w:color="auto"/>
              <w:left w:val="nil"/>
              <w:bottom w:val="single" w:sz="4" w:space="0" w:color="auto"/>
              <w:right w:val="single" w:sz="4"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3" w:type="dxa"/>
            <w:tcBorders>
              <w:top w:val="single" w:sz="4" w:space="0" w:color="auto"/>
              <w:left w:val="nil"/>
              <w:bottom w:val="single" w:sz="4" w:space="0" w:color="auto"/>
              <w:right w:val="single" w:sz="8" w:space="0" w:color="auto"/>
            </w:tcBorders>
            <w:shd w:val="clear" w:color="auto" w:fill="auto"/>
            <w:noWrap/>
            <w:tcMar>
              <w:left w:w="0" w:type="dxa"/>
              <w:right w:w="0" w:type="dxa"/>
            </w:tcMar>
            <w:vAlign w:val="center"/>
          </w:tcPr>
          <w:p w:rsidR="00927E1F" w:rsidRPr="001F6F76" w:rsidRDefault="00927E1F" w:rsidP="00927E1F">
            <w:pPr>
              <w:jc w:val="center"/>
              <w:rPr>
                <w:sz w:val="16"/>
                <w:szCs w:val="16"/>
              </w:rPr>
            </w:pPr>
          </w:p>
        </w:tc>
        <w:tc>
          <w:tcPr>
            <w:tcW w:w="383"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927E1F" w:rsidRPr="001F6F76" w:rsidRDefault="00927E1F" w:rsidP="00927E1F">
            <w:pPr>
              <w:jc w:val="center"/>
              <w:rPr>
                <w:sz w:val="16"/>
                <w:szCs w:val="16"/>
              </w:rPr>
            </w:pPr>
          </w:p>
        </w:tc>
        <w:tc>
          <w:tcPr>
            <w:tcW w:w="384"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927E1F" w:rsidRPr="001F6F76" w:rsidRDefault="00927E1F" w:rsidP="00927E1F">
            <w:pPr>
              <w:jc w:val="center"/>
              <w:rPr>
                <w:sz w:val="16"/>
                <w:szCs w:val="16"/>
              </w:rPr>
            </w:pPr>
          </w:p>
        </w:tc>
        <w:tc>
          <w:tcPr>
            <w:tcW w:w="383" w:type="dxa"/>
            <w:tcBorders>
              <w:top w:val="single" w:sz="4" w:space="0" w:color="auto"/>
              <w:left w:val="nil"/>
              <w:bottom w:val="single" w:sz="4" w:space="0" w:color="auto"/>
              <w:right w:val="single" w:sz="8" w:space="0" w:color="auto"/>
            </w:tcBorders>
            <w:vAlign w:val="center"/>
          </w:tcPr>
          <w:p w:rsidR="00927E1F" w:rsidRPr="001F6F76" w:rsidRDefault="00927E1F" w:rsidP="00927E1F">
            <w:pPr>
              <w:jc w:val="center"/>
              <w:rPr>
                <w:sz w:val="16"/>
                <w:szCs w:val="16"/>
              </w:rPr>
            </w:pPr>
            <w:r w:rsidRPr="001F6F76">
              <w:rPr>
                <w:sz w:val="16"/>
                <w:szCs w:val="16"/>
              </w:rPr>
              <w:t>X</w:t>
            </w:r>
          </w:p>
        </w:tc>
        <w:tc>
          <w:tcPr>
            <w:tcW w:w="384" w:type="dxa"/>
            <w:tcBorders>
              <w:top w:val="single" w:sz="4" w:space="0" w:color="auto"/>
              <w:left w:val="nil"/>
              <w:bottom w:val="single" w:sz="4" w:space="0" w:color="auto"/>
              <w:right w:val="single" w:sz="4" w:space="0" w:color="auto"/>
            </w:tcBorders>
            <w:vAlign w:val="center"/>
          </w:tcPr>
          <w:p w:rsidR="00927E1F" w:rsidRPr="001F6F76" w:rsidRDefault="00927E1F" w:rsidP="00927E1F">
            <w:pPr>
              <w:jc w:val="center"/>
              <w:rPr>
                <w:sz w:val="16"/>
                <w:szCs w:val="16"/>
              </w:rPr>
            </w:pPr>
            <w:r w:rsidRPr="001F6F76">
              <w:rPr>
                <w:sz w:val="16"/>
                <w:szCs w:val="16"/>
              </w:rPr>
              <w:t>X</w:t>
            </w:r>
          </w:p>
        </w:tc>
      </w:tr>
    </w:tbl>
    <w:p w:rsidR="00927E1F" w:rsidRPr="001F6F76" w:rsidRDefault="00927E1F" w:rsidP="00927E1F"/>
    <w:p w:rsidR="00927E1F" w:rsidRPr="001F6F76" w:rsidRDefault="00927E1F" w:rsidP="00927E1F">
      <w:pPr>
        <w:rPr>
          <w:b/>
          <w:sz w:val="22"/>
        </w:rPr>
      </w:pPr>
      <w:r w:rsidRPr="001F6F76">
        <w:br w:type="page"/>
      </w:r>
      <w:r w:rsidRPr="001F6F76">
        <w:rPr>
          <w:b/>
          <w:sz w:val="22"/>
        </w:rPr>
        <w:lastRenderedPageBreak/>
        <w:t>PROJETS LIÉS AUX BÂTIMENTS</w:t>
      </w:r>
    </w:p>
    <w:p w:rsidR="00927E1F" w:rsidRPr="001F6F76" w:rsidRDefault="00927E1F" w:rsidP="00927E1F">
      <w:pPr>
        <w:rPr>
          <w:b/>
          <w:i/>
        </w:rPr>
      </w:pPr>
    </w:p>
    <w:p w:rsidR="00927E1F" w:rsidRPr="001F6F76" w:rsidRDefault="00927E1F" w:rsidP="00783605">
      <w:pPr>
        <w:pStyle w:val="Heading8"/>
      </w:pPr>
      <w:bookmarkStart w:id="195" w:name="_Toc423352911"/>
      <w:bookmarkStart w:id="196" w:name="_Toc455394224"/>
      <w:r w:rsidRPr="001F6F76">
        <w:t>PROJET</w:t>
      </w:r>
      <w:r>
        <w:t> </w:t>
      </w:r>
      <w:r w:rsidRPr="001F6F76">
        <w:t>4</w:t>
      </w:r>
      <w:r w:rsidRPr="001F6F76">
        <w:tab/>
        <w:t>INSTALLATION DU SYSTÈME DE REFROIDISSEMENT AU MOYEN DE L’EAU DU LAC LÉMAN (PROJET RÉSEAU DU LAC) POUR LES BÂTIMENTS AB ET PCT</w:t>
      </w:r>
      <w:bookmarkEnd w:id="195"/>
      <w:bookmarkEnd w:id="196"/>
    </w:p>
    <w:p w:rsidR="00927E1F" w:rsidRPr="001F6F76" w:rsidRDefault="00927E1F" w:rsidP="00927E1F"/>
    <w:p w:rsidR="00927E1F" w:rsidRPr="001F6F76" w:rsidRDefault="00927E1F" w:rsidP="00927E1F">
      <w:pPr>
        <w:rPr>
          <w:b/>
        </w:rPr>
      </w:pPr>
      <w:r w:rsidRPr="001F6F76">
        <w:rPr>
          <w:b/>
        </w:rPr>
        <w:t>Chef de projet</w:t>
      </w:r>
      <w:r w:rsidRPr="001F6F76">
        <w:rPr>
          <w:b/>
        </w:rPr>
        <w:tab/>
        <w:t>M. A. FAVERO</w:t>
      </w:r>
    </w:p>
    <w:p w:rsidR="00927E1F" w:rsidRPr="001F6F76" w:rsidRDefault="00927E1F" w:rsidP="00927E1F"/>
    <w:p w:rsidR="00927E1F" w:rsidRPr="001F6F76" w:rsidRDefault="00927E1F" w:rsidP="00927E1F"/>
    <w:p w:rsidR="00927E1F" w:rsidRPr="001F6F76" w:rsidRDefault="00927E1F" w:rsidP="00927E1F">
      <w:pPr>
        <w:rPr>
          <w:bCs/>
        </w:rPr>
      </w:pPr>
      <w:r w:rsidRPr="001F6F76">
        <w:t>RÉSULTATS ESCOMPTÉS</w:t>
      </w:r>
    </w:p>
    <w:p w:rsidR="00927E1F" w:rsidRPr="001F6F76" w:rsidRDefault="00927E1F" w:rsidP="00927E1F">
      <w:pPr>
        <w:rPr>
          <w:bCs/>
        </w:rPr>
      </w:pPr>
    </w:p>
    <w:p w:rsidR="00927E1F" w:rsidRPr="001F6F76" w:rsidRDefault="00927E1F" w:rsidP="00927E1F">
      <w:pPr>
        <w:rPr>
          <w:i/>
          <w:iCs/>
        </w:rPr>
      </w:pPr>
      <w:r w:rsidRPr="001F6F76">
        <w:rPr>
          <w:i/>
        </w:rPr>
        <w:t>IX.1 Services d’appui efficaces, efficients, de qualité et tournés vers la clientèle, à l’intention à la fois des clients internes et des parties prenantes externes</w:t>
      </w:r>
    </w:p>
    <w:p w:rsidR="00927E1F" w:rsidRPr="001F6F76" w:rsidRDefault="00927E1F" w:rsidP="00927E1F">
      <w:pPr>
        <w:rPr>
          <w:bCs/>
        </w:rPr>
      </w:pPr>
    </w:p>
    <w:p w:rsidR="00927E1F" w:rsidRPr="001F6F76" w:rsidRDefault="00927E1F" w:rsidP="00927E1F">
      <w:pPr>
        <w:rPr>
          <w:bCs/>
        </w:rPr>
      </w:pPr>
    </w:p>
    <w:p w:rsidR="00927E1F" w:rsidRPr="001F6F76" w:rsidRDefault="00927E1F" w:rsidP="00927E1F">
      <w:pPr>
        <w:rPr>
          <w:bCs/>
        </w:rPr>
      </w:pPr>
      <w:r w:rsidRPr="001F6F76">
        <w:t>OBJECTIFS, PORTÉE ET APPROCHE – GÉNÉRALITÉS</w:t>
      </w:r>
    </w:p>
    <w:p w:rsidR="00927E1F" w:rsidRPr="001F6F76" w:rsidRDefault="00927E1F" w:rsidP="00927E1F">
      <w:pPr>
        <w:rPr>
          <w:bCs/>
        </w:rPr>
      </w:pPr>
    </w:p>
    <w:p w:rsidR="00927E1F" w:rsidRPr="001F6F76" w:rsidRDefault="00927E1F" w:rsidP="00DF2EEF">
      <w:pPr>
        <w:pStyle w:val="ListParagraph"/>
        <w:numPr>
          <w:ilvl w:val="0"/>
          <w:numId w:val="123"/>
        </w:numPr>
        <w:tabs>
          <w:tab w:val="left" w:pos="567"/>
        </w:tabs>
        <w:ind w:left="0" w:firstLine="0"/>
        <w:jc w:val="both"/>
      </w:pPr>
      <w:r w:rsidRPr="001F6F76">
        <w:t>Le système de refroidissement au moyen de l’eau du lac Léman (projet réseau du lac), qui a été conçu, administré et mis en œuvre il y a quelques années par le prestataire d’énergie (les Services industriels de Genève – SIG), consiste à prélever de l’eau froide dans les profondeurs du lac Léman et à l’acheminer sur la rive droite de Genève pour assurer le refroidissement de différents bâtiments administratifs du secteur de la Place des Nations.  Il y a quelques années, l’OMPI a été l’une des premières institutions de l’ONU à conclure avec les SIG un accord pour réserver la capacité requise pour tous ses bâtiments (y compris ceux qui étaient en construction à l’époque).  À la fin de 2013, les bâtiments suivants du site de l’OMPI ont été entièrement raccordés au système de refroidissement à l’eau du lac : le nouveau bâtiment (système opérationnel depuis 2011), les bâtiments GBI et GBII (système opérationnel depuis la mi</w:t>
      </w:r>
      <w:r w:rsidRPr="001F6F76">
        <w:noBreakHyphen/>
        <w:t>2013), la nouvelle salle de conférence de l’OMPI (système intégré durant la phase de construction et opérationnel d’ici la fin</w:t>
      </w:r>
      <w:r>
        <w:t> </w:t>
      </w:r>
      <w:r w:rsidRPr="001F6F76">
        <w:t>2013).  Les deux seuls bâtiments qui restent à raccorder au système de refroidissement par l’eau du lac sont le bâtiment AB et le bâtiment PCT, qui font l’objet de cet élément particulier du Plan</w:t>
      </w:r>
      <w:r w:rsidRPr="001F6F76">
        <w:noBreakHyphen/>
        <w:t>cadre d’équipement.  Il convient également de noter que la durée de vie écoulée des autres unités de production de froid pour le bâtiment AB et le bâtiment PCT s’échelonne entre 10 et 33 ans, pour une durée de vie prévue de 30 ans.</w:t>
      </w:r>
    </w:p>
    <w:p w:rsidR="00927E1F" w:rsidRPr="001F6F76" w:rsidRDefault="00927E1F" w:rsidP="00927E1F">
      <w:pPr>
        <w:tabs>
          <w:tab w:val="left" w:pos="567"/>
        </w:tabs>
        <w:jc w:val="both"/>
        <w:rPr>
          <w:bCs/>
        </w:rPr>
      </w:pPr>
    </w:p>
    <w:p w:rsidR="00927E1F" w:rsidRPr="001F6F76" w:rsidRDefault="00927E1F" w:rsidP="00DF2EEF">
      <w:pPr>
        <w:pStyle w:val="ListParagraph"/>
        <w:numPr>
          <w:ilvl w:val="0"/>
          <w:numId w:val="123"/>
        </w:numPr>
        <w:tabs>
          <w:tab w:val="left" w:pos="567"/>
        </w:tabs>
        <w:ind w:left="0" w:firstLine="0"/>
        <w:jc w:val="both"/>
      </w:pPr>
      <w:r w:rsidRPr="001F6F76">
        <w:t>Les objectifs sont les suivants : i) achever le déploiement d’une solution technologique moderne déjà mise en œuvre dans plus de la moitié du volume total des bâtiments concerné sur le site de l’OMPI;  ii) anticiper la nécessité de remplacer les unités de climatisation conventionnelles dans les deux bâtiments restants avant leur rupture (ce qui s’est produit dans le bâtiment GBII en 2011);  iii) réduire le coût de maintenance par rapport aux installations de climatisation conventionnelles;  et iv) moderniser les installations et le matériel en appliquant des solutions plus respectueuses de l’environnement.</w:t>
      </w:r>
    </w:p>
    <w:p w:rsidR="00927E1F" w:rsidRPr="001F6F76" w:rsidRDefault="00927E1F" w:rsidP="00927E1F">
      <w:pPr>
        <w:rPr>
          <w:bCs/>
        </w:rPr>
      </w:pPr>
    </w:p>
    <w:p w:rsidR="00927E1F" w:rsidRPr="001F6F76" w:rsidRDefault="00927E1F" w:rsidP="00927E1F">
      <w:pPr>
        <w:rPr>
          <w:bCs/>
        </w:rPr>
      </w:pPr>
    </w:p>
    <w:p w:rsidR="00927E1F" w:rsidRPr="001F6F76" w:rsidRDefault="00927E1F" w:rsidP="00927E1F">
      <w:pPr>
        <w:rPr>
          <w:bCs/>
        </w:rPr>
      </w:pPr>
      <w:r w:rsidRPr="001F6F76">
        <w:t>APERÇU DES PROGRÈS RÉALISÉS EN 2015 (PRINCIPALES ÉTAPES)</w:t>
      </w:r>
    </w:p>
    <w:p w:rsidR="00927E1F" w:rsidRPr="001F6F76" w:rsidRDefault="00927E1F" w:rsidP="00927E1F">
      <w:pPr>
        <w:rPr>
          <w:bCs/>
          <w:u w:val="single"/>
        </w:rPr>
      </w:pPr>
    </w:p>
    <w:p w:rsidR="00927E1F" w:rsidRPr="001F6F76" w:rsidRDefault="00927E1F" w:rsidP="00DF2EEF">
      <w:pPr>
        <w:pStyle w:val="ListParagraph"/>
        <w:numPr>
          <w:ilvl w:val="0"/>
          <w:numId w:val="123"/>
        </w:numPr>
        <w:tabs>
          <w:tab w:val="left" w:pos="567"/>
        </w:tabs>
        <w:ind w:left="0" w:firstLine="0"/>
        <w:jc w:val="both"/>
        <w:rPr>
          <w:rFonts w:eastAsiaTheme="minorHAnsi"/>
        </w:rPr>
      </w:pPr>
      <w:r w:rsidRPr="001F6F76">
        <w:rPr>
          <w:rFonts w:eastAsiaTheme="minorHAnsi"/>
        </w:rPr>
        <w:t>En 2014, les progrès suivants ont été accomplis :</w:t>
      </w:r>
    </w:p>
    <w:p w:rsidR="00927E1F" w:rsidRPr="001F6F76" w:rsidRDefault="00927E1F" w:rsidP="00927E1F">
      <w:pPr>
        <w:rPr>
          <w:bCs/>
          <w:u w:val="single"/>
        </w:rPr>
      </w:pPr>
    </w:p>
    <w:p w:rsidR="00927E1F" w:rsidRPr="001F6F76" w:rsidRDefault="00927E1F" w:rsidP="00783605">
      <w:pPr>
        <w:pStyle w:val="ListParagraph"/>
        <w:numPr>
          <w:ilvl w:val="0"/>
          <w:numId w:val="0"/>
        </w:numPr>
        <w:tabs>
          <w:tab w:val="left" w:pos="567"/>
        </w:tabs>
        <w:ind w:left="567"/>
        <w:jc w:val="both"/>
        <w:rPr>
          <w:bCs/>
          <w:u w:val="single"/>
        </w:rPr>
      </w:pPr>
      <w:r w:rsidRPr="001F6F76">
        <w:rPr>
          <w:u w:val="single"/>
        </w:rPr>
        <w:t>Bâtiment AB</w:t>
      </w:r>
    </w:p>
    <w:p w:rsidR="00927E1F" w:rsidRPr="001F6F76" w:rsidRDefault="00927E1F" w:rsidP="00927E1F">
      <w:pPr>
        <w:rPr>
          <w:bCs/>
        </w:rPr>
      </w:pPr>
    </w:p>
    <w:p w:rsidR="00927E1F" w:rsidRPr="001F6F76" w:rsidRDefault="00927E1F" w:rsidP="00DF2EEF">
      <w:pPr>
        <w:pStyle w:val="ListParagraph"/>
        <w:numPr>
          <w:ilvl w:val="0"/>
          <w:numId w:val="115"/>
        </w:numPr>
        <w:spacing w:after="120"/>
        <w:rPr>
          <w:bCs/>
        </w:rPr>
      </w:pPr>
      <w:r w:rsidRPr="001F6F76">
        <w:t>Attribution du contrat à l’ingénieur CVC</w:t>
      </w:r>
    </w:p>
    <w:p w:rsidR="00927E1F" w:rsidRPr="001F6F76" w:rsidRDefault="00927E1F" w:rsidP="00DF2EEF">
      <w:pPr>
        <w:pStyle w:val="ListParagraph"/>
        <w:numPr>
          <w:ilvl w:val="0"/>
          <w:numId w:val="115"/>
        </w:numPr>
        <w:spacing w:after="120"/>
        <w:rPr>
          <w:bCs/>
        </w:rPr>
      </w:pPr>
      <w:r w:rsidRPr="001F6F76">
        <w:t>Appels d’offres et sélection des sociétés</w:t>
      </w:r>
    </w:p>
    <w:p w:rsidR="00927E1F" w:rsidRPr="001F6F76" w:rsidRDefault="00927E1F" w:rsidP="00DF2EEF">
      <w:pPr>
        <w:pStyle w:val="ListParagraph"/>
        <w:numPr>
          <w:ilvl w:val="0"/>
          <w:numId w:val="115"/>
        </w:numPr>
        <w:spacing w:after="120"/>
        <w:rPr>
          <w:bCs/>
        </w:rPr>
      </w:pPr>
      <w:r w:rsidRPr="001F6F76">
        <w:t>Travaux réalisés</w:t>
      </w:r>
    </w:p>
    <w:p w:rsidR="00927E1F" w:rsidRPr="001F6F76" w:rsidRDefault="00927E1F" w:rsidP="00DF2EEF">
      <w:pPr>
        <w:pStyle w:val="ListParagraph"/>
        <w:numPr>
          <w:ilvl w:val="0"/>
          <w:numId w:val="115"/>
        </w:numPr>
        <w:rPr>
          <w:bCs/>
        </w:rPr>
      </w:pPr>
      <w:r w:rsidRPr="001F6F76">
        <w:t>Projet achevé</w:t>
      </w:r>
    </w:p>
    <w:p w:rsidR="00927E1F" w:rsidRPr="001F6F76" w:rsidRDefault="00927E1F" w:rsidP="00927E1F">
      <w:pPr>
        <w:rPr>
          <w:bCs/>
        </w:rPr>
      </w:pPr>
    </w:p>
    <w:p w:rsidR="00927E1F" w:rsidRPr="001F6F76" w:rsidRDefault="00927E1F" w:rsidP="00783605">
      <w:pPr>
        <w:pStyle w:val="ListParagraph"/>
        <w:numPr>
          <w:ilvl w:val="0"/>
          <w:numId w:val="0"/>
        </w:numPr>
        <w:tabs>
          <w:tab w:val="left" w:pos="567"/>
        </w:tabs>
        <w:ind w:left="567"/>
        <w:jc w:val="both"/>
        <w:rPr>
          <w:bCs/>
          <w:u w:val="single"/>
        </w:rPr>
      </w:pPr>
      <w:r w:rsidRPr="001F6F76">
        <w:rPr>
          <w:u w:val="single"/>
        </w:rPr>
        <w:t>Bâtiment du PCT</w:t>
      </w:r>
    </w:p>
    <w:p w:rsidR="00927E1F" w:rsidRPr="001F6F76" w:rsidRDefault="00927E1F" w:rsidP="00927E1F">
      <w:pPr>
        <w:rPr>
          <w:bCs/>
        </w:rPr>
      </w:pPr>
    </w:p>
    <w:p w:rsidR="00927E1F" w:rsidRPr="001F6F76" w:rsidRDefault="00927E1F" w:rsidP="00DF2EEF">
      <w:pPr>
        <w:pStyle w:val="ListParagraph"/>
        <w:numPr>
          <w:ilvl w:val="0"/>
          <w:numId w:val="115"/>
        </w:numPr>
        <w:spacing w:after="120"/>
        <w:rPr>
          <w:bCs/>
        </w:rPr>
      </w:pPr>
      <w:r w:rsidRPr="001F6F76">
        <w:t>Attribution du contrat à l’ingénieur CVC</w:t>
      </w:r>
    </w:p>
    <w:p w:rsidR="00927E1F" w:rsidRPr="001F6F76" w:rsidRDefault="00927E1F" w:rsidP="00DF2EEF">
      <w:pPr>
        <w:pStyle w:val="ListParagraph"/>
        <w:numPr>
          <w:ilvl w:val="0"/>
          <w:numId w:val="115"/>
        </w:numPr>
        <w:spacing w:after="120"/>
        <w:rPr>
          <w:bCs/>
        </w:rPr>
      </w:pPr>
      <w:r w:rsidRPr="001F6F76">
        <w:t>Validation du projet avec l’ingénieur CVC</w:t>
      </w:r>
    </w:p>
    <w:p w:rsidR="00927E1F" w:rsidRPr="001F6F76" w:rsidRDefault="00927E1F" w:rsidP="00DF2EEF">
      <w:pPr>
        <w:pStyle w:val="ListParagraph"/>
        <w:numPr>
          <w:ilvl w:val="0"/>
          <w:numId w:val="115"/>
        </w:numPr>
        <w:rPr>
          <w:bCs/>
        </w:rPr>
      </w:pPr>
      <w:r w:rsidRPr="001F6F76">
        <w:t>Travaux d’introduction des canalisations, à l’intérieur du bâtiment, par les SIG</w:t>
      </w:r>
    </w:p>
    <w:p w:rsidR="00927E1F" w:rsidRPr="001F6F76" w:rsidRDefault="00927E1F" w:rsidP="00927E1F">
      <w:pPr>
        <w:rPr>
          <w:bCs/>
          <w:sz w:val="22"/>
          <w:szCs w:val="22"/>
        </w:rPr>
      </w:pPr>
    </w:p>
    <w:p w:rsidR="00927E1F" w:rsidRPr="001F6F76" w:rsidRDefault="00927E1F" w:rsidP="00DF2EEF">
      <w:pPr>
        <w:pStyle w:val="ListParagraph"/>
        <w:keepNext/>
        <w:keepLines/>
        <w:numPr>
          <w:ilvl w:val="0"/>
          <w:numId w:val="123"/>
        </w:numPr>
        <w:tabs>
          <w:tab w:val="left" w:pos="567"/>
        </w:tabs>
        <w:ind w:left="567" w:hanging="567"/>
        <w:jc w:val="both"/>
        <w:rPr>
          <w:rFonts w:eastAsiaTheme="minorHAnsi"/>
          <w:color w:val="000000"/>
        </w:rPr>
      </w:pPr>
      <w:r w:rsidRPr="001F6F76">
        <w:lastRenderedPageBreak/>
        <w:t>En </w:t>
      </w:r>
      <w:r w:rsidRPr="001F6F76">
        <w:rPr>
          <w:rFonts w:eastAsiaTheme="minorHAnsi"/>
          <w:color w:val="000000"/>
        </w:rPr>
        <w:t>2015, les progrès suivants ont été accomplis en ce qui concerne le bâtiment PCT :</w:t>
      </w:r>
    </w:p>
    <w:p w:rsidR="00927E1F" w:rsidRPr="001F6F76" w:rsidRDefault="00927E1F" w:rsidP="00927E1F">
      <w:pPr>
        <w:keepNext/>
        <w:keepLines/>
        <w:autoSpaceDE w:val="0"/>
        <w:autoSpaceDN w:val="0"/>
        <w:adjustRightInd w:val="0"/>
        <w:rPr>
          <w:rFonts w:eastAsiaTheme="minorHAnsi"/>
          <w:color w:val="000000"/>
          <w:highlight w:val="yellow"/>
        </w:rPr>
      </w:pPr>
    </w:p>
    <w:p w:rsidR="00927E1F" w:rsidRPr="001F6F76" w:rsidRDefault="00927E1F" w:rsidP="00DF2EEF">
      <w:pPr>
        <w:pStyle w:val="ListParagraph"/>
        <w:keepNext/>
        <w:keepLines/>
        <w:numPr>
          <w:ilvl w:val="0"/>
          <w:numId w:val="129"/>
        </w:numPr>
        <w:autoSpaceDE w:val="0"/>
        <w:autoSpaceDN w:val="0"/>
        <w:adjustRightInd w:val="0"/>
        <w:spacing w:after="120"/>
        <w:ind w:left="714" w:hanging="357"/>
        <w:rPr>
          <w:bCs/>
        </w:rPr>
      </w:pPr>
      <w:r w:rsidRPr="001F6F76">
        <w:rPr>
          <w:bCs/>
        </w:rPr>
        <w:t>Appels d’offres et sélection des sociétés</w:t>
      </w:r>
    </w:p>
    <w:p w:rsidR="00927E1F" w:rsidRPr="001F6F76" w:rsidRDefault="00927E1F" w:rsidP="00DF2EEF">
      <w:pPr>
        <w:pStyle w:val="ListParagraph"/>
        <w:keepNext/>
        <w:keepLines/>
        <w:numPr>
          <w:ilvl w:val="0"/>
          <w:numId w:val="129"/>
        </w:numPr>
        <w:autoSpaceDE w:val="0"/>
        <w:autoSpaceDN w:val="0"/>
        <w:adjustRightInd w:val="0"/>
        <w:spacing w:after="120"/>
        <w:ind w:left="714" w:hanging="357"/>
        <w:rPr>
          <w:bCs/>
        </w:rPr>
      </w:pPr>
      <w:r w:rsidRPr="001F6F76">
        <w:rPr>
          <w:bCs/>
        </w:rPr>
        <w:t>Travaux réalisés</w:t>
      </w:r>
    </w:p>
    <w:p w:rsidR="00927E1F" w:rsidRPr="00422570" w:rsidRDefault="00927E1F" w:rsidP="00927E1F">
      <w:pPr>
        <w:rPr>
          <w:bCs/>
        </w:rPr>
      </w:pPr>
    </w:p>
    <w:p w:rsidR="00927E1F" w:rsidRPr="00422570" w:rsidRDefault="00927E1F" w:rsidP="00927E1F"/>
    <w:p w:rsidR="00927E1F" w:rsidRPr="00422570" w:rsidRDefault="00927E1F" w:rsidP="00927E1F">
      <w:pPr>
        <w:rPr>
          <w:bCs/>
        </w:rPr>
      </w:pPr>
      <w:r w:rsidRPr="00422570">
        <w:t>CONCRÉTISATION DES AVANTAGES</w:t>
      </w:r>
    </w:p>
    <w:p w:rsidR="00927E1F" w:rsidRPr="00422570" w:rsidRDefault="00927E1F" w:rsidP="00927E1F"/>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56"/>
        <w:gridCol w:w="3157"/>
        <w:gridCol w:w="3155"/>
      </w:tblGrid>
      <w:tr w:rsidR="00927E1F" w:rsidRPr="00F164C1" w:rsidTr="00927E1F">
        <w:trPr>
          <w:trHeight w:val="314"/>
          <w:tblHeader/>
        </w:trPr>
        <w:tc>
          <w:tcPr>
            <w:tcW w:w="1667" w:type="pct"/>
            <w:tcBorders>
              <w:bottom w:val="single" w:sz="4" w:space="0" w:color="auto"/>
            </w:tcBorders>
            <w:shd w:val="clear" w:color="auto" w:fill="C6D9F1"/>
            <w:tcMar>
              <w:top w:w="113" w:type="dxa"/>
              <w:bottom w:w="113" w:type="dxa"/>
            </w:tcMar>
            <w:vAlign w:val="center"/>
          </w:tcPr>
          <w:p w:rsidR="00927E1F" w:rsidRPr="00F164C1" w:rsidRDefault="00927E1F" w:rsidP="00927E1F">
            <w:pPr>
              <w:jc w:val="center"/>
              <w:rPr>
                <w:b/>
                <w:bCs/>
                <w:sz w:val="16"/>
                <w:szCs w:val="16"/>
              </w:rPr>
            </w:pPr>
            <w:r w:rsidRPr="00F164C1">
              <w:rPr>
                <w:b/>
                <w:sz w:val="16"/>
              </w:rPr>
              <w:t>Avantages obtenus en 2014</w:t>
            </w:r>
          </w:p>
        </w:tc>
        <w:tc>
          <w:tcPr>
            <w:tcW w:w="1667" w:type="pct"/>
            <w:tcBorders>
              <w:bottom w:val="single" w:sz="4" w:space="0" w:color="auto"/>
            </w:tcBorders>
            <w:shd w:val="clear" w:color="auto" w:fill="C6D9F1"/>
            <w:vAlign w:val="center"/>
          </w:tcPr>
          <w:p w:rsidR="00927E1F" w:rsidRPr="00F164C1" w:rsidRDefault="00927E1F" w:rsidP="00927E1F">
            <w:pPr>
              <w:jc w:val="center"/>
              <w:rPr>
                <w:b/>
                <w:bCs/>
                <w:sz w:val="16"/>
                <w:szCs w:val="16"/>
              </w:rPr>
            </w:pPr>
            <w:r w:rsidRPr="00F164C1">
              <w:rPr>
                <w:b/>
                <w:sz w:val="16"/>
              </w:rPr>
              <w:t>Avantages obtenus en 2015</w:t>
            </w:r>
          </w:p>
        </w:tc>
        <w:tc>
          <w:tcPr>
            <w:tcW w:w="1666" w:type="pct"/>
            <w:tcBorders>
              <w:bottom w:val="single" w:sz="4" w:space="0" w:color="auto"/>
            </w:tcBorders>
            <w:shd w:val="clear" w:color="auto" w:fill="C6D9F1"/>
            <w:vAlign w:val="center"/>
          </w:tcPr>
          <w:p w:rsidR="00927E1F" w:rsidRPr="00F164C1" w:rsidRDefault="00927E1F" w:rsidP="00927E1F">
            <w:pPr>
              <w:jc w:val="center"/>
              <w:rPr>
                <w:b/>
                <w:bCs/>
                <w:sz w:val="16"/>
                <w:szCs w:val="16"/>
              </w:rPr>
            </w:pPr>
            <w:r w:rsidRPr="00F164C1">
              <w:rPr>
                <w:b/>
                <w:sz w:val="16"/>
              </w:rPr>
              <w:t>Avantages escomptés en 2016</w:t>
            </w:r>
          </w:p>
        </w:tc>
      </w:tr>
      <w:tr w:rsidR="00927E1F" w:rsidRPr="00F164C1" w:rsidTr="00927E1F">
        <w:trPr>
          <w:trHeight w:val="564"/>
        </w:trPr>
        <w:tc>
          <w:tcPr>
            <w:tcW w:w="1667" w:type="pct"/>
            <w:tcBorders>
              <w:top w:val="single" w:sz="4" w:space="0" w:color="auto"/>
              <w:bottom w:val="single" w:sz="4" w:space="0" w:color="auto"/>
            </w:tcBorders>
            <w:shd w:val="clear" w:color="auto" w:fill="auto"/>
            <w:tcMar>
              <w:top w:w="113" w:type="dxa"/>
              <w:bottom w:w="113" w:type="dxa"/>
            </w:tcMar>
          </w:tcPr>
          <w:p w:rsidR="00927E1F" w:rsidRPr="00F164C1" w:rsidRDefault="00927E1F" w:rsidP="00927E1F">
            <w:pPr>
              <w:rPr>
                <w:bCs/>
                <w:sz w:val="16"/>
                <w:szCs w:val="16"/>
              </w:rPr>
            </w:pPr>
            <w:r w:rsidRPr="00F164C1">
              <w:rPr>
                <w:sz w:val="16"/>
              </w:rPr>
              <w:t>Système de refroidissement du bâtiment AB mis en service le 13 août 2014, et réduction partielle de la consommation électrique.</w:t>
            </w:r>
          </w:p>
        </w:tc>
        <w:tc>
          <w:tcPr>
            <w:tcW w:w="1667" w:type="pct"/>
            <w:tcBorders>
              <w:top w:val="single" w:sz="4" w:space="0" w:color="auto"/>
              <w:bottom w:val="single" w:sz="4" w:space="0" w:color="auto"/>
            </w:tcBorders>
          </w:tcPr>
          <w:p w:rsidR="00927E1F" w:rsidRPr="00F164C1" w:rsidRDefault="00927E1F" w:rsidP="00927E1F">
            <w:pPr>
              <w:rPr>
                <w:bCs/>
                <w:sz w:val="16"/>
                <w:szCs w:val="16"/>
              </w:rPr>
            </w:pPr>
            <w:r w:rsidRPr="00F164C1">
              <w:rPr>
                <w:sz w:val="16"/>
              </w:rPr>
              <w:t>Réduction de la consommation électrique et de l’impact sur l’environnement généré par la consommation électrique pour le refroidissement du bâtiment AB.</w:t>
            </w:r>
          </w:p>
        </w:tc>
        <w:tc>
          <w:tcPr>
            <w:tcW w:w="1666" w:type="pct"/>
            <w:tcBorders>
              <w:bottom w:val="single" w:sz="4" w:space="0" w:color="auto"/>
              <w:tr2bl w:val="nil"/>
            </w:tcBorders>
            <w:shd w:val="clear" w:color="auto" w:fill="auto"/>
          </w:tcPr>
          <w:p w:rsidR="00927E1F" w:rsidRPr="00F164C1" w:rsidRDefault="00927E1F" w:rsidP="00927E1F">
            <w:pPr>
              <w:rPr>
                <w:bCs/>
                <w:iCs/>
                <w:sz w:val="16"/>
                <w:szCs w:val="16"/>
              </w:rPr>
            </w:pPr>
            <w:r w:rsidRPr="00F164C1">
              <w:rPr>
                <w:bCs/>
                <w:iCs/>
                <w:sz w:val="16"/>
                <w:szCs w:val="16"/>
              </w:rPr>
              <w:t>Réduction de la consommation électrique et de l’impact sur l’environnement généré par la consommation électrique pour le refroidissement du bâtiment PCT.</w:t>
            </w:r>
          </w:p>
        </w:tc>
      </w:tr>
      <w:tr w:rsidR="00927E1F" w:rsidRPr="00F164C1" w:rsidTr="00927E1F">
        <w:trPr>
          <w:trHeight w:val="516"/>
        </w:trPr>
        <w:tc>
          <w:tcPr>
            <w:tcW w:w="1667" w:type="pct"/>
            <w:tcBorders>
              <w:top w:val="single" w:sz="4" w:space="0" w:color="auto"/>
              <w:bottom w:val="single" w:sz="4" w:space="0" w:color="auto"/>
            </w:tcBorders>
            <w:shd w:val="clear" w:color="auto" w:fill="auto"/>
            <w:tcMar>
              <w:top w:w="113" w:type="dxa"/>
              <w:bottom w:w="113" w:type="dxa"/>
            </w:tcMar>
          </w:tcPr>
          <w:p w:rsidR="00927E1F" w:rsidRPr="00F164C1" w:rsidRDefault="00927E1F" w:rsidP="00927E1F">
            <w:pPr>
              <w:rPr>
                <w:bCs/>
                <w:sz w:val="16"/>
                <w:szCs w:val="16"/>
              </w:rPr>
            </w:pPr>
          </w:p>
        </w:tc>
        <w:tc>
          <w:tcPr>
            <w:tcW w:w="1667" w:type="pct"/>
            <w:tcBorders>
              <w:top w:val="single" w:sz="4" w:space="0" w:color="auto"/>
              <w:bottom w:val="single" w:sz="4" w:space="0" w:color="auto"/>
            </w:tcBorders>
          </w:tcPr>
          <w:p w:rsidR="00927E1F" w:rsidRPr="00F164C1" w:rsidRDefault="00927E1F" w:rsidP="00927E1F">
            <w:pPr>
              <w:rPr>
                <w:bCs/>
                <w:sz w:val="16"/>
                <w:szCs w:val="16"/>
              </w:rPr>
            </w:pPr>
            <w:r w:rsidRPr="00F164C1">
              <w:rPr>
                <w:sz w:val="16"/>
              </w:rPr>
              <w:t>Réduction du coût de la maintenance curative pour le système de refroidissement du bâtiment AB.</w:t>
            </w:r>
          </w:p>
        </w:tc>
        <w:tc>
          <w:tcPr>
            <w:tcW w:w="1666" w:type="pct"/>
            <w:tcBorders>
              <w:tr2bl w:val="nil"/>
            </w:tcBorders>
            <w:shd w:val="clear" w:color="auto" w:fill="auto"/>
          </w:tcPr>
          <w:p w:rsidR="00927E1F" w:rsidRPr="00F164C1" w:rsidRDefault="00927E1F" w:rsidP="00927E1F">
            <w:pPr>
              <w:rPr>
                <w:bCs/>
                <w:sz w:val="16"/>
                <w:szCs w:val="16"/>
              </w:rPr>
            </w:pPr>
            <w:r w:rsidRPr="00F164C1">
              <w:rPr>
                <w:sz w:val="16"/>
              </w:rPr>
              <w:t>Réduction du coût de la maintenance curative pour le système de refroidissement du bâtiment PCT.</w:t>
            </w:r>
          </w:p>
        </w:tc>
      </w:tr>
      <w:tr w:rsidR="00927E1F" w:rsidRPr="00F164C1" w:rsidTr="00927E1F">
        <w:trPr>
          <w:trHeight w:val="414"/>
        </w:trPr>
        <w:tc>
          <w:tcPr>
            <w:tcW w:w="1667" w:type="pct"/>
            <w:tcBorders>
              <w:top w:val="single" w:sz="4" w:space="0" w:color="auto"/>
              <w:bottom w:val="single" w:sz="4" w:space="0" w:color="auto"/>
            </w:tcBorders>
            <w:shd w:val="clear" w:color="auto" w:fill="auto"/>
            <w:tcMar>
              <w:top w:w="113" w:type="dxa"/>
              <w:bottom w:w="113" w:type="dxa"/>
            </w:tcMar>
          </w:tcPr>
          <w:p w:rsidR="00927E1F" w:rsidRPr="00F164C1" w:rsidRDefault="00927E1F" w:rsidP="00927E1F">
            <w:pPr>
              <w:rPr>
                <w:b/>
                <w:bCs/>
                <w:sz w:val="16"/>
                <w:szCs w:val="16"/>
                <w:u w:val="single"/>
              </w:rPr>
            </w:pPr>
          </w:p>
        </w:tc>
        <w:tc>
          <w:tcPr>
            <w:tcW w:w="1667" w:type="pct"/>
            <w:tcBorders>
              <w:top w:val="single" w:sz="4" w:space="0" w:color="auto"/>
              <w:bottom w:val="single" w:sz="4" w:space="0" w:color="auto"/>
            </w:tcBorders>
          </w:tcPr>
          <w:p w:rsidR="00927E1F" w:rsidRPr="00F164C1" w:rsidRDefault="00927E1F" w:rsidP="00927E1F">
            <w:pPr>
              <w:rPr>
                <w:bCs/>
                <w:sz w:val="16"/>
                <w:szCs w:val="16"/>
              </w:rPr>
            </w:pPr>
            <w:r w:rsidRPr="00F164C1">
              <w:rPr>
                <w:sz w:val="16"/>
              </w:rPr>
              <w:t>Augmentation de la durée de vie du système de refroidissement du bâtiment AB.</w:t>
            </w:r>
          </w:p>
        </w:tc>
        <w:tc>
          <w:tcPr>
            <w:tcW w:w="1666" w:type="pct"/>
            <w:shd w:val="clear" w:color="auto" w:fill="auto"/>
          </w:tcPr>
          <w:p w:rsidR="00927E1F" w:rsidRPr="00F164C1" w:rsidRDefault="00927E1F" w:rsidP="00927E1F">
            <w:pPr>
              <w:rPr>
                <w:bCs/>
                <w:sz w:val="16"/>
                <w:szCs w:val="16"/>
              </w:rPr>
            </w:pPr>
            <w:r w:rsidRPr="00F164C1">
              <w:rPr>
                <w:sz w:val="16"/>
              </w:rPr>
              <w:t>Augmentation de la durée de vie du système de refroidissement du bâtiment PCT.</w:t>
            </w:r>
          </w:p>
        </w:tc>
      </w:tr>
      <w:tr w:rsidR="00927E1F" w:rsidRPr="00F164C1" w:rsidTr="00927E1F">
        <w:trPr>
          <w:trHeight w:val="564"/>
        </w:trPr>
        <w:tc>
          <w:tcPr>
            <w:tcW w:w="1667" w:type="pct"/>
            <w:tcBorders>
              <w:top w:val="single" w:sz="4" w:space="0" w:color="auto"/>
              <w:bottom w:val="single" w:sz="4" w:space="0" w:color="auto"/>
            </w:tcBorders>
            <w:shd w:val="clear" w:color="auto" w:fill="auto"/>
            <w:tcMar>
              <w:top w:w="113" w:type="dxa"/>
              <w:bottom w:w="113" w:type="dxa"/>
            </w:tcMar>
          </w:tcPr>
          <w:p w:rsidR="00927E1F" w:rsidRPr="00F164C1" w:rsidRDefault="00927E1F" w:rsidP="00927E1F">
            <w:pPr>
              <w:rPr>
                <w:b/>
                <w:bCs/>
                <w:sz w:val="16"/>
                <w:szCs w:val="16"/>
                <w:u w:val="single"/>
              </w:rPr>
            </w:pPr>
          </w:p>
        </w:tc>
        <w:tc>
          <w:tcPr>
            <w:tcW w:w="1667" w:type="pct"/>
            <w:tcBorders>
              <w:top w:val="single" w:sz="4" w:space="0" w:color="auto"/>
              <w:bottom w:val="single" w:sz="4" w:space="0" w:color="auto"/>
            </w:tcBorders>
          </w:tcPr>
          <w:p w:rsidR="00927E1F" w:rsidRPr="00F164C1" w:rsidRDefault="00927E1F" w:rsidP="00927E1F">
            <w:pPr>
              <w:rPr>
                <w:bCs/>
                <w:sz w:val="16"/>
                <w:szCs w:val="16"/>
              </w:rPr>
            </w:pPr>
            <w:r w:rsidRPr="00F164C1">
              <w:rPr>
                <w:sz w:val="16"/>
              </w:rPr>
              <w:t>Installation et maintenance du système de refroidissement du bâtiment AB plus respectueuses de l’environnement.</w:t>
            </w:r>
          </w:p>
        </w:tc>
        <w:tc>
          <w:tcPr>
            <w:tcW w:w="1666" w:type="pct"/>
            <w:shd w:val="clear" w:color="auto" w:fill="auto"/>
          </w:tcPr>
          <w:p w:rsidR="00927E1F" w:rsidRPr="00F164C1" w:rsidRDefault="00927E1F" w:rsidP="00927E1F">
            <w:pPr>
              <w:rPr>
                <w:bCs/>
                <w:sz w:val="16"/>
                <w:szCs w:val="16"/>
              </w:rPr>
            </w:pPr>
            <w:r w:rsidRPr="00F164C1">
              <w:rPr>
                <w:sz w:val="16"/>
              </w:rPr>
              <w:t>Installation et maintenance du système de refroidissement du bâtiment PCT plus respectueuses de l’environnement.</w:t>
            </w:r>
          </w:p>
        </w:tc>
      </w:tr>
      <w:tr w:rsidR="00927E1F" w:rsidRPr="00F164C1" w:rsidTr="00927E1F">
        <w:trPr>
          <w:trHeight w:val="564"/>
        </w:trPr>
        <w:tc>
          <w:tcPr>
            <w:tcW w:w="1667" w:type="pct"/>
            <w:tcBorders>
              <w:top w:val="single" w:sz="4" w:space="0" w:color="auto"/>
              <w:bottom w:val="single" w:sz="4" w:space="0" w:color="auto"/>
            </w:tcBorders>
            <w:shd w:val="clear" w:color="auto" w:fill="auto"/>
            <w:tcMar>
              <w:top w:w="113" w:type="dxa"/>
              <w:bottom w:w="113" w:type="dxa"/>
            </w:tcMar>
          </w:tcPr>
          <w:p w:rsidR="00927E1F" w:rsidRPr="00F164C1" w:rsidRDefault="00927E1F" w:rsidP="00927E1F">
            <w:pPr>
              <w:rPr>
                <w:b/>
                <w:bCs/>
                <w:sz w:val="16"/>
                <w:szCs w:val="16"/>
                <w:u w:val="single"/>
              </w:rPr>
            </w:pPr>
          </w:p>
        </w:tc>
        <w:tc>
          <w:tcPr>
            <w:tcW w:w="1667" w:type="pct"/>
            <w:tcBorders>
              <w:top w:val="single" w:sz="4" w:space="0" w:color="auto"/>
              <w:bottom w:val="single" w:sz="4" w:space="0" w:color="auto"/>
            </w:tcBorders>
          </w:tcPr>
          <w:p w:rsidR="00927E1F" w:rsidRPr="00F164C1" w:rsidRDefault="00927E1F" w:rsidP="00927E1F">
            <w:pPr>
              <w:rPr>
                <w:bCs/>
                <w:sz w:val="16"/>
                <w:szCs w:val="16"/>
              </w:rPr>
            </w:pPr>
            <w:r w:rsidRPr="00F164C1">
              <w:rPr>
                <w:sz w:val="16"/>
              </w:rPr>
              <w:t xml:space="preserve">Mise en service du système de refroidissement du bâtiment PCT en octobre 2015, et réduction partielle de la consommation électrique </w:t>
            </w:r>
          </w:p>
        </w:tc>
        <w:tc>
          <w:tcPr>
            <w:tcW w:w="1666" w:type="pct"/>
            <w:shd w:val="clear" w:color="auto" w:fill="auto"/>
          </w:tcPr>
          <w:p w:rsidR="00927E1F" w:rsidRPr="00F164C1" w:rsidRDefault="00927E1F" w:rsidP="00927E1F">
            <w:pPr>
              <w:rPr>
                <w:bCs/>
                <w:iCs/>
                <w:sz w:val="16"/>
                <w:szCs w:val="16"/>
              </w:rPr>
            </w:pPr>
          </w:p>
        </w:tc>
      </w:tr>
    </w:tbl>
    <w:p w:rsidR="00927E1F" w:rsidRPr="00422570" w:rsidRDefault="00927E1F" w:rsidP="00927E1F">
      <w:pPr>
        <w:jc w:val="both"/>
      </w:pPr>
    </w:p>
    <w:p w:rsidR="00927E1F" w:rsidRPr="00422570" w:rsidRDefault="00927E1F" w:rsidP="00927E1F"/>
    <w:p w:rsidR="00927E1F" w:rsidRPr="00422570" w:rsidRDefault="00927E1F" w:rsidP="00927E1F">
      <w:r w:rsidRPr="00422570">
        <w:t>UTILISATION DES RESSOURCES</w:t>
      </w:r>
      <w:r w:rsidRPr="00422570">
        <w:rPr>
          <w:rStyle w:val="FootnoteReference"/>
          <w:rFonts w:eastAsia="SimSun"/>
        </w:rPr>
        <w:footnoteReference w:id="177"/>
      </w:r>
    </w:p>
    <w:p w:rsidR="00927E1F" w:rsidRPr="00422570" w:rsidRDefault="00927E1F" w:rsidP="00927E1F"/>
    <w:p w:rsidR="00927E1F" w:rsidRPr="00F164C1" w:rsidRDefault="00927E1F" w:rsidP="00927E1F">
      <w:pPr>
        <w:keepNext/>
        <w:keepLines/>
        <w:tabs>
          <w:tab w:val="left" w:pos="3261"/>
        </w:tabs>
        <w:autoSpaceDE w:val="0"/>
        <w:autoSpaceDN w:val="0"/>
        <w:adjustRightInd w:val="0"/>
        <w:jc w:val="center"/>
        <w:rPr>
          <w:b/>
          <w:szCs w:val="22"/>
        </w:rPr>
      </w:pPr>
      <w:r w:rsidRPr="00F164C1">
        <w:rPr>
          <w:b/>
        </w:rPr>
        <w:t>Utilisation du budget du projet</w:t>
      </w:r>
    </w:p>
    <w:p w:rsidR="00927E1F" w:rsidRPr="00F164C1" w:rsidRDefault="00927E1F" w:rsidP="00927E1F">
      <w:pPr>
        <w:keepNext/>
        <w:keepLines/>
        <w:tabs>
          <w:tab w:val="left" w:pos="3261"/>
        </w:tabs>
        <w:autoSpaceDE w:val="0"/>
        <w:autoSpaceDN w:val="0"/>
        <w:adjustRightInd w:val="0"/>
        <w:jc w:val="center"/>
        <w:rPr>
          <w:i/>
          <w:iCs/>
          <w:sz w:val="18"/>
          <w:szCs w:val="18"/>
        </w:rPr>
      </w:pPr>
      <w:r w:rsidRPr="00F164C1">
        <w:rPr>
          <w:i/>
          <w:sz w:val="18"/>
        </w:rPr>
        <w:t>(</w:t>
      </w:r>
      <w:proofErr w:type="gramStart"/>
      <w:r w:rsidRPr="00F164C1">
        <w:rPr>
          <w:i/>
          <w:sz w:val="18"/>
        </w:rPr>
        <w:t>en</w:t>
      </w:r>
      <w:proofErr w:type="gramEnd"/>
      <w:r w:rsidRPr="00F164C1">
        <w:rPr>
          <w:i/>
          <w:sz w:val="18"/>
        </w:rPr>
        <w:t xml:space="preserve"> francs suisses, au 31 décembre 2015)</w:t>
      </w:r>
    </w:p>
    <w:p w:rsidR="00927E1F" w:rsidRPr="00F164C1" w:rsidRDefault="00927E1F" w:rsidP="00927E1F">
      <w:pPr>
        <w:keepNext/>
        <w:keepLines/>
        <w:tabs>
          <w:tab w:val="left" w:pos="3261"/>
        </w:tabs>
        <w:autoSpaceDE w:val="0"/>
        <w:autoSpaceDN w:val="0"/>
        <w:adjustRightInd w:val="0"/>
        <w:jc w:val="center"/>
        <w:rPr>
          <w:i/>
          <w:iCs/>
          <w:sz w:val="18"/>
          <w:szCs w:val="18"/>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927E1F" w:rsidRPr="00F164C1" w:rsidTr="00927E1F">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74" w:right="-60"/>
              <w:jc w:val="center"/>
              <w:rPr>
                <w:b/>
                <w:bCs/>
                <w:sz w:val="16"/>
                <w:szCs w:val="16"/>
              </w:rPr>
            </w:pPr>
            <w:r w:rsidRPr="00F164C1">
              <w:rPr>
                <w:b/>
                <w:sz w:val="16"/>
              </w:rPr>
              <w:t>Nom du projet</w:t>
            </w:r>
          </w:p>
        </w:tc>
        <w:tc>
          <w:tcPr>
            <w:tcW w:w="850"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7" w:right="-108"/>
              <w:jc w:val="center"/>
              <w:rPr>
                <w:b/>
                <w:bCs/>
                <w:sz w:val="16"/>
                <w:szCs w:val="16"/>
              </w:rPr>
            </w:pPr>
            <w:r w:rsidRPr="00F164C1">
              <w:rPr>
                <w:b/>
                <w:sz w:val="16"/>
              </w:rPr>
              <w:t>Budget du projet</w:t>
            </w:r>
          </w:p>
        </w:tc>
        <w:tc>
          <w:tcPr>
            <w:tcW w:w="851"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8" w:right="-106"/>
              <w:jc w:val="center"/>
              <w:rPr>
                <w:b/>
                <w:bCs/>
                <w:sz w:val="16"/>
                <w:szCs w:val="16"/>
              </w:rPr>
            </w:pPr>
            <w:r w:rsidRPr="00F164C1">
              <w:rPr>
                <w:b/>
                <w:sz w:val="16"/>
              </w:rPr>
              <w:t>Dépenses effectives à ce jour</w:t>
            </w:r>
          </w:p>
        </w:tc>
        <w:tc>
          <w:tcPr>
            <w:tcW w:w="851"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9" w:right="-108"/>
              <w:jc w:val="center"/>
              <w:rPr>
                <w:b/>
                <w:bCs/>
                <w:sz w:val="16"/>
                <w:szCs w:val="16"/>
              </w:rPr>
            </w:pPr>
            <w:r w:rsidRPr="00F164C1">
              <w:rPr>
                <w:b/>
                <w:sz w:val="16"/>
              </w:rPr>
              <w:t>Utilisation effective du budget</w:t>
            </w:r>
          </w:p>
        </w:tc>
        <w:tc>
          <w:tcPr>
            <w:tcW w:w="850"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9" w:right="-73" w:firstLine="1"/>
              <w:jc w:val="center"/>
              <w:rPr>
                <w:b/>
                <w:bCs/>
                <w:sz w:val="16"/>
                <w:szCs w:val="16"/>
              </w:rPr>
            </w:pPr>
            <w:r w:rsidRPr="00F164C1">
              <w:rPr>
                <w:b/>
                <w:sz w:val="16"/>
              </w:rPr>
              <w:t>Taux d’avancement de la mise en œuvre du projet</w:t>
            </w:r>
          </w:p>
        </w:tc>
      </w:tr>
      <w:tr w:rsidR="00927E1F" w:rsidRPr="00F164C1" w:rsidTr="00927E1F">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rPr>
                <w:sz w:val="16"/>
                <w:szCs w:val="16"/>
              </w:rPr>
            </w:pPr>
            <w:r w:rsidRPr="00F164C1">
              <w:rPr>
                <w:sz w:val="16"/>
              </w:rPr>
              <w:t>Déploiement du système de refroidissement au moyen de l’eau du lac Léman à destination des bâtiments AB et du PCT</w:t>
            </w:r>
          </w:p>
        </w:tc>
        <w:tc>
          <w:tcPr>
            <w:tcW w:w="850"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750 000</w:t>
            </w:r>
          </w:p>
        </w:tc>
        <w:tc>
          <w:tcPr>
            <w:tcW w:w="851"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362 727</w:t>
            </w:r>
          </w:p>
        </w:tc>
        <w:tc>
          <w:tcPr>
            <w:tcW w:w="851"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35%</w:t>
            </w:r>
          </w:p>
        </w:tc>
        <w:tc>
          <w:tcPr>
            <w:tcW w:w="850"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AB 100%</w:t>
            </w:r>
          </w:p>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PCT 90%</w:t>
            </w:r>
          </w:p>
        </w:tc>
      </w:tr>
    </w:tbl>
    <w:p w:rsidR="00927E1F" w:rsidRPr="00F164C1" w:rsidRDefault="00927E1F" w:rsidP="00927E1F">
      <w:pPr>
        <w:rPr>
          <w:b/>
        </w:rPr>
      </w:pPr>
    </w:p>
    <w:p w:rsidR="00927E1F" w:rsidRPr="00F164C1" w:rsidRDefault="00927E1F" w:rsidP="00927E1F">
      <w:pPr>
        <w:rPr>
          <w:b/>
        </w:rPr>
      </w:pPr>
      <w:r w:rsidRPr="00F164C1">
        <w:rPr>
          <w:b/>
        </w:rPr>
        <w:br w:type="page"/>
      </w:r>
    </w:p>
    <w:p w:rsidR="00927E1F" w:rsidRPr="00F164C1" w:rsidRDefault="00927E1F" w:rsidP="00927E1F">
      <w:pPr>
        <w:keepNext/>
        <w:keepLines/>
        <w:tabs>
          <w:tab w:val="left" w:pos="3261"/>
        </w:tabs>
        <w:autoSpaceDE w:val="0"/>
        <w:autoSpaceDN w:val="0"/>
        <w:adjustRightInd w:val="0"/>
        <w:jc w:val="center"/>
        <w:rPr>
          <w:b/>
          <w:szCs w:val="22"/>
        </w:rPr>
      </w:pPr>
      <w:r w:rsidRPr="00F164C1">
        <w:rPr>
          <w:b/>
        </w:rPr>
        <w:lastRenderedPageBreak/>
        <w:t>Utilisation du budget du projet (par étape)</w:t>
      </w:r>
    </w:p>
    <w:p w:rsidR="00927E1F" w:rsidRPr="00F164C1" w:rsidRDefault="00927E1F" w:rsidP="00927E1F">
      <w:pPr>
        <w:keepNext/>
        <w:keepLines/>
        <w:tabs>
          <w:tab w:val="left" w:pos="3261"/>
        </w:tabs>
        <w:autoSpaceDE w:val="0"/>
        <w:autoSpaceDN w:val="0"/>
        <w:adjustRightInd w:val="0"/>
        <w:jc w:val="center"/>
        <w:rPr>
          <w:i/>
          <w:iCs/>
          <w:sz w:val="18"/>
          <w:szCs w:val="18"/>
        </w:rPr>
      </w:pPr>
      <w:r w:rsidRPr="00F164C1">
        <w:rPr>
          <w:i/>
          <w:sz w:val="18"/>
        </w:rPr>
        <w:t>(</w:t>
      </w:r>
      <w:proofErr w:type="gramStart"/>
      <w:r w:rsidRPr="00F164C1">
        <w:rPr>
          <w:i/>
          <w:sz w:val="18"/>
        </w:rPr>
        <w:t>en</w:t>
      </w:r>
      <w:proofErr w:type="gramEnd"/>
      <w:r w:rsidRPr="00F164C1">
        <w:rPr>
          <w:i/>
          <w:sz w:val="18"/>
        </w:rPr>
        <w:t xml:space="preserve"> francs suisses, au 31 décembre 2015)</w:t>
      </w:r>
    </w:p>
    <w:p w:rsidR="00927E1F" w:rsidRPr="00F164C1" w:rsidRDefault="00927E1F" w:rsidP="00927E1F">
      <w:pPr>
        <w:keepNext/>
        <w:autoSpaceDE w:val="0"/>
        <w:autoSpaceDN w:val="0"/>
        <w:rPr>
          <w:sz w:val="16"/>
          <w:szCs w:val="16"/>
        </w:rPr>
      </w:pPr>
    </w:p>
    <w:tbl>
      <w:tblPr>
        <w:tblpPr w:leftFromText="180" w:rightFromText="180" w:vertAnchor="text" w:horzAnchor="margin" w:tblpX="182" w:tblpY="17"/>
        <w:tblW w:w="46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1"/>
        <w:gridCol w:w="1517"/>
        <w:gridCol w:w="1517"/>
        <w:gridCol w:w="1517"/>
        <w:gridCol w:w="1517"/>
      </w:tblGrid>
      <w:tr w:rsidR="00927E1F" w:rsidRPr="00F164C1" w:rsidTr="00927E1F">
        <w:trPr>
          <w:trHeight w:val="389"/>
        </w:trPr>
        <w:tc>
          <w:tcPr>
            <w:tcW w:w="1575"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74" w:right="-60"/>
              <w:jc w:val="center"/>
              <w:rPr>
                <w:b/>
                <w:bCs/>
                <w:sz w:val="16"/>
                <w:szCs w:val="16"/>
              </w:rPr>
            </w:pPr>
            <w:r w:rsidRPr="00F164C1">
              <w:rPr>
                <w:b/>
                <w:sz w:val="16"/>
              </w:rPr>
              <w:t>Étape principale</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7" w:right="-108"/>
              <w:jc w:val="center"/>
              <w:rPr>
                <w:b/>
                <w:bCs/>
                <w:sz w:val="16"/>
                <w:szCs w:val="16"/>
              </w:rPr>
            </w:pPr>
            <w:r w:rsidRPr="00F164C1">
              <w:rPr>
                <w:b/>
                <w:sz w:val="16"/>
              </w:rPr>
              <w:t>Budget du projet</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8" w:right="-106"/>
              <w:jc w:val="center"/>
              <w:rPr>
                <w:b/>
                <w:bCs/>
                <w:sz w:val="16"/>
                <w:szCs w:val="16"/>
              </w:rPr>
            </w:pPr>
            <w:r w:rsidRPr="00F164C1">
              <w:rPr>
                <w:b/>
                <w:sz w:val="16"/>
              </w:rPr>
              <w:t>Dépenses effectives à ce jour</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9" w:right="-108"/>
              <w:jc w:val="center"/>
              <w:rPr>
                <w:b/>
                <w:bCs/>
                <w:sz w:val="16"/>
                <w:szCs w:val="16"/>
              </w:rPr>
            </w:pPr>
            <w:r w:rsidRPr="00F164C1">
              <w:rPr>
                <w:b/>
                <w:sz w:val="16"/>
              </w:rPr>
              <w:t>Utilisation effective du budget</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9" w:right="-73" w:firstLine="1"/>
              <w:jc w:val="center"/>
              <w:rPr>
                <w:b/>
                <w:bCs/>
                <w:sz w:val="16"/>
                <w:szCs w:val="16"/>
              </w:rPr>
            </w:pPr>
            <w:r w:rsidRPr="00F164C1">
              <w:rPr>
                <w:b/>
                <w:sz w:val="16"/>
              </w:rPr>
              <w:t>Taux d’avancement de mise en œuvre par étape</w:t>
            </w:r>
          </w:p>
        </w:tc>
      </w:tr>
      <w:tr w:rsidR="00927E1F" w:rsidRPr="00F164C1" w:rsidTr="00927E1F">
        <w:trPr>
          <w:trHeight w:val="369"/>
        </w:trPr>
        <w:tc>
          <w:tcPr>
            <w:tcW w:w="1575"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rPr>
                <w:sz w:val="16"/>
                <w:szCs w:val="16"/>
              </w:rPr>
            </w:pPr>
            <w:r w:rsidRPr="00F164C1">
              <w:rPr>
                <w:sz w:val="16"/>
              </w:rPr>
              <w:t>Attribution du contrat à l’ingénieur CVC pour le bâtiment AB</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30 000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16 200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54%</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100%</w:t>
            </w:r>
          </w:p>
        </w:tc>
      </w:tr>
      <w:tr w:rsidR="00927E1F" w:rsidRPr="00F164C1" w:rsidTr="00927E1F">
        <w:trPr>
          <w:trHeight w:val="369"/>
        </w:trPr>
        <w:tc>
          <w:tcPr>
            <w:tcW w:w="1575"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rPr>
                <w:sz w:val="16"/>
                <w:szCs w:val="16"/>
              </w:rPr>
            </w:pPr>
            <w:r w:rsidRPr="00F164C1">
              <w:rPr>
                <w:sz w:val="16"/>
              </w:rPr>
              <w:t>Attribution du contrat à l’ingénieur pour le bâtiment du PCT</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83 000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40" w:after="40"/>
              <w:jc w:val="center"/>
              <w:rPr>
                <w:sz w:val="16"/>
                <w:szCs w:val="16"/>
              </w:rPr>
            </w:pPr>
            <w:r w:rsidRPr="00F164C1">
              <w:rPr>
                <w:sz w:val="16"/>
                <w:szCs w:val="16"/>
              </w:rPr>
              <w:t>43 440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40" w:after="40"/>
              <w:jc w:val="center"/>
              <w:rPr>
                <w:sz w:val="16"/>
                <w:szCs w:val="16"/>
              </w:rPr>
            </w:pPr>
            <w:r w:rsidRPr="00F164C1">
              <w:rPr>
                <w:sz w:val="16"/>
                <w:szCs w:val="16"/>
              </w:rPr>
              <w:t>52,3%</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40" w:after="40"/>
              <w:jc w:val="center"/>
              <w:rPr>
                <w:sz w:val="16"/>
                <w:szCs w:val="16"/>
              </w:rPr>
            </w:pPr>
            <w:r w:rsidRPr="00F164C1">
              <w:rPr>
                <w:sz w:val="16"/>
                <w:szCs w:val="16"/>
              </w:rPr>
              <w:t>100%</w:t>
            </w:r>
          </w:p>
        </w:tc>
      </w:tr>
      <w:tr w:rsidR="00927E1F" w:rsidRPr="00F164C1" w:rsidTr="00927E1F">
        <w:trPr>
          <w:trHeight w:val="369"/>
        </w:trPr>
        <w:tc>
          <w:tcPr>
            <w:tcW w:w="1575"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rPr>
                <w:sz w:val="16"/>
                <w:szCs w:val="16"/>
              </w:rPr>
            </w:pPr>
            <w:r w:rsidRPr="00F164C1">
              <w:rPr>
                <w:sz w:val="16"/>
              </w:rPr>
              <w:t>Mise en service des installations GLN dans le bâtiment AB</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170 000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40" w:after="40"/>
              <w:jc w:val="center"/>
              <w:rPr>
                <w:sz w:val="16"/>
                <w:szCs w:val="16"/>
              </w:rPr>
            </w:pPr>
            <w:r w:rsidRPr="00F164C1">
              <w:rPr>
                <w:sz w:val="16"/>
                <w:szCs w:val="16"/>
              </w:rPr>
              <w:t>61 791</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40" w:after="40"/>
              <w:jc w:val="center"/>
              <w:rPr>
                <w:sz w:val="16"/>
                <w:szCs w:val="16"/>
              </w:rPr>
            </w:pPr>
            <w:r w:rsidRPr="00F164C1">
              <w:rPr>
                <w:sz w:val="16"/>
                <w:szCs w:val="16"/>
              </w:rPr>
              <w:t>36,3%</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40" w:after="40"/>
              <w:jc w:val="center"/>
              <w:rPr>
                <w:sz w:val="16"/>
                <w:szCs w:val="16"/>
              </w:rPr>
            </w:pPr>
            <w:r w:rsidRPr="00F164C1">
              <w:rPr>
                <w:sz w:val="16"/>
                <w:szCs w:val="16"/>
              </w:rPr>
              <w:t>100%</w:t>
            </w:r>
          </w:p>
        </w:tc>
      </w:tr>
      <w:tr w:rsidR="00927E1F" w:rsidRPr="00F164C1" w:rsidTr="00927E1F">
        <w:trPr>
          <w:trHeight w:val="369"/>
        </w:trPr>
        <w:tc>
          <w:tcPr>
            <w:tcW w:w="1575"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rPr>
                <w:sz w:val="16"/>
                <w:szCs w:val="16"/>
              </w:rPr>
            </w:pPr>
            <w:r w:rsidRPr="00F164C1">
              <w:rPr>
                <w:sz w:val="16"/>
              </w:rPr>
              <w:t>Mise en service des installations GLN dans le bâtiment PCT</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467 000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40" w:after="40"/>
              <w:jc w:val="center"/>
              <w:rPr>
                <w:sz w:val="16"/>
                <w:szCs w:val="16"/>
              </w:rPr>
            </w:pPr>
            <w:r w:rsidRPr="00F164C1">
              <w:rPr>
                <w:sz w:val="16"/>
                <w:szCs w:val="16"/>
              </w:rPr>
              <w:t>141 296</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40" w:after="40"/>
              <w:jc w:val="center"/>
              <w:rPr>
                <w:sz w:val="16"/>
                <w:szCs w:val="16"/>
              </w:rPr>
            </w:pPr>
            <w:r w:rsidRPr="00F164C1">
              <w:rPr>
                <w:sz w:val="16"/>
                <w:szCs w:val="16"/>
              </w:rPr>
              <w:t>30,3%</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40" w:after="40"/>
              <w:jc w:val="center"/>
              <w:rPr>
                <w:sz w:val="16"/>
                <w:szCs w:val="16"/>
              </w:rPr>
            </w:pPr>
            <w:r w:rsidRPr="00F164C1">
              <w:rPr>
                <w:sz w:val="16"/>
                <w:szCs w:val="16"/>
              </w:rPr>
              <w:t>90%</w:t>
            </w:r>
          </w:p>
        </w:tc>
      </w:tr>
      <w:tr w:rsidR="00927E1F" w:rsidRPr="00F164C1" w:rsidTr="00927E1F">
        <w:trPr>
          <w:trHeight w:val="369"/>
        </w:trPr>
        <w:tc>
          <w:tcPr>
            <w:tcW w:w="1575"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rPr>
                <w:b/>
                <w:sz w:val="16"/>
                <w:szCs w:val="16"/>
              </w:rPr>
            </w:pPr>
            <w:r w:rsidRPr="00F164C1">
              <w:rPr>
                <w:b/>
                <w:sz w:val="16"/>
              </w:rPr>
              <w:t>Total</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jc w:val="center"/>
              <w:rPr>
                <w:b/>
                <w:sz w:val="16"/>
                <w:szCs w:val="16"/>
              </w:rPr>
            </w:pPr>
            <w:r w:rsidRPr="00F164C1">
              <w:rPr>
                <w:b/>
                <w:sz w:val="16"/>
              </w:rPr>
              <w:t>750 000</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autoSpaceDE w:val="0"/>
              <w:autoSpaceDN w:val="0"/>
              <w:adjustRightInd w:val="0"/>
              <w:spacing w:before="40" w:after="40"/>
              <w:jc w:val="center"/>
              <w:rPr>
                <w:b/>
                <w:sz w:val="16"/>
                <w:szCs w:val="16"/>
              </w:rPr>
            </w:pPr>
            <w:r w:rsidRPr="00F164C1">
              <w:rPr>
                <w:b/>
                <w:sz w:val="16"/>
                <w:szCs w:val="16"/>
              </w:rPr>
              <w:t>262 727</w:t>
            </w:r>
          </w:p>
        </w:tc>
        <w:tc>
          <w:tcPr>
            <w:tcW w:w="856" w:type="pct"/>
            <w:tcBorders>
              <w:top w:val="single" w:sz="4" w:space="0" w:color="auto"/>
              <w:left w:val="single" w:sz="4" w:space="0" w:color="auto"/>
              <w:bottom w:val="single" w:sz="4" w:space="0" w:color="auto"/>
              <w:right w:val="single" w:sz="4" w:space="0" w:color="auto"/>
            </w:tcBorders>
            <w:shd w:val="clear" w:color="auto" w:fill="C6D9F1"/>
          </w:tcPr>
          <w:p w:rsidR="00927E1F" w:rsidRPr="00F164C1" w:rsidRDefault="00927E1F" w:rsidP="00927E1F">
            <w:pPr>
              <w:autoSpaceDE w:val="0"/>
              <w:autoSpaceDN w:val="0"/>
              <w:adjustRightInd w:val="0"/>
              <w:spacing w:before="40" w:after="40"/>
              <w:jc w:val="center"/>
              <w:rPr>
                <w:b/>
                <w:sz w:val="16"/>
                <w:szCs w:val="16"/>
              </w:rPr>
            </w:pPr>
          </w:p>
        </w:tc>
        <w:tc>
          <w:tcPr>
            <w:tcW w:w="856" w:type="pct"/>
            <w:tcBorders>
              <w:top w:val="single" w:sz="4" w:space="0" w:color="auto"/>
              <w:left w:val="single" w:sz="4" w:space="0" w:color="auto"/>
              <w:bottom w:val="single" w:sz="4" w:space="0" w:color="auto"/>
              <w:right w:val="single" w:sz="4" w:space="0" w:color="auto"/>
            </w:tcBorders>
            <w:shd w:val="clear" w:color="auto" w:fill="C6D9F1"/>
          </w:tcPr>
          <w:p w:rsidR="00927E1F" w:rsidRPr="00F164C1" w:rsidRDefault="00927E1F" w:rsidP="00927E1F">
            <w:pPr>
              <w:autoSpaceDE w:val="0"/>
              <w:autoSpaceDN w:val="0"/>
              <w:adjustRightInd w:val="0"/>
              <w:spacing w:before="40" w:after="40"/>
              <w:jc w:val="center"/>
              <w:rPr>
                <w:b/>
                <w:sz w:val="16"/>
                <w:szCs w:val="16"/>
              </w:rPr>
            </w:pPr>
          </w:p>
        </w:tc>
      </w:tr>
    </w:tbl>
    <w:p w:rsidR="00927E1F" w:rsidRPr="00F164C1" w:rsidRDefault="00927E1F" w:rsidP="00927E1F">
      <w:pPr>
        <w:tabs>
          <w:tab w:val="left" w:pos="3261"/>
        </w:tabs>
        <w:autoSpaceDE w:val="0"/>
        <w:autoSpaceDN w:val="0"/>
        <w:adjustRightInd w:val="0"/>
        <w:rPr>
          <w:b/>
          <w:szCs w:val="22"/>
        </w:rPr>
      </w:pPr>
    </w:p>
    <w:p w:rsidR="00927E1F" w:rsidRPr="00F164C1" w:rsidRDefault="00927E1F" w:rsidP="00927E1F">
      <w:pPr>
        <w:tabs>
          <w:tab w:val="left" w:pos="3261"/>
        </w:tabs>
        <w:autoSpaceDE w:val="0"/>
        <w:autoSpaceDN w:val="0"/>
        <w:adjustRightInd w:val="0"/>
        <w:jc w:val="center"/>
        <w:rPr>
          <w:b/>
          <w:szCs w:val="22"/>
        </w:rPr>
      </w:pPr>
    </w:p>
    <w:p w:rsidR="00927E1F" w:rsidRPr="00F164C1" w:rsidRDefault="00927E1F" w:rsidP="00927E1F">
      <w:pPr>
        <w:tabs>
          <w:tab w:val="left" w:pos="3261"/>
        </w:tabs>
        <w:autoSpaceDE w:val="0"/>
        <w:autoSpaceDN w:val="0"/>
        <w:adjustRightInd w:val="0"/>
        <w:jc w:val="center"/>
        <w:rPr>
          <w:b/>
          <w:szCs w:val="22"/>
        </w:rPr>
      </w:pPr>
      <w:r w:rsidRPr="00F164C1">
        <w:rPr>
          <w:b/>
        </w:rPr>
        <w:t>Utilisation du budget du projet (par catégorie de dépenses)</w:t>
      </w:r>
    </w:p>
    <w:p w:rsidR="00927E1F" w:rsidRPr="00F164C1" w:rsidRDefault="00927E1F" w:rsidP="00927E1F">
      <w:pPr>
        <w:tabs>
          <w:tab w:val="left" w:pos="3261"/>
        </w:tabs>
        <w:autoSpaceDE w:val="0"/>
        <w:autoSpaceDN w:val="0"/>
        <w:adjustRightInd w:val="0"/>
        <w:jc w:val="center"/>
        <w:rPr>
          <w:i/>
          <w:iCs/>
          <w:sz w:val="18"/>
          <w:szCs w:val="18"/>
        </w:rPr>
      </w:pPr>
      <w:r w:rsidRPr="00F164C1">
        <w:rPr>
          <w:i/>
          <w:sz w:val="18"/>
        </w:rPr>
        <w:t>(</w:t>
      </w:r>
      <w:proofErr w:type="gramStart"/>
      <w:r w:rsidRPr="00F164C1">
        <w:rPr>
          <w:i/>
          <w:sz w:val="18"/>
        </w:rPr>
        <w:t>en</w:t>
      </w:r>
      <w:proofErr w:type="gramEnd"/>
      <w:r w:rsidRPr="00F164C1">
        <w:rPr>
          <w:i/>
          <w:sz w:val="18"/>
        </w:rPr>
        <w:t xml:space="preserve"> francs suisses, au 31 décembre 2015)</w:t>
      </w:r>
    </w:p>
    <w:p w:rsidR="00927E1F" w:rsidRPr="00F164C1" w:rsidRDefault="00927E1F" w:rsidP="00927E1F">
      <w:pPr>
        <w:keepNext/>
        <w:keepLines/>
        <w:autoSpaceDE w:val="0"/>
        <w:autoSpaceDN w:val="0"/>
        <w:adjustRightInd w:val="0"/>
        <w:jc w:val="center"/>
      </w:pP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68" w:type="dxa"/>
          <w:bottom w:w="113" w:type="dxa"/>
          <w:right w:w="68" w:type="dxa"/>
        </w:tblCellMar>
        <w:tblLook w:val="01E0" w:firstRow="1" w:lastRow="1" w:firstColumn="1" w:lastColumn="1" w:noHBand="0" w:noVBand="0"/>
      </w:tblPr>
      <w:tblGrid>
        <w:gridCol w:w="3225"/>
        <w:gridCol w:w="1824"/>
        <w:gridCol w:w="1824"/>
        <w:gridCol w:w="1823"/>
      </w:tblGrid>
      <w:tr w:rsidR="00927E1F" w:rsidRPr="00F164C1" w:rsidTr="00927E1F">
        <w:trPr>
          <w:cantSplit/>
        </w:trPr>
        <w:tc>
          <w:tcPr>
            <w:tcW w:w="1854"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100" w:beforeAutospacing="1" w:after="100" w:afterAutospacing="1"/>
              <w:ind w:left="-74" w:right="-60"/>
              <w:jc w:val="center"/>
              <w:rPr>
                <w:b/>
                <w:bCs/>
                <w:sz w:val="16"/>
                <w:szCs w:val="16"/>
              </w:rPr>
            </w:pPr>
            <w:r w:rsidRPr="00F164C1">
              <w:rPr>
                <w:b/>
                <w:sz w:val="16"/>
              </w:rPr>
              <w:t>Catégorie de dépenses</w:t>
            </w:r>
          </w:p>
        </w:tc>
        <w:tc>
          <w:tcPr>
            <w:tcW w:w="1049"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100" w:beforeAutospacing="1" w:after="100" w:afterAutospacing="1"/>
              <w:ind w:left="-107" w:right="-108"/>
              <w:jc w:val="center"/>
              <w:rPr>
                <w:b/>
                <w:bCs/>
                <w:sz w:val="16"/>
                <w:szCs w:val="16"/>
              </w:rPr>
            </w:pPr>
            <w:r w:rsidRPr="00F164C1">
              <w:rPr>
                <w:b/>
                <w:sz w:val="16"/>
              </w:rPr>
              <w:t>Budget du projet</w:t>
            </w:r>
          </w:p>
        </w:tc>
        <w:tc>
          <w:tcPr>
            <w:tcW w:w="1049"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100" w:beforeAutospacing="1" w:after="100" w:afterAutospacing="1"/>
              <w:ind w:left="-108"/>
              <w:jc w:val="center"/>
              <w:rPr>
                <w:b/>
                <w:bCs/>
                <w:sz w:val="16"/>
                <w:szCs w:val="16"/>
              </w:rPr>
            </w:pPr>
            <w:r w:rsidRPr="00F164C1">
              <w:rPr>
                <w:b/>
                <w:sz w:val="16"/>
              </w:rPr>
              <w:t xml:space="preserve">Dépenses effectives à ce jour </w:t>
            </w:r>
          </w:p>
        </w:tc>
        <w:tc>
          <w:tcPr>
            <w:tcW w:w="1048"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100" w:beforeAutospacing="1" w:after="100" w:afterAutospacing="1"/>
              <w:ind w:left="-109"/>
              <w:jc w:val="center"/>
              <w:rPr>
                <w:b/>
                <w:bCs/>
                <w:sz w:val="16"/>
                <w:szCs w:val="16"/>
              </w:rPr>
            </w:pPr>
            <w:r w:rsidRPr="00F164C1">
              <w:rPr>
                <w:b/>
                <w:sz w:val="16"/>
              </w:rPr>
              <w:t>Utilisation effective du budget</w:t>
            </w:r>
          </w:p>
        </w:tc>
      </w:tr>
      <w:tr w:rsidR="00927E1F" w:rsidRPr="00F164C1" w:rsidTr="00927E1F">
        <w:trPr>
          <w:cantSplit/>
        </w:trPr>
        <w:tc>
          <w:tcPr>
            <w:tcW w:w="1854"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100" w:beforeAutospacing="1" w:after="100" w:afterAutospacing="1"/>
              <w:rPr>
                <w:sz w:val="16"/>
                <w:szCs w:val="16"/>
              </w:rPr>
            </w:pPr>
            <w:r w:rsidRPr="00F164C1">
              <w:rPr>
                <w:sz w:val="16"/>
              </w:rPr>
              <w:t>Dépenses relatives à la construction</w:t>
            </w:r>
            <w:r w:rsidRPr="00F164C1">
              <w:rPr>
                <w:sz w:val="12"/>
              </w:rPr>
              <w:t xml:space="preserve"> </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100" w:beforeAutospacing="1" w:after="100" w:afterAutospacing="1"/>
              <w:jc w:val="center"/>
              <w:rPr>
                <w:sz w:val="16"/>
                <w:szCs w:val="16"/>
              </w:rPr>
            </w:pPr>
            <w:r w:rsidRPr="00F164C1">
              <w:rPr>
                <w:sz w:val="16"/>
              </w:rPr>
              <w:t>585 000</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100" w:beforeAutospacing="1" w:after="100" w:afterAutospacing="1"/>
              <w:jc w:val="center"/>
              <w:rPr>
                <w:sz w:val="16"/>
                <w:szCs w:val="16"/>
              </w:rPr>
            </w:pPr>
            <w:r w:rsidRPr="00F164C1">
              <w:rPr>
                <w:sz w:val="16"/>
                <w:szCs w:val="16"/>
              </w:rPr>
              <w:t>203 087</w:t>
            </w:r>
          </w:p>
        </w:tc>
        <w:tc>
          <w:tcPr>
            <w:tcW w:w="1048"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100" w:beforeAutospacing="1" w:after="100" w:afterAutospacing="1"/>
              <w:jc w:val="center"/>
              <w:rPr>
                <w:sz w:val="16"/>
                <w:szCs w:val="16"/>
              </w:rPr>
            </w:pPr>
            <w:r w:rsidRPr="00F164C1">
              <w:rPr>
                <w:sz w:val="16"/>
                <w:szCs w:val="16"/>
              </w:rPr>
              <w:t>34,7%</w:t>
            </w:r>
          </w:p>
        </w:tc>
      </w:tr>
      <w:tr w:rsidR="00927E1F" w:rsidRPr="00F164C1" w:rsidTr="00927E1F">
        <w:trPr>
          <w:cantSplit/>
        </w:trPr>
        <w:tc>
          <w:tcPr>
            <w:tcW w:w="1854"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100" w:beforeAutospacing="1" w:after="100" w:afterAutospacing="1"/>
              <w:rPr>
                <w:sz w:val="16"/>
                <w:szCs w:val="16"/>
              </w:rPr>
            </w:pPr>
            <w:r w:rsidRPr="00F164C1">
              <w:rPr>
                <w:sz w:val="16"/>
              </w:rPr>
              <w:t>Honoraires</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100" w:beforeAutospacing="1" w:after="100" w:afterAutospacing="1"/>
              <w:jc w:val="center"/>
              <w:rPr>
                <w:sz w:val="16"/>
                <w:szCs w:val="16"/>
              </w:rPr>
            </w:pPr>
            <w:r w:rsidRPr="00F164C1">
              <w:rPr>
                <w:sz w:val="16"/>
              </w:rPr>
              <w:t>113 000</w:t>
            </w:r>
          </w:p>
        </w:tc>
        <w:tc>
          <w:tcPr>
            <w:tcW w:w="1049" w:type="pct"/>
            <w:tcBorders>
              <w:top w:val="single" w:sz="4" w:space="0" w:color="auto"/>
              <w:left w:val="single" w:sz="4" w:space="0" w:color="auto"/>
              <w:bottom w:val="single" w:sz="4" w:space="0" w:color="auto"/>
              <w:right w:val="single" w:sz="4" w:space="0" w:color="auto"/>
            </w:tcBorders>
          </w:tcPr>
          <w:p w:rsidR="00927E1F" w:rsidRPr="00F164C1" w:rsidRDefault="00927E1F" w:rsidP="00927E1F">
            <w:pPr>
              <w:autoSpaceDE w:val="0"/>
              <w:autoSpaceDN w:val="0"/>
              <w:adjustRightInd w:val="0"/>
              <w:spacing w:before="100" w:beforeAutospacing="1" w:after="100" w:afterAutospacing="1"/>
              <w:jc w:val="center"/>
              <w:rPr>
                <w:sz w:val="16"/>
                <w:szCs w:val="16"/>
              </w:rPr>
            </w:pPr>
            <w:r w:rsidRPr="00F164C1">
              <w:rPr>
                <w:sz w:val="16"/>
                <w:szCs w:val="16"/>
              </w:rPr>
              <w:t>59 640</w:t>
            </w:r>
          </w:p>
        </w:tc>
        <w:tc>
          <w:tcPr>
            <w:tcW w:w="1048" w:type="pct"/>
            <w:tcBorders>
              <w:top w:val="single" w:sz="4" w:space="0" w:color="auto"/>
              <w:left w:val="single" w:sz="4" w:space="0" w:color="auto"/>
              <w:bottom w:val="single" w:sz="4" w:space="0" w:color="auto"/>
              <w:right w:val="single" w:sz="4" w:space="0" w:color="auto"/>
            </w:tcBorders>
          </w:tcPr>
          <w:p w:rsidR="00927E1F" w:rsidRPr="00F164C1" w:rsidRDefault="00927E1F" w:rsidP="00927E1F">
            <w:pPr>
              <w:autoSpaceDE w:val="0"/>
              <w:autoSpaceDN w:val="0"/>
              <w:adjustRightInd w:val="0"/>
              <w:spacing w:before="100" w:beforeAutospacing="1" w:after="100" w:afterAutospacing="1"/>
              <w:jc w:val="center"/>
              <w:rPr>
                <w:sz w:val="16"/>
                <w:szCs w:val="16"/>
              </w:rPr>
            </w:pPr>
            <w:r w:rsidRPr="00F164C1">
              <w:rPr>
                <w:sz w:val="16"/>
                <w:szCs w:val="16"/>
              </w:rPr>
              <w:t>52,8%</w:t>
            </w:r>
          </w:p>
        </w:tc>
      </w:tr>
      <w:tr w:rsidR="00927E1F" w:rsidRPr="00F164C1" w:rsidTr="00927E1F">
        <w:trPr>
          <w:cantSplit/>
        </w:trPr>
        <w:tc>
          <w:tcPr>
            <w:tcW w:w="1854"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100" w:beforeAutospacing="1" w:after="100" w:afterAutospacing="1"/>
              <w:rPr>
                <w:sz w:val="16"/>
                <w:szCs w:val="16"/>
              </w:rPr>
            </w:pPr>
            <w:r w:rsidRPr="00F164C1">
              <w:rPr>
                <w:sz w:val="16"/>
              </w:rPr>
              <w:t xml:space="preserve">Divers et imprévus </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100" w:beforeAutospacing="1" w:after="100" w:afterAutospacing="1"/>
              <w:jc w:val="center"/>
              <w:rPr>
                <w:sz w:val="16"/>
                <w:szCs w:val="16"/>
              </w:rPr>
            </w:pPr>
            <w:r w:rsidRPr="00F164C1">
              <w:rPr>
                <w:sz w:val="16"/>
              </w:rPr>
              <w:t>52 000</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100" w:beforeAutospacing="1" w:after="100" w:afterAutospacing="1"/>
              <w:jc w:val="center"/>
              <w:rPr>
                <w:sz w:val="16"/>
                <w:szCs w:val="16"/>
              </w:rPr>
            </w:pPr>
            <w:r w:rsidRPr="00F164C1">
              <w:rPr>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100" w:beforeAutospacing="1" w:after="100" w:afterAutospacing="1"/>
              <w:jc w:val="center"/>
              <w:rPr>
                <w:sz w:val="16"/>
                <w:szCs w:val="16"/>
              </w:rPr>
            </w:pPr>
            <w:r w:rsidRPr="00F164C1">
              <w:rPr>
                <w:sz w:val="16"/>
                <w:szCs w:val="16"/>
              </w:rPr>
              <w:t>0%</w:t>
            </w:r>
          </w:p>
        </w:tc>
      </w:tr>
      <w:tr w:rsidR="00927E1F" w:rsidRPr="00F164C1" w:rsidTr="00927E1F">
        <w:trPr>
          <w:cantSplit/>
        </w:trPr>
        <w:tc>
          <w:tcPr>
            <w:tcW w:w="1854"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autoSpaceDE w:val="0"/>
              <w:autoSpaceDN w:val="0"/>
              <w:adjustRightInd w:val="0"/>
              <w:spacing w:before="100" w:beforeAutospacing="1" w:after="100" w:afterAutospacing="1"/>
              <w:rPr>
                <w:b/>
                <w:sz w:val="16"/>
                <w:szCs w:val="16"/>
              </w:rPr>
            </w:pPr>
            <w:r w:rsidRPr="00F164C1">
              <w:rPr>
                <w:b/>
                <w:sz w:val="16"/>
              </w:rPr>
              <w:t>Total</w:t>
            </w:r>
          </w:p>
        </w:tc>
        <w:tc>
          <w:tcPr>
            <w:tcW w:w="1049"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autoSpaceDE w:val="0"/>
              <w:autoSpaceDN w:val="0"/>
              <w:adjustRightInd w:val="0"/>
              <w:spacing w:before="100" w:beforeAutospacing="1" w:after="100" w:afterAutospacing="1"/>
              <w:jc w:val="center"/>
              <w:rPr>
                <w:b/>
                <w:sz w:val="16"/>
                <w:szCs w:val="16"/>
              </w:rPr>
            </w:pPr>
            <w:r w:rsidRPr="00F164C1">
              <w:rPr>
                <w:b/>
                <w:sz w:val="16"/>
              </w:rPr>
              <w:t>750 000</w:t>
            </w:r>
          </w:p>
        </w:tc>
        <w:tc>
          <w:tcPr>
            <w:tcW w:w="1049" w:type="pct"/>
            <w:tcBorders>
              <w:top w:val="single" w:sz="4" w:space="0" w:color="auto"/>
              <w:left w:val="single" w:sz="4" w:space="0" w:color="auto"/>
              <w:bottom w:val="single" w:sz="4" w:space="0" w:color="auto"/>
              <w:right w:val="single" w:sz="4" w:space="0" w:color="auto"/>
            </w:tcBorders>
            <w:shd w:val="clear" w:color="auto" w:fill="C6D9F1"/>
          </w:tcPr>
          <w:p w:rsidR="00927E1F" w:rsidRPr="00F164C1" w:rsidRDefault="00927E1F" w:rsidP="00927E1F">
            <w:pPr>
              <w:autoSpaceDE w:val="0"/>
              <w:autoSpaceDN w:val="0"/>
              <w:adjustRightInd w:val="0"/>
              <w:spacing w:before="100" w:beforeAutospacing="1" w:after="100" w:afterAutospacing="1"/>
              <w:jc w:val="center"/>
              <w:rPr>
                <w:b/>
                <w:sz w:val="16"/>
                <w:szCs w:val="16"/>
              </w:rPr>
            </w:pPr>
            <w:r w:rsidRPr="00F164C1">
              <w:rPr>
                <w:b/>
                <w:sz w:val="16"/>
                <w:szCs w:val="16"/>
              </w:rPr>
              <w:t>262 727</w:t>
            </w:r>
          </w:p>
        </w:tc>
        <w:tc>
          <w:tcPr>
            <w:tcW w:w="1048" w:type="pct"/>
            <w:tcBorders>
              <w:top w:val="single" w:sz="4" w:space="0" w:color="auto"/>
              <w:left w:val="single" w:sz="4" w:space="0" w:color="auto"/>
              <w:bottom w:val="single" w:sz="4" w:space="0" w:color="auto"/>
              <w:right w:val="single" w:sz="4" w:space="0" w:color="auto"/>
            </w:tcBorders>
            <w:shd w:val="clear" w:color="auto" w:fill="C6D9F1"/>
          </w:tcPr>
          <w:p w:rsidR="00927E1F" w:rsidRPr="00F164C1" w:rsidRDefault="00927E1F" w:rsidP="00927E1F">
            <w:pPr>
              <w:autoSpaceDE w:val="0"/>
              <w:autoSpaceDN w:val="0"/>
              <w:adjustRightInd w:val="0"/>
              <w:spacing w:before="100" w:beforeAutospacing="1" w:after="100" w:afterAutospacing="1"/>
              <w:jc w:val="center"/>
              <w:rPr>
                <w:b/>
                <w:sz w:val="16"/>
                <w:szCs w:val="16"/>
              </w:rPr>
            </w:pPr>
          </w:p>
        </w:tc>
      </w:tr>
    </w:tbl>
    <w:p w:rsidR="00927E1F" w:rsidRPr="00F164C1" w:rsidRDefault="00927E1F" w:rsidP="00927E1F">
      <w:pPr>
        <w:rPr>
          <w:sz w:val="22"/>
          <w:szCs w:val="22"/>
        </w:rPr>
      </w:pPr>
    </w:p>
    <w:p w:rsidR="00927E1F" w:rsidRPr="00F164C1" w:rsidRDefault="00927E1F" w:rsidP="00927E1F">
      <w:pPr>
        <w:rPr>
          <w:sz w:val="22"/>
          <w:szCs w:val="22"/>
        </w:rPr>
      </w:pPr>
    </w:p>
    <w:p w:rsidR="00927E1F" w:rsidRPr="00F164C1" w:rsidRDefault="00927E1F" w:rsidP="00927E1F">
      <w:pPr>
        <w:rPr>
          <w:sz w:val="22"/>
          <w:szCs w:val="22"/>
        </w:rPr>
      </w:pPr>
      <w:r w:rsidRPr="00F164C1">
        <w:rPr>
          <w:sz w:val="22"/>
        </w:rPr>
        <w:t>RISQUES ET STRATÉGIES D’ATTÉNUATION</w:t>
      </w:r>
    </w:p>
    <w:p w:rsidR="00927E1F" w:rsidRPr="00F164C1" w:rsidRDefault="00927E1F" w:rsidP="00927E1F">
      <w:pPr>
        <w:rPr>
          <w:sz w:val="22"/>
          <w:szCs w:val="22"/>
        </w:rPr>
      </w:pPr>
    </w:p>
    <w:tbl>
      <w:tblPr>
        <w:tblW w:w="4813" w:type="pct"/>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927E1F" w:rsidRPr="00F164C1" w:rsidTr="00927E1F">
        <w:trPr>
          <w:trHeight w:val="308"/>
          <w:tblHeader/>
          <w:jc w:val="center"/>
        </w:trPr>
        <w:tc>
          <w:tcPr>
            <w:tcW w:w="1667" w:type="pct"/>
            <w:shd w:val="clear" w:color="auto" w:fill="C6D9F1"/>
            <w:vAlign w:val="center"/>
          </w:tcPr>
          <w:p w:rsidR="00927E1F" w:rsidRPr="00F164C1" w:rsidRDefault="00927E1F" w:rsidP="00927E1F">
            <w:pPr>
              <w:autoSpaceDE w:val="0"/>
              <w:autoSpaceDN w:val="0"/>
              <w:adjustRightInd w:val="0"/>
              <w:spacing w:before="40" w:after="40"/>
              <w:ind w:left="-74" w:right="-60"/>
              <w:jc w:val="center"/>
              <w:rPr>
                <w:b/>
                <w:bCs/>
                <w:sz w:val="16"/>
                <w:szCs w:val="16"/>
              </w:rPr>
            </w:pPr>
            <w:r w:rsidRPr="00F164C1">
              <w:rPr>
                <w:b/>
                <w:sz w:val="16"/>
              </w:rPr>
              <w:t>Risque / Description du risque</w:t>
            </w:r>
          </w:p>
        </w:tc>
        <w:tc>
          <w:tcPr>
            <w:tcW w:w="1667" w:type="pct"/>
            <w:shd w:val="clear" w:color="auto" w:fill="C6D9F1"/>
            <w:vAlign w:val="center"/>
          </w:tcPr>
          <w:p w:rsidR="00927E1F" w:rsidRPr="00F164C1" w:rsidRDefault="00927E1F" w:rsidP="00927E1F">
            <w:pPr>
              <w:autoSpaceDE w:val="0"/>
              <w:autoSpaceDN w:val="0"/>
              <w:adjustRightInd w:val="0"/>
              <w:spacing w:before="40" w:after="40"/>
              <w:ind w:left="-109"/>
              <w:jc w:val="center"/>
              <w:rPr>
                <w:b/>
                <w:bCs/>
                <w:sz w:val="16"/>
                <w:szCs w:val="16"/>
              </w:rPr>
            </w:pPr>
            <w:r w:rsidRPr="00F164C1">
              <w:rPr>
                <w:b/>
                <w:sz w:val="16"/>
              </w:rPr>
              <w:t>Atténuation des risques</w:t>
            </w:r>
          </w:p>
        </w:tc>
        <w:tc>
          <w:tcPr>
            <w:tcW w:w="1666" w:type="pct"/>
            <w:shd w:val="clear" w:color="auto" w:fill="C6D9F1"/>
            <w:vAlign w:val="center"/>
          </w:tcPr>
          <w:p w:rsidR="00927E1F" w:rsidRPr="00F164C1" w:rsidRDefault="00927E1F" w:rsidP="00927E1F">
            <w:pPr>
              <w:autoSpaceDE w:val="0"/>
              <w:autoSpaceDN w:val="0"/>
              <w:adjustRightInd w:val="0"/>
              <w:spacing w:before="40" w:after="40"/>
              <w:ind w:left="-109"/>
              <w:jc w:val="center"/>
              <w:rPr>
                <w:b/>
                <w:bCs/>
                <w:sz w:val="16"/>
                <w:szCs w:val="16"/>
              </w:rPr>
            </w:pPr>
            <w:r w:rsidRPr="00F164C1">
              <w:rPr>
                <w:b/>
                <w:bCs/>
                <w:sz w:val="16"/>
                <w:szCs w:val="16"/>
              </w:rPr>
              <w:t>Observation</w:t>
            </w:r>
          </w:p>
        </w:tc>
      </w:tr>
      <w:tr w:rsidR="00927E1F" w:rsidRPr="00F164C1" w:rsidTr="00927E1F">
        <w:trPr>
          <w:trHeight w:val="776"/>
          <w:jc w:val="center"/>
        </w:trPr>
        <w:tc>
          <w:tcPr>
            <w:tcW w:w="1667" w:type="pct"/>
            <w:shd w:val="clear" w:color="auto" w:fill="auto"/>
          </w:tcPr>
          <w:p w:rsidR="00927E1F" w:rsidRPr="00F164C1" w:rsidRDefault="00927E1F" w:rsidP="00927E1F">
            <w:pPr>
              <w:pStyle w:val="Default"/>
              <w:rPr>
                <w:color w:val="auto"/>
                <w:sz w:val="16"/>
                <w:szCs w:val="16"/>
              </w:rPr>
            </w:pPr>
            <w:r w:rsidRPr="00F164C1">
              <w:rPr>
                <w:color w:val="auto"/>
                <w:sz w:val="16"/>
                <w:szCs w:val="16"/>
              </w:rPr>
              <w:t>Ne pas pouvoir réaliser les travaux avant l’été 2015 dans le bâtiment PCT car les entreprises ne sont pas disponibles dans le délai demandé par l’OMPI.</w:t>
            </w:r>
          </w:p>
        </w:tc>
        <w:tc>
          <w:tcPr>
            <w:tcW w:w="1667" w:type="pct"/>
            <w:shd w:val="clear" w:color="auto" w:fill="auto"/>
          </w:tcPr>
          <w:p w:rsidR="00927E1F" w:rsidRPr="00F164C1" w:rsidRDefault="00927E1F" w:rsidP="00927E1F">
            <w:pPr>
              <w:pStyle w:val="Default"/>
              <w:rPr>
                <w:color w:val="auto"/>
                <w:sz w:val="16"/>
                <w:szCs w:val="16"/>
              </w:rPr>
            </w:pPr>
            <w:r w:rsidRPr="00F164C1">
              <w:rPr>
                <w:color w:val="auto"/>
                <w:sz w:val="16"/>
                <w:szCs w:val="16"/>
              </w:rPr>
              <w:t>Décalage des travaux à octobre</w:t>
            </w:r>
            <w:r w:rsidRPr="00F164C1">
              <w:rPr>
                <w:color w:val="auto"/>
                <w:sz w:val="16"/>
                <w:szCs w:val="16"/>
              </w:rPr>
              <w:noBreakHyphen/>
              <w:t>novembre 2015</w:t>
            </w:r>
          </w:p>
        </w:tc>
        <w:tc>
          <w:tcPr>
            <w:tcW w:w="1666" w:type="pct"/>
            <w:shd w:val="clear" w:color="auto" w:fill="auto"/>
          </w:tcPr>
          <w:p w:rsidR="00927E1F" w:rsidRPr="00F164C1" w:rsidRDefault="00927E1F" w:rsidP="00927E1F">
            <w:pPr>
              <w:autoSpaceDE w:val="0"/>
              <w:autoSpaceDN w:val="0"/>
              <w:adjustRightInd w:val="0"/>
              <w:spacing w:before="40" w:after="40"/>
              <w:rPr>
                <w:sz w:val="16"/>
                <w:szCs w:val="16"/>
                <w:highlight w:val="yellow"/>
              </w:rPr>
            </w:pPr>
            <w:r w:rsidRPr="00F164C1">
              <w:rPr>
                <w:sz w:val="16"/>
                <w:szCs w:val="16"/>
              </w:rPr>
              <w:t xml:space="preserve">Ce risque s’est réalisé.  Le projet a pris du retard.  </w:t>
            </w:r>
          </w:p>
        </w:tc>
      </w:tr>
      <w:tr w:rsidR="00927E1F" w:rsidRPr="00F164C1" w:rsidTr="00927E1F">
        <w:trPr>
          <w:trHeight w:val="776"/>
          <w:jc w:val="center"/>
        </w:trPr>
        <w:tc>
          <w:tcPr>
            <w:tcW w:w="1667" w:type="pct"/>
            <w:shd w:val="clear" w:color="auto" w:fill="auto"/>
          </w:tcPr>
          <w:p w:rsidR="00927E1F" w:rsidRPr="00F164C1" w:rsidRDefault="00927E1F" w:rsidP="00927E1F">
            <w:pPr>
              <w:pStyle w:val="Default"/>
              <w:rPr>
                <w:color w:val="auto"/>
                <w:sz w:val="16"/>
                <w:szCs w:val="16"/>
              </w:rPr>
            </w:pPr>
            <w:r w:rsidRPr="00F164C1">
              <w:rPr>
                <w:color w:val="auto"/>
                <w:sz w:val="16"/>
                <w:szCs w:val="16"/>
              </w:rPr>
              <w:t>Découverte d’un imprévu pendant le chantier PCT, tel qu’un retard des SIG pour leurs travaux d’installation des équipements à l’intérieur du bâtiment PCT ou un problème technique lors du démontage des conduites existantes.</w:t>
            </w:r>
          </w:p>
        </w:tc>
        <w:tc>
          <w:tcPr>
            <w:tcW w:w="1667" w:type="pct"/>
            <w:shd w:val="clear" w:color="auto" w:fill="auto"/>
          </w:tcPr>
          <w:p w:rsidR="00927E1F" w:rsidRPr="00F164C1" w:rsidRDefault="00927E1F" w:rsidP="00927E1F">
            <w:pPr>
              <w:pStyle w:val="Default"/>
              <w:rPr>
                <w:color w:val="auto"/>
                <w:sz w:val="16"/>
                <w:szCs w:val="16"/>
              </w:rPr>
            </w:pPr>
            <w:r w:rsidRPr="00F164C1">
              <w:rPr>
                <w:color w:val="auto"/>
                <w:sz w:val="16"/>
                <w:szCs w:val="16"/>
              </w:rPr>
              <w:t>Réalisation des réparations éventuelles et réactualisation du planning des travaux si nécessaire, y compris pour 2016.</w:t>
            </w:r>
          </w:p>
        </w:tc>
        <w:tc>
          <w:tcPr>
            <w:tcW w:w="1666" w:type="pct"/>
            <w:shd w:val="clear" w:color="auto" w:fill="auto"/>
          </w:tcPr>
          <w:p w:rsidR="00927E1F" w:rsidRPr="00F164C1" w:rsidRDefault="00927E1F" w:rsidP="00927E1F">
            <w:pPr>
              <w:autoSpaceDE w:val="0"/>
              <w:autoSpaceDN w:val="0"/>
              <w:adjustRightInd w:val="0"/>
              <w:spacing w:before="40" w:after="40"/>
              <w:rPr>
                <w:sz w:val="16"/>
                <w:szCs w:val="16"/>
                <w:highlight w:val="yellow"/>
              </w:rPr>
            </w:pPr>
          </w:p>
        </w:tc>
      </w:tr>
      <w:tr w:rsidR="00927E1F" w:rsidRPr="00F164C1" w:rsidTr="00927E1F">
        <w:trPr>
          <w:trHeight w:val="776"/>
          <w:jc w:val="center"/>
        </w:trPr>
        <w:tc>
          <w:tcPr>
            <w:tcW w:w="1667"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Découverte d’un imprévu au cours de la période de garantie des installations, tel qu’une panne due à un équipement défectueux ou à une mauvaise installation.</w:t>
            </w:r>
          </w:p>
        </w:tc>
        <w:tc>
          <w:tcPr>
            <w:tcW w:w="1667"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Réalisation des réparations possibles durant la période de garantie</w:t>
            </w:r>
            <w:r w:rsidRPr="00F164C1" w:rsidDel="003965B5">
              <w:rPr>
                <w:sz w:val="16"/>
                <w:szCs w:val="16"/>
              </w:rPr>
              <w:t>.</w:t>
            </w:r>
          </w:p>
        </w:tc>
        <w:tc>
          <w:tcPr>
            <w:tcW w:w="1666" w:type="pct"/>
            <w:shd w:val="clear" w:color="auto" w:fill="auto"/>
          </w:tcPr>
          <w:p w:rsidR="00927E1F" w:rsidRPr="00F164C1" w:rsidRDefault="00927E1F" w:rsidP="00927E1F">
            <w:pPr>
              <w:autoSpaceDE w:val="0"/>
              <w:autoSpaceDN w:val="0"/>
              <w:adjustRightInd w:val="0"/>
              <w:spacing w:before="40" w:after="40"/>
              <w:rPr>
                <w:sz w:val="16"/>
                <w:szCs w:val="16"/>
                <w:highlight w:val="yellow"/>
              </w:rPr>
            </w:pPr>
          </w:p>
        </w:tc>
      </w:tr>
    </w:tbl>
    <w:p w:rsidR="00927E1F" w:rsidRPr="00F164C1" w:rsidRDefault="00927E1F" w:rsidP="00927E1F">
      <w:pPr>
        <w:autoSpaceDE w:val="0"/>
        <w:autoSpaceDN w:val="0"/>
        <w:jc w:val="both"/>
      </w:pPr>
    </w:p>
    <w:p w:rsidR="00927E1F" w:rsidRPr="00F164C1" w:rsidRDefault="00927E1F" w:rsidP="00927E1F"/>
    <w:p w:rsidR="00927E1F" w:rsidRPr="00F164C1" w:rsidRDefault="00927E1F" w:rsidP="00927E1F">
      <w:pPr>
        <w:rPr>
          <w:sz w:val="22"/>
        </w:rPr>
      </w:pPr>
      <w:r w:rsidRPr="00F164C1">
        <w:rPr>
          <w:sz w:val="22"/>
        </w:rPr>
        <w:br w:type="page"/>
      </w:r>
    </w:p>
    <w:p w:rsidR="00927E1F" w:rsidRPr="00422570" w:rsidRDefault="00927E1F" w:rsidP="00927E1F">
      <w:r w:rsidRPr="00422570">
        <w:lastRenderedPageBreak/>
        <w:t>CALENDRIER DU PROJET PAR ÉTAPE</w:t>
      </w:r>
    </w:p>
    <w:p w:rsidR="00927E1F" w:rsidRPr="00F164C1" w:rsidRDefault="00927E1F" w:rsidP="00927E1F">
      <w:pPr>
        <w:autoSpaceDE w:val="0"/>
        <w:autoSpaceDN w:val="0"/>
        <w:jc w:val="both"/>
      </w:pPr>
    </w:p>
    <w:tbl>
      <w:tblPr>
        <w:tblW w:w="9105" w:type="dxa"/>
        <w:jc w:val="center"/>
        <w:tblInd w:w="-2299" w:type="dxa"/>
        <w:tblCellMar>
          <w:top w:w="113" w:type="dxa"/>
          <w:left w:w="68" w:type="dxa"/>
          <w:bottom w:w="113" w:type="dxa"/>
          <w:right w:w="68" w:type="dxa"/>
        </w:tblCellMar>
        <w:tblLook w:val="04A0" w:firstRow="1" w:lastRow="0" w:firstColumn="1" w:lastColumn="0" w:noHBand="0" w:noVBand="1"/>
      </w:tblPr>
      <w:tblGrid>
        <w:gridCol w:w="4140"/>
        <w:gridCol w:w="496"/>
        <w:gridCol w:w="497"/>
        <w:gridCol w:w="496"/>
        <w:gridCol w:w="498"/>
        <w:gridCol w:w="496"/>
        <w:gridCol w:w="497"/>
        <w:gridCol w:w="496"/>
        <w:gridCol w:w="499"/>
        <w:gridCol w:w="495"/>
        <w:gridCol w:w="495"/>
      </w:tblGrid>
      <w:tr w:rsidR="00927E1F" w:rsidRPr="00F164C1" w:rsidTr="00927E1F">
        <w:trPr>
          <w:cantSplit/>
          <w:jc w:val="center"/>
        </w:trPr>
        <w:tc>
          <w:tcPr>
            <w:tcW w:w="4140" w:type="dxa"/>
            <w:tcBorders>
              <w:top w:val="nil"/>
              <w:left w:val="nil"/>
              <w:bottom w:val="nil"/>
              <w:right w:val="nil"/>
            </w:tcBorders>
            <w:shd w:val="clear" w:color="auto" w:fill="auto"/>
            <w:noWrap/>
            <w:vAlign w:val="bottom"/>
            <w:hideMark/>
          </w:tcPr>
          <w:p w:rsidR="00927E1F" w:rsidRPr="00F164C1" w:rsidRDefault="00927E1F" w:rsidP="00927E1F">
            <w:pPr>
              <w:rPr>
                <w:sz w:val="16"/>
                <w:szCs w:val="16"/>
              </w:rPr>
            </w:pPr>
          </w:p>
        </w:tc>
        <w:tc>
          <w:tcPr>
            <w:tcW w:w="1987" w:type="dxa"/>
            <w:gridSpan w:val="4"/>
            <w:tcBorders>
              <w:top w:val="single" w:sz="8" w:space="0" w:color="auto"/>
              <w:left w:val="single" w:sz="8" w:space="0" w:color="auto"/>
              <w:bottom w:val="single" w:sz="4" w:space="0" w:color="auto"/>
              <w:right w:val="single" w:sz="8" w:space="0" w:color="000000"/>
            </w:tcBorders>
            <w:shd w:val="clear" w:color="auto" w:fill="C6D9F1"/>
            <w:noWrap/>
            <w:vAlign w:val="center"/>
            <w:hideMark/>
          </w:tcPr>
          <w:p w:rsidR="00927E1F" w:rsidRPr="00F164C1" w:rsidRDefault="00927E1F" w:rsidP="00927E1F">
            <w:pPr>
              <w:jc w:val="center"/>
              <w:rPr>
                <w:b/>
                <w:bCs/>
                <w:sz w:val="16"/>
                <w:szCs w:val="16"/>
              </w:rPr>
            </w:pPr>
            <w:r w:rsidRPr="00F164C1">
              <w:rPr>
                <w:b/>
                <w:sz w:val="16"/>
              </w:rPr>
              <w:t>2014</w:t>
            </w:r>
          </w:p>
        </w:tc>
        <w:tc>
          <w:tcPr>
            <w:tcW w:w="1988" w:type="dxa"/>
            <w:gridSpan w:val="4"/>
            <w:tcBorders>
              <w:top w:val="single" w:sz="8" w:space="0" w:color="auto"/>
              <w:left w:val="nil"/>
              <w:bottom w:val="single" w:sz="4" w:space="0" w:color="auto"/>
              <w:right w:val="single" w:sz="8" w:space="0" w:color="000000"/>
            </w:tcBorders>
            <w:shd w:val="clear" w:color="auto" w:fill="C6D9F1"/>
            <w:noWrap/>
            <w:vAlign w:val="center"/>
            <w:hideMark/>
          </w:tcPr>
          <w:p w:rsidR="00927E1F" w:rsidRPr="00F164C1" w:rsidRDefault="00927E1F" w:rsidP="00927E1F">
            <w:pPr>
              <w:jc w:val="center"/>
              <w:rPr>
                <w:b/>
                <w:bCs/>
                <w:sz w:val="16"/>
                <w:szCs w:val="16"/>
              </w:rPr>
            </w:pPr>
            <w:r w:rsidRPr="00F164C1">
              <w:rPr>
                <w:b/>
                <w:sz w:val="16"/>
              </w:rPr>
              <w:t>2015</w:t>
            </w:r>
          </w:p>
        </w:tc>
        <w:tc>
          <w:tcPr>
            <w:tcW w:w="990" w:type="dxa"/>
            <w:gridSpan w:val="2"/>
            <w:tcBorders>
              <w:top w:val="single" w:sz="8" w:space="0" w:color="auto"/>
              <w:left w:val="nil"/>
              <w:bottom w:val="single" w:sz="4" w:space="0" w:color="auto"/>
              <w:right w:val="single" w:sz="8" w:space="0" w:color="000000"/>
            </w:tcBorders>
            <w:shd w:val="clear" w:color="auto" w:fill="C6D9F1"/>
            <w:vAlign w:val="center"/>
          </w:tcPr>
          <w:p w:rsidR="00927E1F" w:rsidRPr="00F164C1" w:rsidRDefault="00927E1F" w:rsidP="00927E1F">
            <w:pPr>
              <w:jc w:val="center"/>
              <w:rPr>
                <w:b/>
                <w:sz w:val="16"/>
              </w:rPr>
            </w:pPr>
            <w:r w:rsidRPr="00F164C1">
              <w:rPr>
                <w:b/>
                <w:sz w:val="16"/>
              </w:rPr>
              <w:t>2016</w:t>
            </w:r>
          </w:p>
        </w:tc>
      </w:tr>
      <w:tr w:rsidR="00927E1F" w:rsidRPr="00F164C1" w:rsidTr="00927E1F">
        <w:trPr>
          <w:cantSplit/>
          <w:jc w:val="center"/>
        </w:trPr>
        <w:tc>
          <w:tcPr>
            <w:tcW w:w="4140" w:type="dxa"/>
            <w:tcBorders>
              <w:top w:val="single" w:sz="8" w:space="0" w:color="auto"/>
              <w:left w:val="single" w:sz="8" w:space="0" w:color="auto"/>
              <w:bottom w:val="single" w:sz="4" w:space="0" w:color="auto"/>
              <w:right w:val="single" w:sz="8" w:space="0" w:color="auto"/>
            </w:tcBorders>
            <w:shd w:val="clear" w:color="auto" w:fill="C6D9F1"/>
            <w:noWrap/>
            <w:vAlign w:val="bottom"/>
            <w:hideMark/>
          </w:tcPr>
          <w:p w:rsidR="00927E1F" w:rsidRPr="00F164C1" w:rsidRDefault="00927E1F" w:rsidP="00927E1F">
            <w:pPr>
              <w:rPr>
                <w:b/>
                <w:bCs/>
                <w:sz w:val="16"/>
                <w:szCs w:val="16"/>
              </w:rPr>
            </w:pPr>
            <w:r w:rsidRPr="00F164C1">
              <w:rPr>
                <w:b/>
                <w:sz w:val="16"/>
              </w:rPr>
              <w:t>Étape principale</w:t>
            </w:r>
          </w:p>
        </w:tc>
        <w:tc>
          <w:tcPr>
            <w:tcW w:w="496" w:type="dxa"/>
            <w:tcBorders>
              <w:top w:val="nil"/>
              <w:left w:val="nil"/>
              <w:bottom w:val="single" w:sz="4" w:space="0" w:color="auto"/>
              <w:right w:val="single" w:sz="4"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T1</w:t>
            </w:r>
          </w:p>
        </w:tc>
        <w:tc>
          <w:tcPr>
            <w:tcW w:w="497" w:type="dxa"/>
            <w:tcBorders>
              <w:top w:val="nil"/>
              <w:left w:val="nil"/>
              <w:bottom w:val="single" w:sz="4" w:space="0" w:color="auto"/>
              <w:right w:val="single" w:sz="4"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T2</w:t>
            </w:r>
          </w:p>
        </w:tc>
        <w:tc>
          <w:tcPr>
            <w:tcW w:w="496" w:type="dxa"/>
            <w:tcBorders>
              <w:top w:val="nil"/>
              <w:left w:val="nil"/>
              <w:bottom w:val="single" w:sz="4" w:space="0" w:color="auto"/>
              <w:right w:val="single" w:sz="4"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T3</w:t>
            </w:r>
          </w:p>
        </w:tc>
        <w:tc>
          <w:tcPr>
            <w:tcW w:w="498" w:type="dxa"/>
            <w:tcBorders>
              <w:top w:val="nil"/>
              <w:left w:val="nil"/>
              <w:bottom w:val="single" w:sz="4" w:space="0" w:color="auto"/>
              <w:right w:val="single" w:sz="8"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T4</w:t>
            </w:r>
          </w:p>
        </w:tc>
        <w:tc>
          <w:tcPr>
            <w:tcW w:w="496" w:type="dxa"/>
            <w:tcBorders>
              <w:top w:val="nil"/>
              <w:left w:val="nil"/>
              <w:bottom w:val="single" w:sz="4" w:space="0" w:color="auto"/>
              <w:right w:val="single" w:sz="4"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T1</w:t>
            </w:r>
          </w:p>
        </w:tc>
        <w:tc>
          <w:tcPr>
            <w:tcW w:w="497" w:type="dxa"/>
            <w:tcBorders>
              <w:top w:val="nil"/>
              <w:left w:val="nil"/>
              <w:bottom w:val="single" w:sz="4" w:space="0" w:color="auto"/>
              <w:right w:val="single" w:sz="4"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T2</w:t>
            </w:r>
          </w:p>
        </w:tc>
        <w:tc>
          <w:tcPr>
            <w:tcW w:w="496" w:type="dxa"/>
            <w:tcBorders>
              <w:top w:val="nil"/>
              <w:left w:val="nil"/>
              <w:bottom w:val="single" w:sz="4" w:space="0" w:color="auto"/>
              <w:right w:val="single" w:sz="4"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T3</w:t>
            </w:r>
          </w:p>
        </w:tc>
        <w:tc>
          <w:tcPr>
            <w:tcW w:w="499" w:type="dxa"/>
            <w:tcBorders>
              <w:top w:val="nil"/>
              <w:left w:val="nil"/>
              <w:bottom w:val="single" w:sz="4" w:space="0" w:color="auto"/>
              <w:right w:val="single" w:sz="8"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T4</w:t>
            </w:r>
          </w:p>
        </w:tc>
        <w:tc>
          <w:tcPr>
            <w:tcW w:w="495" w:type="dxa"/>
            <w:tcBorders>
              <w:top w:val="nil"/>
              <w:left w:val="nil"/>
              <w:bottom w:val="single" w:sz="4" w:space="0" w:color="auto"/>
              <w:right w:val="single" w:sz="8" w:space="0" w:color="auto"/>
            </w:tcBorders>
            <w:shd w:val="clear" w:color="auto" w:fill="C6D9F1"/>
            <w:vAlign w:val="bottom"/>
          </w:tcPr>
          <w:p w:rsidR="00927E1F" w:rsidRPr="00F164C1" w:rsidRDefault="00927E1F" w:rsidP="00927E1F">
            <w:pPr>
              <w:rPr>
                <w:b/>
                <w:bCs/>
                <w:sz w:val="16"/>
                <w:szCs w:val="16"/>
              </w:rPr>
            </w:pPr>
            <w:r w:rsidRPr="00F164C1">
              <w:rPr>
                <w:b/>
                <w:bCs/>
                <w:sz w:val="16"/>
                <w:szCs w:val="16"/>
              </w:rPr>
              <w:t>T1</w:t>
            </w:r>
          </w:p>
        </w:tc>
        <w:tc>
          <w:tcPr>
            <w:tcW w:w="495" w:type="dxa"/>
            <w:tcBorders>
              <w:top w:val="nil"/>
              <w:left w:val="nil"/>
              <w:bottom w:val="single" w:sz="4" w:space="0" w:color="auto"/>
              <w:right w:val="single" w:sz="8" w:space="0" w:color="auto"/>
            </w:tcBorders>
            <w:shd w:val="clear" w:color="auto" w:fill="C6D9F1"/>
            <w:vAlign w:val="bottom"/>
          </w:tcPr>
          <w:p w:rsidR="00927E1F" w:rsidRPr="00F164C1" w:rsidRDefault="00927E1F" w:rsidP="00927E1F">
            <w:pPr>
              <w:rPr>
                <w:b/>
                <w:bCs/>
                <w:sz w:val="16"/>
                <w:szCs w:val="16"/>
              </w:rPr>
            </w:pPr>
            <w:r w:rsidRPr="00F164C1">
              <w:rPr>
                <w:b/>
                <w:bCs/>
                <w:sz w:val="16"/>
                <w:szCs w:val="16"/>
              </w:rPr>
              <w:t>T2</w:t>
            </w:r>
          </w:p>
        </w:tc>
      </w:tr>
      <w:tr w:rsidR="00927E1F" w:rsidRPr="00F164C1" w:rsidTr="00927E1F">
        <w:trPr>
          <w:cantSplit/>
          <w:jc w:val="center"/>
        </w:trPr>
        <w:tc>
          <w:tcPr>
            <w:tcW w:w="4140" w:type="dxa"/>
            <w:tcBorders>
              <w:top w:val="nil"/>
              <w:left w:val="single" w:sz="8" w:space="0" w:color="auto"/>
              <w:bottom w:val="single" w:sz="4" w:space="0" w:color="auto"/>
              <w:right w:val="single" w:sz="8" w:space="0" w:color="auto"/>
            </w:tcBorders>
            <w:shd w:val="clear" w:color="auto" w:fill="auto"/>
            <w:noWrap/>
            <w:vAlign w:val="center"/>
            <w:hideMark/>
          </w:tcPr>
          <w:p w:rsidR="00927E1F" w:rsidRPr="00F164C1" w:rsidRDefault="00927E1F" w:rsidP="00927E1F">
            <w:pPr>
              <w:rPr>
                <w:sz w:val="16"/>
                <w:szCs w:val="16"/>
              </w:rPr>
            </w:pPr>
            <w:r w:rsidRPr="00F164C1">
              <w:rPr>
                <w:sz w:val="16"/>
              </w:rPr>
              <w:t>Attribution du contrat à l’ingénieur CVC (bâtiments AB et du PCT)</w:t>
            </w:r>
          </w:p>
        </w:tc>
        <w:tc>
          <w:tcPr>
            <w:tcW w:w="496"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p>
        </w:tc>
        <w:tc>
          <w:tcPr>
            <w:tcW w:w="497"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r w:rsidRPr="00F164C1">
              <w:rPr>
                <w:sz w:val="16"/>
                <w:szCs w:val="16"/>
              </w:rPr>
              <w:t>X</w:t>
            </w:r>
          </w:p>
        </w:tc>
        <w:tc>
          <w:tcPr>
            <w:tcW w:w="496"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p>
        </w:tc>
        <w:tc>
          <w:tcPr>
            <w:tcW w:w="498"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jc w:val="center"/>
              <w:rPr>
                <w:sz w:val="16"/>
                <w:szCs w:val="16"/>
              </w:rPr>
            </w:pPr>
          </w:p>
        </w:tc>
        <w:tc>
          <w:tcPr>
            <w:tcW w:w="496"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p>
        </w:tc>
        <w:tc>
          <w:tcPr>
            <w:tcW w:w="497"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p>
        </w:tc>
        <w:tc>
          <w:tcPr>
            <w:tcW w:w="496"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p>
        </w:tc>
        <w:tc>
          <w:tcPr>
            <w:tcW w:w="499"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jc w:val="center"/>
              <w:rPr>
                <w:sz w:val="16"/>
                <w:szCs w:val="16"/>
              </w:rPr>
            </w:pPr>
          </w:p>
        </w:tc>
        <w:tc>
          <w:tcPr>
            <w:tcW w:w="495" w:type="dxa"/>
            <w:tcBorders>
              <w:top w:val="nil"/>
              <w:left w:val="nil"/>
              <w:bottom w:val="single" w:sz="4" w:space="0" w:color="auto"/>
              <w:right w:val="single" w:sz="8" w:space="0" w:color="auto"/>
            </w:tcBorders>
            <w:vAlign w:val="center"/>
          </w:tcPr>
          <w:p w:rsidR="00927E1F" w:rsidRPr="00F164C1" w:rsidRDefault="00927E1F" w:rsidP="00927E1F">
            <w:pPr>
              <w:jc w:val="center"/>
              <w:rPr>
                <w:sz w:val="16"/>
                <w:szCs w:val="16"/>
              </w:rPr>
            </w:pPr>
          </w:p>
        </w:tc>
        <w:tc>
          <w:tcPr>
            <w:tcW w:w="495" w:type="dxa"/>
            <w:tcBorders>
              <w:top w:val="nil"/>
              <w:left w:val="nil"/>
              <w:bottom w:val="single" w:sz="4" w:space="0" w:color="auto"/>
              <w:right w:val="single" w:sz="8" w:space="0" w:color="auto"/>
            </w:tcBorders>
            <w:vAlign w:val="center"/>
          </w:tcPr>
          <w:p w:rsidR="00927E1F" w:rsidRPr="00F164C1" w:rsidRDefault="00927E1F" w:rsidP="00927E1F">
            <w:pPr>
              <w:jc w:val="center"/>
              <w:rPr>
                <w:sz w:val="16"/>
                <w:szCs w:val="16"/>
              </w:rPr>
            </w:pPr>
          </w:p>
        </w:tc>
      </w:tr>
      <w:tr w:rsidR="00927E1F" w:rsidRPr="00F164C1" w:rsidTr="00927E1F">
        <w:trPr>
          <w:cantSplit/>
          <w:jc w:val="center"/>
        </w:trPr>
        <w:tc>
          <w:tcPr>
            <w:tcW w:w="4140" w:type="dxa"/>
            <w:tcBorders>
              <w:top w:val="nil"/>
              <w:left w:val="single" w:sz="8" w:space="0" w:color="auto"/>
              <w:bottom w:val="single" w:sz="4" w:space="0" w:color="auto"/>
              <w:right w:val="single" w:sz="8" w:space="0" w:color="auto"/>
            </w:tcBorders>
            <w:shd w:val="clear" w:color="auto" w:fill="auto"/>
            <w:noWrap/>
            <w:vAlign w:val="center"/>
            <w:hideMark/>
          </w:tcPr>
          <w:p w:rsidR="00927E1F" w:rsidRPr="00F164C1" w:rsidRDefault="00927E1F" w:rsidP="00927E1F">
            <w:pPr>
              <w:rPr>
                <w:sz w:val="16"/>
                <w:szCs w:val="16"/>
              </w:rPr>
            </w:pPr>
            <w:r w:rsidRPr="00F164C1">
              <w:rPr>
                <w:sz w:val="16"/>
              </w:rPr>
              <w:t>Demandes d’offres entreprises (</w:t>
            </w:r>
            <w:r>
              <w:rPr>
                <w:sz w:val="16"/>
              </w:rPr>
              <w:t xml:space="preserve">bâtiment </w:t>
            </w:r>
            <w:r w:rsidRPr="00F164C1">
              <w:rPr>
                <w:sz w:val="16"/>
              </w:rPr>
              <w:t>AB)</w:t>
            </w:r>
          </w:p>
        </w:tc>
        <w:tc>
          <w:tcPr>
            <w:tcW w:w="496"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p>
        </w:tc>
        <w:tc>
          <w:tcPr>
            <w:tcW w:w="497"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r w:rsidRPr="00F164C1">
              <w:rPr>
                <w:sz w:val="16"/>
                <w:szCs w:val="16"/>
              </w:rPr>
              <w:t>X</w:t>
            </w:r>
          </w:p>
        </w:tc>
        <w:tc>
          <w:tcPr>
            <w:tcW w:w="496"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p>
        </w:tc>
        <w:tc>
          <w:tcPr>
            <w:tcW w:w="498"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jc w:val="center"/>
              <w:rPr>
                <w:sz w:val="16"/>
                <w:szCs w:val="16"/>
              </w:rPr>
            </w:pPr>
          </w:p>
        </w:tc>
        <w:tc>
          <w:tcPr>
            <w:tcW w:w="496"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p>
        </w:tc>
        <w:tc>
          <w:tcPr>
            <w:tcW w:w="497"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p>
        </w:tc>
        <w:tc>
          <w:tcPr>
            <w:tcW w:w="496"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p>
        </w:tc>
        <w:tc>
          <w:tcPr>
            <w:tcW w:w="499"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jc w:val="center"/>
              <w:rPr>
                <w:sz w:val="16"/>
                <w:szCs w:val="16"/>
              </w:rPr>
            </w:pPr>
          </w:p>
        </w:tc>
        <w:tc>
          <w:tcPr>
            <w:tcW w:w="495" w:type="dxa"/>
            <w:tcBorders>
              <w:top w:val="nil"/>
              <w:left w:val="nil"/>
              <w:bottom w:val="single" w:sz="4" w:space="0" w:color="auto"/>
              <w:right w:val="single" w:sz="8" w:space="0" w:color="auto"/>
            </w:tcBorders>
            <w:vAlign w:val="center"/>
          </w:tcPr>
          <w:p w:rsidR="00927E1F" w:rsidRPr="00F164C1" w:rsidRDefault="00927E1F" w:rsidP="00927E1F">
            <w:pPr>
              <w:jc w:val="center"/>
              <w:rPr>
                <w:sz w:val="16"/>
                <w:szCs w:val="16"/>
              </w:rPr>
            </w:pPr>
          </w:p>
        </w:tc>
        <w:tc>
          <w:tcPr>
            <w:tcW w:w="495" w:type="dxa"/>
            <w:tcBorders>
              <w:top w:val="nil"/>
              <w:left w:val="nil"/>
              <w:bottom w:val="single" w:sz="4" w:space="0" w:color="auto"/>
              <w:right w:val="single" w:sz="8" w:space="0" w:color="auto"/>
            </w:tcBorders>
            <w:vAlign w:val="center"/>
          </w:tcPr>
          <w:p w:rsidR="00927E1F" w:rsidRPr="00F164C1" w:rsidRDefault="00927E1F" w:rsidP="00927E1F">
            <w:pPr>
              <w:jc w:val="center"/>
              <w:rPr>
                <w:sz w:val="16"/>
                <w:szCs w:val="16"/>
              </w:rPr>
            </w:pPr>
          </w:p>
        </w:tc>
      </w:tr>
      <w:tr w:rsidR="00927E1F" w:rsidRPr="00F164C1" w:rsidTr="00927E1F">
        <w:trPr>
          <w:cantSplit/>
          <w:jc w:val="center"/>
        </w:trPr>
        <w:tc>
          <w:tcPr>
            <w:tcW w:w="4140" w:type="dxa"/>
            <w:tcBorders>
              <w:top w:val="nil"/>
              <w:left w:val="single" w:sz="8" w:space="0" w:color="auto"/>
              <w:bottom w:val="single" w:sz="4" w:space="0" w:color="auto"/>
              <w:right w:val="single" w:sz="8" w:space="0" w:color="auto"/>
            </w:tcBorders>
            <w:shd w:val="clear" w:color="auto" w:fill="auto"/>
            <w:noWrap/>
            <w:vAlign w:val="center"/>
            <w:hideMark/>
          </w:tcPr>
          <w:p w:rsidR="00927E1F" w:rsidRPr="00F164C1" w:rsidRDefault="00927E1F" w:rsidP="00927E1F">
            <w:pPr>
              <w:rPr>
                <w:sz w:val="16"/>
                <w:szCs w:val="16"/>
              </w:rPr>
            </w:pPr>
            <w:r w:rsidRPr="00F164C1">
              <w:rPr>
                <w:sz w:val="16"/>
              </w:rPr>
              <w:t>Exécution et mise en route des travaux (bâtiment AB)</w:t>
            </w:r>
          </w:p>
        </w:tc>
        <w:tc>
          <w:tcPr>
            <w:tcW w:w="496"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p>
        </w:tc>
        <w:tc>
          <w:tcPr>
            <w:tcW w:w="497"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p>
        </w:tc>
        <w:tc>
          <w:tcPr>
            <w:tcW w:w="496"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r w:rsidRPr="00F164C1">
              <w:rPr>
                <w:sz w:val="16"/>
                <w:szCs w:val="16"/>
              </w:rPr>
              <w:t>X</w:t>
            </w:r>
          </w:p>
        </w:tc>
        <w:tc>
          <w:tcPr>
            <w:tcW w:w="498"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jc w:val="center"/>
              <w:rPr>
                <w:sz w:val="16"/>
                <w:szCs w:val="16"/>
              </w:rPr>
            </w:pPr>
          </w:p>
        </w:tc>
        <w:tc>
          <w:tcPr>
            <w:tcW w:w="496"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p>
        </w:tc>
        <w:tc>
          <w:tcPr>
            <w:tcW w:w="497"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p>
        </w:tc>
        <w:tc>
          <w:tcPr>
            <w:tcW w:w="496"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p>
        </w:tc>
        <w:tc>
          <w:tcPr>
            <w:tcW w:w="499"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jc w:val="center"/>
              <w:rPr>
                <w:sz w:val="16"/>
                <w:szCs w:val="16"/>
              </w:rPr>
            </w:pPr>
          </w:p>
        </w:tc>
        <w:tc>
          <w:tcPr>
            <w:tcW w:w="495" w:type="dxa"/>
            <w:tcBorders>
              <w:top w:val="nil"/>
              <w:left w:val="nil"/>
              <w:bottom w:val="single" w:sz="4" w:space="0" w:color="auto"/>
              <w:right w:val="single" w:sz="8" w:space="0" w:color="auto"/>
            </w:tcBorders>
            <w:vAlign w:val="center"/>
          </w:tcPr>
          <w:p w:rsidR="00927E1F" w:rsidRPr="00F164C1" w:rsidRDefault="00927E1F" w:rsidP="00927E1F">
            <w:pPr>
              <w:jc w:val="center"/>
              <w:rPr>
                <w:sz w:val="16"/>
                <w:szCs w:val="16"/>
              </w:rPr>
            </w:pPr>
          </w:p>
        </w:tc>
        <w:tc>
          <w:tcPr>
            <w:tcW w:w="495" w:type="dxa"/>
            <w:tcBorders>
              <w:top w:val="nil"/>
              <w:left w:val="nil"/>
              <w:bottom w:val="single" w:sz="4" w:space="0" w:color="auto"/>
              <w:right w:val="single" w:sz="8" w:space="0" w:color="auto"/>
            </w:tcBorders>
            <w:vAlign w:val="center"/>
          </w:tcPr>
          <w:p w:rsidR="00927E1F" w:rsidRPr="00F164C1" w:rsidRDefault="00927E1F" w:rsidP="00927E1F">
            <w:pPr>
              <w:jc w:val="center"/>
              <w:rPr>
                <w:sz w:val="16"/>
                <w:szCs w:val="16"/>
              </w:rPr>
            </w:pPr>
          </w:p>
        </w:tc>
      </w:tr>
      <w:tr w:rsidR="00927E1F" w:rsidRPr="00F164C1" w:rsidTr="00927E1F">
        <w:trPr>
          <w:cantSplit/>
          <w:jc w:val="center"/>
        </w:trPr>
        <w:tc>
          <w:tcPr>
            <w:tcW w:w="4140" w:type="dxa"/>
            <w:tcBorders>
              <w:top w:val="nil"/>
              <w:left w:val="single" w:sz="8" w:space="0" w:color="auto"/>
              <w:bottom w:val="single" w:sz="4" w:space="0" w:color="auto"/>
              <w:right w:val="single" w:sz="8" w:space="0" w:color="auto"/>
            </w:tcBorders>
            <w:shd w:val="clear" w:color="auto" w:fill="auto"/>
            <w:noWrap/>
            <w:vAlign w:val="center"/>
            <w:hideMark/>
          </w:tcPr>
          <w:p w:rsidR="00927E1F" w:rsidRPr="00F164C1" w:rsidRDefault="00927E1F" w:rsidP="00927E1F">
            <w:pPr>
              <w:rPr>
                <w:sz w:val="16"/>
                <w:szCs w:val="16"/>
              </w:rPr>
            </w:pPr>
            <w:r w:rsidRPr="00F164C1">
              <w:rPr>
                <w:sz w:val="16"/>
              </w:rPr>
              <w:t>Validation du projet avec l’ingénieur CVC (</w:t>
            </w:r>
            <w:r>
              <w:rPr>
                <w:sz w:val="16"/>
              </w:rPr>
              <w:t>bâtiment du </w:t>
            </w:r>
            <w:r w:rsidRPr="00F164C1">
              <w:rPr>
                <w:sz w:val="16"/>
              </w:rPr>
              <w:t>PCT)</w:t>
            </w:r>
          </w:p>
        </w:tc>
        <w:tc>
          <w:tcPr>
            <w:tcW w:w="496"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p>
        </w:tc>
        <w:tc>
          <w:tcPr>
            <w:tcW w:w="497"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p>
        </w:tc>
        <w:tc>
          <w:tcPr>
            <w:tcW w:w="496"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p>
        </w:tc>
        <w:tc>
          <w:tcPr>
            <w:tcW w:w="498"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jc w:val="center"/>
              <w:rPr>
                <w:sz w:val="16"/>
                <w:szCs w:val="16"/>
              </w:rPr>
            </w:pPr>
            <w:r w:rsidRPr="00F164C1">
              <w:rPr>
                <w:sz w:val="16"/>
                <w:szCs w:val="16"/>
              </w:rPr>
              <w:t>X</w:t>
            </w:r>
          </w:p>
        </w:tc>
        <w:tc>
          <w:tcPr>
            <w:tcW w:w="496"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p>
        </w:tc>
        <w:tc>
          <w:tcPr>
            <w:tcW w:w="497"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p>
        </w:tc>
        <w:tc>
          <w:tcPr>
            <w:tcW w:w="496"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jc w:val="center"/>
              <w:rPr>
                <w:sz w:val="16"/>
                <w:szCs w:val="16"/>
              </w:rPr>
            </w:pPr>
          </w:p>
        </w:tc>
        <w:tc>
          <w:tcPr>
            <w:tcW w:w="499"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jc w:val="center"/>
              <w:rPr>
                <w:sz w:val="16"/>
                <w:szCs w:val="16"/>
              </w:rPr>
            </w:pPr>
          </w:p>
        </w:tc>
        <w:tc>
          <w:tcPr>
            <w:tcW w:w="495" w:type="dxa"/>
            <w:tcBorders>
              <w:top w:val="nil"/>
              <w:left w:val="nil"/>
              <w:bottom w:val="single" w:sz="4" w:space="0" w:color="auto"/>
              <w:right w:val="single" w:sz="8" w:space="0" w:color="auto"/>
            </w:tcBorders>
            <w:vAlign w:val="center"/>
          </w:tcPr>
          <w:p w:rsidR="00927E1F" w:rsidRPr="00F164C1" w:rsidRDefault="00927E1F" w:rsidP="00927E1F">
            <w:pPr>
              <w:jc w:val="center"/>
              <w:rPr>
                <w:sz w:val="16"/>
                <w:szCs w:val="16"/>
              </w:rPr>
            </w:pPr>
          </w:p>
        </w:tc>
        <w:tc>
          <w:tcPr>
            <w:tcW w:w="495" w:type="dxa"/>
            <w:tcBorders>
              <w:top w:val="nil"/>
              <w:left w:val="nil"/>
              <w:bottom w:val="single" w:sz="4" w:space="0" w:color="auto"/>
              <w:right w:val="single" w:sz="8" w:space="0" w:color="auto"/>
            </w:tcBorders>
            <w:vAlign w:val="center"/>
          </w:tcPr>
          <w:p w:rsidR="00927E1F" w:rsidRPr="00F164C1" w:rsidRDefault="00927E1F" w:rsidP="00927E1F">
            <w:pPr>
              <w:jc w:val="center"/>
              <w:rPr>
                <w:sz w:val="16"/>
                <w:szCs w:val="16"/>
              </w:rPr>
            </w:pPr>
          </w:p>
        </w:tc>
      </w:tr>
      <w:tr w:rsidR="00927E1F" w:rsidRPr="00F164C1" w:rsidTr="00927E1F">
        <w:trPr>
          <w:cantSplit/>
          <w:jc w:val="center"/>
        </w:trPr>
        <w:tc>
          <w:tcPr>
            <w:tcW w:w="4140" w:type="dxa"/>
            <w:tcBorders>
              <w:top w:val="nil"/>
              <w:left w:val="single" w:sz="8" w:space="0" w:color="auto"/>
              <w:bottom w:val="single" w:sz="4" w:space="0" w:color="auto"/>
              <w:right w:val="single" w:sz="8" w:space="0" w:color="auto"/>
            </w:tcBorders>
            <w:shd w:val="clear" w:color="auto" w:fill="auto"/>
            <w:noWrap/>
            <w:vAlign w:val="center"/>
          </w:tcPr>
          <w:p w:rsidR="00927E1F" w:rsidRPr="00F164C1" w:rsidRDefault="00927E1F" w:rsidP="00927E1F">
            <w:pPr>
              <w:rPr>
                <w:sz w:val="16"/>
                <w:szCs w:val="16"/>
              </w:rPr>
            </w:pPr>
            <w:r w:rsidRPr="00F164C1">
              <w:rPr>
                <w:sz w:val="16"/>
              </w:rPr>
              <w:t>Appels d’offres entreprises (</w:t>
            </w:r>
            <w:r>
              <w:rPr>
                <w:sz w:val="16"/>
              </w:rPr>
              <w:t>bâtiment du </w:t>
            </w:r>
            <w:r w:rsidRPr="00F164C1">
              <w:rPr>
                <w:sz w:val="16"/>
              </w:rPr>
              <w:t>PCT)</w:t>
            </w:r>
          </w:p>
        </w:tc>
        <w:tc>
          <w:tcPr>
            <w:tcW w:w="496"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jc w:val="center"/>
              <w:rPr>
                <w:sz w:val="16"/>
                <w:szCs w:val="16"/>
              </w:rPr>
            </w:pPr>
          </w:p>
        </w:tc>
        <w:tc>
          <w:tcPr>
            <w:tcW w:w="497"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jc w:val="center"/>
              <w:rPr>
                <w:sz w:val="16"/>
                <w:szCs w:val="16"/>
              </w:rPr>
            </w:pPr>
          </w:p>
        </w:tc>
        <w:tc>
          <w:tcPr>
            <w:tcW w:w="496"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jc w:val="center"/>
              <w:rPr>
                <w:sz w:val="16"/>
                <w:szCs w:val="16"/>
              </w:rPr>
            </w:pPr>
          </w:p>
        </w:tc>
        <w:tc>
          <w:tcPr>
            <w:tcW w:w="498" w:type="dxa"/>
            <w:tcBorders>
              <w:top w:val="nil"/>
              <w:left w:val="nil"/>
              <w:bottom w:val="single" w:sz="4" w:space="0" w:color="auto"/>
              <w:right w:val="single" w:sz="8" w:space="0" w:color="auto"/>
            </w:tcBorders>
            <w:shd w:val="clear" w:color="auto" w:fill="auto"/>
            <w:noWrap/>
            <w:vAlign w:val="center"/>
          </w:tcPr>
          <w:p w:rsidR="00927E1F" w:rsidRPr="00F164C1" w:rsidRDefault="00927E1F" w:rsidP="00927E1F">
            <w:pPr>
              <w:jc w:val="center"/>
              <w:rPr>
                <w:sz w:val="16"/>
                <w:szCs w:val="16"/>
              </w:rPr>
            </w:pPr>
          </w:p>
        </w:tc>
        <w:tc>
          <w:tcPr>
            <w:tcW w:w="496"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jc w:val="center"/>
              <w:rPr>
                <w:sz w:val="16"/>
                <w:szCs w:val="16"/>
              </w:rPr>
            </w:pPr>
            <w:r w:rsidRPr="00F164C1">
              <w:rPr>
                <w:sz w:val="16"/>
                <w:szCs w:val="16"/>
              </w:rPr>
              <w:t>X</w:t>
            </w:r>
          </w:p>
        </w:tc>
        <w:tc>
          <w:tcPr>
            <w:tcW w:w="497"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jc w:val="center"/>
              <w:rPr>
                <w:sz w:val="16"/>
                <w:szCs w:val="16"/>
              </w:rPr>
            </w:pPr>
            <w:r w:rsidRPr="00F164C1">
              <w:rPr>
                <w:sz w:val="16"/>
                <w:szCs w:val="16"/>
              </w:rPr>
              <w:t>X</w:t>
            </w:r>
          </w:p>
        </w:tc>
        <w:tc>
          <w:tcPr>
            <w:tcW w:w="496"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jc w:val="center"/>
              <w:rPr>
                <w:sz w:val="16"/>
                <w:szCs w:val="16"/>
              </w:rPr>
            </w:pPr>
          </w:p>
        </w:tc>
        <w:tc>
          <w:tcPr>
            <w:tcW w:w="499" w:type="dxa"/>
            <w:tcBorders>
              <w:top w:val="nil"/>
              <w:left w:val="nil"/>
              <w:bottom w:val="single" w:sz="4" w:space="0" w:color="auto"/>
              <w:right w:val="single" w:sz="8" w:space="0" w:color="auto"/>
            </w:tcBorders>
            <w:shd w:val="clear" w:color="auto" w:fill="auto"/>
            <w:noWrap/>
            <w:vAlign w:val="center"/>
          </w:tcPr>
          <w:p w:rsidR="00927E1F" w:rsidRPr="00F164C1" w:rsidRDefault="00927E1F" w:rsidP="00927E1F">
            <w:pPr>
              <w:jc w:val="center"/>
              <w:rPr>
                <w:sz w:val="16"/>
                <w:szCs w:val="16"/>
              </w:rPr>
            </w:pPr>
          </w:p>
        </w:tc>
        <w:tc>
          <w:tcPr>
            <w:tcW w:w="495" w:type="dxa"/>
            <w:tcBorders>
              <w:top w:val="nil"/>
              <w:left w:val="nil"/>
              <w:bottom w:val="single" w:sz="4" w:space="0" w:color="auto"/>
              <w:right w:val="single" w:sz="8" w:space="0" w:color="auto"/>
            </w:tcBorders>
            <w:vAlign w:val="center"/>
          </w:tcPr>
          <w:p w:rsidR="00927E1F" w:rsidRPr="00F164C1" w:rsidRDefault="00927E1F" w:rsidP="00927E1F">
            <w:pPr>
              <w:jc w:val="center"/>
              <w:rPr>
                <w:sz w:val="16"/>
                <w:szCs w:val="16"/>
              </w:rPr>
            </w:pPr>
          </w:p>
        </w:tc>
        <w:tc>
          <w:tcPr>
            <w:tcW w:w="495" w:type="dxa"/>
            <w:tcBorders>
              <w:top w:val="nil"/>
              <w:left w:val="nil"/>
              <w:bottom w:val="single" w:sz="4" w:space="0" w:color="auto"/>
              <w:right w:val="single" w:sz="8" w:space="0" w:color="auto"/>
            </w:tcBorders>
            <w:vAlign w:val="center"/>
          </w:tcPr>
          <w:p w:rsidR="00927E1F" w:rsidRPr="00F164C1" w:rsidRDefault="00927E1F" w:rsidP="00927E1F">
            <w:pPr>
              <w:jc w:val="center"/>
              <w:rPr>
                <w:sz w:val="16"/>
                <w:szCs w:val="16"/>
              </w:rPr>
            </w:pPr>
          </w:p>
        </w:tc>
      </w:tr>
      <w:tr w:rsidR="00927E1F" w:rsidRPr="00F164C1" w:rsidTr="00927E1F">
        <w:trPr>
          <w:cantSplit/>
          <w:jc w:val="center"/>
        </w:trPr>
        <w:tc>
          <w:tcPr>
            <w:tcW w:w="4140" w:type="dxa"/>
            <w:tcBorders>
              <w:top w:val="nil"/>
              <w:left w:val="single" w:sz="8" w:space="0" w:color="auto"/>
              <w:bottom w:val="single" w:sz="4" w:space="0" w:color="auto"/>
              <w:right w:val="single" w:sz="8" w:space="0" w:color="auto"/>
            </w:tcBorders>
            <w:shd w:val="clear" w:color="auto" w:fill="auto"/>
            <w:noWrap/>
            <w:vAlign w:val="center"/>
          </w:tcPr>
          <w:p w:rsidR="00927E1F" w:rsidRPr="00F164C1" w:rsidRDefault="00927E1F" w:rsidP="00927E1F">
            <w:pPr>
              <w:rPr>
                <w:sz w:val="16"/>
                <w:szCs w:val="16"/>
              </w:rPr>
            </w:pPr>
            <w:r w:rsidRPr="00F164C1">
              <w:rPr>
                <w:sz w:val="16"/>
              </w:rPr>
              <w:t>Exécution et mise en route des travaux (bâtiment du PCT)</w:t>
            </w:r>
          </w:p>
        </w:tc>
        <w:tc>
          <w:tcPr>
            <w:tcW w:w="496"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jc w:val="center"/>
              <w:rPr>
                <w:sz w:val="16"/>
                <w:szCs w:val="16"/>
              </w:rPr>
            </w:pPr>
          </w:p>
        </w:tc>
        <w:tc>
          <w:tcPr>
            <w:tcW w:w="497"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jc w:val="center"/>
              <w:rPr>
                <w:sz w:val="16"/>
                <w:szCs w:val="16"/>
              </w:rPr>
            </w:pPr>
          </w:p>
        </w:tc>
        <w:tc>
          <w:tcPr>
            <w:tcW w:w="496"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jc w:val="center"/>
              <w:rPr>
                <w:sz w:val="16"/>
                <w:szCs w:val="16"/>
              </w:rPr>
            </w:pPr>
          </w:p>
        </w:tc>
        <w:tc>
          <w:tcPr>
            <w:tcW w:w="498" w:type="dxa"/>
            <w:tcBorders>
              <w:top w:val="nil"/>
              <w:left w:val="nil"/>
              <w:bottom w:val="single" w:sz="4" w:space="0" w:color="auto"/>
              <w:right w:val="single" w:sz="8" w:space="0" w:color="auto"/>
            </w:tcBorders>
            <w:shd w:val="clear" w:color="auto" w:fill="auto"/>
            <w:noWrap/>
            <w:vAlign w:val="center"/>
          </w:tcPr>
          <w:p w:rsidR="00927E1F" w:rsidRPr="00F164C1" w:rsidRDefault="00927E1F" w:rsidP="00927E1F">
            <w:pPr>
              <w:jc w:val="center"/>
              <w:rPr>
                <w:sz w:val="16"/>
                <w:szCs w:val="16"/>
              </w:rPr>
            </w:pPr>
          </w:p>
        </w:tc>
        <w:tc>
          <w:tcPr>
            <w:tcW w:w="496"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jc w:val="center"/>
              <w:rPr>
                <w:sz w:val="16"/>
                <w:szCs w:val="16"/>
              </w:rPr>
            </w:pPr>
          </w:p>
        </w:tc>
        <w:tc>
          <w:tcPr>
            <w:tcW w:w="497"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jc w:val="center"/>
              <w:rPr>
                <w:sz w:val="16"/>
                <w:szCs w:val="16"/>
              </w:rPr>
            </w:pPr>
            <w:r w:rsidRPr="00F164C1">
              <w:rPr>
                <w:sz w:val="16"/>
                <w:szCs w:val="16"/>
              </w:rPr>
              <w:t>X</w:t>
            </w:r>
          </w:p>
        </w:tc>
        <w:tc>
          <w:tcPr>
            <w:tcW w:w="496"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jc w:val="center"/>
              <w:rPr>
                <w:sz w:val="16"/>
                <w:szCs w:val="16"/>
              </w:rPr>
            </w:pPr>
            <w:r w:rsidRPr="00F164C1">
              <w:rPr>
                <w:sz w:val="16"/>
                <w:szCs w:val="16"/>
              </w:rPr>
              <w:t>X</w:t>
            </w:r>
          </w:p>
        </w:tc>
        <w:tc>
          <w:tcPr>
            <w:tcW w:w="499" w:type="dxa"/>
            <w:tcBorders>
              <w:top w:val="nil"/>
              <w:left w:val="nil"/>
              <w:bottom w:val="single" w:sz="4" w:space="0" w:color="auto"/>
              <w:right w:val="single" w:sz="8" w:space="0" w:color="auto"/>
            </w:tcBorders>
            <w:shd w:val="clear" w:color="auto" w:fill="auto"/>
            <w:noWrap/>
            <w:vAlign w:val="center"/>
          </w:tcPr>
          <w:p w:rsidR="00927E1F" w:rsidRPr="00F164C1" w:rsidRDefault="00927E1F" w:rsidP="00927E1F">
            <w:pPr>
              <w:jc w:val="center"/>
              <w:rPr>
                <w:sz w:val="16"/>
                <w:szCs w:val="16"/>
              </w:rPr>
            </w:pPr>
            <w:r w:rsidRPr="00F164C1">
              <w:rPr>
                <w:sz w:val="16"/>
                <w:szCs w:val="16"/>
              </w:rPr>
              <w:t>X</w:t>
            </w:r>
          </w:p>
        </w:tc>
        <w:tc>
          <w:tcPr>
            <w:tcW w:w="495" w:type="dxa"/>
            <w:tcBorders>
              <w:top w:val="nil"/>
              <w:left w:val="nil"/>
              <w:bottom w:val="single" w:sz="4" w:space="0" w:color="auto"/>
              <w:right w:val="single" w:sz="8" w:space="0" w:color="auto"/>
            </w:tcBorders>
            <w:vAlign w:val="center"/>
          </w:tcPr>
          <w:p w:rsidR="00927E1F" w:rsidRPr="00F164C1" w:rsidRDefault="00927E1F" w:rsidP="00927E1F">
            <w:pPr>
              <w:jc w:val="center"/>
              <w:rPr>
                <w:sz w:val="16"/>
                <w:szCs w:val="16"/>
              </w:rPr>
            </w:pPr>
            <w:r w:rsidRPr="00F164C1">
              <w:rPr>
                <w:sz w:val="16"/>
                <w:szCs w:val="16"/>
              </w:rPr>
              <w:t>X</w:t>
            </w:r>
          </w:p>
        </w:tc>
        <w:tc>
          <w:tcPr>
            <w:tcW w:w="495" w:type="dxa"/>
            <w:tcBorders>
              <w:top w:val="nil"/>
              <w:left w:val="nil"/>
              <w:bottom w:val="single" w:sz="4" w:space="0" w:color="auto"/>
              <w:right w:val="single" w:sz="8" w:space="0" w:color="auto"/>
            </w:tcBorders>
            <w:vAlign w:val="center"/>
          </w:tcPr>
          <w:p w:rsidR="00927E1F" w:rsidRPr="00F164C1" w:rsidRDefault="00927E1F" w:rsidP="00927E1F">
            <w:pPr>
              <w:jc w:val="center"/>
              <w:rPr>
                <w:sz w:val="16"/>
                <w:szCs w:val="16"/>
              </w:rPr>
            </w:pPr>
          </w:p>
        </w:tc>
      </w:tr>
    </w:tbl>
    <w:p w:rsidR="00927E1F" w:rsidRPr="00F164C1" w:rsidRDefault="00927E1F" w:rsidP="00927E1F">
      <w:pPr>
        <w:autoSpaceDE w:val="0"/>
        <w:autoSpaceDN w:val="0"/>
        <w:jc w:val="both"/>
      </w:pPr>
    </w:p>
    <w:p w:rsidR="00927E1F" w:rsidRPr="00F164C1" w:rsidRDefault="00927E1F" w:rsidP="00927E1F">
      <w:pPr>
        <w:rPr>
          <w:b/>
          <w:sz w:val="22"/>
        </w:rPr>
      </w:pPr>
      <w:r w:rsidRPr="00F164C1">
        <w:br w:type="page"/>
      </w:r>
      <w:r w:rsidRPr="00F164C1">
        <w:rPr>
          <w:b/>
          <w:sz w:val="22"/>
        </w:rPr>
        <w:lastRenderedPageBreak/>
        <w:t>PROJETS LIÉS AUX BÂTIMENTS</w:t>
      </w:r>
    </w:p>
    <w:p w:rsidR="00927E1F" w:rsidRPr="00F164C1" w:rsidRDefault="00927E1F" w:rsidP="00927E1F">
      <w:pPr>
        <w:rPr>
          <w:b/>
          <w:i/>
        </w:rPr>
      </w:pPr>
    </w:p>
    <w:p w:rsidR="00927E1F" w:rsidRPr="00F164C1" w:rsidRDefault="00927E1F" w:rsidP="00783605">
      <w:pPr>
        <w:pStyle w:val="Heading8"/>
      </w:pPr>
      <w:bookmarkStart w:id="197" w:name="_Toc423352912"/>
      <w:bookmarkStart w:id="198" w:name="_Toc455394225"/>
      <w:r w:rsidRPr="00F164C1">
        <w:t>PROJET 5</w:t>
      </w:r>
      <w:r w:rsidRPr="00F164C1">
        <w:tab/>
      </w:r>
      <w:r>
        <w:t>PHASE </w:t>
      </w:r>
      <w:r w:rsidRPr="00F164C1">
        <w:t>1 DE LA RÉNOVATION DU SOUS</w:t>
      </w:r>
      <w:r w:rsidRPr="00F164C1">
        <w:noBreakHyphen/>
        <w:t>SOL DU BÂTIMENT ARPAD BOGSCH (REDIMENSIONNEMENT DU CENTRE INFORMATIQUE ET RÉNOVATION DE L’IMPRIMERIE)</w:t>
      </w:r>
      <w:bookmarkEnd w:id="197"/>
      <w:bookmarkEnd w:id="198"/>
    </w:p>
    <w:p w:rsidR="00927E1F" w:rsidRPr="00F164C1" w:rsidRDefault="00927E1F" w:rsidP="00927E1F">
      <w:pPr>
        <w:rPr>
          <w:b/>
          <w:sz w:val="18"/>
        </w:rPr>
      </w:pPr>
    </w:p>
    <w:p w:rsidR="00927E1F" w:rsidRPr="00F164C1" w:rsidRDefault="00927E1F" w:rsidP="00927E1F">
      <w:pPr>
        <w:rPr>
          <w:b/>
        </w:rPr>
      </w:pPr>
      <w:r w:rsidRPr="00F164C1">
        <w:rPr>
          <w:b/>
        </w:rPr>
        <w:t xml:space="preserve">Chef de projet : </w:t>
      </w:r>
      <w:r w:rsidRPr="00F164C1">
        <w:rPr>
          <w:b/>
        </w:rPr>
        <w:tab/>
        <w:t>M. A. FAVERO</w:t>
      </w:r>
    </w:p>
    <w:p w:rsidR="00927E1F" w:rsidRPr="00F164C1" w:rsidRDefault="00927E1F" w:rsidP="00927E1F"/>
    <w:p w:rsidR="00927E1F" w:rsidRPr="00F164C1" w:rsidRDefault="00927E1F" w:rsidP="00927E1F">
      <w:pPr>
        <w:rPr>
          <w:bCs/>
        </w:rPr>
      </w:pPr>
    </w:p>
    <w:p w:rsidR="00927E1F" w:rsidRPr="00F164C1" w:rsidRDefault="00927E1F" w:rsidP="00927E1F">
      <w:pPr>
        <w:rPr>
          <w:bCs/>
        </w:rPr>
      </w:pPr>
      <w:r w:rsidRPr="00F164C1">
        <w:t>RÉSULTATS ESCOMPTÉS</w:t>
      </w:r>
    </w:p>
    <w:p w:rsidR="00927E1F" w:rsidRPr="00F164C1" w:rsidRDefault="00927E1F" w:rsidP="00927E1F">
      <w:pPr>
        <w:rPr>
          <w:bCs/>
        </w:rPr>
      </w:pPr>
    </w:p>
    <w:p w:rsidR="00927E1F" w:rsidRPr="00F164C1" w:rsidRDefault="00927E1F" w:rsidP="00927E1F">
      <w:pPr>
        <w:rPr>
          <w:i/>
          <w:iCs/>
        </w:rPr>
      </w:pPr>
      <w:r w:rsidRPr="00F164C1">
        <w:rPr>
          <w:i/>
        </w:rPr>
        <w:t>IX.1 Services d’appui efficaces, efficients, de qualité et tournés vers la clientèle, à l’intention à la fois des clients internes et des parties prenantes externes</w:t>
      </w:r>
    </w:p>
    <w:p w:rsidR="00927E1F" w:rsidRPr="00F164C1" w:rsidRDefault="00927E1F" w:rsidP="00927E1F">
      <w:pPr>
        <w:rPr>
          <w:bCs/>
        </w:rPr>
      </w:pPr>
    </w:p>
    <w:p w:rsidR="00927E1F" w:rsidRPr="00F164C1" w:rsidRDefault="00927E1F" w:rsidP="00927E1F">
      <w:pPr>
        <w:rPr>
          <w:bCs/>
        </w:rPr>
      </w:pPr>
    </w:p>
    <w:p w:rsidR="00927E1F" w:rsidRPr="00F164C1" w:rsidRDefault="00927E1F" w:rsidP="00927E1F">
      <w:pPr>
        <w:rPr>
          <w:bCs/>
        </w:rPr>
      </w:pPr>
      <w:r w:rsidRPr="00F164C1">
        <w:t>OBJECTIFS, PORTÉE ET APPROCHE – GÉNÉRALITÉS</w:t>
      </w:r>
    </w:p>
    <w:p w:rsidR="00927E1F" w:rsidRPr="00F164C1" w:rsidRDefault="00927E1F" w:rsidP="00927E1F">
      <w:pPr>
        <w:rPr>
          <w:bCs/>
        </w:rPr>
      </w:pPr>
    </w:p>
    <w:p w:rsidR="00927E1F" w:rsidRPr="00F164C1" w:rsidRDefault="00927E1F" w:rsidP="00DF2EEF">
      <w:pPr>
        <w:pStyle w:val="ListParagraph"/>
        <w:numPr>
          <w:ilvl w:val="0"/>
          <w:numId w:val="124"/>
        </w:numPr>
        <w:tabs>
          <w:tab w:val="left" w:pos="567"/>
        </w:tabs>
        <w:ind w:left="0" w:firstLine="0"/>
        <w:jc w:val="both"/>
        <w:rPr>
          <w:bCs/>
        </w:rPr>
      </w:pPr>
      <w:r w:rsidRPr="00F164C1">
        <w:t>Le centre informatique actuel situé au sous</w:t>
      </w:r>
      <w:r w:rsidRPr="00F164C1">
        <w:noBreakHyphen/>
        <w:t>sol du bâtiment AB doit être redimensionné conformément à son nouveau rôle réduit de salle informatique desservant uniquement le bâtiment AB.  Ce redimensionnement devrait libérer une superficie importante qui pourra être utilisée pour agrandir l’imprimerie actuelle, qui a besoin d’être rénovée.</w:t>
      </w:r>
    </w:p>
    <w:p w:rsidR="00927E1F" w:rsidRPr="00F164C1" w:rsidRDefault="00927E1F" w:rsidP="00927E1F">
      <w:pPr>
        <w:tabs>
          <w:tab w:val="left" w:pos="567"/>
        </w:tabs>
        <w:jc w:val="both"/>
        <w:rPr>
          <w:bCs/>
        </w:rPr>
      </w:pPr>
    </w:p>
    <w:p w:rsidR="00927E1F" w:rsidRPr="00F164C1" w:rsidRDefault="00927E1F" w:rsidP="00DF2EEF">
      <w:pPr>
        <w:pStyle w:val="ListParagraph"/>
        <w:numPr>
          <w:ilvl w:val="0"/>
          <w:numId w:val="124"/>
        </w:numPr>
        <w:tabs>
          <w:tab w:val="left" w:pos="567"/>
        </w:tabs>
        <w:ind w:left="0" w:firstLine="0"/>
        <w:jc w:val="both"/>
        <w:rPr>
          <w:bCs/>
        </w:rPr>
      </w:pPr>
      <w:r w:rsidRPr="00F164C1">
        <w:t>Les objectifs du projet consistent à : i) établir la superficie appropriée nécessaire pour l’imprimerie, la salle des archives et la salle informatique en réduisant la surface du centre de données afin de libérer un espace relativement important pour permettre l’extension et la rénovation de l’imprimerie;  ii) réduire la consommation énergétique via la suppression de l’équipement technique spécifique du centre de données;  et iii) améliorer l’espace de travail du personnel de l’imprimerie et des archives.</w:t>
      </w:r>
    </w:p>
    <w:p w:rsidR="00927E1F" w:rsidRPr="00F164C1" w:rsidRDefault="00927E1F" w:rsidP="00927E1F">
      <w:pPr>
        <w:rPr>
          <w:bCs/>
        </w:rPr>
      </w:pPr>
    </w:p>
    <w:p w:rsidR="00927E1F" w:rsidRPr="00F164C1" w:rsidRDefault="00927E1F" w:rsidP="00927E1F">
      <w:pPr>
        <w:rPr>
          <w:bCs/>
        </w:rPr>
      </w:pPr>
    </w:p>
    <w:p w:rsidR="00927E1F" w:rsidRPr="00F164C1" w:rsidRDefault="00927E1F" w:rsidP="00927E1F">
      <w:pPr>
        <w:rPr>
          <w:bCs/>
        </w:rPr>
      </w:pPr>
      <w:r w:rsidRPr="00F164C1">
        <w:t>APERÇU DES PROGRÈS RÉALISÉS EN 2015 (PRINCIPALES ÉTAPES)</w:t>
      </w:r>
    </w:p>
    <w:p w:rsidR="00927E1F" w:rsidRPr="00F164C1" w:rsidRDefault="00927E1F" w:rsidP="00927E1F">
      <w:pPr>
        <w:rPr>
          <w:bCs/>
        </w:rPr>
      </w:pPr>
    </w:p>
    <w:p w:rsidR="00927E1F" w:rsidRPr="00F164C1" w:rsidRDefault="00927E1F" w:rsidP="00DF2EEF">
      <w:pPr>
        <w:pStyle w:val="ListParagraph"/>
        <w:numPr>
          <w:ilvl w:val="0"/>
          <w:numId w:val="124"/>
        </w:numPr>
        <w:tabs>
          <w:tab w:val="left" w:pos="567"/>
        </w:tabs>
        <w:ind w:left="0" w:firstLine="0"/>
        <w:jc w:val="both"/>
      </w:pPr>
      <w:r w:rsidRPr="00F164C1">
        <w:t>En 2014, les progrès suivants ont été accomplis :</w:t>
      </w:r>
    </w:p>
    <w:p w:rsidR="00927E1F" w:rsidRPr="00F164C1" w:rsidRDefault="00927E1F" w:rsidP="00927E1F">
      <w:pPr>
        <w:pStyle w:val="ListParagraph"/>
        <w:numPr>
          <w:ilvl w:val="0"/>
          <w:numId w:val="0"/>
        </w:numPr>
        <w:tabs>
          <w:tab w:val="left" w:pos="567"/>
        </w:tabs>
        <w:jc w:val="both"/>
      </w:pPr>
    </w:p>
    <w:p w:rsidR="00927E1F" w:rsidRPr="00F164C1" w:rsidRDefault="00927E1F" w:rsidP="00DF2EEF">
      <w:pPr>
        <w:pStyle w:val="ListParagraph"/>
        <w:numPr>
          <w:ilvl w:val="0"/>
          <w:numId w:val="116"/>
        </w:numPr>
        <w:spacing w:after="120"/>
        <w:rPr>
          <w:bCs/>
        </w:rPr>
      </w:pPr>
      <w:r w:rsidRPr="00F164C1">
        <w:t>rédaction du mandat de l’architecte;</w:t>
      </w:r>
    </w:p>
    <w:p w:rsidR="00927E1F" w:rsidRPr="00F164C1" w:rsidRDefault="00927E1F" w:rsidP="00DF2EEF">
      <w:pPr>
        <w:pStyle w:val="ListParagraph"/>
        <w:numPr>
          <w:ilvl w:val="0"/>
          <w:numId w:val="116"/>
        </w:numPr>
        <w:spacing w:after="120"/>
      </w:pPr>
      <w:r w:rsidRPr="00F164C1">
        <w:t>lancement de l’appel d’offres pour l’architecte;  et</w:t>
      </w:r>
    </w:p>
    <w:p w:rsidR="00927E1F" w:rsidRPr="00F164C1" w:rsidRDefault="00927E1F" w:rsidP="00DF2EEF">
      <w:pPr>
        <w:pStyle w:val="ListParagraph"/>
        <w:numPr>
          <w:ilvl w:val="0"/>
          <w:numId w:val="116"/>
        </w:numPr>
        <w:rPr>
          <w:bCs/>
        </w:rPr>
      </w:pPr>
      <w:r w:rsidRPr="00F164C1">
        <w:t>attribution des contrats à l’architecte et à l’ingénieur CVC.</w:t>
      </w:r>
    </w:p>
    <w:p w:rsidR="00927E1F" w:rsidRPr="00F164C1" w:rsidRDefault="00927E1F" w:rsidP="00927E1F">
      <w:pPr>
        <w:shd w:val="clear" w:color="auto" w:fill="FFFFFF"/>
        <w:rPr>
          <w:bCs/>
        </w:rPr>
      </w:pPr>
    </w:p>
    <w:p w:rsidR="00927E1F" w:rsidRPr="00F164C1" w:rsidRDefault="00927E1F" w:rsidP="00DF2EEF">
      <w:pPr>
        <w:pStyle w:val="ListParagraph"/>
        <w:numPr>
          <w:ilvl w:val="0"/>
          <w:numId w:val="124"/>
        </w:numPr>
        <w:tabs>
          <w:tab w:val="left" w:pos="567"/>
        </w:tabs>
        <w:ind w:left="0" w:firstLine="0"/>
      </w:pPr>
      <w:r w:rsidRPr="00F164C1">
        <w:t>En raison du retard pris dans l’achèvement (de début 2014 à septembre 2014) de la nouvelle salle de conférence de l’OMPI, le commencement du projet a été retardé de six mois par rapport au plan initial.  Le calendrier du projet a été modifié à cet effet.</w:t>
      </w:r>
    </w:p>
    <w:p w:rsidR="00927E1F" w:rsidRPr="00F164C1" w:rsidRDefault="00927E1F" w:rsidP="00927E1F">
      <w:pPr>
        <w:autoSpaceDE w:val="0"/>
        <w:autoSpaceDN w:val="0"/>
        <w:adjustRightInd w:val="0"/>
        <w:rPr>
          <w:rFonts w:eastAsiaTheme="minorHAnsi"/>
        </w:rPr>
      </w:pPr>
    </w:p>
    <w:p w:rsidR="00927E1F" w:rsidRPr="00F164C1" w:rsidRDefault="00927E1F" w:rsidP="00DF2EEF">
      <w:pPr>
        <w:pStyle w:val="ListParagraph"/>
        <w:numPr>
          <w:ilvl w:val="0"/>
          <w:numId w:val="124"/>
        </w:numPr>
        <w:tabs>
          <w:tab w:val="left" w:pos="567"/>
        </w:tabs>
        <w:ind w:left="0" w:firstLine="0"/>
        <w:jc w:val="both"/>
        <w:rPr>
          <w:rFonts w:eastAsiaTheme="minorHAnsi"/>
        </w:rPr>
      </w:pPr>
      <w:r w:rsidRPr="00F164C1">
        <w:rPr>
          <w:rFonts w:eastAsiaTheme="minorHAnsi"/>
        </w:rPr>
        <w:t>En 2015, les progrès suivants ont été accomplis :</w:t>
      </w:r>
    </w:p>
    <w:p w:rsidR="00927E1F" w:rsidRPr="00F164C1" w:rsidRDefault="00927E1F" w:rsidP="00927E1F">
      <w:pPr>
        <w:autoSpaceDE w:val="0"/>
        <w:autoSpaceDN w:val="0"/>
        <w:adjustRightInd w:val="0"/>
        <w:rPr>
          <w:bCs/>
        </w:rPr>
      </w:pPr>
    </w:p>
    <w:p w:rsidR="00927E1F" w:rsidRPr="00F164C1" w:rsidRDefault="00927E1F" w:rsidP="00DF2EEF">
      <w:pPr>
        <w:pStyle w:val="ListParagraph"/>
        <w:numPr>
          <w:ilvl w:val="0"/>
          <w:numId w:val="129"/>
        </w:numPr>
        <w:autoSpaceDE w:val="0"/>
        <w:autoSpaceDN w:val="0"/>
        <w:adjustRightInd w:val="0"/>
        <w:spacing w:after="120"/>
        <w:ind w:left="1134" w:hanging="567"/>
        <w:rPr>
          <w:bCs/>
        </w:rPr>
      </w:pPr>
      <w:r w:rsidRPr="00F164C1">
        <w:rPr>
          <w:bCs/>
        </w:rPr>
        <w:t>début des études par l’architecte;  et</w:t>
      </w:r>
    </w:p>
    <w:p w:rsidR="00927E1F" w:rsidRPr="00F164C1" w:rsidRDefault="00927E1F" w:rsidP="00DF2EEF">
      <w:pPr>
        <w:pStyle w:val="ListParagraph"/>
        <w:numPr>
          <w:ilvl w:val="0"/>
          <w:numId w:val="129"/>
        </w:numPr>
        <w:autoSpaceDE w:val="0"/>
        <w:autoSpaceDN w:val="0"/>
        <w:adjustRightInd w:val="0"/>
        <w:spacing w:after="120"/>
        <w:ind w:left="1134" w:hanging="567"/>
        <w:rPr>
          <w:bCs/>
        </w:rPr>
      </w:pPr>
      <w:r w:rsidRPr="00F164C1">
        <w:rPr>
          <w:bCs/>
        </w:rPr>
        <w:t>déplacement du matériel informatique dans le centre de données redimensionné pour déterminer la surface disponible pour la future imprimerie.</w:t>
      </w:r>
    </w:p>
    <w:p w:rsidR="00927E1F" w:rsidRPr="00F164C1" w:rsidRDefault="00927E1F" w:rsidP="00DF2EEF">
      <w:pPr>
        <w:pStyle w:val="ListParagraph"/>
        <w:numPr>
          <w:ilvl w:val="0"/>
          <w:numId w:val="124"/>
        </w:numPr>
        <w:tabs>
          <w:tab w:val="left" w:pos="567"/>
        </w:tabs>
        <w:ind w:left="0" w:firstLine="0"/>
        <w:jc w:val="both"/>
        <w:rPr>
          <w:rFonts w:eastAsiaTheme="minorHAnsi"/>
        </w:rPr>
      </w:pPr>
      <w:r w:rsidRPr="00F164C1">
        <w:rPr>
          <w:rFonts w:eastAsiaTheme="minorHAnsi"/>
        </w:rPr>
        <w:t xml:space="preserve">À la fin de 2015, l’espace nécessaire pour l’agrandissement et la rénovation de l’imprimerie devait encore être validé en interne, ce qui a entraîné des retards supplémentaires dans la mise en œuvre du projet.  </w:t>
      </w:r>
      <w:r w:rsidRPr="00F164C1">
        <w:rPr>
          <w:bCs/>
        </w:rPr>
        <w:t>Le calendrier du projet a été modifié à cet effet.</w:t>
      </w:r>
    </w:p>
    <w:p w:rsidR="00927E1F" w:rsidRPr="00F164C1" w:rsidRDefault="00927E1F" w:rsidP="00927E1F">
      <w:pPr>
        <w:spacing w:after="200" w:line="276" w:lineRule="auto"/>
        <w:rPr>
          <w:rFonts w:eastAsiaTheme="minorHAnsi"/>
        </w:rPr>
      </w:pPr>
      <w:r w:rsidRPr="00F164C1">
        <w:rPr>
          <w:rFonts w:eastAsiaTheme="minorHAnsi"/>
        </w:rPr>
        <w:br w:type="page"/>
      </w:r>
    </w:p>
    <w:p w:rsidR="00927E1F" w:rsidRPr="00422570" w:rsidRDefault="00927E1F" w:rsidP="00927E1F">
      <w:r w:rsidRPr="00422570">
        <w:lastRenderedPageBreak/>
        <w:t>CONCRÉTISATION DES AVANTAGES</w:t>
      </w:r>
    </w:p>
    <w:p w:rsidR="00927E1F" w:rsidRPr="00422570" w:rsidRDefault="00927E1F" w:rsidP="00927E1F"/>
    <w:tbl>
      <w:tblPr>
        <w:tblW w:w="4247" w:type="pct"/>
        <w:jc w:val="center"/>
        <w:tblInd w:w="-2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68" w:type="dxa"/>
          <w:bottom w:w="113" w:type="dxa"/>
          <w:right w:w="68" w:type="dxa"/>
        </w:tblCellMar>
        <w:tblLook w:val="01E0" w:firstRow="1" w:lastRow="1" w:firstColumn="1" w:lastColumn="1" w:noHBand="0" w:noVBand="0"/>
      </w:tblPr>
      <w:tblGrid>
        <w:gridCol w:w="8062"/>
      </w:tblGrid>
      <w:tr w:rsidR="00927E1F" w:rsidRPr="00F164C1" w:rsidTr="00927E1F">
        <w:trPr>
          <w:cantSplit/>
          <w:tblHeader/>
          <w:jc w:val="center"/>
        </w:trPr>
        <w:tc>
          <w:tcPr>
            <w:tcW w:w="5000" w:type="pct"/>
            <w:shd w:val="clear" w:color="auto" w:fill="C6D9F1"/>
            <w:vAlign w:val="center"/>
          </w:tcPr>
          <w:p w:rsidR="00927E1F" w:rsidRPr="00F164C1" w:rsidRDefault="00927E1F" w:rsidP="00927E1F">
            <w:pPr>
              <w:jc w:val="center"/>
              <w:rPr>
                <w:b/>
                <w:bCs/>
                <w:sz w:val="16"/>
                <w:szCs w:val="16"/>
              </w:rPr>
            </w:pPr>
            <w:r w:rsidRPr="00F164C1">
              <w:rPr>
                <w:b/>
                <w:sz w:val="16"/>
              </w:rPr>
              <w:t>Avantages escomptés en 2017</w:t>
            </w:r>
          </w:p>
        </w:tc>
      </w:tr>
      <w:tr w:rsidR="00927E1F" w:rsidRPr="00F164C1" w:rsidTr="00927E1F">
        <w:trPr>
          <w:cantSplit/>
          <w:jc w:val="center"/>
        </w:trPr>
        <w:tc>
          <w:tcPr>
            <w:tcW w:w="5000" w:type="pct"/>
            <w:shd w:val="clear" w:color="auto" w:fill="auto"/>
            <w:vAlign w:val="center"/>
          </w:tcPr>
          <w:p w:rsidR="00927E1F" w:rsidRPr="00F164C1" w:rsidRDefault="00927E1F" w:rsidP="00927E1F">
            <w:pPr>
              <w:rPr>
                <w:bCs/>
                <w:iCs/>
                <w:sz w:val="16"/>
                <w:szCs w:val="16"/>
              </w:rPr>
            </w:pPr>
            <w:r w:rsidRPr="00F164C1">
              <w:rPr>
                <w:sz w:val="16"/>
              </w:rPr>
              <w:t>Meilleure répartition des superficies selon les utilisations respectives</w:t>
            </w:r>
          </w:p>
        </w:tc>
      </w:tr>
      <w:tr w:rsidR="00927E1F" w:rsidRPr="00F164C1" w:rsidTr="00927E1F">
        <w:trPr>
          <w:cantSplit/>
          <w:jc w:val="center"/>
        </w:trPr>
        <w:tc>
          <w:tcPr>
            <w:tcW w:w="5000" w:type="pct"/>
            <w:shd w:val="clear" w:color="auto" w:fill="auto"/>
            <w:vAlign w:val="center"/>
          </w:tcPr>
          <w:p w:rsidR="00927E1F" w:rsidRPr="00F164C1" w:rsidRDefault="00927E1F" w:rsidP="00927E1F">
            <w:pPr>
              <w:rPr>
                <w:bCs/>
                <w:iCs/>
                <w:sz w:val="16"/>
                <w:szCs w:val="16"/>
              </w:rPr>
            </w:pPr>
            <w:r w:rsidRPr="00F164C1">
              <w:rPr>
                <w:sz w:val="16"/>
              </w:rPr>
              <w:t>Réduction partielle des consommations d’énergies dans la zone concernée p</w:t>
            </w:r>
            <w:r>
              <w:rPr>
                <w:sz w:val="16"/>
              </w:rPr>
              <w:t>ar les travaux dans le bâtiment </w:t>
            </w:r>
            <w:r w:rsidRPr="00F164C1">
              <w:rPr>
                <w:sz w:val="16"/>
              </w:rPr>
              <w:t>AB</w:t>
            </w:r>
          </w:p>
        </w:tc>
      </w:tr>
      <w:tr w:rsidR="00927E1F" w:rsidRPr="00F164C1" w:rsidTr="00927E1F">
        <w:trPr>
          <w:cantSplit/>
          <w:jc w:val="center"/>
        </w:trPr>
        <w:tc>
          <w:tcPr>
            <w:tcW w:w="5000" w:type="pct"/>
            <w:shd w:val="clear" w:color="auto" w:fill="auto"/>
            <w:vAlign w:val="center"/>
          </w:tcPr>
          <w:p w:rsidR="00927E1F" w:rsidRPr="00F164C1" w:rsidRDefault="00927E1F" w:rsidP="00927E1F">
            <w:pPr>
              <w:rPr>
                <w:bCs/>
                <w:iCs/>
                <w:sz w:val="16"/>
                <w:szCs w:val="16"/>
              </w:rPr>
            </w:pPr>
            <w:r w:rsidRPr="00F164C1">
              <w:rPr>
                <w:sz w:val="16"/>
              </w:rPr>
              <w:t>Amélioration de l’espace de travail du personnel de l’imprimerie et de la salle des archives</w:t>
            </w:r>
          </w:p>
        </w:tc>
      </w:tr>
    </w:tbl>
    <w:p w:rsidR="00927E1F" w:rsidRPr="00422570" w:rsidRDefault="00927E1F" w:rsidP="00927E1F"/>
    <w:p w:rsidR="00927E1F" w:rsidRPr="00422570" w:rsidRDefault="00927E1F" w:rsidP="00927E1F"/>
    <w:p w:rsidR="00927E1F" w:rsidRPr="00422570" w:rsidRDefault="00927E1F" w:rsidP="00927E1F">
      <w:r w:rsidRPr="00422570">
        <w:t>UTILISATION DES RESSOURCES</w:t>
      </w:r>
      <w:r w:rsidRPr="00422570">
        <w:rPr>
          <w:rStyle w:val="FootnoteReference"/>
          <w:rFonts w:eastAsia="SimSun"/>
        </w:rPr>
        <w:footnoteReference w:id="178"/>
      </w:r>
    </w:p>
    <w:p w:rsidR="00927E1F" w:rsidRPr="00422570" w:rsidRDefault="00927E1F" w:rsidP="00927E1F"/>
    <w:p w:rsidR="00927E1F" w:rsidRPr="00F164C1" w:rsidRDefault="00927E1F" w:rsidP="00927E1F">
      <w:pPr>
        <w:keepNext/>
        <w:keepLines/>
        <w:tabs>
          <w:tab w:val="left" w:pos="3261"/>
        </w:tabs>
        <w:autoSpaceDE w:val="0"/>
        <w:autoSpaceDN w:val="0"/>
        <w:adjustRightInd w:val="0"/>
        <w:jc w:val="center"/>
        <w:rPr>
          <w:b/>
          <w:szCs w:val="22"/>
        </w:rPr>
      </w:pPr>
      <w:r w:rsidRPr="00F164C1">
        <w:rPr>
          <w:b/>
        </w:rPr>
        <w:t>Utilisation du budget du projet</w:t>
      </w:r>
    </w:p>
    <w:p w:rsidR="00927E1F" w:rsidRPr="00F164C1" w:rsidRDefault="00927E1F" w:rsidP="00927E1F">
      <w:pPr>
        <w:keepNext/>
        <w:keepLines/>
        <w:tabs>
          <w:tab w:val="left" w:pos="3261"/>
        </w:tabs>
        <w:autoSpaceDE w:val="0"/>
        <w:autoSpaceDN w:val="0"/>
        <w:adjustRightInd w:val="0"/>
        <w:jc w:val="center"/>
        <w:rPr>
          <w:i/>
          <w:sz w:val="18"/>
        </w:rPr>
      </w:pPr>
      <w:r w:rsidRPr="00F164C1">
        <w:rPr>
          <w:i/>
          <w:sz w:val="18"/>
        </w:rPr>
        <w:t>(</w:t>
      </w:r>
      <w:proofErr w:type="gramStart"/>
      <w:r w:rsidRPr="00F164C1">
        <w:rPr>
          <w:i/>
          <w:sz w:val="18"/>
        </w:rPr>
        <w:t>en</w:t>
      </w:r>
      <w:proofErr w:type="gramEnd"/>
      <w:r w:rsidRPr="00F164C1">
        <w:rPr>
          <w:i/>
          <w:sz w:val="18"/>
        </w:rPr>
        <w:t xml:space="preserve"> francs suisses, au 31 décembre 2015)</w:t>
      </w:r>
    </w:p>
    <w:p w:rsidR="00927E1F" w:rsidRPr="00F164C1" w:rsidRDefault="00927E1F" w:rsidP="00927E1F">
      <w:pPr>
        <w:keepNext/>
        <w:keepLines/>
        <w:tabs>
          <w:tab w:val="left" w:pos="3261"/>
        </w:tabs>
        <w:autoSpaceDE w:val="0"/>
        <w:autoSpaceDN w:val="0"/>
        <w:adjustRightInd w:val="0"/>
        <w:jc w:val="center"/>
        <w:rPr>
          <w:i/>
          <w:iCs/>
          <w:sz w:val="18"/>
          <w:szCs w:val="18"/>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927E1F" w:rsidRPr="00F164C1" w:rsidTr="00927E1F">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74" w:right="-60"/>
              <w:jc w:val="center"/>
              <w:rPr>
                <w:b/>
                <w:bCs/>
                <w:sz w:val="16"/>
                <w:szCs w:val="16"/>
              </w:rPr>
            </w:pPr>
            <w:r w:rsidRPr="00F164C1">
              <w:rPr>
                <w:b/>
                <w:sz w:val="16"/>
              </w:rPr>
              <w:t>Nom du projet</w:t>
            </w:r>
          </w:p>
        </w:tc>
        <w:tc>
          <w:tcPr>
            <w:tcW w:w="850"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7" w:right="-108"/>
              <w:jc w:val="center"/>
              <w:rPr>
                <w:b/>
                <w:bCs/>
                <w:sz w:val="16"/>
                <w:szCs w:val="16"/>
              </w:rPr>
            </w:pPr>
            <w:r w:rsidRPr="00F164C1">
              <w:rPr>
                <w:b/>
                <w:sz w:val="16"/>
              </w:rPr>
              <w:t>Budget du projet</w:t>
            </w:r>
          </w:p>
        </w:tc>
        <w:tc>
          <w:tcPr>
            <w:tcW w:w="851"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8" w:right="-106"/>
              <w:jc w:val="center"/>
              <w:rPr>
                <w:b/>
                <w:bCs/>
                <w:sz w:val="16"/>
                <w:szCs w:val="16"/>
              </w:rPr>
            </w:pPr>
            <w:r w:rsidRPr="00F164C1">
              <w:rPr>
                <w:b/>
                <w:sz w:val="16"/>
              </w:rPr>
              <w:t>Dépenses effectives à ce jour</w:t>
            </w:r>
          </w:p>
        </w:tc>
        <w:tc>
          <w:tcPr>
            <w:tcW w:w="851"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9" w:right="-108"/>
              <w:jc w:val="center"/>
              <w:rPr>
                <w:b/>
                <w:bCs/>
                <w:sz w:val="16"/>
                <w:szCs w:val="16"/>
              </w:rPr>
            </w:pPr>
            <w:r w:rsidRPr="00F164C1">
              <w:rPr>
                <w:b/>
                <w:sz w:val="16"/>
              </w:rPr>
              <w:t>Utilisation effective du budget</w:t>
            </w:r>
          </w:p>
        </w:tc>
        <w:tc>
          <w:tcPr>
            <w:tcW w:w="850"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9" w:right="-73" w:firstLine="1"/>
              <w:jc w:val="center"/>
              <w:rPr>
                <w:b/>
                <w:bCs/>
                <w:sz w:val="16"/>
                <w:szCs w:val="16"/>
              </w:rPr>
            </w:pPr>
            <w:r w:rsidRPr="00F164C1">
              <w:rPr>
                <w:b/>
                <w:sz w:val="16"/>
              </w:rPr>
              <w:t>Taux d’avancement de la mise en œuvre du projet</w:t>
            </w:r>
          </w:p>
        </w:tc>
      </w:tr>
      <w:tr w:rsidR="00927E1F" w:rsidRPr="00F164C1" w:rsidTr="00927E1F">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rPr>
                <w:sz w:val="16"/>
                <w:szCs w:val="16"/>
              </w:rPr>
            </w:pPr>
            <w:r w:rsidRPr="00F164C1">
              <w:rPr>
                <w:sz w:val="16"/>
              </w:rPr>
              <w:t xml:space="preserve">Bâtiment Arpad </w:t>
            </w:r>
            <w:proofErr w:type="spellStart"/>
            <w:r w:rsidRPr="00F164C1">
              <w:rPr>
                <w:sz w:val="16"/>
              </w:rPr>
              <w:t>Bogsch</w:t>
            </w:r>
            <w:proofErr w:type="spellEnd"/>
            <w:r w:rsidRPr="00F164C1">
              <w:rPr>
                <w:sz w:val="16"/>
              </w:rPr>
              <w:t xml:space="preserve"> – phase 1 de la rénovation du sous</w:t>
            </w:r>
            <w:r w:rsidRPr="00F164C1">
              <w:rPr>
                <w:sz w:val="16"/>
              </w:rPr>
              <w:noBreakHyphen/>
              <w:t>sol (redimensionnement du centre informatique et rénovation de l’imprimerie)</w:t>
            </w:r>
          </w:p>
        </w:tc>
        <w:tc>
          <w:tcPr>
            <w:tcW w:w="850"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960 000</w:t>
            </w:r>
          </w:p>
        </w:tc>
        <w:tc>
          <w:tcPr>
            <w:tcW w:w="851"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Pr>
                <w:sz w:val="16"/>
              </w:rPr>
              <w:t>5 </w:t>
            </w:r>
            <w:r w:rsidRPr="00F164C1">
              <w:rPr>
                <w:sz w:val="16"/>
              </w:rPr>
              <w:t>000</w:t>
            </w:r>
          </w:p>
        </w:tc>
        <w:tc>
          <w:tcPr>
            <w:tcW w:w="851"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0,5%</w:t>
            </w:r>
          </w:p>
        </w:tc>
        <w:tc>
          <w:tcPr>
            <w:tcW w:w="850"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15%</w:t>
            </w:r>
          </w:p>
        </w:tc>
      </w:tr>
    </w:tbl>
    <w:p w:rsidR="00927E1F" w:rsidRPr="00F164C1" w:rsidRDefault="00927E1F" w:rsidP="00927E1F">
      <w:pPr>
        <w:keepNext/>
        <w:autoSpaceDE w:val="0"/>
        <w:autoSpaceDN w:val="0"/>
        <w:rPr>
          <w:sz w:val="16"/>
          <w:szCs w:val="16"/>
        </w:rPr>
      </w:pPr>
    </w:p>
    <w:p w:rsidR="00927E1F" w:rsidRPr="00F164C1" w:rsidRDefault="00927E1F" w:rsidP="00927E1F">
      <w:pPr>
        <w:keepNext/>
        <w:keepLines/>
        <w:tabs>
          <w:tab w:val="left" w:pos="3261"/>
        </w:tabs>
        <w:autoSpaceDE w:val="0"/>
        <w:autoSpaceDN w:val="0"/>
        <w:adjustRightInd w:val="0"/>
        <w:jc w:val="center"/>
        <w:rPr>
          <w:b/>
          <w:szCs w:val="22"/>
        </w:rPr>
      </w:pPr>
    </w:p>
    <w:p w:rsidR="00927E1F" w:rsidRPr="00F164C1" w:rsidRDefault="00927E1F" w:rsidP="00927E1F">
      <w:pPr>
        <w:keepNext/>
        <w:keepLines/>
        <w:tabs>
          <w:tab w:val="left" w:pos="3261"/>
        </w:tabs>
        <w:autoSpaceDE w:val="0"/>
        <w:autoSpaceDN w:val="0"/>
        <w:adjustRightInd w:val="0"/>
        <w:jc w:val="center"/>
        <w:rPr>
          <w:b/>
          <w:szCs w:val="22"/>
        </w:rPr>
      </w:pPr>
    </w:p>
    <w:p w:rsidR="00927E1F" w:rsidRPr="00F164C1" w:rsidRDefault="00927E1F" w:rsidP="00927E1F">
      <w:pPr>
        <w:keepNext/>
        <w:keepLines/>
        <w:tabs>
          <w:tab w:val="left" w:pos="3261"/>
        </w:tabs>
        <w:autoSpaceDE w:val="0"/>
        <w:autoSpaceDN w:val="0"/>
        <w:adjustRightInd w:val="0"/>
        <w:jc w:val="center"/>
        <w:rPr>
          <w:b/>
          <w:szCs w:val="22"/>
        </w:rPr>
      </w:pPr>
      <w:r w:rsidRPr="00F164C1">
        <w:rPr>
          <w:b/>
        </w:rPr>
        <w:t>Utilisation du budget du projet (par étape)</w:t>
      </w:r>
    </w:p>
    <w:p w:rsidR="00927E1F" w:rsidRPr="00F164C1" w:rsidRDefault="00927E1F" w:rsidP="00927E1F">
      <w:pPr>
        <w:keepNext/>
        <w:keepLines/>
        <w:tabs>
          <w:tab w:val="left" w:pos="3261"/>
        </w:tabs>
        <w:autoSpaceDE w:val="0"/>
        <w:autoSpaceDN w:val="0"/>
        <w:adjustRightInd w:val="0"/>
        <w:jc w:val="center"/>
        <w:rPr>
          <w:i/>
          <w:iCs/>
          <w:sz w:val="18"/>
          <w:szCs w:val="18"/>
        </w:rPr>
      </w:pPr>
      <w:r w:rsidRPr="00F164C1">
        <w:rPr>
          <w:i/>
          <w:sz w:val="18"/>
        </w:rPr>
        <w:t>(</w:t>
      </w:r>
      <w:proofErr w:type="gramStart"/>
      <w:r w:rsidRPr="00F164C1">
        <w:rPr>
          <w:i/>
          <w:sz w:val="18"/>
        </w:rPr>
        <w:t>en</w:t>
      </w:r>
      <w:proofErr w:type="gramEnd"/>
      <w:r w:rsidRPr="00F164C1">
        <w:rPr>
          <w:i/>
          <w:sz w:val="18"/>
        </w:rPr>
        <w:t xml:space="preserve"> francs suisses, au 31 décembre 2015)</w:t>
      </w:r>
    </w:p>
    <w:p w:rsidR="00927E1F" w:rsidRPr="00F164C1" w:rsidRDefault="00927E1F" w:rsidP="00927E1F">
      <w:pPr>
        <w:keepNext/>
        <w:autoSpaceDE w:val="0"/>
        <w:autoSpaceDN w:val="0"/>
        <w:rPr>
          <w:sz w:val="16"/>
          <w:szCs w:val="16"/>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8"/>
        <w:gridCol w:w="1575"/>
        <w:gridCol w:w="1575"/>
        <w:gridCol w:w="1575"/>
        <w:gridCol w:w="1575"/>
      </w:tblGrid>
      <w:tr w:rsidR="00927E1F" w:rsidRPr="00F164C1" w:rsidTr="00927E1F">
        <w:trPr>
          <w:trHeight w:val="410"/>
        </w:trPr>
        <w:tc>
          <w:tcPr>
            <w:tcW w:w="1575"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74" w:right="-60"/>
              <w:jc w:val="center"/>
              <w:rPr>
                <w:b/>
                <w:bCs/>
                <w:sz w:val="16"/>
                <w:szCs w:val="16"/>
              </w:rPr>
            </w:pPr>
            <w:r w:rsidRPr="00F164C1">
              <w:rPr>
                <w:b/>
                <w:sz w:val="16"/>
              </w:rPr>
              <w:t>Étape principale</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7" w:right="-108"/>
              <w:jc w:val="center"/>
              <w:rPr>
                <w:b/>
                <w:bCs/>
                <w:sz w:val="16"/>
                <w:szCs w:val="16"/>
              </w:rPr>
            </w:pPr>
            <w:r w:rsidRPr="00F164C1">
              <w:rPr>
                <w:b/>
                <w:sz w:val="16"/>
              </w:rPr>
              <w:t>Budget du projet</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8" w:right="-106"/>
              <w:jc w:val="center"/>
              <w:rPr>
                <w:b/>
                <w:bCs/>
                <w:sz w:val="16"/>
                <w:szCs w:val="16"/>
              </w:rPr>
            </w:pPr>
            <w:r w:rsidRPr="00F164C1">
              <w:rPr>
                <w:b/>
                <w:sz w:val="16"/>
              </w:rPr>
              <w:t>Dépenses effectives à ce jour</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9" w:right="-108"/>
              <w:jc w:val="center"/>
              <w:rPr>
                <w:b/>
                <w:bCs/>
                <w:sz w:val="16"/>
                <w:szCs w:val="16"/>
              </w:rPr>
            </w:pPr>
            <w:r w:rsidRPr="00F164C1">
              <w:rPr>
                <w:b/>
                <w:sz w:val="16"/>
              </w:rPr>
              <w:t>Utilisation effective du budget</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9" w:right="-73" w:firstLine="1"/>
              <w:jc w:val="center"/>
              <w:rPr>
                <w:b/>
                <w:bCs/>
                <w:sz w:val="16"/>
                <w:szCs w:val="16"/>
              </w:rPr>
            </w:pPr>
            <w:r w:rsidRPr="00F164C1">
              <w:rPr>
                <w:b/>
                <w:sz w:val="16"/>
              </w:rPr>
              <w:t>Taux d’avancement de mise en œuvre par étape</w:t>
            </w:r>
          </w:p>
        </w:tc>
      </w:tr>
      <w:tr w:rsidR="00927E1F" w:rsidRPr="00F164C1" w:rsidTr="00927E1F">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rPr>
                <w:sz w:val="16"/>
                <w:szCs w:val="16"/>
              </w:rPr>
            </w:pPr>
            <w:r w:rsidRPr="00F164C1">
              <w:rPr>
                <w:sz w:val="16"/>
              </w:rPr>
              <w:t xml:space="preserve">Attribution des contrats à l’architecte et aux ingénieurs </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144 000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szCs w:val="16"/>
              </w:rPr>
              <w:t>5 000</w:t>
            </w:r>
            <w:r w:rsidRPr="00F164C1">
              <w:rPr>
                <w:rStyle w:val="FootnoteReference"/>
                <w:rFonts w:eastAsia="SimSun"/>
                <w:sz w:val="16"/>
                <w:szCs w:val="16"/>
              </w:rPr>
              <w:footnoteReference w:id="179"/>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szCs w:val="16"/>
              </w:rPr>
              <w:t>3,5%</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szCs w:val="16"/>
              </w:rPr>
              <w:t>100%</w:t>
            </w:r>
          </w:p>
        </w:tc>
      </w:tr>
      <w:tr w:rsidR="00927E1F" w:rsidRPr="00F164C1" w:rsidTr="00927E1F">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rPr>
                <w:sz w:val="16"/>
                <w:szCs w:val="16"/>
              </w:rPr>
            </w:pPr>
            <w:r w:rsidRPr="00F164C1">
              <w:rPr>
                <w:sz w:val="16"/>
              </w:rPr>
              <w:t>Travaux et mise en service</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816 000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noBreakHyphen/>
            </w:r>
          </w:p>
        </w:tc>
      </w:tr>
      <w:tr w:rsidR="00927E1F" w:rsidRPr="00F164C1" w:rsidTr="00927E1F">
        <w:trPr>
          <w:trHeight w:val="389"/>
        </w:trPr>
        <w:tc>
          <w:tcPr>
            <w:tcW w:w="1575"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rPr>
                <w:b/>
                <w:sz w:val="16"/>
                <w:szCs w:val="16"/>
              </w:rPr>
            </w:pPr>
            <w:r w:rsidRPr="00F164C1">
              <w:rPr>
                <w:b/>
                <w:sz w:val="16"/>
              </w:rPr>
              <w:t>Total</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jc w:val="center"/>
              <w:rPr>
                <w:b/>
                <w:sz w:val="16"/>
                <w:szCs w:val="16"/>
              </w:rPr>
            </w:pPr>
            <w:r w:rsidRPr="00F164C1">
              <w:rPr>
                <w:b/>
                <w:sz w:val="16"/>
              </w:rPr>
              <w:t>960 000</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jc w:val="center"/>
              <w:rPr>
                <w:b/>
                <w:sz w:val="16"/>
                <w:szCs w:val="16"/>
              </w:rPr>
            </w:pPr>
            <w:r w:rsidRPr="00F164C1">
              <w:rPr>
                <w:b/>
                <w:sz w:val="16"/>
                <w:szCs w:val="16"/>
              </w:rPr>
              <w:t>5 000</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jc w:val="center"/>
              <w:rPr>
                <w:b/>
                <w:sz w:val="16"/>
                <w:szCs w:val="16"/>
              </w:rPr>
            </w:pPr>
            <w:r w:rsidRPr="00F164C1">
              <w:rPr>
                <w:b/>
                <w:sz w:val="16"/>
                <w:szCs w:val="16"/>
              </w:rPr>
              <w:t>0,5%</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bottom"/>
          </w:tcPr>
          <w:p w:rsidR="00927E1F" w:rsidRPr="00F164C1" w:rsidRDefault="00927E1F" w:rsidP="00927E1F">
            <w:pPr>
              <w:keepNext/>
              <w:keepLines/>
              <w:autoSpaceDE w:val="0"/>
              <w:autoSpaceDN w:val="0"/>
              <w:adjustRightInd w:val="0"/>
              <w:spacing w:before="40" w:after="40"/>
              <w:jc w:val="center"/>
              <w:rPr>
                <w:b/>
                <w:sz w:val="16"/>
                <w:szCs w:val="16"/>
              </w:rPr>
            </w:pPr>
          </w:p>
        </w:tc>
      </w:tr>
    </w:tbl>
    <w:p w:rsidR="00927E1F" w:rsidRPr="00F164C1" w:rsidRDefault="00927E1F" w:rsidP="00927E1F">
      <w:pPr>
        <w:keepNext/>
        <w:keepLines/>
        <w:tabs>
          <w:tab w:val="left" w:pos="3261"/>
        </w:tabs>
        <w:autoSpaceDE w:val="0"/>
        <w:autoSpaceDN w:val="0"/>
        <w:adjustRightInd w:val="0"/>
        <w:rPr>
          <w:b/>
          <w:szCs w:val="22"/>
        </w:rPr>
      </w:pPr>
    </w:p>
    <w:p w:rsidR="00927E1F" w:rsidRPr="00F164C1" w:rsidRDefault="00927E1F" w:rsidP="00927E1F">
      <w:pPr>
        <w:keepNext/>
        <w:keepLines/>
        <w:tabs>
          <w:tab w:val="left" w:pos="3261"/>
        </w:tabs>
        <w:autoSpaceDE w:val="0"/>
        <w:autoSpaceDN w:val="0"/>
        <w:adjustRightInd w:val="0"/>
        <w:jc w:val="center"/>
        <w:rPr>
          <w:b/>
          <w:szCs w:val="22"/>
        </w:rPr>
      </w:pPr>
    </w:p>
    <w:p w:rsidR="00927E1F" w:rsidRPr="00F164C1" w:rsidRDefault="00927E1F" w:rsidP="00927E1F">
      <w:pPr>
        <w:keepNext/>
        <w:keepLines/>
        <w:tabs>
          <w:tab w:val="left" w:pos="3261"/>
        </w:tabs>
        <w:autoSpaceDE w:val="0"/>
        <w:autoSpaceDN w:val="0"/>
        <w:adjustRightInd w:val="0"/>
        <w:jc w:val="center"/>
        <w:rPr>
          <w:b/>
          <w:szCs w:val="22"/>
        </w:rPr>
      </w:pPr>
      <w:r w:rsidRPr="00F164C1">
        <w:rPr>
          <w:b/>
        </w:rPr>
        <w:t>Utilisation du budget du projet (par catégorie de dépenses)</w:t>
      </w:r>
    </w:p>
    <w:p w:rsidR="00927E1F" w:rsidRPr="00F164C1" w:rsidRDefault="00927E1F" w:rsidP="00927E1F">
      <w:pPr>
        <w:keepNext/>
        <w:keepLines/>
        <w:tabs>
          <w:tab w:val="left" w:pos="3261"/>
        </w:tabs>
        <w:autoSpaceDE w:val="0"/>
        <w:autoSpaceDN w:val="0"/>
        <w:adjustRightInd w:val="0"/>
        <w:jc w:val="center"/>
        <w:rPr>
          <w:i/>
          <w:iCs/>
          <w:sz w:val="18"/>
          <w:szCs w:val="18"/>
        </w:rPr>
      </w:pPr>
      <w:r w:rsidRPr="00F164C1">
        <w:rPr>
          <w:i/>
          <w:sz w:val="18"/>
        </w:rPr>
        <w:t>(</w:t>
      </w:r>
      <w:proofErr w:type="gramStart"/>
      <w:r w:rsidRPr="00F164C1">
        <w:rPr>
          <w:i/>
          <w:sz w:val="18"/>
        </w:rPr>
        <w:t>en</w:t>
      </w:r>
      <w:proofErr w:type="gramEnd"/>
      <w:r w:rsidRPr="00F164C1">
        <w:rPr>
          <w:i/>
          <w:sz w:val="18"/>
        </w:rPr>
        <w:t xml:space="preserve"> francs suisses, au 31 décembre 2015)</w:t>
      </w:r>
    </w:p>
    <w:p w:rsidR="00927E1F" w:rsidRPr="00F164C1" w:rsidRDefault="00927E1F" w:rsidP="00927E1F">
      <w:pPr>
        <w:keepNext/>
        <w:keepLines/>
        <w:autoSpaceDE w:val="0"/>
        <w:autoSpaceDN w:val="0"/>
        <w:adjustRightInd w:val="0"/>
        <w:jc w:val="center"/>
      </w:pP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838"/>
      </w:tblGrid>
      <w:tr w:rsidR="00927E1F" w:rsidRPr="00F164C1" w:rsidTr="00927E1F">
        <w:trPr>
          <w:trHeight w:val="569"/>
        </w:trPr>
        <w:tc>
          <w:tcPr>
            <w:tcW w:w="1854"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74" w:right="-60"/>
              <w:jc w:val="center"/>
              <w:rPr>
                <w:b/>
                <w:bCs/>
                <w:sz w:val="16"/>
                <w:szCs w:val="16"/>
              </w:rPr>
            </w:pPr>
            <w:r w:rsidRPr="00F164C1">
              <w:rPr>
                <w:b/>
                <w:sz w:val="16"/>
              </w:rPr>
              <w:t>Catégorie de dépenses</w:t>
            </w:r>
          </w:p>
        </w:tc>
        <w:tc>
          <w:tcPr>
            <w:tcW w:w="1049"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7" w:right="-108"/>
              <w:jc w:val="center"/>
              <w:rPr>
                <w:b/>
                <w:bCs/>
                <w:sz w:val="16"/>
                <w:szCs w:val="16"/>
              </w:rPr>
            </w:pPr>
            <w:r w:rsidRPr="00F164C1">
              <w:rPr>
                <w:b/>
                <w:sz w:val="16"/>
              </w:rPr>
              <w:t>Budget du projet</w:t>
            </w:r>
          </w:p>
        </w:tc>
        <w:tc>
          <w:tcPr>
            <w:tcW w:w="1049"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8"/>
              <w:jc w:val="center"/>
              <w:rPr>
                <w:b/>
                <w:bCs/>
                <w:sz w:val="16"/>
                <w:szCs w:val="16"/>
              </w:rPr>
            </w:pPr>
            <w:r w:rsidRPr="00F164C1">
              <w:rPr>
                <w:b/>
                <w:sz w:val="16"/>
              </w:rPr>
              <w:t xml:space="preserve">Dépenses effectives à ce jour </w:t>
            </w:r>
          </w:p>
        </w:tc>
        <w:tc>
          <w:tcPr>
            <w:tcW w:w="1048"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9"/>
              <w:jc w:val="center"/>
              <w:rPr>
                <w:b/>
                <w:bCs/>
                <w:sz w:val="16"/>
                <w:szCs w:val="16"/>
              </w:rPr>
            </w:pPr>
            <w:r w:rsidRPr="00F164C1">
              <w:rPr>
                <w:b/>
                <w:sz w:val="16"/>
              </w:rPr>
              <w:t>Utilisation effective du budget</w:t>
            </w:r>
          </w:p>
        </w:tc>
      </w:tr>
      <w:tr w:rsidR="00927E1F" w:rsidRPr="00F164C1" w:rsidTr="00927E1F">
        <w:tc>
          <w:tcPr>
            <w:tcW w:w="1854"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40" w:after="40"/>
              <w:rPr>
                <w:sz w:val="16"/>
                <w:szCs w:val="16"/>
              </w:rPr>
            </w:pPr>
            <w:r w:rsidRPr="00F164C1">
              <w:rPr>
                <w:sz w:val="16"/>
              </w:rPr>
              <w:t>Dépenses relatives à la construction</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40" w:after="40"/>
              <w:jc w:val="center"/>
              <w:rPr>
                <w:sz w:val="16"/>
                <w:szCs w:val="16"/>
              </w:rPr>
            </w:pPr>
            <w:r w:rsidRPr="00F164C1">
              <w:rPr>
                <w:sz w:val="16"/>
              </w:rPr>
              <w:t>759 000</w:t>
            </w:r>
          </w:p>
        </w:tc>
        <w:tc>
          <w:tcPr>
            <w:tcW w:w="1049" w:type="pct"/>
            <w:tcBorders>
              <w:top w:val="single" w:sz="4" w:space="0" w:color="auto"/>
              <w:left w:val="single" w:sz="4" w:space="0" w:color="auto"/>
              <w:bottom w:val="single" w:sz="4" w:space="0" w:color="auto"/>
              <w:right w:val="single" w:sz="4" w:space="0" w:color="auto"/>
            </w:tcBorders>
          </w:tcPr>
          <w:p w:rsidR="00927E1F" w:rsidRPr="00F164C1" w:rsidRDefault="00927E1F" w:rsidP="00927E1F">
            <w:pPr>
              <w:autoSpaceDE w:val="0"/>
              <w:autoSpaceDN w:val="0"/>
              <w:adjustRightInd w:val="0"/>
              <w:spacing w:before="40" w:after="40"/>
              <w:jc w:val="center"/>
              <w:rPr>
                <w:sz w:val="16"/>
                <w:szCs w:val="16"/>
              </w:rPr>
            </w:pPr>
            <w:r w:rsidRPr="00F164C1">
              <w:rPr>
                <w:sz w:val="16"/>
              </w:rPr>
              <w:t>0</w:t>
            </w:r>
          </w:p>
        </w:tc>
        <w:tc>
          <w:tcPr>
            <w:tcW w:w="1048" w:type="pct"/>
            <w:tcBorders>
              <w:top w:val="single" w:sz="4" w:space="0" w:color="auto"/>
              <w:left w:val="single" w:sz="4" w:space="0" w:color="auto"/>
              <w:bottom w:val="single" w:sz="4" w:space="0" w:color="auto"/>
              <w:right w:val="single" w:sz="4" w:space="0" w:color="auto"/>
            </w:tcBorders>
          </w:tcPr>
          <w:p w:rsidR="00927E1F" w:rsidRPr="00F164C1" w:rsidRDefault="00927E1F" w:rsidP="00927E1F">
            <w:pPr>
              <w:autoSpaceDE w:val="0"/>
              <w:autoSpaceDN w:val="0"/>
              <w:adjustRightInd w:val="0"/>
              <w:spacing w:before="40" w:after="40"/>
              <w:jc w:val="center"/>
              <w:rPr>
                <w:sz w:val="16"/>
                <w:szCs w:val="16"/>
              </w:rPr>
            </w:pPr>
            <w:r w:rsidRPr="00F164C1">
              <w:rPr>
                <w:sz w:val="16"/>
              </w:rPr>
              <w:t>0%</w:t>
            </w:r>
          </w:p>
        </w:tc>
      </w:tr>
      <w:tr w:rsidR="00927E1F" w:rsidRPr="00F164C1" w:rsidTr="00927E1F">
        <w:tc>
          <w:tcPr>
            <w:tcW w:w="1854"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40" w:after="40"/>
              <w:rPr>
                <w:sz w:val="16"/>
                <w:szCs w:val="16"/>
              </w:rPr>
            </w:pPr>
            <w:r w:rsidRPr="00F164C1">
              <w:rPr>
                <w:sz w:val="16"/>
              </w:rPr>
              <w:t>Honoraires</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40" w:after="40"/>
              <w:jc w:val="center"/>
              <w:rPr>
                <w:sz w:val="16"/>
                <w:szCs w:val="16"/>
              </w:rPr>
            </w:pPr>
            <w:r w:rsidRPr="00F164C1">
              <w:rPr>
                <w:sz w:val="16"/>
              </w:rPr>
              <w:t>144 000</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spacing w:before="40" w:after="40"/>
              <w:jc w:val="center"/>
              <w:rPr>
                <w:sz w:val="16"/>
                <w:szCs w:val="16"/>
              </w:rPr>
            </w:pPr>
            <w:r w:rsidRPr="00F164C1">
              <w:rPr>
                <w:sz w:val="16"/>
                <w:szCs w:val="16"/>
              </w:rPr>
              <w:t>5 000</w:t>
            </w:r>
            <w:r w:rsidRPr="00F164C1">
              <w:rPr>
                <w:rStyle w:val="FootnoteReference"/>
                <w:rFonts w:eastAsia="SimSun"/>
                <w:sz w:val="16"/>
                <w:szCs w:val="16"/>
              </w:rPr>
              <w:footnoteReference w:id="180"/>
            </w:r>
          </w:p>
        </w:tc>
        <w:tc>
          <w:tcPr>
            <w:tcW w:w="1048"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spacing w:before="40" w:after="40"/>
              <w:jc w:val="center"/>
              <w:rPr>
                <w:sz w:val="16"/>
                <w:szCs w:val="16"/>
              </w:rPr>
            </w:pPr>
            <w:r w:rsidRPr="00F164C1">
              <w:rPr>
                <w:sz w:val="16"/>
                <w:szCs w:val="16"/>
              </w:rPr>
              <w:t>3,5%</w:t>
            </w:r>
          </w:p>
        </w:tc>
      </w:tr>
      <w:tr w:rsidR="00927E1F" w:rsidRPr="00F164C1" w:rsidTr="00927E1F">
        <w:tc>
          <w:tcPr>
            <w:tcW w:w="1854"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40" w:after="40"/>
              <w:rPr>
                <w:sz w:val="16"/>
                <w:szCs w:val="16"/>
              </w:rPr>
            </w:pPr>
            <w:r w:rsidRPr="00F164C1">
              <w:rPr>
                <w:sz w:val="16"/>
              </w:rPr>
              <w:t>Divers et imprévus</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40" w:after="40"/>
              <w:jc w:val="center"/>
              <w:rPr>
                <w:sz w:val="16"/>
                <w:szCs w:val="16"/>
              </w:rPr>
            </w:pPr>
            <w:r w:rsidRPr="00F164C1">
              <w:rPr>
                <w:sz w:val="16"/>
              </w:rPr>
              <w:t>67 000</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spacing w:before="40" w:after="40"/>
              <w:jc w:val="center"/>
              <w:rPr>
                <w:sz w:val="16"/>
                <w:szCs w:val="16"/>
              </w:rPr>
            </w:pPr>
            <w:r w:rsidRPr="00F164C1">
              <w:rPr>
                <w:sz w:val="16"/>
                <w:szCs w:val="16"/>
              </w:rPr>
              <w:t>0</w:t>
            </w:r>
          </w:p>
        </w:tc>
        <w:tc>
          <w:tcPr>
            <w:tcW w:w="1048"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spacing w:before="40" w:after="40"/>
              <w:jc w:val="center"/>
              <w:rPr>
                <w:sz w:val="16"/>
                <w:szCs w:val="16"/>
              </w:rPr>
            </w:pPr>
            <w:r w:rsidRPr="00F164C1">
              <w:rPr>
                <w:sz w:val="16"/>
                <w:szCs w:val="16"/>
              </w:rPr>
              <w:t>0%</w:t>
            </w:r>
          </w:p>
        </w:tc>
      </w:tr>
      <w:tr w:rsidR="00927E1F" w:rsidRPr="00F164C1" w:rsidTr="00927E1F">
        <w:tc>
          <w:tcPr>
            <w:tcW w:w="1854"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autoSpaceDE w:val="0"/>
              <w:autoSpaceDN w:val="0"/>
              <w:adjustRightInd w:val="0"/>
              <w:spacing w:before="40" w:after="40"/>
              <w:rPr>
                <w:b/>
                <w:sz w:val="16"/>
                <w:szCs w:val="16"/>
              </w:rPr>
            </w:pPr>
            <w:r w:rsidRPr="00F164C1">
              <w:rPr>
                <w:b/>
                <w:sz w:val="16"/>
              </w:rPr>
              <w:t>Total</w:t>
            </w:r>
          </w:p>
        </w:tc>
        <w:tc>
          <w:tcPr>
            <w:tcW w:w="1049"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autoSpaceDE w:val="0"/>
              <w:autoSpaceDN w:val="0"/>
              <w:adjustRightInd w:val="0"/>
              <w:spacing w:before="40" w:after="40"/>
              <w:jc w:val="center"/>
              <w:rPr>
                <w:b/>
                <w:sz w:val="16"/>
                <w:szCs w:val="16"/>
              </w:rPr>
            </w:pPr>
            <w:r w:rsidRPr="00F164C1">
              <w:rPr>
                <w:b/>
                <w:sz w:val="16"/>
              </w:rPr>
              <w:t>960 000</w:t>
            </w:r>
          </w:p>
        </w:tc>
        <w:tc>
          <w:tcPr>
            <w:tcW w:w="1049" w:type="pct"/>
            <w:tcBorders>
              <w:top w:val="single" w:sz="4" w:space="0" w:color="auto"/>
              <w:left w:val="single" w:sz="4" w:space="0" w:color="auto"/>
              <w:bottom w:val="single" w:sz="4" w:space="0" w:color="auto"/>
              <w:right w:val="single" w:sz="4" w:space="0" w:color="auto"/>
            </w:tcBorders>
            <w:shd w:val="clear" w:color="auto" w:fill="C6D9F1"/>
          </w:tcPr>
          <w:p w:rsidR="00927E1F" w:rsidRPr="00F164C1" w:rsidRDefault="00927E1F" w:rsidP="00927E1F">
            <w:pPr>
              <w:autoSpaceDE w:val="0"/>
              <w:autoSpaceDN w:val="0"/>
              <w:adjustRightInd w:val="0"/>
              <w:spacing w:before="40" w:after="40"/>
              <w:jc w:val="center"/>
              <w:rPr>
                <w:b/>
                <w:sz w:val="16"/>
                <w:szCs w:val="16"/>
              </w:rPr>
            </w:pPr>
            <w:r w:rsidRPr="00F164C1">
              <w:rPr>
                <w:b/>
                <w:sz w:val="16"/>
                <w:szCs w:val="16"/>
              </w:rPr>
              <w:t>5 000</w:t>
            </w:r>
          </w:p>
        </w:tc>
        <w:tc>
          <w:tcPr>
            <w:tcW w:w="1048" w:type="pct"/>
            <w:tcBorders>
              <w:top w:val="single" w:sz="4" w:space="0" w:color="auto"/>
              <w:left w:val="single" w:sz="4" w:space="0" w:color="auto"/>
              <w:bottom w:val="single" w:sz="4" w:space="0" w:color="auto"/>
              <w:right w:val="single" w:sz="4" w:space="0" w:color="auto"/>
            </w:tcBorders>
            <w:shd w:val="clear" w:color="auto" w:fill="C6D9F1"/>
          </w:tcPr>
          <w:p w:rsidR="00927E1F" w:rsidRPr="00F164C1" w:rsidRDefault="00927E1F" w:rsidP="00927E1F">
            <w:pPr>
              <w:autoSpaceDE w:val="0"/>
              <w:autoSpaceDN w:val="0"/>
              <w:adjustRightInd w:val="0"/>
              <w:spacing w:before="40" w:after="40"/>
              <w:jc w:val="center"/>
              <w:rPr>
                <w:b/>
                <w:sz w:val="16"/>
                <w:szCs w:val="16"/>
              </w:rPr>
            </w:pPr>
            <w:r w:rsidRPr="00F164C1">
              <w:rPr>
                <w:b/>
                <w:sz w:val="16"/>
                <w:szCs w:val="16"/>
              </w:rPr>
              <w:t>0,5%</w:t>
            </w:r>
          </w:p>
        </w:tc>
      </w:tr>
    </w:tbl>
    <w:p w:rsidR="00927E1F" w:rsidRPr="00F164C1" w:rsidRDefault="00927E1F" w:rsidP="00927E1F">
      <w:pPr>
        <w:rPr>
          <w:sz w:val="22"/>
          <w:szCs w:val="22"/>
        </w:rPr>
      </w:pPr>
    </w:p>
    <w:p w:rsidR="00927E1F" w:rsidRPr="00F164C1" w:rsidRDefault="00927E1F" w:rsidP="00927E1F">
      <w:pPr>
        <w:rPr>
          <w:sz w:val="22"/>
          <w:szCs w:val="22"/>
        </w:rPr>
      </w:pPr>
    </w:p>
    <w:p w:rsidR="00783605" w:rsidRDefault="00783605">
      <w:pPr>
        <w:spacing w:after="200" w:line="276" w:lineRule="auto"/>
      </w:pPr>
      <w:r>
        <w:br w:type="page"/>
      </w:r>
    </w:p>
    <w:p w:rsidR="00927E1F" w:rsidRPr="00422570" w:rsidRDefault="00927E1F" w:rsidP="00927E1F">
      <w:pPr>
        <w:keepNext/>
      </w:pPr>
      <w:r w:rsidRPr="00422570">
        <w:lastRenderedPageBreak/>
        <w:t>RISQUES ET STRATÉGIES D’ATTÉNUATION</w:t>
      </w:r>
    </w:p>
    <w:p w:rsidR="00927E1F" w:rsidRPr="00422570" w:rsidRDefault="00927E1F" w:rsidP="00927E1F">
      <w:pPr>
        <w:keepNext/>
      </w:pP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927E1F" w:rsidRPr="00F164C1" w:rsidTr="00927E1F">
        <w:trPr>
          <w:trHeight w:val="308"/>
          <w:tblHeader/>
          <w:jc w:val="center"/>
        </w:trPr>
        <w:tc>
          <w:tcPr>
            <w:tcW w:w="1667" w:type="pct"/>
            <w:shd w:val="clear" w:color="auto" w:fill="C6D9F1"/>
            <w:vAlign w:val="center"/>
          </w:tcPr>
          <w:p w:rsidR="00927E1F" w:rsidRPr="00F164C1" w:rsidRDefault="00927E1F" w:rsidP="00927E1F">
            <w:pPr>
              <w:autoSpaceDE w:val="0"/>
              <w:autoSpaceDN w:val="0"/>
              <w:adjustRightInd w:val="0"/>
              <w:spacing w:before="40" w:after="40"/>
              <w:ind w:left="-74" w:right="-60"/>
              <w:jc w:val="center"/>
              <w:rPr>
                <w:b/>
                <w:bCs/>
                <w:sz w:val="16"/>
                <w:szCs w:val="16"/>
              </w:rPr>
            </w:pPr>
            <w:r w:rsidRPr="00F164C1">
              <w:rPr>
                <w:b/>
                <w:sz w:val="16"/>
              </w:rPr>
              <w:t>Risque / Description du risque</w:t>
            </w:r>
          </w:p>
        </w:tc>
        <w:tc>
          <w:tcPr>
            <w:tcW w:w="1667" w:type="pct"/>
            <w:shd w:val="clear" w:color="auto" w:fill="C6D9F1"/>
            <w:vAlign w:val="center"/>
          </w:tcPr>
          <w:p w:rsidR="00927E1F" w:rsidRPr="00F164C1" w:rsidRDefault="00927E1F" w:rsidP="00927E1F">
            <w:pPr>
              <w:autoSpaceDE w:val="0"/>
              <w:autoSpaceDN w:val="0"/>
              <w:adjustRightInd w:val="0"/>
              <w:spacing w:before="40" w:after="40"/>
              <w:ind w:left="-107" w:right="-108"/>
              <w:jc w:val="center"/>
              <w:rPr>
                <w:b/>
                <w:bCs/>
                <w:sz w:val="16"/>
                <w:szCs w:val="16"/>
              </w:rPr>
            </w:pPr>
            <w:r w:rsidRPr="00F164C1">
              <w:rPr>
                <w:b/>
                <w:sz w:val="16"/>
              </w:rPr>
              <w:t>Atténuation des risques</w:t>
            </w:r>
          </w:p>
        </w:tc>
        <w:tc>
          <w:tcPr>
            <w:tcW w:w="1666" w:type="pct"/>
            <w:shd w:val="clear" w:color="auto" w:fill="C6D9F1"/>
            <w:vAlign w:val="center"/>
          </w:tcPr>
          <w:p w:rsidR="00927E1F" w:rsidRPr="00F164C1" w:rsidRDefault="00927E1F" w:rsidP="00927E1F">
            <w:pPr>
              <w:autoSpaceDE w:val="0"/>
              <w:autoSpaceDN w:val="0"/>
              <w:adjustRightInd w:val="0"/>
              <w:spacing w:before="40" w:after="40"/>
              <w:ind w:left="-109"/>
              <w:jc w:val="center"/>
              <w:rPr>
                <w:b/>
                <w:bCs/>
                <w:sz w:val="16"/>
                <w:szCs w:val="16"/>
              </w:rPr>
            </w:pPr>
            <w:r w:rsidRPr="00F164C1">
              <w:rPr>
                <w:b/>
                <w:bCs/>
                <w:sz w:val="16"/>
                <w:szCs w:val="16"/>
              </w:rPr>
              <w:t>Observation</w:t>
            </w:r>
          </w:p>
        </w:tc>
      </w:tr>
      <w:tr w:rsidR="00927E1F" w:rsidRPr="00F164C1" w:rsidTr="00927E1F">
        <w:trPr>
          <w:trHeight w:val="776"/>
          <w:jc w:val="center"/>
        </w:trPr>
        <w:tc>
          <w:tcPr>
            <w:tcW w:w="1667" w:type="pct"/>
            <w:shd w:val="clear" w:color="auto" w:fill="auto"/>
          </w:tcPr>
          <w:p w:rsidR="00927E1F" w:rsidRPr="00F164C1" w:rsidRDefault="00927E1F" w:rsidP="00927E1F">
            <w:pPr>
              <w:autoSpaceDE w:val="0"/>
              <w:autoSpaceDN w:val="0"/>
              <w:adjustRightInd w:val="0"/>
              <w:spacing w:before="40" w:after="40"/>
              <w:rPr>
                <w:sz w:val="16"/>
                <w:szCs w:val="16"/>
                <w:highlight w:val="yellow"/>
              </w:rPr>
            </w:pPr>
            <w:r w:rsidRPr="00F164C1">
              <w:rPr>
                <w:sz w:val="16"/>
                <w:szCs w:val="16"/>
              </w:rPr>
              <w:t>Démarrage du projet retardé de six mois à un an suite au retard dans l’achèvement de la nouvelle salle de conférence de l’OMPI.</w:t>
            </w:r>
          </w:p>
        </w:tc>
        <w:tc>
          <w:tcPr>
            <w:tcW w:w="1667"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Modification du calendrier pour tenir compte du retard.</w:t>
            </w:r>
          </w:p>
        </w:tc>
        <w:tc>
          <w:tcPr>
            <w:tcW w:w="1666"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Ce risque s’est réalisé en 2014.  Le planning général du projet a été décalé de six mois par rapport au plan de départ.  Le calendrier du projet a été modifié en conséquence, conformément à la mesure d’atténuation des risques indiquée.  Cette modification n’a pas eu d’incidence significative sur les résultats du projet.</w:t>
            </w:r>
          </w:p>
        </w:tc>
      </w:tr>
      <w:tr w:rsidR="00927E1F" w:rsidRPr="00F164C1" w:rsidTr="00927E1F">
        <w:trPr>
          <w:trHeight w:val="776"/>
          <w:jc w:val="center"/>
        </w:trPr>
        <w:tc>
          <w:tcPr>
            <w:tcW w:w="1667"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Retard dans le démarrage des travaux dû à des décisions internes incertaines quant aux possibilités d’implantation des machines et des occupants dans la future imprimerie pour une meilleure utilisation des surfaces par les unités concernées.</w:t>
            </w:r>
          </w:p>
        </w:tc>
        <w:tc>
          <w:tcPr>
            <w:tcW w:w="1667"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Révision de la surface nécessaire pour mieux évaluer les besoins.</w:t>
            </w:r>
          </w:p>
        </w:tc>
        <w:tc>
          <w:tcPr>
            <w:tcW w:w="1666"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 xml:space="preserve">Ce risque s’est matérialisé en 2015, entraînant des retards supplémentaires dans la mise en œuvre du projet.  À la fin de l’année, une révision de la surface nécessaire était en cours d’achèvement, conformément à la mesure d’atténuation des risques indiquée.  Le calendrier du projet a été de nouveau modifié en conséquence.  </w:t>
            </w:r>
          </w:p>
        </w:tc>
      </w:tr>
      <w:tr w:rsidR="00927E1F" w:rsidRPr="00F164C1" w:rsidTr="00927E1F">
        <w:trPr>
          <w:trHeight w:val="776"/>
          <w:jc w:val="center"/>
        </w:trPr>
        <w:tc>
          <w:tcPr>
            <w:tcW w:w="1667"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Retard dans l’achèvement des travaux dû à un problème technique lors du démontage des installations existantes.</w:t>
            </w:r>
          </w:p>
        </w:tc>
        <w:tc>
          <w:tcPr>
            <w:tcW w:w="1667"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Réalisation des réparations éventuelles et réactualisation du calendrier des travaux si nécessaire.</w:t>
            </w:r>
          </w:p>
        </w:tc>
        <w:tc>
          <w:tcPr>
            <w:tcW w:w="1666" w:type="pct"/>
            <w:shd w:val="clear" w:color="auto" w:fill="auto"/>
          </w:tcPr>
          <w:p w:rsidR="00927E1F" w:rsidRPr="00F164C1" w:rsidRDefault="00927E1F" w:rsidP="00927E1F">
            <w:pPr>
              <w:autoSpaceDE w:val="0"/>
              <w:autoSpaceDN w:val="0"/>
              <w:adjustRightInd w:val="0"/>
              <w:spacing w:before="40" w:after="40"/>
              <w:rPr>
                <w:sz w:val="16"/>
                <w:szCs w:val="16"/>
                <w:highlight w:val="yellow"/>
              </w:rPr>
            </w:pPr>
          </w:p>
        </w:tc>
      </w:tr>
      <w:tr w:rsidR="00927E1F" w:rsidRPr="00F164C1" w:rsidTr="00927E1F">
        <w:trPr>
          <w:trHeight w:val="776"/>
          <w:jc w:val="center"/>
        </w:trPr>
        <w:tc>
          <w:tcPr>
            <w:tcW w:w="1667"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Risque financier résultant du coût de déplacement temporaire partiel du personnel de l’imprimerie et de la salle des archives.</w:t>
            </w:r>
          </w:p>
        </w:tc>
        <w:tc>
          <w:tcPr>
            <w:tcW w:w="1667"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 xml:space="preserve">Utilisation </w:t>
            </w:r>
            <w:proofErr w:type="gramStart"/>
            <w:r w:rsidRPr="00F164C1">
              <w:rPr>
                <w:sz w:val="16"/>
                <w:szCs w:val="16"/>
              </w:rPr>
              <w:t>de la disposition “divers et imprévus</w:t>
            </w:r>
            <w:proofErr w:type="gramEnd"/>
            <w:r w:rsidRPr="00F164C1">
              <w:rPr>
                <w:sz w:val="16"/>
                <w:szCs w:val="16"/>
              </w:rPr>
              <w:t>” dans le budget approuvé.</w:t>
            </w:r>
          </w:p>
        </w:tc>
        <w:tc>
          <w:tcPr>
            <w:tcW w:w="1666" w:type="pct"/>
            <w:shd w:val="clear" w:color="auto" w:fill="auto"/>
          </w:tcPr>
          <w:p w:rsidR="00927E1F" w:rsidRPr="00F164C1" w:rsidRDefault="00927E1F" w:rsidP="00927E1F">
            <w:pPr>
              <w:autoSpaceDE w:val="0"/>
              <w:autoSpaceDN w:val="0"/>
              <w:adjustRightInd w:val="0"/>
              <w:spacing w:before="40" w:after="40"/>
              <w:rPr>
                <w:sz w:val="16"/>
                <w:szCs w:val="16"/>
                <w:highlight w:val="yellow"/>
              </w:rPr>
            </w:pPr>
          </w:p>
        </w:tc>
      </w:tr>
    </w:tbl>
    <w:p w:rsidR="00927E1F" w:rsidRPr="00422570" w:rsidRDefault="00927E1F" w:rsidP="00927E1F"/>
    <w:p w:rsidR="00927E1F" w:rsidRPr="00422570" w:rsidRDefault="00927E1F" w:rsidP="00927E1F"/>
    <w:p w:rsidR="00927E1F" w:rsidRPr="00422570" w:rsidRDefault="00927E1F" w:rsidP="00927E1F">
      <w:r w:rsidRPr="00422570">
        <w:t>CALENDRIER DU PROJET PAR ÉTAPE</w:t>
      </w:r>
    </w:p>
    <w:p w:rsidR="00927E1F" w:rsidRPr="00422570" w:rsidRDefault="00927E1F" w:rsidP="00927E1F">
      <w:pPr>
        <w:autoSpaceDE w:val="0"/>
        <w:autoSpaceDN w:val="0"/>
        <w:jc w:val="both"/>
      </w:pPr>
    </w:p>
    <w:tbl>
      <w:tblPr>
        <w:tblW w:w="9520" w:type="dxa"/>
        <w:jc w:val="center"/>
        <w:tblCellMar>
          <w:top w:w="113" w:type="dxa"/>
          <w:left w:w="68" w:type="dxa"/>
          <w:bottom w:w="113" w:type="dxa"/>
          <w:right w:w="68" w:type="dxa"/>
        </w:tblCellMar>
        <w:tblLook w:val="04A0" w:firstRow="1" w:lastRow="0" w:firstColumn="1" w:lastColumn="0" w:noHBand="0" w:noVBand="1"/>
      </w:tblPr>
      <w:tblGrid>
        <w:gridCol w:w="1840"/>
        <w:gridCol w:w="480"/>
        <w:gridCol w:w="480"/>
        <w:gridCol w:w="480"/>
        <w:gridCol w:w="480"/>
        <w:gridCol w:w="480"/>
        <w:gridCol w:w="480"/>
        <w:gridCol w:w="480"/>
        <w:gridCol w:w="480"/>
        <w:gridCol w:w="480"/>
        <w:gridCol w:w="480"/>
        <w:gridCol w:w="480"/>
        <w:gridCol w:w="480"/>
        <w:gridCol w:w="480"/>
        <w:gridCol w:w="480"/>
        <w:gridCol w:w="480"/>
        <w:gridCol w:w="480"/>
      </w:tblGrid>
      <w:tr w:rsidR="00927E1F" w:rsidRPr="00F164C1" w:rsidTr="00927E1F">
        <w:trPr>
          <w:cantSplit/>
          <w:jc w:val="center"/>
        </w:trPr>
        <w:tc>
          <w:tcPr>
            <w:tcW w:w="1840" w:type="dxa"/>
            <w:tcBorders>
              <w:top w:val="nil"/>
              <w:left w:val="nil"/>
              <w:bottom w:val="nil"/>
              <w:right w:val="nil"/>
            </w:tcBorders>
            <w:shd w:val="clear" w:color="auto" w:fill="auto"/>
            <w:noWrap/>
            <w:vAlign w:val="bottom"/>
            <w:hideMark/>
          </w:tcPr>
          <w:p w:rsidR="00927E1F" w:rsidRPr="00F164C1" w:rsidRDefault="00927E1F" w:rsidP="00927E1F">
            <w:pPr>
              <w:rPr>
                <w:sz w:val="16"/>
                <w:szCs w:val="16"/>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noWrap/>
            <w:vAlign w:val="bottom"/>
            <w:hideMark/>
          </w:tcPr>
          <w:p w:rsidR="00927E1F" w:rsidRPr="00F164C1" w:rsidRDefault="00927E1F" w:rsidP="00927E1F">
            <w:pPr>
              <w:jc w:val="center"/>
              <w:rPr>
                <w:b/>
                <w:bCs/>
                <w:sz w:val="16"/>
                <w:szCs w:val="16"/>
              </w:rPr>
            </w:pPr>
            <w:r w:rsidRPr="00F164C1">
              <w:rPr>
                <w:b/>
                <w:sz w:val="16"/>
              </w:rPr>
              <w:t>2014</w:t>
            </w:r>
          </w:p>
        </w:tc>
        <w:tc>
          <w:tcPr>
            <w:tcW w:w="1920" w:type="dxa"/>
            <w:gridSpan w:val="4"/>
            <w:tcBorders>
              <w:top w:val="single" w:sz="8" w:space="0" w:color="auto"/>
              <w:left w:val="nil"/>
              <w:bottom w:val="single" w:sz="4" w:space="0" w:color="auto"/>
              <w:right w:val="single" w:sz="8" w:space="0" w:color="000000"/>
            </w:tcBorders>
            <w:shd w:val="clear" w:color="auto" w:fill="C6D9F1"/>
            <w:noWrap/>
            <w:vAlign w:val="bottom"/>
            <w:hideMark/>
          </w:tcPr>
          <w:p w:rsidR="00927E1F" w:rsidRPr="00F164C1" w:rsidRDefault="00927E1F" w:rsidP="00927E1F">
            <w:pPr>
              <w:jc w:val="center"/>
              <w:rPr>
                <w:b/>
                <w:bCs/>
                <w:sz w:val="16"/>
                <w:szCs w:val="16"/>
              </w:rPr>
            </w:pPr>
            <w:r w:rsidRPr="00F164C1">
              <w:rPr>
                <w:b/>
                <w:sz w:val="16"/>
              </w:rPr>
              <w:t>2015</w:t>
            </w:r>
          </w:p>
        </w:tc>
        <w:tc>
          <w:tcPr>
            <w:tcW w:w="1920" w:type="dxa"/>
            <w:gridSpan w:val="4"/>
            <w:tcBorders>
              <w:top w:val="single" w:sz="8" w:space="0" w:color="auto"/>
              <w:left w:val="nil"/>
              <w:bottom w:val="single" w:sz="4" w:space="0" w:color="auto"/>
              <w:right w:val="single" w:sz="8" w:space="0" w:color="000000"/>
            </w:tcBorders>
            <w:shd w:val="clear" w:color="auto" w:fill="C6D9F1"/>
            <w:noWrap/>
            <w:vAlign w:val="bottom"/>
            <w:hideMark/>
          </w:tcPr>
          <w:p w:rsidR="00927E1F" w:rsidRPr="00F164C1" w:rsidRDefault="00927E1F" w:rsidP="00927E1F">
            <w:pPr>
              <w:jc w:val="center"/>
              <w:rPr>
                <w:b/>
                <w:bCs/>
                <w:sz w:val="16"/>
                <w:szCs w:val="16"/>
              </w:rPr>
            </w:pPr>
            <w:r w:rsidRPr="00F164C1">
              <w:rPr>
                <w:b/>
                <w:sz w:val="16"/>
              </w:rPr>
              <w:t>2016</w:t>
            </w:r>
          </w:p>
        </w:tc>
        <w:tc>
          <w:tcPr>
            <w:tcW w:w="1920" w:type="dxa"/>
            <w:gridSpan w:val="4"/>
            <w:tcBorders>
              <w:top w:val="single" w:sz="8" w:space="0" w:color="auto"/>
              <w:left w:val="nil"/>
              <w:bottom w:val="single" w:sz="4" w:space="0" w:color="auto"/>
              <w:right w:val="single" w:sz="8" w:space="0" w:color="000000"/>
            </w:tcBorders>
            <w:shd w:val="clear" w:color="auto" w:fill="C6D9F1"/>
            <w:noWrap/>
            <w:vAlign w:val="bottom"/>
            <w:hideMark/>
          </w:tcPr>
          <w:p w:rsidR="00927E1F" w:rsidRPr="00F164C1" w:rsidRDefault="00927E1F" w:rsidP="00927E1F">
            <w:pPr>
              <w:jc w:val="center"/>
              <w:rPr>
                <w:b/>
                <w:bCs/>
                <w:sz w:val="16"/>
                <w:szCs w:val="16"/>
              </w:rPr>
            </w:pPr>
            <w:r w:rsidRPr="00F164C1">
              <w:rPr>
                <w:b/>
                <w:sz w:val="16"/>
              </w:rPr>
              <w:t>2017</w:t>
            </w:r>
          </w:p>
        </w:tc>
      </w:tr>
      <w:tr w:rsidR="00927E1F" w:rsidRPr="00F164C1" w:rsidTr="00927E1F">
        <w:trPr>
          <w:cantSplit/>
          <w:jc w:val="center"/>
        </w:trPr>
        <w:tc>
          <w:tcPr>
            <w:tcW w:w="1840" w:type="dxa"/>
            <w:tcBorders>
              <w:top w:val="single" w:sz="8" w:space="0" w:color="auto"/>
              <w:left w:val="single" w:sz="8" w:space="0" w:color="auto"/>
              <w:bottom w:val="single" w:sz="4" w:space="0" w:color="auto"/>
              <w:right w:val="single" w:sz="8" w:space="0" w:color="auto"/>
            </w:tcBorders>
            <w:shd w:val="clear" w:color="auto" w:fill="C6D9F1"/>
            <w:noWrap/>
            <w:vAlign w:val="bottom"/>
            <w:hideMark/>
          </w:tcPr>
          <w:p w:rsidR="00927E1F" w:rsidRPr="00F164C1" w:rsidRDefault="00927E1F" w:rsidP="00927E1F">
            <w:pPr>
              <w:rPr>
                <w:b/>
                <w:bCs/>
                <w:sz w:val="16"/>
                <w:szCs w:val="16"/>
              </w:rPr>
            </w:pPr>
            <w:r w:rsidRPr="00F164C1">
              <w:rPr>
                <w:b/>
                <w:sz w:val="16"/>
              </w:rPr>
              <w:t>Étape principale</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T1</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T2</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T3</w:t>
            </w:r>
          </w:p>
        </w:tc>
        <w:tc>
          <w:tcPr>
            <w:tcW w:w="480" w:type="dxa"/>
            <w:tcBorders>
              <w:top w:val="nil"/>
              <w:left w:val="nil"/>
              <w:bottom w:val="single" w:sz="4" w:space="0" w:color="auto"/>
              <w:right w:val="single" w:sz="8"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T4</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T1</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T2</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T3</w:t>
            </w:r>
          </w:p>
        </w:tc>
        <w:tc>
          <w:tcPr>
            <w:tcW w:w="480" w:type="dxa"/>
            <w:tcBorders>
              <w:top w:val="nil"/>
              <w:left w:val="nil"/>
              <w:bottom w:val="single" w:sz="4" w:space="0" w:color="auto"/>
              <w:right w:val="single" w:sz="8"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T4</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T1</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T2</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T3</w:t>
            </w:r>
          </w:p>
        </w:tc>
        <w:tc>
          <w:tcPr>
            <w:tcW w:w="480" w:type="dxa"/>
            <w:tcBorders>
              <w:top w:val="nil"/>
              <w:left w:val="nil"/>
              <w:bottom w:val="single" w:sz="4" w:space="0" w:color="auto"/>
              <w:right w:val="single" w:sz="8"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T4</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T1</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T2</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T3</w:t>
            </w:r>
          </w:p>
        </w:tc>
        <w:tc>
          <w:tcPr>
            <w:tcW w:w="480" w:type="dxa"/>
            <w:tcBorders>
              <w:top w:val="nil"/>
              <w:left w:val="nil"/>
              <w:bottom w:val="single" w:sz="4" w:space="0" w:color="auto"/>
              <w:right w:val="single" w:sz="8" w:space="0" w:color="auto"/>
            </w:tcBorders>
            <w:shd w:val="clear" w:color="auto" w:fill="C6D9F1"/>
            <w:noWrap/>
            <w:vAlign w:val="bottom"/>
            <w:hideMark/>
          </w:tcPr>
          <w:p w:rsidR="00927E1F" w:rsidRPr="00F164C1" w:rsidRDefault="00927E1F" w:rsidP="00927E1F">
            <w:pPr>
              <w:rPr>
                <w:b/>
                <w:bCs/>
                <w:sz w:val="16"/>
                <w:szCs w:val="16"/>
              </w:rPr>
            </w:pPr>
            <w:r w:rsidRPr="00F164C1">
              <w:rPr>
                <w:b/>
                <w:bCs/>
                <w:sz w:val="16"/>
                <w:szCs w:val="16"/>
              </w:rPr>
              <w:t>T4</w:t>
            </w:r>
          </w:p>
        </w:tc>
      </w:tr>
      <w:tr w:rsidR="00927E1F" w:rsidRPr="00F164C1" w:rsidTr="00927E1F">
        <w:trPr>
          <w:cantSplit/>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927E1F" w:rsidRPr="00F164C1" w:rsidRDefault="00927E1F" w:rsidP="00927E1F">
            <w:pPr>
              <w:rPr>
                <w:sz w:val="16"/>
                <w:szCs w:val="16"/>
              </w:rPr>
            </w:pPr>
            <w:r w:rsidRPr="00F164C1">
              <w:rPr>
                <w:sz w:val="16"/>
              </w:rPr>
              <w:t>Définition en interne des objectifs avant</w:t>
            </w:r>
            <w:r w:rsidRPr="00F164C1">
              <w:rPr>
                <w:sz w:val="16"/>
              </w:rPr>
              <w:noBreakHyphen/>
              <w:t>projets</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r w:rsidRPr="00F164C1">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spacing w:before="40" w:after="40"/>
              <w:jc w:val="center"/>
              <w:rPr>
                <w:sz w:val="16"/>
                <w:szCs w:val="16"/>
              </w:rPr>
            </w:pPr>
          </w:p>
        </w:tc>
      </w:tr>
      <w:tr w:rsidR="00927E1F" w:rsidRPr="00F164C1" w:rsidTr="00927E1F">
        <w:trPr>
          <w:cantSplit/>
          <w:jc w:val="center"/>
        </w:trPr>
        <w:tc>
          <w:tcPr>
            <w:tcW w:w="1840" w:type="dxa"/>
            <w:tcBorders>
              <w:top w:val="nil"/>
              <w:left w:val="single" w:sz="8" w:space="0" w:color="auto"/>
              <w:bottom w:val="single" w:sz="4" w:space="0" w:color="auto"/>
              <w:right w:val="single" w:sz="8" w:space="0" w:color="auto"/>
            </w:tcBorders>
            <w:shd w:val="clear" w:color="auto" w:fill="auto"/>
            <w:noWrap/>
            <w:vAlign w:val="bottom"/>
          </w:tcPr>
          <w:p w:rsidR="00927E1F" w:rsidRPr="00F164C1" w:rsidRDefault="00927E1F" w:rsidP="00927E1F">
            <w:pPr>
              <w:rPr>
                <w:sz w:val="16"/>
                <w:szCs w:val="16"/>
              </w:rPr>
            </w:pPr>
            <w:r w:rsidRPr="00F164C1">
              <w:rPr>
                <w:sz w:val="16"/>
              </w:rPr>
              <w:t>Attribution des contrats à l’architecte</w:t>
            </w: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r w:rsidRPr="00F164C1">
              <w:rPr>
                <w:sz w:val="16"/>
                <w:szCs w:val="16"/>
              </w:rPr>
              <w:t>X</w:t>
            </w:r>
          </w:p>
        </w:tc>
        <w:tc>
          <w:tcPr>
            <w:tcW w:w="480" w:type="dxa"/>
            <w:tcBorders>
              <w:top w:val="nil"/>
              <w:left w:val="nil"/>
              <w:bottom w:val="single" w:sz="4" w:space="0" w:color="auto"/>
              <w:right w:val="single" w:sz="8" w:space="0" w:color="auto"/>
            </w:tcBorders>
            <w:shd w:val="clear" w:color="auto" w:fill="auto"/>
            <w:noWrap/>
            <w:vAlign w:val="center"/>
          </w:tcPr>
          <w:p w:rsidR="00927E1F" w:rsidRPr="00F164C1" w:rsidRDefault="00927E1F" w:rsidP="00927E1F">
            <w:pPr>
              <w:spacing w:before="40" w:after="40"/>
              <w:jc w:val="center"/>
              <w:rPr>
                <w:sz w:val="16"/>
                <w:szCs w:val="16"/>
              </w:rPr>
            </w:pPr>
            <w:r w:rsidRPr="00F164C1">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r w:rsidRPr="00F164C1">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r w:rsidRPr="00F164C1">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b/>
                <w:bCs/>
                <w:kern w:val="32"/>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spacing w:before="40" w:after="40"/>
              <w:jc w:val="center"/>
              <w:rPr>
                <w:sz w:val="16"/>
                <w:szCs w:val="16"/>
              </w:rPr>
            </w:pPr>
          </w:p>
        </w:tc>
      </w:tr>
      <w:tr w:rsidR="00927E1F" w:rsidRPr="00F164C1" w:rsidTr="00927E1F">
        <w:trPr>
          <w:cantSplit/>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927E1F" w:rsidRPr="00F164C1" w:rsidRDefault="00927E1F" w:rsidP="00927E1F">
            <w:pPr>
              <w:rPr>
                <w:sz w:val="16"/>
                <w:szCs w:val="16"/>
              </w:rPr>
            </w:pPr>
            <w:r w:rsidRPr="00F164C1">
              <w:rPr>
                <w:sz w:val="16"/>
              </w:rPr>
              <w:t>Attribution des contrats aux ingénieurs</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r w:rsidRPr="00F164C1">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r w:rsidRPr="00F164C1">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spacing w:before="40" w:after="40"/>
              <w:jc w:val="center"/>
              <w:rPr>
                <w:sz w:val="16"/>
                <w:szCs w:val="16"/>
              </w:rPr>
            </w:pPr>
          </w:p>
        </w:tc>
      </w:tr>
      <w:tr w:rsidR="00927E1F" w:rsidRPr="00F164C1" w:rsidTr="00927E1F">
        <w:trPr>
          <w:cantSplit/>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927E1F" w:rsidRPr="00F164C1" w:rsidRDefault="00927E1F" w:rsidP="00927E1F">
            <w:pPr>
              <w:rPr>
                <w:sz w:val="16"/>
                <w:szCs w:val="16"/>
              </w:rPr>
            </w:pPr>
            <w:r w:rsidRPr="00F164C1">
              <w:rPr>
                <w:sz w:val="16"/>
              </w:rPr>
              <w:t xml:space="preserve">Études détaillées en vue de l’exécution des travaux </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spacing w:before="40" w:after="40"/>
              <w:jc w:val="center"/>
              <w:rPr>
                <w:sz w:val="16"/>
                <w:szCs w:val="16"/>
              </w:rPr>
            </w:pPr>
            <w:r w:rsidRPr="00F164C1">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r w:rsidRPr="00F164C1">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r w:rsidRPr="00F164C1">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spacing w:before="40" w:after="40"/>
              <w:jc w:val="center"/>
              <w:rPr>
                <w:sz w:val="16"/>
                <w:szCs w:val="16"/>
              </w:rPr>
            </w:pPr>
          </w:p>
        </w:tc>
      </w:tr>
      <w:tr w:rsidR="00927E1F" w:rsidRPr="00F164C1" w:rsidTr="00927E1F">
        <w:trPr>
          <w:cantSplit/>
          <w:jc w:val="center"/>
        </w:trPr>
        <w:tc>
          <w:tcPr>
            <w:tcW w:w="1840" w:type="dxa"/>
            <w:tcBorders>
              <w:top w:val="nil"/>
              <w:left w:val="single" w:sz="8" w:space="0" w:color="auto"/>
              <w:bottom w:val="single" w:sz="4" w:space="0" w:color="auto"/>
              <w:right w:val="single" w:sz="8" w:space="0" w:color="auto"/>
            </w:tcBorders>
            <w:shd w:val="clear" w:color="auto" w:fill="auto"/>
            <w:noWrap/>
            <w:vAlign w:val="bottom"/>
          </w:tcPr>
          <w:p w:rsidR="00927E1F" w:rsidRPr="00F164C1" w:rsidRDefault="00927E1F" w:rsidP="00927E1F">
            <w:pPr>
              <w:rPr>
                <w:sz w:val="16"/>
                <w:szCs w:val="16"/>
              </w:rPr>
            </w:pPr>
            <w:r w:rsidRPr="00F164C1">
              <w:rPr>
                <w:sz w:val="16"/>
              </w:rPr>
              <w:t>Appels d’offres entreprises et sélection</w:t>
            </w: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r w:rsidRPr="00F164C1">
              <w:rPr>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r w:rsidRPr="00F164C1">
              <w:rPr>
                <w:sz w:val="16"/>
                <w:szCs w:val="16"/>
              </w:rPr>
              <w:t>X</w:t>
            </w:r>
          </w:p>
        </w:tc>
        <w:tc>
          <w:tcPr>
            <w:tcW w:w="480" w:type="dxa"/>
            <w:tcBorders>
              <w:top w:val="nil"/>
              <w:left w:val="nil"/>
              <w:bottom w:val="single" w:sz="4" w:space="0" w:color="auto"/>
              <w:right w:val="single" w:sz="8"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927E1F" w:rsidRPr="00F164C1" w:rsidRDefault="00927E1F" w:rsidP="00927E1F">
            <w:pPr>
              <w:spacing w:before="40" w:after="40"/>
              <w:jc w:val="center"/>
              <w:rPr>
                <w:sz w:val="16"/>
                <w:szCs w:val="16"/>
              </w:rPr>
            </w:pPr>
          </w:p>
        </w:tc>
      </w:tr>
      <w:tr w:rsidR="00927E1F" w:rsidRPr="00F164C1" w:rsidTr="00927E1F">
        <w:trPr>
          <w:cantSplit/>
          <w:jc w:val="center"/>
        </w:trPr>
        <w:tc>
          <w:tcPr>
            <w:tcW w:w="1840" w:type="dxa"/>
            <w:tcBorders>
              <w:top w:val="nil"/>
              <w:left w:val="single" w:sz="8" w:space="0" w:color="auto"/>
              <w:bottom w:val="single" w:sz="4" w:space="0" w:color="auto"/>
              <w:right w:val="single" w:sz="8" w:space="0" w:color="auto"/>
            </w:tcBorders>
            <w:shd w:val="clear" w:color="auto" w:fill="auto"/>
            <w:noWrap/>
            <w:vAlign w:val="bottom"/>
          </w:tcPr>
          <w:p w:rsidR="00927E1F" w:rsidRPr="00F164C1" w:rsidRDefault="00927E1F" w:rsidP="00927E1F">
            <w:pPr>
              <w:rPr>
                <w:sz w:val="16"/>
                <w:szCs w:val="16"/>
              </w:rPr>
            </w:pPr>
            <w:r w:rsidRPr="00F164C1">
              <w:rPr>
                <w:sz w:val="16"/>
              </w:rPr>
              <w:t>Travaux</w:t>
            </w: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r w:rsidRPr="00F164C1">
              <w:rPr>
                <w:sz w:val="16"/>
                <w:szCs w:val="16"/>
              </w:rPr>
              <w:t>X</w:t>
            </w:r>
          </w:p>
        </w:tc>
        <w:tc>
          <w:tcPr>
            <w:tcW w:w="480" w:type="dxa"/>
            <w:tcBorders>
              <w:top w:val="nil"/>
              <w:left w:val="nil"/>
              <w:bottom w:val="single" w:sz="4" w:space="0" w:color="auto"/>
              <w:right w:val="single" w:sz="8" w:space="0" w:color="auto"/>
            </w:tcBorders>
            <w:shd w:val="clear" w:color="auto" w:fill="auto"/>
            <w:noWrap/>
            <w:vAlign w:val="center"/>
          </w:tcPr>
          <w:p w:rsidR="00927E1F" w:rsidRPr="00F164C1" w:rsidRDefault="00927E1F" w:rsidP="00927E1F">
            <w:pPr>
              <w:spacing w:before="40" w:after="40"/>
              <w:jc w:val="center"/>
              <w:rPr>
                <w:sz w:val="16"/>
                <w:szCs w:val="16"/>
              </w:rPr>
            </w:pPr>
            <w:r w:rsidRPr="00F164C1">
              <w:rPr>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r w:rsidRPr="00F164C1">
              <w:rPr>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r w:rsidRPr="00F164C1">
              <w:rPr>
                <w:sz w:val="16"/>
                <w:szCs w:val="16"/>
              </w:rPr>
              <w:t>X</w:t>
            </w: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r w:rsidRPr="00F164C1">
              <w:rPr>
                <w:sz w:val="16"/>
                <w:szCs w:val="16"/>
              </w:rPr>
              <w:t>X</w:t>
            </w:r>
          </w:p>
        </w:tc>
        <w:tc>
          <w:tcPr>
            <w:tcW w:w="480" w:type="dxa"/>
            <w:tcBorders>
              <w:top w:val="nil"/>
              <w:left w:val="nil"/>
              <w:bottom w:val="single" w:sz="4" w:space="0" w:color="auto"/>
              <w:right w:val="single" w:sz="8" w:space="0" w:color="auto"/>
            </w:tcBorders>
            <w:shd w:val="clear" w:color="auto" w:fill="auto"/>
            <w:noWrap/>
            <w:vAlign w:val="center"/>
          </w:tcPr>
          <w:p w:rsidR="00927E1F" w:rsidRPr="00F164C1" w:rsidRDefault="00927E1F" w:rsidP="00927E1F">
            <w:pPr>
              <w:spacing w:before="40" w:after="40"/>
              <w:jc w:val="center"/>
              <w:rPr>
                <w:sz w:val="16"/>
                <w:szCs w:val="16"/>
              </w:rPr>
            </w:pPr>
          </w:p>
        </w:tc>
      </w:tr>
      <w:tr w:rsidR="00927E1F" w:rsidRPr="00F164C1" w:rsidTr="00927E1F">
        <w:trPr>
          <w:cantSplit/>
          <w:jc w:val="center"/>
        </w:trPr>
        <w:tc>
          <w:tcPr>
            <w:tcW w:w="1840" w:type="dxa"/>
            <w:tcBorders>
              <w:top w:val="nil"/>
              <w:left w:val="single" w:sz="8" w:space="0" w:color="auto"/>
              <w:bottom w:val="single" w:sz="4" w:space="0" w:color="auto"/>
              <w:right w:val="single" w:sz="8" w:space="0" w:color="auto"/>
            </w:tcBorders>
            <w:shd w:val="clear" w:color="auto" w:fill="auto"/>
            <w:noWrap/>
            <w:vAlign w:val="bottom"/>
            <w:hideMark/>
          </w:tcPr>
          <w:p w:rsidR="00927E1F" w:rsidRPr="00F164C1" w:rsidRDefault="00927E1F" w:rsidP="00927E1F">
            <w:pPr>
              <w:rPr>
                <w:sz w:val="16"/>
                <w:szCs w:val="16"/>
              </w:rPr>
            </w:pPr>
            <w:r w:rsidRPr="00F164C1">
              <w:rPr>
                <w:sz w:val="16"/>
              </w:rPr>
              <w:t>Mise en service</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tcPr>
          <w:p w:rsidR="00927E1F" w:rsidRPr="00F164C1"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tcPr>
          <w:p w:rsidR="00927E1F" w:rsidRPr="00F164C1" w:rsidRDefault="00927E1F" w:rsidP="00927E1F">
            <w:pPr>
              <w:spacing w:before="40" w:after="40"/>
              <w:jc w:val="center"/>
              <w:rPr>
                <w:sz w:val="16"/>
                <w:szCs w:val="16"/>
              </w:rPr>
            </w:pPr>
            <w:r w:rsidRPr="00F164C1">
              <w:rPr>
                <w:sz w:val="16"/>
                <w:szCs w:val="16"/>
              </w:rPr>
              <w:t>X</w:t>
            </w:r>
          </w:p>
        </w:tc>
      </w:tr>
    </w:tbl>
    <w:p w:rsidR="00927E1F" w:rsidRPr="00F164C1" w:rsidRDefault="00927E1F" w:rsidP="00927E1F"/>
    <w:p w:rsidR="00927E1F" w:rsidRPr="00F164C1" w:rsidRDefault="00927E1F" w:rsidP="00927E1F">
      <w:pPr>
        <w:rPr>
          <w:b/>
          <w:sz w:val="22"/>
        </w:rPr>
      </w:pPr>
      <w:r w:rsidRPr="00F164C1">
        <w:br w:type="page"/>
      </w:r>
      <w:r w:rsidRPr="00F164C1">
        <w:rPr>
          <w:b/>
          <w:sz w:val="22"/>
        </w:rPr>
        <w:lastRenderedPageBreak/>
        <w:t>PROJETS LIÉS AUX BÂTIMENTS</w:t>
      </w:r>
    </w:p>
    <w:p w:rsidR="00927E1F" w:rsidRPr="00F164C1" w:rsidRDefault="00927E1F" w:rsidP="00927E1F">
      <w:pPr>
        <w:rPr>
          <w:b/>
          <w:i/>
        </w:rPr>
      </w:pPr>
      <w:bookmarkStart w:id="199" w:name="_Toc422210528"/>
    </w:p>
    <w:p w:rsidR="00927E1F" w:rsidRPr="00F164C1" w:rsidRDefault="00927E1F" w:rsidP="00783605">
      <w:pPr>
        <w:pStyle w:val="Heading8"/>
      </w:pPr>
      <w:bookmarkStart w:id="200" w:name="_Toc423352913"/>
      <w:bookmarkStart w:id="201" w:name="_Toc455394226"/>
      <w:r w:rsidRPr="00F164C1">
        <w:t>PROJET 6</w:t>
      </w:r>
      <w:r w:rsidRPr="00F164C1">
        <w:tab/>
        <w:t>BÂTIMENT ARPAD BOGSCH – REMPLACEMENT DE CERTAINES FENÊTRES</w:t>
      </w:r>
      <w:bookmarkEnd w:id="199"/>
      <w:bookmarkEnd w:id="200"/>
      <w:bookmarkEnd w:id="201"/>
    </w:p>
    <w:p w:rsidR="00927E1F" w:rsidRPr="00F164C1" w:rsidRDefault="00927E1F" w:rsidP="00927E1F">
      <w:pPr>
        <w:rPr>
          <w:sz w:val="22"/>
        </w:rPr>
      </w:pPr>
    </w:p>
    <w:p w:rsidR="00927E1F" w:rsidRPr="00F164C1" w:rsidRDefault="00927E1F" w:rsidP="00927E1F">
      <w:pPr>
        <w:rPr>
          <w:b/>
        </w:rPr>
      </w:pPr>
      <w:r w:rsidRPr="00F164C1">
        <w:rPr>
          <w:b/>
        </w:rPr>
        <w:t xml:space="preserve">Chef de projet </w:t>
      </w:r>
      <w:r w:rsidRPr="00F164C1">
        <w:rPr>
          <w:b/>
        </w:rPr>
        <w:tab/>
        <w:t>M. A. FAVERO</w:t>
      </w:r>
    </w:p>
    <w:p w:rsidR="00927E1F" w:rsidRPr="00F164C1" w:rsidRDefault="00927E1F" w:rsidP="00927E1F"/>
    <w:p w:rsidR="00927E1F" w:rsidRPr="00F164C1" w:rsidRDefault="00927E1F" w:rsidP="00927E1F">
      <w:pPr>
        <w:rPr>
          <w:bCs/>
        </w:rPr>
      </w:pPr>
    </w:p>
    <w:p w:rsidR="00927E1F" w:rsidRPr="00F164C1" w:rsidRDefault="00927E1F" w:rsidP="00927E1F">
      <w:pPr>
        <w:rPr>
          <w:bCs/>
        </w:rPr>
      </w:pPr>
      <w:r w:rsidRPr="00F164C1">
        <w:t>RÉSULTATS ESCOMPTÉS</w:t>
      </w:r>
    </w:p>
    <w:p w:rsidR="00927E1F" w:rsidRPr="00F164C1" w:rsidRDefault="00927E1F" w:rsidP="00927E1F">
      <w:pPr>
        <w:rPr>
          <w:bCs/>
        </w:rPr>
      </w:pPr>
    </w:p>
    <w:p w:rsidR="00927E1F" w:rsidRPr="00F164C1" w:rsidRDefault="00927E1F" w:rsidP="00927E1F">
      <w:pPr>
        <w:rPr>
          <w:i/>
          <w:iCs/>
        </w:rPr>
      </w:pPr>
      <w:r w:rsidRPr="00F164C1">
        <w:rPr>
          <w:i/>
        </w:rPr>
        <w:t>IX.1 Services d’appui efficaces, efficients, de qualité et tournés vers la clientèle, à l’intention à la fois des clients internes et des parties prenantes externes</w:t>
      </w:r>
    </w:p>
    <w:p w:rsidR="00927E1F" w:rsidRDefault="00927E1F" w:rsidP="00927E1F">
      <w:pPr>
        <w:rPr>
          <w:bCs/>
        </w:rPr>
      </w:pPr>
    </w:p>
    <w:p w:rsidR="00927E1F" w:rsidRPr="00F164C1" w:rsidRDefault="00927E1F" w:rsidP="00927E1F">
      <w:pPr>
        <w:rPr>
          <w:bCs/>
        </w:rPr>
      </w:pPr>
    </w:p>
    <w:p w:rsidR="00927E1F" w:rsidRPr="00F164C1" w:rsidRDefault="00927E1F" w:rsidP="00927E1F">
      <w:pPr>
        <w:rPr>
          <w:bCs/>
        </w:rPr>
      </w:pPr>
      <w:r w:rsidRPr="00F164C1">
        <w:t>OBJECTIFS, PORTÉE ET APPROCHE – GÉNÉRALITÉS</w:t>
      </w:r>
    </w:p>
    <w:p w:rsidR="00927E1F" w:rsidRPr="00F164C1" w:rsidRDefault="00927E1F" w:rsidP="00927E1F">
      <w:pPr>
        <w:rPr>
          <w:bCs/>
        </w:rPr>
      </w:pPr>
    </w:p>
    <w:p w:rsidR="00927E1F" w:rsidRPr="00F164C1" w:rsidRDefault="00927E1F" w:rsidP="00DF2EEF">
      <w:pPr>
        <w:pStyle w:val="ListParagraph"/>
        <w:numPr>
          <w:ilvl w:val="0"/>
          <w:numId w:val="125"/>
        </w:numPr>
        <w:tabs>
          <w:tab w:val="left" w:pos="567"/>
        </w:tabs>
        <w:ind w:left="0" w:firstLine="0"/>
        <w:jc w:val="both"/>
        <w:rPr>
          <w:bCs/>
        </w:rPr>
      </w:pPr>
      <w:r w:rsidRPr="00F164C1">
        <w:t>Les fenêtres de la façade sud</w:t>
      </w:r>
      <w:r w:rsidRPr="00F164C1">
        <w:noBreakHyphen/>
        <w:t>ouest du bâtiment AB sont celles qui ont le plus souffert au cours des trente dernières années de leur plus grande exposition au soleil et à la chaleur et de la plus grande amplitude thermique chaque année entre l’hiver et l’été, entraînant une dégradation importante de leurs qualités thermiques.  En outre, certaines de ces fenêtres et d’autres ont subi une dégradation de leur teinte bleutée (qui a tourné au rose violet) compte tenu du vieillissement du gaz contenu entre les épaisseurs de vitrage.</w:t>
      </w:r>
    </w:p>
    <w:p w:rsidR="00927E1F" w:rsidRPr="00F164C1" w:rsidRDefault="00927E1F" w:rsidP="00927E1F">
      <w:pPr>
        <w:tabs>
          <w:tab w:val="left" w:pos="567"/>
        </w:tabs>
        <w:jc w:val="both"/>
        <w:rPr>
          <w:bCs/>
        </w:rPr>
      </w:pPr>
    </w:p>
    <w:p w:rsidR="00927E1F" w:rsidRPr="00F164C1" w:rsidRDefault="00927E1F" w:rsidP="00DF2EEF">
      <w:pPr>
        <w:pStyle w:val="ListParagraph"/>
        <w:numPr>
          <w:ilvl w:val="0"/>
          <w:numId w:val="125"/>
        </w:numPr>
        <w:tabs>
          <w:tab w:val="left" w:pos="567"/>
        </w:tabs>
        <w:ind w:left="0" w:firstLine="0"/>
        <w:jc w:val="both"/>
      </w:pPr>
      <w:r w:rsidRPr="00F164C1">
        <w:t>Le remplacement de ces fenêtres permettra de réduire la consommation d’énergie requise principalement pour rafraîchir les bureaux concernés en période de chaleur.  Il améliorera également l’esthétique du bâtiment AB, qui fait partie des monuments de Genève.</w:t>
      </w:r>
    </w:p>
    <w:p w:rsidR="00927E1F" w:rsidRPr="00F164C1" w:rsidRDefault="00927E1F" w:rsidP="00927E1F">
      <w:pPr>
        <w:tabs>
          <w:tab w:val="left" w:pos="567"/>
        </w:tabs>
        <w:jc w:val="both"/>
        <w:rPr>
          <w:bCs/>
        </w:rPr>
      </w:pPr>
    </w:p>
    <w:p w:rsidR="00927E1F" w:rsidRPr="00F164C1" w:rsidRDefault="00927E1F" w:rsidP="00DF2EEF">
      <w:pPr>
        <w:pStyle w:val="ListParagraph"/>
        <w:numPr>
          <w:ilvl w:val="0"/>
          <w:numId w:val="125"/>
        </w:numPr>
        <w:tabs>
          <w:tab w:val="left" w:pos="567"/>
        </w:tabs>
        <w:ind w:left="0" w:firstLine="0"/>
        <w:jc w:val="both"/>
        <w:rPr>
          <w:bCs/>
        </w:rPr>
      </w:pPr>
      <w:r w:rsidRPr="00F164C1">
        <w:t>Les objectifs du projet consistent à : i) améliorer la qualité thermique et l’efficacité énergétique de la façade sud</w:t>
      </w:r>
      <w:r w:rsidRPr="00F164C1">
        <w:noBreakHyphen/>
        <w:t>ouest du bâtiment AB;  ii) réduire la consommation énergétique;  iii) améliorer le confort thermique des occupants;  et iv) améliorer l’apparence esthétique du bâtiment AB.</w:t>
      </w:r>
    </w:p>
    <w:p w:rsidR="00927E1F" w:rsidRPr="00F164C1" w:rsidRDefault="00927E1F" w:rsidP="00927E1F">
      <w:pPr>
        <w:jc w:val="both"/>
        <w:rPr>
          <w:bCs/>
        </w:rPr>
      </w:pPr>
    </w:p>
    <w:p w:rsidR="00927E1F" w:rsidRPr="00F164C1" w:rsidRDefault="00927E1F" w:rsidP="00927E1F">
      <w:pPr>
        <w:jc w:val="both"/>
        <w:rPr>
          <w:bCs/>
        </w:rPr>
      </w:pPr>
    </w:p>
    <w:p w:rsidR="00927E1F" w:rsidRPr="00F164C1" w:rsidRDefault="00927E1F" w:rsidP="00927E1F">
      <w:pPr>
        <w:jc w:val="both"/>
        <w:rPr>
          <w:bCs/>
        </w:rPr>
      </w:pPr>
      <w:r w:rsidRPr="00F164C1">
        <w:t>APERÇU DES PROGRÈS RÉALISÉS EN 2015 (PRINCIPALES ÉTAPES)</w:t>
      </w:r>
    </w:p>
    <w:p w:rsidR="00927E1F" w:rsidRPr="00F164C1" w:rsidRDefault="00927E1F" w:rsidP="00927E1F">
      <w:pPr>
        <w:jc w:val="both"/>
        <w:rPr>
          <w:bCs/>
        </w:rPr>
      </w:pPr>
    </w:p>
    <w:p w:rsidR="00927E1F" w:rsidRPr="00F164C1" w:rsidRDefault="00927E1F" w:rsidP="00DF2EEF">
      <w:pPr>
        <w:pStyle w:val="ListParagraph"/>
        <w:numPr>
          <w:ilvl w:val="0"/>
          <w:numId w:val="125"/>
        </w:numPr>
        <w:tabs>
          <w:tab w:val="left" w:pos="567"/>
        </w:tabs>
        <w:ind w:left="0" w:firstLine="0"/>
        <w:jc w:val="both"/>
        <w:rPr>
          <w:bCs/>
        </w:rPr>
      </w:pPr>
      <w:r w:rsidRPr="00F164C1">
        <w:t>En 2014, les progrès suivants ont été accomplis :</w:t>
      </w:r>
    </w:p>
    <w:p w:rsidR="00927E1F" w:rsidRPr="00F164C1" w:rsidRDefault="00927E1F" w:rsidP="00927E1F">
      <w:pPr>
        <w:pStyle w:val="ListParagraph"/>
        <w:numPr>
          <w:ilvl w:val="0"/>
          <w:numId w:val="0"/>
        </w:numPr>
        <w:tabs>
          <w:tab w:val="left" w:pos="567"/>
        </w:tabs>
        <w:jc w:val="both"/>
        <w:rPr>
          <w:bCs/>
        </w:rPr>
      </w:pPr>
    </w:p>
    <w:p w:rsidR="00927E1F" w:rsidRPr="00F164C1" w:rsidRDefault="00927E1F" w:rsidP="00DF2EEF">
      <w:pPr>
        <w:pStyle w:val="ListParagraph"/>
        <w:numPr>
          <w:ilvl w:val="0"/>
          <w:numId w:val="117"/>
        </w:numPr>
        <w:spacing w:after="120"/>
        <w:ind w:left="567" w:firstLine="0"/>
        <w:jc w:val="both"/>
        <w:rPr>
          <w:bCs/>
        </w:rPr>
      </w:pPr>
      <w:r w:rsidRPr="00F164C1">
        <w:t>rédaction du cadre du mandat de l’ingénieur de façade;</w:t>
      </w:r>
    </w:p>
    <w:p w:rsidR="00927E1F" w:rsidRPr="00F164C1" w:rsidRDefault="00927E1F" w:rsidP="00DF2EEF">
      <w:pPr>
        <w:pStyle w:val="ListParagraph"/>
        <w:numPr>
          <w:ilvl w:val="0"/>
          <w:numId w:val="117"/>
        </w:numPr>
        <w:spacing w:after="120"/>
        <w:ind w:left="567" w:firstLine="0"/>
        <w:jc w:val="both"/>
      </w:pPr>
      <w:r w:rsidRPr="00F164C1">
        <w:t>lancement de l’appel d’offres pour un ingénieur pour la façade;</w:t>
      </w:r>
    </w:p>
    <w:p w:rsidR="00927E1F" w:rsidRPr="00F164C1" w:rsidRDefault="00927E1F" w:rsidP="00DF2EEF">
      <w:pPr>
        <w:pStyle w:val="ListParagraph"/>
        <w:numPr>
          <w:ilvl w:val="0"/>
          <w:numId w:val="117"/>
        </w:numPr>
        <w:spacing w:after="120"/>
        <w:ind w:left="567" w:firstLine="0"/>
        <w:jc w:val="both"/>
        <w:rPr>
          <w:bCs/>
        </w:rPr>
      </w:pPr>
      <w:r w:rsidRPr="00F164C1">
        <w:t>attribution du contrat à l’ingénieur pour la façade;  et</w:t>
      </w:r>
    </w:p>
    <w:p w:rsidR="00927E1F" w:rsidRPr="00F164C1" w:rsidRDefault="00927E1F" w:rsidP="00DF2EEF">
      <w:pPr>
        <w:pStyle w:val="ListParagraph"/>
        <w:numPr>
          <w:ilvl w:val="0"/>
          <w:numId w:val="117"/>
        </w:numPr>
        <w:ind w:left="567" w:firstLine="0"/>
        <w:jc w:val="both"/>
        <w:rPr>
          <w:bCs/>
        </w:rPr>
      </w:pPr>
      <w:r w:rsidRPr="00F164C1">
        <w:t>étude et validation du projet avec l’ingénieur façade</w:t>
      </w:r>
    </w:p>
    <w:p w:rsidR="00927E1F" w:rsidRPr="00F164C1" w:rsidRDefault="00927E1F" w:rsidP="00927E1F">
      <w:pPr>
        <w:pStyle w:val="ListParagraph"/>
        <w:numPr>
          <w:ilvl w:val="0"/>
          <w:numId w:val="0"/>
        </w:numPr>
        <w:ind w:left="60"/>
        <w:jc w:val="both"/>
        <w:rPr>
          <w:bCs/>
        </w:rPr>
      </w:pPr>
    </w:p>
    <w:p w:rsidR="00927E1F" w:rsidRPr="00F164C1" w:rsidRDefault="00927E1F" w:rsidP="00DF2EEF">
      <w:pPr>
        <w:pStyle w:val="ListParagraph"/>
        <w:numPr>
          <w:ilvl w:val="0"/>
          <w:numId w:val="125"/>
        </w:numPr>
        <w:tabs>
          <w:tab w:val="left" w:pos="567"/>
        </w:tabs>
        <w:ind w:left="0" w:firstLine="0"/>
        <w:jc w:val="both"/>
      </w:pPr>
      <w:r w:rsidRPr="00F164C1">
        <w:t>En raison du retard pris dans l’achèvement (de début 2014 à septembre 2014) de la nouvelle salle de conférence de l’OMPI, le commencement du projet a été retardé d’une année par rapport au plan initial.  Le calendrier du projet a été modifié à cet effet.</w:t>
      </w:r>
    </w:p>
    <w:p w:rsidR="00927E1F" w:rsidRPr="00F164C1" w:rsidRDefault="00927E1F" w:rsidP="00927E1F">
      <w:pPr>
        <w:rPr>
          <w:bCs/>
        </w:rPr>
      </w:pPr>
    </w:p>
    <w:p w:rsidR="00927E1F" w:rsidRPr="00F164C1" w:rsidRDefault="00927E1F" w:rsidP="00DF2EEF">
      <w:pPr>
        <w:pStyle w:val="ListParagraph"/>
        <w:numPr>
          <w:ilvl w:val="0"/>
          <w:numId w:val="125"/>
        </w:numPr>
        <w:tabs>
          <w:tab w:val="left" w:pos="567"/>
        </w:tabs>
        <w:ind w:left="0" w:firstLine="0"/>
        <w:jc w:val="both"/>
        <w:rPr>
          <w:rFonts w:eastAsiaTheme="minorHAnsi"/>
        </w:rPr>
      </w:pPr>
      <w:r w:rsidRPr="00F164C1">
        <w:rPr>
          <w:rFonts w:eastAsiaTheme="minorHAnsi"/>
        </w:rPr>
        <w:t>En 2015, les progrès suivants ont été accomplis :</w:t>
      </w:r>
    </w:p>
    <w:p w:rsidR="00927E1F" w:rsidRPr="00F164C1" w:rsidRDefault="00927E1F" w:rsidP="00927E1F">
      <w:pPr>
        <w:autoSpaceDE w:val="0"/>
        <w:autoSpaceDN w:val="0"/>
        <w:adjustRightInd w:val="0"/>
        <w:rPr>
          <w:rFonts w:eastAsiaTheme="minorHAnsi"/>
        </w:rPr>
      </w:pPr>
    </w:p>
    <w:p w:rsidR="00927E1F" w:rsidRPr="00F164C1" w:rsidRDefault="00927E1F" w:rsidP="00DF2EEF">
      <w:pPr>
        <w:pStyle w:val="ListParagraph"/>
        <w:numPr>
          <w:ilvl w:val="0"/>
          <w:numId w:val="129"/>
        </w:numPr>
        <w:autoSpaceDE w:val="0"/>
        <w:autoSpaceDN w:val="0"/>
        <w:adjustRightInd w:val="0"/>
        <w:spacing w:after="120"/>
        <w:ind w:left="1134" w:hanging="567"/>
        <w:rPr>
          <w:bCs/>
        </w:rPr>
      </w:pPr>
      <w:r w:rsidRPr="00F164C1">
        <w:rPr>
          <w:bCs/>
        </w:rPr>
        <w:t>réalisation des travaux préparatoires (juillet et août 2015) pour la commande des fenêtres;</w:t>
      </w:r>
    </w:p>
    <w:p w:rsidR="00927E1F" w:rsidRPr="00F164C1" w:rsidRDefault="00927E1F" w:rsidP="00DF2EEF">
      <w:pPr>
        <w:pStyle w:val="ListParagraph"/>
        <w:numPr>
          <w:ilvl w:val="0"/>
          <w:numId w:val="129"/>
        </w:numPr>
        <w:autoSpaceDE w:val="0"/>
        <w:autoSpaceDN w:val="0"/>
        <w:adjustRightInd w:val="0"/>
        <w:spacing w:after="120"/>
        <w:ind w:left="1134" w:hanging="567"/>
        <w:rPr>
          <w:bCs/>
        </w:rPr>
      </w:pPr>
      <w:r w:rsidRPr="00F164C1">
        <w:rPr>
          <w:bCs/>
        </w:rPr>
        <w:t>découverte de problèmes techniques</w:t>
      </w:r>
      <w:r w:rsidRPr="00F164C1">
        <w:rPr>
          <w:rStyle w:val="FootnoteReference"/>
          <w:rFonts w:eastAsia="SimSun"/>
          <w:bCs/>
        </w:rPr>
        <w:footnoteReference w:id="181"/>
      </w:r>
      <w:r w:rsidRPr="00F164C1">
        <w:rPr>
          <w:bCs/>
        </w:rPr>
        <w:t xml:space="preserve"> durant les travaux, entraînant l’arrêt des travaux;</w:t>
      </w:r>
    </w:p>
    <w:p w:rsidR="00927E1F" w:rsidRPr="00F164C1" w:rsidRDefault="00927E1F" w:rsidP="00DF2EEF">
      <w:pPr>
        <w:pStyle w:val="ListParagraph"/>
        <w:numPr>
          <w:ilvl w:val="0"/>
          <w:numId w:val="129"/>
        </w:numPr>
        <w:autoSpaceDE w:val="0"/>
        <w:autoSpaceDN w:val="0"/>
        <w:adjustRightInd w:val="0"/>
        <w:spacing w:after="120"/>
        <w:ind w:left="1134" w:hanging="567"/>
        <w:rPr>
          <w:bCs/>
        </w:rPr>
      </w:pPr>
      <w:r w:rsidRPr="00F164C1">
        <w:rPr>
          <w:bCs/>
        </w:rPr>
        <w:t>décision d’engager des experts pour réévaluer la situation technique, qui nécessitera désormais une opération de démontage beaucoup plus complexe pour les fenêtres et les cadres, et pour déterminer comment procéder par la suite;  et</w:t>
      </w:r>
    </w:p>
    <w:p w:rsidR="00927E1F" w:rsidRPr="00F164C1" w:rsidRDefault="00927E1F" w:rsidP="00DF2EEF">
      <w:pPr>
        <w:pStyle w:val="ListParagraph"/>
        <w:numPr>
          <w:ilvl w:val="0"/>
          <w:numId w:val="129"/>
        </w:numPr>
        <w:autoSpaceDE w:val="0"/>
        <w:autoSpaceDN w:val="0"/>
        <w:adjustRightInd w:val="0"/>
        <w:spacing w:after="120"/>
        <w:ind w:left="1134" w:hanging="567"/>
        <w:rPr>
          <w:bCs/>
        </w:rPr>
      </w:pPr>
      <w:r w:rsidRPr="00F164C1">
        <w:rPr>
          <w:bCs/>
        </w:rPr>
        <w:t>report de l’exécution du projet jusqu’à la résolution des problèmes techniques.</w:t>
      </w:r>
    </w:p>
    <w:p w:rsidR="00927E1F" w:rsidRPr="00F164C1" w:rsidRDefault="00927E1F" w:rsidP="00927E1F">
      <w:pPr>
        <w:autoSpaceDE w:val="0"/>
        <w:autoSpaceDN w:val="0"/>
        <w:adjustRightInd w:val="0"/>
        <w:rPr>
          <w:rFonts w:eastAsiaTheme="minorHAnsi"/>
          <w:highlight w:val="yellow"/>
        </w:rPr>
      </w:pPr>
    </w:p>
    <w:p w:rsidR="00927E1F" w:rsidRPr="00F164C1" w:rsidRDefault="00927E1F" w:rsidP="00DF2EEF">
      <w:pPr>
        <w:pStyle w:val="ListParagraph"/>
        <w:numPr>
          <w:ilvl w:val="0"/>
          <w:numId w:val="125"/>
        </w:numPr>
        <w:tabs>
          <w:tab w:val="left" w:pos="567"/>
        </w:tabs>
        <w:ind w:left="0" w:firstLine="0"/>
        <w:jc w:val="both"/>
        <w:rPr>
          <w:rFonts w:eastAsiaTheme="minorHAnsi"/>
        </w:rPr>
      </w:pPr>
      <w:r w:rsidRPr="00F164C1">
        <w:rPr>
          <w:rFonts w:eastAsiaTheme="minorHAnsi"/>
        </w:rPr>
        <w:lastRenderedPageBreak/>
        <w:t>À la fin de 2015, on ne savait pas encore quelle serait l’incidence globale des problèmes techniques rencontrés sur le projet.  Afin d’atténuer les risques, l’OMPI va engager d’autres experts et commander d’autres études afin de déterminer la meilleure voie à suivre.</w:t>
      </w:r>
    </w:p>
    <w:p w:rsidR="00927E1F" w:rsidRPr="00F164C1" w:rsidRDefault="00927E1F" w:rsidP="00927E1F">
      <w:pPr>
        <w:rPr>
          <w:bCs/>
        </w:rPr>
      </w:pPr>
    </w:p>
    <w:p w:rsidR="00927E1F" w:rsidRPr="00F164C1" w:rsidRDefault="00927E1F" w:rsidP="00927E1F">
      <w:pPr>
        <w:rPr>
          <w:bCs/>
        </w:rPr>
      </w:pPr>
    </w:p>
    <w:p w:rsidR="00927E1F" w:rsidRPr="00F164C1" w:rsidRDefault="00927E1F" w:rsidP="00927E1F">
      <w:pPr>
        <w:rPr>
          <w:bCs/>
        </w:rPr>
      </w:pPr>
      <w:r w:rsidRPr="00F164C1">
        <w:t>CONCRÉTISATION DES AVANTAGES</w:t>
      </w:r>
    </w:p>
    <w:p w:rsidR="00927E1F" w:rsidRPr="00F164C1" w:rsidRDefault="00927E1F" w:rsidP="00927E1F"/>
    <w:tbl>
      <w:tblPr>
        <w:tblW w:w="4189" w:type="pct"/>
        <w:jc w:val="center"/>
        <w:tblInd w:w="-1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0"/>
        <w:gridCol w:w="4029"/>
      </w:tblGrid>
      <w:tr w:rsidR="00927E1F" w:rsidRPr="00F164C1" w:rsidTr="00927E1F">
        <w:trPr>
          <w:trHeight w:val="314"/>
          <w:tblHeader/>
          <w:jc w:val="center"/>
        </w:trPr>
        <w:tc>
          <w:tcPr>
            <w:tcW w:w="2488" w:type="pct"/>
            <w:tcBorders>
              <w:bottom w:val="single" w:sz="4" w:space="0" w:color="auto"/>
            </w:tcBorders>
            <w:shd w:val="clear" w:color="auto" w:fill="C6D9F1"/>
            <w:vAlign w:val="center"/>
          </w:tcPr>
          <w:p w:rsidR="00927E1F" w:rsidRPr="00F164C1" w:rsidRDefault="00927E1F" w:rsidP="00927E1F">
            <w:pPr>
              <w:jc w:val="center"/>
              <w:rPr>
                <w:b/>
                <w:bCs/>
                <w:sz w:val="16"/>
                <w:szCs w:val="16"/>
              </w:rPr>
            </w:pPr>
            <w:r w:rsidRPr="00F164C1">
              <w:rPr>
                <w:b/>
                <w:sz w:val="16"/>
              </w:rPr>
              <w:t>Avantages obtenus en 2015</w:t>
            </w:r>
          </w:p>
        </w:tc>
        <w:tc>
          <w:tcPr>
            <w:tcW w:w="2512" w:type="pct"/>
            <w:shd w:val="clear" w:color="auto" w:fill="C6D9F1"/>
            <w:vAlign w:val="center"/>
          </w:tcPr>
          <w:p w:rsidR="00927E1F" w:rsidRPr="00F164C1" w:rsidRDefault="00927E1F" w:rsidP="00927E1F">
            <w:pPr>
              <w:jc w:val="center"/>
              <w:rPr>
                <w:b/>
                <w:bCs/>
                <w:sz w:val="16"/>
                <w:szCs w:val="16"/>
              </w:rPr>
            </w:pPr>
            <w:r w:rsidRPr="00F164C1">
              <w:rPr>
                <w:b/>
                <w:sz w:val="16"/>
              </w:rPr>
              <w:t>Avantages supplémentaires escomptés</w:t>
            </w:r>
          </w:p>
        </w:tc>
      </w:tr>
      <w:tr w:rsidR="00927E1F" w:rsidRPr="00F164C1" w:rsidTr="00927E1F">
        <w:trPr>
          <w:trHeight w:val="564"/>
          <w:jc w:val="center"/>
        </w:trPr>
        <w:tc>
          <w:tcPr>
            <w:tcW w:w="2488" w:type="pct"/>
            <w:tcBorders>
              <w:top w:val="single" w:sz="4" w:space="0" w:color="auto"/>
              <w:bottom w:val="single" w:sz="4" w:space="0" w:color="auto"/>
            </w:tcBorders>
            <w:vAlign w:val="center"/>
          </w:tcPr>
          <w:p w:rsidR="00927E1F" w:rsidRPr="00F164C1" w:rsidRDefault="00927E1F" w:rsidP="00927E1F">
            <w:pPr>
              <w:rPr>
                <w:bCs/>
                <w:sz w:val="16"/>
                <w:szCs w:val="16"/>
              </w:rPr>
            </w:pPr>
            <w:r w:rsidRPr="00F164C1">
              <w:rPr>
                <w:bCs/>
                <w:sz w:val="16"/>
                <w:szCs w:val="16"/>
              </w:rPr>
              <w:t>Pas d’avantages obtenus en 2015 en raison de l’interruption des travaux consécutive à la découverte de problèmes techniques.</w:t>
            </w:r>
          </w:p>
        </w:tc>
        <w:tc>
          <w:tcPr>
            <w:tcW w:w="2512" w:type="pct"/>
            <w:shd w:val="clear" w:color="auto" w:fill="auto"/>
            <w:vAlign w:val="center"/>
          </w:tcPr>
          <w:p w:rsidR="00927E1F" w:rsidRPr="00F164C1" w:rsidRDefault="00927E1F" w:rsidP="00927E1F">
            <w:pPr>
              <w:rPr>
                <w:bCs/>
                <w:sz w:val="16"/>
                <w:szCs w:val="16"/>
              </w:rPr>
            </w:pPr>
            <w:r w:rsidRPr="00F164C1">
              <w:rPr>
                <w:sz w:val="16"/>
              </w:rPr>
              <w:t>Réduction totale des pertes d’énergie côté façade sud</w:t>
            </w:r>
            <w:r w:rsidRPr="00F164C1">
              <w:rPr>
                <w:sz w:val="16"/>
              </w:rPr>
              <w:noBreakHyphen/>
              <w:t>ouest du bâtiment AB</w:t>
            </w:r>
          </w:p>
        </w:tc>
      </w:tr>
      <w:tr w:rsidR="00927E1F" w:rsidRPr="00F164C1" w:rsidTr="00927E1F">
        <w:trPr>
          <w:trHeight w:val="564"/>
          <w:jc w:val="center"/>
        </w:trPr>
        <w:tc>
          <w:tcPr>
            <w:tcW w:w="2488" w:type="pct"/>
            <w:tcBorders>
              <w:top w:val="single" w:sz="4" w:space="0" w:color="auto"/>
              <w:bottom w:val="single" w:sz="4" w:space="0" w:color="auto"/>
            </w:tcBorders>
            <w:vAlign w:val="center"/>
          </w:tcPr>
          <w:p w:rsidR="00927E1F" w:rsidRPr="00F164C1" w:rsidRDefault="00927E1F" w:rsidP="00927E1F">
            <w:pPr>
              <w:rPr>
                <w:bCs/>
                <w:sz w:val="16"/>
                <w:szCs w:val="16"/>
              </w:rPr>
            </w:pPr>
          </w:p>
        </w:tc>
        <w:tc>
          <w:tcPr>
            <w:tcW w:w="2512" w:type="pct"/>
            <w:shd w:val="clear" w:color="auto" w:fill="auto"/>
            <w:vAlign w:val="center"/>
          </w:tcPr>
          <w:p w:rsidR="00927E1F" w:rsidRPr="00F164C1" w:rsidRDefault="00927E1F" w:rsidP="00927E1F">
            <w:pPr>
              <w:rPr>
                <w:bCs/>
                <w:iCs/>
                <w:sz w:val="16"/>
                <w:szCs w:val="16"/>
              </w:rPr>
            </w:pPr>
            <w:r w:rsidRPr="00F164C1">
              <w:rPr>
                <w:sz w:val="16"/>
              </w:rPr>
              <w:t>Meilleur confort thermique toute l’année</w:t>
            </w:r>
          </w:p>
        </w:tc>
      </w:tr>
      <w:tr w:rsidR="00927E1F" w:rsidRPr="00F164C1" w:rsidTr="00927E1F">
        <w:trPr>
          <w:trHeight w:val="564"/>
          <w:jc w:val="center"/>
        </w:trPr>
        <w:tc>
          <w:tcPr>
            <w:tcW w:w="2488" w:type="pct"/>
            <w:tcBorders>
              <w:top w:val="single" w:sz="4" w:space="0" w:color="auto"/>
              <w:bottom w:val="single" w:sz="4" w:space="0" w:color="auto"/>
            </w:tcBorders>
            <w:vAlign w:val="center"/>
          </w:tcPr>
          <w:p w:rsidR="00927E1F" w:rsidRPr="00F164C1" w:rsidRDefault="00927E1F" w:rsidP="00927E1F">
            <w:pPr>
              <w:rPr>
                <w:bCs/>
                <w:sz w:val="16"/>
                <w:szCs w:val="16"/>
              </w:rPr>
            </w:pPr>
          </w:p>
        </w:tc>
        <w:tc>
          <w:tcPr>
            <w:tcW w:w="2512" w:type="pct"/>
            <w:shd w:val="clear" w:color="auto" w:fill="auto"/>
            <w:vAlign w:val="center"/>
          </w:tcPr>
          <w:p w:rsidR="00927E1F" w:rsidRPr="00F164C1" w:rsidRDefault="00927E1F" w:rsidP="00927E1F">
            <w:pPr>
              <w:rPr>
                <w:bCs/>
                <w:sz w:val="16"/>
                <w:szCs w:val="16"/>
              </w:rPr>
            </w:pPr>
            <w:r w:rsidRPr="00F164C1">
              <w:rPr>
                <w:bCs/>
                <w:sz w:val="16"/>
                <w:szCs w:val="16"/>
              </w:rPr>
              <w:t>Récupération des vitrages existants les moins endommagés utilisables pour les autres façades du bâtiment AB.</w:t>
            </w:r>
          </w:p>
        </w:tc>
      </w:tr>
      <w:tr w:rsidR="00927E1F" w:rsidRPr="00F164C1" w:rsidTr="00927E1F">
        <w:trPr>
          <w:trHeight w:val="564"/>
          <w:jc w:val="center"/>
        </w:trPr>
        <w:tc>
          <w:tcPr>
            <w:tcW w:w="2488" w:type="pct"/>
            <w:tcBorders>
              <w:top w:val="single" w:sz="4" w:space="0" w:color="auto"/>
              <w:bottom w:val="single" w:sz="4" w:space="0" w:color="auto"/>
            </w:tcBorders>
            <w:vAlign w:val="center"/>
          </w:tcPr>
          <w:p w:rsidR="00927E1F" w:rsidRPr="00F164C1" w:rsidRDefault="00927E1F" w:rsidP="00927E1F">
            <w:pPr>
              <w:rPr>
                <w:bCs/>
                <w:sz w:val="16"/>
                <w:szCs w:val="16"/>
              </w:rPr>
            </w:pPr>
          </w:p>
        </w:tc>
        <w:tc>
          <w:tcPr>
            <w:tcW w:w="2512" w:type="pct"/>
            <w:shd w:val="clear" w:color="auto" w:fill="auto"/>
            <w:vAlign w:val="center"/>
          </w:tcPr>
          <w:p w:rsidR="00927E1F" w:rsidRPr="00F164C1" w:rsidRDefault="00927E1F" w:rsidP="00927E1F">
            <w:pPr>
              <w:rPr>
                <w:bCs/>
                <w:sz w:val="16"/>
                <w:szCs w:val="16"/>
              </w:rPr>
            </w:pPr>
            <w:r w:rsidRPr="00F164C1">
              <w:rPr>
                <w:bCs/>
                <w:sz w:val="16"/>
                <w:szCs w:val="16"/>
              </w:rPr>
              <w:t>Amélioration de l’esthétique de la façade sud</w:t>
            </w:r>
            <w:r w:rsidRPr="00F164C1">
              <w:rPr>
                <w:bCs/>
                <w:sz w:val="16"/>
                <w:szCs w:val="16"/>
              </w:rPr>
              <w:noBreakHyphen/>
              <w:t>ouest du bâtiment AB.</w:t>
            </w:r>
          </w:p>
        </w:tc>
      </w:tr>
      <w:tr w:rsidR="00927E1F" w:rsidRPr="00F164C1" w:rsidTr="00927E1F">
        <w:trPr>
          <w:trHeight w:val="564"/>
          <w:jc w:val="center"/>
        </w:trPr>
        <w:tc>
          <w:tcPr>
            <w:tcW w:w="2488" w:type="pct"/>
            <w:tcBorders>
              <w:top w:val="single" w:sz="4" w:space="0" w:color="auto"/>
              <w:bottom w:val="single" w:sz="4" w:space="0" w:color="auto"/>
            </w:tcBorders>
            <w:vAlign w:val="center"/>
          </w:tcPr>
          <w:p w:rsidR="00927E1F" w:rsidRPr="00F164C1" w:rsidRDefault="00927E1F" w:rsidP="00927E1F">
            <w:pPr>
              <w:rPr>
                <w:bCs/>
                <w:sz w:val="16"/>
                <w:szCs w:val="16"/>
              </w:rPr>
            </w:pPr>
          </w:p>
        </w:tc>
        <w:tc>
          <w:tcPr>
            <w:tcW w:w="2512" w:type="pct"/>
            <w:shd w:val="clear" w:color="auto" w:fill="auto"/>
            <w:vAlign w:val="center"/>
          </w:tcPr>
          <w:p w:rsidR="00927E1F" w:rsidRPr="00F164C1" w:rsidRDefault="00927E1F" w:rsidP="00927E1F">
            <w:pPr>
              <w:rPr>
                <w:bCs/>
                <w:iCs/>
                <w:sz w:val="16"/>
                <w:szCs w:val="16"/>
              </w:rPr>
            </w:pPr>
            <w:r w:rsidRPr="00F164C1">
              <w:rPr>
                <w:sz w:val="16"/>
              </w:rPr>
              <w:t>Meilleure efficacité énergétique</w:t>
            </w:r>
          </w:p>
        </w:tc>
      </w:tr>
    </w:tbl>
    <w:p w:rsidR="00927E1F" w:rsidRPr="00F164C1" w:rsidRDefault="00927E1F" w:rsidP="00927E1F">
      <w:pPr>
        <w:rPr>
          <w:b/>
        </w:rPr>
      </w:pPr>
    </w:p>
    <w:p w:rsidR="00927E1F" w:rsidRPr="00F164C1" w:rsidRDefault="00927E1F" w:rsidP="00927E1F"/>
    <w:p w:rsidR="00927E1F" w:rsidRPr="00783605" w:rsidRDefault="00927E1F" w:rsidP="00927E1F">
      <w:pPr>
        <w:rPr>
          <w:szCs w:val="20"/>
        </w:rPr>
      </w:pPr>
      <w:r w:rsidRPr="00783605">
        <w:rPr>
          <w:szCs w:val="20"/>
        </w:rPr>
        <w:t>UTILISATION DES RESSOURCES</w:t>
      </w:r>
      <w:r w:rsidRPr="00783605">
        <w:rPr>
          <w:rStyle w:val="FootnoteReference"/>
          <w:rFonts w:eastAsia="SimSun"/>
          <w:szCs w:val="20"/>
        </w:rPr>
        <w:footnoteReference w:id="182"/>
      </w:r>
    </w:p>
    <w:p w:rsidR="00927E1F" w:rsidRPr="00783605" w:rsidRDefault="00927E1F" w:rsidP="00927E1F">
      <w:pPr>
        <w:rPr>
          <w:szCs w:val="20"/>
        </w:rPr>
      </w:pPr>
    </w:p>
    <w:p w:rsidR="00927E1F" w:rsidRPr="00F164C1" w:rsidRDefault="00927E1F" w:rsidP="00927E1F">
      <w:pPr>
        <w:keepNext/>
        <w:keepLines/>
        <w:tabs>
          <w:tab w:val="left" w:pos="3261"/>
        </w:tabs>
        <w:autoSpaceDE w:val="0"/>
        <w:autoSpaceDN w:val="0"/>
        <w:adjustRightInd w:val="0"/>
        <w:jc w:val="center"/>
        <w:rPr>
          <w:b/>
          <w:szCs w:val="22"/>
        </w:rPr>
      </w:pPr>
      <w:r w:rsidRPr="00F164C1">
        <w:rPr>
          <w:b/>
        </w:rPr>
        <w:t>Utilisation du budget du projet</w:t>
      </w:r>
    </w:p>
    <w:p w:rsidR="00927E1F" w:rsidRPr="00F164C1" w:rsidRDefault="00927E1F" w:rsidP="00927E1F">
      <w:pPr>
        <w:keepNext/>
        <w:keepLines/>
        <w:tabs>
          <w:tab w:val="left" w:pos="3261"/>
        </w:tabs>
        <w:autoSpaceDE w:val="0"/>
        <w:autoSpaceDN w:val="0"/>
        <w:adjustRightInd w:val="0"/>
        <w:jc w:val="center"/>
        <w:rPr>
          <w:i/>
          <w:iCs/>
          <w:sz w:val="18"/>
          <w:szCs w:val="18"/>
        </w:rPr>
      </w:pPr>
      <w:r w:rsidRPr="00F164C1">
        <w:rPr>
          <w:i/>
          <w:sz w:val="18"/>
        </w:rPr>
        <w:t>(</w:t>
      </w:r>
      <w:proofErr w:type="gramStart"/>
      <w:r w:rsidRPr="00F164C1">
        <w:rPr>
          <w:i/>
          <w:sz w:val="18"/>
        </w:rPr>
        <w:t>en</w:t>
      </w:r>
      <w:proofErr w:type="gramEnd"/>
      <w:r w:rsidRPr="00F164C1">
        <w:rPr>
          <w:i/>
          <w:sz w:val="18"/>
        </w:rPr>
        <w:t xml:space="preserve"> francs suisses, au 31 décembre 2015)</w:t>
      </w:r>
    </w:p>
    <w:p w:rsidR="00927E1F" w:rsidRPr="00783605" w:rsidRDefault="00927E1F" w:rsidP="00927E1F">
      <w:pPr>
        <w:rPr>
          <w:szCs w:val="20"/>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0"/>
        <w:gridCol w:w="1564"/>
        <w:gridCol w:w="1565"/>
        <w:gridCol w:w="1565"/>
        <w:gridCol w:w="1564"/>
      </w:tblGrid>
      <w:tr w:rsidR="00927E1F" w:rsidRPr="00F164C1" w:rsidTr="00927E1F">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74" w:right="-60"/>
              <w:jc w:val="center"/>
              <w:rPr>
                <w:b/>
                <w:bCs/>
                <w:sz w:val="16"/>
                <w:szCs w:val="16"/>
              </w:rPr>
            </w:pPr>
            <w:r w:rsidRPr="00F164C1">
              <w:rPr>
                <w:b/>
                <w:sz w:val="16"/>
              </w:rPr>
              <w:t>Nom du projet</w:t>
            </w:r>
          </w:p>
        </w:tc>
        <w:tc>
          <w:tcPr>
            <w:tcW w:w="850"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7" w:right="-108"/>
              <w:jc w:val="center"/>
              <w:rPr>
                <w:b/>
                <w:bCs/>
                <w:sz w:val="16"/>
                <w:szCs w:val="16"/>
              </w:rPr>
            </w:pPr>
            <w:r w:rsidRPr="00F164C1">
              <w:rPr>
                <w:b/>
                <w:sz w:val="16"/>
              </w:rPr>
              <w:t>Budget du projet</w:t>
            </w:r>
          </w:p>
        </w:tc>
        <w:tc>
          <w:tcPr>
            <w:tcW w:w="851"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8" w:right="-106"/>
              <w:jc w:val="center"/>
              <w:rPr>
                <w:b/>
                <w:bCs/>
                <w:sz w:val="16"/>
                <w:szCs w:val="16"/>
              </w:rPr>
            </w:pPr>
            <w:r w:rsidRPr="00F164C1">
              <w:rPr>
                <w:b/>
                <w:sz w:val="16"/>
              </w:rPr>
              <w:t>Dépenses effectives à ce jour</w:t>
            </w:r>
          </w:p>
        </w:tc>
        <w:tc>
          <w:tcPr>
            <w:tcW w:w="851"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9" w:right="-108"/>
              <w:jc w:val="center"/>
              <w:rPr>
                <w:b/>
                <w:bCs/>
                <w:sz w:val="16"/>
                <w:szCs w:val="16"/>
              </w:rPr>
            </w:pPr>
            <w:r w:rsidRPr="00F164C1">
              <w:rPr>
                <w:b/>
                <w:sz w:val="16"/>
              </w:rPr>
              <w:t>Utilisation effective du budget</w:t>
            </w:r>
          </w:p>
        </w:tc>
        <w:tc>
          <w:tcPr>
            <w:tcW w:w="850"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9" w:right="-73" w:firstLine="1"/>
              <w:jc w:val="center"/>
              <w:rPr>
                <w:b/>
                <w:bCs/>
                <w:sz w:val="16"/>
                <w:szCs w:val="16"/>
              </w:rPr>
            </w:pPr>
            <w:r w:rsidRPr="00F164C1">
              <w:rPr>
                <w:b/>
                <w:sz w:val="16"/>
              </w:rPr>
              <w:t>Taux d’avancement de la mise en œuvre du projet</w:t>
            </w:r>
          </w:p>
        </w:tc>
      </w:tr>
      <w:tr w:rsidR="00927E1F" w:rsidRPr="00F164C1" w:rsidTr="00927E1F">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rPr>
                <w:sz w:val="16"/>
                <w:szCs w:val="16"/>
              </w:rPr>
            </w:pPr>
            <w:r w:rsidRPr="00F164C1">
              <w:rPr>
                <w:sz w:val="16"/>
              </w:rPr>
              <w:t xml:space="preserve">Bâtiment Arpad </w:t>
            </w:r>
            <w:proofErr w:type="spellStart"/>
            <w:r w:rsidRPr="00F164C1">
              <w:rPr>
                <w:sz w:val="16"/>
              </w:rPr>
              <w:t>Bogsch</w:t>
            </w:r>
            <w:proofErr w:type="spellEnd"/>
            <w:r w:rsidRPr="00F164C1">
              <w:rPr>
                <w:sz w:val="16"/>
              </w:rPr>
              <w:t xml:space="preserve"> – remplacement de certaines fenêtres</w:t>
            </w:r>
          </w:p>
        </w:tc>
        <w:tc>
          <w:tcPr>
            <w:tcW w:w="850"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300 000</w:t>
            </w:r>
          </w:p>
        </w:tc>
        <w:tc>
          <w:tcPr>
            <w:tcW w:w="851"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szCs w:val="16"/>
              </w:rPr>
              <w:t>47 042</w:t>
            </w:r>
          </w:p>
        </w:tc>
        <w:tc>
          <w:tcPr>
            <w:tcW w:w="851"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szCs w:val="16"/>
              </w:rPr>
              <w:t>15,7%</w:t>
            </w:r>
          </w:p>
        </w:tc>
        <w:tc>
          <w:tcPr>
            <w:tcW w:w="850"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szCs w:val="16"/>
              </w:rPr>
              <w:t>15%</w:t>
            </w:r>
          </w:p>
        </w:tc>
      </w:tr>
    </w:tbl>
    <w:p w:rsidR="00927E1F" w:rsidRPr="00F164C1" w:rsidRDefault="00927E1F" w:rsidP="00927E1F">
      <w:pPr>
        <w:keepNext/>
        <w:keepLines/>
        <w:tabs>
          <w:tab w:val="left" w:pos="3261"/>
        </w:tabs>
        <w:autoSpaceDE w:val="0"/>
        <w:autoSpaceDN w:val="0"/>
        <w:adjustRightInd w:val="0"/>
        <w:jc w:val="center"/>
        <w:rPr>
          <w:b/>
          <w:szCs w:val="22"/>
        </w:rPr>
      </w:pPr>
    </w:p>
    <w:p w:rsidR="00927E1F" w:rsidRPr="00F164C1" w:rsidRDefault="00927E1F" w:rsidP="00927E1F">
      <w:pPr>
        <w:keepNext/>
        <w:keepLines/>
        <w:tabs>
          <w:tab w:val="left" w:pos="3261"/>
        </w:tabs>
        <w:autoSpaceDE w:val="0"/>
        <w:autoSpaceDN w:val="0"/>
        <w:adjustRightInd w:val="0"/>
        <w:jc w:val="center"/>
        <w:rPr>
          <w:b/>
          <w:szCs w:val="22"/>
        </w:rPr>
      </w:pPr>
      <w:r w:rsidRPr="00F164C1">
        <w:rPr>
          <w:b/>
        </w:rPr>
        <w:t>Utilisation du budget du projet (par étape)</w:t>
      </w:r>
    </w:p>
    <w:p w:rsidR="00927E1F" w:rsidRPr="00F164C1" w:rsidRDefault="00927E1F" w:rsidP="00927E1F">
      <w:pPr>
        <w:keepNext/>
        <w:keepLines/>
        <w:tabs>
          <w:tab w:val="left" w:pos="3261"/>
        </w:tabs>
        <w:autoSpaceDE w:val="0"/>
        <w:autoSpaceDN w:val="0"/>
        <w:adjustRightInd w:val="0"/>
        <w:jc w:val="center"/>
        <w:rPr>
          <w:i/>
          <w:iCs/>
          <w:sz w:val="18"/>
          <w:szCs w:val="18"/>
        </w:rPr>
      </w:pPr>
      <w:r w:rsidRPr="00F164C1">
        <w:rPr>
          <w:i/>
          <w:sz w:val="18"/>
        </w:rPr>
        <w:t>(</w:t>
      </w:r>
      <w:proofErr w:type="gramStart"/>
      <w:r w:rsidRPr="00F164C1">
        <w:rPr>
          <w:i/>
          <w:sz w:val="18"/>
        </w:rPr>
        <w:t>en</w:t>
      </w:r>
      <w:proofErr w:type="gramEnd"/>
      <w:r w:rsidRPr="00F164C1">
        <w:rPr>
          <w:i/>
          <w:sz w:val="18"/>
        </w:rPr>
        <w:t xml:space="preserve"> francs suisses, au 31 décembre 2015)</w:t>
      </w:r>
    </w:p>
    <w:p w:rsidR="00927E1F" w:rsidRPr="00F164C1" w:rsidRDefault="00927E1F" w:rsidP="00927E1F">
      <w:pPr>
        <w:keepNext/>
        <w:autoSpaceDE w:val="0"/>
        <w:autoSpaceDN w:val="0"/>
        <w:rPr>
          <w:sz w:val="16"/>
          <w:szCs w:val="16"/>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8"/>
        <w:gridCol w:w="1575"/>
        <w:gridCol w:w="1575"/>
        <w:gridCol w:w="1575"/>
        <w:gridCol w:w="1575"/>
      </w:tblGrid>
      <w:tr w:rsidR="00927E1F" w:rsidRPr="00F164C1" w:rsidTr="00927E1F">
        <w:trPr>
          <w:trHeight w:val="410"/>
        </w:trPr>
        <w:tc>
          <w:tcPr>
            <w:tcW w:w="1575"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74" w:right="-60"/>
              <w:jc w:val="center"/>
              <w:rPr>
                <w:b/>
                <w:bCs/>
                <w:sz w:val="16"/>
                <w:szCs w:val="16"/>
              </w:rPr>
            </w:pPr>
            <w:r w:rsidRPr="00F164C1">
              <w:rPr>
                <w:b/>
                <w:sz w:val="16"/>
              </w:rPr>
              <w:t>Étape principale</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7" w:right="-108"/>
              <w:jc w:val="center"/>
              <w:rPr>
                <w:b/>
                <w:bCs/>
                <w:sz w:val="16"/>
                <w:szCs w:val="16"/>
              </w:rPr>
            </w:pPr>
            <w:r w:rsidRPr="00F164C1">
              <w:rPr>
                <w:b/>
                <w:sz w:val="16"/>
              </w:rPr>
              <w:t>Budget du projet</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8" w:right="-106"/>
              <w:jc w:val="center"/>
              <w:rPr>
                <w:b/>
                <w:bCs/>
                <w:sz w:val="16"/>
                <w:szCs w:val="16"/>
              </w:rPr>
            </w:pPr>
            <w:r w:rsidRPr="00F164C1">
              <w:rPr>
                <w:b/>
                <w:sz w:val="16"/>
              </w:rPr>
              <w:t>Dépenses effectives à ce jour</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9" w:right="-108"/>
              <w:jc w:val="center"/>
              <w:rPr>
                <w:b/>
                <w:bCs/>
                <w:sz w:val="16"/>
                <w:szCs w:val="16"/>
              </w:rPr>
            </w:pPr>
            <w:r w:rsidRPr="00F164C1">
              <w:rPr>
                <w:b/>
                <w:sz w:val="16"/>
              </w:rPr>
              <w:t>Utilisation effective du budget</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9" w:right="-73" w:firstLine="1"/>
              <w:jc w:val="center"/>
              <w:rPr>
                <w:b/>
                <w:bCs/>
                <w:sz w:val="16"/>
                <w:szCs w:val="16"/>
              </w:rPr>
            </w:pPr>
            <w:r w:rsidRPr="00F164C1">
              <w:rPr>
                <w:b/>
                <w:sz w:val="16"/>
              </w:rPr>
              <w:t>Taux d’avancement de mise en œuvre par étape</w:t>
            </w:r>
          </w:p>
        </w:tc>
      </w:tr>
      <w:tr w:rsidR="00927E1F" w:rsidRPr="00F164C1" w:rsidTr="00927E1F">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rPr>
                <w:sz w:val="16"/>
                <w:szCs w:val="16"/>
              </w:rPr>
            </w:pPr>
            <w:r w:rsidRPr="00F164C1">
              <w:rPr>
                <w:sz w:val="16"/>
              </w:rPr>
              <w:t>Attribution du contrat à l’ingénieur pour la façade</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45 000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line="260" w:lineRule="exact"/>
              <w:jc w:val="center"/>
              <w:rPr>
                <w:sz w:val="16"/>
                <w:szCs w:val="16"/>
              </w:rPr>
            </w:pPr>
            <w:r w:rsidRPr="00F164C1">
              <w:rPr>
                <w:sz w:val="16"/>
                <w:szCs w:val="16"/>
              </w:rPr>
              <w:t>36 812</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line="260" w:lineRule="exact"/>
              <w:jc w:val="center"/>
              <w:rPr>
                <w:sz w:val="16"/>
                <w:szCs w:val="16"/>
              </w:rPr>
            </w:pPr>
            <w:r w:rsidRPr="00F164C1">
              <w:rPr>
                <w:sz w:val="16"/>
                <w:szCs w:val="16"/>
              </w:rPr>
              <w:t>81,8%</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line="260" w:lineRule="exact"/>
              <w:jc w:val="center"/>
              <w:rPr>
                <w:sz w:val="16"/>
                <w:szCs w:val="16"/>
              </w:rPr>
            </w:pPr>
            <w:r w:rsidRPr="00F164C1">
              <w:rPr>
                <w:sz w:val="16"/>
                <w:szCs w:val="16"/>
              </w:rPr>
              <w:t>90%</w:t>
            </w:r>
          </w:p>
        </w:tc>
      </w:tr>
      <w:tr w:rsidR="00927E1F" w:rsidRPr="00F164C1" w:rsidTr="00927E1F">
        <w:trPr>
          <w:trHeight w:val="389"/>
        </w:trPr>
        <w:tc>
          <w:tcPr>
            <w:tcW w:w="1575"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rPr>
                <w:sz w:val="16"/>
                <w:szCs w:val="16"/>
              </w:rPr>
            </w:pPr>
            <w:r w:rsidRPr="00F164C1">
              <w:rPr>
                <w:sz w:val="16"/>
              </w:rPr>
              <w:t>Travaux et mise en service</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jc w:val="center"/>
              <w:rPr>
                <w:sz w:val="16"/>
                <w:szCs w:val="16"/>
              </w:rPr>
            </w:pPr>
            <w:r w:rsidRPr="00F164C1">
              <w:rPr>
                <w:sz w:val="16"/>
              </w:rPr>
              <w:t>255 000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line="260" w:lineRule="exact"/>
              <w:jc w:val="center"/>
              <w:rPr>
                <w:sz w:val="16"/>
                <w:szCs w:val="16"/>
              </w:rPr>
            </w:pPr>
            <w:r w:rsidRPr="00F164C1">
              <w:rPr>
                <w:sz w:val="16"/>
                <w:szCs w:val="16"/>
              </w:rPr>
              <w:t>10 230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line="260" w:lineRule="exact"/>
              <w:jc w:val="center"/>
              <w:rPr>
                <w:sz w:val="16"/>
                <w:szCs w:val="16"/>
              </w:rPr>
            </w:pPr>
            <w:r w:rsidRPr="00F164C1">
              <w:rPr>
                <w:sz w:val="16"/>
                <w:szCs w:val="16"/>
              </w:rPr>
              <w:t>4%</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keepNext/>
              <w:keepLines/>
              <w:autoSpaceDE w:val="0"/>
              <w:autoSpaceDN w:val="0"/>
              <w:adjustRightInd w:val="0"/>
              <w:spacing w:before="40" w:after="40" w:line="260" w:lineRule="exact"/>
              <w:jc w:val="center"/>
              <w:rPr>
                <w:sz w:val="16"/>
                <w:szCs w:val="16"/>
              </w:rPr>
            </w:pPr>
            <w:r w:rsidRPr="00F164C1">
              <w:rPr>
                <w:sz w:val="16"/>
                <w:szCs w:val="16"/>
              </w:rPr>
              <w:t>6%</w:t>
            </w:r>
          </w:p>
        </w:tc>
      </w:tr>
      <w:tr w:rsidR="00927E1F" w:rsidRPr="00F164C1" w:rsidTr="00927E1F">
        <w:trPr>
          <w:trHeight w:val="389"/>
        </w:trPr>
        <w:tc>
          <w:tcPr>
            <w:tcW w:w="1575"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rPr>
                <w:b/>
                <w:sz w:val="16"/>
                <w:szCs w:val="16"/>
              </w:rPr>
            </w:pPr>
            <w:r w:rsidRPr="00F164C1">
              <w:rPr>
                <w:b/>
                <w:sz w:val="16"/>
              </w:rPr>
              <w:t>Total</w:t>
            </w:r>
          </w:p>
        </w:tc>
        <w:tc>
          <w:tcPr>
            <w:tcW w:w="856"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jc w:val="center"/>
              <w:rPr>
                <w:b/>
                <w:sz w:val="16"/>
                <w:szCs w:val="16"/>
              </w:rPr>
            </w:pPr>
            <w:r w:rsidRPr="00F164C1">
              <w:rPr>
                <w:b/>
                <w:sz w:val="16"/>
              </w:rPr>
              <w:t>300 000</w:t>
            </w:r>
          </w:p>
        </w:tc>
        <w:tc>
          <w:tcPr>
            <w:tcW w:w="856" w:type="pct"/>
            <w:tcBorders>
              <w:top w:val="single" w:sz="4" w:space="0" w:color="auto"/>
              <w:left w:val="single" w:sz="4" w:space="0" w:color="auto"/>
              <w:bottom w:val="single" w:sz="4" w:space="0" w:color="auto"/>
              <w:right w:val="single" w:sz="4" w:space="0" w:color="auto"/>
            </w:tcBorders>
            <w:shd w:val="clear" w:color="auto" w:fill="C6D9F1"/>
          </w:tcPr>
          <w:p w:rsidR="00927E1F" w:rsidRPr="00F164C1" w:rsidRDefault="00927E1F" w:rsidP="00927E1F">
            <w:pPr>
              <w:keepNext/>
              <w:keepLines/>
              <w:autoSpaceDE w:val="0"/>
              <w:autoSpaceDN w:val="0"/>
              <w:adjustRightInd w:val="0"/>
              <w:spacing w:before="40" w:after="40" w:line="260" w:lineRule="exact"/>
              <w:jc w:val="center"/>
              <w:rPr>
                <w:b/>
                <w:sz w:val="16"/>
                <w:szCs w:val="16"/>
              </w:rPr>
            </w:pPr>
            <w:r w:rsidRPr="00F164C1">
              <w:rPr>
                <w:b/>
                <w:sz w:val="16"/>
                <w:szCs w:val="16"/>
              </w:rPr>
              <w:t>47 042</w:t>
            </w:r>
          </w:p>
        </w:tc>
        <w:tc>
          <w:tcPr>
            <w:tcW w:w="856" w:type="pct"/>
            <w:tcBorders>
              <w:top w:val="single" w:sz="4" w:space="0" w:color="auto"/>
              <w:left w:val="single" w:sz="4" w:space="0" w:color="auto"/>
              <w:bottom w:val="single" w:sz="4" w:space="0" w:color="auto"/>
              <w:right w:val="single" w:sz="4" w:space="0" w:color="auto"/>
            </w:tcBorders>
            <w:shd w:val="clear" w:color="auto" w:fill="C6D9F1"/>
          </w:tcPr>
          <w:p w:rsidR="00927E1F" w:rsidRPr="00F164C1" w:rsidRDefault="00927E1F" w:rsidP="00927E1F">
            <w:pPr>
              <w:keepNext/>
              <w:keepLines/>
              <w:autoSpaceDE w:val="0"/>
              <w:autoSpaceDN w:val="0"/>
              <w:adjustRightInd w:val="0"/>
              <w:spacing w:before="40" w:after="40" w:line="260" w:lineRule="exact"/>
              <w:jc w:val="center"/>
              <w:rPr>
                <w:b/>
                <w:sz w:val="16"/>
                <w:szCs w:val="16"/>
              </w:rPr>
            </w:pPr>
          </w:p>
        </w:tc>
        <w:tc>
          <w:tcPr>
            <w:tcW w:w="856" w:type="pct"/>
            <w:tcBorders>
              <w:top w:val="single" w:sz="4" w:space="0" w:color="auto"/>
              <w:left w:val="single" w:sz="4" w:space="0" w:color="auto"/>
              <w:bottom w:val="single" w:sz="4" w:space="0" w:color="auto"/>
              <w:right w:val="single" w:sz="4" w:space="0" w:color="auto"/>
            </w:tcBorders>
            <w:shd w:val="clear" w:color="auto" w:fill="C6D9F1"/>
          </w:tcPr>
          <w:p w:rsidR="00927E1F" w:rsidRPr="00F164C1" w:rsidRDefault="00927E1F" w:rsidP="00927E1F">
            <w:pPr>
              <w:keepNext/>
              <w:keepLines/>
              <w:autoSpaceDE w:val="0"/>
              <w:autoSpaceDN w:val="0"/>
              <w:adjustRightInd w:val="0"/>
              <w:spacing w:before="40" w:after="40" w:line="260" w:lineRule="exact"/>
              <w:jc w:val="center"/>
              <w:rPr>
                <w:b/>
                <w:sz w:val="16"/>
                <w:szCs w:val="16"/>
              </w:rPr>
            </w:pPr>
          </w:p>
        </w:tc>
      </w:tr>
    </w:tbl>
    <w:p w:rsidR="00927E1F" w:rsidRPr="00F164C1" w:rsidRDefault="00927E1F" w:rsidP="00927E1F">
      <w:pPr>
        <w:keepNext/>
        <w:keepLines/>
        <w:tabs>
          <w:tab w:val="left" w:pos="3261"/>
        </w:tabs>
        <w:autoSpaceDE w:val="0"/>
        <w:autoSpaceDN w:val="0"/>
        <w:adjustRightInd w:val="0"/>
        <w:rPr>
          <w:b/>
          <w:szCs w:val="22"/>
        </w:rPr>
      </w:pPr>
    </w:p>
    <w:p w:rsidR="00927E1F" w:rsidRPr="00F164C1" w:rsidRDefault="00927E1F" w:rsidP="00927E1F">
      <w:pPr>
        <w:keepNext/>
        <w:keepLines/>
        <w:tabs>
          <w:tab w:val="left" w:pos="3261"/>
        </w:tabs>
        <w:autoSpaceDE w:val="0"/>
        <w:autoSpaceDN w:val="0"/>
        <w:adjustRightInd w:val="0"/>
        <w:jc w:val="center"/>
        <w:rPr>
          <w:b/>
          <w:szCs w:val="22"/>
        </w:rPr>
      </w:pPr>
      <w:r w:rsidRPr="00F164C1">
        <w:rPr>
          <w:b/>
        </w:rPr>
        <w:t>Utilisation du budget du projet (par catégorie de dépenses)</w:t>
      </w:r>
    </w:p>
    <w:p w:rsidR="00927E1F" w:rsidRPr="00F164C1" w:rsidRDefault="00927E1F" w:rsidP="00927E1F">
      <w:pPr>
        <w:keepNext/>
        <w:keepLines/>
        <w:tabs>
          <w:tab w:val="left" w:pos="3261"/>
        </w:tabs>
        <w:autoSpaceDE w:val="0"/>
        <w:autoSpaceDN w:val="0"/>
        <w:adjustRightInd w:val="0"/>
        <w:jc w:val="center"/>
        <w:rPr>
          <w:i/>
          <w:iCs/>
          <w:sz w:val="18"/>
          <w:szCs w:val="18"/>
        </w:rPr>
      </w:pPr>
      <w:r w:rsidRPr="00F164C1">
        <w:rPr>
          <w:i/>
          <w:sz w:val="18"/>
        </w:rPr>
        <w:t>(</w:t>
      </w:r>
      <w:proofErr w:type="gramStart"/>
      <w:r w:rsidRPr="00F164C1">
        <w:rPr>
          <w:i/>
          <w:sz w:val="18"/>
        </w:rPr>
        <w:t>en</w:t>
      </w:r>
      <w:proofErr w:type="gramEnd"/>
      <w:r w:rsidRPr="00F164C1">
        <w:rPr>
          <w:i/>
          <w:sz w:val="18"/>
        </w:rPr>
        <w:t xml:space="preserve"> francs suisses, au 31 décembre 2015)</w:t>
      </w:r>
    </w:p>
    <w:p w:rsidR="00927E1F" w:rsidRPr="00F164C1" w:rsidRDefault="00927E1F" w:rsidP="00927E1F">
      <w:pPr>
        <w:keepNext/>
        <w:keepLines/>
        <w:autoSpaceDE w:val="0"/>
        <w:autoSpaceDN w:val="0"/>
        <w:adjustRightInd w:val="0"/>
        <w:jc w:val="center"/>
      </w:pP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838"/>
      </w:tblGrid>
      <w:tr w:rsidR="00927E1F" w:rsidRPr="00F164C1" w:rsidTr="00927E1F">
        <w:trPr>
          <w:trHeight w:val="569"/>
        </w:trPr>
        <w:tc>
          <w:tcPr>
            <w:tcW w:w="1854"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74" w:right="-60"/>
              <w:jc w:val="center"/>
              <w:rPr>
                <w:b/>
                <w:bCs/>
                <w:sz w:val="16"/>
                <w:szCs w:val="16"/>
              </w:rPr>
            </w:pPr>
            <w:r w:rsidRPr="00F164C1">
              <w:rPr>
                <w:b/>
                <w:sz w:val="16"/>
              </w:rPr>
              <w:t>Catégorie de dépenses</w:t>
            </w:r>
          </w:p>
        </w:tc>
        <w:tc>
          <w:tcPr>
            <w:tcW w:w="1049"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7" w:right="-108"/>
              <w:jc w:val="center"/>
              <w:rPr>
                <w:b/>
                <w:bCs/>
                <w:sz w:val="16"/>
                <w:szCs w:val="16"/>
              </w:rPr>
            </w:pPr>
            <w:r w:rsidRPr="00F164C1">
              <w:rPr>
                <w:b/>
                <w:sz w:val="16"/>
              </w:rPr>
              <w:t>Budget du projet</w:t>
            </w:r>
          </w:p>
        </w:tc>
        <w:tc>
          <w:tcPr>
            <w:tcW w:w="1049"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8"/>
              <w:jc w:val="center"/>
              <w:rPr>
                <w:b/>
                <w:bCs/>
                <w:sz w:val="16"/>
                <w:szCs w:val="16"/>
              </w:rPr>
            </w:pPr>
            <w:r w:rsidRPr="00F164C1">
              <w:rPr>
                <w:b/>
                <w:sz w:val="16"/>
              </w:rPr>
              <w:t xml:space="preserve">Dépenses effectives à ce jour </w:t>
            </w:r>
          </w:p>
        </w:tc>
        <w:tc>
          <w:tcPr>
            <w:tcW w:w="1048"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keepNext/>
              <w:keepLines/>
              <w:autoSpaceDE w:val="0"/>
              <w:autoSpaceDN w:val="0"/>
              <w:adjustRightInd w:val="0"/>
              <w:spacing w:before="40" w:after="40"/>
              <w:ind w:left="-109"/>
              <w:jc w:val="center"/>
              <w:rPr>
                <w:b/>
                <w:bCs/>
                <w:sz w:val="16"/>
                <w:szCs w:val="16"/>
              </w:rPr>
            </w:pPr>
            <w:r w:rsidRPr="00F164C1">
              <w:rPr>
                <w:b/>
                <w:sz w:val="16"/>
              </w:rPr>
              <w:t>Utilisation effective du budget</w:t>
            </w:r>
          </w:p>
        </w:tc>
      </w:tr>
      <w:tr w:rsidR="00927E1F" w:rsidRPr="00F164C1" w:rsidTr="00927E1F">
        <w:tc>
          <w:tcPr>
            <w:tcW w:w="1854"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40" w:after="40"/>
              <w:rPr>
                <w:sz w:val="16"/>
                <w:szCs w:val="16"/>
              </w:rPr>
            </w:pPr>
            <w:r w:rsidRPr="00F164C1">
              <w:rPr>
                <w:sz w:val="16"/>
                <w:szCs w:val="16"/>
              </w:rPr>
              <w:t>Dépenses relatives à la construction</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40" w:after="40"/>
              <w:jc w:val="center"/>
              <w:rPr>
                <w:sz w:val="16"/>
                <w:szCs w:val="16"/>
              </w:rPr>
            </w:pPr>
            <w:r w:rsidRPr="00F164C1">
              <w:rPr>
                <w:sz w:val="16"/>
                <w:szCs w:val="16"/>
              </w:rPr>
              <w:t>234 000</w:t>
            </w:r>
          </w:p>
        </w:tc>
        <w:tc>
          <w:tcPr>
            <w:tcW w:w="1049" w:type="pct"/>
            <w:tcBorders>
              <w:top w:val="single" w:sz="4" w:space="0" w:color="auto"/>
              <w:left w:val="single" w:sz="4" w:space="0" w:color="auto"/>
              <w:bottom w:val="single" w:sz="4" w:space="0" w:color="auto"/>
              <w:right w:val="single" w:sz="4" w:space="0" w:color="auto"/>
            </w:tcBorders>
          </w:tcPr>
          <w:p w:rsidR="00927E1F" w:rsidRPr="00F164C1" w:rsidRDefault="00927E1F" w:rsidP="00927E1F">
            <w:pPr>
              <w:autoSpaceDE w:val="0"/>
              <w:autoSpaceDN w:val="0"/>
              <w:adjustRightInd w:val="0"/>
              <w:spacing w:before="40" w:after="40" w:line="260" w:lineRule="exact"/>
              <w:jc w:val="center"/>
              <w:rPr>
                <w:sz w:val="16"/>
                <w:szCs w:val="16"/>
              </w:rPr>
            </w:pPr>
            <w:r w:rsidRPr="00F164C1">
              <w:rPr>
                <w:sz w:val="16"/>
                <w:szCs w:val="16"/>
              </w:rPr>
              <w:t>10 230</w:t>
            </w:r>
          </w:p>
        </w:tc>
        <w:tc>
          <w:tcPr>
            <w:tcW w:w="1048" w:type="pct"/>
            <w:tcBorders>
              <w:top w:val="single" w:sz="4" w:space="0" w:color="auto"/>
              <w:left w:val="single" w:sz="4" w:space="0" w:color="auto"/>
              <w:bottom w:val="single" w:sz="4" w:space="0" w:color="auto"/>
              <w:right w:val="single" w:sz="4" w:space="0" w:color="auto"/>
            </w:tcBorders>
          </w:tcPr>
          <w:p w:rsidR="00927E1F" w:rsidRPr="00F164C1" w:rsidRDefault="00927E1F" w:rsidP="00927E1F">
            <w:pPr>
              <w:autoSpaceDE w:val="0"/>
              <w:autoSpaceDN w:val="0"/>
              <w:adjustRightInd w:val="0"/>
              <w:spacing w:before="40" w:after="40" w:line="260" w:lineRule="exact"/>
              <w:jc w:val="center"/>
              <w:rPr>
                <w:sz w:val="16"/>
                <w:szCs w:val="16"/>
              </w:rPr>
            </w:pPr>
            <w:r w:rsidRPr="00F164C1">
              <w:rPr>
                <w:sz w:val="16"/>
                <w:szCs w:val="16"/>
              </w:rPr>
              <w:t>4,4%</w:t>
            </w:r>
          </w:p>
        </w:tc>
      </w:tr>
      <w:tr w:rsidR="00927E1F" w:rsidRPr="00F164C1" w:rsidTr="00927E1F">
        <w:tc>
          <w:tcPr>
            <w:tcW w:w="1854"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40" w:after="40"/>
              <w:rPr>
                <w:sz w:val="16"/>
                <w:szCs w:val="16"/>
              </w:rPr>
            </w:pPr>
            <w:r w:rsidRPr="00F164C1">
              <w:rPr>
                <w:sz w:val="16"/>
              </w:rPr>
              <w:t>Honoraires</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40" w:after="40"/>
              <w:jc w:val="center"/>
              <w:rPr>
                <w:sz w:val="16"/>
                <w:szCs w:val="16"/>
              </w:rPr>
            </w:pPr>
            <w:r w:rsidRPr="00F164C1">
              <w:rPr>
                <w:sz w:val="16"/>
              </w:rPr>
              <w:t>45 000</w:t>
            </w:r>
          </w:p>
        </w:tc>
        <w:tc>
          <w:tcPr>
            <w:tcW w:w="1049" w:type="pct"/>
            <w:tcBorders>
              <w:top w:val="single" w:sz="4" w:space="0" w:color="auto"/>
              <w:left w:val="single" w:sz="4" w:space="0" w:color="auto"/>
              <w:bottom w:val="single" w:sz="4" w:space="0" w:color="auto"/>
              <w:right w:val="single" w:sz="4" w:space="0" w:color="auto"/>
            </w:tcBorders>
          </w:tcPr>
          <w:p w:rsidR="00927E1F" w:rsidRPr="00F164C1" w:rsidRDefault="00927E1F" w:rsidP="00927E1F">
            <w:pPr>
              <w:autoSpaceDE w:val="0"/>
              <w:autoSpaceDN w:val="0"/>
              <w:adjustRightInd w:val="0"/>
              <w:spacing w:before="40" w:after="40" w:line="260" w:lineRule="exact"/>
              <w:jc w:val="center"/>
              <w:rPr>
                <w:sz w:val="16"/>
                <w:szCs w:val="16"/>
              </w:rPr>
            </w:pPr>
            <w:r w:rsidRPr="00F164C1">
              <w:rPr>
                <w:sz w:val="16"/>
                <w:szCs w:val="16"/>
              </w:rPr>
              <w:t>36 812</w:t>
            </w:r>
          </w:p>
        </w:tc>
        <w:tc>
          <w:tcPr>
            <w:tcW w:w="1048" w:type="pct"/>
            <w:tcBorders>
              <w:top w:val="single" w:sz="4" w:space="0" w:color="auto"/>
              <w:left w:val="single" w:sz="4" w:space="0" w:color="auto"/>
              <w:bottom w:val="single" w:sz="4" w:space="0" w:color="auto"/>
              <w:right w:val="single" w:sz="4" w:space="0" w:color="auto"/>
            </w:tcBorders>
          </w:tcPr>
          <w:p w:rsidR="00927E1F" w:rsidRPr="00F164C1" w:rsidRDefault="00927E1F" w:rsidP="00927E1F">
            <w:pPr>
              <w:autoSpaceDE w:val="0"/>
              <w:autoSpaceDN w:val="0"/>
              <w:adjustRightInd w:val="0"/>
              <w:spacing w:before="40" w:after="40" w:line="260" w:lineRule="exact"/>
              <w:jc w:val="center"/>
              <w:rPr>
                <w:sz w:val="16"/>
                <w:szCs w:val="16"/>
              </w:rPr>
            </w:pPr>
            <w:r w:rsidRPr="00F164C1">
              <w:rPr>
                <w:sz w:val="16"/>
                <w:szCs w:val="16"/>
              </w:rPr>
              <w:t>81,8%</w:t>
            </w:r>
          </w:p>
        </w:tc>
      </w:tr>
      <w:tr w:rsidR="00927E1F" w:rsidRPr="00F164C1" w:rsidTr="00927E1F">
        <w:tc>
          <w:tcPr>
            <w:tcW w:w="1854"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40" w:after="40"/>
              <w:rPr>
                <w:sz w:val="16"/>
                <w:szCs w:val="16"/>
              </w:rPr>
            </w:pPr>
            <w:r w:rsidRPr="00F164C1">
              <w:rPr>
                <w:sz w:val="16"/>
              </w:rPr>
              <w:t>Divers et imprévus</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F164C1" w:rsidRDefault="00927E1F" w:rsidP="00927E1F">
            <w:pPr>
              <w:autoSpaceDE w:val="0"/>
              <w:autoSpaceDN w:val="0"/>
              <w:adjustRightInd w:val="0"/>
              <w:spacing w:before="40" w:after="40"/>
              <w:jc w:val="center"/>
              <w:rPr>
                <w:sz w:val="16"/>
                <w:szCs w:val="16"/>
              </w:rPr>
            </w:pPr>
            <w:r w:rsidRPr="00F164C1">
              <w:rPr>
                <w:sz w:val="16"/>
              </w:rPr>
              <w:t>21 000</w:t>
            </w:r>
          </w:p>
        </w:tc>
        <w:tc>
          <w:tcPr>
            <w:tcW w:w="1049" w:type="pct"/>
            <w:tcBorders>
              <w:top w:val="single" w:sz="4" w:space="0" w:color="auto"/>
              <w:left w:val="single" w:sz="4" w:space="0" w:color="auto"/>
              <w:bottom w:val="single" w:sz="4" w:space="0" w:color="auto"/>
              <w:right w:val="single" w:sz="4" w:space="0" w:color="auto"/>
            </w:tcBorders>
          </w:tcPr>
          <w:p w:rsidR="00927E1F" w:rsidRPr="00F164C1" w:rsidRDefault="00927E1F" w:rsidP="00927E1F">
            <w:pPr>
              <w:autoSpaceDE w:val="0"/>
              <w:autoSpaceDN w:val="0"/>
              <w:adjustRightInd w:val="0"/>
              <w:spacing w:before="40" w:after="40"/>
              <w:jc w:val="center"/>
              <w:rPr>
                <w:sz w:val="16"/>
                <w:szCs w:val="16"/>
              </w:rPr>
            </w:pPr>
            <w:r w:rsidRPr="00F164C1">
              <w:rPr>
                <w:sz w:val="16"/>
              </w:rPr>
              <w:t>0</w:t>
            </w:r>
          </w:p>
        </w:tc>
        <w:tc>
          <w:tcPr>
            <w:tcW w:w="1048" w:type="pct"/>
            <w:tcBorders>
              <w:top w:val="single" w:sz="4" w:space="0" w:color="auto"/>
              <w:left w:val="single" w:sz="4" w:space="0" w:color="auto"/>
              <w:bottom w:val="single" w:sz="4" w:space="0" w:color="auto"/>
              <w:right w:val="single" w:sz="4" w:space="0" w:color="auto"/>
            </w:tcBorders>
          </w:tcPr>
          <w:p w:rsidR="00927E1F" w:rsidRPr="00F164C1" w:rsidRDefault="00927E1F" w:rsidP="00927E1F">
            <w:pPr>
              <w:autoSpaceDE w:val="0"/>
              <w:autoSpaceDN w:val="0"/>
              <w:adjustRightInd w:val="0"/>
              <w:spacing w:before="40" w:after="40"/>
              <w:jc w:val="center"/>
              <w:rPr>
                <w:sz w:val="16"/>
                <w:szCs w:val="16"/>
              </w:rPr>
            </w:pPr>
            <w:r w:rsidRPr="00F164C1">
              <w:rPr>
                <w:sz w:val="16"/>
              </w:rPr>
              <w:t>0%</w:t>
            </w:r>
          </w:p>
        </w:tc>
      </w:tr>
      <w:tr w:rsidR="00927E1F" w:rsidRPr="00F164C1" w:rsidTr="00927E1F">
        <w:tc>
          <w:tcPr>
            <w:tcW w:w="1854"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autoSpaceDE w:val="0"/>
              <w:autoSpaceDN w:val="0"/>
              <w:adjustRightInd w:val="0"/>
              <w:spacing w:before="40" w:after="40"/>
              <w:rPr>
                <w:b/>
                <w:sz w:val="16"/>
                <w:szCs w:val="16"/>
              </w:rPr>
            </w:pPr>
            <w:r w:rsidRPr="00F164C1">
              <w:rPr>
                <w:b/>
                <w:sz w:val="16"/>
              </w:rPr>
              <w:t>Total</w:t>
            </w:r>
          </w:p>
        </w:tc>
        <w:tc>
          <w:tcPr>
            <w:tcW w:w="1049" w:type="pct"/>
            <w:tcBorders>
              <w:top w:val="single" w:sz="4" w:space="0" w:color="auto"/>
              <w:left w:val="single" w:sz="4" w:space="0" w:color="auto"/>
              <w:bottom w:val="single" w:sz="4" w:space="0" w:color="auto"/>
              <w:right w:val="single" w:sz="4" w:space="0" w:color="auto"/>
            </w:tcBorders>
            <w:shd w:val="clear" w:color="auto" w:fill="C6D9F1"/>
            <w:vAlign w:val="center"/>
          </w:tcPr>
          <w:p w:rsidR="00927E1F" w:rsidRPr="00F164C1" w:rsidRDefault="00927E1F" w:rsidP="00927E1F">
            <w:pPr>
              <w:autoSpaceDE w:val="0"/>
              <w:autoSpaceDN w:val="0"/>
              <w:adjustRightInd w:val="0"/>
              <w:spacing w:before="40" w:after="40"/>
              <w:jc w:val="center"/>
              <w:rPr>
                <w:b/>
                <w:sz w:val="16"/>
                <w:szCs w:val="16"/>
              </w:rPr>
            </w:pPr>
            <w:r w:rsidRPr="00F164C1">
              <w:rPr>
                <w:b/>
                <w:sz w:val="16"/>
              </w:rPr>
              <w:t>300 000</w:t>
            </w:r>
          </w:p>
        </w:tc>
        <w:tc>
          <w:tcPr>
            <w:tcW w:w="1049" w:type="pct"/>
            <w:tcBorders>
              <w:top w:val="single" w:sz="4" w:space="0" w:color="auto"/>
              <w:left w:val="single" w:sz="4" w:space="0" w:color="auto"/>
              <w:bottom w:val="single" w:sz="4" w:space="0" w:color="auto"/>
              <w:right w:val="single" w:sz="4" w:space="0" w:color="auto"/>
            </w:tcBorders>
            <w:shd w:val="clear" w:color="auto" w:fill="C6D9F1"/>
          </w:tcPr>
          <w:p w:rsidR="00927E1F" w:rsidRPr="00F164C1" w:rsidRDefault="00927E1F" w:rsidP="00927E1F">
            <w:pPr>
              <w:autoSpaceDE w:val="0"/>
              <w:autoSpaceDN w:val="0"/>
              <w:adjustRightInd w:val="0"/>
              <w:spacing w:before="40" w:after="40" w:line="260" w:lineRule="exact"/>
              <w:jc w:val="center"/>
              <w:rPr>
                <w:b/>
                <w:sz w:val="16"/>
                <w:szCs w:val="16"/>
              </w:rPr>
            </w:pPr>
            <w:r w:rsidRPr="00F164C1">
              <w:rPr>
                <w:b/>
                <w:sz w:val="16"/>
                <w:szCs w:val="16"/>
              </w:rPr>
              <w:t>47 042</w:t>
            </w:r>
          </w:p>
        </w:tc>
        <w:tc>
          <w:tcPr>
            <w:tcW w:w="1048" w:type="pct"/>
            <w:tcBorders>
              <w:top w:val="single" w:sz="4" w:space="0" w:color="auto"/>
              <w:left w:val="single" w:sz="4" w:space="0" w:color="auto"/>
              <w:bottom w:val="single" w:sz="4" w:space="0" w:color="auto"/>
              <w:right w:val="single" w:sz="4" w:space="0" w:color="auto"/>
            </w:tcBorders>
            <w:shd w:val="clear" w:color="auto" w:fill="C6D9F1"/>
          </w:tcPr>
          <w:p w:rsidR="00927E1F" w:rsidRPr="00F164C1" w:rsidRDefault="00927E1F" w:rsidP="00927E1F">
            <w:pPr>
              <w:autoSpaceDE w:val="0"/>
              <w:autoSpaceDN w:val="0"/>
              <w:adjustRightInd w:val="0"/>
              <w:spacing w:before="40" w:after="40" w:line="260" w:lineRule="exact"/>
              <w:jc w:val="center"/>
              <w:rPr>
                <w:b/>
                <w:sz w:val="16"/>
                <w:szCs w:val="16"/>
              </w:rPr>
            </w:pPr>
          </w:p>
        </w:tc>
      </w:tr>
    </w:tbl>
    <w:p w:rsidR="00927E1F" w:rsidRPr="00F164C1" w:rsidRDefault="00927E1F" w:rsidP="00927E1F">
      <w:pPr>
        <w:rPr>
          <w:sz w:val="22"/>
          <w:szCs w:val="22"/>
        </w:rPr>
      </w:pPr>
    </w:p>
    <w:p w:rsidR="00927E1F" w:rsidRPr="00422570" w:rsidRDefault="00927E1F" w:rsidP="00927E1F">
      <w:r w:rsidRPr="00422570">
        <w:lastRenderedPageBreak/>
        <w:t>RISQUES ET STRATÉGIES D’ATTÉNUATION</w:t>
      </w:r>
    </w:p>
    <w:p w:rsidR="00927E1F" w:rsidRPr="00422570" w:rsidRDefault="00927E1F" w:rsidP="00927E1F"/>
    <w:tbl>
      <w:tblPr>
        <w:tblW w:w="4813" w:type="pct"/>
        <w:jc w:val="center"/>
        <w:tblInd w:w="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927E1F" w:rsidRPr="00F164C1" w:rsidTr="00927E1F">
        <w:trPr>
          <w:trHeight w:val="308"/>
          <w:tblHeader/>
          <w:jc w:val="center"/>
        </w:trPr>
        <w:tc>
          <w:tcPr>
            <w:tcW w:w="1667" w:type="pct"/>
            <w:shd w:val="clear" w:color="auto" w:fill="C6D9F1"/>
            <w:vAlign w:val="center"/>
          </w:tcPr>
          <w:p w:rsidR="00927E1F" w:rsidRPr="00F164C1" w:rsidRDefault="00927E1F" w:rsidP="00927E1F">
            <w:pPr>
              <w:autoSpaceDE w:val="0"/>
              <w:autoSpaceDN w:val="0"/>
              <w:adjustRightInd w:val="0"/>
              <w:spacing w:before="40" w:after="40"/>
              <w:ind w:left="-74" w:right="-60"/>
              <w:jc w:val="center"/>
              <w:rPr>
                <w:b/>
                <w:bCs/>
                <w:sz w:val="16"/>
                <w:szCs w:val="16"/>
              </w:rPr>
            </w:pPr>
            <w:r w:rsidRPr="00F164C1">
              <w:rPr>
                <w:b/>
                <w:sz w:val="16"/>
              </w:rPr>
              <w:t xml:space="preserve">Risque </w:t>
            </w:r>
            <w:r w:rsidRPr="00F164C1">
              <w:rPr>
                <w:b/>
                <w:bCs/>
                <w:sz w:val="16"/>
                <w:szCs w:val="16"/>
              </w:rPr>
              <w:t>/ Description du risque</w:t>
            </w:r>
          </w:p>
        </w:tc>
        <w:tc>
          <w:tcPr>
            <w:tcW w:w="1667" w:type="pct"/>
            <w:shd w:val="clear" w:color="auto" w:fill="C6D9F1"/>
            <w:vAlign w:val="center"/>
          </w:tcPr>
          <w:p w:rsidR="00927E1F" w:rsidRPr="00F164C1" w:rsidRDefault="00927E1F" w:rsidP="00927E1F">
            <w:pPr>
              <w:autoSpaceDE w:val="0"/>
              <w:autoSpaceDN w:val="0"/>
              <w:adjustRightInd w:val="0"/>
              <w:spacing w:before="40" w:after="40"/>
              <w:ind w:left="-107" w:right="-108"/>
              <w:jc w:val="center"/>
              <w:rPr>
                <w:b/>
                <w:bCs/>
                <w:sz w:val="16"/>
                <w:szCs w:val="16"/>
              </w:rPr>
            </w:pPr>
            <w:r w:rsidRPr="00F164C1">
              <w:rPr>
                <w:b/>
                <w:sz w:val="16"/>
              </w:rPr>
              <w:t>Atténuation des risques</w:t>
            </w:r>
          </w:p>
        </w:tc>
        <w:tc>
          <w:tcPr>
            <w:tcW w:w="1666" w:type="pct"/>
            <w:shd w:val="clear" w:color="auto" w:fill="C6D9F1"/>
            <w:vAlign w:val="center"/>
          </w:tcPr>
          <w:p w:rsidR="00927E1F" w:rsidRPr="00F164C1" w:rsidRDefault="00927E1F" w:rsidP="00927E1F">
            <w:pPr>
              <w:autoSpaceDE w:val="0"/>
              <w:autoSpaceDN w:val="0"/>
              <w:adjustRightInd w:val="0"/>
              <w:spacing w:before="40" w:after="40"/>
              <w:ind w:left="-109"/>
              <w:jc w:val="center"/>
              <w:rPr>
                <w:b/>
                <w:bCs/>
                <w:sz w:val="16"/>
                <w:szCs w:val="16"/>
              </w:rPr>
            </w:pPr>
            <w:r w:rsidRPr="00F164C1">
              <w:rPr>
                <w:b/>
                <w:bCs/>
                <w:sz w:val="16"/>
                <w:szCs w:val="16"/>
              </w:rPr>
              <w:t>Observation</w:t>
            </w:r>
          </w:p>
        </w:tc>
      </w:tr>
      <w:tr w:rsidR="00927E1F" w:rsidRPr="00F164C1" w:rsidTr="00927E1F">
        <w:trPr>
          <w:trHeight w:val="776"/>
          <w:jc w:val="center"/>
        </w:trPr>
        <w:tc>
          <w:tcPr>
            <w:tcW w:w="1667"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Démarrage du projet retardé d’un an en raison du retard pris dans l’achèvement de la nouvelle salle de conférence de l’OMPI.</w:t>
            </w:r>
          </w:p>
        </w:tc>
        <w:tc>
          <w:tcPr>
            <w:tcW w:w="1667"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Modifier le calendrier du projet et réaliser des travaux pendant l’été dans la mesure du possible.</w:t>
            </w:r>
          </w:p>
        </w:tc>
        <w:tc>
          <w:tcPr>
            <w:tcW w:w="1666"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Ce risque s’est réalisé en 2014.  Le planning général du projet a été décalé de 12 mois par rapport au plan de départ.  Le calendrier du projet a été modifié en conséquence, conformément à la mesure d’atténuation des risques indiquée.  Cette modification n’a pas eu d’incidence significative sur les résultats du projet.</w:t>
            </w:r>
            <w:r w:rsidRPr="00F164C1">
              <w:rPr>
                <w:sz w:val="16"/>
              </w:rPr>
              <w:t xml:space="preserve"> </w:t>
            </w:r>
            <w:r w:rsidRPr="00F164C1">
              <w:rPr>
                <w:sz w:val="16"/>
                <w:szCs w:val="16"/>
              </w:rPr>
              <w:t xml:space="preserve"> </w:t>
            </w:r>
          </w:p>
        </w:tc>
      </w:tr>
      <w:tr w:rsidR="00927E1F" w:rsidRPr="00F164C1" w:rsidTr="00927E1F">
        <w:trPr>
          <w:trHeight w:val="776"/>
          <w:jc w:val="center"/>
        </w:trPr>
        <w:tc>
          <w:tcPr>
            <w:tcW w:w="1667" w:type="pct"/>
            <w:shd w:val="clear" w:color="auto" w:fill="auto"/>
          </w:tcPr>
          <w:p w:rsidR="00927E1F" w:rsidRPr="00F164C1" w:rsidRDefault="00927E1F" w:rsidP="00927E1F">
            <w:pPr>
              <w:autoSpaceDE w:val="0"/>
              <w:autoSpaceDN w:val="0"/>
              <w:adjustRightInd w:val="0"/>
              <w:spacing w:before="40" w:after="40"/>
              <w:rPr>
                <w:sz w:val="16"/>
                <w:szCs w:val="16"/>
                <w:highlight w:val="yellow"/>
              </w:rPr>
            </w:pPr>
            <w:r w:rsidRPr="00F164C1">
              <w:rPr>
                <w:sz w:val="16"/>
                <w:szCs w:val="16"/>
              </w:rPr>
              <w:t>Priorités incompatibles entre l’avancement des travaux et l’utilisation des bureaux par leurs occupants, du fait que les bureaux ne peuvent pas être libérés de leurs occupants pour que les travaux soient réalisés à l’étage concerné.</w:t>
            </w:r>
          </w:p>
        </w:tc>
        <w:tc>
          <w:tcPr>
            <w:tcW w:w="1667"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Réorganisation différente de l’avancement du chantier si possible, et révision du planning des travaux.</w:t>
            </w:r>
            <w:r w:rsidRPr="00F164C1" w:rsidDel="00826D61">
              <w:rPr>
                <w:sz w:val="16"/>
                <w:szCs w:val="16"/>
              </w:rPr>
              <w:t xml:space="preserve"> </w:t>
            </w:r>
            <w:r w:rsidRPr="00F164C1">
              <w:rPr>
                <w:sz w:val="16"/>
                <w:szCs w:val="16"/>
              </w:rPr>
              <w:t xml:space="preserve"> </w:t>
            </w:r>
          </w:p>
        </w:tc>
        <w:tc>
          <w:tcPr>
            <w:tcW w:w="1666" w:type="pct"/>
            <w:shd w:val="clear" w:color="auto" w:fill="auto"/>
          </w:tcPr>
          <w:p w:rsidR="00927E1F" w:rsidRPr="00F164C1" w:rsidRDefault="00927E1F" w:rsidP="00927E1F">
            <w:pPr>
              <w:autoSpaceDE w:val="0"/>
              <w:autoSpaceDN w:val="0"/>
              <w:adjustRightInd w:val="0"/>
              <w:spacing w:before="40" w:after="40"/>
              <w:rPr>
                <w:sz w:val="16"/>
                <w:szCs w:val="16"/>
                <w:highlight w:val="yellow"/>
              </w:rPr>
            </w:pPr>
          </w:p>
        </w:tc>
      </w:tr>
      <w:tr w:rsidR="00927E1F" w:rsidRPr="00F164C1" w:rsidTr="00927E1F">
        <w:trPr>
          <w:trHeight w:val="479"/>
          <w:jc w:val="center"/>
        </w:trPr>
        <w:tc>
          <w:tcPr>
            <w:tcW w:w="1667"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Ne pas pouvoir réaliser les travaux durant l’été 2015 car les entreprises ne sont pas disponibles dans le délai demandé par l’OMPI.</w:t>
            </w:r>
          </w:p>
        </w:tc>
        <w:tc>
          <w:tcPr>
            <w:tcW w:w="1667"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Report des travaux jusqu’à l’été 2016.</w:t>
            </w:r>
            <w:r w:rsidRPr="00F164C1">
              <w:rPr>
                <w:sz w:val="16"/>
              </w:rPr>
              <w:t xml:space="preserve"> </w:t>
            </w:r>
            <w:r w:rsidRPr="00F164C1">
              <w:rPr>
                <w:sz w:val="16"/>
                <w:szCs w:val="16"/>
              </w:rPr>
              <w:t xml:space="preserve"> </w:t>
            </w:r>
          </w:p>
        </w:tc>
        <w:tc>
          <w:tcPr>
            <w:tcW w:w="1666" w:type="pct"/>
            <w:shd w:val="clear" w:color="auto" w:fill="auto"/>
          </w:tcPr>
          <w:p w:rsidR="00927E1F" w:rsidRPr="00F164C1" w:rsidRDefault="00927E1F" w:rsidP="00927E1F">
            <w:pPr>
              <w:autoSpaceDE w:val="0"/>
              <w:autoSpaceDN w:val="0"/>
              <w:adjustRightInd w:val="0"/>
              <w:spacing w:before="40" w:after="40"/>
              <w:rPr>
                <w:sz w:val="16"/>
                <w:szCs w:val="16"/>
              </w:rPr>
            </w:pPr>
          </w:p>
        </w:tc>
      </w:tr>
      <w:tr w:rsidR="00927E1F" w:rsidRPr="00F164C1" w:rsidTr="00927E1F">
        <w:trPr>
          <w:trHeight w:val="776"/>
          <w:jc w:val="center"/>
        </w:trPr>
        <w:tc>
          <w:tcPr>
            <w:tcW w:w="1667"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Retard ou interruption des travaux en raison d’un accident de chantier.</w:t>
            </w:r>
          </w:p>
        </w:tc>
        <w:tc>
          <w:tcPr>
            <w:tcW w:w="1667"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Revalidation et renforcement des mesures de sécurité et révision du calendrier des travaux, y compris jusqu’en 2016.</w:t>
            </w:r>
          </w:p>
        </w:tc>
        <w:tc>
          <w:tcPr>
            <w:tcW w:w="1666" w:type="pct"/>
            <w:shd w:val="clear" w:color="auto" w:fill="auto"/>
          </w:tcPr>
          <w:p w:rsidR="00927E1F" w:rsidRPr="00F164C1" w:rsidRDefault="00927E1F" w:rsidP="00927E1F">
            <w:pPr>
              <w:autoSpaceDE w:val="0"/>
              <w:autoSpaceDN w:val="0"/>
              <w:adjustRightInd w:val="0"/>
              <w:spacing w:before="40" w:after="40"/>
              <w:rPr>
                <w:sz w:val="16"/>
                <w:szCs w:val="16"/>
              </w:rPr>
            </w:pPr>
          </w:p>
        </w:tc>
      </w:tr>
      <w:tr w:rsidR="00927E1F" w:rsidRPr="00F164C1" w:rsidTr="00927E1F">
        <w:trPr>
          <w:trHeight w:val="776"/>
          <w:jc w:val="center"/>
        </w:trPr>
        <w:tc>
          <w:tcPr>
            <w:tcW w:w="1667"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Interruption des travaux sur le chantier en raison de problèmes techniques découverts durant les travaux préparatoires pour le chantier</w:t>
            </w:r>
            <w:r w:rsidRPr="00F164C1" w:rsidDel="00062DB2">
              <w:rPr>
                <w:sz w:val="16"/>
                <w:szCs w:val="16"/>
              </w:rPr>
              <w:t>.</w:t>
            </w:r>
          </w:p>
        </w:tc>
        <w:tc>
          <w:tcPr>
            <w:tcW w:w="1667"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Engager des experts pour déterminer la meilleure solution pour résoudre les problèmes rencontrés.</w:t>
            </w:r>
          </w:p>
        </w:tc>
        <w:tc>
          <w:tcPr>
            <w:tcW w:w="1666" w:type="pct"/>
            <w:shd w:val="clear" w:color="auto" w:fill="auto"/>
          </w:tcPr>
          <w:p w:rsidR="00927E1F" w:rsidRPr="00F164C1" w:rsidRDefault="00927E1F" w:rsidP="00927E1F">
            <w:pPr>
              <w:autoSpaceDE w:val="0"/>
              <w:autoSpaceDN w:val="0"/>
              <w:adjustRightInd w:val="0"/>
              <w:spacing w:before="40" w:after="40"/>
              <w:rPr>
                <w:sz w:val="16"/>
                <w:szCs w:val="16"/>
              </w:rPr>
            </w:pPr>
            <w:r w:rsidRPr="00F164C1">
              <w:rPr>
                <w:sz w:val="16"/>
                <w:szCs w:val="16"/>
              </w:rPr>
              <w:t>Ce risque s’est matérialisé en 2015.  D’autres experts ont été engagés pour réaliser des études afin que le Secrétariat puisse déterminer la meilleure voie à suivre pour réduire l’incidence des problèmes rencontrés sur les résultats du projet.</w:t>
            </w:r>
          </w:p>
        </w:tc>
      </w:tr>
    </w:tbl>
    <w:p w:rsidR="00927E1F" w:rsidRPr="00422570" w:rsidRDefault="00927E1F" w:rsidP="00927E1F">
      <w:pPr>
        <w:autoSpaceDE w:val="0"/>
        <w:autoSpaceDN w:val="0"/>
        <w:jc w:val="both"/>
      </w:pPr>
    </w:p>
    <w:p w:rsidR="00927E1F" w:rsidRPr="00422570" w:rsidRDefault="00927E1F" w:rsidP="00927E1F"/>
    <w:p w:rsidR="00927E1F" w:rsidRPr="00422570" w:rsidRDefault="00927E1F" w:rsidP="00927E1F">
      <w:r w:rsidRPr="00422570">
        <w:t>CALENDRIER DU PROJET PAR ÉTAPE</w:t>
      </w:r>
    </w:p>
    <w:p w:rsidR="00927E1F" w:rsidRPr="00422570" w:rsidRDefault="00927E1F" w:rsidP="00927E1F">
      <w:pPr>
        <w:autoSpaceDE w:val="0"/>
        <w:autoSpaceDN w:val="0"/>
        <w:jc w:val="both"/>
      </w:pPr>
    </w:p>
    <w:tbl>
      <w:tblPr>
        <w:tblW w:w="9130" w:type="dxa"/>
        <w:jc w:val="center"/>
        <w:tblInd w:w="-1530" w:type="dxa"/>
        <w:tblCellMar>
          <w:top w:w="113" w:type="dxa"/>
          <w:left w:w="68" w:type="dxa"/>
          <w:bottom w:w="113" w:type="dxa"/>
          <w:right w:w="68" w:type="dxa"/>
        </w:tblCellMar>
        <w:tblLook w:val="04A0" w:firstRow="1" w:lastRow="0" w:firstColumn="1" w:lastColumn="0" w:noHBand="0" w:noVBand="1"/>
      </w:tblPr>
      <w:tblGrid>
        <w:gridCol w:w="3370"/>
        <w:gridCol w:w="480"/>
        <w:gridCol w:w="480"/>
        <w:gridCol w:w="480"/>
        <w:gridCol w:w="480"/>
        <w:gridCol w:w="480"/>
        <w:gridCol w:w="480"/>
        <w:gridCol w:w="480"/>
        <w:gridCol w:w="480"/>
        <w:gridCol w:w="480"/>
        <w:gridCol w:w="480"/>
        <w:gridCol w:w="480"/>
        <w:gridCol w:w="480"/>
      </w:tblGrid>
      <w:tr w:rsidR="00927E1F" w:rsidRPr="0074745D" w:rsidTr="00927E1F">
        <w:trPr>
          <w:cantSplit/>
          <w:jc w:val="center"/>
        </w:trPr>
        <w:tc>
          <w:tcPr>
            <w:tcW w:w="3370" w:type="dxa"/>
            <w:tcBorders>
              <w:top w:val="nil"/>
              <w:left w:val="nil"/>
              <w:bottom w:val="nil"/>
              <w:right w:val="nil"/>
            </w:tcBorders>
            <w:shd w:val="clear" w:color="auto" w:fill="auto"/>
            <w:noWrap/>
            <w:vAlign w:val="bottom"/>
            <w:hideMark/>
          </w:tcPr>
          <w:p w:rsidR="00927E1F" w:rsidRPr="0074745D" w:rsidRDefault="00927E1F" w:rsidP="00927E1F">
            <w:pPr>
              <w:rPr>
                <w:sz w:val="16"/>
                <w:szCs w:val="16"/>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noWrap/>
            <w:vAlign w:val="bottom"/>
            <w:hideMark/>
          </w:tcPr>
          <w:p w:rsidR="00927E1F" w:rsidRPr="0074745D" w:rsidRDefault="00927E1F" w:rsidP="00927E1F">
            <w:pPr>
              <w:jc w:val="center"/>
              <w:rPr>
                <w:b/>
                <w:bCs/>
                <w:sz w:val="16"/>
                <w:szCs w:val="16"/>
              </w:rPr>
            </w:pPr>
            <w:r w:rsidRPr="0074745D">
              <w:rPr>
                <w:b/>
                <w:sz w:val="16"/>
              </w:rPr>
              <w:t>2014</w:t>
            </w:r>
          </w:p>
        </w:tc>
        <w:tc>
          <w:tcPr>
            <w:tcW w:w="1920" w:type="dxa"/>
            <w:gridSpan w:val="4"/>
            <w:tcBorders>
              <w:top w:val="single" w:sz="8" w:space="0" w:color="auto"/>
              <w:left w:val="nil"/>
              <w:bottom w:val="single" w:sz="4" w:space="0" w:color="auto"/>
              <w:right w:val="single" w:sz="8" w:space="0" w:color="000000"/>
            </w:tcBorders>
            <w:shd w:val="clear" w:color="auto" w:fill="C6D9F1"/>
            <w:noWrap/>
            <w:vAlign w:val="bottom"/>
            <w:hideMark/>
          </w:tcPr>
          <w:p w:rsidR="00927E1F" w:rsidRPr="0074745D" w:rsidRDefault="00927E1F" w:rsidP="00927E1F">
            <w:pPr>
              <w:jc w:val="center"/>
              <w:rPr>
                <w:b/>
                <w:bCs/>
                <w:sz w:val="16"/>
                <w:szCs w:val="16"/>
              </w:rPr>
            </w:pPr>
            <w:r w:rsidRPr="0074745D">
              <w:rPr>
                <w:b/>
                <w:sz w:val="16"/>
              </w:rPr>
              <w:t>2015</w:t>
            </w:r>
          </w:p>
        </w:tc>
        <w:tc>
          <w:tcPr>
            <w:tcW w:w="1920" w:type="dxa"/>
            <w:gridSpan w:val="4"/>
            <w:tcBorders>
              <w:top w:val="single" w:sz="8" w:space="0" w:color="auto"/>
              <w:left w:val="nil"/>
              <w:bottom w:val="single" w:sz="4" w:space="0" w:color="auto"/>
              <w:right w:val="single" w:sz="8" w:space="0" w:color="000000"/>
            </w:tcBorders>
            <w:shd w:val="clear" w:color="auto" w:fill="C6D9F1"/>
          </w:tcPr>
          <w:p w:rsidR="00927E1F" w:rsidRPr="0074745D" w:rsidRDefault="00927E1F" w:rsidP="00927E1F">
            <w:pPr>
              <w:jc w:val="center"/>
              <w:rPr>
                <w:b/>
                <w:sz w:val="16"/>
              </w:rPr>
            </w:pPr>
            <w:r w:rsidRPr="0074745D">
              <w:rPr>
                <w:b/>
                <w:sz w:val="16"/>
              </w:rPr>
              <w:t>2016</w:t>
            </w:r>
          </w:p>
        </w:tc>
      </w:tr>
      <w:tr w:rsidR="00927E1F" w:rsidRPr="0074745D" w:rsidTr="00927E1F">
        <w:trPr>
          <w:cantSplit/>
          <w:jc w:val="center"/>
        </w:trPr>
        <w:tc>
          <w:tcPr>
            <w:tcW w:w="3370" w:type="dxa"/>
            <w:tcBorders>
              <w:top w:val="single" w:sz="8" w:space="0" w:color="auto"/>
              <w:left w:val="single" w:sz="8" w:space="0" w:color="auto"/>
              <w:bottom w:val="single" w:sz="4" w:space="0" w:color="auto"/>
              <w:right w:val="single" w:sz="8" w:space="0" w:color="auto"/>
            </w:tcBorders>
            <w:shd w:val="clear" w:color="auto" w:fill="C6D9F1"/>
            <w:noWrap/>
            <w:vAlign w:val="bottom"/>
            <w:hideMark/>
          </w:tcPr>
          <w:p w:rsidR="00927E1F" w:rsidRPr="0074745D" w:rsidRDefault="00927E1F" w:rsidP="00927E1F">
            <w:pPr>
              <w:rPr>
                <w:b/>
                <w:bCs/>
                <w:sz w:val="16"/>
                <w:szCs w:val="16"/>
              </w:rPr>
            </w:pPr>
            <w:r w:rsidRPr="0074745D">
              <w:rPr>
                <w:b/>
                <w:sz w:val="16"/>
              </w:rPr>
              <w:t>Étape principale</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74745D" w:rsidRDefault="00927E1F" w:rsidP="00927E1F">
            <w:pPr>
              <w:rPr>
                <w:b/>
                <w:bCs/>
                <w:sz w:val="16"/>
                <w:szCs w:val="16"/>
              </w:rPr>
            </w:pPr>
            <w:r w:rsidRPr="0074745D">
              <w:rPr>
                <w:b/>
                <w:bCs/>
                <w:sz w:val="16"/>
                <w:szCs w:val="16"/>
              </w:rPr>
              <w:t>T1</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74745D" w:rsidRDefault="00927E1F" w:rsidP="00927E1F">
            <w:pPr>
              <w:rPr>
                <w:b/>
                <w:bCs/>
                <w:sz w:val="16"/>
                <w:szCs w:val="16"/>
              </w:rPr>
            </w:pPr>
            <w:r w:rsidRPr="0074745D">
              <w:rPr>
                <w:b/>
                <w:bCs/>
                <w:sz w:val="16"/>
                <w:szCs w:val="16"/>
              </w:rPr>
              <w:t>T2</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74745D" w:rsidRDefault="00927E1F" w:rsidP="00927E1F">
            <w:pPr>
              <w:rPr>
                <w:b/>
                <w:bCs/>
                <w:sz w:val="16"/>
                <w:szCs w:val="16"/>
              </w:rPr>
            </w:pPr>
            <w:r w:rsidRPr="0074745D">
              <w:rPr>
                <w:b/>
                <w:bCs/>
                <w:sz w:val="16"/>
                <w:szCs w:val="16"/>
              </w:rPr>
              <w:t>T3</w:t>
            </w:r>
          </w:p>
        </w:tc>
        <w:tc>
          <w:tcPr>
            <w:tcW w:w="480" w:type="dxa"/>
            <w:tcBorders>
              <w:top w:val="nil"/>
              <w:left w:val="nil"/>
              <w:bottom w:val="single" w:sz="4" w:space="0" w:color="auto"/>
              <w:right w:val="single" w:sz="8" w:space="0" w:color="auto"/>
            </w:tcBorders>
            <w:shd w:val="clear" w:color="auto" w:fill="C6D9F1"/>
            <w:noWrap/>
            <w:vAlign w:val="bottom"/>
            <w:hideMark/>
          </w:tcPr>
          <w:p w:rsidR="00927E1F" w:rsidRPr="0074745D" w:rsidRDefault="00927E1F" w:rsidP="00927E1F">
            <w:pPr>
              <w:rPr>
                <w:b/>
                <w:bCs/>
                <w:sz w:val="16"/>
                <w:szCs w:val="16"/>
              </w:rPr>
            </w:pPr>
            <w:r w:rsidRPr="0074745D">
              <w:rPr>
                <w:b/>
                <w:bCs/>
                <w:sz w:val="16"/>
                <w:szCs w:val="16"/>
              </w:rPr>
              <w:t>T4</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74745D" w:rsidRDefault="00927E1F" w:rsidP="00927E1F">
            <w:pPr>
              <w:rPr>
                <w:b/>
                <w:bCs/>
                <w:sz w:val="16"/>
                <w:szCs w:val="16"/>
              </w:rPr>
            </w:pPr>
            <w:r w:rsidRPr="0074745D">
              <w:rPr>
                <w:b/>
                <w:bCs/>
                <w:sz w:val="16"/>
                <w:szCs w:val="16"/>
              </w:rPr>
              <w:t>T1</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74745D" w:rsidRDefault="00927E1F" w:rsidP="00927E1F">
            <w:pPr>
              <w:rPr>
                <w:b/>
                <w:bCs/>
                <w:sz w:val="16"/>
                <w:szCs w:val="16"/>
              </w:rPr>
            </w:pPr>
            <w:r w:rsidRPr="0074745D">
              <w:rPr>
                <w:b/>
                <w:bCs/>
                <w:sz w:val="16"/>
                <w:szCs w:val="16"/>
              </w:rPr>
              <w:t>T2</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74745D" w:rsidRDefault="00927E1F" w:rsidP="00927E1F">
            <w:pPr>
              <w:rPr>
                <w:b/>
                <w:bCs/>
                <w:sz w:val="16"/>
                <w:szCs w:val="16"/>
              </w:rPr>
            </w:pPr>
            <w:r w:rsidRPr="0074745D">
              <w:rPr>
                <w:b/>
                <w:bCs/>
                <w:sz w:val="16"/>
                <w:szCs w:val="16"/>
              </w:rPr>
              <w:t>T3</w:t>
            </w:r>
          </w:p>
        </w:tc>
        <w:tc>
          <w:tcPr>
            <w:tcW w:w="480" w:type="dxa"/>
            <w:tcBorders>
              <w:top w:val="nil"/>
              <w:left w:val="nil"/>
              <w:bottom w:val="single" w:sz="4" w:space="0" w:color="auto"/>
              <w:right w:val="single" w:sz="8" w:space="0" w:color="auto"/>
            </w:tcBorders>
            <w:shd w:val="clear" w:color="auto" w:fill="C6D9F1"/>
            <w:noWrap/>
            <w:vAlign w:val="bottom"/>
            <w:hideMark/>
          </w:tcPr>
          <w:p w:rsidR="00927E1F" w:rsidRPr="0074745D" w:rsidRDefault="00927E1F" w:rsidP="00927E1F">
            <w:pPr>
              <w:rPr>
                <w:b/>
                <w:bCs/>
                <w:sz w:val="16"/>
                <w:szCs w:val="16"/>
              </w:rPr>
            </w:pPr>
            <w:r w:rsidRPr="0074745D">
              <w:rPr>
                <w:b/>
                <w:bCs/>
                <w:sz w:val="16"/>
                <w:szCs w:val="16"/>
              </w:rPr>
              <w:t>T4</w:t>
            </w:r>
          </w:p>
        </w:tc>
        <w:tc>
          <w:tcPr>
            <w:tcW w:w="480" w:type="dxa"/>
            <w:tcBorders>
              <w:top w:val="nil"/>
              <w:left w:val="nil"/>
              <w:bottom w:val="single" w:sz="4" w:space="0" w:color="auto"/>
              <w:right w:val="single" w:sz="8" w:space="0" w:color="auto"/>
            </w:tcBorders>
            <w:shd w:val="clear" w:color="auto" w:fill="C6D9F1"/>
            <w:vAlign w:val="bottom"/>
          </w:tcPr>
          <w:p w:rsidR="00927E1F" w:rsidRPr="0074745D" w:rsidRDefault="00927E1F" w:rsidP="00927E1F">
            <w:pPr>
              <w:rPr>
                <w:b/>
                <w:bCs/>
                <w:sz w:val="16"/>
                <w:szCs w:val="16"/>
              </w:rPr>
            </w:pPr>
            <w:r w:rsidRPr="0074745D">
              <w:rPr>
                <w:b/>
                <w:bCs/>
                <w:sz w:val="16"/>
                <w:szCs w:val="16"/>
              </w:rPr>
              <w:t>T1</w:t>
            </w:r>
          </w:p>
        </w:tc>
        <w:tc>
          <w:tcPr>
            <w:tcW w:w="480" w:type="dxa"/>
            <w:tcBorders>
              <w:top w:val="nil"/>
              <w:left w:val="nil"/>
              <w:bottom w:val="single" w:sz="4" w:space="0" w:color="auto"/>
              <w:right w:val="single" w:sz="8" w:space="0" w:color="auto"/>
            </w:tcBorders>
            <w:shd w:val="clear" w:color="auto" w:fill="C6D9F1"/>
            <w:vAlign w:val="bottom"/>
          </w:tcPr>
          <w:p w:rsidR="00927E1F" w:rsidRPr="0074745D" w:rsidRDefault="00927E1F" w:rsidP="00927E1F">
            <w:pPr>
              <w:rPr>
                <w:b/>
                <w:bCs/>
                <w:sz w:val="16"/>
                <w:szCs w:val="16"/>
              </w:rPr>
            </w:pPr>
            <w:r w:rsidRPr="0074745D">
              <w:rPr>
                <w:b/>
                <w:bCs/>
                <w:sz w:val="16"/>
                <w:szCs w:val="16"/>
              </w:rPr>
              <w:t>T2</w:t>
            </w:r>
          </w:p>
        </w:tc>
        <w:tc>
          <w:tcPr>
            <w:tcW w:w="480" w:type="dxa"/>
            <w:tcBorders>
              <w:top w:val="nil"/>
              <w:left w:val="nil"/>
              <w:bottom w:val="single" w:sz="4" w:space="0" w:color="auto"/>
              <w:right w:val="single" w:sz="8" w:space="0" w:color="auto"/>
            </w:tcBorders>
            <w:shd w:val="clear" w:color="auto" w:fill="C6D9F1"/>
            <w:vAlign w:val="bottom"/>
          </w:tcPr>
          <w:p w:rsidR="00927E1F" w:rsidRPr="0074745D" w:rsidRDefault="00927E1F" w:rsidP="00927E1F">
            <w:pPr>
              <w:rPr>
                <w:b/>
                <w:bCs/>
                <w:sz w:val="16"/>
                <w:szCs w:val="16"/>
              </w:rPr>
            </w:pPr>
            <w:r w:rsidRPr="0074745D">
              <w:rPr>
                <w:b/>
                <w:bCs/>
                <w:sz w:val="16"/>
                <w:szCs w:val="16"/>
              </w:rPr>
              <w:t>T3</w:t>
            </w:r>
          </w:p>
        </w:tc>
        <w:tc>
          <w:tcPr>
            <w:tcW w:w="480" w:type="dxa"/>
            <w:tcBorders>
              <w:top w:val="nil"/>
              <w:left w:val="nil"/>
              <w:bottom w:val="single" w:sz="4" w:space="0" w:color="auto"/>
              <w:right w:val="single" w:sz="8" w:space="0" w:color="auto"/>
            </w:tcBorders>
            <w:shd w:val="clear" w:color="auto" w:fill="C6D9F1"/>
            <w:vAlign w:val="bottom"/>
          </w:tcPr>
          <w:p w:rsidR="00927E1F" w:rsidRPr="0074745D" w:rsidRDefault="00927E1F" w:rsidP="00927E1F">
            <w:pPr>
              <w:rPr>
                <w:b/>
                <w:bCs/>
                <w:sz w:val="16"/>
                <w:szCs w:val="16"/>
              </w:rPr>
            </w:pPr>
            <w:r w:rsidRPr="0074745D">
              <w:rPr>
                <w:b/>
                <w:bCs/>
                <w:sz w:val="16"/>
                <w:szCs w:val="16"/>
              </w:rPr>
              <w:t>T4</w:t>
            </w:r>
          </w:p>
        </w:tc>
      </w:tr>
      <w:tr w:rsidR="00927E1F" w:rsidRPr="0074745D" w:rsidTr="00927E1F">
        <w:trPr>
          <w:cantSplit/>
          <w:jc w:val="center"/>
        </w:trPr>
        <w:tc>
          <w:tcPr>
            <w:tcW w:w="3370" w:type="dxa"/>
            <w:tcBorders>
              <w:top w:val="nil"/>
              <w:left w:val="single" w:sz="8" w:space="0" w:color="auto"/>
              <w:bottom w:val="single" w:sz="4" w:space="0" w:color="auto"/>
              <w:right w:val="single" w:sz="8" w:space="0" w:color="auto"/>
            </w:tcBorders>
            <w:shd w:val="clear" w:color="auto" w:fill="auto"/>
            <w:noWrap/>
            <w:vAlign w:val="center"/>
            <w:hideMark/>
          </w:tcPr>
          <w:p w:rsidR="00927E1F" w:rsidRPr="0074745D" w:rsidRDefault="00927E1F" w:rsidP="00927E1F">
            <w:pPr>
              <w:rPr>
                <w:sz w:val="16"/>
                <w:szCs w:val="16"/>
              </w:rPr>
            </w:pPr>
            <w:r w:rsidRPr="0074745D">
              <w:rPr>
                <w:sz w:val="16"/>
              </w:rPr>
              <w:t>Attribution du contrat à l’ingénieur pour la façade</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vAlign w:val="center"/>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vAlign w:val="center"/>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vAlign w:val="center"/>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vAlign w:val="center"/>
          </w:tcPr>
          <w:p w:rsidR="00927E1F" w:rsidRPr="0074745D" w:rsidRDefault="00927E1F" w:rsidP="00927E1F">
            <w:pPr>
              <w:spacing w:before="40" w:after="40"/>
              <w:jc w:val="center"/>
              <w:rPr>
                <w:sz w:val="16"/>
                <w:szCs w:val="16"/>
              </w:rPr>
            </w:pPr>
          </w:p>
        </w:tc>
      </w:tr>
      <w:tr w:rsidR="00927E1F" w:rsidRPr="0074745D" w:rsidTr="00927E1F">
        <w:trPr>
          <w:cantSplit/>
          <w:jc w:val="center"/>
        </w:trPr>
        <w:tc>
          <w:tcPr>
            <w:tcW w:w="3370" w:type="dxa"/>
            <w:tcBorders>
              <w:top w:val="nil"/>
              <w:left w:val="single" w:sz="8" w:space="0" w:color="auto"/>
              <w:bottom w:val="single" w:sz="4" w:space="0" w:color="auto"/>
              <w:right w:val="single" w:sz="8" w:space="0" w:color="auto"/>
            </w:tcBorders>
            <w:shd w:val="clear" w:color="auto" w:fill="auto"/>
            <w:noWrap/>
            <w:vAlign w:val="center"/>
            <w:hideMark/>
          </w:tcPr>
          <w:p w:rsidR="00927E1F" w:rsidRPr="0074745D" w:rsidRDefault="00927E1F" w:rsidP="00927E1F">
            <w:pPr>
              <w:rPr>
                <w:sz w:val="16"/>
                <w:szCs w:val="16"/>
              </w:rPr>
            </w:pPr>
            <w:r w:rsidRPr="0074745D">
              <w:rPr>
                <w:sz w:val="16"/>
              </w:rPr>
              <w:t xml:space="preserve">Développement et validation du projet avec l’ingénieur chargé de la façade </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vAlign w:val="center"/>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vAlign w:val="center"/>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vAlign w:val="center"/>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vAlign w:val="center"/>
          </w:tcPr>
          <w:p w:rsidR="00927E1F" w:rsidRPr="0074745D" w:rsidRDefault="00927E1F" w:rsidP="00927E1F">
            <w:pPr>
              <w:spacing w:before="40" w:after="40"/>
              <w:jc w:val="center"/>
              <w:rPr>
                <w:sz w:val="16"/>
                <w:szCs w:val="16"/>
              </w:rPr>
            </w:pPr>
          </w:p>
        </w:tc>
      </w:tr>
      <w:tr w:rsidR="00927E1F" w:rsidRPr="0074745D" w:rsidTr="00927E1F">
        <w:trPr>
          <w:cantSplit/>
          <w:jc w:val="center"/>
        </w:trPr>
        <w:tc>
          <w:tcPr>
            <w:tcW w:w="3370" w:type="dxa"/>
            <w:tcBorders>
              <w:top w:val="nil"/>
              <w:left w:val="single" w:sz="8" w:space="0" w:color="auto"/>
              <w:bottom w:val="single" w:sz="4" w:space="0" w:color="auto"/>
              <w:right w:val="single" w:sz="8" w:space="0" w:color="auto"/>
            </w:tcBorders>
            <w:shd w:val="clear" w:color="auto" w:fill="auto"/>
            <w:noWrap/>
            <w:vAlign w:val="center"/>
            <w:hideMark/>
          </w:tcPr>
          <w:p w:rsidR="00927E1F" w:rsidRPr="0074745D" w:rsidRDefault="00927E1F" w:rsidP="00927E1F">
            <w:pPr>
              <w:rPr>
                <w:sz w:val="16"/>
                <w:szCs w:val="16"/>
              </w:rPr>
            </w:pPr>
            <w:r w:rsidRPr="0074745D">
              <w:rPr>
                <w:sz w:val="16"/>
              </w:rPr>
              <w:t>Appel d’offres et sélection des entreprises</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vAlign w:val="center"/>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vAlign w:val="center"/>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vAlign w:val="center"/>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vAlign w:val="center"/>
          </w:tcPr>
          <w:p w:rsidR="00927E1F" w:rsidRPr="0074745D" w:rsidRDefault="00927E1F" w:rsidP="00927E1F">
            <w:pPr>
              <w:spacing w:before="40" w:after="40"/>
              <w:jc w:val="center"/>
              <w:rPr>
                <w:sz w:val="16"/>
                <w:szCs w:val="16"/>
              </w:rPr>
            </w:pPr>
          </w:p>
        </w:tc>
      </w:tr>
      <w:tr w:rsidR="00927E1F" w:rsidRPr="0074745D" w:rsidTr="00927E1F">
        <w:trPr>
          <w:cantSplit/>
          <w:jc w:val="center"/>
        </w:trPr>
        <w:tc>
          <w:tcPr>
            <w:tcW w:w="337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927E1F" w:rsidRPr="0074745D" w:rsidRDefault="00927E1F" w:rsidP="00927E1F">
            <w:pPr>
              <w:rPr>
                <w:sz w:val="16"/>
                <w:szCs w:val="16"/>
              </w:rPr>
            </w:pPr>
            <w:r w:rsidRPr="0074745D">
              <w:rPr>
                <w:sz w:val="16"/>
              </w:rPr>
              <w:t>Exécution et mise en route des travaux</w:t>
            </w: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single" w:sz="4" w:space="0" w:color="auto"/>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single" w:sz="4" w:space="0" w:color="auto"/>
              <w:left w:val="nil"/>
              <w:bottom w:val="single" w:sz="4" w:space="0" w:color="auto"/>
              <w:right w:val="single" w:sz="8" w:space="0" w:color="auto"/>
            </w:tcBorders>
            <w:vAlign w:val="center"/>
          </w:tcPr>
          <w:p w:rsidR="00927E1F" w:rsidRPr="0074745D" w:rsidRDefault="00927E1F" w:rsidP="00927E1F">
            <w:pPr>
              <w:spacing w:before="40" w:after="40"/>
              <w:jc w:val="center"/>
              <w:rPr>
                <w:sz w:val="16"/>
                <w:szCs w:val="16"/>
              </w:rPr>
            </w:pPr>
          </w:p>
        </w:tc>
        <w:tc>
          <w:tcPr>
            <w:tcW w:w="480" w:type="dxa"/>
            <w:tcBorders>
              <w:top w:val="single" w:sz="4" w:space="0" w:color="auto"/>
              <w:left w:val="nil"/>
              <w:bottom w:val="single" w:sz="4" w:space="0" w:color="auto"/>
              <w:right w:val="single" w:sz="8" w:space="0" w:color="auto"/>
            </w:tcBorders>
            <w:vAlign w:val="center"/>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single" w:sz="4" w:space="0" w:color="auto"/>
              <w:left w:val="nil"/>
              <w:bottom w:val="single" w:sz="4" w:space="0" w:color="auto"/>
              <w:right w:val="single" w:sz="8" w:space="0" w:color="auto"/>
            </w:tcBorders>
            <w:vAlign w:val="center"/>
          </w:tcPr>
          <w:p w:rsidR="00927E1F" w:rsidRPr="0074745D" w:rsidRDefault="00927E1F" w:rsidP="00927E1F">
            <w:pPr>
              <w:spacing w:before="40" w:after="40"/>
              <w:jc w:val="center"/>
              <w:rPr>
                <w:sz w:val="16"/>
                <w:szCs w:val="16"/>
              </w:rPr>
            </w:pPr>
          </w:p>
        </w:tc>
        <w:tc>
          <w:tcPr>
            <w:tcW w:w="480" w:type="dxa"/>
            <w:tcBorders>
              <w:top w:val="single" w:sz="4" w:space="0" w:color="auto"/>
              <w:left w:val="nil"/>
              <w:bottom w:val="single" w:sz="4" w:space="0" w:color="auto"/>
              <w:right w:val="single" w:sz="8" w:space="0" w:color="auto"/>
            </w:tcBorders>
            <w:vAlign w:val="center"/>
          </w:tcPr>
          <w:p w:rsidR="00927E1F" w:rsidRPr="0074745D" w:rsidRDefault="00927E1F" w:rsidP="00927E1F">
            <w:pPr>
              <w:spacing w:before="40" w:after="40"/>
              <w:jc w:val="center"/>
              <w:rPr>
                <w:sz w:val="16"/>
                <w:szCs w:val="16"/>
              </w:rPr>
            </w:pPr>
          </w:p>
        </w:tc>
      </w:tr>
      <w:tr w:rsidR="00927E1F" w:rsidRPr="0074745D" w:rsidTr="00927E1F">
        <w:trPr>
          <w:cantSplit/>
          <w:jc w:val="center"/>
        </w:trPr>
        <w:tc>
          <w:tcPr>
            <w:tcW w:w="3370" w:type="dxa"/>
            <w:tcBorders>
              <w:top w:val="single" w:sz="4" w:space="0" w:color="auto"/>
              <w:left w:val="single" w:sz="8" w:space="0" w:color="auto"/>
              <w:bottom w:val="single" w:sz="4" w:space="0" w:color="auto"/>
              <w:right w:val="single" w:sz="8" w:space="0" w:color="auto"/>
            </w:tcBorders>
            <w:shd w:val="clear" w:color="auto" w:fill="auto"/>
            <w:noWrap/>
            <w:vAlign w:val="center"/>
          </w:tcPr>
          <w:p w:rsidR="00927E1F" w:rsidRPr="0074745D" w:rsidRDefault="00927E1F" w:rsidP="00927E1F">
            <w:pPr>
              <w:rPr>
                <w:sz w:val="16"/>
              </w:rPr>
            </w:pPr>
            <w:r w:rsidRPr="0074745D">
              <w:rPr>
                <w:sz w:val="16"/>
                <w:szCs w:val="16"/>
              </w:rPr>
              <w:t xml:space="preserve">Attribution du contrat à des experts pour la réalisation d’études en vue de la fourniture de conseils au Secrétariat sur la meilleure manière de procéder </w:t>
            </w: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74745D" w:rsidRDefault="00927E1F" w:rsidP="00927E1F">
            <w:pPr>
              <w:spacing w:before="40" w:after="40"/>
              <w:jc w:val="center"/>
              <w:rPr>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74745D" w:rsidRDefault="00927E1F" w:rsidP="00927E1F">
            <w:pPr>
              <w:spacing w:before="40" w:after="40"/>
              <w:jc w:val="center"/>
              <w:rPr>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74745D" w:rsidRDefault="00927E1F" w:rsidP="00927E1F">
            <w:pPr>
              <w:spacing w:before="40" w:after="40"/>
              <w:jc w:val="center"/>
              <w:rPr>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927E1F" w:rsidRPr="0074745D" w:rsidRDefault="00927E1F" w:rsidP="00927E1F">
            <w:pPr>
              <w:spacing w:before="40" w:after="40"/>
              <w:jc w:val="center"/>
              <w:rPr>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74745D" w:rsidRDefault="00927E1F" w:rsidP="00927E1F">
            <w:pPr>
              <w:spacing w:before="40" w:after="40"/>
              <w:jc w:val="center"/>
              <w:rPr>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74745D" w:rsidRDefault="00927E1F" w:rsidP="00927E1F">
            <w:pPr>
              <w:spacing w:before="40" w:after="40"/>
              <w:jc w:val="center"/>
              <w:rPr>
                <w:sz w:val="16"/>
                <w:szCs w:val="16"/>
              </w:rPr>
            </w:pPr>
          </w:p>
        </w:tc>
        <w:tc>
          <w:tcPr>
            <w:tcW w:w="480" w:type="dxa"/>
            <w:tcBorders>
              <w:top w:val="single" w:sz="4" w:space="0" w:color="auto"/>
              <w:left w:val="nil"/>
              <w:bottom w:val="single" w:sz="4" w:space="0" w:color="auto"/>
              <w:right w:val="single" w:sz="4" w:space="0" w:color="auto"/>
            </w:tcBorders>
            <w:shd w:val="clear" w:color="auto" w:fill="auto"/>
            <w:noWrap/>
            <w:vAlign w:val="center"/>
          </w:tcPr>
          <w:p w:rsidR="00927E1F" w:rsidRPr="0074745D" w:rsidRDefault="00927E1F" w:rsidP="00927E1F">
            <w:pPr>
              <w:spacing w:before="40" w:after="40"/>
              <w:jc w:val="center"/>
              <w:rPr>
                <w:sz w:val="16"/>
                <w:szCs w:val="16"/>
              </w:rPr>
            </w:pPr>
          </w:p>
        </w:tc>
        <w:tc>
          <w:tcPr>
            <w:tcW w:w="480" w:type="dxa"/>
            <w:tcBorders>
              <w:top w:val="single" w:sz="4" w:space="0" w:color="auto"/>
              <w:left w:val="nil"/>
              <w:bottom w:val="single" w:sz="4" w:space="0" w:color="auto"/>
              <w:right w:val="single" w:sz="8" w:space="0" w:color="auto"/>
            </w:tcBorders>
            <w:shd w:val="clear" w:color="auto" w:fill="auto"/>
            <w:noWrap/>
            <w:vAlign w:val="center"/>
          </w:tcPr>
          <w:p w:rsidR="00927E1F" w:rsidRPr="0074745D" w:rsidRDefault="00927E1F" w:rsidP="00927E1F">
            <w:pPr>
              <w:spacing w:before="40" w:after="40"/>
              <w:jc w:val="center"/>
              <w:rPr>
                <w:sz w:val="16"/>
                <w:szCs w:val="16"/>
              </w:rPr>
            </w:pPr>
          </w:p>
        </w:tc>
        <w:tc>
          <w:tcPr>
            <w:tcW w:w="480" w:type="dxa"/>
            <w:tcBorders>
              <w:top w:val="single" w:sz="4" w:space="0" w:color="auto"/>
              <w:left w:val="nil"/>
              <w:bottom w:val="single" w:sz="4" w:space="0" w:color="auto"/>
              <w:right w:val="single" w:sz="8" w:space="0" w:color="auto"/>
            </w:tcBorders>
            <w:vAlign w:val="center"/>
          </w:tcPr>
          <w:p w:rsidR="00927E1F" w:rsidRPr="0074745D" w:rsidRDefault="00927E1F" w:rsidP="00927E1F">
            <w:pPr>
              <w:spacing w:before="40" w:after="40"/>
              <w:jc w:val="center"/>
              <w:rPr>
                <w:sz w:val="16"/>
                <w:szCs w:val="16"/>
              </w:rPr>
            </w:pPr>
          </w:p>
        </w:tc>
        <w:tc>
          <w:tcPr>
            <w:tcW w:w="480" w:type="dxa"/>
            <w:tcBorders>
              <w:top w:val="single" w:sz="4" w:space="0" w:color="auto"/>
              <w:left w:val="nil"/>
              <w:bottom w:val="single" w:sz="4" w:space="0" w:color="auto"/>
              <w:right w:val="single" w:sz="8" w:space="0" w:color="auto"/>
            </w:tcBorders>
            <w:vAlign w:val="center"/>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single" w:sz="4" w:space="0" w:color="auto"/>
              <w:left w:val="nil"/>
              <w:bottom w:val="single" w:sz="4" w:space="0" w:color="auto"/>
              <w:right w:val="single" w:sz="8" w:space="0" w:color="auto"/>
            </w:tcBorders>
            <w:vAlign w:val="center"/>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single" w:sz="4" w:space="0" w:color="auto"/>
              <w:left w:val="nil"/>
              <w:bottom w:val="single" w:sz="4" w:space="0" w:color="auto"/>
              <w:right w:val="single" w:sz="8" w:space="0" w:color="auto"/>
            </w:tcBorders>
            <w:vAlign w:val="center"/>
          </w:tcPr>
          <w:p w:rsidR="00927E1F" w:rsidRPr="0074745D" w:rsidRDefault="00927E1F" w:rsidP="00927E1F">
            <w:pPr>
              <w:spacing w:before="40" w:after="40"/>
              <w:jc w:val="center"/>
              <w:rPr>
                <w:sz w:val="16"/>
                <w:szCs w:val="16"/>
              </w:rPr>
            </w:pPr>
          </w:p>
        </w:tc>
      </w:tr>
    </w:tbl>
    <w:p w:rsidR="00927E1F" w:rsidRPr="0074745D" w:rsidRDefault="00927E1F" w:rsidP="00927E1F">
      <w:pPr>
        <w:autoSpaceDE w:val="0"/>
        <w:autoSpaceDN w:val="0"/>
        <w:jc w:val="both"/>
      </w:pPr>
    </w:p>
    <w:p w:rsidR="00927E1F" w:rsidRPr="0074745D" w:rsidRDefault="00927E1F" w:rsidP="00927E1F"/>
    <w:p w:rsidR="00927E1F" w:rsidRPr="0074745D" w:rsidRDefault="00927E1F" w:rsidP="00927E1F">
      <w:pPr>
        <w:rPr>
          <w:b/>
          <w:sz w:val="22"/>
        </w:rPr>
      </w:pPr>
      <w:r w:rsidRPr="0074745D">
        <w:br w:type="page"/>
      </w:r>
      <w:r w:rsidRPr="0074745D">
        <w:rPr>
          <w:b/>
          <w:sz w:val="22"/>
        </w:rPr>
        <w:lastRenderedPageBreak/>
        <w:t>PROJETS LIÉS À LA SÉCURITÉ</w:t>
      </w:r>
    </w:p>
    <w:p w:rsidR="00927E1F" w:rsidRPr="0074745D" w:rsidRDefault="00927E1F" w:rsidP="00927E1F">
      <w:pPr>
        <w:rPr>
          <w:b/>
          <w:i/>
        </w:rPr>
      </w:pPr>
      <w:bookmarkStart w:id="202" w:name="_Toc422210529"/>
    </w:p>
    <w:p w:rsidR="00927E1F" w:rsidRPr="0074745D" w:rsidRDefault="00927E1F" w:rsidP="00783605">
      <w:pPr>
        <w:pStyle w:val="Heading8"/>
      </w:pPr>
      <w:bookmarkStart w:id="203" w:name="_Toc423352914"/>
      <w:bookmarkStart w:id="204" w:name="_Toc455394227"/>
      <w:r w:rsidRPr="0074745D">
        <w:t>PROJET</w:t>
      </w:r>
      <w:r>
        <w:t> </w:t>
      </w:r>
      <w:r w:rsidRPr="0074745D">
        <w:t>7</w:t>
      </w:r>
      <w:r w:rsidRPr="0074745D">
        <w:tab/>
        <w:t>MESURES DE SÉCURITÉ ET DE PROTECTION ANTI</w:t>
      </w:r>
      <w:r w:rsidRPr="0074745D">
        <w:noBreakHyphen/>
        <w:t>INCENDIE</w:t>
      </w:r>
      <w:bookmarkEnd w:id="202"/>
      <w:bookmarkEnd w:id="203"/>
      <w:bookmarkEnd w:id="204"/>
    </w:p>
    <w:p w:rsidR="00927E1F" w:rsidRPr="0074745D" w:rsidRDefault="00927E1F" w:rsidP="00927E1F">
      <w:pPr>
        <w:rPr>
          <w:b/>
          <w:sz w:val="22"/>
        </w:rPr>
      </w:pPr>
    </w:p>
    <w:p w:rsidR="00927E1F" w:rsidRPr="0074745D" w:rsidRDefault="00927E1F" w:rsidP="00927E1F">
      <w:pPr>
        <w:rPr>
          <w:b/>
        </w:rPr>
      </w:pPr>
      <w:r w:rsidRPr="0074745D">
        <w:rPr>
          <w:b/>
        </w:rPr>
        <w:t xml:space="preserve">Chef de projet </w:t>
      </w:r>
      <w:r w:rsidRPr="0074745D">
        <w:rPr>
          <w:b/>
        </w:rPr>
        <w:tab/>
        <w:t>M. M. </w:t>
      </w:r>
      <w:proofErr w:type="spellStart"/>
      <w:r w:rsidRPr="0074745D">
        <w:rPr>
          <w:b/>
        </w:rPr>
        <w:t>Gibb</w:t>
      </w:r>
      <w:proofErr w:type="spellEnd"/>
    </w:p>
    <w:p w:rsidR="00927E1F" w:rsidRPr="0074745D" w:rsidRDefault="00927E1F" w:rsidP="00927E1F"/>
    <w:p w:rsidR="00927E1F" w:rsidRPr="0074745D" w:rsidRDefault="00927E1F" w:rsidP="00927E1F">
      <w:pPr>
        <w:rPr>
          <w:bCs/>
        </w:rPr>
      </w:pPr>
    </w:p>
    <w:p w:rsidR="00927E1F" w:rsidRPr="0074745D" w:rsidRDefault="00927E1F" w:rsidP="00927E1F">
      <w:pPr>
        <w:rPr>
          <w:bCs/>
        </w:rPr>
      </w:pPr>
      <w:r w:rsidRPr="0074745D">
        <w:t>RÉSULTATS ESCOMPTÉS</w:t>
      </w:r>
    </w:p>
    <w:p w:rsidR="00927E1F" w:rsidRPr="0074745D" w:rsidRDefault="00927E1F" w:rsidP="00927E1F">
      <w:pPr>
        <w:rPr>
          <w:bCs/>
        </w:rPr>
      </w:pPr>
    </w:p>
    <w:p w:rsidR="00927E1F" w:rsidRPr="0074745D" w:rsidRDefault="00927E1F" w:rsidP="00927E1F">
      <w:pPr>
        <w:rPr>
          <w:bCs/>
          <w:i/>
        </w:rPr>
      </w:pPr>
      <w:r w:rsidRPr="0074745D">
        <w:rPr>
          <w:i/>
        </w:rPr>
        <w:t>IX.4 Une Organisation écologiquement et socialement responsable assurant la sûreté et la sécurité du personnel, des délégués, des visiteurs, de l’information et des biens</w:t>
      </w:r>
    </w:p>
    <w:p w:rsidR="00927E1F" w:rsidRPr="0074745D" w:rsidRDefault="00927E1F" w:rsidP="00927E1F">
      <w:pPr>
        <w:rPr>
          <w:bCs/>
        </w:rPr>
      </w:pPr>
    </w:p>
    <w:p w:rsidR="00927E1F" w:rsidRPr="0074745D" w:rsidRDefault="00927E1F" w:rsidP="00927E1F">
      <w:pPr>
        <w:rPr>
          <w:bCs/>
        </w:rPr>
      </w:pPr>
    </w:p>
    <w:p w:rsidR="00927E1F" w:rsidRPr="0074745D" w:rsidRDefault="00927E1F" w:rsidP="00927E1F">
      <w:pPr>
        <w:rPr>
          <w:bCs/>
        </w:rPr>
      </w:pPr>
      <w:r w:rsidRPr="0074745D">
        <w:t>OBJECTIFS, PORTÉE ET APPROCHE – GÉNÉRALITÉS</w:t>
      </w:r>
    </w:p>
    <w:p w:rsidR="00927E1F" w:rsidRPr="0074745D" w:rsidRDefault="00927E1F" w:rsidP="00927E1F">
      <w:pPr>
        <w:rPr>
          <w:bCs/>
        </w:rPr>
      </w:pPr>
    </w:p>
    <w:p w:rsidR="00927E1F" w:rsidRPr="0074745D" w:rsidRDefault="00927E1F" w:rsidP="00DF2EEF">
      <w:pPr>
        <w:pStyle w:val="ListParagraph"/>
        <w:numPr>
          <w:ilvl w:val="0"/>
          <w:numId w:val="126"/>
        </w:numPr>
        <w:tabs>
          <w:tab w:val="left" w:pos="567"/>
        </w:tabs>
        <w:ind w:left="0" w:firstLine="0"/>
        <w:jc w:val="both"/>
      </w:pPr>
      <w:r w:rsidRPr="0074745D">
        <w:t>Sur la base d’un audit de la sûreté et de la sécurité effectué par une agence spécialisée à la demande du Secrétariat, plusieurs recommandations relatives aux mesures de sécurité et de protection anti</w:t>
      </w:r>
      <w:r w:rsidRPr="0074745D">
        <w:noBreakHyphen/>
        <w:t>incendie doivent être mises en œuvre dans les bâtiments les plus anciens de l’OMPI afin de les adapter aux nouvelles normes (à noter que le nouveau bâtiment et la nouvelle salle de conférence de l’OMPI sont exclus de ce projet car ils satisfont déjà aux nouveaux critères).  Les mesures de sécurité et de protection anti</w:t>
      </w:r>
      <w:r w:rsidRPr="0074745D">
        <w:noBreakHyphen/>
        <w:t>incendie à mettre en œuvre dans les bâtiments anciens de l’OMPI consistent : i) à compartimenter les bâtiments entre eux;  et ii) à compartimenter également des zones particulières à l’intérieur d’un bâtiment (cloisons coupe</w:t>
      </w:r>
      <w:r w:rsidRPr="0074745D">
        <w:noBreakHyphen/>
        <w:t>feu).  Le but de cette double compartimentation est de mieux isoler un bâtiment ou un secteur donné d’un bâtiment de manière à stopper la propagation des flammes ou de la fumée.  Le cloisonnement des bâtiments s’effectuera au moyen de la construction d’éléments d’infrastructures ou de portes en sus ou en remplacement des portes existantes et, dans certains cas, de nouvelles portes seront installées dans les couloirs ou voies de passage existants.</w:t>
      </w:r>
    </w:p>
    <w:p w:rsidR="00927E1F" w:rsidRPr="0074745D" w:rsidRDefault="00927E1F" w:rsidP="00927E1F">
      <w:pPr>
        <w:tabs>
          <w:tab w:val="left" w:pos="567"/>
        </w:tabs>
      </w:pPr>
    </w:p>
    <w:p w:rsidR="00927E1F" w:rsidRPr="0074745D" w:rsidRDefault="00927E1F" w:rsidP="00DF2EEF">
      <w:pPr>
        <w:pStyle w:val="ListParagraph"/>
        <w:numPr>
          <w:ilvl w:val="0"/>
          <w:numId w:val="126"/>
        </w:numPr>
        <w:tabs>
          <w:tab w:val="left" w:pos="567"/>
        </w:tabs>
        <w:ind w:left="0" w:firstLine="0"/>
      </w:pPr>
      <w:r w:rsidRPr="0074745D">
        <w:t>La mise en œuvre du projet devrait entraîner :</w:t>
      </w:r>
    </w:p>
    <w:p w:rsidR="00927E1F" w:rsidRPr="0074745D" w:rsidRDefault="00927E1F" w:rsidP="00927E1F">
      <w:pPr>
        <w:pStyle w:val="ListParagraph"/>
        <w:numPr>
          <w:ilvl w:val="0"/>
          <w:numId w:val="0"/>
        </w:numPr>
        <w:tabs>
          <w:tab w:val="left" w:pos="567"/>
        </w:tabs>
      </w:pPr>
    </w:p>
    <w:p w:rsidR="00927E1F" w:rsidRPr="0074745D" w:rsidRDefault="00927E1F" w:rsidP="00DF2EEF">
      <w:pPr>
        <w:pStyle w:val="ListParagraph"/>
        <w:numPr>
          <w:ilvl w:val="0"/>
          <w:numId w:val="118"/>
        </w:numPr>
        <w:spacing w:after="120"/>
        <w:ind w:left="1134" w:hanging="567"/>
        <w:jc w:val="both"/>
      </w:pPr>
      <w:r w:rsidRPr="0074745D">
        <w:t>des économies en matière de : i) dommages causés aux locaux ou aux actifs internes grâce à la prévention et à la limitation des incidents éventuels;  et ii) réparations, remplacement et nettoyage;</w:t>
      </w:r>
    </w:p>
    <w:p w:rsidR="00927E1F" w:rsidRPr="0074745D" w:rsidRDefault="00927E1F" w:rsidP="00DF2EEF">
      <w:pPr>
        <w:pStyle w:val="ListParagraph"/>
        <w:numPr>
          <w:ilvl w:val="0"/>
          <w:numId w:val="118"/>
        </w:numPr>
        <w:spacing w:after="120"/>
        <w:ind w:left="1134" w:hanging="567"/>
        <w:jc w:val="both"/>
        <w:rPr>
          <w:bCs/>
        </w:rPr>
      </w:pPr>
      <w:r w:rsidRPr="0074745D">
        <w:t>l’amélioration de la protection des données relatives au dépôt des demandes selon les différents systèmes d’enregistrement;</w:t>
      </w:r>
    </w:p>
    <w:p w:rsidR="00927E1F" w:rsidRPr="0074745D" w:rsidRDefault="00927E1F" w:rsidP="00DF2EEF">
      <w:pPr>
        <w:pStyle w:val="ListParagraph"/>
        <w:numPr>
          <w:ilvl w:val="0"/>
          <w:numId w:val="118"/>
        </w:numPr>
        <w:spacing w:after="120"/>
        <w:ind w:left="1134" w:hanging="567"/>
        <w:jc w:val="both"/>
      </w:pPr>
      <w:r w:rsidRPr="0074745D">
        <w:t>la création d’un environnement de travail plus sûr, par exemple en cas d’incident, le renforcement de la sécurité et des mesures de protection du personnel et des autres personnes travaillant dans les bâtiments, et l’amélioration des procédures d’évacuation;</w:t>
      </w:r>
    </w:p>
    <w:p w:rsidR="00927E1F" w:rsidRPr="0074745D" w:rsidRDefault="00927E1F" w:rsidP="00DF2EEF">
      <w:pPr>
        <w:pStyle w:val="ListParagraph"/>
        <w:numPr>
          <w:ilvl w:val="0"/>
          <w:numId w:val="118"/>
        </w:numPr>
        <w:ind w:left="1134" w:hanging="567"/>
        <w:jc w:val="both"/>
        <w:rPr>
          <w:bCs/>
        </w:rPr>
      </w:pPr>
      <w:r w:rsidRPr="0074745D">
        <w:t>une meilleure protection et la séparation physique des installations critiques à l’intérieur des bâtiments;</w:t>
      </w:r>
    </w:p>
    <w:p w:rsidR="00927E1F" w:rsidRPr="0074745D" w:rsidRDefault="00927E1F" w:rsidP="00927E1F">
      <w:pPr>
        <w:jc w:val="both"/>
        <w:rPr>
          <w:bCs/>
        </w:rPr>
      </w:pPr>
    </w:p>
    <w:p w:rsidR="00927E1F" w:rsidRPr="0074745D" w:rsidRDefault="00927E1F" w:rsidP="00DF2EEF">
      <w:pPr>
        <w:pStyle w:val="ListParagraph"/>
        <w:numPr>
          <w:ilvl w:val="0"/>
          <w:numId w:val="129"/>
        </w:numPr>
        <w:autoSpaceDE w:val="0"/>
        <w:autoSpaceDN w:val="0"/>
        <w:adjustRightInd w:val="0"/>
        <w:spacing w:after="120"/>
        <w:ind w:left="1134" w:hanging="567"/>
        <w:rPr>
          <w:bCs/>
        </w:rPr>
      </w:pPr>
      <w:r w:rsidRPr="0074745D">
        <w:rPr>
          <w:bCs/>
        </w:rPr>
        <w:t>le respect des normes de sécurité du canton de Genève en matière d’incendie;  et</w:t>
      </w:r>
    </w:p>
    <w:p w:rsidR="00927E1F" w:rsidRPr="0074745D" w:rsidRDefault="00927E1F" w:rsidP="00DF2EEF">
      <w:pPr>
        <w:pStyle w:val="ListParagraph"/>
        <w:numPr>
          <w:ilvl w:val="0"/>
          <w:numId w:val="129"/>
        </w:numPr>
        <w:autoSpaceDE w:val="0"/>
        <w:autoSpaceDN w:val="0"/>
        <w:adjustRightInd w:val="0"/>
        <w:spacing w:after="120"/>
        <w:ind w:left="1134" w:hanging="567"/>
        <w:rPr>
          <w:bCs/>
        </w:rPr>
      </w:pPr>
      <w:r w:rsidRPr="0074745D">
        <w:rPr>
          <w:bCs/>
        </w:rPr>
        <w:t>l’alignement sur la politique de sécurité incendie de l’ONU.</w:t>
      </w:r>
    </w:p>
    <w:p w:rsidR="00927E1F" w:rsidRPr="0074745D" w:rsidRDefault="00927E1F" w:rsidP="00927E1F">
      <w:pPr>
        <w:jc w:val="both"/>
        <w:rPr>
          <w:bCs/>
        </w:rPr>
      </w:pPr>
    </w:p>
    <w:p w:rsidR="00927E1F" w:rsidRPr="0074745D" w:rsidRDefault="00927E1F" w:rsidP="00927E1F">
      <w:pPr>
        <w:jc w:val="both"/>
        <w:rPr>
          <w:bCs/>
        </w:rPr>
      </w:pPr>
    </w:p>
    <w:p w:rsidR="00927E1F" w:rsidRPr="0074745D" w:rsidRDefault="00927E1F" w:rsidP="00927E1F">
      <w:pPr>
        <w:rPr>
          <w:bCs/>
        </w:rPr>
      </w:pPr>
      <w:r w:rsidRPr="0074745D">
        <w:t>APERÇU DES PROGRÈS RÉALISÉS EN 2015 (PRINCIPALES ÉTAPES)</w:t>
      </w:r>
    </w:p>
    <w:p w:rsidR="00927E1F" w:rsidRPr="0074745D" w:rsidRDefault="00927E1F" w:rsidP="00927E1F">
      <w:pPr>
        <w:jc w:val="both"/>
        <w:rPr>
          <w:bCs/>
        </w:rPr>
      </w:pPr>
    </w:p>
    <w:p w:rsidR="00927E1F" w:rsidRPr="0074745D" w:rsidRDefault="00927E1F" w:rsidP="00DF2EEF">
      <w:pPr>
        <w:pStyle w:val="ListParagraph"/>
        <w:numPr>
          <w:ilvl w:val="0"/>
          <w:numId w:val="126"/>
        </w:numPr>
        <w:tabs>
          <w:tab w:val="left" w:pos="567"/>
        </w:tabs>
        <w:ind w:left="0" w:firstLine="0"/>
        <w:rPr>
          <w:bCs/>
        </w:rPr>
      </w:pPr>
      <w:r w:rsidRPr="0074745D">
        <w:t>La compartimentation du bâtiment du PCT a été menée et terminée en 2014 et a inclus une étude de faisabilité et l’installation et le raccordement de portes coupe</w:t>
      </w:r>
      <w:r w:rsidRPr="0074745D">
        <w:noBreakHyphen/>
        <w:t>feu.  E</w:t>
      </w:r>
      <w:r w:rsidRPr="0074745D">
        <w:rPr>
          <w:bCs/>
        </w:rPr>
        <w:t>n</w:t>
      </w:r>
      <w:r w:rsidRPr="0074745D">
        <w:t> </w:t>
      </w:r>
      <w:r w:rsidRPr="0074745D">
        <w:rPr>
          <w:bCs/>
        </w:rPr>
        <w:t>2015, les travaux effectués dans le bâtiment AB (au niveau</w:t>
      </w:r>
      <w:r>
        <w:rPr>
          <w:bCs/>
        </w:rPr>
        <w:t> </w:t>
      </w:r>
      <w:r w:rsidRPr="0074745D">
        <w:rPr>
          <w:bCs/>
          <w:szCs w:val="22"/>
        </w:rPr>
        <w:noBreakHyphen/>
        <w:t>2) pour établir une protection anti</w:t>
      </w:r>
      <w:r w:rsidRPr="0074745D">
        <w:rPr>
          <w:bCs/>
          <w:color w:val="000000"/>
          <w:szCs w:val="22"/>
        </w:rPr>
        <w:noBreakHyphen/>
        <w:t>incendie</w:t>
      </w:r>
      <w:r w:rsidRPr="0074745D">
        <w:rPr>
          <w:bCs/>
          <w:szCs w:val="22"/>
        </w:rPr>
        <w:t xml:space="preserve"> entre le parking souterrain du bâtiment AB et le bâtiment lui</w:t>
      </w:r>
      <w:r w:rsidRPr="0074745D">
        <w:rPr>
          <w:bCs/>
          <w:color w:val="000000"/>
          <w:szCs w:val="22"/>
        </w:rPr>
        <w:noBreakHyphen/>
      </w:r>
      <w:r w:rsidRPr="0074745D">
        <w:rPr>
          <w:bCs/>
          <w:szCs w:val="22"/>
        </w:rPr>
        <w:t>même, commencés en 2014, ont été terminés et l’équipement anti</w:t>
      </w:r>
      <w:r w:rsidRPr="0074745D">
        <w:rPr>
          <w:bCs/>
          <w:color w:val="000000"/>
          <w:szCs w:val="22"/>
        </w:rPr>
        <w:noBreakHyphen/>
        <w:t>incendie</w:t>
      </w:r>
      <w:r w:rsidRPr="0074745D">
        <w:rPr>
          <w:bCs/>
          <w:szCs w:val="22"/>
        </w:rPr>
        <w:t xml:space="preserve"> est devenu pleinement opérationnel.  Le coût d’achèvement des travaux a été plus important que ce qui était initialement inscrit au budget et sera couvert par les économies réalisées au titre du projet de compartimentation des bâtiments </w:t>
      </w:r>
      <w:r w:rsidRPr="0074745D">
        <w:rPr>
          <w:bCs/>
        </w:rPr>
        <w:t>GBI et AB (voir ci</w:t>
      </w:r>
      <w:r w:rsidRPr="0074745D">
        <w:rPr>
          <w:bCs/>
          <w:szCs w:val="22"/>
        </w:rPr>
        <w:noBreakHyphen/>
        <w:t>dessous</w:t>
      </w:r>
      <w:r w:rsidRPr="0074745D">
        <w:rPr>
          <w:bCs/>
        </w:rPr>
        <w:t>).</w:t>
      </w:r>
    </w:p>
    <w:p w:rsidR="00927E1F" w:rsidRPr="0074745D" w:rsidRDefault="00927E1F" w:rsidP="00927E1F">
      <w:pPr>
        <w:rPr>
          <w:bCs/>
        </w:rPr>
      </w:pPr>
    </w:p>
    <w:p w:rsidR="00927E1F" w:rsidRPr="0074745D" w:rsidRDefault="00927E1F" w:rsidP="00DF2EEF">
      <w:pPr>
        <w:pStyle w:val="ListParagraph"/>
        <w:numPr>
          <w:ilvl w:val="0"/>
          <w:numId w:val="126"/>
        </w:numPr>
        <w:tabs>
          <w:tab w:val="left" w:pos="567"/>
        </w:tabs>
        <w:ind w:left="0" w:firstLine="0"/>
      </w:pPr>
      <w:r w:rsidRPr="0074745D">
        <w:t>Au cours du deuxième semestre de 2015, dans le cadre du projet de compartimentation des bâtiments GBI et AB, le Secrétariat a mené une étude et établi un mandat pour trois autres portes coupe</w:t>
      </w:r>
      <w:r w:rsidRPr="0074745D">
        <w:noBreakHyphen/>
        <w:t xml:space="preserve">feu à installer entre les bâtiments AB et GBI (niveau </w:t>
      </w:r>
      <w:r w:rsidRPr="0074745D">
        <w:noBreakHyphen/>
        <w:t>1, rez</w:t>
      </w:r>
      <w:r>
        <w:t>-de-</w:t>
      </w:r>
      <w:r w:rsidRPr="0074745D">
        <w:t xml:space="preserve">chaussée et premier étage) en 2016.  Cela a pris plus de temps qu’escompté en raison du départ imprévu du consultant initialement </w:t>
      </w:r>
      <w:r w:rsidRPr="0074745D">
        <w:lastRenderedPageBreak/>
        <w:t>chargé de réaliser l’étude, entraînant un retard de six mois.  Le calendrier du projet a été modifié en conséquence.</w:t>
      </w:r>
    </w:p>
    <w:p w:rsidR="00927E1F" w:rsidRPr="0074745D" w:rsidRDefault="00927E1F" w:rsidP="00927E1F"/>
    <w:p w:rsidR="00927E1F" w:rsidRPr="0074745D" w:rsidRDefault="00927E1F" w:rsidP="00DF2EEF">
      <w:pPr>
        <w:pStyle w:val="ListParagraph"/>
        <w:numPr>
          <w:ilvl w:val="0"/>
          <w:numId w:val="126"/>
        </w:numPr>
        <w:tabs>
          <w:tab w:val="left" w:pos="567"/>
        </w:tabs>
        <w:ind w:left="0" w:firstLine="0"/>
        <w:rPr>
          <w:bCs/>
        </w:rPr>
      </w:pPr>
      <w:r w:rsidRPr="0074745D">
        <w:rPr>
          <w:bCs/>
        </w:rPr>
        <w:t>À la fin de 2015, le renf</w:t>
      </w:r>
      <w:r>
        <w:rPr>
          <w:bCs/>
        </w:rPr>
        <w:t>o</w:t>
      </w:r>
      <w:r w:rsidRPr="0074745D">
        <w:rPr>
          <w:bCs/>
        </w:rPr>
        <w:t>rcement de la coordination et de la planification était en cours pour faire en sorte que le projet soit mené à bien dans les délais et dans les limites du budget.</w:t>
      </w:r>
    </w:p>
    <w:p w:rsidR="00927E1F" w:rsidRPr="0074745D" w:rsidRDefault="00927E1F" w:rsidP="00927E1F">
      <w:pPr>
        <w:rPr>
          <w:bCs/>
        </w:rPr>
      </w:pPr>
    </w:p>
    <w:p w:rsidR="00927E1F" w:rsidRPr="0074745D" w:rsidRDefault="00927E1F" w:rsidP="00927E1F">
      <w:pPr>
        <w:rPr>
          <w:bCs/>
        </w:rPr>
      </w:pPr>
    </w:p>
    <w:p w:rsidR="00927E1F" w:rsidRPr="0074745D" w:rsidRDefault="00927E1F" w:rsidP="00927E1F">
      <w:pPr>
        <w:rPr>
          <w:bCs/>
        </w:rPr>
      </w:pPr>
      <w:r w:rsidRPr="0074745D">
        <w:t>CONCRÉTISATION DES AVANTAGES</w:t>
      </w:r>
    </w:p>
    <w:p w:rsidR="00927E1F" w:rsidRPr="0074745D" w:rsidRDefault="00927E1F" w:rsidP="00927E1F"/>
    <w:tbl>
      <w:tblPr>
        <w:tblW w:w="4892" w:type="pct"/>
        <w:jc w:val="center"/>
        <w:tblInd w:w="-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02"/>
        <w:gridCol w:w="1833"/>
        <w:gridCol w:w="2249"/>
        <w:gridCol w:w="2980"/>
      </w:tblGrid>
      <w:tr w:rsidR="00927E1F" w:rsidRPr="0074745D" w:rsidTr="00927E1F">
        <w:trPr>
          <w:trHeight w:val="209"/>
          <w:tblHeader/>
          <w:jc w:val="center"/>
        </w:trPr>
        <w:tc>
          <w:tcPr>
            <w:tcW w:w="1229" w:type="pct"/>
            <w:tcBorders>
              <w:bottom w:val="single" w:sz="4" w:space="0" w:color="auto"/>
            </w:tcBorders>
            <w:shd w:val="clear" w:color="auto" w:fill="C6D9F1" w:themeFill="text2" w:themeFillTint="33"/>
            <w:tcMar>
              <w:top w:w="113" w:type="dxa"/>
              <w:bottom w:w="113" w:type="dxa"/>
            </w:tcMar>
            <w:vAlign w:val="center"/>
          </w:tcPr>
          <w:p w:rsidR="00927E1F" w:rsidRPr="0074745D" w:rsidRDefault="00927E1F" w:rsidP="00927E1F">
            <w:pPr>
              <w:spacing w:before="40" w:after="40"/>
              <w:jc w:val="center"/>
              <w:rPr>
                <w:b/>
                <w:bCs/>
                <w:sz w:val="16"/>
                <w:szCs w:val="16"/>
              </w:rPr>
            </w:pPr>
            <w:r w:rsidRPr="0074745D">
              <w:rPr>
                <w:b/>
                <w:bCs/>
                <w:sz w:val="16"/>
                <w:szCs w:val="16"/>
              </w:rPr>
              <w:t>Avantages offerts en 2014</w:t>
            </w:r>
          </w:p>
        </w:tc>
        <w:tc>
          <w:tcPr>
            <w:tcW w:w="979" w:type="pct"/>
            <w:tcBorders>
              <w:bottom w:val="single" w:sz="4" w:space="0" w:color="auto"/>
            </w:tcBorders>
            <w:shd w:val="clear" w:color="auto" w:fill="C6D9F1" w:themeFill="text2" w:themeFillTint="33"/>
            <w:vAlign w:val="center"/>
          </w:tcPr>
          <w:p w:rsidR="00927E1F" w:rsidRPr="0074745D" w:rsidRDefault="00927E1F" w:rsidP="00927E1F">
            <w:pPr>
              <w:spacing w:before="40" w:after="40"/>
              <w:jc w:val="center"/>
              <w:rPr>
                <w:b/>
                <w:bCs/>
                <w:sz w:val="16"/>
                <w:szCs w:val="16"/>
              </w:rPr>
            </w:pPr>
            <w:r w:rsidRPr="0074745D">
              <w:rPr>
                <w:b/>
                <w:bCs/>
                <w:sz w:val="16"/>
                <w:szCs w:val="16"/>
              </w:rPr>
              <w:t>Avantages offerts en 2015</w:t>
            </w:r>
          </w:p>
        </w:tc>
        <w:tc>
          <w:tcPr>
            <w:tcW w:w="1201" w:type="pct"/>
            <w:shd w:val="clear" w:color="auto" w:fill="C6D9F1" w:themeFill="text2" w:themeFillTint="33"/>
            <w:vAlign w:val="center"/>
          </w:tcPr>
          <w:p w:rsidR="00927E1F" w:rsidRPr="0074745D" w:rsidRDefault="00927E1F" w:rsidP="00927E1F">
            <w:pPr>
              <w:spacing w:before="40" w:after="40"/>
              <w:jc w:val="center"/>
              <w:rPr>
                <w:b/>
                <w:bCs/>
                <w:sz w:val="16"/>
                <w:szCs w:val="16"/>
              </w:rPr>
            </w:pPr>
            <w:r w:rsidRPr="0074745D">
              <w:rPr>
                <w:b/>
                <w:bCs/>
                <w:sz w:val="16"/>
                <w:szCs w:val="16"/>
              </w:rPr>
              <w:t>Avantages escomptés en 2016</w:t>
            </w:r>
          </w:p>
        </w:tc>
        <w:tc>
          <w:tcPr>
            <w:tcW w:w="1591" w:type="pct"/>
            <w:shd w:val="clear" w:color="auto" w:fill="C6D9F1" w:themeFill="text2" w:themeFillTint="33"/>
            <w:vAlign w:val="center"/>
          </w:tcPr>
          <w:p w:rsidR="00927E1F" w:rsidRPr="0074745D" w:rsidRDefault="00927E1F" w:rsidP="00927E1F">
            <w:pPr>
              <w:spacing w:before="40" w:after="40"/>
              <w:jc w:val="center"/>
              <w:rPr>
                <w:b/>
                <w:bCs/>
                <w:sz w:val="16"/>
                <w:szCs w:val="16"/>
              </w:rPr>
            </w:pPr>
            <w:r w:rsidRPr="0074745D">
              <w:rPr>
                <w:b/>
                <w:bCs/>
                <w:sz w:val="16"/>
                <w:szCs w:val="16"/>
              </w:rPr>
              <w:t>Avantages escomptés en 2017</w:t>
            </w:r>
          </w:p>
        </w:tc>
      </w:tr>
      <w:tr w:rsidR="00927E1F" w:rsidRPr="0074745D" w:rsidTr="00927E1F">
        <w:trPr>
          <w:trHeight w:val="935"/>
          <w:jc w:val="center"/>
        </w:trPr>
        <w:tc>
          <w:tcPr>
            <w:tcW w:w="1229" w:type="pct"/>
            <w:tcBorders>
              <w:top w:val="single" w:sz="4" w:space="0" w:color="auto"/>
              <w:bottom w:val="single" w:sz="4" w:space="0" w:color="auto"/>
            </w:tcBorders>
            <w:shd w:val="clear" w:color="auto" w:fill="auto"/>
            <w:tcMar>
              <w:top w:w="113" w:type="dxa"/>
              <w:bottom w:w="113" w:type="dxa"/>
            </w:tcMar>
          </w:tcPr>
          <w:p w:rsidR="00927E1F" w:rsidRPr="0074745D" w:rsidRDefault="00927E1F" w:rsidP="00927E1F">
            <w:pPr>
              <w:spacing w:before="40" w:after="40"/>
              <w:rPr>
                <w:bCs/>
                <w:sz w:val="16"/>
                <w:szCs w:val="16"/>
              </w:rPr>
            </w:pPr>
            <w:r w:rsidRPr="0074745D">
              <w:rPr>
                <w:bCs/>
                <w:sz w:val="16"/>
                <w:szCs w:val="16"/>
              </w:rPr>
              <w:t>Renforcement des mesures de sécurité et de sûreté pour la protection du personnel après l’achèvement de la compartimentation du bâtiment du PCT.</w:t>
            </w:r>
          </w:p>
        </w:tc>
        <w:tc>
          <w:tcPr>
            <w:tcW w:w="979" w:type="pct"/>
            <w:tcBorders>
              <w:top w:val="single" w:sz="4" w:space="0" w:color="auto"/>
              <w:bottom w:val="single" w:sz="4" w:space="0" w:color="auto"/>
            </w:tcBorders>
          </w:tcPr>
          <w:p w:rsidR="00927E1F" w:rsidRPr="0074745D" w:rsidRDefault="00927E1F" w:rsidP="00927E1F">
            <w:pPr>
              <w:spacing w:before="40" w:after="40"/>
              <w:rPr>
                <w:bCs/>
                <w:sz w:val="16"/>
                <w:szCs w:val="16"/>
              </w:rPr>
            </w:pPr>
            <w:r w:rsidRPr="0074745D">
              <w:rPr>
                <w:bCs/>
                <w:sz w:val="16"/>
                <w:szCs w:val="16"/>
              </w:rPr>
              <w:t>Maintien du niveau de sûreté et de sécurité dans le bâtiment du PCT.</w:t>
            </w:r>
          </w:p>
        </w:tc>
        <w:tc>
          <w:tcPr>
            <w:tcW w:w="1201" w:type="pct"/>
            <w:shd w:val="clear" w:color="auto" w:fill="auto"/>
          </w:tcPr>
          <w:p w:rsidR="00927E1F" w:rsidRPr="0074745D" w:rsidRDefault="00927E1F" w:rsidP="00927E1F">
            <w:pPr>
              <w:spacing w:before="40" w:after="40"/>
              <w:rPr>
                <w:b/>
                <w:bCs/>
                <w:i/>
                <w:iCs/>
                <w:sz w:val="16"/>
                <w:szCs w:val="16"/>
              </w:rPr>
            </w:pPr>
            <w:r w:rsidRPr="0074745D">
              <w:rPr>
                <w:bCs/>
                <w:sz w:val="16"/>
                <w:szCs w:val="16"/>
              </w:rPr>
              <w:t>Maintien du niveau de sûreté et de sécurité dans le bâtiment du PCT.</w:t>
            </w:r>
          </w:p>
        </w:tc>
        <w:tc>
          <w:tcPr>
            <w:tcW w:w="1591" w:type="pct"/>
          </w:tcPr>
          <w:p w:rsidR="00927E1F" w:rsidRPr="0074745D" w:rsidRDefault="00927E1F" w:rsidP="00927E1F">
            <w:pPr>
              <w:spacing w:before="40" w:after="40"/>
              <w:rPr>
                <w:b/>
                <w:bCs/>
                <w:i/>
                <w:iCs/>
                <w:sz w:val="16"/>
                <w:szCs w:val="16"/>
              </w:rPr>
            </w:pPr>
            <w:r w:rsidRPr="0074745D">
              <w:rPr>
                <w:bCs/>
                <w:sz w:val="16"/>
                <w:szCs w:val="16"/>
              </w:rPr>
              <w:t>Maintien du niveau de sûreté et de sécurité dans le bâtiment du PCT</w:t>
            </w:r>
            <w:r w:rsidRPr="0074745D">
              <w:rPr>
                <w:sz w:val="16"/>
                <w:szCs w:val="16"/>
              </w:rPr>
              <w:t>.</w:t>
            </w:r>
          </w:p>
        </w:tc>
      </w:tr>
      <w:tr w:rsidR="00927E1F" w:rsidRPr="0074745D" w:rsidTr="00927E1F">
        <w:trPr>
          <w:trHeight w:val="955"/>
          <w:jc w:val="center"/>
        </w:trPr>
        <w:tc>
          <w:tcPr>
            <w:tcW w:w="1229" w:type="pct"/>
            <w:tcBorders>
              <w:top w:val="single" w:sz="4" w:space="0" w:color="auto"/>
              <w:bottom w:val="single" w:sz="4" w:space="0" w:color="auto"/>
            </w:tcBorders>
            <w:shd w:val="clear" w:color="auto" w:fill="auto"/>
            <w:tcMar>
              <w:top w:w="113" w:type="dxa"/>
              <w:bottom w:w="113" w:type="dxa"/>
            </w:tcMar>
          </w:tcPr>
          <w:p w:rsidR="00927E1F" w:rsidRPr="0074745D" w:rsidRDefault="00927E1F" w:rsidP="00927E1F">
            <w:pPr>
              <w:spacing w:before="40" w:after="40"/>
              <w:rPr>
                <w:b/>
                <w:bCs/>
                <w:sz w:val="16"/>
                <w:szCs w:val="16"/>
                <w:u w:val="single"/>
              </w:rPr>
            </w:pPr>
          </w:p>
        </w:tc>
        <w:tc>
          <w:tcPr>
            <w:tcW w:w="979" w:type="pct"/>
            <w:tcBorders>
              <w:top w:val="single" w:sz="4" w:space="0" w:color="auto"/>
              <w:bottom w:val="single" w:sz="4" w:space="0" w:color="auto"/>
            </w:tcBorders>
          </w:tcPr>
          <w:p w:rsidR="00927E1F" w:rsidRPr="0074745D" w:rsidRDefault="00927E1F" w:rsidP="00927E1F">
            <w:pPr>
              <w:spacing w:before="40" w:after="40"/>
              <w:rPr>
                <w:bCs/>
                <w:sz w:val="16"/>
                <w:szCs w:val="16"/>
              </w:rPr>
            </w:pPr>
            <w:r w:rsidRPr="0074745D">
              <w:rPr>
                <w:sz w:val="16"/>
                <w:szCs w:val="16"/>
              </w:rPr>
              <w:t>Amélioration de la sécurité du personnel et des délégués avec la création d’un sas au niveau des paliers d’ascenseur au niveau</w:t>
            </w:r>
            <w:r>
              <w:rPr>
                <w:sz w:val="16"/>
                <w:szCs w:val="16"/>
              </w:rPr>
              <w:t> </w:t>
            </w:r>
            <w:r w:rsidRPr="0074745D">
              <w:rPr>
                <w:sz w:val="16"/>
                <w:szCs w:val="16"/>
              </w:rPr>
              <w:noBreakHyphen/>
              <w:t>2 du bâtiment</w:t>
            </w:r>
            <w:r>
              <w:rPr>
                <w:sz w:val="16"/>
                <w:szCs w:val="16"/>
              </w:rPr>
              <w:t> </w:t>
            </w:r>
            <w:r w:rsidRPr="0074745D">
              <w:rPr>
                <w:sz w:val="16"/>
                <w:szCs w:val="16"/>
              </w:rPr>
              <w:t>AB.</w:t>
            </w:r>
          </w:p>
        </w:tc>
        <w:tc>
          <w:tcPr>
            <w:tcW w:w="1201" w:type="pct"/>
            <w:shd w:val="clear" w:color="auto" w:fill="auto"/>
          </w:tcPr>
          <w:p w:rsidR="00927E1F" w:rsidRPr="0074745D" w:rsidRDefault="00927E1F" w:rsidP="00927E1F">
            <w:pPr>
              <w:spacing w:before="40" w:after="40"/>
              <w:rPr>
                <w:sz w:val="16"/>
                <w:szCs w:val="16"/>
              </w:rPr>
            </w:pPr>
            <w:r w:rsidRPr="0074745D">
              <w:rPr>
                <w:bCs/>
                <w:sz w:val="16"/>
                <w:szCs w:val="16"/>
              </w:rPr>
              <w:t>Maintien du niveau de sûreté et de sécurité des paliers au niveau</w:t>
            </w:r>
            <w:r>
              <w:rPr>
                <w:sz w:val="16"/>
                <w:szCs w:val="16"/>
              </w:rPr>
              <w:t> </w:t>
            </w:r>
            <w:r w:rsidRPr="0074745D">
              <w:rPr>
                <w:sz w:val="16"/>
                <w:szCs w:val="16"/>
              </w:rPr>
              <w:noBreakHyphen/>
              <w:t>2</w:t>
            </w:r>
            <w:r>
              <w:rPr>
                <w:sz w:val="16"/>
                <w:szCs w:val="16"/>
              </w:rPr>
              <w:t xml:space="preserve"> du bâtiment </w:t>
            </w:r>
            <w:r w:rsidRPr="0074745D">
              <w:rPr>
                <w:sz w:val="16"/>
                <w:szCs w:val="16"/>
              </w:rPr>
              <w:t>AB.</w:t>
            </w:r>
          </w:p>
        </w:tc>
        <w:tc>
          <w:tcPr>
            <w:tcW w:w="1591" w:type="pct"/>
          </w:tcPr>
          <w:p w:rsidR="00927E1F" w:rsidRPr="0074745D" w:rsidRDefault="00927E1F" w:rsidP="00927E1F">
            <w:pPr>
              <w:spacing w:before="40" w:after="40"/>
              <w:rPr>
                <w:sz w:val="16"/>
                <w:szCs w:val="16"/>
              </w:rPr>
            </w:pPr>
            <w:r w:rsidRPr="0074745D">
              <w:rPr>
                <w:bCs/>
                <w:sz w:val="16"/>
                <w:szCs w:val="16"/>
              </w:rPr>
              <w:t>Maintien du niveau de sûreté et de sécurité des paliers au niveau</w:t>
            </w:r>
            <w:r>
              <w:rPr>
                <w:sz w:val="16"/>
                <w:szCs w:val="16"/>
              </w:rPr>
              <w:t> </w:t>
            </w:r>
            <w:r w:rsidRPr="0074745D">
              <w:rPr>
                <w:sz w:val="16"/>
                <w:szCs w:val="16"/>
              </w:rPr>
              <w:noBreakHyphen/>
              <w:t>2 du bâtiment AB.</w:t>
            </w:r>
          </w:p>
        </w:tc>
      </w:tr>
      <w:tr w:rsidR="00927E1F" w:rsidRPr="0074745D" w:rsidTr="00927E1F">
        <w:trPr>
          <w:trHeight w:val="718"/>
          <w:jc w:val="center"/>
        </w:trPr>
        <w:tc>
          <w:tcPr>
            <w:tcW w:w="1229" w:type="pct"/>
            <w:tcBorders>
              <w:top w:val="single" w:sz="4" w:space="0" w:color="auto"/>
              <w:bottom w:val="single" w:sz="4" w:space="0" w:color="auto"/>
            </w:tcBorders>
            <w:shd w:val="clear" w:color="auto" w:fill="auto"/>
            <w:tcMar>
              <w:top w:w="113" w:type="dxa"/>
              <w:bottom w:w="113" w:type="dxa"/>
            </w:tcMar>
          </w:tcPr>
          <w:p w:rsidR="00927E1F" w:rsidRPr="0074745D" w:rsidRDefault="00927E1F" w:rsidP="00927E1F">
            <w:pPr>
              <w:spacing w:before="40" w:after="40"/>
              <w:rPr>
                <w:b/>
                <w:bCs/>
                <w:sz w:val="16"/>
                <w:szCs w:val="16"/>
                <w:u w:val="single"/>
              </w:rPr>
            </w:pPr>
          </w:p>
        </w:tc>
        <w:tc>
          <w:tcPr>
            <w:tcW w:w="979" w:type="pct"/>
            <w:tcBorders>
              <w:top w:val="single" w:sz="4" w:space="0" w:color="auto"/>
              <w:bottom w:val="single" w:sz="4" w:space="0" w:color="auto"/>
            </w:tcBorders>
          </w:tcPr>
          <w:p w:rsidR="00927E1F" w:rsidRPr="0074745D" w:rsidRDefault="00927E1F" w:rsidP="00927E1F">
            <w:pPr>
              <w:spacing w:before="40" w:after="40"/>
              <w:rPr>
                <w:b/>
                <w:bCs/>
                <w:sz w:val="16"/>
                <w:szCs w:val="16"/>
                <w:u w:val="single"/>
              </w:rPr>
            </w:pPr>
          </w:p>
        </w:tc>
        <w:tc>
          <w:tcPr>
            <w:tcW w:w="1201" w:type="pct"/>
            <w:shd w:val="clear" w:color="auto" w:fill="auto"/>
          </w:tcPr>
          <w:p w:rsidR="00927E1F" w:rsidRPr="0074745D" w:rsidRDefault="00927E1F" w:rsidP="00927E1F">
            <w:pPr>
              <w:spacing w:before="40" w:after="40"/>
              <w:rPr>
                <w:b/>
                <w:bCs/>
                <w:i/>
                <w:iCs/>
                <w:sz w:val="16"/>
                <w:szCs w:val="16"/>
              </w:rPr>
            </w:pPr>
            <w:r w:rsidRPr="0074745D">
              <w:rPr>
                <w:sz w:val="16"/>
                <w:szCs w:val="16"/>
              </w:rPr>
              <w:t>Amélioration du niveau de sécurité et de sûreté entre les bâtiments AB et GBI.</w:t>
            </w:r>
          </w:p>
        </w:tc>
        <w:tc>
          <w:tcPr>
            <w:tcW w:w="1591" w:type="pct"/>
          </w:tcPr>
          <w:p w:rsidR="00927E1F" w:rsidRPr="0074745D" w:rsidRDefault="00927E1F" w:rsidP="00927E1F">
            <w:pPr>
              <w:spacing w:before="40" w:after="40"/>
              <w:rPr>
                <w:bCs/>
                <w:sz w:val="16"/>
                <w:szCs w:val="16"/>
              </w:rPr>
            </w:pPr>
            <w:r w:rsidRPr="0074745D">
              <w:rPr>
                <w:sz w:val="16"/>
                <w:szCs w:val="16"/>
              </w:rPr>
              <w:t>Amélioration du niveau de sécurité et de sûreté entre les bâtiments AB et GBI.</w:t>
            </w:r>
          </w:p>
        </w:tc>
      </w:tr>
      <w:tr w:rsidR="00927E1F" w:rsidRPr="0074745D" w:rsidTr="00927E1F">
        <w:trPr>
          <w:trHeight w:val="376"/>
          <w:jc w:val="center"/>
        </w:trPr>
        <w:tc>
          <w:tcPr>
            <w:tcW w:w="1229" w:type="pct"/>
            <w:tcBorders>
              <w:top w:val="single" w:sz="4" w:space="0" w:color="auto"/>
              <w:bottom w:val="single" w:sz="4" w:space="0" w:color="auto"/>
            </w:tcBorders>
            <w:shd w:val="clear" w:color="auto" w:fill="auto"/>
            <w:tcMar>
              <w:top w:w="113" w:type="dxa"/>
              <w:bottom w:w="113" w:type="dxa"/>
            </w:tcMar>
          </w:tcPr>
          <w:p w:rsidR="00927E1F" w:rsidRPr="0074745D" w:rsidRDefault="00927E1F" w:rsidP="00927E1F">
            <w:pPr>
              <w:spacing w:before="40" w:after="40"/>
              <w:rPr>
                <w:b/>
                <w:bCs/>
                <w:sz w:val="16"/>
                <w:szCs w:val="16"/>
                <w:u w:val="single"/>
              </w:rPr>
            </w:pPr>
          </w:p>
        </w:tc>
        <w:tc>
          <w:tcPr>
            <w:tcW w:w="979" w:type="pct"/>
            <w:tcBorders>
              <w:top w:val="single" w:sz="4" w:space="0" w:color="auto"/>
              <w:bottom w:val="single" w:sz="4" w:space="0" w:color="auto"/>
            </w:tcBorders>
          </w:tcPr>
          <w:p w:rsidR="00927E1F" w:rsidRPr="0074745D" w:rsidRDefault="00927E1F" w:rsidP="00927E1F">
            <w:pPr>
              <w:spacing w:before="40" w:after="40"/>
              <w:rPr>
                <w:b/>
                <w:bCs/>
                <w:sz w:val="16"/>
                <w:szCs w:val="16"/>
                <w:u w:val="single"/>
              </w:rPr>
            </w:pPr>
          </w:p>
        </w:tc>
        <w:tc>
          <w:tcPr>
            <w:tcW w:w="1201" w:type="pct"/>
            <w:shd w:val="clear" w:color="auto" w:fill="auto"/>
          </w:tcPr>
          <w:p w:rsidR="00927E1F" w:rsidRPr="0074745D" w:rsidRDefault="00927E1F" w:rsidP="00927E1F">
            <w:pPr>
              <w:spacing w:before="40" w:after="40"/>
              <w:rPr>
                <w:b/>
                <w:bCs/>
                <w:i/>
                <w:iCs/>
                <w:sz w:val="16"/>
                <w:szCs w:val="16"/>
              </w:rPr>
            </w:pPr>
            <w:r w:rsidRPr="0074745D">
              <w:rPr>
                <w:sz w:val="16"/>
                <w:szCs w:val="16"/>
              </w:rPr>
              <w:t>Amélioration du niveau de sécurité et de sûreté entre les bâtiments GBI et GBII.</w:t>
            </w:r>
          </w:p>
        </w:tc>
        <w:tc>
          <w:tcPr>
            <w:tcW w:w="1591" w:type="pct"/>
          </w:tcPr>
          <w:p w:rsidR="00927E1F" w:rsidRPr="0074745D" w:rsidRDefault="00927E1F" w:rsidP="00927E1F">
            <w:pPr>
              <w:spacing w:before="40" w:after="40"/>
              <w:rPr>
                <w:bCs/>
                <w:sz w:val="16"/>
                <w:szCs w:val="16"/>
              </w:rPr>
            </w:pPr>
            <w:r w:rsidRPr="0074745D">
              <w:rPr>
                <w:sz w:val="16"/>
                <w:szCs w:val="16"/>
              </w:rPr>
              <w:t>Amélioration du niveau de sécurité et de sûreté entre les bâtiments GBI et GBII.</w:t>
            </w:r>
          </w:p>
        </w:tc>
      </w:tr>
      <w:tr w:rsidR="00927E1F" w:rsidRPr="0074745D" w:rsidTr="00927E1F">
        <w:trPr>
          <w:trHeight w:val="376"/>
          <w:jc w:val="center"/>
        </w:trPr>
        <w:tc>
          <w:tcPr>
            <w:tcW w:w="1229" w:type="pct"/>
            <w:tcBorders>
              <w:top w:val="single" w:sz="4" w:space="0" w:color="auto"/>
              <w:bottom w:val="single" w:sz="4" w:space="0" w:color="auto"/>
            </w:tcBorders>
            <w:shd w:val="clear" w:color="auto" w:fill="auto"/>
            <w:tcMar>
              <w:top w:w="113" w:type="dxa"/>
              <w:bottom w:w="113" w:type="dxa"/>
            </w:tcMar>
          </w:tcPr>
          <w:p w:rsidR="00927E1F" w:rsidRPr="0074745D" w:rsidRDefault="00927E1F" w:rsidP="00927E1F">
            <w:pPr>
              <w:spacing w:before="40" w:after="40"/>
              <w:rPr>
                <w:b/>
                <w:bCs/>
                <w:sz w:val="16"/>
                <w:szCs w:val="16"/>
                <w:u w:val="single"/>
              </w:rPr>
            </w:pPr>
          </w:p>
        </w:tc>
        <w:tc>
          <w:tcPr>
            <w:tcW w:w="979" w:type="pct"/>
            <w:tcBorders>
              <w:top w:val="single" w:sz="4" w:space="0" w:color="auto"/>
              <w:bottom w:val="single" w:sz="4" w:space="0" w:color="auto"/>
            </w:tcBorders>
          </w:tcPr>
          <w:p w:rsidR="00927E1F" w:rsidRPr="0074745D" w:rsidRDefault="00927E1F" w:rsidP="00927E1F">
            <w:pPr>
              <w:spacing w:before="40" w:after="40"/>
              <w:rPr>
                <w:b/>
                <w:bCs/>
                <w:sz w:val="16"/>
                <w:szCs w:val="16"/>
                <w:u w:val="single"/>
              </w:rPr>
            </w:pPr>
          </w:p>
        </w:tc>
        <w:tc>
          <w:tcPr>
            <w:tcW w:w="1201" w:type="pct"/>
            <w:shd w:val="clear" w:color="auto" w:fill="auto"/>
          </w:tcPr>
          <w:p w:rsidR="00927E1F" w:rsidRPr="0074745D" w:rsidRDefault="00927E1F" w:rsidP="00927E1F">
            <w:pPr>
              <w:spacing w:before="40" w:after="40"/>
              <w:rPr>
                <w:sz w:val="16"/>
                <w:szCs w:val="16"/>
              </w:rPr>
            </w:pPr>
          </w:p>
        </w:tc>
        <w:tc>
          <w:tcPr>
            <w:tcW w:w="1591" w:type="pct"/>
          </w:tcPr>
          <w:p w:rsidR="00927E1F" w:rsidRPr="0074745D" w:rsidRDefault="00927E1F" w:rsidP="00927E1F">
            <w:pPr>
              <w:spacing w:before="40" w:after="40"/>
              <w:rPr>
                <w:sz w:val="16"/>
                <w:szCs w:val="16"/>
              </w:rPr>
            </w:pPr>
            <w:r w:rsidRPr="0074745D">
              <w:rPr>
                <w:sz w:val="16"/>
                <w:szCs w:val="16"/>
              </w:rPr>
              <w:t>Amélioration du niveau de sécurité et de sûreté dans une partie du bâtiment AB.</w:t>
            </w:r>
          </w:p>
        </w:tc>
      </w:tr>
    </w:tbl>
    <w:p w:rsidR="00927E1F" w:rsidRPr="00E23270" w:rsidRDefault="00927E1F" w:rsidP="00927E1F">
      <w:pPr>
        <w:rPr>
          <w:szCs w:val="20"/>
        </w:rPr>
      </w:pPr>
    </w:p>
    <w:p w:rsidR="00927E1F" w:rsidRPr="00E23270" w:rsidRDefault="00927E1F" w:rsidP="00927E1F">
      <w:pPr>
        <w:rPr>
          <w:szCs w:val="20"/>
        </w:rPr>
      </w:pPr>
    </w:p>
    <w:p w:rsidR="00927E1F" w:rsidRPr="00E23270" w:rsidRDefault="00927E1F" w:rsidP="00927E1F">
      <w:pPr>
        <w:rPr>
          <w:szCs w:val="20"/>
        </w:rPr>
      </w:pPr>
      <w:r w:rsidRPr="00E23270">
        <w:rPr>
          <w:szCs w:val="20"/>
        </w:rPr>
        <w:t>UTILISATION DES RESSOURCES</w:t>
      </w:r>
      <w:r w:rsidRPr="00E23270">
        <w:rPr>
          <w:rStyle w:val="FootnoteReference"/>
          <w:rFonts w:eastAsia="SimSun"/>
          <w:szCs w:val="20"/>
        </w:rPr>
        <w:footnoteReference w:id="183"/>
      </w:r>
    </w:p>
    <w:p w:rsidR="00927E1F" w:rsidRPr="00E23270" w:rsidRDefault="00927E1F" w:rsidP="00927E1F">
      <w:pPr>
        <w:rPr>
          <w:szCs w:val="20"/>
        </w:rPr>
      </w:pPr>
    </w:p>
    <w:p w:rsidR="00927E1F" w:rsidRPr="0074745D" w:rsidRDefault="00927E1F" w:rsidP="00927E1F">
      <w:pPr>
        <w:keepNext/>
        <w:keepLines/>
        <w:tabs>
          <w:tab w:val="left" w:pos="3261"/>
        </w:tabs>
        <w:autoSpaceDE w:val="0"/>
        <w:autoSpaceDN w:val="0"/>
        <w:adjustRightInd w:val="0"/>
        <w:jc w:val="center"/>
        <w:rPr>
          <w:b/>
        </w:rPr>
      </w:pPr>
      <w:r w:rsidRPr="0074745D">
        <w:rPr>
          <w:b/>
        </w:rPr>
        <w:t>Utilisation du budget du projet</w:t>
      </w:r>
    </w:p>
    <w:p w:rsidR="00927E1F" w:rsidRPr="0074745D" w:rsidRDefault="00927E1F" w:rsidP="00927E1F">
      <w:pPr>
        <w:keepNext/>
        <w:keepLines/>
        <w:tabs>
          <w:tab w:val="left" w:pos="3261"/>
        </w:tabs>
        <w:autoSpaceDE w:val="0"/>
        <w:autoSpaceDN w:val="0"/>
        <w:adjustRightInd w:val="0"/>
        <w:jc w:val="center"/>
        <w:rPr>
          <w:i/>
          <w:iCs/>
          <w:sz w:val="18"/>
          <w:szCs w:val="18"/>
        </w:rPr>
      </w:pPr>
      <w:r w:rsidRPr="0074745D">
        <w:rPr>
          <w:i/>
          <w:sz w:val="18"/>
        </w:rPr>
        <w:t>(</w:t>
      </w:r>
      <w:proofErr w:type="gramStart"/>
      <w:r w:rsidRPr="0074745D">
        <w:rPr>
          <w:i/>
          <w:sz w:val="18"/>
        </w:rPr>
        <w:t>en</w:t>
      </w:r>
      <w:proofErr w:type="gramEnd"/>
      <w:r w:rsidRPr="0074745D">
        <w:rPr>
          <w:i/>
          <w:sz w:val="18"/>
        </w:rPr>
        <w:t xml:space="preserve"> francs suisses, au 31 décembre 2015)</w:t>
      </w:r>
    </w:p>
    <w:p w:rsidR="00927E1F" w:rsidRPr="0074745D" w:rsidRDefault="00927E1F" w:rsidP="00927E1F">
      <w:pPr>
        <w:keepNext/>
        <w:keepLines/>
        <w:tabs>
          <w:tab w:val="left" w:pos="3261"/>
        </w:tabs>
        <w:autoSpaceDE w:val="0"/>
        <w:autoSpaceDN w:val="0"/>
        <w:adjustRightInd w:val="0"/>
        <w:jc w:val="center"/>
        <w:rPr>
          <w:i/>
          <w:iCs/>
          <w:sz w:val="18"/>
          <w:szCs w:val="18"/>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9"/>
        <w:gridCol w:w="1759"/>
        <w:gridCol w:w="1711"/>
        <w:gridCol w:w="1225"/>
        <w:gridCol w:w="1564"/>
      </w:tblGrid>
      <w:tr w:rsidR="00927E1F" w:rsidRPr="0074745D" w:rsidTr="00927E1F">
        <w:trPr>
          <w:trHeight w:val="410"/>
        </w:trPr>
        <w:tc>
          <w:tcPr>
            <w:tcW w:w="159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74745D" w:rsidRDefault="00927E1F" w:rsidP="00927E1F">
            <w:pPr>
              <w:keepNext/>
              <w:keepLines/>
              <w:autoSpaceDE w:val="0"/>
              <w:autoSpaceDN w:val="0"/>
              <w:adjustRightInd w:val="0"/>
              <w:spacing w:before="40" w:after="40"/>
              <w:ind w:left="-74" w:right="-60"/>
              <w:jc w:val="center"/>
              <w:rPr>
                <w:b/>
                <w:bCs/>
                <w:sz w:val="16"/>
                <w:szCs w:val="16"/>
              </w:rPr>
            </w:pPr>
            <w:r w:rsidRPr="0074745D">
              <w:rPr>
                <w:b/>
                <w:sz w:val="16"/>
              </w:rPr>
              <w:t>Nom du projet</w:t>
            </w:r>
          </w:p>
        </w:tc>
        <w:tc>
          <w:tcPr>
            <w:tcW w:w="9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74745D" w:rsidRDefault="00927E1F" w:rsidP="00927E1F">
            <w:pPr>
              <w:keepNext/>
              <w:keepLines/>
              <w:autoSpaceDE w:val="0"/>
              <w:autoSpaceDN w:val="0"/>
              <w:adjustRightInd w:val="0"/>
              <w:spacing w:before="40" w:after="40"/>
              <w:ind w:left="-107" w:right="-108"/>
              <w:jc w:val="center"/>
              <w:rPr>
                <w:b/>
                <w:bCs/>
                <w:sz w:val="16"/>
                <w:szCs w:val="16"/>
              </w:rPr>
            </w:pPr>
            <w:r w:rsidRPr="0074745D">
              <w:rPr>
                <w:b/>
                <w:sz w:val="16"/>
              </w:rPr>
              <w:t>Budget du projet</w:t>
            </w:r>
          </w:p>
        </w:tc>
        <w:tc>
          <w:tcPr>
            <w:tcW w:w="93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74745D" w:rsidRDefault="00927E1F" w:rsidP="00927E1F">
            <w:pPr>
              <w:keepNext/>
              <w:keepLines/>
              <w:autoSpaceDE w:val="0"/>
              <w:autoSpaceDN w:val="0"/>
              <w:adjustRightInd w:val="0"/>
              <w:spacing w:before="40" w:after="40"/>
              <w:ind w:left="-108" w:right="-106"/>
              <w:jc w:val="center"/>
              <w:rPr>
                <w:b/>
                <w:bCs/>
                <w:sz w:val="16"/>
                <w:szCs w:val="16"/>
              </w:rPr>
            </w:pPr>
            <w:r w:rsidRPr="0074745D">
              <w:rPr>
                <w:b/>
                <w:sz w:val="16"/>
              </w:rPr>
              <w:t>Dépenses effectives à ce jour</w:t>
            </w:r>
          </w:p>
        </w:tc>
        <w:tc>
          <w:tcPr>
            <w:tcW w:w="66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74745D" w:rsidRDefault="00927E1F" w:rsidP="00927E1F">
            <w:pPr>
              <w:keepNext/>
              <w:keepLines/>
              <w:autoSpaceDE w:val="0"/>
              <w:autoSpaceDN w:val="0"/>
              <w:adjustRightInd w:val="0"/>
              <w:spacing w:before="40" w:after="40"/>
              <w:ind w:left="-109" w:right="-108"/>
              <w:jc w:val="center"/>
              <w:rPr>
                <w:b/>
                <w:bCs/>
                <w:sz w:val="16"/>
                <w:szCs w:val="16"/>
              </w:rPr>
            </w:pPr>
            <w:r w:rsidRPr="0074745D">
              <w:rPr>
                <w:b/>
                <w:sz w:val="16"/>
              </w:rPr>
              <w:t>Utilisation effective du budget</w:t>
            </w:r>
          </w:p>
        </w:tc>
        <w:tc>
          <w:tcPr>
            <w:tcW w:w="850"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74745D" w:rsidRDefault="00927E1F" w:rsidP="00927E1F">
            <w:pPr>
              <w:keepNext/>
              <w:keepLines/>
              <w:autoSpaceDE w:val="0"/>
              <w:autoSpaceDN w:val="0"/>
              <w:adjustRightInd w:val="0"/>
              <w:spacing w:before="40" w:after="40"/>
              <w:ind w:left="-109" w:right="-73" w:firstLine="1"/>
              <w:jc w:val="center"/>
              <w:rPr>
                <w:b/>
                <w:bCs/>
                <w:sz w:val="16"/>
                <w:szCs w:val="16"/>
              </w:rPr>
            </w:pPr>
            <w:r w:rsidRPr="0074745D">
              <w:rPr>
                <w:b/>
                <w:sz w:val="16"/>
              </w:rPr>
              <w:t>Taux d’avancement de la mise en œuvre du projet</w:t>
            </w:r>
          </w:p>
        </w:tc>
      </w:tr>
      <w:tr w:rsidR="00927E1F" w:rsidRPr="0074745D" w:rsidTr="00927E1F">
        <w:trPr>
          <w:trHeight w:val="389"/>
        </w:trPr>
        <w:tc>
          <w:tcPr>
            <w:tcW w:w="1598"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keepNext/>
              <w:keepLines/>
              <w:autoSpaceDE w:val="0"/>
              <w:autoSpaceDN w:val="0"/>
              <w:adjustRightInd w:val="0"/>
              <w:spacing w:before="40" w:after="40"/>
              <w:jc w:val="center"/>
              <w:rPr>
                <w:sz w:val="16"/>
                <w:szCs w:val="16"/>
              </w:rPr>
            </w:pPr>
            <w:r w:rsidRPr="0074745D">
              <w:rPr>
                <w:sz w:val="16"/>
              </w:rPr>
              <w:t>Mesures de sécurité et de protection anti</w:t>
            </w:r>
            <w:r w:rsidRPr="0074745D">
              <w:rPr>
                <w:sz w:val="16"/>
              </w:rPr>
              <w:noBreakHyphen/>
              <w:t>incendie</w:t>
            </w:r>
          </w:p>
        </w:tc>
        <w:tc>
          <w:tcPr>
            <w:tcW w:w="956"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keepNext/>
              <w:keepLines/>
              <w:autoSpaceDE w:val="0"/>
              <w:autoSpaceDN w:val="0"/>
              <w:adjustRightInd w:val="0"/>
              <w:spacing w:before="40" w:after="40"/>
              <w:jc w:val="center"/>
              <w:rPr>
                <w:sz w:val="16"/>
                <w:szCs w:val="16"/>
              </w:rPr>
            </w:pPr>
            <w:r w:rsidRPr="0074745D">
              <w:rPr>
                <w:sz w:val="16"/>
              </w:rPr>
              <w:t>400 000</w:t>
            </w:r>
          </w:p>
        </w:tc>
        <w:tc>
          <w:tcPr>
            <w:tcW w:w="930"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keepNext/>
              <w:keepLines/>
              <w:autoSpaceDE w:val="0"/>
              <w:autoSpaceDN w:val="0"/>
              <w:adjustRightInd w:val="0"/>
              <w:spacing w:before="40" w:after="40"/>
              <w:jc w:val="center"/>
              <w:rPr>
                <w:sz w:val="16"/>
                <w:szCs w:val="16"/>
              </w:rPr>
            </w:pPr>
            <w:r w:rsidRPr="0074745D">
              <w:rPr>
                <w:sz w:val="16"/>
                <w:szCs w:val="16"/>
              </w:rPr>
              <w:t>122 587</w:t>
            </w:r>
          </w:p>
        </w:tc>
        <w:tc>
          <w:tcPr>
            <w:tcW w:w="666"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keepNext/>
              <w:keepLines/>
              <w:autoSpaceDE w:val="0"/>
              <w:autoSpaceDN w:val="0"/>
              <w:adjustRightInd w:val="0"/>
              <w:spacing w:before="40" w:after="40"/>
              <w:jc w:val="center"/>
              <w:rPr>
                <w:sz w:val="16"/>
                <w:szCs w:val="16"/>
              </w:rPr>
            </w:pPr>
            <w:r w:rsidRPr="0074745D">
              <w:rPr>
                <w:sz w:val="16"/>
                <w:szCs w:val="16"/>
              </w:rPr>
              <w:t>31%</w:t>
            </w:r>
          </w:p>
        </w:tc>
        <w:tc>
          <w:tcPr>
            <w:tcW w:w="850"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keepNext/>
              <w:keepLines/>
              <w:autoSpaceDE w:val="0"/>
              <w:autoSpaceDN w:val="0"/>
              <w:adjustRightInd w:val="0"/>
              <w:spacing w:before="40" w:after="40"/>
              <w:jc w:val="center"/>
              <w:rPr>
                <w:sz w:val="16"/>
                <w:szCs w:val="16"/>
              </w:rPr>
            </w:pPr>
            <w:r w:rsidRPr="0074745D">
              <w:rPr>
                <w:sz w:val="16"/>
              </w:rPr>
              <w:t>40%</w:t>
            </w:r>
          </w:p>
        </w:tc>
      </w:tr>
    </w:tbl>
    <w:p w:rsidR="00927E1F" w:rsidRPr="0074745D" w:rsidRDefault="00927E1F" w:rsidP="00927E1F">
      <w:pPr>
        <w:keepNext/>
        <w:autoSpaceDE w:val="0"/>
        <w:autoSpaceDN w:val="0"/>
        <w:rPr>
          <w:sz w:val="16"/>
          <w:szCs w:val="16"/>
        </w:rPr>
      </w:pPr>
    </w:p>
    <w:p w:rsidR="00927E1F" w:rsidRPr="0074745D" w:rsidRDefault="00927E1F" w:rsidP="00927E1F">
      <w:pPr>
        <w:keepNext/>
        <w:keepLines/>
        <w:tabs>
          <w:tab w:val="left" w:pos="3261"/>
        </w:tabs>
        <w:autoSpaceDE w:val="0"/>
        <w:autoSpaceDN w:val="0"/>
        <w:adjustRightInd w:val="0"/>
        <w:rPr>
          <w:b/>
          <w:szCs w:val="22"/>
        </w:rPr>
      </w:pPr>
    </w:p>
    <w:p w:rsidR="00927E1F" w:rsidRDefault="00927E1F" w:rsidP="00927E1F">
      <w:pPr>
        <w:rPr>
          <w:b/>
        </w:rPr>
      </w:pPr>
      <w:r>
        <w:rPr>
          <w:b/>
        </w:rPr>
        <w:br w:type="page"/>
      </w:r>
    </w:p>
    <w:p w:rsidR="00927E1F" w:rsidRPr="0074745D" w:rsidRDefault="00927E1F" w:rsidP="00927E1F">
      <w:pPr>
        <w:keepNext/>
        <w:keepLines/>
        <w:tabs>
          <w:tab w:val="left" w:pos="3261"/>
        </w:tabs>
        <w:autoSpaceDE w:val="0"/>
        <w:autoSpaceDN w:val="0"/>
        <w:adjustRightInd w:val="0"/>
        <w:jc w:val="center"/>
        <w:rPr>
          <w:b/>
          <w:szCs w:val="22"/>
        </w:rPr>
      </w:pPr>
      <w:r w:rsidRPr="0074745D">
        <w:rPr>
          <w:b/>
        </w:rPr>
        <w:lastRenderedPageBreak/>
        <w:t>Utilisation du budget du projet (par étape)</w:t>
      </w:r>
    </w:p>
    <w:p w:rsidR="00927E1F" w:rsidRPr="0074745D" w:rsidRDefault="00927E1F" w:rsidP="00927E1F">
      <w:pPr>
        <w:keepNext/>
        <w:keepLines/>
        <w:tabs>
          <w:tab w:val="left" w:pos="3261"/>
        </w:tabs>
        <w:autoSpaceDE w:val="0"/>
        <w:autoSpaceDN w:val="0"/>
        <w:adjustRightInd w:val="0"/>
        <w:jc w:val="center"/>
        <w:rPr>
          <w:i/>
          <w:sz w:val="18"/>
        </w:rPr>
      </w:pPr>
      <w:r w:rsidRPr="0074745D">
        <w:rPr>
          <w:i/>
          <w:sz w:val="18"/>
        </w:rPr>
        <w:t>(</w:t>
      </w:r>
      <w:proofErr w:type="gramStart"/>
      <w:r w:rsidRPr="0074745D">
        <w:rPr>
          <w:i/>
          <w:sz w:val="18"/>
        </w:rPr>
        <w:t>en</w:t>
      </w:r>
      <w:proofErr w:type="gramEnd"/>
      <w:r w:rsidRPr="0074745D">
        <w:rPr>
          <w:i/>
          <w:sz w:val="18"/>
        </w:rPr>
        <w:t xml:space="preserve"> francs suisses, au 31 décembre 2015)</w:t>
      </w:r>
    </w:p>
    <w:p w:rsidR="00927E1F" w:rsidRPr="0074745D" w:rsidRDefault="00927E1F" w:rsidP="00927E1F">
      <w:pPr>
        <w:keepNext/>
        <w:keepLines/>
        <w:tabs>
          <w:tab w:val="left" w:pos="3261"/>
        </w:tabs>
        <w:autoSpaceDE w:val="0"/>
        <w:autoSpaceDN w:val="0"/>
        <w:adjustRightInd w:val="0"/>
        <w:jc w:val="center"/>
        <w:rPr>
          <w:i/>
          <w:iCs/>
          <w:sz w:val="18"/>
          <w:szCs w:val="18"/>
        </w:rPr>
      </w:pPr>
    </w:p>
    <w:tbl>
      <w:tblPr>
        <w:tblpPr w:leftFromText="180" w:rightFromText="180" w:vertAnchor="text" w:horzAnchor="margin" w:tblpX="182" w:tblpY="17"/>
        <w:tblW w:w="48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1387"/>
        <w:gridCol w:w="1589"/>
        <w:gridCol w:w="1562"/>
        <w:gridCol w:w="1575"/>
      </w:tblGrid>
      <w:tr w:rsidR="00927E1F" w:rsidRPr="0074745D" w:rsidTr="00927E1F">
        <w:trPr>
          <w:trHeight w:val="410"/>
        </w:trPr>
        <w:tc>
          <w:tcPr>
            <w:tcW w:w="16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74745D" w:rsidRDefault="00927E1F" w:rsidP="00927E1F">
            <w:pPr>
              <w:keepNext/>
              <w:keepLines/>
              <w:autoSpaceDE w:val="0"/>
              <w:autoSpaceDN w:val="0"/>
              <w:adjustRightInd w:val="0"/>
              <w:spacing w:before="40" w:after="40"/>
              <w:ind w:left="-74" w:right="-60"/>
              <w:jc w:val="center"/>
              <w:rPr>
                <w:b/>
                <w:bCs/>
                <w:sz w:val="16"/>
                <w:szCs w:val="16"/>
              </w:rPr>
            </w:pPr>
            <w:r w:rsidRPr="0074745D">
              <w:rPr>
                <w:b/>
                <w:sz w:val="16"/>
              </w:rPr>
              <w:t>Étape principale</w:t>
            </w:r>
          </w:p>
        </w:tc>
        <w:tc>
          <w:tcPr>
            <w:tcW w:w="7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74745D" w:rsidRDefault="00927E1F" w:rsidP="00927E1F">
            <w:pPr>
              <w:keepNext/>
              <w:keepLines/>
              <w:autoSpaceDE w:val="0"/>
              <w:autoSpaceDN w:val="0"/>
              <w:adjustRightInd w:val="0"/>
              <w:spacing w:before="40" w:after="40"/>
              <w:ind w:left="-107" w:right="-108"/>
              <w:jc w:val="center"/>
              <w:rPr>
                <w:b/>
                <w:bCs/>
                <w:sz w:val="16"/>
                <w:szCs w:val="16"/>
              </w:rPr>
            </w:pPr>
            <w:r w:rsidRPr="0074745D">
              <w:rPr>
                <w:b/>
                <w:sz w:val="16"/>
              </w:rPr>
              <w:t>Budget du projet</w:t>
            </w:r>
          </w:p>
        </w:tc>
        <w:tc>
          <w:tcPr>
            <w:tcW w:w="86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74745D" w:rsidRDefault="00927E1F" w:rsidP="00927E1F">
            <w:pPr>
              <w:keepNext/>
              <w:keepLines/>
              <w:autoSpaceDE w:val="0"/>
              <w:autoSpaceDN w:val="0"/>
              <w:adjustRightInd w:val="0"/>
              <w:spacing w:before="40" w:after="40"/>
              <w:ind w:left="-108" w:right="-106"/>
              <w:jc w:val="center"/>
              <w:rPr>
                <w:b/>
                <w:bCs/>
                <w:sz w:val="16"/>
                <w:szCs w:val="16"/>
              </w:rPr>
            </w:pPr>
            <w:r w:rsidRPr="0074745D">
              <w:rPr>
                <w:b/>
                <w:sz w:val="16"/>
              </w:rPr>
              <w:t>Dépenses effectives à ce jour</w:t>
            </w:r>
          </w:p>
        </w:tc>
        <w:tc>
          <w:tcPr>
            <w:tcW w:w="8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74745D" w:rsidRDefault="00927E1F" w:rsidP="00927E1F">
            <w:pPr>
              <w:keepNext/>
              <w:keepLines/>
              <w:autoSpaceDE w:val="0"/>
              <w:autoSpaceDN w:val="0"/>
              <w:adjustRightInd w:val="0"/>
              <w:spacing w:before="40" w:after="40"/>
              <w:ind w:left="-109" w:right="-108"/>
              <w:jc w:val="center"/>
              <w:rPr>
                <w:b/>
                <w:bCs/>
                <w:sz w:val="16"/>
                <w:szCs w:val="16"/>
              </w:rPr>
            </w:pPr>
            <w:r w:rsidRPr="0074745D">
              <w:rPr>
                <w:b/>
                <w:sz w:val="16"/>
              </w:rPr>
              <w:t>Utilisation effective du budget</w:t>
            </w: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74745D" w:rsidRDefault="00927E1F" w:rsidP="00927E1F">
            <w:pPr>
              <w:keepNext/>
              <w:keepLines/>
              <w:autoSpaceDE w:val="0"/>
              <w:autoSpaceDN w:val="0"/>
              <w:adjustRightInd w:val="0"/>
              <w:spacing w:before="40" w:after="40"/>
              <w:ind w:left="-109" w:right="-73" w:firstLine="1"/>
              <w:jc w:val="center"/>
              <w:rPr>
                <w:b/>
                <w:bCs/>
                <w:sz w:val="16"/>
                <w:szCs w:val="16"/>
              </w:rPr>
            </w:pPr>
            <w:r w:rsidRPr="0074745D">
              <w:rPr>
                <w:b/>
                <w:sz w:val="16"/>
              </w:rPr>
              <w:t>Taux d’avancement de mise en œuvre par étape</w:t>
            </w:r>
          </w:p>
        </w:tc>
      </w:tr>
      <w:tr w:rsidR="00927E1F" w:rsidRPr="0074745D" w:rsidTr="00927E1F">
        <w:trPr>
          <w:trHeight w:val="389"/>
        </w:trPr>
        <w:tc>
          <w:tcPr>
            <w:tcW w:w="1677"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keepNext/>
              <w:keepLines/>
              <w:autoSpaceDE w:val="0"/>
              <w:autoSpaceDN w:val="0"/>
              <w:adjustRightInd w:val="0"/>
              <w:spacing w:before="40" w:after="40"/>
              <w:rPr>
                <w:sz w:val="16"/>
                <w:szCs w:val="16"/>
              </w:rPr>
            </w:pPr>
            <w:r w:rsidRPr="0074745D">
              <w:rPr>
                <w:sz w:val="16"/>
              </w:rPr>
              <w:t>Compartimentation du bâtiment du PCT</w:t>
            </w:r>
          </w:p>
        </w:tc>
        <w:tc>
          <w:tcPr>
            <w:tcW w:w="754"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keepNext/>
              <w:keepLines/>
              <w:autoSpaceDE w:val="0"/>
              <w:autoSpaceDN w:val="0"/>
              <w:adjustRightInd w:val="0"/>
              <w:spacing w:before="40" w:after="40"/>
              <w:jc w:val="center"/>
              <w:rPr>
                <w:sz w:val="16"/>
                <w:szCs w:val="16"/>
              </w:rPr>
            </w:pPr>
            <w:r w:rsidRPr="0074745D">
              <w:rPr>
                <w:sz w:val="16"/>
              </w:rPr>
              <w:t>45 000</w:t>
            </w:r>
          </w:p>
        </w:tc>
        <w:tc>
          <w:tcPr>
            <w:tcW w:w="864"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autoSpaceDE w:val="0"/>
              <w:autoSpaceDN w:val="0"/>
              <w:adjustRightInd w:val="0"/>
              <w:spacing w:before="40" w:after="40"/>
              <w:jc w:val="center"/>
              <w:rPr>
                <w:sz w:val="16"/>
                <w:szCs w:val="16"/>
              </w:rPr>
            </w:pPr>
            <w:r w:rsidRPr="0074745D">
              <w:rPr>
                <w:sz w:val="16"/>
                <w:szCs w:val="16"/>
              </w:rPr>
              <w:t>44 392</w:t>
            </w:r>
          </w:p>
        </w:tc>
        <w:tc>
          <w:tcPr>
            <w:tcW w:w="849"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autoSpaceDE w:val="0"/>
              <w:autoSpaceDN w:val="0"/>
              <w:adjustRightInd w:val="0"/>
              <w:spacing w:before="40" w:after="40"/>
              <w:jc w:val="center"/>
              <w:rPr>
                <w:sz w:val="16"/>
                <w:szCs w:val="16"/>
              </w:rPr>
            </w:pPr>
            <w:r w:rsidRPr="0074745D">
              <w:rPr>
                <w:sz w:val="16"/>
                <w:szCs w:val="16"/>
              </w:rPr>
              <w:t>98%</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autoSpaceDE w:val="0"/>
              <w:autoSpaceDN w:val="0"/>
              <w:adjustRightInd w:val="0"/>
              <w:spacing w:before="40" w:after="40"/>
              <w:jc w:val="center"/>
              <w:rPr>
                <w:sz w:val="16"/>
                <w:szCs w:val="16"/>
              </w:rPr>
            </w:pPr>
            <w:r w:rsidRPr="0074745D">
              <w:rPr>
                <w:sz w:val="16"/>
                <w:szCs w:val="16"/>
              </w:rPr>
              <w:t>100%</w:t>
            </w:r>
          </w:p>
        </w:tc>
      </w:tr>
      <w:tr w:rsidR="00927E1F" w:rsidRPr="0074745D" w:rsidTr="00927E1F">
        <w:trPr>
          <w:trHeight w:val="389"/>
        </w:trPr>
        <w:tc>
          <w:tcPr>
            <w:tcW w:w="1677"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keepNext/>
              <w:keepLines/>
              <w:autoSpaceDE w:val="0"/>
              <w:autoSpaceDN w:val="0"/>
              <w:adjustRightInd w:val="0"/>
              <w:spacing w:before="40" w:after="40"/>
              <w:rPr>
                <w:sz w:val="16"/>
                <w:szCs w:val="16"/>
              </w:rPr>
            </w:pPr>
            <w:r w:rsidRPr="0074745D">
              <w:rPr>
                <w:sz w:val="16"/>
              </w:rPr>
              <w:t>Planification de l’espace améliorée dans la zone réservée aux délégués du bâtiment AB </w:t>
            </w:r>
            <w:r w:rsidRPr="0074745D">
              <w:rPr>
                <w:sz w:val="16"/>
              </w:rPr>
              <w:noBreakHyphen/>
              <w:t>2/Création d’un sas au niveau des paliers d’ascenseur du bâtiment AB, niveau </w:t>
            </w:r>
            <w:r w:rsidRPr="0074745D">
              <w:rPr>
                <w:sz w:val="16"/>
              </w:rPr>
              <w:noBreakHyphen/>
              <w:t>2</w:t>
            </w:r>
          </w:p>
        </w:tc>
        <w:tc>
          <w:tcPr>
            <w:tcW w:w="754"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keepNext/>
              <w:keepLines/>
              <w:autoSpaceDE w:val="0"/>
              <w:autoSpaceDN w:val="0"/>
              <w:adjustRightInd w:val="0"/>
              <w:spacing w:before="40" w:after="40"/>
              <w:jc w:val="center"/>
              <w:rPr>
                <w:sz w:val="16"/>
                <w:szCs w:val="16"/>
              </w:rPr>
            </w:pPr>
            <w:r w:rsidRPr="0074745D">
              <w:rPr>
                <w:sz w:val="16"/>
              </w:rPr>
              <w:t>55 000</w:t>
            </w:r>
          </w:p>
        </w:tc>
        <w:tc>
          <w:tcPr>
            <w:tcW w:w="864"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autoSpaceDE w:val="0"/>
              <w:autoSpaceDN w:val="0"/>
              <w:adjustRightInd w:val="0"/>
              <w:spacing w:before="40" w:after="40"/>
              <w:jc w:val="center"/>
              <w:rPr>
                <w:sz w:val="16"/>
                <w:szCs w:val="16"/>
              </w:rPr>
            </w:pPr>
            <w:r w:rsidRPr="0074745D">
              <w:rPr>
                <w:sz w:val="16"/>
                <w:szCs w:val="16"/>
              </w:rPr>
              <w:t>78 195</w:t>
            </w:r>
          </w:p>
        </w:tc>
        <w:tc>
          <w:tcPr>
            <w:tcW w:w="849"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autoSpaceDE w:val="0"/>
              <w:autoSpaceDN w:val="0"/>
              <w:adjustRightInd w:val="0"/>
              <w:spacing w:before="40" w:after="40"/>
              <w:jc w:val="center"/>
              <w:rPr>
                <w:sz w:val="16"/>
                <w:szCs w:val="16"/>
              </w:rPr>
            </w:pPr>
            <w:r w:rsidRPr="0074745D">
              <w:rPr>
                <w:sz w:val="16"/>
                <w:szCs w:val="16"/>
              </w:rPr>
              <w:t>142%</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autoSpaceDE w:val="0"/>
              <w:autoSpaceDN w:val="0"/>
              <w:adjustRightInd w:val="0"/>
              <w:spacing w:before="40" w:after="40"/>
              <w:jc w:val="center"/>
              <w:rPr>
                <w:sz w:val="16"/>
                <w:szCs w:val="16"/>
              </w:rPr>
            </w:pPr>
            <w:r w:rsidRPr="0074745D">
              <w:rPr>
                <w:sz w:val="16"/>
                <w:szCs w:val="16"/>
              </w:rPr>
              <w:t>100%</w:t>
            </w:r>
          </w:p>
        </w:tc>
      </w:tr>
      <w:tr w:rsidR="00927E1F" w:rsidRPr="0074745D" w:rsidTr="00927E1F">
        <w:trPr>
          <w:trHeight w:val="389"/>
        </w:trPr>
        <w:tc>
          <w:tcPr>
            <w:tcW w:w="1677"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keepNext/>
              <w:keepLines/>
              <w:autoSpaceDE w:val="0"/>
              <w:autoSpaceDN w:val="0"/>
              <w:adjustRightInd w:val="0"/>
              <w:spacing w:before="40" w:after="40"/>
              <w:rPr>
                <w:sz w:val="16"/>
                <w:szCs w:val="16"/>
              </w:rPr>
            </w:pPr>
            <w:r w:rsidRPr="0074745D">
              <w:rPr>
                <w:sz w:val="16"/>
              </w:rPr>
              <w:t>Étude et projet relatifs à la compartimentation entre les bâtiments GBI et AB</w:t>
            </w:r>
          </w:p>
        </w:tc>
        <w:tc>
          <w:tcPr>
            <w:tcW w:w="754"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keepNext/>
              <w:keepLines/>
              <w:autoSpaceDE w:val="0"/>
              <w:autoSpaceDN w:val="0"/>
              <w:adjustRightInd w:val="0"/>
              <w:spacing w:before="40" w:after="40"/>
              <w:jc w:val="center"/>
              <w:rPr>
                <w:sz w:val="16"/>
                <w:szCs w:val="16"/>
              </w:rPr>
            </w:pPr>
            <w:r w:rsidRPr="0074745D">
              <w:rPr>
                <w:sz w:val="16"/>
              </w:rPr>
              <w:t>175 000</w:t>
            </w:r>
          </w:p>
        </w:tc>
        <w:tc>
          <w:tcPr>
            <w:tcW w:w="864"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autoSpaceDE w:val="0"/>
              <w:autoSpaceDN w:val="0"/>
              <w:adjustRightInd w:val="0"/>
              <w:spacing w:before="40" w:after="40"/>
              <w:jc w:val="center"/>
              <w:rPr>
                <w:sz w:val="16"/>
                <w:szCs w:val="16"/>
              </w:rPr>
            </w:pPr>
            <w:r w:rsidRPr="0074745D">
              <w:rPr>
                <w:sz w:val="16"/>
                <w:szCs w:val="16"/>
              </w:rPr>
              <w:t>0</w:t>
            </w:r>
          </w:p>
        </w:tc>
        <w:tc>
          <w:tcPr>
            <w:tcW w:w="849"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autoSpaceDE w:val="0"/>
              <w:autoSpaceDN w:val="0"/>
              <w:adjustRightInd w:val="0"/>
              <w:spacing w:before="40" w:after="40"/>
              <w:jc w:val="center"/>
              <w:rPr>
                <w:sz w:val="16"/>
                <w:szCs w:val="16"/>
              </w:rPr>
            </w:pPr>
            <w:r w:rsidRPr="0074745D">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autoSpaceDE w:val="0"/>
              <w:autoSpaceDN w:val="0"/>
              <w:adjustRightInd w:val="0"/>
              <w:spacing w:before="40" w:after="40"/>
              <w:jc w:val="center"/>
              <w:rPr>
                <w:sz w:val="16"/>
                <w:szCs w:val="16"/>
              </w:rPr>
            </w:pPr>
            <w:r w:rsidRPr="0074745D">
              <w:rPr>
                <w:sz w:val="16"/>
                <w:szCs w:val="16"/>
              </w:rPr>
              <w:t>10%</w:t>
            </w:r>
          </w:p>
        </w:tc>
      </w:tr>
      <w:tr w:rsidR="00927E1F" w:rsidRPr="0074745D" w:rsidTr="00927E1F">
        <w:trPr>
          <w:trHeight w:val="389"/>
        </w:trPr>
        <w:tc>
          <w:tcPr>
            <w:tcW w:w="1677"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keepNext/>
              <w:keepLines/>
              <w:autoSpaceDE w:val="0"/>
              <w:autoSpaceDN w:val="0"/>
              <w:adjustRightInd w:val="0"/>
              <w:spacing w:before="40" w:after="40"/>
              <w:rPr>
                <w:sz w:val="16"/>
                <w:szCs w:val="16"/>
              </w:rPr>
            </w:pPr>
            <w:r w:rsidRPr="0074745D">
              <w:rPr>
                <w:sz w:val="16"/>
              </w:rPr>
              <w:t xml:space="preserve">Projet relatif à la compartimentation entre les bâtiments GBI et GBII (tous les niveaux sauf </w:t>
            </w:r>
            <w:r w:rsidRPr="0074745D">
              <w:rPr>
                <w:sz w:val="16"/>
              </w:rPr>
              <w:noBreakHyphen/>
              <w:t>1)</w:t>
            </w:r>
          </w:p>
        </w:tc>
        <w:tc>
          <w:tcPr>
            <w:tcW w:w="754"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keepNext/>
              <w:keepLines/>
              <w:autoSpaceDE w:val="0"/>
              <w:autoSpaceDN w:val="0"/>
              <w:adjustRightInd w:val="0"/>
              <w:spacing w:before="40" w:after="40"/>
              <w:jc w:val="center"/>
              <w:rPr>
                <w:sz w:val="16"/>
                <w:szCs w:val="16"/>
              </w:rPr>
            </w:pPr>
            <w:r w:rsidRPr="0074745D">
              <w:rPr>
                <w:sz w:val="16"/>
              </w:rPr>
              <w:t>65 000</w:t>
            </w:r>
          </w:p>
        </w:tc>
        <w:tc>
          <w:tcPr>
            <w:tcW w:w="864"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autoSpaceDE w:val="0"/>
              <w:autoSpaceDN w:val="0"/>
              <w:adjustRightInd w:val="0"/>
              <w:spacing w:before="40" w:after="40"/>
              <w:jc w:val="center"/>
              <w:rPr>
                <w:sz w:val="16"/>
                <w:szCs w:val="16"/>
              </w:rPr>
            </w:pPr>
            <w:r w:rsidRPr="0074745D">
              <w:rPr>
                <w:sz w:val="16"/>
                <w:szCs w:val="16"/>
              </w:rPr>
              <w:t>0</w:t>
            </w:r>
          </w:p>
        </w:tc>
        <w:tc>
          <w:tcPr>
            <w:tcW w:w="849"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autoSpaceDE w:val="0"/>
              <w:autoSpaceDN w:val="0"/>
              <w:adjustRightInd w:val="0"/>
              <w:spacing w:before="40" w:after="40"/>
              <w:jc w:val="center"/>
              <w:rPr>
                <w:sz w:val="16"/>
                <w:szCs w:val="16"/>
              </w:rPr>
            </w:pPr>
            <w:r w:rsidRPr="0074745D">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autoSpaceDE w:val="0"/>
              <w:autoSpaceDN w:val="0"/>
              <w:adjustRightInd w:val="0"/>
              <w:spacing w:before="40" w:after="40"/>
              <w:jc w:val="center"/>
              <w:rPr>
                <w:sz w:val="16"/>
                <w:szCs w:val="16"/>
              </w:rPr>
            </w:pPr>
            <w:r w:rsidRPr="0074745D">
              <w:rPr>
                <w:sz w:val="16"/>
                <w:szCs w:val="16"/>
              </w:rPr>
              <w:noBreakHyphen/>
            </w:r>
          </w:p>
        </w:tc>
      </w:tr>
      <w:tr w:rsidR="00927E1F" w:rsidRPr="0074745D" w:rsidTr="00927E1F">
        <w:trPr>
          <w:trHeight w:val="389"/>
        </w:trPr>
        <w:tc>
          <w:tcPr>
            <w:tcW w:w="1677"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keepNext/>
              <w:keepLines/>
              <w:autoSpaceDE w:val="0"/>
              <w:autoSpaceDN w:val="0"/>
              <w:adjustRightInd w:val="0"/>
              <w:spacing w:before="40" w:after="40"/>
              <w:rPr>
                <w:sz w:val="16"/>
                <w:szCs w:val="16"/>
              </w:rPr>
            </w:pPr>
            <w:r w:rsidRPr="0074745D">
              <w:rPr>
                <w:sz w:val="16"/>
              </w:rPr>
              <w:t>Projet relatif à la compartimentation du bâtiment AB (sauf </w:t>
            </w:r>
            <w:r w:rsidRPr="0074745D">
              <w:rPr>
                <w:sz w:val="16"/>
              </w:rPr>
              <w:noBreakHyphen/>
              <w:t>2)</w:t>
            </w:r>
          </w:p>
        </w:tc>
        <w:tc>
          <w:tcPr>
            <w:tcW w:w="754"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keepNext/>
              <w:keepLines/>
              <w:autoSpaceDE w:val="0"/>
              <w:autoSpaceDN w:val="0"/>
              <w:adjustRightInd w:val="0"/>
              <w:spacing w:before="40" w:after="40"/>
              <w:jc w:val="center"/>
              <w:rPr>
                <w:sz w:val="16"/>
                <w:szCs w:val="16"/>
              </w:rPr>
            </w:pPr>
            <w:r w:rsidRPr="0074745D">
              <w:rPr>
                <w:sz w:val="16"/>
              </w:rPr>
              <w:t>60 000</w:t>
            </w:r>
          </w:p>
        </w:tc>
        <w:tc>
          <w:tcPr>
            <w:tcW w:w="864"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autoSpaceDE w:val="0"/>
              <w:autoSpaceDN w:val="0"/>
              <w:adjustRightInd w:val="0"/>
              <w:spacing w:before="40" w:after="40"/>
              <w:jc w:val="center"/>
              <w:rPr>
                <w:sz w:val="16"/>
                <w:szCs w:val="16"/>
              </w:rPr>
            </w:pPr>
            <w:r w:rsidRPr="0074745D">
              <w:rPr>
                <w:sz w:val="16"/>
                <w:szCs w:val="16"/>
              </w:rPr>
              <w:t>0</w:t>
            </w:r>
          </w:p>
        </w:tc>
        <w:tc>
          <w:tcPr>
            <w:tcW w:w="849"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autoSpaceDE w:val="0"/>
              <w:autoSpaceDN w:val="0"/>
              <w:adjustRightInd w:val="0"/>
              <w:spacing w:before="40" w:after="40"/>
              <w:jc w:val="center"/>
              <w:rPr>
                <w:sz w:val="16"/>
                <w:szCs w:val="16"/>
              </w:rPr>
            </w:pPr>
            <w:r w:rsidRPr="0074745D">
              <w:rPr>
                <w:sz w:val="16"/>
                <w:szCs w:val="16"/>
              </w:rPr>
              <w:t>0%</w:t>
            </w:r>
          </w:p>
        </w:tc>
        <w:tc>
          <w:tcPr>
            <w:tcW w:w="856"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autoSpaceDE w:val="0"/>
              <w:autoSpaceDN w:val="0"/>
              <w:adjustRightInd w:val="0"/>
              <w:spacing w:before="40" w:after="40"/>
              <w:jc w:val="center"/>
              <w:rPr>
                <w:sz w:val="16"/>
                <w:szCs w:val="16"/>
              </w:rPr>
            </w:pPr>
            <w:r w:rsidRPr="0074745D">
              <w:rPr>
                <w:sz w:val="16"/>
                <w:szCs w:val="16"/>
              </w:rPr>
              <w:noBreakHyphen/>
            </w:r>
          </w:p>
        </w:tc>
      </w:tr>
      <w:tr w:rsidR="00927E1F" w:rsidRPr="0074745D" w:rsidTr="00927E1F">
        <w:trPr>
          <w:trHeight w:val="389"/>
        </w:trPr>
        <w:tc>
          <w:tcPr>
            <w:tcW w:w="1677"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74745D" w:rsidRDefault="00927E1F" w:rsidP="00927E1F">
            <w:pPr>
              <w:keepNext/>
              <w:keepLines/>
              <w:autoSpaceDE w:val="0"/>
              <w:autoSpaceDN w:val="0"/>
              <w:adjustRightInd w:val="0"/>
              <w:spacing w:before="40" w:after="40"/>
              <w:rPr>
                <w:b/>
                <w:sz w:val="16"/>
                <w:szCs w:val="16"/>
              </w:rPr>
            </w:pPr>
            <w:r w:rsidRPr="0074745D">
              <w:rPr>
                <w:b/>
                <w:sz w:val="16"/>
              </w:rPr>
              <w:t>Total</w:t>
            </w:r>
          </w:p>
        </w:tc>
        <w:tc>
          <w:tcPr>
            <w:tcW w:w="7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74745D" w:rsidRDefault="00927E1F" w:rsidP="00927E1F">
            <w:pPr>
              <w:keepNext/>
              <w:keepLines/>
              <w:autoSpaceDE w:val="0"/>
              <w:autoSpaceDN w:val="0"/>
              <w:adjustRightInd w:val="0"/>
              <w:spacing w:before="40" w:after="40"/>
              <w:jc w:val="center"/>
              <w:rPr>
                <w:b/>
                <w:sz w:val="16"/>
                <w:szCs w:val="16"/>
              </w:rPr>
            </w:pPr>
            <w:r w:rsidRPr="0074745D">
              <w:rPr>
                <w:b/>
                <w:sz w:val="16"/>
              </w:rPr>
              <w:t>400 000</w:t>
            </w:r>
          </w:p>
        </w:tc>
        <w:tc>
          <w:tcPr>
            <w:tcW w:w="86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74745D" w:rsidRDefault="00927E1F" w:rsidP="00927E1F">
            <w:pPr>
              <w:keepNext/>
              <w:keepLines/>
              <w:autoSpaceDE w:val="0"/>
              <w:autoSpaceDN w:val="0"/>
              <w:adjustRightInd w:val="0"/>
              <w:spacing w:before="40" w:after="40"/>
              <w:jc w:val="center"/>
              <w:rPr>
                <w:b/>
                <w:sz w:val="16"/>
              </w:rPr>
            </w:pPr>
            <w:r w:rsidRPr="0074745D">
              <w:rPr>
                <w:b/>
                <w:sz w:val="16"/>
              </w:rPr>
              <w:t>122 587</w:t>
            </w:r>
          </w:p>
        </w:tc>
        <w:tc>
          <w:tcPr>
            <w:tcW w:w="8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74745D" w:rsidRDefault="00927E1F" w:rsidP="00927E1F">
            <w:pPr>
              <w:keepNext/>
              <w:keepLines/>
              <w:autoSpaceDE w:val="0"/>
              <w:autoSpaceDN w:val="0"/>
              <w:adjustRightInd w:val="0"/>
              <w:spacing w:before="40" w:after="40"/>
              <w:jc w:val="center"/>
              <w:rPr>
                <w:b/>
                <w:sz w:val="16"/>
              </w:rPr>
            </w:pPr>
          </w:p>
        </w:tc>
        <w:tc>
          <w:tcPr>
            <w:tcW w:w="856"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74745D" w:rsidRDefault="00927E1F" w:rsidP="00927E1F">
            <w:pPr>
              <w:keepNext/>
              <w:keepLines/>
              <w:autoSpaceDE w:val="0"/>
              <w:autoSpaceDN w:val="0"/>
              <w:adjustRightInd w:val="0"/>
              <w:spacing w:before="40" w:after="40"/>
              <w:jc w:val="center"/>
              <w:rPr>
                <w:b/>
                <w:sz w:val="16"/>
              </w:rPr>
            </w:pPr>
          </w:p>
        </w:tc>
      </w:tr>
    </w:tbl>
    <w:p w:rsidR="00927E1F" w:rsidRPr="0074745D" w:rsidRDefault="00927E1F" w:rsidP="00927E1F"/>
    <w:p w:rsidR="00927E1F" w:rsidRPr="0074745D" w:rsidRDefault="00927E1F" w:rsidP="00927E1F"/>
    <w:p w:rsidR="00927E1F" w:rsidRPr="0074745D" w:rsidRDefault="00927E1F" w:rsidP="00927E1F">
      <w:pPr>
        <w:keepNext/>
        <w:keepLines/>
        <w:tabs>
          <w:tab w:val="left" w:pos="3261"/>
        </w:tabs>
        <w:autoSpaceDE w:val="0"/>
        <w:autoSpaceDN w:val="0"/>
        <w:adjustRightInd w:val="0"/>
        <w:jc w:val="center"/>
        <w:rPr>
          <w:b/>
          <w:szCs w:val="22"/>
        </w:rPr>
      </w:pPr>
      <w:r w:rsidRPr="0074745D">
        <w:rPr>
          <w:b/>
        </w:rPr>
        <w:t>Utilisation du budget du projet (par catégorie de dépenses)</w:t>
      </w:r>
    </w:p>
    <w:p w:rsidR="00927E1F" w:rsidRPr="0074745D" w:rsidRDefault="00927E1F" w:rsidP="00927E1F">
      <w:pPr>
        <w:keepNext/>
        <w:keepLines/>
        <w:tabs>
          <w:tab w:val="left" w:pos="3261"/>
        </w:tabs>
        <w:autoSpaceDE w:val="0"/>
        <w:autoSpaceDN w:val="0"/>
        <w:adjustRightInd w:val="0"/>
        <w:jc w:val="center"/>
        <w:rPr>
          <w:i/>
          <w:iCs/>
          <w:sz w:val="18"/>
          <w:szCs w:val="18"/>
        </w:rPr>
      </w:pPr>
      <w:r w:rsidRPr="0074745D">
        <w:rPr>
          <w:i/>
          <w:sz w:val="18"/>
        </w:rPr>
        <w:t>(</w:t>
      </w:r>
      <w:proofErr w:type="gramStart"/>
      <w:r w:rsidRPr="0074745D">
        <w:rPr>
          <w:i/>
          <w:sz w:val="18"/>
        </w:rPr>
        <w:t>en</w:t>
      </w:r>
      <w:proofErr w:type="gramEnd"/>
      <w:r w:rsidRPr="0074745D">
        <w:rPr>
          <w:i/>
          <w:sz w:val="18"/>
        </w:rPr>
        <w:t xml:space="preserve"> francs suisses, au 31 décembre 2015)</w:t>
      </w:r>
    </w:p>
    <w:p w:rsidR="00927E1F" w:rsidRPr="0074745D" w:rsidRDefault="00927E1F" w:rsidP="00927E1F">
      <w:pPr>
        <w:keepNext/>
        <w:keepLines/>
        <w:autoSpaceDE w:val="0"/>
        <w:autoSpaceDN w:val="0"/>
        <w:adjustRightInd w:val="0"/>
        <w:jc w:val="center"/>
      </w:pPr>
    </w:p>
    <w:tbl>
      <w:tblPr>
        <w:tblW w:w="4581" w:type="pc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1"/>
        <w:gridCol w:w="1840"/>
        <w:gridCol w:w="1840"/>
        <w:gridCol w:w="1838"/>
      </w:tblGrid>
      <w:tr w:rsidR="00927E1F" w:rsidRPr="0074745D" w:rsidTr="00927E1F">
        <w:trPr>
          <w:trHeight w:val="569"/>
        </w:trPr>
        <w:tc>
          <w:tcPr>
            <w:tcW w:w="18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74745D" w:rsidRDefault="00927E1F" w:rsidP="00927E1F">
            <w:pPr>
              <w:keepNext/>
              <w:keepLines/>
              <w:autoSpaceDE w:val="0"/>
              <w:autoSpaceDN w:val="0"/>
              <w:adjustRightInd w:val="0"/>
              <w:spacing w:before="40" w:after="40"/>
              <w:ind w:left="-74" w:right="-60"/>
              <w:jc w:val="center"/>
              <w:rPr>
                <w:b/>
                <w:bCs/>
                <w:sz w:val="16"/>
                <w:szCs w:val="16"/>
              </w:rPr>
            </w:pPr>
            <w:r w:rsidRPr="0074745D">
              <w:rPr>
                <w:b/>
                <w:sz w:val="16"/>
              </w:rPr>
              <w:t>Catégorie de dépenses</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74745D" w:rsidRDefault="00927E1F" w:rsidP="00927E1F">
            <w:pPr>
              <w:keepNext/>
              <w:keepLines/>
              <w:autoSpaceDE w:val="0"/>
              <w:autoSpaceDN w:val="0"/>
              <w:adjustRightInd w:val="0"/>
              <w:spacing w:before="40" w:after="40"/>
              <w:ind w:left="-107" w:right="-108"/>
              <w:jc w:val="center"/>
              <w:rPr>
                <w:b/>
                <w:bCs/>
                <w:sz w:val="16"/>
                <w:szCs w:val="16"/>
              </w:rPr>
            </w:pPr>
            <w:r w:rsidRPr="0074745D">
              <w:rPr>
                <w:b/>
                <w:sz w:val="16"/>
              </w:rPr>
              <w:t xml:space="preserve">Budget du projet </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74745D" w:rsidRDefault="00927E1F" w:rsidP="00927E1F">
            <w:pPr>
              <w:keepNext/>
              <w:keepLines/>
              <w:autoSpaceDE w:val="0"/>
              <w:autoSpaceDN w:val="0"/>
              <w:adjustRightInd w:val="0"/>
              <w:spacing w:before="40" w:after="40"/>
              <w:ind w:left="-108"/>
              <w:jc w:val="center"/>
              <w:rPr>
                <w:b/>
                <w:bCs/>
                <w:sz w:val="16"/>
                <w:szCs w:val="16"/>
              </w:rPr>
            </w:pPr>
            <w:r w:rsidRPr="0074745D">
              <w:rPr>
                <w:b/>
                <w:sz w:val="16"/>
              </w:rPr>
              <w:t xml:space="preserve">Dépenses effectives à ce jour </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74745D" w:rsidRDefault="00927E1F" w:rsidP="00927E1F">
            <w:pPr>
              <w:keepNext/>
              <w:keepLines/>
              <w:autoSpaceDE w:val="0"/>
              <w:autoSpaceDN w:val="0"/>
              <w:adjustRightInd w:val="0"/>
              <w:spacing w:before="40" w:after="40"/>
              <w:ind w:left="-109"/>
              <w:jc w:val="center"/>
              <w:rPr>
                <w:b/>
                <w:bCs/>
                <w:sz w:val="16"/>
                <w:szCs w:val="16"/>
              </w:rPr>
            </w:pPr>
            <w:r w:rsidRPr="0074745D">
              <w:rPr>
                <w:b/>
                <w:sz w:val="16"/>
              </w:rPr>
              <w:t>Utilisation effective du budget</w:t>
            </w:r>
          </w:p>
        </w:tc>
      </w:tr>
      <w:tr w:rsidR="00927E1F" w:rsidRPr="0074745D" w:rsidTr="00927E1F">
        <w:tc>
          <w:tcPr>
            <w:tcW w:w="1854"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autoSpaceDE w:val="0"/>
              <w:autoSpaceDN w:val="0"/>
              <w:adjustRightInd w:val="0"/>
              <w:spacing w:before="40" w:after="40"/>
              <w:rPr>
                <w:sz w:val="16"/>
                <w:szCs w:val="16"/>
              </w:rPr>
            </w:pPr>
            <w:r w:rsidRPr="0074745D">
              <w:rPr>
                <w:sz w:val="16"/>
              </w:rPr>
              <w:t>Dépenses relatives à la construction</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autoSpaceDE w:val="0"/>
              <w:autoSpaceDN w:val="0"/>
              <w:adjustRightInd w:val="0"/>
              <w:spacing w:before="40" w:after="40"/>
              <w:jc w:val="center"/>
              <w:rPr>
                <w:sz w:val="16"/>
                <w:szCs w:val="16"/>
              </w:rPr>
            </w:pPr>
            <w:r w:rsidRPr="0074745D">
              <w:rPr>
                <w:sz w:val="16"/>
              </w:rPr>
              <w:t>312 000</w:t>
            </w:r>
          </w:p>
        </w:tc>
        <w:tc>
          <w:tcPr>
            <w:tcW w:w="1049" w:type="pct"/>
            <w:tcBorders>
              <w:top w:val="single" w:sz="4" w:space="0" w:color="auto"/>
              <w:left w:val="single" w:sz="4" w:space="0" w:color="auto"/>
              <w:bottom w:val="single" w:sz="4" w:space="0" w:color="auto"/>
              <w:right w:val="single" w:sz="4" w:space="0" w:color="auto"/>
            </w:tcBorders>
          </w:tcPr>
          <w:p w:rsidR="00927E1F" w:rsidRPr="0074745D" w:rsidRDefault="00927E1F" w:rsidP="00927E1F">
            <w:pPr>
              <w:autoSpaceDE w:val="0"/>
              <w:autoSpaceDN w:val="0"/>
              <w:adjustRightInd w:val="0"/>
              <w:spacing w:before="40" w:after="40"/>
              <w:jc w:val="center"/>
              <w:rPr>
                <w:sz w:val="16"/>
                <w:szCs w:val="16"/>
              </w:rPr>
            </w:pPr>
            <w:r w:rsidRPr="0074745D">
              <w:rPr>
                <w:sz w:val="16"/>
                <w:szCs w:val="16"/>
              </w:rPr>
              <w:t>122 587</w:t>
            </w:r>
          </w:p>
        </w:tc>
        <w:tc>
          <w:tcPr>
            <w:tcW w:w="1048" w:type="pct"/>
            <w:tcBorders>
              <w:top w:val="single" w:sz="4" w:space="0" w:color="auto"/>
              <w:left w:val="single" w:sz="4" w:space="0" w:color="auto"/>
              <w:bottom w:val="single" w:sz="4" w:space="0" w:color="auto"/>
              <w:right w:val="single" w:sz="4" w:space="0" w:color="auto"/>
            </w:tcBorders>
          </w:tcPr>
          <w:p w:rsidR="00927E1F" w:rsidRPr="0074745D" w:rsidRDefault="00927E1F" w:rsidP="00927E1F">
            <w:pPr>
              <w:autoSpaceDE w:val="0"/>
              <w:autoSpaceDN w:val="0"/>
              <w:adjustRightInd w:val="0"/>
              <w:spacing w:before="40" w:after="40"/>
              <w:jc w:val="center"/>
              <w:rPr>
                <w:sz w:val="16"/>
                <w:szCs w:val="16"/>
              </w:rPr>
            </w:pPr>
            <w:r w:rsidRPr="0074745D">
              <w:rPr>
                <w:sz w:val="16"/>
                <w:szCs w:val="16"/>
              </w:rPr>
              <w:t>39%</w:t>
            </w:r>
          </w:p>
        </w:tc>
      </w:tr>
      <w:tr w:rsidR="00927E1F" w:rsidRPr="0074745D" w:rsidTr="00927E1F">
        <w:tc>
          <w:tcPr>
            <w:tcW w:w="1854"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autoSpaceDE w:val="0"/>
              <w:autoSpaceDN w:val="0"/>
              <w:adjustRightInd w:val="0"/>
              <w:spacing w:before="40" w:after="40"/>
              <w:rPr>
                <w:sz w:val="16"/>
                <w:szCs w:val="16"/>
              </w:rPr>
            </w:pPr>
            <w:r w:rsidRPr="0074745D">
              <w:rPr>
                <w:sz w:val="16"/>
              </w:rPr>
              <w:t>Honoraires</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autoSpaceDE w:val="0"/>
              <w:autoSpaceDN w:val="0"/>
              <w:adjustRightInd w:val="0"/>
              <w:spacing w:before="40" w:after="40"/>
              <w:jc w:val="center"/>
              <w:rPr>
                <w:sz w:val="16"/>
                <w:szCs w:val="16"/>
              </w:rPr>
            </w:pPr>
            <w:r w:rsidRPr="0074745D">
              <w:rPr>
                <w:sz w:val="16"/>
              </w:rPr>
              <w:t>60 000</w:t>
            </w:r>
          </w:p>
        </w:tc>
        <w:tc>
          <w:tcPr>
            <w:tcW w:w="1049" w:type="pct"/>
            <w:tcBorders>
              <w:top w:val="single" w:sz="4" w:space="0" w:color="auto"/>
              <w:left w:val="single" w:sz="4" w:space="0" w:color="auto"/>
              <w:bottom w:val="single" w:sz="4" w:space="0" w:color="auto"/>
              <w:right w:val="single" w:sz="4" w:space="0" w:color="auto"/>
            </w:tcBorders>
          </w:tcPr>
          <w:p w:rsidR="00927E1F" w:rsidRPr="0074745D" w:rsidRDefault="00927E1F" w:rsidP="00927E1F">
            <w:pPr>
              <w:autoSpaceDE w:val="0"/>
              <w:autoSpaceDN w:val="0"/>
              <w:adjustRightInd w:val="0"/>
              <w:spacing w:before="40" w:after="40"/>
              <w:jc w:val="center"/>
              <w:rPr>
                <w:sz w:val="16"/>
                <w:szCs w:val="16"/>
              </w:rPr>
            </w:pPr>
            <w:r w:rsidRPr="0074745D">
              <w:rPr>
                <w:sz w:val="16"/>
                <w:szCs w:val="16"/>
              </w:rPr>
              <w:t>0</w:t>
            </w:r>
          </w:p>
        </w:tc>
        <w:tc>
          <w:tcPr>
            <w:tcW w:w="1048" w:type="pct"/>
            <w:tcBorders>
              <w:top w:val="single" w:sz="4" w:space="0" w:color="auto"/>
              <w:left w:val="single" w:sz="4" w:space="0" w:color="auto"/>
              <w:bottom w:val="single" w:sz="4" w:space="0" w:color="auto"/>
              <w:right w:val="single" w:sz="4" w:space="0" w:color="auto"/>
            </w:tcBorders>
          </w:tcPr>
          <w:p w:rsidR="00927E1F" w:rsidRPr="0074745D" w:rsidRDefault="00927E1F" w:rsidP="00927E1F">
            <w:pPr>
              <w:autoSpaceDE w:val="0"/>
              <w:autoSpaceDN w:val="0"/>
              <w:adjustRightInd w:val="0"/>
              <w:spacing w:before="40" w:after="40"/>
              <w:jc w:val="center"/>
              <w:rPr>
                <w:sz w:val="16"/>
                <w:szCs w:val="16"/>
              </w:rPr>
            </w:pPr>
            <w:r w:rsidRPr="0074745D">
              <w:rPr>
                <w:sz w:val="16"/>
                <w:szCs w:val="16"/>
              </w:rPr>
              <w:t>0%</w:t>
            </w:r>
          </w:p>
        </w:tc>
      </w:tr>
      <w:tr w:rsidR="00927E1F" w:rsidRPr="0074745D" w:rsidTr="00927E1F">
        <w:tc>
          <w:tcPr>
            <w:tcW w:w="1854"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autoSpaceDE w:val="0"/>
              <w:autoSpaceDN w:val="0"/>
              <w:adjustRightInd w:val="0"/>
              <w:spacing w:before="40" w:after="40"/>
              <w:rPr>
                <w:sz w:val="16"/>
                <w:szCs w:val="16"/>
              </w:rPr>
            </w:pPr>
            <w:r w:rsidRPr="0074745D">
              <w:rPr>
                <w:sz w:val="16"/>
              </w:rPr>
              <w:t>Divers et imprévus</w:t>
            </w:r>
          </w:p>
        </w:tc>
        <w:tc>
          <w:tcPr>
            <w:tcW w:w="1049" w:type="pct"/>
            <w:tcBorders>
              <w:top w:val="single" w:sz="4" w:space="0" w:color="auto"/>
              <w:left w:val="single" w:sz="4" w:space="0" w:color="auto"/>
              <w:bottom w:val="single" w:sz="4" w:space="0" w:color="auto"/>
              <w:right w:val="single" w:sz="4" w:space="0" w:color="auto"/>
            </w:tcBorders>
            <w:vAlign w:val="center"/>
          </w:tcPr>
          <w:p w:rsidR="00927E1F" w:rsidRPr="0074745D" w:rsidRDefault="00927E1F" w:rsidP="00927E1F">
            <w:pPr>
              <w:autoSpaceDE w:val="0"/>
              <w:autoSpaceDN w:val="0"/>
              <w:adjustRightInd w:val="0"/>
              <w:spacing w:before="40" w:after="40"/>
              <w:jc w:val="center"/>
              <w:rPr>
                <w:sz w:val="16"/>
                <w:szCs w:val="16"/>
              </w:rPr>
            </w:pPr>
            <w:r w:rsidRPr="0074745D">
              <w:rPr>
                <w:sz w:val="16"/>
              </w:rPr>
              <w:t>28 000</w:t>
            </w:r>
          </w:p>
        </w:tc>
        <w:tc>
          <w:tcPr>
            <w:tcW w:w="1049" w:type="pct"/>
            <w:tcBorders>
              <w:top w:val="single" w:sz="4" w:space="0" w:color="auto"/>
              <w:left w:val="single" w:sz="4" w:space="0" w:color="auto"/>
              <w:bottom w:val="single" w:sz="4" w:space="0" w:color="auto"/>
              <w:right w:val="single" w:sz="4" w:space="0" w:color="auto"/>
            </w:tcBorders>
          </w:tcPr>
          <w:p w:rsidR="00927E1F" w:rsidRPr="0074745D" w:rsidRDefault="00927E1F" w:rsidP="00927E1F">
            <w:pPr>
              <w:autoSpaceDE w:val="0"/>
              <w:autoSpaceDN w:val="0"/>
              <w:adjustRightInd w:val="0"/>
              <w:spacing w:before="40" w:after="40"/>
              <w:jc w:val="center"/>
              <w:rPr>
                <w:sz w:val="16"/>
                <w:szCs w:val="16"/>
              </w:rPr>
            </w:pPr>
            <w:r w:rsidRPr="0074745D">
              <w:rPr>
                <w:sz w:val="16"/>
                <w:szCs w:val="16"/>
              </w:rPr>
              <w:t>0</w:t>
            </w:r>
          </w:p>
        </w:tc>
        <w:tc>
          <w:tcPr>
            <w:tcW w:w="1048" w:type="pct"/>
            <w:tcBorders>
              <w:top w:val="single" w:sz="4" w:space="0" w:color="auto"/>
              <w:left w:val="single" w:sz="4" w:space="0" w:color="auto"/>
              <w:bottom w:val="single" w:sz="4" w:space="0" w:color="auto"/>
              <w:right w:val="single" w:sz="4" w:space="0" w:color="auto"/>
            </w:tcBorders>
          </w:tcPr>
          <w:p w:rsidR="00927E1F" w:rsidRPr="0074745D" w:rsidRDefault="00927E1F" w:rsidP="00927E1F">
            <w:pPr>
              <w:autoSpaceDE w:val="0"/>
              <w:autoSpaceDN w:val="0"/>
              <w:adjustRightInd w:val="0"/>
              <w:spacing w:before="40" w:after="40"/>
              <w:jc w:val="center"/>
              <w:rPr>
                <w:sz w:val="16"/>
                <w:szCs w:val="16"/>
              </w:rPr>
            </w:pPr>
            <w:r w:rsidRPr="0074745D">
              <w:rPr>
                <w:sz w:val="16"/>
                <w:szCs w:val="16"/>
              </w:rPr>
              <w:t>0%</w:t>
            </w:r>
          </w:p>
        </w:tc>
      </w:tr>
      <w:tr w:rsidR="00927E1F" w:rsidRPr="0074745D" w:rsidTr="00927E1F">
        <w:tc>
          <w:tcPr>
            <w:tcW w:w="1854"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74745D" w:rsidRDefault="00927E1F" w:rsidP="00927E1F">
            <w:pPr>
              <w:autoSpaceDE w:val="0"/>
              <w:autoSpaceDN w:val="0"/>
              <w:adjustRightInd w:val="0"/>
              <w:spacing w:before="40" w:after="40"/>
              <w:rPr>
                <w:b/>
                <w:sz w:val="16"/>
                <w:szCs w:val="16"/>
              </w:rPr>
            </w:pPr>
            <w:r w:rsidRPr="0074745D">
              <w:rPr>
                <w:b/>
                <w:sz w:val="16"/>
              </w:rPr>
              <w:t>Total</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927E1F" w:rsidRPr="0074745D" w:rsidRDefault="00927E1F" w:rsidP="00927E1F">
            <w:pPr>
              <w:autoSpaceDE w:val="0"/>
              <w:autoSpaceDN w:val="0"/>
              <w:adjustRightInd w:val="0"/>
              <w:spacing w:before="40" w:after="40"/>
              <w:jc w:val="center"/>
              <w:rPr>
                <w:b/>
                <w:sz w:val="16"/>
                <w:szCs w:val="16"/>
              </w:rPr>
            </w:pPr>
            <w:r w:rsidRPr="0074745D">
              <w:rPr>
                <w:b/>
                <w:sz w:val="16"/>
              </w:rPr>
              <w:t>400 000</w:t>
            </w:r>
          </w:p>
        </w:tc>
        <w:tc>
          <w:tcPr>
            <w:tcW w:w="1049"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927E1F" w:rsidRPr="0074745D" w:rsidRDefault="00927E1F" w:rsidP="00927E1F">
            <w:pPr>
              <w:autoSpaceDE w:val="0"/>
              <w:autoSpaceDN w:val="0"/>
              <w:adjustRightInd w:val="0"/>
              <w:spacing w:before="40" w:after="40"/>
              <w:jc w:val="center"/>
              <w:rPr>
                <w:b/>
                <w:sz w:val="16"/>
                <w:szCs w:val="16"/>
              </w:rPr>
            </w:pPr>
            <w:r w:rsidRPr="0074745D">
              <w:rPr>
                <w:b/>
                <w:sz w:val="16"/>
                <w:szCs w:val="16"/>
              </w:rPr>
              <w:t>122 587</w:t>
            </w:r>
          </w:p>
        </w:tc>
        <w:tc>
          <w:tcPr>
            <w:tcW w:w="1048" w:type="pct"/>
            <w:tcBorders>
              <w:top w:val="single" w:sz="4" w:space="0" w:color="auto"/>
              <w:left w:val="single" w:sz="4" w:space="0" w:color="auto"/>
              <w:bottom w:val="single" w:sz="4" w:space="0" w:color="auto"/>
              <w:right w:val="single" w:sz="4" w:space="0" w:color="auto"/>
            </w:tcBorders>
            <w:shd w:val="clear" w:color="auto" w:fill="C6D9F1" w:themeFill="text2" w:themeFillTint="33"/>
          </w:tcPr>
          <w:p w:rsidR="00927E1F" w:rsidRPr="0074745D" w:rsidRDefault="00927E1F" w:rsidP="00927E1F">
            <w:pPr>
              <w:autoSpaceDE w:val="0"/>
              <w:autoSpaceDN w:val="0"/>
              <w:adjustRightInd w:val="0"/>
              <w:spacing w:before="40" w:after="40"/>
              <w:jc w:val="center"/>
              <w:rPr>
                <w:b/>
                <w:sz w:val="16"/>
                <w:szCs w:val="16"/>
              </w:rPr>
            </w:pPr>
          </w:p>
        </w:tc>
      </w:tr>
    </w:tbl>
    <w:p w:rsidR="00927E1F" w:rsidRPr="00E23270" w:rsidRDefault="00927E1F" w:rsidP="00927E1F">
      <w:pPr>
        <w:rPr>
          <w:szCs w:val="20"/>
        </w:rPr>
      </w:pPr>
    </w:p>
    <w:p w:rsidR="00927E1F" w:rsidRPr="00E23270" w:rsidRDefault="00927E1F" w:rsidP="00927E1F">
      <w:pPr>
        <w:rPr>
          <w:szCs w:val="20"/>
        </w:rPr>
      </w:pPr>
    </w:p>
    <w:p w:rsidR="00927E1F" w:rsidRPr="00E23270" w:rsidRDefault="00927E1F" w:rsidP="00927E1F">
      <w:pPr>
        <w:rPr>
          <w:szCs w:val="20"/>
        </w:rPr>
      </w:pPr>
      <w:r w:rsidRPr="00E23270">
        <w:rPr>
          <w:szCs w:val="20"/>
        </w:rPr>
        <w:t>RISQUES ET STRATÉGIES D’ATTÉNUATION</w:t>
      </w:r>
    </w:p>
    <w:p w:rsidR="00927E1F" w:rsidRPr="00E23270" w:rsidRDefault="00927E1F" w:rsidP="00927E1F">
      <w:pPr>
        <w:rPr>
          <w:szCs w:val="20"/>
        </w:rPr>
      </w:pPr>
    </w:p>
    <w:tbl>
      <w:tblPr>
        <w:tblW w:w="481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1"/>
        <w:gridCol w:w="3072"/>
        <w:gridCol w:w="3070"/>
      </w:tblGrid>
      <w:tr w:rsidR="00927E1F" w:rsidRPr="0074745D" w:rsidTr="00927E1F">
        <w:trPr>
          <w:trHeight w:val="308"/>
          <w:tblHeader/>
          <w:jc w:val="center"/>
        </w:trPr>
        <w:tc>
          <w:tcPr>
            <w:tcW w:w="1667" w:type="pct"/>
            <w:shd w:val="clear" w:color="auto" w:fill="C6D9F1" w:themeFill="text2" w:themeFillTint="33"/>
            <w:vAlign w:val="center"/>
          </w:tcPr>
          <w:p w:rsidR="00927E1F" w:rsidRPr="0074745D" w:rsidRDefault="00927E1F" w:rsidP="00927E1F">
            <w:pPr>
              <w:autoSpaceDE w:val="0"/>
              <w:autoSpaceDN w:val="0"/>
              <w:adjustRightInd w:val="0"/>
              <w:spacing w:before="40" w:after="40"/>
              <w:ind w:left="-74" w:right="-60"/>
              <w:jc w:val="center"/>
              <w:rPr>
                <w:b/>
                <w:bCs/>
                <w:sz w:val="16"/>
                <w:szCs w:val="16"/>
              </w:rPr>
            </w:pPr>
            <w:r w:rsidRPr="0074745D">
              <w:rPr>
                <w:b/>
                <w:sz w:val="16"/>
              </w:rPr>
              <w:t>Risque /</w:t>
            </w:r>
            <w:r w:rsidRPr="0074745D">
              <w:rPr>
                <w:b/>
                <w:bCs/>
                <w:sz w:val="16"/>
                <w:szCs w:val="16"/>
              </w:rPr>
              <w:t xml:space="preserve"> Description du risque</w:t>
            </w:r>
          </w:p>
        </w:tc>
        <w:tc>
          <w:tcPr>
            <w:tcW w:w="1667" w:type="pct"/>
            <w:shd w:val="clear" w:color="auto" w:fill="C6D9F1" w:themeFill="text2" w:themeFillTint="33"/>
            <w:vAlign w:val="center"/>
          </w:tcPr>
          <w:p w:rsidR="00927E1F" w:rsidRPr="0074745D" w:rsidRDefault="00927E1F" w:rsidP="00927E1F">
            <w:pPr>
              <w:autoSpaceDE w:val="0"/>
              <w:autoSpaceDN w:val="0"/>
              <w:adjustRightInd w:val="0"/>
              <w:spacing w:before="40" w:after="40"/>
              <w:ind w:left="-107" w:right="-108"/>
              <w:jc w:val="center"/>
              <w:rPr>
                <w:b/>
                <w:bCs/>
                <w:sz w:val="16"/>
                <w:szCs w:val="16"/>
              </w:rPr>
            </w:pPr>
            <w:r w:rsidRPr="0074745D">
              <w:rPr>
                <w:b/>
                <w:sz w:val="16"/>
              </w:rPr>
              <w:t>Atténuation des risques</w:t>
            </w:r>
          </w:p>
        </w:tc>
        <w:tc>
          <w:tcPr>
            <w:tcW w:w="1666" w:type="pct"/>
            <w:shd w:val="clear" w:color="auto" w:fill="C6D9F1" w:themeFill="text2" w:themeFillTint="33"/>
            <w:vAlign w:val="center"/>
          </w:tcPr>
          <w:p w:rsidR="00927E1F" w:rsidRPr="0074745D" w:rsidRDefault="00927E1F" w:rsidP="00927E1F">
            <w:pPr>
              <w:autoSpaceDE w:val="0"/>
              <w:autoSpaceDN w:val="0"/>
              <w:adjustRightInd w:val="0"/>
              <w:spacing w:before="40" w:after="40"/>
              <w:ind w:left="-109"/>
              <w:jc w:val="center"/>
              <w:rPr>
                <w:b/>
                <w:bCs/>
                <w:sz w:val="16"/>
                <w:szCs w:val="16"/>
              </w:rPr>
            </w:pPr>
            <w:r w:rsidRPr="0074745D">
              <w:rPr>
                <w:b/>
                <w:bCs/>
                <w:sz w:val="16"/>
                <w:szCs w:val="16"/>
              </w:rPr>
              <w:t>Observation</w:t>
            </w:r>
          </w:p>
        </w:tc>
      </w:tr>
      <w:tr w:rsidR="00927E1F" w:rsidRPr="0074745D" w:rsidTr="00927E1F">
        <w:trPr>
          <w:trHeight w:val="776"/>
          <w:jc w:val="center"/>
        </w:trPr>
        <w:tc>
          <w:tcPr>
            <w:tcW w:w="1667" w:type="pct"/>
            <w:shd w:val="clear" w:color="auto" w:fill="FFFFFF"/>
          </w:tcPr>
          <w:p w:rsidR="00927E1F" w:rsidRPr="0074745D" w:rsidRDefault="00927E1F" w:rsidP="00927E1F">
            <w:pPr>
              <w:autoSpaceDE w:val="0"/>
              <w:autoSpaceDN w:val="0"/>
              <w:adjustRightInd w:val="0"/>
              <w:spacing w:before="40" w:after="40"/>
              <w:rPr>
                <w:sz w:val="16"/>
                <w:szCs w:val="16"/>
              </w:rPr>
            </w:pPr>
            <w:r w:rsidRPr="0074745D">
              <w:rPr>
                <w:sz w:val="16"/>
                <w:szCs w:val="16"/>
              </w:rPr>
              <w:t>Ne pas pouvoir réaliser les travaux selon le calendrier prévu en raison de l’indisponibilité d’un fournisseur dans le délai demandé par l’OMPI.</w:t>
            </w:r>
          </w:p>
        </w:tc>
        <w:tc>
          <w:tcPr>
            <w:tcW w:w="1667" w:type="pct"/>
            <w:shd w:val="clear" w:color="auto" w:fill="FFFFFF"/>
          </w:tcPr>
          <w:p w:rsidR="00927E1F" w:rsidRPr="0074745D" w:rsidRDefault="00927E1F" w:rsidP="00927E1F">
            <w:pPr>
              <w:autoSpaceDE w:val="0"/>
              <w:autoSpaceDN w:val="0"/>
              <w:adjustRightInd w:val="0"/>
              <w:spacing w:before="40" w:after="40"/>
              <w:rPr>
                <w:sz w:val="16"/>
                <w:szCs w:val="16"/>
              </w:rPr>
            </w:pPr>
            <w:r w:rsidRPr="0074745D">
              <w:rPr>
                <w:sz w:val="16"/>
                <w:szCs w:val="16"/>
              </w:rPr>
              <w:t>Utilisation du personnel de l’OMPI pour combler les lacunes, le cas échéant.</w:t>
            </w:r>
          </w:p>
        </w:tc>
        <w:tc>
          <w:tcPr>
            <w:tcW w:w="1666" w:type="pct"/>
            <w:shd w:val="clear" w:color="auto" w:fill="FFFFFF"/>
          </w:tcPr>
          <w:p w:rsidR="00927E1F" w:rsidRPr="0074745D" w:rsidRDefault="00927E1F" w:rsidP="00927E1F">
            <w:pPr>
              <w:autoSpaceDE w:val="0"/>
              <w:autoSpaceDN w:val="0"/>
              <w:adjustRightInd w:val="0"/>
              <w:spacing w:before="40" w:after="40"/>
              <w:rPr>
                <w:sz w:val="16"/>
                <w:szCs w:val="16"/>
              </w:rPr>
            </w:pPr>
            <w:r w:rsidRPr="0074745D">
              <w:rPr>
                <w:sz w:val="16"/>
                <w:szCs w:val="16"/>
              </w:rPr>
              <w:t xml:space="preserve">En 2015, l’étude pour le projet relatif à la compartimentation entre les bâtiments GBI et AB a été retardée de six mois en raison du départ imprévu du consultant initialement chargé de réaliser l’étude.  Afin de limiter l’incidence de l’événement à risque sur la mise en œuvre du projet, le Secrétariat a mené l’étude avec l’aide du personnel de l’OMPI.  </w:t>
            </w:r>
          </w:p>
        </w:tc>
      </w:tr>
      <w:tr w:rsidR="00927E1F" w:rsidRPr="0074745D" w:rsidTr="00927E1F">
        <w:trPr>
          <w:trHeight w:val="776"/>
          <w:jc w:val="center"/>
        </w:trPr>
        <w:tc>
          <w:tcPr>
            <w:tcW w:w="1667" w:type="pct"/>
            <w:shd w:val="clear" w:color="auto" w:fill="FFFFFF"/>
          </w:tcPr>
          <w:p w:rsidR="00927E1F" w:rsidRPr="0074745D" w:rsidRDefault="00927E1F" w:rsidP="00927E1F">
            <w:pPr>
              <w:autoSpaceDE w:val="0"/>
              <w:autoSpaceDN w:val="0"/>
              <w:adjustRightInd w:val="0"/>
              <w:spacing w:before="40" w:after="40"/>
              <w:rPr>
                <w:sz w:val="16"/>
                <w:szCs w:val="16"/>
              </w:rPr>
            </w:pPr>
            <w:r w:rsidRPr="0074745D">
              <w:rPr>
                <w:sz w:val="16"/>
                <w:szCs w:val="16"/>
              </w:rPr>
              <w:t>Retard ou interruption pendant le chantier en raison d’un accident de chantier.</w:t>
            </w:r>
          </w:p>
        </w:tc>
        <w:tc>
          <w:tcPr>
            <w:tcW w:w="1667" w:type="pct"/>
            <w:shd w:val="clear" w:color="auto" w:fill="FFFFFF"/>
          </w:tcPr>
          <w:p w:rsidR="00927E1F" w:rsidRPr="0074745D" w:rsidRDefault="00927E1F" w:rsidP="00927E1F">
            <w:pPr>
              <w:autoSpaceDE w:val="0"/>
              <w:autoSpaceDN w:val="0"/>
              <w:adjustRightInd w:val="0"/>
              <w:spacing w:before="40" w:after="40"/>
              <w:rPr>
                <w:sz w:val="16"/>
                <w:szCs w:val="16"/>
              </w:rPr>
            </w:pPr>
            <w:r w:rsidRPr="0074745D">
              <w:rPr>
                <w:sz w:val="16"/>
                <w:szCs w:val="16"/>
              </w:rPr>
              <w:t>Revalidation et renforcement des mesures de sécurité et révision du calendrier des travaux.</w:t>
            </w:r>
          </w:p>
        </w:tc>
        <w:tc>
          <w:tcPr>
            <w:tcW w:w="1666" w:type="pct"/>
            <w:shd w:val="clear" w:color="auto" w:fill="FFFFFF"/>
          </w:tcPr>
          <w:p w:rsidR="00927E1F" w:rsidRPr="0074745D" w:rsidRDefault="00927E1F" w:rsidP="00927E1F">
            <w:pPr>
              <w:autoSpaceDE w:val="0"/>
              <w:autoSpaceDN w:val="0"/>
              <w:adjustRightInd w:val="0"/>
              <w:spacing w:before="40" w:after="40"/>
              <w:rPr>
                <w:sz w:val="16"/>
                <w:szCs w:val="16"/>
              </w:rPr>
            </w:pPr>
          </w:p>
        </w:tc>
      </w:tr>
    </w:tbl>
    <w:p w:rsidR="00927E1F" w:rsidRPr="0074745D" w:rsidRDefault="00927E1F" w:rsidP="00927E1F">
      <w:pPr>
        <w:autoSpaceDE w:val="0"/>
        <w:autoSpaceDN w:val="0"/>
        <w:jc w:val="both"/>
      </w:pPr>
    </w:p>
    <w:p w:rsidR="00927E1F" w:rsidRPr="006A16DB" w:rsidRDefault="00927E1F" w:rsidP="00927E1F"/>
    <w:p w:rsidR="00927E1F" w:rsidRDefault="00927E1F" w:rsidP="00927E1F">
      <w:pPr>
        <w:rPr>
          <w:sz w:val="22"/>
        </w:rPr>
      </w:pPr>
      <w:r>
        <w:rPr>
          <w:sz w:val="22"/>
        </w:rPr>
        <w:br w:type="page"/>
      </w:r>
    </w:p>
    <w:p w:rsidR="00927E1F" w:rsidRPr="00E23270" w:rsidRDefault="00927E1F" w:rsidP="00927E1F">
      <w:pPr>
        <w:rPr>
          <w:szCs w:val="20"/>
        </w:rPr>
      </w:pPr>
      <w:r w:rsidRPr="00E23270">
        <w:rPr>
          <w:szCs w:val="20"/>
        </w:rPr>
        <w:lastRenderedPageBreak/>
        <w:t>CALENDRIER DU PROJET PAR ÉTAPE</w:t>
      </w:r>
    </w:p>
    <w:p w:rsidR="00927E1F" w:rsidRPr="00E23270" w:rsidRDefault="00927E1F" w:rsidP="00927E1F">
      <w:pPr>
        <w:rPr>
          <w:szCs w:val="20"/>
        </w:rPr>
      </w:pPr>
    </w:p>
    <w:tbl>
      <w:tblPr>
        <w:tblW w:w="10004" w:type="dxa"/>
        <w:jc w:val="center"/>
        <w:tblInd w:w="-391" w:type="dxa"/>
        <w:tblCellMar>
          <w:top w:w="113" w:type="dxa"/>
          <w:left w:w="68" w:type="dxa"/>
          <w:bottom w:w="113" w:type="dxa"/>
          <w:right w:w="68" w:type="dxa"/>
        </w:tblCellMar>
        <w:tblLook w:val="04A0" w:firstRow="1" w:lastRow="0" w:firstColumn="1" w:lastColumn="0" w:noHBand="0" w:noVBand="1"/>
      </w:tblPr>
      <w:tblGrid>
        <w:gridCol w:w="2324"/>
        <w:gridCol w:w="480"/>
        <w:gridCol w:w="480"/>
        <w:gridCol w:w="480"/>
        <w:gridCol w:w="480"/>
        <w:gridCol w:w="480"/>
        <w:gridCol w:w="480"/>
        <w:gridCol w:w="480"/>
        <w:gridCol w:w="480"/>
        <w:gridCol w:w="480"/>
        <w:gridCol w:w="480"/>
        <w:gridCol w:w="480"/>
        <w:gridCol w:w="480"/>
        <w:gridCol w:w="480"/>
        <w:gridCol w:w="480"/>
        <w:gridCol w:w="480"/>
        <w:gridCol w:w="480"/>
      </w:tblGrid>
      <w:tr w:rsidR="00927E1F" w:rsidRPr="0074745D" w:rsidTr="00927E1F">
        <w:trPr>
          <w:cantSplit/>
          <w:jc w:val="center"/>
        </w:trPr>
        <w:tc>
          <w:tcPr>
            <w:tcW w:w="2324" w:type="dxa"/>
            <w:tcBorders>
              <w:top w:val="nil"/>
              <w:left w:val="nil"/>
              <w:bottom w:val="nil"/>
              <w:right w:val="nil"/>
            </w:tcBorders>
            <w:shd w:val="clear" w:color="auto" w:fill="auto"/>
            <w:noWrap/>
            <w:vAlign w:val="bottom"/>
            <w:hideMark/>
          </w:tcPr>
          <w:p w:rsidR="00927E1F" w:rsidRPr="0074745D" w:rsidRDefault="00927E1F" w:rsidP="00927E1F">
            <w:pPr>
              <w:rPr>
                <w:sz w:val="16"/>
                <w:szCs w:val="16"/>
              </w:rPr>
            </w:pPr>
          </w:p>
        </w:tc>
        <w:tc>
          <w:tcPr>
            <w:tcW w:w="1920" w:type="dxa"/>
            <w:gridSpan w:val="4"/>
            <w:tcBorders>
              <w:top w:val="single" w:sz="8" w:space="0" w:color="auto"/>
              <w:left w:val="single" w:sz="8" w:space="0" w:color="auto"/>
              <w:bottom w:val="single" w:sz="4" w:space="0" w:color="auto"/>
              <w:right w:val="single" w:sz="8" w:space="0" w:color="000000"/>
            </w:tcBorders>
            <w:shd w:val="clear" w:color="auto" w:fill="C6D9F1"/>
            <w:noWrap/>
            <w:vAlign w:val="bottom"/>
            <w:hideMark/>
          </w:tcPr>
          <w:p w:rsidR="00927E1F" w:rsidRPr="0074745D" w:rsidRDefault="00927E1F" w:rsidP="00927E1F">
            <w:pPr>
              <w:jc w:val="center"/>
              <w:rPr>
                <w:b/>
                <w:bCs/>
                <w:sz w:val="16"/>
                <w:szCs w:val="16"/>
              </w:rPr>
            </w:pPr>
            <w:r w:rsidRPr="0074745D">
              <w:rPr>
                <w:b/>
                <w:sz w:val="16"/>
              </w:rPr>
              <w:t>2014</w:t>
            </w:r>
          </w:p>
        </w:tc>
        <w:tc>
          <w:tcPr>
            <w:tcW w:w="1920" w:type="dxa"/>
            <w:gridSpan w:val="4"/>
            <w:tcBorders>
              <w:top w:val="single" w:sz="8" w:space="0" w:color="auto"/>
              <w:left w:val="nil"/>
              <w:bottom w:val="single" w:sz="4" w:space="0" w:color="auto"/>
              <w:right w:val="single" w:sz="8" w:space="0" w:color="000000"/>
            </w:tcBorders>
            <w:shd w:val="clear" w:color="auto" w:fill="C6D9F1"/>
            <w:noWrap/>
            <w:vAlign w:val="bottom"/>
            <w:hideMark/>
          </w:tcPr>
          <w:p w:rsidR="00927E1F" w:rsidRPr="0074745D" w:rsidRDefault="00927E1F" w:rsidP="00927E1F">
            <w:pPr>
              <w:jc w:val="center"/>
              <w:rPr>
                <w:b/>
                <w:bCs/>
                <w:sz w:val="16"/>
                <w:szCs w:val="16"/>
              </w:rPr>
            </w:pPr>
            <w:r w:rsidRPr="0074745D">
              <w:rPr>
                <w:b/>
                <w:sz w:val="16"/>
              </w:rPr>
              <w:t>2015</w:t>
            </w:r>
          </w:p>
        </w:tc>
        <w:tc>
          <w:tcPr>
            <w:tcW w:w="1920" w:type="dxa"/>
            <w:gridSpan w:val="4"/>
            <w:tcBorders>
              <w:top w:val="single" w:sz="8" w:space="0" w:color="auto"/>
              <w:left w:val="nil"/>
              <w:bottom w:val="single" w:sz="4" w:space="0" w:color="auto"/>
              <w:right w:val="single" w:sz="8" w:space="0" w:color="000000"/>
            </w:tcBorders>
            <w:shd w:val="clear" w:color="auto" w:fill="C6D9F1"/>
            <w:noWrap/>
            <w:vAlign w:val="bottom"/>
            <w:hideMark/>
          </w:tcPr>
          <w:p w:rsidR="00927E1F" w:rsidRPr="0074745D" w:rsidRDefault="00927E1F" w:rsidP="00927E1F">
            <w:pPr>
              <w:jc w:val="center"/>
              <w:rPr>
                <w:b/>
                <w:bCs/>
                <w:sz w:val="16"/>
                <w:szCs w:val="16"/>
              </w:rPr>
            </w:pPr>
            <w:r w:rsidRPr="0074745D">
              <w:rPr>
                <w:b/>
                <w:sz w:val="16"/>
              </w:rPr>
              <w:t>2016</w:t>
            </w:r>
          </w:p>
        </w:tc>
        <w:tc>
          <w:tcPr>
            <w:tcW w:w="1920" w:type="dxa"/>
            <w:gridSpan w:val="4"/>
            <w:tcBorders>
              <w:top w:val="single" w:sz="8" w:space="0" w:color="auto"/>
              <w:left w:val="nil"/>
              <w:bottom w:val="single" w:sz="4" w:space="0" w:color="auto"/>
              <w:right w:val="single" w:sz="8" w:space="0" w:color="000000"/>
            </w:tcBorders>
            <w:shd w:val="clear" w:color="auto" w:fill="C6D9F1"/>
            <w:noWrap/>
            <w:vAlign w:val="bottom"/>
            <w:hideMark/>
          </w:tcPr>
          <w:p w:rsidR="00927E1F" w:rsidRPr="0074745D" w:rsidRDefault="00927E1F" w:rsidP="00927E1F">
            <w:pPr>
              <w:jc w:val="center"/>
              <w:rPr>
                <w:b/>
                <w:bCs/>
                <w:sz w:val="16"/>
                <w:szCs w:val="16"/>
              </w:rPr>
            </w:pPr>
            <w:r w:rsidRPr="0074745D">
              <w:rPr>
                <w:b/>
                <w:sz w:val="16"/>
              </w:rPr>
              <w:t>2017</w:t>
            </w:r>
          </w:p>
        </w:tc>
      </w:tr>
      <w:tr w:rsidR="00927E1F" w:rsidRPr="0074745D" w:rsidTr="00927E1F">
        <w:trPr>
          <w:cantSplit/>
          <w:jc w:val="center"/>
        </w:trPr>
        <w:tc>
          <w:tcPr>
            <w:tcW w:w="2324" w:type="dxa"/>
            <w:tcBorders>
              <w:top w:val="single" w:sz="8" w:space="0" w:color="auto"/>
              <w:left w:val="single" w:sz="8" w:space="0" w:color="auto"/>
              <w:bottom w:val="single" w:sz="4" w:space="0" w:color="auto"/>
              <w:right w:val="single" w:sz="8" w:space="0" w:color="auto"/>
            </w:tcBorders>
            <w:shd w:val="clear" w:color="auto" w:fill="C6D9F1"/>
            <w:noWrap/>
            <w:vAlign w:val="bottom"/>
            <w:hideMark/>
          </w:tcPr>
          <w:p w:rsidR="00927E1F" w:rsidRPr="0074745D" w:rsidRDefault="00927E1F" w:rsidP="00927E1F">
            <w:pPr>
              <w:jc w:val="center"/>
              <w:rPr>
                <w:b/>
                <w:bCs/>
                <w:sz w:val="16"/>
                <w:szCs w:val="16"/>
              </w:rPr>
            </w:pPr>
            <w:r w:rsidRPr="0074745D">
              <w:rPr>
                <w:b/>
                <w:sz w:val="16"/>
              </w:rPr>
              <w:t>Étape principale</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74745D" w:rsidRDefault="00927E1F" w:rsidP="00927E1F">
            <w:pPr>
              <w:rPr>
                <w:b/>
                <w:bCs/>
                <w:sz w:val="16"/>
                <w:szCs w:val="16"/>
              </w:rPr>
            </w:pPr>
            <w:r>
              <w:rPr>
                <w:b/>
                <w:bCs/>
                <w:sz w:val="16"/>
                <w:szCs w:val="16"/>
              </w:rPr>
              <w:t>T</w:t>
            </w:r>
            <w:r w:rsidRPr="0074745D">
              <w:rPr>
                <w:b/>
                <w:bCs/>
                <w:sz w:val="16"/>
                <w:szCs w:val="16"/>
              </w:rPr>
              <w:t>1</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74745D" w:rsidRDefault="00927E1F" w:rsidP="00927E1F">
            <w:pPr>
              <w:rPr>
                <w:b/>
                <w:bCs/>
                <w:sz w:val="16"/>
                <w:szCs w:val="16"/>
              </w:rPr>
            </w:pPr>
            <w:r>
              <w:rPr>
                <w:b/>
                <w:bCs/>
                <w:sz w:val="16"/>
                <w:szCs w:val="16"/>
              </w:rPr>
              <w:t>T</w:t>
            </w:r>
            <w:r w:rsidRPr="0074745D">
              <w:rPr>
                <w:b/>
                <w:bCs/>
                <w:sz w:val="16"/>
                <w:szCs w:val="16"/>
              </w:rPr>
              <w:t>2</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74745D" w:rsidRDefault="00927E1F" w:rsidP="00927E1F">
            <w:pPr>
              <w:rPr>
                <w:b/>
                <w:bCs/>
                <w:sz w:val="16"/>
                <w:szCs w:val="16"/>
              </w:rPr>
            </w:pPr>
            <w:r>
              <w:rPr>
                <w:b/>
                <w:bCs/>
                <w:sz w:val="16"/>
                <w:szCs w:val="16"/>
              </w:rPr>
              <w:t>T</w:t>
            </w:r>
            <w:r w:rsidRPr="0074745D">
              <w:rPr>
                <w:b/>
                <w:bCs/>
                <w:sz w:val="16"/>
                <w:szCs w:val="16"/>
              </w:rPr>
              <w:t>3</w:t>
            </w:r>
          </w:p>
        </w:tc>
        <w:tc>
          <w:tcPr>
            <w:tcW w:w="480" w:type="dxa"/>
            <w:tcBorders>
              <w:top w:val="nil"/>
              <w:left w:val="nil"/>
              <w:bottom w:val="single" w:sz="4" w:space="0" w:color="auto"/>
              <w:right w:val="single" w:sz="8" w:space="0" w:color="auto"/>
            </w:tcBorders>
            <w:shd w:val="clear" w:color="auto" w:fill="C6D9F1"/>
            <w:noWrap/>
            <w:vAlign w:val="bottom"/>
            <w:hideMark/>
          </w:tcPr>
          <w:p w:rsidR="00927E1F" w:rsidRPr="0074745D" w:rsidRDefault="00927E1F" w:rsidP="00927E1F">
            <w:pPr>
              <w:rPr>
                <w:b/>
                <w:bCs/>
                <w:sz w:val="16"/>
                <w:szCs w:val="16"/>
              </w:rPr>
            </w:pPr>
            <w:r>
              <w:rPr>
                <w:b/>
                <w:bCs/>
                <w:sz w:val="16"/>
                <w:szCs w:val="16"/>
              </w:rPr>
              <w:t>T</w:t>
            </w:r>
            <w:r w:rsidRPr="0074745D">
              <w:rPr>
                <w:b/>
                <w:bCs/>
                <w:sz w:val="16"/>
                <w:szCs w:val="16"/>
              </w:rPr>
              <w:t>4</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74745D" w:rsidRDefault="00927E1F" w:rsidP="00927E1F">
            <w:pPr>
              <w:rPr>
                <w:b/>
                <w:bCs/>
                <w:sz w:val="16"/>
                <w:szCs w:val="16"/>
              </w:rPr>
            </w:pPr>
            <w:r>
              <w:rPr>
                <w:b/>
                <w:bCs/>
                <w:sz w:val="16"/>
                <w:szCs w:val="16"/>
              </w:rPr>
              <w:t>T</w:t>
            </w:r>
            <w:r w:rsidRPr="0074745D">
              <w:rPr>
                <w:b/>
                <w:bCs/>
                <w:sz w:val="16"/>
                <w:szCs w:val="16"/>
              </w:rPr>
              <w:t>1</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74745D" w:rsidRDefault="00927E1F" w:rsidP="00927E1F">
            <w:pPr>
              <w:rPr>
                <w:b/>
                <w:bCs/>
                <w:sz w:val="16"/>
                <w:szCs w:val="16"/>
              </w:rPr>
            </w:pPr>
            <w:r>
              <w:rPr>
                <w:b/>
                <w:bCs/>
                <w:sz w:val="16"/>
                <w:szCs w:val="16"/>
              </w:rPr>
              <w:t>T</w:t>
            </w:r>
            <w:r w:rsidRPr="0074745D">
              <w:rPr>
                <w:b/>
                <w:bCs/>
                <w:sz w:val="16"/>
                <w:szCs w:val="16"/>
              </w:rPr>
              <w:t>2</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74745D" w:rsidRDefault="00927E1F" w:rsidP="00927E1F">
            <w:pPr>
              <w:rPr>
                <w:b/>
                <w:bCs/>
                <w:sz w:val="16"/>
                <w:szCs w:val="16"/>
              </w:rPr>
            </w:pPr>
            <w:r>
              <w:rPr>
                <w:b/>
                <w:bCs/>
                <w:sz w:val="16"/>
                <w:szCs w:val="16"/>
              </w:rPr>
              <w:t>T</w:t>
            </w:r>
            <w:r w:rsidRPr="0074745D">
              <w:rPr>
                <w:b/>
                <w:bCs/>
                <w:sz w:val="16"/>
                <w:szCs w:val="16"/>
              </w:rPr>
              <w:t>3</w:t>
            </w:r>
          </w:p>
        </w:tc>
        <w:tc>
          <w:tcPr>
            <w:tcW w:w="480" w:type="dxa"/>
            <w:tcBorders>
              <w:top w:val="nil"/>
              <w:left w:val="nil"/>
              <w:bottom w:val="single" w:sz="4" w:space="0" w:color="auto"/>
              <w:right w:val="single" w:sz="8" w:space="0" w:color="auto"/>
            </w:tcBorders>
            <w:shd w:val="clear" w:color="auto" w:fill="C6D9F1"/>
            <w:noWrap/>
            <w:vAlign w:val="bottom"/>
            <w:hideMark/>
          </w:tcPr>
          <w:p w:rsidR="00927E1F" w:rsidRPr="0074745D" w:rsidRDefault="00927E1F" w:rsidP="00927E1F">
            <w:pPr>
              <w:rPr>
                <w:b/>
                <w:bCs/>
                <w:sz w:val="16"/>
                <w:szCs w:val="16"/>
              </w:rPr>
            </w:pPr>
            <w:r>
              <w:rPr>
                <w:b/>
                <w:bCs/>
                <w:sz w:val="16"/>
                <w:szCs w:val="16"/>
              </w:rPr>
              <w:t>T</w:t>
            </w:r>
            <w:r w:rsidRPr="0074745D">
              <w:rPr>
                <w:b/>
                <w:bCs/>
                <w:sz w:val="16"/>
                <w:szCs w:val="16"/>
              </w:rPr>
              <w:t>4</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74745D" w:rsidRDefault="00927E1F" w:rsidP="00927E1F">
            <w:pPr>
              <w:rPr>
                <w:b/>
                <w:bCs/>
                <w:sz w:val="16"/>
                <w:szCs w:val="16"/>
              </w:rPr>
            </w:pPr>
            <w:r>
              <w:rPr>
                <w:b/>
                <w:bCs/>
                <w:sz w:val="16"/>
                <w:szCs w:val="16"/>
              </w:rPr>
              <w:t>T</w:t>
            </w:r>
            <w:r w:rsidRPr="0074745D">
              <w:rPr>
                <w:b/>
                <w:bCs/>
                <w:sz w:val="16"/>
                <w:szCs w:val="16"/>
              </w:rPr>
              <w:t>1</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74745D" w:rsidRDefault="00927E1F" w:rsidP="00927E1F">
            <w:pPr>
              <w:rPr>
                <w:b/>
                <w:bCs/>
                <w:sz w:val="16"/>
                <w:szCs w:val="16"/>
              </w:rPr>
            </w:pPr>
            <w:r>
              <w:rPr>
                <w:b/>
                <w:bCs/>
                <w:sz w:val="16"/>
                <w:szCs w:val="16"/>
              </w:rPr>
              <w:t>T</w:t>
            </w:r>
            <w:r w:rsidRPr="0074745D">
              <w:rPr>
                <w:b/>
                <w:bCs/>
                <w:sz w:val="16"/>
                <w:szCs w:val="16"/>
              </w:rPr>
              <w:t>2</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74745D" w:rsidRDefault="00927E1F" w:rsidP="00927E1F">
            <w:pPr>
              <w:rPr>
                <w:b/>
                <w:bCs/>
                <w:sz w:val="16"/>
                <w:szCs w:val="16"/>
              </w:rPr>
            </w:pPr>
            <w:r>
              <w:rPr>
                <w:b/>
                <w:bCs/>
                <w:sz w:val="16"/>
                <w:szCs w:val="16"/>
              </w:rPr>
              <w:t>T</w:t>
            </w:r>
            <w:r w:rsidRPr="0074745D">
              <w:rPr>
                <w:b/>
                <w:bCs/>
                <w:sz w:val="16"/>
                <w:szCs w:val="16"/>
              </w:rPr>
              <w:t>3</w:t>
            </w:r>
          </w:p>
        </w:tc>
        <w:tc>
          <w:tcPr>
            <w:tcW w:w="480" w:type="dxa"/>
            <w:tcBorders>
              <w:top w:val="nil"/>
              <w:left w:val="nil"/>
              <w:bottom w:val="single" w:sz="4" w:space="0" w:color="auto"/>
              <w:right w:val="single" w:sz="8" w:space="0" w:color="auto"/>
            </w:tcBorders>
            <w:shd w:val="clear" w:color="auto" w:fill="C6D9F1"/>
            <w:noWrap/>
            <w:vAlign w:val="bottom"/>
            <w:hideMark/>
          </w:tcPr>
          <w:p w:rsidR="00927E1F" w:rsidRPr="0074745D" w:rsidRDefault="00927E1F" w:rsidP="00927E1F">
            <w:pPr>
              <w:rPr>
                <w:b/>
                <w:bCs/>
                <w:sz w:val="16"/>
                <w:szCs w:val="16"/>
              </w:rPr>
            </w:pPr>
            <w:r>
              <w:rPr>
                <w:b/>
                <w:bCs/>
                <w:sz w:val="16"/>
                <w:szCs w:val="16"/>
              </w:rPr>
              <w:t>T</w:t>
            </w:r>
            <w:r w:rsidRPr="0074745D">
              <w:rPr>
                <w:b/>
                <w:bCs/>
                <w:sz w:val="16"/>
                <w:szCs w:val="16"/>
              </w:rPr>
              <w:t>4</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74745D" w:rsidRDefault="00927E1F" w:rsidP="00927E1F">
            <w:pPr>
              <w:rPr>
                <w:b/>
                <w:bCs/>
                <w:sz w:val="16"/>
                <w:szCs w:val="16"/>
              </w:rPr>
            </w:pPr>
            <w:r>
              <w:rPr>
                <w:b/>
                <w:bCs/>
                <w:sz w:val="16"/>
                <w:szCs w:val="16"/>
              </w:rPr>
              <w:t>T</w:t>
            </w:r>
            <w:r w:rsidRPr="0074745D">
              <w:rPr>
                <w:b/>
                <w:bCs/>
                <w:sz w:val="16"/>
                <w:szCs w:val="16"/>
              </w:rPr>
              <w:t>1</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74745D" w:rsidRDefault="00927E1F" w:rsidP="00927E1F">
            <w:pPr>
              <w:rPr>
                <w:b/>
                <w:bCs/>
                <w:sz w:val="16"/>
                <w:szCs w:val="16"/>
              </w:rPr>
            </w:pPr>
            <w:r>
              <w:rPr>
                <w:b/>
                <w:bCs/>
                <w:sz w:val="16"/>
                <w:szCs w:val="16"/>
              </w:rPr>
              <w:t>T</w:t>
            </w:r>
            <w:r w:rsidRPr="0074745D">
              <w:rPr>
                <w:b/>
                <w:bCs/>
                <w:sz w:val="16"/>
                <w:szCs w:val="16"/>
              </w:rPr>
              <w:t>2</w:t>
            </w:r>
          </w:p>
        </w:tc>
        <w:tc>
          <w:tcPr>
            <w:tcW w:w="480" w:type="dxa"/>
            <w:tcBorders>
              <w:top w:val="nil"/>
              <w:left w:val="nil"/>
              <w:bottom w:val="single" w:sz="4" w:space="0" w:color="auto"/>
              <w:right w:val="single" w:sz="4" w:space="0" w:color="auto"/>
            </w:tcBorders>
            <w:shd w:val="clear" w:color="auto" w:fill="C6D9F1"/>
            <w:noWrap/>
            <w:vAlign w:val="bottom"/>
            <w:hideMark/>
          </w:tcPr>
          <w:p w:rsidR="00927E1F" w:rsidRPr="0074745D" w:rsidRDefault="00927E1F" w:rsidP="00927E1F">
            <w:pPr>
              <w:rPr>
                <w:b/>
                <w:bCs/>
                <w:sz w:val="16"/>
                <w:szCs w:val="16"/>
              </w:rPr>
            </w:pPr>
            <w:r>
              <w:rPr>
                <w:b/>
                <w:bCs/>
                <w:sz w:val="16"/>
                <w:szCs w:val="16"/>
              </w:rPr>
              <w:t>T</w:t>
            </w:r>
            <w:r w:rsidRPr="0074745D">
              <w:rPr>
                <w:b/>
                <w:bCs/>
                <w:sz w:val="16"/>
                <w:szCs w:val="16"/>
              </w:rPr>
              <w:t>3</w:t>
            </w:r>
          </w:p>
        </w:tc>
        <w:tc>
          <w:tcPr>
            <w:tcW w:w="480" w:type="dxa"/>
            <w:tcBorders>
              <w:top w:val="nil"/>
              <w:left w:val="nil"/>
              <w:bottom w:val="single" w:sz="4" w:space="0" w:color="auto"/>
              <w:right w:val="single" w:sz="8" w:space="0" w:color="auto"/>
            </w:tcBorders>
            <w:shd w:val="clear" w:color="auto" w:fill="C6D9F1"/>
            <w:noWrap/>
            <w:vAlign w:val="bottom"/>
            <w:hideMark/>
          </w:tcPr>
          <w:p w:rsidR="00927E1F" w:rsidRPr="0074745D" w:rsidRDefault="00927E1F" w:rsidP="00927E1F">
            <w:pPr>
              <w:rPr>
                <w:b/>
                <w:bCs/>
                <w:sz w:val="16"/>
                <w:szCs w:val="16"/>
              </w:rPr>
            </w:pPr>
            <w:r>
              <w:rPr>
                <w:b/>
                <w:bCs/>
                <w:sz w:val="16"/>
                <w:szCs w:val="16"/>
              </w:rPr>
              <w:t>T</w:t>
            </w:r>
            <w:r w:rsidRPr="0074745D">
              <w:rPr>
                <w:b/>
                <w:bCs/>
                <w:sz w:val="16"/>
                <w:szCs w:val="16"/>
              </w:rPr>
              <w:t>4</w:t>
            </w:r>
          </w:p>
        </w:tc>
      </w:tr>
      <w:tr w:rsidR="00927E1F" w:rsidRPr="0074745D" w:rsidTr="00927E1F">
        <w:trPr>
          <w:cantSplit/>
          <w:jc w:val="center"/>
        </w:trPr>
        <w:tc>
          <w:tcPr>
            <w:tcW w:w="2324" w:type="dxa"/>
            <w:tcBorders>
              <w:top w:val="nil"/>
              <w:left w:val="single" w:sz="8" w:space="0" w:color="auto"/>
              <w:bottom w:val="single" w:sz="4" w:space="0" w:color="auto"/>
              <w:right w:val="single" w:sz="8" w:space="0" w:color="auto"/>
            </w:tcBorders>
            <w:shd w:val="clear" w:color="auto" w:fill="auto"/>
            <w:noWrap/>
            <w:vAlign w:val="center"/>
            <w:hideMark/>
          </w:tcPr>
          <w:p w:rsidR="00927E1F" w:rsidRPr="0074745D" w:rsidRDefault="00927E1F" w:rsidP="00927E1F">
            <w:pPr>
              <w:rPr>
                <w:sz w:val="16"/>
                <w:szCs w:val="16"/>
              </w:rPr>
            </w:pPr>
            <w:r w:rsidRPr="0074745D">
              <w:rPr>
                <w:sz w:val="16"/>
              </w:rPr>
              <w:t>Compartimentation du bâtiment du PCT</w:t>
            </w:r>
          </w:p>
          <w:p w:rsidR="00927E1F" w:rsidRPr="0074745D" w:rsidRDefault="00927E1F" w:rsidP="00927E1F">
            <w:pPr>
              <w:rPr>
                <w:sz w:val="16"/>
                <w:szCs w:val="16"/>
              </w:rPr>
            </w:pPr>
            <w:r w:rsidRPr="0074745D">
              <w:rPr>
                <w:sz w:val="16"/>
              </w:rPr>
              <w:t>Achèvement des travaux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r>
      <w:tr w:rsidR="00927E1F" w:rsidRPr="0074745D" w:rsidTr="00927E1F">
        <w:trPr>
          <w:cantSplit/>
          <w:jc w:val="center"/>
        </w:trPr>
        <w:tc>
          <w:tcPr>
            <w:tcW w:w="2324" w:type="dxa"/>
            <w:tcBorders>
              <w:top w:val="nil"/>
              <w:left w:val="single" w:sz="8" w:space="0" w:color="auto"/>
              <w:bottom w:val="single" w:sz="4" w:space="0" w:color="auto"/>
              <w:right w:val="single" w:sz="8" w:space="0" w:color="auto"/>
            </w:tcBorders>
            <w:shd w:val="clear" w:color="auto" w:fill="auto"/>
            <w:noWrap/>
            <w:vAlign w:val="center"/>
            <w:hideMark/>
          </w:tcPr>
          <w:p w:rsidR="00927E1F" w:rsidRPr="0074745D" w:rsidRDefault="00927E1F" w:rsidP="00927E1F">
            <w:pPr>
              <w:rPr>
                <w:sz w:val="16"/>
                <w:szCs w:val="16"/>
              </w:rPr>
            </w:pPr>
            <w:r w:rsidRPr="0074745D">
              <w:rPr>
                <w:sz w:val="16"/>
              </w:rPr>
              <w:t>Compartimentation du bâtiment AB, niveau </w:t>
            </w:r>
            <w:r w:rsidRPr="0074745D">
              <w:rPr>
                <w:sz w:val="16"/>
              </w:rPr>
              <w:noBreakHyphen/>
              <w:t>2 Création d’un sas</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r>
      <w:tr w:rsidR="00927E1F" w:rsidRPr="0074745D" w:rsidTr="00927E1F">
        <w:trPr>
          <w:cantSplit/>
          <w:jc w:val="center"/>
        </w:trPr>
        <w:tc>
          <w:tcPr>
            <w:tcW w:w="2324" w:type="dxa"/>
            <w:tcBorders>
              <w:top w:val="nil"/>
              <w:left w:val="single" w:sz="8" w:space="0" w:color="auto"/>
              <w:bottom w:val="single" w:sz="4" w:space="0" w:color="auto"/>
              <w:right w:val="single" w:sz="8" w:space="0" w:color="auto"/>
            </w:tcBorders>
            <w:shd w:val="clear" w:color="auto" w:fill="auto"/>
            <w:noWrap/>
            <w:vAlign w:val="bottom"/>
            <w:hideMark/>
          </w:tcPr>
          <w:p w:rsidR="00927E1F" w:rsidRPr="0074745D" w:rsidRDefault="00927E1F" w:rsidP="00927E1F">
            <w:pPr>
              <w:rPr>
                <w:sz w:val="16"/>
                <w:szCs w:val="16"/>
              </w:rPr>
            </w:pPr>
            <w:r w:rsidRPr="0074745D">
              <w:rPr>
                <w:sz w:val="16"/>
              </w:rPr>
              <w:t>Étude et projet relatifs à la compartimentation entre les bâtiments GBI et AB</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r>
      <w:tr w:rsidR="00927E1F" w:rsidRPr="0074745D" w:rsidTr="00927E1F">
        <w:trPr>
          <w:cantSplit/>
          <w:jc w:val="center"/>
        </w:trPr>
        <w:tc>
          <w:tcPr>
            <w:tcW w:w="2324" w:type="dxa"/>
            <w:tcBorders>
              <w:top w:val="nil"/>
              <w:left w:val="single" w:sz="8" w:space="0" w:color="auto"/>
              <w:bottom w:val="single" w:sz="4" w:space="0" w:color="auto"/>
              <w:right w:val="single" w:sz="8" w:space="0" w:color="auto"/>
            </w:tcBorders>
            <w:shd w:val="clear" w:color="auto" w:fill="auto"/>
            <w:noWrap/>
            <w:vAlign w:val="bottom"/>
            <w:hideMark/>
          </w:tcPr>
          <w:p w:rsidR="00927E1F" w:rsidRPr="0074745D" w:rsidRDefault="00927E1F" w:rsidP="00927E1F">
            <w:pPr>
              <w:rPr>
                <w:sz w:val="16"/>
                <w:szCs w:val="16"/>
              </w:rPr>
            </w:pPr>
            <w:r w:rsidRPr="0074745D">
              <w:rPr>
                <w:sz w:val="16"/>
              </w:rPr>
              <w:t xml:space="preserve">Projet relatif à la compartimentation entre les bâtiments GBI et GBII (tous les niveaux sauf </w:t>
            </w:r>
            <w:r w:rsidRPr="0074745D">
              <w:rPr>
                <w:sz w:val="16"/>
              </w:rPr>
              <w:noBreakHyphen/>
              <w:t>1)</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r>
      <w:tr w:rsidR="00927E1F" w:rsidRPr="0074745D" w:rsidTr="00927E1F">
        <w:trPr>
          <w:cantSplit/>
          <w:jc w:val="center"/>
        </w:trPr>
        <w:tc>
          <w:tcPr>
            <w:tcW w:w="2324" w:type="dxa"/>
            <w:tcBorders>
              <w:top w:val="nil"/>
              <w:left w:val="single" w:sz="8" w:space="0" w:color="auto"/>
              <w:bottom w:val="single" w:sz="4" w:space="0" w:color="auto"/>
              <w:right w:val="single" w:sz="8" w:space="0" w:color="auto"/>
            </w:tcBorders>
            <w:shd w:val="clear" w:color="auto" w:fill="auto"/>
            <w:noWrap/>
            <w:vAlign w:val="bottom"/>
            <w:hideMark/>
          </w:tcPr>
          <w:p w:rsidR="00927E1F" w:rsidRPr="0074745D" w:rsidRDefault="00927E1F" w:rsidP="00927E1F">
            <w:pPr>
              <w:rPr>
                <w:sz w:val="16"/>
                <w:szCs w:val="16"/>
              </w:rPr>
            </w:pPr>
            <w:r w:rsidRPr="0074745D">
              <w:rPr>
                <w:sz w:val="16"/>
              </w:rPr>
              <w:t>Projet relatif à la compartimentation du bâtiment AB (sauf </w:t>
            </w:r>
            <w:r w:rsidRPr="0074745D">
              <w:rPr>
                <w:sz w:val="16"/>
              </w:rPr>
              <w:noBreakHyphen/>
              <w:t>2)</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4"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c>
          <w:tcPr>
            <w:tcW w:w="480" w:type="dxa"/>
            <w:tcBorders>
              <w:top w:val="nil"/>
              <w:left w:val="nil"/>
              <w:bottom w:val="single" w:sz="4" w:space="0" w:color="auto"/>
              <w:right w:val="single" w:sz="8" w:space="0" w:color="auto"/>
            </w:tcBorders>
            <w:shd w:val="clear" w:color="auto" w:fill="auto"/>
            <w:noWrap/>
            <w:vAlign w:val="center"/>
            <w:hideMark/>
          </w:tcPr>
          <w:p w:rsidR="00927E1F" w:rsidRPr="0074745D" w:rsidRDefault="00927E1F" w:rsidP="00927E1F">
            <w:pPr>
              <w:spacing w:before="40" w:after="40"/>
              <w:jc w:val="center"/>
              <w:rPr>
                <w:sz w:val="16"/>
                <w:szCs w:val="16"/>
              </w:rPr>
            </w:pPr>
            <w:r w:rsidRPr="0074745D">
              <w:rPr>
                <w:sz w:val="16"/>
                <w:szCs w:val="16"/>
              </w:rPr>
              <w:t>X</w:t>
            </w:r>
          </w:p>
        </w:tc>
      </w:tr>
    </w:tbl>
    <w:p w:rsidR="00927E1F" w:rsidRPr="0074745D" w:rsidRDefault="00927E1F" w:rsidP="00927E1F"/>
    <w:p w:rsidR="00927E1F" w:rsidRPr="0074745D" w:rsidRDefault="00927E1F" w:rsidP="00927E1F">
      <w:pPr>
        <w:autoSpaceDE w:val="0"/>
        <w:autoSpaceDN w:val="0"/>
        <w:jc w:val="both"/>
        <w:rPr>
          <w:bCs/>
        </w:rPr>
      </w:pPr>
    </w:p>
    <w:p w:rsidR="00927E1F" w:rsidRPr="0074745D" w:rsidRDefault="00927E1F" w:rsidP="00927E1F">
      <w:pPr>
        <w:autoSpaceDE w:val="0"/>
        <w:autoSpaceDN w:val="0"/>
        <w:jc w:val="both"/>
        <w:rPr>
          <w:bCs/>
        </w:rPr>
      </w:pPr>
    </w:p>
    <w:p w:rsidR="00927E1F" w:rsidRPr="00FB08AF" w:rsidRDefault="00927E1F" w:rsidP="00927E1F">
      <w:pPr>
        <w:pStyle w:val="Endofdocument-Annex"/>
      </w:pPr>
      <w:r w:rsidRPr="0074745D">
        <w:rPr>
          <w:lang w:val="fr-FR"/>
        </w:rPr>
        <w:t>[L’annexe IV suit]</w:t>
      </w:r>
    </w:p>
    <w:p w:rsidR="00927E1F" w:rsidRPr="00927E1F" w:rsidRDefault="00927E1F" w:rsidP="00927E1F">
      <w:pPr>
        <w:rPr>
          <w:lang w:eastAsia="ko-KR"/>
        </w:rPr>
      </w:pPr>
    </w:p>
    <w:p w:rsidR="00EA46D0" w:rsidRDefault="00EA46D0">
      <w:pPr>
        <w:spacing w:after="200" w:line="276" w:lineRule="auto"/>
        <w:rPr>
          <w:lang w:eastAsia="ko-KR"/>
        </w:rPr>
      </w:pPr>
      <w:r>
        <w:rPr>
          <w:lang w:eastAsia="ko-KR"/>
        </w:rPr>
        <w:br w:type="page"/>
      </w:r>
    </w:p>
    <w:p w:rsidR="00EA46D0" w:rsidRPr="00834415" w:rsidRDefault="00EA46D0" w:rsidP="00EA46D0">
      <w:pPr>
        <w:pStyle w:val="Heading3"/>
        <w:tabs>
          <w:tab w:val="left" w:pos="6"/>
        </w:tabs>
        <w:ind w:left="0" w:firstLine="0"/>
      </w:pPr>
      <w:bookmarkStart w:id="205" w:name="_Toc422404260"/>
      <w:bookmarkStart w:id="206" w:name="_Toc423352915"/>
      <w:bookmarkStart w:id="207" w:name="_Toc455394228"/>
      <w:r w:rsidRPr="00834415">
        <w:lastRenderedPageBreak/>
        <w:t>Annexe IV</w:t>
      </w:r>
      <w:r w:rsidRPr="00834415">
        <w:br/>
      </w:r>
      <w:r w:rsidRPr="00834415">
        <w:br/>
      </w:r>
      <w:r w:rsidRPr="00834415">
        <w:tab/>
        <w:t>Sigles utilisés dans le présent document</w:t>
      </w:r>
      <w:bookmarkEnd w:id="205"/>
      <w:bookmarkEnd w:id="206"/>
      <w:bookmarkEnd w:id="207"/>
    </w:p>
    <w:p w:rsidR="00EA46D0" w:rsidRPr="00834415" w:rsidRDefault="00EA46D0" w:rsidP="00EA46D0"/>
    <w:tbl>
      <w:tblPr>
        <w:tblW w:w="0" w:type="auto"/>
        <w:tblLook w:val="04A0" w:firstRow="1" w:lastRow="0" w:firstColumn="1" w:lastColumn="0" w:noHBand="0" w:noVBand="1"/>
      </w:tblPr>
      <w:tblGrid>
        <w:gridCol w:w="1384"/>
        <w:gridCol w:w="7827"/>
      </w:tblGrid>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b/>
                <w:lang w:eastAsia="ko-KR"/>
              </w:rPr>
              <w:t>A</w:t>
            </w:r>
            <w:r w:rsidR="00D574C7">
              <w:rPr>
                <w:rFonts w:eastAsia="Batang"/>
                <w:lang w:eastAsia="ko-KR"/>
              </w:rPr>
              <w:t>CE</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Comité consultatif sur l’application des droits</w:t>
            </w:r>
          </w:p>
        </w:tc>
      </w:tr>
      <w:tr w:rsidR="00EA46D0" w:rsidRPr="00834415" w:rsidTr="00927E1F">
        <w:tc>
          <w:tcPr>
            <w:tcW w:w="1384" w:type="dxa"/>
            <w:shd w:val="clear" w:color="auto" w:fill="auto"/>
          </w:tcPr>
          <w:p w:rsidR="00EA46D0" w:rsidRPr="00834415" w:rsidRDefault="00D574C7" w:rsidP="00927E1F">
            <w:pPr>
              <w:rPr>
                <w:rFonts w:eastAsia="Batang"/>
                <w:lang w:eastAsia="ko-KR"/>
              </w:rPr>
            </w:pPr>
            <w:r>
              <w:rPr>
                <w:rFonts w:eastAsia="Batang"/>
                <w:lang w:eastAsia="ko-KR"/>
              </w:rPr>
              <w:t>AGICOA</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Association de gestion internationale collective des œuvres audiovisuelles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AIPMS</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Système automatisé arabe de gestion de la propriété intellectuelle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AMFIE</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Association coopérative financière des fonctionnaires internationaux</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ANPEI</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Association nationale pour la recherche et le développement des entreprises innovantes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APEC</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Coopération économique pour l’Asie</w:t>
            </w:r>
            <w:r>
              <w:rPr>
                <w:rFonts w:eastAsia="Batang"/>
                <w:lang w:eastAsia="ko-KR"/>
              </w:rPr>
              <w:noBreakHyphen/>
            </w:r>
            <w:r w:rsidRPr="00834415">
              <w:rPr>
                <w:rFonts w:eastAsia="Batang"/>
                <w:lang w:eastAsia="ko-KR"/>
              </w:rPr>
              <w:t>Pacifique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proofErr w:type="spellStart"/>
            <w:r w:rsidRPr="00834415">
              <w:rPr>
                <w:rFonts w:eastAsia="Batang"/>
                <w:lang w:eastAsia="ko-KR"/>
              </w:rPr>
              <w:t>aRDi</w:t>
            </w:r>
            <w:proofErr w:type="spellEnd"/>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Accès à la recherche pour le développement et l’innovation</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ARIPO</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Organisation régionale africaine de la propriété intellectuelle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ASEAN</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Association des nations de l’Asie du Sud</w:t>
            </w:r>
            <w:r>
              <w:rPr>
                <w:rFonts w:eastAsia="Batang"/>
                <w:lang w:eastAsia="ko-KR"/>
              </w:rPr>
              <w:noBreakHyphen/>
            </w:r>
            <w:r w:rsidRPr="00834415">
              <w:rPr>
                <w:rFonts w:eastAsia="Batang"/>
                <w:lang w:eastAsia="ko-KR"/>
              </w:rPr>
              <w:t>Est</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ASEF</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Fondation Asie</w:t>
            </w:r>
            <w:r>
              <w:rPr>
                <w:rFonts w:eastAsia="Batang"/>
                <w:lang w:eastAsia="ko-KR"/>
              </w:rPr>
              <w:noBreakHyphen/>
            </w:r>
            <w:r w:rsidRPr="00834415">
              <w:rPr>
                <w:rFonts w:eastAsia="Batang"/>
                <w:lang w:eastAsia="ko-KR"/>
              </w:rPr>
              <w:t>Europe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ASPI</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Accès au programme d’information spécialisée en matière de brevets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ATRIP</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Association internationale pour la promotion de l’enseignement et de la recherche en propriété intellectuelle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p>
        </w:tc>
        <w:tc>
          <w:tcPr>
            <w:tcW w:w="7827" w:type="dxa"/>
            <w:shd w:val="clear" w:color="auto" w:fill="auto"/>
          </w:tcPr>
          <w:p w:rsidR="00EA46D0" w:rsidRPr="00834415" w:rsidRDefault="00EA46D0" w:rsidP="00927E1F">
            <w:pPr>
              <w:rPr>
                <w:rFonts w:eastAsia="Batang"/>
                <w:lang w:eastAsia="ko-KR"/>
              </w:rPr>
            </w:pP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b/>
                <w:lang w:eastAsia="ko-KR"/>
              </w:rPr>
              <w:t>C</w:t>
            </w:r>
            <w:r w:rsidRPr="00834415">
              <w:rPr>
                <w:rFonts w:eastAsia="Batang"/>
                <w:lang w:eastAsia="ko-KR"/>
              </w:rPr>
              <w:t>CG</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Conseil de coopération des États arabes du Golfe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bCs/>
                <w:lang w:eastAsia="ko-KR"/>
              </w:rPr>
              <w:t>C</w:t>
            </w:r>
            <w:r w:rsidRPr="00834415">
              <w:rPr>
                <w:rFonts w:eastAsia="Batang"/>
                <w:lang w:eastAsia="ko-KR"/>
              </w:rPr>
              <w:t xml:space="preserve">CNUCC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Convention</w:t>
            </w:r>
            <w:r>
              <w:rPr>
                <w:rFonts w:eastAsia="Batang"/>
                <w:lang w:eastAsia="ko-KR"/>
              </w:rPr>
              <w:noBreakHyphen/>
            </w:r>
            <w:r w:rsidRPr="00834415">
              <w:rPr>
                <w:rFonts w:eastAsia="Batang"/>
                <w:lang w:eastAsia="ko-KR"/>
              </w:rPr>
              <w:t>cadre des Nations Unies sur les changements climatiques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proofErr w:type="spellStart"/>
            <w:r w:rsidRPr="00834415">
              <w:rPr>
                <w:rFonts w:eastAsia="Batang"/>
                <w:lang w:eastAsia="ko-KR"/>
              </w:rPr>
              <w:t>ccTLDs</w:t>
            </w:r>
            <w:proofErr w:type="spellEnd"/>
            <w:r w:rsidRPr="00834415">
              <w:rPr>
                <w:rFonts w:eastAsia="Batang"/>
                <w:lang w:eastAsia="ko-KR"/>
              </w:rPr>
              <w:t xml:space="preserve">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domaines de premier niveau qui sont des codes de pays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CDB</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Convention sur la diversité biologique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CDIP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Comité du développement et de la propriété intellectuelle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CEIPI</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Centre d’études internationales de la propriété intellectuelle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CERN</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Organisation européenne pour la recherche nucléaire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CISAC</w:t>
            </w:r>
          </w:p>
        </w:tc>
        <w:tc>
          <w:tcPr>
            <w:tcW w:w="7827" w:type="dxa"/>
            <w:shd w:val="clear" w:color="auto" w:fill="auto"/>
          </w:tcPr>
          <w:p w:rsidR="00EA46D0" w:rsidRPr="00834415" w:rsidRDefault="00EA46D0" w:rsidP="00927E1F">
            <w:r w:rsidRPr="00834415">
              <w:t>Confédération internationale des sociétés d’auteurs et compositeurs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CFPI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Commission de la fonction publique internationale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CIB</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classification internationale des brevets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CLEA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Collection de lois accessible en ligne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CNUCED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Conférence des Nations Unies sur le commerce et le développement</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CCS</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Conseils des chefs de secrétariat des organismes des Nations Unies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CTCN</w:t>
            </w:r>
            <w:r w:rsidRPr="00834415">
              <w:rPr>
                <w:rFonts w:eastAsia="Batang"/>
                <w:lang w:eastAsia="ko-KR"/>
              </w:rPr>
              <w:tab/>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Centre et Réseau des technologies climatiques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CWS</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Comité des normes de l’OMPI</w:t>
            </w:r>
          </w:p>
        </w:tc>
      </w:tr>
      <w:tr w:rsidR="00EA46D0" w:rsidRPr="00834415" w:rsidTr="00927E1F">
        <w:tc>
          <w:tcPr>
            <w:tcW w:w="1384" w:type="dxa"/>
            <w:shd w:val="clear" w:color="auto" w:fill="auto"/>
          </w:tcPr>
          <w:p w:rsidR="00EA46D0" w:rsidRPr="00834415" w:rsidRDefault="00EA46D0" w:rsidP="00927E1F">
            <w:pPr>
              <w:rPr>
                <w:rFonts w:eastAsia="Batang"/>
                <w:lang w:eastAsia="ko-KR"/>
              </w:rPr>
            </w:pPr>
          </w:p>
        </w:tc>
        <w:tc>
          <w:tcPr>
            <w:tcW w:w="7827" w:type="dxa"/>
            <w:shd w:val="clear" w:color="auto" w:fill="auto"/>
          </w:tcPr>
          <w:p w:rsidR="00EA46D0" w:rsidRPr="00834415" w:rsidRDefault="00EA46D0" w:rsidP="00927E1F">
            <w:pPr>
              <w:rPr>
                <w:rFonts w:eastAsia="Batang"/>
                <w:lang w:eastAsia="ko-KR"/>
              </w:rPr>
            </w:pP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b/>
                <w:lang w:eastAsia="ko-KR"/>
              </w:rPr>
              <w:t>D</w:t>
            </w:r>
            <w:r w:rsidRPr="00834415">
              <w:rPr>
                <w:rFonts w:eastAsia="Batang"/>
                <w:lang w:eastAsia="ko-KR"/>
              </w:rPr>
              <w:t>AS</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Service d’accès numérique aux documents de priorité</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DGRH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Département de la gestion des ressources humaines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DIGEPIH</w:t>
            </w:r>
          </w:p>
        </w:tc>
        <w:tc>
          <w:tcPr>
            <w:tcW w:w="7827" w:type="dxa"/>
            <w:shd w:val="clear" w:color="auto" w:fill="auto"/>
          </w:tcPr>
          <w:p w:rsidR="00EA46D0" w:rsidRPr="00834415" w:rsidRDefault="00EA46D0" w:rsidP="00927E1F">
            <w:pPr>
              <w:rPr>
                <w:rFonts w:eastAsia="Batang"/>
                <w:lang w:eastAsia="ko-KR"/>
              </w:rPr>
            </w:pPr>
            <w:r w:rsidRPr="00834415">
              <w:rPr>
                <w:color w:val="000000"/>
              </w:rPr>
              <w:t>Office de la propriété intellectuelle du Honduras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DSI</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Division de la supervision interne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p>
        </w:tc>
        <w:tc>
          <w:tcPr>
            <w:tcW w:w="7827" w:type="dxa"/>
            <w:shd w:val="clear" w:color="auto" w:fill="auto"/>
          </w:tcPr>
          <w:p w:rsidR="00EA46D0" w:rsidRPr="00834415" w:rsidRDefault="00EA46D0" w:rsidP="00927E1F">
            <w:pPr>
              <w:rPr>
                <w:rFonts w:eastAsia="Batang"/>
                <w:lang w:eastAsia="ko-KR"/>
              </w:rPr>
            </w:pP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b/>
                <w:bCs/>
                <w:lang w:eastAsia="ko-KR"/>
              </w:rPr>
              <w:t>E</w:t>
            </w:r>
            <w:r w:rsidRPr="00834415">
              <w:rPr>
                <w:rFonts w:eastAsia="Batang"/>
                <w:lang w:eastAsia="ko-KR"/>
              </w:rPr>
              <w:t>CLA</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classification de brevet attribuée par </w:t>
            </w:r>
            <w:r>
              <w:rPr>
                <w:rFonts w:eastAsia="Batang"/>
                <w:lang w:eastAsia="ko-KR"/>
              </w:rPr>
              <w:t>l’</w:t>
            </w:r>
            <w:r w:rsidRPr="00834415">
              <w:rPr>
                <w:rFonts w:eastAsia="Batang"/>
                <w:lang w:eastAsia="ko-KR"/>
              </w:rPr>
              <w:t>Office européen des brevets</w:t>
            </w:r>
          </w:p>
        </w:tc>
      </w:tr>
      <w:tr w:rsidR="00EA46D0" w:rsidRPr="00834415" w:rsidTr="00927E1F">
        <w:tc>
          <w:tcPr>
            <w:tcW w:w="1384" w:type="dxa"/>
            <w:shd w:val="clear" w:color="auto" w:fill="auto"/>
          </w:tcPr>
          <w:p w:rsidR="00EA46D0" w:rsidRPr="00834415" w:rsidRDefault="00EA46D0" w:rsidP="00927E1F">
            <w:pPr>
              <w:rPr>
                <w:rFonts w:eastAsia="Batang"/>
                <w:bCs/>
                <w:lang w:eastAsia="ko-KR"/>
              </w:rPr>
            </w:pPr>
            <w:r w:rsidRPr="00834415">
              <w:rPr>
                <w:rFonts w:eastAsia="Batang"/>
                <w:bCs/>
                <w:lang w:eastAsia="ko-KR"/>
              </w:rPr>
              <w:t>ECOSOC</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Conseil économique et social</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EGEDA</w:t>
            </w:r>
          </w:p>
        </w:tc>
        <w:tc>
          <w:tcPr>
            <w:tcW w:w="7827" w:type="dxa"/>
            <w:shd w:val="clear" w:color="auto" w:fill="auto"/>
          </w:tcPr>
          <w:p w:rsidR="00EA46D0" w:rsidRPr="00834415" w:rsidRDefault="00EA46D0" w:rsidP="00927E1F">
            <w:pPr>
              <w:rPr>
                <w:rFonts w:eastAsia="Batang"/>
                <w:iCs/>
                <w:lang w:eastAsia="ko-KR"/>
              </w:rPr>
            </w:pPr>
            <w:proofErr w:type="spellStart"/>
            <w:r w:rsidRPr="00834415">
              <w:rPr>
                <w:iCs/>
              </w:rPr>
              <w:t>Entidad</w:t>
            </w:r>
            <w:proofErr w:type="spellEnd"/>
            <w:r w:rsidRPr="00834415">
              <w:rPr>
                <w:iCs/>
              </w:rPr>
              <w:t xml:space="preserve"> de </w:t>
            </w:r>
            <w:proofErr w:type="spellStart"/>
            <w:r w:rsidRPr="00834415">
              <w:rPr>
                <w:iCs/>
              </w:rPr>
              <w:t>Gestión</w:t>
            </w:r>
            <w:proofErr w:type="spellEnd"/>
            <w:r w:rsidRPr="00834415">
              <w:rPr>
                <w:iCs/>
              </w:rPr>
              <w:t xml:space="preserve"> de </w:t>
            </w:r>
            <w:proofErr w:type="spellStart"/>
            <w:r w:rsidRPr="00834415">
              <w:rPr>
                <w:iCs/>
              </w:rPr>
              <w:t>Derechos</w:t>
            </w:r>
            <w:proofErr w:type="spellEnd"/>
            <w:r w:rsidRPr="00834415">
              <w:rPr>
                <w:iCs/>
              </w:rPr>
              <w:t xml:space="preserve"> de los </w:t>
            </w:r>
            <w:proofErr w:type="spellStart"/>
            <w:r w:rsidRPr="00834415">
              <w:rPr>
                <w:iCs/>
              </w:rPr>
              <w:t>Productores</w:t>
            </w:r>
            <w:proofErr w:type="spellEnd"/>
            <w:r w:rsidRPr="00834415">
              <w:rPr>
                <w:iCs/>
              </w:rPr>
              <w:t xml:space="preserve"> </w:t>
            </w:r>
            <w:proofErr w:type="spellStart"/>
            <w:r w:rsidRPr="00834415">
              <w:rPr>
                <w:iCs/>
              </w:rPr>
              <w:t>Audiovisuales</w:t>
            </w:r>
            <w:proofErr w:type="spellEnd"/>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ERP</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planification des ressources de l’Organisation</w:t>
            </w:r>
          </w:p>
        </w:tc>
      </w:tr>
      <w:tr w:rsidR="00EA46D0" w:rsidRPr="00834415" w:rsidTr="00927E1F">
        <w:tc>
          <w:tcPr>
            <w:tcW w:w="1384" w:type="dxa"/>
            <w:shd w:val="clear" w:color="auto" w:fill="auto"/>
          </w:tcPr>
          <w:p w:rsidR="00EA46D0" w:rsidRPr="00834415" w:rsidRDefault="00EA46D0" w:rsidP="00927E1F">
            <w:pPr>
              <w:rPr>
                <w:rFonts w:eastAsia="Batang"/>
                <w:lang w:eastAsia="ko-KR"/>
              </w:rPr>
            </w:pPr>
          </w:p>
        </w:tc>
        <w:tc>
          <w:tcPr>
            <w:tcW w:w="7827" w:type="dxa"/>
            <w:shd w:val="clear" w:color="auto" w:fill="auto"/>
          </w:tcPr>
          <w:p w:rsidR="00EA46D0" w:rsidRPr="00834415" w:rsidRDefault="00EA46D0" w:rsidP="00927E1F">
            <w:pPr>
              <w:rPr>
                <w:rFonts w:eastAsia="Batang"/>
                <w:lang w:eastAsia="ko-KR"/>
              </w:rPr>
            </w:pP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b/>
                <w:lang w:eastAsia="ko-KR"/>
              </w:rPr>
              <w:t>F</w:t>
            </w:r>
            <w:r w:rsidRPr="00834415">
              <w:rPr>
                <w:rFonts w:eastAsia="Batang"/>
                <w:lang w:eastAsia="ko-KR"/>
              </w:rPr>
              <w:t xml:space="preserve">AO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Organisation des Nations Unies pour l’alimentation et l’agriculture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FENU</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Fonds d’équipement des Nations Unies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p>
        </w:tc>
        <w:tc>
          <w:tcPr>
            <w:tcW w:w="7827" w:type="dxa"/>
            <w:shd w:val="clear" w:color="auto" w:fill="auto"/>
          </w:tcPr>
          <w:p w:rsidR="00EA46D0" w:rsidRPr="00834415" w:rsidRDefault="00EA46D0" w:rsidP="00927E1F">
            <w:pPr>
              <w:rPr>
                <w:rFonts w:eastAsia="Batang"/>
                <w:lang w:eastAsia="ko-KR"/>
              </w:rPr>
            </w:pP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b/>
                <w:lang w:eastAsia="ko-KR"/>
              </w:rPr>
              <w:t>G</w:t>
            </w:r>
            <w:r w:rsidRPr="00834415">
              <w:rPr>
                <w:rFonts w:eastAsia="Batang"/>
                <w:lang w:eastAsia="ko-KR"/>
              </w:rPr>
              <w:t>DA</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Logiciel pour la gestion collective du droit d’auteur et des droits connexes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GII</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indice mondial de </w:t>
            </w:r>
            <w:r>
              <w:rPr>
                <w:rFonts w:eastAsia="Batang"/>
                <w:lang w:eastAsia="ko-KR"/>
              </w:rPr>
              <w:t>l’</w:t>
            </w:r>
            <w:r w:rsidRPr="00834415">
              <w:rPr>
                <w:rFonts w:eastAsia="Batang"/>
                <w:lang w:eastAsia="ko-KR"/>
              </w:rPr>
              <w:t>innovation</w:t>
            </w:r>
          </w:p>
        </w:tc>
      </w:tr>
      <w:tr w:rsidR="00EA46D0" w:rsidRPr="00834415" w:rsidTr="00927E1F">
        <w:tc>
          <w:tcPr>
            <w:tcW w:w="1384" w:type="dxa"/>
            <w:shd w:val="clear" w:color="auto" w:fill="auto"/>
          </w:tcPr>
          <w:p w:rsidR="00EA46D0" w:rsidRPr="00834415" w:rsidRDefault="00EA46D0" w:rsidP="00927E1F">
            <w:pPr>
              <w:rPr>
                <w:rFonts w:eastAsia="Batang"/>
                <w:lang w:eastAsia="ko-KR"/>
              </w:rPr>
            </w:pPr>
            <w:proofErr w:type="spellStart"/>
            <w:r w:rsidRPr="00834415">
              <w:rPr>
                <w:rFonts w:eastAsia="Batang"/>
                <w:bCs/>
                <w:lang w:eastAsia="ko-KR"/>
              </w:rPr>
              <w:t>g</w:t>
            </w:r>
            <w:r w:rsidRPr="00834415">
              <w:rPr>
                <w:rFonts w:eastAsia="Batang"/>
                <w:lang w:eastAsia="ko-KR"/>
              </w:rPr>
              <w:t>TLD</w:t>
            </w:r>
            <w:proofErr w:type="spellEnd"/>
            <w:r w:rsidRPr="00834415">
              <w:rPr>
                <w:rFonts w:eastAsia="Batang"/>
                <w:lang w:eastAsia="ko-KR"/>
              </w:rPr>
              <w:t xml:space="preserve">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domaine générique de premier niveau</w:t>
            </w:r>
          </w:p>
        </w:tc>
      </w:tr>
      <w:tr w:rsidR="00EA46D0" w:rsidRPr="00834415" w:rsidTr="00927E1F">
        <w:tc>
          <w:tcPr>
            <w:tcW w:w="1384" w:type="dxa"/>
            <w:shd w:val="clear" w:color="auto" w:fill="auto"/>
          </w:tcPr>
          <w:p w:rsidR="00EA46D0" w:rsidRPr="00834415" w:rsidRDefault="00EA46D0" w:rsidP="00927E1F">
            <w:r w:rsidRPr="00834415">
              <w:t xml:space="preserve">GNIPA </w:t>
            </w:r>
          </w:p>
        </w:tc>
        <w:tc>
          <w:tcPr>
            <w:tcW w:w="7827" w:type="dxa"/>
            <w:shd w:val="clear" w:color="auto" w:fill="auto"/>
          </w:tcPr>
          <w:p w:rsidR="00EA46D0" w:rsidRPr="00834415" w:rsidRDefault="00EA46D0" w:rsidP="00927E1F">
            <w:pPr>
              <w:rPr>
                <w:rFonts w:eastAsia="Batang"/>
                <w:lang w:eastAsia="ko-KR"/>
              </w:rPr>
            </w:pPr>
            <w:r w:rsidRPr="00834415">
              <w:t>Réseau mondial d’académies de la propriété intellectuelle</w:t>
            </w:r>
          </w:p>
        </w:tc>
      </w:tr>
      <w:tr w:rsidR="00EA46D0" w:rsidRPr="00834415" w:rsidTr="00927E1F">
        <w:tc>
          <w:tcPr>
            <w:tcW w:w="1384" w:type="dxa"/>
            <w:shd w:val="clear" w:color="auto" w:fill="auto"/>
          </w:tcPr>
          <w:p w:rsidR="00EA46D0" w:rsidRPr="00834415" w:rsidRDefault="00EA46D0" w:rsidP="00927E1F"/>
        </w:tc>
        <w:tc>
          <w:tcPr>
            <w:tcW w:w="7827" w:type="dxa"/>
            <w:shd w:val="clear" w:color="auto" w:fill="auto"/>
          </w:tcPr>
          <w:p w:rsidR="00EA46D0" w:rsidRPr="00834415" w:rsidRDefault="00EA46D0" w:rsidP="00927E1F"/>
        </w:tc>
      </w:tr>
      <w:tr w:rsidR="00EA46D0" w:rsidRPr="00834415" w:rsidTr="00927E1F">
        <w:tc>
          <w:tcPr>
            <w:tcW w:w="1384" w:type="dxa"/>
            <w:shd w:val="clear" w:color="auto" w:fill="auto"/>
          </w:tcPr>
          <w:p w:rsidR="00EA46D0" w:rsidRPr="00834415" w:rsidRDefault="00EA46D0" w:rsidP="00927E1F">
            <w:bookmarkStart w:id="208" w:name="_GoBack" w:colFirst="0" w:colLast="0"/>
            <w:r w:rsidRPr="00834415">
              <w:rPr>
                <w:b/>
              </w:rPr>
              <w:t>H</w:t>
            </w:r>
            <w:r w:rsidRPr="00834415">
              <w:t>LCM</w:t>
            </w:r>
          </w:p>
        </w:tc>
        <w:tc>
          <w:tcPr>
            <w:tcW w:w="7827" w:type="dxa"/>
            <w:shd w:val="clear" w:color="auto" w:fill="auto"/>
          </w:tcPr>
          <w:p w:rsidR="00EA46D0" w:rsidRPr="00834415" w:rsidRDefault="00EA46D0" w:rsidP="00927E1F">
            <w:r w:rsidRPr="00834415">
              <w:t>Comité de haut niveau chargé des questions de gestion</w:t>
            </w:r>
          </w:p>
        </w:tc>
      </w:tr>
      <w:bookmarkEnd w:id="208"/>
      <w:tr w:rsidR="00EA46D0" w:rsidRPr="00834415" w:rsidTr="00927E1F">
        <w:tc>
          <w:tcPr>
            <w:tcW w:w="1384" w:type="dxa"/>
            <w:shd w:val="clear" w:color="auto" w:fill="auto"/>
          </w:tcPr>
          <w:p w:rsidR="00EA46D0" w:rsidRPr="00834415" w:rsidRDefault="00EA46D0" w:rsidP="00927E1F">
            <w:pPr>
              <w:rPr>
                <w:rFonts w:eastAsia="Batang"/>
                <w:b/>
                <w:lang w:eastAsia="ko-KR"/>
              </w:rPr>
            </w:pPr>
          </w:p>
        </w:tc>
        <w:tc>
          <w:tcPr>
            <w:tcW w:w="7827" w:type="dxa"/>
            <w:shd w:val="clear" w:color="auto" w:fill="auto"/>
          </w:tcPr>
          <w:p w:rsidR="00EA46D0" w:rsidRPr="00834415" w:rsidRDefault="00EA46D0" w:rsidP="00927E1F">
            <w:pPr>
              <w:rPr>
                <w:rFonts w:eastAsia="Batang"/>
                <w:b/>
                <w:lang w:eastAsia="ko-KR"/>
              </w:rPr>
            </w:pPr>
          </w:p>
        </w:tc>
      </w:tr>
      <w:tr w:rsidR="00EA46D0" w:rsidRPr="00834415" w:rsidTr="00927E1F">
        <w:tc>
          <w:tcPr>
            <w:tcW w:w="1384" w:type="dxa"/>
            <w:shd w:val="clear" w:color="auto" w:fill="auto"/>
          </w:tcPr>
          <w:p w:rsidR="00EA46D0" w:rsidRPr="00834415" w:rsidRDefault="00EA46D0" w:rsidP="00927E1F">
            <w:pPr>
              <w:rPr>
                <w:rFonts w:eastAsia="Batang"/>
                <w:bCs/>
                <w:lang w:eastAsia="ko-KR"/>
              </w:rPr>
            </w:pPr>
            <w:r w:rsidRPr="00834415">
              <w:rPr>
                <w:rFonts w:eastAsia="Batang"/>
                <w:b/>
                <w:lang w:eastAsia="ko-KR"/>
              </w:rPr>
              <w:t>I</w:t>
            </w:r>
            <w:r w:rsidRPr="00834415">
              <w:rPr>
                <w:rFonts w:eastAsia="Batang"/>
                <w:bCs/>
                <w:lang w:eastAsia="ko-KR"/>
              </w:rPr>
              <w:t>IA</w:t>
            </w:r>
          </w:p>
        </w:tc>
        <w:tc>
          <w:tcPr>
            <w:tcW w:w="7827" w:type="dxa"/>
            <w:shd w:val="clear" w:color="auto" w:fill="auto"/>
          </w:tcPr>
          <w:p w:rsidR="00EA46D0" w:rsidRPr="00834415" w:rsidRDefault="00EA46D0" w:rsidP="00927E1F">
            <w:pPr>
              <w:rPr>
                <w:rFonts w:eastAsia="Batang"/>
                <w:bCs/>
                <w:lang w:eastAsia="ko-KR"/>
              </w:rPr>
            </w:pPr>
            <w:r w:rsidRPr="00834415">
              <w:rPr>
                <w:rFonts w:eastAsia="Batang"/>
                <w:bCs/>
                <w:lang w:eastAsia="ko-KR"/>
              </w:rPr>
              <w:t>Institut des auditeurs internes</w:t>
            </w:r>
          </w:p>
        </w:tc>
      </w:tr>
      <w:tr w:rsidR="00EA46D0" w:rsidRPr="006B4497" w:rsidTr="00927E1F">
        <w:tc>
          <w:tcPr>
            <w:tcW w:w="1384" w:type="dxa"/>
            <w:shd w:val="clear" w:color="auto" w:fill="auto"/>
          </w:tcPr>
          <w:p w:rsidR="00EA46D0" w:rsidRPr="00834415" w:rsidRDefault="00EA46D0" w:rsidP="00927E1F">
            <w:pPr>
              <w:rPr>
                <w:rFonts w:eastAsia="Batang"/>
                <w:lang w:eastAsia="ko-KR"/>
              </w:rPr>
            </w:pPr>
            <w:r w:rsidRPr="00834415">
              <w:rPr>
                <w:rFonts w:eastAsia="Batang"/>
                <w:bCs/>
                <w:lang w:eastAsia="ko-KR"/>
              </w:rPr>
              <w:t>ICANN</w:t>
            </w:r>
            <w:r w:rsidRPr="00834415">
              <w:rPr>
                <w:rFonts w:eastAsia="Batang"/>
                <w:lang w:eastAsia="ko-KR"/>
              </w:rPr>
              <w:t xml:space="preserve"> </w:t>
            </w:r>
          </w:p>
        </w:tc>
        <w:tc>
          <w:tcPr>
            <w:tcW w:w="7827" w:type="dxa"/>
            <w:shd w:val="clear" w:color="auto" w:fill="auto"/>
          </w:tcPr>
          <w:p w:rsidR="00EA46D0" w:rsidRPr="006B4497" w:rsidRDefault="00EA46D0" w:rsidP="00927E1F">
            <w:pPr>
              <w:rPr>
                <w:rFonts w:eastAsia="Batang"/>
                <w:lang w:val="en-US" w:eastAsia="ko-KR"/>
              </w:rPr>
            </w:pPr>
            <w:r w:rsidRPr="006B4497">
              <w:rPr>
                <w:rFonts w:eastAsia="Batang"/>
                <w:lang w:val="en-US" w:eastAsia="ko-KR"/>
              </w:rPr>
              <w:t>Internet Corporation for Assigned Names and Numbers</w:t>
            </w:r>
          </w:p>
        </w:tc>
      </w:tr>
      <w:tr w:rsidR="00EA46D0" w:rsidRPr="00834415" w:rsidTr="00927E1F">
        <w:tc>
          <w:tcPr>
            <w:tcW w:w="1384" w:type="dxa"/>
            <w:shd w:val="clear" w:color="auto" w:fill="auto"/>
          </w:tcPr>
          <w:p w:rsidR="00EA46D0" w:rsidRPr="00834415" w:rsidRDefault="00EA46D0" w:rsidP="00927E1F">
            <w:pPr>
              <w:rPr>
                <w:rFonts w:eastAsia="Batang"/>
                <w:bCs/>
                <w:lang w:eastAsia="ko-KR"/>
              </w:rPr>
            </w:pPr>
            <w:r w:rsidRPr="00834415">
              <w:rPr>
                <w:rFonts w:eastAsia="Batang"/>
                <w:bCs/>
                <w:lang w:eastAsia="ko-KR"/>
              </w:rPr>
              <w:t>ICS</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services contractuels de personnes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ICSEI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Coopération internationale pour la recherche et l’examen des inventions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IGC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Comité intergouvernemental de la propriété intellectuelle relative aux ressources génétiques, aux savoirs traditionnels et au folklore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lastRenderedPageBreak/>
              <w:t>IGF</w:t>
            </w:r>
          </w:p>
        </w:tc>
        <w:tc>
          <w:tcPr>
            <w:tcW w:w="7827" w:type="dxa"/>
            <w:shd w:val="clear" w:color="auto" w:fill="auto"/>
          </w:tcPr>
          <w:p w:rsidR="00EA46D0" w:rsidRPr="00834415" w:rsidRDefault="00EA46D0" w:rsidP="00927E1F">
            <w:pPr>
              <w:rPr>
                <w:rFonts w:eastAsia="Batang"/>
                <w:lang w:eastAsia="ko-KR"/>
              </w:rPr>
            </w:pPr>
            <w:r w:rsidRPr="00834415">
              <w:rPr>
                <w:bCs/>
              </w:rPr>
              <w:t>Forum sur la gouvernance de l’Internet</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IPSAS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Normes comptables internationales pour le secteur public</w:t>
            </w:r>
          </w:p>
        </w:tc>
      </w:tr>
      <w:tr w:rsidR="00EA46D0" w:rsidRPr="00834415" w:rsidTr="00927E1F">
        <w:tc>
          <w:tcPr>
            <w:tcW w:w="1384" w:type="dxa"/>
            <w:shd w:val="clear" w:color="auto" w:fill="auto"/>
          </w:tcPr>
          <w:p w:rsidR="00EA46D0" w:rsidRPr="00834415" w:rsidRDefault="00EA46D0" w:rsidP="00927E1F">
            <w:pPr>
              <w:rPr>
                <w:rFonts w:eastAsia="Batang"/>
                <w:lang w:eastAsia="ko-KR"/>
              </w:rPr>
            </w:pPr>
          </w:p>
        </w:tc>
        <w:tc>
          <w:tcPr>
            <w:tcW w:w="7827" w:type="dxa"/>
            <w:shd w:val="clear" w:color="auto" w:fill="auto"/>
          </w:tcPr>
          <w:p w:rsidR="00EA46D0" w:rsidRPr="00834415" w:rsidRDefault="00EA46D0" w:rsidP="00927E1F">
            <w:pPr>
              <w:rPr>
                <w:rFonts w:eastAsia="Batang"/>
                <w:lang w:eastAsia="ko-KR"/>
              </w:rPr>
            </w:pPr>
          </w:p>
        </w:tc>
      </w:tr>
      <w:tr w:rsidR="00EA46D0" w:rsidRPr="00834415" w:rsidTr="00927E1F">
        <w:tc>
          <w:tcPr>
            <w:tcW w:w="1384" w:type="dxa"/>
            <w:shd w:val="clear" w:color="auto" w:fill="auto"/>
          </w:tcPr>
          <w:p w:rsidR="00EA46D0" w:rsidRPr="00834415" w:rsidRDefault="00EA46D0" w:rsidP="00927E1F">
            <w:r w:rsidRPr="00834415">
              <w:rPr>
                <w:b/>
              </w:rPr>
              <w:t>M</w:t>
            </w:r>
            <w:r w:rsidRPr="00834415">
              <w:t xml:space="preserve">GS </w:t>
            </w:r>
          </w:p>
        </w:tc>
        <w:tc>
          <w:tcPr>
            <w:tcW w:w="7827" w:type="dxa"/>
            <w:shd w:val="clear" w:color="auto" w:fill="auto"/>
          </w:tcPr>
          <w:p w:rsidR="00EA46D0" w:rsidRPr="00834415" w:rsidRDefault="00EA46D0" w:rsidP="00927E1F">
            <w:pPr>
              <w:rPr>
                <w:rFonts w:eastAsia="Batang"/>
                <w:lang w:eastAsia="ko-KR"/>
              </w:rPr>
            </w:pPr>
            <w:r w:rsidRPr="00834415">
              <w:t>Gestionnaire de produits et services de Madrid</w:t>
            </w:r>
          </w:p>
        </w:tc>
      </w:tr>
      <w:tr w:rsidR="00EA46D0" w:rsidRPr="00834415" w:rsidTr="00927E1F">
        <w:tc>
          <w:tcPr>
            <w:tcW w:w="1384" w:type="dxa"/>
            <w:shd w:val="clear" w:color="auto" w:fill="auto"/>
          </w:tcPr>
          <w:p w:rsidR="00EA46D0" w:rsidRPr="00834415" w:rsidRDefault="00EA46D0" w:rsidP="00927E1F">
            <w:pPr>
              <w:rPr>
                <w:rFonts w:eastAsia="Batang"/>
                <w:lang w:eastAsia="ko-KR"/>
              </w:rPr>
            </w:pPr>
          </w:p>
        </w:tc>
        <w:tc>
          <w:tcPr>
            <w:tcW w:w="7827" w:type="dxa"/>
            <w:shd w:val="clear" w:color="auto" w:fill="auto"/>
          </w:tcPr>
          <w:p w:rsidR="00EA46D0" w:rsidRPr="00834415" w:rsidRDefault="00EA46D0" w:rsidP="00927E1F">
            <w:pPr>
              <w:rPr>
                <w:rFonts w:eastAsia="Batang"/>
                <w:lang w:eastAsia="ko-KR"/>
              </w:rPr>
            </w:pP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b/>
                <w:lang w:eastAsia="ko-KR"/>
              </w:rPr>
              <w:t>O</w:t>
            </w:r>
            <w:r w:rsidRPr="00834415">
              <w:rPr>
                <w:rFonts w:eastAsia="Batang"/>
                <w:lang w:eastAsia="ko-KR"/>
              </w:rPr>
              <w:t>API</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Organisation africaine de la propriété intellectuelle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OCDE</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Organisation de coopération et de développement économiques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OCI</w:t>
            </w:r>
          </w:p>
        </w:tc>
        <w:tc>
          <w:tcPr>
            <w:tcW w:w="7827" w:type="dxa"/>
            <w:shd w:val="clear" w:color="auto" w:fill="auto"/>
          </w:tcPr>
          <w:p w:rsidR="00EA46D0" w:rsidRPr="00834415" w:rsidRDefault="00EA46D0" w:rsidP="00927E1F">
            <w:pPr>
              <w:rPr>
                <w:rFonts w:eastAsia="Batang"/>
                <w:lang w:eastAsia="ko-KR"/>
              </w:rPr>
            </w:pPr>
            <w:r w:rsidRPr="00834415">
              <w:t>Organisation de la coopération islamique</w:t>
            </w:r>
          </w:p>
        </w:tc>
      </w:tr>
      <w:tr w:rsidR="00EA46D0" w:rsidRPr="00834415" w:rsidTr="00927E1F">
        <w:tc>
          <w:tcPr>
            <w:tcW w:w="1384" w:type="dxa"/>
            <w:shd w:val="clear" w:color="auto" w:fill="auto"/>
          </w:tcPr>
          <w:p w:rsidR="00EA46D0" w:rsidRPr="00834415" w:rsidRDefault="00EA46D0" w:rsidP="00927E1F">
            <w:pPr>
              <w:keepNext/>
              <w:keepLines/>
              <w:rPr>
                <w:rFonts w:eastAsia="Batang"/>
                <w:lang w:eastAsia="ko-KR"/>
              </w:rPr>
            </w:pPr>
            <w:r w:rsidRPr="00834415">
              <w:rPr>
                <w:rFonts w:eastAsia="Batang"/>
                <w:lang w:eastAsia="ko-KR"/>
              </w:rPr>
              <w:t>OCIS</w:t>
            </w:r>
          </w:p>
        </w:tc>
        <w:tc>
          <w:tcPr>
            <w:tcW w:w="7827" w:type="dxa"/>
            <w:shd w:val="clear" w:color="auto" w:fill="auto"/>
          </w:tcPr>
          <w:p w:rsidR="00EA46D0" w:rsidRPr="00834415" w:rsidRDefault="00EA46D0" w:rsidP="00927E1F">
            <w:pPr>
              <w:keepNext/>
              <w:keepLines/>
              <w:rPr>
                <w:rFonts w:eastAsia="Batang"/>
                <w:lang w:eastAsia="ko-KR"/>
              </w:rPr>
            </w:pPr>
            <w:r w:rsidRPr="00834415">
              <w:rPr>
                <w:rFonts w:eastAsia="Batang"/>
                <w:lang w:eastAsia="ko-KR"/>
              </w:rPr>
              <w:t>Organe consultatif indépendant de surveillance de l’OMPI</w:t>
            </w:r>
          </w:p>
        </w:tc>
      </w:tr>
      <w:tr w:rsidR="00EA46D0" w:rsidRPr="00834415" w:rsidTr="00927E1F">
        <w:tc>
          <w:tcPr>
            <w:tcW w:w="1384" w:type="dxa"/>
            <w:shd w:val="clear" w:color="auto" w:fill="auto"/>
          </w:tcPr>
          <w:p w:rsidR="00EA46D0" w:rsidRPr="00834415" w:rsidRDefault="00EA46D0" w:rsidP="00927E1F">
            <w:pPr>
              <w:keepNext/>
              <w:keepLines/>
              <w:rPr>
                <w:rFonts w:eastAsia="Batang"/>
                <w:lang w:eastAsia="ko-KR"/>
              </w:rPr>
            </w:pPr>
            <w:r w:rsidRPr="00834415">
              <w:rPr>
                <w:rFonts w:eastAsia="Batang"/>
                <w:lang w:eastAsia="ko-KR"/>
              </w:rPr>
              <w:t xml:space="preserve">OEB </w:t>
            </w:r>
          </w:p>
        </w:tc>
        <w:tc>
          <w:tcPr>
            <w:tcW w:w="7827" w:type="dxa"/>
            <w:shd w:val="clear" w:color="auto" w:fill="auto"/>
          </w:tcPr>
          <w:p w:rsidR="00EA46D0" w:rsidRPr="00834415" w:rsidRDefault="00EA46D0" w:rsidP="00927E1F">
            <w:pPr>
              <w:keepNext/>
              <w:keepLines/>
              <w:rPr>
                <w:rFonts w:eastAsia="Batang"/>
                <w:lang w:eastAsia="ko-KR"/>
              </w:rPr>
            </w:pPr>
            <w:r w:rsidRPr="00834415">
              <w:rPr>
                <w:rFonts w:eastAsia="Batang"/>
                <w:lang w:eastAsia="ko-KR"/>
              </w:rPr>
              <w:t>Office européen des brevets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OHMI</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Office de l’harmonisation dans le marché intérieur</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OIF</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Organisation internationale de la Francophonie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OIT</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Organisation internationale du Travail</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OMC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Organisation mondiale du commerce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OMS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Organisation mondiale de la santé</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ONG</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organisation non gouvernementale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ONUDI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Organisation des Nations Unies pour le développement industriel</w:t>
            </w:r>
          </w:p>
        </w:tc>
      </w:tr>
      <w:tr w:rsidR="00EA46D0" w:rsidRPr="00834415" w:rsidTr="00927E1F">
        <w:tc>
          <w:tcPr>
            <w:tcW w:w="1384" w:type="dxa"/>
            <w:shd w:val="clear" w:color="auto" w:fill="auto"/>
          </w:tcPr>
          <w:p w:rsidR="00EA46D0" w:rsidRPr="00834415" w:rsidRDefault="00EA46D0" w:rsidP="00927E1F">
            <w:pPr>
              <w:rPr>
                <w:rFonts w:eastAsia="Batang"/>
                <w:lang w:eastAsia="ko-KR"/>
              </w:rPr>
            </w:pPr>
          </w:p>
        </w:tc>
        <w:tc>
          <w:tcPr>
            <w:tcW w:w="7827" w:type="dxa"/>
            <w:shd w:val="clear" w:color="auto" w:fill="auto"/>
          </w:tcPr>
          <w:p w:rsidR="00EA46D0" w:rsidRPr="00834415" w:rsidRDefault="00EA46D0" w:rsidP="00927E1F">
            <w:pPr>
              <w:rPr>
                <w:rFonts w:eastAsia="Batang"/>
                <w:lang w:eastAsia="ko-KR"/>
              </w:rPr>
            </w:pP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b/>
                <w:bCs/>
                <w:lang w:eastAsia="ko-KR"/>
              </w:rPr>
              <w:t>P</w:t>
            </w:r>
            <w:r w:rsidRPr="00834415">
              <w:rPr>
                <w:rFonts w:eastAsia="Batang"/>
                <w:lang w:eastAsia="ko-KR"/>
              </w:rPr>
              <w:t xml:space="preserve">CT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Traité de coopération en matière de brevets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PLT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Traité sur le droit des brevets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PMA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pays les moins avancés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PME</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petites et moyennes entreprises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PMSDS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Système de gestion des performances et de perfectionnement du personnel</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PNUE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Programme des Nations Unies pour l’environnement</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PRS</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programme de réorientation stratégique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PSMT</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Plan stratégique à moyen terme</w:t>
            </w:r>
          </w:p>
        </w:tc>
      </w:tr>
      <w:tr w:rsidR="00EA46D0" w:rsidRPr="00834415" w:rsidTr="00927E1F">
        <w:tc>
          <w:tcPr>
            <w:tcW w:w="1384" w:type="dxa"/>
            <w:shd w:val="clear" w:color="auto" w:fill="auto"/>
          </w:tcPr>
          <w:p w:rsidR="00EA46D0" w:rsidRPr="00834415" w:rsidRDefault="00EA46D0" w:rsidP="00927E1F">
            <w:pPr>
              <w:rPr>
                <w:rFonts w:eastAsia="Batang"/>
                <w:b/>
                <w:bCs/>
                <w:lang w:eastAsia="ko-KR"/>
              </w:rPr>
            </w:pPr>
          </w:p>
        </w:tc>
        <w:tc>
          <w:tcPr>
            <w:tcW w:w="7827" w:type="dxa"/>
            <w:shd w:val="clear" w:color="auto" w:fill="auto"/>
          </w:tcPr>
          <w:p w:rsidR="00EA46D0" w:rsidRPr="00834415" w:rsidRDefault="00EA46D0" w:rsidP="00927E1F">
            <w:pPr>
              <w:rPr>
                <w:rFonts w:eastAsia="Batang"/>
                <w:b/>
                <w:bCs/>
                <w:lang w:eastAsia="ko-KR"/>
              </w:rPr>
            </w:pPr>
          </w:p>
        </w:tc>
      </w:tr>
      <w:tr w:rsidR="00EA46D0" w:rsidRPr="00834415" w:rsidTr="00927E1F">
        <w:tc>
          <w:tcPr>
            <w:tcW w:w="1384" w:type="dxa"/>
            <w:shd w:val="clear" w:color="auto" w:fill="auto"/>
          </w:tcPr>
          <w:p w:rsidR="00EA46D0" w:rsidRPr="00834415" w:rsidRDefault="00EA46D0" w:rsidP="00927E1F">
            <w:pPr>
              <w:rPr>
                <w:rFonts w:eastAsia="Batang"/>
                <w:color w:val="000000"/>
                <w:lang w:eastAsia="ko-KR"/>
              </w:rPr>
            </w:pPr>
            <w:r w:rsidRPr="00834415">
              <w:rPr>
                <w:rFonts w:eastAsia="Batang"/>
                <w:b/>
                <w:bCs/>
                <w:lang w:eastAsia="ko-KR"/>
              </w:rPr>
              <w:t>R</w:t>
            </w:r>
            <w:r>
              <w:rPr>
                <w:rFonts w:eastAsia="Batang"/>
                <w:color w:val="000000"/>
                <w:lang w:eastAsia="ko-KR"/>
              </w:rPr>
              <w:noBreakHyphen/>
            </w:r>
            <w:r w:rsidRPr="00834415">
              <w:rPr>
                <w:rFonts w:eastAsia="Batang"/>
                <w:color w:val="000000"/>
                <w:lang w:eastAsia="ko-KR"/>
              </w:rPr>
              <w:t>D</w:t>
            </w:r>
          </w:p>
        </w:tc>
        <w:tc>
          <w:tcPr>
            <w:tcW w:w="7827" w:type="dxa"/>
            <w:shd w:val="clear" w:color="auto" w:fill="auto"/>
          </w:tcPr>
          <w:p w:rsidR="00EA46D0" w:rsidRPr="00834415" w:rsidRDefault="00EA46D0" w:rsidP="00927E1F">
            <w:pPr>
              <w:rPr>
                <w:rFonts w:eastAsia="Batang"/>
                <w:color w:val="000000"/>
                <w:lang w:eastAsia="ko-KR"/>
              </w:rPr>
            </w:pPr>
            <w:r w:rsidRPr="00834415">
              <w:rPr>
                <w:rFonts w:eastAsia="Batang"/>
                <w:color w:val="000000"/>
                <w:lang w:eastAsia="ko-KR"/>
              </w:rPr>
              <w:t>recherche</w:t>
            </w:r>
            <w:r>
              <w:rPr>
                <w:rFonts w:eastAsia="Batang"/>
                <w:color w:val="000000"/>
                <w:lang w:eastAsia="ko-KR"/>
              </w:rPr>
              <w:noBreakHyphen/>
            </w:r>
            <w:r w:rsidRPr="00834415">
              <w:rPr>
                <w:rFonts w:eastAsia="Batang"/>
                <w:color w:val="000000"/>
                <w:lang w:eastAsia="ko-KR"/>
              </w:rPr>
              <w:t>développement</w:t>
            </w:r>
          </w:p>
        </w:tc>
      </w:tr>
      <w:tr w:rsidR="00EA46D0" w:rsidRPr="00834415" w:rsidTr="00927E1F">
        <w:tc>
          <w:tcPr>
            <w:tcW w:w="1384" w:type="dxa"/>
            <w:shd w:val="clear" w:color="auto" w:fill="auto"/>
          </w:tcPr>
          <w:p w:rsidR="00EA46D0" w:rsidRPr="00834415" w:rsidRDefault="00EA46D0" w:rsidP="00927E1F">
            <w:pPr>
              <w:rPr>
                <w:rFonts w:eastAsia="Batang"/>
                <w:lang w:eastAsia="ko-KR"/>
              </w:rPr>
            </w:pPr>
          </w:p>
        </w:tc>
        <w:tc>
          <w:tcPr>
            <w:tcW w:w="7827" w:type="dxa"/>
            <w:shd w:val="clear" w:color="auto" w:fill="auto"/>
          </w:tcPr>
          <w:p w:rsidR="00EA46D0" w:rsidRPr="00834415" w:rsidRDefault="00EA46D0" w:rsidP="00927E1F">
            <w:pPr>
              <w:rPr>
                <w:rFonts w:eastAsia="Batang"/>
                <w:lang w:eastAsia="ko-KR"/>
              </w:rPr>
            </w:pP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b/>
                <w:lang w:eastAsia="ko-KR"/>
              </w:rPr>
              <w:t>S</w:t>
            </w:r>
            <w:r w:rsidRPr="00834415">
              <w:rPr>
                <w:rFonts w:eastAsia="Batang"/>
                <w:lang w:eastAsia="ko-KR"/>
              </w:rPr>
              <w:t xml:space="preserve">CCR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Comité permanent du droit d’auteur et des droits connexes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SCP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Comité permanent du droit des brevets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SCT</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Comité permanent du droit des marques, des dessins et modèles industriels et des indications géographiques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SGED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système de gestion électronique des documents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SME</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Semaine mondiale de </w:t>
            </w:r>
            <w:r>
              <w:rPr>
                <w:rFonts w:eastAsia="Batang"/>
                <w:lang w:eastAsia="ko-KR"/>
              </w:rPr>
              <w:t>l’entrepreneuriat</w:t>
            </w:r>
          </w:p>
        </w:tc>
      </w:tr>
      <w:tr w:rsidR="00EA46D0" w:rsidRPr="00834415" w:rsidTr="00927E1F">
        <w:tc>
          <w:tcPr>
            <w:tcW w:w="1384" w:type="dxa"/>
            <w:shd w:val="clear" w:color="auto" w:fill="auto"/>
          </w:tcPr>
          <w:p w:rsidR="00EA46D0" w:rsidRPr="00834415" w:rsidRDefault="00EA46D0" w:rsidP="00927E1F">
            <w:pPr>
              <w:rPr>
                <w:rFonts w:eastAsia="Batang"/>
                <w:lang w:eastAsia="ko-KR"/>
              </w:rPr>
            </w:pPr>
          </w:p>
        </w:tc>
        <w:tc>
          <w:tcPr>
            <w:tcW w:w="7827" w:type="dxa"/>
            <w:shd w:val="clear" w:color="auto" w:fill="auto"/>
          </w:tcPr>
          <w:p w:rsidR="00EA46D0" w:rsidRPr="00834415" w:rsidRDefault="00EA46D0" w:rsidP="00927E1F">
            <w:pPr>
              <w:rPr>
                <w:rFonts w:eastAsia="Batang"/>
                <w:lang w:eastAsia="ko-KR"/>
              </w:rPr>
            </w:pPr>
          </w:p>
        </w:tc>
      </w:tr>
      <w:tr w:rsidR="00EA46D0" w:rsidRPr="006B4497" w:rsidTr="00927E1F">
        <w:tc>
          <w:tcPr>
            <w:tcW w:w="1384" w:type="dxa"/>
            <w:shd w:val="clear" w:color="auto" w:fill="auto"/>
          </w:tcPr>
          <w:p w:rsidR="00EA46D0" w:rsidRPr="00834415" w:rsidRDefault="00EA46D0" w:rsidP="00927E1F">
            <w:pPr>
              <w:rPr>
                <w:rFonts w:eastAsia="Batang"/>
                <w:lang w:eastAsia="ko-KR"/>
              </w:rPr>
            </w:pPr>
            <w:r w:rsidRPr="00834415">
              <w:rPr>
                <w:rFonts w:eastAsia="Batang"/>
                <w:b/>
                <w:lang w:eastAsia="ko-KR"/>
              </w:rPr>
              <w:t>T</w:t>
            </w:r>
            <w:r w:rsidRPr="00834415">
              <w:rPr>
                <w:rFonts w:eastAsia="Batang"/>
                <w:lang w:eastAsia="ko-KR"/>
              </w:rPr>
              <w:t>APTA</w:t>
            </w:r>
          </w:p>
        </w:tc>
        <w:tc>
          <w:tcPr>
            <w:tcW w:w="7827" w:type="dxa"/>
            <w:shd w:val="clear" w:color="auto" w:fill="auto"/>
          </w:tcPr>
          <w:p w:rsidR="00EA46D0" w:rsidRPr="006B4497" w:rsidRDefault="00EA46D0" w:rsidP="00927E1F">
            <w:pPr>
              <w:rPr>
                <w:rFonts w:eastAsia="Batang"/>
                <w:lang w:val="en-US" w:eastAsia="ko-KR"/>
              </w:rPr>
            </w:pPr>
            <w:r w:rsidRPr="006B4497">
              <w:rPr>
                <w:rFonts w:eastAsia="Batang"/>
                <w:lang w:val="en-US" w:eastAsia="ko-KR"/>
              </w:rPr>
              <w:t>Translation Assistant for Patent Titles and Abstracts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TIC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technologies de l’information et des communications</w:t>
            </w:r>
          </w:p>
        </w:tc>
      </w:tr>
      <w:tr w:rsidR="00EA46D0" w:rsidRPr="006B4497"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TIGAR</w:t>
            </w:r>
          </w:p>
        </w:tc>
        <w:tc>
          <w:tcPr>
            <w:tcW w:w="7827" w:type="dxa"/>
            <w:shd w:val="clear" w:color="auto" w:fill="auto"/>
          </w:tcPr>
          <w:p w:rsidR="00EA46D0" w:rsidRPr="006B4497" w:rsidRDefault="00EA46D0" w:rsidP="00927E1F">
            <w:pPr>
              <w:rPr>
                <w:rFonts w:eastAsia="Batang"/>
                <w:lang w:val="en-US" w:eastAsia="ko-KR"/>
              </w:rPr>
            </w:pPr>
            <w:r w:rsidRPr="006B4497">
              <w:rPr>
                <w:lang w:val="en-US"/>
              </w:rPr>
              <w:t>Trusted Intermediary Global Accessible Resources</w:t>
            </w:r>
          </w:p>
        </w:tc>
      </w:tr>
      <w:tr w:rsidR="00EA46D0" w:rsidRPr="006B4497" w:rsidTr="00927E1F">
        <w:tc>
          <w:tcPr>
            <w:tcW w:w="1384" w:type="dxa"/>
            <w:shd w:val="clear" w:color="auto" w:fill="auto"/>
          </w:tcPr>
          <w:p w:rsidR="00EA46D0" w:rsidRPr="006B4497" w:rsidRDefault="00EA46D0" w:rsidP="00927E1F">
            <w:pPr>
              <w:rPr>
                <w:rFonts w:eastAsia="Batang"/>
                <w:lang w:val="en-US" w:eastAsia="ko-KR"/>
              </w:rPr>
            </w:pPr>
          </w:p>
        </w:tc>
        <w:tc>
          <w:tcPr>
            <w:tcW w:w="7827" w:type="dxa"/>
            <w:shd w:val="clear" w:color="auto" w:fill="auto"/>
          </w:tcPr>
          <w:p w:rsidR="00EA46D0" w:rsidRPr="006B4497" w:rsidRDefault="00EA46D0" w:rsidP="00927E1F">
            <w:pPr>
              <w:rPr>
                <w:rFonts w:eastAsia="Batang"/>
                <w:lang w:val="en-US" w:eastAsia="ko-KR"/>
              </w:rPr>
            </w:pP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b/>
                <w:lang w:eastAsia="ko-KR"/>
              </w:rPr>
              <w:t>U</w:t>
            </w:r>
            <w:r w:rsidRPr="00834415">
              <w:rPr>
                <w:rFonts w:eastAsia="Batang"/>
                <w:lang w:eastAsia="ko-KR"/>
              </w:rPr>
              <w:t xml:space="preserve">DRP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principes directeurs concernant le règlement uniforme des litiges relatifs aux noms de domaine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UIT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Union internationale des télécommunications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UNAH</w:t>
            </w:r>
          </w:p>
        </w:tc>
        <w:tc>
          <w:tcPr>
            <w:tcW w:w="7827" w:type="dxa"/>
            <w:shd w:val="clear" w:color="auto" w:fill="auto"/>
          </w:tcPr>
          <w:p w:rsidR="00EA46D0" w:rsidRPr="00834415" w:rsidRDefault="00EA46D0" w:rsidP="00927E1F">
            <w:pPr>
              <w:rPr>
                <w:rFonts w:eastAsia="Batang"/>
                <w:lang w:eastAsia="ko-KR"/>
              </w:rPr>
            </w:pPr>
            <w:r w:rsidRPr="00834415">
              <w:rPr>
                <w:color w:val="000000"/>
              </w:rPr>
              <w:t>Université nationale autonome du Honduras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UNESCO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Organisation des Nations Unies pour l’éducation, la science et la culture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UNICC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Centre international de calcul des Nations Unies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UNPFII</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Instance permanente des Nations Unies sur les questions autochtones</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USPTO</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Office des brevets et des marques des États</w:t>
            </w:r>
            <w:r>
              <w:rPr>
                <w:rFonts w:eastAsia="Batang"/>
                <w:lang w:eastAsia="ko-KR"/>
              </w:rPr>
              <w:noBreakHyphen/>
            </w:r>
            <w:r w:rsidRPr="00834415">
              <w:rPr>
                <w:rFonts w:eastAsia="Batang"/>
                <w:lang w:eastAsia="ko-KR"/>
              </w:rPr>
              <w:t>Unis d’Amérique</w:t>
            </w:r>
          </w:p>
        </w:tc>
      </w:tr>
      <w:tr w:rsidR="00EA46D0" w:rsidRPr="00834415" w:rsidTr="00927E1F">
        <w:tc>
          <w:tcPr>
            <w:tcW w:w="1384" w:type="dxa"/>
            <w:shd w:val="clear" w:color="auto" w:fill="auto"/>
          </w:tcPr>
          <w:p w:rsidR="00EA46D0" w:rsidRPr="00834415" w:rsidRDefault="00EA46D0" w:rsidP="00927E1F">
            <w:pPr>
              <w:rPr>
                <w:rFonts w:eastAsia="Batang"/>
                <w:lang w:eastAsia="ko-KR"/>
              </w:rPr>
            </w:pPr>
          </w:p>
        </w:tc>
        <w:tc>
          <w:tcPr>
            <w:tcW w:w="7827" w:type="dxa"/>
            <w:shd w:val="clear" w:color="auto" w:fill="auto"/>
          </w:tcPr>
          <w:p w:rsidR="00EA46D0" w:rsidRPr="00834415" w:rsidRDefault="00EA46D0" w:rsidP="00927E1F">
            <w:pPr>
              <w:rPr>
                <w:rFonts w:eastAsia="Batang"/>
                <w:lang w:eastAsia="ko-KR"/>
              </w:rPr>
            </w:pP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7747D8">
              <w:rPr>
                <w:rFonts w:eastAsia="Batang"/>
                <w:b/>
                <w:lang w:eastAsia="ko-KR"/>
              </w:rPr>
              <w:t>W</w:t>
            </w:r>
            <w:r w:rsidRPr="00834415">
              <w:rPr>
                <w:rFonts w:eastAsia="Batang"/>
                <w:lang w:eastAsia="ko-KR"/>
              </w:rPr>
              <w:t xml:space="preserve">CT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Traité de l’OMPI sur le droit d’auteur</w:t>
            </w:r>
          </w:p>
        </w:tc>
      </w:tr>
      <w:tr w:rsidR="00EA46D0" w:rsidRPr="00834415" w:rsidTr="00927E1F">
        <w:tc>
          <w:tcPr>
            <w:tcW w:w="1384" w:type="dxa"/>
            <w:shd w:val="clear" w:color="auto" w:fill="auto"/>
          </w:tcPr>
          <w:p w:rsidR="00EA46D0" w:rsidRPr="00834415" w:rsidRDefault="00EA46D0" w:rsidP="00927E1F">
            <w:pPr>
              <w:rPr>
                <w:rFonts w:eastAsia="Batang"/>
                <w:lang w:eastAsia="ko-KR"/>
              </w:rPr>
            </w:pPr>
            <w:r w:rsidRPr="00834415">
              <w:rPr>
                <w:rFonts w:eastAsia="Batang"/>
                <w:lang w:eastAsia="ko-KR"/>
              </w:rPr>
              <w:t xml:space="preserve">WPPT </w:t>
            </w:r>
          </w:p>
        </w:tc>
        <w:tc>
          <w:tcPr>
            <w:tcW w:w="7827" w:type="dxa"/>
            <w:shd w:val="clear" w:color="auto" w:fill="auto"/>
          </w:tcPr>
          <w:p w:rsidR="00EA46D0" w:rsidRPr="00834415" w:rsidRDefault="00EA46D0" w:rsidP="00927E1F">
            <w:pPr>
              <w:rPr>
                <w:rFonts w:eastAsia="Batang"/>
                <w:lang w:eastAsia="ko-KR"/>
              </w:rPr>
            </w:pPr>
            <w:r w:rsidRPr="00834415">
              <w:rPr>
                <w:rFonts w:eastAsia="Batang"/>
                <w:lang w:eastAsia="ko-KR"/>
              </w:rPr>
              <w:t>Traité de l’OMPI sur les interprétations et exécutions et les phonogrammes</w:t>
            </w:r>
          </w:p>
        </w:tc>
      </w:tr>
    </w:tbl>
    <w:p w:rsidR="00EA46D0" w:rsidRPr="00834415" w:rsidRDefault="00EA46D0" w:rsidP="00EA46D0"/>
    <w:p w:rsidR="00EA46D0" w:rsidRDefault="00EA46D0" w:rsidP="00EA46D0"/>
    <w:p w:rsidR="00AA7A91" w:rsidRPr="00834415" w:rsidRDefault="00AA7A91" w:rsidP="00EA46D0"/>
    <w:p w:rsidR="00EA46D0" w:rsidRPr="006B4497" w:rsidRDefault="00EA46D0" w:rsidP="00AA7A91">
      <w:pPr>
        <w:pStyle w:val="Endofdocument-Annex"/>
        <w:rPr>
          <w:lang w:val="fr-CH"/>
        </w:rPr>
      </w:pPr>
      <w:r w:rsidRPr="00834415">
        <w:rPr>
          <w:lang w:val="fr-FR"/>
        </w:rPr>
        <w:t>[Fin de l’annexe</w:t>
      </w:r>
      <w:r w:rsidR="00783605">
        <w:rPr>
          <w:lang w:val="fr-FR"/>
        </w:rPr>
        <w:t> </w:t>
      </w:r>
      <w:r w:rsidRPr="00834415">
        <w:rPr>
          <w:lang w:val="fr-FR"/>
        </w:rPr>
        <w:t>IV et du document]</w:t>
      </w:r>
    </w:p>
    <w:sectPr w:rsidR="00EA46D0" w:rsidRPr="006B4497" w:rsidSect="00AD6A0A">
      <w:headerReference w:type="even" r:id="rId133"/>
      <w:headerReference w:type="default" r:id="rId134"/>
      <w:footerReference w:type="even" r:id="rId135"/>
      <w:footerReference w:type="default" r:id="rId136"/>
      <w:footerReference w:type="first" r:id="rId137"/>
      <w:pgSz w:w="11907" w:h="16839" w:code="9"/>
      <w:pgMar w:top="567" w:right="1134" w:bottom="1418" w:left="1418" w:header="510" w:footer="1021"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497" w:rsidRDefault="006B4497" w:rsidP="001D3731">
      <w:r>
        <w:separator/>
      </w:r>
    </w:p>
  </w:endnote>
  <w:endnote w:type="continuationSeparator" w:id="0">
    <w:p w:rsidR="006B4497" w:rsidRDefault="006B4497" w:rsidP="001D3731">
      <w:r>
        <w:continuationSeparator/>
      </w:r>
    </w:p>
  </w:endnote>
  <w:endnote w:type="continuationNotice" w:id="1">
    <w:p w:rsidR="006B4497" w:rsidRDefault="006B44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Bold">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MS Mincho"/>
    <w:charset w:val="80"/>
    <w:family w:val="auto"/>
    <w:pitch w:val="variable"/>
    <w:sig w:usb0="00000001" w:usb1="00000000" w:usb2="01000407" w:usb3="00000000" w:csb0="00020000"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497" w:rsidRPr="00AD6A0A" w:rsidRDefault="006B4497" w:rsidP="00AD6A0A">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497" w:rsidRDefault="006B4497" w:rsidP="008F201B">
    <w:pPr>
      <w:pStyle w:val="Footer"/>
      <w:tabs>
        <w:tab w:val="clear" w:pos="4513"/>
        <w:tab w:val="clear" w:pos="9026"/>
        <w:tab w:val="right" w:pos="8504"/>
      </w:tabs>
      <w:rPr>
        <w:sz w:val="16"/>
      </w:rPr>
    </w:pPr>
    <w:r>
      <w:rPr>
        <w:sz w:val="16"/>
      </w:rPr>
      <w:fldChar w:fldCharType="begin"/>
    </w:r>
    <w:r>
      <w:rPr>
        <w:sz w:val="16"/>
      </w:rPr>
      <w:instrText xml:space="preserve"> FILENAME \* Lower\p  \* MERGEFORMAT </w:instrText>
    </w:r>
    <w:r>
      <w:rPr>
        <w:sz w:val="16"/>
      </w:rPr>
      <w:fldChar w:fldCharType="separate"/>
    </w:r>
    <w:r>
      <w:rPr>
        <w:noProof/>
        <w:sz w:val="16"/>
      </w:rPr>
      <w:t>n:\orglan\aem\pool\39474\wo_pbc_25_7_39474_fr.docx</w:t>
    </w:r>
    <w:r>
      <w:rPr>
        <w:sz w:val="16"/>
      </w:rPr>
      <w:fldChar w:fldCharType="end"/>
    </w:r>
    <w:r>
      <w:rPr>
        <w:sz w:val="16"/>
      </w:rPr>
      <w:t xml:space="preserve"> </w:t>
    </w:r>
    <w:r>
      <w:rPr>
        <w:sz w:val="16"/>
      </w:rPr>
      <w:tab/>
      <w:t>(SC/PB/</w:t>
    </w:r>
    <w:proofErr w:type="spellStart"/>
    <w:r>
      <w:rPr>
        <w:sz w:val="16"/>
      </w:rPr>
      <w:t>sc</w:t>
    </w:r>
    <w:proofErr w:type="spellEnd"/>
    <w:r>
      <w:rPr>
        <w:sz w:val="16"/>
      </w:rPr>
      <w:t>/</w:t>
    </w:r>
    <w:r>
      <w:rPr>
        <w:sz w:val="16"/>
      </w:rPr>
      <w:fldChar w:fldCharType="begin"/>
    </w:r>
    <w:r>
      <w:rPr>
        <w:sz w:val="16"/>
      </w:rPr>
      <w:instrText xml:space="preserve"> TIME \@ "d-MMM-yy" </w:instrText>
    </w:r>
    <w:r>
      <w:rPr>
        <w:sz w:val="16"/>
      </w:rPr>
      <w:fldChar w:fldCharType="separate"/>
    </w:r>
    <w:r>
      <w:rPr>
        <w:noProof/>
        <w:sz w:val="16"/>
      </w:rPr>
      <w:t>6-juil.-16</w:t>
    </w:r>
    <w:r>
      <w:rPr>
        <w:sz w:val="16"/>
      </w:rPr>
      <w:fldChar w:fldCharType="end"/>
    </w:r>
    <w:r>
      <w:rPr>
        <w:sz w:val="16"/>
      </w:rPr>
      <w:t>/</w:t>
    </w:r>
    <w:r>
      <w:rPr>
        <w:sz w:val="16"/>
      </w:rPr>
      <w:fldChar w:fldCharType="begin"/>
    </w:r>
    <w:r>
      <w:rPr>
        <w:sz w:val="16"/>
      </w:rPr>
      <w:instrText xml:space="preserve"> TIME \@ "h:mm" </w:instrText>
    </w:r>
    <w:r>
      <w:rPr>
        <w:sz w:val="16"/>
      </w:rPr>
      <w:fldChar w:fldCharType="separate"/>
    </w:r>
    <w:r>
      <w:rPr>
        <w:noProof/>
        <w:sz w:val="16"/>
      </w:rPr>
      <w:t>2:24</w:t>
    </w:r>
    <w:r>
      <w:rPr>
        <w:sz w:val="16"/>
      </w:rPr>
      <w:fldChar w:fldCharType="end"/>
    </w:r>
    <w:r>
      <w:rPr>
        <w:sz w:val="16"/>
      </w:rPr>
      <w:t>)</w:t>
    </w:r>
  </w:p>
  <w:p w:rsidR="006B4497" w:rsidRPr="008F201B" w:rsidRDefault="006B4497" w:rsidP="008F201B">
    <w:pPr>
      <w:pStyle w:val="Footer"/>
      <w:tabs>
        <w:tab w:val="clear" w:pos="4513"/>
        <w:tab w:val="clear" w:pos="9026"/>
        <w:tab w:val="right" w:pos="8504"/>
      </w:tabs>
      <w:jc w:val="center"/>
      <w:rPr>
        <w:rFonts w:ascii="Times New Roman" w:hAnsi="Times New Roman"/>
        <w:b/>
        <w:sz w:val="24"/>
        <w:lang w:val="en-US"/>
      </w:rPr>
    </w:pPr>
    <w:r>
      <w:rPr>
        <w:rFonts w:ascii="Wingdings" w:hAnsi="Wingdings"/>
        <w:b/>
        <w:sz w:val="24"/>
      </w:rPr>
      <w:t></w:t>
    </w:r>
    <w:r>
      <w:rPr>
        <w:rFonts w:ascii="Times New Roman" w:hAnsi="Times New Roman"/>
        <w:b/>
        <w:sz w:val="24"/>
      </w:rPr>
      <w:t xml:space="preserve"> </w:t>
    </w:r>
    <w:r>
      <w:rPr>
        <w:rFonts w:ascii="Times New Roman" w:hAnsi="Times New Roman"/>
        <w:b/>
        <w:sz w:val="24"/>
        <w:lang w:val="en-US"/>
      </w:rPr>
      <w:t>TO BE RENAMED BEFORE PRINTING</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497" w:rsidRPr="00AD6A0A" w:rsidRDefault="006B4497" w:rsidP="00AD6A0A">
    <w:pPr>
      <w:pStyle w:val="Footer"/>
      <w:jc w:val="center"/>
    </w:pPr>
    <w:r>
      <w:fldChar w:fldCharType="begin"/>
    </w:r>
    <w:r>
      <w:instrText>PAGE   \* MERGEFORMAT</w:instrText>
    </w:r>
    <w:r>
      <w:fldChar w:fldCharType="separate"/>
    </w:r>
    <w:r w:rsidR="00B62C62">
      <w:rPr>
        <w:noProof/>
      </w:rPr>
      <w:t>386</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497" w:rsidRPr="00AD6A0A" w:rsidRDefault="006B4497" w:rsidP="00AD6A0A">
    <w:pPr>
      <w:pStyle w:val="Footer"/>
      <w:jc w:val="center"/>
    </w:pPr>
    <w:r>
      <w:fldChar w:fldCharType="begin"/>
    </w:r>
    <w:r>
      <w:instrText>PAGE   \* MERGEFORMAT</w:instrText>
    </w:r>
    <w:r>
      <w:fldChar w:fldCharType="separate"/>
    </w:r>
    <w:r w:rsidR="00B62C62">
      <w:rPr>
        <w:noProof/>
      </w:rPr>
      <w:t>387</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497" w:rsidRPr="00AD6A0A" w:rsidRDefault="006B4497" w:rsidP="00AD6A0A">
    <w:pPr>
      <w:pStyle w:val="Footer"/>
      <w:jc w:val="center"/>
    </w:pPr>
    <w:r>
      <w:fldChar w:fldCharType="begin"/>
    </w:r>
    <w:r>
      <w:instrText>PAGE   \* MERGEFORMAT</w:instrText>
    </w:r>
    <w:r>
      <w:fldChar w:fldCharType="separate"/>
    </w:r>
    <w:r w:rsidR="00AD0334">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497" w:rsidRDefault="006B4497" w:rsidP="001D3731">
      <w:r>
        <w:separator/>
      </w:r>
    </w:p>
  </w:footnote>
  <w:footnote w:type="continuationSeparator" w:id="0">
    <w:p w:rsidR="006B4497" w:rsidRDefault="006B4497" w:rsidP="001D3731">
      <w:r>
        <w:continuationSeparator/>
      </w:r>
    </w:p>
  </w:footnote>
  <w:footnote w:type="continuationNotice" w:id="1">
    <w:p w:rsidR="006B4497" w:rsidRDefault="006B4497"/>
  </w:footnote>
  <w:footnote w:id="2">
    <w:p w:rsidR="006B4497" w:rsidRPr="00097C4D" w:rsidRDefault="006B4497" w:rsidP="00BA5B2A">
      <w:pPr>
        <w:pStyle w:val="FootnoteText"/>
        <w:rPr>
          <w:sz w:val="16"/>
          <w:szCs w:val="16"/>
          <w:lang w:val="fr-CH"/>
        </w:rPr>
      </w:pPr>
      <w:r w:rsidRPr="00097C4D">
        <w:rPr>
          <w:rStyle w:val="FootnoteReference"/>
          <w:sz w:val="16"/>
          <w:szCs w:val="16"/>
        </w:rPr>
        <w:footnoteRef/>
      </w:r>
      <w:r w:rsidRPr="00097C4D">
        <w:rPr>
          <w:sz w:val="16"/>
          <w:szCs w:val="16"/>
          <w:lang w:val="fr-CH"/>
        </w:rPr>
        <w:t xml:space="preserve"> </w:t>
      </w:r>
      <w:r w:rsidRPr="00097C4D">
        <w:rPr>
          <w:sz w:val="16"/>
          <w:szCs w:val="16"/>
          <w:lang w:val="fr-CH"/>
        </w:rPr>
        <w:tab/>
        <w:t>En règle générale, lorsque les données relatives à l’exécution sont mesurées par l’évolution en pourcentage (à la hausse ou à la baisse), sauf indication contraire, cette évolution s’entend par rapport à l’année précédente, c’est-à-dire l’évolution en pourcentage en 2014 par rapport à 2013, et l’évolution en pourcentage en 2015 par rapport à 2014.</w:t>
      </w:r>
    </w:p>
  </w:footnote>
  <w:footnote w:id="3">
    <w:p w:rsidR="006B4497" w:rsidRPr="00097C4D" w:rsidRDefault="006B4497" w:rsidP="00BA5B2A">
      <w:pPr>
        <w:autoSpaceDE w:val="0"/>
        <w:autoSpaceDN w:val="0"/>
        <w:adjustRightInd w:val="0"/>
        <w:rPr>
          <w:rFonts w:cs="Arial"/>
          <w:sz w:val="16"/>
          <w:szCs w:val="16"/>
        </w:rPr>
      </w:pPr>
      <w:r w:rsidRPr="00097C4D">
        <w:rPr>
          <w:rStyle w:val="FootnoteReference"/>
          <w:rFonts w:cs="Arial"/>
          <w:sz w:val="16"/>
          <w:szCs w:val="16"/>
        </w:rPr>
        <w:footnoteRef/>
      </w:r>
      <w:r w:rsidRPr="00097C4D">
        <w:rPr>
          <w:rFonts w:cs="Arial"/>
          <w:sz w:val="16"/>
          <w:szCs w:val="16"/>
        </w:rPr>
        <w:t xml:space="preserve"> </w:t>
      </w:r>
      <w:r w:rsidRPr="00097C4D">
        <w:rPr>
          <w:rFonts w:cs="Arial"/>
          <w:sz w:val="16"/>
          <w:szCs w:val="16"/>
        </w:rPr>
        <w:tab/>
      </w:r>
      <w:r w:rsidRPr="00097C4D">
        <w:rPr>
          <w:rFonts w:eastAsia="Arial Unicode MS" w:cs="Arial"/>
          <w:sz w:val="16"/>
          <w:szCs w:val="16"/>
        </w:rPr>
        <w:t>Conformément aux demandes des États membres, les programmes ont bénéficié de l’opportunité de définir des objectifs qui n’avaient pas été définis dans le programme et budget 2014-2015, à savoir des objectifs “à déterminer”, durant l’exercice de mise à jour des niveaux de référence (lancé en juillet 2014), en se basant sur les chiffres de fin 2013.  Les objectifs qui n’avaient pas été définis au cours de cette procédure restaient indéfinis et les données d’exécution étaient par conséquent notées comme “non évaluables”.</w:t>
      </w:r>
    </w:p>
  </w:footnote>
  <w:footnote w:id="4">
    <w:p w:rsidR="006B4497" w:rsidRPr="00097C4D" w:rsidRDefault="006B4497" w:rsidP="00BA5B2A">
      <w:pPr>
        <w:pStyle w:val="FootnoteText"/>
        <w:rPr>
          <w:sz w:val="16"/>
          <w:szCs w:val="16"/>
          <w:lang w:val="fr-CH"/>
        </w:rPr>
      </w:pPr>
      <w:r w:rsidRPr="00097C4D">
        <w:rPr>
          <w:rStyle w:val="FootnoteReference"/>
          <w:sz w:val="16"/>
          <w:szCs w:val="16"/>
        </w:rPr>
        <w:footnoteRef/>
      </w:r>
      <w:r w:rsidRPr="00097C4D">
        <w:rPr>
          <w:sz w:val="16"/>
          <w:szCs w:val="16"/>
          <w:lang w:val="fr-CH"/>
        </w:rPr>
        <w:t xml:space="preserve"> </w:t>
      </w:r>
      <w:r w:rsidRPr="00097C4D">
        <w:rPr>
          <w:sz w:val="16"/>
          <w:szCs w:val="16"/>
          <w:lang w:val="fr-CH"/>
        </w:rPr>
        <w:tab/>
        <w:t xml:space="preserve">À la fin de 2015, on comptait au total 29 567 affaires </w:t>
      </w:r>
      <w:proofErr w:type="spellStart"/>
      <w:r w:rsidRPr="00097C4D">
        <w:rPr>
          <w:sz w:val="16"/>
          <w:szCs w:val="16"/>
          <w:lang w:val="fr-CH"/>
        </w:rPr>
        <w:t>gTLD</w:t>
      </w:r>
      <w:proofErr w:type="spellEnd"/>
      <w:r w:rsidRPr="00097C4D">
        <w:rPr>
          <w:sz w:val="16"/>
          <w:szCs w:val="16"/>
          <w:lang w:val="fr-CH"/>
        </w:rPr>
        <w:t xml:space="preserve"> et 3520 affaires relatives à des noms de domaine de premier niveau qui sont des codes de pays (</w:t>
      </w:r>
      <w:proofErr w:type="spellStart"/>
      <w:r w:rsidRPr="00097C4D">
        <w:rPr>
          <w:sz w:val="16"/>
          <w:szCs w:val="16"/>
          <w:lang w:val="fr-CH"/>
        </w:rPr>
        <w:t>ccTLD</w:t>
      </w:r>
      <w:proofErr w:type="spellEnd"/>
      <w:r w:rsidRPr="00097C4D">
        <w:rPr>
          <w:sz w:val="16"/>
          <w:szCs w:val="16"/>
          <w:lang w:val="fr-CH"/>
        </w:rPr>
        <w:t>).</w:t>
      </w:r>
    </w:p>
  </w:footnote>
  <w:footnote w:id="5">
    <w:p w:rsidR="006B4497" w:rsidRPr="00097C4D" w:rsidRDefault="006B4497" w:rsidP="00BA5B2A">
      <w:pPr>
        <w:pStyle w:val="FootnoteText"/>
        <w:rPr>
          <w:sz w:val="16"/>
          <w:szCs w:val="16"/>
          <w:lang w:val="fr-CH"/>
        </w:rPr>
      </w:pPr>
      <w:r w:rsidRPr="00097C4D">
        <w:rPr>
          <w:sz w:val="16"/>
          <w:szCs w:val="16"/>
          <w:vertAlign w:val="superscript"/>
        </w:rPr>
        <w:footnoteRef/>
      </w:r>
      <w:r w:rsidRPr="00097C4D">
        <w:rPr>
          <w:sz w:val="16"/>
          <w:szCs w:val="16"/>
          <w:lang w:val="fr-CH"/>
        </w:rPr>
        <w:t xml:space="preserve"> </w:t>
      </w:r>
      <w:r w:rsidRPr="00097C4D">
        <w:rPr>
          <w:sz w:val="16"/>
          <w:szCs w:val="16"/>
          <w:lang w:val="fr-CH"/>
        </w:rPr>
        <w:tab/>
        <w:t>La hausse de 138% de la demande de cours d’enseignement à distance de niveau avancé est attribuable à la forte participation des CATI, notamment au Maroc, à Madagascar et en Afrique du Sud, et à la disponibilité accrue de cours d’enseignement à distance dispensés dans les six langues officielles des Nations Unies à fin 2015.</w:t>
      </w:r>
    </w:p>
  </w:footnote>
  <w:footnote w:id="6">
    <w:p w:rsidR="006B4497" w:rsidRPr="00097C4D" w:rsidRDefault="006B4497" w:rsidP="00435839">
      <w:pPr>
        <w:pStyle w:val="FootnoteText"/>
        <w:rPr>
          <w:sz w:val="16"/>
          <w:szCs w:val="16"/>
        </w:rPr>
      </w:pPr>
      <w:r w:rsidRPr="00097C4D">
        <w:rPr>
          <w:rStyle w:val="FootnoteReference"/>
          <w:sz w:val="16"/>
          <w:szCs w:val="16"/>
        </w:rPr>
        <w:footnoteRef/>
      </w:r>
      <w:r w:rsidRPr="00097C4D">
        <w:rPr>
          <w:color w:val="000000" w:themeColor="text1"/>
          <w:sz w:val="16"/>
          <w:szCs w:val="16"/>
        </w:rPr>
        <w:tab/>
        <w:t xml:space="preserve">Anciennement appelé </w:t>
      </w:r>
      <w:r w:rsidRPr="006B4497">
        <w:rPr>
          <w:i/>
          <w:sz w:val="16"/>
          <w:szCs w:val="16"/>
          <w:lang w:val="fr-CH"/>
        </w:rPr>
        <w:t>Translation Assistant for Patent Titles and Abstracts</w:t>
      </w:r>
      <w:r w:rsidRPr="00097C4D">
        <w:rPr>
          <w:color w:val="000000" w:themeColor="text1"/>
          <w:sz w:val="16"/>
          <w:szCs w:val="16"/>
        </w:rPr>
        <w:t xml:space="preserve"> (TAPTA).</w:t>
      </w:r>
    </w:p>
  </w:footnote>
  <w:footnote w:id="7">
    <w:p w:rsidR="006B4497" w:rsidRPr="00097C4D" w:rsidRDefault="006B4497" w:rsidP="00D03DE2">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rPr>
        <w:tab/>
        <w:t xml:space="preserve">Dans le Rapport sur l’exécution du programme en 2012-2013, il était indiqué que la référence à la Journée mondiale de la propriété intellectuelle avait été signalée dans 89 pays.  </w:t>
      </w:r>
      <w:r w:rsidRPr="00097C4D">
        <w:rPr>
          <w:sz w:val="16"/>
          <w:szCs w:val="16"/>
          <w:lang w:val="fr-CH"/>
        </w:rPr>
        <w:t>Le nombre réel de pays l’évoquant était de 93.</w:t>
      </w:r>
    </w:p>
  </w:footnote>
  <w:footnote w:id="8">
    <w:p w:rsidR="006B4497" w:rsidRPr="00097C4D" w:rsidRDefault="006B4497" w:rsidP="007A287B">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rPr>
        <w:tab/>
        <w:t>Conformément à la pratique établie, les pays en transition étaient pris en considération aux fins du programme et budget.</w:t>
      </w:r>
    </w:p>
  </w:footnote>
  <w:footnote w:id="9">
    <w:p w:rsidR="006B4497" w:rsidRPr="0008229F" w:rsidRDefault="006B4497" w:rsidP="0008229F">
      <w:pPr>
        <w:rPr>
          <w:sz w:val="16"/>
          <w:szCs w:val="16"/>
        </w:rPr>
      </w:pPr>
      <w:r w:rsidRPr="0008229F">
        <w:rPr>
          <w:rStyle w:val="FootnoteReference"/>
          <w:sz w:val="16"/>
          <w:szCs w:val="16"/>
        </w:rPr>
        <w:footnoteRef/>
      </w:r>
      <w:r w:rsidRPr="0008229F">
        <w:rPr>
          <w:sz w:val="16"/>
          <w:szCs w:val="16"/>
        </w:rPr>
        <w:t xml:space="preserve"> </w:t>
      </w:r>
      <w:r w:rsidRPr="0008229F">
        <w:rPr>
          <w:sz w:val="16"/>
          <w:szCs w:val="16"/>
        </w:rPr>
        <w:tab/>
      </w:r>
      <w:r w:rsidRPr="0008229F">
        <w:rPr>
          <w:rFonts w:cs="Arial"/>
          <w:sz w:val="16"/>
          <w:szCs w:val="16"/>
        </w:rPr>
        <w:t xml:space="preserve">Les données de 2015 procèdent d’une nouvelle méthodologie de calcul du pourcentage de </w:t>
      </w:r>
      <w:proofErr w:type="spellStart"/>
      <w:r w:rsidRPr="0008229F">
        <w:rPr>
          <w:rFonts w:cs="Arial"/>
          <w:sz w:val="16"/>
          <w:szCs w:val="16"/>
        </w:rPr>
        <w:t>statisfaction</w:t>
      </w:r>
      <w:proofErr w:type="spellEnd"/>
      <w:r w:rsidRPr="0008229F">
        <w:rPr>
          <w:rFonts w:cs="Arial"/>
          <w:sz w:val="16"/>
          <w:szCs w:val="16"/>
        </w:rPr>
        <w:t>.</w:t>
      </w:r>
    </w:p>
  </w:footnote>
  <w:footnote w:id="10">
    <w:p w:rsidR="006B4497" w:rsidRPr="00097C4D" w:rsidRDefault="006B4497">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t>Rapport de</w:t>
      </w:r>
      <w:r>
        <w:rPr>
          <w:sz w:val="16"/>
          <w:szCs w:val="16"/>
          <w:lang w:val="fr-CH"/>
        </w:rPr>
        <w:t xml:space="preserve"> la quarante</w:t>
      </w:r>
      <w:r>
        <w:rPr>
          <w:sz w:val="16"/>
          <w:szCs w:val="16"/>
          <w:lang w:val="fr-CH"/>
        </w:rPr>
        <w:noBreakHyphen/>
        <w:t xml:space="preserve">septième session de l’Assemblée générale de l’OMPI : </w:t>
      </w:r>
      <w:hyperlink r:id="rId1" w:history="1">
        <w:r w:rsidRPr="00097C4D">
          <w:rPr>
            <w:rStyle w:val="Hyperlink"/>
            <w:sz w:val="16"/>
            <w:szCs w:val="16"/>
            <w:lang w:val="fr-CH"/>
          </w:rPr>
          <w:t>WO/GA/47/19</w:t>
        </w:r>
      </w:hyperlink>
      <w:r>
        <w:rPr>
          <w:sz w:val="16"/>
          <w:szCs w:val="16"/>
          <w:lang w:val="fr-CH"/>
        </w:rPr>
        <w:t>.</w:t>
      </w:r>
    </w:p>
  </w:footnote>
  <w:footnote w:id="11">
    <w:p w:rsidR="006B4497" w:rsidRPr="00097C4D" w:rsidRDefault="006B4497" w:rsidP="00007D87">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Rectificatif : le nombre de demandes de communication selon l’article 6</w:t>
      </w:r>
      <w:r w:rsidRPr="00097C4D">
        <w:rPr>
          <w:i/>
          <w:sz w:val="16"/>
          <w:szCs w:val="16"/>
        </w:rPr>
        <w:t>ter</w:t>
      </w:r>
      <w:r w:rsidRPr="00097C4D">
        <w:rPr>
          <w:sz w:val="16"/>
          <w:szCs w:val="16"/>
        </w:rPr>
        <w:t xml:space="preserve"> traitées en 2012 était de 69, comme indiqué dans le Rapport sur l’exécution du programme 2012-2013.</w:t>
      </w:r>
    </w:p>
  </w:footnote>
  <w:footnote w:id="12">
    <w:p w:rsidR="006B4497" w:rsidRPr="00097C4D" w:rsidRDefault="006B4497" w:rsidP="00007D87">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Rectificatif : le nombre de signes publiés dans la base de données relative à l’article 6</w:t>
      </w:r>
      <w:r w:rsidRPr="00097C4D">
        <w:rPr>
          <w:i/>
          <w:sz w:val="16"/>
          <w:szCs w:val="16"/>
        </w:rPr>
        <w:t>ter</w:t>
      </w:r>
      <w:r w:rsidRPr="00097C4D">
        <w:rPr>
          <w:sz w:val="16"/>
          <w:szCs w:val="16"/>
        </w:rPr>
        <w:t xml:space="preserve"> à la fin de 2012 était de 84, comme indiqué dans le Rapport sur l’exécution du programme 2012-2013.</w:t>
      </w:r>
    </w:p>
  </w:footnote>
  <w:footnote w:id="13">
    <w:p w:rsidR="006B4497" w:rsidRPr="00097C4D" w:rsidRDefault="006B4497" w:rsidP="00007D87">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L’objectif se rapporte au nombre de signes publiés au cours de l’exercice biennal 2014-2015.</w:t>
      </w:r>
    </w:p>
  </w:footnote>
  <w:footnote w:id="14">
    <w:p w:rsidR="006B4497" w:rsidRPr="00097C4D" w:rsidRDefault="006B4497" w:rsidP="001A4D6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http://www.bakermckenzie.com/intellectualproperty/csh2014/.</w:t>
      </w:r>
    </w:p>
  </w:footnote>
  <w:footnote w:id="15">
    <w:p w:rsidR="006B4497" w:rsidRPr="00097C4D" w:rsidRDefault="006B4497">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r>
      <w:r w:rsidRPr="00097C4D">
        <w:rPr>
          <w:sz w:val="16"/>
          <w:szCs w:val="16"/>
        </w:rPr>
        <w:t>Rectificatif : la liste des pays ci</w:t>
      </w:r>
      <w:r w:rsidRPr="00097C4D">
        <w:rPr>
          <w:color w:val="000000"/>
          <w:sz w:val="16"/>
          <w:szCs w:val="16"/>
        </w:rPr>
        <w:noBreakHyphen/>
        <w:t>dessus indique un système de suivi plus systématique pour la gestion du projet TAG</w:t>
      </w:r>
      <w:r w:rsidRPr="00097C4D">
        <w:rPr>
          <w:sz w:val="16"/>
          <w:szCs w:val="16"/>
        </w:rPr>
        <w:t xml:space="preserve"> qui a été mis en œuvre en 2015.  En 2014, Cabo Verde et l’Éthiopie n’avaient pas officiellement fait part de leur intérêt, ainsi qu’il ressort du Rapport sur l’exécution du programme en 2014.</w:t>
      </w:r>
    </w:p>
  </w:footnote>
  <w:footnote w:id="16">
    <w:p w:rsidR="006B4497" w:rsidRPr="00097C4D" w:rsidRDefault="006B4497">
      <w:pPr>
        <w:pStyle w:val="FootnoteText"/>
        <w:rPr>
          <w:sz w:val="16"/>
          <w:szCs w:val="16"/>
        </w:rPr>
      </w:pPr>
      <w:r w:rsidRPr="00097C4D">
        <w:rPr>
          <w:rStyle w:val="FootnoteReference"/>
          <w:sz w:val="16"/>
          <w:szCs w:val="16"/>
        </w:rPr>
        <w:footnoteRef/>
      </w:r>
      <w:r w:rsidRPr="00097C4D">
        <w:rPr>
          <w:sz w:val="16"/>
          <w:szCs w:val="16"/>
          <w:lang w:val="fr-CH"/>
        </w:rPr>
        <w:t xml:space="preserve"> </w:t>
      </w:r>
      <w:r w:rsidRPr="00097C4D">
        <w:rPr>
          <w:sz w:val="16"/>
          <w:szCs w:val="16"/>
          <w:lang w:val="fr-CH"/>
        </w:rPr>
        <w:tab/>
        <w:t>Rectificatif : en raison d’une erreur d’écriture, il a été indiqué par inadvertance que 18 </w:t>
      </w:r>
      <w:r w:rsidRPr="00097C4D">
        <w:rPr>
          <w:sz w:val="16"/>
          <w:szCs w:val="16"/>
          <w:lang w:val="fr-CH" w:bidi="th-TH"/>
        </w:rPr>
        <w:t>bureaux de droit d’auteur utilisaient le GDA fin 2013.  Le nombre cumulé s’élevait en fait à 15 bureaux, ce qui correspond à l’objectif fixé pour l’exercice biennal 2012</w:t>
      </w:r>
      <w:r w:rsidRPr="00097C4D">
        <w:rPr>
          <w:sz w:val="16"/>
          <w:szCs w:val="16"/>
          <w:lang w:val="fr-CH" w:bidi="th-TH"/>
        </w:rPr>
        <w:noBreakHyphen/>
        <w:t xml:space="preserve">2013.  </w:t>
      </w:r>
    </w:p>
  </w:footnote>
  <w:footnote w:id="17">
    <w:p w:rsidR="006B4497" w:rsidRPr="00097C4D" w:rsidRDefault="006B4497" w:rsidP="00007D87">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t>http://www.wipo.int/edocs/pubdocs/en/wipo_pub_1043.pdf.</w:t>
      </w:r>
    </w:p>
  </w:footnote>
  <w:footnote w:id="18">
    <w:p w:rsidR="006B4497" w:rsidRPr="00097C4D" w:rsidRDefault="006B4497" w:rsidP="00C9182C">
      <w:pPr>
        <w:rPr>
          <w:rFonts w:cs="Arial"/>
          <w:sz w:val="16"/>
          <w:szCs w:val="16"/>
        </w:rPr>
      </w:pPr>
      <w:r w:rsidRPr="00097C4D">
        <w:rPr>
          <w:rStyle w:val="FootnoteReference"/>
          <w:rFonts w:eastAsia="SimSun" w:cs="Arial"/>
          <w:sz w:val="16"/>
          <w:szCs w:val="16"/>
        </w:rPr>
        <w:footnoteRef/>
      </w:r>
      <w:r w:rsidRPr="00097C4D">
        <w:rPr>
          <w:rFonts w:cs="Arial"/>
          <w:sz w:val="16"/>
          <w:szCs w:val="16"/>
        </w:rPr>
        <w:t xml:space="preserve"> </w:t>
      </w:r>
      <w:r w:rsidRPr="00097C4D">
        <w:rPr>
          <w:rFonts w:cs="Arial"/>
          <w:sz w:val="16"/>
          <w:szCs w:val="16"/>
        </w:rPr>
        <w:tab/>
        <w:t xml:space="preserve">Exceptionnellement, l’objectif initial, à savoir “Décisions prises par les organes compétents du PCT jusqu’à la fin de 2015” a été modifié de manière à faciliter l’évaluation des progrès accomplis en matière de développement du système du PCT conformément aux recommandations formulées dans les lignes directrices du PCT.  </w:t>
      </w:r>
    </w:p>
  </w:footnote>
  <w:footnote w:id="19">
    <w:p w:rsidR="006B4497" w:rsidRPr="00097C4D" w:rsidRDefault="006B4497" w:rsidP="00C9182C">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t xml:space="preserve">L’augmentation du coût unitaire en 2015 résulte d’une augmentation des dépenses directes et des dépenses indirectes, associée à une diminution des demandes publiées en 2015 par rapport à 2014.  Pour des explications plus détaillées, </w:t>
      </w:r>
      <w:proofErr w:type="spellStart"/>
      <w:r w:rsidRPr="00097C4D">
        <w:rPr>
          <w:sz w:val="16"/>
          <w:szCs w:val="16"/>
          <w:lang w:val="fr-CH"/>
        </w:rPr>
        <w:t>veuillez vous</w:t>
      </w:r>
      <w:proofErr w:type="spellEnd"/>
      <w:r w:rsidRPr="00097C4D">
        <w:rPr>
          <w:sz w:val="16"/>
          <w:szCs w:val="16"/>
          <w:lang w:val="fr-CH"/>
        </w:rPr>
        <w:t xml:space="preserve"> reporter à la section “Coût unitaire du traitement d’une demande” figurant à l’annexe intitulée “Indicateurs relatifs aux opérations du PCT”.</w:t>
      </w:r>
    </w:p>
  </w:footnote>
  <w:footnote w:id="20">
    <w:p w:rsidR="006B4497" w:rsidRPr="00097C4D" w:rsidRDefault="006B4497" w:rsidP="00C9182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Ce chiffre, qui a été revu à la baisse par rapport au chiffre (95,3%) indiqué dans le rapport sur l’exécution du programme en 2014, a été calculé à partir des données les plus récentes.</w:t>
      </w:r>
    </w:p>
  </w:footnote>
  <w:footnote w:id="21">
    <w:p w:rsidR="006B4497" w:rsidRPr="00097C4D" w:rsidRDefault="006B4497" w:rsidP="001A4D6C">
      <w:pPr>
        <w:pStyle w:val="FootnoteText"/>
        <w:jc w:val="both"/>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Un exemplaire original est une demande selon le PCT transmise au Bureau international par un office récepteur après son dépôt auprès de cet office et son traitement par cet office.  Étant donné que les exemplaires originaux ne sont reçus par le Bureau international qu’à l’issue de leur traitement par un office récepteur, les chiffres sont fortement influencés par les délais de traitement dans ces offices.  Pour cette raison, les tendances observées dans la réception d’exemplaires originaux donnent des indications utiles sur la charge de travail du Bureau international mais ne constituent pas toujours des indicateurs exacts du nombre de dépôts de demandes selon le PCT.</w:t>
      </w:r>
    </w:p>
  </w:footnote>
  <w:footnote w:id="22">
    <w:p w:rsidR="006B4497" w:rsidRPr="00097C4D" w:rsidRDefault="006B4497" w:rsidP="001A4D6C">
      <w:pPr>
        <w:pStyle w:val="FootnoteText"/>
        <w:jc w:val="both"/>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D’après une étude indépendante des indicateurs d’exécution des systèmes informatiques du PCT, la définition est légèrement différente de celle qui figure dans le programme et budget pour l’exercice biennal 2014-2015.</w:t>
      </w:r>
    </w:p>
  </w:footnote>
  <w:footnote w:id="23">
    <w:p w:rsidR="006B4497" w:rsidRPr="00097C4D" w:rsidRDefault="006B4497" w:rsidP="001A4D6C">
      <w:pPr>
        <w:pStyle w:val="FootnoteText"/>
        <w:rPr>
          <w:sz w:val="16"/>
          <w:szCs w:val="16"/>
          <w:lang w:val="fr-CH"/>
        </w:rPr>
      </w:pPr>
      <w:r w:rsidRPr="00097C4D">
        <w:rPr>
          <w:rStyle w:val="FootnoteReference"/>
          <w:sz w:val="16"/>
          <w:szCs w:val="16"/>
        </w:rPr>
        <w:footnoteRef/>
      </w:r>
      <w:r w:rsidRPr="00097C4D">
        <w:rPr>
          <w:sz w:val="16"/>
          <w:szCs w:val="16"/>
          <w:lang w:val="fr-CH"/>
        </w:rPr>
        <w:t xml:space="preserve"> </w:t>
      </w:r>
      <w:r w:rsidRPr="00097C4D">
        <w:rPr>
          <w:sz w:val="16"/>
          <w:szCs w:val="16"/>
          <w:lang w:val="fr-CH"/>
        </w:rPr>
        <w:tab/>
        <w:t>Les données ont été actualisées pour tenir compte des chiffres les plus récents depuis la mise au point définitive du rapport sur l’exécution du programme 2014.</w:t>
      </w:r>
    </w:p>
  </w:footnote>
  <w:footnote w:id="24">
    <w:p w:rsidR="006B4497" w:rsidRPr="00097C4D" w:rsidRDefault="006B4497">
      <w:pPr>
        <w:pStyle w:val="FootnoteText"/>
        <w:rPr>
          <w:sz w:val="16"/>
          <w:szCs w:val="16"/>
          <w:lang w:val="fr-CH"/>
        </w:rPr>
      </w:pPr>
      <w:r w:rsidRPr="00097C4D">
        <w:rPr>
          <w:rStyle w:val="FootnoteReference"/>
          <w:sz w:val="16"/>
          <w:szCs w:val="16"/>
        </w:rPr>
        <w:footnoteRef/>
      </w:r>
      <w:r w:rsidRPr="00097C4D">
        <w:rPr>
          <w:sz w:val="16"/>
          <w:szCs w:val="16"/>
          <w:lang w:val="fr-CH"/>
        </w:rPr>
        <w:t xml:space="preserve"> </w:t>
      </w:r>
      <w:r w:rsidRPr="00097C4D">
        <w:rPr>
          <w:sz w:val="16"/>
          <w:szCs w:val="16"/>
          <w:lang w:val="fr-CH"/>
        </w:rPr>
        <w:tab/>
        <w:t xml:space="preserve">Les chiffres actualisés, par rapport aux chiffres (95,3%) publiés </w:t>
      </w:r>
      <w:r w:rsidRPr="00097C4D">
        <w:rPr>
          <w:sz w:val="16"/>
          <w:szCs w:val="16"/>
        </w:rPr>
        <w:t>dans le programme et budget</w:t>
      </w:r>
      <w:r w:rsidRPr="00097C4D">
        <w:rPr>
          <w:sz w:val="16"/>
          <w:szCs w:val="16"/>
          <w:lang w:val="fr-CH"/>
        </w:rPr>
        <w:t xml:space="preserve"> 2014, ont été calculés sur la base des données les plus à jour.</w:t>
      </w:r>
    </w:p>
  </w:footnote>
  <w:footnote w:id="25">
    <w:p w:rsidR="006B4497" w:rsidRPr="00097C4D" w:rsidRDefault="006B4497" w:rsidP="006364A5">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Rectificatif : le pourcentage d’irrégularités à fin 2013 était de 32%, et non de 36% comme indiqué dans le rapport sur l’exécution du programme 2014.</w:t>
      </w:r>
    </w:p>
  </w:footnote>
  <w:footnote w:id="26">
    <w:p w:rsidR="006B4497" w:rsidRPr="00097C4D" w:rsidRDefault="006B4497" w:rsidP="006364A5">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Rectificatif : le pourcentage d’irrégularités à fin 2012 était de 32%, et non de 34% comme indiqué dans le rapport sur l’exécution du programme 2014 et le programme et budget 2014</w:t>
      </w:r>
      <w:r w:rsidRPr="00097C4D">
        <w:rPr>
          <w:sz w:val="16"/>
          <w:szCs w:val="16"/>
        </w:rPr>
        <w:noBreakHyphen/>
        <w:t>2015.</w:t>
      </w:r>
    </w:p>
  </w:footnote>
  <w:footnote w:id="27">
    <w:p w:rsidR="006B4497" w:rsidRPr="00097C4D" w:rsidRDefault="006B4497" w:rsidP="006364A5">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Rectificatif : dans le rapport sur l’exécution du programme 2014, le pourcentage d’irrégularités de 36% indiqué dans les données relatives à l’exécution était erroné.  Le pourcentage exact était de 34%.</w:t>
      </w:r>
    </w:p>
  </w:footnote>
  <w:footnote w:id="28">
    <w:p w:rsidR="006B4497" w:rsidRPr="00D72F63" w:rsidRDefault="006B4497">
      <w:pPr>
        <w:pStyle w:val="FootnoteText"/>
        <w:rPr>
          <w:sz w:val="16"/>
          <w:szCs w:val="16"/>
          <w:lang w:val="fr-CH"/>
        </w:rPr>
      </w:pPr>
      <w:r w:rsidRPr="0008229F">
        <w:rPr>
          <w:rStyle w:val="FootnoteReference"/>
          <w:sz w:val="16"/>
          <w:szCs w:val="16"/>
        </w:rPr>
        <w:footnoteRef/>
      </w:r>
      <w:r w:rsidRPr="0008229F">
        <w:rPr>
          <w:sz w:val="16"/>
          <w:szCs w:val="16"/>
        </w:rPr>
        <w:t xml:space="preserve"> </w:t>
      </w:r>
      <w:r w:rsidRPr="0008229F">
        <w:rPr>
          <w:sz w:val="16"/>
          <w:szCs w:val="16"/>
          <w:lang w:val="fr-CH"/>
        </w:rPr>
        <w:tab/>
        <w:t>Objectif visé pour 2014 : enregistrements et renouvellements</w:t>
      </w:r>
      <w:r w:rsidRPr="0008229F">
        <w:rPr>
          <w:sz w:val="16"/>
          <w:szCs w:val="16"/>
        </w:rPr>
        <w:t xml:space="preserve"> (71 676).</w:t>
      </w:r>
    </w:p>
  </w:footnote>
  <w:footnote w:id="29">
    <w:p w:rsidR="006B4497" w:rsidRPr="00097C4D" w:rsidRDefault="006B4497" w:rsidP="006364A5">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Le calcul des changements de pourcentage et des indices pour 2015 est effectué en fonction des objectifs fixés pour 2014, c’est</w:t>
      </w:r>
      <w:r w:rsidRPr="00097C4D">
        <w:rPr>
          <w:sz w:val="16"/>
          <w:szCs w:val="16"/>
        </w:rPr>
        <w:noBreakHyphen/>
        <w:t>à</w:t>
      </w:r>
      <w:r w:rsidRPr="00097C4D">
        <w:rPr>
          <w:sz w:val="16"/>
          <w:szCs w:val="16"/>
        </w:rPr>
        <w:noBreakHyphen/>
        <w:t>dire en supposant que ces objectifs ont été atteints.  L’évolution réelle en pourcentage entre 2014 et 2015 a été une augmentation de 18% des enregistrements et des renouvellements.</w:t>
      </w:r>
    </w:p>
  </w:footnote>
  <w:footnote w:id="30">
    <w:p w:rsidR="006B4497" w:rsidRPr="00097C4D" w:rsidRDefault="006B4497" w:rsidP="006364A5">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Le calcul des changements de pourcentage et des indices pour 2015 est effectué en fonction des objectifs fixés pour 2014, c’est</w:t>
      </w:r>
      <w:r w:rsidRPr="00097C4D">
        <w:rPr>
          <w:sz w:val="16"/>
          <w:szCs w:val="16"/>
        </w:rPr>
        <w:noBreakHyphen/>
        <w:t>à</w:t>
      </w:r>
      <w:r w:rsidRPr="00097C4D">
        <w:rPr>
          <w:sz w:val="16"/>
          <w:szCs w:val="16"/>
        </w:rPr>
        <w:noBreakHyphen/>
        <w:t>dire en supposant que ces objectifs ont été atteints.  L’évolution réelle en pourcentage entre 2014 et 2015 a été une augmentation de 0,9% des corrections.</w:t>
      </w:r>
    </w:p>
  </w:footnote>
  <w:footnote w:id="31">
    <w:p w:rsidR="006B4497" w:rsidRPr="00097C4D" w:rsidRDefault="006B4497">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 xml:space="preserve">En 2012, un ensemble de critères différents a été utilisé.  Cet ensemble de critères a été perfectionné en 2013 afin de tenir compte de facteurs plus pertinents.  Ce changement explique les différences dans les indices entre 2013 et 2014 (38 et 39, respectivement) d’une part, et 2012 (79) d’autre part.  </w:t>
      </w:r>
    </w:p>
  </w:footnote>
  <w:footnote w:id="32">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 xml:space="preserve">Les dépenses relatives à la traduction et au développement informatique des systèmes de La Haye et de Lisbonne font partie intégrante des dépenses du programme 6.  Aucune méthode ne permet actuellement de les séparer des dépenses du système de Madrid. </w:t>
      </w:r>
    </w:p>
  </w:footnote>
  <w:footnote w:id="33">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 xml:space="preserve">La création d’une unité budgétaire distincte pour le Service d’enregistrement de Lisbonne date seulement de 2015.  Pour les années antérieures, les dépenses du système de Lisbonne sont comprises dans le coût de production total du système de Madrid.  </w:t>
      </w:r>
    </w:p>
  </w:footnote>
  <w:footnote w:id="34">
    <w:p w:rsidR="006B4497" w:rsidRPr="00097C4D" w:rsidRDefault="006B4497" w:rsidP="00927E1F">
      <w:pPr>
        <w:pStyle w:val="FootnoteText"/>
        <w:jc w:val="both"/>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Voir “Charge de travail globale” ci-dessus.</w:t>
      </w:r>
    </w:p>
  </w:footnote>
  <w:footnote w:id="35">
    <w:p w:rsidR="006B4497" w:rsidRPr="00097C4D" w:rsidRDefault="006B4497" w:rsidP="00927E1F">
      <w:pPr>
        <w:pStyle w:val="FootnoteText"/>
        <w:jc w:val="both"/>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r>
      <w:r w:rsidRPr="00097C4D">
        <w:rPr>
          <w:color w:val="000000"/>
          <w:sz w:val="16"/>
          <w:szCs w:val="16"/>
        </w:rPr>
        <w:t>Voir “Charge de travail globale” ci-dessus.</w:t>
      </w:r>
    </w:p>
  </w:footnote>
  <w:footnote w:id="36">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 xml:space="preserve">Le cadre de gestion de la qualité du Service d’enregistrement de Madrid peut être obtenu en écrivant à l’adresse </w:t>
      </w:r>
      <w:hyperlink r:id="rId2" w:history="1">
        <w:r w:rsidRPr="00097C4D">
          <w:rPr>
            <w:rStyle w:val="Hyperlink"/>
            <w:sz w:val="16"/>
            <w:szCs w:val="16"/>
          </w:rPr>
          <w:t>madrid.qp@wipo.int</w:t>
        </w:r>
      </w:hyperlink>
      <w:r w:rsidRPr="00097C4D">
        <w:rPr>
          <w:sz w:val="16"/>
          <w:szCs w:val="16"/>
        </w:rPr>
        <w:t>.</w:t>
      </w:r>
    </w:p>
  </w:footnote>
  <w:footnote w:id="37">
    <w:p w:rsidR="006B4497" w:rsidRPr="00097C4D" w:rsidRDefault="006B4497" w:rsidP="00141952">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Rectificatif : le nombre réel de dessins et modèles industriels contenus en 2012 était de 12 454 et non 12 506 comme publié dans le programme et budget 2014</w:t>
      </w:r>
      <w:r w:rsidRPr="00097C4D">
        <w:rPr>
          <w:sz w:val="16"/>
          <w:szCs w:val="16"/>
        </w:rPr>
        <w:noBreakHyphen/>
        <w:t>2015 ou 11 971 (le nombre d’enregistrements internationaux en 2012), comme publié dans le rapport sur l’exécution du programme 2012</w:t>
      </w:r>
      <w:r w:rsidRPr="00097C4D">
        <w:rPr>
          <w:sz w:val="16"/>
          <w:szCs w:val="16"/>
        </w:rPr>
        <w:noBreakHyphen/>
        <w:t>2013.</w:t>
      </w:r>
    </w:p>
  </w:footnote>
  <w:footnote w:id="38">
    <w:p w:rsidR="006B4497" w:rsidRPr="00097C4D" w:rsidRDefault="006B4497" w:rsidP="00141952">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t>Objectifs pour 2014 : demandes (4004);  dessins et modèles industriels contenus (17 519);  renouvellements (2942).</w:t>
      </w:r>
    </w:p>
  </w:footnote>
  <w:footnote w:id="39">
    <w:p w:rsidR="006B4497" w:rsidRPr="00097C4D" w:rsidRDefault="006B4497" w:rsidP="00141952">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t>L’évolution du pourcentage et le taux sont calculés en partant des objectifs pour 2014, c’est</w:t>
      </w:r>
      <w:r w:rsidRPr="00097C4D">
        <w:rPr>
          <w:sz w:val="16"/>
          <w:szCs w:val="16"/>
          <w:lang w:val="fr-CH"/>
        </w:rPr>
        <w:noBreakHyphen/>
        <w:t>à</w:t>
      </w:r>
      <w:r w:rsidRPr="00097C4D">
        <w:rPr>
          <w:sz w:val="16"/>
          <w:szCs w:val="16"/>
          <w:lang w:val="fr-CH"/>
        </w:rPr>
        <w:noBreakHyphen/>
        <w:t>dire en partant du principe que les objectifs pour 2014 avaient été atteints.  L’évolution réelle des pourcentages entre 2014 et 2015 est la suivante : demandes (augmentation de 41%);  dessins et modèles industriels contenus (diminution de 14%);  renouvellements (augmentation de 18%).</w:t>
      </w:r>
    </w:p>
  </w:footnote>
  <w:footnote w:id="40">
    <w:p w:rsidR="006B4497" w:rsidRPr="00097C4D" w:rsidRDefault="006B4497" w:rsidP="00141952">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Rectificatif : le rapport sur l’exécution du programme 2012</w:t>
      </w:r>
      <w:r w:rsidRPr="00097C4D">
        <w:rPr>
          <w:sz w:val="16"/>
          <w:szCs w:val="16"/>
        </w:rPr>
        <w:noBreakHyphen/>
        <w:t>2013 a indiqué les renouvellements et l’octroi de la protection comme les deux procédures automatisées.  La procédure d’octroi de la protection n’a pas été automatisée fin 2013.</w:t>
      </w:r>
    </w:p>
  </w:footnote>
  <w:footnote w:id="41">
    <w:p w:rsidR="006B4497" w:rsidRPr="00097C4D" w:rsidRDefault="006B4497" w:rsidP="00141952">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Les données ont été mises à jour pour indiquer les chiffres les plus récents après la finalisation du rapport sur l’exécution du programme en 2014.</w:t>
      </w:r>
    </w:p>
  </w:footnote>
  <w:footnote w:id="42">
    <w:p w:rsidR="006B4497" w:rsidRPr="00097C4D" w:rsidRDefault="006B4497" w:rsidP="00141952">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Dans les graphiques illustrant le coût total de production et les coûts unitaires, les dépenses concernant exclusivement le système de La Haye sont présentées comme des “coûts directs” et les dépenses liées aux activités d’appui au système comme des “coûts indirects”.</w:t>
      </w:r>
    </w:p>
  </w:footnote>
  <w:footnote w:id="43">
    <w:p w:rsidR="006B4497" w:rsidRPr="00097C4D" w:rsidRDefault="006B4497" w:rsidP="00141952">
      <w:pPr>
        <w:pStyle w:val="FootnoteText"/>
        <w:tabs>
          <w:tab w:val="left" w:pos="567"/>
        </w:tabs>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Le système de Madrid apporte un soutien au système de La Haye, particulièrement en lien avec la traduction et l’évolution des systèmes informatiques.  Les dépenses associées à ces services ne peuvent pas être aisément distinguées de l’ensemble des dépenses en lien avec la traduction et l’évolution des systèmes informatiques dans le programme 6 (systèmes de Madrid et de Lisbonne), et elles ne sont donc pas incluses.</w:t>
      </w:r>
    </w:p>
  </w:footnote>
  <w:footnote w:id="44">
    <w:p w:rsidR="006B4497" w:rsidRPr="00097C4D" w:rsidRDefault="006B4497" w:rsidP="00141952">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r>
      <w:r w:rsidRPr="00097C4D">
        <w:rPr>
          <w:sz w:val="16"/>
          <w:szCs w:val="16"/>
        </w:rPr>
        <w:t xml:space="preserve">Ces révisions étaient expliquées en détail dans le </w:t>
      </w:r>
      <w:hyperlink r:id="rId3" w:history="1">
        <w:r w:rsidRPr="00097C4D">
          <w:rPr>
            <w:rStyle w:val="Hyperlink"/>
            <w:sz w:val="16"/>
            <w:szCs w:val="16"/>
          </w:rPr>
          <w:t>rapport sur l’exécution du programme en 2014</w:t>
        </w:r>
      </w:hyperlink>
      <w:r w:rsidRPr="00097C4D">
        <w:rPr>
          <w:rStyle w:val="Hyperlink"/>
          <w:sz w:val="16"/>
          <w:szCs w:val="16"/>
        </w:rPr>
        <w:t xml:space="preserve"> </w:t>
      </w:r>
      <w:r w:rsidRPr="00097C4D">
        <w:rPr>
          <w:sz w:val="16"/>
          <w:szCs w:val="16"/>
        </w:rPr>
        <w:t>et consistaient notamment à aligner la méthodologie de calcul des coûts directs et indirects pour La Haye sur les méthodologies utilisées pour calculer les coûts unitaires du PCT et de Madrid.</w:t>
      </w:r>
    </w:p>
  </w:footnote>
  <w:footnote w:id="45">
    <w:p w:rsidR="006B4497" w:rsidRPr="00097C4D" w:rsidRDefault="006B4497" w:rsidP="00141952">
      <w:pPr>
        <w:pStyle w:val="FootnoteText"/>
        <w:tabs>
          <w:tab w:val="left" w:pos="567"/>
        </w:tabs>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Voir les taux concernant les demandes et les renouvellements dans la partie intitulée “Charge de travail totale”.</w:t>
      </w:r>
    </w:p>
  </w:footnote>
  <w:footnote w:id="46">
    <w:p w:rsidR="006B4497" w:rsidRPr="00097C4D" w:rsidRDefault="006B4497" w:rsidP="00141952">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Les données ont été mises à jour pour indiquer les chiffres les plus récents après la finalisation du rapport sur l’exécution du programme en 2014.</w:t>
      </w:r>
    </w:p>
  </w:footnote>
  <w:footnote w:id="47">
    <w:p w:rsidR="006B4497" w:rsidRPr="00097C4D" w:rsidRDefault="006B4497" w:rsidP="00C9182C">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r>
      <w:hyperlink r:id="rId4" w:history="1">
        <w:r w:rsidRPr="00097C4D">
          <w:rPr>
            <w:rStyle w:val="Hyperlink"/>
            <w:sz w:val="16"/>
            <w:szCs w:val="16"/>
            <w:lang w:val="fr-CH"/>
          </w:rPr>
          <w:t>http://www.wipo.int/amc/fr/rules/</w:t>
        </w:r>
      </w:hyperlink>
      <w:r w:rsidRPr="00097C4D">
        <w:rPr>
          <w:rStyle w:val="Hyperlink"/>
          <w:sz w:val="16"/>
          <w:szCs w:val="16"/>
          <w:lang w:val="fr-CH"/>
        </w:rPr>
        <w:t>.</w:t>
      </w:r>
    </w:p>
  </w:footnote>
  <w:footnote w:id="48">
    <w:p w:rsidR="006B4497" w:rsidRPr="00097C4D" w:rsidRDefault="006B4497" w:rsidP="00C9182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r>
      <w:hyperlink r:id="rId5" w:history="1">
        <w:r w:rsidRPr="00097C4D">
          <w:rPr>
            <w:rStyle w:val="Hyperlink"/>
            <w:sz w:val="16"/>
            <w:szCs w:val="16"/>
          </w:rPr>
          <w:t>http://www.wipo.int/amc-apps/clause-generator/</w:t>
        </w:r>
      </w:hyperlink>
      <w:r w:rsidRPr="00097C4D">
        <w:rPr>
          <w:sz w:val="16"/>
          <w:szCs w:val="16"/>
        </w:rPr>
        <w:t>.</w:t>
      </w:r>
    </w:p>
  </w:footnote>
  <w:footnote w:id="49">
    <w:p w:rsidR="006B4497" w:rsidRPr="00097C4D" w:rsidRDefault="006B4497" w:rsidP="00C9182C">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t xml:space="preserve">À la fin de l’année 2015, on comptait au total 29 567 litiges relatifs à des </w:t>
      </w:r>
      <w:proofErr w:type="spellStart"/>
      <w:r w:rsidRPr="00097C4D">
        <w:rPr>
          <w:sz w:val="16"/>
          <w:szCs w:val="16"/>
          <w:lang w:val="fr-CH"/>
        </w:rPr>
        <w:t>gTLD</w:t>
      </w:r>
      <w:proofErr w:type="spellEnd"/>
      <w:r w:rsidRPr="00097C4D">
        <w:rPr>
          <w:sz w:val="16"/>
          <w:szCs w:val="16"/>
          <w:lang w:val="fr-CH"/>
        </w:rPr>
        <w:t xml:space="preserve"> et 3520 litiges relatifs à des domaines de premier niveau qui sont des codes de pays (</w:t>
      </w:r>
      <w:proofErr w:type="spellStart"/>
      <w:r w:rsidRPr="00097C4D">
        <w:rPr>
          <w:sz w:val="16"/>
          <w:szCs w:val="16"/>
          <w:lang w:val="fr-CH"/>
        </w:rPr>
        <w:t>ccTLD</w:t>
      </w:r>
      <w:proofErr w:type="spellEnd"/>
      <w:r w:rsidRPr="00097C4D">
        <w:rPr>
          <w:sz w:val="16"/>
          <w:szCs w:val="16"/>
          <w:lang w:val="fr-CH"/>
        </w:rPr>
        <w:t>).</w:t>
      </w:r>
    </w:p>
  </w:footnote>
  <w:footnote w:id="50">
    <w:p w:rsidR="006B4497" w:rsidRPr="00097C4D" w:rsidRDefault="006B4497" w:rsidP="00C9182C">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t xml:space="preserve">Le nombre total de </w:t>
      </w:r>
      <w:proofErr w:type="spellStart"/>
      <w:r w:rsidRPr="00097C4D">
        <w:rPr>
          <w:sz w:val="16"/>
          <w:szCs w:val="16"/>
          <w:lang w:val="fr-CH"/>
        </w:rPr>
        <w:t>ccTLD</w:t>
      </w:r>
      <w:proofErr w:type="spellEnd"/>
      <w:r w:rsidRPr="00097C4D">
        <w:rPr>
          <w:sz w:val="16"/>
          <w:szCs w:val="16"/>
          <w:lang w:val="fr-CH"/>
        </w:rPr>
        <w:t xml:space="preserve"> pour lesquels l’OMPI fournit des services de cette nature s’élève à 71, après le retrait d’un administrateur en 2015.</w:t>
      </w:r>
    </w:p>
  </w:footnote>
  <w:footnote w:id="51">
    <w:p w:rsidR="006B4497" w:rsidRPr="00097C4D" w:rsidRDefault="006B4497" w:rsidP="00C9182C">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t>Rectificatif : le nombre total de programmes adoptés à la fin de 2013 s’élevait à 12 et non pas à 10, comme indiqué dans le rapport sur l’exécution du programme en 2012</w:t>
      </w:r>
      <w:r w:rsidRPr="00097C4D">
        <w:rPr>
          <w:sz w:val="16"/>
          <w:szCs w:val="16"/>
          <w:lang w:val="fr-CH"/>
        </w:rPr>
        <w:noBreakHyphen/>
        <w:t>2013 ou selon le niveau de référence actualisé dans le rapport sur l’exécution du programme en 2014.</w:t>
      </w:r>
    </w:p>
  </w:footnote>
  <w:footnote w:id="52">
    <w:p w:rsidR="006B4497" w:rsidRPr="00097C4D" w:rsidRDefault="006B4497" w:rsidP="00C9182C">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t xml:space="preserve">Rectificatif : le nombre total de litiges relatifs à des </w:t>
      </w:r>
      <w:proofErr w:type="spellStart"/>
      <w:r w:rsidRPr="00097C4D">
        <w:rPr>
          <w:sz w:val="16"/>
          <w:szCs w:val="16"/>
          <w:lang w:val="fr-CH"/>
        </w:rPr>
        <w:t>ccTLD</w:t>
      </w:r>
      <w:proofErr w:type="spellEnd"/>
      <w:r w:rsidRPr="00097C4D">
        <w:rPr>
          <w:sz w:val="16"/>
          <w:szCs w:val="16"/>
          <w:lang w:val="fr-CH"/>
        </w:rPr>
        <w:t xml:space="preserve"> uniquement à la fin de 2013 s’élevait à 2798 et non pas à 2788, comme indiqué dans le rapport sur l’exécution du programme en 2012</w:t>
      </w:r>
      <w:r w:rsidRPr="00097C4D">
        <w:rPr>
          <w:sz w:val="16"/>
          <w:szCs w:val="16"/>
          <w:lang w:val="fr-CH"/>
        </w:rPr>
        <w:noBreakHyphen/>
        <w:t>2013 ou selon le niveau de référence actualisé dans le rapport sur l’exécution du programme en 2014.</w:t>
      </w:r>
    </w:p>
  </w:footnote>
  <w:footnote w:id="53">
    <w:p w:rsidR="006B4497" w:rsidRPr="00097C4D" w:rsidRDefault="006B4497" w:rsidP="001A4D6C">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r>
      <w:hyperlink r:id="rId6" w:history="1">
        <w:r w:rsidRPr="00097C4D">
          <w:rPr>
            <w:rStyle w:val="Hyperlink"/>
            <w:spacing w:val="-4"/>
            <w:sz w:val="16"/>
            <w:szCs w:val="16"/>
          </w:rPr>
          <w:t>http://www.wipo.int/meetings/fr/doc_details.jsp?doc_id=208882</w:t>
        </w:r>
      </w:hyperlink>
      <w:r w:rsidRPr="00097C4D">
        <w:rPr>
          <w:color w:val="002060"/>
          <w:spacing w:val="-4"/>
          <w:sz w:val="16"/>
          <w:szCs w:val="16"/>
          <w:lang w:val="fr-CH"/>
        </w:rPr>
        <w:t xml:space="preserve"> </w:t>
      </w:r>
      <w:r w:rsidRPr="00097C4D">
        <w:rPr>
          <w:color w:val="000000"/>
          <w:spacing w:val="-4"/>
          <w:sz w:val="16"/>
          <w:szCs w:val="16"/>
          <w:lang w:val="fr-CH"/>
        </w:rPr>
        <w:t xml:space="preserve">et </w:t>
      </w:r>
      <w:hyperlink r:id="rId7" w:history="1">
        <w:r w:rsidRPr="00097C4D">
          <w:rPr>
            <w:rStyle w:val="Hyperlink"/>
            <w:spacing w:val="-4"/>
            <w:sz w:val="16"/>
            <w:szCs w:val="16"/>
          </w:rPr>
          <w:t>http://www.wipo.int/meetings/fr/doc_details.jsp?doc_id=239806</w:t>
        </w:r>
      </w:hyperlink>
      <w:r w:rsidRPr="00097C4D">
        <w:rPr>
          <w:spacing w:val="-4"/>
          <w:sz w:val="16"/>
          <w:szCs w:val="16"/>
          <w:lang w:val="fr-CH"/>
        </w:rPr>
        <w:t>.</w:t>
      </w:r>
    </w:p>
  </w:footnote>
  <w:footnote w:id="54">
    <w:p w:rsidR="006B4497" w:rsidRPr="00097C4D" w:rsidRDefault="006B4497" w:rsidP="00927E1F">
      <w:pPr>
        <w:pStyle w:val="FootnoteText"/>
        <w:rPr>
          <w:sz w:val="16"/>
          <w:szCs w:val="16"/>
          <w:lang w:val="en-GB"/>
        </w:rPr>
      </w:pPr>
      <w:r w:rsidRPr="00097C4D">
        <w:rPr>
          <w:rStyle w:val="FootnoteReference"/>
          <w:sz w:val="16"/>
          <w:szCs w:val="16"/>
        </w:rPr>
        <w:footnoteRef/>
      </w:r>
      <w:r w:rsidRPr="00097C4D">
        <w:rPr>
          <w:sz w:val="16"/>
          <w:szCs w:val="16"/>
          <w:lang w:val="en-GB"/>
        </w:rPr>
        <w:t xml:space="preserve"> </w:t>
      </w:r>
      <w:r w:rsidRPr="00097C4D">
        <w:rPr>
          <w:sz w:val="16"/>
          <w:szCs w:val="16"/>
          <w:lang w:val="en-GB"/>
        </w:rPr>
        <w:tab/>
      </w:r>
      <w:r>
        <w:fldChar w:fldCharType="begin"/>
      </w:r>
      <w:r w:rsidRPr="006B4497">
        <w:rPr>
          <w:lang w:val="en-US"/>
        </w:rPr>
        <w:instrText xml:space="preserve"> HYPERLINK "http://www.sida.se/English/publications/Publication_database/publications-by-year1/2015/march/evaluation-of-sidas-international-training-programmes-in-intellectual-property---final-report/" </w:instrText>
      </w:r>
      <w:r>
        <w:fldChar w:fldCharType="separate"/>
      </w:r>
      <w:r w:rsidRPr="00097C4D">
        <w:rPr>
          <w:rStyle w:val="Hyperlink"/>
          <w:sz w:val="16"/>
          <w:szCs w:val="16"/>
          <w:lang w:val="en-GB"/>
        </w:rPr>
        <w:t xml:space="preserve">Evaluation of </w:t>
      </w:r>
      <w:proofErr w:type="spellStart"/>
      <w:r w:rsidRPr="00097C4D">
        <w:rPr>
          <w:rStyle w:val="Hyperlink"/>
          <w:sz w:val="16"/>
          <w:szCs w:val="16"/>
          <w:lang w:val="en-GB"/>
        </w:rPr>
        <w:t>Sida’s</w:t>
      </w:r>
      <w:proofErr w:type="spellEnd"/>
      <w:r w:rsidRPr="00097C4D">
        <w:rPr>
          <w:rStyle w:val="Hyperlink"/>
          <w:sz w:val="16"/>
          <w:szCs w:val="16"/>
          <w:lang w:val="en-GB"/>
        </w:rPr>
        <w:t xml:space="preserve"> International Training Programmes in Intellectual Property – Final Report</w:t>
      </w:r>
      <w:r>
        <w:rPr>
          <w:rStyle w:val="Hyperlink"/>
          <w:sz w:val="16"/>
          <w:szCs w:val="16"/>
          <w:lang w:val="en-GB"/>
        </w:rPr>
        <w:fldChar w:fldCharType="end"/>
      </w:r>
    </w:p>
  </w:footnote>
  <w:footnote w:id="55">
    <w:p w:rsidR="006B4497" w:rsidRPr="00097C4D" w:rsidRDefault="006B4497" w:rsidP="00927E1F">
      <w:pPr>
        <w:pStyle w:val="FootnoteText"/>
        <w:rPr>
          <w:sz w:val="16"/>
          <w:szCs w:val="16"/>
          <w:lang w:val="en-GB"/>
        </w:rPr>
      </w:pPr>
      <w:r w:rsidRPr="00097C4D">
        <w:rPr>
          <w:rStyle w:val="FootnoteReference"/>
          <w:sz w:val="16"/>
          <w:szCs w:val="16"/>
        </w:rPr>
        <w:footnoteRef/>
      </w:r>
      <w:r w:rsidRPr="00097C4D">
        <w:rPr>
          <w:sz w:val="16"/>
          <w:szCs w:val="16"/>
          <w:lang w:val="en-GB"/>
        </w:rPr>
        <w:t xml:space="preserve"> </w:t>
      </w:r>
      <w:r w:rsidRPr="00097C4D">
        <w:rPr>
          <w:sz w:val="16"/>
          <w:szCs w:val="16"/>
          <w:lang w:val="en-GB"/>
        </w:rPr>
        <w:tab/>
        <w:t>http://www.wipo.int/cooperation/en/south_south/</w:t>
      </w:r>
    </w:p>
  </w:footnote>
  <w:footnote w:id="56">
    <w:p w:rsidR="006B4497" w:rsidRPr="00097C4D" w:rsidRDefault="006B4497" w:rsidP="00927E1F">
      <w:pPr>
        <w:rPr>
          <w:rFonts w:cs="Arial"/>
          <w:sz w:val="16"/>
          <w:szCs w:val="16"/>
        </w:rPr>
      </w:pPr>
      <w:r w:rsidRPr="00097C4D">
        <w:rPr>
          <w:rStyle w:val="FootnoteReference"/>
          <w:rFonts w:eastAsia="SimSun" w:cs="Arial"/>
          <w:sz w:val="16"/>
          <w:szCs w:val="16"/>
        </w:rPr>
        <w:footnoteRef/>
      </w:r>
      <w:r w:rsidRPr="00097C4D">
        <w:rPr>
          <w:rFonts w:cs="Arial"/>
          <w:sz w:val="16"/>
          <w:szCs w:val="16"/>
        </w:rPr>
        <w:t xml:space="preserve"> </w:t>
      </w:r>
      <w:r w:rsidRPr="00097C4D">
        <w:rPr>
          <w:rFonts w:cs="Arial"/>
          <w:sz w:val="16"/>
          <w:szCs w:val="16"/>
        </w:rPr>
        <w:tab/>
        <w:t>La liste des activités de l’OMPI dans le cadre de la coopération Sud-Sud a été présentée et discutée lors de la dix-septième session du Comité du développement et de la propriété intellectuelle (CDIP), en avril 2016.</w:t>
      </w:r>
    </w:p>
  </w:footnote>
  <w:footnote w:id="57">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http://www.wipo.int/edocs/mdocs/mdocs/fr/ompi_pi_dak_15/ompi_pi_dak_15_www_319536.pdf</w:t>
      </w:r>
    </w:p>
  </w:footnote>
  <w:footnote w:id="58">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r>
      <w:hyperlink r:id="rId8" w:history="1">
        <w:r w:rsidRPr="00097C4D">
          <w:rPr>
            <w:rStyle w:val="Hyperlink"/>
            <w:sz w:val="16"/>
            <w:szCs w:val="16"/>
          </w:rPr>
          <w:t>http://www.wipo.int/export/sites/www/cooperation/en/pdf/ta_manual.pdf</w:t>
        </w:r>
      </w:hyperlink>
      <w:r w:rsidRPr="00097C4D">
        <w:rPr>
          <w:sz w:val="16"/>
          <w:szCs w:val="16"/>
        </w:rPr>
        <w:t>.</w:t>
      </w:r>
    </w:p>
  </w:footnote>
  <w:footnote w:id="59">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Les données 2015 reflètent une nouvelle méthode pour calculer le pourcentage de satisfaction.</w:t>
      </w:r>
    </w:p>
  </w:footnote>
  <w:footnote w:id="60">
    <w:p w:rsidR="006B4497" w:rsidRPr="00097C4D" w:rsidRDefault="006B4497" w:rsidP="00927E1F">
      <w:pPr>
        <w:pStyle w:val="FootnoteText"/>
        <w:rPr>
          <w:sz w:val="16"/>
          <w:szCs w:val="16"/>
        </w:rPr>
      </w:pPr>
      <w:r w:rsidRPr="00097C4D">
        <w:rPr>
          <w:rStyle w:val="FootnoteReference"/>
          <w:sz w:val="16"/>
          <w:szCs w:val="16"/>
        </w:rPr>
        <w:footnoteRef/>
      </w:r>
      <w:r>
        <w:rPr>
          <w:sz w:val="16"/>
          <w:szCs w:val="16"/>
        </w:rPr>
        <w:t xml:space="preserve"> </w:t>
      </w:r>
      <w:r>
        <w:rPr>
          <w:sz w:val="16"/>
          <w:szCs w:val="16"/>
        </w:rPr>
        <w:tab/>
        <w:t>Rectificatif : d</w:t>
      </w:r>
      <w:r w:rsidRPr="00097C4D">
        <w:rPr>
          <w:sz w:val="16"/>
          <w:szCs w:val="16"/>
        </w:rPr>
        <w:t xml:space="preserve">ans le rapport sur l’exécution du programme 2012-2013, il était indiqué que l’Éthiopie avait adopté une politique relative à la propriété intellectuelle en 2012-2013.  La politique relative à la propriété intellectuelle a été finalisée en 2014 pour examen lors du processus national d’approbation.  </w:t>
      </w:r>
    </w:p>
  </w:footnote>
  <w:footnote w:id="61">
    <w:p w:rsidR="006B4497" w:rsidRPr="00097C4D" w:rsidRDefault="006B4497" w:rsidP="00927E1F">
      <w:pPr>
        <w:pStyle w:val="FootnoteText"/>
        <w:rPr>
          <w:sz w:val="16"/>
          <w:szCs w:val="16"/>
        </w:rPr>
      </w:pPr>
      <w:r w:rsidRPr="00097C4D">
        <w:rPr>
          <w:rStyle w:val="FootnoteReference"/>
          <w:sz w:val="16"/>
          <w:szCs w:val="16"/>
        </w:rPr>
        <w:footnoteRef/>
      </w:r>
      <w:r>
        <w:rPr>
          <w:sz w:val="16"/>
          <w:szCs w:val="16"/>
        </w:rPr>
        <w:t xml:space="preserve"> </w:t>
      </w:r>
      <w:r>
        <w:rPr>
          <w:sz w:val="16"/>
          <w:szCs w:val="16"/>
        </w:rPr>
        <w:tab/>
        <w:t>Rectificatif : d</w:t>
      </w:r>
      <w:r w:rsidRPr="00097C4D">
        <w:rPr>
          <w:sz w:val="16"/>
          <w:szCs w:val="16"/>
        </w:rPr>
        <w:t xml:space="preserve">ans le rapport sur l’exécution du programme 2012-2013, il était indiqué qu’une stratégie nationale d’innovation en matière de propriété intellectuelle était en cours d’élaboration en Tunisie.  Des discussions ont commencé sur la possibilité d’élaborer une telle stratégie, mais le processus n’a pas encore démarré.  </w:t>
      </w:r>
    </w:p>
  </w:footnote>
  <w:footnote w:id="62">
    <w:p w:rsidR="006B4497" w:rsidRPr="00097C4D" w:rsidRDefault="006B4497" w:rsidP="00927E1F">
      <w:pPr>
        <w:pStyle w:val="FootnoteText"/>
        <w:rPr>
          <w:sz w:val="16"/>
          <w:szCs w:val="16"/>
        </w:rPr>
      </w:pPr>
      <w:r w:rsidRPr="00097C4D">
        <w:rPr>
          <w:rStyle w:val="FootnoteReference"/>
          <w:sz w:val="16"/>
          <w:szCs w:val="16"/>
        </w:rPr>
        <w:footnoteRef/>
      </w:r>
      <w:r>
        <w:rPr>
          <w:sz w:val="16"/>
          <w:szCs w:val="16"/>
        </w:rPr>
        <w:t xml:space="preserve"> </w:t>
      </w:r>
      <w:r>
        <w:rPr>
          <w:sz w:val="16"/>
          <w:szCs w:val="16"/>
        </w:rPr>
        <w:tab/>
        <w:t>Rectificatif : d</w:t>
      </w:r>
      <w:r w:rsidRPr="00097C4D">
        <w:rPr>
          <w:sz w:val="16"/>
          <w:szCs w:val="16"/>
        </w:rPr>
        <w:t>ans le rapport sur l’exécution du programme 2012-2013, il était indiqué que l’adoption d’une stratégie nationale en matière de propriété intellectuelle était en cours en Algérie.  L’OMPI a collaboré avec l’Algérie à l’élaboration d’un projet de stratégie nationale en matière de propriété intellectuelle, mais ce document est toujours en cours d’évaluation.</w:t>
      </w:r>
    </w:p>
  </w:footnote>
  <w:footnote w:id="63">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Le processus avait pris du retard en raison de changements structurels au niveau gouvernemental.</w:t>
      </w:r>
    </w:p>
  </w:footnote>
  <w:footnote w:id="64">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Le processus s’était interrompu en 2011.  En 2014, un processus consultatif a été relancé.</w:t>
      </w:r>
    </w:p>
  </w:footnote>
  <w:footnote w:id="65">
    <w:p w:rsidR="006B4497" w:rsidRPr="00097C4D" w:rsidRDefault="006B4497" w:rsidP="00927E1F">
      <w:pPr>
        <w:pStyle w:val="FootnoteText"/>
        <w:rPr>
          <w:sz w:val="16"/>
          <w:szCs w:val="16"/>
        </w:rPr>
      </w:pPr>
      <w:r w:rsidRPr="00097C4D">
        <w:rPr>
          <w:rStyle w:val="FootnoteReference"/>
          <w:sz w:val="16"/>
          <w:szCs w:val="16"/>
        </w:rPr>
        <w:footnoteRef/>
      </w:r>
      <w:r>
        <w:rPr>
          <w:sz w:val="16"/>
          <w:szCs w:val="16"/>
        </w:rPr>
        <w:t xml:space="preserve"> </w:t>
      </w:r>
      <w:r>
        <w:rPr>
          <w:sz w:val="16"/>
          <w:szCs w:val="16"/>
        </w:rPr>
        <w:tab/>
        <w:t>Rectificatif : l</w:t>
      </w:r>
      <w:r w:rsidRPr="00097C4D">
        <w:rPr>
          <w:sz w:val="16"/>
          <w:szCs w:val="16"/>
        </w:rPr>
        <w:t xml:space="preserve">e Bangladesh est en train d’élaborer sa stratégie nationale en matière de propriété intellectuelle, qui n’a donc pas encore été adoptée comme cela avait été rapporté dans l’exercice biennal précédent;  le Bangladesh a ainsi été retiré de ce niveau de référence.  </w:t>
      </w:r>
    </w:p>
  </w:footnote>
  <w:footnote w:id="66">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Il n’existe aucun mécanisme.  Un mécanisme approprié sera dévelo</w:t>
      </w:r>
      <w:r>
        <w:rPr>
          <w:sz w:val="16"/>
          <w:szCs w:val="16"/>
        </w:rPr>
        <w:t>ppé au cours de l’exercice 2016</w:t>
      </w:r>
      <w:r>
        <w:rPr>
          <w:sz w:val="16"/>
          <w:szCs w:val="16"/>
        </w:rPr>
        <w:noBreakHyphen/>
        <w:t>20</w:t>
      </w:r>
      <w:r w:rsidRPr="00097C4D">
        <w:rPr>
          <w:sz w:val="16"/>
          <w:szCs w:val="16"/>
        </w:rPr>
        <w:t xml:space="preserve">17.  </w:t>
      </w:r>
    </w:p>
  </w:footnote>
  <w:footnote w:id="67">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http://www.wipo.int/edocs/mdocs/africa/fr/ompi_pi_dak_15/ompi_pi_dak_15_declaration.pdf</w:t>
      </w:r>
    </w:p>
  </w:footnote>
  <w:footnote w:id="68">
    <w:p w:rsidR="006B4497" w:rsidRPr="00097C4D" w:rsidRDefault="006B4497" w:rsidP="00927E1F">
      <w:pPr>
        <w:pStyle w:val="FootnoteText"/>
        <w:rPr>
          <w:sz w:val="16"/>
          <w:szCs w:val="16"/>
        </w:rPr>
      </w:pPr>
      <w:r w:rsidRPr="00097C4D">
        <w:rPr>
          <w:rStyle w:val="FootnoteReference"/>
          <w:sz w:val="16"/>
          <w:szCs w:val="16"/>
        </w:rPr>
        <w:footnoteRef/>
      </w:r>
      <w:r>
        <w:rPr>
          <w:sz w:val="16"/>
          <w:szCs w:val="16"/>
        </w:rPr>
        <w:t xml:space="preserve"> </w:t>
      </w:r>
      <w:r>
        <w:rPr>
          <w:sz w:val="16"/>
          <w:szCs w:val="16"/>
        </w:rPr>
        <w:tab/>
        <w:t>Rectificatif : l</w:t>
      </w:r>
      <w:r w:rsidRPr="00097C4D">
        <w:rPr>
          <w:sz w:val="16"/>
          <w:szCs w:val="16"/>
        </w:rPr>
        <w:t>e programme concernant le dessin animé de sensibilisation pour le respect de la propriété intellectuelle en coopération avec la Ligue des États arabes, mentionné dans le rapport sur l’exécution du programme de 2014, a été mis en œuvre dans le cadre d’un mémorandum d’accord avec la Ligue des États arabes, signé avant le début de l’exercice biennal 2014-2015.</w:t>
      </w:r>
    </w:p>
  </w:footnote>
  <w:footnote w:id="69">
    <w:p w:rsidR="006B4497" w:rsidRPr="00097C4D" w:rsidRDefault="006B4497" w:rsidP="00927E1F">
      <w:pPr>
        <w:pStyle w:val="FootnoteText"/>
        <w:rPr>
          <w:sz w:val="16"/>
          <w:szCs w:val="16"/>
        </w:rPr>
      </w:pPr>
      <w:r w:rsidRPr="00097C4D">
        <w:rPr>
          <w:sz w:val="16"/>
          <w:szCs w:val="16"/>
          <w:vertAlign w:val="superscript"/>
        </w:rPr>
        <w:footnoteRef/>
      </w:r>
      <w:r w:rsidRPr="00097C4D">
        <w:rPr>
          <w:sz w:val="16"/>
          <w:szCs w:val="16"/>
          <w:vertAlign w:val="superscript"/>
        </w:rPr>
        <w:t xml:space="preserve"> </w:t>
      </w:r>
      <w:r w:rsidRPr="00097C4D">
        <w:rPr>
          <w:sz w:val="16"/>
          <w:szCs w:val="16"/>
          <w:vertAlign w:val="superscript"/>
        </w:rPr>
        <w:tab/>
      </w:r>
      <w:r w:rsidRPr="00097C4D">
        <w:rPr>
          <w:sz w:val="16"/>
          <w:szCs w:val="16"/>
        </w:rPr>
        <w:t xml:space="preserve">Rectificatif : </w:t>
      </w:r>
      <w:r>
        <w:rPr>
          <w:sz w:val="16"/>
          <w:szCs w:val="16"/>
        </w:rPr>
        <w:t>l</w:t>
      </w:r>
      <w:r w:rsidRPr="00097C4D">
        <w:rPr>
          <w:sz w:val="16"/>
          <w:szCs w:val="16"/>
        </w:rPr>
        <w:t>a coopération avec l’Association sud asiatique de coopération régionale (SAARC), mentionnée dans le rapport sur l’exécution du programme de 2014, a été mise en œuvre dans le cadre d’un accord préexistant l’exercice biennal 2014-2015.</w:t>
      </w:r>
    </w:p>
  </w:footnote>
  <w:footnote w:id="70">
    <w:p w:rsidR="006B4497" w:rsidRPr="00097C4D" w:rsidRDefault="006B4497" w:rsidP="00927E1F">
      <w:pPr>
        <w:tabs>
          <w:tab w:val="left" w:pos="0"/>
        </w:tabs>
        <w:jc w:val="both"/>
        <w:rPr>
          <w:rFonts w:cs="Arial"/>
          <w:sz w:val="16"/>
          <w:szCs w:val="16"/>
        </w:rPr>
      </w:pPr>
      <w:r w:rsidRPr="00097C4D">
        <w:rPr>
          <w:rStyle w:val="FootnoteReference"/>
          <w:rFonts w:eastAsia="SimSun" w:cs="Arial"/>
          <w:sz w:val="16"/>
          <w:szCs w:val="16"/>
        </w:rPr>
        <w:footnoteRef/>
      </w:r>
      <w:r w:rsidRPr="00097C4D">
        <w:rPr>
          <w:rFonts w:cs="Arial"/>
          <w:sz w:val="16"/>
          <w:szCs w:val="16"/>
        </w:rPr>
        <w:t xml:space="preserve"> </w:t>
      </w:r>
      <w:r w:rsidRPr="00097C4D">
        <w:rPr>
          <w:rFonts w:cs="Arial"/>
          <w:sz w:val="16"/>
          <w:szCs w:val="16"/>
          <w:lang w:bidi="th-TH"/>
        </w:rPr>
        <w:tab/>
        <w:t xml:space="preserve">i) Projets d’harmonisation des brevets et des marques en Amérique centrale conjointement avec l’Office européen des brevets (OEB), l’Office espagnol des brevets et des marques (OEPM), et avec la collaboration de l’Institut mexicain de la propriété industrielle (IMPI);  ii) base de données LATIPAT conjointement avec l’OEB et l’OEPM;  iii) Projet sur les indications géographiques, les produits liés à l’origine et la création de marques en partenariat avec la Banque interaméricaine de développement (IDB), la Caribbean Export Development Agency (CEDA) et le </w:t>
      </w:r>
      <w:proofErr w:type="spellStart"/>
      <w:r w:rsidRPr="00097C4D">
        <w:rPr>
          <w:rFonts w:cs="Arial"/>
          <w:sz w:val="16"/>
          <w:szCs w:val="16"/>
          <w:lang w:bidi="th-TH"/>
        </w:rPr>
        <w:t>Technical</w:t>
      </w:r>
      <w:proofErr w:type="spellEnd"/>
      <w:r w:rsidRPr="00097C4D">
        <w:rPr>
          <w:rFonts w:cs="Arial"/>
          <w:sz w:val="16"/>
          <w:szCs w:val="16"/>
          <w:lang w:bidi="th-TH"/>
        </w:rPr>
        <w:t xml:space="preserve"> Centre for Agricultural and Rural Corporation (CTA);  iv) Office régional des brevets des Caraïbes avec l’administration régionale des brevets des Caraïbes (CPAS);  v) Programme ibéro-américain dans le cadre des fonds fiduciaires;  vi) Poursuite de la collaboration sur le </w:t>
      </w:r>
      <w:proofErr w:type="spellStart"/>
      <w:r w:rsidRPr="00097C4D">
        <w:rPr>
          <w:rFonts w:cs="Arial"/>
          <w:sz w:val="16"/>
          <w:szCs w:val="16"/>
          <w:lang w:bidi="th-TH"/>
        </w:rPr>
        <w:t>Regional</w:t>
      </w:r>
      <w:proofErr w:type="spellEnd"/>
      <w:r w:rsidRPr="00097C4D">
        <w:rPr>
          <w:rFonts w:cs="Arial"/>
          <w:sz w:val="16"/>
          <w:szCs w:val="16"/>
          <w:lang w:bidi="th-TH"/>
        </w:rPr>
        <w:t xml:space="preserve"> Entrepreneurial </w:t>
      </w:r>
      <w:proofErr w:type="spellStart"/>
      <w:r w:rsidRPr="00097C4D">
        <w:rPr>
          <w:rFonts w:cs="Arial"/>
          <w:sz w:val="16"/>
          <w:szCs w:val="16"/>
          <w:lang w:bidi="th-TH"/>
        </w:rPr>
        <w:t>Asset</w:t>
      </w:r>
      <w:proofErr w:type="spellEnd"/>
      <w:r w:rsidRPr="00097C4D">
        <w:rPr>
          <w:rFonts w:cs="Arial"/>
          <w:sz w:val="16"/>
          <w:szCs w:val="16"/>
          <w:lang w:bidi="th-TH"/>
        </w:rPr>
        <w:t xml:space="preserve"> </w:t>
      </w:r>
      <w:proofErr w:type="spellStart"/>
      <w:r w:rsidRPr="00097C4D">
        <w:rPr>
          <w:rFonts w:cs="Arial"/>
          <w:sz w:val="16"/>
          <w:szCs w:val="16"/>
          <w:lang w:bidi="th-TH"/>
        </w:rPr>
        <w:t>Commercialization</w:t>
      </w:r>
      <w:proofErr w:type="spellEnd"/>
      <w:r w:rsidRPr="00097C4D">
        <w:rPr>
          <w:rFonts w:cs="Arial"/>
          <w:sz w:val="16"/>
          <w:szCs w:val="16"/>
          <w:lang w:bidi="th-TH"/>
        </w:rPr>
        <w:t xml:space="preserve"> Hub (REACH) avec IDB et le Young </w:t>
      </w:r>
      <w:proofErr w:type="spellStart"/>
      <w:r w:rsidRPr="00097C4D">
        <w:rPr>
          <w:rFonts w:cs="Arial"/>
          <w:sz w:val="16"/>
          <w:szCs w:val="16"/>
          <w:lang w:bidi="th-TH"/>
        </w:rPr>
        <w:t>Americas</w:t>
      </w:r>
      <w:proofErr w:type="spellEnd"/>
      <w:r w:rsidRPr="00097C4D">
        <w:rPr>
          <w:rFonts w:cs="Arial"/>
          <w:sz w:val="16"/>
          <w:szCs w:val="16"/>
          <w:lang w:bidi="th-TH"/>
        </w:rPr>
        <w:t xml:space="preserve"> Business Trust (YABT).</w:t>
      </w:r>
    </w:p>
  </w:footnote>
  <w:footnote w:id="71">
    <w:p w:rsidR="006B4497" w:rsidRPr="00097C4D" w:rsidRDefault="006B4497" w:rsidP="006364A5">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Rectificatif : le nombre de participants au programme de perfectionnement professionnel s’élevait à 226 en 2014 et non pas à 216 comme indiqué dans le rapport sur l’exécution du programme en 2014.</w:t>
      </w:r>
    </w:p>
  </w:footnote>
  <w:footnote w:id="72">
    <w:p w:rsidR="006B4497" w:rsidRPr="00097C4D" w:rsidRDefault="006B4497" w:rsidP="006364A5">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 xml:space="preserve">Des 12 cours officiels offerts au cours des deux exercices biennaux, 11 étaient proposés dans les six langues des Nations Unies ainsi qu’en portugais, et un cours était proposé dans trois langues officielles des Nations Unies.  </w:t>
      </w:r>
    </w:p>
  </w:footnote>
  <w:footnote w:id="73">
    <w:p w:rsidR="006B4497" w:rsidRPr="00097C4D" w:rsidRDefault="006B4497" w:rsidP="006364A5">
      <w:pPr>
        <w:pStyle w:val="FootnoteText"/>
        <w:rPr>
          <w:sz w:val="16"/>
          <w:szCs w:val="16"/>
        </w:rPr>
      </w:pPr>
      <w:r w:rsidRPr="00097C4D">
        <w:rPr>
          <w:sz w:val="16"/>
          <w:szCs w:val="16"/>
          <w:vertAlign w:val="superscript"/>
        </w:rPr>
        <w:footnoteRef/>
      </w:r>
      <w:r w:rsidRPr="00097C4D">
        <w:rPr>
          <w:sz w:val="16"/>
          <w:szCs w:val="16"/>
        </w:rPr>
        <w:t xml:space="preserve"> </w:t>
      </w:r>
      <w:r w:rsidRPr="00097C4D">
        <w:rPr>
          <w:sz w:val="16"/>
          <w:szCs w:val="16"/>
        </w:rPr>
        <w:tab/>
        <w:t xml:space="preserve">La hausse de 138% de la demande en faveur de cours d’enseignement à distance de niveau avancé est liée à la participation importante des TISC, en particulier du Maroc, de Madagascar et de l’Afrique du Sud, ainsi qu’à l’augmentation du nombre de cours d’enseignement à distance proposés dans les six langues des Nations Unies à la fin de 2015.  </w:t>
      </w:r>
    </w:p>
  </w:footnote>
  <w:footnote w:id="74">
    <w:p w:rsidR="006B4497" w:rsidRPr="00097C4D" w:rsidRDefault="006B4497" w:rsidP="006364A5">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Le niveau de participation plus élevé de la région de l’Amérique latine et des Caraïbes est principalement dû aux versions adaptées du cours général sur la propriété intellectuelle (DL</w:t>
      </w:r>
      <w:r w:rsidRPr="00097C4D">
        <w:rPr>
          <w:sz w:val="16"/>
          <w:szCs w:val="16"/>
        </w:rPr>
        <w:noBreakHyphen/>
        <w:t>101) en portugais et en espagnol.</w:t>
      </w:r>
    </w:p>
  </w:footnote>
  <w:footnote w:id="75">
    <w:p w:rsidR="006B4497" w:rsidRPr="00097C4D" w:rsidRDefault="006B4497" w:rsidP="006364A5">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 xml:space="preserve">Rectificatif : en 2014, les cours généraux étaient proposés en 13 langues (y compris l’anglais), et non pas 12 comme cela était indiqué dans le rapport sur l’exécution du programme en 2014. </w:t>
      </w:r>
    </w:p>
  </w:footnote>
  <w:footnote w:id="76">
    <w:p w:rsidR="006B4497" w:rsidRPr="006B4497" w:rsidRDefault="006B4497" w:rsidP="006364A5">
      <w:pPr>
        <w:pStyle w:val="FootnoteText"/>
        <w:rPr>
          <w:rFonts w:eastAsia="Times New Roman"/>
          <w:sz w:val="16"/>
          <w:szCs w:val="16"/>
          <w:lang w:val="fr-CH" w:eastAsia="en-US"/>
        </w:rPr>
      </w:pPr>
      <w:r w:rsidRPr="00097C4D">
        <w:rPr>
          <w:sz w:val="16"/>
          <w:szCs w:val="16"/>
          <w:vertAlign w:val="superscript"/>
        </w:rPr>
        <w:footnoteRef/>
      </w:r>
      <w:r w:rsidRPr="00097C4D">
        <w:rPr>
          <w:sz w:val="16"/>
          <w:szCs w:val="16"/>
        </w:rPr>
        <w:t xml:space="preserve"> </w:t>
      </w:r>
      <w:r w:rsidRPr="00097C4D">
        <w:rPr>
          <w:sz w:val="16"/>
          <w:szCs w:val="16"/>
        </w:rPr>
        <w:tab/>
        <w:t>Il convient de signaler que, dans la plupart des cas, l’année académique est à cheval sur deux années civiles (par exemple des programmes vont de 2013 à 2014 ou de 2014 à 2015).  Par conséquent, il n’est pas possible dans ce rapport de mettre en lien le nombre de nouveaux étudiants et le nombre de diplômés.  Pourtant, un taux de réussite global a été indiqué en regroupant les résultats de tous les cursus de maîtrise en droit pour l’année académique 2014</w:t>
      </w:r>
      <w:r w:rsidRPr="00097C4D">
        <w:rPr>
          <w:sz w:val="16"/>
          <w:szCs w:val="16"/>
        </w:rPr>
        <w:noBreakHyphen/>
        <w:t>2015.</w:t>
      </w:r>
    </w:p>
  </w:footnote>
  <w:footnote w:id="77">
    <w:p w:rsidR="006B4497" w:rsidRPr="00097C4D" w:rsidRDefault="006B4497" w:rsidP="006364A5">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 xml:space="preserve">En 2014, le programme de maîtrise proposé conjointement avec l’Université d’Haïfa </w:t>
      </w:r>
      <w:r w:rsidRPr="00097C4D">
        <w:rPr>
          <w:rFonts w:eastAsiaTheme="minorHAnsi"/>
          <w:sz w:val="16"/>
          <w:szCs w:val="16"/>
        </w:rPr>
        <w:t>(Israël)</w:t>
      </w:r>
      <w:r w:rsidRPr="00097C4D">
        <w:rPr>
          <w:sz w:val="16"/>
          <w:szCs w:val="16"/>
        </w:rPr>
        <w:t xml:space="preserve"> a été</w:t>
      </w:r>
      <w:r w:rsidRPr="00097C4D">
        <w:rPr>
          <w:rFonts w:eastAsiaTheme="minorHAnsi"/>
          <w:sz w:val="16"/>
          <w:szCs w:val="16"/>
        </w:rPr>
        <w:t xml:space="preserve"> abandonné.  </w:t>
      </w:r>
    </w:p>
  </w:footnote>
  <w:footnote w:id="78">
    <w:p w:rsidR="006B4497" w:rsidRPr="006B4497" w:rsidRDefault="006B4497" w:rsidP="006364A5">
      <w:pPr>
        <w:pStyle w:val="FootnoteText"/>
        <w:rPr>
          <w:rFonts w:eastAsia="Times New Roman"/>
          <w:sz w:val="16"/>
          <w:szCs w:val="16"/>
          <w:lang w:val="fr-CH" w:eastAsia="en-US"/>
        </w:rPr>
      </w:pPr>
      <w:r w:rsidRPr="00097C4D">
        <w:rPr>
          <w:rStyle w:val="FootnoteReference"/>
          <w:sz w:val="16"/>
          <w:szCs w:val="16"/>
        </w:rPr>
        <w:footnoteRef/>
      </w:r>
      <w:r w:rsidRPr="00097C4D">
        <w:rPr>
          <w:sz w:val="16"/>
          <w:szCs w:val="16"/>
        </w:rPr>
        <w:t xml:space="preserve"> </w:t>
      </w:r>
      <w:r w:rsidRPr="00097C4D">
        <w:rPr>
          <w:sz w:val="16"/>
          <w:szCs w:val="16"/>
        </w:rPr>
        <w:tab/>
        <w:t>Rectificatif : en raison d’une erreur typographique, le chiffre indiqué dans le rapport sur l’exécution du programme en 2014 était de 247 enseignants.</w:t>
      </w:r>
    </w:p>
  </w:footnote>
  <w:footnote w:id="79">
    <w:p w:rsidR="006B4497" w:rsidRPr="00097C4D" w:rsidRDefault="006B4497" w:rsidP="006364A5">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Disponible signifie qu’il a été traduit dans la langue et qu’il peut être proposé aux offices de propriété intellectuelle partenaires.  Il conviendrait de noter que sur une année donnée, tous les cours disponibles ne sont pas proposés dans toutes les langues, selon le moment de l’année où la version dans une nouvelle langue peut devenir disponible et en fonction de l’état de préparation des offices de propriété intellectuelle partenaires avec lesquels les cours sont organisés.</w:t>
      </w:r>
    </w:p>
  </w:footnote>
  <w:footnote w:id="80">
    <w:p w:rsidR="006B4497" w:rsidRPr="00097C4D" w:rsidRDefault="006B4497" w:rsidP="00A068F8">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La contribution à cette publication a été effectuée dans le cadre du Fonds fiduciaire des États</w:t>
      </w:r>
      <w:r w:rsidRPr="00097C4D">
        <w:rPr>
          <w:sz w:val="16"/>
          <w:szCs w:val="16"/>
        </w:rPr>
        <w:noBreakHyphen/>
        <w:t xml:space="preserve">Unis d’Amérique pour les PME qui a été clos au cours du premier trimestre 2015.  </w:t>
      </w:r>
    </w:p>
  </w:footnote>
  <w:footnote w:id="81">
    <w:p w:rsidR="006B4497" w:rsidRPr="00097C4D" w:rsidRDefault="006B4497" w:rsidP="00A068F8">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Voir programme 10.</w:t>
      </w:r>
    </w:p>
  </w:footnote>
  <w:footnote w:id="82">
    <w:p w:rsidR="006B4497" w:rsidRPr="00097C4D" w:rsidRDefault="006B4497">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t>Rectificatif : le nombre total de modifications en 2013 s’établissait à 423 comme indiqué dans le Rapport sur l’exécution du programme en 2012</w:t>
      </w:r>
      <w:r w:rsidRPr="00097C4D">
        <w:rPr>
          <w:sz w:val="16"/>
          <w:szCs w:val="16"/>
          <w:lang w:val="fr-CH"/>
        </w:rPr>
        <w:noBreakHyphen/>
        <w:t>2013, et non pas à 432 comme indiqué dans le Rapport sur l’exécution du programme en 2014.</w:t>
      </w:r>
    </w:p>
  </w:footnote>
  <w:footnote w:id="83">
    <w:p w:rsidR="006B4497" w:rsidRPr="00097C4D" w:rsidRDefault="006B4497">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t>Rectificatif : le nombre total de modifications en 2014 s’élevait à 560 et non pas à 570 comme indiqué dans le Rapport sur l’exécution du programme en 2014.</w:t>
      </w:r>
    </w:p>
  </w:footnote>
  <w:footnote w:id="84">
    <w:p w:rsidR="006B4497" w:rsidRPr="00097C4D" w:rsidRDefault="006B4497" w:rsidP="00C9182C">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rPr>
        <w:tab/>
      </w:r>
      <w:r w:rsidRPr="00097C4D">
        <w:rPr>
          <w:color w:val="000000"/>
          <w:sz w:val="16"/>
          <w:szCs w:val="16"/>
        </w:rPr>
        <w:t xml:space="preserve">Anciennement appelé système d’aide à la traduction de titres et d’abrégés de brevets, à savoir système TAPTA (Translation Assistant for Patent </w:t>
      </w:r>
      <w:proofErr w:type="spellStart"/>
      <w:r w:rsidRPr="00097C4D">
        <w:rPr>
          <w:color w:val="000000"/>
          <w:sz w:val="16"/>
          <w:szCs w:val="16"/>
        </w:rPr>
        <w:t>Titles</w:t>
      </w:r>
      <w:proofErr w:type="spellEnd"/>
      <w:r w:rsidRPr="00097C4D">
        <w:rPr>
          <w:color w:val="000000"/>
          <w:sz w:val="16"/>
          <w:szCs w:val="16"/>
        </w:rPr>
        <w:t xml:space="preserve"> and Abstracts).</w:t>
      </w:r>
    </w:p>
  </w:footnote>
  <w:footnote w:id="85">
    <w:p w:rsidR="006B4497" w:rsidRPr="00097C4D" w:rsidRDefault="006B4497" w:rsidP="00C9182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En ce qui concerne le nombre d’utilisateurs, il est fait référence à des “utilisateurs” uniques plutôt qu’à des “visiteurs” uniques afin d’éviter de prendre en considération le nombre de visiteurs uniques qui consultent uniquement la page, sans effectuer de recherches, ce qui permet d’avoir une représentation plus précise de l’utilisation de la base de données.</w:t>
      </w:r>
    </w:p>
  </w:footnote>
  <w:footnote w:id="86">
    <w:p w:rsidR="006B4497" w:rsidRPr="00097C4D" w:rsidRDefault="006B4497" w:rsidP="0066137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Idem.</w:t>
      </w:r>
    </w:p>
  </w:footnote>
  <w:footnote w:id="87">
    <w:p w:rsidR="006B4497" w:rsidRPr="00097C4D" w:rsidRDefault="006B4497" w:rsidP="006364A5">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rPr>
        <w:tab/>
      </w:r>
      <w:hyperlink r:id="rId9" w:history="1">
        <w:r w:rsidRPr="00097C4D">
          <w:rPr>
            <w:rStyle w:val="Hyperlink"/>
            <w:sz w:val="16"/>
            <w:szCs w:val="16"/>
          </w:rPr>
          <w:t>http://www.wipo.int/tisc/fr/search/</w:t>
        </w:r>
      </w:hyperlink>
      <w:r w:rsidRPr="00097C4D">
        <w:rPr>
          <w:sz w:val="16"/>
          <w:szCs w:val="16"/>
        </w:rPr>
        <w:t>.</w:t>
      </w:r>
    </w:p>
  </w:footnote>
  <w:footnote w:id="88">
    <w:p w:rsidR="006B4497" w:rsidRPr="00097C4D" w:rsidRDefault="006B4497">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rPr>
        <w:tab/>
      </w:r>
      <w:hyperlink r:id="rId10" w:history="1">
        <w:r w:rsidRPr="00097C4D">
          <w:rPr>
            <w:rStyle w:val="Hyperlink"/>
            <w:sz w:val="16"/>
            <w:szCs w:val="16"/>
            <w:lang w:val="fr-CH"/>
          </w:rPr>
          <w:t>http://etisc.wipo.org/</w:t>
        </w:r>
      </w:hyperlink>
      <w:r w:rsidRPr="00097C4D">
        <w:rPr>
          <w:sz w:val="16"/>
          <w:szCs w:val="16"/>
          <w:lang w:val="fr-CH"/>
        </w:rPr>
        <w:t>.</w:t>
      </w:r>
    </w:p>
  </w:footnote>
  <w:footnote w:id="89">
    <w:p w:rsidR="006B4497" w:rsidRPr="00097C4D" w:rsidRDefault="006B4497" w:rsidP="006364A5">
      <w:pPr>
        <w:pStyle w:val="FootnoteText"/>
        <w:rPr>
          <w:sz w:val="16"/>
          <w:szCs w:val="16"/>
          <w:lang w:val="fr-CH"/>
        </w:rPr>
      </w:pPr>
      <w:r w:rsidRPr="00097C4D">
        <w:rPr>
          <w:rStyle w:val="FootnoteReference"/>
          <w:sz w:val="16"/>
          <w:szCs w:val="16"/>
        </w:rPr>
        <w:footnoteRef/>
      </w:r>
      <w:r w:rsidRPr="00097C4D">
        <w:rPr>
          <w:sz w:val="16"/>
          <w:szCs w:val="16"/>
          <w:lang w:val="fr-CH"/>
        </w:rPr>
        <w:t xml:space="preserve"> </w:t>
      </w:r>
      <w:r w:rsidRPr="00097C4D">
        <w:rPr>
          <w:sz w:val="16"/>
          <w:szCs w:val="16"/>
          <w:lang w:val="fr-CH"/>
        </w:rPr>
        <w:tab/>
      </w:r>
      <w:hyperlink r:id="rId11" w:history="1">
        <w:r w:rsidRPr="00097C4D">
          <w:rPr>
            <w:rStyle w:val="Hyperlink"/>
            <w:sz w:val="16"/>
            <w:szCs w:val="16"/>
            <w:lang w:val="fr-CH"/>
          </w:rPr>
          <w:t>http://www.wipo.int/tisc/en/etutorial.html</w:t>
        </w:r>
      </w:hyperlink>
      <w:r w:rsidRPr="00097C4D">
        <w:rPr>
          <w:color w:val="000000"/>
          <w:sz w:val="16"/>
          <w:szCs w:val="16"/>
          <w:lang w:val="fr-CH"/>
        </w:rPr>
        <w:t>.</w:t>
      </w:r>
    </w:p>
  </w:footnote>
  <w:footnote w:id="90">
    <w:p w:rsidR="006B4497" w:rsidRPr="00097C4D" w:rsidRDefault="006B4497" w:rsidP="006364A5">
      <w:pPr>
        <w:pStyle w:val="FootnoteText"/>
        <w:rPr>
          <w:sz w:val="16"/>
          <w:szCs w:val="16"/>
          <w:lang w:val="fr-CH"/>
        </w:rPr>
      </w:pPr>
      <w:r w:rsidRPr="00097C4D">
        <w:rPr>
          <w:rStyle w:val="FootnoteReference"/>
          <w:sz w:val="16"/>
          <w:szCs w:val="16"/>
        </w:rPr>
        <w:footnoteRef/>
      </w:r>
      <w:r w:rsidRPr="00097C4D">
        <w:rPr>
          <w:sz w:val="16"/>
          <w:szCs w:val="16"/>
          <w:lang w:val="fr-CH"/>
        </w:rPr>
        <w:t xml:space="preserve"> </w:t>
      </w:r>
      <w:r w:rsidRPr="00097C4D">
        <w:rPr>
          <w:sz w:val="16"/>
          <w:szCs w:val="16"/>
          <w:lang w:val="fr-CH"/>
        </w:rPr>
        <w:tab/>
      </w:r>
      <w:hyperlink r:id="rId12" w:history="1">
        <w:r w:rsidRPr="00097C4D">
          <w:rPr>
            <w:rStyle w:val="Hyperlink"/>
            <w:sz w:val="16"/>
            <w:szCs w:val="16"/>
            <w:lang w:val="fr-CH"/>
          </w:rPr>
          <w:t>http://www.wipo.int/tisc/fr/etutorial.html</w:t>
        </w:r>
      </w:hyperlink>
      <w:r w:rsidRPr="00097C4D">
        <w:rPr>
          <w:color w:val="000000"/>
          <w:sz w:val="16"/>
          <w:szCs w:val="16"/>
          <w:lang w:val="fr-CH"/>
        </w:rPr>
        <w:t>.</w:t>
      </w:r>
    </w:p>
  </w:footnote>
  <w:footnote w:id="91">
    <w:p w:rsidR="006B4497" w:rsidRPr="00097C4D" w:rsidRDefault="006B4497" w:rsidP="006364A5">
      <w:pPr>
        <w:pStyle w:val="FootnoteText"/>
        <w:rPr>
          <w:sz w:val="16"/>
          <w:szCs w:val="16"/>
          <w:lang w:val="fr-CH"/>
        </w:rPr>
      </w:pPr>
      <w:r w:rsidRPr="00097C4D">
        <w:rPr>
          <w:rStyle w:val="FootnoteReference"/>
          <w:sz w:val="16"/>
          <w:szCs w:val="16"/>
        </w:rPr>
        <w:footnoteRef/>
      </w:r>
      <w:r w:rsidRPr="00097C4D">
        <w:rPr>
          <w:sz w:val="16"/>
          <w:szCs w:val="16"/>
          <w:lang w:val="fr-CH"/>
        </w:rPr>
        <w:t xml:space="preserve"> </w:t>
      </w:r>
      <w:r w:rsidRPr="00097C4D">
        <w:rPr>
          <w:sz w:val="16"/>
          <w:szCs w:val="16"/>
          <w:lang w:val="fr-CH"/>
        </w:rPr>
        <w:tab/>
        <w:t>http://poldham.github.io/project_files/.</w:t>
      </w:r>
    </w:p>
  </w:footnote>
  <w:footnote w:id="92">
    <w:p w:rsidR="006B4497" w:rsidRPr="00097C4D" w:rsidRDefault="006B4497">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t>Les statistiques établies antérieurement ont été actualisées grâce aux données reçues depuis la date de publication du dernier rapport.</w:t>
      </w:r>
    </w:p>
  </w:footnote>
  <w:footnote w:id="93">
    <w:p w:rsidR="006B4497" w:rsidRPr="00097C4D" w:rsidRDefault="006B4497">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t>Rectificatif : dans le Rapport sur l’exécution du programme en 2014, la République de Corée figurait sous la rubrique “Autres” et non pas dans la région Asie</w:t>
      </w:r>
      <w:r w:rsidRPr="00097C4D">
        <w:rPr>
          <w:sz w:val="16"/>
          <w:szCs w:val="16"/>
          <w:lang w:val="fr-CH"/>
        </w:rPr>
        <w:noBreakHyphen/>
        <w:t>Pacifique.</w:t>
      </w:r>
    </w:p>
  </w:footnote>
  <w:footnote w:id="94">
    <w:p w:rsidR="006B4497" w:rsidRPr="00097C4D" w:rsidRDefault="006B4497" w:rsidP="001A4D6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La mise en œuvre en juin 2014 d’une nouvelle version du Centre de données statistiques de propriété intellectuelle a rendu impossible le suivi des données du second semestre.</w:t>
      </w:r>
    </w:p>
  </w:footnote>
  <w:footnote w:id="95">
    <w:p w:rsidR="006B4497" w:rsidRPr="00097C4D" w:rsidRDefault="006B4497" w:rsidP="001A4D6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r>
      <w:hyperlink r:id="rId13" w:history="1">
        <w:r w:rsidRPr="00097C4D">
          <w:rPr>
            <w:rStyle w:val="Hyperlink"/>
            <w:sz w:val="16"/>
            <w:szCs w:val="16"/>
          </w:rPr>
          <w:t>http://www.wipo.int/econ_stat/fr/economics/gii/</w:t>
        </w:r>
      </w:hyperlink>
      <w:r w:rsidRPr="00097C4D">
        <w:rPr>
          <w:sz w:val="16"/>
          <w:szCs w:val="16"/>
        </w:rPr>
        <w:t>.</w:t>
      </w:r>
    </w:p>
  </w:footnote>
  <w:footnote w:id="96">
    <w:p w:rsidR="006B4497" w:rsidRPr="00097C4D" w:rsidRDefault="006B4497" w:rsidP="001A4D6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r>
      <w:hyperlink r:id="rId14" w:history="1">
        <w:r w:rsidRPr="00097C4D">
          <w:rPr>
            <w:rStyle w:val="Hyperlink"/>
            <w:sz w:val="16"/>
            <w:szCs w:val="16"/>
          </w:rPr>
          <w:t>https://www.globalinnovationindex.org/content/page/GII-Home</w:t>
        </w:r>
      </w:hyperlink>
      <w:r w:rsidRPr="00097C4D">
        <w:rPr>
          <w:sz w:val="16"/>
          <w:szCs w:val="16"/>
        </w:rPr>
        <w:t>.</w:t>
      </w:r>
    </w:p>
  </w:footnote>
  <w:footnote w:id="97">
    <w:p w:rsidR="006B4497" w:rsidRPr="00097C4D" w:rsidRDefault="006B4497" w:rsidP="001A4D6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r>
      <w:hyperlink r:id="rId15" w:history="1">
        <w:r w:rsidRPr="00097C4D">
          <w:rPr>
            <w:rStyle w:val="Hyperlink"/>
            <w:sz w:val="16"/>
            <w:szCs w:val="16"/>
          </w:rPr>
          <w:t>http://www.wipo.int/edocs/pubdocs/en/wipo_rep_rfip_2015_1.pdf</w:t>
        </w:r>
      </w:hyperlink>
      <w:r w:rsidRPr="00097C4D">
        <w:rPr>
          <w:sz w:val="16"/>
          <w:szCs w:val="16"/>
        </w:rPr>
        <w:t>.</w:t>
      </w:r>
    </w:p>
  </w:footnote>
  <w:footnote w:id="98">
    <w:p w:rsidR="006B4497" w:rsidRPr="00097C4D" w:rsidRDefault="006B4497">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r>
      <w:r>
        <w:rPr>
          <w:sz w:val="16"/>
          <w:szCs w:val="16"/>
          <w:lang w:val="fr-CH"/>
        </w:rPr>
        <w:t>Rectificatif </w:t>
      </w:r>
      <w:r w:rsidRPr="00097C4D">
        <w:rPr>
          <w:sz w:val="16"/>
          <w:szCs w:val="16"/>
          <w:lang w:val="fr-CH"/>
        </w:rPr>
        <w:t xml:space="preserve">: le nombre de pays ayant participé au Programme d’attribution de prix </w:t>
      </w:r>
      <w:r>
        <w:rPr>
          <w:sz w:val="16"/>
          <w:szCs w:val="16"/>
          <w:lang w:val="fr-CH"/>
        </w:rPr>
        <w:t>de l’OMPI s’est en fait élevé à </w:t>
      </w:r>
      <w:r w:rsidRPr="00097C4D">
        <w:rPr>
          <w:sz w:val="16"/>
          <w:szCs w:val="16"/>
          <w:lang w:val="fr-CH"/>
        </w:rPr>
        <w:t>40 en 2014 et non à 38 comme indiqué dans le Rapport sur l’exécution du programme en 2014.</w:t>
      </w:r>
    </w:p>
  </w:footnote>
  <w:footnote w:id="99">
    <w:p w:rsidR="006B4497" w:rsidRPr="00097C4D" w:rsidRDefault="006B4497" w:rsidP="001A4D6C">
      <w:pPr>
        <w:pStyle w:val="FootnoteText"/>
        <w:jc w:val="both"/>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Des collaborations stratégiques s’appuient sur des partenariats continus ou de longue durée, y compris des partenariats découlant d’accords de coopération, et traitent des aspects de la promotion du respect de la propriété intellectuelle.</w:t>
      </w:r>
    </w:p>
  </w:footnote>
  <w:footnote w:id="100">
    <w:p w:rsidR="006B4497" w:rsidRPr="00097C4D" w:rsidRDefault="006B4497">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r>
      <w:r>
        <w:rPr>
          <w:sz w:val="16"/>
          <w:szCs w:val="16"/>
          <w:lang w:val="fr-CH"/>
        </w:rPr>
        <w:t>Rectificatif </w:t>
      </w:r>
      <w:r w:rsidRPr="00097C4D">
        <w:rPr>
          <w:sz w:val="16"/>
          <w:szCs w:val="16"/>
          <w:lang w:val="fr-CH"/>
        </w:rPr>
        <w:t>: le nombre total d’activités communes en 2014 s’est en fait élevé à 35 et non à 30 comme indiqué dans le Rapport sur l’exécution du programme en 2014.</w:t>
      </w:r>
    </w:p>
  </w:footnote>
  <w:footnote w:id="101">
    <w:p w:rsidR="006B4497" w:rsidRPr="00097C4D" w:rsidRDefault="006B4497" w:rsidP="001A4D6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r>
      <w:hyperlink r:id="rId16" w:history="1">
        <w:r w:rsidRPr="00097C4D">
          <w:rPr>
            <w:rStyle w:val="Hyperlink"/>
            <w:sz w:val="16"/>
            <w:szCs w:val="16"/>
          </w:rPr>
          <w:t>http://www.wipo.int/export/sites/www/about-wipo/en/oversight/iaod/evaluation/pdf/evaluation_strategic_goal_vi.pdf</w:t>
        </w:r>
      </w:hyperlink>
      <w:r w:rsidRPr="00097C4D">
        <w:rPr>
          <w:sz w:val="16"/>
          <w:szCs w:val="16"/>
        </w:rPr>
        <w:t>.</w:t>
      </w:r>
    </w:p>
  </w:footnote>
  <w:footnote w:id="102">
    <w:p w:rsidR="006B4497" w:rsidRPr="006B4497" w:rsidRDefault="006B4497" w:rsidP="007E6877">
      <w:pPr>
        <w:pStyle w:val="FootnoteText"/>
        <w:spacing w:after="60"/>
        <w:rPr>
          <w:sz w:val="16"/>
          <w:szCs w:val="16"/>
          <w:lang w:val="en-US"/>
        </w:rPr>
      </w:pPr>
      <w:r w:rsidRPr="00097C4D">
        <w:rPr>
          <w:rStyle w:val="FootnoteReference"/>
          <w:sz w:val="16"/>
          <w:szCs w:val="16"/>
        </w:rPr>
        <w:footnoteRef/>
      </w:r>
      <w:r w:rsidRPr="00097C4D">
        <w:rPr>
          <w:sz w:val="16"/>
          <w:szCs w:val="16"/>
        </w:rPr>
        <w:t xml:space="preserve"> </w:t>
      </w:r>
      <w:r w:rsidRPr="00097C4D">
        <w:rPr>
          <w:sz w:val="16"/>
          <w:szCs w:val="16"/>
        </w:rPr>
        <w:tab/>
        <w:t xml:space="preserve">Notes d’information sur les défis mondiaux publiées en 2014-2015 : i) </w:t>
      </w:r>
      <w:hyperlink r:id="rId17" w:history="1">
        <w:r w:rsidRPr="00097C4D">
          <w:rPr>
            <w:rStyle w:val="Hyperlink"/>
            <w:bCs/>
            <w:i/>
            <w:sz w:val="16"/>
            <w:szCs w:val="16"/>
          </w:rPr>
          <w:t xml:space="preserve">The </w:t>
        </w:r>
        <w:proofErr w:type="spellStart"/>
        <w:r w:rsidRPr="00097C4D">
          <w:rPr>
            <w:rStyle w:val="Hyperlink"/>
            <w:bCs/>
            <w:i/>
            <w:sz w:val="16"/>
            <w:szCs w:val="16"/>
          </w:rPr>
          <w:t>Acceleration</w:t>
        </w:r>
        <w:proofErr w:type="spellEnd"/>
        <w:r w:rsidRPr="00097C4D">
          <w:rPr>
            <w:rStyle w:val="Hyperlink"/>
            <w:bCs/>
            <w:i/>
            <w:sz w:val="16"/>
            <w:szCs w:val="16"/>
          </w:rPr>
          <w:t xml:space="preserve"> of </w:t>
        </w:r>
        <w:proofErr w:type="spellStart"/>
        <w:r w:rsidRPr="00097C4D">
          <w:rPr>
            <w:rStyle w:val="Hyperlink"/>
            <w:bCs/>
            <w:i/>
            <w:sz w:val="16"/>
            <w:szCs w:val="16"/>
          </w:rPr>
          <w:t>Climate</w:t>
        </w:r>
        <w:proofErr w:type="spellEnd"/>
        <w:r w:rsidRPr="00097C4D">
          <w:rPr>
            <w:rStyle w:val="Hyperlink"/>
            <w:bCs/>
            <w:i/>
            <w:sz w:val="16"/>
            <w:szCs w:val="16"/>
          </w:rPr>
          <w:t xml:space="preserve"> Change and Mitigation Technologies: Intellectual Property Trends in the </w:t>
        </w:r>
        <w:proofErr w:type="spellStart"/>
        <w:r w:rsidRPr="00097C4D">
          <w:rPr>
            <w:rStyle w:val="Hyperlink"/>
            <w:bCs/>
            <w:i/>
            <w:sz w:val="16"/>
            <w:szCs w:val="16"/>
          </w:rPr>
          <w:t>Renewable</w:t>
        </w:r>
        <w:proofErr w:type="spellEnd"/>
        <w:r w:rsidRPr="00097C4D">
          <w:rPr>
            <w:rStyle w:val="Hyperlink"/>
            <w:bCs/>
            <w:i/>
            <w:sz w:val="16"/>
            <w:szCs w:val="16"/>
          </w:rPr>
          <w:t xml:space="preserve"> </w:t>
        </w:r>
        <w:proofErr w:type="spellStart"/>
        <w:r w:rsidRPr="00097C4D">
          <w:rPr>
            <w:rStyle w:val="Hyperlink"/>
            <w:bCs/>
            <w:i/>
            <w:sz w:val="16"/>
            <w:szCs w:val="16"/>
          </w:rPr>
          <w:t>Energy</w:t>
        </w:r>
        <w:proofErr w:type="spellEnd"/>
        <w:r w:rsidRPr="00097C4D">
          <w:rPr>
            <w:rStyle w:val="Hyperlink"/>
            <w:bCs/>
            <w:i/>
            <w:sz w:val="16"/>
            <w:szCs w:val="16"/>
          </w:rPr>
          <w:t xml:space="preserve"> </w:t>
        </w:r>
        <w:proofErr w:type="spellStart"/>
        <w:r w:rsidRPr="00097C4D">
          <w:rPr>
            <w:rStyle w:val="Hyperlink"/>
            <w:bCs/>
            <w:i/>
            <w:sz w:val="16"/>
            <w:szCs w:val="16"/>
          </w:rPr>
          <w:t>Landscape</w:t>
        </w:r>
        <w:proofErr w:type="spellEnd"/>
      </w:hyperlink>
      <w:r w:rsidRPr="00097C4D">
        <w:rPr>
          <w:sz w:val="16"/>
          <w:szCs w:val="16"/>
        </w:rPr>
        <w:t xml:space="preserve"> (2014);  ii) </w:t>
      </w:r>
      <w:hyperlink r:id="rId18" w:history="1">
        <w:proofErr w:type="spellStart"/>
        <w:r w:rsidRPr="00097C4D">
          <w:rPr>
            <w:rStyle w:val="Hyperlink"/>
            <w:bCs/>
            <w:i/>
            <w:sz w:val="16"/>
            <w:szCs w:val="16"/>
          </w:rPr>
          <w:t>Incentivizing</w:t>
        </w:r>
        <w:proofErr w:type="spellEnd"/>
        <w:r w:rsidRPr="00097C4D">
          <w:rPr>
            <w:rStyle w:val="Hyperlink"/>
            <w:bCs/>
            <w:i/>
            <w:sz w:val="16"/>
            <w:szCs w:val="16"/>
          </w:rPr>
          <w:t xml:space="preserve"> the Adoption of Green </w:t>
        </w:r>
        <w:proofErr w:type="spellStart"/>
        <w:r w:rsidRPr="00097C4D">
          <w:rPr>
            <w:rStyle w:val="Hyperlink"/>
            <w:bCs/>
            <w:i/>
            <w:sz w:val="16"/>
            <w:szCs w:val="16"/>
          </w:rPr>
          <w:t>Technology</w:t>
        </w:r>
        <w:proofErr w:type="spellEnd"/>
        <w:r w:rsidRPr="00097C4D">
          <w:rPr>
            <w:rStyle w:val="Hyperlink"/>
            <w:bCs/>
            <w:i/>
            <w:sz w:val="16"/>
            <w:szCs w:val="16"/>
          </w:rPr>
          <w:t xml:space="preserve"> on a Global </w:t>
        </w:r>
        <w:proofErr w:type="spellStart"/>
        <w:r w:rsidRPr="00097C4D">
          <w:rPr>
            <w:rStyle w:val="Hyperlink"/>
            <w:bCs/>
            <w:i/>
            <w:sz w:val="16"/>
            <w:szCs w:val="16"/>
          </w:rPr>
          <w:t>Scale</w:t>
        </w:r>
        <w:proofErr w:type="spellEnd"/>
      </w:hyperlink>
      <w:r w:rsidRPr="00097C4D">
        <w:rPr>
          <w:sz w:val="16"/>
          <w:szCs w:val="16"/>
        </w:rPr>
        <w:t xml:space="preserve">, diffusée à la vingtième Conférence des parties de la Convention cadre des Nations Unies sur les changements climatiques, tenue à Lima (2014);  iii) </w:t>
      </w:r>
      <w:hyperlink r:id="rId19" w:history="1">
        <w:r w:rsidRPr="00097C4D">
          <w:rPr>
            <w:rStyle w:val="Hyperlink"/>
            <w:bCs/>
            <w:i/>
            <w:sz w:val="16"/>
            <w:szCs w:val="16"/>
          </w:rPr>
          <w:t xml:space="preserve">The </w:t>
        </w:r>
        <w:proofErr w:type="spellStart"/>
        <w:r w:rsidRPr="00097C4D">
          <w:rPr>
            <w:rStyle w:val="Hyperlink"/>
            <w:bCs/>
            <w:i/>
            <w:sz w:val="16"/>
            <w:szCs w:val="16"/>
          </w:rPr>
          <w:t>Changing</w:t>
        </w:r>
        <w:proofErr w:type="spellEnd"/>
        <w:r w:rsidRPr="00097C4D">
          <w:rPr>
            <w:rStyle w:val="Hyperlink"/>
            <w:bCs/>
            <w:i/>
            <w:sz w:val="16"/>
            <w:szCs w:val="16"/>
          </w:rPr>
          <w:t xml:space="preserve"> </w:t>
        </w:r>
        <w:proofErr w:type="spellStart"/>
        <w:r w:rsidRPr="00097C4D">
          <w:rPr>
            <w:rStyle w:val="Hyperlink"/>
            <w:bCs/>
            <w:i/>
            <w:sz w:val="16"/>
            <w:szCs w:val="16"/>
          </w:rPr>
          <w:t>Landscape</w:t>
        </w:r>
        <w:proofErr w:type="spellEnd"/>
        <w:r w:rsidRPr="00097C4D">
          <w:rPr>
            <w:rStyle w:val="Hyperlink"/>
            <w:bCs/>
            <w:i/>
            <w:sz w:val="16"/>
            <w:szCs w:val="16"/>
          </w:rPr>
          <w:t xml:space="preserve"> of Medical Innovation: How Have Business </w:t>
        </w:r>
        <w:proofErr w:type="spellStart"/>
        <w:r w:rsidRPr="00097C4D">
          <w:rPr>
            <w:rStyle w:val="Hyperlink"/>
            <w:bCs/>
            <w:i/>
            <w:sz w:val="16"/>
            <w:szCs w:val="16"/>
          </w:rPr>
          <w:t>Models</w:t>
        </w:r>
        <w:proofErr w:type="spellEnd"/>
        <w:r w:rsidRPr="00097C4D">
          <w:rPr>
            <w:rStyle w:val="Hyperlink"/>
            <w:bCs/>
            <w:i/>
            <w:sz w:val="16"/>
            <w:szCs w:val="16"/>
          </w:rPr>
          <w:t xml:space="preserve"> </w:t>
        </w:r>
        <w:proofErr w:type="spellStart"/>
        <w:r w:rsidRPr="00097C4D">
          <w:rPr>
            <w:rStyle w:val="Hyperlink"/>
            <w:bCs/>
            <w:i/>
            <w:sz w:val="16"/>
            <w:szCs w:val="16"/>
          </w:rPr>
          <w:t>Responded</w:t>
        </w:r>
        <w:proofErr w:type="spellEnd"/>
        <w:r w:rsidRPr="00097C4D">
          <w:rPr>
            <w:rStyle w:val="Hyperlink"/>
            <w:bCs/>
            <w:i/>
            <w:sz w:val="16"/>
            <w:szCs w:val="16"/>
          </w:rPr>
          <w:t>?</w:t>
        </w:r>
      </w:hyperlink>
      <w:r w:rsidRPr="00097C4D">
        <w:rPr>
          <w:sz w:val="16"/>
          <w:szCs w:val="16"/>
        </w:rPr>
        <w:t xml:space="preserve"> </w:t>
      </w:r>
      <w:r w:rsidRPr="006B4497">
        <w:rPr>
          <w:sz w:val="16"/>
          <w:szCs w:val="16"/>
          <w:lang w:val="en-US"/>
        </w:rPr>
        <w:t xml:space="preserve">(2014);  iv) </w:t>
      </w:r>
      <w:r>
        <w:fldChar w:fldCharType="begin"/>
      </w:r>
      <w:r w:rsidRPr="006B4497">
        <w:rPr>
          <w:lang w:val="en-US"/>
        </w:rPr>
        <w:instrText xml:space="preserve"> HYPERLINK "http://www.wipo.int/publications/en/details.jsp?id=3990&amp;plang=EN" </w:instrText>
      </w:r>
      <w:r>
        <w:fldChar w:fldCharType="separate"/>
      </w:r>
      <w:r w:rsidRPr="006B4497">
        <w:rPr>
          <w:rStyle w:val="Hyperlink"/>
          <w:bCs/>
          <w:i/>
          <w:sz w:val="16"/>
          <w:szCs w:val="16"/>
          <w:lang w:val="en-US"/>
        </w:rPr>
        <w:t>Promoting Medical Innovation and Access, Together</w:t>
      </w:r>
      <w:r>
        <w:rPr>
          <w:rStyle w:val="Hyperlink"/>
          <w:bCs/>
          <w:i/>
          <w:sz w:val="16"/>
          <w:szCs w:val="16"/>
        </w:rPr>
        <w:fldChar w:fldCharType="end"/>
      </w:r>
      <w:r w:rsidRPr="006B4497">
        <w:rPr>
          <w:sz w:val="16"/>
          <w:szCs w:val="16"/>
          <w:lang w:val="en-US"/>
        </w:rPr>
        <w:t xml:space="preserve"> (2015).</w:t>
      </w:r>
    </w:p>
  </w:footnote>
  <w:footnote w:id="103">
    <w:p w:rsidR="006B4497" w:rsidRPr="006B4497" w:rsidRDefault="006B4497" w:rsidP="007E6877">
      <w:pPr>
        <w:pStyle w:val="Default"/>
        <w:jc w:val="both"/>
        <w:rPr>
          <w:bCs/>
          <w:color w:val="000000" w:themeColor="text1"/>
          <w:sz w:val="16"/>
          <w:szCs w:val="16"/>
          <w:lang w:val="en-US"/>
        </w:rPr>
      </w:pPr>
      <w:r w:rsidRPr="00097C4D">
        <w:rPr>
          <w:rStyle w:val="FootnoteReference"/>
          <w:sz w:val="16"/>
          <w:szCs w:val="16"/>
        </w:rPr>
        <w:footnoteRef/>
      </w:r>
      <w:r w:rsidRPr="006B4497">
        <w:rPr>
          <w:sz w:val="16"/>
          <w:szCs w:val="16"/>
          <w:lang w:val="en-US"/>
        </w:rPr>
        <w:t xml:space="preserve"> </w:t>
      </w:r>
      <w:r w:rsidRPr="006B4497">
        <w:rPr>
          <w:sz w:val="16"/>
          <w:szCs w:val="16"/>
          <w:lang w:val="en-US"/>
        </w:rPr>
        <w:tab/>
        <w:t xml:space="preserve">Rapports sur les défis mondiaux publiés en 2014-2015 : i) </w:t>
      </w:r>
      <w:r>
        <w:fldChar w:fldCharType="begin"/>
      </w:r>
      <w:r w:rsidRPr="006B4497">
        <w:rPr>
          <w:lang w:val="en-US"/>
        </w:rPr>
        <w:instrText xml:space="preserve"> HYPERLINK "http://www.wipo.int/publications/en/details.jsp?id=3891&amp;plang=EN" </w:instrText>
      </w:r>
      <w:r>
        <w:fldChar w:fldCharType="separate"/>
      </w:r>
      <w:r w:rsidRPr="006B4497">
        <w:rPr>
          <w:rStyle w:val="Hyperlink"/>
          <w:bCs/>
          <w:i/>
          <w:sz w:val="16"/>
          <w:szCs w:val="16"/>
          <w:lang w:val="en-US"/>
        </w:rPr>
        <w:t>Renewable Energy Technology: Evolution and Policy Implications – Evidence from Patent Literature</w:t>
      </w:r>
      <w:r>
        <w:rPr>
          <w:rStyle w:val="Hyperlink"/>
          <w:bCs/>
          <w:i/>
          <w:sz w:val="16"/>
          <w:szCs w:val="16"/>
        </w:rPr>
        <w:fldChar w:fldCharType="end"/>
      </w:r>
      <w:r w:rsidRPr="006B4497">
        <w:rPr>
          <w:iCs/>
          <w:sz w:val="16"/>
          <w:szCs w:val="16"/>
          <w:lang w:val="en-US"/>
        </w:rPr>
        <w:t xml:space="preserve"> (2014)</w:t>
      </w:r>
      <w:r w:rsidRPr="006B4497">
        <w:rPr>
          <w:sz w:val="16"/>
          <w:szCs w:val="16"/>
          <w:lang w:val="en-US"/>
        </w:rPr>
        <w:t xml:space="preserve">;  ii) </w:t>
      </w:r>
      <w:r>
        <w:fldChar w:fldCharType="begin"/>
      </w:r>
      <w:r w:rsidRPr="006B4497">
        <w:rPr>
          <w:lang w:val="en-US"/>
        </w:rPr>
        <w:instrText xml:space="preserve"> HYPERLINK "http://www.wipo.int/publications/en/details.jsp?id=3924&amp;plang=EN" </w:instrText>
      </w:r>
      <w:r>
        <w:fldChar w:fldCharType="separate"/>
      </w:r>
      <w:r w:rsidRPr="006B4497">
        <w:rPr>
          <w:rStyle w:val="Hyperlink"/>
          <w:bCs/>
          <w:i/>
          <w:sz w:val="16"/>
          <w:szCs w:val="16"/>
          <w:lang w:val="en-US"/>
        </w:rPr>
        <w:t>Innovation and Diffusion of Green Technologies: The Role of Intellectual Property and Other Enabling Factors</w:t>
      </w:r>
      <w:r>
        <w:rPr>
          <w:rStyle w:val="Hyperlink"/>
          <w:bCs/>
          <w:i/>
          <w:sz w:val="16"/>
          <w:szCs w:val="16"/>
        </w:rPr>
        <w:fldChar w:fldCharType="end"/>
      </w:r>
      <w:r w:rsidRPr="006B4497">
        <w:rPr>
          <w:sz w:val="16"/>
          <w:szCs w:val="16"/>
          <w:lang w:val="en-US"/>
        </w:rPr>
        <w:t xml:space="preserve"> (2015);  iii) </w:t>
      </w:r>
      <w:r>
        <w:fldChar w:fldCharType="begin"/>
      </w:r>
      <w:r w:rsidRPr="006B4497">
        <w:rPr>
          <w:lang w:val="en-US"/>
        </w:rPr>
        <w:instrText xml:space="preserve"> HYPERLINK "http://www.wipo.int/export/sites/www/research/en/docs/wipo_research_external_review.pdf" </w:instrText>
      </w:r>
      <w:r>
        <w:fldChar w:fldCharType="separate"/>
      </w:r>
      <w:r w:rsidRPr="006B4497">
        <w:rPr>
          <w:rStyle w:val="Hyperlink"/>
          <w:i/>
          <w:sz w:val="16"/>
          <w:szCs w:val="16"/>
          <w:lang w:val="en-US"/>
        </w:rPr>
        <w:t>Strategic Review of WIPO Re:Search</w:t>
      </w:r>
      <w:r>
        <w:rPr>
          <w:rStyle w:val="Hyperlink"/>
          <w:i/>
          <w:sz w:val="16"/>
          <w:szCs w:val="16"/>
        </w:rPr>
        <w:fldChar w:fldCharType="end"/>
      </w:r>
      <w:r w:rsidRPr="006B4497">
        <w:rPr>
          <w:sz w:val="16"/>
          <w:szCs w:val="16"/>
          <w:lang w:val="en-US"/>
        </w:rPr>
        <w:t xml:space="preserve"> (2015).</w:t>
      </w:r>
    </w:p>
    <w:p w:rsidR="006B4497" w:rsidRPr="006B4497" w:rsidRDefault="006B4497" w:rsidP="001A4D6C">
      <w:pPr>
        <w:pStyle w:val="FootnoteText"/>
        <w:rPr>
          <w:sz w:val="16"/>
          <w:szCs w:val="16"/>
          <w:lang w:val="en-US"/>
        </w:rPr>
      </w:pPr>
    </w:p>
  </w:footnote>
  <w:footnote w:id="104">
    <w:p w:rsidR="006B4497" w:rsidRPr="00097C4D" w:rsidRDefault="006B4497" w:rsidP="001A4D6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Rectificatif</w:t>
      </w:r>
      <w:r w:rsidRPr="00097C4D">
        <w:rPr>
          <w:color w:val="000000"/>
          <w:sz w:val="16"/>
          <w:szCs w:val="16"/>
        </w:rPr>
        <w:t> : le nombre effectif de partenaires à la fin de 2013 était 36 et le nombre effectif de téléchargements était 820, contrairement à ce qui était indiqué dans le Rapport sur l’exécution du programme en 2012</w:t>
      </w:r>
      <w:r w:rsidRPr="00097C4D">
        <w:rPr>
          <w:color w:val="000000"/>
          <w:sz w:val="16"/>
          <w:szCs w:val="16"/>
        </w:rPr>
        <w:noBreakHyphen/>
        <w:t xml:space="preserve">2013, à savoir respectivement 37 et 800.  </w:t>
      </w:r>
    </w:p>
  </w:footnote>
  <w:footnote w:id="105">
    <w:p w:rsidR="006B4497" w:rsidRPr="00097C4D" w:rsidRDefault="006B4497">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t>Rectificatif : à la fin de 2014, le nombre total de téléchargements était de 1773 et non de 2050 comme cela avait été indiqué dans le</w:t>
      </w:r>
      <w:r w:rsidRPr="00097C4D">
        <w:rPr>
          <w:sz w:val="16"/>
          <w:szCs w:val="16"/>
        </w:rPr>
        <w:t xml:space="preserve"> </w:t>
      </w:r>
      <w:r w:rsidRPr="00097C4D">
        <w:rPr>
          <w:sz w:val="16"/>
          <w:szCs w:val="16"/>
          <w:lang w:val="fr-CH"/>
        </w:rPr>
        <w:t>Rapport sur l’exécution du programme en 2014.</w:t>
      </w:r>
    </w:p>
  </w:footnote>
  <w:footnote w:id="106">
    <w:p w:rsidR="006B4497" w:rsidRPr="00097C4D" w:rsidRDefault="006B4497" w:rsidP="001A4D6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r>
      <w:r w:rsidRPr="00097C4D">
        <w:rPr>
          <w:color w:val="000000"/>
          <w:sz w:val="16"/>
          <w:szCs w:val="16"/>
        </w:rPr>
        <w:t>Comme aucune enquête de l’OMPI sur les perceptions des parties prenantes n’a été conduite en 2013, les données indiquées dans le Rapport sur l’exécution du programme en 2012</w:t>
      </w:r>
      <w:r w:rsidRPr="00097C4D">
        <w:rPr>
          <w:color w:val="000000"/>
          <w:sz w:val="16"/>
          <w:szCs w:val="16"/>
        </w:rPr>
        <w:noBreakHyphen/>
        <w:t xml:space="preserve">2013 ont été extrapolées à partir de l’enquête sur l’orientation vers les services de l’OMPI, pour laquelle une autre méthode a été employée et qui était adressée à un autre groupe de parties prenantes.  De fait, le niveau de référence actualisé pour 2013 ne peut pas être comparé aux données pour 2014.  </w:t>
      </w:r>
    </w:p>
  </w:footnote>
  <w:footnote w:id="107">
    <w:p w:rsidR="006B4497" w:rsidRPr="00097C4D" w:rsidRDefault="006B4497" w:rsidP="001A4D6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r>
      <w:r w:rsidRPr="00097C4D">
        <w:rPr>
          <w:color w:val="000000"/>
          <w:sz w:val="16"/>
          <w:szCs w:val="16"/>
        </w:rPr>
        <w:t>Les données relatives à l’exécution en 2014 peuvent être comparées au niveau de référence initial de 65% dans le programme et budget 2014</w:t>
      </w:r>
      <w:r w:rsidRPr="00097C4D">
        <w:rPr>
          <w:color w:val="000000"/>
          <w:sz w:val="16"/>
          <w:szCs w:val="16"/>
        </w:rPr>
        <w:noBreakHyphen/>
        <w:t xml:space="preserve">2015, qui était tiré de l’enquête de l’OMPI sur les perceptions des parties prenantes en 2012.  </w:t>
      </w:r>
    </w:p>
  </w:footnote>
  <w:footnote w:id="108">
    <w:p w:rsidR="006B4497" w:rsidRPr="00097C4D" w:rsidRDefault="006B4497" w:rsidP="001A4D6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w:t>
      </w:r>
      <w:r w:rsidRPr="00097C4D">
        <w:rPr>
          <w:color w:val="000000"/>
          <w:sz w:val="16"/>
          <w:szCs w:val="16"/>
        </w:rPr>
        <w:t>e Rapport sur l’exécution du programme en 2012</w:t>
      </w:r>
      <w:r w:rsidRPr="00097C4D">
        <w:rPr>
          <w:color w:val="000000"/>
          <w:sz w:val="16"/>
          <w:szCs w:val="16"/>
        </w:rPr>
        <w:noBreakHyphen/>
        <w:t>2013 indiquait 226 vidéos.  Le nombre effectif de vidéos à la fin de 2013 était 228.  Le nombre moyen de consultations a été actualisé en conséquence.</w:t>
      </w:r>
    </w:p>
  </w:footnote>
  <w:footnote w:id="109">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Sauf indication contraire, le pourcentage de variation est calculé par rapport à l’année précédente, c’est</w:t>
      </w:r>
      <w:r w:rsidRPr="00097C4D">
        <w:rPr>
          <w:sz w:val="16"/>
          <w:szCs w:val="16"/>
        </w:rPr>
        <w:noBreakHyphen/>
        <w:t>à</w:t>
      </w:r>
      <w:r w:rsidRPr="00097C4D">
        <w:rPr>
          <w:sz w:val="16"/>
          <w:szCs w:val="16"/>
        </w:rPr>
        <w:noBreakHyphen/>
        <w:t>dire que le pourcentage de variation en 2014 est calculé par rapport aux chiffres de 2013, et le pourcentage de variation en 2015 par rapport aux chiffres de 2014.</w:t>
      </w:r>
    </w:p>
  </w:footnote>
  <w:footnote w:id="110">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Le pourcentage de variation pour 2014</w:t>
      </w:r>
      <w:r w:rsidRPr="00097C4D">
        <w:rPr>
          <w:sz w:val="16"/>
          <w:szCs w:val="16"/>
        </w:rPr>
        <w:noBreakHyphen/>
        <w:t>2015 est calculé par rapport aux données de 2012 2013.</w:t>
      </w:r>
    </w:p>
  </w:footnote>
  <w:footnote w:id="111">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Étant donné que les données relatives à cet indicateur d’exécution dans le rapport sur l’exécution du programme en 2014 étaient basées sur des estimations disponibles au moment de la publication, les chiffres ont été mis à jour là où cela était nécessaire pour faire apparaître les données les plus exactes.</w:t>
      </w:r>
    </w:p>
  </w:footnote>
  <w:footnote w:id="112">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 xml:space="preserve">Pour 2014, l’objectif était fixé à 354 nouveaux enregistrements.  </w:t>
      </w:r>
    </w:p>
  </w:footnote>
  <w:footnote w:id="113">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Le pourcentage de variation pour 2015 est calculé à partir de l’objectif de 2014, c’est</w:t>
      </w:r>
      <w:r w:rsidRPr="00097C4D">
        <w:rPr>
          <w:sz w:val="16"/>
          <w:szCs w:val="16"/>
        </w:rPr>
        <w:noBreakHyphen/>
        <w:t>à</w:t>
      </w:r>
      <w:r w:rsidRPr="00097C4D">
        <w:rPr>
          <w:sz w:val="16"/>
          <w:szCs w:val="16"/>
        </w:rPr>
        <w:noBreakHyphen/>
        <w:t xml:space="preserve">dire en partant du principe que l’objectif de 2014 a été atteint.  </w:t>
      </w:r>
    </w:p>
  </w:footnote>
  <w:footnote w:id="114">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 xml:space="preserve">Rectificatif : en 2014, les renouvellements en vertu du système de Madrid pour le Bureau de l’OMPI à Singapour étaient de 54, et non pas de 56 comme cela était indiqué dans le rapport sur l’exécution du programme en 2014.  </w:t>
      </w:r>
    </w:p>
  </w:footnote>
  <w:footnote w:id="115">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Le pourcentage de variation pour 2014</w:t>
      </w:r>
      <w:r w:rsidRPr="00097C4D">
        <w:rPr>
          <w:sz w:val="16"/>
          <w:szCs w:val="16"/>
        </w:rPr>
        <w:noBreakHyphen/>
        <w:t>2015 est calculé par rapport aux données de 2012</w:t>
      </w:r>
      <w:r w:rsidRPr="00097C4D">
        <w:rPr>
          <w:sz w:val="16"/>
          <w:szCs w:val="16"/>
        </w:rPr>
        <w:noBreakHyphen/>
        <w:t xml:space="preserve">2013. </w:t>
      </w:r>
    </w:p>
  </w:footnote>
  <w:footnote w:id="116">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Le niveau de référence actualisé fin 2013 a été mis à jour pour tenir compte des données de 2012 à des fins de comparaison des exercices biennaux.</w:t>
      </w:r>
    </w:p>
  </w:footnote>
  <w:footnote w:id="117">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L’objectif de 2014 pour le Bureau de l’OMPI au Japon était de 15 651.</w:t>
      </w:r>
    </w:p>
  </w:footnote>
  <w:footnote w:id="118">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Le pourcentage de variation pour 2015 est calculé à partir de l’objectif de 2014, c’est</w:t>
      </w:r>
      <w:r w:rsidRPr="00097C4D">
        <w:rPr>
          <w:sz w:val="16"/>
          <w:szCs w:val="16"/>
        </w:rPr>
        <w:noBreakHyphen/>
        <w:t>à</w:t>
      </w:r>
      <w:r w:rsidRPr="00097C4D">
        <w:rPr>
          <w:sz w:val="16"/>
          <w:szCs w:val="16"/>
        </w:rPr>
        <w:noBreakHyphen/>
        <w:t xml:space="preserve">dire en partant du principe que l’objectif de 2014 a été atteint.  </w:t>
      </w:r>
    </w:p>
  </w:footnote>
  <w:footnote w:id="119">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L’objectif de 2014 pour le Bureau de l’OMPI au Japon était de 6195 pages consultées.</w:t>
      </w:r>
    </w:p>
  </w:footnote>
  <w:footnote w:id="120">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La page Web du Bureau de l’OMPI au Brésil n’a été créée qu’en février 2015.</w:t>
      </w:r>
    </w:p>
  </w:footnote>
  <w:footnote w:id="121">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Le pourcentage de variation pour 2015 est calculé par rapport à l’objectif de 2014 (6195 pages consultées).  Le pourcentage de variation réel calculé par rapport aux résultats de l’année précédente est de -8%.</w:t>
      </w:r>
    </w:p>
  </w:footnote>
  <w:footnote w:id="122">
    <w:p w:rsidR="006B4497" w:rsidRPr="00097C4D" w:rsidRDefault="006B4497" w:rsidP="001A4D6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 xml:space="preserve">Le niveau de référence initial dans le programme et budget pour 2014-2015 avait été établi sur la base d’estimations fondées sur des chiffres datant de la mi-2013.  Ces chiffres ont été actualisés.  </w:t>
      </w:r>
    </w:p>
  </w:footnote>
  <w:footnote w:id="123">
    <w:p w:rsidR="006B4497" w:rsidRPr="00097C4D" w:rsidRDefault="006B4497" w:rsidP="001A4D6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 xml:space="preserve">Lien vers l’enquête sur les assemblées 2014 : </w:t>
      </w:r>
      <w:hyperlink r:id="rId20" w:history="1">
        <w:r>
          <w:rPr>
            <w:rStyle w:val="Hyperlink"/>
            <w:sz w:val="16"/>
            <w:szCs w:val="16"/>
          </w:rPr>
          <w:t>http://www.wipo.int/export/sites/www/about-wipo/fr/assemblies/pdf/survey_2014.pdf</w:t>
        </w:r>
      </w:hyperlink>
      <w:r w:rsidRPr="00097C4D">
        <w:rPr>
          <w:sz w:val="16"/>
          <w:szCs w:val="16"/>
        </w:rPr>
        <w:t>.</w:t>
      </w:r>
    </w:p>
  </w:footnote>
  <w:footnote w:id="124">
    <w:p w:rsidR="006B4497" w:rsidRPr="00097C4D" w:rsidRDefault="006B4497">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Voir également le document WO/PBC/22/12 sur le dispositif de responsabilisation de l’OMPI.</w:t>
      </w:r>
    </w:p>
  </w:footnote>
  <w:footnote w:id="125">
    <w:p w:rsidR="006B4497" w:rsidRPr="003B3CFF" w:rsidRDefault="006B4497" w:rsidP="003B3CFF">
      <w:pPr>
        <w:pStyle w:val="FootnoteText"/>
        <w:rPr>
          <w:sz w:val="16"/>
          <w:szCs w:val="16"/>
        </w:rPr>
      </w:pPr>
      <w:r w:rsidRPr="0008229F">
        <w:rPr>
          <w:rStyle w:val="FootnoteReference"/>
          <w:sz w:val="16"/>
          <w:szCs w:val="16"/>
        </w:rPr>
        <w:footnoteRef/>
      </w:r>
      <w:r w:rsidRPr="0008229F">
        <w:rPr>
          <w:sz w:val="16"/>
          <w:szCs w:val="16"/>
        </w:rPr>
        <w:t xml:space="preserve"> </w:t>
      </w:r>
      <w:r w:rsidRPr="0008229F">
        <w:rPr>
          <w:sz w:val="16"/>
          <w:szCs w:val="16"/>
        </w:rPr>
        <w:tab/>
        <w:t xml:space="preserve">Sur 31 programmes, 21 (67%) ont </w:t>
      </w:r>
      <w:proofErr w:type="spellStart"/>
      <w:r w:rsidRPr="0008229F">
        <w:rPr>
          <w:sz w:val="16"/>
          <w:szCs w:val="16"/>
        </w:rPr>
        <w:t>respondu</w:t>
      </w:r>
      <w:proofErr w:type="spellEnd"/>
      <w:r w:rsidRPr="0008229F">
        <w:rPr>
          <w:sz w:val="16"/>
          <w:szCs w:val="16"/>
        </w:rPr>
        <w:t xml:space="preserve"> au questionnaire de la DSI pour la validation du rapport sur l’exécution du programme en 2014</w:t>
      </w:r>
      <w:r w:rsidRPr="0008229F">
        <w:rPr>
          <w:sz w:val="16"/>
          <w:szCs w:val="16"/>
        </w:rPr>
        <w:noBreakHyphen/>
        <w:t>2015.</w:t>
      </w:r>
    </w:p>
  </w:footnote>
  <w:footnote w:id="126">
    <w:p w:rsidR="006B4497" w:rsidRPr="00097C4D" w:rsidRDefault="006B4497" w:rsidP="0066137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r>
      <w:r w:rsidRPr="00097C4D">
        <w:rPr>
          <w:color w:val="000000"/>
          <w:sz w:val="16"/>
          <w:szCs w:val="16"/>
        </w:rPr>
        <w:t>Rectificatif : dans le rapport sur l’exécution du programme en 2012</w:t>
      </w:r>
      <w:r w:rsidRPr="00097C4D">
        <w:rPr>
          <w:color w:val="000000"/>
          <w:sz w:val="16"/>
          <w:szCs w:val="16"/>
        </w:rPr>
        <w:noBreakHyphen/>
        <w:t>2013, il était indiqué que 53% des programmes utilisaient les données relatives à l’exécution pour gérer la mise en œuvre du programme.</w:t>
      </w:r>
    </w:p>
  </w:footnote>
  <w:footnote w:id="127">
    <w:p w:rsidR="006B4497" w:rsidRPr="00A56978" w:rsidRDefault="006B4497" w:rsidP="003B3CFF">
      <w:pPr>
        <w:pStyle w:val="FootnoteText"/>
        <w:rPr>
          <w:sz w:val="16"/>
          <w:szCs w:val="16"/>
        </w:rPr>
      </w:pPr>
      <w:r w:rsidRPr="00B67885">
        <w:rPr>
          <w:rStyle w:val="FootnoteReference"/>
          <w:sz w:val="16"/>
          <w:szCs w:val="16"/>
        </w:rPr>
        <w:footnoteRef/>
      </w:r>
      <w:r w:rsidRPr="00B67885">
        <w:rPr>
          <w:sz w:val="16"/>
          <w:szCs w:val="16"/>
        </w:rPr>
        <w:t xml:space="preserve"> </w:t>
      </w:r>
      <w:r w:rsidRPr="00B67885">
        <w:rPr>
          <w:sz w:val="16"/>
          <w:szCs w:val="16"/>
        </w:rPr>
        <w:tab/>
        <w:t xml:space="preserve">Sur 31 programmes, 21 (67%) ont </w:t>
      </w:r>
      <w:proofErr w:type="spellStart"/>
      <w:r w:rsidRPr="00B67885">
        <w:rPr>
          <w:sz w:val="16"/>
          <w:szCs w:val="16"/>
        </w:rPr>
        <w:t>respondu</w:t>
      </w:r>
      <w:proofErr w:type="spellEnd"/>
      <w:r w:rsidRPr="00B67885">
        <w:rPr>
          <w:sz w:val="16"/>
          <w:szCs w:val="16"/>
        </w:rPr>
        <w:t xml:space="preserve"> au questionnaire de la DSI pour la validation du rapport sur l’exécution du programme en 2014</w:t>
      </w:r>
      <w:r w:rsidRPr="00B67885">
        <w:rPr>
          <w:sz w:val="16"/>
          <w:szCs w:val="16"/>
        </w:rPr>
        <w:noBreakHyphen/>
        <w:t>2015.</w:t>
      </w:r>
    </w:p>
  </w:footnote>
  <w:footnote w:id="128">
    <w:p w:rsidR="006B4497" w:rsidRPr="00E37059" w:rsidRDefault="006B4497" w:rsidP="003B3CFF">
      <w:pPr>
        <w:pStyle w:val="FootnoteText"/>
      </w:pPr>
      <w:r w:rsidRPr="00646A5E">
        <w:rPr>
          <w:rStyle w:val="FootnoteReference"/>
          <w:sz w:val="16"/>
          <w:szCs w:val="16"/>
        </w:rPr>
        <w:footnoteRef/>
      </w:r>
      <w:r w:rsidRPr="00E37059">
        <w:rPr>
          <w:sz w:val="16"/>
          <w:szCs w:val="16"/>
        </w:rPr>
        <w:t xml:space="preserve"> </w:t>
      </w:r>
      <w:r>
        <w:rPr>
          <w:sz w:val="16"/>
          <w:szCs w:val="16"/>
        </w:rPr>
        <w:tab/>
      </w:r>
      <w:r w:rsidRPr="00E37059">
        <w:rPr>
          <w:sz w:val="16"/>
          <w:szCs w:val="16"/>
        </w:rPr>
        <w:t>Idem.</w:t>
      </w:r>
    </w:p>
  </w:footnote>
  <w:footnote w:id="129">
    <w:p w:rsidR="006B4497" w:rsidRPr="00097C4D" w:rsidRDefault="006B4497" w:rsidP="001A4D6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http://www.wipo.int/erecruitment/fr/.</w:t>
      </w:r>
    </w:p>
  </w:footnote>
  <w:footnote w:id="130">
    <w:p w:rsidR="006B4497" w:rsidRPr="00097C4D" w:rsidRDefault="006B4497" w:rsidP="001A4D6C">
      <w:pPr>
        <w:rPr>
          <w:rFonts w:cs="Arial"/>
          <w:sz w:val="16"/>
          <w:szCs w:val="16"/>
        </w:rPr>
      </w:pPr>
      <w:r w:rsidRPr="00097C4D">
        <w:rPr>
          <w:rStyle w:val="FootnoteReference"/>
          <w:rFonts w:eastAsia="SimSun" w:cs="Arial"/>
          <w:sz w:val="16"/>
          <w:szCs w:val="16"/>
        </w:rPr>
        <w:footnoteRef/>
      </w:r>
      <w:r w:rsidRPr="00097C4D">
        <w:rPr>
          <w:rFonts w:cs="Arial"/>
          <w:sz w:val="16"/>
          <w:szCs w:val="16"/>
        </w:rPr>
        <w:t xml:space="preserve"> </w:t>
      </w:r>
      <w:r w:rsidRPr="00097C4D">
        <w:rPr>
          <w:rFonts w:cs="Arial"/>
          <w:sz w:val="16"/>
          <w:szCs w:val="16"/>
        </w:rPr>
        <w:tab/>
        <w:t>Le nombre moyen de jours de formation est calculé ainsi : nombre total de jours de formation (nombre de participants * jours de formation) divisé par le nombre total de fonctionnaires (au 31 décembre de l’année correspondante).</w:t>
      </w:r>
    </w:p>
  </w:footnote>
  <w:footnote w:id="131">
    <w:p w:rsidR="006B4497" w:rsidRPr="00097C4D" w:rsidRDefault="006B4497" w:rsidP="001A4D6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Rectificatif : les chiffres indiqués dans le rapport sur l’exécution du programme en 2014 concernant les délais de recrutement (14,7 semaines) ont été calculés sur la base des mises au concours de 2014 achevées au DATE.  Les chiffres actualisés correspondent au calcul final, après que toutes les mises au concours de 2014 ont été achevées.</w:t>
      </w:r>
    </w:p>
  </w:footnote>
  <w:footnote w:id="132">
    <w:p w:rsidR="006B4497" w:rsidRPr="00097C4D" w:rsidRDefault="006B4497" w:rsidP="001A4D6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 xml:space="preserve">Les chiffres de 2015 concernant les délais de recrutement correspondent aux mises au concours de 2015 achevées au 19 avril 2015. </w:t>
      </w:r>
    </w:p>
  </w:footnote>
  <w:footnote w:id="133">
    <w:p w:rsidR="006B4497" w:rsidRPr="00097C4D" w:rsidRDefault="006B4497" w:rsidP="001A4D6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r>
      <w:r w:rsidRPr="00097C4D">
        <w:rPr>
          <w:iCs/>
          <w:sz w:val="16"/>
          <w:szCs w:val="16"/>
        </w:rPr>
        <w:t>Rectificatif : le nombre moyen de jours de congé maladie par fonctionnaire en 2014 était en fait égal à 11,2, selon les statistiques les plus récentes, et non pas à 9 comme indiqué dans le rapport sur l’exécution du programme en 2014.</w:t>
      </w:r>
    </w:p>
  </w:footnote>
  <w:footnote w:id="134">
    <w:p w:rsidR="006B4497" w:rsidRPr="00097C4D" w:rsidRDefault="006B4497" w:rsidP="001A4D6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Uniquement les administrateurs et les fonctionnaires de rang supérieur.</w:t>
      </w:r>
    </w:p>
  </w:footnote>
  <w:footnote w:id="135">
    <w:p w:rsidR="006B4497" w:rsidRPr="00097C4D" w:rsidRDefault="006B4497" w:rsidP="001A4D6C">
      <w:pPr>
        <w:pStyle w:val="FootnoteText"/>
        <w:rPr>
          <w:sz w:val="16"/>
          <w:szCs w:val="16"/>
          <w:lang w:val="fr-CH"/>
        </w:rPr>
      </w:pPr>
      <w:r w:rsidRPr="00097C4D">
        <w:rPr>
          <w:rStyle w:val="FootnoteReference"/>
          <w:sz w:val="16"/>
          <w:szCs w:val="16"/>
        </w:rPr>
        <w:footnoteRef/>
      </w:r>
      <w:r w:rsidRPr="00097C4D">
        <w:rPr>
          <w:sz w:val="16"/>
          <w:szCs w:val="16"/>
          <w:lang w:val="fr-CH"/>
        </w:rPr>
        <w:t xml:space="preserve"> </w:t>
      </w:r>
      <w:r w:rsidRPr="00097C4D">
        <w:rPr>
          <w:sz w:val="16"/>
          <w:szCs w:val="16"/>
          <w:lang w:val="fr-CH"/>
        </w:rPr>
        <w:tab/>
      </w:r>
      <w:r w:rsidRPr="00097C4D">
        <w:rPr>
          <w:sz w:val="16"/>
          <w:szCs w:val="16"/>
        </w:rPr>
        <w:t>Le Comité de coordination n’est pas encore parvenu à une conclusion quant à la question de savoir si un système formel devrait remplacer le système de répartition géographique datant de 1975.</w:t>
      </w:r>
    </w:p>
  </w:footnote>
  <w:footnote w:id="136">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Pour des informations plus détaillées, voir le programme 29.</w:t>
      </w:r>
    </w:p>
  </w:footnote>
  <w:footnote w:id="137">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Rectificatif : en raison d’une erreur typographique, la date escomptée telle que publiée dans le programme et budget 2014</w:t>
      </w:r>
      <w:r w:rsidRPr="00097C4D">
        <w:rPr>
          <w:sz w:val="16"/>
          <w:szCs w:val="16"/>
        </w:rPr>
        <w:noBreakHyphen/>
        <w:t xml:space="preserve">2015 renvoyait au 31 décembre 2013 au lieu du 31 décembre 2015.  </w:t>
      </w:r>
    </w:p>
  </w:footnote>
  <w:footnote w:id="138">
    <w:p w:rsidR="006B4497" w:rsidRPr="00097C4D" w:rsidRDefault="006B4497" w:rsidP="00927E1F">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t>Dans le rapport sur l’exécution du programme en 2014 : http://www.wipo.int/edocs/mdocs/govbody/fr/a_55/a_55_6.pdf.</w:t>
      </w:r>
    </w:p>
  </w:footnote>
  <w:footnote w:id="139">
    <w:p w:rsidR="006B4497" w:rsidRPr="00097C4D" w:rsidRDefault="006B4497" w:rsidP="0066137C">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rPr>
        <w:tab/>
        <w:t>http://www.wipo.int/edocs/mdocs/govbody/fr/a_55/a_55_inf_5.pdf.</w:t>
      </w:r>
    </w:p>
  </w:footnote>
  <w:footnote w:id="140">
    <w:p w:rsidR="006B4497" w:rsidRPr="00E82DE1" w:rsidRDefault="006B4497">
      <w:pPr>
        <w:pStyle w:val="FootnoteText"/>
        <w:rPr>
          <w:sz w:val="16"/>
          <w:szCs w:val="16"/>
          <w:lang w:val="fr-CH"/>
        </w:rPr>
      </w:pPr>
      <w:r w:rsidRPr="00B67885">
        <w:rPr>
          <w:rStyle w:val="FootnoteReference"/>
          <w:sz w:val="16"/>
          <w:szCs w:val="16"/>
        </w:rPr>
        <w:footnoteRef/>
      </w:r>
      <w:r w:rsidRPr="00B67885">
        <w:rPr>
          <w:sz w:val="16"/>
          <w:szCs w:val="16"/>
        </w:rPr>
        <w:t xml:space="preserve"> </w:t>
      </w:r>
      <w:r w:rsidRPr="00B67885">
        <w:rPr>
          <w:sz w:val="16"/>
          <w:szCs w:val="16"/>
          <w:lang w:val="fr-CH"/>
        </w:rPr>
        <w:tab/>
        <w:t>La</w:t>
      </w:r>
      <w:r w:rsidRPr="00B67885">
        <w:rPr>
          <w:sz w:val="16"/>
          <w:szCs w:val="16"/>
        </w:rPr>
        <w:t xml:space="preserve"> terminologie utilisée dans l’enquête sur le service d’assistance pour cet indicateur d’exécution a été modifiée en 2015.  Le terme “pleinement satisfait” correspond au terme “très satisfait” dans le niveau de référence actualisé à fin 2013.</w:t>
      </w:r>
    </w:p>
  </w:footnote>
  <w:footnote w:id="141">
    <w:p w:rsidR="006B4497" w:rsidRPr="00097C4D" w:rsidRDefault="006B4497" w:rsidP="00A43BDE">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r>
      <w:hyperlink r:id="rId21" w:history="1">
        <w:r w:rsidRPr="00097C4D">
          <w:rPr>
            <w:rStyle w:val="Hyperlink"/>
            <w:sz w:val="16"/>
            <w:szCs w:val="16"/>
          </w:rPr>
          <w:t>Rapport d’évaluation externe de la fonction d’audit</w:t>
        </w:r>
      </w:hyperlink>
      <w:r w:rsidRPr="00097C4D">
        <w:rPr>
          <w:sz w:val="16"/>
          <w:szCs w:val="16"/>
        </w:rPr>
        <w:t>.</w:t>
      </w:r>
    </w:p>
  </w:footnote>
  <w:footnote w:id="142">
    <w:p w:rsidR="006B4497" w:rsidRPr="00097C4D" w:rsidRDefault="006B4497" w:rsidP="00A43BDE">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r>
      <w:hyperlink r:id="rId22" w:history="1">
        <w:r w:rsidRPr="00097C4D">
          <w:rPr>
            <w:rStyle w:val="Hyperlink"/>
            <w:sz w:val="16"/>
            <w:szCs w:val="16"/>
          </w:rPr>
          <w:t>Rapport d’évaluation externe de la fonction d’évaluation</w:t>
        </w:r>
      </w:hyperlink>
      <w:r w:rsidRPr="00097C4D">
        <w:rPr>
          <w:sz w:val="16"/>
          <w:szCs w:val="16"/>
        </w:rPr>
        <w:t>.</w:t>
      </w:r>
    </w:p>
  </w:footnote>
  <w:footnote w:id="143">
    <w:p w:rsidR="006B4497" w:rsidRPr="00097C4D" w:rsidRDefault="006B4497" w:rsidP="00A43BDE">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r>
      <w:hyperlink r:id="rId23" w:history="1">
        <w:r w:rsidRPr="00097C4D">
          <w:rPr>
            <w:rStyle w:val="Hyperlink"/>
            <w:sz w:val="16"/>
            <w:szCs w:val="16"/>
          </w:rPr>
          <w:t>Rapport d’évaluation externe de la fonction d’investigation</w:t>
        </w:r>
      </w:hyperlink>
      <w:r w:rsidRPr="00097C4D">
        <w:rPr>
          <w:sz w:val="16"/>
          <w:szCs w:val="16"/>
        </w:rPr>
        <w:t>.</w:t>
      </w:r>
    </w:p>
  </w:footnote>
  <w:footnote w:id="144">
    <w:p w:rsidR="006B4497" w:rsidRPr="00097C4D" w:rsidRDefault="006B4497" w:rsidP="00A43BDE">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Pour l’activité d</w:t>
      </w:r>
      <w:r w:rsidRPr="00097C4D">
        <w:rPr>
          <w:iCs/>
          <w:sz w:val="16"/>
          <w:szCs w:val="16"/>
        </w:rPr>
        <w:t>’audit,</w:t>
      </w:r>
      <w:r w:rsidRPr="00097C4D">
        <w:rPr>
          <w:sz w:val="16"/>
          <w:szCs w:val="16"/>
        </w:rPr>
        <w:t xml:space="preserve"> les normes de l’Institut des auditeurs internes.  Pour l’activité d’évaluation, les normes et règles fixées par le Groupe des Nations Unies sur l’évaluation (GNUE).  Pour l’activité d</w:t>
      </w:r>
      <w:r w:rsidRPr="00097C4D">
        <w:rPr>
          <w:iCs/>
          <w:sz w:val="16"/>
          <w:szCs w:val="16"/>
        </w:rPr>
        <w:t>’investigation</w:t>
      </w:r>
      <w:r w:rsidRPr="00097C4D">
        <w:rPr>
          <w:sz w:val="16"/>
          <w:szCs w:val="16"/>
        </w:rPr>
        <w:t>, les Lignes directrices uniformes en matière d’enquête adoptées par la Conférence des enquêteurs internationaux.</w:t>
      </w:r>
    </w:p>
  </w:footnote>
  <w:footnote w:id="145">
    <w:p w:rsidR="006B4497" w:rsidRPr="00097C4D" w:rsidRDefault="006B4497" w:rsidP="00A43BDE">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t>Trente des 186 recommandations provenaient des rapports d’évaluation externe des fonctions d’audit et d’évaluation de la DSI.</w:t>
      </w:r>
    </w:p>
  </w:footnote>
  <w:footnote w:id="146">
    <w:p w:rsidR="006B4497" w:rsidRPr="00097C4D" w:rsidRDefault="006B4497" w:rsidP="001A4D6C">
      <w:pPr>
        <w:pStyle w:val="FootnoteText"/>
        <w:rPr>
          <w:sz w:val="16"/>
          <w:szCs w:val="16"/>
        </w:rPr>
      </w:pPr>
      <w:r w:rsidRPr="00097C4D">
        <w:rPr>
          <w:rStyle w:val="FootnoteReference"/>
          <w:sz w:val="16"/>
          <w:szCs w:val="16"/>
        </w:rPr>
        <w:footnoteRef/>
      </w:r>
      <w:r w:rsidRPr="00097C4D">
        <w:rPr>
          <w:sz w:val="16"/>
          <w:szCs w:val="16"/>
        </w:rPr>
        <w:tab/>
        <w:t xml:space="preserve">i) le Forum mondial de l’UIT en mai 2015, ii) le </w:t>
      </w:r>
      <w:r w:rsidRPr="00097C4D">
        <w:rPr>
          <w:bCs/>
          <w:sz w:val="16"/>
          <w:szCs w:val="16"/>
        </w:rPr>
        <w:t>Centre International pour</w:t>
      </w:r>
      <w:r w:rsidRPr="00097C4D">
        <w:rPr>
          <w:sz w:val="16"/>
          <w:szCs w:val="16"/>
        </w:rPr>
        <w:t xml:space="preserve"> la </w:t>
      </w:r>
      <w:r w:rsidRPr="00097C4D">
        <w:rPr>
          <w:bCs/>
          <w:sz w:val="16"/>
          <w:szCs w:val="16"/>
        </w:rPr>
        <w:t>Sécurité</w:t>
      </w:r>
      <w:r w:rsidRPr="00097C4D">
        <w:rPr>
          <w:sz w:val="16"/>
          <w:szCs w:val="16"/>
        </w:rPr>
        <w:t xml:space="preserve"> du </w:t>
      </w:r>
      <w:r w:rsidRPr="00097C4D">
        <w:rPr>
          <w:bCs/>
          <w:sz w:val="16"/>
          <w:szCs w:val="16"/>
        </w:rPr>
        <w:t>Sport</w:t>
      </w:r>
      <w:r w:rsidRPr="00097C4D">
        <w:rPr>
          <w:b/>
          <w:bCs/>
          <w:sz w:val="16"/>
          <w:szCs w:val="16"/>
        </w:rPr>
        <w:t xml:space="preserve"> </w:t>
      </w:r>
      <w:r w:rsidRPr="00097C4D">
        <w:rPr>
          <w:sz w:val="16"/>
          <w:szCs w:val="16"/>
        </w:rPr>
        <w:t>en septembre 2015, iii) le lancement du Pôle eau Genève par la Suisse en novembre 2015, iv) la cérémonie de remise des brevets fédéraux de sapeurs-pompiers de l’école latine en novembre 2015 et v) la réunion annuelle de l’OIM en novembre 2015.  Pour de plus amples détails, voir le programme 29.</w:t>
      </w:r>
    </w:p>
  </w:footnote>
  <w:footnote w:id="147">
    <w:p w:rsidR="006B4497" w:rsidRPr="00097C4D" w:rsidRDefault="006B4497" w:rsidP="001A4D6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Rectificatif : les données de référence ont été mises à jour pour tenir compte des chiffres les plus récents.  Le coût par page était de 0,20 franc suisse à la fin de 2013, et non de 0,19 franc suisse, comme cela était indiqué dans le Rapport sur l’exécution du programme en 2014.</w:t>
      </w:r>
    </w:p>
  </w:footnote>
  <w:footnote w:id="148">
    <w:p w:rsidR="006B4497" w:rsidRPr="00097C4D" w:rsidRDefault="006B4497" w:rsidP="001A4D6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Idem.</w:t>
      </w:r>
    </w:p>
  </w:footnote>
  <w:footnote w:id="149">
    <w:p w:rsidR="006B4497" w:rsidRPr="00097C4D" w:rsidRDefault="006B4497" w:rsidP="001A4D6C">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Rectificatif : les données de référence ont été mises à jour pour tenir compte des chiffres les plus récents.  Le coût par page était de 0,15 franc suisse en 2014, et non de 0,14 franc suisse, comme cela était indiqué dans le Rapport sur l’exécution du programme en 2014.</w:t>
      </w:r>
    </w:p>
  </w:footnote>
  <w:footnote w:id="150">
    <w:p w:rsidR="006B4497" w:rsidRPr="00097C4D" w:rsidRDefault="006B4497" w:rsidP="00E57647">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Examen de la procédure budgétaire appliquée aux projets proposés par le Comité du développement et de la propriété intellectuelle (CDIP) pour la mise en œuvre des recommandations relatives au Plan d’action pour le développement (A/48/5 </w:t>
      </w:r>
      <w:proofErr w:type="spellStart"/>
      <w:r w:rsidRPr="00097C4D">
        <w:rPr>
          <w:sz w:val="16"/>
          <w:szCs w:val="16"/>
        </w:rPr>
        <w:t>R</w:t>
      </w:r>
      <w:r>
        <w:rPr>
          <w:sz w:val="16"/>
          <w:szCs w:val="16"/>
        </w:rPr>
        <w:t>ev</w:t>
      </w:r>
      <w:proofErr w:type="spellEnd"/>
      <w:r w:rsidRPr="00097C4D">
        <w:rPr>
          <w:sz w:val="16"/>
          <w:szCs w:val="16"/>
        </w:rPr>
        <w:t>.)</w:t>
      </w:r>
    </w:p>
  </w:footnote>
  <w:footnote w:id="151">
    <w:p w:rsidR="006B4497" w:rsidRPr="00097C4D" w:rsidRDefault="006B4497" w:rsidP="00CB421E">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Date prévue d’achèvement : mars 2016</w:t>
      </w:r>
    </w:p>
  </w:footnote>
  <w:footnote w:id="152">
    <w:p w:rsidR="006B4497" w:rsidRPr="00097C4D" w:rsidRDefault="006B4497" w:rsidP="00CB421E">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 xml:space="preserve">Le fonds fiduciaire a été créé en vertu d’un mémorandum d’accord signé entre l’OMPI et le PNUD en octobre 2015 et utilisé dans le cadre d’un projet mené par l’agence brésilienne de l’innovation (FINEP) et le PNUD-Brésil (PNUD : BRA 12/001 </w:t>
      </w:r>
      <w:proofErr w:type="spellStart"/>
      <w:r w:rsidRPr="00097C4D">
        <w:rPr>
          <w:i/>
          <w:sz w:val="16"/>
          <w:szCs w:val="16"/>
        </w:rPr>
        <w:t>Promoção</w:t>
      </w:r>
      <w:proofErr w:type="spellEnd"/>
      <w:r w:rsidRPr="00097C4D">
        <w:rPr>
          <w:i/>
          <w:sz w:val="16"/>
          <w:szCs w:val="16"/>
        </w:rPr>
        <w:t xml:space="preserve"> da </w:t>
      </w:r>
      <w:proofErr w:type="spellStart"/>
      <w:r w:rsidRPr="00097C4D">
        <w:rPr>
          <w:i/>
          <w:sz w:val="16"/>
          <w:szCs w:val="16"/>
        </w:rPr>
        <w:t>Inovação</w:t>
      </w:r>
      <w:proofErr w:type="spellEnd"/>
      <w:r w:rsidRPr="00097C4D">
        <w:rPr>
          <w:i/>
          <w:sz w:val="16"/>
          <w:szCs w:val="16"/>
        </w:rPr>
        <w:t xml:space="preserve"> para o </w:t>
      </w:r>
      <w:proofErr w:type="spellStart"/>
      <w:r w:rsidRPr="00097C4D">
        <w:rPr>
          <w:i/>
          <w:sz w:val="16"/>
          <w:szCs w:val="16"/>
        </w:rPr>
        <w:t>Desenvolvimento</w:t>
      </w:r>
      <w:proofErr w:type="spellEnd"/>
      <w:r w:rsidRPr="00097C4D">
        <w:rPr>
          <w:i/>
          <w:sz w:val="16"/>
          <w:szCs w:val="16"/>
        </w:rPr>
        <w:t xml:space="preserve"> </w:t>
      </w:r>
      <w:proofErr w:type="spellStart"/>
      <w:r w:rsidRPr="00097C4D">
        <w:rPr>
          <w:i/>
          <w:sz w:val="16"/>
          <w:szCs w:val="16"/>
        </w:rPr>
        <w:t>Sustentável</w:t>
      </w:r>
      <w:proofErr w:type="spellEnd"/>
      <w:r w:rsidRPr="00097C4D">
        <w:rPr>
          <w:sz w:val="16"/>
          <w:szCs w:val="16"/>
        </w:rPr>
        <w:t>).</w:t>
      </w:r>
    </w:p>
  </w:footnote>
  <w:footnote w:id="153">
    <w:p w:rsidR="006B4497" w:rsidRPr="00097C4D" w:rsidRDefault="006B4497" w:rsidP="00CB421E">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Projet lancé en août 2014.</w:t>
      </w:r>
    </w:p>
  </w:footnote>
  <w:footnote w:id="154">
    <w:p w:rsidR="006B4497" w:rsidRPr="00097C4D" w:rsidRDefault="006B4497" w:rsidP="00CB421E">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Projet lancé en septembre 2014.</w:t>
      </w:r>
    </w:p>
  </w:footnote>
  <w:footnote w:id="155">
    <w:p w:rsidR="006B4497" w:rsidRPr="00097C4D" w:rsidRDefault="006B4497" w:rsidP="00CB421E">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t>http://www.wipo.int/publications/en/details.jsp?id=259&amp;plang=EN</w:t>
      </w:r>
    </w:p>
  </w:footnote>
  <w:footnote w:id="156">
    <w:p w:rsidR="006B4497" w:rsidRPr="00097C4D" w:rsidRDefault="006B4497" w:rsidP="00327D08">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En octobre 2012, un mémorandum créant le fonds fiduciaires/IBERO a été signé en tant qu’instrument financier du programme ibéro-américain de la propriété industrielle.  Ce mémorandum d’accord a été reconduit en octobre 2015.</w:t>
      </w:r>
    </w:p>
  </w:footnote>
  <w:footnote w:id="157">
    <w:p w:rsidR="006B4497" w:rsidRPr="00097C4D" w:rsidRDefault="006B4497" w:rsidP="00327D08">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Activité lancée en juin 2013.</w:t>
      </w:r>
    </w:p>
  </w:footnote>
  <w:footnote w:id="158">
    <w:p w:rsidR="006B4497" w:rsidRPr="00097C4D" w:rsidRDefault="006B4497" w:rsidP="00327D08">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r>
      <w:hyperlink r:id="rId24" w:history="1">
        <w:r w:rsidRPr="00097C4D">
          <w:rPr>
            <w:rStyle w:val="Hyperlink"/>
            <w:sz w:val="16"/>
            <w:szCs w:val="16"/>
          </w:rPr>
          <w:t>http://www.uibm.gov.it/attachments/FINAL%20Guide_for_IP%20Agri-food%20SME%20_Italian_publication_EN_GBA-Jaiya.pdf</w:t>
        </w:r>
      </w:hyperlink>
      <w:r w:rsidRPr="00097C4D">
        <w:rPr>
          <w:sz w:val="16"/>
          <w:szCs w:val="16"/>
        </w:rPr>
        <w:t xml:space="preserve"> </w:t>
      </w:r>
    </w:p>
  </w:footnote>
  <w:footnote w:id="159">
    <w:p w:rsidR="006B4497" w:rsidRPr="00097C4D" w:rsidRDefault="006B4497" w:rsidP="00327D08">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Activité lancée en mars 2014.</w:t>
      </w:r>
    </w:p>
  </w:footnote>
  <w:footnote w:id="160">
    <w:p w:rsidR="006B4497" w:rsidRPr="00097C4D" w:rsidRDefault="006B4497" w:rsidP="00327D08">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Activité lancée en octobre 2014.</w:t>
      </w:r>
    </w:p>
  </w:footnote>
  <w:footnote w:id="161">
    <w:p w:rsidR="006B4497" w:rsidRPr="00097C4D" w:rsidRDefault="006B4497" w:rsidP="00327D08">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Activité lancée en février 2013.</w:t>
      </w:r>
    </w:p>
  </w:footnote>
  <w:footnote w:id="162">
    <w:p w:rsidR="006B4497" w:rsidRPr="00097C4D" w:rsidRDefault="006B4497" w:rsidP="00327D08">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Lancement en octobre 2014.</w:t>
      </w:r>
    </w:p>
  </w:footnote>
  <w:footnote w:id="163">
    <w:p w:rsidR="006B4497" w:rsidRPr="00097C4D" w:rsidRDefault="006B4497" w:rsidP="00327D08">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Lancement en décembre 2014.</w:t>
      </w:r>
    </w:p>
  </w:footnote>
  <w:footnote w:id="164">
    <w:p w:rsidR="006B4497" w:rsidRPr="00097C4D" w:rsidRDefault="006B4497" w:rsidP="00327D08">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Lancement en septembre 2014.</w:t>
      </w:r>
    </w:p>
  </w:footnote>
  <w:footnote w:id="165">
    <w:p w:rsidR="006B4497" w:rsidRPr="00097C4D" w:rsidRDefault="006B4497" w:rsidP="00327D08">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Le fonds fiduciaire du Mexique a également cofinancé deux activités en collaboration avec le fonds fiduciaire de l’Espagne (voir ci-dessous).</w:t>
      </w:r>
    </w:p>
  </w:footnote>
  <w:footnote w:id="166">
    <w:p w:rsidR="006B4497" w:rsidRPr="00097C4D" w:rsidRDefault="006B4497" w:rsidP="00327D08">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L’année 2015 a marqué le 10</w:t>
      </w:r>
      <w:r w:rsidRPr="00097C4D">
        <w:rPr>
          <w:sz w:val="16"/>
          <w:szCs w:val="16"/>
          <w:vertAlign w:val="superscript"/>
        </w:rPr>
        <w:t>e</w:t>
      </w:r>
      <w:r w:rsidRPr="00097C4D">
        <w:rPr>
          <w:sz w:val="16"/>
          <w:szCs w:val="16"/>
        </w:rPr>
        <w:t> anniversaire du fonds fiduciaire de l’Espagne (FIT/ES).  Ce fonds est destiné à l’élaboration, à la planification et à la mise en œuvre de projets dans le domaine de la propriété industrielle pour la région ibéro-américaine.  La propriété industrielle est une solution qui est progressivement intégrée dans l’adoption des politiques publiques pour promouvoir l’innovation et ainsi l’activité économique en général dans l’intérêt de la société.  À cet égard, les objectifs du fonds fiduciaire de l’Espagne en matière de coopération sont les suivants : i) contribuer à la promotion de l’espagnol comme langue technologique;  ii) contribuer à la mise en valeur et à la formation des ressources humaines;  iii) contribuer à la diffusion la propriété industrielle au sein des PME et des universités;  et iv) contribuer à la modernisation des offices de propriété industrielle et à l’échange de données d’expérience entre ces offices aux fins de la promotion de services de qualité.</w:t>
      </w:r>
    </w:p>
  </w:footnote>
  <w:footnote w:id="167">
    <w:p w:rsidR="006B4497" w:rsidRPr="00097C4D" w:rsidRDefault="006B4497" w:rsidP="00327D08">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Cette activité a été cofinancée en collaboration avec le fonds fiduciaire du Mexique.</w:t>
      </w:r>
    </w:p>
  </w:footnote>
  <w:footnote w:id="168">
    <w:p w:rsidR="006B4497" w:rsidRPr="00097C4D" w:rsidRDefault="006B4497" w:rsidP="00327D08">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Idem.</w:t>
      </w:r>
    </w:p>
  </w:footnote>
  <w:footnote w:id="169">
    <w:p w:rsidR="006B4497" w:rsidRPr="00097C4D" w:rsidRDefault="006B4497" w:rsidP="00327D08">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Lancement en mai 2014.  Date prévue d’achèvement : mai 2016.</w:t>
      </w:r>
    </w:p>
  </w:footnote>
  <w:footnote w:id="170">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http://www.wipo.int/edocs/mdocs/govbody/fr/a_51/a_51_16.pdf.</w:t>
      </w:r>
    </w:p>
  </w:footnote>
  <w:footnote w:id="171">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http://www.wipo.int/edocs/mdocs/govbody/fr/wo_pbc_22/wo_pbc_22_21.pdf.</w:t>
      </w:r>
    </w:p>
  </w:footnote>
  <w:footnote w:id="172">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Il convient de noter que, dans les tableaux relatifs à l’utilisation des ressources ci-dessous, les colonnes “</w:t>
      </w:r>
      <w:r w:rsidRPr="00097C4D">
        <w:rPr>
          <w:bCs/>
          <w:sz w:val="16"/>
          <w:szCs w:val="16"/>
        </w:rPr>
        <w:t>Dépenses effectives à ce jour” n’incluent pas les engagements.</w:t>
      </w:r>
    </w:p>
  </w:footnote>
  <w:footnote w:id="173">
    <w:p w:rsidR="006B4497" w:rsidRPr="00097C4D" w:rsidRDefault="006B4497" w:rsidP="00927E1F">
      <w:pPr>
        <w:pStyle w:val="FootnoteText"/>
        <w:rPr>
          <w:sz w:val="16"/>
          <w:szCs w:val="16"/>
          <w:lang w:val="fr-CH"/>
        </w:rPr>
      </w:pPr>
      <w:r w:rsidRPr="00097C4D">
        <w:rPr>
          <w:rStyle w:val="FootnoteReference"/>
          <w:sz w:val="16"/>
          <w:szCs w:val="16"/>
        </w:rPr>
        <w:footnoteRef/>
      </w:r>
      <w:r w:rsidRPr="00097C4D">
        <w:rPr>
          <w:sz w:val="16"/>
          <w:szCs w:val="16"/>
        </w:rPr>
        <w:t xml:space="preserve"> </w:t>
      </w:r>
      <w:r w:rsidRPr="00097C4D">
        <w:rPr>
          <w:sz w:val="16"/>
          <w:szCs w:val="16"/>
          <w:lang w:val="fr-CH"/>
        </w:rPr>
        <w:tab/>
        <w:t>La répartition plus détaillée par catégorie de coûts sera établie lorsque l’évaluation de la situation actuelle sera achevée, une fois qu’une solution technique complète aura été définie.</w:t>
      </w:r>
    </w:p>
  </w:footnote>
  <w:footnote w:id="174">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Il convient de noter que dans les tableaux ci</w:t>
      </w:r>
      <w:r w:rsidRPr="00097C4D">
        <w:rPr>
          <w:sz w:val="16"/>
          <w:szCs w:val="16"/>
        </w:rPr>
        <w:noBreakHyphen/>
        <w:t>après portant sur l’utilisation des ressources, il n’est pas tenu compte des engagements dans la colonne “Dépenses effectives à ce jour</w:t>
      </w:r>
      <w:r w:rsidRPr="00097C4D">
        <w:rPr>
          <w:bCs/>
          <w:sz w:val="16"/>
          <w:szCs w:val="16"/>
        </w:rPr>
        <w:t>.</w:t>
      </w:r>
    </w:p>
  </w:footnote>
  <w:footnote w:id="175">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La procédure de sélection du pilote ou de l’architecte n’ayant été achevée qu’en décembre 2015, le candidat retenu a pris ses fonctions au cours du premier trimestre de 2016.</w:t>
      </w:r>
    </w:p>
  </w:footnote>
  <w:footnote w:id="176">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Il convient de noter que dans les tableaux ci</w:t>
      </w:r>
      <w:r w:rsidRPr="00097C4D">
        <w:rPr>
          <w:sz w:val="16"/>
          <w:szCs w:val="16"/>
        </w:rPr>
        <w:noBreakHyphen/>
        <w:t>après portant sur l’utilisation des ressources, il n’est pas tenu compte des engagements dans la colonne “Dépenses effectives à ce jour</w:t>
      </w:r>
      <w:r w:rsidRPr="00097C4D">
        <w:rPr>
          <w:bCs/>
          <w:sz w:val="16"/>
          <w:szCs w:val="16"/>
        </w:rPr>
        <w:t>.</w:t>
      </w:r>
    </w:p>
  </w:footnote>
  <w:footnote w:id="177">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Il convient de noter que dans les tableaux ci-après relatifs à l’utilisation des ressources, les colonnes “Dépenses effectives à ce jour</w:t>
      </w:r>
      <w:r w:rsidRPr="00097C4D">
        <w:rPr>
          <w:bCs/>
          <w:sz w:val="16"/>
          <w:szCs w:val="16"/>
        </w:rPr>
        <w:t>” ne tiennent pas compte des engagements.</w:t>
      </w:r>
    </w:p>
  </w:footnote>
  <w:footnote w:id="178">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Il convient de noter que dans les tableaux ci-après relatifs à l’utilisation des ressources, les colonnes “Dépenses effectives à ce jour</w:t>
      </w:r>
      <w:r w:rsidRPr="00097C4D">
        <w:rPr>
          <w:bCs/>
          <w:sz w:val="16"/>
          <w:szCs w:val="16"/>
        </w:rPr>
        <w:t>” ne tiennent pas compte des engagements.</w:t>
      </w:r>
    </w:p>
  </w:footnote>
  <w:footnote w:id="179">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 xml:space="preserve">En 2015, les engagements concernant les honoraires de l’architecte et des ingénieurs se sont élevés au total à 115 000 francs suisses. </w:t>
      </w:r>
    </w:p>
  </w:footnote>
  <w:footnote w:id="180">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Idem.</w:t>
      </w:r>
    </w:p>
  </w:footnote>
  <w:footnote w:id="181">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Durant les travaux préparatoires, il a été constaté que le système de fenêtres qui date de la construction du bâtiment à la fin des années 70 va compliquer le démontage prévu des fenêtres.</w:t>
      </w:r>
    </w:p>
  </w:footnote>
  <w:footnote w:id="182">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Il convient de noter que dans les tableaux ci</w:t>
      </w:r>
      <w:r w:rsidRPr="00097C4D">
        <w:rPr>
          <w:sz w:val="16"/>
          <w:szCs w:val="16"/>
        </w:rPr>
        <w:noBreakHyphen/>
        <w:t>après relatifs à l’utilisation des ressources, les colonnes “Dépenses effectives à ce jour</w:t>
      </w:r>
      <w:r w:rsidRPr="00097C4D">
        <w:rPr>
          <w:bCs/>
          <w:sz w:val="16"/>
          <w:szCs w:val="16"/>
        </w:rPr>
        <w:t>” ne tiennent pas compte des engagements.</w:t>
      </w:r>
    </w:p>
  </w:footnote>
  <w:footnote w:id="183">
    <w:p w:rsidR="006B4497" w:rsidRPr="00097C4D" w:rsidRDefault="006B4497" w:rsidP="00927E1F">
      <w:pPr>
        <w:pStyle w:val="FootnoteText"/>
        <w:rPr>
          <w:sz w:val="16"/>
          <w:szCs w:val="16"/>
        </w:rPr>
      </w:pPr>
      <w:r w:rsidRPr="00097C4D">
        <w:rPr>
          <w:rStyle w:val="FootnoteReference"/>
          <w:sz w:val="16"/>
          <w:szCs w:val="16"/>
        </w:rPr>
        <w:footnoteRef/>
      </w:r>
      <w:r w:rsidRPr="00097C4D">
        <w:rPr>
          <w:sz w:val="16"/>
          <w:szCs w:val="16"/>
        </w:rPr>
        <w:t xml:space="preserve"> </w:t>
      </w:r>
      <w:r w:rsidRPr="00097C4D">
        <w:rPr>
          <w:sz w:val="16"/>
          <w:szCs w:val="16"/>
        </w:rPr>
        <w:tab/>
        <w:t>Il convient de noter que, dans les tableaux ci-dessous relatifs à l’utilisation des ressources, il n’est pas tenu compte des engagements dans les colonnes “Dépenses effectives à ce jour</w:t>
      </w:r>
      <w:r w:rsidRPr="00097C4D">
        <w:rPr>
          <w:bCs/>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497" w:rsidRPr="00AC62DA" w:rsidRDefault="006B4497" w:rsidP="00AC62D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497" w:rsidRDefault="006B4497">
    <w:pPr>
      <w:pStyle w:val="Header"/>
    </w:pPr>
  </w:p>
  <w:p w:rsidR="006B4497" w:rsidRDefault="006B4497">
    <w:pPr>
      <w:pStyle w:val="Header"/>
    </w:pPr>
  </w:p>
  <w:p w:rsidR="006B4497" w:rsidRDefault="006B44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497" w:rsidRPr="00C54071" w:rsidRDefault="006B4497" w:rsidP="008F201B">
    <w:pPr>
      <w:rPr>
        <w:b/>
        <w:sz w:val="18"/>
      </w:rPr>
    </w:pPr>
    <w:r w:rsidRPr="00C54071">
      <w:rPr>
        <w:b/>
        <w:sz w:val="18"/>
      </w:rPr>
      <w:t xml:space="preserve">Rapport sur l’exécution du programme en </w:t>
    </w:r>
    <w:r>
      <w:rPr>
        <w:b/>
        <w:sz w:val="18"/>
      </w:rPr>
      <w:t>2014-2015</w:t>
    </w:r>
  </w:p>
  <w:p w:rsidR="006B4497" w:rsidRPr="00C54071" w:rsidRDefault="006B4497" w:rsidP="008F201B">
    <w:pPr>
      <w:rPr>
        <w:b/>
        <w:sz w:val="18"/>
      </w:rPr>
    </w:pPr>
  </w:p>
  <w:p w:rsidR="006B4497" w:rsidRPr="00C54071" w:rsidRDefault="006B4497" w:rsidP="008F201B">
    <w:pPr>
      <w:rPr>
        <w:b/>
        <w:sz w:val="1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4497" w:rsidRPr="00C54071" w:rsidRDefault="006B4497" w:rsidP="008F201B">
    <w:pPr>
      <w:jc w:val="right"/>
      <w:rPr>
        <w:b/>
        <w:sz w:val="18"/>
      </w:rPr>
    </w:pPr>
    <w:r w:rsidRPr="00C54071">
      <w:rPr>
        <w:b/>
        <w:sz w:val="18"/>
      </w:rPr>
      <w:t xml:space="preserve">Rapport sur l’exécution du programme en </w:t>
    </w:r>
    <w:r>
      <w:rPr>
        <w:b/>
        <w:sz w:val="18"/>
      </w:rPr>
      <w:t>2014-2015</w:t>
    </w:r>
  </w:p>
  <w:p w:rsidR="006B4497" w:rsidRPr="00C54071" w:rsidRDefault="006B4497" w:rsidP="008F201B">
    <w:pPr>
      <w:jc w:val="right"/>
      <w:rPr>
        <w:b/>
        <w:sz w:val="18"/>
      </w:rPr>
    </w:pPr>
  </w:p>
  <w:p w:rsidR="006B4497" w:rsidRPr="00C54071" w:rsidRDefault="006B4497" w:rsidP="008F201B">
    <w:pPr>
      <w:jc w:val="right"/>
      <w:rPr>
        <w:b/>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9284B"/>
    <w:multiLevelType w:val="hybridMultilevel"/>
    <w:tmpl w:val="F45E5B3E"/>
    <w:lvl w:ilvl="0" w:tplc="3236BDB2">
      <w:start w:val="5"/>
      <w:numFmt w:val="bullet"/>
      <w:lvlText w:val="–"/>
      <w:lvlJc w:val="left"/>
      <w:pPr>
        <w:ind w:left="567" w:firstLine="0"/>
      </w:pPr>
      <w:rPr>
        <w:rFonts w:ascii="Arial" w:eastAsiaTheme="minorHAnsi" w:hAnsi="Arial" w:hint="default"/>
        <w:sz w:val="22"/>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21A5AC2"/>
    <w:multiLevelType w:val="hybridMultilevel"/>
    <w:tmpl w:val="C05AE734"/>
    <w:lvl w:ilvl="0" w:tplc="FFFFFFFF">
      <w:start w:val="1"/>
      <w:numFmt w:val="decimal"/>
      <w:lvlText w:val="9.%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nsid w:val="02325E3F"/>
    <w:multiLevelType w:val="hybridMultilevel"/>
    <w:tmpl w:val="2B5A77EE"/>
    <w:lvl w:ilvl="0" w:tplc="CCF212D8">
      <w:start w:val="1"/>
      <w:numFmt w:val="bullet"/>
      <w:lvlText w:val="-"/>
      <w:lvlJc w:val="left"/>
      <w:pPr>
        <w:ind w:left="284" w:hanging="284"/>
      </w:pPr>
      <w:rPr>
        <w:rFonts w:ascii="Courier New" w:hAnsi="Courier New" w:hint="default"/>
      </w:rPr>
    </w:lvl>
    <w:lvl w:ilvl="1" w:tplc="04090003" w:tentative="1">
      <w:start w:val="1"/>
      <w:numFmt w:val="bullet"/>
      <w:lvlText w:val="o"/>
      <w:lvlJc w:val="left"/>
      <w:pPr>
        <w:ind w:left="1104" w:hanging="360"/>
      </w:pPr>
      <w:rPr>
        <w:rFonts w:ascii="Courier New" w:hAnsi="Courier New" w:cs="Courier New" w:hint="default"/>
      </w:rPr>
    </w:lvl>
    <w:lvl w:ilvl="2" w:tplc="04090005" w:tentative="1">
      <w:start w:val="1"/>
      <w:numFmt w:val="bullet"/>
      <w:lvlText w:val=""/>
      <w:lvlJc w:val="left"/>
      <w:pPr>
        <w:ind w:left="1824" w:hanging="360"/>
      </w:pPr>
      <w:rPr>
        <w:rFonts w:ascii="Wingdings" w:hAnsi="Wingdings" w:hint="default"/>
      </w:rPr>
    </w:lvl>
    <w:lvl w:ilvl="3" w:tplc="04090001" w:tentative="1">
      <w:start w:val="1"/>
      <w:numFmt w:val="bullet"/>
      <w:lvlText w:val=""/>
      <w:lvlJc w:val="left"/>
      <w:pPr>
        <w:ind w:left="2544" w:hanging="360"/>
      </w:pPr>
      <w:rPr>
        <w:rFonts w:ascii="Symbol" w:hAnsi="Symbol" w:hint="default"/>
      </w:rPr>
    </w:lvl>
    <w:lvl w:ilvl="4" w:tplc="04090003" w:tentative="1">
      <w:start w:val="1"/>
      <w:numFmt w:val="bullet"/>
      <w:lvlText w:val="o"/>
      <w:lvlJc w:val="left"/>
      <w:pPr>
        <w:ind w:left="3264" w:hanging="360"/>
      </w:pPr>
      <w:rPr>
        <w:rFonts w:ascii="Courier New" w:hAnsi="Courier New" w:cs="Courier New" w:hint="default"/>
      </w:rPr>
    </w:lvl>
    <w:lvl w:ilvl="5" w:tplc="04090005" w:tentative="1">
      <w:start w:val="1"/>
      <w:numFmt w:val="bullet"/>
      <w:lvlText w:val=""/>
      <w:lvlJc w:val="left"/>
      <w:pPr>
        <w:ind w:left="3984" w:hanging="360"/>
      </w:pPr>
      <w:rPr>
        <w:rFonts w:ascii="Wingdings" w:hAnsi="Wingdings" w:hint="default"/>
      </w:rPr>
    </w:lvl>
    <w:lvl w:ilvl="6" w:tplc="04090001" w:tentative="1">
      <w:start w:val="1"/>
      <w:numFmt w:val="bullet"/>
      <w:lvlText w:val=""/>
      <w:lvlJc w:val="left"/>
      <w:pPr>
        <w:ind w:left="4704" w:hanging="360"/>
      </w:pPr>
      <w:rPr>
        <w:rFonts w:ascii="Symbol" w:hAnsi="Symbol" w:hint="default"/>
      </w:rPr>
    </w:lvl>
    <w:lvl w:ilvl="7" w:tplc="04090003" w:tentative="1">
      <w:start w:val="1"/>
      <w:numFmt w:val="bullet"/>
      <w:lvlText w:val="o"/>
      <w:lvlJc w:val="left"/>
      <w:pPr>
        <w:ind w:left="5424" w:hanging="360"/>
      </w:pPr>
      <w:rPr>
        <w:rFonts w:ascii="Courier New" w:hAnsi="Courier New" w:cs="Courier New" w:hint="default"/>
      </w:rPr>
    </w:lvl>
    <w:lvl w:ilvl="8" w:tplc="04090005" w:tentative="1">
      <w:start w:val="1"/>
      <w:numFmt w:val="bullet"/>
      <w:lvlText w:val=""/>
      <w:lvlJc w:val="left"/>
      <w:pPr>
        <w:ind w:left="6144" w:hanging="360"/>
      </w:pPr>
      <w:rPr>
        <w:rFonts w:ascii="Wingdings" w:hAnsi="Wingdings" w:hint="default"/>
      </w:r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79B6BCD"/>
    <w:multiLevelType w:val="hybridMultilevel"/>
    <w:tmpl w:val="56B618FA"/>
    <w:lvl w:ilvl="0" w:tplc="8C92661C">
      <w:start w:val="1"/>
      <w:numFmt w:val="decimal"/>
      <w:lvlText w:val="%1."/>
      <w:lvlJc w:val="left"/>
      <w:pPr>
        <w:ind w:left="502"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F20D78"/>
    <w:multiLevelType w:val="hybridMultilevel"/>
    <w:tmpl w:val="53287F90"/>
    <w:lvl w:ilvl="0" w:tplc="FFFFFFFF">
      <w:start w:val="1"/>
      <w:numFmt w:val="decimal"/>
      <w:lvlText w:val="29.%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nsid w:val="09BB7A06"/>
    <w:multiLevelType w:val="hybridMultilevel"/>
    <w:tmpl w:val="339EACD6"/>
    <w:lvl w:ilvl="0" w:tplc="04090001">
      <w:start w:val="1"/>
      <w:numFmt w:val="bullet"/>
      <w:lvlText w:val=""/>
      <w:lvlJc w:val="left"/>
      <w:pPr>
        <w:ind w:left="910" w:hanging="360"/>
      </w:pPr>
      <w:rPr>
        <w:rFonts w:ascii="Symbol" w:hAnsi="Symbol"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7">
    <w:nsid w:val="0A13276A"/>
    <w:multiLevelType w:val="hybridMultilevel"/>
    <w:tmpl w:val="A336F35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0BD223AE"/>
    <w:multiLevelType w:val="hybridMultilevel"/>
    <w:tmpl w:val="61BE33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0CC040EF"/>
    <w:multiLevelType w:val="hybridMultilevel"/>
    <w:tmpl w:val="962A2DD4"/>
    <w:lvl w:ilvl="0" w:tplc="982C6F96">
      <w:start w:val="1"/>
      <w:numFmt w:val="decimal"/>
      <w:lvlText w:val="3.%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EF04629"/>
    <w:multiLevelType w:val="hybridMultilevel"/>
    <w:tmpl w:val="FB487E62"/>
    <w:lvl w:ilvl="0" w:tplc="16BA656A">
      <w:start w:val="1"/>
      <w:numFmt w:val="lowerRoman"/>
      <w:lvlText w:val="%1)"/>
      <w:lvlJc w:val="left"/>
      <w:pPr>
        <w:ind w:left="284" w:hanging="284"/>
      </w:pPr>
      <w:rPr>
        <w:rFonts w:hint="default"/>
      </w:rPr>
    </w:lvl>
    <w:lvl w:ilvl="1" w:tplc="04090019" w:tentative="1">
      <w:start w:val="1"/>
      <w:numFmt w:val="lowerLetter"/>
      <w:lvlText w:val="%2."/>
      <w:lvlJc w:val="left"/>
      <w:pPr>
        <w:ind w:left="1091" w:hanging="360"/>
      </w:pPr>
    </w:lvl>
    <w:lvl w:ilvl="2" w:tplc="0409001B" w:tentative="1">
      <w:start w:val="1"/>
      <w:numFmt w:val="lowerRoman"/>
      <w:lvlText w:val="%3."/>
      <w:lvlJc w:val="right"/>
      <w:pPr>
        <w:ind w:left="1811" w:hanging="180"/>
      </w:pPr>
    </w:lvl>
    <w:lvl w:ilvl="3" w:tplc="0409000F" w:tentative="1">
      <w:start w:val="1"/>
      <w:numFmt w:val="decimal"/>
      <w:lvlText w:val="%4."/>
      <w:lvlJc w:val="left"/>
      <w:pPr>
        <w:ind w:left="2531" w:hanging="360"/>
      </w:pPr>
    </w:lvl>
    <w:lvl w:ilvl="4" w:tplc="04090019" w:tentative="1">
      <w:start w:val="1"/>
      <w:numFmt w:val="lowerLetter"/>
      <w:lvlText w:val="%5."/>
      <w:lvlJc w:val="left"/>
      <w:pPr>
        <w:ind w:left="3251" w:hanging="360"/>
      </w:pPr>
    </w:lvl>
    <w:lvl w:ilvl="5" w:tplc="0409001B" w:tentative="1">
      <w:start w:val="1"/>
      <w:numFmt w:val="lowerRoman"/>
      <w:lvlText w:val="%6."/>
      <w:lvlJc w:val="right"/>
      <w:pPr>
        <w:ind w:left="3971" w:hanging="180"/>
      </w:pPr>
    </w:lvl>
    <w:lvl w:ilvl="6" w:tplc="0409000F" w:tentative="1">
      <w:start w:val="1"/>
      <w:numFmt w:val="decimal"/>
      <w:lvlText w:val="%7."/>
      <w:lvlJc w:val="left"/>
      <w:pPr>
        <w:ind w:left="4691" w:hanging="360"/>
      </w:pPr>
    </w:lvl>
    <w:lvl w:ilvl="7" w:tplc="04090019" w:tentative="1">
      <w:start w:val="1"/>
      <w:numFmt w:val="lowerLetter"/>
      <w:lvlText w:val="%8."/>
      <w:lvlJc w:val="left"/>
      <w:pPr>
        <w:ind w:left="5411" w:hanging="360"/>
      </w:pPr>
    </w:lvl>
    <w:lvl w:ilvl="8" w:tplc="0409001B" w:tentative="1">
      <w:start w:val="1"/>
      <w:numFmt w:val="lowerRoman"/>
      <w:lvlText w:val="%9."/>
      <w:lvlJc w:val="right"/>
      <w:pPr>
        <w:ind w:left="6131" w:hanging="180"/>
      </w:pPr>
    </w:lvl>
  </w:abstractNum>
  <w:abstractNum w:abstractNumId="11">
    <w:nsid w:val="10192F6F"/>
    <w:multiLevelType w:val="hybridMultilevel"/>
    <w:tmpl w:val="8AE059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nsid w:val="122B2A50"/>
    <w:multiLevelType w:val="hybridMultilevel"/>
    <w:tmpl w:val="19C26916"/>
    <w:lvl w:ilvl="0" w:tplc="88408418">
      <w:start w:val="1"/>
      <w:numFmt w:val="decimal"/>
      <w:lvlText w:val="%1."/>
      <w:lvlJc w:val="left"/>
      <w:pPr>
        <w:tabs>
          <w:tab w:val="num" w:pos="567"/>
        </w:tabs>
        <w:ind w:left="0" w:firstLine="0"/>
      </w:pPr>
      <w:rPr>
        <w:rFonts w:hint="default"/>
        <w:b w:val="0"/>
        <w:bCs/>
      </w:rPr>
    </w:lvl>
    <w:lvl w:ilvl="1" w:tplc="58C0532C"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23F2859"/>
    <w:multiLevelType w:val="hybridMultilevel"/>
    <w:tmpl w:val="85242A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129A5F6B"/>
    <w:multiLevelType w:val="hybridMultilevel"/>
    <w:tmpl w:val="057CB690"/>
    <w:lvl w:ilvl="0" w:tplc="79C4FA4E">
      <w:start w:val="5"/>
      <w:numFmt w:val="bullet"/>
      <w:lvlText w:val="–"/>
      <w:lvlJc w:val="left"/>
      <w:pPr>
        <w:ind w:left="420" w:hanging="360"/>
      </w:pPr>
      <w:rPr>
        <w:rFonts w:ascii="Calibri" w:eastAsia="Calibri" w:hAnsi="Calibri"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15">
    <w:nsid w:val="12B30DEB"/>
    <w:multiLevelType w:val="hybridMultilevel"/>
    <w:tmpl w:val="78E8EB80"/>
    <w:lvl w:ilvl="0" w:tplc="1AA0AB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3612524"/>
    <w:multiLevelType w:val="hybridMultilevel"/>
    <w:tmpl w:val="C030AAB4"/>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13E272F6"/>
    <w:multiLevelType w:val="hybridMultilevel"/>
    <w:tmpl w:val="C2EEDBC4"/>
    <w:lvl w:ilvl="0" w:tplc="20B29F6E">
      <w:start w:val="1"/>
      <w:numFmt w:val="bullet"/>
      <w:lvlText w:val=""/>
      <w:lvlJc w:val="left"/>
      <w:pPr>
        <w:ind w:left="284" w:hanging="284"/>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14AE7A95"/>
    <w:multiLevelType w:val="hybridMultilevel"/>
    <w:tmpl w:val="CD4430F2"/>
    <w:lvl w:ilvl="0" w:tplc="3D8C94B4">
      <w:start w:val="1"/>
      <w:numFmt w:val="decimal"/>
      <w:lvlText w:val="1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61E2E61"/>
    <w:multiLevelType w:val="hybridMultilevel"/>
    <w:tmpl w:val="F098835C"/>
    <w:lvl w:ilvl="0" w:tplc="8CB4571C">
      <w:start w:val="1"/>
      <w:numFmt w:val="upperRoman"/>
      <w:pStyle w:val="Heading1"/>
      <w:lvlText w:val="%1."/>
      <w:lvlJc w:val="right"/>
      <w:pPr>
        <w:tabs>
          <w:tab w:val="num" w:pos="284"/>
        </w:tabs>
        <w:ind w:left="720" w:hanging="720"/>
      </w:pPr>
      <w:rPr>
        <w:rFonts w:ascii="Arial" w:hAnsi="Arial"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1A3B7367"/>
    <w:multiLevelType w:val="hybridMultilevel"/>
    <w:tmpl w:val="61BE33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nsid w:val="1A6A153C"/>
    <w:multiLevelType w:val="hybridMultilevel"/>
    <w:tmpl w:val="AEB02704"/>
    <w:lvl w:ilvl="0" w:tplc="6074992C">
      <w:start w:val="9"/>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1B605764"/>
    <w:multiLevelType w:val="hybridMultilevel"/>
    <w:tmpl w:val="5C1E54E8"/>
    <w:lvl w:ilvl="0" w:tplc="5B683A3A">
      <w:start w:val="1"/>
      <w:numFmt w:val="upperRoman"/>
      <w:lvlText w:val="%1."/>
      <w:lvlJc w:val="left"/>
      <w:pPr>
        <w:ind w:left="1080" w:hanging="720"/>
      </w:pPr>
      <w:rPr>
        <w:rFonts w:hint="default"/>
      </w:rPr>
    </w:lvl>
    <w:lvl w:ilvl="1" w:tplc="A2369E28">
      <w:start w:val="1"/>
      <w:numFmt w:val="lowerLetter"/>
      <w:lvlText w:val="(%2)"/>
      <w:lvlJc w:val="left"/>
      <w:pPr>
        <w:ind w:left="1440" w:hanging="360"/>
      </w:pPr>
      <w:rPr>
        <w:rFonts w:hint="default"/>
        <w: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C1D4E0A"/>
    <w:multiLevelType w:val="hybridMultilevel"/>
    <w:tmpl w:val="C16259C6"/>
    <w:lvl w:ilvl="0" w:tplc="D92E5F84">
      <w:start w:val="5"/>
      <w:numFmt w:val="bullet"/>
      <w:lvlText w:val="–"/>
      <w:lvlJc w:val="left"/>
      <w:pPr>
        <w:ind w:left="284" w:hanging="284"/>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1C3C58AA"/>
    <w:multiLevelType w:val="hybridMultilevel"/>
    <w:tmpl w:val="8E24605C"/>
    <w:lvl w:ilvl="0" w:tplc="3D985CDC">
      <w:start w:val="1"/>
      <w:numFmt w:val="decimal"/>
      <w:lvlText w:val="22.%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EA37FE0"/>
    <w:multiLevelType w:val="hybridMultilevel"/>
    <w:tmpl w:val="1B1C566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1ED221A1"/>
    <w:multiLevelType w:val="hybridMultilevel"/>
    <w:tmpl w:val="967A47AA"/>
    <w:lvl w:ilvl="0" w:tplc="1AA0ABC2">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7">
    <w:nsid w:val="1F153255"/>
    <w:multiLevelType w:val="hybridMultilevel"/>
    <w:tmpl w:val="818EB82C"/>
    <w:lvl w:ilvl="0" w:tplc="85F0F138">
      <w:start w:val="5"/>
      <w:numFmt w:val="bullet"/>
      <w:lvlText w:val="–"/>
      <w:lvlJc w:val="left"/>
      <w:pPr>
        <w:ind w:left="1134" w:hanging="567"/>
      </w:pPr>
      <w:rPr>
        <w:rFonts w:ascii="Calibri" w:eastAsia="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nsid w:val="1FD44917"/>
    <w:multiLevelType w:val="hybridMultilevel"/>
    <w:tmpl w:val="7F8CC5BE"/>
    <w:lvl w:ilvl="0" w:tplc="17A42F20">
      <w:start w:val="1"/>
      <w:numFmt w:val="decimal"/>
      <w:lvlRestart w:val="0"/>
      <w:lvlText w:val="21.%1."/>
      <w:lvlJc w:val="left"/>
      <w:pPr>
        <w:tabs>
          <w:tab w:val="num" w:pos="680"/>
        </w:tabs>
        <w:ind w:left="0" w:firstLine="0"/>
      </w:pPr>
      <w:rPr>
        <w:rFonts w:ascii="Arial" w:hAnsi="Arial" w:cs="Arial"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0">
    <w:nsid w:val="201213CE"/>
    <w:multiLevelType w:val="hybridMultilevel"/>
    <w:tmpl w:val="6D0E47EC"/>
    <w:lvl w:ilvl="0" w:tplc="97763274">
      <w:start w:val="1"/>
      <w:numFmt w:val="decimal"/>
      <w:lvlText w:val="28.%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14E6CDB"/>
    <w:multiLevelType w:val="hybridMultilevel"/>
    <w:tmpl w:val="DB1C7D0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221948C6"/>
    <w:multiLevelType w:val="hybridMultilevel"/>
    <w:tmpl w:val="77C8CEBA"/>
    <w:lvl w:ilvl="0" w:tplc="6D6AF868">
      <w:start w:val="1"/>
      <w:numFmt w:val="decimal"/>
      <w:lvlText w:val="7.%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22916058"/>
    <w:multiLevelType w:val="hybridMultilevel"/>
    <w:tmpl w:val="360256BA"/>
    <w:lvl w:ilvl="0" w:tplc="79C4FA4E">
      <w:start w:val="5"/>
      <w:numFmt w:val="bullet"/>
      <w:lvlText w:val="–"/>
      <w:lvlJc w:val="left"/>
      <w:pPr>
        <w:ind w:left="720" w:hanging="360"/>
      </w:pPr>
      <w:rPr>
        <w:rFonts w:ascii="Calibri" w:eastAsia="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25893C17"/>
    <w:multiLevelType w:val="hybridMultilevel"/>
    <w:tmpl w:val="D3CAA152"/>
    <w:lvl w:ilvl="0" w:tplc="EB18A56C">
      <w:start w:val="1"/>
      <w:numFmt w:val="bullet"/>
      <w:lvlText w:val="-"/>
      <w:lvlJc w:val="left"/>
      <w:pPr>
        <w:ind w:left="284" w:hanging="284"/>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264A1B91"/>
    <w:multiLevelType w:val="hybridMultilevel"/>
    <w:tmpl w:val="4B4CF06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267F2243"/>
    <w:multiLevelType w:val="hybridMultilevel"/>
    <w:tmpl w:val="C9B01B76"/>
    <w:lvl w:ilvl="0" w:tplc="900A6DAC">
      <w:start w:val="1"/>
      <w:numFmt w:val="bullet"/>
      <w:lvlText w:val=""/>
      <w:lvlJc w:val="left"/>
      <w:pPr>
        <w:ind w:left="1134" w:hanging="567"/>
      </w:pPr>
      <w:rPr>
        <w:rFonts w:ascii="Symbol" w:hAnsi="Symbol" w:hint="default"/>
      </w:rPr>
    </w:lvl>
    <w:lvl w:ilvl="1" w:tplc="FFFFFFFF" w:tentative="1">
      <w:start w:val="1"/>
      <w:numFmt w:val="bullet"/>
      <w:lvlText w:val="o"/>
      <w:lvlJc w:val="left"/>
      <w:pPr>
        <w:ind w:left="1500" w:hanging="360"/>
      </w:pPr>
      <w:rPr>
        <w:rFonts w:ascii="Courier New" w:hAnsi="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37">
    <w:nsid w:val="26885FCA"/>
    <w:multiLevelType w:val="hybridMultilevel"/>
    <w:tmpl w:val="EE0CC2BC"/>
    <w:lvl w:ilvl="0" w:tplc="1AB84846">
      <w:start w:val="1"/>
      <w:numFmt w:val="decimal"/>
      <w:lvlText w:val="12.%1."/>
      <w:lvlJc w:val="left"/>
      <w:pPr>
        <w:ind w:left="720" w:hanging="360"/>
      </w:pPr>
      <w:rPr>
        <w:rFonts w:ascii="Arial" w:hAnsi="Arial" w:cs="Aria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276A3D44"/>
    <w:multiLevelType w:val="hybridMultilevel"/>
    <w:tmpl w:val="9E909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9677ED7"/>
    <w:multiLevelType w:val="hybridMultilevel"/>
    <w:tmpl w:val="7692607E"/>
    <w:lvl w:ilvl="0" w:tplc="29DAD5B8">
      <w:start w:val="5"/>
      <w:numFmt w:val="bullet"/>
      <w:lvlText w:val="–"/>
      <w:lvlJc w:val="left"/>
      <w:pPr>
        <w:ind w:left="284" w:hanging="284"/>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29D20EFF"/>
    <w:multiLevelType w:val="hybridMultilevel"/>
    <w:tmpl w:val="21948684"/>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2A467875"/>
    <w:multiLevelType w:val="hybridMultilevel"/>
    <w:tmpl w:val="7D98AD58"/>
    <w:lvl w:ilvl="0" w:tplc="FFFFFFFF">
      <w:start w:val="1"/>
      <w:numFmt w:val="decimal"/>
      <w:lvlText w:val="20.%1."/>
      <w:lvlJc w:val="left"/>
      <w:pPr>
        <w:ind w:left="360" w:hanging="360"/>
      </w:pPr>
      <w:rPr>
        <w:rFonts w:ascii="Arial" w:hAnsi="Arial" w:cs="Arial" w:hint="default"/>
        <w:sz w:val="20"/>
        <w:szCs w:val="20"/>
      </w:rPr>
    </w:lvl>
    <w:lvl w:ilvl="1" w:tplc="FFFFFFFF" w:tentative="1">
      <w:start w:val="1"/>
      <w:numFmt w:val="lowerLetter"/>
      <w:lvlText w:val="%2."/>
      <w:lvlJc w:val="left"/>
      <w:pPr>
        <w:ind w:left="1157" w:hanging="360"/>
      </w:pPr>
    </w:lvl>
    <w:lvl w:ilvl="2" w:tplc="FFFFFFFF" w:tentative="1">
      <w:start w:val="1"/>
      <w:numFmt w:val="lowerRoman"/>
      <w:lvlText w:val="%3."/>
      <w:lvlJc w:val="right"/>
      <w:pPr>
        <w:ind w:left="1877" w:hanging="180"/>
      </w:pPr>
    </w:lvl>
    <w:lvl w:ilvl="3" w:tplc="FFFFFFFF" w:tentative="1">
      <w:start w:val="1"/>
      <w:numFmt w:val="decimal"/>
      <w:lvlText w:val="%4."/>
      <w:lvlJc w:val="left"/>
      <w:pPr>
        <w:ind w:left="2597" w:hanging="360"/>
      </w:pPr>
    </w:lvl>
    <w:lvl w:ilvl="4" w:tplc="FFFFFFFF" w:tentative="1">
      <w:start w:val="1"/>
      <w:numFmt w:val="lowerLetter"/>
      <w:lvlText w:val="%5."/>
      <w:lvlJc w:val="left"/>
      <w:pPr>
        <w:ind w:left="3317" w:hanging="360"/>
      </w:pPr>
    </w:lvl>
    <w:lvl w:ilvl="5" w:tplc="FFFFFFFF" w:tentative="1">
      <w:start w:val="1"/>
      <w:numFmt w:val="lowerRoman"/>
      <w:lvlText w:val="%6."/>
      <w:lvlJc w:val="right"/>
      <w:pPr>
        <w:ind w:left="4037" w:hanging="180"/>
      </w:pPr>
    </w:lvl>
    <w:lvl w:ilvl="6" w:tplc="FFFFFFFF" w:tentative="1">
      <w:start w:val="1"/>
      <w:numFmt w:val="decimal"/>
      <w:lvlText w:val="%7."/>
      <w:lvlJc w:val="left"/>
      <w:pPr>
        <w:ind w:left="4757" w:hanging="360"/>
      </w:pPr>
    </w:lvl>
    <w:lvl w:ilvl="7" w:tplc="FFFFFFFF" w:tentative="1">
      <w:start w:val="1"/>
      <w:numFmt w:val="lowerLetter"/>
      <w:lvlText w:val="%8."/>
      <w:lvlJc w:val="left"/>
      <w:pPr>
        <w:ind w:left="5477" w:hanging="360"/>
      </w:pPr>
    </w:lvl>
    <w:lvl w:ilvl="8" w:tplc="FFFFFFFF" w:tentative="1">
      <w:start w:val="1"/>
      <w:numFmt w:val="lowerRoman"/>
      <w:lvlText w:val="%9."/>
      <w:lvlJc w:val="right"/>
      <w:pPr>
        <w:ind w:left="6197" w:hanging="180"/>
      </w:pPr>
    </w:lvl>
  </w:abstractNum>
  <w:abstractNum w:abstractNumId="42">
    <w:nsid w:val="2A6D4D63"/>
    <w:multiLevelType w:val="hybridMultilevel"/>
    <w:tmpl w:val="7C0AEBB4"/>
    <w:lvl w:ilvl="0" w:tplc="D61C95E2">
      <w:start w:val="1"/>
      <w:numFmt w:val="decimal"/>
      <w:lvlText w:val="13.%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2B022C2D"/>
    <w:multiLevelType w:val="hybridMultilevel"/>
    <w:tmpl w:val="B5200226"/>
    <w:lvl w:ilvl="0" w:tplc="D92AB576">
      <w:start w:val="1"/>
      <w:numFmt w:val="decimal"/>
      <w:lvlText w:val="16.%1."/>
      <w:lvlJc w:val="left"/>
      <w:pPr>
        <w:ind w:left="360" w:hanging="360"/>
      </w:pPr>
      <w:rPr>
        <w:rFonts w:ascii="Arial" w:hAnsi="Arial" w:cs="Arial" w:hint="default"/>
        <w:sz w:val="20"/>
        <w:szCs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nsid w:val="2B1A31DD"/>
    <w:multiLevelType w:val="hybridMultilevel"/>
    <w:tmpl w:val="0B202FC2"/>
    <w:lvl w:ilvl="0" w:tplc="1AA0ABC2">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5">
    <w:nsid w:val="2BA93610"/>
    <w:multiLevelType w:val="multilevel"/>
    <w:tmpl w:val="9388575E"/>
    <w:lvl w:ilvl="0">
      <w:start w:val="14"/>
      <w:numFmt w:val="decimal"/>
      <w:lvlText w:val="%1"/>
      <w:lvlJc w:val="left"/>
      <w:pPr>
        <w:ind w:left="375" w:hanging="375"/>
      </w:pPr>
      <w:rPr>
        <w:rFonts w:hint="default"/>
      </w:rPr>
    </w:lvl>
    <w:lvl w:ilvl="1">
      <w:start w:val="8"/>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2D7D5DCC"/>
    <w:multiLevelType w:val="hybridMultilevel"/>
    <w:tmpl w:val="88AEEE08"/>
    <w:lvl w:ilvl="0" w:tplc="FFFFFFFF">
      <w:start w:val="1"/>
      <w:numFmt w:val="bullet"/>
      <w:lvlText w:val=""/>
      <w:lvlJc w:val="left"/>
      <w:pPr>
        <w:ind w:left="720" w:hanging="360"/>
      </w:pPr>
      <w:rPr>
        <w:rFonts w:ascii="Symbol" w:hAnsi="Symbol" w:hint="default"/>
        <w:color w:val="1F497D"/>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nsid w:val="2E54009E"/>
    <w:multiLevelType w:val="hybridMultilevel"/>
    <w:tmpl w:val="BA224A1C"/>
    <w:lvl w:ilvl="0" w:tplc="98AA17F4">
      <w:start w:val="5"/>
      <w:numFmt w:val="bullet"/>
      <w:lvlText w:val="–"/>
      <w:lvlJc w:val="left"/>
      <w:pPr>
        <w:ind w:left="720" w:hanging="360"/>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nsid w:val="2F5B64AE"/>
    <w:multiLevelType w:val="hybridMultilevel"/>
    <w:tmpl w:val="41886E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nsid w:val="31E25AB5"/>
    <w:multiLevelType w:val="hybridMultilevel"/>
    <w:tmpl w:val="0382E77A"/>
    <w:lvl w:ilvl="0" w:tplc="1AA0ABC2">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2BE5653"/>
    <w:multiLevelType w:val="hybridMultilevel"/>
    <w:tmpl w:val="E3803D42"/>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nsid w:val="34043C20"/>
    <w:multiLevelType w:val="hybridMultilevel"/>
    <w:tmpl w:val="2A9C0078"/>
    <w:lvl w:ilvl="0" w:tplc="740203F4">
      <w:start w:val="1"/>
      <w:numFmt w:val="decimal"/>
      <w:lvlText w:val="24.%1"/>
      <w:lvlJc w:val="left"/>
      <w:pPr>
        <w:ind w:left="720" w:hanging="360"/>
      </w:pPr>
      <w:rPr>
        <w:rFonts w:ascii="Arial" w:hAnsi="Arial" w:cs="Arial"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nsid w:val="355F43FD"/>
    <w:multiLevelType w:val="hybridMultilevel"/>
    <w:tmpl w:val="D68C7870"/>
    <w:lvl w:ilvl="0" w:tplc="79C4FA4E">
      <w:start w:val="5"/>
      <w:numFmt w:val="bullet"/>
      <w:lvlText w:val="–"/>
      <w:lvlJc w:val="left"/>
      <w:pPr>
        <w:ind w:left="420" w:hanging="360"/>
      </w:pPr>
      <w:rPr>
        <w:rFonts w:ascii="Calibri" w:eastAsia="Calibri" w:hAnsi="Calibri"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53">
    <w:nsid w:val="35D26F74"/>
    <w:multiLevelType w:val="hybridMultilevel"/>
    <w:tmpl w:val="A3404602"/>
    <w:lvl w:ilvl="0" w:tplc="04090001">
      <w:start w:val="1"/>
      <w:numFmt w:val="bullet"/>
      <w:lvlText w:val=""/>
      <w:lvlJc w:val="left"/>
      <w:pPr>
        <w:tabs>
          <w:tab w:val="num" w:pos="720"/>
        </w:tabs>
        <w:ind w:left="720" w:hanging="360"/>
      </w:pPr>
      <w:rPr>
        <w:rFonts w:ascii="Symbol" w:hAnsi="Symbol" w:hint="default"/>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nsid w:val="35F10BA1"/>
    <w:multiLevelType w:val="hybridMultilevel"/>
    <w:tmpl w:val="AB4E55F4"/>
    <w:lvl w:ilvl="0" w:tplc="CFEC07FA">
      <w:start w:val="1"/>
      <w:numFmt w:val="decimal"/>
      <w:pStyle w:val="ListParagraph"/>
      <w:lvlText w:val="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nsid w:val="37A273F1"/>
    <w:multiLevelType w:val="hybridMultilevel"/>
    <w:tmpl w:val="96DAAC88"/>
    <w:lvl w:ilvl="0" w:tplc="FFFFFFFF">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nsid w:val="382B066F"/>
    <w:multiLevelType w:val="hybridMultilevel"/>
    <w:tmpl w:val="CBD66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395109AE"/>
    <w:multiLevelType w:val="hybridMultilevel"/>
    <w:tmpl w:val="0C42A900"/>
    <w:lvl w:ilvl="0" w:tplc="5CF81362">
      <w:start w:val="5"/>
      <w:numFmt w:val="bullet"/>
      <w:lvlText w:val="–"/>
      <w:lvlJc w:val="left"/>
      <w:pPr>
        <w:ind w:left="284" w:hanging="284"/>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3A993A49"/>
    <w:multiLevelType w:val="hybridMultilevel"/>
    <w:tmpl w:val="AA5657BA"/>
    <w:lvl w:ilvl="0" w:tplc="B0BCA630">
      <w:start w:val="19"/>
      <w:numFmt w:val="bullet"/>
      <w:lvlText w:val="-"/>
      <w:lvlJc w:val="left"/>
      <w:pPr>
        <w:ind w:left="360" w:hanging="360"/>
      </w:pPr>
      <w:rPr>
        <w:rFonts w:ascii="Arial" w:eastAsia="Times New Roman"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9">
    <w:nsid w:val="3A9C377A"/>
    <w:multiLevelType w:val="hybridMultilevel"/>
    <w:tmpl w:val="24EE0FCE"/>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0">
    <w:nsid w:val="3B8233E1"/>
    <w:multiLevelType w:val="hybridMultilevel"/>
    <w:tmpl w:val="0ED2DCF6"/>
    <w:lvl w:ilvl="0" w:tplc="19A889E2">
      <w:start w:val="5"/>
      <w:numFmt w:val="bullet"/>
      <w:lvlText w:val="–"/>
      <w:lvlJc w:val="left"/>
      <w:pPr>
        <w:ind w:left="1134" w:hanging="567"/>
      </w:pPr>
      <w:rPr>
        <w:rFonts w:ascii="Calibri" w:eastAsia="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1">
    <w:nsid w:val="3B9C7EF3"/>
    <w:multiLevelType w:val="hybridMultilevel"/>
    <w:tmpl w:val="BE263B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3D00797F"/>
    <w:multiLevelType w:val="hybridMultilevel"/>
    <w:tmpl w:val="0E96EA72"/>
    <w:lvl w:ilvl="0" w:tplc="A28EB0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3FB24D1A"/>
    <w:multiLevelType w:val="hybridMultilevel"/>
    <w:tmpl w:val="20CEEFD2"/>
    <w:lvl w:ilvl="0" w:tplc="98AA17F4">
      <w:start w:val="5"/>
      <w:numFmt w:val="bullet"/>
      <w:lvlText w:val="–"/>
      <w:lvlJc w:val="left"/>
      <w:pPr>
        <w:ind w:left="284" w:hanging="284"/>
      </w:pPr>
      <w:rPr>
        <w:rFonts w:ascii="Arial" w:eastAsiaTheme="minorHAnsi" w:hAnsi="Arial" w:hint="default"/>
      </w:rPr>
    </w:lvl>
    <w:lvl w:ilvl="1" w:tplc="040C0003" w:tentative="1">
      <w:start w:val="1"/>
      <w:numFmt w:val="bullet"/>
      <w:lvlText w:val="o"/>
      <w:lvlJc w:val="left"/>
      <w:pPr>
        <w:ind w:left="1253" w:hanging="360"/>
      </w:pPr>
      <w:rPr>
        <w:rFonts w:ascii="Courier New" w:hAnsi="Courier New" w:hint="default"/>
      </w:rPr>
    </w:lvl>
    <w:lvl w:ilvl="2" w:tplc="040C0005" w:tentative="1">
      <w:start w:val="1"/>
      <w:numFmt w:val="bullet"/>
      <w:lvlText w:val=""/>
      <w:lvlJc w:val="left"/>
      <w:pPr>
        <w:ind w:left="1973" w:hanging="360"/>
      </w:pPr>
      <w:rPr>
        <w:rFonts w:ascii="Wingdings" w:hAnsi="Wingdings" w:hint="default"/>
      </w:rPr>
    </w:lvl>
    <w:lvl w:ilvl="3" w:tplc="040C0001" w:tentative="1">
      <w:start w:val="1"/>
      <w:numFmt w:val="bullet"/>
      <w:lvlText w:val=""/>
      <w:lvlJc w:val="left"/>
      <w:pPr>
        <w:ind w:left="2693" w:hanging="360"/>
      </w:pPr>
      <w:rPr>
        <w:rFonts w:ascii="Symbol" w:hAnsi="Symbol" w:hint="default"/>
      </w:rPr>
    </w:lvl>
    <w:lvl w:ilvl="4" w:tplc="040C0003" w:tentative="1">
      <w:start w:val="1"/>
      <w:numFmt w:val="bullet"/>
      <w:lvlText w:val="o"/>
      <w:lvlJc w:val="left"/>
      <w:pPr>
        <w:ind w:left="3413" w:hanging="360"/>
      </w:pPr>
      <w:rPr>
        <w:rFonts w:ascii="Courier New" w:hAnsi="Courier New" w:hint="default"/>
      </w:rPr>
    </w:lvl>
    <w:lvl w:ilvl="5" w:tplc="040C0005" w:tentative="1">
      <w:start w:val="1"/>
      <w:numFmt w:val="bullet"/>
      <w:lvlText w:val=""/>
      <w:lvlJc w:val="left"/>
      <w:pPr>
        <w:ind w:left="4133" w:hanging="360"/>
      </w:pPr>
      <w:rPr>
        <w:rFonts w:ascii="Wingdings" w:hAnsi="Wingdings" w:hint="default"/>
      </w:rPr>
    </w:lvl>
    <w:lvl w:ilvl="6" w:tplc="040C0001" w:tentative="1">
      <w:start w:val="1"/>
      <w:numFmt w:val="bullet"/>
      <w:lvlText w:val=""/>
      <w:lvlJc w:val="left"/>
      <w:pPr>
        <w:ind w:left="4853" w:hanging="360"/>
      </w:pPr>
      <w:rPr>
        <w:rFonts w:ascii="Symbol" w:hAnsi="Symbol" w:hint="default"/>
      </w:rPr>
    </w:lvl>
    <w:lvl w:ilvl="7" w:tplc="040C0003" w:tentative="1">
      <w:start w:val="1"/>
      <w:numFmt w:val="bullet"/>
      <w:lvlText w:val="o"/>
      <w:lvlJc w:val="left"/>
      <w:pPr>
        <w:ind w:left="5573" w:hanging="360"/>
      </w:pPr>
      <w:rPr>
        <w:rFonts w:ascii="Courier New" w:hAnsi="Courier New" w:hint="default"/>
      </w:rPr>
    </w:lvl>
    <w:lvl w:ilvl="8" w:tplc="040C0005" w:tentative="1">
      <w:start w:val="1"/>
      <w:numFmt w:val="bullet"/>
      <w:lvlText w:val=""/>
      <w:lvlJc w:val="left"/>
      <w:pPr>
        <w:ind w:left="6293" w:hanging="360"/>
      </w:pPr>
      <w:rPr>
        <w:rFonts w:ascii="Wingdings" w:hAnsi="Wingdings" w:hint="default"/>
      </w:rPr>
    </w:lvl>
  </w:abstractNum>
  <w:abstractNum w:abstractNumId="64">
    <w:nsid w:val="3FE03A0F"/>
    <w:multiLevelType w:val="hybridMultilevel"/>
    <w:tmpl w:val="61BE33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nsid w:val="400958DF"/>
    <w:multiLevelType w:val="hybridMultilevel"/>
    <w:tmpl w:val="A6162532"/>
    <w:lvl w:ilvl="0" w:tplc="58947DBC">
      <w:start w:val="1"/>
      <w:numFmt w:val="decimal"/>
      <w:lvlText w:val="26.%1"/>
      <w:lvlJc w:val="left"/>
      <w:pPr>
        <w:ind w:left="720" w:hanging="360"/>
      </w:pPr>
      <w:rPr>
        <w:rFonts w:ascii="Arial" w:hAnsi="Arial" w:cs="Aria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0E7156C"/>
    <w:multiLevelType w:val="hybridMultilevel"/>
    <w:tmpl w:val="224E8446"/>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43B93FDC"/>
    <w:multiLevelType w:val="hybridMultilevel"/>
    <w:tmpl w:val="B43628BA"/>
    <w:lvl w:ilvl="0" w:tplc="EECA573C">
      <w:start w:val="1"/>
      <w:numFmt w:val="decimal"/>
      <w:lvlText w:val="10.%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4954827"/>
    <w:multiLevelType w:val="hybridMultilevel"/>
    <w:tmpl w:val="A3C2D492"/>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9">
    <w:nsid w:val="44DE445F"/>
    <w:multiLevelType w:val="hybridMultilevel"/>
    <w:tmpl w:val="2E92E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50F0827"/>
    <w:multiLevelType w:val="hybridMultilevel"/>
    <w:tmpl w:val="B72CAC0C"/>
    <w:lvl w:ilvl="0" w:tplc="D71C049C">
      <w:start w:val="1"/>
      <w:numFmt w:val="decimal"/>
      <w:lvlText w:val="5.%1."/>
      <w:lvlJc w:val="left"/>
      <w:pPr>
        <w:ind w:left="36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454C3657"/>
    <w:multiLevelType w:val="multilevel"/>
    <w:tmpl w:val="8BD85068"/>
    <w:lvl w:ilvl="0">
      <w:start w:val="1"/>
      <w:numFmt w:val="decimal"/>
      <w:lvlText w:val="23.%1"/>
      <w:lvlJc w:val="left"/>
      <w:pPr>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2">
    <w:nsid w:val="45FE5BD4"/>
    <w:multiLevelType w:val="hybridMultilevel"/>
    <w:tmpl w:val="A836D00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490C2843"/>
    <w:multiLevelType w:val="hybridMultilevel"/>
    <w:tmpl w:val="61BE33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nsid w:val="4977170D"/>
    <w:multiLevelType w:val="hybridMultilevel"/>
    <w:tmpl w:val="ED2C5B10"/>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5">
    <w:nsid w:val="4B025F33"/>
    <w:multiLevelType w:val="hybridMultilevel"/>
    <w:tmpl w:val="D8B67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nsid w:val="4B6479D4"/>
    <w:multiLevelType w:val="hybridMultilevel"/>
    <w:tmpl w:val="B448BE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7">
    <w:nsid w:val="4B9548F6"/>
    <w:multiLevelType w:val="hybridMultilevel"/>
    <w:tmpl w:val="D97AA2A8"/>
    <w:lvl w:ilvl="0" w:tplc="29C26D5A">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9">
    <w:nsid w:val="4CED5FCF"/>
    <w:multiLevelType w:val="hybridMultilevel"/>
    <w:tmpl w:val="6ED6956C"/>
    <w:lvl w:ilvl="0" w:tplc="D22C8A48">
      <w:start w:val="1"/>
      <w:numFmt w:val="decimal"/>
      <w:lvlText w:val="11.%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5030080B"/>
    <w:multiLevelType w:val="hybridMultilevel"/>
    <w:tmpl w:val="96D289E8"/>
    <w:lvl w:ilvl="0" w:tplc="1AA0AB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536043F0"/>
    <w:multiLevelType w:val="hybridMultilevel"/>
    <w:tmpl w:val="16BA391A"/>
    <w:lvl w:ilvl="0" w:tplc="957C5A50">
      <w:start w:val="5"/>
      <w:numFmt w:val="bullet"/>
      <w:lvlText w:val="–"/>
      <w:lvlJc w:val="left"/>
      <w:pPr>
        <w:ind w:left="284" w:hanging="284"/>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nsid w:val="5641547C"/>
    <w:multiLevelType w:val="hybridMultilevel"/>
    <w:tmpl w:val="729C4528"/>
    <w:lvl w:ilvl="0" w:tplc="7B40B764">
      <w:start w:val="1"/>
      <w:numFmt w:val="decimal"/>
      <w:lvlText w:val="19.%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56F411C0"/>
    <w:multiLevelType w:val="hybridMultilevel"/>
    <w:tmpl w:val="F0322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8370B29"/>
    <w:multiLevelType w:val="hybridMultilevel"/>
    <w:tmpl w:val="208604A8"/>
    <w:lvl w:ilvl="0" w:tplc="9FF03A6E">
      <w:start w:val="1"/>
      <w:numFmt w:val="decimal"/>
      <w:lvlText w:val="1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A232C8B"/>
    <w:multiLevelType w:val="hybridMultilevel"/>
    <w:tmpl w:val="8E34FE88"/>
    <w:lvl w:ilvl="0" w:tplc="75FA6534">
      <w:start w:val="1"/>
      <w:numFmt w:val="decimal"/>
      <w:lvlText w:val="%1."/>
      <w:lvlJc w:val="left"/>
      <w:pPr>
        <w:ind w:left="720" w:hanging="360"/>
      </w:pPr>
    </w:lvl>
    <w:lvl w:ilvl="1" w:tplc="C160114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5AE41D5E"/>
    <w:multiLevelType w:val="hybridMultilevel"/>
    <w:tmpl w:val="8AE059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nsid w:val="5D123CD6"/>
    <w:multiLevelType w:val="hybridMultilevel"/>
    <w:tmpl w:val="3BDCC46A"/>
    <w:lvl w:ilvl="0" w:tplc="5B5E8914">
      <w:start w:val="5"/>
      <w:numFmt w:val="bullet"/>
      <w:lvlText w:val="–"/>
      <w:lvlJc w:val="left"/>
      <w:pPr>
        <w:ind w:left="567" w:hanging="283"/>
      </w:pPr>
      <w:rPr>
        <w:rFonts w:ascii="Arial" w:eastAsiaTheme="minorHAnsi" w:hAnsi="Arial" w:hint="default"/>
      </w:rPr>
    </w:lvl>
    <w:lvl w:ilvl="1" w:tplc="04090003" w:tentative="1">
      <w:start w:val="1"/>
      <w:numFmt w:val="bullet"/>
      <w:lvlText w:val="o"/>
      <w:lvlJc w:val="left"/>
      <w:pPr>
        <w:ind w:left="1451" w:hanging="360"/>
      </w:pPr>
      <w:rPr>
        <w:rFonts w:ascii="Courier New" w:hAnsi="Courier New" w:cs="Courier New" w:hint="default"/>
      </w:rPr>
    </w:lvl>
    <w:lvl w:ilvl="2" w:tplc="04090005" w:tentative="1">
      <w:start w:val="1"/>
      <w:numFmt w:val="bullet"/>
      <w:lvlText w:val=""/>
      <w:lvlJc w:val="left"/>
      <w:pPr>
        <w:ind w:left="2171" w:hanging="360"/>
      </w:pPr>
      <w:rPr>
        <w:rFonts w:ascii="Wingdings" w:hAnsi="Wingdings" w:hint="default"/>
      </w:rPr>
    </w:lvl>
    <w:lvl w:ilvl="3" w:tplc="04090001" w:tentative="1">
      <w:start w:val="1"/>
      <w:numFmt w:val="bullet"/>
      <w:lvlText w:val=""/>
      <w:lvlJc w:val="left"/>
      <w:pPr>
        <w:ind w:left="2891" w:hanging="360"/>
      </w:pPr>
      <w:rPr>
        <w:rFonts w:ascii="Symbol" w:hAnsi="Symbol" w:hint="default"/>
      </w:rPr>
    </w:lvl>
    <w:lvl w:ilvl="4" w:tplc="04090003" w:tentative="1">
      <w:start w:val="1"/>
      <w:numFmt w:val="bullet"/>
      <w:lvlText w:val="o"/>
      <w:lvlJc w:val="left"/>
      <w:pPr>
        <w:ind w:left="3611" w:hanging="360"/>
      </w:pPr>
      <w:rPr>
        <w:rFonts w:ascii="Courier New" w:hAnsi="Courier New" w:cs="Courier New" w:hint="default"/>
      </w:rPr>
    </w:lvl>
    <w:lvl w:ilvl="5" w:tplc="04090005" w:tentative="1">
      <w:start w:val="1"/>
      <w:numFmt w:val="bullet"/>
      <w:lvlText w:val=""/>
      <w:lvlJc w:val="left"/>
      <w:pPr>
        <w:ind w:left="4331" w:hanging="360"/>
      </w:pPr>
      <w:rPr>
        <w:rFonts w:ascii="Wingdings" w:hAnsi="Wingdings" w:hint="default"/>
      </w:rPr>
    </w:lvl>
    <w:lvl w:ilvl="6" w:tplc="04090001" w:tentative="1">
      <w:start w:val="1"/>
      <w:numFmt w:val="bullet"/>
      <w:lvlText w:val=""/>
      <w:lvlJc w:val="left"/>
      <w:pPr>
        <w:ind w:left="5051" w:hanging="360"/>
      </w:pPr>
      <w:rPr>
        <w:rFonts w:ascii="Symbol" w:hAnsi="Symbol" w:hint="default"/>
      </w:rPr>
    </w:lvl>
    <w:lvl w:ilvl="7" w:tplc="04090003" w:tentative="1">
      <w:start w:val="1"/>
      <w:numFmt w:val="bullet"/>
      <w:lvlText w:val="o"/>
      <w:lvlJc w:val="left"/>
      <w:pPr>
        <w:ind w:left="5771" w:hanging="360"/>
      </w:pPr>
      <w:rPr>
        <w:rFonts w:ascii="Courier New" w:hAnsi="Courier New" w:cs="Courier New" w:hint="default"/>
      </w:rPr>
    </w:lvl>
    <w:lvl w:ilvl="8" w:tplc="04090005" w:tentative="1">
      <w:start w:val="1"/>
      <w:numFmt w:val="bullet"/>
      <w:lvlText w:val=""/>
      <w:lvlJc w:val="left"/>
      <w:pPr>
        <w:ind w:left="6491" w:hanging="360"/>
      </w:pPr>
      <w:rPr>
        <w:rFonts w:ascii="Wingdings" w:hAnsi="Wingdings" w:hint="default"/>
      </w:rPr>
    </w:lvl>
  </w:abstractNum>
  <w:abstractNum w:abstractNumId="88">
    <w:nsid w:val="5E203ED3"/>
    <w:multiLevelType w:val="hybridMultilevel"/>
    <w:tmpl w:val="F79263F8"/>
    <w:lvl w:ilvl="0" w:tplc="6CC88DAE">
      <w:start w:val="1"/>
      <w:numFmt w:val="decimal"/>
      <w:lvlText w:val="%1."/>
      <w:lvlJc w:val="left"/>
      <w:pPr>
        <w:tabs>
          <w:tab w:val="num" w:pos="567"/>
        </w:tabs>
        <w:ind w:left="0" w:firstLine="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9">
    <w:nsid w:val="5E274D19"/>
    <w:multiLevelType w:val="hybridMultilevel"/>
    <w:tmpl w:val="42C60096"/>
    <w:lvl w:ilvl="0" w:tplc="2A984D40">
      <w:start w:val="1"/>
      <w:numFmt w:val="decimal"/>
      <w:lvlText w:val="4.%1."/>
      <w:lvlJc w:val="left"/>
      <w:pPr>
        <w:tabs>
          <w:tab w:val="num" w:pos="680"/>
        </w:tabs>
        <w:ind w:left="0" w:firstLine="0"/>
      </w:pPr>
      <w:rPr>
        <w:rFonts w:ascii="Arial" w:hAnsi="Arial" w:cs="Arial" w:hint="default"/>
        <w:sz w:val="20"/>
        <w:szCs w:val="2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0">
    <w:nsid w:val="5E343A07"/>
    <w:multiLevelType w:val="hybridMultilevel"/>
    <w:tmpl w:val="580C2000"/>
    <w:lvl w:ilvl="0" w:tplc="BD840894">
      <w:start w:val="5"/>
      <w:numFmt w:val="bullet"/>
      <w:lvlText w:val="–"/>
      <w:lvlJc w:val="left"/>
      <w:pPr>
        <w:ind w:left="284" w:hanging="284"/>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1">
    <w:nsid w:val="5EA93457"/>
    <w:multiLevelType w:val="hybridMultilevel"/>
    <w:tmpl w:val="333042DA"/>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nsid w:val="5EFA5F3F"/>
    <w:multiLevelType w:val="hybridMultilevel"/>
    <w:tmpl w:val="9B906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ahom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ahom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ahom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3">
    <w:nsid w:val="60E16150"/>
    <w:multiLevelType w:val="hybridMultilevel"/>
    <w:tmpl w:val="D3006634"/>
    <w:lvl w:ilvl="0" w:tplc="E668A410">
      <w:start w:val="5"/>
      <w:numFmt w:val="bullet"/>
      <w:lvlText w:val="–"/>
      <w:lvlJc w:val="left"/>
      <w:pPr>
        <w:ind w:left="720" w:hanging="360"/>
      </w:pPr>
      <w:rPr>
        <w:rFonts w:ascii="Arial" w:eastAsiaTheme="minorHAnsi"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nsid w:val="63C13177"/>
    <w:multiLevelType w:val="hybridMultilevel"/>
    <w:tmpl w:val="CF7C5DC6"/>
    <w:lvl w:ilvl="0" w:tplc="E7D214E4">
      <w:start w:val="1"/>
      <w:numFmt w:val="lowerLetter"/>
      <w:lvlText w:val="%1)"/>
      <w:lvlJc w:val="left"/>
      <w:pPr>
        <w:ind w:left="567" w:firstLine="0"/>
      </w:pPr>
      <w:rPr>
        <w:rFonts w:hint="default"/>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5">
    <w:nsid w:val="64055856"/>
    <w:multiLevelType w:val="hybridMultilevel"/>
    <w:tmpl w:val="DB529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nsid w:val="64DC190A"/>
    <w:multiLevelType w:val="hybridMultilevel"/>
    <w:tmpl w:val="DBD071DA"/>
    <w:lvl w:ilvl="0" w:tplc="DE4A5C86">
      <w:start w:val="7"/>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7">
    <w:nsid w:val="64EB6642"/>
    <w:multiLevelType w:val="hybridMultilevel"/>
    <w:tmpl w:val="9A22B4C2"/>
    <w:lvl w:ilvl="0" w:tplc="7020D708">
      <w:start w:val="5"/>
      <w:numFmt w:val="bullet"/>
      <w:lvlText w:val="–"/>
      <w:lvlJc w:val="left"/>
      <w:pPr>
        <w:ind w:left="1134" w:hanging="567"/>
      </w:pPr>
      <w:rPr>
        <w:rFonts w:ascii="Arial" w:eastAsiaTheme="minorHAnsi" w:hAnsi="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671966A3"/>
    <w:multiLevelType w:val="hybridMultilevel"/>
    <w:tmpl w:val="9490F41A"/>
    <w:lvl w:ilvl="0" w:tplc="36605956">
      <w:start w:val="5"/>
      <w:numFmt w:val="bullet"/>
      <w:lvlText w:val="–"/>
      <w:lvlJc w:val="left"/>
      <w:pPr>
        <w:ind w:left="284" w:hanging="284"/>
      </w:pPr>
      <w:rPr>
        <w:rFonts w:ascii="Arial" w:eastAsiaTheme="minorHAnsi"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9">
    <w:nsid w:val="675156A7"/>
    <w:multiLevelType w:val="hybridMultilevel"/>
    <w:tmpl w:val="A50C53F8"/>
    <w:lvl w:ilvl="0" w:tplc="1AA0ABC2">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0">
    <w:nsid w:val="68321D13"/>
    <w:multiLevelType w:val="hybridMultilevel"/>
    <w:tmpl w:val="C0CCE232"/>
    <w:lvl w:ilvl="0" w:tplc="FFFFFFFF">
      <w:start w:val="1"/>
      <w:numFmt w:val="decimal"/>
      <w:lvlText w:val="31.%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1">
    <w:nsid w:val="68E725DE"/>
    <w:multiLevelType w:val="hybridMultilevel"/>
    <w:tmpl w:val="A92ED9B6"/>
    <w:lvl w:ilvl="0" w:tplc="C382D4F8">
      <w:start w:val="5"/>
      <w:numFmt w:val="bullet"/>
      <w:lvlText w:val="–"/>
      <w:lvlJc w:val="left"/>
      <w:pPr>
        <w:ind w:left="284" w:hanging="284"/>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2">
    <w:nsid w:val="68F831C9"/>
    <w:multiLevelType w:val="hybridMultilevel"/>
    <w:tmpl w:val="7D28E65E"/>
    <w:lvl w:ilvl="0" w:tplc="86FCFDE2">
      <w:start w:val="5"/>
      <w:numFmt w:val="bullet"/>
      <w:lvlText w:val="–"/>
      <w:lvlJc w:val="left"/>
      <w:pPr>
        <w:ind w:left="284" w:hanging="284"/>
      </w:pPr>
      <w:rPr>
        <w:rFonts w:ascii="Arial" w:eastAsiaTheme="minorHAnsi" w:hAnsi="Arial" w:hint="default"/>
        <w:sz w:val="16"/>
        <w:szCs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nsid w:val="6A005E3D"/>
    <w:multiLevelType w:val="hybridMultilevel"/>
    <w:tmpl w:val="4822A6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4">
    <w:nsid w:val="6B643B61"/>
    <w:multiLevelType w:val="hybridMultilevel"/>
    <w:tmpl w:val="EB2CA3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nsid w:val="6BAE3F18"/>
    <w:multiLevelType w:val="hybridMultilevel"/>
    <w:tmpl w:val="E1D8A1C4"/>
    <w:lvl w:ilvl="0" w:tplc="3342BADC">
      <w:start w:val="1"/>
      <w:numFmt w:val="decimal"/>
      <w:lvlText w:val="25.%1"/>
      <w:lvlJc w:val="left"/>
      <w:pPr>
        <w:ind w:left="720" w:hanging="360"/>
      </w:pPr>
      <w:rPr>
        <w:rFonts w:ascii="Arial" w:hAnsi="Arial" w:cs="Arial" w:hint="default"/>
        <w:sz w:val="20"/>
        <w:szCs w:val="20"/>
      </w:rPr>
    </w:lvl>
    <w:lvl w:ilvl="1" w:tplc="29C84B8A">
      <w:start w:val="1"/>
      <w:numFmt w:val="lowerRoman"/>
      <w:lvlText w:val="%2)"/>
      <w:lvlJc w:val="left"/>
      <w:pPr>
        <w:ind w:left="1800" w:hanging="720"/>
      </w:pPr>
      <w:rPr>
        <w:rFonts w:eastAsiaTheme="minorEastAsia" w:hint="default"/>
      </w:rPr>
    </w:lvl>
    <w:lvl w:ilvl="2" w:tplc="5BE4BBEA">
      <w:start w:val="1"/>
      <w:numFmt w:val="lowerLetter"/>
      <w:lvlText w:val="%3)"/>
      <w:lvlJc w:val="left"/>
      <w:pPr>
        <w:ind w:left="2550" w:hanging="570"/>
      </w:pPr>
      <w:rPr>
        <w:rFonts w:eastAsiaTheme="minorEastAsia"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6CEF68E2"/>
    <w:multiLevelType w:val="hybridMultilevel"/>
    <w:tmpl w:val="680AB00E"/>
    <w:lvl w:ilvl="0" w:tplc="65F03958">
      <w:start w:val="1"/>
      <w:numFmt w:val="lowerRoman"/>
      <w:lvlText w:val="%1)"/>
      <w:lvlJc w:val="left"/>
      <w:pPr>
        <w:ind w:left="1134" w:hanging="567"/>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7">
    <w:nsid w:val="6D39614C"/>
    <w:multiLevelType w:val="hybridMultilevel"/>
    <w:tmpl w:val="85C4323E"/>
    <w:lvl w:ilvl="0" w:tplc="7E0ABFB2">
      <w:start w:val="5"/>
      <w:numFmt w:val="bullet"/>
      <w:lvlText w:val="–"/>
      <w:lvlJc w:val="left"/>
      <w:pPr>
        <w:ind w:left="284" w:hanging="284"/>
      </w:pPr>
      <w:rPr>
        <w:rFonts w:ascii="Arial" w:eastAsiaTheme="minorHAnsi"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8">
    <w:nsid w:val="6DD97BF7"/>
    <w:multiLevelType w:val="hybridMultilevel"/>
    <w:tmpl w:val="3034C6D6"/>
    <w:lvl w:ilvl="0" w:tplc="FFFFFFFF">
      <w:start w:val="1"/>
      <w:numFmt w:val="decimal"/>
      <w:lvlText w:val="30.%1."/>
      <w:lvlJc w:val="left"/>
      <w:pPr>
        <w:ind w:left="720" w:hanging="360"/>
      </w:pPr>
      <w:rPr>
        <w:rFonts w:hint="default"/>
        <w:b w:val="0"/>
      </w:rPr>
    </w:lvl>
    <w:lvl w:ilvl="1" w:tplc="FFFFFFFF" w:tentative="1">
      <w:start w:val="1"/>
      <w:numFmt w:val="lowerLetter"/>
      <w:lvlText w:val="%2."/>
      <w:lvlJc w:val="left"/>
      <w:pPr>
        <w:ind w:left="1890" w:hanging="360"/>
      </w:pPr>
    </w:lvl>
    <w:lvl w:ilvl="2" w:tplc="FFFFFFFF" w:tentative="1">
      <w:start w:val="1"/>
      <w:numFmt w:val="lowerRoman"/>
      <w:lvlText w:val="%3."/>
      <w:lvlJc w:val="right"/>
      <w:pPr>
        <w:ind w:left="2610" w:hanging="180"/>
      </w:pPr>
    </w:lvl>
    <w:lvl w:ilvl="3" w:tplc="FFFFFFFF" w:tentative="1">
      <w:start w:val="1"/>
      <w:numFmt w:val="decimal"/>
      <w:lvlText w:val="%4."/>
      <w:lvlJc w:val="left"/>
      <w:pPr>
        <w:ind w:left="3330" w:hanging="360"/>
      </w:pPr>
    </w:lvl>
    <w:lvl w:ilvl="4" w:tplc="FFFFFFFF" w:tentative="1">
      <w:start w:val="1"/>
      <w:numFmt w:val="lowerLetter"/>
      <w:lvlText w:val="%5."/>
      <w:lvlJc w:val="left"/>
      <w:pPr>
        <w:ind w:left="4050" w:hanging="360"/>
      </w:pPr>
    </w:lvl>
    <w:lvl w:ilvl="5" w:tplc="FFFFFFFF" w:tentative="1">
      <w:start w:val="1"/>
      <w:numFmt w:val="lowerRoman"/>
      <w:lvlText w:val="%6."/>
      <w:lvlJc w:val="right"/>
      <w:pPr>
        <w:ind w:left="4770" w:hanging="180"/>
      </w:pPr>
    </w:lvl>
    <w:lvl w:ilvl="6" w:tplc="FFFFFFFF" w:tentative="1">
      <w:start w:val="1"/>
      <w:numFmt w:val="decimal"/>
      <w:lvlText w:val="%7."/>
      <w:lvlJc w:val="left"/>
      <w:pPr>
        <w:ind w:left="5490" w:hanging="360"/>
      </w:pPr>
    </w:lvl>
    <w:lvl w:ilvl="7" w:tplc="FFFFFFFF" w:tentative="1">
      <w:start w:val="1"/>
      <w:numFmt w:val="lowerLetter"/>
      <w:lvlText w:val="%8."/>
      <w:lvlJc w:val="left"/>
      <w:pPr>
        <w:ind w:left="6210" w:hanging="360"/>
      </w:pPr>
    </w:lvl>
    <w:lvl w:ilvl="8" w:tplc="FFFFFFFF" w:tentative="1">
      <w:start w:val="1"/>
      <w:numFmt w:val="lowerRoman"/>
      <w:lvlText w:val="%9."/>
      <w:lvlJc w:val="right"/>
      <w:pPr>
        <w:ind w:left="6930" w:hanging="180"/>
      </w:pPr>
    </w:lvl>
  </w:abstractNum>
  <w:abstractNum w:abstractNumId="109">
    <w:nsid w:val="71146A48"/>
    <w:multiLevelType w:val="hybridMultilevel"/>
    <w:tmpl w:val="32DC74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72376FFB"/>
    <w:multiLevelType w:val="multilevel"/>
    <w:tmpl w:val="12E4239A"/>
    <w:lvl w:ilvl="0">
      <w:start w:val="1"/>
      <w:numFmt w:val="bullet"/>
      <w:pStyle w:val="Tes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1">
    <w:nsid w:val="73222A77"/>
    <w:multiLevelType w:val="hybridMultilevel"/>
    <w:tmpl w:val="BD700530"/>
    <w:lvl w:ilvl="0" w:tplc="1AA0ABC2">
      <w:start w:val="1"/>
      <w:numFmt w:val="bullet"/>
      <w:lvlText w:val=""/>
      <w:lvlJc w:val="left"/>
      <w:pPr>
        <w:tabs>
          <w:tab w:val="num" w:pos="794"/>
        </w:tabs>
        <w:ind w:left="794" w:hanging="397"/>
      </w:pPr>
      <w:rPr>
        <w:rFonts w:ascii="Symbol" w:hAnsi="Symbol" w:hint="default"/>
      </w:rPr>
    </w:lvl>
    <w:lvl w:ilvl="1" w:tplc="EA88E58A">
      <w:start w:val="1"/>
      <w:numFmt w:val="bullet"/>
      <w:lvlText w:val=""/>
      <w:lvlJc w:val="left"/>
      <w:pPr>
        <w:tabs>
          <w:tab w:val="num" w:pos="1990"/>
        </w:tabs>
        <w:ind w:left="1990" w:hanging="360"/>
      </w:pPr>
      <w:rPr>
        <w:rFonts w:ascii="Symbol" w:hAnsi="Symbol" w:hint="default"/>
        <w:color w:val="auto"/>
      </w:rPr>
    </w:lvl>
    <w:lvl w:ilvl="2" w:tplc="0409001B" w:tentative="1">
      <w:start w:val="1"/>
      <w:numFmt w:val="lowerRoman"/>
      <w:lvlText w:val="%3."/>
      <w:lvlJc w:val="right"/>
      <w:pPr>
        <w:tabs>
          <w:tab w:val="num" w:pos="2710"/>
        </w:tabs>
        <w:ind w:left="2710" w:hanging="180"/>
      </w:pPr>
    </w:lvl>
    <w:lvl w:ilvl="3" w:tplc="0409000F">
      <w:start w:val="1"/>
      <w:numFmt w:val="decimal"/>
      <w:lvlText w:val="%4."/>
      <w:lvlJc w:val="left"/>
      <w:pPr>
        <w:tabs>
          <w:tab w:val="num" w:pos="3430"/>
        </w:tabs>
        <w:ind w:left="3430" w:hanging="360"/>
      </w:pPr>
      <w:rPr>
        <w:rFonts w:hint="default"/>
      </w:rPr>
    </w:lvl>
    <w:lvl w:ilvl="4" w:tplc="04090019" w:tentative="1">
      <w:start w:val="1"/>
      <w:numFmt w:val="lowerLetter"/>
      <w:lvlText w:val="%5."/>
      <w:lvlJc w:val="left"/>
      <w:pPr>
        <w:tabs>
          <w:tab w:val="num" w:pos="4150"/>
        </w:tabs>
        <w:ind w:left="4150" w:hanging="360"/>
      </w:pPr>
    </w:lvl>
    <w:lvl w:ilvl="5" w:tplc="0409001B" w:tentative="1">
      <w:start w:val="1"/>
      <w:numFmt w:val="lowerRoman"/>
      <w:lvlText w:val="%6."/>
      <w:lvlJc w:val="right"/>
      <w:pPr>
        <w:tabs>
          <w:tab w:val="num" w:pos="4870"/>
        </w:tabs>
        <w:ind w:left="4870" w:hanging="180"/>
      </w:pPr>
    </w:lvl>
    <w:lvl w:ilvl="6" w:tplc="0409000F" w:tentative="1">
      <w:start w:val="1"/>
      <w:numFmt w:val="decimal"/>
      <w:lvlText w:val="%7."/>
      <w:lvlJc w:val="left"/>
      <w:pPr>
        <w:tabs>
          <w:tab w:val="num" w:pos="5590"/>
        </w:tabs>
        <w:ind w:left="5590" w:hanging="360"/>
      </w:pPr>
    </w:lvl>
    <w:lvl w:ilvl="7" w:tplc="04090019" w:tentative="1">
      <w:start w:val="1"/>
      <w:numFmt w:val="lowerLetter"/>
      <w:lvlText w:val="%8."/>
      <w:lvlJc w:val="left"/>
      <w:pPr>
        <w:tabs>
          <w:tab w:val="num" w:pos="6310"/>
        </w:tabs>
        <w:ind w:left="6310" w:hanging="360"/>
      </w:pPr>
    </w:lvl>
    <w:lvl w:ilvl="8" w:tplc="0409001B" w:tentative="1">
      <w:start w:val="1"/>
      <w:numFmt w:val="lowerRoman"/>
      <w:lvlText w:val="%9."/>
      <w:lvlJc w:val="right"/>
      <w:pPr>
        <w:tabs>
          <w:tab w:val="num" w:pos="7030"/>
        </w:tabs>
        <w:ind w:left="7030" w:hanging="180"/>
      </w:pPr>
    </w:lvl>
  </w:abstractNum>
  <w:abstractNum w:abstractNumId="112">
    <w:nsid w:val="733E68C7"/>
    <w:multiLevelType w:val="hybridMultilevel"/>
    <w:tmpl w:val="BB8A5216"/>
    <w:lvl w:ilvl="0" w:tplc="2130A91C">
      <w:numFmt w:val="bullet"/>
      <w:lvlText w:val="-"/>
      <w:lvlJc w:val="left"/>
      <w:pPr>
        <w:ind w:left="360" w:hanging="360"/>
      </w:pPr>
      <w:rPr>
        <w:rFonts w:ascii="Arial" w:eastAsia="SimSu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73600C05"/>
    <w:multiLevelType w:val="multilevel"/>
    <w:tmpl w:val="0476A0F0"/>
    <w:lvl w:ilvl="0">
      <w:start w:val="1"/>
      <w:numFmt w:val="decimal"/>
      <w:lvlText w:val="18.%1."/>
      <w:lvlJc w:val="left"/>
      <w:pPr>
        <w:ind w:left="0" w:firstLine="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14">
    <w:nsid w:val="73EF6FCB"/>
    <w:multiLevelType w:val="hybridMultilevel"/>
    <w:tmpl w:val="D94E09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74397032"/>
    <w:multiLevelType w:val="hybridMultilevel"/>
    <w:tmpl w:val="CE3EC29C"/>
    <w:lvl w:ilvl="0" w:tplc="92A6757A">
      <w:start w:val="1"/>
      <w:numFmt w:val="decimal"/>
      <w:lvlText w:val="6.%1."/>
      <w:lvlJc w:val="left"/>
      <w:pPr>
        <w:ind w:left="810" w:hanging="360"/>
      </w:pPr>
      <w:rPr>
        <w:rFonts w:ascii="Arial" w:hAnsi="Arial" w:cs="Arial" w:hint="default"/>
        <w:sz w:val="20"/>
        <w:szCs w:val="2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6">
    <w:nsid w:val="745A662D"/>
    <w:multiLevelType w:val="hybridMultilevel"/>
    <w:tmpl w:val="63BA6656"/>
    <w:lvl w:ilvl="0" w:tplc="2C784CBE">
      <w:start w:val="1"/>
      <w:numFmt w:val="decimal"/>
      <w:pStyle w:val="Style1"/>
      <w:lvlText w:val="13.%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75D11C28"/>
    <w:multiLevelType w:val="multilevel"/>
    <w:tmpl w:val="3B6A9DEE"/>
    <w:lvl w:ilvl="0">
      <w:start w:val="1"/>
      <w:numFmt w:val="decimal"/>
      <w:lvlRestart w:val="0"/>
      <w:lvlText w:val="%1."/>
      <w:lvlJc w:val="left"/>
      <w:pPr>
        <w:tabs>
          <w:tab w:val="num" w:pos="567"/>
        </w:tabs>
        <w:ind w:left="0" w:firstLine="0"/>
      </w:pPr>
      <w:rPr>
        <w:rFonts w:hint="default"/>
        <w:b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8">
    <w:nsid w:val="769221F0"/>
    <w:multiLevelType w:val="hybridMultilevel"/>
    <w:tmpl w:val="9C38BB52"/>
    <w:lvl w:ilvl="0" w:tplc="D47C40AC">
      <w:start w:val="1"/>
      <w:numFmt w:val="decimal"/>
      <w:lvlText w:val="2.%1."/>
      <w:lvlJc w:val="left"/>
      <w:pPr>
        <w:ind w:left="567" w:hanging="5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77054D63"/>
    <w:multiLevelType w:val="hybridMultilevel"/>
    <w:tmpl w:val="0002C35E"/>
    <w:lvl w:ilvl="0" w:tplc="717C3A64">
      <w:start w:val="1"/>
      <w:numFmt w:val="decimal"/>
      <w:lvlText w:val="27.%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77850D78"/>
    <w:multiLevelType w:val="hybridMultilevel"/>
    <w:tmpl w:val="87B0E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7A740C8E"/>
    <w:multiLevelType w:val="hybridMultilevel"/>
    <w:tmpl w:val="2166BB92"/>
    <w:lvl w:ilvl="0" w:tplc="A1167878">
      <w:start w:val="5"/>
      <w:numFmt w:val="bullet"/>
      <w:lvlText w:val="–"/>
      <w:lvlJc w:val="left"/>
      <w:pPr>
        <w:ind w:left="284" w:hanging="284"/>
      </w:pPr>
      <w:rPr>
        <w:rFonts w:ascii="Arial" w:eastAsiaTheme="minorHAnsi" w:hAnsi="Arial"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122">
    <w:nsid w:val="7A9C0334"/>
    <w:multiLevelType w:val="hybridMultilevel"/>
    <w:tmpl w:val="8AA8C8DE"/>
    <w:lvl w:ilvl="0" w:tplc="29AAD54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3">
    <w:nsid w:val="7B9F54BC"/>
    <w:multiLevelType w:val="hybridMultilevel"/>
    <w:tmpl w:val="79AA0386"/>
    <w:lvl w:ilvl="0" w:tplc="24621A76">
      <w:start w:val="1"/>
      <w:numFmt w:val="decimal"/>
      <w:lvlText w:val="15.%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7BEA236F"/>
    <w:multiLevelType w:val="hybridMultilevel"/>
    <w:tmpl w:val="B7DC0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7C226849"/>
    <w:multiLevelType w:val="hybridMultilevel"/>
    <w:tmpl w:val="662656A8"/>
    <w:lvl w:ilvl="0" w:tplc="1AA0ABC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7C2F76DB"/>
    <w:multiLevelType w:val="hybridMultilevel"/>
    <w:tmpl w:val="16CE3452"/>
    <w:lvl w:ilvl="0" w:tplc="2D4AE1C4">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7CB87600"/>
    <w:multiLevelType w:val="hybridMultilevel"/>
    <w:tmpl w:val="9B8CD3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8">
    <w:nsid w:val="7E5A0FB5"/>
    <w:multiLevelType w:val="hybridMultilevel"/>
    <w:tmpl w:val="7B7A9212"/>
    <w:lvl w:ilvl="0" w:tplc="E7CC037E">
      <w:start w:val="1"/>
      <w:numFmt w:val="bullet"/>
      <w:lvlText w:val=""/>
      <w:lvlJc w:val="left"/>
      <w:pPr>
        <w:ind w:left="1134" w:hanging="567"/>
      </w:pPr>
      <w:rPr>
        <w:rFonts w:ascii="Symbol" w:hAnsi="Symbol" w:hint="default"/>
      </w:rPr>
    </w:lvl>
    <w:lvl w:ilvl="1" w:tplc="FFFFFFFF" w:tentative="1">
      <w:start w:val="1"/>
      <w:numFmt w:val="bullet"/>
      <w:lvlText w:val="o"/>
      <w:lvlJc w:val="left"/>
      <w:pPr>
        <w:ind w:left="1500" w:hanging="360"/>
      </w:pPr>
      <w:rPr>
        <w:rFonts w:ascii="Courier New" w:hAnsi="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29">
    <w:nsid w:val="7FC21B01"/>
    <w:multiLevelType w:val="hybridMultilevel"/>
    <w:tmpl w:val="75AA88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4"/>
  </w:num>
  <w:num w:numId="2">
    <w:abstractNumId w:val="118"/>
  </w:num>
  <w:num w:numId="3">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4"/>
  </w:num>
  <w:num w:numId="5">
    <w:abstractNumId w:val="78"/>
  </w:num>
  <w:num w:numId="6">
    <w:abstractNumId w:val="3"/>
  </w:num>
  <w:num w:numId="7">
    <w:abstractNumId w:val="29"/>
  </w:num>
  <w:num w:numId="8">
    <w:abstractNumId w:val="126"/>
  </w:num>
  <w:num w:numId="9">
    <w:abstractNumId w:val="70"/>
  </w:num>
  <w:num w:numId="10">
    <w:abstractNumId w:val="116"/>
  </w:num>
  <w:num w:numId="11">
    <w:abstractNumId w:val="110"/>
  </w:num>
  <w:num w:numId="12">
    <w:abstractNumId w:val="97"/>
  </w:num>
  <w:num w:numId="13">
    <w:abstractNumId w:val="32"/>
  </w:num>
  <w:num w:numId="14">
    <w:abstractNumId w:val="37"/>
  </w:num>
  <w:num w:numId="15">
    <w:abstractNumId w:val="42"/>
  </w:num>
  <w:num w:numId="16">
    <w:abstractNumId w:val="59"/>
  </w:num>
  <w:num w:numId="17">
    <w:abstractNumId w:val="93"/>
  </w:num>
  <w:num w:numId="18">
    <w:abstractNumId w:val="123"/>
  </w:num>
  <w:num w:numId="19">
    <w:abstractNumId w:val="101"/>
  </w:num>
  <w:num w:numId="20">
    <w:abstractNumId w:val="49"/>
  </w:num>
  <w:num w:numId="21">
    <w:abstractNumId w:val="17"/>
  </w:num>
  <w:num w:numId="22">
    <w:abstractNumId w:val="24"/>
  </w:num>
  <w:num w:numId="23">
    <w:abstractNumId w:val="81"/>
  </w:num>
  <w:num w:numId="24">
    <w:abstractNumId w:val="105"/>
  </w:num>
  <w:num w:numId="25">
    <w:abstractNumId w:val="94"/>
  </w:num>
  <w:num w:numId="26">
    <w:abstractNumId w:val="63"/>
  </w:num>
  <w:num w:numId="27">
    <w:abstractNumId w:val="43"/>
  </w:num>
  <w:num w:numId="28">
    <w:abstractNumId w:val="87"/>
  </w:num>
  <w:num w:numId="29">
    <w:abstractNumId w:val="10"/>
  </w:num>
  <w:num w:numId="30">
    <w:abstractNumId w:val="98"/>
  </w:num>
  <w:num w:numId="31">
    <w:abstractNumId w:val="18"/>
  </w:num>
  <w:num w:numId="32">
    <w:abstractNumId w:val="2"/>
  </w:num>
  <w:num w:numId="33">
    <w:abstractNumId w:val="34"/>
  </w:num>
  <w:num w:numId="34">
    <w:abstractNumId w:val="0"/>
  </w:num>
  <w:num w:numId="35">
    <w:abstractNumId w:val="28"/>
  </w:num>
  <w:num w:numId="36">
    <w:abstractNumId w:val="90"/>
  </w:num>
  <w:num w:numId="37">
    <w:abstractNumId w:val="106"/>
  </w:num>
  <w:num w:numId="38">
    <w:abstractNumId w:val="53"/>
  </w:num>
  <w:num w:numId="39">
    <w:abstractNumId w:val="92"/>
  </w:num>
  <w:num w:numId="40">
    <w:abstractNumId w:val="12"/>
  </w:num>
  <w:num w:numId="41">
    <w:abstractNumId w:val="103"/>
  </w:num>
  <w:num w:numId="42">
    <w:abstractNumId w:val="6"/>
  </w:num>
  <w:num w:numId="43">
    <w:abstractNumId w:val="99"/>
  </w:num>
  <w:num w:numId="44">
    <w:abstractNumId w:val="77"/>
  </w:num>
  <w:num w:numId="45">
    <w:abstractNumId w:val="50"/>
  </w:num>
  <w:num w:numId="46">
    <w:abstractNumId w:val="9"/>
  </w:num>
  <w:num w:numId="47">
    <w:abstractNumId w:val="67"/>
  </w:num>
  <w:num w:numId="48">
    <w:abstractNumId w:val="107"/>
  </w:num>
  <w:num w:numId="49">
    <w:abstractNumId w:val="113"/>
  </w:num>
  <w:num w:numId="50">
    <w:abstractNumId w:val="102"/>
  </w:num>
  <w:num w:numId="51">
    <w:abstractNumId w:val="119"/>
  </w:num>
  <w:num w:numId="52">
    <w:abstractNumId w:val="71"/>
  </w:num>
  <w:num w:numId="53">
    <w:abstractNumId w:val="121"/>
  </w:num>
  <w:num w:numId="54">
    <w:abstractNumId w:val="23"/>
  </w:num>
  <w:num w:numId="55">
    <w:abstractNumId w:val="82"/>
  </w:num>
  <w:num w:numId="56">
    <w:abstractNumId w:val="39"/>
  </w:num>
  <w:num w:numId="57">
    <w:abstractNumId w:val="25"/>
  </w:num>
  <w:num w:numId="58">
    <w:abstractNumId w:val="108"/>
  </w:num>
  <w:num w:numId="59">
    <w:abstractNumId w:val="68"/>
  </w:num>
  <w:num w:numId="60">
    <w:abstractNumId w:val="117"/>
  </w:num>
  <w:num w:numId="61">
    <w:abstractNumId w:val="111"/>
  </w:num>
  <w:num w:numId="62">
    <w:abstractNumId w:val="19"/>
  </w:num>
  <w:num w:numId="63">
    <w:abstractNumId w:val="48"/>
  </w:num>
  <w:num w:numId="64">
    <w:abstractNumId w:val="115"/>
  </w:num>
  <w:num w:numId="65">
    <w:abstractNumId w:val="26"/>
  </w:num>
  <w:num w:numId="66">
    <w:abstractNumId w:val="7"/>
  </w:num>
  <w:num w:numId="67">
    <w:abstractNumId w:val="31"/>
  </w:num>
  <w:num w:numId="68">
    <w:abstractNumId w:val="22"/>
  </w:num>
  <w:num w:numId="69">
    <w:abstractNumId w:val="109"/>
  </w:num>
  <w:num w:numId="70">
    <w:abstractNumId w:val="56"/>
  </w:num>
  <w:num w:numId="71">
    <w:abstractNumId w:val="114"/>
  </w:num>
  <w:num w:numId="72">
    <w:abstractNumId w:val="129"/>
  </w:num>
  <w:num w:numId="73">
    <w:abstractNumId w:val="85"/>
  </w:num>
  <w:num w:numId="74">
    <w:abstractNumId w:val="75"/>
  </w:num>
  <w:num w:numId="75">
    <w:abstractNumId w:val="13"/>
  </w:num>
  <w:num w:numId="76">
    <w:abstractNumId w:val="104"/>
  </w:num>
  <w:num w:numId="77">
    <w:abstractNumId w:val="100"/>
  </w:num>
  <w:num w:numId="78">
    <w:abstractNumId w:val="124"/>
  </w:num>
  <w:num w:numId="79">
    <w:abstractNumId w:val="38"/>
  </w:num>
  <w:num w:numId="80">
    <w:abstractNumId w:val="61"/>
  </w:num>
  <w:num w:numId="81">
    <w:abstractNumId w:val="95"/>
  </w:num>
  <w:num w:numId="82">
    <w:abstractNumId w:val="83"/>
  </w:num>
  <w:num w:numId="83">
    <w:abstractNumId w:val="120"/>
  </w:num>
  <w:num w:numId="84">
    <w:abstractNumId w:val="69"/>
  </w:num>
  <w:num w:numId="85">
    <w:abstractNumId w:val="4"/>
  </w:num>
  <w:num w:numId="86">
    <w:abstractNumId w:val="96"/>
  </w:num>
  <w:num w:numId="87">
    <w:abstractNumId w:val="80"/>
  </w:num>
  <w:num w:numId="88">
    <w:abstractNumId w:val="30"/>
  </w:num>
  <w:num w:numId="89">
    <w:abstractNumId w:val="72"/>
  </w:num>
  <w:num w:numId="90">
    <w:abstractNumId w:val="40"/>
  </w:num>
  <w:num w:numId="91">
    <w:abstractNumId w:val="66"/>
  </w:num>
  <w:num w:numId="92">
    <w:abstractNumId w:val="74"/>
  </w:num>
  <w:num w:numId="93">
    <w:abstractNumId w:val="65"/>
  </w:num>
  <w:num w:numId="94">
    <w:abstractNumId w:val="57"/>
  </w:num>
  <w:num w:numId="95">
    <w:abstractNumId w:val="5"/>
  </w:num>
  <w:num w:numId="96">
    <w:abstractNumId w:val="35"/>
  </w:num>
  <w:num w:numId="97">
    <w:abstractNumId w:val="16"/>
  </w:num>
  <w:num w:numId="98">
    <w:abstractNumId w:val="91"/>
  </w:num>
  <w:num w:numId="99">
    <w:abstractNumId w:val="79"/>
  </w:num>
  <w:num w:numId="100">
    <w:abstractNumId w:val="58"/>
  </w:num>
  <w:num w:numId="101">
    <w:abstractNumId w:val="84"/>
  </w:num>
  <w:num w:numId="102">
    <w:abstractNumId w:val="45"/>
  </w:num>
  <w:num w:numId="103">
    <w:abstractNumId w:val="1"/>
  </w:num>
  <w:num w:numId="104">
    <w:abstractNumId w:val="122"/>
  </w:num>
  <w:num w:numId="105">
    <w:abstractNumId w:val="36"/>
  </w:num>
  <w:num w:numId="106">
    <w:abstractNumId w:val="128"/>
  </w:num>
  <w:num w:numId="107">
    <w:abstractNumId w:val="41"/>
  </w:num>
  <w:num w:numId="108">
    <w:abstractNumId w:val="47"/>
  </w:num>
  <w:num w:numId="109">
    <w:abstractNumId w:val="51"/>
  </w:num>
  <w:num w:numId="110">
    <w:abstractNumId w:val="117"/>
    <w:lvlOverride w:ilvl="0">
      <w:startOverride w:val="2"/>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117"/>
    <w:lvlOverride w:ilvl="0">
      <w:startOverride w:val="2"/>
    </w:lvlOverride>
    <w:lvlOverride w:ilvl="1">
      <w:startOverride w:val="3"/>
    </w:lvlOverride>
    <w:lvlOverride w:ilvl="2">
      <w:startOverride w:val="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55"/>
  </w:num>
  <w:num w:numId="113">
    <w:abstractNumId w:val="46"/>
  </w:num>
  <w:num w:numId="114">
    <w:abstractNumId w:val="33"/>
  </w:num>
  <w:num w:numId="115">
    <w:abstractNumId w:val="27"/>
  </w:num>
  <w:num w:numId="116">
    <w:abstractNumId w:val="60"/>
  </w:num>
  <w:num w:numId="117">
    <w:abstractNumId w:val="52"/>
  </w:num>
  <w:num w:numId="118">
    <w:abstractNumId w:val="14"/>
  </w:num>
  <w:num w:numId="119">
    <w:abstractNumId w:val="73"/>
  </w:num>
  <w:num w:numId="120">
    <w:abstractNumId w:val="64"/>
  </w:num>
  <w:num w:numId="121">
    <w:abstractNumId w:val="20"/>
  </w:num>
  <w:num w:numId="122">
    <w:abstractNumId w:val="8"/>
  </w:num>
  <w:num w:numId="123">
    <w:abstractNumId w:val="86"/>
  </w:num>
  <w:num w:numId="124">
    <w:abstractNumId w:val="11"/>
  </w:num>
  <w:num w:numId="125">
    <w:abstractNumId w:val="76"/>
  </w:num>
  <w:num w:numId="126">
    <w:abstractNumId w:val="127"/>
  </w:num>
  <w:num w:numId="127">
    <w:abstractNumId w:val="62"/>
  </w:num>
  <w:num w:numId="128">
    <w:abstractNumId w:val="125"/>
  </w:num>
  <w:num w:numId="129">
    <w:abstractNumId w:val="15"/>
  </w:num>
  <w:num w:numId="130">
    <w:abstractNumId w:val="112"/>
  </w:num>
  <w:num w:numId="131">
    <w:abstractNumId w:val="21"/>
  </w:num>
  <w:num w:numId="13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567"/>
  <w:hyphenationZone w:val="425"/>
  <w:evenAndOddHeaders/>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eng"/>
    <w:docVar w:name="TargetLng" w:val="fra"/>
    <w:docVar w:name="TermBases" w:val="Empty"/>
    <w:docVar w:name="TermBaseURL" w:val="empty"/>
    <w:docVar w:name="TextBases" w:val="TextBase TMs\WorkspaceFTS\EN-FR\Académie|TextBase TMs\WorkspaceFTS\EN-FR\ACE|TextBase TMs\WorkspaceFTS\EN-FR\Administratif|TextBase TMs\WorkspaceFTS\EN-FR\AMC|TextBase TMs\WorkspaceFTS\EN-FR\Assemblées|TextBase TMs\WorkspaceFTS\EN-FR\Budapest|TextBase TMs\WorkspaceFTS\EN-FR\CDIP|TextBase TMs\WorkspaceFTS\EN-FR\Communications|TextBase TMs\WorkspaceFTS\EN-FR\CWS|TextBase TMs\WorkspaceFTS\EN-FR\Divers|TextBase TMs\WorkspaceFTS\EN-FR\Glossaires|TextBase TMs\WorkspaceFTS\EN-FR\GRTKF|TextBase TMs\WorkspaceFTS\EN-FR\IPC|TextBase TMs\WorkspaceFTS\EN-FR\La_Haye|TextBase TMs\WorkspaceFTS\EN-FR\Lisbonne|TextBase TMs\WorkspaceFTS\EN-FR\Madrid|TextBase TMs\WorkspaceFTS\EN-FR\PBC|TextBase TMs\WorkspaceFTS\EN-FR\PCT|TextBase TMs\WorkspaceFTS\EN-FR\PLT|TextBase TMs\WorkspaceFTS\EN-FR\Publications|TextBase TMs\WorkspaceFTS\EN-FR\SCCR|TextBase TMs\WorkspaceFTS\EN-FR\SCP|TextBase TMs\WorkspaceFTS\EN-FR\SCT|TextBase TMs\WorkspaceFTS\EN-FR\Traités|TextBase TMs\Budget and Finance\Meetings|TextBase TMs\Budget and Finance\Other|TextBase TMs\Budget and Finance\Publications|TextBase TMs\Administrative\Meetings|TextBase TMs\Administrative\Other|TextBase TMs\Administrative\Publications|TextBase TMs\Copyright\Meetings|TextBase TMs\Copyright\Other|TextBase TMs\Copyright\Publications|TextBase TMs\IP in General\Academy|TextBase TMs\IP in General\Arbitration and Mediation|TextBase TMs\IP in General\Meetings|TextBase TMs\IP in General\Other|TextBase TMs\IP in General\Press Room|TextBase TMs\IP in General\Publications|TextBase TMs\IP in General\SpeechDG2014|TextBase TMs\Patents\Meetings|TextBase TMs\Patents\Other|TextBase TMs\Patents\Publications|TextBase TMs\Trademarks\Meetings|TextBase TMs\Trademarks\Other|TextBase TMs\Trademarks\Publications|TextBase TMs\Treaties\Model Laws|TextBase TMs\Treaties\Other Laws and Agreements|TextBase TMs\Treaties\WIPO-administered"/>
    <w:docVar w:name="TextBaseURL" w:val="empty"/>
    <w:docVar w:name="UILng" w:val="en"/>
  </w:docVars>
  <w:rsids>
    <w:rsidRoot w:val="00B60163"/>
    <w:rsid w:val="0000169D"/>
    <w:rsid w:val="00001D1A"/>
    <w:rsid w:val="00005E5E"/>
    <w:rsid w:val="00007D87"/>
    <w:rsid w:val="000156E3"/>
    <w:rsid w:val="00016769"/>
    <w:rsid w:val="00016B49"/>
    <w:rsid w:val="000228A2"/>
    <w:rsid w:val="00022E46"/>
    <w:rsid w:val="000278D9"/>
    <w:rsid w:val="00033157"/>
    <w:rsid w:val="00035F20"/>
    <w:rsid w:val="00041706"/>
    <w:rsid w:val="00044F6D"/>
    <w:rsid w:val="00045094"/>
    <w:rsid w:val="00051794"/>
    <w:rsid w:val="0005281E"/>
    <w:rsid w:val="000579FF"/>
    <w:rsid w:val="0006508A"/>
    <w:rsid w:val="00066B91"/>
    <w:rsid w:val="00066B9C"/>
    <w:rsid w:val="000701E9"/>
    <w:rsid w:val="00073996"/>
    <w:rsid w:val="00081392"/>
    <w:rsid w:val="0008229F"/>
    <w:rsid w:val="00084F14"/>
    <w:rsid w:val="00086B3B"/>
    <w:rsid w:val="00093F42"/>
    <w:rsid w:val="0009446F"/>
    <w:rsid w:val="000962D1"/>
    <w:rsid w:val="00096B75"/>
    <w:rsid w:val="00096BD8"/>
    <w:rsid w:val="00097C4D"/>
    <w:rsid w:val="00097F7C"/>
    <w:rsid w:val="000A1ECB"/>
    <w:rsid w:val="000A248A"/>
    <w:rsid w:val="000A3598"/>
    <w:rsid w:val="000A4AC0"/>
    <w:rsid w:val="000B03C1"/>
    <w:rsid w:val="000B19F1"/>
    <w:rsid w:val="000B1C8B"/>
    <w:rsid w:val="000B510B"/>
    <w:rsid w:val="000C1A46"/>
    <w:rsid w:val="000D365D"/>
    <w:rsid w:val="000D43DC"/>
    <w:rsid w:val="000E028C"/>
    <w:rsid w:val="000E6DC9"/>
    <w:rsid w:val="000E7C76"/>
    <w:rsid w:val="000F595E"/>
    <w:rsid w:val="00101BF0"/>
    <w:rsid w:val="00101F6D"/>
    <w:rsid w:val="0010605C"/>
    <w:rsid w:val="00112D76"/>
    <w:rsid w:val="001148C0"/>
    <w:rsid w:val="00114EC6"/>
    <w:rsid w:val="001205EE"/>
    <w:rsid w:val="00120C9E"/>
    <w:rsid w:val="00125A65"/>
    <w:rsid w:val="001276B5"/>
    <w:rsid w:val="001400B2"/>
    <w:rsid w:val="00141952"/>
    <w:rsid w:val="00142BF9"/>
    <w:rsid w:val="00144646"/>
    <w:rsid w:val="0014497B"/>
    <w:rsid w:val="00153B24"/>
    <w:rsid w:val="00157E8B"/>
    <w:rsid w:val="00164E57"/>
    <w:rsid w:val="00166D1A"/>
    <w:rsid w:val="001852A1"/>
    <w:rsid w:val="001853F9"/>
    <w:rsid w:val="0019084C"/>
    <w:rsid w:val="0019121E"/>
    <w:rsid w:val="00194A9A"/>
    <w:rsid w:val="001A4D6C"/>
    <w:rsid w:val="001A5357"/>
    <w:rsid w:val="001B3231"/>
    <w:rsid w:val="001B3CA6"/>
    <w:rsid w:val="001B607B"/>
    <w:rsid w:val="001C03C6"/>
    <w:rsid w:val="001C117D"/>
    <w:rsid w:val="001C2F8D"/>
    <w:rsid w:val="001C7D58"/>
    <w:rsid w:val="001D3731"/>
    <w:rsid w:val="001D5293"/>
    <w:rsid w:val="001D7B57"/>
    <w:rsid w:val="001E0665"/>
    <w:rsid w:val="001E0A75"/>
    <w:rsid w:val="001E56A7"/>
    <w:rsid w:val="0022111A"/>
    <w:rsid w:val="002214C1"/>
    <w:rsid w:val="00232431"/>
    <w:rsid w:val="002402E7"/>
    <w:rsid w:val="0025677D"/>
    <w:rsid w:val="00256BA0"/>
    <w:rsid w:val="0026026B"/>
    <w:rsid w:val="00260BF6"/>
    <w:rsid w:val="00262B28"/>
    <w:rsid w:val="00271796"/>
    <w:rsid w:val="00276713"/>
    <w:rsid w:val="00290CD0"/>
    <w:rsid w:val="00292D3F"/>
    <w:rsid w:val="00294710"/>
    <w:rsid w:val="00297407"/>
    <w:rsid w:val="002A0D1C"/>
    <w:rsid w:val="002A11A6"/>
    <w:rsid w:val="002B7DC2"/>
    <w:rsid w:val="002C196D"/>
    <w:rsid w:val="002C2B5E"/>
    <w:rsid w:val="002C57EB"/>
    <w:rsid w:val="002D4597"/>
    <w:rsid w:val="002D667F"/>
    <w:rsid w:val="002E290B"/>
    <w:rsid w:val="002E309D"/>
    <w:rsid w:val="002E5164"/>
    <w:rsid w:val="002E5C9B"/>
    <w:rsid w:val="002F48CB"/>
    <w:rsid w:val="002F4CEE"/>
    <w:rsid w:val="002F5D30"/>
    <w:rsid w:val="003057DF"/>
    <w:rsid w:val="00305CE5"/>
    <w:rsid w:val="00307739"/>
    <w:rsid w:val="00313F76"/>
    <w:rsid w:val="003146CB"/>
    <w:rsid w:val="00316A57"/>
    <w:rsid w:val="0031760B"/>
    <w:rsid w:val="00327D08"/>
    <w:rsid w:val="0033057B"/>
    <w:rsid w:val="00332C04"/>
    <w:rsid w:val="003330D9"/>
    <w:rsid w:val="00335528"/>
    <w:rsid w:val="003409A1"/>
    <w:rsid w:val="00343D9F"/>
    <w:rsid w:val="003479D2"/>
    <w:rsid w:val="003737EE"/>
    <w:rsid w:val="00375300"/>
    <w:rsid w:val="0037743E"/>
    <w:rsid w:val="00380E43"/>
    <w:rsid w:val="00382B3D"/>
    <w:rsid w:val="00393664"/>
    <w:rsid w:val="00393E8B"/>
    <w:rsid w:val="003A42E0"/>
    <w:rsid w:val="003A56B4"/>
    <w:rsid w:val="003B3CFF"/>
    <w:rsid w:val="003D00C5"/>
    <w:rsid w:val="003D1B38"/>
    <w:rsid w:val="003D6A50"/>
    <w:rsid w:val="003E0D2F"/>
    <w:rsid w:val="003E6577"/>
    <w:rsid w:val="003F275F"/>
    <w:rsid w:val="003F35A3"/>
    <w:rsid w:val="004018F4"/>
    <w:rsid w:val="0042198B"/>
    <w:rsid w:val="00421F20"/>
    <w:rsid w:val="00431966"/>
    <w:rsid w:val="00431FF8"/>
    <w:rsid w:val="00435148"/>
    <w:rsid w:val="00435839"/>
    <w:rsid w:val="00444AE6"/>
    <w:rsid w:val="00447A44"/>
    <w:rsid w:val="00455915"/>
    <w:rsid w:val="00460618"/>
    <w:rsid w:val="004656B7"/>
    <w:rsid w:val="00473433"/>
    <w:rsid w:val="00473801"/>
    <w:rsid w:val="00481338"/>
    <w:rsid w:val="00484A05"/>
    <w:rsid w:val="00490D3E"/>
    <w:rsid w:val="0049278E"/>
    <w:rsid w:val="0049439B"/>
    <w:rsid w:val="00496223"/>
    <w:rsid w:val="004A0BE0"/>
    <w:rsid w:val="004A131D"/>
    <w:rsid w:val="004C6F99"/>
    <w:rsid w:val="004D29B6"/>
    <w:rsid w:val="004D45D5"/>
    <w:rsid w:val="004D4BC9"/>
    <w:rsid w:val="004D4DD5"/>
    <w:rsid w:val="004D5D40"/>
    <w:rsid w:val="004E0DDF"/>
    <w:rsid w:val="004F6DF6"/>
    <w:rsid w:val="004F7C75"/>
    <w:rsid w:val="00500E84"/>
    <w:rsid w:val="00502938"/>
    <w:rsid w:val="00504072"/>
    <w:rsid w:val="00504F8D"/>
    <w:rsid w:val="0050659A"/>
    <w:rsid w:val="00506F85"/>
    <w:rsid w:val="005157AB"/>
    <w:rsid w:val="00515F52"/>
    <w:rsid w:val="005163A7"/>
    <w:rsid w:val="005218A7"/>
    <w:rsid w:val="00523F11"/>
    <w:rsid w:val="00524CF8"/>
    <w:rsid w:val="00534265"/>
    <w:rsid w:val="00535B2E"/>
    <w:rsid w:val="00537317"/>
    <w:rsid w:val="005408D1"/>
    <w:rsid w:val="00545C4E"/>
    <w:rsid w:val="00556875"/>
    <w:rsid w:val="00557028"/>
    <w:rsid w:val="0055716F"/>
    <w:rsid w:val="005578FA"/>
    <w:rsid w:val="0056685F"/>
    <w:rsid w:val="005709DD"/>
    <w:rsid w:val="00571EAC"/>
    <w:rsid w:val="00591702"/>
    <w:rsid w:val="005A1C92"/>
    <w:rsid w:val="005A724C"/>
    <w:rsid w:val="005B7C81"/>
    <w:rsid w:val="005D1556"/>
    <w:rsid w:val="005D6BD5"/>
    <w:rsid w:val="005E2AD2"/>
    <w:rsid w:val="005E6E13"/>
    <w:rsid w:val="005E7BBE"/>
    <w:rsid w:val="005F3C5C"/>
    <w:rsid w:val="005F4B22"/>
    <w:rsid w:val="005F6BE0"/>
    <w:rsid w:val="005F6D83"/>
    <w:rsid w:val="006024F4"/>
    <w:rsid w:val="00602B2C"/>
    <w:rsid w:val="00602B6A"/>
    <w:rsid w:val="00604F49"/>
    <w:rsid w:val="0061462F"/>
    <w:rsid w:val="00616675"/>
    <w:rsid w:val="006218E8"/>
    <w:rsid w:val="00631864"/>
    <w:rsid w:val="006364A5"/>
    <w:rsid w:val="0063692E"/>
    <w:rsid w:val="00640723"/>
    <w:rsid w:val="0064663A"/>
    <w:rsid w:val="006601D0"/>
    <w:rsid w:val="0066137C"/>
    <w:rsid w:val="0066325C"/>
    <w:rsid w:val="0066703D"/>
    <w:rsid w:val="006720F4"/>
    <w:rsid w:val="00672E39"/>
    <w:rsid w:val="0067337E"/>
    <w:rsid w:val="006761FB"/>
    <w:rsid w:val="0067725D"/>
    <w:rsid w:val="006817D5"/>
    <w:rsid w:val="006A7E84"/>
    <w:rsid w:val="006B2952"/>
    <w:rsid w:val="006B4318"/>
    <w:rsid w:val="006B4497"/>
    <w:rsid w:val="006C205E"/>
    <w:rsid w:val="006C5A04"/>
    <w:rsid w:val="006C5F0E"/>
    <w:rsid w:val="006C6BDD"/>
    <w:rsid w:val="006E2658"/>
    <w:rsid w:val="006E2BB1"/>
    <w:rsid w:val="006E2FC6"/>
    <w:rsid w:val="006E3097"/>
    <w:rsid w:val="006F078F"/>
    <w:rsid w:val="006F4824"/>
    <w:rsid w:val="006F4E5D"/>
    <w:rsid w:val="00701B2A"/>
    <w:rsid w:val="00701E26"/>
    <w:rsid w:val="0070281D"/>
    <w:rsid w:val="007054CC"/>
    <w:rsid w:val="00706000"/>
    <w:rsid w:val="00720BAC"/>
    <w:rsid w:val="007212D8"/>
    <w:rsid w:val="00721905"/>
    <w:rsid w:val="007225D6"/>
    <w:rsid w:val="00722651"/>
    <w:rsid w:val="00726111"/>
    <w:rsid w:val="00730C4B"/>
    <w:rsid w:val="00732121"/>
    <w:rsid w:val="00732F7F"/>
    <w:rsid w:val="00735AD1"/>
    <w:rsid w:val="00743233"/>
    <w:rsid w:val="0074382E"/>
    <w:rsid w:val="00746599"/>
    <w:rsid w:val="00747EB3"/>
    <w:rsid w:val="007500D7"/>
    <w:rsid w:val="00755692"/>
    <w:rsid w:val="00761621"/>
    <w:rsid w:val="0076367F"/>
    <w:rsid w:val="00774389"/>
    <w:rsid w:val="0078080C"/>
    <w:rsid w:val="00783605"/>
    <w:rsid w:val="00785CE1"/>
    <w:rsid w:val="00786C89"/>
    <w:rsid w:val="007A2875"/>
    <w:rsid w:val="007A287B"/>
    <w:rsid w:val="007A44FF"/>
    <w:rsid w:val="007B0AFD"/>
    <w:rsid w:val="007B527F"/>
    <w:rsid w:val="007B599A"/>
    <w:rsid w:val="007C41D9"/>
    <w:rsid w:val="007D48A0"/>
    <w:rsid w:val="007D57EE"/>
    <w:rsid w:val="007E29E6"/>
    <w:rsid w:val="007E3F84"/>
    <w:rsid w:val="007E6877"/>
    <w:rsid w:val="007F409A"/>
    <w:rsid w:val="007F4412"/>
    <w:rsid w:val="007F7714"/>
    <w:rsid w:val="008063C8"/>
    <w:rsid w:val="008107CF"/>
    <w:rsid w:val="00817235"/>
    <w:rsid w:val="00817FBA"/>
    <w:rsid w:val="00825216"/>
    <w:rsid w:val="0083225C"/>
    <w:rsid w:val="0083763A"/>
    <w:rsid w:val="00841860"/>
    <w:rsid w:val="0084236C"/>
    <w:rsid w:val="008437B7"/>
    <w:rsid w:val="00843A9D"/>
    <w:rsid w:val="0084612A"/>
    <w:rsid w:val="00854DBC"/>
    <w:rsid w:val="00856060"/>
    <w:rsid w:val="00857745"/>
    <w:rsid w:val="00857D40"/>
    <w:rsid w:val="00862CEF"/>
    <w:rsid w:val="00873CC9"/>
    <w:rsid w:val="0087590F"/>
    <w:rsid w:val="00880145"/>
    <w:rsid w:val="008808C8"/>
    <w:rsid w:val="00881C63"/>
    <w:rsid w:val="00882044"/>
    <w:rsid w:val="00884978"/>
    <w:rsid w:val="008A24C4"/>
    <w:rsid w:val="008A59B5"/>
    <w:rsid w:val="008C1C53"/>
    <w:rsid w:val="008C2E74"/>
    <w:rsid w:val="008C2F15"/>
    <w:rsid w:val="008C4E3A"/>
    <w:rsid w:val="008C6AFE"/>
    <w:rsid w:val="008D2F2B"/>
    <w:rsid w:val="008D56CC"/>
    <w:rsid w:val="008D683C"/>
    <w:rsid w:val="008D6BB0"/>
    <w:rsid w:val="008E15FE"/>
    <w:rsid w:val="008E58FD"/>
    <w:rsid w:val="008E63DE"/>
    <w:rsid w:val="008F201B"/>
    <w:rsid w:val="00906461"/>
    <w:rsid w:val="0091180C"/>
    <w:rsid w:val="00923724"/>
    <w:rsid w:val="00927E1F"/>
    <w:rsid w:val="00936EE0"/>
    <w:rsid w:val="0094486D"/>
    <w:rsid w:val="009479C5"/>
    <w:rsid w:val="00947F24"/>
    <w:rsid w:val="009554B2"/>
    <w:rsid w:val="00955988"/>
    <w:rsid w:val="00957C2D"/>
    <w:rsid w:val="00957D7A"/>
    <w:rsid w:val="009663EE"/>
    <w:rsid w:val="009702A8"/>
    <w:rsid w:val="00970AF2"/>
    <w:rsid w:val="00971425"/>
    <w:rsid w:val="009829F3"/>
    <w:rsid w:val="009B3381"/>
    <w:rsid w:val="009B44FF"/>
    <w:rsid w:val="009C1C64"/>
    <w:rsid w:val="009C4A80"/>
    <w:rsid w:val="009C75BB"/>
    <w:rsid w:val="009D057D"/>
    <w:rsid w:val="009D371F"/>
    <w:rsid w:val="009D430D"/>
    <w:rsid w:val="009E19D2"/>
    <w:rsid w:val="009E79FA"/>
    <w:rsid w:val="009F13BD"/>
    <w:rsid w:val="009F3B01"/>
    <w:rsid w:val="009F7359"/>
    <w:rsid w:val="00A00617"/>
    <w:rsid w:val="00A0328D"/>
    <w:rsid w:val="00A03450"/>
    <w:rsid w:val="00A068F8"/>
    <w:rsid w:val="00A21308"/>
    <w:rsid w:val="00A227BE"/>
    <w:rsid w:val="00A24F8B"/>
    <w:rsid w:val="00A26172"/>
    <w:rsid w:val="00A30EE9"/>
    <w:rsid w:val="00A32C3F"/>
    <w:rsid w:val="00A36102"/>
    <w:rsid w:val="00A36494"/>
    <w:rsid w:val="00A36764"/>
    <w:rsid w:val="00A40374"/>
    <w:rsid w:val="00A43BDE"/>
    <w:rsid w:val="00A4495C"/>
    <w:rsid w:val="00A624C0"/>
    <w:rsid w:val="00A65835"/>
    <w:rsid w:val="00A70927"/>
    <w:rsid w:val="00A84364"/>
    <w:rsid w:val="00A85D9A"/>
    <w:rsid w:val="00A87950"/>
    <w:rsid w:val="00A918B2"/>
    <w:rsid w:val="00AA11F9"/>
    <w:rsid w:val="00AA2326"/>
    <w:rsid w:val="00AA7A91"/>
    <w:rsid w:val="00AB4D71"/>
    <w:rsid w:val="00AC0151"/>
    <w:rsid w:val="00AC1F6D"/>
    <w:rsid w:val="00AC62DA"/>
    <w:rsid w:val="00AC64A3"/>
    <w:rsid w:val="00AC71A3"/>
    <w:rsid w:val="00AD0334"/>
    <w:rsid w:val="00AD1FA5"/>
    <w:rsid w:val="00AD2A1E"/>
    <w:rsid w:val="00AD6A0A"/>
    <w:rsid w:val="00AE020C"/>
    <w:rsid w:val="00AE58DB"/>
    <w:rsid w:val="00AF3955"/>
    <w:rsid w:val="00AF5B58"/>
    <w:rsid w:val="00B00DD7"/>
    <w:rsid w:val="00B10729"/>
    <w:rsid w:val="00B127E2"/>
    <w:rsid w:val="00B13C1D"/>
    <w:rsid w:val="00B13C89"/>
    <w:rsid w:val="00B243D9"/>
    <w:rsid w:val="00B26AF7"/>
    <w:rsid w:val="00B27666"/>
    <w:rsid w:val="00B30C4A"/>
    <w:rsid w:val="00B325A4"/>
    <w:rsid w:val="00B421E4"/>
    <w:rsid w:val="00B4352E"/>
    <w:rsid w:val="00B448FF"/>
    <w:rsid w:val="00B50AD3"/>
    <w:rsid w:val="00B53DBE"/>
    <w:rsid w:val="00B547A1"/>
    <w:rsid w:val="00B60163"/>
    <w:rsid w:val="00B61217"/>
    <w:rsid w:val="00B62C62"/>
    <w:rsid w:val="00B65C52"/>
    <w:rsid w:val="00B6654F"/>
    <w:rsid w:val="00B67885"/>
    <w:rsid w:val="00B70B20"/>
    <w:rsid w:val="00B76703"/>
    <w:rsid w:val="00B76BF3"/>
    <w:rsid w:val="00B772BB"/>
    <w:rsid w:val="00B80C3D"/>
    <w:rsid w:val="00B91CCF"/>
    <w:rsid w:val="00B927B4"/>
    <w:rsid w:val="00BA0AED"/>
    <w:rsid w:val="00BA5B2A"/>
    <w:rsid w:val="00BB4DBC"/>
    <w:rsid w:val="00BB5DFE"/>
    <w:rsid w:val="00BB6459"/>
    <w:rsid w:val="00BB716F"/>
    <w:rsid w:val="00BC0BCE"/>
    <w:rsid w:val="00BC1A97"/>
    <w:rsid w:val="00BC6B44"/>
    <w:rsid w:val="00BC7234"/>
    <w:rsid w:val="00BC7614"/>
    <w:rsid w:val="00BD0319"/>
    <w:rsid w:val="00BD0DDF"/>
    <w:rsid w:val="00BD32EB"/>
    <w:rsid w:val="00BD5530"/>
    <w:rsid w:val="00BE07AF"/>
    <w:rsid w:val="00BE27AB"/>
    <w:rsid w:val="00BE7220"/>
    <w:rsid w:val="00BF1941"/>
    <w:rsid w:val="00C0217D"/>
    <w:rsid w:val="00C034EC"/>
    <w:rsid w:val="00C119D7"/>
    <w:rsid w:val="00C14A86"/>
    <w:rsid w:val="00C16075"/>
    <w:rsid w:val="00C16A2F"/>
    <w:rsid w:val="00C20A7D"/>
    <w:rsid w:val="00C258AD"/>
    <w:rsid w:val="00C35429"/>
    <w:rsid w:val="00C35A77"/>
    <w:rsid w:val="00C40190"/>
    <w:rsid w:val="00C40941"/>
    <w:rsid w:val="00C435E1"/>
    <w:rsid w:val="00C4583A"/>
    <w:rsid w:val="00C47E60"/>
    <w:rsid w:val="00C5135D"/>
    <w:rsid w:val="00C6538A"/>
    <w:rsid w:val="00C66E1E"/>
    <w:rsid w:val="00C71774"/>
    <w:rsid w:val="00C73C95"/>
    <w:rsid w:val="00C80FDE"/>
    <w:rsid w:val="00C86A50"/>
    <w:rsid w:val="00C9182C"/>
    <w:rsid w:val="00C92C74"/>
    <w:rsid w:val="00C93D84"/>
    <w:rsid w:val="00C966D5"/>
    <w:rsid w:val="00CA327A"/>
    <w:rsid w:val="00CA6084"/>
    <w:rsid w:val="00CB39DF"/>
    <w:rsid w:val="00CB421E"/>
    <w:rsid w:val="00CB44F7"/>
    <w:rsid w:val="00CC0109"/>
    <w:rsid w:val="00CC605F"/>
    <w:rsid w:val="00CD33A5"/>
    <w:rsid w:val="00CE053D"/>
    <w:rsid w:val="00CE3F04"/>
    <w:rsid w:val="00CF0D38"/>
    <w:rsid w:val="00CF5501"/>
    <w:rsid w:val="00D01B96"/>
    <w:rsid w:val="00D0365A"/>
    <w:rsid w:val="00D03DE2"/>
    <w:rsid w:val="00D054D4"/>
    <w:rsid w:val="00D10E1D"/>
    <w:rsid w:val="00D15BED"/>
    <w:rsid w:val="00D20EC1"/>
    <w:rsid w:val="00D23D19"/>
    <w:rsid w:val="00D3225C"/>
    <w:rsid w:val="00D375B8"/>
    <w:rsid w:val="00D37E8E"/>
    <w:rsid w:val="00D46550"/>
    <w:rsid w:val="00D47F6D"/>
    <w:rsid w:val="00D50EDE"/>
    <w:rsid w:val="00D5475D"/>
    <w:rsid w:val="00D574C7"/>
    <w:rsid w:val="00D624A0"/>
    <w:rsid w:val="00D632C8"/>
    <w:rsid w:val="00D7075E"/>
    <w:rsid w:val="00D72F63"/>
    <w:rsid w:val="00D76715"/>
    <w:rsid w:val="00DC0248"/>
    <w:rsid w:val="00DD30E7"/>
    <w:rsid w:val="00DD586E"/>
    <w:rsid w:val="00DD587F"/>
    <w:rsid w:val="00DD5CFB"/>
    <w:rsid w:val="00DE16EC"/>
    <w:rsid w:val="00DE2E18"/>
    <w:rsid w:val="00DE3EAF"/>
    <w:rsid w:val="00DE64C0"/>
    <w:rsid w:val="00DE676A"/>
    <w:rsid w:val="00DF2EEF"/>
    <w:rsid w:val="00DF5569"/>
    <w:rsid w:val="00DF5E1D"/>
    <w:rsid w:val="00DF6C76"/>
    <w:rsid w:val="00DF7DC4"/>
    <w:rsid w:val="00E04AA1"/>
    <w:rsid w:val="00E05422"/>
    <w:rsid w:val="00E13B76"/>
    <w:rsid w:val="00E17703"/>
    <w:rsid w:val="00E23195"/>
    <w:rsid w:val="00E302F3"/>
    <w:rsid w:val="00E35D15"/>
    <w:rsid w:val="00E35F0A"/>
    <w:rsid w:val="00E400A2"/>
    <w:rsid w:val="00E4155C"/>
    <w:rsid w:val="00E44066"/>
    <w:rsid w:val="00E47176"/>
    <w:rsid w:val="00E472AA"/>
    <w:rsid w:val="00E5009E"/>
    <w:rsid w:val="00E544BA"/>
    <w:rsid w:val="00E57647"/>
    <w:rsid w:val="00E63289"/>
    <w:rsid w:val="00E65A5F"/>
    <w:rsid w:val="00E744D8"/>
    <w:rsid w:val="00E74EE3"/>
    <w:rsid w:val="00E753AE"/>
    <w:rsid w:val="00E766EA"/>
    <w:rsid w:val="00E779F0"/>
    <w:rsid w:val="00E77ADC"/>
    <w:rsid w:val="00E8284E"/>
    <w:rsid w:val="00E82DE1"/>
    <w:rsid w:val="00E95A0A"/>
    <w:rsid w:val="00E9796C"/>
    <w:rsid w:val="00EA1AB1"/>
    <w:rsid w:val="00EA4088"/>
    <w:rsid w:val="00EA46D0"/>
    <w:rsid w:val="00EA4F9B"/>
    <w:rsid w:val="00EB2623"/>
    <w:rsid w:val="00EB26DF"/>
    <w:rsid w:val="00EB62DA"/>
    <w:rsid w:val="00EB6A9F"/>
    <w:rsid w:val="00EC6FF5"/>
    <w:rsid w:val="00ED5B4E"/>
    <w:rsid w:val="00ED5BCB"/>
    <w:rsid w:val="00EE1100"/>
    <w:rsid w:val="00EE1ECD"/>
    <w:rsid w:val="00EE7686"/>
    <w:rsid w:val="00EF098C"/>
    <w:rsid w:val="00EF29A9"/>
    <w:rsid w:val="00F2251F"/>
    <w:rsid w:val="00F240A8"/>
    <w:rsid w:val="00F24798"/>
    <w:rsid w:val="00F24FF3"/>
    <w:rsid w:val="00F30B5A"/>
    <w:rsid w:val="00F36F7F"/>
    <w:rsid w:val="00F441A6"/>
    <w:rsid w:val="00F446AD"/>
    <w:rsid w:val="00F52C16"/>
    <w:rsid w:val="00F7151B"/>
    <w:rsid w:val="00F72636"/>
    <w:rsid w:val="00F72AC7"/>
    <w:rsid w:val="00F746C7"/>
    <w:rsid w:val="00F7612E"/>
    <w:rsid w:val="00F93DE1"/>
    <w:rsid w:val="00F971E2"/>
    <w:rsid w:val="00FA138B"/>
    <w:rsid w:val="00FA5791"/>
    <w:rsid w:val="00FB247F"/>
    <w:rsid w:val="00FC23D7"/>
    <w:rsid w:val="00FD26B3"/>
    <w:rsid w:val="00FE18E6"/>
    <w:rsid w:val="00FF7E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605"/>
    <w:pPr>
      <w:spacing w:after="0" w:line="240" w:lineRule="auto"/>
    </w:pPr>
    <w:rPr>
      <w:rFonts w:ascii="Arial" w:eastAsia="Times New Roman" w:hAnsi="Arial" w:cs="Times New Roman"/>
      <w:sz w:val="20"/>
      <w:szCs w:val="24"/>
      <w:lang w:val="fr-FR"/>
    </w:rPr>
  </w:style>
  <w:style w:type="paragraph" w:styleId="Heading1">
    <w:name w:val="heading 1"/>
    <w:basedOn w:val="Normal"/>
    <w:next w:val="Normal"/>
    <w:link w:val="Heading1Char"/>
    <w:qFormat/>
    <w:rsid w:val="00701E26"/>
    <w:pPr>
      <w:keepNext/>
      <w:numPr>
        <w:numId w:val="62"/>
      </w:numPr>
      <w:spacing w:before="240" w:after="60"/>
      <w:jc w:val="center"/>
      <w:outlineLvl w:val="0"/>
    </w:pPr>
    <w:rPr>
      <w:rFonts w:ascii="Arial Bold" w:hAnsi="Arial Bold" w:cs="Arial"/>
      <w:b/>
      <w:bCs/>
      <w:caps/>
      <w:kern w:val="32"/>
      <w:sz w:val="22"/>
      <w:szCs w:val="32"/>
      <w:lang w:val="en-US"/>
    </w:rPr>
  </w:style>
  <w:style w:type="paragraph" w:styleId="Heading2">
    <w:name w:val="heading 2"/>
    <w:basedOn w:val="Normal"/>
    <w:next w:val="Normal"/>
    <w:link w:val="Heading2Char"/>
    <w:qFormat/>
    <w:rsid w:val="00BE27AB"/>
    <w:pPr>
      <w:keepNext/>
      <w:tabs>
        <w:tab w:val="right" w:pos="9072"/>
      </w:tabs>
      <w:ind w:left="2268" w:hanging="2268"/>
      <w:outlineLvl w:val="1"/>
    </w:pPr>
    <w:rPr>
      <w:rFonts w:cs="Arial"/>
      <w:b/>
      <w:bCs/>
      <w:iCs/>
      <w:caps/>
      <w:sz w:val="22"/>
      <w:szCs w:val="28"/>
    </w:rPr>
  </w:style>
  <w:style w:type="paragraph" w:styleId="Heading3">
    <w:name w:val="heading 3"/>
    <w:basedOn w:val="Heading2"/>
    <w:next w:val="Normal"/>
    <w:link w:val="Heading3Char"/>
    <w:unhideWhenUsed/>
    <w:qFormat/>
    <w:rsid w:val="00305CE5"/>
    <w:pPr>
      <w:outlineLvl w:val="2"/>
    </w:pPr>
  </w:style>
  <w:style w:type="paragraph" w:styleId="Heading4">
    <w:name w:val="heading 4"/>
    <w:basedOn w:val="Normal"/>
    <w:next w:val="Normal"/>
    <w:link w:val="Heading4Char"/>
    <w:unhideWhenUsed/>
    <w:qFormat/>
    <w:rsid w:val="00305CE5"/>
    <w:pPr>
      <w:keepNext/>
      <w:keepLines/>
      <w:outlineLvl w:val="3"/>
    </w:pPr>
    <w:rPr>
      <w:rFonts w:eastAsiaTheme="majorEastAsia" w:cs="Arial"/>
      <w:b/>
      <w:bCs/>
      <w:i/>
      <w:iCs/>
      <w:sz w:val="22"/>
      <w:szCs w:val="22"/>
    </w:rPr>
  </w:style>
  <w:style w:type="paragraph" w:styleId="Heading5">
    <w:name w:val="heading 5"/>
    <w:basedOn w:val="Heading3"/>
    <w:next w:val="Normal"/>
    <w:link w:val="Heading5Char"/>
    <w:unhideWhenUsed/>
    <w:qFormat/>
    <w:rsid w:val="00194A9A"/>
    <w:pPr>
      <w:outlineLvl w:val="4"/>
    </w:pPr>
    <w:rPr>
      <w:i/>
      <w:caps w:val="0"/>
    </w:rPr>
  </w:style>
  <w:style w:type="paragraph" w:styleId="Heading8">
    <w:name w:val="heading 8"/>
    <w:basedOn w:val="Heading5"/>
    <w:next w:val="Normal"/>
    <w:link w:val="Heading8Char"/>
    <w:uiPriority w:val="9"/>
    <w:unhideWhenUsed/>
    <w:qFormat/>
    <w:rsid w:val="00E82DE1"/>
    <w:pPr>
      <w:ind w:left="1134" w:hanging="1134"/>
      <w:outlineLvl w:val="7"/>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E27AB"/>
    <w:rPr>
      <w:rFonts w:ascii="Arial" w:eastAsia="Times New Roman" w:hAnsi="Arial" w:cs="Arial"/>
      <w:b/>
      <w:bCs/>
      <w:iCs/>
      <w:caps/>
      <w:szCs w:val="28"/>
      <w:lang w:val="fr-FR"/>
    </w:rPr>
  </w:style>
  <w:style w:type="paragraph" w:styleId="NormalWeb">
    <w:name w:val="Normal (Web)"/>
    <w:basedOn w:val="Normal"/>
    <w:uiPriority w:val="99"/>
    <w:rsid w:val="00B60163"/>
    <w:pPr>
      <w:spacing w:before="100" w:beforeAutospacing="1" w:after="100" w:afterAutospacing="1"/>
    </w:pPr>
    <w:rPr>
      <w:rFonts w:cs="Arial"/>
      <w:sz w:val="18"/>
      <w:szCs w:val="18"/>
    </w:rPr>
  </w:style>
  <w:style w:type="paragraph" w:styleId="ListParagraph">
    <w:name w:val="List Paragraph"/>
    <w:basedOn w:val="Normal"/>
    <w:uiPriority w:val="34"/>
    <w:qFormat/>
    <w:rsid w:val="00B60163"/>
    <w:pPr>
      <w:numPr>
        <w:numId w:val="4"/>
      </w:numPr>
    </w:pPr>
    <w:rPr>
      <w:szCs w:val="20"/>
    </w:rPr>
  </w:style>
  <w:style w:type="paragraph" w:styleId="BalloonText">
    <w:name w:val="Balloon Text"/>
    <w:basedOn w:val="Normal"/>
    <w:link w:val="BalloonTextChar"/>
    <w:unhideWhenUsed/>
    <w:rsid w:val="00B60163"/>
    <w:rPr>
      <w:rFonts w:ascii="Tahoma" w:hAnsi="Tahoma" w:cs="Tahoma"/>
      <w:sz w:val="16"/>
      <w:szCs w:val="16"/>
    </w:rPr>
  </w:style>
  <w:style w:type="character" w:customStyle="1" w:styleId="BalloonTextChar">
    <w:name w:val="Balloon Text Char"/>
    <w:basedOn w:val="DefaultParagraphFont"/>
    <w:link w:val="BalloonText"/>
    <w:rsid w:val="00B60163"/>
    <w:rPr>
      <w:rFonts w:ascii="Tahoma" w:eastAsia="Times New Roman" w:hAnsi="Tahoma" w:cs="Tahoma"/>
      <w:sz w:val="16"/>
      <w:szCs w:val="16"/>
    </w:rPr>
  </w:style>
  <w:style w:type="character" w:styleId="CommentReference">
    <w:name w:val="annotation reference"/>
    <w:basedOn w:val="DefaultParagraphFont"/>
    <w:unhideWhenUsed/>
    <w:rsid w:val="006C5F0E"/>
    <w:rPr>
      <w:sz w:val="16"/>
      <w:szCs w:val="16"/>
    </w:rPr>
  </w:style>
  <w:style w:type="paragraph" w:styleId="CommentText">
    <w:name w:val="annotation text"/>
    <w:basedOn w:val="Normal"/>
    <w:link w:val="CommentTextChar"/>
    <w:unhideWhenUsed/>
    <w:rsid w:val="006C5F0E"/>
    <w:rPr>
      <w:szCs w:val="20"/>
    </w:rPr>
  </w:style>
  <w:style w:type="character" w:customStyle="1" w:styleId="CommentTextChar">
    <w:name w:val="Comment Text Char"/>
    <w:basedOn w:val="DefaultParagraphFont"/>
    <w:link w:val="CommentText"/>
    <w:rsid w:val="006C5F0E"/>
    <w:rPr>
      <w:rFonts w:ascii="Arial" w:eastAsia="Times New Roman" w:hAnsi="Arial" w:cs="Times New Roman"/>
      <w:sz w:val="20"/>
      <w:szCs w:val="20"/>
    </w:rPr>
  </w:style>
  <w:style w:type="paragraph" w:styleId="CommentSubject">
    <w:name w:val="annotation subject"/>
    <w:basedOn w:val="CommentText"/>
    <w:next w:val="CommentText"/>
    <w:link w:val="CommentSubjectChar"/>
    <w:unhideWhenUsed/>
    <w:rsid w:val="006C5F0E"/>
    <w:rPr>
      <w:b/>
      <w:bCs/>
    </w:rPr>
  </w:style>
  <w:style w:type="character" w:customStyle="1" w:styleId="CommentSubjectChar">
    <w:name w:val="Comment Subject Char"/>
    <w:basedOn w:val="CommentTextChar"/>
    <w:link w:val="CommentSubject"/>
    <w:rsid w:val="006C5F0E"/>
    <w:rPr>
      <w:rFonts w:ascii="Arial" w:eastAsia="Times New Roman" w:hAnsi="Arial" w:cs="Times New Roman"/>
      <w:b/>
      <w:bCs/>
      <w:sz w:val="20"/>
      <w:szCs w:val="20"/>
    </w:rPr>
  </w:style>
  <w:style w:type="paragraph" w:styleId="Revision">
    <w:name w:val="Revision"/>
    <w:hidden/>
    <w:uiPriority w:val="99"/>
    <w:semiHidden/>
    <w:rsid w:val="001B607B"/>
    <w:pPr>
      <w:spacing w:after="0" w:line="240" w:lineRule="auto"/>
    </w:pPr>
    <w:rPr>
      <w:rFonts w:ascii="Arial" w:eastAsia="Times New Roman" w:hAnsi="Arial" w:cs="Times New Roman"/>
      <w:sz w:val="20"/>
      <w:szCs w:val="24"/>
    </w:rPr>
  </w:style>
  <w:style w:type="paragraph" w:styleId="Header">
    <w:name w:val="header"/>
    <w:basedOn w:val="Normal"/>
    <w:link w:val="HeaderChar"/>
    <w:unhideWhenUsed/>
    <w:rsid w:val="001D3731"/>
    <w:pPr>
      <w:tabs>
        <w:tab w:val="center" w:pos="4513"/>
        <w:tab w:val="right" w:pos="9026"/>
      </w:tabs>
    </w:pPr>
  </w:style>
  <w:style w:type="character" w:customStyle="1" w:styleId="HeaderChar">
    <w:name w:val="Header Char"/>
    <w:basedOn w:val="DefaultParagraphFont"/>
    <w:link w:val="Header"/>
    <w:rsid w:val="001D3731"/>
    <w:rPr>
      <w:rFonts w:ascii="Arial" w:eastAsia="Times New Roman" w:hAnsi="Arial" w:cs="Times New Roman"/>
      <w:sz w:val="20"/>
      <w:szCs w:val="24"/>
    </w:rPr>
  </w:style>
  <w:style w:type="paragraph" w:styleId="Footer">
    <w:name w:val="footer"/>
    <w:basedOn w:val="Normal"/>
    <w:link w:val="FooterChar"/>
    <w:unhideWhenUsed/>
    <w:rsid w:val="001D3731"/>
    <w:pPr>
      <w:tabs>
        <w:tab w:val="center" w:pos="4513"/>
        <w:tab w:val="right" w:pos="9026"/>
      </w:tabs>
    </w:pPr>
  </w:style>
  <w:style w:type="character" w:customStyle="1" w:styleId="FooterChar">
    <w:name w:val="Footer Char"/>
    <w:basedOn w:val="DefaultParagraphFont"/>
    <w:link w:val="Footer"/>
    <w:rsid w:val="001D3731"/>
    <w:rPr>
      <w:rFonts w:ascii="Arial" w:eastAsia="Times New Roman" w:hAnsi="Arial" w:cs="Times New Roman"/>
      <w:sz w:val="20"/>
      <w:szCs w:val="24"/>
    </w:rPr>
  </w:style>
  <w:style w:type="character" w:customStyle="1" w:styleId="Heading3Char">
    <w:name w:val="Heading 3 Char"/>
    <w:basedOn w:val="DefaultParagraphFont"/>
    <w:link w:val="Heading3"/>
    <w:rsid w:val="00305CE5"/>
    <w:rPr>
      <w:rFonts w:ascii="Arial" w:eastAsia="Times New Roman" w:hAnsi="Arial" w:cs="Arial"/>
      <w:b/>
      <w:bCs/>
      <w:iCs/>
      <w:caps/>
      <w:szCs w:val="28"/>
      <w:lang w:val="fr-FR"/>
    </w:rPr>
  </w:style>
  <w:style w:type="character" w:customStyle="1" w:styleId="Heading4Char">
    <w:name w:val="Heading 4 Char"/>
    <w:basedOn w:val="DefaultParagraphFont"/>
    <w:link w:val="Heading4"/>
    <w:rsid w:val="00305CE5"/>
    <w:rPr>
      <w:rFonts w:ascii="Arial" w:eastAsiaTheme="majorEastAsia" w:hAnsi="Arial" w:cs="Arial"/>
      <w:b/>
      <w:bCs/>
      <w:i/>
      <w:iCs/>
      <w:lang w:val="fr-FR"/>
    </w:rPr>
  </w:style>
  <w:style w:type="paragraph" w:styleId="FootnoteText">
    <w:name w:val="footnote text"/>
    <w:basedOn w:val="Normal"/>
    <w:link w:val="FootnoteTextChar"/>
    <w:rsid w:val="00007D87"/>
    <w:rPr>
      <w:rFonts w:eastAsia="SimSun" w:cs="Arial"/>
      <w:sz w:val="18"/>
      <w:szCs w:val="20"/>
      <w:lang w:eastAsia="zh-CN"/>
    </w:rPr>
  </w:style>
  <w:style w:type="character" w:customStyle="1" w:styleId="FootnoteTextChar">
    <w:name w:val="Footnote Text Char"/>
    <w:basedOn w:val="DefaultParagraphFont"/>
    <w:link w:val="FootnoteText"/>
    <w:rsid w:val="00007D87"/>
    <w:rPr>
      <w:rFonts w:ascii="Arial" w:eastAsia="SimSun" w:hAnsi="Arial" w:cs="Arial"/>
      <w:sz w:val="18"/>
      <w:szCs w:val="20"/>
      <w:lang w:val="fr-FR" w:eastAsia="zh-CN"/>
    </w:rPr>
  </w:style>
  <w:style w:type="character" w:styleId="FootnoteReference">
    <w:name w:val="footnote reference"/>
    <w:aliases w:val="Footnote"/>
    <w:basedOn w:val="DefaultParagraphFont"/>
    <w:rsid w:val="00007D87"/>
    <w:rPr>
      <w:vertAlign w:val="superscript"/>
    </w:rPr>
  </w:style>
  <w:style w:type="character" w:customStyle="1" w:styleId="Heading1Char">
    <w:name w:val="Heading 1 Char"/>
    <w:basedOn w:val="DefaultParagraphFont"/>
    <w:link w:val="Heading1"/>
    <w:rsid w:val="00701E26"/>
    <w:rPr>
      <w:rFonts w:ascii="Arial Bold" w:eastAsia="Times New Roman" w:hAnsi="Arial Bold" w:cs="Arial"/>
      <w:b/>
      <w:bCs/>
      <w:caps/>
      <w:kern w:val="32"/>
      <w:szCs w:val="32"/>
    </w:rPr>
  </w:style>
  <w:style w:type="character" w:styleId="Hyperlink">
    <w:name w:val="Hyperlink"/>
    <w:basedOn w:val="DefaultParagraphFont"/>
    <w:uiPriority w:val="99"/>
    <w:unhideWhenUsed/>
    <w:rsid w:val="0000169D"/>
    <w:rPr>
      <w:color w:val="0000FF" w:themeColor="hyperlink"/>
      <w:u w:val="single"/>
    </w:rPr>
  </w:style>
  <w:style w:type="character" w:customStyle="1" w:styleId="Heading5Char">
    <w:name w:val="Heading 5 Char"/>
    <w:basedOn w:val="DefaultParagraphFont"/>
    <w:link w:val="Heading5"/>
    <w:rsid w:val="00194A9A"/>
    <w:rPr>
      <w:rFonts w:ascii="Arial" w:eastAsia="Times New Roman" w:hAnsi="Arial" w:cs="Times New Roman"/>
      <w:i/>
      <w:szCs w:val="24"/>
      <w:lang w:val="fr-FR"/>
    </w:rPr>
  </w:style>
  <w:style w:type="paragraph" w:styleId="BodyText">
    <w:name w:val="Body Text"/>
    <w:basedOn w:val="Normal"/>
    <w:link w:val="BodyTextChar"/>
    <w:rsid w:val="00194A9A"/>
    <w:pPr>
      <w:spacing w:after="220"/>
    </w:pPr>
  </w:style>
  <w:style w:type="character" w:customStyle="1" w:styleId="BodyTextChar">
    <w:name w:val="Body Text Char"/>
    <w:basedOn w:val="DefaultParagraphFont"/>
    <w:link w:val="BodyText"/>
    <w:rsid w:val="00194A9A"/>
    <w:rPr>
      <w:rFonts w:ascii="Arial" w:eastAsia="Times New Roman" w:hAnsi="Arial" w:cs="Times New Roman"/>
      <w:sz w:val="20"/>
      <w:szCs w:val="24"/>
      <w:lang w:val="fr-FR"/>
    </w:rPr>
  </w:style>
  <w:style w:type="paragraph" w:styleId="Caption">
    <w:name w:val="caption"/>
    <w:basedOn w:val="Normal"/>
    <w:next w:val="Normal"/>
    <w:qFormat/>
    <w:rsid w:val="00194A9A"/>
    <w:rPr>
      <w:b/>
      <w:bCs/>
      <w:sz w:val="18"/>
    </w:rPr>
  </w:style>
  <w:style w:type="paragraph" w:styleId="EndnoteText">
    <w:name w:val="endnote text"/>
    <w:basedOn w:val="Normal"/>
    <w:link w:val="EndnoteTextChar"/>
    <w:rsid w:val="00194A9A"/>
    <w:rPr>
      <w:sz w:val="18"/>
    </w:rPr>
  </w:style>
  <w:style w:type="character" w:customStyle="1" w:styleId="EndnoteTextChar">
    <w:name w:val="Endnote Text Char"/>
    <w:basedOn w:val="DefaultParagraphFont"/>
    <w:link w:val="EndnoteText"/>
    <w:rsid w:val="00194A9A"/>
    <w:rPr>
      <w:rFonts w:ascii="Arial" w:eastAsia="Times New Roman" w:hAnsi="Arial" w:cs="Times New Roman"/>
      <w:sz w:val="18"/>
      <w:szCs w:val="24"/>
      <w:lang w:val="fr-FR"/>
    </w:rPr>
  </w:style>
  <w:style w:type="paragraph" w:customStyle="1" w:styleId="Endofdocument-Annex">
    <w:name w:val="[End of document - Annex]"/>
    <w:basedOn w:val="Normal"/>
    <w:rsid w:val="00194A9A"/>
    <w:pPr>
      <w:ind w:left="5534"/>
    </w:pPr>
    <w:rPr>
      <w:lang w:val="en-US"/>
    </w:rPr>
  </w:style>
  <w:style w:type="paragraph" w:styleId="ListNumber">
    <w:name w:val="List Number"/>
    <w:basedOn w:val="Normal"/>
    <w:rsid w:val="00194A9A"/>
    <w:pPr>
      <w:numPr>
        <w:numId w:val="5"/>
      </w:numPr>
    </w:pPr>
  </w:style>
  <w:style w:type="paragraph" w:customStyle="1" w:styleId="ONUME">
    <w:name w:val="ONUM E"/>
    <w:basedOn w:val="BodyText"/>
    <w:link w:val="ONUMEChar"/>
    <w:rsid w:val="00194A9A"/>
    <w:pPr>
      <w:numPr>
        <w:numId w:val="6"/>
      </w:numPr>
    </w:pPr>
  </w:style>
  <w:style w:type="paragraph" w:customStyle="1" w:styleId="ONUMFS">
    <w:name w:val="ONUM FS"/>
    <w:basedOn w:val="BodyText"/>
    <w:rsid w:val="00194A9A"/>
    <w:pPr>
      <w:numPr>
        <w:numId w:val="7"/>
      </w:numPr>
    </w:pPr>
  </w:style>
  <w:style w:type="paragraph" w:styleId="Salutation">
    <w:name w:val="Salutation"/>
    <w:basedOn w:val="Normal"/>
    <w:next w:val="Normal"/>
    <w:link w:val="SalutationChar"/>
    <w:rsid w:val="00194A9A"/>
  </w:style>
  <w:style w:type="character" w:customStyle="1" w:styleId="SalutationChar">
    <w:name w:val="Salutation Char"/>
    <w:basedOn w:val="DefaultParagraphFont"/>
    <w:link w:val="Salutation"/>
    <w:rsid w:val="00194A9A"/>
    <w:rPr>
      <w:rFonts w:ascii="Arial" w:eastAsia="Times New Roman" w:hAnsi="Arial" w:cs="Times New Roman"/>
      <w:sz w:val="20"/>
      <w:szCs w:val="24"/>
      <w:lang w:val="fr-FR"/>
    </w:rPr>
  </w:style>
  <w:style w:type="paragraph" w:styleId="Signature">
    <w:name w:val="Signature"/>
    <w:basedOn w:val="Normal"/>
    <w:link w:val="SignatureChar"/>
    <w:rsid w:val="00194A9A"/>
    <w:pPr>
      <w:ind w:left="5250"/>
    </w:pPr>
  </w:style>
  <w:style w:type="character" w:customStyle="1" w:styleId="SignatureChar">
    <w:name w:val="Signature Char"/>
    <w:basedOn w:val="DefaultParagraphFont"/>
    <w:link w:val="Signature"/>
    <w:rsid w:val="00194A9A"/>
    <w:rPr>
      <w:rFonts w:ascii="Arial" w:eastAsia="Times New Roman" w:hAnsi="Arial" w:cs="Times New Roman"/>
      <w:sz w:val="20"/>
      <w:szCs w:val="24"/>
      <w:lang w:val="fr-FR"/>
    </w:rPr>
  </w:style>
  <w:style w:type="paragraph" w:customStyle="1" w:styleId="Default">
    <w:name w:val="Default"/>
    <w:rsid w:val="00194A9A"/>
    <w:pPr>
      <w:autoSpaceDE w:val="0"/>
      <w:autoSpaceDN w:val="0"/>
      <w:adjustRightInd w:val="0"/>
      <w:spacing w:after="0" w:line="240" w:lineRule="auto"/>
    </w:pPr>
    <w:rPr>
      <w:rFonts w:ascii="Arial" w:hAnsi="Arial" w:cs="Arial"/>
      <w:color w:val="000000"/>
      <w:sz w:val="24"/>
      <w:szCs w:val="24"/>
      <w:lang w:val="fr-FR"/>
    </w:rPr>
  </w:style>
  <w:style w:type="table" w:styleId="TableGrid">
    <w:name w:val="Table Grid"/>
    <w:basedOn w:val="TableNormal"/>
    <w:rsid w:val="00194A9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194A9A"/>
    <w:pPr>
      <w:spacing w:after="160" w:line="240" w:lineRule="exact"/>
    </w:pPr>
    <w:rPr>
      <w:rFonts w:ascii="Verdana" w:hAnsi="Verdana"/>
      <w:lang w:val="en-GB"/>
    </w:rPr>
  </w:style>
  <w:style w:type="paragraph" w:styleId="BodyTextIndent">
    <w:name w:val="Body Text Indent"/>
    <w:basedOn w:val="Normal"/>
    <w:link w:val="BodyTextIndentChar"/>
    <w:rsid w:val="00194A9A"/>
    <w:pPr>
      <w:ind w:left="567"/>
    </w:pPr>
    <w:rPr>
      <w:lang w:val="en-US"/>
    </w:rPr>
  </w:style>
  <w:style w:type="character" w:customStyle="1" w:styleId="BodyTextIndentChar">
    <w:name w:val="Body Text Indent Char"/>
    <w:basedOn w:val="DefaultParagraphFont"/>
    <w:link w:val="BodyTextIndent"/>
    <w:rsid w:val="00194A9A"/>
    <w:rPr>
      <w:rFonts w:ascii="Arial" w:eastAsia="Times New Roman" w:hAnsi="Arial" w:cs="Times New Roman"/>
      <w:sz w:val="20"/>
      <w:szCs w:val="24"/>
    </w:rPr>
  </w:style>
  <w:style w:type="character" w:styleId="PageNumber">
    <w:name w:val="page number"/>
    <w:basedOn w:val="DefaultParagraphFont"/>
    <w:rsid w:val="00194A9A"/>
  </w:style>
  <w:style w:type="character" w:customStyle="1" w:styleId="CharChar">
    <w:name w:val="Char Char"/>
    <w:locked/>
    <w:rsid w:val="00194A9A"/>
    <w:rPr>
      <w:rFonts w:ascii="Arial" w:hAnsi="Arial" w:cs="Times New Roman"/>
      <w:lang w:val="en-US" w:eastAsia="en-US" w:bidi="ar-SA"/>
    </w:rPr>
  </w:style>
  <w:style w:type="paragraph" w:customStyle="1" w:styleId="CarCar">
    <w:name w:val="Car Car"/>
    <w:basedOn w:val="Normal"/>
    <w:rsid w:val="00194A9A"/>
    <w:pPr>
      <w:spacing w:after="160" w:line="240" w:lineRule="exact"/>
    </w:pPr>
    <w:rPr>
      <w:rFonts w:ascii="Verdana" w:hAnsi="Verdana"/>
      <w:lang w:val="en-GB"/>
    </w:rPr>
  </w:style>
  <w:style w:type="character" w:customStyle="1" w:styleId="CharChar2">
    <w:name w:val="Char Char2"/>
    <w:rsid w:val="00194A9A"/>
    <w:rPr>
      <w:rFonts w:ascii="Arial" w:hAnsi="Arial"/>
      <w:lang w:val="en-US" w:eastAsia="en-US" w:bidi="ar-SA"/>
    </w:rPr>
  </w:style>
  <w:style w:type="paragraph" w:styleId="TOC2">
    <w:name w:val="toc 2"/>
    <w:basedOn w:val="Normal"/>
    <w:next w:val="Normal"/>
    <w:autoRedefine/>
    <w:uiPriority w:val="39"/>
    <w:qFormat/>
    <w:rsid w:val="00194A9A"/>
    <w:pPr>
      <w:tabs>
        <w:tab w:val="right" w:leader="dot" w:pos="9356"/>
      </w:tabs>
      <w:spacing w:before="120" w:after="120"/>
      <w:ind w:left="567" w:right="567"/>
    </w:pPr>
    <w:rPr>
      <w:caps/>
      <w:lang w:val="en-US"/>
    </w:rPr>
  </w:style>
  <w:style w:type="paragraph" w:styleId="TOC1">
    <w:name w:val="toc 1"/>
    <w:basedOn w:val="Normal"/>
    <w:next w:val="Normal"/>
    <w:autoRedefine/>
    <w:uiPriority w:val="39"/>
    <w:qFormat/>
    <w:rsid w:val="00382B3D"/>
    <w:pPr>
      <w:tabs>
        <w:tab w:val="left" w:pos="567"/>
        <w:tab w:val="right" w:leader="dot" w:pos="9356"/>
      </w:tabs>
      <w:spacing w:before="120" w:after="120"/>
      <w:ind w:left="567" w:right="567" w:hanging="567"/>
    </w:pPr>
    <w:rPr>
      <w:b/>
      <w:caps/>
      <w:lang w:val="en-US"/>
    </w:rPr>
  </w:style>
  <w:style w:type="paragraph" w:customStyle="1" w:styleId="Indicators">
    <w:name w:val="Indicators"/>
    <w:basedOn w:val="Normal"/>
    <w:link w:val="IndicatorsChar"/>
    <w:rsid w:val="00194A9A"/>
    <w:pPr>
      <w:spacing w:before="120"/>
      <w:ind w:left="284" w:right="170"/>
    </w:pPr>
    <w:rPr>
      <w:lang w:val="en-US"/>
    </w:rPr>
  </w:style>
  <w:style w:type="character" w:customStyle="1" w:styleId="IndicatorsChar">
    <w:name w:val="Indicators Char"/>
    <w:link w:val="Indicators"/>
    <w:rsid w:val="00194A9A"/>
    <w:rPr>
      <w:rFonts w:ascii="Arial" w:eastAsia="Times New Roman" w:hAnsi="Arial" w:cs="Times New Roman"/>
      <w:sz w:val="20"/>
      <w:szCs w:val="24"/>
    </w:rPr>
  </w:style>
  <w:style w:type="paragraph" w:customStyle="1" w:styleId="DecisionInvitingPara">
    <w:name w:val="Decision Inviting Para."/>
    <w:basedOn w:val="Normal"/>
    <w:link w:val="DecisionInvitingParaChar"/>
    <w:rsid w:val="00194A9A"/>
    <w:pPr>
      <w:spacing w:after="120" w:line="260" w:lineRule="exact"/>
      <w:ind w:left="5534"/>
    </w:pPr>
    <w:rPr>
      <w:i/>
      <w:lang w:val="en-US"/>
    </w:rPr>
  </w:style>
  <w:style w:type="paragraph" w:customStyle="1" w:styleId="preparedby">
    <w:name w:val="prepared by"/>
    <w:basedOn w:val="Normal"/>
    <w:next w:val="Normal"/>
    <w:rsid w:val="00194A9A"/>
    <w:pPr>
      <w:spacing w:after="480" w:line="260" w:lineRule="exact"/>
      <w:ind w:left="1021"/>
    </w:pPr>
    <w:rPr>
      <w:i/>
      <w:lang w:val="en-US"/>
    </w:rPr>
  </w:style>
  <w:style w:type="paragraph" w:customStyle="1" w:styleId="Documenttitle">
    <w:name w:val="Document title"/>
    <w:basedOn w:val="Normal"/>
    <w:rsid w:val="00194A9A"/>
    <w:pPr>
      <w:spacing w:before="1200" w:after="120" w:line="260" w:lineRule="exact"/>
      <w:ind w:left="1021"/>
    </w:pPr>
    <w:rPr>
      <w:b/>
      <w:caps/>
      <w:lang w:val="en-US"/>
    </w:rPr>
  </w:style>
  <w:style w:type="paragraph" w:customStyle="1" w:styleId="MeetinglanguageDate">
    <w:name w:val="Meeting language &amp; Date"/>
    <w:basedOn w:val="Normal"/>
    <w:next w:val="Meetingtitle"/>
    <w:rsid w:val="00194A9A"/>
    <w:pPr>
      <w:spacing w:after="1680" w:line="160" w:lineRule="exact"/>
      <w:ind w:left="1021"/>
      <w:contextualSpacing/>
      <w:jc w:val="right"/>
    </w:pPr>
    <w:rPr>
      <w:rFonts w:ascii="Arial Black" w:hAnsi="Arial Black"/>
      <w:b/>
      <w:caps/>
      <w:sz w:val="15"/>
    </w:rPr>
  </w:style>
  <w:style w:type="paragraph" w:customStyle="1" w:styleId="Language">
    <w:name w:val="Language"/>
    <w:basedOn w:val="Normal"/>
    <w:next w:val="Normal"/>
    <w:autoRedefine/>
    <w:rsid w:val="00194A9A"/>
    <w:pPr>
      <w:spacing w:after="120" w:line="340" w:lineRule="atLeast"/>
      <w:ind w:left="1021"/>
      <w:jc w:val="right"/>
    </w:pPr>
    <w:rPr>
      <w:b/>
      <w:caps/>
      <w:sz w:val="40"/>
      <w:lang w:val="pt-BR"/>
    </w:rPr>
  </w:style>
  <w:style w:type="paragraph" w:customStyle="1" w:styleId="MeetingCode">
    <w:name w:val="Meeting Code"/>
    <w:basedOn w:val="MeetinglanguageDate"/>
    <w:rsid w:val="00194A9A"/>
    <w:pPr>
      <w:spacing w:before="300" w:after="0"/>
    </w:pPr>
  </w:style>
  <w:style w:type="paragraph" w:customStyle="1" w:styleId="Meetingtitle">
    <w:name w:val="Meeting title"/>
    <w:basedOn w:val="Normal"/>
    <w:next w:val="Sessiontitle"/>
    <w:rsid w:val="00194A9A"/>
    <w:pPr>
      <w:spacing w:after="360" w:line="336" w:lineRule="exact"/>
      <w:ind w:left="1021"/>
    </w:pPr>
    <w:rPr>
      <w:b/>
      <w:sz w:val="28"/>
    </w:rPr>
  </w:style>
  <w:style w:type="paragraph" w:customStyle="1" w:styleId="Sessiontitle">
    <w:name w:val="Session title"/>
    <w:basedOn w:val="Meetingtitle"/>
    <w:next w:val="Meetingdateplace"/>
    <w:rsid w:val="00194A9A"/>
    <w:pPr>
      <w:spacing w:after="0"/>
    </w:pPr>
    <w:rPr>
      <w:sz w:val="24"/>
    </w:rPr>
  </w:style>
  <w:style w:type="paragraph" w:customStyle="1" w:styleId="Meetingdateplace">
    <w:name w:val="Meeting date &amp; place"/>
    <w:basedOn w:val="Sessiontitle"/>
    <w:next w:val="Documenttitle"/>
    <w:rsid w:val="00194A9A"/>
    <w:rPr>
      <w:lang w:val="en-US"/>
    </w:rPr>
  </w:style>
  <w:style w:type="character" w:customStyle="1" w:styleId="CharChar3">
    <w:name w:val="Char Char3"/>
    <w:rsid w:val="00194A9A"/>
    <w:rPr>
      <w:rFonts w:ascii="Arial" w:hAnsi="Arial"/>
      <w:lang w:val="en-US" w:eastAsia="en-US" w:bidi="ar-SA"/>
    </w:rPr>
  </w:style>
  <w:style w:type="paragraph" w:styleId="BlockText">
    <w:name w:val="Block Text"/>
    <w:basedOn w:val="Normal"/>
    <w:rsid w:val="00194A9A"/>
    <w:pPr>
      <w:spacing w:before="60" w:after="60"/>
      <w:ind w:left="266" w:right="142"/>
    </w:pPr>
    <w:rPr>
      <w:sz w:val="22"/>
      <w:lang w:val="en-US"/>
    </w:rPr>
  </w:style>
  <w:style w:type="paragraph" w:customStyle="1" w:styleId="BoxText1">
    <w:name w:val="Box Text1"/>
    <w:basedOn w:val="Normal"/>
    <w:rsid w:val="00194A9A"/>
    <w:pPr>
      <w:ind w:left="284"/>
    </w:pPr>
    <w:rPr>
      <w:snapToGrid w:val="0"/>
      <w:sz w:val="22"/>
      <w:lang w:val="en-US"/>
    </w:rPr>
  </w:style>
  <w:style w:type="paragraph" w:customStyle="1" w:styleId="Normal1">
    <w:name w:val="Normal+1"/>
    <w:basedOn w:val="Normal"/>
    <w:next w:val="Normal"/>
    <w:rsid w:val="00194A9A"/>
    <w:pPr>
      <w:autoSpaceDE w:val="0"/>
      <w:autoSpaceDN w:val="0"/>
      <w:adjustRightInd w:val="0"/>
    </w:pPr>
    <w:rPr>
      <w:lang w:val="en-US"/>
    </w:rPr>
  </w:style>
  <w:style w:type="paragraph" w:styleId="BodyText2">
    <w:name w:val="Body Text 2"/>
    <w:basedOn w:val="Normal"/>
    <w:link w:val="BodyText2Char"/>
    <w:rsid w:val="00194A9A"/>
    <w:pPr>
      <w:spacing w:after="120" w:line="480" w:lineRule="auto"/>
    </w:pPr>
    <w:rPr>
      <w:lang w:val="en-US"/>
    </w:rPr>
  </w:style>
  <w:style w:type="character" w:customStyle="1" w:styleId="BodyText2Char">
    <w:name w:val="Body Text 2 Char"/>
    <w:basedOn w:val="DefaultParagraphFont"/>
    <w:link w:val="BodyText2"/>
    <w:rsid w:val="00194A9A"/>
    <w:rPr>
      <w:rFonts w:ascii="Arial" w:eastAsia="Times New Roman" w:hAnsi="Arial" w:cs="Times New Roman"/>
      <w:sz w:val="20"/>
      <w:szCs w:val="24"/>
    </w:rPr>
  </w:style>
  <w:style w:type="character" w:customStyle="1" w:styleId="CharChar4">
    <w:name w:val="Char Char4"/>
    <w:rsid w:val="00194A9A"/>
    <w:rPr>
      <w:rFonts w:ascii="Arial" w:hAnsi="Arial"/>
      <w:lang w:val="en-US" w:eastAsia="en-US" w:bidi="ar-SA"/>
    </w:rPr>
  </w:style>
  <w:style w:type="character" w:styleId="FollowedHyperlink">
    <w:name w:val="FollowedHyperlink"/>
    <w:rsid w:val="00194A9A"/>
    <w:rPr>
      <w:color w:val="606420"/>
      <w:u w:val="single"/>
    </w:rPr>
  </w:style>
  <w:style w:type="paragraph" w:customStyle="1" w:styleId="Meetingplacedate">
    <w:name w:val="Meeting place &amp; date"/>
    <w:basedOn w:val="Sessiontitle"/>
    <w:next w:val="Documenttitle"/>
    <w:rsid w:val="00194A9A"/>
    <w:rPr>
      <w:lang w:val="en-US"/>
    </w:rPr>
  </w:style>
  <w:style w:type="character" w:customStyle="1" w:styleId="CharChar6">
    <w:name w:val="Char Char6"/>
    <w:rsid w:val="00194A9A"/>
    <w:rPr>
      <w:rFonts w:ascii="Arial" w:hAnsi="Arial"/>
      <w:lang w:val="en-US" w:eastAsia="en-US" w:bidi="ar-SA"/>
    </w:rPr>
  </w:style>
  <w:style w:type="character" w:customStyle="1" w:styleId="Novruzova">
    <w:name w:val="Novruzova"/>
    <w:semiHidden/>
    <w:rsid w:val="00194A9A"/>
    <w:rPr>
      <w:rFonts w:ascii="Arial" w:hAnsi="Arial" w:cs="Arial"/>
      <w:color w:val="000080"/>
      <w:sz w:val="20"/>
      <w:szCs w:val="20"/>
    </w:rPr>
  </w:style>
  <w:style w:type="character" w:customStyle="1" w:styleId="description">
    <w:name w:val="description"/>
    <w:basedOn w:val="DefaultParagraphFont"/>
    <w:rsid w:val="00194A9A"/>
  </w:style>
  <w:style w:type="paragraph" w:customStyle="1" w:styleId="FreeFormA">
    <w:name w:val="Free Form A"/>
    <w:rsid w:val="00194A9A"/>
    <w:pPr>
      <w:spacing w:after="0" w:line="240" w:lineRule="auto"/>
    </w:pPr>
    <w:rPr>
      <w:rFonts w:ascii="Helvetica" w:eastAsia="ヒラギノ角ゴ Pro W3" w:hAnsi="Helvetica" w:cs="Times New Roman"/>
      <w:color w:val="000000"/>
      <w:sz w:val="24"/>
      <w:szCs w:val="20"/>
    </w:rPr>
  </w:style>
  <w:style w:type="paragraph" w:customStyle="1" w:styleId="Char">
    <w:name w:val="Char 字元 字元"/>
    <w:basedOn w:val="Normal"/>
    <w:rsid w:val="00194A9A"/>
    <w:pPr>
      <w:spacing w:after="160" w:line="240" w:lineRule="exact"/>
    </w:pPr>
    <w:rPr>
      <w:rFonts w:ascii="Verdana" w:eastAsia="PMingLiU" w:hAnsi="Verdana"/>
      <w:lang w:val="en-US"/>
    </w:rPr>
  </w:style>
  <w:style w:type="character" w:customStyle="1" w:styleId="underline">
    <w:name w:val="underline"/>
    <w:rsid w:val="00194A9A"/>
    <w:rPr>
      <w:u w:val="single"/>
    </w:rPr>
  </w:style>
  <w:style w:type="paragraph" w:customStyle="1" w:styleId="FreeForm">
    <w:name w:val="Free Form"/>
    <w:rsid w:val="00194A9A"/>
    <w:pPr>
      <w:spacing w:after="0" w:line="240" w:lineRule="auto"/>
    </w:pPr>
    <w:rPr>
      <w:rFonts w:ascii="Times New Roman" w:eastAsia="ヒラギノ角ゴ Pro W3" w:hAnsi="Times New Roman" w:cs="Times New Roman"/>
      <w:color w:val="000000"/>
      <w:sz w:val="20"/>
      <w:szCs w:val="20"/>
    </w:rPr>
  </w:style>
  <w:style w:type="paragraph" w:customStyle="1" w:styleId="Heading2A">
    <w:name w:val="Heading 2 A"/>
    <w:next w:val="Normal"/>
    <w:rsid w:val="00194A9A"/>
    <w:pPr>
      <w:keepNext/>
      <w:tabs>
        <w:tab w:val="left" w:pos="567"/>
        <w:tab w:val="right" w:pos="9072"/>
      </w:tabs>
      <w:spacing w:after="0" w:line="240" w:lineRule="auto"/>
      <w:ind w:left="1701" w:hanging="1701"/>
      <w:outlineLvl w:val="1"/>
    </w:pPr>
    <w:rPr>
      <w:rFonts w:ascii="Arial Bold" w:eastAsia="ヒラギノ角ゴ Pro W3" w:hAnsi="Arial Bold" w:cs="Times New Roman"/>
      <w:color w:val="000000"/>
      <w:szCs w:val="20"/>
    </w:rPr>
  </w:style>
  <w:style w:type="paragraph" w:customStyle="1" w:styleId="Normal-Header">
    <w:name w:val="Normal-Header"/>
    <w:rsid w:val="00194A9A"/>
    <w:pPr>
      <w:spacing w:after="0" w:line="240" w:lineRule="auto"/>
    </w:pPr>
    <w:rPr>
      <w:rFonts w:ascii="Arial" w:eastAsia="Times New Roman" w:hAnsi="Arial" w:cs="Times New Roman"/>
      <w:sz w:val="16"/>
      <w:szCs w:val="20"/>
    </w:rPr>
  </w:style>
  <w:style w:type="character" w:styleId="PlaceholderText">
    <w:name w:val="Placeholder Text"/>
    <w:basedOn w:val="DefaultParagraphFont"/>
    <w:uiPriority w:val="99"/>
    <w:semiHidden/>
    <w:rsid w:val="00194A9A"/>
    <w:rPr>
      <w:color w:val="808080"/>
    </w:rPr>
  </w:style>
  <w:style w:type="character" w:customStyle="1" w:styleId="Style5">
    <w:name w:val="Style5"/>
    <w:basedOn w:val="DefaultParagraphFont"/>
    <w:uiPriority w:val="1"/>
    <w:rsid w:val="00194A9A"/>
    <w:rPr>
      <w:rFonts w:asciiTheme="minorHAnsi" w:hAnsiTheme="minorHAnsi"/>
      <w:sz w:val="20"/>
    </w:rPr>
  </w:style>
  <w:style w:type="character" w:styleId="Emphasis">
    <w:name w:val="Emphasis"/>
    <w:basedOn w:val="DefaultParagraphFont"/>
    <w:uiPriority w:val="20"/>
    <w:qFormat/>
    <w:rsid w:val="00194A9A"/>
    <w:rPr>
      <w:b/>
      <w:bCs/>
      <w:i w:val="0"/>
      <w:iCs w:val="0"/>
    </w:rPr>
  </w:style>
  <w:style w:type="character" w:customStyle="1" w:styleId="st1">
    <w:name w:val="st1"/>
    <w:basedOn w:val="DefaultParagraphFont"/>
    <w:rsid w:val="00194A9A"/>
  </w:style>
  <w:style w:type="paragraph" w:customStyle="1" w:styleId="StyleHeading214ptAuto">
    <w:name w:val="Style Heading 2 + 14 pt Auto"/>
    <w:basedOn w:val="Heading2"/>
    <w:rsid w:val="00194A9A"/>
    <w:pPr>
      <w:keepNext w:val="0"/>
      <w:widowControl w:val="0"/>
      <w:tabs>
        <w:tab w:val="num" w:pos="567"/>
      </w:tabs>
      <w:spacing w:line="300" w:lineRule="atLeast"/>
      <w:ind w:left="567" w:hanging="567"/>
    </w:pPr>
    <w:rPr>
      <w:rFonts w:ascii="Arial Bold" w:hAnsi="Arial Bold" w:cs="Times New Roman"/>
      <w:b w:val="0"/>
      <w:sz w:val="24"/>
      <w:lang w:val="en-GB" w:eastAsia="da-DK"/>
    </w:rPr>
  </w:style>
  <w:style w:type="paragraph" w:styleId="TOC3">
    <w:name w:val="toc 3"/>
    <w:basedOn w:val="Normal"/>
    <w:next w:val="Normal"/>
    <w:autoRedefine/>
    <w:uiPriority w:val="39"/>
    <w:qFormat/>
    <w:rsid w:val="00194A9A"/>
    <w:pPr>
      <w:tabs>
        <w:tab w:val="right" w:leader="dot" w:pos="9356"/>
      </w:tabs>
      <w:spacing w:after="60"/>
      <w:ind w:left="2268" w:right="567" w:hanging="1701"/>
    </w:pPr>
    <w:rPr>
      <w:caps/>
      <w:noProof/>
      <w:sz w:val="18"/>
    </w:rPr>
  </w:style>
  <w:style w:type="paragraph" w:styleId="PlainText">
    <w:name w:val="Plain Text"/>
    <w:basedOn w:val="Normal"/>
    <w:link w:val="PlainTextChar"/>
    <w:uiPriority w:val="99"/>
    <w:rsid w:val="00194A9A"/>
    <w:rPr>
      <w:rFonts w:ascii="Courier New" w:eastAsia="MS Mincho" w:hAnsi="Courier New"/>
      <w:lang w:bidi="th-TH"/>
    </w:rPr>
  </w:style>
  <w:style w:type="character" w:customStyle="1" w:styleId="PlainTextChar">
    <w:name w:val="Plain Text Char"/>
    <w:basedOn w:val="DefaultParagraphFont"/>
    <w:link w:val="PlainText"/>
    <w:uiPriority w:val="99"/>
    <w:rsid w:val="00194A9A"/>
    <w:rPr>
      <w:rFonts w:ascii="Courier New" w:eastAsia="MS Mincho" w:hAnsi="Courier New" w:cs="Times New Roman"/>
      <w:sz w:val="20"/>
      <w:szCs w:val="24"/>
      <w:lang w:val="fr-FR" w:bidi="th-TH"/>
    </w:rPr>
  </w:style>
  <w:style w:type="paragraph" w:styleId="TOC4">
    <w:name w:val="toc 4"/>
    <w:basedOn w:val="Normal"/>
    <w:next w:val="Normal"/>
    <w:autoRedefine/>
    <w:uiPriority w:val="39"/>
    <w:rsid w:val="00194A9A"/>
    <w:pPr>
      <w:tabs>
        <w:tab w:val="right" w:leader="dot" w:pos="9356"/>
      </w:tabs>
      <w:spacing w:after="100"/>
      <w:ind w:left="851" w:right="567"/>
    </w:pPr>
    <w:rPr>
      <w:i/>
      <w:sz w:val="18"/>
    </w:rPr>
  </w:style>
  <w:style w:type="paragraph" w:styleId="TOC5">
    <w:name w:val="toc 5"/>
    <w:basedOn w:val="Normal"/>
    <w:next w:val="Normal"/>
    <w:autoRedefine/>
    <w:rsid w:val="00194A9A"/>
    <w:pPr>
      <w:spacing w:after="100"/>
      <w:ind w:left="800"/>
    </w:pPr>
  </w:style>
  <w:style w:type="character" w:customStyle="1" w:styleId="st">
    <w:name w:val="st"/>
    <w:basedOn w:val="DefaultParagraphFont"/>
    <w:rsid w:val="00194A9A"/>
  </w:style>
  <w:style w:type="paragraph" w:customStyle="1" w:styleId="StyleStyleHeading3ComplexItalicLatin12pt">
    <w:name w:val="Style Style Heading 3 + (Complex) Italic + (Latin) 12 pt"/>
    <w:basedOn w:val="Normal"/>
    <w:link w:val="StyleStyleHeading3ComplexItalicLatin12ptChar"/>
    <w:rsid w:val="00194A9A"/>
    <w:pPr>
      <w:keepNext/>
      <w:tabs>
        <w:tab w:val="left" w:pos="1985"/>
      </w:tabs>
      <w:outlineLvl w:val="2"/>
    </w:pPr>
    <w:rPr>
      <w:b/>
      <w:iCs/>
      <w:caps/>
      <w:szCs w:val="22"/>
      <w:lang w:val="en-US"/>
    </w:rPr>
  </w:style>
  <w:style w:type="character" w:customStyle="1" w:styleId="StyleStyleHeading3ComplexItalicLatin12ptChar">
    <w:name w:val="Style Style Heading 3 + (Complex) Italic + (Latin) 12 pt Char"/>
    <w:link w:val="StyleStyleHeading3ComplexItalicLatin12pt"/>
    <w:rsid w:val="00194A9A"/>
    <w:rPr>
      <w:rFonts w:ascii="Arial" w:eastAsia="Times New Roman" w:hAnsi="Arial" w:cs="Times New Roman"/>
      <w:b/>
      <w:iCs/>
      <w:caps/>
      <w:sz w:val="20"/>
    </w:rPr>
  </w:style>
  <w:style w:type="paragraph" w:customStyle="1" w:styleId="Style1">
    <w:name w:val="Style1"/>
    <w:basedOn w:val="Normal"/>
    <w:qFormat/>
    <w:rsid w:val="00194A9A"/>
    <w:pPr>
      <w:numPr>
        <w:numId w:val="10"/>
      </w:numPr>
    </w:pPr>
    <w:rPr>
      <w:lang w:val="en-US"/>
    </w:rPr>
  </w:style>
  <w:style w:type="paragraph" w:styleId="NoSpacing">
    <w:name w:val="No Spacing"/>
    <w:uiPriority w:val="1"/>
    <w:qFormat/>
    <w:rsid w:val="00194A9A"/>
    <w:pPr>
      <w:spacing w:after="0" w:line="240" w:lineRule="auto"/>
    </w:pPr>
    <w:rPr>
      <w:rFonts w:ascii="Calibri" w:eastAsia="Calibri" w:hAnsi="Calibri" w:cs="Times New Roman"/>
      <w:lang w:val="fr-FR" w:eastAsia="fr-FR"/>
    </w:rPr>
  </w:style>
  <w:style w:type="numbering" w:customStyle="1" w:styleId="NoList1">
    <w:name w:val="No List1"/>
    <w:next w:val="NoList"/>
    <w:uiPriority w:val="99"/>
    <w:semiHidden/>
    <w:unhideWhenUsed/>
    <w:rsid w:val="00194A9A"/>
  </w:style>
  <w:style w:type="paragraph" w:customStyle="1" w:styleId="Test">
    <w:name w:val="Test"/>
    <w:basedOn w:val="Normal"/>
    <w:qFormat/>
    <w:rsid w:val="00194A9A"/>
    <w:pPr>
      <w:numPr>
        <w:numId w:val="11"/>
      </w:numPr>
    </w:pPr>
    <w:rPr>
      <w:rFonts w:eastAsiaTheme="minorHAnsi"/>
      <w:sz w:val="22"/>
      <w:szCs w:val="22"/>
      <w:lang w:val="en-US"/>
    </w:rPr>
  </w:style>
  <w:style w:type="paragraph" w:styleId="TOCHeading">
    <w:name w:val="TOC Heading"/>
    <w:basedOn w:val="Heading1"/>
    <w:next w:val="Normal"/>
    <w:uiPriority w:val="39"/>
    <w:semiHidden/>
    <w:unhideWhenUsed/>
    <w:qFormat/>
    <w:rsid w:val="00194A9A"/>
    <w:pPr>
      <w:spacing w:line="276" w:lineRule="auto"/>
      <w:outlineLvl w:val="9"/>
    </w:pPr>
    <w:rPr>
      <w:rFonts w:ascii="Cambria" w:hAnsi="Cambria" w:cs="Times New Roman"/>
      <w:caps w:val="0"/>
      <w:color w:val="365F91"/>
      <w:lang w:eastAsia="fr-FR"/>
    </w:rPr>
  </w:style>
  <w:style w:type="paragraph" w:styleId="TOC6">
    <w:name w:val="toc 6"/>
    <w:basedOn w:val="Normal"/>
    <w:next w:val="Normal"/>
    <w:autoRedefine/>
    <w:rsid w:val="00194A9A"/>
    <w:pPr>
      <w:ind w:left="1000"/>
    </w:pPr>
    <w:rPr>
      <w:rFonts w:ascii="Calibri" w:hAnsi="Calibri"/>
      <w:sz w:val="18"/>
      <w:szCs w:val="18"/>
      <w:lang w:eastAsia="fr-FR"/>
    </w:rPr>
  </w:style>
  <w:style w:type="paragraph" w:styleId="TOC7">
    <w:name w:val="toc 7"/>
    <w:basedOn w:val="Normal"/>
    <w:next w:val="Normal"/>
    <w:autoRedefine/>
    <w:rsid w:val="00194A9A"/>
    <w:pPr>
      <w:ind w:left="1200"/>
    </w:pPr>
    <w:rPr>
      <w:rFonts w:ascii="Calibri" w:hAnsi="Calibri"/>
      <w:sz w:val="18"/>
      <w:szCs w:val="18"/>
      <w:lang w:eastAsia="fr-FR"/>
    </w:rPr>
  </w:style>
  <w:style w:type="paragraph" w:styleId="TOC8">
    <w:name w:val="toc 8"/>
    <w:basedOn w:val="Normal"/>
    <w:next w:val="Normal"/>
    <w:autoRedefine/>
    <w:rsid w:val="00194A9A"/>
    <w:pPr>
      <w:ind w:left="1400"/>
    </w:pPr>
    <w:rPr>
      <w:rFonts w:ascii="Calibri" w:hAnsi="Calibri"/>
      <w:sz w:val="18"/>
      <w:szCs w:val="18"/>
      <w:lang w:eastAsia="fr-FR"/>
    </w:rPr>
  </w:style>
  <w:style w:type="paragraph" w:styleId="TOC9">
    <w:name w:val="toc 9"/>
    <w:basedOn w:val="Normal"/>
    <w:next w:val="Normal"/>
    <w:autoRedefine/>
    <w:rsid w:val="00194A9A"/>
    <w:pPr>
      <w:ind w:left="1600"/>
    </w:pPr>
    <w:rPr>
      <w:rFonts w:ascii="Calibri" w:hAnsi="Calibri"/>
      <w:sz w:val="18"/>
      <w:szCs w:val="18"/>
      <w:lang w:eastAsia="fr-FR"/>
    </w:rPr>
  </w:style>
  <w:style w:type="character" w:customStyle="1" w:styleId="DecisionInvitingParaChar">
    <w:name w:val="Decision Inviting Para. Char"/>
    <w:link w:val="DecisionInvitingPara"/>
    <w:locked/>
    <w:rsid w:val="00194A9A"/>
    <w:rPr>
      <w:rFonts w:ascii="Arial" w:eastAsia="Times New Roman" w:hAnsi="Arial" w:cs="Times New Roman"/>
      <w:i/>
      <w:sz w:val="20"/>
      <w:szCs w:val="24"/>
    </w:rPr>
  </w:style>
  <w:style w:type="character" w:customStyle="1" w:styleId="ONUMEChar">
    <w:name w:val="ONUM E Char"/>
    <w:link w:val="ONUME"/>
    <w:locked/>
    <w:rsid w:val="00194A9A"/>
    <w:rPr>
      <w:rFonts w:ascii="Arial" w:eastAsia="Times New Roman" w:hAnsi="Arial" w:cs="Times New Roman"/>
      <w:sz w:val="20"/>
      <w:szCs w:val="24"/>
      <w:lang w:val="fr-FR"/>
    </w:rPr>
  </w:style>
  <w:style w:type="paragraph" w:customStyle="1" w:styleId="StyleHeading3BoldNounderline">
    <w:name w:val="Style Heading 3 + Bold No underline"/>
    <w:basedOn w:val="Heading3"/>
    <w:rsid w:val="00194A9A"/>
    <w:rPr>
      <w:b w:val="0"/>
      <w:i/>
      <w:caps w:val="0"/>
      <w:sz w:val="20"/>
      <w:szCs w:val="26"/>
      <w:lang w:eastAsia="fr-FR"/>
    </w:rPr>
  </w:style>
  <w:style w:type="character" w:styleId="Strong">
    <w:name w:val="Strong"/>
    <w:basedOn w:val="DefaultParagraphFont"/>
    <w:uiPriority w:val="22"/>
    <w:qFormat/>
    <w:rsid w:val="00A068F8"/>
    <w:rPr>
      <w:b/>
      <w:bCs/>
    </w:rPr>
  </w:style>
  <w:style w:type="paragraph" w:customStyle="1" w:styleId="StyleHeading3ComplexItalic">
    <w:name w:val="Style Heading 3 + (Complex) Italic"/>
    <w:basedOn w:val="Heading3"/>
    <w:link w:val="StyleHeading3ComplexItalicChar"/>
    <w:rsid w:val="00A068F8"/>
    <w:pPr>
      <w:tabs>
        <w:tab w:val="left" w:pos="1985"/>
      </w:tabs>
    </w:pPr>
    <w:rPr>
      <w:b w:val="0"/>
      <w:iCs w:val="0"/>
      <w:szCs w:val="22"/>
      <w:lang w:val="en-US"/>
    </w:rPr>
  </w:style>
  <w:style w:type="character" w:customStyle="1" w:styleId="StyleHeading3ComplexItalicChar">
    <w:name w:val="Style Heading 3 + (Complex) Italic Char"/>
    <w:link w:val="StyleHeading3ComplexItalic"/>
    <w:rsid w:val="00A068F8"/>
    <w:rPr>
      <w:rFonts w:ascii="Arial" w:eastAsia="Times New Roman" w:hAnsi="Arial" w:cs="Arial"/>
      <w:b/>
      <w:iCs/>
      <w:caps/>
    </w:rPr>
  </w:style>
  <w:style w:type="character" w:styleId="EndnoteReference">
    <w:name w:val="endnote reference"/>
    <w:basedOn w:val="DefaultParagraphFont"/>
    <w:unhideWhenUsed/>
    <w:rsid w:val="00A068F8"/>
    <w:rPr>
      <w:vertAlign w:val="superscript"/>
    </w:rPr>
  </w:style>
  <w:style w:type="character" w:styleId="HTMLCite">
    <w:name w:val="HTML Cite"/>
    <w:basedOn w:val="DefaultParagraphFont"/>
    <w:uiPriority w:val="99"/>
    <w:unhideWhenUsed/>
    <w:rsid w:val="00A068F8"/>
    <w:rPr>
      <w:i/>
      <w:iCs/>
    </w:rPr>
  </w:style>
  <w:style w:type="character" w:customStyle="1" w:styleId="hps">
    <w:name w:val="hps"/>
    <w:basedOn w:val="DefaultParagraphFont"/>
    <w:rsid w:val="00A068F8"/>
  </w:style>
  <w:style w:type="paragraph" w:customStyle="1" w:styleId="Normal-table">
    <w:name w:val="Normal-table"/>
    <w:rsid w:val="00A068F8"/>
    <w:pPr>
      <w:spacing w:after="0" w:line="240" w:lineRule="auto"/>
    </w:pPr>
    <w:rPr>
      <w:rFonts w:ascii="Arial" w:eastAsia="Batang" w:hAnsi="Arial" w:cs="Times New Roman"/>
      <w:sz w:val="20"/>
      <w:szCs w:val="20"/>
    </w:rPr>
  </w:style>
  <w:style w:type="paragraph" w:customStyle="1" w:styleId="CharCharCharChar2">
    <w:name w:val="Char Char Char Char2"/>
    <w:basedOn w:val="Normal"/>
    <w:rsid w:val="00A068F8"/>
    <w:pPr>
      <w:spacing w:after="160" w:line="240" w:lineRule="exact"/>
    </w:pPr>
    <w:rPr>
      <w:rFonts w:ascii="Verdana" w:hAnsi="Verdana"/>
      <w:szCs w:val="20"/>
      <w:lang w:val="en-GB"/>
    </w:rPr>
  </w:style>
  <w:style w:type="paragraph" w:customStyle="1" w:styleId="CharCharCharChar1">
    <w:name w:val="Char Char Char Char1"/>
    <w:basedOn w:val="Normal"/>
    <w:rsid w:val="00A068F8"/>
    <w:pPr>
      <w:spacing w:after="160" w:line="240" w:lineRule="exact"/>
    </w:pPr>
    <w:rPr>
      <w:rFonts w:ascii="Verdana" w:hAnsi="Verdana"/>
      <w:szCs w:val="20"/>
      <w:lang w:val="en-GB"/>
    </w:rPr>
  </w:style>
  <w:style w:type="character" w:customStyle="1" w:styleId="CharChar1">
    <w:name w:val="Char Char1"/>
    <w:locked/>
    <w:rsid w:val="00A068F8"/>
    <w:rPr>
      <w:rFonts w:ascii="Arial" w:hAnsi="Arial" w:cs="Times New Roman"/>
      <w:lang w:val="en-US" w:eastAsia="en-US" w:bidi="ar-SA"/>
    </w:rPr>
  </w:style>
  <w:style w:type="paragraph" w:customStyle="1" w:styleId="CarCar1">
    <w:name w:val="Car Car1"/>
    <w:basedOn w:val="Normal"/>
    <w:rsid w:val="00A068F8"/>
    <w:pPr>
      <w:spacing w:after="160" w:line="240" w:lineRule="exact"/>
    </w:pPr>
    <w:rPr>
      <w:rFonts w:ascii="Verdana" w:hAnsi="Verdana"/>
      <w:szCs w:val="20"/>
      <w:lang w:val="en-GB"/>
    </w:rPr>
  </w:style>
  <w:style w:type="character" w:customStyle="1" w:styleId="CharChar21">
    <w:name w:val="Char Char21"/>
    <w:rsid w:val="00A068F8"/>
    <w:rPr>
      <w:rFonts w:ascii="Arial" w:hAnsi="Arial"/>
      <w:lang w:val="en-US" w:eastAsia="en-US" w:bidi="ar-SA"/>
    </w:rPr>
  </w:style>
  <w:style w:type="character" w:customStyle="1" w:styleId="CharChar31">
    <w:name w:val="Char Char31"/>
    <w:rsid w:val="00A068F8"/>
    <w:rPr>
      <w:rFonts w:ascii="Arial" w:hAnsi="Arial"/>
      <w:lang w:val="en-US" w:eastAsia="en-US" w:bidi="ar-SA"/>
    </w:rPr>
  </w:style>
  <w:style w:type="character" w:customStyle="1" w:styleId="CharChar41">
    <w:name w:val="Char Char41"/>
    <w:rsid w:val="00A068F8"/>
    <w:rPr>
      <w:rFonts w:ascii="Arial" w:hAnsi="Arial"/>
      <w:lang w:val="en-US" w:eastAsia="en-US" w:bidi="ar-SA"/>
    </w:rPr>
  </w:style>
  <w:style w:type="character" w:customStyle="1" w:styleId="CharChar61">
    <w:name w:val="Char Char61"/>
    <w:rsid w:val="00A068F8"/>
    <w:rPr>
      <w:rFonts w:ascii="Arial" w:hAnsi="Arial"/>
      <w:lang w:val="en-US" w:eastAsia="en-US" w:bidi="ar-SA"/>
    </w:rPr>
  </w:style>
  <w:style w:type="paragraph" w:customStyle="1" w:styleId="Char1">
    <w:name w:val="Char 字元 字元1"/>
    <w:basedOn w:val="Normal"/>
    <w:rsid w:val="00A068F8"/>
    <w:pPr>
      <w:spacing w:after="160" w:line="240" w:lineRule="exact"/>
    </w:pPr>
    <w:rPr>
      <w:rFonts w:ascii="Verdana" w:eastAsia="PMingLiU" w:hAnsi="Verdana"/>
      <w:szCs w:val="20"/>
      <w:lang w:val="en-US"/>
    </w:rPr>
  </w:style>
  <w:style w:type="table" w:customStyle="1" w:styleId="TableGrid1">
    <w:name w:val="Table Grid1"/>
    <w:basedOn w:val="TableNormal"/>
    <w:next w:val="TableGrid"/>
    <w:uiPriority w:val="59"/>
    <w:rsid w:val="00A06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
    <w:name w:val="End of document"/>
    <w:basedOn w:val="Normal"/>
    <w:rsid w:val="00A068F8"/>
    <w:pPr>
      <w:ind w:left="4536"/>
      <w:jc w:val="center"/>
    </w:pPr>
    <w:rPr>
      <w:rFonts w:ascii="Times New Roman" w:hAnsi="Times New Roman"/>
      <w:sz w:val="24"/>
      <w:szCs w:val="20"/>
      <w:lang w:val="en-US"/>
    </w:rPr>
  </w:style>
  <w:style w:type="character" w:customStyle="1" w:styleId="admitted">
    <w:name w:val="admitted"/>
    <w:basedOn w:val="DefaultParagraphFont"/>
    <w:rsid w:val="00C258AD"/>
  </w:style>
  <w:style w:type="character" w:customStyle="1" w:styleId="preferred">
    <w:name w:val="preferred"/>
    <w:basedOn w:val="DefaultParagraphFont"/>
    <w:rsid w:val="00C258AD"/>
  </w:style>
  <w:style w:type="character" w:customStyle="1" w:styleId="acronym">
    <w:name w:val="acronym"/>
    <w:basedOn w:val="DefaultParagraphFont"/>
    <w:rsid w:val="00C258AD"/>
  </w:style>
  <w:style w:type="character" w:customStyle="1" w:styleId="Heading8Char">
    <w:name w:val="Heading 8 Char"/>
    <w:basedOn w:val="DefaultParagraphFont"/>
    <w:link w:val="Heading8"/>
    <w:uiPriority w:val="9"/>
    <w:rsid w:val="00E82DE1"/>
    <w:rPr>
      <w:rFonts w:ascii="Arial" w:eastAsia="Times New Roman" w:hAnsi="Arial" w:cs="Arial"/>
      <w:b/>
      <w:bCs/>
      <w:i/>
      <w:iCs/>
      <w:sz w:val="20"/>
      <w:szCs w:val="28"/>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Number"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Salutation" w:uiPriority="0"/>
    <w:lsdException w:name="Body Text 2"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3605"/>
    <w:pPr>
      <w:spacing w:after="0" w:line="240" w:lineRule="auto"/>
    </w:pPr>
    <w:rPr>
      <w:rFonts w:ascii="Arial" w:eastAsia="Times New Roman" w:hAnsi="Arial" w:cs="Times New Roman"/>
      <w:sz w:val="20"/>
      <w:szCs w:val="24"/>
      <w:lang w:val="fr-FR"/>
    </w:rPr>
  </w:style>
  <w:style w:type="paragraph" w:styleId="Heading1">
    <w:name w:val="heading 1"/>
    <w:basedOn w:val="Normal"/>
    <w:next w:val="Normal"/>
    <w:link w:val="Heading1Char"/>
    <w:qFormat/>
    <w:rsid w:val="00701E26"/>
    <w:pPr>
      <w:keepNext/>
      <w:numPr>
        <w:numId w:val="62"/>
      </w:numPr>
      <w:spacing w:before="240" w:after="60"/>
      <w:jc w:val="center"/>
      <w:outlineLvl w:val="0"/>
    </w:pPr>
    <w:rPr>
      <w:rFonts w:ascii="Arial Bold" w:hAnsi="Arial Bold" w:cs="Arial"/>
      <w:b/>
      <w:bCs/>
      <w:caps/>
      <w:kern w:val="32"/>
      <w:sz w:val="22"/>
      <w:szCs w:val="32"/>
      <w:lang w:val="en-US"/>
    </w:rPr>
  </w:style>
  <w:style w:type="paragraph" w:styleId="Heading2">
    <w:name w:val="heading 2"/>
    <w:basedOn w:val="Normal"/>
    <w:next w:val="Normal"/>
    <w:link w:val="Heading2Char"/>
    <w:qFormat/>
    <w:rsid w:val="00BE27AB"/>
    <w:pPr>
      <w:keepNext/>
      <w:tabs>
        <w:tab w:val="right" w:pos="9072"/>
      </w:tabs>
      <w:ind w:left="2268" w:hanging="2268"/>
      <w:outlineLvl w:val="1"/>
    </w:pPr>
    <w:rPr>
      <w:rFonts w:cs="Arial"/>
      <w:b/>
      <w:bCs/>
      <w:iCs/>
      <w:caps/>
      <w:sz w:val="22"/>
      <w:szCs w:val="28"/>
    </w:rPr>
  </w:style>
  <w:style w:type="paragraph" w:styleId="Heading3">
    <w:name w:val="heading 3"/>
    <w:basedOn w:val="Heading2"/>
    <w:next w:val="Normal"/>
    <w:link w:val="Heading3Char"/>
    <w:unhideWhenUsed/>
    <w:qFormat/>
    <w:rsid w:val="00305CE5"/>
    <w:pPr>
      <w:outlineLvl w:val="2"/>
    </w:pPr>
  </w:style>
  <w:style w:type="paragraph" w:styleId="Heading4">
    <w:name w:val="heading 4"/>
    <w:basedOn w:val="Normal"/>
    <w:next w:val="Normal"/>
    <w:link w:val="Heading4Char"/>
    <w:unhideWhenUsed/>
    <w:qFormat/>
    <w:rsid w:val="00305CE5"/>
    <w:pPr>
      <w:keepNext/>
      <w:keepLines/>
      <w:outlineLvl w:val="3"/>
    </w:pPr>
    <w:rPr>
      <w:rFonts w:eastAsiaTheme="majorEastAsia" w:cs="Arial"/>
      <w:b/>
      <w:bCs/>
      <w:i/>
      <w:iCs/>
      <w:sz w:val="22"/>
      <w:szCs w:val="22"/>
    </w:rPr>
  </w:style>
  <w:style w:type="paragraph" w:styleId="Heading5">
    <w:name w:val="heading 5"/>
    <w:basedOn w:val="Heading3"/>
    <w:next w:val="Normal"/>
    <w:link w:val="Heading5Char"/>
    <w:unhideWhenUsed/>
    <w:qFormat/>
    <w:rsid w:val="00194A9A"/>
    <w:pPr>
      <w:outlineLvl w:val="4"/>
    </w:pPr>
    <w:rPr>
      <w:i/>
      <w:caps w:val="0"/>
    </w:rPr>
  </w:style>
  <w:style w:type="paragraph" w:styleId="Heading8">
    <w:name w:val="heading 8"/>
    <w:basedOn w:val="Heading5"/>
    <w:next w:val="Normal"/>
    <w:link w:val="Heading8Char"/>
    <w:uiPriority w:val="9"/>
    <w:unhideWhenUsed/>
    <w:qFormat/>
    <w:rsid w:val="00E82DE1"/>
    <w:pPr>
      <w:ind w:left="1134" w:hanging="1134"/>
      <w:outlineLvl w:val="7"/>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E27AB"/>
    <w:rPr>
      <w:rFonts w:ascii="Arial" w:eastAsia="Times New Roman" w:hAnsi="Arial" w:cs="Arial"/>
      <w:b/>
      <w:bCs/>
      <w:iCs/>
      <w:caps/>
      <w:szCs w:val="28"/>
      <w:lang w:val="fr-FR"/>
    </w:rPr>
  </w:style>
  <w:style w:type="paragraph" w:styleId="NormalWeb">
    <w:name w:val="Normal (Web)"/>
    <w:basedOn w:val="Normal"/>
    <w:uiPriority w:val="99"/>
    <w:rsid w:val="00B60163"/>
    <w:pPr>
      <w:spacing w:before="100" w:beforeAutospacing="1" w:after="100" w:afterAutospacing="1"/>
    </w:pPr>
    <w:rPr>
      <w:rFonts w:cs="Arial"/>
      <w:sz w:val="18"/>
      <w:szCs w:val="18"/>
    </w:rPr>
  </w:style>
  <w:style w:type="paragraph" w:styleId="ListParagraph">
    <w:name w:val="List Paragraph"/>
    <w:basedOn w:val="Normal"/>
    <w:uiPriority w:val="34"/>
    <w:qFormat/>
    <w:rsid w:val="00B60163"/>
    <w:pPr>
      <w:numPr>
        <w:numId w:val="4"/>
      </w:numPr>
    </w:pPr>
    <w:rPr>
      <w:szCs w:val="20"/>
    </w:rPr>
  </w:style>
  <w:style w:type="paragraph" w:styleId="BalloonText">
    <w:name w:val="Balloon Text"/>
    <w:basedOn w:val="Normal"/>
    <w:link w:val="BalloonTextChar"/>
    <w:unhideWhenUsed/>
    <w:rsid w:val="00B60163"/>
    <w:rPr>
      <w:rFonts w:ascii="Tahoma" w:hAnsi="Tahoma" w:cs="Tahoma"/>
      <w:sz w:val="16"/>
      <w:szCs w:val="16"/>
    </w:rPr>
  </w:style>
  <w:style w:type="character" w:customStyle="1" w:styleId="BalloonTextChar">
    <w:name w:val="Balloon Text Char"/>
    <w:basedOn w:val="DefaultParagraphFont"/>
    <w:link w:val="BalloonText"/>
    <w:rsid w:val="00B60163"/>
    <w:rPr>
      <w:rFonts w:ascii="Tahoma" w:eastAsia="Times New Roman" w:hAnsi="Tahoma" w:cs="Tahoma"/>
      <w:sz w:val="16"/>
      <w:szCs w:val="16"/>
    </w:rPr>
  </w:style>
  <w:style w:type="character" w:styleId="CommentReference">
    <w:name w:val="annotation reference"/>
    <w:basedOn w:val="DefaultParagraphFont"/>
    <w:unhideWhenUsed/>
    <w:rsid w:val="006C5F0E"/>
    <w:rPr>
      <w:sz w:val="16"/>
      <w:szCs w:val="16"/>
    </w:rPr>
  </w:style>
  <w:style w:type="paragraph" w:styleId="CommentText">
    <w:name w:val="annotation text"/>
    <w:basedOn w:val="Normal"/>
    <w:link w:val="CommentTextChar"/>
    <w:unhideWhenUsed/>
    <w:rsid w:val="006C5F0E"/>
    <w:rPr>
      <w:szCs w:val="20"/>
    </w:rPr>
  </w:style>
  <w:style w:type="character" w:customStyle="1" w:styleId="CommentTextChar">
    <w:name w:val="Comment Text Char"/>
    <w:basedOn w:val="DefaultParagraphFont"/>
    <w:link w:val="CommentText"/>
    <w:rsid w:val="006C5F0E"/>
    <w:rPr>
      <w:rFonts w:ascii="Arial" w:eastAsia="Times New Roman" w:hAnsi="Arial" w:cs="Times New Roman"/>
      <w:sz w:val="20"/>
      <w:szCs w:val="20"/>
    </w:rPr>
  </w:style>
  <w:style w:type="paragraph" w:styleId="CommentSubject">
    <w:name w:val="annotation subject"/>
    <w:basedOn w:val="CommentText"/>
    <w:next w:val="CommentText"/>
    <w:link w:val="CommentSubjectChar"/>
    <w:unhideWhenUsed/>
    <w:rsid w:val="006C5F0E"/>
    <w:rPr>
      <w:b/>
      <w:bCs/>
    </w:rPr>
  </w:style>
  <w:style w:type="character" w:customStyle="1" w:styleId="CommentSubjectChar">
    <w:name w:val="Comment Subject Char"/>
    <w:basedOn w:val="CommentTextChar"/>
    <w:link w:val="CommentSubject"/>
    <w:rsid w:val="006C5F0E"/>
    <w:rPr>
      <w:rFonts w:ascii="Arial" w:eastAsia="Times New Roman" w:hAnsi="Arial" w:cs="Times New Roman"/>
      <w:b/>
      <w:bCs/>
      <w:sz w:val="20"/>
      <w:szCs w:val="20"/>
    </w:rPr>
  </w:style>
  <w:style w:type="paragraph" w:styleId="Revision">
    <w:name w:val="Revision"/>
    <w:hidden/>
    <w:uiPriority w:val="99"/>
    <w:semiHidden/>
    <w:rsid w:val="001B607B"/>
    <w:pPr>
      <w:spacing w:after="0" w:line="240" w:lineRule="auto"/>
    </w:pPr>
    <w:rPr>
      <w:rFonts w:ascii="Arial" w:eastAsia="Times New Roman" w:hAnsi="Arial" w:cs="Times New Roman"/>
      <w:sz w:val="20"/>
      <w:szCs w:val="24"/>
    </w:rPr>
  </w:style>
  <w:style w:type="paragraph" w:styleId="Header">
    <w:name w:val="header"/>
    <w:basedOn w:val="Normal"/>
    <w:link w:val="HeaderChar"/>
    <w:unhideWhenUsed/>
    <w:rsid w:val="001D3731"/>
    <w:pPr>
      <w:tabs>
        <w:tab w:val="center" w:pos="4513"/>
        <w:tab w:val="right" w:pos="9026"/>
      </w:tabs>
    </w:pPr>
  </w:style>
  <w:style w:type="character" w:customStyle="1" w:styleId="HeaderChar">
    <w:name w:val="Header Char"/>
    <w:basedOn w:val="DefaultParagraphFont"/>
    <w:link w:val="Header"/>
    <w:rsid w:val="001D3731"/>
    <w:rPr>
      <w:rFonts w:ascii="Arial" w:eastAsia="Times New Roman" w:hAnsi="Arial" w:cs="Times New Roman"/>
      <w:sz w:val="20"/>
      <w:szCs w:val="24"/>
    </w:rPr>
  </w:style>
  <w:style w:type="paragraph" w:styleId="Footer">
    <w:name w:val="footer"/>
    <w:basedOn w:val="Normal"/>
    <w:link w:val="FooterChar"/>
    <w:unhideWhenUsed/>
    <w:rsid w:val="001D3731"/>
    <w:pPr>
      <w:tabs>
        <w:tab w:val="center" w:pos="4513"/>
        <w:tab w:val="right" w:pos="9026"/>
      </w:tabs>
    </w:pPr>
  </w:style>
  <w:style w:type="character" w:customStyle="1" w:styleId="FooterChar">
    <w:name w:val="Footer Char"/>
    <w:basedOn w:val="DefaultParagraphFont"/>
    <w:link w:val="Footer"/>
    <w:rsid w:val="001D3731"/>
    <w:rPr>
      <w:rFonts w:ascii="Arial" w:eastAsia="Times New Roman" w:hAnsi="Arial" w:cs="Times New Roman"/>
      <w:sz w:val="20"/>
      <w:szCs w:val="24"/>
    </w:rPr>
  </w:style>
  <w:style w:type="character" w:customStyle="1" w:styleId="Heading3Char">
    <w:name w:val="Heading 3 Char"/>
    <w:basedOn w:val="DefaultParagraphFont"/>
    <w:link w:val="Heading3"/>
    <w:rsid w:val="00305CE5"/>
    <w:rPr>
      <w:rFonts w:ascii="Arial" w:eastAsia="Times New Roman" w:hAnsi="Arial" w:cs="Arial"/>
      <w:b/>
      <w:bCs/>
      <w:iCs/>
      <w:caps/>
      <w:szCs w:val="28"/>
      <w:lang w:val="fr-FR"/>
    </w:rPr>
  </w:style>
  <w:style w:type="character" w:customStyle="1" w:styleId="Heading4Char">
    <w:name w:val="Heading 4 Char"/>
    <w:basedOn w:val="DefaultParagraphFont"/>
    <w:link w:val="Heading4"/>
    <w:rsid w:val="00305CE5"/>
    <w:rPr>
      <w:rFonts w:ascii="Arial" w:eastAsiaTheme="majorEastAsia" w:hAnsi="Arial" w:cs="Arial"/>
      <w:b/>
      <w:bCs/>
      <w:i/>
      <w:iCs/>
      <w:lang w:val="fr-FR"/>
    </w:rPr>
  </w:style>
  <w:style w:type="paragraph" w:styleId="FootnoteText">
    <w:name w:val="footnote text"/>
    <w:basedOn w:val="Normal"/>
    <w:link w:val="FootnoteTextChar"/>
    <w:rsid w:val="00007D87"/>
    <w:rPr>
      <w:rFonts w:eastAsia="SimSun" w:cs="Arial"/>
      <w:sz w:val="18"/>
      <w:szCs w:val="20"/>
      <w:lang w:eastAsia="zh-CN"/>
    </w:rPr>
  </w:style>
  <w:style w:type="character" w:customStyle="1" w:styleId="FootnoteTextChar">
    <w:name w:val="Footnote Text Char"/>
    <w:basedOn w:val="DefaultParagraphFont"/>
    <w:link w:val="FootnoteText"/>
    <w:rsid w:val="00007D87"/>
    <w:rPr>
      <w:rFonts w:ascii="Arial" w:eastAsia="SimSun" w:hAnsi="Arial" w:cs="Arial"/>
      <w:sz w:val="18"/>
      <w:szCs w:val="20"/>
      <w:lang w:val="fr-FR" w:eastAsia="zh-CN"/>
    </w:rPr>
  </w:style>
  <w:style w:type="character" w:styleId="FootnoteReference">
    <w:name w:val="footnote reference"/>
    <w:aliases w:val="Footnote"/>
    <w:basedOn w:val="DefaultParagraphFont"/>
    <w:rsid w:val="00007D87"/>
    <w:rPr>
      <w:vertAlign w:val="superscript"/>
    </w:rPr>
  </w:style>
  <w:style w:type="character" w:customStyle="1" w:styleId="Heading1Char">
    <w:name w:val="Heading 1 Char"/>
    <w:basedOn w:val="DefaultParagraphFont"/>
    <w:link w:val="Heading1"/>
    <w:rsid w:val="00701E26"/>
    <w:rPr>
      <w:rFonts w:ascii="Arial Bold" w:eastAsia="Times New Roman" w:hAnsi="Arial Bold" w:cs="Arial"/>
      <w:b/>
      <w:bCs/>
      <w:caps/>
      <w:kern w:val="32"/>
      <w:szCs w:val="32"/>
    </w:rPr>
  </w:style>
  <w:style w:type="character" w:styleId="Hyperlink">
    <w:name w:val="Hyperlink"/>
    <w:basedOn w:val="DefaultParagraphFont"/>
    <w:uiPriority w:val="99"/>
    <w:unhideWhenUsed/>
    <w:rsid w:val="0000169D"/>
    <w:rPr>
      <w:color w:val="0000FF" w:themeColor="hyperlink"/>
      <w:u w:val="single"/>
    </w:rPr>
  </w:style>
  <w:style w:type="character" w:customStyle="1" w:styleId="Heading5Char">
    <w:name w:val="Heading 5 Char"/>
    <w:basedOn w:val="DefaultParagraphFont"/>
    <w:link w:val="Heading5"/>
    <w:rsid w:val="00194A9A"/>
    <w:rPr>
      <w:rFonts w:ascii="Arial" w:eastAsia="Times New Roman" w:hAnsi="Arial" w:cs="Times New Roman"/>
      <w:i/>
      <w:szCs w:val="24"/>
      <w:lang w:val="fr-FR"/>
    </w:rPr>
  </w:style>
  <w:style w:type="paragraph" w:styleId="BodyText">
    <w:name w:val="Body Text"/>
    <w:basedOn w:val="Normal"/>
    <w:link w:val="BodyTextChar"/>
    <w:rsid w:val="00194A9A"/>
    <w:pPr>
      <w:spacing w:after="220"/>
    </w:pPr>
  </w:style>
  <w:style w:type="character" w:customStyle="1" w:styleId="BodyTextChar">
    <w:name w:val="Body Text Char"/>
    <w:basedOn w:val="DefaultParagraphFont"/>
    <w:link w:val="BodyText"/>
    <w:rsid w:val="00194A9A"/>
    <w:rPr>
      <w:rFonts w:ascii="Arial" w:eastAsia="Times New Roman" w:hAnsi="Arial" w:cs="Times New Roman"/>
      <w:sz w:val="20"/>
      <w:szCs w:val="24"/>
      <w:lang w:val="fr-FR"/>
    </w:rPr>
  </w:style>
  <w:style w:type="paragraph" w:styleId="Caption">
    <w:name w:val="caption"/>
    <w:basedOn w:val="Normal"/>
    <w:next w:val="Normal"/>
    <w:qFormat/>
    <w:rsid w:val="00194A9A"/>
    <w:rPr>
      <w:b/>
      <w:bCs/>
      <w:sz w:val="18"/>
    </w:rPr>
  </w:style>
  <w:style w:type="paragraph" w:styleId="EndnoteText">
    <w:name w:val="endnote text"/>
    <w:basedOn w:val="Normal"/>
    <w:link w:val="EndnoteTextChar"/>
    <w:rsid w:val="00194A9A"/>
    <w:rPr>
      <w:sz w:val="18"/>
    </w:rPr>
  </w:style>
  <w:style w:type="character" w:customStyle="1" w:styleId="EndnoteTextChar">
    <w:name w:val="Endnote Text Char"/>
    <w:basedOn w:val="DefaultParagraphFont"/>
    <w:link w:val="EndnoteText"/>
    <w:rsid w:val="00194A9A"/>
    <w:rPr>
      <w:rFonts w:ascii="Arial" w:eastAsia="Times New Roman" w:hAnsi="Arial" w:cs="Times New Roman"/>
      <w:sz w:val="18"/>
      <w:szCs w:val="24"/>
      <w:lang w:val="fr-FR"/>
    </w:rPr>
  </w:style>
  <w:style w:type="paragraph" w:customStyle="1" w:styleId="Endofdocument-Annex">
    <w:name w:val="[End of document - Annex]"/>
    <w:basedOn w:val="Normal"/>
    <w:rsid w:val="00194A9A"/>
    <w:pPr>
      <w:ind w:left="5534"/>
    </w:pPr>
    <w:rPr>
      <w:lang w:val="en-US"/>
    </w:rPr>
  </w:style>
  <w:style w:type="paragraph" w:styleId="ListNumber">
    <w:name w:val="List Number"/>
    <w:basedOn w:val="Normal"/>
    <w:rsid w:val="00194A9A"/>
    <w:pPr>
      <w:numPr>
        <w:numId w:val="5"/>
      </w:numPr>
    </w:pPr>
  </w:style>
  <w:style w:type="paragraph" w:customStyle="1" w:styleId="ONUME">
    <w:name w:val="ONUM E"/>
    <w:basedOn w:val="BodyText"/>
    <w:link w:val="ONUMEChar"/>
    <w:rsid w:val="00194A9A"/>
    <w:pPr>
      <w:numPr>
        <w:numId w:val="6"/>
      </w:numPr>
    </w:pPr>
  </w:style>
  <w:style w:type="paragraph" w:customStyle="1" w:styleId="ONUMFS">
    <w:name w:val="ONUM FS"/>
    <w:basedOn w:val="BodyText"/>
    <w:rsid w:val="00194A9A"/>
    <w:pPr>
      <w:numPr>
        <w:numId w:val="7"/>
      </w:numPr>
    </w:pPr>
  </w:style>
  <w:style w:type="paragraph" w:styleId="Salutation">
    <w:name w:val="Salutation"/>
    <w:basedOn w:val="Normal"/>
    <w:next w:val="Normal"/>
    <w:link w:val="SalutationChar"/>
    <w:rsid w:val="00194A9A"/>
  </w:style>
  <w:style w:type="character" w:customStyle="1" w:styleId="SalutationChar">
    <w:name w:val="Salutation Char"/>
    <w:basedOn w:val="DefaultParagraphFont"/>
    <w:link w:val="Salutation"/>
    <w:rsid w:val="00194A9A"/>
    <w:rPr>
      <w:rFonts w:ascii="Arial" w:eastAsia="Times New Roman" w:hAnsi="Arial" w:cs="Times New Roman"/>
      <w:sz w:val="20"/>
      <w:szCs w:val="24"/>
      <w:lang w:val="fr-FR"/>
    </w:rPr>
  </w:style>
  <w:style w:type="paragraph" w:styleId="Signature">
    <w:name w:val="Signature"/>
    <w:basedOn w:val="Normal"/>
    <w:link w:val="SignatureChar"/>
    <w:rsid w:val="00194A9A"/>
    <w:pPr>
      <w:ind w:left="5250"/>
    </w:pPr>
  </w:style>
  <w:style w:type="character" w:customStyle="1" w:styleId="SignatureChar">
    <w:name w:val="Signature Char"/>
    <w:basedOn w:val="DefaultParagraphFont"/>
    <w:link w:val="Signature"/>
    <w:rsid w:val="00194A9A"/>
    <w:rPr>
      <w:rFonts w:ascii="Arial" w:eastAsia="Times New Roman" w:hAnsi="Arial" w:cs="Times New Roman"/>
      <w:sz w:val="20"/>
      <w:szCs w:val="24"/>
      <w:lang w:val="fr-FR"/>
    </w:rPr>
  </w:style>
  <w:style w:type="paragraph" w:customStyle="1" w:styleId="Default">
    <w:name w:val="Default"/>
    <w:rsid w:val="00194A9A"/>
    <w:pPr>
      <w:autoSpaceDE w:val="0"/>
      <w:autoSpaceDN w:val="0"/>
      <w:adjustRightInd w:val="0"/>
      <w:spacing w:after="0" w:line="240" w:lineRule="auto"/>
    </w:pPr>
    <w:rPr>
      <w:rFonts w:ascii="Arial" w:hAnsi="Arial" w:cs="Arial"/>
      <w:color w:val="000000"/>
      <w:sz w:val="24"/>
      <w:szCs w:val="24"/>
      <w:lang w:val="fr-FR"/>
    </w:rPr>
  </w:style>
  <w:style w:type="table" w:styleId="TableGrid">
    <w:name w:val="Table Grid"/>
    <w:basedOn w:val="TableNormal"/>
    <w:rsid w:val="00194A9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194A9A"/>
    <w:pPr>
      <w:spacing w:after="160" w:line="240" w:lineRule="exact"/>
    </w:pPr>
    <w:rPr>
      <w:rFonts w:ascii="Verdana" w:hAnsi="Verdana"/>
      <w:lang w:val="en-GB"/>
    </w:rPr>
  </w:style>
  <w:style w:type="paragraph" w:styleId="BodyTextIndent">
    <w:name w:val="Body Text Indent"/>
    <w:basedOn w:val="Normal"/>
    <w:link w:val="BodyTextIndentChar"/>
    <w:rsid w:val="00194A9A"/>
    <w:pPr>
      <w:ind w:left="567"/>
    </w:pPr>
    <w:rPr>
      <w:lang w:val="en-US"/>
    </w:rPr>
  </w:style>
  <w:style w:type="character" w:customStyle="1" w:styleId="BodyTextIndentChar">
    <w:name w:val="Body Text Indent Char"/>
    <w:basedOn w:val="DefaultParagraphFont"/>
    <w:link w:val="BodyTextIndent"/>
    <w:rsid w:val="00194A9A"/>
    <w:rPr>
      <w:rFonts w:ascii="Arial" w:eastAsia="Times New Roman" w:hAnsi="Arial" w:cs="Times New Roman"/>
      <w:sz w:val="20"/>
      <w:szCs w:val="24"/>
    </w:rPr>
  </w:style>
  <w:style w:type="character" w:styleId="PageNumber">
    <w:name w:val="page number"/>
    <w:basedOn w:val="DefaultParagraphFont"/>
    <w:rsid w:val="00194A9A"/>
  </w:style>
  <w:style w:type="character" w:customStyle="1" w:styleId="CharChar">
    <w:name w:val="Char Char"/>
    <w:locked/>
    <w:rsid w:val="00194A9A"/>
    <w:rPr>
      <w:rFonts w:ascii="Arial" w:hAnsi="Arial" w:cs="Times New Roman"/>
      <w:lang w:val="en-US" w:eastAsia="en-US" w:bidi="ar-SA"/>
    </w:rPr>
  </w:style>
  <w:style w:type="paragraph" w:customStyle="1" w:styleId="CarCar">
    <w:name w:val="Car Car"/>
    <w:basedOn w:val="Normal"/>
    <w:rsid w:val="00194A9A"/>
    <w:pPr>
      <w:spacing w:after="160" w:line="240" w:lineRule="exact"/>
    </w:pPr>
    <w:rPr>
      <w:rFonts w:ascii="Verdana" w:hAnsi="Verdana"/>
      <w:lang w:val="en-GB"/>
    </w:rPr>
  </w:style>
  <w:style w:type="character" w:customStyle="1" w:styleId="CharChar2">
    <w:name w:val="Char Char2"/>
    <w:rsid w:val="00194A9A"/>
    <w:rPr>
      <w:rFonts w:ascii="Arial" w:hAnsi="Arial"/>
      <w:lang w:val="en-US" w:eastAsia="en-US" w:bidi="ar-SA"/>
    </w:rPr>
  </w:style>
  <w:style w:type="paragraph" w:styleId="TOC2">
    <w:name w:val="toc 2"/>
    <w:basedOn w:val="Normal"/>
    <w:next w:val="Normal"/>
    <w:autoRedefine/>
    <w:uiPriority w:val="39"/>
    <w:qFormat/>
    <w:rsid w:val="00194A9A"/>
    <w:pPr>
      <w:tabs>
        <w:tab w:val="right" w:leader="dot" w:pos="9356"/>
      </w:tabs>
      <w:spacing w:before="120" w:after="120"/>
      <w:ind w:left="567" w:right="567"/>
    </w:pPr>
    <w:rPr>
      <w:caps/>
      <w:lang w:val="en-US"/>
    </w:rPr>
  </w:style>
  <w:style w:type="paragraph" w:styleId="TOC1">
    <w:name w:val="toc 1"/>
    <w:basedOn w:val="Normal"/>
    <w:next w:val="Normal"/>
    <w:autoRedefine/>
    <w:uiPriority w:val="39"/>
    <w:qFormat/>
    <w:rsid w:val="00382B3D"/>
    <w:pPr>
      <w:tabs>
        <w:tab w:val="left" w:pos="567"/>
        <w:tab w:val="right" w:leader="dot" w:pos="9356"/>
      </w:tabs>
      <w:spacing w:before="120" w:after="120"/>
      <w:ind w:left="567" w:right="567" w:hanging="567"/>
    </w:pPr>
    <w:rPr>
      <w:b/>
      <w:caps/>
      <w:lang w:val="en-US"/>
    </w:rPr>
  </w:style>
  <w:style w:type="paragraph" w:customStyle="1" w:styleId="Indicators">
    <w:name w:val="Indicators"/>
    <w:basedOn w:val="Normal"/>
    <w:link w:val="IndicatorsChar"/>
    <w:rsid w:val="00194A9A"/>
    <w:pPr>
      <w:spacing w:before="120"/>
      <w:ind w:left="284" w:right="170"/>
    </w:pPr>
    <w:rPr>
      <w:lang w:val="en-US"/>
    </w:rPr>
  </w:style>
  <w:style w:type="character" w:customStyle="1" w:styleId="IndicatorsChar">
    <w:name w:val="Indicators Char"/>
    <w:link w:val="Indicators"/>
    <w:rsid w:val="00194A9A"/>
    <w:rPr>
      <w:rFonts w:ascii="Arial" w:eastAsia="Times New Roman" w:hAnsi="Arial" w:cs="Times New Roman"/>
      <w:sz w:val="20"/>
      <w:szCs w:val="24"/>
    </w:rPr>
  </w:style>
  <w:style w:type="paragraph" w:customStyle="1" w:styleId="DecisionInvitingPara">
    <w:name w:val="Decision Inviting Para."/>
    <w:basedOn w:val="Normal"/>
    <w:link w:val="DecisionInvitingParaChar"/>
    <w:rsid w:val="00194A9A"/>
    <w:pPr>
      <w:spacing w:after="120" w:line="260" w:lineRule="exact"/>
      <w:ind w:left="5534"/>
    </w:pPr>
    <w:rPr>
      <w:i/>
      <w:lang w:val="en-US"/>
    </w:rPr>
  </w:style>
  <w:style w:type="paragraph" w:customStyle="1" w:styleId="preparedby">
    <w:name w:val="prepared by"/>
    <w:basedOn w:val="Normal"/>
    <w:next w:val="Normal"/>
    <w:rsid w:val="00194A9A"/>
    <w:pPr>
      <w:spacing w:after="480" w:line="260" w:lineRule="exact"/>
      <w:ind w:left="1021"/>
    </w:pPr>
    <w:rPr>
      <w:i/>
      <w:lang w:val="en-US"/>
    </w:rPr>
  </w:style>
  <w:style w:type="paragraph" w:customStyle="1" w:styleId="Documenttitle">
    <w:name w:val="Document title"/>
    <w:basedOn w:val="Normal"/>
    <w:rsid w:val="00194A9A"/>
    <w:pPr>
      <w:spacing w:before="1200" w:after="120" w:line="260" w:lineRule="exact"/>
      <w:ind w:left="1021"/>
    </w:pPr>
    <w:rPr>
      <w:b/>
      <w:caps/>
      <w:lang w:val="en-US"/>
    </w:rPr>
  </w:style>
  <w:style w:type="paragraph" w:customStyle="1" w:styleId="MeetinglanguageDate">
    <w:name w:val="Meeting language &amp; Date"/>
    <w:basedOn w:val="Normal"/>
    <w:next w:val="Meetingtitle"/>
    <w:rsid w:val="00194A9A"/>
    <w:pPr>
      <w:spacing w:after="1680" w:line="160" w:lineRule="exact"/>
      <w:ind w:left="1021"/>
      <w:contextualSpacing/>
      <w:jc w:val="right"/>
    </w:pPr>
    <w:rPr>
      <w:rFonts w:ascii="Arial Black" w:hAnsi="Arial Black"/>
      <w:b/>
      <w:caps/>
      <w:sz w:val="15"/>
    </w:rPr>
  </w:style>
  <w:style w:type="paragraph" w:customStyle="1" w:styleId="Language">
    <w:name w:val="Language"/>
    <w:basedOn w:val="Normal"/>
    <w:next w:val="Normal"/>
    <w:autoRedefine/>
    <w:rsid w:val="00194A9A"/>
    <w:pPr>
      <w:spacing w:after="120" w:line="340" w:lineRule="atLeast"/>
      <w:ind w:left="1021"/>
      <w:jc w:val="right"/>
    </w:pPr>
    <w:rPr>
      <w:b/>
      <w:caps/>
      <w:sz w:val="40"/>
      <w:lang w:val="pt-BR"/>
    </w:rPr>
  </w:style>
  <w:style w:type="paragraph" w:customStyle="1" w:styleId="MeetingCode">
    <w:name w:val="Meeting Code"/>
    <w:basedOn w:val="MeetinglanguageDate"/>
    <w:rsid w:val="00194A9A"/>
    <w:pPr>
      <w:spacing w:before="300" w:after="0"/>
    </w:pPr>
  </w:style>
  <w:style w:type="paragraph" w:customStyle="1" w:styleId="Meetingtitle">
    <w:name w:val="Meeting title"/>
    <w:basedOn w:val="Normal"/>
    <w:next w:val="Sessiontitle"/>
    <w:rsid w:val="00194A9A"/>
    <w:pPr>
      <w:spacing w:after="360" w:line="336" w:lineRule="exact"/>
      <w:ind w:left="1021"/>
    </w:pPr>
    <w:rPr>
      <w:b/>
      <w:sz w:val="28"/>
    </w:rPr>
  </w:style>
  <w:style w:type="paragraph" w:customStyle="1" w:styleId="Sessiontitle">
    <w:name w:val="Session title"/>
    <w:basedOn w:val="Meetingtitle"/>
    <w:next w:val="Meetingdateplace"/>
    <w:rsid w:val="00194A9A"/>
    <w:pPr>
      <w:spacing w:after="0"/>
    </w:pPr>
    <w:rPr>
      <w:sz w:val="24"/>
    </w:rPr>
  </w:style>
  <w:style w:type="paragraph" w:customStyle="1" w:styleId="Meetingdateplace">
    <w:name w:val="Meeting date &amp; place"/>
    <w:basedOn w:val="Sessiontitle"/>
    <w:next w:val="Documenttitle"/>
    <w:rsid w:val="00194A9A"/>
    <w:rPr>
      <w:lang w:val="en-US"/>
    </w:rPr>
  </w:style>
  <w:style w:type="character" w:customStyle="1" w:styleId="CharChar3">
    <w:name w:val="Char Char3"/>
    <w:rsid w:val="00194A9A"/>
    <w:rPr>
      <w:rFonts w:ascii="Arial" w:hAnsi="Arial"/>
      <w:lang w:val="en-US" w:eastAsia="en-US" w:bidi="ar-SA"/>
    </w:rPr>
  </w:style>
  <w:style w:type="paragraph" w:styleId="BlockText">
    <w:name w:val="Block Text"/>
    <w:basedOn w:val="Normal"/>
    <w:rsid w:val="00194A9A"/>
    <w:pPr>
      <w:spacing w:before="60" w:after="60"/>
      <w:ind w:left="266" w:right="142"/>
    </w:pPr>
    <w:rPr>
      <w:sz w:val="22"/>
      <w:lang w:val="en-US"/>
    </w:rPr>
  </w:style>
  <w:style w:type="paragraph" w:customStyle="1" w:styleId="BoxText1">
    <w:name w:val="Box Text1"/>
    <w:basedOn w:val="Normal"/>
    <w:rsid w:val="00194A9A"/>
    <w:pPr>
      <w:ind w:left="284"/>
    </w:pPr>
    <w:rPr>
      <w:snapToGrid w:val="0"/>
      <w:sz w:val="22"/>
      <w:lang w:val="en-US"/>
    </w:rPr>
  </w:style>
  <w:style w:type="paragraph" w:customStyle="1" w:styleId="Normal1">
    <w:name w:val="Normal+1"/>
    <w:basedOn w:val="Normal"/>
    <w:next w:val="Normal"/>
    <w:rsid w:val="00194A9A"/>
    <w:pPr>
      <w:autoSpaceDE w:val="0"/>
      <w:autoSpaceDN w:val="0"/>
      <w:adjustRightInd w:val="0"/>
    </w:pPr>
    <w:rPr>
      <w:lang w:val="en-US"/>
    </w:rPr>
  </w:style>
  <w:style w:type="paragraph" w:styleId="BodyText2">
    <w:name w:val="Body Text 2"/>
    <w:basedOn w:val="Normal"/>
    <w:link w:val="BodyText2Char"/>
    <w:rsid w:val="00194A9A"/>
    <w:pPr>
      <w:spacing w:after="120" w:line="480" w:lineRule="auto"/>
    </w:pPr>
    <w:rPr>
      <w:lang w:val="en-US"/>
    </w:rPr>
  </w:style>
  <w:style w:type="character" w:customStyle="1" w:styleId="BodyText2Char">
    <w:name w:val="Body Text 2 Char"/>
    <w:basedOn w:val="DefaultParagraphFont"/>
    <w:link w:val="BodyText2"/>
    <w:rsid w:val="00194A9A"/>
    <w:rPr>
      <w:rFonts w:ascii="Arial" w:eastAsia="Times New Roman" w:hAnsi="Arial" w:cs="Times New Roman"/>
      <w:sz w:val="20"/>
      <w:szCs w:val="24"/>
    </w:rPr>
  </w:style>
  <w:style w:type="character" w:customStyle="1" w:styleId="CharChar4">
    <w:name w:val="Char Char4"/>
    <w:rsid w:val="00194A9A"/>
    <w:rPr>
      <w:rFonts w:ascii="Arial" w:hAnsi="Arial"/>
      <w:lang w:val="en-US" w:eastAsia="en-US" w:bidi="ar-SA"/>
    </w:rPr>
  </w:style>
  <w:style w:type="character" w:styleId="FollowedHyperlink">
    <w:name w:val="FollowedHyperlink"/>
    <w:rsid w:val="00194A9A"/>
    <w:rPr>
      <w:color w:val="606420"/>
      <w:u w:val="single"/>
    </w:rPr>
  </w:style>
  <w:style w:type="paragraph" w:customStyle="1" w:styleId="Meetingplacedate">
    <w:name w:val="Meeting place &amp; date"/>
    <w:basedOn w:val="Sessiontitle"/>
    <w:next w:val="Documenttitle"/>
    <w:rsid w:val="00194A9A"/>
    <w:rPr>
      <w:lang w:val="en-US"/>
    </w:rPr>
  </w:style>
  <w:style w:type="character" w:customStyle="1" w:styleId="CharChar6">
    <w:name w:val="Char Char6"/>
    <w:rsid w:val="00194A9A"/>
    <w:rPr>
      <w:rFonts w:ascii="Arial" w:hAnsi="Arial"/>
      <w:lang w:val="en-US" w:eastAsia="en-US" w:bidi="ar-SA"/>
    </w:rPr>
  </w:style>
  <w:style w:type="character" w:customStyle="1" w:styleId="Novruzova">
    <w:name w:val="Novruzova"/>
    <w:semiHidden/>
    <w:rsid w:val="00194A9A"/>
    <w:rPr>
      <w:rFonts w:ascii="Arial" w:hAnsi="Arial" w:cs="Arial"/>
      <w:color w:val="000080"/>
      <w:sz w:val="20"/>
      <w:szCs w:val="20"/>
    </w:rPr>
  </w:style>
  <w:style w:type="character" w:customStyle="1" w:styleId="description">
    <w:name w:val="description"/>
    <w:basedOn w:val="DefaultParagraphFont"/>
    <w:rsid w:val="00194A9A"/>
  </w:style>
  <w:style w:type="paragraph" w:customStyle="1" w:styleId="FreeFormA">
    <w:name w:val="Free Form A"/>
    <w:rsid w:val="00194A9A"/>
    <w:pPr>
      <w:spacing w:after="0" w:line="240" w:lineRule="auto"/>
    </w:pPr>
    <w:rPr>
      <w:rFonts w:ascii="Helvetica" w:eastAsia="ヒラギノ角ゴ Pro W3" w:hAnsi="Helvetica" w:cs="Times New Roman"/>
      <w:color w:val="000000"/>
      <w:sz w:val="24"/>
      <w:szCs w:val="20"/>
    </w:rPr>
  </w:style>
  <w:style w:type="paragraph" w:customStyle="1" w:styleId="Char">
    <w:name w:val="Char 字元 字元"/>
    <w:basedOn w:val="Normal"/>
    <w:rsid w:val="00194A9A"/>
    <w:pPr>
      <w:spacing w:after="160" w:line="240" w:lineRule="exact"/>
    </w:pPr>
    <w:rPr>
      <w:rFonts w:ascii="Verdana" w:eastAsia="PMingLiU" w:hAnsi="Verdana"/>
      <w:lang w:val="en-US"/>
    </w:rPr>
  </w:style>
  <w:style w:type="character" w:customStyle="1" w:styleId="underline">
    <w:name w:val="underline"/>
    <w:rsid w:val="00194A9A"/>
    <w:rPr>
      <w:u w:val="single"/>
    </w:rPr>
  </w:style>
  <w:style w:type="paragraph" w:customStyle="1" w:styleId="FreeForm">
    <w:name w:val="Free Form"/>
    <w:rsid w:val="00194A9A"/>
    <w:pPr>
      <w:spacing w:after="0" w:line="240" w:lineRule="auto"/>
    </w:pPr>
    <w:rPr>
      <w:rFonts w:ascii="Times New Roman" w:eastAsia="ヒラギノ角ゴ Pro W3" w:hAnsi="Times New Roman" w:cs="Times New Roman"/>
      <w:color w:val="000000"/>
      <w:sz w:val="20"/>
      <w:szCs w:val="20"/>
    </w:rPr>
  </w:style>
  <w:style w:type="paragraph" w:customStyle="1" w:styleId="Heading2A">
    <w:name w:val="Heading 2 A"/>
    <w:next w:val="Normal"/>
    <w:rsid w:val="00194A9A"/>
    <w:pPr>
      <w:keepNext/>
      <w:tabs>
        <w:tab w:val="left" w:pos="567"/>
        <w:tab w:val="right" w:pos="9072"/>
      </w:tabs>
      <w:spacing w:after="0" w:line="240" w:lineRule="auto"/>
      <w:ind w:left="1701" w:hanging="1701"/>
      <w:outlineLvl w:val="1"/>
    </w:pPr>
    <w:rPr>
      <w:rFonts w:ascii="Arial Bold" w:eastAsia="ヒラギノ角ゴ Pro W3" w:hAnsi="Arial Bold" w:cs="Times New Roman"/>
      <w:color w:val="000000"/>
      <w:szCs w:val="20"/>
    </w:rPr>
  </w:style>
  <w:style w:type="paragraph" w:customStyle="1" w:styleId="Normal-Header">
    <w:name w:val="Normal-Header"/>
    <w:rsid w:val="00194A9A"/>
    <w:pPr>
      <w:spacing w:after="0" w:line="240" w:lineRule="auto"/>
    </w:pPr>
    <w:rPr>
      <w:rFonts w:ascii="Arial" w:eastAsia="Times New Roman" w:hAnsi="Arial" w:cs="Times New Roman"/>
      <w:sz w:val="16"/>
      <w:szCs w:val="20"/>
    </w:rPr>
  </w:style>
  <w:style w:type="character" w:styleId="PlaceholderText">
    <w:name w:val="Placeholder Text"/>
    <w:basedOn w:val="DefaultParagraphFont"/>
    <w:uiPriority w:val="99"/>
    <w:semiHidden/>
    <w:rsid w:val="00194A9A"/>
    <w:rPr>
      <w:color w:val="808080"/>
    </w:rPr>
  </w:style>
  <w:style w:type="character" w:customStyle="1" w:styleId="Style5">
    <w:name w:val="Style5"/>
    <w:basedOn w:val="DefaultParagraphFont"/>
    <w:uiPriority w:val="1"/>
    <w:rsid w:val="00194A9A"/>
    <w:rPr>
      <w:rFonts w:asciiTheme="minorHAnsi" w:hAnsiTheme="minorHAnsi"/>
      <w:sz w:val="20"/>
    </w:rPr>
  </w:style>
  <w:style w:type="character" w:styleId="Emphasis">
    <w:name w:val="Emphasis"/>
    <w:basedOn w:val="DefaultParagraphFont"/>
    <w:uiPriority w:val="20"/>
    <w:qFormat/>
    <w:rsid w:val="00194A9A"/>
    <w:rPr>
      <w:b/>
      <w:bCs/>
      <w:i w:val="0"/>
      <w:iCs w:val="0"/>
    </w:rPr>
  </w:style>
  <w:style w:type="character" w:customStyle="1" w:styleId="st1">
    <w:name w:val="st1"/>
    <w:basedOn w:val="DefaultParagraphFont"/>
    <w:rsid w:val="00194A9A"/>
  </w:style>
  <w:style w:type="paragraph" w:customStyle="1" w:styleId="StyleHeading214ptAuto">
    <w:name w:val="Style Heading 2 + 14 pt Auto"/>
    <w:basedOn w:val="Heading2"/>
    <w:rsid w:val="00194A9A"/>
    <w:pPr>
      <w:keepNext w:val="0"/>
      <w:widowControl w:val="0"/>
      <w:tabs>
        <w:tab w:val="num" w:pos="567"/>
      </w:tabs>
      <w:spacing w:line="300" w:lineRule="atLeast"/>
      <w:ind w:left="567" w:hanging="567"/>
    </w:pPr>
    <w:rPr>
      <w:rFonts w:ascii="Arial Bold" w:hAnsi="Arial Bold" w:cs="Times New Roman"/>
      <w:b w:val="0"/>
      <w:sz w:val="24"/>
      <w:lang w:val="en-GB" w:eastAsia="da-DK"/>
    </w:rPr>
  </w:style>
  <w:style w:type="paragraph" w:styleId="TOC3">
    <w:name w:val="toc 3"/>
    <w:basedOn w:val="Normal"/>
    <w:next w:val="Normal"/>
    <w:autoRedefine/>
    <w:uiPriority w:val="39"/>
    <w:qFormat/>
    <w:rsid w:val="00194A9A"/>
    <w:pPr>
      <w:tabs>
        <w:tab w:val="right" w:leader="dot" w:pos="9356"/>
      </w:tabs>
      <w:spacing w:after="60"/>
      <w:ind w:left="2268" w:right="567" w:hanging="1701"/>
    </w:pPr>
    <w:rPr>
      <w:caps/>
      <w:noProof/>
      <w:sz w:val="18"/>
    </w:rPr>
  </w:style>
  <w:style w:type="paragraph" w:styleId="PlainText">
    <w:name w:val="Plain Text"/>
    <w:basedOn w:val="Normal"/>
    <w:link w:val="PlainTextChar"/>
    <w:uiPriority w:val="99"/>
    <w:rsid w:val="00194A9A"/>
    <w:rPr>
      <w:rFonts w:ascii="Courier New" w:eastAsia="MS Mincho" w:hAnsi="Courier New"/>
      <w:lang w:bidi="th-TH"/>
    </w:rPr>
  </w:style>
  <w:style w:type="character" w:customStyle="1" w:styleId="PlainTextChar">
    <w:name w:val="Plain Text Char"/>
    <w:basedOn w:val="DefaultParagraphFont"/>
    <w:link w:val="PlainText"/>
    <w:uiPriority w:val="99"/>
    <w:rsid w:val="00194A9A"/>
    <w:rPr>
      <w:rFonts w:ascii="Courier New" w:eastAsia="MS Mincho" w:hAnsi="Courier New" w:cs="Times New Roman"/>
      <w:sz w:val="20"/>
      <w:szCs w:val="24"/>
      <w:lang w:val="fr-FR" w:bidi="th-TH"/>
    </w:rPr>
  </w:style>
  <w:style w:type="paragraph" w:styleId="TOC4">
    <w:name w:val="toc 4"/>
    <w:basedOn w:val="Normal"/>
    <w:next w:val="Normal"/>
    <w:autoRedefine/>
    <w:uiPriority w:val="39"/>
    <w:rsid w:val="00194A9A"/>
    <w:pPr>
      <w:tabs>
        <w:tab w:val="right" w:leader="dot" w:pos="9356"/>
      </w:tabs>
      <w:spacing w:after="100"/>
      <w:ind w:left="851" w:right="567"/>
    </w:pPr>
    <w:rPr>
      <w:i/>
      <w:sz w:val="18"/>
    </w:rPr>
  </w:style>
  <w:style w:type="paragraph" w:styleId="TOC5">
    <w:name w:val="toc 5"/>
    <w:basedOn w:val="Normal"/>
    <w:next w:val="Normal"/>
    <w:autoRedefine/>
    <w:rsid w:val="00194A9A"/>
    <w:pPr>
      <w:spacing w:after="100"/>
      <w:ind w:left="800"/>
    </w:pPr>
  </w:style>
  <w:style w:type="character" w:customStyle="1" w:styleId="st">
    <w:name w:val="st"/>
    <w:basedOn w:val="DefaultParagraphFont"/>
    <w:rsid w:val="00194A9A"/>
  </w:style>
  <w:style w:type="paragraph" w:customStyle="1" w:styleId="StyleStyleHeading3ComplexItalicLatin12pt">
    <w:name w:val="Style Style Heading 3 + (Complex) Italic + (Latin) 12 pt"/>
    <w:basedOn w:val="Normal"/>
    <w:link w:val="StyleStyleHeading3ComplexItalicLatin12ptChar"/>
    <w:rsid w:val="00194A9A"/>
    <w:pPr>
      <w:keepNext/>
      <w:tabs>
        <w:tab w:val="left" w:pos="1985"/>
      </w:tabs>
      <w:outlineLvl w:val="2"/>
    </w:pPr>
    <w:rPr>
      <w:b/>
      <w:iCs/>
      <w:caps/>
      <w:szCs w:val="22"/>
      <w:lang w:val="en-US"/>
    </w:rPr>
  </w:style>
  <w:style w:type="character" w:customStyle="1" w:styleId="StyleStyleHeading3ComplexItalicLatin12ptChar">
    <w:name w:val="Style Style Heading 3 + (Complex) Italic + (Latin) 12 pt Char"/>
    <w:link w:val="StyleStyleHeading3ComplexItalicLatin12pt"/>
    <w:rsid w:val="00194A9A"/>
    <w:rPr>
      <w:rFonts w:ascii="Arial" w:eastAsia="Times New Roman" w:hAnsi="Arial" w:cs="Times New Roman"/>
      <w:b/>
      <w:iCs/>
      <w:caps/>
      <w:sz w:val="20"/>
    </w:rPr>
  </w:style>
  <w:style w:type="paragraph" w:customStyle="1" w:styleId="Style1">
    <w:name w:val="Style1"/>
    <w:basedOn w:val="Normal"/>
    <w:qFormat/>
    <w:rsid w:val="00194A9A"/>
    <w:pPr>
      <w:numPr>
        <w:numId w:val="10"/>
      </w:numPr>
    </w:pPr>
    <w:rPr>
      <w:lang w:val="en-US"/>
    </w:rPr>
  </w:style>
  <w:style w:type="paragraph" w:styleId="NoSpacing">
    <w:name w:val="No Spacing"/>
    <w:uiPriority w:val="1"/>
    <w:qFormat/>
    <w:rsid w:val="00194A9A"/>
    <w:pPr>
      <w:spacing w:after="0" w:line="240" w:lineRule="auto"/>
    </w:pPr>
    <w:rPr>
      <w:rFonts w:ascii="Calibri" w:eastAsia="Calibri" w:hAnsi="Calibri" w:cs="Times New Roman"/>
      <w:lang w:val="fr-FR" w:eastAsia="fr-FR"/>
    </w:rPr>
  </w:style>
  <w:style w:type="numbering" w:customStyle="1" w:styleId="NoList1">
    <w:name w:val="No List1"/>
    <w:next w:val="NoList"/>
    <w:uiPriority w:val="99"/>
    <w:semiHidden/>
    <w:unhideWhenUsed/>
    <w:rsid w:val="00194A9A"/>
  </w:style>
  <w:style w:type="paragraph" w:customStyle="1" w:styleId="Test">
    <w:name w:val="Test"/>
    <w:basedOn w:val="Normal"/>
    <w:qFormat/>
    <w:rsid w:val="00194A9A"/>
    <w:pPr>
      <w:numPr>
        <w:numId w:val="11"/>
      </w:numPr>
    </w:pPr>
    <w:rPr>
      <w:rFonts w:eastAsiaTheme="minorHAnsi"/>
      <w:sz w:val="22"/>
      <w:szCs w:val="22"/>
      <w:lang w:val="en-US"/>
    </w:rPr>
  </w:style>
  <w:style w:type="paragraph" w:styleId="TOCHeading">
    <w:name w:val="TOC Heading"/>
    <w:basedOn w:val="Heading1"/>
    <w:next w:val="Normal"/>
    <w:uiPriority w:val="39"/>
    <w:semiHidden/>
    <w:unhideWhenUsed/>
    <w:qFormat/>
    <w:rsid w:val="00194A9A"/>
    <w:pPr>
      <w:spacing w:line="276" w:lineRule="auto"/>
      <w:outlineLvl w:val="9"/>
    </w:pPr>
    <w:rPr>
      <w:rFonts w:ascii="Cambria" w:hAnsi="Cambria" w:cs="Times New Roman"/>
      <w:caps w:val="0"/>
      <w:color w:val="365F91"/>
      <w:lang w:eastAsia="fr-FR"/>
    </w:rPr>
  </w:style>
  <w:style w:type="paragraph" w:styleId="TOC6">
    <w:name w:val="toc 6"/>
    <w:basedOn w:val="Normal"/>
    <w:next w:val="Normal"/>
    <w:autoRedefine/>
    <w:rsid w:val="00194A9A"/>
    <w:pPr>
      <w:ind w:left="1000"/>
    </w:pPr>
    <w:rPr>
      <w:rFonts w:ascii="Calibri" w:hAnsi="Calibri"/>
      <w:sz w:val="18"/>
      <w:szCs w:val="18"/>
      <w:lang w:eastAsia="fr-FR"/>
    </w:rPr>
  </w:style>
  <w:style w:type="paragraph" w:styleId="TOC7">
    <w:name w:val="toc 7"/>
    <w:basedOn w:val="Normal"/>
    <w:next w:val="Normal"/>
    <w:autoRedefine/>
    <w:rsid w:val="00194A9A"/>
    <w:pPr>
      <w:ind w:left="1200"/>
    </w:pPr>
    <w:rPr>
      <w:rFonts w:ascii="Calibri" w:hAnsi="Calibri"/>
      <w:sz w:val="18"/>
      <w:szCs w:val="18"/>
      <w:lang w:eastAsia="fr-FR"/>
    </w:rPr>
  </w:style>
  <w:style w:type="paragraph" w:styleId="TOC8">
    <w:name w:val="toc 8"/>
    <w:basedOn w:val="Normal"/>
    <w:next w:val="Normal"/>
    <w:autoRedefine/>
    <w:rsid w:val="00194A9A"/>
    <w:pPr>
      <w:ind w:left="1400"/>
    </w:pPr>
    <w:rPr>
      <w:rFonts w:ascii="Calibri" w:hAnsi="Calibri"/>
      <w:sz w:val="18"/>
      <w:szCs w:val="18"/>
      <w:lang w:eastAsia="fr-FR"/>
    </w:rPr>
  </w:style>
  <w:style w:type="paragraph" w:styleId="TOC9">
    <w:name w:val="toc 9"/>
    <w:basedOn w:val="Normal"/>
    <w:next w:val="Normal"/>
    <w:autoRedefine/>
    <w:rsid w:val="00194A9A"/>
    <w:pPr>
      <w:ind w:left="1600"/>
    </w:pPr>
    <w:rPr>
      <w:rFonts w:ascii="Calibri" w:hAnsi="Calibri"/>
      <w:sz w:val="18"/>
      <w:szCs w:val="18"/>
      <w:lang w:eastAsia="fr-FR"/>
    </w:rPr>
  </w:style>
  <w:style w:type="character" w:customStyle="1" w:styleId="DecisionInvitingParaChar">
    <w:name w:val="Decision Inviting Para. Char"/>
    <w:link w:val="DecisionInvitingPara"/>
    <w:locked/>
    <w:rsid w:val="00194A9A"/>
    <w:rPr>
      <w:rFonts w:ascii="Arial" w:eastAsia="Times New Roman" w:hAnsi="Arial" w:cs="Times New Roman"/>
      <w:i/>
      <w:sz w:val="20"/>
      <w:szCs w:val="24"/>
    </w:rPr>
  </w:style>
  <w:style w:type="character" w:customStyle="1" w:styleId="ONUMEChar">
    <w:name w:val="ONUM E Char"/>
    <w:link w:val="ONUME"/>
    <w:locked/>
    <w:rsid w:val="00194A9A"/>
    <w:rPr>
      <w:rFonts w:ascii="Arial" w:eastAsia="Times New Roman" w:hAnsi="Arial" w:cs="Times New Roman"/>
      <w:sz w:val="20"/>
      <w:szCs w:val="24"/>
      <w:lang w:val="fr-FR"/>
    </w:rPr>
  </w:style>
  <w:style w:type="paragraph" w:customStyle="1" w:styleId="StyleHeading3BoldNounderline">
    <w:name w:val="Style Heading 3 + Bold No underline"/>
    <w:basedOn w:val="Heading3"/>
    <w:rsid w:val="00194A9A"/>
    <w:rPr>
      <w:b w:val="0"/>
      <w:i/>
      <w:caps w:val="0"/>
      <w:sz w:val="20"/>
      <w:szCs w:val="26"/>
      <w:lang w:eastAsia="fr-FR"/>
    </w:rPr>
  </w:style>
  <w:style w:type="character" w:styleId="Strong">
    <w:name w:val="Strong"/>
    <w:basedOn w:val="DefaultParagraphFont"/>
    <w:uiPriority w:val="22"/>
    <w:qFormat/>
    <w:rsid w:val="00A068F8"/>
    <w:rPr>
      <w:b/>
      <w:bCs/>
    </w:rPr>
  </w:style>
  <w:style w:type="paragraph" w:customStyle="1" w:styleId="StyleHeading3ComplexItalic">
    <w:name w:val="Style Heading 3 + (Complex) Italic"/>
    <w:basedOn w:val="Heading3"/>
    <w:link w:val="StyleHeading3ComplexItalicChar"/>
    <w:rsid w:val="00A068F8"/>
    <w:pPr>
      <w:tabs>
        <w:tab w:val="left" w:pos="1985"/>
      </w:tabs>
    </w:pPr>
    <w:rPr>
      <w:b w:val="0"/>
      <w:iCs w:val="0"/>
      <w:szCs w:val="22"/>
      <w:lang w:val="en-US"/>
    </w:rPr>
  </w:style>
  <w:style w:type="character" w:customStyle="1" w:styleId="StyleHeading3ComplexItalicChar">
    <w:name w:val="Style Heading 3 + (Complex) Italic Char"/>
    <w:link w:val="StyleHeading3ComplexItalic"/>
    <w:rsid w:val="00A068F8"/>
    <w:rPr>
      <w:rFonts w:ascii="Arial" w:eastAsia="Times New Roman" w:hAnsi="Arial" w:cs="Arial"/>
      <w:b/>
      <w:iCs/>
      <w:caps/>
    </w:rPr>
  </w:style>
  <w:style w:type="character" w:styleId="EndnoteReference">
    <w:name w:val="endnote reference"/>
    <w:basedOn w:val="DefaultParagraphFont"/>
    <w:unhideWhenUsed/>
    <w:rsid w:val="00A068F8"/>
    <w:rPr>
      <w:vertAlign w:val="superscript"/>
    </w:rPr>
  </w:style>
  <w:style w:type="character" w:styleId="HTMLCite">
    <w:name w:val="HTML Cite"/>
    <w:basedOn w:val="DefaultParagraphFont"/>
    <w:uiPriority w:val="99"/>
    <w:unhideWhenUsed/>
    <w:rsid w:val="00A068F8"/>
    <w:rPr>
      <w:i/>
      <w:iCs/>
    </w:rPr>
  </w:style>
  <w:style w:type="character" w:customStyle="1" w:styleId="hps">
    <w:name w:val="hps"/>
    <w:basedOn w:val="DefaultParagraphFont"/>
    <w:rsid w:val="00A068F8"/>
  </w:style>
  <w:style w:type="paragraph" w:customStyle="1" w:styleId="Normal-table">
    <w:name w:val="Normal-table"/>
    <w:rsid w:val="00A068F8"/>
    <w:pPr>
      <w:spacing w:after="0" w:line="240" w:lineRule="auto"/>
    </w:pPr>
    <w:rPr>
      <w:rFonts w:ascii="Arial" w:eastAsia="Batang" w:hAnsi="Arial" w:cs="Times New Roman"/>
      <w:sz w:val="20"/>
      <w:szCs w:val="20"/>
    </w:rPr>
  </w:style>
  <w:style w:type="paragraph" w:customStyle="1" w:styleId="CharCharCharChar2">
    <w:name w:val="Char Char Char Char2"/>
    <w:basedOn w:val="Normal"/>
    <w:rsid w:val="00A068F8"/>
    <w:pPr>
      <w:spacing w:after="160" w:line="240" w:lineRule="exact"/>
    </w:pPr>
    <w:rPr>
      <w:rFonts w:ascii="Verdana" w:hAnsi="Verdana"/>
      <w:szCs w:val="20"/>
      <w:lang w:val="en-GB"/>
    </w:rPr>
  </w:style>
  <w:style w:type="paragraph" w:customStyle="1" w:styleId="CharCharCharChar1">
    <w:name w:val="Char Char Char Char1"/>
    <w:basedOn w:val="Normal"/>
    <w:rsid w:val="00A068F8"/>
    <w:pPr>
      <w:spacing w:after="160" w:line="240" w:lineRule="exact"/>
    </w:pPr>
    <w:rPr>
      <w:rFonts w:ascii="Verdana" w:hAnsi="Verdana"/>
      <w:szCs w:val="20"/>
      <w:lang w:val="en-GB"/>
    </w:rPr>
  </w:style>
  <w:style w:type="character" w:customStyle="1" w:styleId="CharChar1">
    <w:name w:val="Char Char1"/>
    <w:locked/>
    <w:rsid w:val="00A068F8"/>
    <w:rPr>
      <w:rFonts w:ascii="Arial" w:hAnsi="Arial" w:cs="Times New Roman"/>
      <w:lang w:val="en-US" w:eastAsia="en-US" w:bidi="ar-SA"/>
    </w:rPr>
  </w:style>
  <w:style w:type="paragraph" w:customStyle="1" w:styleId="CarCar1">
    <w:name w:val="Car Car1"/>
    <w:basedOn w:val="Normal"/>
    <w:rsid w:val="00A068F8"/>
    <w:pPr>
      <w:spacing w:after="160" w:line="240" w:lineRule="exact"/>
    </w:pPr>
    <w:rPr>
      <w:rFonts w:ascii="Verdana" w:hAnsi="Verdana"/>
      <w:szCs w:val="20"/>
      <w:lang w:val="en-GB"/>
    </w:rPr>
  </w:style>
  <w:style w:type="character" w:customStyle="1" w:styleId="CharChar21">
    <w:name w:val="Char Char21"/>
    <w:rsid w:val="00A068F8"/>
    <w:rPr>
      <w:rFonts w:ascii="Arial" w:hAnsi="Arial"/>
      <w:lang w:val="en-US" w:eastAsia="en-US" w:bidi="ar-SA"/>
    </w:rPr>
  </w:style>
  <w:style w:type="character" w:customStyle="1" w:styleId="CharChar31">
    <w:name w:val="Char Char31"/>
    <w:rsid w:val="00A068F8"/>
    <w:rPr>
      <w:rFonts w:ascii="Arial" w:hAnsi="Arial"/>
      <w:lang w:val="en-US" w:eastAsia="en-US" w:bidi="ar-SA"/>
    </w:rPr>
  </w:style>
  <w:style w:type="character" w:customStyle="1" w:styleId="CharChar41">
    <w:name w:val="Char Char41"/>
    <w:rsid w:val="00A068F8"/>
    <w:rPr>
      <w:rFonts w:ascii="Arial" w:hAnsi="Arial"/>
      <w:lang w:val="en-US" w:eastAsia="en-US" w:bidi="ar-SA"/>
    </w:rPr>
  </w:style>
  <w:style w:type="character" w:customStyle="1" w:styleId="CharChar61">
    <w:name w:val="Char Char61"/>
    <w:rsid w:val="00A068F8"/>
    <w:rPr>
      <w:rFonts w:ascii="Arial" w:hAnsi="Arial"/>
      <w:lang w:val="en-US" w:eastAsia="en-US" w:bidi="ar-SA"/>
    </w:rPr>
  </w:style>
  <w:style w:type="paragraph" w:customStyle="1" w:styleId="Char1">
    <w:name w:val="Char 字元 字元1"/>
    <w:basedOn w:val="Normal"/>
    <w:rsid w:val="00A068F8"/>
    <w:pPr>
      <w:spacing w:after="160" w:line="240" w:lineRule="exact"/>
    </w:pPr>
    <w:rPr>
      <w:rFonts w:ascii="Verdana" w:eastAsia="PMingLiU" w:hAnsi="Verdana"/>
      <w:szCs w:val="20"/>
      <w:lang w:val="en-US"/>
    </w:rPr>
  </w:style>
  <w:style w:type="table" w:customStyle="1" w:styleId="TableGrid1">
    <w:name w:val="Table Grid1"/>
    <w:basedOn w:val="TableNormal"/>
    <w:next w:val="TableGrid"/>
    <w:uiPriority w:val="59"/>
    <w:rsid w:val="00A068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ofdocument">
    <w:name w:val="End of document"/>
    <w:basedOn w:val="Normal"/>
    <w:rsid w:val="00A068F8"/>
    <w:pPr>
      <w:ind w:left="4536"/>
      <w:jc w:val="center"/>
    </w:pPr>
    <w:rPr>
      <w:rFonts w:ascii="Times New Roman" w:hAnsi="Times New Roman"/>
      <w:sz w:val="24"/>
      <w:szCs w:val="20"/>
      <w:lang w:val="en-US"/>
    </w:rPr>
  </w:style>
  <w:style w:type="character" w:customStyle="1" w:styleId="admitted">
    <w:name w:val="admitted"/>
    <w:basedOn w:val="DefaultParagraphFont"/>
    <w:rsid w:val="00C258AD"/>
  </w:style>
  <w:style w:type="character" w:customStyle="1" w:styleId="preferred">
    <w:name w:val="preferred"/>
    <w:basedOn w:val="DefaultParagraphFont"/>
    <w:rsid w:val="00C258AD"/>
  </w:style>
  <w:style w:type="character" w:customStyle="1" w:styleId="acronym">
    <w:name w:val="acronym"/>
    <w:basedOn w:val="DefaultParagraphFont"/>
    <w:rsid w:val="00C258AD"/>
  </w:style>
  <w:style w:type="character" w:customStyle="1" w:styleId="Heading8Char">
    <w:name w:val="Heading 8 Char"/>
    <w:basedOn w:val="DefaultParagraphFont"/>
    <w:link w:val="Heading8"/>
    <w:uiPriority w:val="9"/>
    <w:rsid w:val="00E82DE1"/>
    <w:rPr>
      <w:rFonts w:ascii="Arial" w:eastAsia="Times New Roman" w:hAnsi="Arial" w:cs="Arial"/>
      <w:b/>
      <w:bCs/>
      <w:i/>
      <w:iCs/>
      <w:sz w:val="20"/>
      <w:szCs w:val="2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5640280">
      <w:bodyDiv w:val="1"/>
      <w:marLeft w:val="0"/>
      <w:marRight w:val="0"/>
      <w:marTop w:val="0"/>
      <w:marBottom w:val="0"/>
      <w:divBdr>
        <w:top w:val="none" w:sz="0" w:space="0" w:color="auto"/>
        <w:left w:val="none" w:sz="0" w:space="0" w:color="auto"/>
        <w:bottom w:val="none" w:sz="0" w:space="0" w:color="auto"/>
        <w:right w:val="none" w:sz="0" w:space="0" w:color="auto"/>
      </w:divBdr>
    </w:div>
    <w:div w:id="1068764549">
      <w:bodyDiv w:val="1"/>
      <w:marLeft w:val="0"/>
      <w:marRight w:val="0"/>
      <w:marTop w:val="0"/>
      <w:marBottom w:val="0"/>
      <w:divBdr>
        <w:top w:val="none" w:sz="0" w:space="0" w:color="auto"/>
        <w:left w:val="none" w:sz="0" w:space="0" w:color="auto"/>
        <w:bottom w:val="none" w:sz="0" w:space="0" w:color="auto"/>
        <w:right w:val="none" w:sz="0" w:space="0" w:color="auto"/>
      </w:divBdr>
    </w:div>
    <w:div w:id="1323460472">
      <w:bodyDiv w:val="1"/>
      <w:marLeft w:val="0"/>
      <w:marRight w:val="0"/>
      <w:marTop w:val="0"/>
      <w:marBottom w:val="0"/>
      <w:divBdr>
        <w:top w:val="none" w:sz="0" w:space="0" w:color="auto"/>
        <w:left w:val="none" w:sz="0" w:space="0" w:color="auto"/>
        <w:bottom w:val="none" w:sz="0" w:space="0" w:color="auto"/>
        <w:right w:val="none" w:sz="0" w:space="0" w:color="auto"/>
      </w:divBdr>
    </w:div>
    <w:div w:id="1397624511">
      <w:bodyDiv w:val="1"/>
      <w:marLeft w:val="0"/>
      <w:marRight w:val="0"/>
      <w:marTop w:val="0"/>
      <w:marBottom w:val="0"/>
      <w:divBdr>
        <w:top w:val="none" w:sz="0" w:space="0" w:color="auto"/>
        <w:left w:val="none" w:sz="0" w:space="0" w:color="auto"/>
        <w:bottom w:val="none" w:sz="0" w:space="0" w:color="auto"/>
        <w:right w:val="none" w:sz="0" w:space="0" w:color="auto"/>
      </w:divBdr>
    </w:div>
    <w:div w:id="1705593237">
      <w:bodyDiv w:val="1"/>
      <w:marLeft w:val="0"/>
      <w:marRight w:val="0"/>
      <w:marTop w:val="0"/>
      <w:marBottom w:val="0"/>
      <w:divBdr>
        <w:top w:val="none" w:sz="0" w:space="0" w:color="auto"/>
        <w:left w:val="none" w:sz="0" w:space="0" w:color="auto"/>
        <w:bottom w:val="none" w:sz="0" w:space="0" w:color="auto"/>
        <w:right w:val="none" w:sz="0" w:space="0" w:color="auto"/>
      </w:divBdr>
    </w:div>
    <w:div w:id="1708870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emf"/><Relationship Id="rId117" Type="http://schemas.openxmlformats.org/officeDocument/2006/relationships/image" Target="media/image105.emf"/><Relationship Id="rId21" Type="http://schemas.openxmlformats.org/officeDocument/2006/relationships/image" Target="media/image9.emf"/><Relationship Id="rId42" Type="http://schemas.openxmlformats.org/officeDocument/2006/relationships/image" Target="media/image30.emf"/><Relationship Id="rId47" Type="http://schemas.openxmlformats.org/officeDocument/2006/relationships/image" Target="media/image35.emf"/><Relationship Id="rId63" Type="http://schemas.openxmlformats.org/officeDocument/2006/relationships/image" Target="media/image51.emf"/><Relationship Id="rId68" Type="http://schemas.openxmlformats.org/officeDocument/2006/relationships/image" Target="media/image56.emf"/><Relationship Id="rId84" Type="http://schemas.openxmlformats.org/officeDocument/2006/relationships/image" Target="media/image72.emf"/><Relationship Id="rId89" Type="http://schemas.openxmlformats.org/officeDocument/2006/relationships/image" Target="media/image77.emf"/><Relationship Id="rId112" Type="http://schemas.openxmlformats.org/officeDocument/2006/relationships/image" Target="media/image100.emf"/><Relationship Id="rId133" Type="http://schemas.openxmlformats.org/officeDocument/2006/relationships/header" Target="header3.xml"/><Relationship Id="rId138" Type="http://schemas.openxmlformats.org/officeDocument/2006/relationships/fontTable" Target="fontTable.xml"/><Relationship Id="rId16" Type="http://schemas.openxmlformats.org/officeDocument/2006/relationships/image" Target="media/image4.jpeg"/><Relationship Id="rId107" Type="http://schemas.openxmlformats.org/officeDocument/2006/relationships/image" Target="media/image95.emf"/><Relationship Id="rId11" Type="http://schemas.openxmlformats.org/officeDocument/2006/relationships/header" Target="header1.xml"/><Relationship Id="rId32" Type="http://schemas.openxmlformats.org/officeDocument/2006/relationships/image" Target="media/image20.emf"/><Relationship Id="rId37" Type="http://schemas.openxmlformats.org/officeDocument/2006/relationships/image" Target="media/image25.emf"/><Relationship Id="rId53" Type="http://schemas.openxmlformats.org/officeDocument/2006/relationships/image" Target="media/image41.emf"/><Relationship Id="rId58" Type="http://schemas.openxmlformats.org/officeDocument/2006/relationships/image" Target="media/image46.emf"/><Relationship Id="rId74" Type="http://schemas.openxmlformats.org/officeDocument/2006/relationships/image" Target="media/image62.emf"/><Relationship Id="rId79" Type="http://schemas.openxmlformats.org/officeDocument/2006/relationships/image" Target="media/image67.emf"/><Relationship Id="rId102" Type="http://schemas.openxmlformats.org/officeDocument/2006/relationships/image" Target="media/image90.emf"/><Relationship Id="rId123" Type="http://schemas.openxmlformats.org/officeDocument/2006/relationships/image" Target="media/image111.emf"/><Relationship Id="rId128" Type="http://schemas.openxmlformats.org/officeDocument/2006/relationships/image" Target="media/image116.emf"/><Relationship Id="rId5" Type="http://schemas.openxmlformats.org/officeDocument/2006/relationships/settings" Target="settings.xml"/><Relationship Id="rId90" Type="http://schemas.openxmlformats.org/officeDocument/2006/relationships/image" Target="media/image78.emf"/><Relationship Id="rId95" Type="http://schemas.openxmlformats.org/officeDocument/2006/relationships/image" Target="media/image83.emf"/><Relationship Id="rId22" Type="http://schemas.openxmlformats.org/officeDocument/2006/relationships/image" Target="media/image10.emf"/><Relationship Id="rId27" Type="http://schemas.openxmlformats.org/officeDocument/2006/relationships/image" Target="media/image15.emf"/><Relationship Id="rId43" Type="http://schemas.openxmlformats.org/officeDocument/2006/relationships/image" Target="media/image31.emf"/><Relationship Id="rId48" Type="http://schemas.openxmlformats.org/officeDocument/2006/relationships/image" Target="media/image36.emf"/><Relationship Id="rId64" Type="http://schemas.openxmlformats.org/officeDocument/2006/relationships/image" Target="media/image52.emf"/><Relationship Id="rId69" Type="http://schemas.openxmlformats.org/officeDocument/2006/relationships/image" Target="media/image57.emf"/><Relationship Id="rId113" Type="http://schemas.openxmlformats.org/officeDocument/2006/relationships/image" Target="media/image101.emf"/><Relationship Id="rId118" Type="http://schemas.openxmlformats.org/officeDocument/2006/relationships/image" Target="media/image106.emf"/><Relationship Id="rId134" Type="http://schemas.openxmlformats.org/officeDocument/2006/relationships/header" Target="header4.xml"/><Relationship Id="rId13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9.emf"/><Relationship Id="rId72" Type="http://schemas.openxmlformats.org/officeDocument/2006/relationships/image" Target="media/image60.emf"/><Relationship Id="rId80" Type="http://schemas.openxmlformats.org/officeDocument/2006/relationships/image" Target="media/image68.emf"/><Relationship Id="rId85" Type="http://schemas.openxmlformats.org/officeDocument/2006/relationships/image" Target="media/image73.emf"/><Relationship Id="rId93" Type="http://schemas.openxmlformats.org/officeDocument/2006/relationships/image" Target="media/image81.emf"/><Relationship Id="rId98" Type="http://schemas.openxmlformats.org/officeDocument/2006/relationships/image" Target="media/image86.emf"/><Relationship Id="rId121" Type="http://schemas.openxmlformats.org/officeDocument/2006/relationships/image" Target="media/image109.emf"/><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image" Target="media/image21.emf"/><Relationship Id="rId38" Type="http://schemas.openxmlformats.org/officeDocument/2006/relationships/image" Target="media/image26.emf"/><Relationship Id="rId46" Type="http://schemas.openxmlformats.org/officeDocument/2006/relationships/image" Target="media/image34.emf"/><Relationship Id="rId59" Type="http://schemas.openxmlformats.org/officeDocument/2006/relationships/image" Target="media/image47.emf"/><Relationship Id="rId67" Type="http://schemas.openxmlformats.org/officeDocument/2006/relationships/image" Target="media/image55.emf"/><Relationship Id="rId103" Type="http://schemas.openxmlformats.org/officeDocument/2006/relationships/image" Target="media/image91.emf"/><Relationship Id="rId108" Type="http://schemas.openxmlformats.org/officeDocument/2006/relationships/image" Target="media/image96.emf"/><Relationship Id="rId116" Type="http://schemas.openxmlformats.org/officeDocument/2006/relationships/image" Target="media/image104.emf"/><Relationship Id="rId124" Type="http://schemas.openxmlformats.org/officeDocument/2006/relationships/image" Target="media/image112.emf"/><Relationship Id="rId129" Type="http://schemas.openxmlformats.org/officeDocument/2006/relationships/image" Target="media/image117.emf"/><Relationship Id="rId137" Type="http://schemas.openxmlformats.org/officeDocument/2006/relationships/footer" Target="footer5.xml"/><Relationship Id="rId20" Type="http://schemas.openxmlformats.org/officeDocument/2006/relationships/image" Target="media/image8.emf"/><Relationship Id="rId41" Type="http://schemas.openxmlformats.org/officeDocument/2006/relationships/image" Target="media/image29.emf"/><Relationship Id="rId54" Type="http://schemas.openxmlformats.org/officeDocument/2006/relationships/image" Target="media/image42.emf"/><Relationship Id="rId62" Type="http://schemas.openxmlformats.org/officeDocument/2006/relationships/image" Target="media/image50.emf"/><Relationship Id="rId70" Type="http://schemas.openxmlformats.org/officeDocument/2006/relationships/image" Target="media/image58.emf"/><Relationship Id="rId75" Type="http://schemas.openxmlformats.org/officeDocument/2006/relationships/image" Target="media/image63.emf"/><Relationship Id="rId83" Type="http://schemas.openxmlformats.org/officeDocument/2006/relationships/image" Target="media/image71.emf"/><Relationship Id="rId88" Type="http://schemas.openxmlformats.org/officeDocument/2006/relationships/image" Target="media/image76.emf"/><Relationship Id="rId91" Type="http://schemas.openxmlformats.org/officeDocument/2006/relationships/image" Target="media/image79.emf"/><Relationship Id="rId96" Type="http://schemas.openxmlformats.org/officeDocument/2006/relationships/image" Target="media/image84.emf"/><Relationship Id="rId111" Type="http://schemas.openxmlformats.org/officeDocument/2006/relationships/image" Target="media/image99.emf"/><Relationship Id="rId132" Type="http://schemas.openxmlformats.org/officeDocument/2006/relationships/image" Target="media/image120.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11.emf"/><Relationship Id="rId28" Type="http://schemas.openxmlformats.org/officeDocument/2006/relationships/image" Target="media/image16.emf"/><Relationship Id="rId36" Type="http://schemas.openxmlformats.org/officeDocument/2006/relationships/image" Target="media/image24.emf"/><Relationship Id="rId49" Type="http://schemas.openxmlformats.org/officeDocument/2006/relationships/image" Target="media/image37.emf"/><Relationship Id="rId57" Type="http://schemas.openxmlformats.org/officeDocument/2006/relationships/image" Target="media/image45.emf"/><Relationship Id="rId106" Type="http://schemas.openxmlformats.org/officeDocument/2006/relationships/image" Target="media/image94.emf"/><Relationship Id="rId114" Type="http://schemas.openxmlformats.org/officeDocument/2006/relationships/image" Target="media/image102.emf"/><Relationship Id="rId119" Type="http://schemas.openxmlformats.org/officeDocument/2006/relationships/image" Target="media/image107.emf"/><Relationship Id="rId127" Type="http://schemas.openxmlformats.org/officeDocument/2006/relationships/image" Target="media/image115.emf"/><Relationship Id="rId10" Type="http://schemas.openxmlformats.org/officeDocument/2006/relationships/image" Target="media/image2.jpeg"/><Relationship Id="rId31" Type="http://schemas.openxmlformats.org/officeDocument/2006/relationships/image" Target="media/image19.emf"/><Relationship Id="rId44" Type="http://schemas.openxmlformats.org/officeDocument/2006/relationships/image" Target="media/image32.emf"/><Relationship Id="rId52" Type="http://schemas.openxmlformats.org/officeDocument/2006/relationships/image" Target="media/image40.emf"/><Relationship Id="rId60" Type="http://schemas.openxmlformats.org/officeDocument/2006/relationships/image" Target="media/image48.emf"/><Relationship Id="rId65" Type="http://schemas.openxmlformats.org/officeDocument/2006/relationships/image" Target="media/image53.emf"/><Relationship Id="rId73" Type="http://schemas.openxmlformats.org/officeDocument/2006/relationships/image" Target="media/image61.emf"/><Relationship Id="rId78" Type="http://schemas.openxmlformats.org/officeDocument/2006/relationships/image" Target="media/image66.emf"/><Relationship Id="rId81" Type="http://schemas.openxmlformats.org/officeDocument/2006/relationships/image" Target="media/image69.emf"/><Relationship Id="rId86" Type="http://schemas.openxmlformats.org/officeDocument/2006/relationships/image" Target="media/image74.emf"/><Relationship Id="rId94" Type="http://schemas.openxmlformats.org/officeDocument/2006/relationships/image" Target="media/image82.emf"/><Relationship Id="rId99" Type="http://schemas.openxmlformats.org/officeDocument/2006/relationships/image" Target="media/image87.emf"/><Relationship Id="rId101" Type="http://schemas.openxmlformats.org/officeDocument/2006/relationships/image" Target="media/image89.emf"/><Relationship Id="rId122" Type="http://schemas.openxmlformats.org/officeDocument/2006/relationships/image" Target="media/image110.emf"/><Relationship Id="rId130" Type="http://schemas.openxmlformats.org/officeDocument/2006/relationships/image" Target="media/image118.emf"/><Relationship Id="rId135"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6.emf"/><Relationship Id="rId39" Type="http://schemas.openxmlformats.org/officeDocument/2006/relationships/image" Target="media/image27.emf"/><Relationship Id="rId109" Type="http://schemas.openxmlformats.org/officeDocument/2006/relationships/image" Target="media/image97.emf"/><Relationship Id="rId34" Type="http://schemas.openxmlformats.org/officeDocument/2006/relationships/image" Target="media/image22.emf"/><Relationship Id="rId50" Type="http://schemas.openxmlformats.org/officeDocument/2006/relationships/image" Target="media/image38.emf"/><Relationship Id="rId55" Type="http://schemas.openxmlformats.org/officeDocument/2006/relationships/image" Target="media/image43.emf"/><Relationship Id="rId76" Type="http://schemas.openxmlformats.org/officeDocument/2006/relationships/image" Target="media/image64.emf"/><Relationship Id="rId97" Type="http://schemas.openxmlformats.org/officeDocument/2006/relationships/image" Target="media/image85.emf"/><Relationship Id="rId104" Type="http://schemas.openxmlformats.org/officeDocument/2006/relationships/image" Target="media/image92.emf"/><Relationship Id="rId120" Type="http://schemas.openxmlformats.org/officeDocument/2006/relationships/image" Target="media/image108.emf"/><Relationship Id="rId125" Type="http://schemas.openxmlformats.org/officeDocument/2006/relationships/image" Target="media/image113.emf"/><Relationship Id="rId7" Type="http://schemas.openxmlformats.org/officeDocument/2006/relationships/footnotes" Target="footnotes.xml"/><Relationship Id="rId71" Type="http://schemas.openxmlformats.org/officeDocument/2006/relationships/image" Target="media/image59.emf"/><Relationship Id="rId92" Type="http://schemas.openxmlformats.org/officeDocument/2006/relationships/image" Target="media/image80.emf"/><Relationship Id="rId2" Type="http://schemas.openxmlformats.org/officeDocument/2006/relationships/numbering" Target="numbering.xml"/><Relationship Id="rId29" Type="http://schemas.openxmlformats.org/officeDocument/2006/relationships/image" Target="media/image17.emf"/><Relationship Id="rId24" Type="http://schemas.openxmlformats.org/officeDocument/2006/relationships/image" Target="media/image12.emf"/><Relationship Id="rId40" Type="http://schemas.openxmlformats.org/officeDocument/2006/relationships/image" Target="media/image28.emf"/><Relationship Id="rId45" Type="http://schemas.openxmlformats.org/officeDocument/2006/relationships/image" Target="media/image33.emf"/><Relationship Id="rId66" Type="http://schemas.openxmlformats.org/officeDocument/2006/relationships/image" Target="media/image54.emf"/><Relationship Id="rId87" Type="http://schemas.openxmlformats.org/officeDocument/2006/relationships/image" Target="media/image75.emf"/><Relationship Id="rId110" Type="http://schemas.openxmlformats.org/officeDocument/2006/relationships/image" Target="media/image98.emf"/><Relationship Id="rId115" Type="http://schemas.openxmlformats.org/officeDocument/2006/relationships/image" Target="media/image103.emf"/><Relationship Id="rId131" Type="http://schemas.openxmlformats.org/officeDocument/2006/relationships/image" Target="media/image119.emf"/><Relationship Id="rId136" Type="http://schemas.openxmlformats.org/officeDocument/2006/relationships/footer" Target="footer4.xml"/><Relationship Id="rId61" Type="http://schemas.openxmlformats.org/officeDocument/2006/relationships/image" Target="media/image49.emf"/><Relationship Id="rId82" Type="http://schemas.openxmlformats.org/officeDocument/2006/relationships/image" Target="media/image70.emf"/><Relationship Id="rId19" Type="http://schemas.openxmlformats.org/officeDocument/2006/relationships/image" Target="media/image7.emf"/><Relationship Id="rId14" Type="http://schemas.openxmlformats.org/officeDocument/2006/relationships/footer" Target="footer2.xml"/><Relationship Id="rId30" Type="http://schemas.openxmlformats.org/officeDocument/2006/relationships/image" Target="media/image18.emf"/><Relationship Id="rId35" Type="http://schemas.openxmlformats.org/officeDocument/2006/relationships/image" Target="media/image23.emf"/><Relationship Id="rId56" Type="http://schemas.openxmlformats.org/officeDocument/2006/relationships/image" Target="media/image44.emf"/><Relationship Id="rId77" Type="http://schemas.openxmlformats.org/officeDocument/2006/relationships/image" Target="media/image65.emf"/><Relationship Id="rId100" Type="http://schemas.openxmlformats.org/officeDocument/2006/relationships/image" Target="media/image88.emf"/><Relationship Id="rId105" Type="http://schemas.openxmlformats.org/officeDocument/2006/relationships/image" Target="media/image93.emf"/><Relationship Id="rId126" Type="http://schemas.openxmlformats.org/officeDocument/2006/relationships/image" Target="media/image114.emf"/></Relationships>
</file>

<file path=word/_rels/footnotes.xml.rels><?xml version="1.0" encoding="UTF-8" standalone="yes"?>
<Relationships xmlns="http://schemas.openxmlformats.org/package/2006/relationships"><Relationship Id="rId8" Type="http://schemas.openxmlformats.org/officeDocument/2006/relationships/hyperlink" Target="http://www.wipo.int/export/sites/www/cooperation/en/pdf/ta_manual.pdf" TargetMode="External"/><Relationship Id="rId13" Type="http://schemas.openxmlformats.org/officeDocument/2006/relationships/hyperlink" Target="http://www.wipo.int/econ_stat/fr/economics/gii/" TargetMode="External"/><Relationship Id="rId18" Type="http://schemas.openxmlformats.org/officeDocument/2006/relationships/hyperlink" Target="http://www.wipo.int/publications/en/details.jsp?id=3912&amp;plang=EN" TargetMode="External"/><Relationship Id="rId3" Type="http://schemas.openxmlformats.org/officeDocument/2006/relationships/hyperlink" Target="http://www.wipo.int/edocs/mdocs/govbody/en/a_55/a_55_6.pdf" TargetMode="External"/><Relationship Id="rId21" Type="http://schemas.openxmlformats.org/officeDocument/2006/relationships/hyperlink" Target="http://www.wipo.int/about-wipo/en/oversight/iaod/pdf/qa_report.pdf" TargetMode="External"/><Relationship Id="rId7" Type="http://schemas.openxmlformats.org/officeDocument/2006/relationships/hyperlink" Target="http://www.wipo.int/meetings/fr/doc_details.jsp?doc_id=239806" TargetMode="External"/><Relationship Id="rId12" Type="http://schemas.openxmlformats.org/officeDocument/2006/relationships/hyperlink" Target="http://www.wipo.int/tisc/fr/etutorial.html" TargetMode="External"/><Relationship Id="rId17" Type="http://schemas.openxmlformats.org/officeDocument/2006/relationships/hyperlink" Target="http://www.wipo.int/publications/en/details.jsp?id=3887&amp;plang=EN" TargetMode="External"/><Relationship Id="rId2" Type="http://schemas.openxmlformats.org/officeDocument/2006/relationships/hyperlink" Target="mailto:madrid.qp@wipo.int" TargetMode="External"/><Relationship Id="rId16" Type="http://schemas.openxmlformats.org/officeDocument/2006/relationships/hyperlink" Target="http://www.wipo.int/export/sites/www/about-wipo/en/oversight/iaod/evaluation/pdf/evaluation_strategic_goal_vi.pdf" TargetMode="External"/><Relationship Id="rId20" Type="http://schemas.openxmlformats.org/officeDocument/2006/relationships/hyperlink" Target="http://www.wipo.int/export/sites/www/about-wipo/fr/assemblies/pdf/survey_2014.pdf" TargetMode="External"/><Relationship Id="rId1" Type="http://schemas.openxmlformats.org/officeDocument/2006/relationships/hyperlink" Target="http://www.wipo.int/meetings/fr/doc_details.jsp?doc_id=327197" TargetMode="External"/><Relationship Id="rId6" Type="http://schemas.openxmlformats.org/officeDocument/2006/relationships/hyperlink" Target="http://www.wipo.int/meetings/fr/doc_details.jsp?doc_id=208882%20" TargetMode="External"/><Relationship Id="rId11" Type="http://schemas.openxmlformats.org/officeDocument/2006/relationships/hyperlink" Target="http://www.wipo.int/tisc/en/etutorial.html" TargetMode="External"/><Relationship Id="rId24" Type="http://schemas.openxmlformats.org/officeDocument/2006/relationships/hyperlink" Target="http://www.uibm.gov.it/attachments/FINAL%20Guide_for_IP%20Agri-food%20SME%20_Italian_publication_EN_GBA-Jaiya.pdf" TargetMode="External"/><Relationship Id="rId5" Type="http://schemas.openxmlformats.org/officeDocument/2006/relationships/hyperlink" Target="http://www.wipo.int/amc-apps/clause-generator/" TargetMode="External"/><Relationship Id="rId15" Type="http://schemas.openxmlformats.org/officeDocument/2006/relationships/hyperlink" Target="http://www.wipo.int/edocs/pubdocs/en/wipo_rep_rfip_2015_1.pdf" TargetMode="External"/><Relationship Id="rId23" Type="http://schemas.openxmlformats.org/officeDocument/2006/relationships/hyperlink" Target="http://www.wipo.int/about-wipo/en/oversight/pdf/external_quality_assessment_wipo_investigation_function.pdf" TargetMode="External"/><Relationship Id="rId10" Type="http://schemas.openxmlformats.org/officeDocument/2006/relationships/hyperlink" Target="http://etisc.wipo.org/" TargetMode="External"/><Relationship Id="rId19" Type="http://schemas.openxmlformats.org/officeDocument/2006/relationships/hyperlink" Target="http://www.wipo.int/publications/en/details.jsp?id=3893&amp;plang=EN" TargetMode="External"/><Relationship Id="rId4" Type="http://schemas.openxmlformats.org/officeDocument/2006/relationships/hyperlink" Target="http://www.wipo.int/amc/fr/rules/" TargetMode="External"/><Relationship Id="rId9" Type="http://schemas.openxmlformats.org/officeDocument/2006/relationships/hyperlink" Target="http://www.wipo.int/tisc/fr/search/" TargetMode="External"/><Relationship Id="rId14" Type="http://schemas.openxmlformats.org/officeDocument/2006/relationships/hyperlink" Target="https://www.globalinnovationindex.org/content/page/GII-Home" TargetMode="External"/><Relationship Id="rId22" Type="http://schemas.openxmlformats.org/officeDocument/2006/relationships/hyperlink" Target="http://www.wipo.int/about-wipo/en/oversight/iaod/pdf/eqa_repor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DDFC6-20AE-47B8-9EF4-72E1356CB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391</Pages>
  <Words>159267</Words>
  <Characters>907825</Characters>
  <Application>Microsoft Office Word</Application>
  <DocSecurity>0</DocSecurity>
  <Lines>7565</Lines>
  <Paragraphs>2129</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1064963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LIVSHIN Kristen</dc:creator>
  <cp:keywords>SC/PB/sc</cp:keywords>
  <cp:lastModifiedBy>MARIN-CUDRAZ DAVI Nicoletta</cp:lastModifiedBy>
  <cp:revision>4</cp:revision>
  <cp:lastPrinted>2016-07-04T12:36:00Z</cp:lastPrinted>
  <dcterms:created xsi:type="dcterms:W3CDTF">2016-07-05T14:10:00Z</dcterms:created>
  <dcterms:modified xsi:type="dcterms:W3CDTF">2016-07-06T13:11:00Z</dcterms:modified>
</cp:coreProperties>
</file>